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FA185E" w:rsidTr="00EB4E9C">
        <w:tc>
          <w:tcPr>
            <w:tcW w:w="6522" w:type="dxa"/>
          </w:tcPr>
          <w:p w:rsidR="00DC3802" w:rsidRPr="00FA185E" w:rsidRDefault="00DC3802" w:rsidP="00AC2883">
            <w:pPr>
              <w:rPr>
                <w:lang w:val="es-419"/>
              </w:rPr>
            </w:pPr>
            <w:r w:rsidRPr="00FA185E">
              <w:rPr>
                <w:noProof/>
                <w:lang w:val="en-US" w:eastAsia="en-US" w:bidi="ar-SA"/>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FA185E" w:rsidRDefault="002E5944" w:rsidP="00AC2883">
            <w:pPr>
              <w:pStyle w:val="Lettrine"/>
              <w:rPr>
                <w:lang w:val="es-419"/>
              </w:rPr>
            </w:pPr>
            <w:r w:rsidRPr="00FA185E">
              <w:rPr>
                <w:lang w:val="es-419"/>
              </w:rPr>
              <w:t>S</w:t>
            </w:r>
          </w:p>
        </w:tc>
      </w:tr>
      <w:tr w:rsidR="00DC3802" w:rsidRPr="00FA185E" w:rsidTr="00645CA8">
        <w:trPr>
          <w:trHeight w:val="219"/>
        </w:trPr>
        <w:tc>
          <w:tcPr>
            <w:tcW w:w="6522" w:type="dxa"/>
          </w:tcPr>
          <w:p w:rsidR="00DC3802" w:rsidRPr="00FA185E" w:rsidRDefault="002E5944" w:rsidP="00BC0BD4">
            <w:pPr>
              <w:pStyle w:val="upove"/>
              <w:rPr>
                <w:lang w:val="es-419"/>
              </w:rPr>
            </w:pPr>
            <w:r w:rsidRPr="00FA185E">
              <w:rPr>
                <w:lang w:val="es-419"/>
              </w:rPr>
              <w:t>Unión Internacional para la Protección de las Obtenciones Vegetales</w:t>
            </w:r>
          </w:p>
        </w:tc>
        <w:tc>
          <w:tcPr>
            <w:tcW w:w="3117" w:type="dxa"/>
          </w:tcPr>
          <w:p w:rsidR="00DC3802" w:rsidRPr="00FA185E" w:rsidRDefault="00DC3802" w:rsidP="00DA4973">
            <w:pPr>
              <w:rPr>
                <w:lang w:val="es-419"/>
              </w:rPr>
            </w:pPr>
          </w:p>
        </w:tc>
      </w:tr>
    </w:tbl>
    <w:p w:rsidR="00DC3802" w:rsidRPr="00FA185E" w:rsidRDefault="00DC3802" w:rsidP="00DC3802">
      <w:pPr>
        <w:rPr>
          <w:lang w:val="es-419"/>
        </w:rPr>
      </w:pPr>
    </w:p>
    <w:p w:rsidR="00DA4973" w:rsidRPr="00FA185E" w:rsidRDefault="00DA4973" w:rsidP="00DC3802">
      <w:pPr>
        <w:rPr>
          <w:lang w:val="es-419"/>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FA185E" w:rsidTr="00EB4E9C">
        <w:tc>
          <w:tcPr>
            <w:tcW w:w="6512" w:type="dxa"/>
          </w:tcPr>
          <w:p w:rsidR="00EB4E9C" w:rsidRPr="00B64449" w:rsidRDefault="002E5944" w:rsidP="00AC2883">
            <w:pPr>
              <w:pStyle w:val="Sessiontc"/>
              <w:spacing w:line="240" w:lineRule="auto"/>
              <w:rPr>
                <w:lang w:val="es-419"/>
              </w:rPr>
            </w:pPr>
            <w:r w:rsidRPr="00B64449">
              <w:rPr>
                <w:lang w:val="es-419"/>
              </w:rPr>
              <w:t>Comité Administrativo y Jurídico</w:t>
            </w:r>
          </w:p>
          <w:p w:rsidR="00EB4E9C" w:rsidRPr="00B64449" w:rsidRDefault="00943983" w:rsidP="008C6250">
            <w:pPr>
              <w:pStyle w:val="Sessiontcplacedate"/>
              <w:rPr>
                <w:sz w:val="22"/>
                <w:lang w:val="es-419"/>
              </w:rPr>
            </w:pPr>
            <w:r w:rsidRPr="00B64449">
              <w:rPr>
                <w:lang w:val="es-419"/>
              </w:rPr>
              <w:t>Septuagésima sexta sesión</w:t>
            </w:r>
            <w:r w:rsidRPr="00B64449">
              <w:rPr>
                <w:lang w:val="es-419"/>
              </w:rPr>
              <w:br/>
              <w:t>Ginebra, 30 de octubre de 2019</w:t>
            </w:r>
          </w:p>
        </w:tc>
        <w:tc>
          <w:tcPr>
            <w:tcW w:w="3127" w:type="dxa"/>
          </w:tcPr>
          <w:p w:rsidR="00EB4E9C" w:rsidRPr="00B64449" w:rsidRDefault="008C6250" w:rsidP="003C7FBE">
            <w:pPr>
              <w:pStyle w:val="Doccode"/>
              <w:rPr>
                <w:lang w:val="es-419"/>
              </w:rPr>
            </w:pPr>
            <w:r w:rsidRPr="00B64449">
              <w:rPr>
                <w:lang w:val="es-419"/>
              </w:rPr>
              <w:t>CAJ/76/5</w:t>
            </w:r>
          </w:p>
          <w:p w:rsidR="00EB4E9C" w:rsidRPr="00B64449" w:rsidRDefault="00EB4E9C" w:rsidP="003C7FBE">
            <w:pPr>
              <w:pStyle w:val="Docoriginal"/>
              <w:rPr>
                <w:lang w:val="es-419"/>
              </w:rPr>
            </w:pPr>
            <w:r w:rsidRPr="00B64449">
              <w:rPr>
                <w:lang w:val="es-419"/>
              </w:rPr>
              <w:t>Original:</w:t>
            </w:r>
            <w:r w:rsidRPr="00B64449">
              <w:rPr>
                <w:b w:val="0"/>
                <w:spacing w:val="0"/>
                <w:lang w:val="es-419"/>
              </w:rPr>
              <w:t xml:space="preserve">  Inglés</w:t>
            </w:r>
          </w:p>
          <w:p w:rsidR="00EB4E9C" w:rsidRPr="00FA185E" w:rsidRDefault="002E5944" w:rsidP="00B64449">
            <w:pPr>
              <w:pStyle w:val="Docoriginal"/>
              <w:rPr>
                <w:lang w:val="es-419"/>
              </w:rPr>
            </w:pPr>
            <w:r w:rsidRPr="00B64449">
              <w:rPr>
                <w:lang w:val="es-419"/>
              </w:rPr>
              <w:t>Fecha:</w:t>
            </w:r>
            <w:r w:rsidRPr="00B64449">
              <w:rPr>
                <w:b w:val="0"/>
                <w:spacing w:val="0"/>
                <w:lang w:val="es-419"/>
              </w:rPr>
              <w:t xml:space="preserve">  </w:t>
            </w:r>
            <w:r w:rsidR="00B64449" w:rsidRPr="00B64449">
              <w:rPr>
                <w:b w:val="0"/>
                <w:spacing w:val="0"/>
                <w:lang w:val="es-419"/>
              </w:rPr>
              <w:t>23</w:t>
            </w:r>
            <w:r w:rsidRPr="00B64449">
              <w:rPr>
                <w:b w:val="0"/>
                <w:spacing w:val="0"/>
                <w:lang w:val="es-419"/>
              </w:rPr>
              <w:t xml:space="preserve"> de julio de 2019</w:t>
            </w:r>
          </w:p>
        </w:tc>
      </w:tr>
    </w:tbl>
    <w:p w:rsidR="000D7780" w:rsidRPr="00FA185E" w:rsidRDefault="00914865" w:rsidP="006A644A">
      <w:pPr>
        <w:pStyle w:val="Titleofdoc0"/>
        <w:rPr>
          <w:lang w:val="es-419"/>
        </w:rPr>
      </w:pPr>
      <w:bookmarkStart w:id="0" w:name="TitleOfDoc"/>
      <w:bookmarkEnd w:id="0"/>
      <w:r w:rsidRPr="00FA185E">
        <w:rPr>
          <w:lang w:val="es-419"/>
        </w:rPr>
        <w:t>Documentos TGP</w:t>
      </w:r>
    </w:p>
    <w:p w:rsidR="006A644A" w:rsidRPr="00FA185E" w:rsidRDefault="000638A9" w:rsidP="006A644A">
      <w:pPr>
        <w:pStyle w:val="preparedby1"/>
        <w:jc w:val="left"/>
        <w:rPr>
          <w:lang w:val="es-419"/>
        </w:rPr>
      </w:pPr>
      <w:bookmarkStart w:id="1" w:name="Prepared"/>
      <w:bookmarkEnd w:id="1"/>
      <w:r w:rsidRPr="00FA185E">
        <w:rPr>
          <w:lang w:val="es-419"/>
        </w:rPr>
        <w:t>Documento preparado por la Oficina de la Unión</w:t>
      </w:r>
    </w:p>
    <w:p w:rsidR="00050E16" w:rsidRPr="00FA185E" w:rsidRDefault="000638A9" w:rsidP="006A644A">
      <w:pPr>
        <w:pStyle w:val="Disclaimer"/>
        <w:rPr>
          <w:lang w:val="es-419"/>
        </w:rPr>
      </w:pPr>
      <w:r w:rsidRPr="00FA185E">
        <w:rPr>
          <w:lang w:val="es-419"/>
        </w:rPr>
        <w:t>Descargo de responsabilidad: el presente documento no constituye un documento de política u orientación de la UPOV</w:t>
      </w:r>
    </w:p>
    <w:p w:rsidR="00914865" w:rsidRPr="00FA185E" w:rsidRDefault="00914865" w:rsidP="00914865">
      <w:pPr>
        <w:keepNext/>
        <w:outlineLvl w:val="0"/>
        <w:rPr>
          <w:caps/>
          <w:snapToGrid w:val="0"/>
          <w:lang w:val="es-419"/>
        </w:rPr>
      </w:pPr>
      <w:bookmarkStart w:id="2" w:name="_Toc481744310"/>
      <w:bookmarkStart w:id="3" w:name="_Toc13581183"/>
      <w:bookmarkStart w:id="4" w:name="_Toc15650740"/>
      <w:r w:rsidRPr="00FA185E">
        <w:rPr>
          <w:caps/>
          <w:snapToGrid w:val="0"/>
          <w:lang w:val="es-419"/>
        </w:rPr>
        <w:t>RESUMEN</w:t>
      </w:r>
      <w:bookmarkEnd w:id="2"/>
      <w:bookmarkEnd w:id="3"/>
      <w:bookmarkEnd w:id="4"/>
    </w:p>
    <w:p w:rsidR="00914865" w:rsidRPr="00FA185E" w:rsidRDefault="00914865" w:rsidP="00914865">
      <w:pPr>
        <w:rPr>
          <w:snapToGrid w:val="0"/>
          <w:lang w:val="es-419"/>
        </w:rPr>
      </w:pPr>
    </w:p>
    <w:p w:rsidR="00914865" w:rsidRPr="00FA185E" w:rsidRDefault="00914865" w:rsidP="00914865">
      <w:pPr>
        <w:rPr>
          <w:lang w:val="es-419"/>
        </w:rPr>
      </w:pPr>
      <w:r w:rsidRPr="00FA185E">
        <w:rPr>
          <w:snapToGrid w:val="0"/>
          <w:lang w:val="es-419"/>
        </w:rPr>
        <w:fldChar w:fldCharType="begin"/>
      </w:r>
      <w:r w:rsidRPr="00FA185E">
        <w:rPr>
          <w:snapToGrid w:val="0"/>
          <w:lang w:val="es-419"/>
        </w:rPr>
        <w:instrText xml:space="preserve"> AUTONUM  </w:instrText>
      </w:r>
      <w:r w:rsidRPr="00FA185E">
        <w:rPr>
          <w:snapToGrid w:val="0"/>
          <w:lang w:val="es-419"/>
        </w:rPr>
        <w:fldChar w:fldCharType="end"/>
      </w:r>
      <w:r w:rsidRPr="00FA185E">
        <w:rPr>
          <w:lang w:val="es-419"/>
        </w:rPr>
        <w:tab/>
        <w:t xml:space="preserve">La finalidad del presente documento es exponer los avances logrados respecto de los documentos TGP y aportar información para ayudar al CAJ a examinar los documentos siguientes, como base para su aprobación por el Consejo en su quincuagésima tercera sesión ordinaria, que se celebrará en Ginebra </w:t>
      </w:r>
      <w:r w:rsidR="00C81527">
        <w:rPr>
          <w:lang w:val="es-419"/>
        </w:rPr>
        <w:br/>
      </w:r>
      <w:r w:rsidRPr="00FA185E">
        <w:rPr>
          <w:lang w:val="es-419"/>
        </w:rPr>
        <w:t xml:space="preserve">el 1 de noviembre de 2019: </w:t>
      </w:r>
    </w:p>
    <w:p w:rsidR="00914865" w:rsidRPr="00FA185E" w:rsidRDefault="00914865" w:rsidP="00914865">
      <w:pPr>
        <w:rPr>
          <w:lang w:val="es-419"/>
        </w:rPr>
      </w:pPr>
    </w:p>
    <w:p w:rsidR="00914865" w:rsidRPr="00FA185E" w:rsidRDefault="00914865" w:rsidP="00914865">
      <w:pPr>
        <w:pStyle w:val="ListParagraph"/>
        <w:numPr>
          <w:ilvl w:val="0"/>
          <w:numId w:val="16"/>
        </w:numPr>
        <w:tabs>
          <w:tab w:val="left" w:pos="1701"/>
        </w:tabs>
        <w:ind w:left="1134" w:hanging="567"/>
        <w:rPr>
          <w:lang w:val="es-419"/>
        </w:rPr>
      </w:pPr>
      <w:r w:rsidRPr="00FA185E">
        <w:rPr>
          <w:lang w:val="es-419"/>
        </w:rPr>
        <w:t>TGP/7/7</w:t>
      </w:r>
      <w:r w:rsidR="00B23B18">
        <w:rPr>
          <w:lang w:val="es-419"/>
        </w:rPr>
        <w:t> </w:t>
      </w:r>
      <w:proofErr w:type="spellStart"/>
      <w:r w:rsidR="00B23B18">
        <w:rPr>
          <w:lang w:val="es-419"/>
        </w:rPr>
        <w:t>Draft</w:t>
      </w:r>
      <w:proofErr w:type="spellEnd"/>
      <w:r w:rsidR="00B23B18">
        <w:rPr>
          <w:lang w:val="es-419"/>
        </w:rPr>
        <w:t> 1</w:t>
      </w:r>
      <w:r w:rsidRPr="00FA185E">
        <w:rPr>
          <w:lang w:val="es-419"/>
        </w:rPr>
        <w:t xml:space="preserve"> “Elaboración de las directrices de examen”</w:t>
      </w:r>
    </w:p>
    <w:p w:rsidR="00914865" w:rsidRPr="00FA185E" w:rsidRDefault="00914865" w:rsidP="00914865">
      <w:pPr>
        <w:pStyle w:val="ListParagraph"/>
        <w:numPr>
          <w:ilvl w:val="0"/>
          <w:numId w:val="16"/>
        </w:numPr>
        <w:tabs>
          <w:tab w:val="left" w:pos="1701"/>
        </w:tabs>
        <w:ind w:left="1134" w:hanging="567"/>
        <w:rPr>
          <w:lang w:val="es-419"/>
        </w:rPr>
      </w:pPr>
      <w:r w:rsidRPr="00FA185E">
        <w:rPr>
          <w:lang w:val="es-419"/>
        </w:rPr>
        <w:t>TGP/8/4</w:t>
      </w:r>
      <w:r w:rsidR="00B23B18">
        <w:rPr>
          <w:lang w:val="es-419"/>
        </w:rPr>
        <w:t> </w:t>
      </w:r>
      <w:proofErr w:type="spellStart"/>
      <w:r w:rsidR="00B23B18">
        <w:rPr>
          <w:lang w:val="es-419"/>
        </w:rPr>
        <w:t>Draft</w:t>
      </w:r>
      <w:proofErr w:type="spellEnd"/>
      <w:r w:rsidR="00B23B18">
        <w:rPr>
          <w:lang w:val="es-419"/>
        </w:rPr>
        <w:t> 1</w:t>
      </w:r>
      <w:r w:rsidRPr="00FA185E">
        <w:rPr>
          <w:lang w:val="es-419"/>
        </w:rPr>
        <w:t xml:space="preserve"> “Diseño de ensayos y técnicas utilizados en el examen de la distinción, la homogeneidad y la estabilidad”</w:t>
      </w:r>
    </w:p>
    <w:p w:rsidR="00914865" w:rsidRPr="00FA185E" w:rsidRDefault="00914865" w:rsidP="00914865">
      <w:pPr>
        <w:pStyle w:val="ListParagraph"/>
        <w:numPr>
          <w:ilvl w:val="0"/>
          <w:numId w:val="16"/>
        </w:numPr>
        <w:tabs>
          <w:tab w:val="left" w:pos="1701"/>
        </w:tabs>
        <w:ind w:left="1134" w:hanging="567"/>
        <w:rPr>
          <w:lang w:val="es-419"/>
        </w:rPr>
      </w:pPr>
      <w:r w:rsidRPr="00FA185E">
        <w:rPr>
          <w:lang w:val="es-419"/>
        </w:rPr>
        <w:t>TGP/10/2</w:t>
      </w:r>
      <w:r w:rsidR="00B23B18">
        <w:rPr>
          <w:lang w:val="es-419"/>
        </w:rPr>
        <w:t> </w:t>
      </w:r>
      <w:proofErr w:type="spellStart"/>
      <w:r w:rsidR="00B23B18">
        <w:rPr>
          <w:lang w:val="es-419"/>
        </w:rPr>
        <w:t>Draft</w:t>
      </w:r>
      <w:proofErr w:type="spellEnd"/>
      <w:r w:rsidR="00B23B18">
        <w:rPr>
          <w:lang w:val="es-419"/>
        </w:rPr>
        <w:t> 1</w:t>
      </w:r>
      <w:r w:rsidRPr="00FA185E">
        <w:rPr>
          <w:lang w:val="es-419"/>
        </w:rPr>
        <w:t xml:space="preserve"> “Examen de la homogeneidad”</w:t>
      </w:r>
    </w:p>
    <w:p w:rsidR="00914865" w:rsidRPr="00FA185E" w:rsidRDefault="00914865" w:rsidP="00914865">
      <w:pPr>
        <w:pStyle w:val="ListParagraph"/>
        <w:numPr>
          <w:ilvl w:val="0"/>
          <w:numId w:val="16"/>
        </w:numPr>
        <w:tabs>
          <w:tab w:val="left" w:pos="1701"/>
        </w:tabs>
        <w:ind w:left="1134" w:hanging="567"/>
        <w:rPr>
          <w:lang w:val="es-419"/>
        </w:rPr>
      </w:pPr>
      <w:r w:rsidRPr="00FA185E">
        <w:rPr>
          <w:lang w:val="es-419"/>
        </w:rPr>
        <w:t>TTGP/14/4</w:t>
      </w:r>
      <w:r w:rsidR="00B23B18">
        <w:rPr>
          <w:lang w:val="es-419"/>
        </w:rPr>
        <w:t> </w:t>
      </w:r>
      <w:proofErr w:type="spellStart"/>
      <w:r w:rsidR="00B23B18">
        <w:rPr>
          <w:lang w:val="es-419"/>
        </w:rPr>
        <w:t>Draft</w:t>
      </w:r>
      <w:proofErr w:type="spellEnd"/>
      <w:r w:rsidR="00B23B18">
        <w:rPr>
          <w:lang w:val="es-419"/>
        </w:rPr>
        <w:t> 1</w:t>
      </w:r>
      <w:r w:rsidRPr="00FA185E">
        <w:rPr>
          <w:lang w:val="es-419"/>
        </w:rPr>
        <w:t xml:space="preserve"> "Glosario de términos utilizados en los documentos de la UPOV"</w:t>
      </w:r>
    </w:p>
    <w:p w:rsidR="00914865" w:rsidRPr="00FA185E" w:rsidRDefault="00914865" w:rsidP="00914865">
      <w:pPr>
        <w:pStyle w:val="ListParagraph"/>
        <w:numPr>
          <w:ilvl w:val="0"/>
          <w:numId w:val="16"/>
        </w:numPr>
        <w:tabs>
          <w:tab w:val="left" w:pos="1701"/>
        </w:tabs>
        <w:ind w:left="1134" w:hanging="567"/>
        <w:rPr>
          <w:lang w:val="es-419"/>
        </w:rPr>
      </w:pPr>
      <w:r w:rsidRPr="00FA185E">
        <w:rPr>
          <w:lang w:val="es-419"/>
        </w:rPr>
        <w:t>TGP/15/2</w:t>
      </w:r>
      <w:r w:rsidR="00B23B18">
        <w:rPr>
          <w:lang w:val="es-419"/>
        </w:rPr>
        <w:t> </w:t>
      </w:r>
      <w:proofErr w:type="spellStart"/>
      <w:r w:rsidR="00B23B18">
        <w:rPr>
          <w:lang w:val="es-419"/>
        </w:rPr>
        <w:t>Draft</w:t>
      </w:r>
      <w:proofErr w:type="spellEnd"/>
      <w:r w:rsidR="00B23B18">
        <w:rPr>
          <w:lang w:val="es-419"/>
        </w:rPr>
        <w:t> 2</w:t>
      </w:r>
      <w:r w:rsidRPr="00FA185E">
        <w:rPr>
          <w:lang w:val="es-419"/>
        </w:rPr>
        <w:t xml:space="preserve"> “Orientación sobre el uso de marcadores bioquímicos y moleculares en el examen de la distinción, la homogeneidad y la estabilidad (DHE)”</w:t>
      </w:r>
    </w:p>
    <w:p w:rsidR="00914865" w:rsidRPr="00FA185E" w:rsidRDefault="00914865" w:rsidP="00914865">
      <w:pPr>
        <w:pStyle w:val="ListParagraph"/>
        <w:numPr>
          <w:ilvl w:val="0"/>
          <w:numId w:val="16"/>
        </w:numPr>
        <w:tabs>
          <w:tab w:val="left" w:pos="1701"/>
        </w:tabs>
        <w:ind w:left="1134" w:hanging="567"/>
        <w:rPr>
          <w:lang w:val="es-419"/>
        </w:rPr>
      </w:pPr>
      <w:r w:rsidRPr="00FA185E">
        <w:rPr>
          <w:lang w:val="es-419"/>
        </w:rPr>
        <w:t>TGP/0/11</w:t>
      </w:r>
      <w:r w:rsidR="00B23B18">
        <w:rPr>
          <w:lang w:val="es-419"/>
        </w:rPr>
        <w:t> </w:t>
      </w:r>
      <w:proofErr w:type="spellStart"/>
      <w:r w:rsidR="00B23B18">
        <w:rPr>
          <w:lang w:val="es-419"/>
        </w:rPr>
        <w:t>Draft</w:t>
      </w:r>
      <w:proofErr w:type="spellEnd"/>
      <w:r w:rsidR="00B23B18">
        <w:rPr>
          <w:lang w:val="es-419"/>
        </w:rPr>
        <w:t> 1</w:t>
      </w:r>
      <w:r w:rsidRPr="00FA185E">
        <w:rPr>
          <w:lang w:val="es-419"/>
        </w:rPr>
        <w:t xml:space="preserve"> “Lista de documentos TGP y fechas de última publicación”</w:t>
      </w:r>
    </w:p>
    <w:p w:rsidR="00914865" w:rsidRPr="00FA185E" w:rsidRDefault="00914865" w:rsidP="00914865">
      <w:pPr>
        <w:rPr>
          <w:lang w:val="es-419"/>
        </w:rPr>
      </w:pPr>
    </w:p>
    <w:p w:rsidR="00914865" w:rsidRPr="00FA185E" w:rsidRDefault="00914865" w:rsidP="00914865">
      <w:pPr>
        <w:rPr>
          <w:lang w:val="es-419"/>
        </w:rPr>
      </w:pPr>
      <w:r w:rsidRPr="00FA185E">
        <w:rPr>
          <w:lang w:val="es-419"/>
        </w:rPr>
        <w:fldChar w:fldCharType="begin"/>
      </w:r>
      <w:r w:rsidRPr="00FA185E">
        <w:rPr>
          <w:lang w:val="es-419"/>
        </w:rPr>
        <w:instrText xml:space="preserve"> AUTONUM  </w:instrText>
      </w:r>
      <w:r w:rsidRPr="00FA185E">
        <w:rPr>
          <w:lang w:val="es-419"/>
        </w:rPr>
        <w:fldChar w:fldCharType="end"/>
      </w:r>
      <w:r w:rsidRPr="00FA185E">
        <w:rPr>
          <w:lang w:val="es-419"/>
        </w:rPr>
        <w:tab/>
        <w:t>Se invita al CAJ a, teniendo en cuenta las conclusiones del Comité Técnico en su quincuagésima quinta sesión:</w:t>
      </w:r>
      <w:bookmarkStart w:id="5" w:name="_Ref13574983"/>
      <w:r w:rsidRPr="00FA185E">
        <w:rPr>
          <w:rStyle w:val="FootnoteReference"/>
          <w:lang w:val="es-419"/>
        </w:rPr>
        <w:footnoteReference w:id="2"/>
      </w:r>
      <w:bookmarkEnd w:id="5"/>
    </w:p>
    <w:p w:rsidR="00914865" w:rsidRPr="00FA185E" w:rsidRDefault="00914865" w:rsidP="00914865">
      <w:pPr>
        <w:rPr>
          <w:lang w:val="es-419"/>
        </w:rPr>
      </w:pPr>
    </w:p>
    <w:p w:rsidR="00914865" w:rsidRPr="00FA185E" w:rsidRDefault="00914865" w:rsidP="00B23B18">
      <w:pPr>
        <w:tabs>
          <w:tab w:val="left" w:pos="1134"/>
        </w:tabs>
        <w:spacing w:after="180"/>
        <w:ind w:firstLine="567"/>
        <w:rPr>
          <w:lang w:val="es-419"/>
        </w:rPr>
      </w:pPr>
      <w:r w:rsidRPr="00FA185E">
        <w:rPr>
          <w:lang w:val="es-419"/>
        </w:rPr>
        <w:t>a)</w:t>
      </w:r>
      <w:r w:rsidRPr="00FA185E">
        <w:rPr>
          <w:lang w:val="es-419"/>
        </w:rPr>
        <w:tab/>
        <w:t>examinar la revisión del documento</w:t>
      </w:r>
      <w:r w:rsidR="00B23B18">
        <w:rPr>
          <w:lang w:val="es-419"/>
        </w:rPr>
        <w:t xml:space="preserve"> </w:t>
      </w:r>
      <w:r w:rsidRPr="00FA185E">
        <w:rPr>
          <w:lang w:val="es-419"/>
        </w:rPr>
        <w:t>TGP/7 “Elaboración de las directrices de examen” (documento</w:t>
      </w:r>
      <w:r w:rsidR="00B23B18">
        <w:rPr>
          <w:lang w:val="es-419"/>
        </w:rPr>
        <w:t xml:space="preserve"> </w:t>
      </w:r>
      <w:r w:rsidRPr="00FA185E">
        <w:rPr>
          <w:lang w:val="es-419"/>
        </w:rPr>
        <w:t>TGP/7/7), sobre la base del documento</w:t>
      </w:r>
      <w:r w:rsidR="00B23B18">
        <w:rPr>
          <w:lang w:val="es-419"/>
        </w:rPr>
        <w:t xml:space="preserve"> </w:t>
      </w:r>
      <w:r w:rsidRPr="00FA185E">
        <w:rPr>
          <w:lang w:val="es-419"/>
        </w:rPr>
        <w:t>TGP/7/7</w:t>
      </w:r>
      <w:r w:rsidR="00B23B18">
        <w:rPr>
          <w:lang w:val="es-419"/>
        </w:rPr>
        <w:t> </w:t>
      </w:r>
      <w:proofErr w:type="spellStart"/>
      <w:r w:rsidR="00B23B18">
        <w:rPr>
          <w:lang w:val="es-419"/>
        </w:rPr>
        <w:t>Draft</w:t>
      </w:r>
      <w:proofErr w:type="spellEnd"/>
      <w:r w:rsidR="00B23B18">
        <w:rPr>
          <w:lang w:val="es-419"/>
        </w:rPr>
        <w:t> 1</w:t>
      </w:r>
      <w:r w:rsidRPr="00FA185E">
        <w:rPr>
          <w:lang w:val="es-419"/>
        </w:rPr>
        <w:t>;</w:t>
      </w:r>
    </w:p>
    <w:p w:rsidR="00914865" w:rsidRPr="00FA185E" w:rsidRDefault="00914865" w:rsidP="00B23B18">
      <w:pPr>
        <w:tabs>
          <w:tab w:val="left" w:pos="1134"/>
        </w:tabs>
        <w:spacing w:after="180"/>
        <w:ind w:firstLine="567"/>
        <w:rPr>
          <w:lang w:val="es-419"/>
        </w:rPr>
      </w:pPr>
      <w:r w:rsidRPr="00FA185E">
        <w:rPr>
          <w:lang w:val="es-419"/>
        </w:rPr>
        <w:t>b)</w:t>
      </w:r>
      <w:r w:rsidRPr="00FA185E">
        <w:rPr>
          <w:lang w:val="es-419"/>
        </w:rPr>
        <w:tab/>
        <w:t>examinar la revisión del documento</w:t>
      </w:r>
      <w:r w:rsidR="00B23B18">
        <w:rPr>
          <w:lang w:val="es-419"/>
        </w:rPr>
        <w:t xml:space="preserve"> </w:t>
      </w:r>
      <w:r w:rsidRPr="00FA185E">
        <w:rPr>
          <w:lang w:val="es-419"/>
        </w:rPr>
        <w:t>TGP/8 “Diseño de ensayos y técnicas utilizados en el examen de la distinción, la homogeneidad y la estabilidad” (documento</w:t>
      </w:r>
      <w:r w:rsidR="00B23B18">
        <w:rPr>
          <w:lang w:val="es-419"/>
        </w:rPr>
        <w:t xml:space="preserve"> </w:t>
      </w:r>
      <w:r w:rsidRPr="00FA185E">
        <w:rPr>
          <w:lang w:val="es-419"/>
        </w:rPr>
        <w:t>TGP/8/3), sobre la base del documento</w:t>
      </w:r>
      <w:r w:rsidR="00B23B18">
        <w:rPr>
          <w:lang w:val="es-419"/>
        </w:rPr>
        <w:t xml:space="preserve"> </w:t>
      </w:r>
      <w:r w:rsidRPr="00FA185E">
        <w:rPr>
          <w:lang w:val="es-419"/>
        </w:rPr>
        <w:t>TGP/8/4</w:t>
      </w:r>
      <w:r w:rsidR="00B23B18">
        <w:rPr>
          <w:lang w:val="es-419"/>
        </w:rPr>
        <w:t> </w:t>
      </w:r>
      <w:proofErr w:type="spellStart"/>
      <w:r w:rsidR="00B23B18">
        <w:rPr>
          <w:lang w:val="es-419"/>
        </w:rPr>
        <w:t>Draft</w:t>
      </w:r>
      <w:proofErr w:type="spellEnd"/>
      <w:r w:rsidR="00B23B18">
        <w:rPr>
          <w:lang w:val="es-419"/>
        </w:rPr>
        <w:t> 1</w:t>
      </w:r>
      <w:r w:rsidRPr="00FA185E">
        <w:rPr>
          <w:lang w:val="es-419"/>
        </w:rPr>
        <w:t>;</w:t>
      </w:r>
    </w:p>
    <w:p w:rsidR="00914865" w:rsidRPr="00FA185E" w:rsidRDefault="00914865" w:rsidP="00B23B18">
      <w:pPr>
        <w:tabs>
          <w:tab w:val="left" w:pos="1134"/>
        </w:tabs>
        <w:spacing w:after="180"/>
        <w:ind w:firstLine="567"/>
        <w:rPr>
          <w:lang w:val="es-419"/>
        </w:rPr>
      </w:pPr>
      <w:r w:rsidRPr="00FA185E">
        <w:rPr>
          <w:lang w:val="es-419"/>
        </w:rPr>
        <w:t>c)</w:t>
      </w:r>
      <w:r w:rsidRPr="00FA185E">
        <w:rPr>
          <w:lang w:val="es-419"/>
        </w:rPr>
        <w:tab/>
        <w:t>examinar la revisión del documento</w:t>
      </w:r>
      <w:r w:rsidR="00B23B18">
        <w:rPr>
          <w:lang w:val="es-419"/>
        </w:rPr>
        <w:t xml:space="preserve"> </w:t>
      </w:r>
      <w:r w:rsidRPr="00FA185E">
        <w:rPr>
          <w:lang w:val="es-419"/>
        </w:rPr>
        <w:t>TGP/10 “Examen de la homogeneidad” (documento</w:t>
      </w:r>
      <w:r w:rsidR="00B23B18">
        <w:rPr>
          <w:lang w:val="es-419"/>
        </w:rPr>
        <w:t xml:space="preserve"> </w:t>
      </w:r>
      <w:r w:rsidRPr="00FA185E">
        <w:rPr>
          <w:lang w:val="es-419"/>
        </w:rPr>
        <w:t>TGP/10/1), sobre la base del documento</w:t>
      </w:r>
      <w:r w:rsidR="00B23B18">
        <w:rPr>
          <w:lang w:val="es-419"/>
        </w:rPr>
        <w:t xml:space="preserve"> </w:t>
      </w:r>
      <w:r w:rsidRPr="00FA185E">
        <w:rPr>
          <w:lang w:val="es-419"/>
        </w:rPr>
        <w:t>TGP/10/2</w:t>
      </w:r>
      <w:r w:rsidR="00B23B18">
        <w:rPr>
          <w:lang w:val="es-419"/>
        </w:rPr>
        <w:t> </w:t>
      </w:r>
      <w:proofErr w:type="spellStart"/>
      <w:r w:rsidR="00B23B18">
        <w:rPr>
          <w:lang w:val="es-419"/>
        </w:rPr>
        <w:t>Draft</w:t>
      </w:r>
      <w:proofErr w:type="spellEnd"/>
      <w:r w:rsidR="00B23B18">
        <w:rPr>
          <w:lang w:val="es-419"/>
        </w:rPr>
        <w:t> 1</w:t>
      </w:r>
      <w:r w:rsidRPr="00FA185E">
        <w:rPr>
          <w:lang w:val="es-419"/>
        </w:rPr>
        <w:t>;</w:t>
      </w:r>
    </w:p>
    <w:p w:rsidR="00914865" w:rsidRPr="00FA185E" w:rsidRDefault="00914865" w:rsidP="00B23B18">
      <w:pPr>
        <w:tabs>
          <w:tab w:val="left" w:pos="1134"/>
        </w:tabs>
        <w:spacing w:after="180"/>
        <w:ind w:firstLine="567"/>
        <w:rPr>
          <w:lang w:val="es-419"/>
        </w:rPr>
      </w:pPr>
      <w:r w:rsidRPr="00FA185E">
        <w:rPr>
          <w:lang w:val="es-419"/>
        </w:rPr>
        <w:t>d)</w:t>
      </w:r>
      <w:r w:rsidRPr="00FA185E">
        <w:rPr>
          <w:lang w:val="es-419"/>
        </w:rPr>
        <w:tab/>
        <w:t>examinar la revisión del documento</w:t>
      </w:r>
      <w:r w:rsidR="00B23B18">
        <w:rPr>
          <w:lang w:val="es-419"/>
        </w:rPr>
        <w:t xml:space="preserve"> </w:t>
      </w:r>
      <w:r w:rsidRPr="00FA185E">
        <w:rPr>
          <w:lang w:val="es-419"/>
        </w:rPr>
        <w:t>TGP/14</w:t>
      </w:r>
      <w:r w:rsidR="00B23B18">
        <w:rPr>
          <w:lang w:val="es-419"/>
        </w:rPr>
        <w:t xml:space="preserve"> </w:t>
      </w:r>
      <w:r w:rsidRPr="00FA185E">
        <w:rPr>
          <w:lang w:val="es-419"/>
        </w:rPr>
        <w:t>“</w:t>
      </w:r>
      <w:r w:rsidR="00B23B18" w:rsidRPr="00B41060">
        <w:rPr>
          <w:lang w:val="es-419"/>
        </w:rPr>
        <w:t>Glosario de términos utilizados en los documentos de la UPOV (revisión)</w:t>
      </w:r>
      <w:r w:rsidRPr="00FA185E">
        <w:rPr>
          <w:lang w:val="es-419"/>
        </w:rPr>
        <w:t>”(documento</w:t>
      </w:r>
      <w:r w:rsidR="00B23B18">
        <w:rPr>
          <w:lang w:val="es-419"/>
        </w:rPr>
        <w:t xml:space="preserve"> </w:t>
      </w:r>
      <w:r w:rsidRPr="00FA185E">
        <w:rPr>
          <w:lang w:val="es-419"/>
        </w:rPr>
        <w:t>TGP/14/3), sobre la base del documento</w:t>
      </w:r>
      <w:r w:rsidR="00B23B18">
        <w:rPr>
          <w:lang w:val="es-419"/>
        </w:rPr>
        <w:t xml:space="preserve"> </w:t>
      </w:r>
      <w:r w:rsidRPr="00FA185E">
        <w:rPr>
          <w:lang w:val="es-419"/>
        </w:rPr>
        <w:t>TGP/14/4</w:t>
      </w:r>
      <w:r w:rsidR="00B23B18">
        <w:rPr>
          <w:lang w:val="es-419"/>
        </w:rPr>
        <w:t> </w:t>
      </w:r>
      <w:proofErr w:type="spellStart"/>
      <w:r w:rsidR="00B23B18">
        <w:rPr>
          <w:lang w:val="es-419"/>
        </w:rPr>
        <w:t>Draft</w:t>
      </w:r>
      <w:proofErr w:type="spellEnd"/>
      <w:r w:rsidR="00B23B18">
        <w:rPr>
          <w:lang w:val="es-419"/>
        </w:rPr>
        <w:t> 1</w:t>
      </w:r>
      <w:r w:rsidRPr="00FA185E">
        <w:rPr>
          <w:lang w:val="es-419"/>
        </w:rPr>
        <w:t>;</w:t>
      </w:r>
    </w:p>
    <w:p w:rsidR="00914865" w:rsidRPr="00FA185E" w:rsidRDefault="00914865" w:rsidP="00B23B18">
      <w:pPr>
        <w:tabs>
          <w:tab w:val="left" w:pos="1134"/>
        </w:tabs>
        <w:spacing w:after="180"/>
        <w:ind w:firstLine="567"/>
        <w:rPr>
          <w:lang w:val="es-419"/>
        </w:rPr>
      </w:pPr>
      <w:r w:rsidRPr="00FA185E">
        <w:rPr>
          <w:lang w:val="es-419"/>
        </w:rPr>
        <w:t>e)</w:t>
      </w:r>
      <w:r w:rsidRPr="00FA185E">
        <w:rPr>
          <w:lang w:val="es-419"/>
        </w:rPr>
        <w:tab/>
        <w:t>examinar la revisión el documento</w:t>
      </w:r>
      <w:r w:rsidR="00B23B18">
        <w:rPr>
          <w:lang w:val="es-419"/>
        </w:rPr>
        <w:t xml:space="preserve"> </w:t>
      </w:r>
      <w:r w:rsidRPr="00FA185E">
        <w:rPr>
          <w:lang w:val="es-419"/>
        </w:rPr>
        <w:t xml:space="preserve">TGP/15 </w:t>
      </w:r>
      <w:r w:rsidRPr="00FA185E">
        <w:rPr>
          <w:caps/>
          <w:lang w:val="es-419"/>
        </w:rPr>
        <w:t>“</w:t>
      </w:r>
      <w:r w:rsidRPr="00FA185E">
        <w:rPr>
          <w:lang w:val="es-419"/>
        </w:rPr>
        <w:t>Orientación sobre el uso de marcadores bioquímicos y moleculares en el examen de la distinción, la homogeneidad y la estabilidad (DHE)” (documento</w:t>
      </w:r>
      <w:r w:rsidR="00B23B18">
        <w:rPr>
          <w:lang w:val="es-419"/>
        </w:rPr>
        <w:t xml:space="preserve"> </w:t>
      </w:r>
      <w:r w:rsidRPr="00FA185E">
        <w:rPr>
          <w:lang w:val="es-419"/>
        </w:rPr>
        <w:t>TGP/15/1) sobre la base del documento</w:t>
      </w:r>
      <w:r w:rsidR="00B23B18">
        <w:rPr>
          <w:lang w:val="es-419"/>
        </w:rPr>
        <w:t xml:space="preserve"> </w:t>
      </w:r>
      <w:r w:rsidRPr="00FA185E">
        <w:rPr>
          <w:lang w:val="es-419"/>
        </w:rPr>
        <w:t>TGP/15/2</w:t>
      </w:r>
      <w:r w:rsidR="00B23B18">
        <w:rPr>
          <w:lang w:val="es-419"/>
        </w:rPr>
        <w:t> </w:t>
      </w:r>
      <w:proofErr w:type="spellStart"/>
      <w:r w:rsidR="00B23B18">
        <w:rPr>
          <w:lang w:val="es-419"/>
        </w:rPr>
        <w:t>Draft</w:t>
      </w:r>
      <w:proofErr w:type="spellEnd"/>
      <w:r w:rsidR="00B23B18">
        <w:rPr>
          <w:lang w:val="es-419"/>
        </w:rPr>
        <w:t> 2</w:t>
      </w:r>
      <w:r w:rsidRPr="00FA185E">
        <w:rPr>
          <w:lang w:val="es-419"/>
        </w:rPr>
        <w:t>;</w:t>
      </w:r>
    </w:p>
    <w:p w:rsidR="00914865" w:rsidRPr="00FA185E" w:rsidRDefault="00914865" w:rsidP="00B23B18">
      <w:pPr>
        <w:tabs>
          <w:tab w:val="left" w:pos="1134"/>
        </w:tabs>
        <w:spacing w:after="180"/>
        <w:ind w:firstLine="567"/>
        <w:rPr>
          <w:rFonts w:cs="Arial"/>
          <w:lang w:val="es-419"/>
        </w:rPr>
      </w:pPr>
      <w:r w:rsidRPr="00FA185E">
        <w:rPr>
          <w:lang w:val="es-419"/>
        </w:rPr>
        <w:t>f)</w:t>
      </w:r>
      <w:r w:rsidRPr="00FA185E">
        <w:rPr>
          <w:lang w:val="es-419"/>
        </w:rPr>
        <w:tab/>
        <w:t>tomar nota de que, junto con la aprobación de los documentos</w:t>
      </w:r>
      <w:r w:rsidR="00B23B18">
        <w:rPr>
          <w:lang w:val="es-419"/>
        </w:rPr>
        <w:t xml:space="preserve"> </w:t>
      </w:r>
      <w:r w:rsidRPr="00FA185E">
        <w:rPr>
          <w:lang w:val="es-419"/>
        </w:rPr>
        <w:t>TGP revisados en la quincuagésima</w:t>
      </w:r>
      <w:r w:rsidR="00B23B18">
        <w:rPr>
          <w:lang w:val="es-419"/>
        </w:rPr>
        <w:t xml:space="preserve"> </w:t>
      </w:r>
      <w:r w:rsidRPr="00FA185E">
        <w:rPr>
          <w:lang w:val="es-419"/>
        </w:rPr>
        <w:t>tercera sesión ordinaria del Consejo, se propondrá a este que apruebe la revisión del documento</w:t>
      </w:r>
      <w:r w:rsidR="00B23B18">
        <w:rPr>
          <w:lang w:val="es-419"/>
        </w:rPr>
        <w:t xml:space="preserve"> </w:t>
      </w:r>
      <w:r w:rsidRPr="00FA185E">
        <w:rPr>
          <w:lang w:val="es-419"/>
        </w:rPr>
        <w:t>TGP/0 “Lista de documentos TGP y fechas de última publicación” (documento</w:t>
      </w:r>
      <w:r w:rsidR="00B23B18">
        <w:rPr>
          <w:lang w:val="es-419"/>
        </w:rPr>
        <w:t xml:space="preserve"> </w:t>
      </w:r>
      <w:r w:rsidRPr="00FA185E">
        <w:rPr>
          <w:lang w:val="es-419"/>
        </w:rPr>
        <w:t>TGP/0/10) sobre la base del documento</w:t>
      </w:r>
      <w:r w:rsidR="00B23B18">
        <w:rPr>
          <w:lang w:val="es-419"/>
        </w:rPr>
        <w:t xml:space="preserve"> </w:t>
      </w:r>
      <w:r w:rsidRPr="00FA185E">
        <w:rPr>
          <w:lang w:val="es-419"/>
        </w:rPr>
        <w:t>TGP/0/11</w:t>
      </w:r>
      <w:r w:rsidR="00B23B18">
        <w:rPr>
          <w:lang w:val="es-419"/>
        </w:rPr>
        <w:t> </w:t>
      </w:r>
      <w:proofErr w:type="spellStart"/>
      <w:r w:rsidR="00B23B18">
        <w:rPr>
          <w:lang w:val="es-419"/>
        </w:rPr>
        <w:t>Draft</w:t>
      </w:r>
      <w:proofErr w:type="spellEnd"/>
      <w:r w:rsidR="00B23B18">
        <w:rPr>
          <w:lang w:val="es-419"/>
        </w:rPr>
        <w:t> 1</w:t>
      </w:r>
      <w:r w:rsidRPr="00FA185E">
        <w:rPr>
          <w:lang w:val="es-419"/>
        </w:rPr>
        <w:t xml:space="preserve">; y </w:t>
      </w:r>
    </w:p>
    <w:p w:rsidR="00914865" w:rsidRPr="00FA185E" w:rsidRDefault="00914865" w:rsidP="00914865">
      <w:pPr>
        <w:tabs>
          <w:tab w:val="left" w:pos="1134"/>
        </w:tabs>
        <w:ind w:firstLine="567"/>
        <w:rPr>
          <w:lang w:val="es-419"/>
        </w:rPr>
      </w:pPr>
      <w:r w:rsidRPr="00FA185E">
        <w:rPr>
          <w:lang w:val="es-419"/>
        </w:rPr>
        <w:t>g)</w:t>
      </w:r>
      <w:r w:rsidRPr="00FA185E">
        <w:rPr>
          <w:lang w:val="es-419"/>
        </w:rPr>
        <w:tab/>
        <w:t>examinar el programa para la elaboración de los documentos TGP expuesto en los párrafos 38 y</w:t>
      </w:r>
      <w:r w:rsidR="00B23B18">
        <w:rPr>
          <w:lang w:val="es-419"/>
        </w:rPr>
        <w:t xml:space="preserve"> </w:t>
      </w:r>
      <w:r w:rsidRPr="00FA185E">
        <w:rPr>
          <w:lang w:val="es-419"/>
        </w:rPr>
        <w:t>39 del presente documento.</w:t>
      </w:r>
    </w:p>
    <w:p w:rsidR="00914865" w:rsidRPr="00FA185E" w:rsidRDefault="00914865" w:rsidP="00914865">
      <w:pPr>
        <w:tabs>
          <w:tab w:val="left" w:pos="1134"/>
        </w:tabs>
        <w:ind w:firstLine="567"/>
        <w:rPr>
          <w:lang w:val="es-419"/>
        </w:rPr>
      </w:pPr>
    </w:p>
    <w:p w:rsidR="00914865" w:rsidRPr="00FA185E" w:rsidRDefault="00914865" w:rsidP="00B23B18">
      <w:pPr>
        <w:keepNext/>
        <w:rPr>
          <w:rFonts w:cs="Arial"/>
          <w:lang w:val="es-419"/>
        </w:rPr>
      </w:pPr>
      <w:r w:rsidRPr="00FA185E">
        <w:rPr>
          <w:rFonts w:cs="Arial"/>
          <w:lang w:val="es-419"/>
        </w:rPr>
        <w:lastRenderedPageBreak/>
        <w:fldChar w:fldCharType="begin"/>
      </w:r>
      <w:r w:rsidRPr="00FA185E">
        <w:rPr>
          <w:rFonts w:cs="Arial"/>
          <w:lang w:val="es-419"/>
        </w:rPr>
        <w:instrText xml:space="preserve"> AUTONUM  </w:instrText>
      </w:r>
      <w:r w:rsidRPr="00FA185E">
        <w:rPr>
          <w:rFonts w:cs="Arial"/>
          <w:lang w:val="es-419"/>
        </w:rPr>
        <w:fldChar w:fldCharType="end"/>
      </w:r>
      <w:r w:rsidRPr="00FA185E">
        <w:rPr>
          <w:lang w:val="es-419"/>
        </w:rPr>
        <w:tab/>
        <w:t>El presente documento se estructura del modo siguiente:</w:t>
      </w:r>
    </w:p>
    <w:p w:rsidR="00914865" w:rsidRPr="00FA185E" w:rsidRDefault="00914865" w:rsidP="00B23B18">
      <w:pPr>
        <w:keepNext/>
        <w:rPr>
          <w:rFonts w:cs="Arial"/>
          <w:lang w:val="es-419"/>
        </w:rPr>
      </w:pPr>
    </w:p>
    <w:p w:rsidR="005D6448" w:rsidRPr="005D6448" w:rsidRDefault="00914865" w:rsidP="005D6448">
      <w:pPr>
        <w:pStyle w:val="TOC1"/>
        <w:rPr>
          <w:rFonts w:asciiTheme="minorHAnsi" w:eastAsiaTheme="minorEastAsia" w:hAnsiTheme="minorHAnsi" w:cstheme="minorBidi"/>
          <w:sz w:val="20"/>
          <w:szCs w:val="22"/>
          <w:lang w:val="en-US" w:eastAsia="en-US" w:bidi="ar-SA"/>
        </w:rPr>
      </w:pPr>
      <w:r w:rsidRPr="00FA185E">
        <w:rPr>
          <w:rFonts w:cs="Arial"/>
          <w:bCs/>
          <w:noProof w:val="0"/>
          <w:snapToGrid/>
        </w:rPr>
        <w:fldChar w:fldCharType="begin"/>
      </w:r>
      <w:r w:rsidRPr="00FA185E">
        <w:rPr>
          <w:rFonts w:cs="Arial"/>
          <w:bCs/>
        </w:rPr>
        <w:instrText xml:space="preserve"> TOC \o "1-4" \h \z \u </w:instrText>
      </w:r>
      <w:r w:rsidRPr="00FA185E">
        <w:rPr>
          <w:rFonts w:cs="Arial"/>
          <w:bCs/>
          <w:noProof w:val="0"/>
          <w:snapToGrid/>
        </w:rPr>
        <w:fldChar w:fldCharType="separate"/>
      </w:r>
      <w:hyperlink w:anchor="_Toc15650740" w:history="1">
        <w:r w:rsidR="005D6448" w:rsidRPr="005D6448">
          <w:rPr>
            <w:rStyle w:val="Hyperlink"/>
          </w:rPr>
          <w:t>RESUMEN</w:t>
        </w:r>
        <w:r w:rsidR="005D6448" w:rsidRPr="005D6448">
          <w:rPr>
            <w:webHidden/>
          </w:rPr>
          <w:tab/>
        </w:r>
        <w:r w:rsidR="005D6448" w:rsidRPr="005D6448">
          <w:rPr>
            <w:webHidden/>
          </w:rPr>
          <w:fldChar w:fldCharType="begin"/>
        </w:r>
        <w:r w:rsidR="005D6448" w:rsidRPr="005D6448">
          <w:rPr>
            <w:webHidden/>
          </w:rPr>
          <w:instrText xml:space="preserve"> PAGEREF _Toc15650740 \h </w:instrText>
        </w:r>
        <w:r w:rsidR="005D6448" w:rsidRPr="005D6448">
          <w:rPr>
            <w:webHidden/>
          </w:rPr>
        </w:r>
        <w:r w:rsidR="005D6448" w:rsidRPr="005D6448">
          <w:rPr>
            <w:webHidden/>
          </w:rPr>
          <w:fldChar w:fldCharType="separate"/>
        </w:r>
        <w:r w:rsidR="005D6448" w:rsidRPr="005D6448">
          <w:rPr>
            <w:webHidden/>
          </w:rPr>
          <w:t>1</w:t>
        </w:r>
        <w:r w:rsidR="005D6448" w:rsidRPr="005D6448">
          <w:rPr>
            <w:webHidden/>
          </w:rPr>
          <w:fldChar w:fldCharType="end"/>
        </w:r>
      </w:hyperlink>
    </w:p>
    <w:p w:rsidR="005D6448" w:rsidRDefault="005D6448" w:rsidP="005D6448">
      <w:pPr>
        <w:pStyle w:val="TOC1"/>
        <w:rPr>
          <w:rFonts w:asciiTheme="minorHAnsi" w:eastAsiaTheme="minorEastAsia" w:hAnsiTheme="minorHAnsi" w:cstheme="minorBidi"/>
          <w:sz w:val="22"/>
          <w:szCs w:val="22"/>
          <w:lang w:val="en-US" w:eastAsia="en-US" w:bidi="ar-SA"/>
        </w:rPr>
      </w:pPr>
      <w:hyperlink w:anchor="_Toc15650741" w:history="1">
        <w:r w:rsidRPr="00D91A40">
          <w:rPr>
            <w:rStyle w:val="Hyperlink"/>
          </w:rPr>
          <w:t>ANTECEDENTES</w:t>
        </w:r>
        <w:r>
          <w:rPr>
            <w:webHidden/>
          </w:rPr>
          <w:tab/>
        </w:r>
        <w:r>
          <w:rPr>
            <w:webHidden/>
          </w:rPr>
          <w:fldChar w:fldCharType="begin"/>
        </w:r>
        <w:r>
          <w:rPr>
            <w:webHidden/>
          </w:rPr>
          <w:instrText xml:space="preserve"> PAGEREF _Toc15650741 \h </w:instrText>
        </w:r>
        <w:r>
          <w:rPr>
            <w:webHidden/>
          </w:rPr>
        </w:r>
        <w:r>
          <w:rPr>
            <w:webHidden/>
          </w:rPr>
          <w:fldChar w:fldCharType="separate"/>
        </w:r>
        <w:r>
          <w:rPr>
            <w:webHidden/>
          </w:rPr>
          <w:t>2</w:t>
        </w:r>
        <w:r>
          <w:rPr>
            <w:webHidden/>
          </w:rPr>
          <w:fldChar w:fldCharType="end"/>
        </w:r>
      </w:hyperlink>
    </w:p>
    <w:p w:rsidR="005D6448" w:rsidRDefault="005D6448" w:rsidP="005D6448">
      <w:pPr>
        <w:pStyle w:val="TOC1"/>
        <w:rPr>
          <w:rFonts w:asciiTheme="minorHAnsi" w:eastAsiaTheme="minorEastAsia" w:hAnsiTheme="minorHAnsi" w:cstheme="minorBidi"/>
          <w:sz w:val="22"/>
          <w:szCs w:val="22"/>
          <w:lang w:val="en-US" w:eastAsia="en-US" w:bidi="ar-SA"/>
        </w:rPr>
      </w:pPr>
      <w:hyperlink w:anchor="_Toc15650742" w:history="1">
        <w:r w:rsidRPr="00D91A40">
          <w:rPr>
            <w:rStyle w:val="Hyperlink"/>
          </w:rPr>
          <w:t>DOCUMENTOS QUE DEBERÁ EXAMINAR EL CAJ</w:t>
        </w:r>
        <w:r>
          <w:rPr>
            <w:webHidden/>
          </w:rPr>
          <w:tab/>
        </w:r>
        <w:r>
          <w:rPr>
            <w:webHidden/>
          </w:rPr>
          <w:fldChar w:fldCharType="begin"/>
        </w:r>
        <w:r>
          <w:rPr>
            <w:webHidden/>
          </w:rPr>
          <w:instrText xml:space="preserve"> PAGEREF _Toc15650742 \h </w:instrText>
        </w:r>
        <w:r>
          <w:rPr>
            <w:webHidden/>
          </w:rPr>
        </w:r>
        <w:r>
          <w:rPr>
            <w:webHidden/>
          </w:rPr>
          <w:fldChar w:fldCharType="separate"/>
        </w:r>
        <w:r>
          <w:rPr>
            <w:webHidden/>
          </w:rPr>
          <w:t>3</w:t>
        </w:r>
        <w:r>
          <w:rPr>
            <w:webHidden/>
          </w:rPr>
          <w:fldChar w:fldCharType="end"/>
        </w:r>
      </w:hyperlink>
    </w:p>
    <w:p w:rsidR="005D6448" w:rsidRPr="005D6448" w:rsidRDefault="005D6448" w:rsidP="005D6448">
      <w:pPr>
        <w:pStyle w:val="TOC2"/>
        <w:rPr>
          <w:rFonts w:asciiTheme="minorHAnsi" w:eastAsiaTheme="minorEastAsia" w:hAnsiTheme="minorHAnsi" w:cstheme="minorBidi"/>
          <w:smallCaps/>
          <w:sz w:val="20"/>
          <w:szCs w:val="22"/>
          <w:lang w:val="en-US" w:eastAsia="en-US" w:bidi="ar-SA"/>
        </w:rPr>
      </w:pPr>
      <w:hyperlink w:anchor="_Toc15650743" w:history="1">
        <w:r w:rsidRPr="005D6448">
          <w:rPr>
            <w:rStyle w:val="Hyperlink"/>
          </w:rPr>
          <w:t>Documento TGP/7: Elaboración de las directrices de examen (revisión) (documento TGP/7/7 Draft 1)</w:t>
        </w:r>
        <w:r w:rsidRPr="005D6448">
          <w:rPr>
            <w:webHidden/>
          </w:rPr>
          <w:tab/>
        </w:r>
        <w:r w:rsidRPr="005D6448">
          <w:rPr>
            <w:webHidden/>
          </w:rPr>
          <w:fldChar w:fldCharType="begin"/>
        </w:r>
        <w:r w:rsidRPr="005D6448">
          <w:rPr>
            <w:webHidden/>
          </w:rPr>
          <w:instrText xml:space="preserve"> PAGEREF _Toc15650743 \h </w:instrText>
        </w:r>
        <w:r w:rsidRPr="005D6448">
          <w:rPr>
            <w:webHidden/>
          </w:rPr>
        </w:r>
        <w:r w:rsidRPr="005D6448">
          <w:rPr>
            <w:webHidden/>
          </w:rPr>
          <w:fldChar w:fldCharType="separate"/>
        </w:r>
        <w:r w:rsidRPr="005D6448">
          <w:rPr>
            <w:webHidden/>
          </w:rPr>
          <w:t>3</w:t>
        </w:r>
        <w:r w:rsidRPr="005D6448">
          <w:rPr>
            <w:webHidden/>
          </w:rPr>
          <w:fldChar w:fldCharType="end"/>
        </w:r>
      </w:hyperlink>
    </w:p>
    <w:p w:rsidR="005D6448" w:rsidRDefault="005D6448" w:rsidP="005D6448">
      <w:pPr>
        <w:pStyle w:val="TOC2"/>
        <w:rPr>
          <w:rFonts w:asciiTheme="minorHAnsi" w:eastAsiaTheme="minorEastAsia" w:hAnsiTheme="minorHAnsi" w:cstheme="minorBidi"/>
          <w:smallCaps/>
          <w:sz w:val="22"/>
          <w:szCs w:val="22"/>
          <w:lang w:val="en-US" w:eastAsia="en-US" w:bidi="ar-SA"/>
        </w:rPr>
      </w:pPr>
      <w:hyperlink w:anchor="_Toc15650744" w:history="1">
        <w:r w:rsidRPr="00D91A40">
          <w:rPr>
            <w:rStyle w:val="Hyperlink"/>
          </w:rPr>
          <w:t>Documento TGP/8: Diseño de ensayos y técnicas utilizados en el examen de la distinción, la homogeneidad y la estabilidad (revisión) (documento TGP/8/4 Draft 1)</w:t>
        </w:r>
        <w:r>
          <w:rPr>
            <w:webHidden/>
          </w:rPr>
          <w:tab/>
        </w:r>
        <w:r>
          <w:rPr>
            <w:webHidden/>
          </w:rPr>
          <w:fldChar w:fldCharType="begin"/>
        </w:r>
        <w:r>
          <w:rPr>
            <w:webHidden/>
          </w:rPr>
          <w:instrText xml:space="preserve"> PAGEREF _Toc15650744 \h </w:instrText>
        </w:r>
        <w:r>
          <w:rPr>
            <w:webHidden/>
          </w:rPr>
        </w:r>
        <w:r>
          <w:rPr>
            <w:webHidden/>
          </w:rPr>
          <w:fldChar w:fldCharType="separate"/>
        </w:r>
        <w:r>
          <w:rPr>
            <w:webHidden/>
          </w:rPr>
          <w:t>3</w:t>
        </w:r>
        <w:r>
          <w:rPr>
            <w:webHidden/>
          </w:rPr>
          <w:fldChar w:fldCharType="end"/>
        </w:r>
      </w:hyperlink>
    </w:p>
    <w:p w:rsidR="005D6448" w:rsidRDefault="005D6448" w:rsidP="005D6448">
      <w:pPr>
        <w:pStyle w:val="TOC2"/>
        <w:rPr>
          <w:rFonts w:asciiTheme="minorHAnsi" w:eastAsiaTheme="minorEastAsia" w:hAnsiTheme="minorHAnsi" w:cstheme="minorBidi"/>
          <w:smallCaps/>
          <w:sz w:val="22"/>
          <w:szCs w:val="22"/>
          <w:lang w:val="en-US" w:eastAsia="en-US" w:bidi="ar-SA"/>
        </w:rPr>
      </w:pPr>
      <w:hyperlink w:anchor="_Toc15650745" w:history="1">
        <w:r w:rsidRPr="00D91A40">
          <w:rPr>
            <w:rStyle w:val="Hyperlink"/>
          </w:rPr>
          <w:t>Documento TGP/10: Examen de la homogeneidad (revisión) (documento TGP/10/2 Draft 1)</w:t>
        </w:r>
        <w:r>
          <w:rPr>
            <w:webHidden/>
          </w:rPr>
          <w:tab/>
        </w:r>
        <w:r>
          <w:rPr>
            <w:webHidden/>
          </w:rPr>
          <w:fldChar w:fldCharType="begin"/>
        </w:r>
        <w:r>
          <w:rPr>
            <w:webHidden/>
          </w:rPr>
          <w:instrText xml:space="preserve"> PAGEREF _Toc15650745 \h </w:instrText>
        </w:r>
        <w:r>
          <w:rPr>
            <w:webHidden/>
          </w:rPr>
        </w:r>
        <w:r>
          <w:rPr>
            <w:webHidden/>
          </w:rPr>
          <w:fldChar w:fldCharType="separate"/>
        </w:r>
        <w:r>
          <w:rPr>
            <w:webHidden/>
          </w:rPr>
          <w:t>4</w:t>
        </w:r>
        <w:r>
          <w:rPr>
            <w:webHidden/>
          </w:rPr>
          <w:fldChar w:fldCharType="end"/>
        </w:r>
      </w:hyperlink>
    </w:p>
    <w:p w:rsidR="005D6448" w:rsidRDefault="005D6448" w:rsidP="005D6448">
      <w:pPr>
        <w:pStyle w:val="TOC2"/>
        <w:rPr>
          <w:rFonts w:asciiTheme="minorHAnsi" w:eastAsiaTheme="minorEastAsia" w:hAnsiTheme="minorHAnsi" w:cstheme="minorBidi"/>
          <w:smallCaps/>
          <w:sz w:val="22"/>
          <w:szCs w:val="22"/>
          <w:lang w:val="en-US" w:eastAsia="en-US" w:bidi="ar-SA"/>
        </w:rPr>
      </w:pPr>
      <w:hyperlink w:anchor="_Toc15650746" w:history="1">
        <w:r w:rsidRPr="00D91A40">
          <w:rPr>
            <w:rStyle w:val="Hyperlink"/>
          </w:rPr>
          <w:t>Documento TGP/14: Glosario de términos utilizados en los documentos de la UPOV (documento TGP/14/4 Draft 1)</w:t>
        </w:r>
        <w:r>
          <w:rPr>
            <w:webHidden/>
          </w:rPr>
          <w:tab/>
        </w:r>
        <w:r>
          <w:rPr>
            <w:webHidden/>
          </w:rPr>
          <w:fldChar w:fldCharType="begin"/>
        </w:r>
        <w:r>
          <w:rPr>
            <w:webHidden/>
          </w:rPr>
          <w:instrText xml:space="preserve"> PAGEREF _Toc15650746 \h </w:instrText>
        </w:r>
        <w:r>
          <w:rPr>
            <w:webHidden/>
          </w:rPr>
        </w:r>
        <w:r>
          <w:rPr>
            <w:webHidden/>
          </w:rPr>
          <w:fldChar w:fldCharType="separate"/>
        </w:r>
        <w:r>
          <w:rPr>
            <w:webHidden/>
          </w:rPr>
          <w:t>4</w:t>
        </w:r>
        <w:r>
          <w:rPr>
            <w:webHidden/>
          </w:rPr>
          <w:fldChar w:fldCharType="end"/>
        </w:r>
      </w:hyperlink>
    </w:p>
    <w:p w:rsidR="005D6448" w:rsidRDefault="005D6448" w:rsidP="005D6448">
      <w:pPr>
        <w:pStyle w:val="TOC2"/>
        <w:rPr>
          <w:rFonts w:asciiTheme="minorHAnsi" w:eastAsiaTheme="minorEastAsia" w:hAnsiTheme="minorHAnsi" w:cstheme="minorBidi"/>
          <w:smallCaps/>
          <w:sz w:val="22"/>
          <w:szCs w:val="22"/>
          <w:lang w:val="en-US" w:eastAsia="en-US" w:bidi="ar-SA"/>
        </w:rPr>
      </w:pPr>
      <w:hyperlink w:anchor="_Toc15650747" w:history="1">
        <w:r w:rsidRPr="00D91A40">
          <w:rPr>
            <w:rStyle w:val="Hyperlink"/>
          </w:rPr>
          <w:t xml:space="preserve">Documento TGP/15/1 </w:t>
        </w:r>
        <w:r w:rsidRPr="00D91A40">
          <w:rPr>
            <w:rStyle w:val="Hyperlink"/>
            <w:caps/>
          </w:rPr>
          <w:t>*</w:t>
        </w:r>
        <w:r w:rsidRPr="00D91A40">
          <w:rPr>
            <w:rStyle w:val="Hyperlink"/>
          </w:rPr>
          <w:t>Orientación sobre el uso de marcadores bioquímicos y moleculares en el examen de la distinción, la homogeneidad y la estabilidad (DHE)” (revisión) (documento TGP/15/2 Draft 2)</w:t>
        </w:r>
        <w:r>
          <w:rPr>
            <w:webHidden/>
          </w:rPr>
          <w:tab/>
        </w:r>
        <w:r>
          <w:rPr>
            <w:webHidden/>
          </w:rPr>
          <w:fldChar w:fldCharType="begin"/>
        </w:r>
        <w:r>
          <w:rPr>
            <w:webHidden/>
          </w:rPr>
          <w:instrText xml:space="preserve"> PAGEREF _Toc15650747 \h </w:instrText>
        </w:r>
        <w:r>
          <w:rPr>
            <w:webHidden/>
          </w:rPr>
        </w:r>
        <w:r>
          <w:rPr>
            <w:webHidden/>
          </w:rPr>
          <w:fldChar w:fldCharType="separate"/>
        </w:r>
        <w:r>
          <w:rPr>
            <w:webHidden/>
          </w:rPr>
          <w:t>5</w:t>
        </w:r>
        <w:r>
          <w:rPr>
            <w:webHidden/>
          </w:rPr>
          <w:fldChar w:fldCharType="end"/>
        </w:r>
      </w:hyperlink>
    </w:p>
    <w:p w:rsidR="005D6448" w:rsidRDefault="005D6448" w:rsidP="005D6448">
      <w:pPr>
        <w:pStyle w:val="TOC2"/>
        <w:rPr>
          <w:rFonts w:asciiTheme="minorHAnsi" w:eastAsiaTheme="minorEastAsia" w:hAnsiTheme="minorHAnsi" w:cstheme="minorBidi"/>
          <w:smallCaps/>
          <w:sz w:val="22"/>
          <w:szCs w:val="22"/>
          <w:lang w:val="en-US" w:eastAsia="en-US" w:bidi="ar-SA"/>
        </w:rPr>
      </w:pPr>
      <w:hyperlink w:anchor="_Toc15650748" w:history="1">
        <w:r w:rsidRPr="00D91A40">
          <w:rPr>
            <w:rStyle w:val="Hyperlink"/>
          </w:rPr>
          <w:t>Documento TGP/0: Lista de documentos TGP y fechas de última publicación (revisión) (documento TGP/0/11 Draft 1)</w:t>
        </w:r>
        <w:r>
          <w:rPr>
            <w:webHidden/>
          </w:rPr>
          <w:tab/>
        </w:r>
        <w:r>
          <w:rPr>
            <w:webHidden/>
          </w:rPr>
          <w:fldChar w:fldCharType="begin"/>
        </w:r>
        <w:r>
          <w:rPr>
            <w:webHidden/>
          </w:rPr>
          <w:instrText xml:space="preserve"> PAGEREF _Toc15650748 \h </w:instrText>
        </w:r>
        <w:r>
          <w:rPr>
            <w:webHidden/>
          </w:rPr>
        </w:r>
        <w:r>
          <w:rPr>
            <w:webHidden/>
          </w:rPr>
          <w:fldChar w:fldCharType="separate"/>
        </w:r>
        <w:r>
          <w:rPr>
            <w:webHidden/>
          </w:rPr>
          <w:t>5</w:t>
        </w:r>
        <w:r>
          <w:rPr>
            <w:webHidden/>
          </w:rPr>
          <w:fldChar w:fldCharType="end"/>
        </w:r>
      </w:hyperlink>
    </w:p>
    <w:p w:rsidR="005D6448" w:rsidRDefault="005D6448" w:rsidP="005D6448">
      <w:pPr>
        <w:pStyle w:val="TOC1"/>
        <w:rPr>
          <w:rFonts w:asciiTheme="minorHAnsi" w:eastAsiaTheme="minorEastAsia" w:hAnsiTheme="minorHAnsi" w:cstheme="minorBidi"/>
          <w:sz w:val="22"/>
          <w:szCs w:val="22"/>
          <w:lang w:val="en-US" w:eastAsia="en-US" w:bidi="ar-SA"/>
        </w:rPr>
      </w:pPr>
      <w:hyperlink w:anchor="_Toc15650749" w:history="1">
        <w:r w:rsidRPr="00D91A40">
          <w:rPr>
            <w:rStyle w:val="Hyperlink"/>
          </w:rPr>
          <w:t>Programa para la elaboración de los documentos TGP</w:t>
        </w:r>
        <w:r>
          <w:rPr>
            <w:webHidden/>
          </w:rPr>
          <w:tab/>
        </w:r>
        <w:r>
          <w:rPr>
            <w:webHidden/>
          </w:rPr>
          <w:fldChar w:fldCharType="begin"/>
        </w:r>
        <w:r>
          <w:rPr>
            <w:webHidden/>
          </w:rPr>
          <w:instrText xml:space="preserve"> PAGEREF _Toc15650749 \h </w:instrText>
        </w:r>
        <w:r>
          <w:rPr>
            <w:webHidden/>
          </w:rPr>
        </w:r>
        <w:r>
          <w:rPr>
            <w:webHidden/>
          </w:rPr>
          <w:fldChar w:fldCharType="separate"/>
        </w:r>
        <w:r>
          <w:rPr>
            <w:webHidden/>
          </w:rPr>
          <w:t>7</w:t>
        </w:r>
        <w:r>
          <w:rPr>
            <w:webHidden/>
          </w:rPr>
          <w:fldChar w:fldCharType="end"/>
        </w:r>
      </w:hyperlink>
    </w:p>
    <w:p w:rsidR="00914865" w:rsidRPr="00315E11" w:rsidRDefault="00914865" w:rsidP="00DC6714">
      <w:pPr>
        <w:spacing w:after="120"/>
        <w:rPr>
          <w:rFonts w:asciiTheme="minorHAnsi" w:eastAsiaTheme="minorEastAsia" w:hAnsiTheme="minorHAnsi" w:cstheme="minorBidi"/>
          <w:caps/>
          <w:sz w:val="18"/>
          <w:szCs w:val="18"/>
          <w:lang w:val="es-419"/>
        </w:rPr>
      </w:pPr>
      <w:r w:rsidRPr="00FA185E">
        <w:rPr>
          <w:noProof/>
          <w:snapToGrid w:val="0"/>
          <w:lang w:val="es-419"/>
        </w:rPr>
        <w:fldChar w:fldCharType="end"/>
      </w:r>
      <w:r w:rsidRPr="00315E11">
        <w:rPr>
          <w:sz w:val="18"/>
          <w:szCs w:val="18"/>
          <w:lang w:val="es-419"/>
        </w:rPr>
        <w:t>ANEXO</w:t>
      </w:r>
      <w:r w:rsidR="00B23B18" w:rsidRPr="00315E11">
        <w:rPr>
          <w:sz w:val="18"/>
          <w:szCs w:val="18"/>
          <w:lang w:val="es-419"/>
        </w:rPr>
        <w:t xml:space="preserve"> </w:t>
      </w:r>
      <w:r w:rsidRPr="00315E11">
        <w:rPr>
          <w:sz w:val="18"/>
          <w:szCs w:val="18"/>
          <w:lang w:val="es-419"/>
        </w:rPr>
        <w:t>I:</w:t>
      </w:r>
      <w:r w:rsidRPr="00315E11">
        <w:rPr>
          <w:sz w:val="18"/>
          <w:szCs w:val="18"/>
          <w:lang w:val="es-419"/>
        </w:rPr>
        <w:tab/>
        <w:t xml:space="preserve">Revisiones del documento TGP/7 </w:t>
      </w:r>
    </w:p>
    <w:p w:rsidR="00914865" w:rsidRPr="00FA185E" w:rsidRDefault="00914865" w:rsidP="00914865">
      <w:pPr>
        <w:spacing w:after="120"/>
        <w:rPr>
          <w:sz w:val="18"/>
          <w:lang w:val="es-419"/>
        </w:rPr>
      </w:pPr>
      <w:r w:rsidRPr="00FA185E">
        <w:rPr>
          <w:sz w:val="18"/>
          <w:lang w:val="es-419"/>
        </w:rPr>
        <w:t>ANEXO</w:t>
      </w:r>
      <w:r w:rsidR="00B23B18">
        <w:rPr>
          <w:sz w:val="18"/>
          <w:lang w:val="es-419"/>
        </w:rPr>
        <w:t xml:space="preserve"> </w:t>
      </w:r>
      <w:r w:rsidRPr="00FA185E">
        <w:rPr>
          <w:sz w:val="18"/>
          <w:lang w:val="es-419"/>
        </w:rPr>
        <w:t>II:</w:t>
      </w:r>
      <w:r w:rsidRPr="00FA185E">
        <w:rPr>
          <w:lang w:val="es-419"/>
        </w:rPr>
        <w:tab/>
      </w:r>
      <w:r w:rsidRPr="00FA185E">
        <w:rPr>
          <w:sz w:val="18"/>
          <w:lang w:val="es-419"/>
        </w:rPr>
        <w:t>Revisiones del documento TGP/8</w:t>
      </w:r>
    </w:p>
    <w:p w:rsidR="00914865" w:rsidRPr="00FA185E" w:rsidRDefault="00914865" w:rsidP="00914865">
      <w:pPr>
        <w:spacing w:after="120"/>
        <w:rPr>
          <w:sz w:val="18"/>
          <w:lang w:val="es-419"/>
        </w:rPr>
      </w:pPr>
      <w:bookmarkStart w:id="6" w:name="_Toc386185971"/>
      <w:bookmarkStart w:id="7" w:name="_Toc419124859"/>
      <w:r w:rsidRPr="00FA185E">
        <w:rPr>
          <w:sz w:val="18"/>
          <w:lang w:val="es-419"/>
        </w:rPr>
        <w:t>ANEXO III:</w:t>
      </w:r>
      <w:r w:rsidRPr="00FA185E">
        <w:rPr>
          <w:lang w:val="es-419"/>
        </w:rPr>
        <w:tab/>
      </w:r>
      <w:r w:rsidRPr="00FA185E">
        <w:rPr>
          <w:sz w:val="18"/>
          <w:lang w:val="es-419"/>
        </w:rPr>
        <w:t>Revisiones del documento TGP/10</w:t>
      </w:r>
    </w:p>
    <w:p w:rsidR="00914865" w:rsidRPr="00FA185E" w:rsidRDefault="00914865" w:rsidP="00914865">
      <w:pPr>
        <w:spacing w:after="120"/>
        <w:ind w:left="1134" w:hanging="1134"/>
        <w:rPr>
          <w:sz w:val="18"/>
          <w:lang w:val="es-419"/>
        </w:rPr>
      </w:pPr>
      <w:r w:rsidRPr="00FA185E">
        <w:rPr>
          <w:sz w:val="18"/>
          <w:lang w:val="es-419"/>
        </w:rPr>
        <w:t>ANEXO IV:</w:t>
      </w:r>
      <w:r w:rsidRPr="00FA185E">
        <w:rPr>
          <w:lang w:val="es-419"/>
        </w:rPr>
        <w:tab/>
      </w:r>
      <w:r w:rsidRPr="00FA185E">
        <w:rPr>
          <w:sz w:val="18"/>
          <w:lang w:val="es-419"/>
        </w:rPr>
        <w:t>Revisiones del documento TGP/14</w:t>
      </w:r>
    </w:p>
    <w:p w:rsidR="00914865" w:rsidRPr="00FA185E" w:rsidRDefault="00914865" w:rsidP="00914865">
      <w:pPr>
        <w:spacing w:after="120"/>
        <w:ind w:left="1134" w:hanging="1134"/>
        <w:rPr>
          <w:sz w:val="18"/>
          <w:lang w:val="es-419"/>
        </w:rPr>
      </w:pPr>
      <w:r w:rsidRPr="00FA185E">
        <w:rPr>
          <w:sz w:val="18"/>
          <w:lang w:val="es-419"/>
        </w:rPr>
        <w:t>ANEXO V:</w:t>
      </w:r>
      <w:r w:rsidRPr="00FA185E">
        <w:rPr>
          <w:lang w:val="es-419"/>
        </w:rPr>
        <w:tab/>
      </w:r>
      <w:r w:rsidRPr="00FA185E">
        <w:rPr>
          <w:sz w:val="18"/>
          <w:lang w:val="es-419"/>
        </w:rPr>
        <w:t>Revisiones del documento TGP/15</w:t>
      </w:r>
    </w:p>
    <w:p w:rsidR="00914865" w:rsidRPr="00FA185E" w:rsidRDefault="00914865" w:rsidP="00914865">
      <w:pPr>
        <w:ind w:left="1134" w:hanging="1134"/>
        <w:rPr>
          <w:sz w:val="18"/>
          <w:lang w:val="es-419"/>
        </w:rPr>
      </w:pPr>
      <w:r w:rsidRPr="00FA185E">
        <w:rPr>
          <w:sz w:val="18"/>
          <w:lang w:val="es-419"/>
        </w:rPr>
        <w:t>ANEXO VI:</w:t>
      </w:r>
      <w:r w:rsidRPr="00FA185E">
        <w:rPr>
          <w:lang w:val="es-419"/>
        </w:rPr>
        <w:tab/>
      </w:r>
      <w:r w:rsidRPr="00FA185E">
        <w:rPr>
          <w:sz w:val="18"/>
          <w:lang w:val="es-419"/>
        </w:rPr>
        <w:t xml:space="preserve">Programa para la elaboración de los documentos TGP </w:t>
      </w:r>
    </w:p>
    <w:p w:rsidR="00914865" w:rsidRPr="00FA185E" w:rsidRDefault="00914865" w:rsidP="00914865">
      <w:pPr>
        <w:ind w:left="1134" w:hanging="1134"/>
        <w:rPr>
          <w:sz w:val="18"/>
          <w:lang w:val="es-419"/>
        </w:rPr>
      </w:pPr>
    </w:p>
    <w:p w:rsidR="00914865" w:rsidRPr="00FA185E" w:rsidRDefault="00914865" w:rsidP="00914865">
      <w:pPr>
        <w:ind w:left="1134" w:hanging="1134"/>
        <w:rPr>
          <w:sz w:val="18"/>
          <w:lang w:val="es-419"/>
        </w:rPr>
      </w:pPr>
    </w:p>
    <w:p w:rsidR="00914865" w:rsidRPr="00FA185E" w:rsidRDefault="00914865" w:rsidP="00315E11">
      <w:pPr>
        <w:rPr>
          <w:rFonts w:cs="Arial"/>
          <w:lang w:val="es-419"/>
        </w:rPr>
      </w:pPr>
      <w:r w:rsidRPr="00FA185E">
        <w:rPr>
          <w:rFonts w:cs="Arial"/>
          <w:lang w:val="es-419"/>
        </w:rPr>
        <w:fldChar w:fldCharType="begin"/>
      </w:r>
      <w:r w:rsidRPr="00FA185E">
        <w:rPr>
          <w:rFonts w:cs="Arial"/>
          <w:lang w:val="es-419"/>
        </w:rPr>
        <w:instrText xml:space="preserve"> AUTONUM  </w:instrText>
      </w:r>
      <w:r w:rsidRPr="00FA185E">
        <w:rPr>
          <w:rFonts w:cs="Arial"/>
          <w:lang w:val="es-419"/>
        </w:rPr>
        <w:fldChar w:fldCharType="end"/>
      </w:r>
      <w:r w:rsidRPr="00FA185E">
        <w:rPr>
          <w:lang w:val="es-419"/>
        </w:rPr>
        <w:tab/>
        <w:t>En el presente documento se utilizan las abreviaturas siguientes:</w:t>
      </w:r>
    </w:p>
    <w:p w:rsidR="00914865" w:rsidRPr="00FA185E" w:rsidRDefault="00914865" w:rsidP="00914865">
      <w:pPr>
        <w:ind w:left="1701" w:hanging="1134"/>
        <w:rPr>
          <w:rFonts w:cs="Arial"/>
          <w:lang w:val="es-419"/>
        </w:rPr>
      </w:pPr>
    </w:p>
    <w:p w:rsidR="00914865" w:rsidRPr="00FA185E" w:rsidRDefault="00914865" w:rsidP="00DC6714">
      <w:pPr>
        <w:ind w:left="1560" w:hanging="1134"/>
        <w:rPr>
          <w:rFonts w:cs="Arial"/>
          <w:lang w:val="es-419"/>
        </w:rPr>
      </w:pPr>
      <w:r w:rsidRPr="00FA185E">
        <w:rPr>
          <w:lang w:val="es-419"/>
        </w:rPr>
        <w:t>BMT:</w:t>
      </w:r>
      <w:r w:rsidRPr="00FA185E">
        <w:rPr>
          <w:lang w:val="es-419"/>
        </w:rPr>
        <w:tab/>
        <w:t>Grupo de Trabajo sobre Técnicas Bioquímicas y Moleculares, y Perfiles de ADN en particular</w:t>
      </w:r>
    </w:p>
    <w:p w:rsidR="00914865" w:rsidRPr="00FA185E" w:rsidRDefault="00914865" w:rsidP="00DC6714">
      <w:pPr>
        <w:ind w:left="1560" w:hanging="1134"/>
        <w:rPr>
          <w:rFonts w:cs="Arial"/>
          <w:lang w:val="es-419"/>
        </w:rPr>
      </w:pPr>
      <w:r w:rsidRPr="00FA185E">
        <w:rPr>
          <w:lang w:val="es-419"/>
        </w:rPr>
        <w:t>CAJ:</w:t>
      </w:r>
      <w:r w:rsidRPr="00FA185E">
        <w:rPr>
          <w:lang w:val="es-419"/>
        </w:rPr>
        <w:tab/>
        <w:t>Comité Administrativo y Jurídico</w:t>
      </w:r>
    </w:p>
    <w:p w:rsidR="00914865" w:rsidRPr="00FA185E" w:rsidRDefault="00914865" w:rsidP="00DC6714">
      <w:pPr>
        <w:ind w:left="1560" w:hanging="1134"/>
        <w:rPr>
          <w:rFonts w:cs="Arial"/>
          <w:lang w:val="es-419"/>
        </w:rPr>
      </w:pPr>
      <w:r w:rsidRPr="00FA185E">
        <w:rPr>
          <w:lang w:val="es-419"/>
        </w:rPr>
        <w:t>TC:</w:t>
      </w:r>
      <w:r w:rsidRPr="00FA185E">
        <w:rPr>
          <w:lang w:val="es-419"/>
        </w:rPr>
        <w:tab/>
        <w:t>Comité Técnico</w:t>
      </w:r>
    </w:p>
    <w:p w:rsidR="00914865" w:rsidRPr="00FA185E" w:rsidRDefault="00914865" w:rsidP="00DC6714">
      <w:pPr>
        <w:ind w:left="1560" w:hanging="1134"/>
        <w:rPr>
          <w:rFonts w:cs="Arial"/>
          <w:lang w:val="es-419"/>
        </w:rPr>
      </w:pPr>
      <w:r w:rsidRPr="00FA185E">
        <w:rPr>
          <w:lang w:val="es-419"/>
        </w:rPr>
        <w:t>TC-EDC:</w:t>
      </w:r>
      <w:r w:rsidRPr="00FA185E">
        <w:rPr>
          <w:lang w:val="es-419"/>
        </w:rPr>
        <w:tab/>
        <w:t>Comité de Redacción Ampliado</w:t>
      </w:r>
    </w:p>
    <w:p w:rsidR="00914865" w:rsidRPr="00FA185E" w:rsidRDefault="00914865" w:rsidP="00DC6714">
      <w:pPr>
        <w:ind w:left="1560" w:hanging="1134"/>
        <w:rPr>
          <w:rFonts w:cs="Arial"/>
          <w:color w:val="000000"/>
          <w:lang w:val="es-419"/>
        </w:rPr>
      </w:pPr>
      <w:r w:rsidRPr="00FA185E">
        <w:rPr>
          <w:color w:val="000000"/>
          <w:lang w:val="es-419"/>
        </w:rPr>
        <w:t>TWP:</w:t>
      </w:r>
      <w:r w:rsidRPr="00FA185E">
        <w:rPr>
          <w:lang w:val="es-419"/>
        </w:rPr>
        <w:tab/>
      </w:r>
      <w:r w:rsidRPr="00FA185E">
        <w:rPr>
          <w:color w:val="000000"/>
          <w:lang w:val="es-419"/>
        </w:rPr>
        <w:t xml:space="preserve">Grupos de Trabajo Técnico </w:t>
      </w:r>
      <w:bookmarkStart w:id="8" w:name="_Toc352678045"/>
      <w:bookmarkStart w:id="9" w:name="_Toc353797725"/>
      <w:bookmarkStart w:id="10" w:name="_Toc386185970"/>
      <w:bookmarkStart w:id="11" w:name="_Toc419124858"/>
    </w:p>
    <w:p w:rsidR="00914865" w:rsidRPr="00FA185E" w:rsidRDefault="00914865" w:rsidP="00914865">
      <w:pPr>
        <w:rPr>
          <w:lang w:val="es-419"/>
        </w:rPr>
      </w:pPr>
    </w:p>
    <w:p w:rsidR="00914865" w:rsidRPr="00FA185E" w:rsidRDefault="00914865" w:rsidP="00914865">
      <w:pPr>
        <w:rPr>
          <w:lang w:val="es-419"/>
        </w:rPr>
      </w:pPr>
    </w:p>
    <w:p w:rsidR="00914865" w:rsidRPr="00FA185E" w:rsidRDefault="00914865" w:rsidP="00914865">
      <w:pPr>
        <w:rPr>
          <w:lang w:val="es-419"/>
        </w:rPr>
      </w:pPr>
    </w:p>
    <w:p w:rsidR="00914865" w:rsidRPr="00FA185E" w:rsidRDefault="00914865" w:rsidP="00914865">
      <w:pPr>
        <w:keepNext/>
        <w:keepLines/>
        <w:outlineLvl w:val="0"/>
        <w:rPr>
          <w:caps/>
          <w:lang w:val="es-419"/>
        </w:rPr>
      </w:pPr>
      <w:bookmarkStart w:id="12" w:name="_Toc13581184"/>
      <w:bookmarkStart w:id="13" w:name="_Toc15650741"/>
      <w:r w:rsidRPr="00FA185E">
        <w:rPr>
          <w:caps/>
          <w:lang w:val="es-419"/>
        </w:rPr>
        <w:t>ANTECEDENTES</w:t>
      </w:r>
      <w:bookmarkEnd w:id="8"/>
      <w:bookmarkEnd w:id="9"/>
      <w:bookmarkEnd w:id="10"/>
      <w:bookmarkEnd w:id="11"/>
      <w:bookmarkEnd w:id="12"/>
      <w:bookmarkEnd w:id="13"/>
    </w:p>
    <w:p w:rsidR="00914865" w:rsidRPr="00FA185E" w:rsidRDefault="00914865" w:rsidP="00914865">
      <w:pPr>
        <w:keepNext/>
        <w:keepLines/>
        <w:rPr>
          <w:rFonts w:cs="Arial"/>
          <w:lang w:val="es-419"/>
        </w:rPr>
      </w:pPr>
    </w:p>
    <w:p w:rsidR="00914865" w:rsidRPr="00FA185E" w:rsidRDefault="00914865" w:rsidP="00914865">
      <w:pPr>
        <w:rPr>
          <w:rFonts w:cs="Arial"/>
          <w:lang w:val="es-419"/>
        </w:rPr>
      </w:pPr>
      <w:r w:rsidRPr="00FA185E">
        <w:rPr>
          <w:rFonts w:cs="Arial"/>
          <w:lang w:val="es-419"/>
        </w:rPr>
        <w:fldChar w:fldCharType="begin"/>
      </w:r>
      <w:r w:rsidRPr="00FA185E">
        <w:rPr>
          <w:rFonts w:cs="Arial"/>
          <w:lang w:val="es-419"/>
        </w:rPr>
        <w:instrText xml:space="preserve"> AUTONUM  </w:instrText>
      </w:r>
      <w:r w:rsidRPr="00FA185E">
        <w:rPr>
          <w:rFonts w:cs="Arial"/>
          <w:lang w:val="es-419"/>
        </w:rPr>
        <w:fldChar w:fldCharType="end"/>
      </w:r>
      <w:r w:rsidRPr="00FA185E">
        <w:rPr>
          <w:lang w:val="es-419"/>
        </w:rPr>
        <w:tab/>
        <w:t>El TC, en su quincuagésima cuarta sesión,</w:t>
      </w:r>
      <w:bookmarkStart w:id="14" w:name="_Ref12538883"/>
      <w:r w:rsidRPr="00FA185E">
        <w:rPr>
          <w:rStyle w:val="FootnoteReference"/>
          <w:lang w:val="es-419"/>
        </w:rPr>
        <w:footnoteReference w:id="3"/>
      </w:r>
      <w:bookmarkEnd w:id="14"/>
      <w:r w:rsidRPr="00FA185E">
        <w:rPr>
          <w:lang w:val="es-419"/>
        </w:rPr>
        <w:t xml:space="preserve"> y el CAJ, en su septuagésima quinta sesión,</w:t>
      </w:r>
      <w:bookmarkStart w:id="15" w:name="_Ref12539907"/>
      <w:r w:rsidRPr="00FA185E">
        <w:rPr>
          <w:rStyle w:val="FootnoteReference"/>
          <w:lang w:val="es-419"/>
        </w:rPr>
        <w:footnoteReference w:id="4"/>
      </w:r>
      <w:bookmarkEnd w:id="15"/>
      <w:r w:rsidRPr="00FA185E">
        <w:rPr>
          <w:lang w:val="es-419"/>
        </w:rPr>
        <w:t xml:space="preserve"> aprobaron el programa para la elaboración de los documentos TGP que figura en los anexos de los documentos</w:t>
      </w:r>
      <w:r w:rsidR="00B23B18">
        <w:rPr>
          <w:lang w:val="es-419"/>
        </w:rPr>
        <w:t xml:space="preserve"> </w:t>
      </w:r>
      <w:hyperlink r:id="rId8" w:history="1">
        <w:r w:rsidR="00315E11">
          <w:rPr>
            <w:rStyle w:val="Hyperlink"/>
          </w:rPr>
          <w:t>TC/54/5 </w:t>
        </w:r>
        <w:proofErr w:type="spellStart"/>
        <w:r w:rsidR="00315E11" w:rsidRPr="00CD62D8">
          <w:rPr>
            <w:rStyle w:val="Hyperlink"/>
          </w:rPr>
          <w:t>Rev</w:t>
        </w:r>
        <w:proofErr w:type="spellEnd"/>
      </w:hyperlink>
      <w:r w:rsidRPr="00FA185E">
        <w:rPr>
          <w:lang w:val="es-419"/>
        </w:rPr>
        <w:t xml:space="preserve"> “Documentos</w:t>
      </w:r>
      <w:r w:rsidR="00B23B18">
        <w:rPr>
          <w:lang w:val="es-419"/>
        </w:rPr>
        <w:t xml:space="preserve"> </w:t>
      </w:r>
      <w:r w:rsidRPr="00FA185E">
        <w:rPr>
          <w:lang w:val="es-419"/>
        </w:rPr>
        <w:t xml:space="preserve">TGP” y </w:t>
      </w:r>
      <w:hyperlink r:id="rId9" w:history="1">
        <w:r w:rsidR="00315E11" w:rsidRPr="00CD62D8">
          <w:rPr>
            <w:rStyle w:val="Hyperlink"/>
          </w:rPr>
          <w:t>CAJ/75/13</w:t>
        </w:r>
      </w:hyperlink>
      <w:r w:rsidRPr="00FA185E">
        <w:rPr>
          <w:lang w:val="es-419"/>
        </w:rPr>
        <w:t xml:space="preserve"> “</w:t>
      </w:r>
      <w:proofErr w:type="spellStart"/>
      <w:r w:rsidRPr="00FA185E">
        <w:rPr>
          <w:i/>
          <w:lang w:val="es-419"/>
        </w:rPr>
        <w:t>Report</w:t>
      </w:r>
      <w:proofErr w:type="spellEnd"/>
      <w:r w:rsidRPr="00FA185E">
        <w:rPr>
          <w:i/>
          <w:lang w:val="es-419"/>
        </w:rPr>
        <w:t xml:space="preserve"> </w:t>
      </w:r>
      <w:proofErr w:type="spellStart"/>
      <w:r w:rsidRPr="00FA185E">
        <w:rPr>
          <w:i/>
          <w:lang w:val="es-419"/>
        </w:rPr>
        <w:t>on</w:t>
      </w:r>
      <w:proofErr w:type="spellEnd"/>
      <w:r w:rsidRPr="00FA185E">
        <w:rPr>
          <w:i/>
          <w:lang w:val="es-419"/>
        </w:rPr>
        <w:t xml:space="preserve"> </w:t>
      </w:r>
      <w:proofErr w:type="spellStart"/>
      <w:r w:rsidRPr="00FA185E">
        <w:rPr>
          <w:i/>
          <w:lang w:val="es-419"/>
        </w:rPr>
        <w:t>developments</w:t>
      </w:r>
      <w:proofErr w:type="spellEnd"/>
      <w:r w:rsidRPr="00FA185E">
        <w:rPr>
          <w:i/>
          <w:lang w:val="es-419"/>
        </w:rPr>
        <w:t xml:space="preserve"> in </w:t>
      </w:r>
      <w:proofErr w:type="spellStart"/>
      <w:r w:rsidRPr="00FA185E">
        <w:rPr>
          <w:i/>
          <w:lang w:val="es-419"/>
        </w:rPr>
        <w:t>the</w:t>
      </w:r>
      <w:proofErr w:type="spellEnd"/>
      <w:r w:rsidRPr="00FA185E">
        <w:rPr>
          <w:i/>
          <w:lang w:val="es-419"/>
        </w:rPr>
        <w:t xml:space="preserve"> </w:t>
      </w:r>
      <w:proofErr w:type="spellStart"/>
      <w:r w:rsidRPr="00FA185E">
        <w:rPr>
          <w:i/>
          <w:lang w:val="es-419"/>
        </w:rPr>
        <w:t>Technical</w:t>
      </w:r>
      <w:proofErr w:type="spellEnd"/>
      <w:r w:rsidRPr="00FA185E">
        <w:rPr>
          <w:i/>
          <w:lang w:val="es-419"/>
        </w:rPr>
        <w:t xml:space="preserve"> </w:t>
      </w:r>
      <w:proofErr w:type="spellStart"/>
      <w:r w:rsidRPr="00FA185E">
        <w:rPr>
          <w:i/>
          <w:lang w:val="es-419"/>
        </w:rPr>
        <w:t>Committee</w:t>
      </w:r>
      <w:proofErr w:type="spellEnd"/>
      <w:r w:rsidRPr="00FA185E">
        <w:rPr>
          <w:lang w:val="es-419"/>
        </w:rPr>
        <w:t xml:space="preserve">” </w:t>
      </w:r>
      <w:r w:rsidR="00315E11">
        <w:rPr>
          <w:lang w:val="es-419"/>
        </w:rPr>
        <w:br/>
      </w:r>
      <w:r w:rsidRPr="00FA185E">
        <w:rPr>
          <w:lang w:val="es-419"/>
        </w:rPr>
        <w:t>(Informe sobre las novedades acaecidas en el Comité Técnico), respectivamente, a reserva de las conclusiones de sus sesiones.</w:t>
      </w:r>
      <w:r w:rsidRPr="00FA185E">
        <w:rPr>
          <w:rStyle w:val="FootnoteReference"/>
          <w:lang w:val="es-419"/>
        </w:rPr>
        <w:footnoteReference w:id="5"/>
      </w:r>
    </w:p>
    <w:p w:rsidR="00914865" w:rsidRPr="00FA185E" w:rsidRDefault="00914865" w:rsidP="00914865">
      <w:pPr>
        <w:rPr>
          <w:rFonts w:cs="Arial"/>
          <w:lang w:val="es-419"/>
        </w:rPr>
      </w:pPr>
    </w:p>
    <w:p w:rsidR="00914865" w:rsidRPr="00FA185E" w:rsidRDefault="00914865" w:rsidP="00914865">
      <w:pPr>
        <w:rPr>
          <w:rFonts w:cs="Arial"/>
          <w:lang w:val="es-419"/>
        </w:rPr>
      </w:pPr>
      <w:r w:rsidRPr="00FA185E">
        <w:rPr>
          <w:rFonts w:cs="Arial"/>
          <w:lang w:val="es-419"/>
        </w:rPr>
        <w:fldChar w:fldCharType="begin"/>
      </w:r>
      <w:r w:rsidRPr="00FA185E">
        <w:rPr>
          <w:rFonts w:cs="Arial"/>
          <w:lang w:val="es-419"/>
        </w:rPr>
        <w:instrText xml:space="preserve"> AUTONUM  </w:instrText>
      </w:r>
      <w:r w:rsidRPr="00FA185E">
        <w:rPr>
          <w:rFonts w:cs="Arial"/>
          <w:lang w:val="es-419"/>
        </w:rPr>
        <w:fldChar w:fldCharType="end"/>
      </w:r>
      <w:r w:rsidRPr="00FA185E">
        <w:rPr>
          <w:lang w:val="es-419"/>
        </w:rPr>
        <w:tab/>
        <w:t xml:space="preserve">Los documentos TGP aprobados se publican en el sitio web de la UPOV en </w:t>
      </w:r>
      <w:hyperlink r:id="rId10">
        <w:r w:rsidRPr="00FA185E">
          <w:rPr>
            <w:color w:val="0000FF"/>
            <w:u w:val="single"/>
            <w:lang w:val="es-419"/>
          </w:rPr>
          <w:t>http://www.upov.int/upov_collection/es/</w:t>
        </w:r>
      </w:hyperlink>
      <w:r w:rsidRPr="00FA185E">
        <w:rPr>
          <w:lang w:val="es-419"/>
        </w:rPr>
        <w:t>.</w:t>
      </w:r>
    </w:p>
    <w:p w:rsidR="00914865" w:rsidRPr="00FA185E" w:rsidRDefault="00914865" w:rsidP="00914865">
      <w:pPr>
        <w:rPr>
          <w:rFonts w:cs="Arial"/>
          <w:iCs/>
          <w:lang w:val="es-419"/>
        </w:rPr>
      </w:pPr>
      <w:bookmarkStart w:id="16" w:name="_Toc386185983"/>
      <w:bookmarkStart w:id="17" w:name="_Toc419124871"/>
      <w:bookmarkStart w:id="18" w:name="_Toc378251517"/>
      <w:bookmarkStart w:id="19" w:name="_Toc381279978"/>
      <w:bookmarkEnd w:id="6"/>
      <w:bookmarkEnd w:id="7"/>
    </w:p>
    <w:p w:rsidR="00914865" w:rsidRPr="00FA185E" w:rsidRDefault="00914865" w:rsidP="00914865">
      <w:pPr>
        <w:rPr>
          <w:lang w:val="es-419"/>
        </w:rPr>
      </w:pPr>
      <w:r w:rsidRPr="00FA185E">
        <w:rPr>
          <w:lang w:val="es-419"/>
        </w:rPr>
        <w:fldChar w:fldCharType="begin"/>
      </w:r>
      <w:r w:rsidRPr="00FA185E">
        <w:rPr>
          <w:lang w:val="es-419"/>
        </w:rPr>
        <w:instrText xml:space="preserve"> AUTONUM  </w:instrText>
      </w:r>
      <w:r w:rsidRPr="00FA185E">
        <w:rPr>
          <w:lang w:val="es-419"/>
        </w:rPr>
        <w:fldChar w:fldCharType="end"/>
      </w:r>
      <w:r w:rsidRPr="00FA185E">
        <w:rPr>
          <w:lang w:val="es-419"/>
        </w:rPr>
        <w:tab/>
        <w:t>Las observaciones que el</w:t>
      </w:r>
      <w:r w:rsidR="00B23B18">
        <w:rPr>
          <w:lang w:val="es-419"/>
        </w:rPr>
        <w:t xml:space="preserve"> </w:t>
      </w:r>
      <w:r w:rsidRPr="00FA185E">
        <w:rPr>
          <w:lang w:val="es-419"/>
        </w:rPr>
        <w:t>TC formule, en su quincuagésima</w:t>
      </w:r>
      <w:r w:rsidR="00B23B18">
        <w:rPr>
          <w:lang w:val="es-419"/>
        </w:rPr>
        <w:t xml:space="preserve"> </w:t>
      </w:r>
      <w:r w:rsidRPr="00FA185E">
        <w:rPr>
          <w:lang w:val="es-419"/>
        </w:rPr>
        <w:t>quinta sesión,</w:t>
      </w:r>
      <w:r w:rsidRPr="00FA185E">
        <w:rPr>
          <w:vertAlign w:val="superscript"/>
          <w:lang w:val="es-419"/>
        </w:rPr>
        <w:fldChar w:fldCharType="begin"/>
      </w:r>
      <w:r w:rsidRPr="00FA185E">
        <w:rPr>
          <w:vertAlign w:val="superscript"/>
          <w:lang w:val="es-419"/>
        </w:rPr>
        <w:instrText xml:space="preserve"> NOTEREF _Ref13574983 \h  \* MERGEFORMAT </w:instrText>
      </w:r>
      <w:r w:rsidRPr="00FA185E">
        <w:rPr>
          <w:vertAlign w:val="superscript"/>
          <w:lang w:val="es-419"/>
        </w:rPr>
      </w:r>
      <w:r w:rsidRPr="00FA185E">
        <w:rPr>
          <w:vertAlign w:val="superscript"/>
          <w:lang w:val="es-419"/>
        </w:rPr>
        <w:fldChar w:fldCharType="separate"/>
      </w:r>
      <w:r w:rsidRPr="00FA185E">
        <w:rPr>
          <w:vertAlign w:val="superscript"/>
          <w:lang w:val="es-419"/>
        </w:rPr>
        <w:t>1</w:t>
      </w:r>
      <w:r w:rsidRPr="00FA185E">
        <w:rPr>
          <w:vertAlign w:val="superscript"/>
          <w:lang w:val="es-419"/>
        </w:rPr>
        <w:fldChar w:fldCharType="end"/>
      </w:r>
      <w:r w:rsidRPr="00FA185E">
        <w:rPr>
          <w:lang w:val="es-419"/>
        </w:rPr>
        <w:t xml:space="preserve"> que sean de interés para el examen de los documentos</w:t>
      </w:r>
      <w:r w:rsidR="00B23B18">
        <w:rPr>
          <w:lang w:val="es-419"/>
        </w:rPr>
        <w:t xml:space="preserve"> </w:t>
      </w:r>
      <w:r w:rsidRPr="00FA185E">
        <w:rPr>
          <w:lang w:val="es-419"/>
        </w:rPr>
        <w:t>TGP por el CAJ, se presentarán a este, en su septuagésima sexta sesión,</w:t>
      </w:r>
      <w:bookmarkStart w:id="20" w:name="_Ref12539207"/>
      <w:r w:rsidRPr="00FA185E">
        <w:rPr>
          <w:rStyle w:val="FootnoteReference"/>
          <w:lang w:val="es-419"/>
        </w:rPr>
        <w:footnoteReference w:id="6"/>
      </w:r>
      <w:bookmarkEnd w:id="20"/>
      <w:r w:rsidRPr="00FA185E">
        <w:rPr>
          <w:lang w:val="es-419"/>
        </w:rPr>
        <w:t xml:space="preserve"> en el documento CAJ/76/8 “</w:t>
      </w:r>
      <w:proofErr w:type="spellStart"/>
      <w:r w:rsidRPr="00FA185E">
        <w:rPr>
          <w:i/>
          <w:lang w:val="es-419"/>
        </w:rPr>
        <w:t>Report</w:t>
      </w:r>
      <w:proofErr w:type="spellEnd"/>
      <w:r w:rsidRPr="00FA185E">
        <w:rPr>
          <w:i/>
          <w:lang w:val="es-419"/>
        </w:rPr>
        <w:t xml:space="preserve"> </w:t>
      </w:r>
      <w:proofErr w:type="spellStart"/>
      <w:r w:rsidRPr="00FA185E">
        <w:rPr>
          <w:i/>
          <w:lang w:val="es-419"/>
        </w:rPr>
        <w:t>on</w:t>
      </w:r>
      <w:proofErr w:type="spellEnd"/>
      <w:r w:rsidRPr="00FA185E">
        <w:rPr>
          <w:i/>
          <w:lang w:val="es-419"/>
        </w:rPr>
        <w:t xml:space="preserve"> </w:t>
      </w:r>
      <w:proofErr w:type="spellStart"/>
      <w:r w:rsidRPr="00FA185E">
        <w:rPr>
          <w:i/>
          <w:lang w:val="es-419"/>
        </w:rPr>
        <w:t>developments</w:t>
      </w:r>
      <w:proofErr w:type="spellEnd"/>
      <w:r w:rsidRPr="00FA185E">
        <w:rPr>
          <w:i/>
          <w:lang w:val="es-419"/>
        </w:rPr>
        <w:t xml:space="preserve"> in </w:t>
      </w:r>
      <w:proofErr w:type="spellStart"/>
      <w:r w:rsidRPr="00FA185E">
        <w:rPr>
          <w:i/>
          <w:lang w:val="es-419"/>
        </w:rPr>
        <w:t>the</w:t>
      </w:r>
      <w:proofErr w:type="spellEnd"/>
      <w:r w:rsidRPr="00FA185E">
        <w:rPr>
          <w:i/>
          <w:lang w:val="es-419"/>
        </w:rPr>
        <w:t xml:space="preserve"> </w:t>
      </w:r>
      <w:proofErr w:type="spellStart"/>
      <w:r w:rsidRPr="00FA185E">
        <w:rPr>
          <w:i/>
          <w:lang w:val="es-419"/>
        </w:rPr>
        <w:t>Technical</w:t>
      </w:r>
      <w:proofErr w:type="spellEnd"/>
      <w:r w:rsidRPr="00FA185E">
        <w:rPr>
          <w:i/>
          <w:lang w:val="es-419"/>
        </w:rPr>
        <w:t xml:space="preserve"> </w:t>
      </w:r>
      <w:proofErr w:type="spellStart"/>
      <w:r w:rsidRPr="00FA185E">
        <w:rPr>
          <w:i/>
          <w:lang w:val="es-419"/>
        </w:rPr>
        <w:t>Committee</w:t>
      </w:r>
      <w:proofErr w:type="spellEnd"/>
      <w:r w:rsidRPr="00FA185E">
        <w:rPr>
          <w:lang w:val="es-419"/>
        </w:rPr>
        <w:t>” (Informe sobre las novedades acaecidas en el Comité Técnico), que se publicará el</w:t>
      </w:r>
      <w:r w:rsidR="00B23B18">
        <w:rPr>
          <w:lang w:val="es-419"/>
        </w:rPr>
        <w:t xml:space="preserve"> </w:t>
      </w:r>
      <w:r w:rsidRPr="00FA185E">
        <w:rPr>
          <w:lang w:val="es-419"/>
        </w:rPr>
        <w:t>29 de octubre de</w:t>
      </w:r>
      <w:r w:rsidR="00B23B18">
        <w:rPr>
          <w:lang w:val="es-419"/>
        </w:rPr>
        <w:t xml:space="preserve"> </w:t>
      </w:r>
      <w:r w:rsidRPr="00FA185E">
        <w:rPr>
          <w:lang w:val="es-419"/>
        </w:rPr>
        <w:t>2019 por la tarde.</w:t>
      </w:r>
    </w:p>
    <w:p w:rsidR="00914865" w:rsidRPr="00FA185E" w:rsidRDefault="00914865" w:rsidP="00914865">
      <w:pPr>
        <w:rPr>
          <w:lang w:val="es-419"/>
        </w:rPr>
      </w:pPr>
    </w:p>
    <w:p w:rsidR="00914865" w:rsidRPr="00FA185E" w:rsidRDefault="00914865" w:rsidP="00914865">
      <w:pPr>
        <w:rPr>
          <w:lang w:val="es-419"/>
        </w:rPr>
      </w:pPr>
    </w:p>
    <w:p w:rsidR="00914865" w:rsidRPr="00FA185E" w:rsidRDefault="00914865" w:rsidP="00914865">
      <w:pPr>
        <w:pStyle w:val="Heading1"/>
        <w:rPr>
          <w:lang w:val="es-419"/>
        </w:rPr>
      </w:pPr>
      <w:bookmarkStart w:id="21" w:name="_Toc457395438"/>
      <w:bookmarkStart w:id="22" w:name="_Toc457896228"/>
      <w:bookmarkStart w:id="23" w:name="_Toc522890081"/>
      <w:bookmarkStart w:id="24" w:name="_Toc13581185"/>
      <w:bookmarkStart w:id="25" w:name="_Toc15650742"/>
      <w:r w:rsidRPr="00FA185E">
        <w:rPr>
          <w:lang w:val="es-419"/>
        </w:rPr>
        <w:lastRenderedPageBreak/>
        <w:t>DOCUMENTOS QUE DEBERÁ EXAMINAR EL CAJ</w:t>
      </w:r>
      <w:bookmarkEnd w:id="21"/>
      <w:bookmarkEnd w:id="22"/>
      <w:bookmarkEnd w:id="23"/>
      <w:bookmarkEnd w:id="24"/>
      <w:bookmarkEnd w:id="25"/>
    </w:p>
    <w:p w:rsidR="00914865" w:rsidRPr="00FA185E" w:rsidRDefault="00914865" w:rsidP="00914865">
      <w:pPr>
        <w:keepNext/>
        <w:rPr>
          <w:lang w:val="es-419"/>
        </w:rPr>
      </w:pPr>
    </w:p>
    <w:p w:rsidR="00914865" w:rsidRPr="00FA185E" w:rsidRDefault="00914865" w:rsidP="00914865">
      <w:pPr>
        <w:keepNext/>
        <w:outlineLvl w:val="1"/>
        <w:rPr>
          <w:u w:val="single"/>
          <w:lang w:val="es-419"/>
        </w:rPr>
      </w:pPr>
      <w:bookmarkStart w:id="26" w:name="_Toc13581186"/>
      <w:bookmarkStart w:id="27" w:name="_Toc15650743"/>
      <w:r w:rsidRPr="00FA185E">
        <w:rPr>
          <w:u w:val="single"/>
          <w:lang w:val="es-419"/>
        </w:rPr>
        <w:t>Documento</w:t>
      </w:r>
      <w:r w:rsidR="00B23B18">
        <w:rPr>
          <w:u w:val="single"/>
          <w:lang w:val="es-419"/>
        </w:rPr>
        <w:t xml:space="preserve"> </w:t>
      </w:r>
      <w:r w:rsidRPr="00FA185E">
        <w:rPr>
          <w:u w:val="single"/>
          <w:lang w:val="es-419"/>
        </w:rPr>
        <w:t>TGP/7: Elaboración de las directrices de examen (revisión) (documento</w:t>
      </w:r>
      <w:r w:rsidR="00B23B18">
        <w:rPr>
          <w:u w:val="single"/>
          <w:lang w:val="es-419"/>
        </w:rPr>
        <w:t xml:space="preserve"> </w:t>
      </w:r>
      <w:r w:rsidRPr="00FA185E">
        <w:rPr>
          <w:u w:val="single"/>
          <w:lang w:val="es-419"/>
        </w:rPr>
        <w:t>TGP/7/7</w:t>
      </w:r>
      <w:r w:rsidR="00B23B18">
        <w:rPr>
          <w:u w:val="single"/>
          <w:lang w:val="es-419"/>
        </w:rPr>
        <w:t> </w:t>
      </w:r>
      <w:proofErr w:type="spellStart"/>
      <w:r w:rsidR="00B23B18">
        <w:rPr>
          <w:u w:val="single"/>
          <w:lang w:val="es-419"/>
        </w:rPr>
        <w:t>Draft</w:t>
      </w:r>
      <w:proofErr w:type="spellEnd"/>
      <w:r w:rsidR="00B23B18">
        <w:rPr>
          <w:u w:val="single"/>
          <w:lang w:val="es-419"/>
        </w:rPr>
        <w:t> 1</w:t>
      </w:r>
      <w:r w:rsidRPr="00FA185E">
        <w:rPr>
          <w:u w:val="single"/>
          <w:lang w:val="es-419"/>
        </w:rPr>
        <w:t>)</w:t>
      </w:r>
      <w:bookmarkEnd w:id="26"/>
      <w:bookmarkEnd w:id="27"/>
    </w:p>
    <w:p w:rsidR="00914865" w:rsidRPr="00FA185E" w:rsidRDefault="00914865" w:rsidP="00914865">
      <w:pPr>
        <w:keepNext/>
        <w:rPr>
          <w:highlight w:val="yellow"/>
          <w:lang w:val="es-419"/>
        </w:rPr>
      </w:pPr>
    </w:p>
    <w:p w:rsidR="00914865" w:rsidRPr="00FA185E" w:rsidRDefault="00914865" w:rsidP="00914865">
      <w:pPr>
        <w:keepNext/>
        <w:rPr>
          <w:lang w:val="es-419"/>
        </w:rPr>
      </w:pPr>
      <w:r w:rsidRPr="00FA185E">
        <w:rPr>
          <w:lang w:val="es-419"/>
        </w:rPr>
        <w:fldChar w:fldCharType="begin"/>
      </w:r>
      <w:r w:rsidRPr="00FA185E">
        <w:rPr>
          <w:lang w:val="es-419"/>
        </w:rPr>
        <w:instrText xml:space="preserve"> AUTONUM  </w:instrText>
      </w:r>
      <w:r w:rsidRPr="00FA185E">
        <w:rPr>
          <w:lang w:val="es-419"/>
        </w:rPr>
        <w:fldChar w:fldCharType="end"/>
      </w:r>
      <w:r w:rsidRPr="00FA185E">
        <w:rPr>
          <w:lang w:val="es-419"/>
        </w:rPr>
        <w:tab/>
        <w:t>En su quincuagésima cuarta sesión,</w:t>
      </w:r>
      <w:r w:rsidRPr="00FA185E">
        <w:rPr>
          <w:rStyle w:val="FootnoteReference"/>
          <w:lang w:val="es-419"/>
        </w:rPr>
        <w:fldChar w:fldCharType="begin"/>
      </w:r>
      <w:r w:rsidRPr="00FA185E">
        <w:rPr>
          <w:lang w:val="es-419"/>
        </w:rPr>
        <w:instrText xml:space="preserve"> NOTEREF _Ref12538883 \f \h </w:instrText>
      </w:r>
      <w:r w:rsidRPr="00FA185E">
        <w:rPr>
          <w:rStyle w:val="FootnoteReference"/>
          <w:lang w:val="es-419"/>
        </w:rPr>
      </w:r>
      <w:r w:rsidRPr="00FA185E">
        <w:rPr>
          <w:rStyle w:val="FootnoteReference"/>
          <w:lang w:val="es-419"/>
        </w:rPr>
        <w:fldChar w:fldCharType="separate"/>
      </w:r>
      <w:r w:rsidRPr="00FA185E">
        <w:rPr>
          <w:rStyle w:val="FootnoteReference"/>
          <w:lang w:val="es-419"/>
        </w:rPr>
        <w:t>2</w:t>
      </w:r>
      <w:r w:rsidRPr="00FA185E">
        <w:rPr>
          <w:rStyle w:val="FootnoteReference"/>
          <w:lang w:val="es-419"/>
        </w:rPr>
        <w:fldChar w:fldCharType="end"/>
      </w:r>
      <w:r w:rsidRPr="00FA185E">
        <w:rPr>
          <w:lang w:val="es-419"/>
        </w:rPr>
        <w:t xml:space="preserve"> el TC acordó las propuestas de orientación sobre la “Duración de los exámenes DHE” y el “Procedimiento para introducir directrices de examen” que se han de incluir en la revisión del documento TGP/7 “Elaboración de las directrices de examen”.</w:t>
      </w:r>
      <w:r w:rsidRPr="00FA185E">
        <w:rPr>
          <w:rStyle w:val="FootnoteReference"/>
          <w:lang w:val="es-419"/>
        </w:rPr>
        <w:footnoteReference w:id="7"/>
      </w:r>
    </w:p>
    <w:p w:rsidR="00914865" w:rsidRPr="00FA185E" w:rsidRDefault="00914865" w:rsidP="00914865">
      <w:pPr>
        <w:rPr>
          <w:lang w:val="es-419"/>
        </w:rPr>
      </w:pPr>
    </w:p>
    <w:p w:rsidR="00914865" w:rsidRPr="00FA185E" w:rsidRDefault="00914865" w:rsidP="00914865">
      <w:pPr>
        <w:rPr>
          <w:spacing w:val="-2"/>
          <w:lang w:val="es-419"/>
        </w:rPr>
      </w:pPr>
      <w:r w:rsidRPr="00FA185E">
        <w:rPr>
          <w:spacing w:val="-2"/>
          <w:lang w:val="es-419"/>
        </w:rPr>
        <w:fldChar w:fldCharType="begin"/>
      </w:r>
      <w:r w:rsidRPr="00FA185E">
        <w:rPr>
          <w:spacing w:val="-2"/>
          <w:lang w:val="es-419"/>
        </w:rPr>
        <w:instrText xml:space="preserve"> AUTONUM  </w:instrText>
      </w:r>
      <w:r w:rsidRPr="00FA185E">
        <w:rPr>
          <w:spacing w:val="-2"/>
          <w:lang w:val="es-419"/>
        </w:rPr>
        <w:fldChar w:fldCharType="end"/>
      </w:r>
      <w:r w:rsidRPr="00FA185E">
        <w:rPr>
          <w:lang w:val="es-419"/>
        </w:rPr>
        <w:tab/>
        <w:t>Con arreglo a lo anterior, el TC convino en que la revisión del documento</w:t>
      </w:r>
      <w:r w:rsidR="00B23B18">
        <w:rPr>
          <w:lang w:val="es-419"/>
        </w:rPr>
        <w:t xml:space="preserve"> </w:t>
      </w:r>
      <w:r w:rsidRPr="00FA185E">
        <w:rPr>
          <w:lang w:val="es-419"/>
        </w:rPr>
        <w:t>TGP/7/6 (documento</w:t>
      </w:r>
      <w:r w:rsidR="00B23B18">
        <w:rPr>
          <w:lang w:val="es-419"/>
        </w:rPr>
        <w:t xml:space="preserve"> </w:t>
      </w:r>
      <w:r w:rsidRPr="00FA185E">
        <w:rPr>
          <w:lang w:val="es-419"/>
        </w:rPr>
        <w:t>TGP/7/7</w:t>
      </w:r>
      <w:r w:rsidR="00B23B18">
        <w:rPr>
          <w:lang w:val="es-419"/>
        </w:rPr>
        <w:t> </w:t>
      </w:r>
      <w:proofErr w:type="spellStart"/>
      <w:r w:rsidR="00B23B18">
        <w:rPr>
          <w:lang w:val="es-419"/>
        </w:rPr>
        <w:t>Draft</w:t>
      </w:r>
      <w:proofErr w:type="spellEnd"/>
      <w:r w:rsidR="00B23B18">
        <w:rPr>
          <w:lang w:val="es-419"/>
        </w:rPr>
        <w:t> 1</w:t>
      </w:r>
      <w:r w:rsidRPr="00FA185E">
        <w:rPr>
          <w:lang w:val="es-419"/>
        </w:rPr>
        <w:t>) se someta a la aprobación del Consejo, en su quincuagésima tercera sesión ordinaria, a reserva de la aprobación del</w:t>
      </w:r>
      <w:r w:rsidR="00B23B18">
        <w:rPr>
          <w:lang w:val="es-419"/>
        </w:rPr>
        <w:t xml:space="preserve"> </w:t>
      </w:r>
      <w:r w:rsidRPr="00FA185E">
        <w:rPr>
          <w:lang w:val="es-419"/>
        </w:rPr>
        <w:t>CAJ en su septuagésima</w:t>
      </w:r>
      <w:r w:rsidR="00B23B18">
        <w:rPr>
          <w:lang w:val="es-419"/>
        </w:rPr>
        <w:t xml:space="preserve"> </w:t>
      </w:r>
      <w:r w:rsidRPr="00FA185E">
        <w:rPr>
          <w:lang w:val="es-419"/>
        </w:rPr>
        <w:t>sexta sesión.</w:t>
      </w:r>
      <w:r w:rsidRPr="00FA185E">
        <w:rPr>
          <w:spacing w:val="-2"/>
          <w:vertAlign w:val="superscript"/>
          <w:lang w:val="es-419"/>
        </w:rPr>
        <w:fldChar w:fldCharType="begin"/>
      </w:r>
      <w:r w:rsidRPr="00FA185E">
        <w:rPr>
          <w:spacing w:val="-2"/>
          <w:vertAlign w:val="superscript"/>
          <w:lang w:val="es-419"/>
        </w:rPr>
        <w:instrText xml:space="preserve"> NOTEREF _Ref12539207 \h  \* MERGEFORMAT </w:instrText>
      </w:r>
      <w:r w:rsidRPr="00FA185E">
        <w:rPr>
          <w:spacing w:val="-2"/>
          <w:vertAlign w:val="superscript"/>
          <w:lang w:val="es-419"/>
        </w:rPr>
      </w:r>
      <w:r w:rsidRPr="00FA185E">
        <w:rPr>
          <w:spacing w:val="-2"/>
          <w:vertAlign w:val="superscript"/>
          <w:lang w:val="es-419"/>
        </w:rPr>
        <w:fldChar w:fldCharType="separate"/>
      </w:r>
      <w:r w:rsidRPr="00FA185E">
        <w:rPr>
          <w:spacing w:val="-2"/>
          <w:vertAlign w:val="superscript"/>
          <w:lang w:val="es-419"/>
        </w:rPr>
        <w:t>8</w:t>
      </w:r>
      <w:r w:rsidRPr="00FA185E">
        <w:rPr>
          <w:spacing w:val="-2"/>
          <w:vertAlign w:val="superscript"/>
          <w:lang w:val="es-419"/>
        </w:rPr>
        <w:fldChar w:fldCharType="end"/>
      </w:r>
    </w:p>
    <w:p w:rsidR="00914865" w:rsidRPr="00FA185E" w:rsidRDefault="00914865" w:rsidP="00914865">
      <w:pPr>
        <w:rPr>
          <w:spacing w:val="-2"/>
          <w:lang w:val="es-419"/>
        </w:rPr>
      </w:pPr>
    </w:p>
    <w:p w:rsidR="00914865" w:rsidRPr="00FA185E" w:rsidRDefault="00914865" w:rsidP="00914865">
      <w:pPr>
        <w:rPr>
          <w:bCs/>
          <w:snapToGrid w:val="0"/>
          <w:szCs w:val="24"/>
          <w:lang w:val="es-419"/>
        </w:rPr>
      </w:pPr>
      <w:r w:rsidRPr="00FA185E">
        <w:rPr>
          <w:spacing w:val="-2"/>
          <w:lang w:val="es-419"/>
        </w:rPr>
        <w:fldChar w:fldCharType="begin"/>
      </w:r>
      <w:r w:rsidRPr="00FA185E">
        <w:rPr>
          <w:spacing w:val="-2"/>
          <w:lang w:val="es-419"/>
        </w:rPr>
        <w:instrText xml:space="preserve"> AUTONUM  </w:instrText>
      </w:r>
      <w:r w:rsidRPr="00FA185E">
        <w:rPr>
          <w:spacing w:val="-2"/>
          <w:lang w:val="es-419"/>
        </w:rPr>
        <w:fldChar w:fldCharType="end"/>
      </w:r>
      <w:r w:rsidRPr="00FA185E">
        <w:rPr>
          <w:lang w:val="es-419"/>
        </w:rPr>
        <w:tab/>
        <w:t>Los respectivos miembros del Comité de Redacción han revisado las traducciones al alemán, español y francés del texto original en inglés antes de que se presente al Consejo el proyecto de documento</w:t>
      </w:r>
      <w:r w:rsidR="00B23B18">
        <w:rPr>
          <w:lang w:val="es-419"/>
        </w:rPr>
        <w:t xml:space="preserve"> </w:t>
      </w:r>
      <w:r w:rsidRPr="00FA185E">
        <w:rPr>
          <w:lang w:val="es-419"/>
        </w:rPr>
        <w:t>TGP/7/7.</w:t>
      </w:r>
      <w:r w:rsidR="00AF1302" w:rsidRPr="00FA185E">
        <w:rPr>
          <w:lang w:val="es-419"/>
        </w:rPr>
        <w:t xml:space="preserve"> </w:t>
      </w:r>
      <w:r w:rsidRPr="00FA185E">
        <w:rPr>
          <w:lang w:val="es-419"/>
        </w:rPr>
        <w:t>El documento TGP/7/7</w:t>
      </w:r>
      <w:r w:rsidR="00B23B18">
        <w:rPr>
          <w:lang w:val="es-419"/>
        </w:rPr>
        <w:t> </w:t>
      </w:r>
      <w:proofErr w:type="spellStart"/>
      <w:r w:rsidR="00B23B18">
        <w:rPr>
          <w:lang w:val="es-419"/>
        </w:rPr>
        <w:t>Draft</w:t>
      </w:r>
      <w:proofErr w:type="spellEnd"/>
      <w:r w:rsidR="00B23B18">
        <w:rPr>
          <w:lang w:val="es-419"/>
        </w:rPr>
        <w:t> 1</w:t>
      </w:r>
      <w:r w:rsidRPr="00FA185E">
        <w:rPr>
          <w:lang w:val="es-419"/>
        </w:rPr>
        <w:t xml:space="preserve"> incorpora las enmiendas acordadas por el TC, expuestas en el Anexo</w:t>
      </w:r>
      <w:r w:rsidR="00B23B18">
        <w:rPr>
          <w:lang w:val="es-419"/>
        </w:rPr>
        <w:t xml:space="preserve"> </w:t>
      </w:r>
      <w:r w:rsidRPr="00FA185E">
        <w:rPr>
          <w:lang w:val="es-419"/>
        </w:rPr>
        <w:t>I del presente documento (con marcas de revisión), y los cambios lingüísticos efectuados por los respectivos miembros del Comité de Redacción.</w:t>
      </w:r>
    </w:p>
    <w:p w:rsidR="00914865" w:rsidRPr="00FA185E" w:rsidRDefault="00914865" w:rsidP="00914865">
      <w:pPr>
        <w:rPr>
          <w:bCs/>
          <w:snapToGrid w:val="0"/>
          <w:szCs w:val="24"/>
          <w:lang w:val="es-419"/>
        </w:rPr>
      </w:pPr>
    </w:p>
    <w:p w:rsidR="00914865" w:rsidRPr="00FA185E" w:rsidRDefault="00914865" w:rsidP="00914865">
      <w:pPr>
        <w:rPr>
          <w:lang w:val="es-419"/>
        </w:rPr>
      </w:pPr>
      <w:r w:rsidRPr="00FA185E">
        <w:rPr>
          <w:lang w:val="es-419"/>
        </w:rPr>
        <w:fldChar w:fldCharType="begin"/>
      </w:r>
      <w:r w:rsidRPr="00FA185E">
        <w:rPr>
          <w:lang w:val="es-419"/>
        </w:rPr>
        <w:instrText xml:space="preserve"> AUTONUM  </w:instrText>
      </w:r>
      <w:r w:rsidRPr="00FA185E">
        <w:rPr>
          <w:lang w:val="es-419"/>
        </w:rPr>
        <w:fldChar w:fldCharType="end"/>
      </w:r>
      <w:r w:rsidRPr="00FA185E">
        <w:rPr>
          <w:lang w:val="es-419"/>
        </w:rPr>
        <w:tab/>
        <w:t>En su quincuagésima quinta sesión,</w:t>
      </w:r>
      <w:r w:rsidRPr="00FA185E">
        <w:rPr>
          <w:vertAlign w:val="superscript"/>
          <w:lang w:val="es-419"/>
        </w:rPr>
        <w:fldChar w:fldCharType="begin"/>
      </w:r>
      <w:r w:rsidRPr="00FA185E">
        <w:rPr>
          <w:vertAlign w:val="superscript"/>
          <w:lang w:val="es-419"/>
        </w:rPr>
        <w:instrText xml:space="preserve"> NOTEREF _Ref13574983 \h  \* MERGEFORMAT </w:instrText>
      </w:r>
      <w:r w:rsidRPr="00FA185E">
        <w:rPr>
          <w:vertAlign w:val="superscript"/>
          <w:lang w:val="es-419"/>
        </w:rPr>
      </w:r>
      <w:r w:rsidRPr="00FA185E">
        <w:rPr>
          <w:vertAlign w:val="superscript"/>
          <w:lang w:val="es-419"/>
        </w:rPr>
        <w:fldChar w:fldCharType="separate"/>
      </w:r>
      <w:r w:rsidRPr="00FA185E">
        <w:rPr>
          <w:vertAlign w:val="superscript"/>
          <w:lang w:val="es-419"/>
        </w:rPr>
        <w:t>1</w:t>
      </w:r>
      <w:r w:rsidRPr="00FA185E">
        <w:rPr>
          <w:vertAlign w:val="superscript"/>
          <w:lang w:val="es-419"/>
        </w:rPr>
        <w:fldChar w:fldCharType="end"/>
      </w:r>
      <w:r w:rsidRPr="00FA185E">
        <w:rPr>
          <w:lang w:val="es-419"/>
        </w:rPr>
        <w:t xml:space="preserve"> el</w:t>
      </w:r>
      <w:r w:rsidR="00B23B18">
        <w:rPr>
          <w:lang w:val="es-419"/>
        </w:rPr>
        <w:t xml:space="preserve"> </w:t>
      </w:r>
      <w:r w:rsidRPr="00FA185E">
        <w:rPr>
          <w:lang w:val="es-419"/>
        </w:rPr>
        <w:t>TC examinará el documento</w:t>
      </w:r>
      <w:r w:rsidR="00B23B18">
        <w:rPr>
          <w:lang w:val="es-419"/>
        </w:rPr>
        <w:t xml:space="preserve"> </w:t>
      </w:r>
      <w:r w:rsidRPr="00FA185E">
        <w:rPr>
          <w:lang w:val="es-419"/>
        </w:rPr>
        <w:t>TGP/7/7</w:t>
      </w:r>
      <w:r w:rsidR="00B23B18">
        <w:rPr>
          <w:lang w:val="es-419"/>
        </w:rPr>
        <w:t> </w:t>
      </w:r>
      <w:proofErr w:type="spellStart"/>
      <w:r w:rsidR="00B23B18">
        <w:rPr>
          <w:lang w:val="es-419"/>
        </w:rPr>
        <w:t>Draft</w:t>
      </w:r>
      <w:proofErr w:type="spellEnd"/>
      <w:r w:rsidR="00B23B18">
        <w:rPr>
          <w:lang w:val="es-419"/>
        </w:rPr>
        <w:t> 1</w:t>
      </w:r>
      <w:r w:rsidRPr="00FA185E">
        <w:rPr>
          <w:lang w:val="es-419"/>
        </w:rPr>
        <w:t>.</w:t>
      </w:r>
      <w:r w:rsidR="00AF1302" w:rsidRPr="00FA185E">
        <w:rPr>
          <w:lang w:val="es-419"/>
        </w:rPr>
        <w:t xml:space="preserve"> </w:t>
      </w:r>
      <w:r w:rsidRPr="00FA185E">
        <w:rPr>
          <w:lang w:val="es-419"/>
        </w:rPr>
        <w:t>Las observaciones formuladas por el</w:t>
      </w:r>
      <w:r w:rsidR="00B23B18">
        <w:rPr>
          <w:lang w:val="es-419"/>
        </w:rPr>
        <w:t xml:space="preserve"> </w:t>
      </w:r>
      <w:r w:rsidRPr="00FA185E">
        <w:rPr>
          <w:lang w:val="es-419"/>
        </w:rPr>
        <w:t>TC se notificarán al</w:t>
      </w:r>
      <w:r w:rsidR="00B23B18">
        <w:rPr>
          <w:lang w:val="es-419"/>
        </w:rPr>
        <w:t xml:space="preserve"> </w:t>
      </w:r>
      <w:r w:rsidRPr="00FA185E">
        <w:rPr>
          <w:lang w:val="es-419"/>
        </w:rPr>
        <w:t>CAJ en su septuagésima sexta sesión.</w:t>
      </w:r>
      <w:r w:rsidRPr="00FA185E">
        <w:rPr>
          <w:spacing w:val="-2"/>
          <w:vertAlign w:val="superscript"/>
          <w:lang w:val="es-419"/>
        </w:rPr>
        <w:fldChar w:fldCharType="begin"/>
      </w:r>
      <w:r w:rsidRPr="00FA185E">
        <w:rPr>
          <w:spacing w:val="-2"/>
          <w:vertAlign w:val="superscript"/>
          <w:lang w:val="es-419"/>
        </w:rPr>
        <w:instrText xml:space="preserve"> NOTEREF _Ref12539207 \h  \* MERGEFORMAT </w:instrText>
      </w:r>
      <w:r w:rsidRPr="00FA185E">
        <w:rPr>
          <w:spacing w:val="-2"/>
          <w:vertAlign w:val="superscript"/>
          <w:lang w:val="es-419"/>
        </w:rPr>
      </w:r>
      <w:r w:rsidRPr="00FA185E">
        <w:rPr>
          <w:spacing w:val="-2"/>
          <w:vertAlign w:val="superscript"/>
          <w:lang w:val="es-419"/>
        </w:rPr>
        <w:fldChar w:fldCharType="separate"/>
      </w:r>
      <w:r w:rsidRPr="00FA185E">
        <w:rPr>
          <w:spacing w:val="-2"/>
          <w:vertAlign w:val="superscript"/>
          <w:lang w:val="es-419"/>
        </w:rPr>
        <w:t>8</w:t>
      </w:r>
      <w:r w:rsidRPr="00FA185E">
        <w:rPr>
          <w:spacing w:val="-2"/>
          <w:vertAlign w:val="superscript"/>
          <w:lang w:val="es-419"/>
        </w:rPr>
        <w:fldChar w:fldCharType="end"/>
      </w:r>
      <w:r w:rsidRPr="00FA185E">
        <w:rPr>
          <w:lang w:val="es-419"/>
        </w:rPr>
        <w:t xml:space="preserve"> </w:t>
      </w:r>
    </w:p>
    <w:p w:rsidR="00914865" w:rsidRPr="00FA185E" w:rsidRDefault="00914865" w:rsidP="00914865">
      <w:pPr>
        <w:rPr>
          <w:lang w:val="es-419"/>
        </w:rPr>
      </w:pPr>
    </w:p>
    <w:p w:rsidR="00914865" w:rsidRPr="00FA185E" w:rsidRDefault="00914865" w:rsidP="00914865">
      <w:pPr>
        <w:pStyle w:val="DecisionParagraphs"/>
        <w:rPr>
          <w:lang w:val="es-419"/>
        </w:rPr>
      </w:pPr>
      <w:r w:rsidRPr="00FA185E">
        <w:rPr>
          <w:lang w:val="es-419"/>
        </w:rPr>
        <w:fldChar w:fldCharType="begin"/>
      </w:r>
      <w:r w:rsidRPr="00FA185E">
        <w:rPr>
          <w:lang w:val="es-419"/>
        </w:rPr>
        <w:instrText xml:space="preserve"> AUTONUM  </w:instrText>
      </w:r>
      <w:r w:rsidRPr="00FA185E">
        <w:rPr>
          <w:lang w:val="es-419"/>
        </w:rPr>
        <w:fldChar w:fldCharType="end"/>
      </w:r>
      <w:r w:rsidRPr="00FA185E">
        <w:rPr>
          <w:lang w:val="es-419"/>
        </w:rPr>
        <w:tab/>
        <w:t>Se invita al CAJ a examinar la revisión del documento TGP/7 “Elaboración de las directrices de examen” (documento</w:t>
      </w:r>
      <w:r w:rsidR="00B23B18">
        <w:rPr>
          <w:lang w:val="es-419"/>
        </w:rPr>
        <w:t xml:space="preserve"> </w:t>
      </w:r>
      <w:r w:rsidRPr="00FA185E">
        <w:rPr>
          <w:lang w:val="es-419"/>
        </w:rPr>
        <w:t>TGP/7/7), sobre la base del documento</w:t>
      </w:r>
      <w:r w:rsidR="00B23B18">
        <w:rPr>
          <w:lang w:val="es-419"/>
        </w:rPr>
        <w:t xml:space="preserve"> </w:t>
      </w:r>
      <w:r w:rsidRPr="00FA185E">
        <w:rPr>
          <w:lang w:val="es-419"/>
        </w:rPr>
        <w:t>TGP/7/7</w:t>
      </w:r>
      <w:r w:rsidR="00B23B18">
        <w:rPr>
          <w:lang w:val="es-419"/>
        </w:rPr>
        <w:t> </w:t>
      </w:r>
      <w:proofErr w:type="spellStart"/>
      <w:r w:rsidR="00B23B18">
        <w:rPr>
          <w:lang w:val="es-419"/>
        </w:rPr>
        <w:t>Draft</w:t>
      </w:r>
      <w:proofErr w:type="spellEnd"/>
      <w:r w:rsidR="00B23B18">
        <w:rPr>
          <w:lang w:val="es-419"/>
        </w:rPr>
        <w:t> 1</w:t>
      </w:r>
      <w:r w:rsidRPr="00FA185E">
        <w:rPr>
          <w:lang w:val="es-419"/>
        </w:rPr>
        <w:t>, teniendo en cuenta las conclusiones del</w:t>
      </w:r>
      <w:r w:rsidR="00B23B18">
        <w:rPr>
          <w:lang w:val="es-419"/>
        </w:rPr>
        <w:t xml:space="preserve"> </w:t>
      </w:r>
      <w:r w:rsidRPr="00FA185E">
        <w:rPr>
          <w:lang w:val="es-419"/>
        </w:rPr>
        <w:t>TC en su quincuagésima</w:t>
      </w:r>
      <w:r w:rsidR="00B23B18">
        <w:rPr>
          <w:lang w:val="es-419"/>
        </w:rPr>
        <w:t xml:space="preserve"> </w:t>
      </w:r>
      <w:r w:rsidRPr="00FA185E">
        <w:rPr>
          <w:lang w:val="es-419"/>
        </w:rPr>
        <w:t>quinta sesión.</w:t>
      </w:r>
    </w:p>
    <w:p w:rsidR="00914865" w:rsidRPr="00FA185E" w:rsidRDefault="00914865" w:rsidP="00914865">
      <w:pPr>
        <w:rPr>
          <w:rFonts w:eastAsia="MS Mincho"/>
          <w:lang w:val="es-419"/>
        </w:rPr>
      </w:pPr>
    </w:p>
    <w:p w:rsidR="00914865" w:rsidRPr="00FA185E" w:rsidRDefault="00914865" w:rsidP="00914865">
      <w:pPr>
        <w:pStyle w:val="Heading2"/>
        <w:rPr>
          <w:lang w:val="es-419"/>
        </w:rPr>
      </w:pPr>
      <w:bookmarkStart w:id="28" w:name="_Toc13581187"/>
      <w:bookmarkStart w:id="29" w:name="_Toc15650744"/>
      <w:r w:rsidRPr="00FA185E">
        <w:rPr>
          <w:lang w:val="es-419"/>
        </w:rPr>
        <w:t>Documento</w:t>
      </w:r>
      <w:r w:rsidR="00B23B18">
        <w:rPr>
          <w:lang w:val="es-419"/>
        </w:rPr>
        <w:t xml:space="preserve"> </w:t>
      </w:r>
      <w:r w:rsidRPr="00FA185E">
        <w:rPr>
          <w:lang w:val="es-419"/>
        </w:rPr>
        <w:t>TGP/8: Diseño de ensayos y técnicas utilizados en el examen de la distinción, la homogeneidad y la estabilidad (revisión) (documento</w:t>
      </w:r>
      <w:r w:rsidR="00B23B18">
        <w:rPr>
          <w:lang w:val="es-419"/>
        </w:rPr>
        <w:t xml:space="preserve"> </w:t>
      </w:r>
      <w:r w:rsidRPr="00FA185E">
        <w:rPr>
          <w:lang w:val="es-419"/>
        </w:rPr>
        <w:t>TGP/8/4</w:t>
      </w:r>
      <w:r w:rsidR="00B23B18">
        <w:rPr>
          <w:lang w:val="es-419"/>
        </w:rPr>
        <w:t> </w:t>
      </w:r>
      <w:proofErr w:type="spellStart"/>
      <w:r w:rsidR="00B23B18">
        <w:rPr>
          <w:lang w:val="es-419"/>
        </w:rPr>
        <w:t>Draft</w:t>
      </w:r>
      <w:proofErr w:type="spellEnd"/>
      <w:r w:rsidR="00B23B18">
        <w:rPr>
          <w:lang w:val="es-419"/>
        </w:rPr>
        <w:t> 1</w:t>
      </w:r>
      <w:r w:rsidRPr="00FA185E">
        <w:rPr>
          <w:lang w:val="es-419"/>
        </w:rPr>
        <w:t>)</w:t>
      </w:r>
      <w:bookmarkEnd w:id="28"/>
      <w:bookmarkEnd w:id="29"/>
    </w:p>
    <w:p w:rsidR="00914865" w:rsidRPr="00FA185E" w:rsidRDefault="00914865" w:rsidP="00914865">
      <w:pPr>
        <w:rPr>
          <w:lang w:val="es-419"/>
        </w:rPr>
      </w:pPr>
    </w:p>
    <w:p w:rsidR="00914865" w:rsidRPr="00FA185E" w:rsidRDefault="00914865" w:rsidP="00914865">
      <w:pPr>
        <w:rPr>
          <w:lang w:val="es-419"/>
        </w:rPr>
      </w:pPr>
      <w:r w:rsidRPr="00FA185E">
        <w:rPr>
          <w:lang w:val="es-419"/>
        </w:rPr>
        <w:fldChar w:fldCharType="begin"/>
      </w:r>
      <w:r w:rsidRPr="00FA185E">
        <w:rPr>
          <w:lang w:val="es-419"/>
        </w:rPr>
        <w:instrText xml:space="preserve"> AUTONUM  </w:instrText>
      </w:r>
      <w:r w:rsidRPr="00FA185E">
        <w:rPr>
          <w:lang w:val="es-419"/>
        </w:rPr>
        <w:fldChar w:fldCharType="end"/>
      </w:r>
      <w:r w:rsidRPr="00FA185E">
        <w:rPr>
          <w:lang w:val="es-419"/>
        </w:rPr>
        <w:tab/>
        <w:t>En su quincuagésima tercera sesión,</w:t>
      </w:r>
      <w:bookmarkStart w:id="30" w:name="_Ref12539616"/>
      <w:r w:rsidRPr="00FA185E">
        <w:rPr>
          <w:rStyle w:val="FootnoteReference"/>
          <w:lang w:val="es-419"/>
        </w:rPr>
        <w:footnoteReference w:id="8"/>
      </w:r>
      <w:bookmarkEnd w:id="30"/>
      <w:r w:rsidRPr="00FA185E">
        <w:rPr>
          <w:lang w:val="es-419"/>
        </w:rPr>
        <w:t xml:space="preserve"> el TC acordó la propuesta de orientación relativa al “Examen de caracteres mediante la observación de muestras en bloque” que se ha de incluir en la revisión del documento</w:t>
      </w:r>
      <w:r w:rsidR="00B23B18">
        <w:rPr>
          <w:lang w:val="es-419"/>
        </w:rPr>
        <w:t xml:space="preserve"> </w:t>
      </w:r>
      <w:r w:rsidRPr="00FA185E">
        <w:rPr>
          <w:lang w:val="es-419"/>
        </w:rPr>
        <w:t>TGP/8 “Diseño de ensayos y técnicas utilizadas en el examen de la distinción, la homogeneidad y la estabilidad”.</w:t>
      </w:r>
      <w:r w:rsidRPr="00FA185E">
        <w:rPr>
          <w:rStyle w:val="FootnoteReference"/>
          <w:lang w:val="es-419"/>
        </w:rPr>
        <w:footnoteReference w:id="9"/>
      </w:r>
      <w:r w:rsidR="00AF1302" w:rsidRPr="00FA185E">
        <w:rPr>
          <w:lang w:val="es-419"/>
        </w:rPr>
        <w:t xml:space="preserve"> </w:t>
      </w:r>
    </w:p>
    <w:p w:rsidR="00914865" w:rsidRPr="00FA185E" w:rsidRDefault="00914865" w:rsidP="00914865">
      <w:pPr>
        <w:rPr>
          <w:lang w:val="es-419"/>
        </w:rPr>
      </w:pPr>
    </w:p>
    <w:p w:rsidR="00914865" w:rsidRPr="00FA185E" w:rsidRDefault="00914865" w:rsidP="00914865">
      <w:pPr>
        <w:rPr>
          <w:lang w:val="es-419"/>
        </w:rPr>
      </w:pPr>
      <w:r w:rsidRPr="00FA185E">
        <w:rPr>
          <w:lang w:val="es-419"/>
        </w:rPr>
        <w:fldChar w:fldCharType="begin"/>
      </w:r>
      <w:r w:rsidRPr="00FA185E">
        <w:rPr>
          <w:lang w:val="es-419"/>
        </w:rPr>
        <w:instrText xml:space="preserve"> AUTONUM  </w:instrText>
      </w:r>
      <w:r w:rsidRPr="00FA185E">
        <w:rPr>
          <w:lang w:val="es-419"/>
        </w:rPr>
        <w:fldChar w:fldCharType="end"/>
      </w:r>
      <w:r w:rsidRPr="00FA185E">
        <w:rPr>
          <w:lang w:val="es-419"/>
        </w:rPr>
        <w:tab/>
        <w:t>En su quincuagésima</w:t>
      </w:r>
      <w:r w:rsidR="00B23B18">
        <w:rPr>
          <w:lang w:val="es-419"/>
        </w:rPr>
        <w:t xml:space="preserve"> </w:t>
      </w:r>
      <w:r w:rsidRPr="00FA185E">
        <w:rPr>
          <w:lang w:val="es-419"/>
        </w:rPr>
        <w:t>cuarta sesión,</w:t>
      </w:r>
      <w:r w:rsidRPr="00FA185E">
        <w:rPr>
          <w:lang w:val="es-419"/>
        </w:rPr>
        <w:fldChar w:fldCharType="begin"/>
      </w:r>
      <w:r w:rsidRPr="00FA185E">
        <w:rPr>
          <w:lang w:val="es-419"/>
        </w:rPr>
        <w:instrText xml:space="preserve"> NOTEREF _Ref12538883 \f \h </w:instrText>
      </w:r>
      <w:r w:rsidRPr="00FA185E">
        <w:rPr>
          <w:lang w:val="es-419"/>
        </w:rPr>
      </w:r>
      <w:r w:rsidRPr="00FA185E">
        <w:rPr>
          <w:lang w:val="es-419"/>
        </w:rPr>
        <w:fldChar w:fldCharType="separate"/>
      </w:r>
      <w:r w:rsidRPr="00FA185E">
        <w:rPr>
          <w:rStyle w:val="FootnoteReference"/>
          <w:lang w:val="es-419"/>
        </w:rPr>
        <w:t>2</w:t>
      </w:r>
      <w:r w:rsidRPr="00FA185E">
        <w:rPr>
          <w:lang w:val="es-419"/>
        </w:rPr>
        <w:fldChar w:fldCharType="end"/>
      </w:r>
      <w:r w:rsidRPr="00FA185E">
        <w:rPr>
          <w:lang w:val="es-419"/>
        </w:rPr>
        <w:t xml:space="preserve"> el TC convino en que la orientación que figura en el documento</w:t>
      </w:r>
      <w:r w:rsidR="00B23B18">
        <w:rPr>
          <w:lang w:val="es-419"/>
        </w:rPr>
        <w:t xml:space="preserve"> </w:t>
      </w:r>
      <w:r w:rsidRPr="00FA185E">
        <w:rPr>
          <w:lang w:val="es-419"/>
        </w:rPr>
        <w:t>TGP/8/2: parte</w:t>
      </w:r>
      <w:r w:rsidR="00B23B18">
        <w:rPr>
          <w:lang w:val="es-419"/>
        </w:rPr>
        <w:t xml:space="preserve"> </w:t>
      </w:r>
      <w:r w:rsidRPr="00FA185E">
        <w:rPr>
          <w:lang w:val="es-419"/>
        </w:rPr>
        <w:t>II: sección</w:t>
      </w:r>
      <w:r w:rsidR="00B23B18">
        <w:rPr>
          <w:lang w:val="es-419"/>
        </w:rPr>
        <w:t xml:space="preserve"> </w:t>
      </w:r>
      <w:r w:rsidRPr="00FA185E">
        <w:rPr>
          <w:lang w:val="es-419"/>
        </w:rPr>
        <w:t xml:space="preserve">8: subsección 8.1.7 se sustituya por una referencia a la nueva orientación relativa a la “Evaluación de la homogeneidad sobre la base de las plantas fuera de tipo mediante la observación de más de un ciclo de cultivo o mediante la observación de </w:t>
      </w:r>
      <w:proofErr w:type="spellStart"/>
      <w:r w:rsidRPr="00FA185E">
        <w:rPr>
          <w:lang w:val="es-419"/>
        </w:rPr>
        <w:t>submuestras</w:t>
      </w:r>
      <w:proofErr w:type="spellEnd"/>
      <w:r w:rsidRPr="00FA185E">
        <w:rPr>
          <w:lang w:val="es-419"/>
        </w:rPr>
        <w:t>” que se ha de incluir en el documento</w:t>
      </w:r>
      <w:r w:rsidR="00B23B18">
        <w:rPr>
          <w:lang w:val="es-419"/>
        </w:rPr>
        <w:t xml:space="preserve"> </w:t>
      </w:r>
      <w:r w:rsidRPr="00FA185E">
        <w:rPr>
          <w:lang w:val="es-419"/>
        </w:rPr>
        <w:t>TGP/10 “Examen de la homogeneidad”.</w:t>
      </w:r>
      <w:r w:rsidRPr="00FA185E">
        <w:rPr>
          <w:rStyle w:val="FootnoteReference"/>
          <w:lang w:val="es-419"/>
        </w:rPr>
        <w:footnoteReference w:id="10"/>
      </w:r>
    </w:p>
    <w:p w:rsidR="00914865" w:rsidRPr="00FA185E" w:rsidRDefault="00914865" w:rsidP="00914865">
      <w:pPr>
        <w:rPr>
          <w:lang w:val="es-419"/>
        </w:rPr>
      </w:pPr>
    </w:p>
    <w:p w:rsidR="00914865" w:rsidRPr="00FA185E" w:rsidRDefault="00914865" w:rsidP="00914865">
      <w:pPr>
        <w:rPr>
          <w:spacing w:val="-2"/>
          <w:lang w:val="es-419"/>
        </w:rPr>
      </w:pPr>
      <w:r w:rsidRPr="00FA185E">
        <w:rPr>
          <w:spacing w:val="-2"/>
          <w:lang w:val="es-419"/>
        </w:rPr>
        <w:fldChar w:fldCharType="begin"/>
      </w:r>
      <w:r w:rsidRPr="00FA185E">
        <w:rPr>
          <w:spacing w:val="-2"/>
          <w:lang w:val="es-419"/>
        </w:rPr>
        <w:instrText xml:space="preserve"> AUTONUM  </w:instrText>
      </w:r>
      <w:r w:rsidRPr="00FA185E">
        <w:rPr>
          <w:spacing w:val="-2"/>
          <w:lang w:val="es-419"/>
        </w:rPr>
        <w:fldChar w:fldCharType="end"/>
      </w:r>
      <w:r w:rsidRPr="00FA185E">
        <w:rPr>
          <w:lang w:val="es-419"/>
        </w:rPr>
        <w:tab/>
        <w:t>Con arreglo a lo anterior, el TC convino en que la revisión del documento</w:t>
      </w:r>
      <w:r w:rsidR="00B23B18">
        <w:rPr>
          <w:lang w:val="es-419"/>
        </w:rPr>
        <w:t xml:space="preserve"> </w:t>
      </w:r>
      <w:r w:rsidRPr="00FA185E">
        <w:rPr>
          <w:lang w:val="es-419"/>
        </w:rPr>
        <w:t>TGP/8/3 (documento</w:t>
      </w:r>
      <w:r w:rsidR="00B23B18">
        <w:rPr>
          <w:lang w:val="es-419"/>
        </w:rPr>
        <w:t xml:space="preserve"> </w:t>
      </w:r>
      <w:r w:rsidRPr="00FA185E">
        <w:rPr>
          <w:lang w:val="es-419"/>
        </w:rPr>
        <w:t>TGP/8/4</w:t>
      </w:r>
      <w:r w:rsidR="00B23B18">
        <w:rPr>
          <w:lang w:val="es-419"/>
        </w:rPr>
        <w:t> </w:t>
      </w:r>
      <w:proofErr w:type="spellStart"/>
      <w:r w:rsidR="00B23B18">
        <w:rPr>
          <w:lang w:val="es-419"/>
        </w:rPr>
        <w:t>Draft</w:t>
      </w:r>
      <w:proofErr w:type="spellEnd"/>
      <w:r w:rsidR="00B23B18">
        <w:rPr>
          <w:lang w:val="es-419"/>
        </w:rPr>
        <w:t> 1</w:t>
      </w:r>
      <w:r w:rsidRPr="00FA185E">
        <w:rPr>
          <w:lang w:val="es-419"/>
        </w:rPr>
        <w:t>) se someta a la aprobación del Consejo en su quincuagésima tercera sesión ordinaria, a reserva de la aprobación del</w:t>
      </w:r>
      <w:r w:rsidR="00B23B18">
        <w:rPr>
          <w:lang w:val="es-419"/>
        </w:rPr>
        <w:t xml:space="preserve"> </w:t>
      </w:r>
      <w:r w:rsidRPr="00FA185E">
        <w:rPr>
          <w:lang w:val="es-419"/>
        </w:rPr>
        <w:t>CAJ en su septuagésima</w:t>
      </w:r>
      <w:r w:rsidR="00B23B18">
        <w:rPr>
          <w:lang w:val="es-419"/>
        </w:rPr>
        <w:t xml:space="preserve"> </w:t>
      </w:r>
      <w:r w:rsidRPr="00FA185E">
        <w:rPr>
          <w:lang w:val="es-419"/>
        </w:rPr>
        <w:t>sexta sesión.</w:t>
      </w:r>
      <w:r w:rsidRPr="00FA185E">
        <w:rPr>
          <w:spacing w:val="-2"/>
          <w:vertAlign w:val="superscript"/>
          <w:lang w:val="es-419"/>
        </w:rPr>
        <w:fldChar w:fldCharType="begin"/>
      </w:r>
      <w:r w:rsidRPr="00FA185E">
        <w:rPr>
          <w:spacing w:val="-2"/>
          <w:vertAlign w:val="superscript"/>
          <w:lang w:val="es-419"/>
        </w:rPr>
        <w:instrText xml:space="preserve"> NOTEREF _Ref12539207 \h  \* MERGEFORMAT </w:instrText>
      </w:r>
      <w:r w:rsidRPr="00FA185E">
        <w:rPr>
          <w:spacing w:val="-2"/>
          <w:vertAlign w:val="superscript"/>
          <w:lang w:val="es-419"/>
        </w:rPr>
      </w:r>
      <w:r w:rsidRPr="00FA185E">
        <w:rPr>
          <w:spacing w:val="-2"/>
          <w:vertAlign w:val="superscript"/>
          <w:lang w:val="es-419"/>
        </w:rPr>
        <w:fldChar w:fldCharType="separate"/>
      </w:r>
      <w:r w:rsidRPr="00FA185E">
        <w:rPr>
          <w:spacing w:val="-2"/>
          <w:vertAlign w:val="superscript"/>
          <w:lang w:val="es-419"/>
        </w:rPr>
        <w:t>8</w:t>
      </w:r>
      <w:r w:rsidRPr="00FA185E">
        <w:rPr>
          <w:spacing w:val="-2"/>
          <w:vertAlign w:val="superscript"/>
          <w:lang w:val="es-419"/>
        </w:rPr>
        <w:fldChar w:fldCharType="end"/>
      </w:r>
      <w:r w:rsidR="00AF1302" w:rsidRPr="00FA185E">
        <w:rPr>
          <w:lang w:val="es-419"/>
        </w:rPr>
        <w:t xml:space="preserve"> </w:t>
      </w:r>
    </w:p>
    <w:p w:rsidR="00914865" w:rsidRPr="00FA185E" w:rsidRDefault="00914865" w:rsidP="00914865">
      <w:pPr>
        <w:rPr>
          <w:spacing w:val="-2"/>
          <w:lang w:val="es-419"/>
        </w:rPr>
      </w:pPr>
    </w:p>
    <w:p w:rsidR="00914865" w:rsidRPr="00FA185E" w:rsidRDefault="00914865" w:rsidP="00914865">
      <w:pPr>
        <w:rPr>
          <w:bCs/>
          <w:snapToGrid w:val="0"/>
          <w:szCs w:val="24"/>
          <w:lang w:val="es-419"/>
        </w:rPr>
      </w:pPr>
      <w:r w:rsidRPr="00FA185E">
        <w:rPr>
          <w:spacing w:val="-2"/>
          <w:lang w:val="es-419"/>
        </w:rPr>
        <w:fldChar w:fldCharType="begin"/>
      </w:r>
      <w:r w:rsidRPr="00FA185E">
        <w:rPr>
          <w:spacing w:val="-2"/>
          <w:lang w:val="es-419"/>
        </w:rPr>
        <w:instrText xml:space="preserve"> AUTONUM  </w:instrText>
      </w:r>
      <w:r w:rsidRPr="00FA185E">
        <w:rPr>
          <w:spacing w:val="-2"/>
          <w:lang w:val="es-419"/>
        </w:rPr>
        <w:fldChar w:fldCharType="end"/>
      </w:r>
      <w:r w:rsidRPr="00FA185E">
        <w:rPr>
          <w:lang w:val="es-419"/>
        </w:rPr>
        <w:tab/>
        <w:t>Los respectivos miembros del Comité de Redacción han revisado las traducciones al alemán, español y francés del texto original en inglés antes de que se presente al Consejo el proyecto de documento</w:t>
      </w:r>
      <w:r w:rsidR="00B23B18">
        <w:rPr>
          <w:lang w:val="es-419"/>
        </w:rPr>
        <w:t xml:space="preserve"> </w:t>
      </w:r>
      <w:r w:rsidRPr="00FA185E">
        <w:rPr>
          <w:lang w:val="es-419"/>
        </w:rPr>
        <w:t>TGP/8/4.</w:t>
      </w:r>
      <w:r w:rsidR="00AF1302" w:rsidRPr="00FA185E">
        <w:rPr>
          <w:lang w:val="es-419"/>
        </w:rPr>
        <w:t xml:space="preserve"> </w:t>
      </w:r>
      <w:r w:rsidRPr="00FA185E">
        <w:rPr>
          <w:lang w:val="es-419"/>
        </w:rPr>
        <w:t>El documento TGP/8/4</w:t>
      </w:r>
      <w:r w:rsidR="00B23B18">
        <w:rPr>
          <w:lang w:val="es-419"/>
        </w:rPr>
        <w:t> </w:t>
      </w:r>
      <w:proofErr w:type="spellStart"/>
      <w:r w:rsidR="00B23B18">
        <w:rPr>
          <w:lang w:val="es-419"/>
        </w:rPr>
        <w:t>Draft</w:t>
      </w:r>
      <w:proofErr w:type="spellEnd"/>
      <w:r w:rsidR="00B23B18">
        <w:rPr>
          <w:lang w:val="es-419"/>
        </w:rPr>
        <w:t> 1</w:t>
      </w:r>
      <w:r w:rsidRPr="00FA185E">
        <w:rPr>
          <w:lang w:val="es-419"/>
        </w:rPr>
        <w:t xml:space="preserve"> incorpora las enmiendas acordadas por el TC, expuestas en el Anexo</w:t>
      </w:r>
      <w:r w:rsidR="00B23B18">
        <w:rPr>
          <w:lang w:val="es-419"/>
        </w:rPr>
        <w:t xml:space="preserve"> </w:t>
      </w:r>
      <w:r w:rsidRPr="00FA185E">
        <w:rPr>
          <w:lang w:val="es-419"/>
        </w:rPr>
        <w:t>II del presente documento (con marcas de revisión), y los cambios lingüísticos efectuados por los respectivos miembros del Comité de Redacción.</w:t>
      </w:r>
    </w:p>
    <w:p w:rsidR="00914865" w:rsidRPr="00FA185E" w:rsidRDefault="00914865" w:rsidP="00914865">
      <w:pPr>
        <w:rPr>
          <w:bCs/>
          <w:snapToGrid w:val="0"/>
          <w:szCs w:val="24"/>
          <w:lang w:val="es-419"/>
        </w:rPr>
      </w:pPr>
    </w:p>
    <w:p w:rsidR="00914865" w:rsidRPr="00FA185E" w:rsidRDefault="00914865" w:rsidP="00914865">
      <w:pPr>
        <w:rPr>
          <w:lang w:val="es-419"/>
        </w:rPr>
      </w:pPr>
      <w:r w:rsidRPr="00FA185E">
        <w:rPr>
          <w:lang w:val="es-419"/>
        </w:rPr>
        <w:fldChar w:fldCharType="begin"/>
      </w:r>
      <w:r w:rsidRPr="00FA185E">
        <w:rPr>
          <w:lang w:val="es-419"/>
        </w:rPr>
        <w:instrText xml:space="preserve"> AUTONUM  </w:instrText>
      </w:r>
      <w:r w:rsidRPr="00FA185E">
        <w:rPr>
          <w:lang w:val="es-419"/>
        </w:rPr>
        <w:fldChar w:fldCharType="end"/>
      </w:r>
      <w:r w:rsidRPr="00FA185E">
        <w:rPr>
          <w:lang w:val="es-419"/>
        </w:rPr>
        <w:tab/>
        <w:t>En su quincuagésima quinta sesión,</w:t>
      </w:r>
      <w:r w:rsidRPr="00FA185E">
        <w:rPr>
          <w:vertAlign w:val="superscript"/>
          <w:lang w:val="es-419"/>
        </w:rPr>
        <w:fldChar w:fldCharType="begin"/>
      </w:r>
      <w:r w:rsidRPr="00FA185E">
        <w:rPr>
          <w:vertAlign w:val="superscript"/>
          <w:lang w:val="es-419"/>
        </w:rPr>
        <w:instrText xml:space="preserve"> NOTEREF _Ref13574983 \h  \* MERGEFORMAT </w:instrText>
      </w:r>
      <w:r w:rsidRPr="00FA185E">
        <w:rPr>
          <w:vertAlign w:val="superscript"/>
          <w:lang w:val="es-419"/>
        </w:rPr>
      </w:r>
      <w:r w:rsidRPr="00FA185E">
        <w:rPr>
          <w:vertAlign w:val="superscript"/>
          <w:lang w:val="es-419"/>
        </w:rPr>
        <w:fldChar w:fldCharType="separate"/>
      </w:r>
      <w:r w:rsidRPr="00FA185E">
        <w:rPr>
          <w:vertAlign w:val="superscript"/>
          <w:lang w:val="es-419"/>
        </w:rPr>
        <w:t>1</w:t>
      </w:r>
      <w:r w:rsidRPr="00FA185E">
        <w:rPr>
          <w:vertAlign w:val="superscript"/>
          <w:lang w:val="es-419"/>
        </w:rPr>
        <w:fldChar w:fldCharType="end"/>
      </w:r>
      <w:r w:rsidRPr="00FA185E">
        <w:rPr>
          <w:lang w:val="es-419"/>
        </w:rPr>
        <w:t xml:space="preserve"> el</w:t>
      </w:r>
      <w:r w:rsidR="00B23B18">
        <w:rPr>
          <w:lang w:val="es-419"/>
        </w:rPr>
        <w:t xml:space="preserve"> </w:t>
      </w:r>
      <w:r w:rsidRPr="00FA185E">
        <w:rPr>
          <w:lang w:val="es-419"/>
        </w:rPr>
        <w:t>TC examinará el documento</w:t>
      </w:r>
      <w:r w:rsidR="00B23B18">
        <w:rPr>
          <w:lang w:val="es-419"/>
        </w:rPr>
        <w:t xml:space="preserve"> </w:t>
      </w:r>
      <w:r w:rsidRPr="00FA185E">
        <w:rPr>
          <w:lang w:val="es-419"/>
        </w:rPr>
        <w:t>TGP/8/4</w:t>
      </w:r>
      <w:r w:rsidR="00B23B18">
        <w:rPr>
          <w:lang w:val="es-419"/>
        </w:rPr>
        <w:t> </w:t>
      </w:r>
      <w:proofErr w:type="spellStart"/>
      <w:r w:rsidR="00B23B18">
        <w:rPr>
          <w:lang w:val="es-419"/>
        </w:rPr>
        <w:t>Draft</w:t>
      </w:r>
      <w:proofErr w:type="spellEnd"/>
      <w:r w:rsidR="00B23B18">
        <w:rPr>
          <w:lang w:val="es-419"/>
        </w:rPr>
        <w:t> 1</w:t>
      </w:r>
      <w:r w:rsidRPr="00FA185E">
        <w:rPr>
          <w:lang w:val="es-419"/>
        </w:rPr>
        <w:t>.</w:t>
      </w:r>
      <w:r w:rsidR="00AF1302" w:rsidRPr="00FA185E">
        <w:rPr>
          <w:lang w:val="es-419"/>
        </w:rPr>
        <w:t xml:space="preserve"> </w:t>
      </w:r>
      <w:r w:rsidRPr="00FA185E">
        <w:rPr>
          <w:lang w:val="es-419"/>
        </w:rPr>
        <w:t>Las observaciones formuladas por el</w:t>
      </w:r>
      <w:r w:rsidR="00B23B18">
        <w:rPr>
          <w:lang w:val="es-419"/>
        </w:rPr>
        <w:t xml:space="preserve"> </w:t>
      </w:r>
      <w:r w:rsidRPr="00FA185E">
        <w:rPr>
          <w:lang w:val="es-419"/>
        </w:rPr>
        <w:t>TC se notificarán al</w:t>
      </w:r>
      <w:r w:rsidR="00B23B18">
        <w:rPr>
          <w:lang w:val="es-419"/>
        </w:rPr>
        <w:t xml:space="preserve"> </w:t>
      </w:r>
      <w:r w:rsidRPr="00FA185E">
        <w:rPr>
          <w:lang w:val="es-419"/>
        </w:rPr>
        <w:t>CAJ en su septuagésima sexta sesión.</w:t>
      </w:r>
      <w:r w:rsidRPr="00FA185E">
        <w:rPr>
          <w:lang w:val="es-419"/>
        </w:rPr>
        <w:fldChar w:fldCharType="begin"/>
      </w:r>
      <w:r w:rsidRPr="00FA185E">
        <w:rPr>
          <w:lang w:val="es-419"/>
        </w:rPr>
        <w:instrText xml:space="preserve"> NOTEREF _Ref12539207 \f \h </w:instrText>
      </w:r>
      <w:r w:rsidRPr="00FA185E">
        <w:rPr>
          <w:lang w:val="es-419"/>
        </w:rPr>
      </w:r>
      <w:r w:rsidRPr="00FA185E">
        <w:rPr>
          <w:lang w:val="es-419"/>
        </w:rPr>
        <w:fldChar w:fldCharType="separate"/>
      </w:r>
      <w:r w:rsidRPr="00FA185E">
        <w:rPr>
          <w:rStyle w:val="FootnoteReference"/>
          <w:lang w:val="es-419"/>
        </w:rPr>
        <w:t>8</w:t>
      </w:r>
      <w:r w:rsidRPr="00FA185E">
        <w:rPr>
          <w:lang w:val="es-419"/>
        </w:rPr>
        <w:fldChar w:fldCharType="end"/>
      </w:r>
    </w:p>
    <w:p w:rsidR="00914865" w:rsidRPr="00FA185E" w:rsidRDefault="00914865" w:rsidP="00914865">
      <w:pPr>
        <w:rPr>
          <w:lang w:val="es-419"/>
        </w:rPr>
      </w:pPr>
    </w:p>
    <w:p w:rsidR="00914865" w:rsidRPr="00FA185E" w:rsidRDefault="00914865" w:rsidP="007B4805">
      <w:pPr>
        <w:pStyle w:val="DecisionParagraphs"/>
        <w:keepLines/>
        <w:rPr>
          <w:lang w:val="es-419"/>
        </w:rPr>
      </w:pPr>
      <w:r w:rsidRPr="00FA185E">
        <w:rPr>
          <w:lang w:val="es-419"/>
        </w:rPr>
        <w:lastRenderedPageBreak/>
        <w:fldChar w:fldCharType="begin"/>
      </w:r>
      <w:r w:rsidRPr="00FA185E">
        <w:rPr>
          <w:lang w:val="es-419"/>
        </w:rPr>
        <w:instrText xml:space="preserve"> AUTONUM  </w:instrText>
      </w:r>
      <w:r w:rsidRPr="00FA185E">
        <w:rPr>
          <w:lang w:val="es-419"/>
        </w:rPr>
        <w:fldChar w:fldCharType="end"/>
      </w:r>
      <w:r w:rsidRPr="00FA185E">
        <w:rPr>
          <w:lang w:val="es-419"/>
        </w:rPr>
        <w:tab/>
        <w:t>Se invita al CAJ a examinar la revisión del documento TGP/8 “Diseño de ensayos y técnicas utilizados en el examen de la distinción, la homogeneidad y la estabilidad”, sobre la base del documento</w:t>
      </w:r>
      <w:r w:rsidR="00B23B18">
        <w:rPr>
          <w:lang w:val="es-419"/>
        </w:rPr>
        <w:t xml:space="preserve"> </w:t>
      </w:r>
      <w:r w:rsidRPr="00FA185E">
        <w:rPr>
          <w:lang w:val="es-419"/>
        </w:rPr>
        <w:t>TGP/8/4</w:t>
      </w:r>
      <w:r w:rsidR="00B23B18">
        <w:rPr>
          <w:lang w:val="es-419"/>
        </w:rPr>
        <w:t> </w:t>
      </w:r>
      <w:proofErr w:type="spellStart"/>
      <w:r w:rsidR="00B23B18">
        <w:rPr>
          <w:lang w:val="es-419"/>
        </w:rPr>
        <w:t>Draft</w:t>
      </w:r>
      <w:proofErr w:type="spellEnd"/>
      <w:r w:rsidR="00B23B18">
        <w:rPr>
          <w:lang w:val="es-419"/>
        </w:rPr>
        <w:t> 1</w:t>
      </w:r>
      <w:r w:rsidRPr="00FA185E">
        <w:rPr>
          <w:lang w:val="es-419"/>
        </w:rPr>
        <w:t>, teniendo en cuenta las conclusiones del</w:t>
      </w:r>
      <w:r w:rsidR="00B23B18">
        <w:rPr>
          <w:lang w:val="es-419"/>
        </w:rPr>
        <w:t xml:space="preserve"> </w:t>
      </w:r>
      <w:r w:rsidRPr="00FA185E">
        <w:rPr>
          <w:lang w:val="es-419"/>
        </w:rPr>
        <w:t>TC en su quincuagésima</w:t>
      </w:r>
      <w:r w:rsidR="00B23B18">
        <w:rPr>
          <w:lang w:val="es-419"/>
        </w:rPr>
        <w:t xml:space="preserve"> </w:t>
      </w:r>
      <w:r w:rsidRPr="00FA185E">
        <w:rPr>
          <w:lang w:val="es-419"/>
        </w:rPr>
        <w:t xml:space="preserve">quinta sesión. </w:t>
      </w:r>
    </w:p>
    <w:p w:rsidR="00914865" w:rsidRDefault="00914865" w:rsidP="00914865">
      <w:pPr>
        <w:rPr>
          <w:lang w:val="es-419"/>
        </w:rPr>
      </w:pPr>
    </w:p>
    <w:p w:rsidR="007B4805" w:rsidRPr="00FA185E" w:rsidRDefault="007B4805" w:rsidP="00914865">
      <w:pPr>
        <w:rPr>
          <w:lang w:val="es-419"/>
        </w:rPr>
      </w:pPr>
    </w:p>
    <w:p w:rsidR="00914865" w:rsidRPr="00FA185E" w:rsidRDefault="00914865" w:rsidP="00914865">
      <w:pPr>
        <w:pStyle w:val="Heading2"/>
        <w:rPr>
          <w:lang w:val="es-419"/>
        </w:rPr>
      </w:pPr>
      <w:bookmarkStart w:id="31" w:name="_Toc519608630"/>
      <w:bookmarkStart w:id="32" w:name="_Toc13581188"/>
      <w:bookmarkStart w:id="33" w:name="_Toc15650745"/>
      <w:r w:rsidRPr="00FA185E">
        <w:rPr>
          <w:lang w:val="es-419"/>
        </w:rPr>
        <w:t>Documento</w:t>
      </w:r>
      <w:r w:rsidR="00B23B18">
        <w:rPr>
          <w:lang w:val="es-419"/>
        </w:rPr>
        <w:t xml:space="preserve"> </w:t>
      </w:r>
      <w:r w:rsidRPr="00FA185E">
        <w:rPr>
          <w:lang w:val="es-419"/>
        </w:rPr>
        <w:t>TGP/10: Examen de la homogeneidad</w:t>
      </w:r>
      <w:bookmarkEnd w:id="31"/>
      <w:r w:rsidRPr="00FA185E">
        <w:rPr>
          <w:lang w:val="es-419"/>
        </w:rPr>
        <w:t xml:space="preserve"> (revisión) (documento TGP/10/2</w:t>
      </w:r>
      <w:r w:rsidR="00B23B18">
        <w:rPr>
          <w:lang w:val="es-419"/>
        </w:rPr>
        <w:t> </w:t>
      </w:r>
      <w:proofErr w:type="spellStart"/>
      <w:r w:rsidR="00B23B18">
        <w:rPr>
          <w:lang w:val="es-419"/>
        </w:rPr>
        <w:t>Draft</w:t>
      </w:r>
      <w:proofErr w:type="spellEnd"/>
      <w:r w:rsidR="00B23B18">
        <w:rPr>
          <w:lang w:val="es-419"/>
        </w:rPr>
        <w:t> 1</w:t>
      </w:r>
      <w:r w:rsidRPr="00FA185E">
        <w:rPr>
          <w:lang w:val="es-419"/>
        </w:rPr>
        <w:t>)</w:t>
      </w:r>
      <w:bookmarkEnd w:id="32"/>
      <w:bookmarkEnd w:id="33"/>
    </w:p>
    <w:p w:rsidR="00914865" w:rsidRPr="00FA185E" w:rsidRDefault="00914865" w:rsidP="00914865">
      <w:pPr>
        <w:keepNext/>
        <w:rPr>
          <w:rFonts w:eastAsia="MS Mincho"/>
          <w:i/>
          <w:lang w:val="es-419"/>
        </w:rPr>
      </w:pPr>
    </w:p>
    <w:p w:rsidR="00914865" w:rsidRPr="00FA185E" w:rsidRDefault="00914865" w:rsidP="00914865">
      <w:pPr>
        <w:keepNext/>
        <w:rPr>
          <w:lang w:val="es-419"/>
        </w:rPr>
      </w:pPr>
      <w:r w:rsidRPr="00FA185E">
        <w:rPr>
          <w:lang w:val="es-419"/>
        </w:rPr>
        <w:fldChar w:fldCharType="begin"/>
      </w:r>
      <w:r w:rsidRPr="00FA185E">
        <w:rPr>
          <w:lang w:val="es-419"/>
        </w:rPr>
        <w:instrText xml:space="preserve"> AUTONUM  </w:instrText>
      </w:r>
      <w:r w:rsidRPr="00FA185E">
        <w:rPr>
          <w:lang w:val="es-419"/>
        </w:rPr>
        <w:fldChar w:fldCharType="end"/>
      </w:r>
      <w:r w:rsidRPr="00FA185E">
        <w:rPr>
          <w:lang w:val="es-419"/>
        </w:rPr>
        <w:tab/>
        <w:t>En su quincuagésima cuarta sesión,</w:t>
      </w:r>
      <w:r w:rsidRPr="00FA185E">
        <w:rPr>
          <w:lang w:val="es-419"/>
        </w:rPr>
        <w:fldChar w:fldCharType="begin"/>
      </w:r>
      <w:r w:rsidRPr="00FA185E">
        <w:rPr>
          <w:lang w:val="es-419"/>
        </w:rPr>
        <w:instrText xml:space="preserve"> NOTEREF _Ref12538883 \f \h </w:instrText>
      </w:r>
      <w:r w:rsidRPr="00FA185E">
        <w:rPr>
          <w:lang w:val="es-419"/>
        </w:rPr>
      </w:r>
      <w:r w:rsidRPr="00FA185E">
        <w:rPr>
          <w:lang w:val="es-419"/>
        </w:rPr>
        <w:fldChar w:fldCharType="separate"/>
      </w:r>
      <w:r w:rsidRPr="00FA185E">
        <w:rPr>
          <w:rStyle w:val="FootnoteReference"/>
          <w:lang w:val="es-419"/>
        </w:rPr>
        <w:t>2</w:t>
      </w:r>
      <w:r w:rsidRPr="00FA185E">
        <w:rPr>
          <w:lang w:val="es-419"/>
        </w:rPr>
        <w:fldChar w:fldCharType="end"/>
      </w:r>
      <w:r w:rsidRPr="00FA185E">
        <w:rPr>
          <w:lang w:val="es-419"/>
        </w:rPr>
        <w:t xml:space="preserve"> el TC convino en que el proyecto de orientación acerca de la </w:t>
      </w:r>
      <w:r w:rsidRPr="00FA185E">
        <w:rPr>
          <w:color w:val="000000"/>
          <w:lang w:val="es-419"/>
        </w:rPr>
        <w:t xml:space="preserve">“Evaluación de la homogeneidad sobre la base de las plantas fuera de tipo mediante la observación de más de un ciclo de cultivo o mediante la observación de </w:t>
      </w:r>
      <w:proofErr w:type="spellStart"/>
      <w:r w:rsidRPr="00FA185E">
        <w:rPr>
          <w:color w:val="000000"/>
          <w:lang w:val="es-419"/>
        </w:rPr>
        <w:t>submuestras</w:t>
      </w:r>
      <w:proofErr w:type="spellEnd"/>
      <w:r w:rsidRPr="00FA185E">
        <w:rPr>
          <w:color w:val="000000"/>
          <w:lang w:val="es-419"/>
        </w:rPr>
        <w:t>”</w:t>
      </w:r>
      <w:r w:rsidRPr="00FA185E">
        <w:rPr>
          <w:lang w:val="es-419"/>
        </w:rPr>
        <w:t xml:space="preserve"> se someta a la aprobación del Consejo con el objeto de incluirlo en una futura revisión del documento</w:t>
      </w:r>
      <w:r w:rsidR="00B23B18">
        <w:rPr>
          <w:lang w:val="es-419"/>
        </w:rPr>
        <w:t xml:space="preserve"> </w:t>
      </w:r>
      <w:r w:rsidRPr="00FA185E">
        <w:rPr>
          <w:lang w:val="es-419"/>
        </w:rPr>
        <w:t>TGP/10 “Examen de la homogeneidad”</w:t>
      </w:r>
      <w:r w:rsidRPr="00FA185E">
        <w:rPr>
          <w:color w:val="000000"/>
          <w:lang w:val="es-419"/>
        </w:rPr>
        <w:t>.</w:t>
      </w:r>
      <w:r w:rsidRPr="00FA185E">
        <w:rPr>
          <w:rStyle w:val="FootnoteReference"/>
          <w:lang w:val="es-419"/>
        </w:rPr>
        <w:footnoteReference w:id="11"/>
      </w:r>
      <w:r w:rsidR="00AF1302" w:rsidRPr="00FA185E">
        <w:rPr>
          <w:color w:val="000000"/>
          <w:lang w:val="es-419"/>
        </w:rPr>
        <w:t xml:space="preserve"> </w:t>
      </w:r>
    </w:p>
    <w:p w:rsidR="00914865" w:rsidRPr="00FA185E" w:rsidRDefault="00914865" w:rsidP="00914865">
      <w:pPr>
        <w:rPr>
          <w:lang w:val="es-419"/>
        </w:rPr>
      </w:pPr>
    </w:p>
    <w:p w:rsidR="00914865" w:rsidRPr="00FA185E" w:rsidRDefault="00914865" w:rsidP="00914865">
      <w:pPr>
        <w:rPr>
          <w:bCs/>
          <w:snapToGrid w:val="0"/>
          <w:szCs w:val="24"/>
          <w:lang w:val="es-419"/>
        </w:rPr>
      </w:pPr>
      <w:r w:rsidRPr="00FA185E">
        <w:rPr>
          <w:spacing w:val="-2"/>
          <w:lang w:val="es-419"/>
        </w:rPr>
        <w:fldChar w:fldCharType="begin"/>
      </w:r>
      <w:r w:rsidRPr="00FA185E">
        <w:rPr>
          <w:spacing w:val="-2"/>
          <w:lang w:val="es-419"/>
        </w:rPr>
        <w:instrText xml:space="preserve"> AUTONUM  </w:instrText>
      </w:r>
      <w:r w:rsidRPr="00FA185E">
        <w:rPr>
          <w:spacing w:val="-2"/>
          <w:lang w:val="es-419"/>
        </w:rPr>
        <w:fldChar w:fldCharType="end"/>
      </w:r>
      <w:r w:rsidRPr="00FA185E">
        <w:rPr>
          <w:lang w:val="es-419"/>
        </w:rPr>
        <w:tab/>
        <w:t>Los respectivos miembros del Comité de Redacción han revisado las traducciones al alemán, español y francés del texto original en inglés antes de que se presente al Consejo el proyecto de documento</w:t>
      </w:r>
      <w:r w:rsidR="00B23B18">
        <w:rPr>
          <w:lang w:val="es-419"/>
        </w:rPr>
        <w:t xml:space="preserve"> </w:t>
      </w:r>
      <w:r w:rsidRPr="00FA185E">
        <w:rPr>
          <w:lang w:val="es-419"/>
        </w:rPr>
        <w:t>TGP/10/2.</w:t>
      </w:r>
      <w:r w:rsidR="00AF1302" w:rsidRPr="00FA185E">
        <w:rPr>
          <w:lang w:val="es-419"/>
        </w:rPr>
        <w:t xml:space="preserve"> </w:t>
      </w:r>
      <w:r w:rsidRPr="00FA185E">
        <w:rPr>
          <w:lang w:val="es-419"/>
        </w:rPr>
        <w:t>El documento</w:t>
      </w:r>
      <w:r w:rsidR="00B23B18">
        <w:rPr>
          <w:lang w:val="es-419"/>
        </w:rPr>
        <w:t xml:space="preserve"> </w:t>
      </w:r>
      <w:r w:rsidRPr="00FA185E">
        <w:rPr>
          <w:lang w:val="es-419"/>
        </w:rPr>
        <w:t>TGP/10/2</w:t>
      </w:r>
      <w:r w:rsidR="00B23B18">
        <w:rPr>
          <w:lang w:val="es-419"/>
        </w:rPr>
        <w:t> </w:t>
      </w:r>
      <w:proofErr w:type="spellStart"/>
      <w:r w:rsidR="00B23B18">
        <w:rPr>
          <w:lang w:val="es-419"/>
        </w:rPr>
        <w:t>Draft</w:t>
      </w:r>
      <w:proofErr w:type="spellEnd"/>
      <w:r w:rsidR="00B23B18">
        <w:rPr>
          <w:lang w:val="es-419"/>
        </w:rPr>
        <w:t> 1</w:t>
      </w:r>
      <w:r w:rsidRPr="00FA185E">
        <w:rPr>
          <w:lang w:val="es-419"/>
        </w:rPr>
        <w:t xml:space="preserve"> incorpora las enmiendas acordadas por el TC, expuestas en el Anexo</w:t>
      </w:r>
      <w:r w:rsidR="00B23B18">
        <w:rPr>
          <w:lang w:val="es-419"/>
        </w:rPr>
        <w:t xml:space="preserve"> </w:t>
      </w:r>
      <w:r w:rsidRPr="00FA185E">
        <w:rPr>
          <w:lang w:val="es-419"/>
        </w:rPr>
        <w:t>III del presente documento, y los cambios lingüísticos efectuados por los respectivos miembros del Comité de Redacción.</w:t>
      </w:r>
    </w:p>
    <w:p w:rsidR="00914865" w:rsidRPr="00FA185E" w:rsidRDefault="00914865" w:rsidP="00914865">
      <w:pPr>
        <w:rPr>
          <w:bCs/>
          <w:snapToGrid w:val="0"/>
          <w:szCs w:val="24"/>
          <w:lang w:val="es-419"/>
        </w:rPr>
      </w:pPr>
    </w:p>
    <w:p w:rsidR="00914865" w:rsidRPr="00FA185E" w:rsidRDefault="00914865" w:rsidP="00914865">
      <w:pPr>
        <w:rPr>
          <w:lang w:val="es-419"/>
        </w:rPr>
      </w:pPr>
      <w:r w:rsidRPr="00FA185E">
        <w:rPr>
          <w:lang w:val="es-419"/>
        </w:rPr>
        <w:fldChar w:fldCharType="begin"/>
      </w:r>
      <w:r w:rsidRPr="00FA185E">
        <w:rPr>
          <w:lang w:val="es-419"/>
        </w:rPr>
        <w:instrText xml:space="preserve"> AUTONUM  </w:instrText>
      </w:r>
      <w:r w:rsidRPr="00FA185E">
        <w:rPr>
          <w:lang w:val="es-419"/>
        </w:rPr>
        <w:fldChar w:fldCharType="end"/>
      </w:r>
      <w:r w:rsidRPr="00FA185E">
        <w:rPr>
          <w:lang w:val="es-419"/>
        </w:rPr>
        <w:tab/>
        <w:t>En su quincuagésima quinta sesión,</w:t>
      </w:r>
      <w:r w:rsidRPr="00FA185E">
        <w:rPr>
          <w:vertAlign w:val="superscript"/>
          <w:lang w:val="es-419"/>
        </w:rPr>
        <w:fldChar w:fldCharType="begin"/>
      </w:r>
      <w:r w:rsidRPr="00FA185E">
        <w:rPr>
          <w:vertAlign w:val="superscript"/>
          <w:lang w:val="es-419"/>
        </w:rPr>
        <w:instrText xml:space="preserve"> NOTEREF _Ref13574983 \h  \* MERGEFORMAT </w:instrText>
      </w:r>
      <w:r w:rsidRPr="00FA185E">
        <w:rPr>
          <w:vertAlign w:val="superscript"/>
          <w:lang w:val="es-419"/>
        </w:rPr>
      </w:r>
      <w:r w:rsidRPr="00FA185E">
        <w:rPr>
          <w:vertAlign w:val="superscript"/>
          <w:lang w:val="es-419"/>
        </w:rPr>
        <w:fldChar w:fldCharType="separate"/>
      </w:r>
      <w:r w:rsidRPr="00FA185E">
        <w:rPr>
          <w:vertAlign w:val="superscript"/>
          <w:lang w:val="es-419"/>
        </w:rPr>
        <w:t>1</w:t>
      </w:r>
      <w:r w:rsidRPr="00FA185E">
        <w:rPr>
          <w:vertAlign w:val="superscript"/>
          <w:lang w:val="es-419"/>
        </w:rPr>
        <w:fldChar w:fldCharType="end"/>
      </w:r>
      <w:r w:rsidRPr="00FA185E">
        <w:rPr>
          <w:lang w:val="es-419"/>
        </w:rPr>
        <w:t xml:space="preserve"> el</w:t>
      </w:r>
      <w:r w:rsidR="00B23B18">
        <w:rPr>
          <w:lang w:val="es-419"/>
        </w:rPr>
        <w:t xml:space="preserve"> </w:t>
      </w:r>
      <w:r w:rsidRPr="00FA185E">
        <w:rPr>
          <w:lang w:val="es-419"/>
        </w:rPr>
        <w:t>TC examinará el documento</w:t>
      </w:r>
      <w:r w:rsidR="00B23B18">
        <w:rPr>
          <w:lang w:val="es-419"/>
        </w:rPr>
        <w:t xml:space="preserve"> </w:t>
      </w:r>
      <w:r w:rsidRPr="00FA185E">
        <w:rPr>
          <w:lang w:val="es-419"/>
        </w:rPr>
        <w:t>TGP/10/2</w:t>
      </w:r>
      <w:r w:rsidR="00B23B18">
        <w:rPr>
          <w:lang w:val="es-419"/>
        </w:rPr>
        <w:t> </w:t>
      </w:r>
      <w:proofErr w:type="spellStart"/>
      <w:r w:rsidR="00B23B18">
        <w:rPr>
          <w:lang w:val="es-419"/>
        </w:rPr>
        <w:t>Draft</w:t>
      </w:r>
      <w:proofErr w:type="spellEnd"/>
      <w:r w:rsidR="00B23B18">
        <w:rPr>
          <w:lang w:val="es-419"/>
        </w:rPr>
        <w:t> 1</w:t>
      </w:r>
      <w:r w:rsidRPr="00FA185E">
        <w:rPr>
          <w:lang w:val="es-419"/>
        </w:rPr>
        <w:t>.</w:t>
      </w:r>
      <w:r w:rsidR="00AF1302" w:rsidRPr="00FA185E">
        <w:rPr>
          <w:lang w:val="es-419"/>
        </w:rPr>
        <w:t xml:space="preserve"> </w:t>
      </w:r>
      <w:r w:rsidRPr="00FA185E">
        <w:rPr>
          <w:lang w:val="es-419"/>
        </w:rPr>
        <w:t>Las observaciones formuladas por el</w:t>
      </w:r>
      <w:r w:rsidR="00B23B18">
        <w:rPr>
          <w:lang w:val="es-419"/>
        </w:rPr>
        <w:t xml:space="preserve"> </w:t>
      </w:r>
      <w:r w:rsidRPr="00FA185E">
        <w:rPr>
          <w:lang w:val="es-419"/>
        </w:rPr>
        <w:t>TC se notificarán al</w:t>
      </w:r>
      <w:r w:rsidR="00B23B18">
        <w:rPr>
          <w:lang w:val="es-419"/>
        </w:rPr>
        <w:t xml:space="preserve"> </w:t>
      </w:r>
      <w:r w:rsidRPr="00FA185E">
        <w:rPr>
          <w:lang w:val="es-419"/>
        </w:rPr>
        <w:t>CAJ en su septuagésima sexta sesión.</w:t>
      </w:r>
      <w:r w:rsidRPr="00FA185E">
        <w:rPr>
          <w:lang w:val="es-419"/>
        </w:rPr>
        <w:fldChar w:fldCharType="begin"/>
      </w:r>
      <w:r w:rsidRPr="00FA185E">
        <w:rPr>
          <w:lang w:val="es-419"/>
        </w:rPr>
        <w:instrText xml:space="preserve"> NOTEREF _Ref12539207 \f \h </w:instrText>
      </w:r>
      <w:r w:rsidRPr="00FA185E">
        <w:rPr>
          <w:lang w:val="es-419"/>
        </w:rPr>
      </w:r>
      <w:r w:rsidRPr="00FA185E">
        <w:rPr>
          <w:lang w:val="es-419"/>
        </w:rPr>
        <w:fldChar w:fldCharType="separate"/>
      </w:r>
      <w:r w:rsidRPr="00FA185E">
        <w:rPr>
          <w:rStyle w:val="FootnoteReference"/>
          <w:lang w:val="es-419"/>
        </w:rPr>
        <w:t>8</w:t>
      </w:r>
      <w:r w:rsidRPr="00FA185E">
        <w:rPr>
          <w:lang w:val="es-419"/>
        </w:rPr>
        <w:fldChar w:fldCharType="end"/>
      </w:r>
    </w:p>
    <w:p w:rsidR="00914865" w:rsidRPr="00FA185E" w:rsidRDefault="00914865" w:rsidP="00914865">
      <w:pPr>
        <w:rPr>
          <w:lang w:val="es-419"/>
        </w:rPr>
      </w:pPr>
    </w:p>
    <w:p w:rsidR="00914865" w:rsidRPr="00FA185E" w:rsidRDefault="00914865" w:rsidP="00914865">
      <w:pPr>
        <w:pStyle w:val="DecisionParagraphs"/>
        <w:rPr>
          <w:lang w:val="es-419"/>
        </w:rPr>
      </w:pPr>
      <w:r w:rsidRPr="00FA185E">
        <w:rPr>
          <w:lang w:val="es-419"/>
        </w:rPr>
        <w:fldChar w:fldCharType="begin"/>
      </w:r>
      <w:r w:rsidRPr="00FA185E">
        <w:rPr>
          <w:lang w:val="es-419"/>
        </w:rPr>
        <w:instrText xml:space="preserve"> AUTONUM  </w:instrText>
      </w:r>
      <w:r w:rsidRPr="00FA185E">
        <w:rPr>
          <w:lang w:val="es-419"/>
        </w:rPr>
        <w:fldChar w:fldCharType="end"/>
      </w:r>
      <w:r w:rsidRPr="00FA185E">
        <w:rPr>
          <w:lang w:val="es-419"/>
        </w:rPr>
        <w:tab/>
        <w:t>Se invita al CAJ a examinar la revisión del documento TGP/10 “Examen de la homogeneidad” (documento</w:t>
      </w:r>
      <w:r w:rsidR="00B23B18">
        <w:rPr>
          <w:lang w:val="es-419"/>
        </w:rPr>
        <w:t xml:space="preserve"> </w:t>
      </w:r>
      <w:r w:rsidRPr="00FA185E">
        <w:rPr>
          <w:lang w:val="es-419"/>
        </w:rPr>
        <w:t>TGP/10/1), sobre la base del documento</w:t>
      </w:r>
      <w:r w:rsidR="00B23B18">
        <w:rPr>
          <w:lang w:val="es-419"/>
        </w:rPr>
        <w:t xml:space="preserve"> </w:t>
      </w:r>
      <w:r w:rsidRPr="00FA185E">
        <w:rPr>
          <w:lang w:val="es-419"/>
        </w:rPr>
        <w:t>TGP/10/2</w:t>
      </w:r>
      <w:r w:rsidR="00B23B18">
        <w:rPr>
          <w:lang w:val="es-419"/>
        </w:rPr>
        <w:t> </w:t>
      </w:r>
      <w:proofErr w:type="spellStart"/>
      <w:r w:rsidR="00B23B18">
        <w:rPr>
          <w:lang w:val="es-419"/>
        </w:rPr>
        <w:t>Draft</w:t>
      </w:r>
      <w:proofErr w:type="spellEnd"/>
      <w:r w:rsidR="00B23B18">
        <w:rPr>
          <w:lang w:val="es-419"/>
        </w:rPr>
        <w:t> 1</w:t>
      </w:r>
      <w:r w:rsidRPr="00FA185E">
        <w:rPr>
          <w:lang w:val="es-419"/>
        </w:rPr>
        <w:t>, teniendo en cuenta las conclusiones del</w:t>
      </w:r>
      <w:r w:rsidR="00B23B18">
        <w:rPr>
          <w:lang w:val="es-419"/>
        </w:rPr>
        <w:t xml:space="preserve"> </w:t>
      </w:r>
      <w:r w:rsidRPr="00FA185E">
        <w:rPr>
          <w:lang w:val="es-419"/>
        </w:rPr>
        <w:t>TC en su quincuagésima</w:t>
      </w:r>
      <w:r w:rsidR="00B23B18">
        <w:rPr>
          <w:lang w:val="es-419"/>
        </w:rPr>
        <w:t xml:space="preserve"> </w:t>
      </w:r>
      <w:r w:rsidRPr="00FA185E">
        <w:rPr>
          <w:lang w:val="es-419"/>
        </w:rPr>
        <w:t xml:space="preserve">quinta sesión. </w:t>
      </w:r>
    </w:p>
    <w:p w:rsidR="00914865" w:rsidRPr="00FA185E" w:rsidRDefault="00914865" w:rsidP="00914865">
      <w:pPr>
        <w:rPr>
          <w:lang w:val="es-419"/>
        </w:rPr>
      </w:pPr>
    </w:p>
    <w:p w:rsidR="00914865" w:rsidRPr="00FA185E" w:rsidRDefault="00914865" w:rsidP="00914865">
      <w:pPr>
        <w:rPr>
          <w:lang w:val="es-419"/>
        </w:rPr>
      </w:pPr>
    </w:p>
    <w:p w:rsidR="00914865" w:rsidRPr="00FA185E" w:rsidRDefault="00914865" w:rsidP="00914865">
      <w:pPr>
        <w:keepNext/>
        <w:outlineLvl w:val="1"/>
        <w:rPr>
          <w:u w:val="single"/>
          <w:lang w:val="es-419"/>
        </w:rPr>
      </w:pPr>
      <w:bookmarkStart w:id="34" w:name="_Toc519608632"/>
      <w:bookmarkStart w:id="35" w:name="_Toc13581189"/>
      <w:bookmarkStart w:id="36" w:name="_Toc15650746"/>
      <w:r w:rsidRPr="00FA185E">
        <w:rPr>
          <w:u w:val="single"/>
          <w:lang w:val="es-419"/>
        </w:rPr>
        <w:t>Documento</w:t>
      </w:r>
      <w:r w:rsidR="00B23B18">
        <w:rPr>
          <w:u w:val="single"/>
          <w:lang w:val="es-419"/>
        </w:rPr>
        <w:t xml:space="preserve"> </w:t>
      </w:r>
      <w:r w:rsidRPr="00FA185E">
        <w:rPr>
          <w:u w:val="single"/>
          <w:lang w:val="es-419"/>
        </w:rPr>
        <w:t>TGP/14: Glosario de términos utilizados en los documentos</w:t>
      </w:r>
      <w:bookmarkEnd w:id="34"/>
      <w:r w:rsidRPr="00FA185E">
        <w:rPr>
          <w:u w:val="single"/>
          <w:lang w:val="es-419"/>
        </w:rPr>
        <w:t xml:space="preserve"> de la UPOV (documento</w:t>
      </w:r>
      <w:r w:rsidR="00B23B18">
        <w:rPr>
          <w:u w:val="single"/>
          <w:lang w:val="es-419"/>
        </w:rPr>
        <w:t xml:space="preserve"> </w:t>
      </w:r>
      <w:r w:rsidRPr="00FA185E">
        <w:rPr>
          <w:u w:val="single"/>
          <w:lang w:val="es-419"/>
        </w:rPr>
        <w:t>TGP/14/4</w:t>
      </w:r>
      <w:r w:rsidR="00B23B18">
        <w:rPr>
          <w:u w:val="single"/>
          <w:lang w:val="es-419"/>
        </w:rPr>
        <w:t> </w:t>
      </w:r>
      <w:proofErr w:type="spellStart"/>
      <w:r w:rsidR="00B23B18">
        <w:rPr>
          <w:u w:val="single"/>
          <w:lang w:val="es-419"/>
        </w:rPr>
        <w:t>Draft</w:t>
      </w:r>
      <w:proofErr w:type="spellEnd"/>
      <w:r w:rsidR="00B23B18">
        <w:rPr>
          <w:u w:val="single"/>
          <w:lang w:val="es-419"/>
        </w:rPr>
        <w:t> 1</w:t>
      </w:r>
      <w:r w:rsidRPr="00FA185E">
        <w:rPr>
          <w:u w:val="single"/>
          <w:lang w:val="es-419"/>
        </w:rPr>
        <w:t>)</w:t>
      </w:r>
      <w:bookmarkEnd w:id="35"/>
      <w:bookmarkEnd w:id="36"/>
    </w:p>
    <w:p w:rsidR="00914865" w:rsidRPr="00FA185E" w:rsidRDefault="00914865" w:rsidP="00914865">
      <w:pPr>
        <w:rPr>
          <w:i/>
          <w:lang w:val="es-419"/>
        </w:rPr>
      </w:pPr>
    </w:p>
    <w:p w:rsidR="00914865" w:rsidRPr="00FA185E" w:rsidRDefault="00914865" w:rsidP="00914865">
      <w:pPr>
        <w:rPr>
          <w:lang w:val="es-419"/>
        </w:rPr>
      </w:pPr>
      <w:r w:rsidRPr="00FA185E">
        <w:rPr>
          <w:lang w:val="es-419"/>
        </w:rPr>
        <w:fldChar w:fldCharType="begin"/>
      </w:r>
      <w:r w:rsidRPr="00FA185E">
        <w:rPr>
          <w:lang w:val="es-419"/>
        </w:rPr>
        <w:instrText xml:space="preserve"> AUTONUM  </w:instrText>
      </w:r>
      <w:r w:rsidRPr="00FA185E">
        <w:rPr>
          <w:lang w:val="es-419"/>
        </w:rPr>
        <w:fldChar w:fldCharType="end"/>
      </w:r>
      <w:r w:rsidRPr="00FA185E">
        <w:rPr>
          <w:lang w:val="es-419"/>
        </w:rPr>
        <w:tab/>
        <w:t>En su quincuagésima tercera sesión,</w:t>
      </w:r>
      <w:r w:rsidRPr="00FA185E">
        <w:rPr>
          <w:lang w:val="es-419"/>
        </w:rPr>
        <w:fldChar w:fldCharType="begin"/>
      </w:r>
      <w:r w:rsidRPr="00FA185E">
        <w:rPr>
          <w:lang w:val="es-419"/>
        </w:rPr>
        <w:instrText xml:space="preserve"> NOTEREF _Ref12539616 \f \h </w:instrText>
      </w:r>
      <w:r w:rsidRPr="00FA185E">
        <w:rPr>
          <w:lang w:val="es-419"/>
        </w:rPr>
      </w:r>
      <w:r w:rsidRPr="00FA185E">
        <w:rPr>
          <w:lang w:val="es-419"/>
        </w:rPr>
        <w:fldChar w:fldCharType="separate"/>
      </w:r>
      <w:r w:rsidRPr="00FA185E">
        <w:rPr>
          <w:rStyle w:val="FootnoteReference"/>
          <w:lang w:val="es-419"/>
        </w:rPr>
        <w:t>11</w:t>
      </w:r>
      <w:r w:rsidRPr="00FA185E">
        <w:rPr>
          <w:lang w:val="es-419"/>
        </w:rPr>
        <w:fldChar w:fldCharType="end"/>
      </w:r>
      <w:r w:rsidRPr="00FA185E">
        <w:rPr>
          <w:lang w:val="es-419"/>
        </w:rPr>
        <w:t xml:space="preserve"> el TC convino en revisar el documento</w:t>
      </w:r>
      <w:r w:rsidR="00B23B18">
        <w:rPr>
          <w:lang w:val="es-419"/>
        </w:rPr>
        <w:t xml:space="preserve"> </w:t>
      </w:r>
      <w:r w:rsidRPr="00FA185E">
        <w:rPr>
          <w:lang w:val="es-419"/>
        </w:rPr>
        <w:t>TGP/14: sección</w:t>
      </w:r>
      <w:r w:rsidR="00B23B18">
        <w:rPr>
          <w:lang w:val="es-419"/>
        </w:rPr>
        <w:t xml:space="preserve"> </w:t>
      </w:r>
      <w:r w:rsidRPr="00FA185E">
        <w:rPr>
          <w:lang w:val="es-419"/>
        </w:rPr>
        <w:t>2: subsección 2: “Formas y estructuras”, para modificar el cuadro de la variante 2 del ejemplo</w:t>
      </w:r>
      <w:r w:rsidR="00B23B18">
        <w:rPr>
          <w:lang w:val="es-419"/>
        </w:rPr>
        <w:t xml:space="preserve"> </w:t>
      </w:r>
      <w:r w:rsidRPr="00FA185E">
        <w:rPr>
          <w:lang w:val="es-419"/>
        </w:rPr>
        <w:t>5, según se expone en el Anexo</w:t>
      </w:r>
      <w:r w:rsidR="00B23B18">
        <w:rPr>
          <w:lang w:val="es-419"/>
        </w:rPr>
        <w:t xml:space="preserve"> </w:t>
      </w:r>
      <w:r w:rsidRPr="00FA185E">
        <w:rPr>
          <w:lang w:val="es-419"/>
        </w:rPr>
        <w:t>IV del presente documento.</w:t>
      </w:r>
      <w:r w:rsidRPr="00FA185E">
        <w:rPr>
          <w:rStyle w:val="FootnoteReference"/>
          <w:lang w:val="es-419"/>
        </w:rPr>
        <w:footnoteReference w:id="12"/>
      </w:r>
    </w:p>
    <w:p w:rsidR="00914865" w:rsidRPr="00FA185E" w:rsidRDefault="00914865" w:rsidP="00914865">
      <w:pPr>
        <w:keepNext/>
        <w:outlineLvl w:val="2"/>
        <w:rPr>
          <w:rFonts w:eastAsia="MS Mincho"/>
          <w:i/>
          <w:lang w:val="es-419"/>
        </w:rPr>
      </w:pPr>
    </w:p>
    <w:p w:rsidR="00914865" w:rsidRPr="00FA185E" w:rsidRDefault="00914865" w:rsidP="00914865">
      <w:pPr>
        <w:rPr>
          <w:lang w:val="es-419"/>
        </w:rPr>
      </w:pPr>
      <w:r w:rsidRPr="00FA185E">
        <w:rPr>
          <w:lang w:val="es-419"/>
        </w:rPr>
        <w:fldChar w:fldCharType="begin"/>
      </w:r>
      <w:r w:rsidRPr="00FA185E">
        <w:rPr>
          <w:lang w:val="es-419"/>
        </w:rPr>
        <w:instrText xml:space="preserve"> AUTONUM  </w:instrText>
      </w:r>
      <w:r w:rsidRPr="00FA185E">
        <w:rPr>
          <w:lang w:val="es-419"/>
        </w:rPr>
        <w:fldChar w:fldCharType="end"/>
      </w:r>
      <w:r w:rsidRPr="00FA185E">
        <w:rPr>
          <w:lang w:val="es-419"/>
        </w:rPr>
        <w:tab/>
        <w:t>En su quincuagésima cuarta sesión,</w:t>
      </w:r>
      <w:r w:rsidRPr="00FA185E">
        <w:rPr>
          <w:lang w:val="es-419"/>
        </w:rPr>
        <w:fldChar w:fldCharType="begin"/>
      </w:r>
      <w:r w:rsidRPr="00FA185E">
        <w:rPr>
          <w:lang w:val="es-419"/>
        </w:rPr>
        <w:instrText xml:space="preserve"> NOTEREF _Ref12538883 \f \h </w:instrText>
      </w:r>
      <w:r w:rsidRPr="00FA185E">
        <w:rPr>
          <w:lang w:val="es-419"/>
        </w:rPr>
      </w:r>
      <w:r w:rsidRPr="00FA185E">
        <w:rPr>
          <w:lang w:val="es-419"/>
        </w:rPr>
        <w:fldChar w:fldCharType="separate"/>
      </w:r>
      <w:r w:rsidRPr="00FA185E">
        <w:rPr>
          <w:rStyle w:val="FootnoteReference"/>
          <w:lang w:val="es-419"/>
        </w:rPr>
        <w:t>2</w:t>
      </w:r>
      <w:r w:rsidRPr="00FA185E">
        <w:rPr>
          <w:lang w:val="es-419"/>
        </w:rPr>
        <w:fldChar w:fldCharType="end"/>
      </w:r>
      <w:r w:rsidRPr="00FA185E">
        <w:rPr>
          <w:lang w:val="es-419"/>
        </w:rPr>
        <w:t xml:space="preserve"> el TC acordó que las propuestas de revisión del documento</w:t>
      </w:r>
      <w:r w:rsidR="00B23B18">
        <w:rPr>
          <w:lang w:val="es-419"/>
        </w:rPr>
        <w:t xml:space="preserve"> </w:t>
      </w:r>
      <w:r w:rsidRPr="00FA185E">
        <w:rPr>
          <w:lang w:val="es-419"/>
        </w:rPr>
        <w:t>TGP/14 “Glosario de términos utilizados en los documentos de la UPOV” incluyan orientación sobre los factores que se han de tener en cuenta al crear grupos de color a efectos de agrupar variedades y organizar el ensayo de cultivo.</w:t>
      </w:r>
      <w:r w:rsidRPr="00FA185E">
        <w:rPr>
          <w:rStyle w:val="FootnoteReference"/>
          <w:lang w:val="es-419"/>
        </w:rPr>
        <w:footnoteReference w:id="13"/>
      </w:r>
      <w:r w:rsidR="00AF1302" w:rsidRPr="00FA185E">
        <w:rPr>
          <w:lang w:val="es-419"/>
        </w:rPr>
        <w:t xml:space="preserve"> </w:t>
      </w:r>
    </w:p>
    <w:p w:rsidR="00914865" w:rsidRPr="00FA185E" w:rsidRDefault="00914865" w:rsidP="00914865">
      <w:pPr>
        <w:rPr>
          <w:lang w:val="es-419"/>
        </w:rPr>
      </w:pPr>
    </w:p>
    <w:p w:rsidR="00914865" w:rsidRPr="00FA185E" w:rsidRDefault="00914865" w:rsidP="00914865">
      <w:pPr>
        <w:rPr>
          <w:spacing w:val="-2"/>
          <w:lang w:val="es-419"/>
        </w:rPr>
      </w:pPr>
      <w:r w:rsidRPr="00FA185E">
        <w:rPr>
          <w:spacing w:val="-2"/>
          <w:lang w:val="es-419"/>
        </w:rPr>
        <w:fldChar w:fldCharType="begin"/>
      </w:r>
      <w:r w:rsidRPr="00FA185E">
        <w:rPr>
          <w:spacing w:val="-2"/>
          <w:lang w:val="es-419"/>
        </w:rPr>
        <w:instrText xml:space="preserve"> AUTONUM  </w:instrText>
      </w:r>
      <w:r w:rsidRPr="00FA185E">
        <w:rPr>
          <w:spacing w:val="-2"/>
          <w:lang w:val="es-419"/>
        </w:rPr>
        <w:fldChar w:fldCharType="end"/>
      </w:r>
      <w:r w:rsidRPr="00FA185E">
        <w:rPr>
          <w:lang w:val="es-419"/>
        </w:rPr>
        <w:tab/>
        <w:t>Con arreglo a lo anterior, el TC convino en que la revisión del documento</w:t>
      </w:r>
      <w:r w:rsidR="00B23B18">
        <w:rPr>
          <w:lang w:val="es-419"/>
        </w:rPr>
        <w:t xml:space="preserve"> </w:t>
      </w:r>
      <w:r w:rsidRPr="00FA185E">
        <w:rPr>
          <w:lang w:val="es-419"/>
        </w:rPr>
        <w:t>TGP/14/3 (documento</w:t>
      </w:r>
      <w:r w:rsidR="00B23B18">
        <w:rPr>
          <w:lang w:val="es-419"/>
        </w:rPr>
        <w:t xml:space="preserve"> </w:t>
      </w:r>
      <w:r w:rsidRPr="00FA185E">
        <w:rPr>
          <w:lang w:val="es-419"/>
        </w:rPr>
        <w:t>TGP/14/4</w:t>
      </w:r>
      <w:r w:rsidR="00B23B18">
        <w:rPr>
          <w:lang w:val="es-419"/>
        </w:rPr>
        <w:t> </w:t>
      </w:r>
      <w:proofErr w:type="spellStart"/>
      <w:r w:rsidR="00B23B18">
        <w:rPr>
          <w:lang w:val="es-419"/>
        </w:rPr>
        <w:t>Draft</w:t>
      </w:r>
      <w:proofErr w:type="spellEnd"/>
      <w:r w:rsidR="00B23B18">
        <w:rPr>
          <w:lang w:val="es-419"/>
        </w:rPr>
        <w:t> 1</w:t>
      </w:r>
      <w:r w:rsidRPr="00FA185E">
        <w:rPr>
          <w:lang w:val="es-419"/>
        </w:rPr>
        <w:t>) se someta a la aprobación del Consejo en su quincuagésima tercera sesión ordinaria, a reserva de la aprobación del</w:t>
      </w:r>
      <w:r w:rsidR="00B23B18">
        <w:rPr>
          <w:lang w:val="es-419"/>
        </w:rPr>
        <w:t xml:space="preserve"> </w:t>
      </w:r>
      <w:r w:rsidRPr="00FA185E">
        <w:rPr>
          <w:lang w:val="es-419"/>
        </w:rPr>
        <w:t>CAJ en su septuagésima</w:t>
      </w:r>
      <w:r w:rsidR="00B23B18">
        <w:rPr>
          <w:lang w:val="es-419"/>
        </w:rPr>
        <w:t xml:space="preserve"> </w:t>
      </w:r>
      <w:r w:rsidRPr="00FA185E">
        <w:rPr>
          <w:lang w:val="es-419"/>
        </w:rPr>
        <w:t>sexta sesión.</w:t>
      </w:r>
      <w:r w:rsidRPr="00FA185E">
        <w:rPr>
          <w:lang w:val="es-419"/>
        </w:rPr>
        <w:fldChar w:fldCharType="begin"/>
      </w:r>
      <w:r w:rsidRPr="00FA185E">
        <w:rPr>
          <w:lang w:val="es-419"/>
        </w:rPr>
        <w:instrText xml:space="preserve"> NOTEREF _Ref12539207 \f \h </w:instrText>
      </w:r>
      <w:r w:rsidRPr="00FA185E">
        <w:rPr>
          <w:lang w:val="es-419"/>
        </w:rPr>
      </w:r>
      <w:r w:rsidRPr="00FA185E">
        <w:rPr>
          <w:lang w:val="es-419"/>
        </w:rPr>
        <w:fldChar w:fldCharType="separate"/>
      </w:r>
      <w:r w:rsidRPr="00FA185E">
        <w:rPr>
          <w:rStyle w:val="FootnoteReference"/>
          <w:lang w:val="es-419"/>
        </w:rPr>
        <w:t>8</w:t>
      </w:r>
      <w:r w:rsidRPr="00FA185E">
        <w:rPr>
          <w:lang w:val="es-419"/>
        </w:rPr>
        <w:fldChar w:fldCharType="end"/>
      </w:r>
      <w:r w:rsidR="00AF1302" w:rsidRPr="00FA185E">
        <w:rPr>
          <w:lang w:val="es-419"/>
        </w:rPr>
        <w:t xml:space="preserve"> </w:t>
      </w:r>
    </w:p>
    <w:p w:rsidR="00914865" w:rsidRPr="00FA185E" w:rsidRDefault="00914865" w:rsidP="00914865">
      <w:pPr>
        <w:rPr>
          <w:spacing w:val="-2"/>
          <w:lang w:val="es-419"/>
        </w:rPr>
      </w:pPr>
    </w:p>
    <w:p w:rsidR="00914865" w:rsidRPr="00FA185E" w:rsidRDefault="00914865" w:rsidP="00914865">
      <w:pPr>
        <w:rPr>
          <w:bCs/>
          <w:snapToGrid w:val="0"/>
          <w:szCs w:val="24"/>
          <w:lang w:val="es-419"/>
        </w:rPr>
      </w:pPr>
      <w:r w:rsidRPr="00FA185E">
        <w:rPr>
          <w:spacing w:val="-2"/>
          <w:lang w:val="es-419"/>
        </w:rPr>
        <w:fldChar w:fldCharType="begin"/>
      </w:r>
      <w:r w:rsidRPr="00FA185E">
        <w:rPr>
          <w:spacing w:val="-2"/>
          <w:lang w:val="es-419"/>
        </w:rPr>
        <w:instrText xml:space="preserve"> AUTONUM  </w:instrText>
      </w:r>
      <w:r w:rsidRPr="00FA185E">
        <w:rPr>
          <w:spacing w:val="-2"/>
          <w:lang w:val="es-419"/>
        </w:rPr>
        <w:fldChar w:fldCharType="end"/>
      </w:r>
      <w:r w:rsidRPr="00FA185E">
        <w:rPr>
          <w:lang w:val="es-419"/>
        </w:rPr>
        <w:tab/>
        <w:t>Los respectivos miembros del Comité de Redacción han revisado las traducciones al alemán, español y francés del texto original en inglés antes de que se presente al Consejo el proyecto de documento</w:t>
      </w:r>
      <w:r w:rsidR="00B23B18">
        <w:rPr>
          <w:lang w:val="es-419"/>
        </w:rPr>
        <w:t xml:space="preserve"> </w:t>
      </w:r>
      <w:r w:rsidRPr="00FA185E">
        <w:rPr>
          <w:lang w:val="es-419"/>
        </w:rPr>
        <w:t>TGP/14/4.</w:t>
      </w:r>
      <w:r w:rsidR="00AF1302" w:rsidRPr="00FA185E">
        <w:rPr>
          <w:lang w:val="es-419"/>
        </w:rPr>
        <w:t xml:space="preserve"> </w:t>
      </w:r>
      <w:r w:rsidRPr="00FA185E">
        <w:rPr>
          <w:lang w:val="es-419"/>
        </w:rPr>
        <w:t>El documento</w:t>
      </w:r>
      <w:r w:rsidR="00B23B18">
        <w:rPr>
          <w:lang w:val="es-419"/>
        </w:rPr>
        <w:t xml:space="preserve"> </w:t>
      </w:r>
      <w:r w:rsidRPr="00FA185E">
        <w:rPr>
          <w:lang w:val="es-419"/>
        </w:rPr>
        <w:t>TGP/14/4</w:t>
      </w:r>
      <w:r w:rsidR="00B23B18">
        <w:rPr>
          <w:lang w:val="es-419"/>
        </w:rPr>
        <w:t> </w:t>
      </w:r>
      <w:proofErr w:type="spellStart"/>
      <w:r w:rsidR="00B23B18">
        <w:rPr>
          <w:lang w:val="es-419"/>
        </w:rPr>
        <w:t>Draft</w:t>
      </w:r>
      <w:proofErr w:type="spellEnd"/>
      <w:r w:rsidR="00B23B18">
        <w:rPr>
          <w:lang w:val="es-419"/>
        </w:rPr>
        <w:t> 1</w:t>
      </w:r>
      <w:r w:rsidRPr="00FA185E">
        <w:rPr>
          <w:lang w:val="es-419"/>
        </w:rPr>
        <w:t xml:space="preserve"> incorpora las enmiendas acordadas por el TC, expuestas en el Anexo</w:t>
      </w:r>
      <w:r w:rsidR="00B23B18">
        <w:rPr>
          <w:lang w:val="es-419"/>
        </w:rPr>
        <w:t xml:space="preserve"> </w:t>
      </w:r>
      <w:r w:rsidRPr="00FA185E">
        <w:rPr>
          <w:lang w:val="es-419"/>
        </w:rPr>
        <w:t>IV del presente documento, y los cambios lingüísticos efectuados por los respectivos miembros del Comité de Redacción.</w:t>
      </w:r>
    </w:p>
    <w:p w:rsidR="00914865" w:rsidRPr="00FA185E" w:rsidRDefault="00914865" w:rsidP="00914865">
      <w:pPr>
        <w:rPr>
          <w:bCs/>
          <w:snapToGrid w:val="0"/>
          <w:szCs w:val="24"/>
          <w:lang w:val="es-419"/>
        </w:rPr>
      </w:pPr>
    </w:p>
    <w:p w:rsidR="00914865" w:rsidRPr="00FA185E" w:rsidRDefault="00914865" w:rsidP="00914865">
      <w:pPr>
        <w:rPr>
          <w:lang w:val="es-419"/>
        </w:rPr>
      </w:pPr>
      <w:r w:rsidRPr="00FA185E">
        <w:rPr>
          <w:lang w:val="es-419"/>
        </w:rPr>
        <w:fldChar w:fldCharType="begin"/>
      </w:r>
      <w:r w:rsidRPr="00FA185E">
        <w:rPr>
          <w:lang w:val="es-419"/>
        </w:rPr>
        <w:instrText xml:space="preserve"> AUTONUM  </w:instrText>
      </w:r>
      <w:r w:rsidRPr="00FA185E">
        <w:rPr>
          <w:lang w:val="es-419"/>
        </w:rPr>
        <w:fldChar w:fldCharType="end"/>
      </w:r>
      <w:r w:rsidRPr="00FA185E">
        <w:rPr>
          <w:lang w:val="es-419"/>
        </w:rPr>
        <w:tab/>
        <w:t>En su quincuagésima quinta sesión,</w:t>
      </w:r>
      <w:r w:rsidRPr="00FA185E">
        <w:rPr>
          <w:vertAlign w:val="superscript"/>
          <w:lang w:val="es-419"/>
        </w:rPr>
        <w:fldChar w:fldCharType="begin"/>
      </w:r>
      <w:r w:rsidRPr="00FA185E">
        <w:rPr>
          <w:vertAlign w:val="superscript"/>
          <w:lang w:val="es-419"/>
        </w:rPr>
        <w:instrText xml:space="preserve"> NOTEREF _Ref13574983 \h  \* MERGEFORMAT </w:instrText>
      </w:r>
      <w:r w:rsidRPr="00FA185E">
        <w:rPr>
          <w:vertAlign w:val="superscript"/>
          <w:lang w:val="es-419"/>
        </w:rPr>
      </w:r>
      <w:r w:rsidRPr="00FA185E">
        <w:rPr>
          <w:vertAlign w:val="superscript"/>
          <w:lang w:val="es-419"/>
        </w:rPr>
        <w:fldChar w:fldCharType="separate"/>
      </w:r>
      <w:r w:rsidRPr="00FA185E">
        <w:rPr>
          <w:vertAlign w:val="superscript"/>
          <w:lang w:val="es-419"/>
        </w:rPr>
        <w:t>1</w:t>
      </w:r>
      <w:r w:rsidRPr="00FA185E">
        <w:rPr>
          <w:vertAlign w:val="superscript"/>
          <w:lang w:val="es-419"/>
        </w:rPr>
        <w:fldChar w:fldCharType="end"/>
      </w:r>
      <w:r w:rsidRPr="00FA185E">
        <w:rPr>
          <w:lang w:val="es-419"/>
        </w:rPr>
        <w:t xml:space="preserve"> el</w:t>
      </w:r>
      <w:r w:rsidR="00B23B18">
        <w:rPr>
          <w:lang w:val="es-419"/>
        </w:rPr>
        <w:t xml:space="preserve"> </w:t>
      </w:r>
      <w:r w:rsidRPr="00FA185E">
        <w:rPr>
          <w:lang w:val="es-419"/>
        </w:rPr>
        <w:t>TC examinará el documento</w:t>
      </w:r>
      <w:r w:rsidR="00B23B18">
        <w:rPr>
          <w:lang w:val="es-419"/>
        </w:rPr>
        <w:t xml:space="preserve"> </w:t>
      </w:r>
      <w:r w:rsidRPr="00FA185E">
        <w:rPr>
          <w:lang w:val="es-419"/>
        </w:rPr>
        <w:t>TGP/14/4</w:t>
      </w:r>
      <w:r w:rsidR="00B23B18">
        <w:rPr>
          <w:lang w:val="es-419"/>
        </w:rPr>
        <w:t> </w:t>
      </w:r>
      <w:proofErr w:type="spellStart"/>
      <w:r w:rsidR="00B23B18">
        <w:rPr>
          <w:lang w:val="es-419"/>
        </w:rPr>
        <w:t>Draft</w:t>
      </w:r>
      <w:proofErr w:type="spellEnd"/>
      <w:r w:rsidR="00B23B18">
        <w:rPr>
          <w:lang w:val="es-419"/>
        </w:rPr>
        <w:t> 1</w:t>
      </w:r>
      <w:r w:rsidRPr="00FA185E">
        <w:rPr>
          <w:lang w:val="es-419"/>
        </w:rPr>
        <w:t>.</w:t>
      </w:r>
      <w:r w:rsidR="00AF1302" w:rsidRPr="00FA185E">
        <w:rPr>
          <w:lang w:val="es-419"/>
        </w:rPr>
        <w:t xml:space="preserve"> </w:t>
      </w:r>
      <w:r w:rsidRPr="00FA185E">
        <w:rPr>
          <w:lang w:val="es-419"/>
        </w:rPr>
        <w:t>Las observaciones formuladas por el</w:t>
      </w:r>
      <w:r w:rsidR="00B23B18">
        <w:rPr>
          <w:lang w:val="es-419"/>
        </w:rPr>
        <w:t xml:space="preserve"> </w:t>
      </w:r>
      <w:r w:rsidRPr="00FA185E">
        <w:rPr>
          <w:lang w:val="es-419"/>
        </w:rPr>
        <w:t>TC se notificarán al</w:t>
      </w:r>
      <w:r w:rsidR="00B23B18">
        <w:rPr>
          <w:lang w:val="es-419"/>
        </w:rPr>
        <w:t xml:space="preserve"> </w:t>
      </w:r>
      <w:r w:rsidRPr="00FA185E">
        <w:rPr>
          <w:lang w:val="es-419"/>
        </w:rPr>
        <w:t>CAJ en su septuagésima sexta sesión.</w:t>
      </w:r>
      <w:r w:rsidRPr="00FA185E">
        <w:rPr>
          <w:lang w:val="es-419"/>
        </w:rPr>
        <w:fldChar w:fldCharType="begin"/>
      </w:r>
      <w:r w:rsidRPr="00FA185E">
        <w:rPr>
          <w:lang w:val="es-419"/>
        </w:rPr>
        <w:instrText xml:space="preserve"> NOTEREF _Ref12539207 \f \h </w:instrText>
      </w:r>
      <w:r w:rsidRPr="00FA185E">
        <w:rPr>
          <w:lang w:val="es-419"/>
        </w:rPr>
      </w:r>
      <w:r w:rsidRPr="00FA185E">
        <w:rPr>
          <w:lang w:val="es-419"/>
        </w:rPr>
        <w:fldChar w:fldCharType="separate"/>
      </w:r>
      <w:r w:rsidRPr="00FA185E">
        <w:rPr>
          <w:rStyle w:val="FootnoteReference"/>
          <w:lang w:val="es-419"/>
        </w:rPr>
        <w:t>8</w:t>
      </w:r>
      <w:r w:rsidRPr="00FA185E">
        <w:rPr>
          <w:lang w:val="es-419"/>
        </w:rPr>
        <w:fldChar w:fldCharType="end"/>
      </w:r>
    </w:p>
    <w:p w:rsidR="00914865" w:rsidRPr="00FA185E" w:rsidRDefault="00914865" w:rsidP="00914865">
      <w:pPr>
        <w:rPr>
          <w:lang w:val="es-419"/>
        </w:rPr>
      </w:pPr>
    </w:p>
    <w:p w:rsidR="00914865" w:rsidRPr="00FA185E" w:rsidRDefault="00914865" w:rsidP="007B4805">
      <w:pPr>
        <w:pStyle w:val="DecisionParagraphs"/>
        <w:keepLines/>
        <w:rPr>
          <w:lang w:val="es-419"/>
        </w:rPr>
      </w:pPr>
      <w:r w:rsidRPr="00FA185E">
        <w:rPr>
          <w:lang w:val="es-419"/>
        </w:rPr>
        <w:lastRenderedPageBreak/>
        <w:fldChar w:fldCharType="begin"/>
      </w:r>
      <w:r w:rsidRPr="00FA185E">
        <w:rPr>
          <w:lang w:val="es-419"/>
        </w:rPr>
        <w:instrText xml:space="preserve"> AUTONUM  </w:instrText>
      </w:r>
      <w:r w:rsidRPr="00FA185E">
        <w:rPr>
          <w:lang w:val="es-419"/>
        </w:rPr>
        <w:fldChar w:fldCharType="end"/>
      </w:r>
      <w:r w:rsidRPr="00FA185E">
        <w:rPr>
          <w:lang w:val="es-419"/>
        </w:rPr>
        <w:tab/>
        <w:t>Se invita al CAJ a examinar la revisión del documento</w:t>
      </w:r>
      <w:r w:rsidR="00B23B18">
        <w:rPr>
          <w:lang w:val="es-419"/>
        </w:rPr>
        <w:t xml:space="preserve"> </w:t>
      </w:r>
      <w:r w:rsidRPr="00FA185E">
        <w:rPr>
          <w:lang w:val="es-419"/>
        </w:rPr>
        <w:t>TGP/14 “Examen de la homogeneidad” (documento</w:t>
      </w:r>
      <w:r w:rsidR="00B23B18">
        <w:rPr>
          <w:lang w:val="es-419"/>
        </w:rPr>
        <w:t xml:space="preserve"> </w:t>
      </w:r>
      <w:r w:rsidRPr="00FA185E">
        <w:rPr>
          <w:lang w:val="es-419"/>
        </w:rPr>
        <w:t>TGP/14/3), sobre la base del documento</w:t>
      </w:r>
      <w:r w:rsidR="00B23B18">
        <w:rPr>
          <w:lang w:val="es-419"/>
        </w:rPr>
        <w:t xml:space="preserve"> </w:t>
      </w:r>
      <w:r w:rsidRPr="00FA185E">
        <w:rPr>
          <w:lang w:val="es-419"/>
        </w:rPr>
        <w:t>TGP/14/4</w:t>
      </w:r>
      <w:r w:rsidR="00B23B18">
        <w:rPr>
          <w:lang w:val="es-419"/>
        </w:rPr>
        <w:t> </w:t>
      </w:r>
      <w:proofErr w:type="spellStart"/>
      <w:r w:rsidR="00B23B18">
        <w:rPr>
          <w:lang w:val="es-419"/>
        </w:rPr>
        <w:t>Draft</w:t>
      </w:r>
      <w:proofErr w:type="spellEnd"/>
      <w:r w:rsidR="00B23B18">
        <w:rPr>
          <w:lang w:val="es-419"/>
        </w:rPr>
        <w:t> 1</w:t>
      </w:r>
      <w:r w:rsidRPr="00FA185E">
        <w:rPr>
          <w:lang w:val="es-419"/>
        </w:rPr>
        <w:t>, teniendo en cuenta las conclusiones del</w:t>
      </w:r>
      <w:r w:rsidR="00B23B18">
        <w:rPr>
          <w:lang w:val="es-419"/>
        </w:rPr>
        <w:t xml:space="preserve"> </w:t>
      </w:r>
      <w:r w:rsidRPr="00FA185E">
        <w:rPr>
          <w:lang w:val="es-419"/>
        </w:rPr>
        <w:t>TC en su quincuagésima</w:t>
      </w:r>
      <w:r w:rsidR="00B23B18">
        <w:rPr>
          <w:lang w:val="es-419"/>
        </w:rPr>
        <w:t xml:space="preserve"> </w:t>
      </w:r>
      <w:r w:rsidRPr="00FA185E">
        <w:rPr>
          <w:lang w:val="es-419"/>
        </w:rPr>
        <w:t xml:space="preserve">quinta sesión. </w:t>
      </w:r>
    </w:p>
    <w:p w:rsidR="00914865" w:rsidRPr="00FA185E" w:rsidRDefault="00914865" w:rsidP="00914865">
      <w:pPr>
        <w:rPr>
          <w:lang w:val="es-419"/>
        </w:rPr>
      </w:pPr>
    </w:p>
    <w:p w:rsidR="00914865" w:rsidRPr="00FA185E" w:rsidRDefault="00914865" w:rsidP="00914865">
      <w:pPr>
        <w:rPr>
          <w:lang w:val="es-419"/>
        </w:rPr>
      </w:pPr>
    </w:p>
    <w:p w:rsidR="00914865" w:rsidRPr="00FA185E" w:rsidRDefault="00914865" w:rsidP="00914865">
      <w:pPr>
        <w:pStyle w:val="Heading2"/>
        <w:rPr>
          <w:lang w:val="es-419"/>
        </w:rPr>
      </w:pPr>
      <w:bookmarkStart w:id="37" w:name="_Toc13581190"/>
      <w:bookmarkStart w:id="38" w:name="_Toc15650747"/>
      <w:r w:rsidRPr="00FA185E">
        <w:rPr>
          <w:lang w:val="es-419"/>
        </w:rPr>
        <w:t>Documento</w:t>
      </w:r>
      <w:r w:rsidR="00B23B18">
        <w:rPr>
          <w:lang w:val="es-419"/>
        </w:rPr>
        <w:t xml:space="preserve"> </w:t>
      </w:r>
      <w:r w:rsidRPr="00FA185E">
        <w:rPr>
          <w:lang w:val="es-419"/>
        </w:rPr>
        <w:t xml:space="preserve">TGP/15/1 </w:t>
      </w:r>
      <w:r w:rsidRPr="00FA185E">
        <w:rPr>
          <w:caps/>
          <w:lang w:val="es-419"/>
        </w:rPr>
        <w:t>*</w:t>
      </w:r>
      <w:r w:rsidRPr="00FA185E">
        <w:rPr>
          <w:lang w:val="es-419"/>
        </w:rPr>
        <w:t>Orientación sobre el uso de marcadores bioquímicos y moleculares en el examen de la distinción, la homogeneidad y la estabilidad (DHE)” (revisión) (documento</w:t>
      </w:r>
      <w:r w:rsidR="00B23B18">
        <w:rPr>
          <w:lang w:val="es-419"/>
        </w:rPr>
        <w:t xml:space="preserve"> </w:t>
      </w:r>
      <w:r w:rsidRPr="00FA185E">
        <w:rPr>
          <w:lang w:val="es-419"/>
        </w:rPr>
        <w:t>TGP/15/2</w:t>
      </w:r>
      <w:r w:rsidR="00B23B18">
        <w:rPr>
          <w:lang w:val="es-419"/>
        </w:rPr>
        <w:t> </w:t>
      </w:r>
      <w:proofErr w:type="spellStart"/>
      <w:r w:rsidR="00B23B18">
        <w:rPr>
          <w:lang w:val="es-419"/>
        </w:rPr>
        <w:t>Draft</w:t>
      </w:r>
      <w:proofErr w:type="spellEnd"/>
      <w:r w:rsidR="00B23B18">
        <w:rPr>
          <w:lang w:val="es-419"/>
        </w:rPr>
        <w:t> 2</w:t>
      </w:r>
      <w:r w:rsidRPr="00FA185E">
        <w:rPr>
          <w:lang w:val="es-419"/>
        </w:rPr>
        <w:t>)</w:t>
      </w:r>
      <w:bookmarkEnd w:id="37"/>
      <w:bookmarkEnd w:id="38"/>
      <w:r w:rsidRPr="00FA185E">
        <w:rPr>
          <w:lang w:val="es-419"/>
        </w:rPr>
        <w:t xml:space="preserve"> </w:t>
      </w:r>
    </w:p>
    <w:p w:rsidR="00914865" w:rsidRPr="00FA185E" w:rsidRDefault="00914865" w:rsidP="00914865">
      <w:pPr>
        <w:ind w:left="567" w:hanging="567"/>
        <w:rPr>
          <w:rFonts w:cs="Arial"/>
          <w:lang w:val="es-419"/>
        </w:rPr>
      </w:pPr>
    </w:p>
    <w:p w:rsidR="00914865" w:rsidRPr="00FA185E" w:rsidRDefault="00914865" w:rsidP="00914865">
      <w:pPr>
        <w:rPr>
          <w:lang w:val="es-419"/>
        </w:rPr>
      </w:pPr>
      <w:r w:rsidRPr="00FA185E">
        <w:rPr>
          <w:rFonts w:cs="Arial"/>
          <w:lang w:val="es-419"/>
        </w:rPr>
        <w:fldChar w:fldCharType="begin"/>
      </w:r>
      <w:r w:rsidRPr="00FA185E">
        <w:rPr>
          <w:rFonts w:cs="Arial"/>
          <w:lang w:val="es-419"/>
        </w:rPr>
        <w:instrText xml:space="preserve"> AUTONUM  </w:instrText>
      </w:r>
      <w:r w:rsidRPr="00FA185E">
        <w:rPr>
          <w:rFonts w:cs="Arial"/>
          <w:lang w:val="es-419"/>
        </w:rPr>
        <w:fldChar w:fldCharType="end"/>
      </w:r>
      <w:r w:rsidRPr="00FA185E">
        <w:rPr>
          <w:lang w:val="es-419"/>
        </w:rPr>
        <w:tab/>
        <w:t>En su quincuagésima cuarta sesión,</w:t>
      </w:r>
      <w:r w:rsidRPr="00FA185E">
        <w:rPr>
          <w:rFonts w:cs="Arial"/>
          <w:vertAlign w:val="superscript"/>
          <w:lang w:val="es-419"/>
        </w:rPr>
        <w:fldChar w:fldCharType="begin"/>
      </w:r>
      <w:r w:rsidRPr="00FA185E">
        <w:rPr>
          <w:rFonts w:cs="Arial"/>
          <w:vertAlign w:val="superscript"/>
          <w:lang w:val="es-419"/>
        </w:rPr>
        <w:instrText xml:space="preserve"> NOTEREF _Ref12538883 \h  \* MERGEFORMAT </w:instrText>
      </w:r>
      <w:r w:rsidRPr="00FA185E">
        <w:rPr>
          <w:rFonts w:cs="Arial"/>
          <w:vertAlign w:val="superscript"/>
          <w:lang w:val="es-419"/>
        </w:rPr>
      </w:r>
      <w:r w:rsidRPr="00FA185E">
        <w:rPr>
          <w:rFonts w:cs="Arial"/>
          <w:vertAlign w:val="superscript"/>
          <w:lang w:val="es-419"/>
        </w:rPr>
        <w:fldChar w:fldCharType="separate"/>
      </w:r>
      <w:r w:rsidRPr="00FA185E">
        <w:rPr>
          <w:rFonts w:cs="Arial"/>
          <w:vertAlign w:val="superscript"/>
          <w:lang w:val="es-419"/>
        </w:rPr>
        <w:t>2</w:t>
      </w:r>
      <w:r w:rsidRPr="00FA185E">
        <w:rPr>
          <w:rFonts w:cs="Arial"/>
          <w:vertAlign w:val="superscript"/>
          <w:lang w:val="es-419"/>
        </w:rPr>
        <w:fldChar w:fldCharType="end"/>
      </w:r>
      <w:r w:rsidRPr="00FA185E">
        <w:rPr>
          <w:lang w:val="es-419"/>
        </w:rPr>
        <w:t xml:space="preserve"> el</w:t>
      </w:r>
      <w:r w:rsidR="00B23B18">
        <w:rPr>
          <w:lang w:val="es-419"/>
        </w:rPr>
        <w:t xml:space="preserve"> </w:t>
      </w:r>
      <w:r w:rsidRPr="00FA185E">
        <w:rPr>
          <w:lang w:val="es-419"/>
        </w:rPr>
        <w:t>TC convino en que se ha de introducir el siguiente texto del documento</w:t>
      </w:r>
      <w:r w:rsidR="00B23B18">
        <w:rPr>
          <w:lang w:val="es-419"/>
        </w:rPr>
        <w:t xml:space="preserve"> </w:t>
      </w:r>
      <w:r w:rsidRPr="00FA185E">
        <w:rPr>
          <w:lang w:val="es-419"/>
        </w:rPr>
        <w:t>UPOV/INF/18/1 “Posible utilización de marcadores moleculares en el examen de la distinción, la homogeneidad y la estabilidad (DHE)” en el documento</w:t>
      </w:r>
      <w:r w:rsidR="00B23B18">
        <w:rPr>
          <w:lang w:val="es-419"/>
        </w:rPr>
        <w:t xml:space="preserve"> </w:t>
      </w:r>
      <w:r w:rsidRPr="00FA185E">
        <w:rPr>
          <w:lang w:val="es-419"/>
        </w:rPr>
        <w:t>TGP/15 “Orientación sobre el uso de marcadores bioquímicos y moleculares en el examen de la distinción, la homogeneidad y la estabilidad (DHE)” para aclarar que es responsabilidad de la autoridad determinar la fiabilidad del vínculo entre el gen y la expresión del carácter:</w:t>
      </w:r>
      <w:r w:rsidRPr="00FA185E">
        <w:rPr>
          <w:rStyle w:val="FootnoteReference"/>
          <w:lang w:val="es-419"/>
        </w:rPr>
        <w:footnoteReference w:id="14"/>
      </w:r>
    </w:p>
    <w:p w:rsidR="00914865" w:rsidRPr="00FA185E" w:rsidRDefault="00914865" w:rsidP="00914865">
      <w:pPr>
        <w:rPr>
          <w:rFonts w:cs="Arial"/>
          <w:lang w:val="es-419"/>
        </w:rPr>
      </w:pPr>
    </w:p>
    <w:p w:rsidR="00914865" w:rsidRPr="00FA185E" w:rsidRDefault="00914865" w:rsidP="00914865">
      <w:pPr>
        <w:autoSpaceDE w:val="0"/>
        <w:autoSpaceDN w:val="0"/>
        <w:adjustRightInd w:val="0"/>
        <w:ind w:left="567" w:right="567"/>
        <w:rPr>
          <w:sz w:val="18"/>
          <w:lang w:val="es-419"/>
        </w:rPr>
      </w:pPr>
      <w:r w:rsidRPr="00FA185E">
        <w:rPr>
          <w:sz w:val="18"/>
          <w:lang w:val="es-419"/>
        </w:rPr>
        <w:t>“3.1.4</w:t>
      </w:r>
      <w:r w:rsidRPr="00FA185E">
        <w:rPr>
          <w:lang w:val="es-419"/>
        </w:rPr>
        <w:tab/>
      </w:r>
      <w:r w:rsidRPr="00FA185E">
        <w:rPr>
          <w:sz w:val="18"/>
          <w:lang w:val="es-419"/>
        </w:rPr>
        <w:t>Al examinar el modelo y el ejemplo que figuran en el Anexo</w:t>
      </w:r>
      <w:r w:rsidR="00B23B18">
        <w:rPr>
          <w:sz w:val="18"/>
          <w:lang w:val="es-419"/>
        </w:rPr>
        <w:t xml:space="preserve"> </w:t>
      </w:r>
      <w:r w:rsidRPr="00FA185E">
        <w:rPr>
          <w:sz w:val="18"/>
          <w:lang w:val="es-419"/>
        </w:rPr>
        <w:t>1 del presente documento, el TC subrayó la importancia del cumplimiento de las premisas. A este respecto, aclaró que incumbe a la autoridad competente determinar si se han cumplido las premisas (véase el párrafo</w:t>
      </w:r>
      <w:r w:rsidR="00B23B18">
        <w:rPr>
          <w:sz w:val="18"/>
          <w:lang w:val="es-419"/>
        </w:rPr>
        <w:t xml:space="preserve"> </w:t>
      </w:r>
      <w:r w:rsidRPr="00FA185E">
        <w:rPr>
          <w:sz w:val="18"/>
          <w:lang w:val="es-419"/>
        </w:rPr>
        <w:t>152 del documento</w:t>
      </w:r>
      <w:r w:rsidR="00B23B18">
        <w:rPr>
          <w:sz w:val="18"/>
          <w:lang w:val="es-419"/>
        </w:rPr>
        <w:t xml:space="preserve"> </w:t>
      </w:r>
      <w:r w:rsidRPr="00FA185E">
        <w:rPr>
          <w:sz w:val="18"/>
          <w:lang w:val="es-419"/>
        </w:rPr>
        <w:t xml:space="preserve">TC/45/16 “Informe”).” </w:t>
      </w:r>
    </w:p>
    <w:p w:rsidR="00914865" w:rsidRPr="00FA185E" w:rsidRDefault="00914865" w:rsidP="00914865">
      <w:pPr>
        <w:pStyle w:val="EndnoteText"/>
        <w:rPr>
          <w:lang w:val="es-419"/>
        </w:rPr>
      </w:pPr>
    </w:p>
    <w:p w:rsidR="00914865" w:rsidRPr="00FA185E" w:rsidRDefault="00914865" w:rsidP="00914865">
      <w:pPr>
        <w:rPr>
          <w:lang w:val="es-419"/>
        </w:rPr>
      </w:pPr>
      <w:r w:rsidRPr="00FA185E">
        <w:rPr>
          <w:rFonts w:cs="Arial"/>
          <w:lang w:val="es-419"/>
        </w:rPr>
        <w:fldChar w:fldCharType="begin"/>
      </w:r>
      <w:r w:rsidRPr="00FA185E">
        <w:rPr>
          <w:rFonts w:cs="Arial"/>
          <w:lang w:val="es-419"/>
        </w:rPr>
        <w:instrText xml:space="preserve"> AUTONUM  </w:instrText>
      </w:r>
      <w:r w:rsidRPr="00FA185E">
        <w:rPr>
          <w:rFonts w:cs="Arial"/>
          <w:lang w:val="es-419"/>
        </w:rPr>
        <w:fldChar w:fldCharType="end"/>
      </w:r>
      <w:r w:rsidRPr="00FA185E">
        <w:rPr>
          <w:lang w:val="es-419"/>
        </w:rPr>
        <w:tab/>
        <w:t>En su quincuagésima cuarta sesión, el TC examinó la propuesta del BMT y convino en incluir en el documento</w:t>
      </w:r>
      <w:r w:rsidR="00B23B18">
        <w:rPr>
          <w:lang w:val="es-419"/>
        </w:rPr>
        <w:t xml:space="preserve"> </w:t>
      </w:r>
      <w:r w:rsidRPr="00FA185E">
        <w:rPr>
          <w:lang w:val="es-419"/>
        </w:rPr>
        <w:t>TGP/15 la explicación de que incumbe al correspondiente</w:t>
      </w:r>
      <w:r w:rsidR="00B23B18">
        <w:rPr>
          <w:lang w:val="es-419"/>
        </w:rPr>
        <w:t xml:space="preserve"> </w:t>
      </w:r>
      <w:r w:rsidRPr="00FA185E">
        <w:rPr>
          <w:lang w:val="es-419"/>
        </w:rPr>
        <w:t>TWP y el TC determinar si se cumple el criterio de fiabilidad del vínculo entre el gen y la expresión del carácter para añadir un método en las directrices de examen.</w:t>
      </w:r>
    </w:p>
    <w:p w:rsidR="00914865" w:rsidRPr="00FA185E" w:rsidRDefault="00914865" w:rsidP="00914865">
      <w:pPr>
        <w:rPr>
          <w:lang w:val="es-419"/>
        </w:rPr>
      </w:pPr>
    </w:p>
    <w:p w:rsidR="00914865" w:rsidRPr="00FA185E" w:rsidRDefault="00914865" w:rsidP="00914865">
      <w:pPr>
        <w:rPr>
          <w:lang w:val="es-419"/>
        </w:rPr>
      </w:pPr>
      <w:r w:rsidRPr="00FA185E">
        <w:rPr>
          <w:lang w:val="es-419"/>
        </w:rPr>
        <w:fldChar w:fldCharType="begin"/>
      </w:r>
      <w:r w:rsidRPr="00FA185E">
        <w:rPr>
          <w:lang w:val="es-419"/>
        </w:rPr>
        <w:instrText xml:space="preserve"> AUTONUM  </w:instrText>
      </w:r>
      <w:r w:rsidRPr="00FA185E">
        <w:rPr>
          <w:lang w:val="es-419"/>
        </w:rPr>
        <w:fldChar w:fldCharType="end"/>
      </w:r>
      <w:r w:rsidRPr="00FA185E">
        <w:rPr>
          <w:lang w:val="es-419"/>
        </w:rPr>
        <w:tab/>
        <w:t>En su quincuagésima cuarta sesión, el TC convino también en incluir un nuevo modelo denominado “Selección genética de variedades similares para el primer ciclo de cultivo. Ejemplo: la judía común” en el documento TGP/15 para el uso de marcadores bioquímicos y moleculares en el examen de la distinción, la homogeneidad y la estabilidad (DHE), sobre la base del documento TGP/15/2</w:t>
      </w:r>
      <w:r w:rsidR="00B23B18">
        <w:rPr>
          <w:lang w:val="es-419"/>
        </w:rPr>
        <w:t> </w:t>
      </w:r>
      <w:proofErr w:type="spellStart"/>
      <w:r w:rsidR="00B23B18">
        <w:rPr>
          <w:lang w:val="es-419"/>
        </w:rPr>
        <w:t>Draft</w:t>
      </w:r>
      <w:proofErr w:type="spellEnd"/>
      <w:r w:rsidR="00B23B18">
        <w:rPr>
          <w:lang w:val="es-419"/>
        </w:rPr>
        <w:t> 1</w:t>
      </w:r>
      <w:r w:rsidRPr="00FA185E">
        <w:rPr>
          <w:lang w:val="es-419"/>
        </w:rPr>
        <w:t>, revisado por el</w:t>
      </w:r>
      <w:r w:rsidR="00B23B18">
        <w:rPr>
          <w:lang w:val="es-419"/>
        </w:rPr>
        <w:t xml:space="preserve"> </w:t>
      </w:r>
      <w:r w:rsidRPr="00FA185E">
        <w:rPr>
          <w:lang w:val="es-419"/>
        </w:rPr>
        <w:t>TC</w:t>
      </w:r>
      <w:r w:rsidRPr="00FA185E">
        <w:rPr>
          <w:lang w:val="es-419"/>
        </w:rPr>
        <w:noBreakHyphen/>
        <w:t>EDC, que figura en el Anexo</w:t>
      </w:r>
      <w:r w:rsidR="00B23B18">
        <w:rPr>
          <w:lang w:val="es-419"/>
        </w:rPr>
        <w:t xml:space="preserve"> </w:t>
      </w:r>
      <w:r w:rsidRPr="00FA185E">
        <w:rPr>
          <w:lang w:val="es-419"/>
        </w:rPr>
        <w:t>III del documento</w:t>
      </w:r>
      <w:r w:rsidR="00B23B18">
        <w:rPr>
          <w:lang w:val="es-419"/>
        </w:rPr>
        <w:t xml:space="preserve"> </w:t>
      </w:r>
      <w:hyperlink r:id="rId11">
        <w:r w:rsidRPr="00FA185E">
          <w:rPr>
            <w:rStyle w:val="Hyperlink"/>
            <w:lang w:val="es-419"/>
          </w:rPr>
          <w:t>TC/54/31</w:t>
        </w:r>
      </w:hyperlink>
      <w:r w:rsidRPr="00FA185E">
        <w:rPr>
          <w:lang w:val="es-419"/>
        </w:rPr>
        <w:t xml:space="preserve"> “Informe”.</w:t>
      </w:r>
      <w:r w:rsidRPr="00FA185E">
        <w:rPr>
          <w:rStyle w:val="FootnoteReference"/>
          <w:lang w:val="es-419"/>
        </w:rPr>
        <w:footnoteReference w:id="15"/>
      </w:r>
    </w:p>
    <w:p w:rsidR="00914865" w:rsidRPr="00FA185E" w:rsidRDefault="00914865" w:rsidP="00914865">
      <w:pPr>
        <w:rPr>
          <w:lang w:val="es-419"/>
        </w:rPr>
      </w:pPr>
    </w:p>
    <w:p w:rsidR="00914865" w:rsidRPr="00FA185E" w:rsidRDefault="00914865" w:rsidP="00914865">
      <w:pPr>
        <w:rPr>
          <w:spacing w:val="-2"/>
          <w:lang w:val="es-419"/>
        </w:rPr>
      </w:pPr>
      <w:r w:rsidRPr="00FA185E">
        <w:rPr>
          <w:spacing w:val="-2"/>
          <w:lang w:val="es-419"/>
        </w:rPr>
        <w:fldChar w:fldCharType="begin"/>
      </w:r>
      <w:r w:rsidRPr="00FA185E">
        <w:rPr>
          <w:spacing w:val="-2"/>
          <w:lang w:val="es-419"/>
        </w:rPr>
        <w:instrText xml:space="preserve"> AUTONUM  </w:instrText>
      </w:r>
      <w:r w:rsidRPr="00FA185E">
        <w:rPr>
          <w:spacing w:val="-2"/>
          <w:lang w:val="es-419"/>
        </w:rPr>
        <w:fldChar w:fldCharType="end"/>
      </w:r>
      <w:r w:rsidRPr="00FA185E">
        <w:rPr>
          <w:lang w:val="es-419"/>
        </w:rPr>
        <w:tab/>
        <w:t>Con arreglo a lo anterior, el TC convino en que la revisión del documento</w:t>
      </w:r>
      <w:r w:rsidR="00B23B18">
        <w:rPr>
          <w:lang w:val="es-419"/>
        </w:rPr>
        <w:t xml:space="preserve"> </w:t>
      </w:r>
      <w:r w:rsidRPr="00FA185E">
        <w:rPr>
          <w:lang w:val="es-419"/>
        </w:rPr>
        <w:t>TGP/15/1 (documento</w:t>
      </w:r>
      <w:r w:rsidR="00B23B18">
        <w:rPr>
          <w:lang w:val="es-419"/>
        </w:rPr>
        <w:t xml:space="preserve"> </w:t>
      </w:r>
      <w:r w:rsidRPr="00FA185E">
        <w:rPr>
          <w:lang w:val="es-419"/>
        </w:rPr>
        <w:t>TGP/15/2</w:t>
      </w:r>
      <w:r w:rsidR="00B23B18">
        <w:rPr>
          <w:lang w:val="es-419"/>
        </w:rPr>
        <w:t> </w:t>
      </w:r>
      <w:proofErr w:type="spellStart"/>
      <w:r w:rsidR="00B23B18">
        <w:rPr>
          <w:lang w:val="es-419"/>
        </w:rPr>
        <w:t>Draft</w:t>
      </w:r>
      <w:proofErr w:type="spellEnd"/>
      <w:r w:rsidR="00B23B18">
        <w:rPr>
          <w:lang w:val="es-419"/>
        </w:rPr>
        <w:t> 2</w:t>
      </w:r>
      <w:r w:rsidRPr="00FA185E">
        <w:rPr>
          <w:lang w:val="es-419"/>
        </w:rPr>
        <w:t>) se someta a la aprobación del Consejo en su quincuagésima tercera sesión ordinaria, a reserva de la aprobación del</w:t>
      </w:r>
      <w:r w:rsidR="00B23B18">
        <w:rPr>
          <w:lang w:val="es-419"/>
        </w:rPr>
        <w:t xml:space="preserve"> </w:t>
      </w:r>
      <w:r w:rsidRPr="00FA185E">
        <w:rPr>
          <w:lang w:val="es-419"/>
        </w:rPr>
        <w:t>CAJ en su septuagésima</w:t>
      </w:r>
      <w:r w:rsidR="00B23B18">
        <w:rPr>
          <w:lang w:val="es-419"/>
        </w:rPr>
        <w:t xml:space="preserve"> </w:t>
      </w:r>
      <w:r w:rsidRPr="00FA185E">
        <w:rPr>
          <w:lang w:val="es-419"/>
        </w:rPr>
        <w:t>sexta sesión.</w:t>
      </w:r>
      <w:r w:rsidRPr="00FA185E">
        <w:rPr>
          <w:lang w:val="es-419"/>
        </w:rPr>
        <w:fldChar w:fldCharType="begin"/>
      </w:r>
      <w:r w:rsidRPr="00FA185E">
        <w:rPr>
          <w:lang w:val="es-419"/>
        </w:rPr>
        <w:instrText xml:space="preserve"> NOTEREF _Ref12539207 \f \h </w:instrText>
      </w:r>
      <w:r w:rsidRPr="00FA185E">
        <w:rPr>
          <w:lang w:val="es-419"/>
        </w:rPr>
      </w:r>
      <w:r w:rsidRPr="00FA185E">
        <w:rPr>
          <w:lang w:val="es-419"/>
        </w:rPr>
        <w:fldChar w:fldCharType="separate"/>
      </w:r>
      <w:r w:rsidRPr="00FA185E">
        <w:rPr>
          <w:rStyle w:val="FootnoteReference"/>
          <w:lang w:val="es-419"/>
        </w:rPr>
        <w:t>8</w:t>
      </w:r>
      <w:r w:rsidRPr="00FA185E">
        <w:rPr>
          <w:lang w:val="es-419"/>
        </w:rPr>
        <w:fldChar w:fldCharType="end"/>
      </w:r>
    </w:p>
    <w:p w:rsidR="00914865" w:rsidRPr="00FA185E" w:rsidRDefault="00914865" w:rsidP="00914865">
      <w:pPr>
        <w:rPr>
          <w:spacing w:val="-2"/>
          <w:lang w:val="es-419"/>
        </w:rPr>
      </w:pPr>
    </w:p>
    <w:p w:rsidR="00914865" w:rsidRPr="00FA185E" w:rsidRDefault="00914865" w:rsidP="00914865">
      <w:pPr>
        <w:rPr>
          <w:bCs/>
          <w:snapToGrid w:val="0"/>
          <w:szCs w:val="24"/>
          <w:lang w:val="es-419"/>
        </w:rPr>
      </w:pPr>
      <w:r w:rsidRPr="00FA185E">
        <w:rPr>
          <w:spacing w:val="-2"/>
          <w:lang w:val="es-419"/>
        </w:rPr>
        <w:fldChar w:fldCharType="begin"/>
      </w:r>
      <w:r w:rsidRPr="00FA185E">
        <w:rPr>
          <w:spacing w:val="-2"/>
          <w:lang w:val="es-419"/>
        </w:rPr>
        <w:instrText xml:space="preserve"> AUTONUM  </w:instrText>
      </w:r>
      <w:r w:rsidRPr="00FA185E">
        <w:rPr>
          <w:spacing w:val="-2"/>
          <w:lang w:val="es-419"/>
        </w:rPr>
        <w:fldChar w:fldCharType="end"/>
      </w:r>
      <w:r w:rsidRPr="00FA185E">
        <w:rPr>
          <w:lang w:val="es-419"/>
        </w:rPr>
        <w:tab/>
        <w:t>Los respectivos miembros del Comité de Redacción han revisado las traducciones al alemán, español y francés del texto original en inglés antes de que se presente al Consejo el proyecto de documento</w:t>
      </w:r>
      <w:r w:rsidR="00B23B18">
        <w:rPr>
          <w:lang w:val="es-419"/>
        </w:rPr>
        <w:t xml:space="preserve"> </w:t>
      </w:r>
      <w:r w:rsidRPr="00FA185E">
        <w:rPr>
          <w:lang w:val="es-419"/>
        </w:rPr>
        <w:t>TGP/15/2.</w:t>
      </w:r>
      <w:r w:rsidR="00AF1302" w:rsidRPr="00FA185E">
        <w:rPr>
          <w:lang w:val="es-419"/>
        </w:rPr>
        <w:t xml:space="preserve"> </w:t>
      </w:r>
      <w:r w:rsidRPr="00FA185E">
        <w:rPr>
          <w:lang w:val="es-419"/>
        </w:rPr>
        <w:t>El documento TGP/15/2</w:t>
      </w:r>
      <w:r w:rsidR="00B23B18">
        <w:rPr>
          <w:lang w:val="es-419"/>
        </w:rPr>
        <w:t> </w:t>
      </w:r>
      <w:proofErr w:type="spellStart"/>
      <w:r w:rsidR="00B23B18">
        <w:rPr>
          <w:lang w:val="es-419"/>
        </w:rPr>
        <w:t>Draft</w:t>
      </w:r>
      <w:proofErr w:type="spellEnd"/>
      <w:r w:rsidR="00B23B18">
        <w:rPr>
          <w:lang w:val="es-419"/>
        </w:rPr>
        <w:t> 2</w:t>
      </w:r>
      <w:r w:rsidRPr="00FA185E">
        <w:rPr>
          <w:lang w:val="es-419"/>
        </w:rPr>
        <w:t xml:space="preserve"> incorpora las enmiendas acordadas por el TC, expuestas en el Anexo</w:t>
      </w:r>
      <w:r w:rsidR="00B23B18">
        <w:rPr>
          <w:lang w:val="es-419"/>
        </w:rPr>
        <w:t xml:space="preserve"> </w:t>
      </w:r>
      <w:r w:rsidRPr="00FA185E">
        <w:rPr>
          <w:lang w:val="es-419"/>
        </w:rPr>
        <w:t>V del presente documento, y los cambios lingüísticos efectuados por los respectivos miembros del Comité de Redacción.</w:t>
      </w:r>
    </w:p>
    <w:p w:rsidR="00914865" w:rsidRPr="00FA185E" w:rsidRDefault="00914865" w:rsidP="00914865">
      <w:pPr>
        <w:rPr>
          <w:bCs/>
          <w:snapToGrid w:val="0"/>
          <w:szCs w:val="24"/>
          <w:lang w:val="es-419"/>
        </w:rPr>
      </w:pPr>
    </w:p>
    <w:p w:rsidR="00914865" w:rsidRPr="00FA185E" w:rsidRDefault="00914865" w:rsidP="00914865">
      <w:pPr>
        <w:rPr>
          <w:lang w:val="es-419"/>
        </w:rPr>
      </w:pPr>
      <w:r w:rsidRPr="00FA185E">
        <w:rPr>
          <w:lang w:val="es-419"/>
        </w:rPr>
        <w:fldChar w:fldCharType="begin"/>
      </w:r>
      <w:r w:rsidRPr="00FA185E">
        <w:rPr>
          <w:lang w:val="es-419"/>
        </w:rPr>
        <w:instrText xml:space="preserve"> AUTONUM  </w:instrText>
      </w:r>
      <w:r w:rsidRPr="00FA185E">
        <w:rPr>
          <w:lang w:val="es-419"/>
        </w:rPr>
        <w:fldChar w:fldCharType="end"/>
      </w:r>
      <w:r w:rsidRPr="00FA185E">
        <w:rPr>
          <w:lang w:val="es-419"/>
        </w:rPr>
        <w:tab/>
        <w:t>En su quincuagésima quinta sesión,</w:t>
      </w:r>
      <w:r w:rsidRPr="00FA185E">
        <w:rPr>
          <w:vertAlign w:val="superscript"/>
          <w:lang w:val="es-419"/>
        </w:rPr>
        <w:fldChar w:fldCharType="begin"/>
      </w:r>
      <w:r w:rsidRPr="00FA185E">
        <w:rPr>
          <w:vertAlign w:val="superscript"/>
          <w:lang w:val="es-419"/>
        </w:rPr>
        <w:instrText xml:space="preserve"> NOTEREF _Ref13574983 \h  \* MERGEFORMAT </w:instrText>
      </w:r>
      <w:r w:rsidRPr="00FA185E">
        <w:rPr>
          <w:vertAlign w:val="superscript"/>
          <w:lang w:val="es-419"/>
        </w:rPr>
      </w:r>
      <w:r w:rsidRPr="00FA185E">
        <w:rPr>
          <w:vertAlign w:val="superscript"/>
          <w:lang w:val="es-419"/>
        </w:rPr>
        <w:fldChar w:fldCharType="separate"/>
      </w:r>
      <w:r w:rsidRPr="00FA185E">
        <w:rPr>
          <w:vertAlign w:val="superscript"/>
          <w:lang w:val="es-419"/>
        </w:rPr>
        <w:t>1</w:t>
      </w:r>
      <w:r w:rsidRPr="00FA185E">
        <w:rPr>
          <w:vertAlign w:val="superscript"/>
          <w:lang w:val="es-419"/>
        </w:rPr>
        <w:fldChar w:fldCharType="end"/>
      </w:r>
      <w:r w:rsidRPr="00FA185E">
        <w:rPr>
          <w:lang w:val="es-419"/>
        </w:rPr>
        <w:t xml:space="preserve"> el</w:t>
      </w:r>
      <w:r w:rsidR="00B23B18">
        <w:rPr>
          <w:lang w:val="es-419"/>
        </w:rPr>
        <w:t xml:space="preserve"> </w:t>
      </w:r>
      <w:r w:rsidRPr="00FA185E">
        <w:rPr>
          <w:lang w:val="es-419"/>
        </w:rPr>
        <w:t>TC examinará el documento</w:t>
      </w:r>
      <w:r w:rsidR="00B23B18">
        <w:rPr>
          <w:lang w:val="es-419"/>
        </w:rPr>
        <w:t xml:space="preserve"> </w:t>
      </w:r>
      <w:r w:rsidRPr="00FA185E">
        <w:rPr>
          <w:lang w:val="es-419"/>
        </w:rPr>
        <w:t>TGP/15/2</w:t>
      </w:r>
      <w:r w:rsidR="00B23B18">
        <w:rPr>
          <w:lang w:val="es-419"/>
        </w:rPr>
        <w:t> </w:t>
      </w:r>
      <w:proofErr w:type="spellStart"/>
      <w:r w:rsidR="00B23B18">
        <w:rPr>
          <w:lang w:val="es-419"/>
        </w:rPr>
        <w:t>Draft</w:t>
      </w:r>
      <w:proofErr w:type="spellEnd"/>
      <w:r w:rsidR="00B23B18">
        <w:rPr>
          <w:lang w:val="es-419"/>
        </w:rPr>
        <w:t> 2</w:t>
      </w:r>
      <w:r w:rsidRPr="00FA185E">
        <w:rPr>
          <w:lang w:val="es-419"/>
        </w:rPr>
        <w:t>.</w:t>
      </w:r>
      <w:r w:rsidR="00AF1302" w:rsidRPr="00FA185E">
        <w:rPr>
          <w:lang w:val="es-419"/>
        </w:rPr>
        <w:t xml:space="preserve"> </w:t>
      </w:r>
      <w:r w:rsidRPr="00FA185E">
        <w:rPr>
          <w:lang w:val="es-419"/>
        </w:rPr>
        <w:t>Las observaciones formuladas por el</w:t>
      </w:r>
      <w:r w:rsidR="00B23B18">
        <w:rPr>
          <w:lang w:val="es-419"/>
        </w:rPr>
        <w:t xml:space="preserve"> </w:t>
      </w:r>
      <w:r w:rsidRPr="00FA185E">
        <w:rPr>
          <w:lang w:val="es-419"/>
        </w:rPr>
        <w:t>TC se notificarán al</w:t>
      </w:r>
      <w:r w:rsidR="00B23B18">
        <w:rPr>
          <w:lang w:val="es-419"/>
        </w:rPr>
        <w:t xml:space="preserve"> </w:t>
      </w:r>
      <w:r w:rsidRPr="00FA185E">
        <w:rPr>
          <w:lang w:val="es-419"/>
        </w:rPr>
        <w:t>CAJ en su septuagésima sexta sesión.</w:t>
      </w:r>
      <w:r w:rsidRPr="00FA185E">
        <w:rPr>
          <w:lang w:val="es-419"/>
        </w:rPr>
        <w:fldChar w:fldCharType="begin"/>
      </w:r>
      <w:r w:rsidRPr="00FA185E">
        <w:rPr>
          <w:lang w:val="es-419"/>
        </w:rPr>
        <w:instrText xml:space="preserve"> NOTEREF _Ref12539207 \f \h </w:instrText>
      </w:r>
      <w:r w:rsidRPr="00FA185E">
        <w:rPr>
          <w:lang w:val="es-419"/>
        </w:rPr>
      </w:r>
      <w:r w:rsidRPr="00FA185E">
        <w:rPr>
          <w:lang w:val="es-419"/>
        </w:rPr>
        <w:fldChar w:fldCharType="separate"/>
      </w:r>
      <w:r w:rsidRPr="00FA185E">
        <w:rPr>
          <w:rStyle w:val="FootnoteReference"/>
          <w:lang w:val="es-419"/>
        </w:rPr>
        <w:t>8</w:t>
      </w:r>
      <w:r w:rsidRPr="00FA185E">
        <w:rPr>
          <w:lang w:val="es-419"/>
        </w:rPr>
        <w:fldChar w:fldCharType="end"/>
      </w:r>
    </w:p>
    <w:p w:rsidR="00914865" w:rsidRPr="00FA185E" w:rsidRDefault="00914865" w:rsidP="00914865">
      <w:pPr>
        <w:rPr>
          <w:lang w:val="es-419"/>
        </w:rPr>
      </w:pPr>
    </w:p>
    <w:p w:rsidR="00914865" w:rsidRPr="00FA185E" w:rsidRDefault="00914865" w:rsidP="00914865">
      <w:pPr>
        <w:pStyle w:val="DecisionParagraphs"/>
        <w:keepNext/>
        <w:keepLines/>
        <w:rPr>
          <w:lang w:val="es-419"/>
        </w:rPr>
      </w:pPr>
      <w:r w:rsidRPr="00FA185E">
        <w:rPr>
          <w:lang w:val="es-419"/>
        </w:rPr>
        <w:fldChar w:fldCharType="begin"/>
      </w:r>
      <w:r w:rsidRPr="00FA185E">
        <w:rPr>
          <w:lang w:val="es-419"/>
        </w:rPr>
        <w:instrText xml:space="preserve"> AUTONUM  </w:instrText>
      </w:r>
      <w:r w:rsidRPr="00FA185E">
        <w:rPr>
          <w:lang w:val="es-419"/>
        </w:rPr>
        <w:fldChar w:fldCharType="end"/>
      </w:r>
      <w:r w:rsidRPr="00FA185E">
        <w:rPr>
          <w:lang w:val="es-419"/>
        </w:rPr>
        <w:tab/>
        <w:t xml:space="preserve">Se invita al CAJ a examinar la revisión del documento TGP/15 </w:t>
      </w:r>
      <w:r w:rsidRPr="00FA185E">
        <w:rPr>
          <w:caps/>
          <w:lang w:val="es-419"/>
        </w:rPr>
        <w:t>“</w:t>
      </w:r>
      <w:r w:rsidRPr="00FA185E">
        <w:rPr>
          <w:lang w:val="es-419"/>
        </w:rPr>
        <w:t>Orientación sobre el uso de marcadores bioquímicos y moleculares en el examen de la distinción, la homogeneidad y la estabilidad (DHE)” (documento</w:t>
      </w:r>
      <w:r w:rsidR="00B23B18">
        <w:rPr>
          <w:lang w:val="es-419"/>
        </w:rPr>
        <w:t xml:space="preserve"> </w:t>
      </w:r>
      <w:r w:rsidRPr="00FA185E">
        <w:rPr>
          <w:lang w:val="es-419"/>
        </w:rPr>
        <w:t>TGP/15/1), sobre la base del documento</w:t>
      </w:r>
      <w:r w:rsidR="00B23B18">
        <w:rPr>
          <w:lang w:val="es-419"/>
        </w:rPr>
        <w:t xml:space="preserve"> </w:t>
      </w:r>
      <w:r w:rsidRPr="00FA185E">
        <w:rPr>
          <w:lang w:val="es-419"/>
        </w:rPr>
        <w:t>TGP/15/2</w:t>
      </w:r>
      <w:r w:rsidR="00B23B18">
        <w:rPr>
          <w:lang w:val="es-419"/>
        </w:rPr>
        <w:t> </w:t>
      </w:r>
      <w:proofErr w:type="spellStart"/>
      <w:r w:rsidR="00B23B18">
        <w:rPr>
          <w:lang w:val="es-419"/>
        </w:rPr>
        <w:t>Draft</w:t>
      </w:r>
      <w:proofErr w:type="spellEnd"/>
      <w:r w:rsidR="00B23B18">
        <w:rPr>
          <w:lang w:val="es-419"/>
        </w:rPr>
        <w:t> 2</w:t>
      </w:r>
      <w:r w:rsidRPr="00FA185E">
        <w:rPr>
          <w:lang w:val="es-419"/>
        </w:rPr>
        <w:t>, teniendo en cuenta las conclusiones del</w:t>
      </w:r>
      <w:r w:rsidR="00B23B18">
        <w:rPr>
          <w:lang w:val="es-419"/>
        </w:rPr>
        <w:t xml:space="preserve"> </w:t>
      </w:r>
      <w:r w:rsidRPr="00FA185E">
        <w:rPr>
          <w:lang w:val="es-419"/>
        </w:rPr>
        <w:t>TC en su quincuagésima</w:t>
      </w:r>
      <w:r w:rsidR="00B23B18">
        <w:rPr>
          <w:lang w:val="es-419"/>
        </w:rPr>
        <w:t xml:space="preserve"> </w:t>
      </w:r>
      <w:r w:rsidRPr="00FA185E">
        <w:rPr>
          <w:lang w:val="es-419"/>
        </w:rPr>
        <w:t xml:space="preserve">quinta sesión. </w:t>
      </w:r>
    </w:p>
    <w:p w:rsidR="00914865" w:rsidRPr="00FA185E" w:rsidRDefault="00914865" w:rsidP="00914865">
      <w:pPr>
        <w:tabs>
          <w:tab w:val="left" w:pos="5387"/>
        </w:tabs>
        <w:rPr>
          <w:lang w:val="es-419"/>
        </w:rPr>
      </w:pPr>
    </w:p>
    <w:p w:rsidR="00914865" w:rsidRPr="00FA185E" w:rsidRDefault="00914865" w:rsidP="00914865">
      <w:pPr>
        <w:tabs>
          <w:tab w:val="left" w:pos="5387"/>
        </w:tabs>
        <w:rPr>
          <w:lang w:val="es-419"/>
        </w:rPr>
      </w:pPr>
    </w:p>
    <w:p w:rsidR="007B4805" w:rsidRDefault="007B4805">
      <w:pPr>
        <w:jc w:val="left"/>
        <w:rPr>
          <w:u w:val="single"/>
          <w:lang w:val="es-419"/>
        </w:rPr>
      </w:pPr>
      <w:bookmarkStart w:id="39" w:name="_Toc13581191"/>
      <w:bookmarkStart w:id="40" w:name="_Toc15650748"/>
      <w:r>
        <w:rPr>
          <w:lang w:val="es-419"/>
        </w:rPr>
        <w:br w:type="page"/>
      </w:r>
    </w:p>
    <w:p w:rsidR="00914865" w:rsidRPr="00FA185E" w:rsidRDefault="00914865" w:rsidP="00914865">
      <w:pPr>
        <w:pStyle w:val="Heading2"/>
        <w:rPr>
          <w:snapToGrid w:val="0"/>
          <w:lang w:val="es-419"/>
        </w:rPr>
      </w:pPr>
      <w:r w:rsidRPr="00FA185E">
        <w:rPr>
          <w:lang w:val="es-419"/>
        </w:rPr>
        <w:lastRenderedPageBreak/>
        <w:t>Documento</w:t>
      </w:r>
      <w:r w:rsidR="00B23B18">
        <w:rPr>
          <w:lang w:val="es-419"/>
        </w:rPr>
        <w:t xml:space="preserve"> </w:t>
      </w:r>
      <w:r w:rsidRPr="00FA185E">
        <w:rPr>
          <w:lang w:val="es-419"/>
        </w:rPr>
        <w:t>TGP/0:</w:t>
      </w:r>
      <w:r w:rsidR="00AF1302" w:rsidRPr="00FA185E">
        <w:rPr>
          <w:lang w:val="es-419"/>
        </w:rPr>
        <w:t xml:space="preserve"> </w:t>
      </w:r>
      <w:r w:rsidRPr="00FA185E">
        <w:rPr>
          <w:lang w:val="es-419"/>
        </w:rPr>
        <w:t>Lista de documentos TGP y fechas de última publicación (revisión) (documento</w:t>
      </w:r>
      <w:r w:rsidR="001247D1">
        <w:rPr>
          <w:lang w:val="es-419"/>
        </w:rPr>
        <w:t> </w:t>
      </w:r>
      <w:r w:rsidRPr="00FA185E">
        <w:rPr>
          <w:lang w:val="es-419"/>
        </w:rPr>
        <w:t>TGP/0/11</w:t>
      </w:r>
      <w:r w:rsidR="00B23B18">
        <w:rPr>
          <w:lang w:val="es-419"/>
        </w:rPr>
        <w:t> </w:t>
      </w:r>
      <w:proofErr w:type="spellStart"/>
      <w:r w:rsidR="00B23B18">
        <w:rPr>
          <w:lang w:val="es-419"/>
        </w:rPr>
        <w:t>Draft</w:t>
      </w:r>
      <w:proofErr w:type="spellEnd"/>
      <w:r w:rsidR="00B23B18">
        <w:rPr>
          <w:lang w:val="es-419"/>
        </w:rPr>
        <w:t> 1</w:t>
      </w:r>
      <w:r w:rsidRPr="00FA185E">
        <w:rPr>
          <w:lang w:val="es-419"/>
        </w:rPr>
        <w:t>)</w:t>
      </w:r>
      <w:bookmarkEnd w:id="39"/>
      <w:bookmarkEnd w:id="40"/>
      <w:r w:rsidRPr="00FA185E">
        <w:rPr>
          <w:lang w:val="es-419"/>
        </w:rPr>
        <w:t xml:space="preserve"> </w:t>
      </w:r>
    </w:p>
    <w:p w:rsidR="00914865" w:rsidRPr="00FA185E" w:rsidRDefault="00914865" w:rsidP="00914865">
      <w:pPr>
        <w:keepNext/>
        <w:rPr>
          <w:lang w:val="es-419"/>
        </w:rPr>
      </w:pPr>
    </w:p>
    <w:p w:rsidR="00914865" w:rsidRPr="00FA185E" w:rsidRDefault="00914865" w:rsidP="00914865">
      <w:pPr>
        <w:keepNext/>
        <w:rPr>
          <w:rFonts w:cs="Arial"/>
          <w:lang w:val="es-419"/>
        </w:rPr>
      </w:pPr>
      <w:r w:rsidRPr="00FA185E">
        <w:rPr>
          <w:lang w:val="es-419"/>
        </w:rPr>
        <w:fldChar w:fldCharType="begin"/>
      </w:r>
      <w:r w:rsidRPr="00FA185E">
        <w:rPr>
          <w:lang w:val="es-419"/>
        </w:rPr>
        <w:instrText xml:space="preserve"> AUTONUM  </w:instrText>
      </w:r>
      <w:r w:rsidRPr="00FA185E">
        <w:rPr>
          <w:lang w:val="es-419"/>
        </w:rPr>
        <w:fldChar w:fldCharType="end"/>
      </w:r>
      <w:r w:rsidRPr="00FA185E">
        <w:rPr>
          <w:lang w:val="es-419"/>
        </w:rPr>
        <w:tab/>
        <w:t>Se invita al CAJ a tomar nota de que, junto con la aprobación de los documentos TGP revisados en la quincuagésima</w:t>
      </w:r>
      <w:r w:rsidR="00B23B18">
        <w:rPr>
          <w:lang w:val="es-419"/>
        </w:rPr>
        <w:t xml:space="preserve"> </w:t>
      </w:r>
      <w:r w:rsidRPr="00FA185E">
        <w:rPr>
          <w:lang w:val="es-419"/>
        </w:rPr>
        <w:t>tercera sesión ordinaria del Consejo, se propondrá a este que apruebe la revisión del documento</w:t>
      </w:r>
      <w:r w:rsidR="00B23B18">
        <w:rPr>
          <w:lang w:val="es-419"/>
        </w:rPr>
        <w:t xml:space="preserve"> </w:t>
      </w:r>
      <w:r w:rsidRPr="00FA185E">
        <w:rPr>
          <w:lang w:val="es-419"/>
        </w:rPr>
        <w:t>TGP/0 “Lista de documentos TGP y fechas de última publicación” (documento</w:t>
      </w:r>
      <w:r w:rsidR="00B23B18">
        <w:rPr>
          <w:lang w:val="es-419"/>
        </w:rPr>
        <w:t xml:space="preserve"> </w:t>
      </w:r>
      <w:r w:rsidRPr="00FA185E">
        <w:rPr>
          <w:lang w:val="es-419"/>
        </w:rPr>
        <w:t>TGP/0/10) sobre la base del documento</w:t>
      </w:r>
      <w:r w:rsidR="00B23B18">
        <w:rPr>
          <w:lang w:val="es-419"/>
        </w:rPr>
        <w:t xml:space="preserve"> </w:t>
      </w:r>
      <w:r w:rsidRPr="00FA185E">
        <w:rPr>
          <w:lang w:val="es-419"/>
        </w:rPr>
        <w:t>TGP/0/11</w:t>
      </w:r>
      <w:r w:rsidR="00B23B18">
        <w:rPr>
          <w:lang w:val="es-419"/>
        </w:rPr>
        <w:t> </w:t>
      </w:r>
      <w:proofErr w:type="spellStart"/>
      <w:r w:rsidR="00B23B18">
        <w:rPr>
          <w:lang w:val="es-419"/>
        </w:rPr>
        <w:t>Draft</w:t>
      </w:r>
      <w:proofErr w:type="spellEnd"/>
      <w:r w:rsidR="00B23B18">
        <w:rPr>
          <w:lang w:val="es-419"/>
        </w:rPr>
        <w:t> 1</w:t>
      </w:r>
      <w:r w:rsidRPr="00FA185E">
        <w:rPr>
          <w:lang w:val="es-419"/>
        </w:rPr>
        <w:t>.</w:t>
      </w:r>
    </w:p>
    <w:p w:rsidR="00914865" w:rsidRPr="00FA185E" w:rsidRDefault="00914865" w:rsidP="00914865">
      <w:pPr>
        <w:rPr>
          <w:lang w:val="es-419"/>
        </w:rPr>
      </w:pPr>
    </w:p>
    <w:p w:rsidR="00914865" w:rsidRPr="00FA185E" w:rsidRDefault="00914865" w:rsidP="00914865">
      <w:pPr>
        <w:tabs>
          <w:tab w:val="left" w:pos="5387"/>
          <w:tab w:val="left" w:pos="5954"/>
        </w:tabs>
        <w:ind w:left="4820"/>
        <w:rPr>
          <w:lang w:val="es-419"/>
        </w:rPr>
      </w:pPr>
      <w:r w:rsidRPr="00FA185E">
        <w:rPr>
          <w:i/>
          <w:lang w:val="es-419"/>
        </w:rPr>
        <w:fldChar w:fldCharType="begin"/>
      </w:r>
      <w:r w:rsidRPr="00FA185E">
        <w:rPr>
          <w:i/>
          <w:lang w:val="es-419"/>
        </w:rPr>
        <w:instrText xml:space="preserve"> AUTONUM  </w:instrText>
      </w:r>
      <w:r w:rsidRPr="00FA185E">
        <w:rPr>
          <w:i/>
          <w:lang w:val="es-419"/>
        </w:rPr>
        <w:fldChar w:fldCharType="end"/>
      </w:r>
      <w:r w:rsidRPr="00FA185E">
        <w:rPr>
          <w:lang w:val="es-419"/>
        </w:rPr>
        <w:tab/>
      </w:r>
      <w:r w:rsidRPr="00FA185E">
        <w:rPr>
          <w:i/>
          <w:lang w:val="es-419"/>
        </w:rPr>
        <w:t>Se invita al CAJ a tomar nota de que, junto con la aprobación de los documentos TGP revisados en la quincuagésima</w:t>
      </w:r>
      <w:r w:rsidR="00B23B18">
        <w:rPr>
          <w:i/>
          <w:lang w:val="es-419"/>
        </w:rPr>
        <w:t xml:space="preserve"> </w:t>
      </w:r>
      <w:r w:rsidRPr="00FA185E">
        <w:rPr>
          <w:i/>
          <w:lang w:val="es-419"/>
        </w:rPr>
        <w:t>tercera sesión ordinaria del Consejo, se propondrá a este que apruebe la revisión del documento</w:t>
      </w:r>
      <w:r w:rsidR="00B23B18">
        <w:rPr>
          <w:i/>
          <w:lang w:val="es-419"/>
        </w:rPr>
        <w:t xml:space="preserve"> </w:t>
      </w:r>
      <w:r w:rsidRPr="00FA185E">
        <w:rPr>
          <w:i/>
          <w:lang w:val="es-419"/>
        </w:rPr>
        <w:t>TGP/0 “Lista de documentos TGP y fechas de última publicación” (documento</w:t>
      </w:r>
      <w:r w:rsidR="00B23B18">
        <w:rPr>
          <w:i/>
          <w:lang w:val="es-419"/>
        </w:rPr>
        <w:t xml:space="preserve"> </w:t>
      </w:r>
      <w:r w:rsidRPr="00FA185E">
        <w:rPr>
          <w:i/>
          <w:lang w:val="es-419"/>
        </w:rPr>
        <w:t>TGP/0/10) sobre la base del documento</w:t>
      </w:r>
      <w:r w:rsidR="00B23B18">
        <w:rPr>
          <w:i/>
          <w:lang w:val="es-419"/>
        </w:rPr>
        <w:t xml:space="preserve"> </w:t>
      </w:r>
      <w:r w:rsidRPr="00FA185E">
        <w:rPr>
          <w:i/>
          <w:lang w:val="es-419"/>
        </w:rPr>
        <w:t>TGP/0/11</w:t>
      </w:r>
      <w:r w:rsidR="00B23B18">
        <w:rPr>
          <w:i/>
          <w:lang w:val="es-419"/>
        </w:rPr>
        <w:t> </w:t>
      </w:r>
      <w:proofErr w:type="spellStart"/>
      <w:r w:rsidR="00B23B18">
        <w:rPr>
          <w:i/>
          <w:lang w:val="es-419"/>
        </w:rPr>
        <w:t>Draft</w:t>
      </w:r>
      <w:proofErr w:type="spellEnd"/>
      <w:r w:rsidR="00B23B18">
        <w:rPr>
          <w:i/>
          <w:lang w:val="es-419"/>
        </w:rPr>
        <w:t> 1</w:t>
      </w:r>
      <w:r w:rsidRPr="00FA185E">
        <w:rPr>
          <w:i/>
          <w:lang w:val="es-419"/>
        </w:rPr>
        <w:t>.</w:t>
      </w:r>
      <w:r w:rsidRPr="00FA185E">
        <w:rPr>
          <w:lang w:val="es-419"/>
        </w:rPr>
        <w:t xml:space="preserve"> </w:t>
      </w:r>
    </w:p>
    <w:p w:rsidR="00914865" w:rsidRPr="00FA185E" w:rsidRDefault="00914865" w:rsidP="00914865">
      <w:pPr>
        <w:tabs>
          <w:tab w:val="left" w:pos="5387"/>
        </w:tabs>
        <w:rPr>
          <w:lang w:val="es-419"/>
        </w:rPr>
      </w:pPr>
    </w:p>
    <w:p w:rsidR="00914865" w:rsidRPr="00FA185E" w:rsidRDefault="00914865" w:rsidP="00914865">
      <w:pPr>
        <w:rPr>
          <w:lang w:val="es-419"/>
        </w:rPr>
      </w:pPr>
      <w:bookmarkStart w:id="41" w:name="_Toc352678076"/>
      <w:bookmarkStart w:id="42" w:name="_Toc353797757"/>
      <w:bookmarkStart w:id="43" w:name="_Toc386185988"/>
      <w:bookmarkStart w:id="44" w:name="_Toc419124879"/>
      <w:bookmarkEnd w:id="16"/>
      <w:bookmarkEnd w:id="17"/>
      <w:bookmarkEnd w:id="18"/>
      <w:bookmarkEnd w:id="19"/>
    </w:p>
    <w:p w:rsidR="00914865" w:rsidRPr="00FA185E" w:rsidRDefault="00914865" w:rsidP="00914865">
      <w:pPr>
        <w:rPr>
          <w:lang w:val="es-419"/>
        </w:rPr>
      </w:pPr>
    </w:p>
    <w:p w:rsidR="00914865" w:rsidRPr="00FA185E" w:rsidRDefault="00914865" w:rsidP="00914865">
      <w:pPr>
        <w:keepNext/>
        <w:outlineLvl w:val="0"/>
        <w:rPr>
          <w:caps/>
          <w:lang w:val="es-419"/>
        </w:rPr>
      </w:pPr>
      <w:bookmarkStart w:id="45" w:name="_Toc519608644"/>
      <w:bookmarkStart w:id="46" w:name="_Toc13581192"/>
      <w:bookmarkStart w:id="47" w:name="_Toc15650749"/>
      <w:r w:rsidRPr="00FA185E">
        <w:rPr>
          <w:caps/>
          <w:lang w:val="es-419"/>
        </w:rPr>
        <w:t>Programa para la elaboración de los documentos TGP</w:t>
      </w:r>
      <w:bookmarkEnd w:id="45"/>
      <w:bookmarkEnd w:id="46"/>
      <w:bookmarkEnd w:id="47"/>
    </w:p>
    <w:p w:rsidR="00914865" w:rsidRPr="00FA185E" w:rsidRDefault="00914865" w:rsidP="00914865">
      <w:pPr>
        <w:keepNext/>
        <w:rPr>
          <w:rFonts w:cs="Arial"/>
          <w:color w:val="000000"/>
          <w:lang w:val="es-419"/>
        </w:rPr>
      </w:pPr>
    </w:p>
    <w:p w:rsidR="00914865" w:rsidRPr="00FA185E" w:rsidRDefault="00914865" w:rsidP="00914865">
      <w:pPr>
        <w:keepNext/>
        <w:keepLines/>
        <w:rPr>
          <w:lang w:val="es-419"/>
        </w:rPr>
      </w:pPr>
      <w:r w:rsidRPr="00FA185E">
        <w:rPr>
          <w:rFonts w:cs="Arial"/>
          <w:lang w:val="es-419"/>
        </w:rPr>
        <w:fldChar w:fldCharType="begin"/>
      </w:r>
      <w:r w:rsidRPr="00FA185E">
        <w:rPr>
          <w:rFonts w:cs="Arial"/>
          <w:lang w:val="es-419"/>
        </w:rPr>
        <w:instrText xml:space="preserve"> AUTONUM  </w:instrText>
      </w:r>
      <w:r w:rsidRPr="00FA185E">
        <w:rPr>
          <w:rFonts w:cs="Arial"/>
          <w:lang w:val="es-419"/>
        </w:rPr>
        <w:fldChar w:fldCharType="end"/>
      </w:r>
      <w:r w:rsidRPr="00FA185E">
        <w:rPr>
          <w:lang w:val="es-419"/>
        </w:rPr>
        <w:tab/>
      </w:r>
      <w:bookmarkStart w:id="48" w:name="OLE_LINK10"/>
      <w:r w:rsidRPr="00FA185E">
        <w:rPr>
          <w:lang w:val="es-419"/>
        </w:rPr>
        <w:t>En el Anexo</w:t>
      </w:r>
      <w:r w:rsidR="00B23B18">
        <w:rPr>
          <w:lang w:val="es-419"/>
        </w:rPr>
        <w:t xml:space="preserve"> </w:t>
      </w:r>
      <w:r w:rsidRPr="00FA185E">
        <w:rPr>
          <w:lang w:val="es-419"/>
        </w:rPr>
        <w:t>VI de este documento se presenta el programa para la elaboración de los documentos</w:t>
      </w:r>
      <w:r w:rsidR="00B23B18">
        <w:rPr>
          <w:lang w:val="es-419"/>
        </w:rPr>
        <w:t xml:space="preserve"> </w:t>
      </w:r>
      <w:r w:rsidRPr="00FA185E">
        <w:rPr>
          <w:lang w:val="es-419"/>
        </w:rPr>
        <w:t>TGP acordado por el</w:t>
      </w:r>
      <w:r w:rsidR="00B23B18">
        <w:rPr>
          <w:lang w:val="es-419"/>
        </w:rPr>
        <w:t xml:space="preserve"> </w:t>
      </w:r>
      <w:r w:rsidRPr="00FA185E">
        <w:rPr>
          <w:lang w:val="es-419"/>
        </w:rPr>
        <w:t>TC, en su quincuagésima cuarta sesión,</w:t>
      </w:r>
      <w:r w:rsidRPr="00FA185E">
        <w:rPr>
          <w:rFonts w:cs="Arial"/>
          <w:vertAlign w:val="superscript"/>
          <w:lang w:val="es-419"/>
        </w:rPr>
        <w:fldChar w:fldCharType="begin"/>
      </w:r>
      <w:r w:rsidRPr="00FA185E">
        <w:rPr>
          <w:rFonts w:cs="Arial"/>
          <w:vertAlign w:val="superscript"/>
          <w:lang w:val="es-419"/>
        </w:rPr>
        <w:instrText xml:space="preserve"> NOTEREF _Ref12538883 \h  \* MERGEFORMAT </w:instrText>
      </w:r>
      <w:r w:rsidRPr="00FA185E">
        <w:rPr>
          <w:rFonts w:cs="Arial"/>
          <w:vertAlign w:val="superscript"/>
          <w:lang w:val="es-419"/>
        </w:rPr>
      </w:r>
      <w:r w:rsidRPr="00FA185E">
        <w:rPr>
          <w:rFonts w:cs="Arial"/>
          <w:vertAlign w:val="superscript"/>
          <w:lang w:val="es-419"/>
        </w:rPr>
        <w:fldChar w:fldCharType="separate"/>
      </w:r>
      <w:r w:rsidRPr="00FA185E">
        <w:rPr>
          <w:rFonts w:cs="Arial"/>
          <w:vertAlign w:val="superscript"/>
          <w:lang w:val="es-419"/>
        </w:rPr>
        <w:t>2</w:t>
      </w:r>
      <w:r w:rsidRPr="00FA185E">
        <w:rPr>
          <w:rFonts w:cs="Arial"/>
          <w:vertAlign w:val="superscript"/>
          <w:lang w:val="es-419"/>
        </w:rPr>
        <w:fldChar w:fldCharType="end"/>
      </w:r>
      <w:r w:rsidRPr="00FA185E">
        <w:rPr>
          <w:lang w:val="es-419"/>
        </w:rPr>
        <w:t xml:space="preserve"> y el</w:t>
      </w:r>
      <w:r w:rsidR="00B23B18">
        <w:rPr>
          <w:lang w:val="es-419"/>
        </w:rPr>
        <w:t xml:space="preserve"> </w:t>
      </w:r>
      <w:r w:rsidRPr="00FA185E">
        <w:rPr>
          <w:lang w:val="es-419"/>
        </w:rPr>
        <w:t>CAJ, en su septuagésima quinta sesión.</w:t>
      </w:r>
      <w:r w:rsidRPr="00FA185E">
        <w:rPr>
          <w:vertAlign w:val="superscript"/>
          <w:lang w:val="es-419"/>
        </w:rPr>
        <w:fldChar w:fldCharType="begin"/>
      </w:r>
      <w:r w:rsidRPr="00FA185E">
        <w:rPr>
          <w:vertAlign w:val="superscript"/>
          <w:lang w:val="es-419"/>
        </w:rPr>
        <w:instrText xml:space="preserve"> NOTEREF _Ref12539907 \h  \* MERGEFORMAT </w:instrText>
      </w:r>
      <w:r w:rsidRPr="00FA185E">
        <w:rPr>
          <w:vertAlign w:val="superscript"/>
          <w:lang w:val="es-419"/>
        </w:rPr>
      </w:r>
      <w:r w:rsidRPr="00FA185E">
        <w:rPr>
          <w:vertAlign w:val="superscript"/>
          <w:lang w:val="es-419"/>
        </w:rPr>
        <w:fldChar w:fldCharType="separate"/>
      </w:r>
      <w:r w:rsidRPr="00FA185E">
        <w:rPr>
          <w:vertAlign w:val="superscript"/>
          <w:lang w:val="es-419"/>
        </w:rPr>
        <w:t>3</w:t>
      </w:r>
      <w:r w:rsidRPr="00FA185E">
        <w:rPr>
          <w:vertAlign w:val="superscript"/>
          <w:lang w:val="es-419"/>
        </w:rPr>
        <w:fldChar w:fldCharType="end"/>
      </w:r>
      <w:r w:rsidRPr="00FA185E">
        <w:rPr>
          <w:vertAlign w:val="superscript"/>
          <w:lang w:val="es-419"/>
        </w:rPr>
        <w:t>,</w:t>
      </w:r>
      <w:r w:rsidRPr="00FA185E">
        <w:rPr>
          <w:rStyle w:val="FootnoteReference"/>
          <w:lang w:val="es-419"/>
        </w:rPr>
        <w:footnoteReference w:id="16"/>
      </w:r>
    </w:p>
    <w:p w:rsidR="00914865" w:rsidRPr="00FA185E" w:rsidRDefault="00914865" w:rsidP="00914865">
      <w:pPr>
        <w:keepNext/>
        <w:keepLines/>
        <w:rPr>
          <w:lang w:val="es-419"/>
        </w:rPr>
      </w:pPr>
    </w:p>
    <w:bookmarkEnd w:id="48"/>
    <w:p w:rsidR="00914865" w:rsidRPr="00FA185E" w:rsidRDefault="00914865" w:rsidP="00914865">
      <w:pPr>
        <w:keepNext/>
        <w:keepLines/>
        <w:rPr>
          <w:rFonts w:cs="Arial"/>
          <w:color w:val="000000"/>
          <w:lang w:val="es-419"/>
        </w:rPr>
      </w:pPr>
      <w:r w:rsidRPr="00FA185E">
        <w:rPr>
          <w:rFonts w:cs="Arial"/>
          <w:lang w:val="es-419"/>
        </w:rPr>
        <w:fldChar w:fldCharType="begin"/>
      </w:r>
      <w:r w:rsidRPr="00FA185E">
        <w:rPr>
          <w:rFonts w:cs="Arial"/>
          <w:lang w:val="es-419"/>
        </w:rPr>
        <w:instrText xml:space="preserve"> AUTONUM  </w:instrText>
      </w:r>
      <w:r w:rsidRPr="00FA185E">
        <w:rPr>
          <w:rFonts w:cs="Arial"/>
          <w:lang w:val="es-419"/>
        </w:rPr>
        <w:fldChar w:fldCharType="end"/>
      </w:r>
      <w:r w:rsidRPr="00FA185E">
        <w:rPr>
          <w:lang w:val="es-419"/>
        </w:rPr>
        <w:tab/>
        <w:t>Se ha previsto que se presente un informe sobre las conclusiones del TC, en su quincuagésima quinta sesión,</w:t>
      </w:r>
      <w:r w:rsidRPr="00FA185E">
        <w:rPr>
          <w:vertAlign w:val="superscript"/>
          <w:lang w:val="es-419"/>
        </w:rPr>
        <w:fldChar w:fldCharType="begin"/>
      </w:r>
      <w:r w:rsidRPr="00FA185E">
        <w:rPr>
          <w:vertAlign w:val="superscript"/>
          <w:lang w:val="es-419"/>
        </w:rPr>
        <w:instrText xml:space="preserve"> NOTEREF _Ref13574983 \h  \* MERGEFORMAT </w:instrText>
      </w:r>
      <w:r w:rsidRPr="00FA185E">
        <w:rPr>
          <w:vertAlign w:val="superscript"/>
          <w:lang w:val="es-419"/>
        </w:rPr>
      </w:r>
      <w:r w:rsidRPr="00FA185E">
        <w:rPr>
          <w:vertAlign w:val="superscript"/>
          <w:lang w:val="es-419"/>
        </w:rPr>
        <w:fldChar w:fldCharType="separate"/>
      </w:r>
      <w:r w:rsidRPr="00FA185E">
        <w:rPr>
          <w:vertAlign w:val="superscript"/>
          <w:lang w:val="es-419"/>
        </w:rPr>
        <w:t>1</w:t>
      </w:r>
      <w:r w:rsidRPr="00FA185E">
        <w:rPr>
          <w:vertAlign w:val="superscript"/>
          <w:lang w:val="es-419"/>
        </w:rPr>
        <w:fldChar w:fldCharType="end"/>
      </w:r>
      <w:r w:rsidRPr="00FA185E">
        <w:rPr>
          <w:lang w:val="es-419"/>
        </w:rPr>
        <w:t xml:space="preserve"> en el documento CAJ/76/8 “</w:t>
      </w:r>
      <w:proofErr w:type="spellStart"/>
      <w:r w:rsidRPr="00FA185E">
        <w:rPr>
          <w:i/>
          <w:lang w:val="es-419"/>
        </w:rPr>
        <w:t>Report</w:t>
      </w:r>
      <w:proofErr w:type="spellEnd"/>
      <w:r w:rsidRPr="00FA185E">
        <w:rPr>
          <w:i/>
          <w:lang w:val="es-419"/>
        </w:rPr>
        <w:t xml:space="preserve"> </w:t>
      </w:r>
      <w:proofErr w:type="spellStart"/>
      <w:r w:rsidRPr="00FA185E">
        <w:rPr>
          <w:i/>
          <w:lang w:val="es-419"/>
        </w:rPr>
        <w:t>on</w:t>
      </w:r>
      <w:proofErr w:type="spellEnd"/>
      <w:r w:rsidRPr="00FA185E">
        <w:rPr>
          <w:i/>
          <w:lang w:val="es-419"/>
        </w:rPr>
        <w:t xml:space="preserve"> </w:t>
      </w:r>
      <w:proofErr w:type="spellStart"/>
      <w:r w:rsidRPr="00FA185E">
        <w:rPr>
          <w:i/>
          <w:lang w:val="es-419"/>
        </w:rPr>
        <w:t>developments</w:t>
      </w:r>
      <w:proofErr w:type="spellEnd"/>
      <w:r w:rsidRPr="00FA185E">
        <w:rPr>
          <w:i/>
          <w:lang w:val="es-419"/>
        </w:rPr>
        <w:t xml:space="preserve"> in </w:t>
      </w:r>
      <w:proofErr w:type="spellStart"/>
      <w:r w:rsidRPr="00FA185E">
        <w:rPr>
          <w:i/>
          <w:lang w:val="es-419"/>
        </w:rPr>
        <w:t>the</w:t>
      </w:r>
      <w:proofErr w:type="spellEnd"/>
      <w:r w:rsidRPr="00FA185E">
        <w:rPr>
          <w:i/>
          <w:lang w:val="es-419"/>
        </w:rPr>
        <w:t xml:space="preserve"> </w:t>
      </w:r>
      <w:proofErr w:type="spellStart"/>
      <w:r w:rsidRPr="00FA185E">
        <w:rPr>
          <w:i/>
          <w:lang w:val="es-419"/>
        </w:rPr>
        <w:t>Technical</w:t>
      </w:r>
      <w:proofErr w:type="spellEnd"/>
      <w:r w:rsidRPr="00FA185E">
        <w:rPr>
          <w:i/>
          <w:lang w:val="es-419"/>
        </w:rPr>
        <w:t xml:space="preserve"> </w:t>
      </w:r>
      <w:proofErr w:type="spellStart"/>
      <w:r w:rsidRPr="00FA185E">
        <w:rPr>
          <w:i/>
          <w:lang w:val="es-419"/>
        </w:rPr>
        <w:t>Committee</w:t>
      </w:r>
      <w:proofErr w:type="spellEnd"/>
      <w:r w:rsidRPr="00FA185E">
        <w:rPr>
          <w:lang w:val="es-419"/>
        </w:rPr>
        <w:t>” (Informe sobre las novedades acaecidas en el Comité Técnico).</w:t>
      </w:r>
    </w:p>
    <w:p w:rsidR="00914865" w:rsidRPr="00FA185E" w:rsidRDefault="00914865" w:rsidP="00914865">
      <w:pPr>
        <w:rPr>
          <w:lang w:val="es-419"/>
        </w:rPr>
      </w:pPr>
    </w:p>
    <w:p w:rsidR="00914865" w:rsidRPr="00FA185E" w:rsidRDefault="00914865" w:rsidP="00914865">
      <w:pPr>
        <w:tabs>
          <w:tab w:val="left" w:pos="5387"/>
        </w:tabs>
        <w:ind w:left="4820"/>
        <w:rPr>
          <w:i/>
          <w:lang w:val="es-419"/>
        </w:rPr>
      </w:pPr>
      <w:r w:rsidRPr="00FA185E">
        <w:rPr>
          <w:i/>
          <w:lang w:val="es-419"/>
        </w:rPr>
        <w:fldChar w:fldCharType="begin"/>
      </w:r>
      <w:r w:rsidRPr="00FA185E">
        <w:rPr>
          <w:i/>
          <w:lang w:val="es-419"/>
        </w:rPr>
        <w:instrText xml:space="preserve"> AUTONUM  </w:instrText>
      </w:r>
      <w:r w:rsidRPr="00FA185E">
        <w:rPr>
          <w:i/>
          <w:lang w:val="es-419"/>
        </w:rPr>
        <w:fldChar w:fldCharType="end"/>
      </w:r>
      <w:r w:rsidRPr="00FA185E">
        <w:rPr>
          <w:lang w:val="es-419"/>
        </w:rPr>
        <w:tab/>
      </w:r>
      <w:r w:rsidRPr="00FA185E">
        <w:rPr>
          <w:i/>
          <w:lang w:val="es-419"/>
        </w:rPr>
        <w:t>Se invita al CAJ a examinar el programa para la elaboración de los documentos TGP, que figura en los párrafos</w:t>
      </w:r>
      <w:r w:rsidR="00B23B18">
        <w:rPr>
          <w:i/>
          <w:lang w:val="es-419"/>
        </w:rPr>
        <w:t xml:space="preserve"> </w:t>
      </w:r>
      <w:r w:rsidRPr="00FA185E">
        <w:rPr>
          <w:i/>
          <w:lang w:val="es-419"/>
        </w:rPr>
        <w:t>38 y</w:t>
      </w:r>
      <w:r w:rsidR="00B23B18">
        <w:rPr>
          <w:i/>
          <w:lang w:val="es-419"/>
        </w:rPr>
        <w:t xml:space="preserve"> </w:t>
      </w:r>
      <w:r w:rsidRPr="00FA185E">
        <w:rPr>
          <w:i/>
          <w:lang w:val="es-419"/>
        </w:rPr>
        <w:t>39 de este documento, teniendo en cuenta las conclusiones del TC en su quincuagésima</w:t>
      </w:r>
      <w:r w:rsidR="00B23B18">
        <w:rPr>
          <w:i/>
          <w:lang w:val="es-419"/>
        </w:rPr>
        <w:t xml:space="preserve"> </w:t>
      </w:r>
      <w:r w:rsidRPr="00FA185E">
        <w:rPr>
          <w:i/>
          <w:lang w:val="es-419"/>
        </w:rPr>
        <w:t>quinta sesión.</w:t>
      </w:r>
    </w:p>
    <w:p w:rsidR="00914865" w:rsidRPr="00FA185E" w:rsidRDefault="00914865" w:rsidP="00914865">
      <w:pPr>
        <w:rPr>
          <w:lang w:val="es-419"/>
        </w:rPr>
      </w:pPr>
    </w:p>
    <w:p w:rsidR="00914865" w:rsidRPr="00FA185E" w:rsidRDefault="00914865" w:rsidP="00914865">
      <w:pPr>
        <w:rPr>
          <w:rFonts w:cs="Arial"/>
          <w:bCs/>
          <w:snapToGrid w:val="0"/>
          <w:lang w:val="es-419"/>
        </w:rPr>
      </w:pPr>
    </w:p>
    <w:p w:rsidR="00914865" w:rsidRPr="00FA185E" w:rsidRDefault="00914865" w:rsidP="00914865">
      <w:pPr>
        <w:rPr>
          <w:rFonts w:cs="Arial"/>
          <w:bCs/>
          <w:snapToGrid w:val="0"/>
          <w:lang w:val="es-419"/>
        </w:rPr>
      </w:pPr>
    </w:p>
    <w:bookmarkEnd w:id="41"/>
    <w:bookmarkEnd w:id="42"/>
    <w:bookmarkEnd w:id="43"/>
    <w:bookmarkEnd w:id="44"/>
    <w:p w:rsidR="00914865" w:rsidRPr="00FA185E" w:rsidRDefault="00914865" w:rsidP="00914865">
      <w:pPr>
        <w:jc w:val="right"/>
        <w:rPr>
          <w:snapToGrid w:val="0"/>
          <w:lang w:val="es-419"/>
        </w:rPr>
      </w:pPr>
      <w:r w:rsidRPr="00FA185E">
        <w:rPr>
          <w:lang w:val="es-419"/>
        </w:rPr>
        <w:t xml:space="preserve"> [Siguen los Anexos]</w:t>
      </w:r>
    </w:p>
    <w:p w:rsidR="00914865" w:rsidRPr="00FA185E" w:rsidRDefault="00914865" w:rsidP="00914865">
      <w:pPr>
        <w:jc w:val="right"/>
        <w:rPr>
          <w:snapToGrid w:val="0"/>
          <w:lang w:val="es-419"/>
        </w:rPr>
        <w:sectPr w:rsidR="00914865" w:rsidRPr="00FA185E" w:rsidSect="00B23B18">
          <w:headerReference w:type="default" r:id="rId12"/>
          <w:footnotePr>
            <w:numRestart w:val="eachSect"/>
          </w:footnotePr>
          <w:pgSz w:w="11907" w:h="16840" w:code="9"/>
          <w:pgMar w:top="567" w:right="1134" w:bottom="851" w:left="1134" w:header="510" w:footer="523" w:gutter="0"/>
          <w:pgNumType w:start="1"/>
          <w:cols w:space="720"/>
          <w:titlePg/>
        </w:sectPr>
      </w:pPr>
    </w:p>
    <w:p w:rsidR="0014006B" w:rsidRPr="00B41060" w:rsidRDefault="0014006B" w:rsidP="0014006B">
      <w:pPr>
        <w:jc w:val="center"/>
        <w:rPr>
          <w:caps/>
          <w:lang w:val="es-419"/>
        </w:rPr>
      </w:pPr>
      <w:r w:rsidRPr="00B41060">
        <w:rPr>
          <w:caps/>
          <w:lang w:val="es-419"/>
        </w:rPr>
        <w:lastRenderedPageBreak/>
        <w:t xml:space="preserve">Revisiones del documento TGP/7 “Elaboración de las directrices de examen” </w:t>
      </w:r>
    </w:p>
    <w:p w:rsidR="0014006B" w:rsidRPr="00B41060" w:rsidRDefault="0014006B" w:rsidP="0014006B">
      <w:pPr>
        <w:jc w:val="center"/>
        <w:rPr>
          <w:lang w:val="es-419"/>
        </w:rPr>
      </w:pPr>
      <w:r w:rsidRPr="00B41060">
        <w:rPr>
          <w:lang w:val="es-419"/>
        </w:rPr>
        <w:t>CONVENIDAS POR EL COMITÉ TÉCNICO EN SU QUINCUAGÉSIMA</w:t>
      </w:r>
      <w:r>
        <w:rPr>
          <w:lang w:val="es-419"/>
        </w:rPr>
        <w:t xml:space="preserve"> </w:t>
      </w:r>
      <w:r w:rsidRPr="00B41060">
        <w:rPr>
          <w:lang w:val="es-419"/>
        </w:rPr>
        <w:t>CUARTA SESIÓN</w:t>
      </w:r>
      <w:r w:rsidRPr="00B41060">
        <w:rPr>
          <w:rStyle w:val="FootnoteReference"/>
          <w:lang w:val="es-419"/>
        </w:rPr>
        <w:footnoteReference w:id="17"/>
      </w:r>
    </w:p>
    <w:p w:rsidR="0014006B" w:rsidRPr="00B41060" w:rsidRDefault="0014006B" w:rsidP="0014006B">
      <w:pPr>
        <w:jc w:val="center"/>
        <w:rPr>
          <w:lang w:val="es-419"/>
        </w:rPr>
      </w:pPr>
    </w:p>
    <w:p w:rsidR="0014006B" w:rsidRPr="00B41060" w:rsidRDefault="0014006B" w:rsidP="0014006B">
      <w:pPr>
        <w:jc w:val="center"/>
        <w:rPr>
          <w:lang w:val="es-419"/>
        </w:rPr>
      </w:pPr>
    </w:p>
    <w:p w:rsidR="0014006B" w:rsidRPr="00B41060" w:rsidRDefault="0014006B" w:rsidP="0014006B">
      <w:pPr>
        <w:rPr>
          <w:lang w:val="es-419"/>
        </w:rPr>
      </w:pPr>
      <w:r w:rsidRPr="00B41060">
        <w:rPr>
          <w:noProof/>
          <w:lang w:val="en-US" w:eastAsia="en-US" w:bidi="ar-SA"/>
        </w:rPr>
        <mc:AlternateContent>
          <mc:Choice Requires="wps">
            <w:drawing>
              <wp:anchor distT="0" distB="0" distL="114300" distR="114300" simplePos="0" relativeHeight="251663360" behindDoc="0" locked="0" layoutInCell="1" allowOverlap="1" wp14:anchorId="0E04B4A2" wp14:editId="65925F73">
                <wp:simplePos x="0" y="0"/>
                <wp:positionH relativeFrom="column">
                  <wp:align>center</wp:align>
                </wp:positionH>
                <wp:positionV relativeFrom="paragraph">
                  <wp:posOffset>0</wp:posOffset>
                </wp:positionV>
                <wp:extent cx="4119842" cy="402609"/>
                <wp:effectExtent l="0" t="0" r="14605" b="165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9842" cy="402609"/>
                        </a:xfrm>
                        <a:prstGeom prst="rect">
                          <a:avLst/>
                        </a:prstGeom>
                        <a:solidFill>
                          <a:srgbClr val="FFFFFF"/>
                        </a:solidFill>
                        <a:ln w="9525">
                          <a:solidFill>
                            <a:srgbClr val="000000"/>
                          </a:solidFill>
                          <a:miter lim="800000"/>
                          <a:headEnd/>
                          <a:tailEnd/>
                        </a:ln>
                      </wps:spPr>
                      <wps:txbx>
                        <w:txbxContent>
                          <w:p w:rsidR="0014006B" w:rsidRPr="00914865" w:rsidRDefault="0014006B" w:rsidP="0014006B">
                            <w:pPr>
                              <w:jc w:val="center"/>
                            </w:pPr>
                            <w:r>
                              <w:t xml:space="preserve">Se indica </w:t>
                            </w:r>
                            <w:r>
                              <w:rPr>
                                <w:strike/>
                                <w:highlight w:val="lightGray"/>
                              </w:rPr>
                              <w:t>tachado</w:t>
                            </w:r>
                            <w:r>
                              <w:rPr>
                                <w:highlight w:val="lightGray"/>
                              </w:rPr>
                              <w:t xml:space="preserve"> y sombreado</w:t>
                            </w:r>
                            <w:r>
                              <w:t xml:space="preserve"> el texto que se propone suprimir y </w:t>
                            </w:r>
                            <w:r>
                              <w:rPr>
                                <w:highlight w:val="lightGray"/>
                                <w:u w:val="single"/>
                              </w:rPr>
                              <w:t>subrayado</w:t>
                            </w:r>
                            <w:r>
                              <w:rPr>
                                <w:highlight w:val="lightGray"/>
                              </w:rPr>
                              <w:t xml:space="preserve"> y sombreado</w:t>
                            </w:r>
                            <w:r>
                              <w:t xml:space="preserve"> el texto que se propone añadir.</w:t>
                            </w:r>
                          </w:p>
                          <w:p w:rsidR="0014006B" w:rsidRPr="00914865" w:rsidRDefault="0014006B" w:rsidP="001400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04B4A2" id="_x0000_t202" coordsize="21600,21600" o:spt="202" path="m,l,21600r21600,l21600,xe">
                <v:stroke joinstyle="miter"/>
                <v:path gradientshapeok="t" o:connecttype="rect"/>
              </v:shapetype>
              <v:shape id="Text Box 2" o:spid="_x0000_s1026" type="#_x0000_t202" style="position:absolute;left:0;text-align:left;margin-left:0;margin-top:0;width:324.4pt;height:31.7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">
                <v:textbox>
                  <w:txbxContent>
                    <w:p w:rsidR="0014006B" w:rsidRPr="00914865" w:rsidRDefault="0014006B" w:rsidP="0014006B">
                      <w:pPr>
                        <w:jc w:val="center"/>
                      </w:pPr>
                      <w:r>
                        <w:t xml:space="preserve">Se indica </w:t>
                      </w:r>
                      <w:r>
                        <w:rPr>
                          <w:strike/>
                          <w:highlight w:val="lightGray"/>
                        </w:rPr>
                        <w:t>tachado</w:t>
                      </w:r>
                      <w:r>
                        <w:rPr>
                          <w:highlight w:val="lightGray"/>
                        </w:rPr>
                        <w:t xml:space="preserve"> y sombreado</w:t>
                      </w:r>
                      <w:r>
                        <w:t xml:space="preserve"> el texto que se propone suprimir y </w:t>
                      </w:r>
                      <w:r>
                        <w:rPr>
                          <w:highlight w:val="lightGray"/>
                          <w:u w:val="single"/>
                        </w:rPr>
                        <w:t>subrayado</w:t>
                      </w:r>
                      <w:r>
                        <w:rPr>
                          <w:highlight w:val="lightGray"/>
                        </w:rPr>
                        <w:t xml:space="preserve"> y sombreado</w:t>
                      </w:r>
                      <w:r>
                        <w:t xml:space="preserve"> el texto que se propone añadir.</w:t>
                      </w:r>
                    </w:p>
                    <w:p w:rsidR="0014006B" w:rsidRPr="00914865" w:rsidRDefault="0014006B" w:rsidP="0014006B"/>
                  </w:txbxContent>
                </v:textbox>
              </v:shape>
            </w:pict>
          </mc:Fallback>
        </mc:AlternateContent>
      </w:r>
    </w:p>
    <w:p w:rsidR="0014006B" w:rsidRPr="00B41060" w:rsidRDefault="0014006B" w:rsidP="0014006B">
      <w:pPr>
        <w:rPr>
          <w:lang w:val="es-419"/>
        </w:rPr>
      </w:pPr>
    </w:p>
    <w:p w:rsidR="0014006B" w:rsidRPr="00B41060" w:rsidRDefault="0014006B" w:rsidP="0014006B">
      <w:pPr>
        <w:rPr>
          <w:lang w:val="es-419"/>
        </w:rPr>
      </w:pPr>
    </w:p>
    <w:p w:rsidR="0014006B" w:rsidRPr="00B41060" w:rsidRDefault="0014006B" w:rsidP="0014006B">
      <w:pPr>
        <w:rPr>
          <w:lang w:val="es-419"/>
        </w:rPr>
      </w:pPr>
    </w:p>
    <w:p w:rsidR="0014006B" w:rsidRPr="00B41060" w:rsidRDefault="0014006B" w:rsidP="0014006B">
      <w:pPr>
        <w:rPr>
          <w:lang w:val="es-419"/>
        </w:rPr>
      </w:pPr>
    </w:p>
    <w:p w:rsidR="0014006B" w:rsidRPr="00B41060" w:rsidRDefault="0014006B" w:rsidP="0014006B">
      <w:pPr>
        <w:rPr>
          <w:u w:val="single"/>
          <w:lang w:val="es-419"/>
        </w:rPr>
      </w:pPr>
      <w:r w:rsidRPr="00B41060">
        <w:rPr>
          <w:u w:val="single"/>
          <w:lang w:val="es-419"/>
        </w:rPr>
        <w:t xml:space="preserve">Duración de los exámenes DHE: </w:t>
      </w:r>
    </w:p>
    <w:p w:rsidR="0014006B" w:rsidRPr="00B41060" w:rsidRDefault="0014006B" w:rsidP="0014006B">
      <w:pPr>
        <w:rPr>
          <w:u w:val="single"/>
          <w:lang w:val="es-419"/>
        </w:rPr>
      </w:pPr>
    </w:p>
    <w:p w:rsidR="0014006B" w:rsidRPr="00B41060" w:rsidRDefault="0014006B" w:rsidP="0014006B">
      <w:pPr>
        <w:rPr>
          <w:i/>
          <w:lang w:val="es-419"/>
        </w:rPr>
      </w:pPr>
      <w:r w:rsidRPr="00B41060">
        <w:rPr>
          <w:i/>
          <w:lang w:val="es-419"/>
        </w:rPr>
        <w:t>Texto estándar universal: sección</w:t>
      </w:r>
      <w:r>
        <w:rPr>
          <w:i/>
          <w:lang w:val="es-419"/>
        </w:rPr>
        <w:t xml:space="preserve"> </w:t>
      </w:r>
      <w:r w:rsidRPr="00B41060">
        <w:rPr>
          <w:i/>
          <w:lang w:val="es-419"/>
        </w:rPr>
        <w:t>3.1: Número de ciclos de cultivo</w:t>
      </w:r>
    </w:p>
    <w:p w:rsidR="0014006B" w:rsidRPr="00B41060" w:rsidRDefault="0014006B" w:rsidP="0014006B">
      <w:pPr>
        <w:rPr>
          <w:lang w:val="es-419"/>
        </w:rPr>
      </w:pPr>
    </w:p>
    <w:p w:rsidR="0014006B" w:rsidRPr="00B41060" w:rsidRDefault="0014006B" w:rsidP="0014006B">
      <w:pPr>
        <w:rPr>
          <w:lang w:val="es-419"/>
        </w:rPr>
      </w:pPr>
      <w:r w:rsidRPr="00B41060">
        <w:rPr>
          <w:lang w:val="es-419"/>
        </w:rPr>
        <w:t>El TC convino en que se incluya la frase siguiente en las directrices de examen como texto estándar (véanse los párrafos</w:t>
      </w:r>
      <w:r>
        <w:rPr>
          <w:lang w:val="es-419"/>
        </w:rPr>
        <w:t xml:space="preserve"> </w:t>
      </w:r>
      <w:r w:rsidRPr="00B41060">
        <w:rPr>
          <w:lang w:val="es-419"/>
        </w:rPr>
        <w:t>210 a</w:t>
      </w:r>
      <w:r>
        <w:rPr>
          <w:lang w:val="es-419"/>
        </w:rPr>
        <w:t xml:space="preserve"> </w:t>
      </w:r>
      <w:r w:rsidRPr="00B41060">
        <w:rPr>
          <w:lang w:val="es-419"/>
        </w:rPr>
        <w:t>212 del documento TC/54/31 “Informe”):</w:t>
      </w:r>
    </w:p>
    <w:p w:rsidR="0014006B" w:rsidRPr="00B41060" w:rsidRDefault="0014006B" w:rsidP="0014006B">
      <w:pPr>
        <w:rPr>
          <w:sz w:val="18"/>
          <w:highlight w:val="yellow"/>
          <w:lang w:val="es-419"/>
        </w:rPr>
      </w:pPr>
    </w:p>
    <w:p w:rsidR="0014006B" w:rsidRPr="00B41060" w:rsidRDefault="0014006B" w:rsidP="0014006B">
      <w:pPr>
        <w:ind w:left="567" w:right="567"/>
        <w:rPr>
          <w:sz w:val="18"/>
          <w:u w:val="single"/>
          <w:lang w:val="es-419"/>
        </w:rPr>
      </w:pPr>
      <w:r w:rsidRPr="00B41060">
        <w:rPr>
          <w:sz w:val="18"/>
          <w:highlight w:val="lightGray"/>
          <w:u w:val="single"/>
          <w:lang w:val="es-419"/>
        </w:rPr>
        <w:t>“Se podrá concluir el examen de una variedad cuando la autoridad competente pueda determinar con certeza su resultado.”</w:t>
      </w:r>
    </w:p>
    <w:p w:rsidR="0014006B" w:rsidRPr="00B41060" w:rsidRDefault="0014006B" w:rsidP="0014006B">
      <w:pPr>
        <w:rPr>
          <w:lang w:val="es-419"/>
        </w:rPr>
      </w:pPr>
    </w:p>
    <w:p w:rsidR="0014006B" w:rsidRPr="00B41060" w:rsidRDefault="0014006B" w:rsidP="0014006B">
      <w:pPr>
        <w:rPr>
          <w:rFonts w:eastAsia="MS Mincho"/>
          <w:u w:val="single"/>
          <w:lang w:val="es-419"/>
        </w:rPr>
      </w:pPr>
    </w:p>
    <w:p w:rsidR="0014006B" w:rsidRPr="00B41060" w:rsidRDefault="0014006B" w:rsidP="0014006B">
      <w:pPr>
        <w:rPr>
          <w:rFonts w:eastAsia="MS Mincho"/>
          <w:u w:val="single"/>
          <w:lang w:val="es-419"/>
        </w:rPr>
      </w:pPr>
      <w:r w:rsidRPr="00B41060">
        <w:rPr>
          <w:u w:val="single"/>
          <w:lang w:val="es-419"/>
        </w:rPr>
        <w:t xml:space="preserve">Procedimiento para aprobar directrices de examen por correspondencia </w:t>
      </w:r>
    </w:p>
    <w:p w:rsidR="0014006B" w:rsidRPr="00B41060" w:rsidRDefault="0014006B" w:rsidP="0014006B">
      <w:pPr>
        <w:rPr>
          <w:i/>
          <w:lang w:val="es-419"/>
        </w:rPr>
      </w:pPr>
    </w:p>
    <w:p w:rsidR="0014006B" w:rsidRPr="00B41060" w:rsidRDefault="0014006B" w:rsidP="0014006B">
      <w:pPr>
        <w:rPr>
          <w:i/>
          <w:lang w:val="es-419"/>
        </w:rPr>
      </w:pPr>
      <w:r w:rsidRPr="00B41060">
        <w:rPr>
          <w:i/>
          <w:lang w:val="es-419"/>
        </w:rPr>
        <w:t>Sección 2.2 “Procedimiento para introducir directrices de examen”</w:t>
      </w:r>
    </w:p>
    <w:p w:rsidR="0014006B" w:rsidRPr="00B41060" w:rsidRDefault="0014006B" w:rsidP="0014006B">
      <w:pPr>
        <w:rPr>
          <w:i/>
          <w:lang w:val="es-419"/>
        </w:rPr>
      </w:pPr>
    </w:p>
    <w:p w:rsidR="0014006B" w:rsidRPr="00B41060" w:rsidRDefault="0014006B" w:rsidP="0014006B">
      <w:pPr>
        <w:rPr>
          <w:lang w:val="es-419"/>
        </w:rPr>
      </w:pPr>
      <w:r w:rsidRPr="00B41060">
        <w:rPr>
          <w:lang w:val="es-419"/>
        </w:rPr>
        <w:t>El TC convino en que la orientación que se ofrece en el documento TGP/7 se modifique como se indica a continuación (véanse los párrafos</w:t>
      </w:r>
      <w:r>
        <w:rPr>
          <w:lang w:val="es-419"/>
        </w:rPr>
        <w:t xml:space="preserve"> </w:t>
      </w:r>
      <w:r w:rsidRPr="00B41060">
        <w:rPr>
          <w:lang w:val="es-419"/>
        </w:rPr>
        <w:t>217 a</w:t>
      </w:r>
      <w:r>
        <w:rPr>
          <w:lang w:val="es-419"/>
        </w:rPr>
        <w:t xml:space="preserve"> </w:t>
      </w:r>
      <w:r w:rsidRPr="00B41060">
        <w:rPr>
          <w:lang w:val="es-419"/>
        </w:rPr>
        <w:t xml:space="preserve">220 del documento TC/54/31 “Informe”): </w:t>
      </w:r>
    </w:p>
    <w:p w:rsidR="0014006B" w:rsidRPr="00B41060" w:rsidRDefault="0014006B" w:rsidP="0014006B">
      <w:pPr>
        <w:rPr>
          <w:lang w:val="es-419"/>
        </w:rPr>
      </w:pPr>
    </w:p>
    <w:p w:rsidR="0014006B" w:rsidRPr="00B41060" w:rsidRDefault="0014006B" w:rsidP="0014006B">
      <w:pPr>
        <w:ind w:left="567" w:right="567"/>
        <w:rPr>
          <w:sz w:val="18"/>
          <w:szCs w:val="18"/>
          <w:u w:val="single"/>
          <w:lang w:val="es-419"/>
        </w:rPr>
      </w:pPr>
      <w:r w:rsidRPr="00B41060">
        <w:rPr>
          <w:sz w:val="18"/>
          <w:u w:val="single"/>
          <w:lang w:val="es-419"/>
        </w:rPr>
        <w:t>“2.2.7</w:t>
      </w:r>
      <w:r w:rsidRPr="00B41060">
        <w:rPr>
          <w:lang w:val="es-419"/>
        </w:rPr>
        <w:tab/>
      </w:r>
      <w:r w:rsidRPr="00B41060">
        <w:rPr>
          <w:sz w:val="18"/>
          <w:u w:val="single"/>
          <w:bdr w:val="single" w:sz="4" w:space="0" w:color="auto"/>
          <w:lang w:val="es-419"/>
        </w:rPr>
        <w:t>ETAPA 7</w:t>
      </w:r>
      <w:r w:rsidRPr="00B41060">
        <w:rPr>
          <w:lang w:val="es-419"/>
        </w:rPr>
        <w:tab/>
      </w:r>
      <w:r w:rsidRPr="00B41060">
        <w:rPr>
          <w:sz w:val="18"/>
          <w:u w:val="single"/>
          <w:lang w:val="es-419"/>
        </w:rPr>
        <w:t xml:space="preserve">Examen del proyecto de directrices de examen por parte del Comité de Redacción </w:t>
      </w:r>
    </w:p>
    <w:p w:rsidR="0014006B" w:rsidRPr="00B41060" w:rsidRDefault="0014006B" w:rsidP="0014006B">
      <w:pPr>
        <w:ind w:left="567" w:right="567"/>
        <w:rPr>
          <w:sz w:val="18"/>
          <w:szCs w:val="18"/>
          <w:lang w:val="es-419"/>
        </w:rPr>
      </w:pPr>
    </w:p>
    <w:p w:rsidR="0014006B" w:rsidRPr="00B41060" w:rsidRDefault="0014006B" w:rsidP="0014006B">
      <w:pPr>
        <w:ind w:left="567" w:right="567"/>
        <w:rPr>
          <w:sz w:val="18"/>
          <w:szCs w:val="18"/>
          <w:lang w:val="es-419"/>
        </w:rPr>
      </w:pPr>
      <w:r w:rsidRPr="00B41060">
        <w:rPr>
          <w:lang w:val="es-419"/>
        </w:rPr>
        <w:t>2.2.7.1</w:t>
      </w:r>
      <w:r w:rsidRPr="00B41060">
        <w:rPr>
          <w:lang w:val="es-419"/>
        </w:rPr>
        <w:tab/>
        <w:t>El TC-EDC fue creado por el Comité Técnico con el propósito de examinar los proyectos de todas las directrices de examen elaborados por los TWP antes de someterlos a la aprobación del Comité Técnico.</w:t>
      </w:r>
      <w:r w:rsidRPr="00B41060">
        <w:rPr>
          <w:sz w:val="18"/>
          <w:lang w:val="es-419"/>
        </w:rPr>
        <w:t xml:space="preserve"> La función del TC-EDC es garantizar que las directrices de examen sean coherentes con los requisitos del documento TGP/7 y comprobar la sintonía de los textos en todos los idiomas oficiales de la UPOV. El TC-EDC no lleva a cabo un examen profundo de las cuestiones técnicas de las directrices de examen. Los miembros del TC-EDC son seleccionados por el TC, tanto para ofrecer una vasta experiencia del sistema de la UPOV como para representar los idiomas de la UPOV, es decir, español, alemán, francés e inglés. La presidencia del TC-EDC es ejercida por la Secretaría de la UPOV.</w:t>
      </w:r>
    </w:p>
    <w:p w:rsidR="0014006B" w:rsidRPr="00B41060" w:rsidRDefault="0014006B" w:rsidP="0014006B">
      <w:pPr>
        <w:ind w:left="567" w:right="567"/>
        <w:rPr>
          <w:sz w:val="18"/>
          <w:szCs w:val="18"/>
          <w:lang w:val="es-419"/>
        </w:rPr>
      </w:pPr>
    </w:p>
    <w:p w:rsidR="0014006B" w:rsidRPr="00B41060" w:rsidRDefault="0014006B" w:rsidP="0014006B">
      <w:pPr>
        <w:ind w:left="567" w:right="567"/>
        <w:rPr>
          <w:sz w:val="18"/>
          <w:szCs w:val="18"/>
          <w:lang w:val="es-419"/>
        </w:rPr>
      </w:pPr>
      <w:r w:rsidRPr="00B41060">
        <w:rPr>
          <w:lang w:val="es-419"/>
        </w:rPr>
        <w:t>2.2.7.2</w:t>
      </w:r>
      <w:r w:rsidRPr="00B41060">
        <w:rPr>
          <w:lang w:val="es-419"/>
        </w:rPr>
        <w:tab/>
        <w:t>El Comité de Redacción revisa el proyecto de directrices de examen tomando en consideración las instrucciones específicas que recibe del Comité Técnico y formula asimismo recomendaciones sobre la conveniencia de aprobarlas (Etapa 8).</w:t>
      </w:r>
      <w:r w:rsidRPr="00B41060">
        <w:rPr>
          <w:sz w:val="18"/>
          <w:lang w:val="es-419"/>
        </w:rPr>
        <w:t xml:space="preserve"> Asimismo, puede proponer al Comité Técnico que apruebe las directrices de examen tras realizar las enmiendas de redacción que considere necesarias. </w:t>
      </w:r>
    </w:p>
    <w:p w:rsidR="0014006B" w:rsidRPr="00B41060" w:rsidRDefault="0014006B" w:rsidP="0014006B">
      <w:pPr>
        <w:ind w:left="567" w:right="567"/>
        <w:rPr>
          <w:sz w:val="18"/>
          <w:szCs w:val="18"/>
          <w:lang w:val="es-419"/>
        </w:rPr>
      </w:pPr>
    </w:p>
    <w:p w:rsidR="0014006B" w:rsidRPr="00B41060" w:rsidRDefault="0014006B" w:rsidP="0014006B">
      <w:pPr>
        <w:ind w:left="567" w:right="567"/>
        <w:rPr>
          <w:strike/>
          <w:sz w:val="18"/>
          <w:szCs w:val="18"/>
          <w:highlight w:val="lightGray"/>
          <w:lang w:val="es-419"/>
        </w:rPr>
      </w:pPr>
      <w:r w:rsidRPr="00B41060">
        <w:rPr>
          <w:strike/>
          <w:sz w:val="18"/>
          <w:highlight w:val="lightGray"/>
          <w:lang w:val="es-419"/>
        </w:rPr>
        <w:t>2.2.7.3</w:t>
      </w:r>
      <w:r w:rsidRPr="00B41060">
        <w:rPr>
          <w:strike/>
          <w:sz w:val="18"/>
          <w:highlight w:val="lightGray"/>
          <w:lang w:val="es-419"/>
        </w:rPr>
        <w:tab/>
      </w:r>
      <w:r w:rsidRPr="00B41060">
        <w:rPr>
          <w:strike/>
          <w:sz w:val="18"/>
          <w:highlight w:val="lightGray"/>
          <w:lang w:val="es-419"/>
        </w:rPr>
        <w:tab/>
        <w:t>Si el Comité de Redacción considera que deben resolverse cuestiones técnicas, podrá buscar resolver esas cuestiones con el experto principal antes del examen de las directrices de examen por parte del Comité Técnico. En los casos en que esto no sea posible, el Comité de Redacción podrá recomendar que el Comité Técnico:</w:t>
      </w:r>
    </w:p>
    <w:p w:rsidR="0014006B" w:rsidRPr="00B41060" w:rsidRDefault="0014006B" w:rsidP="0014006B">
      <w:pPr>
        <w:ind w:left="567" w:right="567"/>
        <w:rPr>
          <w:strike/>
          <w:sz w:val="18"/>
          <w:szCs w:val="18"/>
          <w:highlight w:val="lightGray"/>
          <w:lang w:val="es-419"/>
        </w:rPr>
      </w:pPr>
    </w:p>
    <w:p w:rsidR="0014006B" w:rsidRPr="00B41060" w:rsidRDefault="0014006B" w:rsidP="0014006B">
      <w:pPr>
        <w:ind w:left="567" w:right="567"/>
        <w:rPr>
          <w:strike/>
          <w:sz w:val="18"/>
          <w:highlight w:val="lightGray"/>
          <w:lang w:val="es-419"/>
        </w:rPr>
      </w:pPr>
      <w:r w:rsidRPr="00B41060">
        <w:rPr>
          <w:strike/>
          <w:sz w:val="18"/>
          <w:highlight w:val="lightGray"/>
          <w:lang w:val="es-419"/>
        </w:rPr>
        <w:tab/>
        <w:t>a)</w:t>
      </w:r>
      <w:r w:rsidRPr="00B41060">
        <w:rPr>
          <w:strike/>
          <w:sz w:val="18"/>
          <w:highlight w:val="lightGray"/>
          <w:lang w:val="es-419"/>
        </w:rPr>
        <w:tab/>
        <w:t>remita las directrices de examen al TWP (etapa</w:t>
      </w:r>
      <w:r>
        <w:rPr>
          <w:strike/>
          <w:sz w:val="18"/>
          <w:highlight w:val="lightGray"/>
          <w:lang w:val="es-419"/>
        </w:rPr>
        <w:t xml:space="preserve"> </w:t>
      </w:r>
      <w:r w:rsidRPr="00B41060">
        <w:rPr>
          <w:strike/>
          <w:sz w:val="18"/>
          <w:highlight w:val="lightGray"/>
          <w:lang w:val="es-419"/>
        </w:rPr>
        <w:t xml:space="preserve">4) o </w:t>
      </w:r>
    </w:p>
    <w:p w:rsidR="0014006B" w:rsidRPr="00B41060" w:rsidRDefault="0014006B" w:rsidP="0014006B">
      <w:pPr>
        <w:ind w:left="567" w:right="567"/>
        <w:rPr>
          <w:strike/>
          <w:sz w:val="18"/>
          <w:szCs w:val="18"/>
          <w:lang w:val="es-419"/>
        </w:rPr>
      </w:pPr>
      <w:r w:rsidRPr="00B41060">
        <w:rPr>
          <w:strike/>
          <w:sz w:val="18"/>
          <w:highlight w:val="lightGray"/>
          <w:lang w:val="es-419"/>
        </w:rPr>
        <w:tab/>
        <w:t>b)</w:t>
      </w:r>
      <w:r w:rsidRPr="00B41060">
        <w:rPr>
          <w:strike/>
          <w:sz w:val="18"/>
          <w:highlight w:val="lightGray"/>
          <w:lang w:val="es-419"/>
        </w:rPr>
        <w:tab/>
        <w:t>apruebe las directrices de examen a condición de que el experto principal presente información adicional aprobada por todos los expertos interesados y el Presidente del TWP pertinente</w:t>
      </w:r>
      <w:r w:rsidRPr="00B41060">
        <w:rPr>
          <w:lang w:val="es-419"/>
        </w:rPr>
        <w:t>.</w:t>
      </w:r>
    </w:p>
    <w:p w:rsidR="0014006B" w:rsidRPr="00B41060" w:rsidRDefault="0014006B" w:rsidP="0014006B">
      <w:pPr>
        <w:ind w:left="567" w:right="567"/>
        <w:rPr>
          <w:sz w:val="18"/>
          <w:szCs w:val="18"/>
          <w:lang w:val="es-419"/>
        </w:rPr>
      </w:pPr>
    </w:p>
    <w:p w:rsidR="0014006B" w:rsidRPr="00B41060" w:rsidRDefault="0014006B" w:rsidP="0014006B">
      <w:pPr>
        <w:ind w:left="567" w:right="567"/>
        <w:rPr>
          <w:sz w:val="18"/>
          <w:szCs w:val="18"/>
          <w:highlight w:val="lightGray"/>
          <w:u w:val="single"/>
          <w:lang w:val="es-419"/>
        </w:rPr>
      </w:pPr>
      <w:r w:rsidRPr="00B41060">
        <w:rPr>
          <w:sz w:val="18"/>
          <w:highlight w:val="lightGray"/>
          <w:u w:val="single"/>
          <w:lang w:val="es-419"/>
        </w:rPr>
        <w:t>NUEVO</w:t>
      </w:r>
      <w:r w:rsidRPr="00B41060">
        <w:rPr>
          <w:sz w:val="18"/>
          <w:highlight w:val="lightGray"/>
          <w:u w:val="single"/>
          <w:lang w:val="es-419"/>
        </w:rPr>
        <w:tab/>
        <w:t>A no ser que el TC convenga lo contrario, el TC-EDC se reunirá dos veces al año, una vez entre marzo y abril y otra en paralelo a la sesión del TC (entre octubre y noviembre). El TC-EDC examinará las directrices de examen que los Grupos de Trabajo Técnico remitan como mínimo 14 semanas antes de la reunión del TC-EDC. Las directrices de examen remitidas menos de 14 semanas antes de la reunión del</w:t>
      </w:r>
      <w:r>
        <w:rPr>
          <w:sz w:val="18"/>
          <w:highlight w:val="lightGray"/>
          <w:u w:val="single"/>
          <w:lang w:val="es-419"/>
        </w:rPr>
        <w:t xml:space="preserve"> </w:t>
      </w:r>
      <w:r w:rsidRPr="00B41060">
        <w:rPr>
          <w:sz w:val="18"/>
          <w:highlight w:val="lightGray"/>
          <w:u w:val="single"/>
          <w:lang w:val="es-419"/>
        </w:rPr>
        <w:t>TC-EDC se examinarán en la siguiente reunión.</w:t>
      </w:r>
    </w:p>
    <w:p w:rsidR="0014006B" w:rsidRPr="00B41060" w:rsidRDefault="0014006B" w:rsidP="0014006B">
      <w:pPr>
        <w:tabs>
          <w:tab w:val="left" w:pos="567"/>
          <w:tab w:val="left" w:pos="1134"/>
          <w:tab w:val="left" w:pos="5387"/>
        </w:tabs>
        <w:ind w:left="567" w:right="567"/>
        <w:rPr>
          <w:sz w:val="18"/>
          <w:szCs w:val="18"/>
          <w:highlight w:val="lightGray"/>
          <w:u w:val="single"/>
          <w:lang w:val="es-419"/>
        </w:rPr>
      </w:pPr>
    </w:p>
    <w:p w:rsidR="0014006B" w:rsidRPr="00B41060" w:rsidRDefault="0014006B" w:rsidP="0014006B">
      <w:pPr>
        <w:ind w:left="567" w:right="567"/>
        <w:rPr>
          <w:sz w:val="18"/>
          <w:szCs w:val="18"/>
          <w:highlight w:val="lightGray"/>
          <w:u w:val="single"/>
          <w:lang w:val="es-419"/>
        </w:rPr>
      </w:pPr>
      <w:r w:rsidRPr="00B41060">
        <w:rPr>
          <w:sz w:val="18"/>
          <w:highlight w:val="lightGray"/>
          <w:u w:val="single"/>
          <w:lang w:val="es-419"/>
        </w:rPr>
        <w:t>NUEVO</w:t>
      </w:r>
      <w:r w:rsidRPr="00B41060">
        <w:rPr>
          <w:sz w:val="18"/>
          <w:highlight w:val="lightGray"/>
          <w:u w:val="single"/>
          <w:lang w:val="es-419"/>
        </w:rPr>
        <w:tab/>
        <w:t>El examen que el TC-EDC realice de las directrices de examen puede tener los siguientes resultados</w:t>
      </w:r>
    </w:p>
    <w:p w:rsidR="0014006B" w:rsidRPr="00B41060" w:rsidRDefault="0014006B" w:rsidP="0014006B">
      <w:pPr>
        <w:ind w:left="567" w:right="567"/>
        <w:rPr>
          <w:sz w:val="18"/>
          <w:szCs w:val="18"/>
          <w:highlight w:val="lightGray"/>
          <w:u w:val="single"/>
          <w:lang w:val="es-419"/>
        </w:rPr>
      </w:pPr>
    </w:p>
    <w:p w:rsidR="0014006B" w:rsidRPr="00B41060" w:rsidRDefault="0014006B" w:rsidP="0014006B">
      <w:pPr>
        <w:ind w:left="567" w:right="567" w:firstLine="567"/>
        <w:rPr>
          <w:rFonts w:cs="Arial"/>
          <w:sz w:val="18"/>
          <w:szCs w:val="18"/>
          <w:highlight w:val="lightGray"/>
          <w:u w:val="single"/>
          <w:lang w:val="es-419"/>
        </w:rPr>
      </w:pPr>
      <w:r w:rsidRPr="00B41060">
        <w:rPr>
          <w:sz w:val="18"/>
          <w:highlight w:val="lightGray"/>
          <w:u w:val="single"/>
          <w:lang w:val="es-419"/>
        </w:rPr>
        <w:t>a)</w:t>
      </w:r>
      <w:r w:rsidRPr="00B41060">
        <w:rPr>
          <w:sz w:val="18"/>
          <w:highlight w:val="lightGray"/>
          <w:u w:val="single"/>
          <w:lang w:val="es-419"/>
        </w:rPr>
        <w:tab/>
        <w:t>que no sea necesario modificar las directrices de examen o que las modificaciones necesarias sean estrictamente de redacción y que el TC-EDC acuerde recomendaciones al respecto; o</w:t>
      </w:r>
    </w:p>
    <w:p w:rsidR="0014006B" w:rsidRPr="00B41060" w:rsidRDefault="0014006B" w:rsidP="0014006B">
      <w:pPr>
        <w:pStyle w:val="ListParagraph"/>
        <w:numPr>
          <w:ilvl w:val="0"/>
          <w:numId w:val="17"/>
        </w:numPr>
        <w:ind w:right="567"/>
        <w:rPr>
          <w:rFonts w:cs="Arial"/>
          <w:sz w:val="18"/>
          <w:szCs w:val="18"/>
          <w:highlight w:val="lightGray"/>
          <w:u w:val="single"/>
          <w:lang w:val="es-419"/>
        </w:rPr>
      </w:pPr>
      <w:r w:rsidRPr="00B41060">
        <w:rPr>
          <w:sz w:val="18"/>
          <w:highlight w:val="lightGray"/>
          <w:u w:val="single"/>
          <w:lang w:val="es-419"/>
        </w:rPr>
        <w:t>que sea preciso aclarar la redacción; o</w:t>
      </w:r>
    </w:p>
    <w:p w:rsidR="0014006B" w:rsidRPr="00B41060" w:rsidRDefault="0014006B" w:rsidP="0014006B">
      <w:pPr>
        <w:pStyle w:val="ListParagraph"/>
        <w:numPr>
          <w:ilvl w:val="0"/>
          <w:numId w:val="17"/>
        </w:numPr>
        <w:ind w:right="567"/>
        <w:rPr>
          <w:rFonts w:cs="Arial"/>
          <w:sz w:val="18"/>
          <w:szCs w:val="18"/>
          <w:highlight w:val="lightGray"/>
          <w:u w:val="single"/>
          <w:lang w:val="es-419"/>
        </w:rPr>
      </w:pPr>
      <w:r w:rsidRPr="00B41060">
        <w:rPr>
          <w:sz w:val="18"/>
          <w:highlight w:val="lightGray"/>
          <w:u w:val="single"/>
          <w:lang w:val="es-419"/>
        </w:rPr>
        <w:lastRenderedPageBreak/>
        <w:t>que deban resolverse cuestiones técnicas.</w:t>
      </w:r>
    </w:p>
    <w:p w:rsidR="0014006B" w:rsidRPr="00B41060" w:rsidRDefault="0014006B" w:rsidP="0014006B">
      <w:pPr>
        <w:ind w:left="567" w:right="567"/>
        <w:rPr>
          <w:sz w:val="18"/>
          <w:szCs w:val="18"/>
          <w:highlight w:val="lightGray"/>
          <w:u w:val="single"/>
          <w:lang w:val="es-419"/>
        </w:rPr>
      </w:pPr>
    </w:p>
    <w:p w:rsidR="0014006B" w:rsidRPr="00B41060" w:rsidRDefault="0014006B" w:rsidP="0014006B">
      <w:pPr>
        <w:ind w:left="567" w:right="567"/>
        <w:rPr>
          <w:sz w:val="18"/>
          <w:szCs w:val="18"/>
          <w:highlight w:val="lightGray"/>
          <w:u w:val="single"/>
          <w:lang w:val="es-419"/>
        </w:rPr>
      </w:pPr>
      <w:r w:rsidRPr="00B41060">
        <w:rPr>
          <w:sz w:val="18"/>
          <w:highlight w:val="lightGray"/>
          <w:u w:val="single"/>
          <w:lang w:val="es-419"/>
        </w:rPr>
        <w:t>NUEVO</w:t>
      </w:r>
      <w:r w:rsidRPr="00B41060">
        <w:rPr>
          <w:sz w:val="18"/>
          <w:highlight w:val="lightGray"/>
          <w:u w:val="single"/>
          <w:lang w:val="es-419"/>
        </w:rPr>
        <w:tab/>
        <w:t xml:space="preserve">En los casos en que no sea necesario modificar las directrices de examen o que las modificaciones necesarias sean estrictamente de redacción y que el TC-EDC acuerde recomendaciones al respecto, las directrices de examen se someterán a la aprobación del Comité Técnico. </w:t>
      </w:r>
    </w:p>
    <w:p w:rsidR="0014006B" w:rsidRPr="00B41060" w:rsidRDefault="0014006B" w:rsidP="0014006B">
      <w:pPr>
        <w:ind w:left="567" w:right="567"/>
        <w:rPr>
          <w:sz w:val="18"/>
          <w:szCs w:val="18"/>
          <w:highlight w:val="lightGray"/>
          <w:u w:val="single"/>
          <w:lang w:val="es-419"/>
        </w:rPr>
      </w:pPr>
    </w:p>
    <w:p w:rsidR="0014006B" w:rsidRPr="00B41060" w:rsidRDefault="0014006B" w:rsidP="0014006B">
      <w:pPr>
        <w:ind w:left="567" w:right="567"/>
        <w:rPr>
          <w:sz w:val="18"/>
          <w:szCs w:val="18"/>
          <w:highlight w:val="lightGray"/>
          <w:u w:val="single"/>
          <w:lang w:val="es-419"/>
        </w:rPr>
      </w:pPr>
      <w:r w:rsidRPr="00B41060">
        <w:rPr>
          <w:sz w:val="18"/>
          <w:highlight w:val="lightGray"/>
          <w:u w:val="single"/>
          <w:lang w:val="es-419"/>
        </w:rPr>
        <w:t>NUEVO</w:t>
      </w:r>
      <w:r w:rsidRPr="00B41060">
        <w:rPr>
          <w:sz w:val="18"/>
          <w:highlight w:val="lightGray"/>
          <w:u w:val="single"/>
          <w:lang w:val="es-419"/>
        </w:rPr>
        <w:tab/>
        <w:t xml:space="preserve">Cuando en las directrices de examen sea preciso aclarar la redacción, se aplicará el siguiente procedimiento: </w:t>
      </w:r>
    </w:p>
    <w:p w:rsidR="0014006B" w:rsidRPr="00B41060" w:rsidRDefault="0014006B" w:rsidP="0014006B">
      <w:pPr>
        <w:ind w:left="567" w:right="567"/>
        <w:rPr>
          <w:rFonts w:cs="Arial"/>
          <w:sz w:val="18"/>
          <w:szCs w:val="18"/>
          <w:highlight w:val="lightGray"/>
          <w:u w:val="single"/>
          <w:lang w:val="es-419"/>
        </w:rPr>
      </w:pPr>
    </w:p>
    <w:p w:rsidR="0014006B" w:rsidRPr="00B41060" w:rsidRDefault="0014006B" w:rsidP="0014006B">
      <w:pPr>
        <w:numPr>
          <w:ilvl w:val="0"/>
          <w:numId w:val="4"/>
        </w:numPr>
        <w:ind w:left="1134" w:right="567" w:hanging="567"/>
        <w:contextualSpacing/>
        <w:rPr>
          <w:rFonts w:cs="Arial"/>
          <w:sz w:val="18"/>
          <w:szCs w:val="18"/>
          <w:highlight w:val="lightGray"/>
          <w:u w:val="single"/>
          <w:lang w:val="es-419"/>
        </w:rPr>
      </w:pPr>
      <w:r w:rsidRPr="00B41060">
        <w:rPr>
          <w:sz w:val="18"/>
          <w:highlight w:val="lightGray"/>
          <w:u w:val="single"/>
          <w:lang w:val="es-419"/>
        </w:rPr>
        <w:t>se transmite una solicitud de aclaraciones al experto principal;</w:t>
      </w:r>
    </w:p>
    <w:p w:rsidR="0014006B" w:rsidRPr="00B41060" w:rsidRDefault="0014006B" w:rsidP="0014006B">
      <w:pPr>
        <w:numPr>
          <w:ilvl w:val="0"/>
          <w:numId w:val="4"/>
        </w:numPr>
        <w:ind w:left="1134" w:right="567" w:hanging="567"/>
        <w:contextualSpacing/>
        <w:rPr>
          <w:rFonts w:cs="Arial"/>
          <w:sz w:val="18"/>
          <w:szCs w:val="18"/>
          <w:highlight w:val="lightGray"/>
          <w:u w:val="single"/>
          <w:lang w:val="es-419"/>
        </w:rPr>
      </w:pPr>
      <w:r w:rsidRPr="00B41060">
        <w:rPr>
          <w:sz w:val="18"/>
          <w:highlight w:val="lightGray"/>
          <w:u w:val="single"/>
          <w:lang w:val="es-419"/>
        </w:rPr>
        <w:t>las aclaraciones han de facilitarse en menos de cuatro semanas;</w:t>
      </w:r>
    </w:p>
    <w:p w:rsidR="0014006B" w:rsidRPr="00B41060" w:rsidRDefault="0014006B" w:rsidP="0014006B">
      <w:pPr>
        <w:numPr>
          <w:ilvl w:val="0"/>
          <w:numId w:val="4"/>
        </w:numPr>
        <w:ind w:left="1134" w:right="567" w:hanging="567"/>
        <w:contextualSpacing/>
        <w:rPr>
          <w:rFonts w:cs="Arial"/>
          <w:sz w:val="18"/>
          <w:szCs w:val="18"/>
          <w:highlight w:val="lightGray"/>
          <w:u w:val="single"/>
          <w:lang w:val="es-419"/>
        </w:rPr>
      </w:pPr>
      <w:r w:rsidRPr="00B41060">
        <w:rPr>
          <w:sz w:val="18"/>
          <w:highlight w:val="lightGray"/>
          <w:u w:val="single"/>
          <w:lang w:val="es-419"/>
        </w:rPr>
        <w:t>si el TC-EDC suscribe las aclaraciones, se recomienda la aprobación de las directrices de examen en su reunión;</w:t>
      </w:r>
    </w:p>
    <w:p w:rsidR="0014006B" w:rsidRPr="00B41060" w:rsidRDefault="0014006B" w:rsidP="0014006B">
      <w:pPr>
        <w:numPr>
          <w:ilvl w:val="0"/>
          <w:numId w:val="4"/>
        </w:numPr>
        <w:ind w:left="1134" w:right="567" w:hanging="567"/>
        <w:contextualSpacing/>
        <w:rPr>
          <w:rFonts w:cs="Arial"/>
          <w:sz w:val="18"/>
          <w:szCs w:val="18"/>
          <w:highlight w:val="lightGray"/>
          <w:u w:val="single"/>
          <w:lang w:val="es-419"/>
        </w:rPr>
      </w:pPr>
      <w:r w:rsidRPr="00B41060">
        <w:rPr>
          <w:sz w:val="18"/>
          <w:highlight w:val="lightGray"/>
          <w:u w:val="single"/>
          <w:lang w:val="es-419"/>
        </w:rPr>
        <w:t>las directrices de examen se someten al examen del TC con miras a su aprobación.</w:t>
      </w:r>
    </w:p>
    <w:p w:rsidR="0014006B" w:rsidRPr="00B41060" w:rsidRDefault="0014006B" w:rsidP="0014006B">
      <w:pPr>
        <w:ind w:left="993" w:right="567" w:hanging="426"/>
        <w:rPr>
          <w:sz w:val="18"/>
          <w:highlight w:val="lightGray"/>
          <w:u w:val="single"/>
          <w:lang w:val="es-419"/>
        </w:rPr>
      </w:pPr>
    </w:p>
    <w:p w:rsidR="0014006B" w:rsidRPr="00B41060" w:rsidRDefault="0014006B" w:rsidP="0014006B">
      <w:pPr>
        <w:ind w:left="567" w:right="567"/>
        <w:rPr>
          <w:sz w:val="18"/>
          <w:szCs w:val="18"/>
          <w:highlight w:val="lightGray"/>
          <w:u w:val="single"/>
          <w:lang w:val="es-419"/>
        </w:rPr>
      </w:pPr>
      <w:r w:rsidRPr="00B41060">
        <w:rPr>
          <w:sz w:val="18"/>
          <w:highlight w:val="lightGray"/>
          <w:u w:val="single"/>
          <w:lang w:val="es-419"/>
        </w:rPr>
        <w:t>NUEVO</w:t>
      </w:r>
      <w:r w:rsidRPr="00B41060">
        <w:rPr>
          <w:sz w:val="18"/>
          <w:highlight w:val="lightGray"/>
          <w:u w:val="single"/>
          <w:lang w:val="es-419"/>
        </w:rPr>
        <w:tab/>
        <w:t>Para las directrices de examen en las que deban resolverse cuestiones técnicas, se aplicará el siguiente procedimiento:</w:t>
      </w:r>
    </w:p>
    <w:p w:rsidR="0014006B" w:rsidRPr="00B41060" w:rsidRDefault="0014006B" w:rsidP="0014006B">
      <w:pPr>
        <w:ind w:left="993" w:right="567" w:hanging="426"/>
        <w:rPr>
          <w:rFonts w:cs="Arial"/>
          <w:sz w:val="18"/>
          <w:szCs w:val="18"/>
          <w:highlight w:val="lightGray"/>
          <w:u w:val="single"/>
          <w:lang w:val="es-419"/>
        </w:rPr>
      </w:pPr>
    </w:p>
    <w:p w:rsidR="0014006B" w:rsidRPr="00B41060" w:rsidRDefault="0014006B" w:rsidP="0014006B">
      <w:pPr>
        <w:numPr>
          <w:ilvl w:val="0"/>
          <w:numId w:val="5"/>
        </w:numPr>
        <w:ind w:left="993" w:right="567" w:hanging="426"/>
        <w:contextualSpacing/>
        <w:rPr>
          <w:rFonts w:cs="Arial"/>
          <w:sz w:val="18"/>
          <w:szCs w:val="18"/>
          <w:highlight w:val="lightGray"/>
          <w:u w:val="single"/>
          <w:lang w:val="es-419"/>
        </w:rPr>
      </w:pPr>
      <w:r w:rsidRPr="00B41060">
        <w:rPr>
          <w:sz w:val="18"/>
          <w:highlight w:val="lightGray"/>
          <w:u w:val="single"/>
          <w:lang w:val="es-419"/>
        </w:rPr>
        <w:t xml:space="preserve">deben transmitirse las cuestiones técnicas al experto principal; </w:t>
      </w:r>
    </w:p>
    <w:p w:rsidR="0014006B" w:rsidRPr="00B41060" w:rsidRDefault="0014006B" w:rsidP="0014006B">
      <w:pPr>
        <w:numPr>
          <w:ilvl w:val="0"/>
          <w:numId w:val="5"/>
        </w:numPr>
        <w:ind w:left="993" w:right="567" w:hanging="426"/>
        <w:contextualSpacing/>
        <w:rPr>
          <w:rFonts w:cs="Arial"/>
          <w:sz w:val="18"/>
          <w:szCs w:val="18"/>
          <w:highlight w:val="lightGray"/>
          <w:u w:val="single"/>
          <w:lang w:val="es-419"/>
        </w:rPr>
      </w:pPr>
      <w:r w:rsidRPr="00B41060">
        <w:rPr>
          <w:sz w:val="18"/>
          <w:highlight w:val="lightGray"/>
          <w:u w:val="single"/>
          <w:lang w:val="es-419"/>
        </w:rPr>
        <w:t xml:space="preserve">las cuestiones técnicas han de tratarse en los respectivos Grupos de Trabajo Técnico por medio de un documento TWP elaborado por el experto principal al menos cuatro semanas antes de la reunión del TWP (no se elaborará un nuevo proyecto de directrices de examen); </w:t>
      </w:r>
    </w:p>
    <w:p w:rsidR="0014006B" w:rsidRPr="00B41060" w:rsidRDefault="0014006B" w:rsidP="0014006B">
      <w:pPr>
        <w:numPr>
          <w:ilvl w:val="0"/>
          <w:numId w:val="5"/>
        </w:numPr>
        <w:ind w:left="993" w:right="567" w:hanging="426"/>
        <w:contextualSpacing/>
        <w:rPr>
          <w:rFonts w:cs="Arial"/>
          <w:sz w:val="18"/>
          <w:szCs w:val="18"/>
          <w:highlight w:val="lightGray"/>
          <w:u w:val="single"/>
          <w:lang w:val="es-419"/>
        </w:rPr>
      </w:pPr>
      <w:r>
        <w:rPr>
          <w:sz w:val="18"/>
          <w:highlight w:val="lightGray"/>
          <w:u w:val="single"/>
          <w:lang w:val="es-419"/>
        </w:rPr>
        <w:t xml:space="preserve">se </w:t>
      </w:r>
      <w:r w:rsidRPr="00B41060">
        <w:rPr>
          <w:sz w:val="18"/>
          <w:highlight w:val="lightGray"/>
          <w:u w:val="single"/>
          <w:lang w:val="es-419"/>
        </w:rPr>
        <w:t xml:space="preserve">debe </w:t>
      </w:r>
      <w:r>
        <w:rPr>
          <w:sz w:val="18"/>
          <w:highlight w:val="lightGray"/>
          <w:u w:val="single"/>
          <w:lang w:val="es-419"/>
        </w:rPr>
        <w:t xml:space="preserve">transmitir al TC-EDC la resolución </w:t>
      </w:r>
      <w:r w:rsidRPr="00B41060">
        <w:rPr>
          <w:sz w:val="18"/>
          <w:highlight w:val="lightGray"/>
          <w:u w:val="single"/>
          <w:lang w:val="es-419"/>
        </w:rPr>
        <w:t xml:space="preserve">de las cuestiones técnicas </w:t>
      </w:r>
      <w:r>
        <w:rPr>
          <w:sz w:val="18"/>
          <w:highlight w:val="lightGray"/>
          <w:u w:val="single"/>
          <w:lang w:val="es-419"/>
        </w:rPr>
        <w:t xml:space="preserve">planteadas </w:t>
      </w:r>
      <w:r w:rsidRPr="00B41060">
        <w:rPr>
          <w:sz w:val="18"/>
          <w:highlight w:val="lightGray"/>
          <w:u w:val="single"/>
          <w:lang w:val="es-419"/>
        </w:rPr>
        <w:t>como mínimo siete semanas antes de la reunión del TC-EDC;</w:t>
      </w:r>
    </w:p>
    <w:p w:rsidR="0014006B" w:rsidRPr="00B41060" w:rsidRDefault="0014006B" w:rsidP="0014006B">
      <w:pPr>
        <w:numPr>
          <w:ilvl w:val="0"/>
          <w:numId w:val="4"/>
        </w:numPr>
        <w:ind w:left="993" w:right="567" w:hanging="426"/>
        <w:contextualSpacing/>
        <w:rPr>
          <w:rFonts w:cs="Arial"/>
          <w:sz w:val="18"/>
          <w:szCs w:val="18"/>
          <w:highlight w:val="lightGray"/>
          <w:u w:val="single"/>
          <w:lang w:val="es-419"/>
        </w:rPr>
      </w:pPr>
      <w:r w:rsidRPr="00B41060">
        <w:rPr>
          <w:sz w:val="18"/>
          <w:highlight w:val="lightGray"/>
          <w:u w:val="single"/>
          <w:lang w:val="es-419"/>
        </w:rPr>
        <w:t>si el TC-EDC llega a un acuerdo, se recomienda la aprobación de las directrices de examen en su reunión;</w:t>
      </w:r>
    </w:p>
    <w:p w:rsidR="0014006B" w:rsidRPr="00B41060" w:rsidRDefault="0014006B" w:rsidP="0014006B">
      <w:pPr>
        <w:numPr>
          <w:ilvl w:val="0"/>
          <w:numId w:val="4"/>
        </w:numPr>
        <w:ind w:left="993" w:right="567" w:hanging="426"/>
        <w:contextualSpacing/>
        <w:rPr>
          <w:rFonts w:cs="Arial"/>
          <w:sz w:val="18"/>
          <w:szCs w:val="18"/>
          <w:highlight w:val="lightGray"/>
          <w:u w:val="single"/>
          <w:lang w:val="es-419"/>
        </w:rPr>
      </w:pPr>
      <w:r w:rsidRPr="00B41060">
        <w:rPr>
          <w:sz w:val="18"/>
          <w:highlight w:val="lightGray"/>
          <w:u w:val="single"/>
          <w:lang w:val="es-419"/>
        </w:rPr>
        <w:t>las directrices de examen se someten al examen del TC con miras a su aprobación.</w:t>
      </w:r>
    </w:p>
    <w:p w:rsidR="0014006B" w:rsidRPr="00B41060" w:rsidRDefault="0014006B" w:rsidP="0014006B">
      <w:pPr>
        <w:ind w:left="567" w:right="567"/>
        <w:rPr>
          <w:sz w:val="18"/>
          <w:szCs w:val="18"/>
          <w:lang w:val="es-419"/>
        </w:rPr>
      </w:pPr>
    </w:p>
    <w:p w:rsidR="0014006B" w:rsidRPr="00B41060" w:rsidRDefault="0014006B" w:rsidP="0014006B">
      <w:pPr>
        <w:ind w:left="567" w:right="567"/>
        <w:rPr>
          <w:sz w:val="18"/>
          <w:szCs w:val="18"/>
          <w:u w:val="single"/>
          <w:lang w:val="es-419"/>
        </w:rPr>
      </w:pPr>
      <w:r w:rsidRPr="00B41060">
        <w:rPr>
          <w:sz w:val="18"/>
          <w:u w:val="single"/>
          <w:lang w:val="es-419"/>
        </w:rPr>
        <w:t>2.2.8</w:t>
      </w:r>
      <w:r w:rsidRPr="00B41060">
        <w:rPr>
          <w:lang w:val="es-419"/>
        </w:rPr>
        <w:tab/>
      </w:r>
      <w:r w:rsidRPr="00B41060">
        <w:rPr>
          <w:sz w:val="18"/>
          <w:u w:val="single"/>
          <w:bdr w:val="single" w:sz="4" w:space="0" w:color="auto"/>
          <w:lang w:val="es-419"/>
        </w:rPr>
        <w:t>ETAPA 8</w:t>
      </w:r>
      <w:r w:rsidRPr="00B41060">
        <w:rPr>
          <w:lang w:val="es-419"/>
        </w:rPr>
        <w:tab/>
      </w:r>
      <w:r w:rsidRPr="00B41060">
        <w:rPr>
          <w:sz w:val="18"/>
          <w:u w:val="single"/>
          <w:lang w:val="es-419"/>
        </w:rPr>
        <w:t>Aprobación del proyecto de directrices de examen por parte del Comité Técnico</w:t>
      </w:r>
      <w:r w:rsidRPr="00B41060">
        <w:rPr>
          <w:lang w:val="es-419"/>
        </w:rPr>
        <w:t xml:space="preserve"> </w:t>
      </w:r>
      <w:r w:rsidRPr="00B41060">
        <w:rPr>
          <w:lang w:val="es-419"/>
        </w:rPr>
        <w:br/>
      </w:r>
      <w:r w:rsidRPr="00B41060">
        <w:rPr>
          <w:sz w:val="18"/>
          <w:u w:val="single"/>
          <w:lang w:val="es-419"/>
        </w:rPr>
        <w:t xml:space="preserve"> </w:t>
      </w:r>
    </w:p>
    <w:p w:rsidR="0014006B" w:rsidRPr="00B41060" w:rsidRDefault="0014006B" w:rsidP="0014006B">
      <w:pPr>
        <w:ind w:left="567" w:right="567"/>
        <w:rPr>
          <w:sz w:val="18"/>
          <w:szCs w:val="18"/>
          <w:lang w:val="es-419"/>
        </w:rPr>
      </w:pPr>
    </w:p>
    <w:p w:rsidR="0014006B" w:rsidRPr="00B41060" w:rsidRDefault="0014006B" w:rsidP="0014006B">
      <w:pPr>
        <w:ind w:left="567" w:right="567"/>
        <w:rPr>
          <w:sz w:val="18"/>
          <w:szCs w:val="18"/>
          <w:lang w:val="es-419"/>
        </w:rPr>
      </w:pPr>
      <w:r w:rsidRPr="00B41060">
        <w:rPr>
          <w:lang w:val="es-419"/>
        </w:rPr>
        <w:t>2.2.8.1</w:t>
      </w:r>
      <w:r w:rsidRPr="00B41060">
        <w:rPr>
          <w:lang w:val="es-419"/>
        </w:rPr>
        <w:tab/>
        <w:t>Basándose en las recomendaciones del Comité de Redacción, el Comité Técnico decidirá si aprueba las directrices de examen o las remite de vuelta al TWP que corresponda.</w:t>
      </w:r>
    </w:p>
    <w:p w:rsidR="0014006B" w:rsidRPr="00B41060" w:rsidRDefault="0014006B" w:rsidP="0014006B">
      <w:pPr>
        <w:ind w:left="567" w:right="567"/>
        <w:rPr>
          <w:sz w:val="18"/>
          <w:szCs w:val="18"/>
          <w:lang w:val="es-419"/>
        </w:rPr>
      </w:pPr>
    </w:p>
    <w:p w:rsidR="0014006B" w:rsidRPr="00B41060" w:rsidRDefault="0014006B" w:rsidP="0014006B">
      <w:pPr>
        <w:ind w:left="567" w:right="567"/>
        <w:rPr>
          <w:sz w:val="18"/>
          <w:szCs w:val="18"/>
          <w:highlight w:val="lightGray"/>
          <w:u w:val="single"/>
          <w:lang w:val="es-419"/>
        </w:rPr>
      </w:pPr>
      <w:r w:rsidRPr="00B41060">
        <w:rPr>
          <w:sz w:val="18"/>
          <w:highlight w:val="lightGray"/>
          <w:u w:val="single"/>
          <w:lang w:val="es-419"/>
        </w:rPr>
        <w:t>NUEVO</w:t>
      </w:r>
      <w:r w:rsidRPr="00B41060">
        <w:rPr>
          <w:sz w:val="18"/>
          <w:highlight w:val="lightGray"/>
          <w:u w:val="single"/>
          <w:lang w:val="es-419"/>
        </w:rPr>
        <w:tab/>
        <w:t>El Comité Técnico podrá aprobar las directrices de examen en su sesión o por correspondencia.</w:t>
      </w:r>
      <w:r w:rsidRPr="00B41060">
        <w:rPr>
          <w:lang w:val="es-419"/>
        </w:rPr>
        <w:t xml:space="preserve"> </w:t>
      </w:r>
      <w:r w:rsidRPr="00B41060">
        <w:rPr>
          <w:sz w:val="18"/>
          <w:highlight w:val="lightGray"/>
          <w:u w:val="single"/>
          <w:lang w:val="es-419"/>
        </w:rPr>
        <w:t>Las directrices de examen podrán aprobarse por correspondencia conforme al siguiente procedimiento:</w:t>
      </w:r>
    </w:p>
    <w:p w:rsidR="0014006B" w:rsidRPr="00B41060" w:rsidRDefault="0014006B" w:rsidP="0014006B">
      <w:pPr>
        <w:ind w:left="567" w:right="567"/>
        <w:rPr>
          <w:sz w:val="18"/>
          <w:szCs w:val="18"/>
          <w:highlight w:val="lightGray"/>
          <w:u w:val="single"/>
          <w:lang w:val="es-419"/>
        </w:rPr>
      </w:pPr>
    </w:p>
    <w:p w:rsidR="0014006B" w:rsidRPr="00B41060" w:rsidRDefault="0014006B" w:rsidP="0014006B">
      <w:pPr>
        <w:numPr>
          <w:ilvl w:val="0"/>
          <w:numId w:val="3"/>
        </w:numPr>
        <w:tabs>
          <w:tab w:val="left" w:pos="1134"/>
          <w:tab w:val="left" w:pos="5387"/>
        </w:tabs>
        <w:ind w:left="1134" w:right="567" w:hanging="567"/>
        <w:contextualSpacing/>
        <w:rPr>
          <w:rFonts w:cs="Arial"/>
          <w:sz w:val="18"/>
          <w:szCs w:val="18"/>
          <w:highlight w:val="lightGray"/>
          <w:u w:val="single"/>
          <w:lang w:val="es-419"/>
        </w:rPr>
      </w:pPr>
      <w:r w:rsidRPr="00B41060">
        <w:rPr>
          <w:sz w:val="18"/>
          <w:highlight w:val="lightGray"/>
          <w:u w:val="single"/>
          <w:lang w:val="es-419"/>
        </w:rPr>
        <w:t>el proyecto de directrices de examen se distribuye a los miembros del TC para que lo aprueben por correspondencia, junto con las recomendaciones del TC-EDC;</w:t>
      </w:r>
    </w:p>
    <w:p w:rsidR="0014006B" w:rsidRPr="00B41060" w:rsidRDefault="0014006B" w:rsidP="0014006B">
      <w:pPr>
        <w:numPr>
          <w:ilvl w:val="0"/>
          <w:numId w:val="3"/>
        </w:numPr>
        <w:tabs>
          <w:tab w:val="left" w:pos="1134"/>
          <w:tab w:val="left" w:pos="5387"/>
        </w:tabs>
        <w:ind w:left="1134" w:right="567" w:hanging="567"/>
        <w:contextualSpacing/>
        <w:rPr>
          <w:rFonts w:cs="Arial"/>
          <w:sz w:val="18"/>
          <w:szCs w:val="18"/>
          <w:highlight w:val="lightGray"/>
          <w:u w:val="single"/>
          <w:lang w:val="es-419"/>
        </w:rPr>
      </w:pPr>
      <w:r w:rsidRPr="00B41060">
        <w:rPr>
          <w:sz w:val="18"/>
          <w:highlight w:val="lightGray"/>
          <w:u w:val="single"/>
          <w:lang w:val="es-419"/>
        </w:rPr>
        <w:t>si en un plazo de seis semanas no se han recibido observaciones, el proyecto de directrices de examen se considerará aprobado;</w:t>
      </w:r>
    </w:p>
    <w:p w:rsidR="0014006B" w:rsidRPr="00B41060" w:rsidRDefault="0014006B" w:rsidP="0014006B">
      <w:pPr>
        <w:numPr>
          <w:ilvl w:val="0"/>
          <w:numId w:val="3"/>
        </w:numPr>
        <w:tabs>
          <w:tab w:val="left" w:pos="1134"/>
          <w:tab w:val="left" w:pos="5387"/>
        </w:tabs>
        <w:ind w:left="1134" w:right="567" w:hanging="567"/>
        <w:contextualSpacing/>
        <w:rPr>
          <w:rFonts w:cs="Arial"/>
          <w:sz w:val="18"/>
          <w:szCs w:val="18"/>
          <w:highlight w:val="lightGray"/>
          <w:u w:val="single"/>
          <w:lang w:val="es-419"/>
        </w:rPr>
      </w:pPr>
      <w:r w:rsidRPr="00B41060">
        <w:rPr>
          <w:sz w:val="18"/>
          <w:highlight w:val="lightGray"/>
          <w:u w:val="single"/>
          <w:lang w:val="es-419"/>
        </w:rPr>
        <w:t>en caso de recibirse observaciones, el proyecto de directrices de examen se remite a los TWP pertinentes a fin de que analicen dichas observaciones.</w:t>
      </w:r>
    </w:p>
    <w:p w:rsidR="0014006B" w:rsidRPr="00B41060" w:rsidRDefault="0014006B" w:rsidP="0014006B">
      <w:pPr>
        <w:ind w:left="567" w:right="567"/>
        <w:rPr>
          <w:sz w:val="18"/>
          <w:szCs w:val="18"/>
          <w:lang w:val="es-419"/>
        </w:rPr>
      </w:pPr>
    </w:p>
    <w:p w:rsidR="0014006B" w:rsidRPr="00B41060" w:rsidRDefault="0014006B" w:rsidP="0014006B">
      <w:pPr>
        <w:ind w:left="567" w:right="567"/>
        <w:rPr>
          <w:sz w:val="18"/>
          <w:szCs w:val="18"/>
          <w:lang w:val="es-419"/>
        </w:rPr>
      </w:pPr>
      <w:r w:rsidRPr="00B41060">
        <w:rPr>
          <w:lang w:val="es-419"/>
        </w:rPr>
        <w:t>2.2.8.2</w:t>
      </w:r>
      <w:r w:rsidRPr="00B41060">
        <w:rPr>
          <w:lang w:val="es-419"/>
        </w:rPr>
        <w:tab/>
        <w:t>Si el Comité Técnico aprueba las directrices de examen, la Oficina hará todas las enmiendas acordadas por el Comité Técnico, que se registrarán en un informe de la sesión del Comité Técnico pertinente.</w:t>
      </w:r>
      <w:r w:rsidRPr="00B41060">
        <w:rPr>
          <w:sz w:val="18"/>
          <w:lang w:val="es-419"/>
        </w:rPr>
        <w:t xml:space="preserve"> A continuación, la Oficina </w:t>
      </w:r>
      <w:r w:rsidRPr="00B41060">
        <w:rPr>
          <w:sz w:val="16"/>
          <w:szCs w:val="18"/>
          <w:lang w:val="es-419"/>
        </w:rPr>
        <w:t>publicará</w:t>
      </w:r>
      <w:r w:rsidRPr="00B41060">
        <w:rPr>
          <w:sz w:val="18"/>
          <w:lang w:val="es-419"/>
        </w:rPr>
        <w:t xml:space="preserve"> las directrices de examen aprobadas.”</w:t>
      </w:r>
    </w:p>
    <w:p w:rsidR="0014006B" w:rsidRPr="00B41060" w:rsidRDefault="0014006B" w:rsidP="0014006B">
      <w:pPr>
        <w:ind w:left="567" w:right="567"/>
        <w:rPr>
          <w:strike/>
          <w:sz w:val="18"/>
          <w:szCs w:val="18"/>
          <w:lang w:val="es-419"/>
        </w:rPr>
      </w:pPr>
    </w:p>
    <w:p w:rsidR="0014006B" w:rsidRPr="00B41060" w:rsidRDefault="0014006B" w:rsidP="0014006B">
      <w:pPr>
        <w:ind w:left="567" w:right="567"/>
        <w:rPr>
          <w:strike/>
          <w:sz w:val="18"/>
          <w:szCs w:val="18"/>
          <w:lang w:val="es-419"/>
        </w:rPr>
      </w:pPr>
      <w:r w:rsidRPr="00B41060">
        <w:rPr>
          <w:strike/>
          <w:sz w:val="18"/>
          <w:highlight w:val="lightGray"/>
          <w:lang w:val="es-419"/>
        </w:rPr>
        <w:t>2.2.8.3</w:t>
      </w:r>
      <w:r w:rsidRPr="00B41060">
        <w:rPr>
          <w:strike/>
          <w:sz w:val="18"/>
          <w:highlight w:val="lightGray"/>
          <w:lang w:val="es-419"/>
        </w:rPr>
        <w:tab/>
      </w:r>
      <w:r w:rsidRPr="00B41060">
        <w:rPr>
          <w:strike/>
          <w:sz w:val="18"/>
          <w:highlight w:val="lightGray"/>
          <w:lang w:val="es-419"/>
        </w:rPr>
        <w:tab/>
        <w:t>Si el Comité Técnico aprueba las directrices de examen a condición de que el experto principal presente información adicional aprobada por todos los expertos interesados y el presidente del TWP pertinente (véase la sección 2.2.7.3.b)), la Oficina deberá recibir la información necesaria, aprobada por todos los expertos interesados en un plazo de tres meses a partir de la sesión del Comité Técnico o antes de la reunión siguiente del TWP pertinente, la que antes se celebre. En los casos en que la información necesaria no se presente en dicho plazo, las directrices de examen correspondientes no serán aprobadas y volverán a presentarse al TWP pertinente (Etapa 4).”</w:t>
      </w:r>
    </w:p>
    <w:p w:rsidR="0014006B" w:rsidRPr="00B41060" w:rsidRDefault="0014006B" w:rsidP="0014006B">
      <w:pPr>
        <w:ind w:left="567" w:right="567"/>
        <w:rPr>
          <w:strike/>
          <w:sz w:val="18"/>
          <w:szCs w:val="18"/>
          <w:lang w:val="es-419"/>
        </w:rPr>
      </w:pPr>
    </w:p>
    <w:p w:rsidR="00914865" w:rsidRPr="00FA185E" w:rsidRDefault="00914865" w:rsidP="00914865">
      <w:pPr>
        <w:rPr>
          <w:lang w:val="es-419"/>
        </w:rPr>
      </w:pPr>
    </w:p>
    <w:p w:rsidR="00914865" w:rsidRPr="00FA185E" w:rsidRDefault="00914865" w:rsidP="00914865">
      <w:pPr>
        <w:rPr>
          <w:lang w:val="es-419"/>
        </w:rPr>
      </w:pPr>
    </w:p>
    <w:p w:rsidR="00914865" w:rsidRPr="00FA185E" w:rsidRDefault="00914865" w:rsidP="00914865">
      <w:pPr>
        <w:jc w:val="right"/>
        <w:rPr>
          <w:lang w:val="es-419"/>
        </w:rPr>
      </w:pPr>
      <w:r w:rsidRPr="00FA185E">
        <w:rPr>
          <w:lang w:val="es-419"/>
        </w:rPr>
        <w:t>[Sigue el Anexo</w:t>
      </w:r>
      <w:r w:rsidR="00B23B18">
        <w:rPr>
          <w:lang w:val="es-419"/>
        </w:rPr>
        <w:t xml:space="preserve"> </w:t>
      </w:r>
      <w:r w:rsidRPr="00FA185E">
        <w:rPr>
          <w:lang w:val="es-419"/>
        </w:rPr>
        <w:t>II]</w:t>
      </w:r>
    </w:p>
    <w:p w:rsidR="00914865" w:rsidRPr="00FA185E" w:rsidRDefault="00914865" w:rsidP="00914865">
      <w:pPr>
        <w:rPr>
          <w:lang w:val="es-419"/>
        </w:rPr>
      </w:pPr>
    </w:p>
    <w:p w:rsidR="00914865" w:rsidRPr="00FA185E" w:rsidRDefault="00914865" w:rsidP="00914865">
      <w:pPr>
        <w:rPr>
          <w:lang w:val="es-419"/>
        </w:rPr>
        <w:sectPr w:rsidR="00914865" w:rsidRPr="00FA185E" w:rsidSect="009E5A8F">
          <w:headerReference w:type="default" r:id="rId13"/>
          <w:footerReference w:type="default" r:id="rId14"/>
          <w:headerReference w:type="first" r:id="rId15"/>
          <w:footnotePr>
            <w:numRestart w:val="eachSect"/>
          </w:footnotePr>
          <w:pgSz w:w="11907" w:h="16840" w:code="9"/>
          <w:pgMar w:top="510" w:right="1134" w:bottom="709" w:left="1134" w:header="510" w:footer="680" w:gutter="0"/>
          <w:pgNumType w:start="1"/>
          <w:cols w:space="720"/>
          <w:titlePg/>
        </w:sectPr>
      </w:pPr>
    </w:p>
    <w:p w:rsidR="0014006B" w:rsidRPr="00B41060" w:rsidRDefault="0014006B" w:rsidP="0014006B">
      <w:pPr>
        <w:jc w:val="center"/>
        <w:rPr>
          <w:caps/>
          <w:lang w:val="es-419"/>
        </w:rPr>
      </w:pPr>
      <w:r w:rsidRPr="00B41060">
        <w:rPr>
          <w:caps/>
          <w:lang w:val="es-419"/>
        </w:rPr>
        <w:lastRenderedPageBreak/>
        <w:t xml:space="preserve">REVISIONES DEL DOCUMENTO TGP/8 “Diseño de ensayos y técnicas utilizadas en el examen de la distinción, la homogeneidad y la estabilidad” </w:t>
      </w:r>
    </w:p>
    <w:p w:rsidR="0014006B" w:rsidRPr="00B41060" w:rsidRDefault="0014006B" w:rsidP="0014006B">
      <w:pPr>
        <w:jc w:val="center"/>
        <w:rPr>
          <w:lang w:val="es-419"/>
        </w:rPr>
      </w:pPr>
      <w:r w:rsidRPr="00B41060">
        <w:rPr>
          <w:lang w:val="es-419"/>
        </w:rPr>
        <w:t>CONVENIDO POR EL COMITÉ TÉCNICO EN SUS SESIONES QUINCUAGÉSIMA TERCERA</w:t>
      </w:r>
      <w:bookmarkStart w:id="49" w:name="_Ref13509596"/>
      <w:r w:rsidRPr="00B41060">
        <w:rPr>
          <w:rStyle w:val="FootnoteReference"/>
          <w:lang w:val="es-419"/>
        </w:rPr>
        <w:footnoteReference w:id="18"/>
      </w:r>
      <w:bookmarkEnd w:id="49"/>
      <w:r w:rsidRPr="00B41060">
        <w:rPr>
          <w:lang w:val="es-419"/>
        </w:rPr>
        <w:t xml:space="preserve"> Y QUINCUAGÉSIMA CUARTA</w:t>
      </w:r>
      <w:bookmarkStart w:id="50" w:name="_Ref13509615"/>
      <w:r w:rsidRPr="00B41060">
        <w:rPr>
          <w:rStyle w:val="FootnoteReference"/>
          <w:lang w:val="es-419"/>
        </w:rPr>
        <w:footnoteReference w:id="19"/>
      </w:r>
      <w:bookmarkEnd w:id="50"/>
    </w:p>
    <w:p w:rsidR="0014006B" w:rsidRPr="00B41060" w:rsidRDefault="0014006B" w:rsidP="0014006B">
      <w:pPr>
        <w:jc w:val="center"/>
        <w:rPr>
          <w:caps/>
          <w:lang w:val="es-419"/>
        </w:rPr>
      </w:pPr>
    </w:p>
    <w:p w:rsidR="0014006B" w:rsidRPr="00B41060" w:rsidRDefault="0014006B" w:rsidP="0014006B">
      <w:pPr>
        <w:jc w:val="center"/>
        <w:rPr>
          <w:lang w:val="es-419"/>
        </w:rPr>
      </w:pPr>
    </w:p>
    <w:p w:rsidR="0014006B" w:rsidRPr="00B41060" w:rsidRDefault="0014006B" w:rsidP="0014006B">
      <w:pPr>
        <w:rPr>
          <w:lang w:val="es-419"/>
        </w:rPr>
      </w:pPr>
      <w:r w:rsidRPr="00B41060">
        <w:rPr>
          <w:noProof/>
          <w:lang w:val="en-US" w:eastAsia="en-US" w:bidi="ar-SA"/>
        </w:rPr>
        <mc:AlternateContent>
          <mc:Choice Requires="wps">
            <w:drawing>
              <wp:anchor distT="0" distB="0" distL="114300" distR="114300" simplePos="0" relativeHeight="251665408" behindDoc="0" locked="0" layoutInCell="1" allowOverlap="1" wp14:anchorId="475B128C" wp14:editId="0BE36705">
                <wp:simplePos x="0" y="0"/>
                <wp:positionH relativeFrom="column">
                  <wp:align>center</wp:align>
                </wp:positionH>
                <wp:positionV relativeFrom="paragraph">
                  <wp:posOffset>0</wp:posOffset>
                </wp:positionV>
                <wp:extent cx="4119842" cy="402609"/>
                <wp:effectExtent l="0" t="0" r="14605" b="165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9842" cy="402609"/>
                        </a:xfrm>
                        <a:prstGeom prst="rect">
                          <a:avLst/>
                        </a:prstGeom>
                        <a:solidFill>
                          <a:srgbClr val="FFFFFF"/>
                        </a:solidFill>
                        <a:ln w="9525">
                          <a:solidFill>
                            <a:srgbClr val="000000"/>
                          </a:solidFill>
                          <a:miter lim="800000"/>
                          <a:headEnd/>
                          <a:tailEnd/>
                        </a:ln>
                      </wps:spPr>
                      <wps:txbx>
                        <w:txbxContent>
                          <w:p w:rsidR="0014006B" w:rsidRPr="00914865" w:rsidRDefault="0014006B" w:rsidP="0014006B">
                            <w:pPr>
                              <w:jc w:val="center"/>
                            </w:pPr>
                            <w:r>
                              <w:t xml:space="preserve">Se indica </w:t>
                            </w:r>
                            <w:r>
                              <w:rPr>
                                <w:strike/>
                                <w:highlight w:val="lightGray"/>
                              </w:rPr>
                              <w:t>tachado</w:t>
                            </w:r>
                            <w:r>
                              <w:rPr>
                                <w:highlight w:val="lightGray"/>
                              </w:rPr>
                              <w:t xml:space="preserve"> y sombreado</w:t>
                            </w:r>
                            <w:r>
                              <w:t xml:space="preserve"> el texto que se propone suprimir y </w:t>
                            </w:r>
                            <w:r>
                              <w:rPr>
                                <w:highlight w:val="lightGray"/>
                                <w:u w:val="single"/>
                              </w:rPr>
                              <w:t>subrayado</w:t>
                            </w:r>
                            <w:r>
                              <w:rPr>
                                <w:highlight w:val="lightGray"/>
                              </w:rPr>
                              <w:t xml:space="preserve"> y sombreado</w:t>
                            </w:r>
                            <w:r>
                              <w:t xml:space="preserve"> el texto que se propone añadir.</w:t>
                            </w:r>
                          </w:p>
                          <w:p w:rsidR="0014006B" w:rsidRPr="00914865" w:rsidRDefault="0014006B" w:rsidP="001400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5B128C" id="_x0000_s1027" type="#_x0000_t202" style="position:absolute;left:0;text-align:left;margin-left:0;margin-top:0;width:324.4pt;height:31.7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">
                <v:textbox>
                  <w:txbxContent>
                    <w:p w:rsidR="0014006B" w:rsidRPr="00914865" w:rsidRDefault="0014006B" w:rsidP="0014006B">
                      <w:pPr>
                        <w:jc w:val="center"/>
                      </w:pPr>
                      <w:r>
                        <w:t xml:space="preserve">Se indica </w:t>
                      </w:r>
                      <w:r>
                        <w:rPr>
                          <w:strike/>
                          <w:highlight w:val="lightGray"/>
                        </w:rPr>
                        <w:t>tachado</w:t>
                      </w:r>
                      <w:r>
                        <w:rPr>
                          <w:highlight w:val="lightGray"/>
                        </w:rPr>
                        <w:t xml:space="preserve"> y sombreado</w:t>
                      </w:r>
                      <w:r>
                        <w:t xml:space="preserve"> el texto que se propone suprimir y </w:t>
                      </w:r>
                      <w:r>
                        <w:rPr>
                          <w:highlight w:val="lightGray"/>
                          <w:u w:val="single"/>
                        </w:rPr>
                        <w:t>subrayado</w:t>
                      </w:r>
                      <w:r>
                        <w:rPr>
                          <w:highlight w:val="lightGray"/>
                        </w:rPr>
                        <w:t xml:space="preserve"> y sombreado</w:t>
                      </w:r>
                      <w:r>
                        <w:t xml:space="preserve"> el texto que se propone añadir.</w:t>
                      </w:r>
                    </w:p>
                    <w:p w:rsidR="0014006B" w:rsidRPr="00914865" w:rsidRDefault="0014006B" w:rsidP="0014006B"/>
                  </w:txbxContent>
                </v:textbox>
              </v:shape>
            </w:pict>
          </mc:Fallback>
        </mc:AlternateContent>
      </w:r>
    </w:p>
    <w:p w:rsidR="0014006B" w:rsidRPr="00B41060" w:rsidRDefault="0014006B" w:rsidP="0014006B">
      <w:pPr>
        <w:rPr>
          <w:lang w:val="es-419"/>
        </w:rPr>
      </w:pPr>
    </w:p>
    <w:p w:rsidR="0014006B" w:rsidRPr="00B41060" w:rsidRDefault="0014006B" w:rsidP="0014006B">
      <w:pPr>
        <w:rPr>
          <w:lang w:val="es-419"/>
        </w:rPr>
      </w:pPr>
    </w:p>
    <w:p w:rsidR="0014006B" w:rsidRPr="00B41060" w:rsidRDefault="0014006B" w:rsidP="0014006B">
      <w:pPr>
        <w:rPr>
          <w:lang w:val="es-419"/>
        </w:rPr>
      </w:pPr>
    </w:p>
    <w:p w:rsidR="0014006B" w:rsidRPr="00B41060" w:rsidRDefault="0014006B" w:rsidP="0014006B">
      <w:pPr>
        <w:rPr>
          <w:lang w:val="es-419"/>
        </w:rPr>
      </w:pPr>
    </w:p>
    <w:p w:rsidR="0014006B" w:rsidRPr="00B41060" w:rsidRDefault="0014006B" w:rsidP="0014006B">
      <w:pPr>
        <w:keepNext/>
        <w:rPr>
          <w:u w:val="single"/>
          <w:lang w:val="es-419"/>
        </w:rPr>
      </w:pPr>
      <w:r w:rsidRPr="00B41060">
        <w:rPr>
          <w:u w:val="single"/>
          <w:lang w:val="es-419"/>
        </w:rPr>
        <w:t>Examen DHE de muestras en bloque</w:t>
      </w:r>
    </w:p>
    <w:p w:rsidR="0014006B" w:rsidRPr="00B41060" w:rsidRDefault="0014006B" w:rsidP="0014006B">
      <w:pPr>
        <w:keepNext/>
        <w:rPr>
          <w:lang w:val="es-419"/>
        </w:rPr>
      </w:pPr>
    </w:p>
    <w:p w:rsidR="0014006B" w:rsidRPr="00B41060" w:rsidRDefault="0014006B" w:rsidP="0014006B">
      <w:pPr>
        <w:keepNext/>
        <w:rPr>
          <w:i/>
          <w:lang w:val="es-419"/>
        </w:rPr>
      </w:pPr>
      <w:r w:rsidRPr="00B41060">
        <w:rPr>
          <w:i/>
          <w:lang w:val="es-419"/>
        </w:rPr>
        <w:t>Nueva sección</w:t>
      </w:r>
      <w:r>
        <w:rPr>
          <w:i/>
          <w:lang w:val="es-419"/>
        </w:rPr>
        <w:t xml:space="preserve"> </w:t>
      </w:r>
      <w:r w:rsidRPr="00B41060">
        <w:rPr>
          <w:i/>
          <w:lang w:val="es-419"/>
        </w:rPr>
        <w:t>12: Examen de caracteres mediante la observación de muestras en bloque</w:t>
      </w:r>
      <w:r>
        <w:rPr>
          <w:i/>
          <w:lang w:val="es-419"/>
        </w:rPr>
        <w:t xml:space="preserve"> o a granel</w:t>
      </w:r>
    </w:p>
    <w:p w:rsidR="0014006B" w:rsidRPr="00B41060" w:rsidRDefault="0014006B" w:rsidP="0014006B">
      <w:pPr>
        <w:keepNext/>
        <w:rPr>
          <w:lang w:val="es-419"/>
        </w:rPr>
      </w:pPr>
    </w:p>
    <w:p w:rsidR="0014006B" w:rsidRPr="00B41060" w:rsidRDefault="0014006B" w:rsidP="0014006B">
      <w:pPr>
        <w:keepNext/>
        <w:rPr>
          <w:lang w:val="es-419"/>
        </w:rPr>
      </w:pPr>
      <w:r w:rsidRPr="00B41060">
        <w:rPr>
          <w:lang w:val="es-419"/>
        </w:rPr>
        <w:t>En su quincuagésima tercera sesión,</w:t>
      </w:r>
      <w:r w:rsidRPr="00B41060">
        <w:rPr>
          <w:vertAlign w:val="superscript"/>
          <w:lang w:val="es-419"/>
        </w:rPr>
        <w:fldChar w:fldCharType="begin"/>
      </w:r>
      <w:r w:rsidRPr="00B41060">
        <w:rPr>
          <w:vertAlign w:val="superscript"/>
          <w:lang w:val="es-419"/>
        </w:rPr>
        <w:instrText xml:space="preserve"> NOTEREF _Ref13509596 \h  \* MERGEFORMAT </w:instrText>
      </w:r>
      <w:r w:rsidRPr="00B41060">
        <w:rPr>
          <w:vertAlign w:val="superscript"/>
          <w:lang w:val="es-419"/>
        </w:rPr>
      </w:r>
      <w:r w:rsidRPr="00B41060">
        <w:rPr>
          <w:vertAlign w:val="superscript"/>
          <w:lang w:val="es-419"/>
        </w:rPr>
        <w:fldChar w:fldCharType="separate"/>
      </w:r>
      <w:r w:rsidRPr="00B41060">
        <w:rPr>
          <w:vertAlign w:val="superscript"/>
          <w:lang w:val="es-419"/>
        </w:rPr>
        <w:t>1</w:t>
      </w:r>
      <w:r w:rsidRPr="00B41060">
        <w:rPr>
          <w:vertAlign w:val="superscript"/>
          <w:lang w:val="es-419"/>
        </w:rPr>
        <w:fldChar w:fldCharType="end"/>
      </w:r>
      <w:r w:rsidRPr="00B41060">
        <w:rPr>
          <w:lang w:val="es-419"/>
        </w:rPr>
        <w:t xml:space="preserve"> el TC acordó los siguientes criterios como punto de partida para elaborar orientaciones, con el objeto de incluirlos en una futura revisión del documento TGP/8 (véanse los párrafos</w:t>
      </w:r>
      <w:r>
        <w:rPr>
          <w:lang w:val="es-419"/>
        </w:rPr>
        <w:t xml:space="preserve"> </w:t>
      </w:r>
      <w:r w:rsidRPr="00B41060">
        <w:rPr>
          <w:lang w:val="es-419"/>
        </w:rPr>
        <w:t>113 a</w:t>
      </w:r>
      <w:r>
        <w:rPr>
          <w:lang w:val="es-419"/>
        </w:rPr>
        <w:t xml:space="preserve"> </w:t>
      </w:r>
      <w:r w:rsidRPr="00B41060">
        <w:rPr>
          <w:lang w:val="es-419"/>
        </w:rPr>
        <w:t>116 del documento TC/53/31 “Informe”):</w:t>
      </w:r>
    </w:p>
    <w:p w:rsidR="0014006B" w:rsidRPr="00B41060" w:rsidRDefault="0014006B" w:rsidP="0014006B">
      <w:pPr>
        <w:keepNext/>
        <w:rPr>
          <w:lang w:val="es-419"/>
        </w:rPr>
      </w:pPr>
    </w:p>
    <w:p w:rsidR="0014006B" w:rsidRPr="00B41060" w:rsidRDefault="0014006B" w:rsidP="0014006B">
      <w:pPr>
        <w:keepNext/>
        <w:ind w:left="1134" w:right="567" w:hanging="567"/>
        <w:rPr>
          <w:b/>
          <w:sz w:val="18"/>
          <w:highlight w:val="lightGray"/>
          <w:u w:val="single"/>
          <w:lang w:val="es-419"/>
        </w:rPr>
      </w:pPr>
      <w:r w:rsidRPr="00B41060">
        <w:rPr>
          <w:b/>
          <w:sz w:val="18"/>
          <w:highlight w:val="lightGray"/>
          <w:u w:val="single"/>
          <w:lang w:val="es-419"/>
        </w:rPr>
        <w:t>12.</w:t>
      </w:r>
      <w:r w:rsidRPr="00B41060">
        <w:rPr>
          <w:lang w:val="es-419"/>
        </w:rPr>
        <w:tab/>
      </w:r>
      <w:r w:rsidRPr="00B41060">
        <w:rPr>
          <w:b/>
          <w:sz w:val="18"/>
          <w:highlight w:val="lightGray"/>
          <w:u w:val="single"/>
          <w:lang w:val="es-419"/>
        </w:rPr>
        <w:t>EXAMEN DE CARACTERES MEDIANTE LA OBSERVACIÓN DE MUESTRAS EN BLOQUE</w:t>
      </w:r>
      <w:r>
        <w:rPr>
          <w:b/>
          <w:sz w:val="18"/>
          <w:highlight w:val="lightGray"/>
          <w:u w:val="single"/>
          <w:lang w:val="es-419"/>
        </w:rPr>
        <w:t xml:space="preserve"> O A GRANEL</w:t>
      </w:r>
    </w:p>
    <w:p w:rsidR="0014006B" w:rsidRPr="00B41060" w:rsidRDefault="0014006B" w:rsidP="0014006B">
      <w:pPr>
        <w:keepNext/>
        <w:ind w:left="567" w:right="567"/>
        <w:rPr>
          <w:sz w:val="18"/>
          <w:highlight w:val="lightGray"/>
          <w:u w:val="single"/>
          <w:lang w:val="es-419"/>
        </w:rPr>
      </w:pPr>
    </w:p>
    <w:p w:rsidR="0014006B" w:rsidRPr="00B41060" w:rsidRDefault="0014006B" w:rsidP="0014006B">
      <w:pPr>
        <w:keepNext/>
        <w:ind w:left="567" w:right="567"/>
        <w:rPr>
          <w:sz w:val="18"/>
          <w:u w:val="single"/>
          <w:lang w:val="es-419"/>
        </w:rPr>
      </w:pPr>
      <w:r w:rsidRPr="00F976F7">
        <w:rPr>
          <w:sz w:val="18"/>
          <w:highlight w:val="lightGray"/>
          <w:u w:val="single"/>
          <w:lang w:val="es-419"/>
        </w:rPr>
        <w:t>Se deben respetar los siguientes criterios en el momento de examinar características utilizando muestras en bloque o a granel:</w:t>
      </w:r>
    </w:p>
    <w:p w:rsidR="0014006B" w:rsidRPr="00B41060" w:rsidRDefault="0014006B" w:rsidP="0014006B">
      <w:pPr>
        <w:keepNext/>
        <w:ind w:left="567" w:right="567"/>
        <w:rPr>
          <w:sz w:val="18"/>
          <w:lang w:val="es-419"/>
        </w:rPr>
      </w:pPr>
    </w:p>
    <w:p w:rsidR="0014006B" w:rsidRPr="00B41060" w:rsidRDefault="0014006B" w:rsidP="0014006B">
      <w:pPr>
        <w:ind w:left="1701" w:right="567" w:hanging="567"/>
        <w:rPr>
          <w:sz w:val="18"/>
          <w:highlight w:val="lightGray"/>
          <w:u w:val="single"/>
          <w:lang w:val="es-419"/>
        </w:rPr>
      </w:pPr>
      <w:r w:rsidRPr="00B41060">
        <w:rPr>
          <w:sz w:val="18"/>
          <w:highlight w:val="lightGray"/>
          <w:u w:val="single"/>
          <w:lang w:val="es-419"/>
        </w:rPr>
        <w:t>“a)</w:t>
      </w:r>
      <w:r w:rsidRPr="00B41060">
        <w:rPr>
          <w:lang w:val="es-419"/>
        </w:rPr>
        <w:tab/>
      </w:r>
      <w:r w:rsidRPr="00B41060">
        <w:rPr>
          <w:sz w:val="18"/>
          <w:highlight w:val="lightGray"/>
          <w:u w:val="single"/>
          <w:lang w:val="es-419"/>
        </w:rPr>
        <w:t>el carácter debe satisfacer los requisitos expuestos en la ̔Introducción general al examen de la distinción, la homogeneidad y la estabilidad y a la elaboración de descripciones armonizadas de las obtenciones vegetales̕ (véase el documento TG/1/3, sección 4.2.1);</w:t>
      </w:r>
    </w:p>
    <w:p w:rsidR="0014006B" w:rsidRPr="00B41060" w:rsidRDefault="0014006B" w:rsidP="0014006B">
      <w:pPr>
        <w:ind w:left="1701" w:right="567" w:hanging="567"/>
        <w:rPr>
          <w:sz w:val="18"/>
          <w:highlight w:val="lightGray"/>
          <w:u w:val="single"/>
          <w:lang w:val="es-419"/>
        </w:rPr>
      </w:pPr>
    </w:p>
    <w:p w:rsidR="0014006B" w:rsidRPr="00B41060" w:rsidRDefault="0014006B" w:rsidP="0014006B">
      <w:pPr>
        <w:ind w:left="1701" w:right="567" w:hanging="567"/>
        <w:rPr>
          <w:sz w:val="18"/>
          <w:highlight w:val="lightGray"/>
          <w:u w:val="single"/>
          <w:lang w:val="es-419"/>
        </w:rPr>
      </w:pPr>
      <w:r w:rsidRPr="00B41060">
        <w:rPr>
          <w:sz w:val="18"/>
          <w:highlight w:val="lightGray"/>
          <w:u w:val="single"/>
          <w:lang w:val="es-419"/>
        </w:rPr>
        <w:t>b)</w:t>
      </w:r>
      <w:r w:rsidRPr="00B41060">
        <w:rPr>
          <w:lang w:val="es-419"/>
        </w:rPr>
        <w:tab/>
      </w:r>
      <w:r w:rsidRPr="00B41060">
        <w:rPr>
          <w:sz w:val="18"/>
          <w:highlight w:val="lightGray"/>
          <w:u w:val="single"/>
          <w:lang w:val="es-419"/>
        </w:rPr>
        <w:t>debe conocerse el control genético del carácter;</w:t>
      </w:r>
    </w:p>
    <w:p w:rsidR="0014006B" w:rsidRPr="00B41060" w:rsidRDefault="0014006B" w:rsidP="0014006B">
      <w:pPr>
        <w:ind w:left="1701" w:right="567" w:hanging="567"/>
        <w:rPr>
          <w:iCs/>
          <w:sz w:val="18"/>
          <w:highlight w:val="lightGray"/>
          <w:u w:val="single"/>
          <w:lang w:val="es-419"/>
        </w:rPr>
      </w:pPr>
    </w:p>
    <w:p w:rsidR="0014006B" w:rsidRPr="00B41060" w:rsidRDefault="0014006B" w:rsidP="0014006B">
      <w:pPr>
        <w:ind w:left="1701" w:right="567" w:hanging="567"/>
        <w:rPr>
          <w:iCs/>
          <w:sz w:val="18"/>
          <w:highlight w:val="lightGray"/>
          <w:u w:val="single"/>
          <w:lang w:val="es-419"/>
        </w:rPr>
      </w:pPr>
      <w:r w:rsidRPr="00B41060">
        <w:rPr>
          <w:sz w:val="18"/>
          <w:highlight w:val="lightGray"/>
          <w:u w:val="single"/>
          <w:lang w:val="es-419"/>
        </w:rPr>
        <w:t>c)</w:t>
      </w:r>
      <w:r w:rsidRPr="00B41060">
        <w:rPr>
          <w:lang w:val="es-419"/>
        </w:rPr>
        <w:tab/>
      </w:r>
      <w:r w:rsidRPr="00B41060">
        <w:rPr>
          <w:sz w:val="18"/>
          <w:highlight w:val="lightGray"/>
          <w:u w:val="single"/>
          <w:lang w:val="es-419"/>
        </w:rPr>
        <w:t xml:space="preserve">debe validarse la idoneidad del carácter mediante una evaluación inicial de la homogeneidad en plantas individuales; </w:t>
      </w:r>
    </w:p>
    <w:p w:rsidR="0014006B" w:rsidRPr="00B41060" w:rsidRDefault="0014006B" w:rsidP="0014006B">
      <w:pPr>
        <w:ind w:left="1701" w:right="567" w:hanging="567"/>
        <w:rPr>
          <w:iCs/>
          <w:sz w:val="18"/>
          <w:highlight w:val="lightGray"/>
          <w:u w:val="single"/>
          <w:lang w:val="es-419"/>
        </w:rPr>
      </w:pPr>
    </w:p>
    <w:p w:rsidR="0014006B" w:rsidRPr="00B41060" w:rsidRDefault="0014006B" w:rsidP="0014006B">
      <w:pPr>
        <w:ind w:left="1701" w:right="567" w:hanging="567"/>
        <w:rPr>
          <w:iCs/>
          <w:sz w:val="18"/>
          <w:highlight w:val="lightGray"/>
          <w:u w:val="single"/>
          <w:lang w:val="es-419"/>
        </w:rPr>
      </w:pPr>
      <w:r w:rsidRPr="00B41060">
        <w:rPr>
          <w:sz w:val="18"/>
          <w:highlight w:val="lightGray"/>
          <w:u w:val="single"/>
          <w:lang w:val="es-419"/>
        </w:rPr>
        <w:t>d)</w:t>
      </w:r>
      <w:r w:rsidRPr="00B41060">
        <w:rPr>
          <w:lang w:val="es-419"/>
        </w:rPr>
        <w:tab/>
      </w:r>
      <w:r w:rsidRPr="00B41060">
        <w:rPr>
          <w:sz w:val="18"/>
          <w:highlight w:val="lightGray"/>
          <w:u w:val="single"/>
          <w:lang w:val="es-419"/>
        </w:rPr>
        <w:t>debe proporcionarse información sobre la variación entre plantas y las diferencias entre ciclos de cultivo (datos obtenidos de la medición sistemática del carácter en años diferentes);</w:t>
      </w:r>
    </w:p>
    <w:p w:rsidR="0014006B" w:rsidRPr="00B41060" w:rsidRDefault="0014006B" w:rsidP="0014006B">
      <w:pPr>
        <w:ind w:left="1701" w:right="567" w:hanging="567"/>
        <w:rPr>
          <w:iCs/>
          <w:sz w:val="18"/>
          <w:highlight w:val="lightGray"/>
          <w:u w:val="single"/>
          <w:lang w:val="es-419"/>
        </w:rPr>
      </w:pPr>
    </w:p>
    <w:p w:rsidR="0014006B" w:rsidRPr="00B41060" w:rsidRDefault="0014006B" w:rsidP="0014006B">
      <w:pPr>
        <w:ind w:left="1701" w:right="567" w:hanging="567"/>
        <w:rPr>
          <w:sz w:val="18"/>
          <w:highlight w:val="lightGray"/>
          <w:u w:val="single"/>
          <w:lang w:val="es-419"/>
        </w:rPr>
      </w:pPr>
      <w:r w:rsidRPr="00B41060">
        <w:rPr>
          <w:sz w:val="18"/>
          <w:highlight w:val="lightGray"/>
          <w:u w:val="single"/>
          <w:lang w:val="es-419"/>
        </w:rPr>
        <w:t>e)</w:t>
      </w:r>
      <w:r w:rsidRPr="00B41060">
        <w:rPr>
          <w:lang w:val="es-419"/>
        </w:rPr>
        <w:tab/>
      </w:r>
      <w:r w:rsidRPr="00B41060">
        <w:rPr>
          <w:sz w:val="18"/>
          <w:highlight w:val="lightGray"/>
          <w:u w:val="single"/>
          <w:lang w:val="es-419"/>
        </w:rPr>
        <w:t>debe proporcionarse una descripción completa del método de evaluación;</w:t>
      </w:r>
    </w:p>
    <w:p w:rsidR="0014006B" w:rsidRPr="00B41060" w:rsidRDefault="0014006B" w:rsidP="0014006B">
      <w:pPr>
        <w:ind w:left="1701" w:right="567" w:hanging="567"/>
        <w:rPr>
          <w:sz w:val="18"/>
          <w:highlight w:val="lightGray"/>
          <w:u w:val="single"/>
          <w:lang w:val="es-419"/>
        </w:rPr>
      </w:pPr>
    </w:p>
    <w:p w:rsidR="0014006B" w:rsidRPr="00B41060" w:rsidRDefault="0014006B" w:rsidP="0014006B">
      <w:pPr>
        <w:ind w:left="1701" w:right="567" w:hanging="567"/>
        <w:rPr>
          <w:sz w:val="18"/>
          <w:highlight w:val="lightGray"/>
          <w:u w:val="single"/>
          <w:lang w:val="es-419"/>
        </w:rPr>
      </w:pPr>
      <w:r w:rsidRPr="00B41060">
        <w:rPr>
          <w:sz w:val="18"/>
          <w:highlight w:val="lightGray"/>
          <w:u w:val="single"/>
          <w:lang w:val="es-419"/>
        </w:rPr>
        <w:t>f)</w:t>
      </w:r>
      <w:r w:rsidRPr="00B41060">
        <w:rPr>
          <w:lang w:val="es-419"/>
        </w:rPr>
        <w:tab/>
      </w:r>
      <w:r w:rsidRPr="00B41060">
        <w:rPr>
          <w:sz w:val="18"/>
          <w:highlight w:val="lightGray"/>
          <w:u w:val="single"/>
          <w:lang w:val="es-419"/>
        </w:rPr>
        <w:t>los niveles de expresión deben basarse en la variación existente entre variedades teniendo en cuenta la influencia del medio ambiente."</w:t>
      </w:r>
    </w:p>
    <w:p w:rsidR="0014006B" w:rsidRPr="00B41060" w:rsidRDefault="0014006B" w:rsidP="0014006B">
      <w:pPr>
        <w:rPr>
          <w:u w:val="single"/>
          <w:lang w:val="es-419"/>
        </w:rPr>
      </w:pPr>
    </w:p>
    <w:p w:rsidR="0014006B" w:rsidRPr="00B41060" w:rsidRDefault="0014006B" w:rsidP="0014006B">
      <w:pPr>
        <w:rPr>
          <w:u w:val="single"/>
          <w:lang w:val="es-419"/>
        </w:rPr>
      </w:pPr>
    </w:p>
    <w:p w:rsidR="0014006B" w:rsidRPr="00B41060" w:rsidRDefault="0014006B" w:rsidP="0014006B">
      <w:pPr>
        <w:keepNext/>
        <w:rPr>
          <w:i/>
          <w:lang w:val="es-419"/>
        </w:rPr>
      </w:pPr>
      <w:r w:rsidRPr="00B41060">
        <w:rPr>
          <w:i/>
          <w:lang w:val="es-419"/>
        </w:rPr>
        <w:t>Método aplicado a más de un examen único (anual)</w:t>
      </w:r>
    </w:p>
    <w:p w:rsidR="0014006B" w:rsidRPr="00B41060" w:rsidRDefault="0014006B" w:rsidP="0014006B">
      <w:pPr>
        <w:keepNext/>
        <w:rPr>
          <w:lang w:val="es-419"/>
        </w:rPr>
      </w:pPr>
    </w:p>
    <w:p w:rsidR="0014006B" w:rsidRPr="00B41060" w:rsidRDefault="0014006B" w:rsidP="0014006B">
      <w:pPr>
        <w:keepNext/>
        <w:rPr>
          <w:lang w:val="es-419"/>
        </w:rPr>
      </w:pPr>
      <w:r w:rsidRPr="00B41060">
        <w:rPr>
          <w:lang w:val="es-419"/>
        </w:rPr>
        <w:t>En su quincuagésima cuarta sesión,</w:t>
      </w:r>
      <w:r w:rsidRPr="00B41060">
        <w:rPr>
          <w:vertAlign w:val="superscript"/>
          <w:lang w:val="es-419"/>
        </w:rPr>
        <w:fldChar w:fldCharType="begin"/>
      </w:r>
      <w:r w:rsidRPr="00B41060">
        <w:rPr>
          <w:vertAlign w:val="superscript"/>
          <w:lang w:val="es-419"/>
        </w:rPr>
        <w:instrText xml:space="preserve"> NOTEREF _Ref13509615 \h  \* MERGEFORMAT </w:instrText>
      </w:r>
      <w:r w:rsidRPr="00B41060">
        <w:rPr>
          <w:vertAlign w:val="superscript"/>
          <w:lang w:val="es-419"/>
        </w:rPr>
      </w:r>
      <w:r w:rsidRPr="00B41060">
        <w:rPr>
          <w:vertAlign w:val="superscript"/>
          <w:lang w:val="es-419"/>
        </w:rPr>
        <w:fldChar w:fldCharType="separate"/>
      </w:r>
      <w:r w:rsidRPr="00B41060">
        <w:rPr>
          <w:vertAlign w:val="superscript"/>
          <w:lang w:val="es-419"/>
        </w:rPr>
        <w:t>2</w:t>
      </w:r>
      <w:r w:rsidRPr="00B41060">
        <w:rPr>
          <w:vertAlign w:val="superscript"/>
          <w:lang w:val="es-419"/>
        </w:rPr>
        <w:fldChar w:fldCharType="end"/>
      </w:r>
      <w:r w:rsidRPr="00B41060">
        <w:rPr>
          <w:lang w:val="es-419"/>
        </w:rPr>
        <w:t xml:space="preserve"> el TC tomó nota de que se había elaborado una orientación sobre el “Examen de caracteres mediante la observación de muestras en bloque” para el documento TGP/10 y convino en que la orientación que figura actualmente en el documento TGP/8/2: parte II: sección 8: subsección 8.1.7 se sustituya por una referencia a la nueva orientación relativa a la “Evaluación de la homogeneidad sobre la base de las plantas fuera de tipo mediante la observación de más de un ciclo de cultivo o mediante la observación de </w:t>
      </w:r>
      <w:proofErr w:type="spellStart"/>
      <w:r w:rsidRPr="00B41060">
        <w:rPr>
          <w:lang w:val="es-419"/>
        </w:rPr>
        <w:t>submuestras</w:t>
      </w:r>
      <w:proofErr w:type="spellEnd"/>
      <w:r w:rsidRPr="00B41060">
        <w:rPr>
          <w:lang w:val="es-419"/>
        </w:rPr>
        <w:t>” que se ha de incluir en el documento TGP/10 “Examen de la homogeneidad”:</w:t>
      </w:r>
    </w:p>
    <w:p w:rsidR="0014006B" w:rsidRPr="00B41060" w:rsidRDefault="0014006B" w:rsidP="0014006B">
      <w:pPr>
        <w:keepNext/>
        <w:rPr>
          <w:lang w:val="es-419"/>
        </w:rPr>
      </w:pPr>
    </w:p>
    <w:p w:rsidR="0014006B" w:rsidRPr="00B41060" w:rsidRDefault="0014006B" w:rsidP="0014006B">
      <w:pPr>
        <w:keepNext/>
        <w:tabs>
          <w:tab w:val="left" w:pos="1276"/>
        </w:tabs>
        <w:ind w:left="567" w:right="567"/>
        <w:rPr>
          <w:sz w:val="18"/>
          <w:lang w:val="es-419"/>
        </w:rPr>
      </w:pPr>
      <w:r w:rsidRPr="00B41060">
        <w:rPr>
          <w:sz w:val="18"/>
          <w:lang w:val="es-419"/>
        </w:rPr>
        <w:t>8.1.7</w:t>
      </w:r>
      <w:r w:rsidRPr="00B41060">
        <w:rPr>
          <w:lang w:val="es-419"/>
        </w:rPr>
        <w:tab/>
        <w:t>Método aplicado a más de un examen único (anual)</w:t>
      </w:r>
    </w:p>
    <w:p w:rsidR="0014006B" w:rsidRPr="00B41060" w:rsidRDefault="0014006B" w:rsidP="0014006B">
      <w:pPr>
        <w:keepNext/>
        <w:tabs>
          <w:tab w:val="left" w:pos="1276"/>
        </w:tabs>
        <w:ind w:left="567" w:right="567"/>
        <w:rPr>
          <w:sz w:val="18"/>
          <w:lang w:val="es-419"/>
        </w:rPr>
      </w:pPr>
    </w:p>
    <w:p w:rsidR="0014006B" w:rsidRPr="00B41060" w:rsidRDefault="0014006B" w:rsidP="0014006B">
      <w:pPr>
        <w:keepNext/>
        <w:tabs>
          <w:tab w:val="left" w:pos="1276"/>
        </w:tabs>
        <w:ind w:left="567" w:right="567"/>
        <w:rPr>
          <w:sz w:val="18"/>
          <w:u w:val="single"/>
          <w:lang w:val="es-419"/>
        </w:rPr>
      </w:pPr>
      <w:r w:rsidRPr="00F976F7">
        <w:rPr>
          <w:sz w:val="18"/>
          <w:highlight w:val="lightGray"/>
          <w:u w:val="single"/>
          <w:lang w:val="es-419"/>
        </w:rPr>
        <w:t>8.1.7.1</w:t>
      </w:r>
      <w:r w:rsidRPr="00F976F7">
        <w:rPr>
          <w:highlight w:val="lightGray"/>
          <w:lang w:val="es-419"/>
        </w:rPr>
        <w:tab/>
      </w:r>
      <w:r w:rsidRPr="00F976F7">
        <w:rPr>
          <w:sz w:val="18"/>
          <w:highlight w:val="lightGray"/>
          <w:u w:val="single"/>
          <w:lang w:val="es-419"/>
        </w:rPr>
        <w:t>El documento TGP/10 “Examen de la homogeneidad” proporciona directrices sobre como examinar la homogeneidad sobre la base de plantas fuera de tipo, mediante la observación de más de un ciclo de cultivo y sobre sub-muestras en el marco de un único examen o ensayo.</w:t>
      </w:r>
    </w:p>
    <w:p w:rsidR="0014006B" w:rsidRPr="00B41060" w:rsidRDefault="0014006B" w:rsidP="0014006B">
      <w:pPr>
        <w:rPr>
          <w:lang w:val="es-419"/>
        </w:rPr>
      </w:pPr>
    </w:p>
    <w:p w:rsidR="00914865" w:rsidRPr="00FA185E" w:rsidRDefault="00914865" w:rsidP="00914865">
      <w:pPr>
        <w:rPr>
          <w:lang w:val="es-419"/>
        </w:rPr>
      </w:pPr>
    </w:p>
    <w:p w:rsidR="00914865" w:rsidRPr="00FA185E" w:rsidRDefault="00914865" w:rsidP="00914865">
      <w:pPr>
        <w:rPr>
          <w:lang w:val="es-419"/>
        </w:rPr>
      </w:pPr>
    </w:p>
    <w:p w:rsidR="00914865" w:rsidRPr="00FA185E" w:rsidRDefault="00914865" w:rsidP="00914865">
      <w:pPr>
        <w:jc w:val="right"/>
        <w:rPr>
          <w:lang w:val="es-419"/>
        </w:rPr>
      </w:pPr>
      <w:r w:rsidRPr="00FA185E">
        <w:rPr>
          <w:lang w:val="es-419"/>
        </w:rPr>
        <w:t>[Sigue el Anexo III]</w:t>
      </w:r>
    </w:p>
    <w:p w:rsidR="00914865" w:rsidRPr="00FA185E" w:rsidRDefault="00914865" w:rsidP="00914865">
      <w:pPr>
        <w:rPr>
          <w:lang w:val="es-419"/>
        </w:rPr>
      </w:pPr>
    </w:p>
    <w:p w:rsidR="00914865" w:rsidRPr="00FA185E" w:rsidRDefault="00914865" w:rsidP="00914865">
      <w:pPr>
        <w:rPr>
          <w:lang w:val="es-419"/>
        </w:rPr>
        <w:sectPr w:rsidR="00914865" w:rsidRPr="00FA185E" w:rsidSect="009E5A8F">
          <w:headerReference w:type="first" r:id="rId16"/>
          <w:footnotePr>
            <w:numRestart w:val="eachSect"/>
          </w:footnotePr>
          <w:pgSz w:w="11907" w:h="16840" w:code="9"/>
          <w:pgMar w:top="510" w:right="1134" w:bottom="709" w:left="1134" w:header="510" w:footer="680" w:gutter="0"/>
          <w:pgNumType w:start="1"/>
          <w:cols w:space="720"/>
          <w:titlePg/>
        </w:sectPr>
      </w:pPr>
    </w:p>
    <w:p w:rsidR="002858D9" w:rsidRPr="00B41060" w:rsidRDefault="002858D9" w:rsidP="002858D9">
      <w:pPr>
        <w:jc w:val="center"/>
        <w:rPr>
          <w:caps/>
          <w:lang w:val="es-419"/>
        </w:rPr>
      </w:pPr>
      <w:r w:rsidRPr="00B41060">
        <w:rPr>
          <w:caps/>
          <w:lang w:val="es-419"/>
        </w:rPr>
        <w:lastRenderedPageBreak/>
        <w:t xml:space="preserve">REVISIONES DEL DOCUMENTO TGP/10 “EXAMEN DE LA HOMOGENEIDAD” </w:t>
      </w:r>
    </w:p>
    <w:p w:rsidR="002858D9" w:rsidRPr="00B41060" w:rsidRDefault="002858D9" w:rsidP="002858D9">
      <w:pPr>
        <w:jc w:val="center"/>
        <w:rPr>
          <w:lang w:val="es-419"/>
        </w:rPr>
      </w:pPr>
      <w:r w:rsidRPr="00B41060">
        <w:rPr>
          <w:lang w:val="es-419"/>
        </w:rPr>
        <w:t>CONVENIDAS POR EL COMITÉ TÉCNICO EN SU QUINCUAGÉSIMA</w:t>
      </w:r>
      <w:r>
        <w:rPr>
          <w:lang w:val="es-419"/>
        </w:rPr>
        <w:t xml:space="preserve"> </w:t>
      </w:r>
      <w:r w:rsidRPr="00B41060">
        <w:rPr>
          <w:lang w:val="es-419"/>
        </w:rPr>
        <w:t>CUARTA SESIÓN</w:t>
      </w:r>
      <w:r w:rsidRPr="00B41060">
        <w:rPr>
          <w:rStyle w:val="FootnoteReference"/>
          <w:lang w:val="es-419"/>
        </w:rPr>
        <w:footnoteReference w:id="20"/>
      </w:r>
    </w:p>
    <w:p w:rsidR="002858D9" w:rsidRPr="00B41060" w:rsidRDefault="002858D9" w:rsidP="002858D9">
      <w:pPr>
        <w:rPr>
          <w:sz w:val="18"/>
          <w:lang w:val="es-419"/>
        </w:rPr>
      </w:pPr>
    </w:p>
    <w:p w:rsidR="002858D9" w:rsidRPr="00B41060" w:rsidRDefault="002858D9" w:rsidP="002858D9">
      <w:pPr>
        <w:rPr>
          <w:sz w:val="18"/>
          <w:lang w:val="es-419"/>
        </w:rPr>
      </w:pPr>
    </w:p>
    <w:p w:rsidR="002858D9" w:rsidRPr="00B41060" w:rsidRDefault="002858D9" w:rsidP="002858D9">
      <w:pPr>
        <w:rPr>
          <w:u w:val="single"/>
          <w:lang w:val="es-419"/>
        </w:rPr>
      </w:pPr>
      <w:r w:rsidRPr="00B41060">
        <w:rPr>
          <w:u w:val="single"/>
          <w:lang w:val="es-419"/>
        </w:rPr>
        <w:t>Nueva sección</w:t>
      </w:r>
      <w:r>
        <w:rPr>
          <w:u w:val="single"/>
          <w:lang w:val="es-419"/>
        </w:rPr>
        <w:t xml:space="preserve"> </w:t>
      </w:r>
      <w:r w:rsidRPr="00B41060">
        <w:rPr>
          <w:u w:val="single"/>
          <w:lang w:val="es-419"/>
        </w:rPr>
        <w:t>4.7: Evaluación de la homogeneidad de las plantas fuera de tipo mediante la observación de más de un ciclo de cultivo</w:t>
      </w:r>
    </w:p>
    <w:p w:rsidR="002858D9" w:rsidRPr="00B41060" w:rsidRDefault="002858D9" w:rsidP="002858D9">
      <w:pPr>
        <w:rPr>
          <w:lang w:val="es-419"/>
        </w:rPr>
      </w:pPr>
    </w:p>
    <w:p w:rsidR="002858D9" w:rsidRPr="00B41060" w:rsidRDefault="002858D9" w:rsidP="002858D9">
      <w:pPr>
        <w:rPr>
          <w:szCs w:val="24"/>
          <w:lang w:val="es-419"/>
        </w:rPr>
      </w:pPr>
      <w:r w:rsidRPr="00B41060">
        <w:rPr>
          <w:lang w:val="es-419"/>
        </w:rPr>
        <w:t>Podrían realizarse dos ciclos de cultivo independientes en un único lugar en diferentes años o en diferentes lugares en el mismo año, según se indica en las secciones 1.2 y 1.3 de la Parte</w:t>
      </w:r>
      <w:r>
        <w:rPr>
          <w:lang w:val="es-419"/>
        </w:rPr>
        <w:t xml:space="preserve"> </w:t>
      </w:r>
      <w:r w:rsidRPr="00B41060">
        <w:rPr>
          <w:lang w:val="es-419"/>
        </w:rPr>
        <w:t>I del documento</w:t>
      </w:r>
      <w:r>
        <w:rPr>
          <w:lang w:val="es-419"/>
        </w:rPr>
        <w:t xml:space="preserve"> </w:t>
      </w:r>
      <w:r w:rsidRPr="00B41060">
        <w:rPr>
          <w:lang w:val="es-419"/>
        </w:rPr>
        <w:t>TGP/8.</w:t>
      </w:r>
    </w:p>
    <w:p w:rsidR="002858D9" w:rsidRPr="00B41060" w:rsidRDefault="002858D9" w:rsidP="002858D9">
      <w:pPr>
        <w:rPr>
          <w:szCs w:val="24"/>
          <w:lang w:val="es-419"/>
        </w:rPr>
      </w:pPr>
    </w:p>
    <w:p w:rsidR="002858D9" w:rsidRPr="00B41060" w:rsidRDefault="002858D9" w:rsidP="002858D9">
      <w:pPr>
        <w:rPr>
          <w:szCs w:val="24"/>
          <w:lang w:val="es-419"/>
        </w:rPr>
      </w:pPr>
      <w:r w:rsidRPr="00B41060">
        <w:rPr>
          <w:lang w:val="es-419"/>
        </w:rPr>
        <w:t>El uso previsto de la siguiente orientación no es la evaluación de la homogeneidad de las plantas fuera de tipo en las mismas plantas en dos ciclos de cultivo. No se deben combinar los resultados de ciclos de cultivo en los que se utilicen diferentes lotes de material vegetal.</w:t>
      </w:r>
    </w:p>
    <w:p w:rsidR="002858D9" w:rsidRPr="00B41060" w:rsidRDefault="002858D9" w:rsidP="002858D9">
      <w:pPr>
        <w:rPr>
          <w:sz w:val="22"/>
          <w:szCs w:val="24"/>
          <w:lang w:val="es-419"/>
        </w:rPr>
      </w:pPr>
    </w:p>
    <w:p w:rsidR="002858D9" w:rsidRPr="00B41060" w:rsidRDefault="002858D9" w:rsidP="002858D9">
      <w:pPr>
        <w:ind w:firstLine="567"/>
        <w:rPr>
          <w:i/>
          <w:szCs w:val="24"/>
          <w:lang w:val="es-419"/>
        </w:rPr>
      </w:pPr>
      <w:r w:rsidRPr="00B41060">
        <w:rPr>
          <w:i/>
          <w:lang w:val="es-419"/>
        </w:rPr>
        <w:t>Método</w:t>
      </w:r>
      <w:r>
        <w:rPr>
          <w:i/>
          <w:lang w:val="es-419"/>
        </w:rPr>
        <w:t xml:space="preserve"> </w:t>
      </w:r>
      <w:r w:rsidRPr="00B41060">
        <w:rPr>
          <w:i/>
          <w:lang w:val="es-419"/>
        </w:rPr>
        <w:t xml:space="preserve">1: Tercer ciclo de cultivo en el caso de resultados contradictorios </w:t>
      </w:r>
    </w:p>
    <w:p w:rsidR="002858D9" w:rsidRPr="00B41060" w:rsidRDefault="002858D9" w:rsidP="002858D9">
      <w:pPr>
        <w:jc w:val="center"/>
        <w:rPr>
          <w:b/>
          <w:szCs w:val="24"/>
          <w:lang w:val="es-419"/>
        </w:rPr>
      </w:pPr>
    </w:p>
    <w:p w:rsidR="002858D9" w:rsidRPr="00B41060" w:rsidRDefault="002858D9" w:rsidP="002858D9">
      <w:pPr>
        <w:rPr>
          <w:rFonts w:eastAsia="SimSun"/>
          <w:szCs w:val="24"/>
          <w:lang w:val="es-419"/>
        </w:rPr>
      </w:pPr>
      <w:r w:rsidRPr="00B41060">
        <w:rPr>
          <w:lang w:val="es-419"/>
        </w:rPr>
        <w:t>Se considera que una variedad es homogénea si cumple el estándar de homogeneidad en ambos ciclos de cultivo.</w:t>
      </w:r>
    </w:p>
    <w:p w:rsidR="002858D9" w:rsidRPr="00B41060" w:rsidRDefault="002858D9" w:rsidP="002858D9">
      <w:pPr>
        <w:rPr>
          <w:rFonts w:eastAsia="SimSun"/>
          <w:szCs w:val="24"/>
          <w:lang w:val="es-419"/>
        </w:rPr>
      </w:pPr>
    </w:p>
    <w:p w:rsidR="002858D9" w:rsidRPr="00B41060" w:rsidRDefault="002858D9" w:rsidP="002858D9">
      <w:pPr>
        <w:rPr>
          <w:rFonts w:eastAsia="SimSun"/>
          <w:szCs w:val="24"/>
          <w:lang w:val="es-419"/>
        </w:rPr>
      </w:pPr>
      <w:r w:rsidRPr="00B41060">
        <w:rPr>
          <w:lang w:val="es-419"/>
        </w:rPr>
        <w:t>Se considera que una variedad no es homogénea si no cumple el estándar de homogeneidad en ambos ciclos de cultivo.</w:t>
      </w:r>
    </w:p>
    <w:p w:rsidR="002858D9" w:rsidRPr="00B41060" w:rsidRDefault="002858D9" w:rsidP="002858D9">
      <w:pPr>
        <w:rPr>
          <w:rFonts w:eastAsia="SimSun"/>
          <w:szCs w:val="24"/>
          <w:lang w:val="es-419"/>
        </w:rPr>
      </w:pPr>
    </w:p>
    <w:p w:rsidR="002858D9" w:rsidRPr="00B41060" w:rsidRDefault="002858D9" w:rsidP="002858D9">
      <w:pPr>
        <w:rPr>
          <w:rFonts w:eastAsia="SimSun"/>
          <w:lang w:val="es-419"/>
        </w:rPr>
      </w:pPr>
      <w:r w:rsidRPr="00B41060">
        <w:rPr>
          <w:lang w:val="es-419"/>
        </w:rPr>
        <w:t>Si al término de los dos ciclos de cultivo la variedad cumple el estándar de homogeneidad en un ciclo de cultivo pero no lo cumple en el otro ciclo de cultivo, se evalúa la homogeneidad en un tercer ciclo de cultivo. Si en el tercer ciclo de cultivo la variedad cumple el estándar de homogeneidad, la variedad se considerará homogénea. Si al término del tercer ciclo de cultivo la variedad no cumple el estándar de homogeneidad, la variedad se considerará no homogénea.</w:t>
      </w:r>
    </w:p>
    <w:p w:rsidR="002858D9" w:rsidRPr="00B41060" w:rsidRDefault="002858D9" w:rsidP="002858D9">
      <w:pPr>
        <w:rPr>
          <w:color w:val="000000"/>
          <w:lang w:val="es-419"/>
        </w:rPr>
      </w:pPr>
    </w:p>
    <w:p w:rsidR="002858D9" w:rsidRPr="00B41060" w:rsidRDefault="002858D9" w:rsidP="002858D9">
      <w:pPr>
        <w:rPr>
          <w:lang w:val="es-419"/>
        </w:rPr>
      </w:pPr>
      <w:r w:rsidRPr="00B41060">
        <w:rPr>
          <w:color w:val="000000"/>
          <w:lang w:val="es-419"/>
        </w:rPr>
        <w:t xml:space="preserve">Es preciso poner cuidado al examinar resultados que sean muy diferentes en cada uno de los ciclos de cultivo, por ejemplo cuando se observe una gran abundancia de plantas fuera de tipo en un ciclo de cultivo y su ausencia en otro ciclo. </w:t>
      </w:r>
      <w:r w:rsidRPr="00B41060">
        <w:rPr>
          <w:lang w:val="es-419"/>
        </w:rPr>
        <w:t xml:space="preserve">Es importante determinar si las diferencias entre ciclos en cuanto al número de plantas fuera de tipo se deben a motivos medioambientales o a las variaciones en la toma de muestras. </w:t>
      </w:r>
    </w:p>
    <w:p w:rsidR="002858D9" w:rsidRPr="00B41060" w:rsidRDefault="002858D9" w:rsidP="002858D9">
      <w:pPr>
        <w:rPr>
          <w:lang w:val="es-419"/>
        </w:rPr>
      </w:pPr>
    </w:p>
    <w:p w:rsidR="002858D9" w:rsidRPr="00B41060" w:rsidRDefault="002858D9" w:rsidP="002858D9">
      <w:pPr>
        <w:rPr>
          <w:rFonts w:eastAsia="SimSun"/>
          <w:lang w:val="es-419"/>
        </w:rPr>
      </w:pPr>
      <w:r w:rsidRPr="00B41060">
        <w:rPr>
          <w:lang w:val="es-419"/>
        </w:rPr>
        <w:t xml:space="preserve">Además, si una variedad supera en el primer ciclo de cultivo el límite superior predefinido del número de plantas fuera de tipo, podrá rechazarse la variedad tras un único ciclo de cultivo. </w:t>
      </w:r>
    </w:p>
    <w:p w:rsidR="002858D9" w:rsidRPr="00B41060" w:rsidRDefault="002858D9" w:rsidP="002858D9">
      <w:pPr>
        <w:keepNext/>
        <w:keepLines/>
        <w:rPr>
          <w:rFonts w:eastAsia="SimSun"/>
          <w:szCs w:val="24"/>
          <w:lang w:val="es-419"/>
        </w:rPr>
      </w:pPr>
    </w:p>
    <w:p w:rsidR="002858D9" w:rsidRPr="00B41060" w:rsidRDefault="002858D9" w:rsidP="002858D9">
      <w:pPr>
        <w:ind w:firstLine="567"/>
        <w:rPr>
          <w:i/>
          <w:szCs w:val="24"/>
          <w:lang w:val="es-419"/>
        </w:rPr>
      </w:pPr>
      <w:r w:rsidRPr="00B41060">
        <w:rPr>
          <w:i/>
          <w:lang w:val="es-419"/>
        </w:rPr>
        <w:t>Método</w:t>
      </w:r>
      <w:r>
        <w:rPr>
          <w:i/>
          <w:lang w:val="es-419"/>
        </w:rPr>
        <w:t xml:space="preserve"> </w:t>
      </w:r>
      <w:r w:rsidRPr="00B41060">
        <w:rPr>
          <w:i/>
          <w:lang w:val="es-419"/>
        </w:rPr>
        <w:t>2: Combinar los resultados de dos ciclos de cultivo en el caso de resultados contradictorios</w:t>
      </w:r>
    </w:p>
    <w:p w:rsidR="002858D9" w:rsidRPr="00B41060" w:rsidRDefault="002858D9" w:rsidP="002858D9">
      <w:pPr>
        <w:keepNext/>
        <w:keepLines/>
        <w:rPr>
          <w:rFonts w:eastAsia="MS Mincho"/>
          <w:color w:val="000000"/>
          <w:lang w:val="es-419"/>
        </w:rPr>
      </w:pPr>
    </w:p>
    <w:p w:rsidR="002858D9" w:rsidRPr="00B41060" w:rsidRDefault="002858D9" w:rsidP="002858D9">
      <w:pPr>
        <w:rPr>
          <w:rFonts w:eastAsia="SimSun"/>
          <w:lang w:val="es-419"/>
        </w:rPr>
      </w:pPr>
      <w:r w:rsidRPr="00B41060">
        <w:rPr>
          <w:lang w:val="es-419"/>
        </w:rPr>
        <w:t>Se considera que una variedad es homogénea si cumple el estándar de homogeneidad en ambos ciclos de cultivo.</w:t>
      </w:r>
    </w:p>
    <w:p w:rsidR="002858D9" w:rsidRPr="00B41060" w:rsidRDefault="002858D9" w:rsidP="002858D9">
      <w:pPr>
        <w:rPr>
          <w:rFonts w:eastAsia="SimSun"/>
          <w:lang w:val="es-419"/>
        </w:rPr>
      </w:pPr>
    </w:p>
    <w:p w:rsidR="002858D9" w:rsidRPr="00B41060" w:rsidRDefault="002858D9" w:rsidP="002858D9">
      <w:pPr>
        <w:rPr>
          <w:rFonts w:eastAsia="SimSun"/>
          <w:lang w:val="es-419"/>
        </w:rPr>
      </w:pPr>
      <w:r w:rsidRPr="00B41060">
        <w:rPr>
          <w:lang w:val="es-419"/>
        </w:rPr>
        <w:t>Se considera que una variedad no es homogénea si no cumple el estándar de homogeneidad en ambos ciclos de cultivo.</w:t>
      </w:r>
    </w:p>
    <w:p w:rsidR="002858D9" w:rsidRPr="00B41060" w:rsidRDefault="002858D9" w:rsidP="002858D9">
      <w:pPr>
        <w:rPr>
          <w:rFonts w:eastAsia="SimSun"/>
          <w:lang w:val="es-419"/>
        </w:rPr>
      </w:pPr>
    </w:p>
    <w:p w:rsidR="002858D9" w:rsidRPr="00B41060" w:rsidRDefault="002858D9" w:rsidP="002858D9">
      <w:pPr>
        <w:rPr>
          <w:rFonts w:eastAsia="SimSun"/>
          <w:lang w:val="es-419"/>
        </w:rPr>
      </w:pPr>
      <w:r w:rsidRPr="00B41060">
        <w:rPr>
          <w:lang w:val="es-419"/>
        </w:rPr>
        <w:t>Si al término de los dos ciclos de cultivo la variedad cumple el estándar de homogeneidad en un ciclo de cultivo pero no cumple el estándar de homogeneidad en el otro ciclo de cultivo, se considera que la variedad es homogénea si el número total de plantas fuera de tipo al término de los dos ciclos de cultivo no supera el número permitido de plantas fuera de tipo en el tamaño de muestra de los ciclos de cultivo</w:t>
      </w:r>
      <w:r>
        <w:rPr>
          <w:lang w:val="es-419"/>
        </w:rPr>
        <w:t xml:space="preserve"> </w:t>
      </w:r>
      <w:r w:rsidRPr="00B41060">
        <w:rPr>
          <w:lang w:val="es-419"/>
        </w:rPr>
        <w:t>1 y</w:t>
      </w:r>
      <w:r>
        <w:rPr>
          <w:lang w:val="es-419"/>
        </w:rPr>
        <w:t xml:space="preserve"> </w:t>
      </w:r>
      <w:r w:rsidRPr="00B41060">
        <w:rPr>
          <w:lang w:val="es-419"/>
        </w:rPr>
        <w:t>2 combinados.</w:t>
      </w:r>
    </w:p>
    <w:p w:rsidR="002858D9" w:rsidRPr="00B41060" w:rsidRDefault="002858D9" w:rsidP="002858D9">
      <w:pPr>
        <w:rPr>
          <w:rFonts w:eastAsia="SimSun"/>
          <w:lang w:val="es-419"/>
        </w:rPr>
      </w:pPr>
    </w:p>
    <w:p w:rsidR="002858D9" w:rsidRPr="00B41060" w:rsidRDefault="002858D9" w:rsidP="002858D9">
      <w:pPr>
        <w:rPr>
          <w:rFonts w:eastAsia="SimSun"/>
          <w:szCs w:val="24"/>
          <w:lang w:val="es-419"/>
        </w:rPr>
      </w:pPr>
      <w:r w:rsidRPr="00B41060">
        <w:rPr>
          <w:lang w:val="es-419"/>
        </w:rPr>
        <w:t xml:space="preserve">Es preciso poner cuidado al examinar resultados que sean muy diferentes en cada uno de los ciclos de cultivo, por ejemplo cuando se observe una gran abundancia de plantas fuera de tipo en un ciclo de cultivo y su ausencia en otro ciclo. Cuando corresponda se debe llevar a cabo una prueba estadística para verificar la coherencia. Es importante determinar si las diferencias entre ciclos en cuanto al número de plantas fuera de tipo se deben a motivos medioambientales o a las variaciones en la toma de muestras. </w:t>
      </w:r>
    </w:p>
    <w:p w:rsidR="002858D9" w:rsidRPr="00B41060" w:rsidRDefault="002858D9" w:rsidP="002858D9">
      <w:pPr>
        <w:rPr>
          <w:lang w:val="es-419"/>
        </w:rPr>
      </w:pPr>
    </w:p>
    <w:p w:rsidR="002858D9" w:rsidRPr="00B41060" w:rsidRDefault="002858D9" w:rsidP="002858D9">
      <w:pPr>
        <w:rPr>
          <w:rFonts w:eastAsia="SimSun"/>
          <w:szCs w:val="24"/>
          <w:u w:val="single"/>
          <w:lang w:val="es-419"/>
        </w:rPr>
      </w:pPr>
      <w:r w:rsidRPr="00B41060">
        <w:rPr>
          <w:lang w:val="es-419"/>
        </w:rPr>
        <w:t>Además, si una variedad supera en el primer ciclo de cultivo el límite superior predefinido del número de plantas fuera de tipo, podrá rechazarse la variedad tras un único ciclo de cultivo.</w:t>
      </w:r>
    </w:p>
    <w:p w:rsidR="002858D9" w:rsidRPr="00B41060" w:rsidRDefault="002858D9" w:rsidP="002858D9">
      <w:pPr>
        <w:rPr>
          <w:rFonts w:eastAsia="SimSun"/>
          <w:szCs w:val="24"/>
          <w:lang w:val="es-419"/>
        </w:rPr>
      </w:pPr>
    </w:p>
    <w:p w:rsidR="002858D9" w:rsidRPr="00B41060" w:rsidRDefault="002858D9" w:rsidP="002858D9">
      <w:pPr>
        <w:keepNext/>
        <w:ind w:firstLine="567"/>
        <w:rPr>
          <w:bCs/>
          <w:i/>
          <w:lang w:val="es-419"/>
        </w:rPr>
      </w:pPr>
      <w:r w:rsidRPr="00B41060">
        <w:rPr>
          <w:i/>
          <w:lang w:val="es-419"/>
        </w:rPr>
        <w:lastRenderedPageBreak/>
        <w:t>Método</w:t>
      </w:r>
      <w:r>
        <w:rPr>
          <w:i/>
          <w:lang w:val="es-419"/>
        </w:rPr>
        <w:t xml:space="preserve"> </w:t>
      </w:r>
      <w:r w:rsidRPr="00B41060">
        <w:rPr>
          <w:i/>
          <w:lang w:val="es-419"/>
        </w:rPr>
        <w:t>3: Combinar los resultados de dos ciclos de cultivo</w:t>
      </w:r>
    </w:p>
    <w:p w:rsidR="002858D9" w:rsidRPr="00B41060" w:rsidRDefault="002858D9" w:rsidP="002858D9">
      <w:pPr>
        <w:keepNext/>
        <w:rPr>
          <w:lang w:val="es-419"/>
        </w:rPr>
      </w:pPr>
    </w:p>
    <w:p w:rsidR="002858D9" w:rsidRPr="00B41060" w:rsidRDefault="002858D9" w:rsidP="002858D9">
      <w:pPr>
        <w:rPr>
          <w:lang w:val="es-419"/>
        </w:rPr>
      </w:pPr>
      <w:r w:rsidRPr="00B41060">
        <w:rPr>
          <w:lang w:val="es-419"/>
        </w:rPr>
        <w:t>Se considera que una variedad es homogénea si el número total de plantas fuera de tipo al término de los dos ciclos de cultivo no supera el número permitido de plantas fuera de tipo en una muestra combinada.</w:t>
      </w:r>
    </w:p>
    <w:p w:rsidR="002858D9" w:rsidRPr="00B41060" w:rsidRDefault="002858D9" w:rsidP="002858D9">
      <w:pPr>
        <w:rPr>
          <w:lang w:val="es-419"/>
        </w:rPr>
      </w:pPr>
    </w:p>
    <w:p w:rsidR="002858D9" w:rsidRPr="00B41060" w:rsidRDefault="002858D9" w:rsidP="002858D9">
      <w:pPr>
        <w:rPr>
          <w:lang w:val="es-419"/>
        </w:rPr>
      </w:pPr>
      <w:r w:rsidRPr="00B41060">
        <w:rPr>
          <w:lang w:val="es-419"/>
        </w:rPr>
        <w:t>Se considera que una variedad no es homogénea si el número total de plantas fuera de tipo al término de los dos ciclos de cultivo supera el número permitido de plantas fuera de tipo en una muestra combinada.</w:t>
      </w:r>
    </w:p>
    <w:p w:rsidR="002858D9" w:rsidRPr="00B41060" w:rsidRDefault="002858D9" w:rsidP="002858D9">
      <w:pPr>
        <w:rPr>
          <w:lang w:val="es-419"/>
        </w:rPr>
      </w:pPr>
    </w:p>
    <w:p w:rsidR="002858D9" w:rsidRPr="00B41060" w:rsidRDefault="002858D9" w:rsidP="002858D9">
      <w:pPr>
        <w:rPr>
          <w:lang w:val="es-419"/>
        </w:rPr>
      </w:pPr>
      <w:r w:rsidRPr="00B41060">
        <w:rPr>
          <w:lang w:val="es-419"/>
        </w:rPr>
        <w:t>Podrá rechazarse una variedad tras un único ciclo de cultivo, si el número de plantas fuera de tipo supera el número permitido de plantas fuera de tipo en una muestra combinada (en dos ciclos de cultivo).</w:t>
      </w:r>
    </w:p>
    <w:p w:rsidR="002858D9" w:rsidRPr="00B41060" w:rsidRDefault="002858D9" w:rsidP="002858D9">
      <w:pPr>
        <w:rPr>
          <w:lang w:val="es-419"/>
        </w:rPr>
      </w:pPr>
    </w:p>
    <w:p w:rsidR="002858D9" w:rsidRPr="00B41060" w:rsidRDefault="002858D9" w:rsidP="002858D9">
      <w:pPr>
        <w:keepNext/>
        <w:keepLines/>
        <w:rPr>
          <w:rFonts w:eastAsia="SimSun"/>
          <w:szCs w:val="24"/>
          <w:lang w:val="es-419"/>
        </w:rPr>
      </w:pPr>
      <w:r w:rsidRPr="00B41060">
        <w:rPr>
          <w:lang w:val="es-419"/>
        </w:rPr>
        <w:t>Es preciso poner cuidado al examinar resultados que son muy diferentes en cada uno de los ciclos de cultivo, por ejemplo cuando se observa una gran abundancia de plantas fuera de tipo en un ciclo de cultivo y su ausencia en otro ciclo. Cuando corresponda se debe llevar a cabo una prueba estadística para verificar la coherencia. Es importante determinar si las diferencias entre ciclos en cuanto al número de plantas fuera de tipo se deben a motivos medioambientales o a las variaciones en la toma de muestras.</w:t>
      </w:r>
      <w:r w:rsidRPr="00B41060">
        <w:rPr>
          <w:highlight w:val="lightGray"/>
          <w:u w:val="single"/>
          <w:lang w:val="es-419"/>
        </w:rPr>
        <w:t xml:space="preserve"> </w:t>
      </w:r>
    </w:p>
    <w:p w:rsidR="002858D9" w:rsidRPr="00B41060" w:rsidRDefault="002858D9" w:rsidP="002858D9">
      <w:pPr>
        <w:keepNext/>
        <w:keepLines/>
        <w:jc w:val="left"/>
        <w:rPr>
          <w:sz w:val="22"/>
          <w:szCs w:val="24"/>
          <w:lang w:val="es-419"/>
        </w:rPr>
      </w:pPr>
    </w:p>
    <w:p w:rsidR="002858D9" w:rsidRPr="00B41060" w:rsidRDefault="002858D9" w:rsidP="002858D9">
      <w:pPr>
        <w:keepNext/>
        <w:keepLines/>
        <w:ind w:firstLine="567"/>
        <w:jc w:val="left"/>
        <w:rPr>
          <w:i/>
          <w:szCs w:val="24"/>
          <w:lang w:val="es-419"/>
        </w:rPr>
      </w:pPr>
      <w:r w:rsidRPr="00B41060">
        <w:rPr>
          <w:i/>
          <w:lang w:val="es-419"/>
        </w:rPr>
        <w:t>Ejemplo:</w:t>
      </w:r>
    </w:p>
    <w:p w:rsidR="002858D9" w:rsidRPr="00B41060" w:rsidRDefault="002858D9" w:rsidP="002858D9">
      <w:pPr>
        <w:keepNext/>
        <w:keepLines/>
        <w:jc w:val="left"/>
        <w:rPr>
          <w:sz w:val="22"/>
          <w:szCs w:val="24"/>
          <w:lang w:val="es-419"/>
        </w:rPr>
      </w:pPr>
    </w:p>
    <w:tbl>
      <w:tblPr>
        <w:tblW w:w="8889" w:type="dxa"/>
        <w:tblInd w:w="709" w:type="dxa"/>
        <w:tblLayout w:type="fixed"/>
        <w:tblLook w:val="04A0" w:firstRow="1" w:lastRow="0" w:firstColumn="1" w:lastColumn="0" w:noHBand="0" w:noVBand="1"/>
      </w:tblPr>
      <w:tblGrid>
        <w:gridCol w:w="623"/>
        <w:gridCol w:w="259"/>
        <w:gridCol w:w="835"/>
        <w:gridCol w:w="1097"/>
        <w:gridCol w:w="1116"/>
        <w:gridCol w:w="1160"/>
        <w:gridCol w:w="2059"/>
        <w:gridCol w:w="1740"/>
      </w:tblGrid>
      <w:tr w:rsidR="002858D9" w:rsidRPr="00B41060" w:rsidTr="00004824">
        <w:trPr>
          <w:gridAfter w:val="1"/>
          <w:wAfter w:w="1740" w:type="dxa"/>
          <w:trHeight w:val="262"/>
        </w:trPr>
        <w:tc>
          <w:tcPr>
            <w:tcW w:w="623" w:type="dxa"/>
            <w:tcBorders>
              <w:top w:val="nil"/>
              <w:left w:val="nil"/>
              <w:bottom w:val="nil"/>
            </w:tcBorders>
            <w:shd w:val="clear" w:color="auto" w:fill="auto"/>
            <w:noWrap/>
            <w:vAlign w:val="bottom"/>
          </w:tcPr>
          <w:p w:rsidR="002858D9" w:rsidRPr="00B41060" w:rsidRDefault="002858D9" w:rsidP="00004824">
            <w:pPr>
              <w:jc w:val="left"/>
              <w:rPr>
                <w:rFonts w:cs="Arial"/>
                <w:color w:val="000000"/>
                <w:szCs w:val="18"/>
                <w:lang w:val="es-419"/>
              </w:rPr>
            </w:pPr>
          </w:p>
        </w:tc>
        <w:tc>
          <w:tcPr>
            <w:tcW w:w="6526" w:type="dxa"/>
            <w:gridSpan w:val="6"/>
            <w:tcBorders>
              <w:top w:val="nil"/>
            </w:tcBorders>
            <w:shd w:val="clear" w:color="auto" w:fill="auto"/>
            <w:vAlign w:val="bottom"/>
          </w:tcPr>
          <w:p w:rsidR="002858D9" w:rsidRPr="00B41060" w:rsidRDefault="002858D9" w:rsidP="00004824">
            <w:pPr>
              <w:jc w:val="left"/>
              <w:rPr>
                <w:rFonts w:cs="Arial"/>
                <w:color w:val="000000"/>
                <w:szCs w:val="18"/>
                <w:lang w:val="es-419"/>
              </w:rPr>
            </w:pPr>
            <w:r w:rsidRPr="00B41060">
              <w:rPr>
                <w:color w:val="000000"/>
                <w:lang w:val="es-419"/>
              </w:rPr>
              <w:t xml:space="preserve">Población estándar = 1% </w:t>
            </w:r>
          </w:p>
        </w:tc>
      </w:tr>
      <w:tr w:rsidR="002858D9" w:rsidRPr="00B41060" w:rsidTr="00004824">
        <w:trPr>
          <w:gridAfter w:val="1"/>
          <w:wAfter w:w="1740" w:type="dxa"/>
          <w:trHeight w:val="278"/>
        </w:trPr>
        <w:tc>
          <w:tcPr>
            <w:tcW w:w="623" w:type="dxa"/>
            <w:tcBorders>
              <w:top w:val="nil"/>
              <w:left w:val="nil"/>
              <w:bottom w:val="nil"/>
            </w:tcBorders>
            <w:shd w:val="clear" w:color="auto" w:fill="auto"/>
            <w:noWrap/>
            <w:vAlign w:val="bottom"/>
            <w:hideMark/>
          </w:tcPr>
          <w:p w:rsidR="002858D9" w:rsidRPr="00B41060" w:rsidRDefault="002858D9" w:rsidP="00004824">
            <w:pPr>
              <w:jc w:val="left"/>
              <w:rPr>
                <w:rFonts w:cs="Arial"/>
                <w:color w:val="000000"/>
                <w:szCs w:val="18"/>
                <w:lang w:val="es-419"/>
              </w:rPr>
            </w:pPr>
          </w:p>
        </w:tc>
        <w:tc>
          <w:tcPr>
            <w:tcW w:w="6526" w:type="dxa"/>
            <w:gridSpan w:val="6"/>
            <w:tcBorders>
              <w:top w:val="nil"/>
              <w:bottom w:val="single" w:sz="4" w:space="0" w:color="auto"/>
            </w:tcBorders>
            <w:shd w:val="clear" w:color="auto" w:fill="auto"/>
            <w:vAlign w:val="bottom"/>
          </w:tcPr>
          <w:p w:rsidR="002858D9" w:rsidRPr="00B41060" w:rsidRDefault="002858D9" w:rsidP="00004824">
            <w:pPr>
              <w:jc w:val="left"/>
              <w:rPr>
                <w:rFonts w:cs="Arial"/>
                <w:color w:val="000000"/>
                <w:szCs w:val="18"/>
                <w:lang w:val="es-419"/>
              </w:rPr>
            </w:pPr>
            <w:r w:rsidRPr="00B41060">
              <w:rPr>
                <w:color w:val="000000"/>
                <w:lang w:val="es-419"/>
              </w:rPr>
              <w:t>Probabilidad de aceptación ≥ 95%</w:t>
            </w:r>
          </w:p>
        </w:tc>
      </w:tr>
      <w:tr w:rsidR="002858D9" w:rsidRPr="00B41060" w:rsidTr="00004824">
        <w:trPr>
          <w:gridBefore w:val="1"/>
          <w:gridAfter w:val="1"/>
          <w:wBefore w:w="623" w:type="dxa"/>
          <w:wAfter w:w="1740" w:type="dxa"/>
          <w:trHeight w:val="262"/>
        </w:trPr>
        <w:tc>
          <w:tcPr>
            <w:tcW w:w="6526" w:type="dxa"/>
            <w:gridSpan w:val="6"/>
            <w:tcBorders>
              <w:top w:val="single" w:sz="4" w:space="0" w:color="auto"/>
              <w:left w:val="single" w:sz="4" w:space="0" w:color="auto"/>
              <w:bottom w:val="single" w:sz="6" w:space="0" w:color="auto"/>
              <w:right w:val="single" w:sz="4" w:space="0" w:color="auto"/>
            </w:tcBorders>
            <w:shd w:val="clear" w:color="auto" w:fill="auto"/>
            <w:vAlign w:val="bottom"/>
          </w:tcPr>
          <w:p w:rsidR="002858D9" w:rsidRPr="00B41060" w:rsidRDefault="002858D9" w:rsidP="00004824">
            <w:pPr>
              <w:jc w:val="left"/>
              <w:rPr>
                <w:rFonts w:cs="Arial"/>
                <w:color w:val="000000"/>
                <w:szCs w:val="18"/>
                <w:lang w:val="es-419"/>
              </w:rPr>
            </w:pPr>
            <w:r w:rsidRPr="00B41060">
              <w:rPr>
                <w:color w:val="000000"/>
                <w:lang w:val="es-419"/>
              </w:rPr>
              <w:t>Tamaño de la muestra en cada uno de los ciclos de cultivo</w:t>
            </w:r>
            <w:r>
              <w:rPr>
                <w:color w:val="000000"/>
                <w:lang w:val="es-419"/>
              </w:rPr>
              <w:t xml:space="preserve"> </w:t>
            </w:r>
            <w:r w:rsidRPr="00B41060">
              <w:rPr>
                <w:color w:val="000000"/>
                <w:lang w:val="es-419"/>
              </w:rPr>
              <w:t>1</w:t>
            </w:r>
            <w:r>
              <w:rPr>
                <w:color w:val="000000"/>
                <w:lang w:val="es-419"/>
              </w:rPr>
              <w:t xml:space="preserve"> </w:t>
            </w:r>
            <w:r w:rsidRPr="00B41060">
              <w:rPr>
                <w:color w:val="000000"/>
                <w:lang w:val="es-419"/>
              </w:rPr>
              <w:t>y</w:t>
            </w:r>
            <w:r>
              <w:rPr>
                <w:color w:val="000000"/>
                <w:lang w:val="es-419"/>
              </w:rPr>
              <w:t xml:space="preserve"> </w:t>
            </w:r>
            <w:r w:rsidRPr="00B41060">
              <w:rPr>
                <w:color w:val="000000"/>
                <w:lang w:val="es-419"/>
              </w:rPr>
              <w:t>2</w:t>
            </w:r>
            <w:r>
              <w:rPr>
                <w:color w:val="000000"/>
                <w:lang w:val="es-419"/>
              </w:rPr>
              <w:t xml:space="preserve"> </w:t>
            </w:r>
            <w:r w:rsidRPr="00B41060">
              <w:rPr>
                <w:color w:val="000000"/>
                <w:lang w:val="es-419"/>
              </w:rPr>
              <w:t>= 50</w:t>
            </w:r>
          </w:p>
        </w:tc>
      </w:tr>
      <w:tr w:rsidR="002858D9" w:rsidRPr="00B41060" w:rsidTr="00004824">
        <w:trPr>
          <w:gridBefore w:val="1"/>
          <w:gridAfter w:val="1"/>
          <w:wBefore w:w="623" w:type="dxa"/>
          <w:wAfter w:w="1740" w:type="dxa"/>
          <w:trHeight w:val="278"/>
        </w:trPr>
        <w:tc>
          <w:tcPr>
            <w:tcW w:w="6526" w:type="dxa"/>
            <w:gridSpan w:val="6"/>
            <w:tcBorders>
              <w:top w:val="single" w:sz="6" w:space="0" w:color="auto"/>
              <w:left w:val="single" w:sz="4" w:space="0" w:color="auto"/>
              <w:bottom w:val="single" w:sz="4" w:space="0" w:color="auto"/>
              <w:right w:val="single" w:sz="4" w:space="0" w:color="auto"/>
            </w:tcBorders>
            <w:shd w:val="clear" w:color="auto" w:fill="auto"/>
            <w:vAlign w:val="bottom"/>
          </w:tcPr>
          <w:p w:rsidR="002858D9" w:rsidRPr="00B41060" w:rsidRDefault="002858D9" w:rsidP="00004824">
            <w:pPr>
              <w:jc w:val="left"/>
              <w:rPr>
                <w:rFonts w:cs="Arial"/>
                <w:color w:val="000000"/>
                <w:szCs w:val="18"/>
                <w:lang w:val="es-419"/>
              </w:rPr>
            </w:pPr>
            <w:r w:rsidRPr="00B41060">
              <w:rPr>
                <w:color w:val="000000"/>
                <w:lang w:val="es-419"/>
              </w:rPr>
              <w:t>Número máximo de plantas fuera de tipo</w:t>
            </w:r>
            <w:r>
              <w:rPr>
                <w:color w:val="000000"/>
                <w:lang w:val="es-419"/>
              </w:rPr>
              <w:t xml:space="preserve"> </w:t>
            </w:r>
            <w:r w:rsidRPr="00B41060">
              <w:rPr>
                <w:color w:val="000000"/>
                <w:lang w:val="es-419"/>
              </w:rPr>
              <w:t>= 2</w:t>
            </w:r>
          </w:p>
        </w:tc>
      </w:tr>
      <w:tr w:rsidR="002858D9" w:rsidRPr="00B41060" w:rsidTr="00004824">
        <w:trPr>
          <w:gridBefore w:val="1"/>
          <w:gridAfter w:val="1"/>
          <w:wBefore w:w="623" w:type="dxa"/>
          <w:wAfter w:w="1740" w:type="dxa"/>
          <w:trHeight w:val="278"/>
        </w:trPr>
        <w:tc>
          <w:tcPr>
            <w:tcW w:w="6526" w:type="dxa"/>
            <w:gridSpan w:val="6"/>
            <w:tcBorders>
              <w:top w:val="single" w:sz="4" w:space="0" w:color="auto"/>
              <w:left w:val="single" w:sz="4" w:space="0" w:color="auto"/>
              <w:bottom w:val="nil"/>
              <w:right w:val="single" w:sz="4" w:space="0" w:color="auto"/>
            </w:tcBorders>
            <w:shd w:val="clear" w:color="auto" w:fill="auto"/>
            <w:vAlign w:val="bottom"/>
          </w:tcPr>
          <w:p w:rsidR="002858D9" w:rsidRPr="00B41060" w:rsidRDefault="002858D9" w:rsidP="00004824">
            <w:pPr>
              <w:jc w:val="left"/>
              <w:rPr>
                <w:rFonts w:cs="Arial"/>
                <w:color w:val="000000"/>
                <w:szCs w:val="18"/>
                <w:lang w:val="es-419"/>
              </w:rPr>
            </w:pPr>
            <w:r w:rsidRPr="00B41060">
              <w:rPr>
                <w:color w:val="000000"/>
                <w:lang w:val="es-419"/>
              </w:rPr>
              <w:t>Tamaño de la muestra en los ciclos de cultivo</w:t>
            </w:r>
            <w:r>
              <w:rPr>
                <w:color w:val="000000"/>
                <w:lang w:val="es-419"/>
              </w:rPr>
              <w:t xml:space="preserve"> </w:t>
            </w:r>
            <w:r w:rsidRPr="00B41060">
              <w:rPr>
                <w:color w:val="000000"/>
                <w:lang w:val="es-419"/>
              </w:rPr>
              <w:t>1 y</w:t>
            </w:r>
            <w:r>
              <w:rPr>
                <w:color w:val="000000"/>
                <w:lang w:val="es-419"/>
              </w:rPr>
              <w:t xml:space="preserve"> </w:t>
            </w:r>
            <w:r w:rsidRPr="00B41060">
              <w:rPr>
                <w:color w:val="000000"/>
                <w:lang w:val="es-419"/>
              </w:rPr>
              <w:t>2 combinados</w:t>
            </w:r>
            <w:r>
              <w:rPr>
                <w:color w:val="000000"/>
                <w:lang w:val="es-419"/>
              </w:rPr>
              <w:t xml:space="preserve"> </w:t>
            </w:r>
            <w:r w:rsidRPr="00B41060">
              <w:rPr>
                <w:color w:val="000000"/>
                <w:lang w:val="es-419"/>
              </w:rPr>
              <w:t>= 100</w:t>
            </w:r>
          </w:p>
        </w:tc>
      </w:tr>
      <w:tr w:rsidR="002858D9" w:rsidRPr="00B41060" w:rsidTr="00004824">
        <w:trPr>
          <w:gridBefore w:val="1"/>
          <w:gridAfter w:val="1"/>
          <w:wBefore w:w="623" w:type="dxa"/>
          <w:wAfter w:w="1740" w:type="dxa"/>
          <w:trHeight w:val="278"/>
        </w:trPr>
        <w:tc>
          <w:tcPr>
            <w:tcW w:w="6526" w:type="dxa"/>
            <w:gridSpan w:val="6"/>
            <w:tcBorders>
              <w:top w:val="nil"/>
              <w:left w:val="single" w:sz="4" w:space="0" w:color="auto"/>
              <w:bottom w:val="single" w:sz="4" w:space="0" w:color="auto"/>
              <w:right w:val="single" w:sz="4" w:space="0" w:color="auto"/>
            </w:tcBorders>
            <w:shd w:val="clear" w:color="auto" w:fill="auto"/>
            <w:vAlign w:val="bottom"/>
          </w:tcPr>
          <w:p w:rsidR="002858D9" w:rsidRPr="00B41060" w:rsidRDefault="002858D9" w:rsidP="00004824">
            <w:pPr>
              <w:jc w:val="left"/>
              <w:rPr>
                <w:rFonts w:cs="Arial"/>
                <w:color w:val="000000"/>
                <w:szCs w:val="18"/>
                <w:lang w:val="es-419"/>
              </w:rPr>
            </w:pPr>
            <w:r w:rsidRPr="00B41060">
              <w:rPr>
                <w:color w:val="000000"/>
                <w:lang w:val="es-419"/>
              </w:rPr>
              <w:t>Número máximo de plantas fuera de tipo</w:t>
            </w:r>
            <w:r>
              <w:rPr>
                <w:color w:val="000000"/>
                <w:lang w:val="es-419"/>
              </w:rPr>
              <w:t xml:space="preserve"> </w:t>
            </w:r>
            <w:r w:rsidRPr="00B41060">
              <w:rPr>
                <w:color w:val="000000"/>
                <w:lang w:val="es-419"/>
              </w:rPr>
              <w:t>= 3</w:t>
            </w:r>
          </w:p>
        </w:tc>
      </w:tr>
      <w:tr w:rsidR="002858D9" w:rsidRPr="00B41060" w:rsidTr="00004824">
        <w:trPr>
          <w:gridBefore w:val="1"/>
          <w:gridAfter w:val="1"/>
          <w:wBefore w:w="623" w:type="dxa"/>
          <w:wAfter w:w="1740" w:type="dxa"/>
          <w:trHeight w:val="246"/>
        </w:trPr>
        <w:tc>
          <w:tcPr>
            <w:tcW w:w="259" w:type="dxa"/>
            <w:tcBorders>
              <w:top w:val="nil"/>
              <w:left w:val="nil"/>
              <w:bottom w:val="single" w:sz="4" w:space="0" w:color="auto"/>
              <w:right w:val="nil"/>
            </w:tcBorders>
            <w:shd w:val="clear" w:color="auto" w:fill="auto"/>
            <w:noWrap/>
            <w:vAlign w:val="bottom"/>
            <w:hideMark/>
          </w:tcPr>
          <w:p w:rsidR="002858D9" w:rsidRPr="00B41060" w:rsidRDefault="002858D9" w:rsidP="00004824">
            <w:pPr>
              <w:jc w:val="left"/>
              <w:rPr>
                <w:rFonts w:cs="Arial"/>
                <w:color w:val="000000"/>
                <w:szCs w:val="18"/>
                <w:lang w:val="es-419"/>
              </w:rPr>
            </w:pPr>
            <w:r>
              <w:rPr>
                <w:color w:val="000000"/>
                <w:lang w:val="es-419"/>
              </w:rPr>
              <w:t xml:space="preserve"> </w:t>
            </w:r>
          </w:p>
        </w:tc>
        <w:tc>
          <w:tcPr>
            <w:tcW w:w="1932" w:type="dxa"/>
            <w:gridSpan w:val="2"/>
            <w:tcBorders>
              <w:top w:val="nil"/>
              <w:left w:val="nil"/>
              <w:bottom w:val="single" w:sz="4" w:space="0" w:color="auto"/>
              <w:right w:val="nil"/>
            </w:tcBorders>
            <w:shd w:val="clear" w:color="auto" w:fill="auto"/>
            <w:noWrap/>
            <w:vAlign w:val="bottom"/>
            <w:hideMark/>
          </w:tcPr>
          <w:p w:rsidR="002858D9" w:rsidRPr="00B41060" w:rsidRDefault="002858D9" w:rsidP="00004824">
            <w:pPr>
              <w:jc w:val="left"/>
              <w:rPr>
                <w:rFonts w:cs="Arial"/>
                <w:color w:val="000000"/>
                <w:szCs w:val="18"/>
                <w:lang w:val="es-419"/>
              </w:rPr>
            </w:pPr>
            <w:r>
              <w:rPr>
                <w:color w:val="000000"/>
                <w:lang w:val="es-419"/>
              </w:rPr>
              <w:t xml:space="preserve"> </w:t>
            </w:r>
          </w:p>
        </w:tc>
        <w:tc>
          <w:tcPr>
            <w:tcW w:w="1116" w:type="dxa"/>
            <w:tcBorders>
              <w:top w:val="nil"/>
              <w:left w:val="nil"/>
              <w:bottom w:val="single" w:sz="4" w:space="0" w:color="auto"/>
              <w:right w:val="nil"/>
            </w:tcBorders>
            <w:shd w:val="clear" w:color="auto" w:fill="auto"/>
            <w:noWrap/>
            <w:vAlign w:val="bottom"/>
            <w:hideMark/>
          </w:tcPr>
          <w:p w:rsidR="002858D9" w:rsidRPr="00B41060" w:rsidRDefault="002858D9" w:rsidP="00004824">
            <w:pPr>
              <w:jc w:val="left"/>
              <w:rPr>
                <w:rFonts w:cs="Arial"/>
                <w:color w:val="000000"/>
                <w:szCs w:val="18"/>
                <w:lang w:val="es-419"/>
              </w:rPr>
            </w:pPr>
            <w:r>
              <w:rPr>
                <w:color w:val="000000"/>
                <w:lang w:val="es-419"/>
              </w:rPr>
              <w:t xml:space="preserve"> </w:t>
            </w:r>
          </w:p>
        </w:tc>
        <w:tc>
          <w:tcPr>
            <w:tcW w:w="3219" w:type="dxa"/>
            <w:gridSpan w:val="2"/>
            <w:tcBorders>
              <w:top w:val="nil"/>
              <w:left w:val="nil"/>
              <w:bottom w:val="single" w:sz="4" w:space="0" w:color="auto"/>
            </w:tcBorders>
            <w:shd w:val="clear" w:color="auto" w:fill="auto"/>
            <w:noWrap/>
            <w:vAlign w:val="bottom"/>
            <w:hideMark/>
          </w:tcPr>
          <w:p w:rsidR="002858D9" w:rsidRPr="00B41060" w:rsidRDefault="002858D9" w:rsidP="00004824">
            <w:pPr>
              <w:jc w:val="left"/>
              <w:rPr>
                <w:rFonts w:cs="Arial"/>
                <w:color w:val="000000"/>
                <w:szCs w:val="18"/>
                <w:lang w:val="es-419"/>
              </w:rPr>
            </w:pPr>
            <w:r>
              <w:rPr>
                <w:color w:val="000000"/>
                <w:lang w:val="es-419"/>
              </w:rPr>
              <w:t xml:space="preserve"> </w:t>
            </w:r>
          </w:p>
        </w:tc>
      </w:tr>
      <w:tr w:rsidR="002858D9" w:rsidRPr="00B41060" w:rsidTr="00004824">
        <w:trPr>
          <w:trHeight w:val="391"/>
        </w:trPr>
        <w:tc>
          <w:tcPr>
            <w:tcW w:w="623" w:type="dxa"/>
            <w:tcBorders>
              <w:top w:val="nil"/>
              <w:left w:val="nil"/>
              <w:bottom w:val="nil"/>
              <w:right w:val="single" w:sz="4" w:space="0" w:color="auto"/>
            </w:tcBorders>
            <w:shd w:val="clear" w:color="auto" w:fill="auto"/>
            <w:noWrap/>
            <w:vAlign w:val="bottom"/>
            <w:hideMark/>
          </w:tcPr>
          <w:p w:rsidR="002858D9" w:rsidRPr="00B41060" w:rsidRDefault="002858D9" w:rsidP="00004824">
            <w:pPr>
              <w:jc w:val="left"/>
              <w:rPr>
                <w:rFonts w:cs="Arial"/>
                <w:color w:val="000000"/>
                <w:szCs w:val="18"/>
                <w:lang w:val="es-419"/>
              </w:rPr>
            </w:pPr>
            <w:r>
              <w:rPr>
                <w:color w:val="000000"/>
                <w:lang w:val="es-419"/>
              </w:rPr>
              <w:t xml:space="preserve"> </w:t>
            </w:r>
          </w:p>
        </w:tc>
        <w:tc>
          <w:tcPr>
            <w:tcW w:w="2191" w:type="dxa"/>
            <w:gridSpan w:val="3"/>
            <w:tcBorders>
              <w:top w:val="nil"/>
              <w:left w:val="nil"/>
              <w:bottom w:val="single" w:sz="4" w:space="0" w:color="auto"/>
              <w:right w:val="single" w:sz="4" w:space="0" w:color="000000"/>
            </w:tcBorders>
            <w:shd w:val="clear" w:color="auto" w:fill="auto"/>
            <w:noWrap/>
            <w:vAlign w:val="center"/>
            <w:hideMark/>
          </w:tcPr>
          <w:p w:rsidR="002858D9" w:rsidRPr="00B41060" w:rsidRDefault="002858D9" w:rsidP="00004824">
            <w:pPr>
              <w:jc w:val="center"/>
              <w:rPr>
                <w:rFonts w:cs="Arial"/>
                <w:color w:val="000000"/>
                <w:szCs w:val="18"/>
                <w:lang w:val="es-419"/>
              </w:rPr>
            </w:pPr>
            <w:r w:rsidRPr="00B41060">
              <w:rPr>
                <w:color w:val="000000"/>
                <w:lang w:val="es-419"/>
              </w:rPr>
              <w:t>Ciclo de cultivo</w:t>
            </w:r>
          </w:p>
        </w:tc>
        <w:tc>
          <w:tcPr>
            <w:tcW w:w="6075" w:type="dxa"/>
            <w:gridSpan w:val="4"/>
            <w:tcBorders>
              <w:top w:val="single" w:sz="4" w:space="0" w:color="auto"/>
              <w:left w:val="nil"/>
              <w:bottom w:val="single" w:sz="4" w:space="0" w:color="auto"/>
              <w:right w:val="single" w:sz="4" w:space="0" w:color="auto"/>
            </w:tcBorders>
            <w:shd w:val="clear" w:color="auto" w:fill="auto"/>
            <w:noWrap/>
            <w:vAlign w:val="center"/>
            <w:hideMark/>
          </w:tcPr>
          <w:p w:rsidR="002858D9" w:rsidRPr="00B41060" w:rsidRDefault="002858D9" w:rsidP="00004824">
            <w:pPr>
              <w:jc w:val="center"/>
              <w:rPr>
                <w:szCs w:val="18"/>
                <w:lang w:val="es-419"/>
              </w:rPr>
            </w:pPr>
            <w:r w:rsidRPr="00B41060">
              <w:rPr>
                <w:color w:val="000000"/>
                <w:lang w:val="es-419"/>
              </w:rPr>
              <w:t>Decisión</w:t>
            </w:r>
          </w:p>
        </w:tc>
      </w:tr>
      <w:tr w:rsidR="002858D9" w:rsidRPr="00B41060" w:rsidTr="00004824">
        <w:trPr>
          <w:trHeight w:val="243"/>
        </w:trPr>
        <w:tc>
          <w:tcPr>
            <w:tcW w:w="623" w:type="dxa"/>
            <w:tcBorders>
              <w:top w:val="nil"/>
              <w:left w:val="nil"/>
              <w:bottom w:val="single" w:sz="4" w:space="0" w:color="auto"/>
              <w:right w:val="single" w:sz="4" w:space="0" w:color="auto"/>
            </w:tcBorders>
            <w:shd w:val="clear" w:color="auto" w:fill="auto"/>
            <w:noWrap/>
            <w:vAlign w:val="bottom"/>
            <w:hideMark/>
          </w:tcPr>
          <w:p w:rsidR="002858D9" w:rsidRPr="00B41060" w:rsidRDefault="002858D9" w:rsidP="00004824">
            <w:pPr>
              <w:jc w:val="left"/>
              <w:rPr>
                <w:rFonts w:cs="Arial"/>
                <w:color w:val="000000"/>
                <w:szCs w:val="18"/>
                <w:lang w:val="es-419"/>
              </w:rPr>
            </w:pPr>
            <w:r>
              <w:rPr>
                <w:color w:val="000000"/>
                <w:lang w:val="es-419"/>
              </w:rPr>
              <w:t xml:space="preserve"> </w:t>
            </w:r>
          </w:p>
        </w:tc>
        <w:tc>
          <w:tcPr>
            <w:tcW w:w="1094" w:type="dxa"/>
            <w:gridSpan w:val="2"/>
            <w:tcBorders>
              <w:top w:val="nil"/>
              <w:left w:val="nil"/>
              <w:bottom w:val="single" w:sz="4" w:space="0" w:color="auto"/>
              <w:right w:val="single" w:sz="4" w:space="0" w:color="auto"/>
            </w:tcBorders>
            <w:shd w:val="clear" w:color="auto" w:fill="auto"/>
            <w:noWrap/>
            <w:vAlign w:val="bottom"/>
            <w:hideMark/>
          </w:tcPr>
          <w:p w:rsidR="002858D9" w:rsidRPr="00B41060" w:rsidRDefault="002858D9" w:rsidP="00004824">
            <w:pPr>
              <w:spacing w:after="100" w:afterAutospacing="1"/>
              <w:jc w:val="center"/>
              <w:rPr>
                <w:rFonts w:cs="Arial"/>
                <w:color w:val="000000"/>
                <w:szCs w:val="18"/>
                <w:lang w:val="es-419"/>
              </w:rPr>
            </w:pPr>
            <w:r w:rsidRPr="00B41060">
              <w:rPr>
                <w:color w:val="000000"/>
                <w:lang w:val="es-419"/>
              </w:rPr>
              <w:t>Primero</w:t>
            </w:r>
          </w:p>
        </w:tc>
        <w:tc>
          <w:tcPr>
            <w:tcW w:w="1097" w:type="dxa"/>
            <w:tcBorders>
              <w:top w:val="nil"/>
              <w:left w:val="nil"/>
              <w:bottom w:val="single" w:sz="4" w:space="0" w:color="auto"/>
              <w:right w:val="single" w:sz="4" w:space="0" w:color="auto"/>
            </w:tcBorders>
            <w:shd w:val="clear" w:color="auto" w:fill="auto"/>
            <w:noWrap/>
            <w:vAlign w:val="center"/>
            <w:hideMark/>
          </w:tcPr>
          <w:p w:rsidR="002858D9" w:rsidRPr="00B41060" w:rsidRDefault="002858D9" w:rsidP="00004824">
            <w:pPr>
              <w:jc w:val="center"/>
              <w:rPr>
                <w:rFonts w:cs="Arial"/>
                <w:color w:val="000000"/>
                <w:szCs w:val="18"/>
                <w:lang w:val="es-419"/>
              </w:rPr>
            </w:pPr>
            <w:r w:rsidRPr="00B41060">
              <w:rPr>
                <w:color w:val="000000"/>
                <w:lang w:val="es-419"/>
              </w:rPr>
              <w:t>Segundo</w:t>
            </w:r>
          </w:p>
        </w:tc>
        <w:tc>
          <w:tcPr>
            <w:tcW w:w="2276" w:type="dxa"/>
            <w:gridSpan w:val="2"/>
            <w:tcBorders>
              <w:top w:val="nil"/>
              <w:left w:val="nil"/>
              <w:bottom w:val="single" w:sz="4" w:space="0" w:color="auto"/>
              <w:right w:val="single" w:sz="4" w:space="0" w:color="auto"/>
            </w:tcBorders>
            <w:shd w:val="clear" w:color="auto" w:fill="auto"/>
            <w:noWrap/>
            <w:vAlign w:val="center"/>
            <w:hideMark/>
          </w:tcPr>
          <w:p w:rsidR="002858D9" w:rsidRPr="00B41060" w:rsidRDefault="002858D9" w:rsidP="00004824">
            <w:pPr>
              <w:jc w:val="center"/>
              <w:rPr>
                <w:rFonts w:cs="Arial"/>
                <w:color w:val="000000"/>
                <w:szCs w:val="18"/>
                <w:lang w:val="es-419"/>
              </w:rPr>
            </w:pPr>
            <w:r w:rsidRPr="00B41060">
              <w:rPr>
                <w:color w:val="000000"/>
                <w:lang w:val="es-419"/>
              </w:rPr>
              <w:t>Método</w:t>
            </w:r>
            <w:r>
              <w:rPr>
                <w:color w:val="000000"/>
                <w:lang w:val="es-419"/>
              </w:rPr>
              <w:t xml:space="preserve"> </w:t>
            </w:r>
            <w:r w:rsidRPr="00B41060">
              <w:rPr>
                <w:color w:val="000000"/>
                <w:lang w:val="es-419"/>
              </w:rPr>
              <w:t>1</w:t>
            </w:r>
          </w:p>
        </w:tc>
        <w:tc>
          <w:tcPr>
            <w:tcW w:w="2059" w:type="dxa"/>
            <w:tcBorders>
              <w:top w:val="nil"/>
              <w:left w:val="nil"/>
              <w:bottom w:val="single" w:sz="4" w:space="0" w:color="auto"/>
              <w:right w:val="single" w:sz="4" w:space="0" w:color="auto"/>
            </w:tcBorders>
            <w:shd w:val="clear" w:color="auto" w:fill="auto"/>
            <w:noWrap/>
            <w:vAlign w:val="center"/>
            <w:hideMark/>
          </w:tcPr>
          <w:p w:rsidR="002858D9" w:rsidRPr="00B41060" w:rsidRDefault="002858D9" w:rsidP="00004824">
            <w:pPr>
              <w:jc w:val="center"/>
              <w:rPr>
                <w:rFonts w:cs="Arial"/>
                <w:color w:val="000000"/>
                <w:szCs w:val="18"/>
                <w:lang w:val="es-419"/>
              </w:rPr>
            </w:pPr>
            <w:r w:rsidRPr="00B41060">
              <w:rPr>
                <w:color w:val="000000"/>
                <w:lang w:val="es-419"/>
              </w:rPr>
              <w:t>Método</w:t>
            </w:r>
            <w:r>
              <w:rPr>
                <w:color w:val="000000"/>
                <w:lang w:val="es-419"/>
              </w:rPr>
              <w:t xml:space="preserve"> </w:t>
            </w:r>
            <w:r w:rsidRPr="00B41060">
              <w:rPr>
                <w:color w:val="000000"/>
                <w:lang w:val="es-419"/>
              </w:rPr>
              <w:t>2</w:t>
            </w:r>
          </w:p>
        </w:tc>
        <w:tc>
          <w:tcPr>
            <w:tcW w:w="1740" w:type="dxa"/>
            <w:tcBorders>
              <w:top w:val="single" w:sz="4" w:space="0" w:color="auto"/>
              <w:bottom w:val="single" w:sz="4" w:space="0" w:color="auto"/>
              <w:right w:val="single" w:sz="4" w:space="0" w:color="auto"/>
            </w:tcBorders>
            <w:shd w:val="clear" w:color="auto" w:fill="auto"/>
          </w:tcPr>
          <w:p w:rsidR="002858D9" w:rsidRPr="00B41060" w:rsidRDefault="002858D9" w:rsidP="00004824">
            <w:pPr>
              <w:jc w:val="center"/>
              <w:rPr>
                <w:szCs w:val="18"/>
                <w:lang w:val="es-419"/>
              </w:rPr>
            </w:pPr>
            <w:r w:rsidRPr="00B41060">
              <w:rPr>
                <w:lang w:val="es-419"/>
              </w:rPr>
              <w:t>Método</w:t>
            </w:r>
            <w:r>
              <w:rPr>
                <w:lang w:val="es-419"/>
              </w:rPr>
              <w:t xml:space="preserve"> </w:t>
            </w:r>
            <w:r w:rsidRPr="00B41060">
              <w:rPr>
                <w:lang w:val="es-419"/>
              </w:rPr>
              <w:t>3</w:t>
            </w:r>
          </w:p>
        </w:tc>
      </w:tr>
      <w:tr w:rsidR="002858D9" w:rsidRPr="00B41060" w:rsidTr="00004824">
        <w:trPr>
          <w:trHeight w:val="247"/>
        </w:trPr>
        <w:tc>
          <w:tcPr>
            <w:tcW w:w="623" w:type="dxa"/>
            <w:vMerge w:val="restart"/>
            <w:tcBorders>
              <w:top w:val="nil"/>
              <w:left w:val="single" w:sz="4" w:space="0" w:color="auto"/>
              <w:right w:val="single" w:sz="4" w:space="0" w:color="auto"/>
            </w:tcBorders>
            <w:shd w:val="clear" w:color="auto" w:fill="auto"/>
            <w:textDirection w:val="btLr"/>
            <w:vAlign w:val="center"/>
          </w:tcPr>
          <w:p w:rsidR="002858D9" w:rsidRPr="00B41060" w:rsidRDefault="002858D9" w:rsidP="00004824">
            <w:pPr>
              <w:jc w:val="center"/>
              <w:rPr>
                <w:rFonts w:cs="Arial"/>
                <w:color w:val="000000"/>
                <w:szCs w:val="18"/>
                <w:lang w:val="es-419"/>
              </w:rPr>
            </w:pPr>
            <w:r w:rsidRPr="00B41060">
              <w:rPr>
                <w:color w:val="000000"/>
                <w:lang w:val="es-419"/>
              </w:rPr>
              <w:t>Número de plantas fuera</w:t>
            </w:r>
            <w:r>
              <w:rPr>
                <w:color w:val="000000"/>
                <w:lang w:val="es-419"/>
              </w:rPr>
              <w:t xml:space="preserve"> </w:t>
            </w:r>
            <w:r w:rsidRPr="00B41060">
              <w:rPr>
                <w:color w:val="000000"/>
                <w:lang w:val="es-419"/>
              </w:rPr>
              <w:t>de tipo</w:t>
            </w:r>
          </w:p>
        </w:tc>
        <w:tc>
          <w:tcPr>
            <w:tcW w:w="1094" w:type="dxa"/>
            <w:gridSpan w:val="2"/>
            <w:tcBorders>
              <w:top w:val="single" w:sz="4" w:space="0" w:color="auto"/>
              <w:left w:val="single" w:sz="4" w:space="0" w:color="auto"/>
              <w:bottom w:val="single" w:sz="6" w:space="0" w:color="auto"/>
              <w:right w:val="single" w:sz="6" w:space="0" w:color="auto"/>
            </w:tcBorders>
            <w:shd w:val="clear" w:color="auto" w:fill="auto"/>
            <w:noWrap/>
            <w:vAlign w:val="center"/>
          </w:tcPr>
          <w:p w:rsidR="002858D9" w:rsidRPr="00B41060" w:rsidRDefault="002858D9" w:rsidP="00004824">
            <w:pPr>
              <w:jc w:val="center"/>
              <w:rPr>
                <w:rFonts w:cs="Arial"/>
                <w:color w:val="000000"/>
                <w:szCs w:val="18"/>
                <w:lang w:val="es-419"/>
              </w:rPr>
            </w:pPr>
            <w:r w:rsidRPr="00B41060">
              <w:rPr>
                <w:color w:val="000000"/>
                <w:lang w:val="es-419"/>
              </w:rPr>
              <w:t>1</w:t>
            </w:r>
          </w:p>
        </w:tc>
        <w:tc>
          <w:tcPr>
            <w:tcW w:w="1097" w:type="dxa"/>
            <w:tcBorders>
              <w:top w:val="single" w:sz="4" w:space="0" w:color="auto"/>
              <w:left w:val="single" w:sz="6" w:space="0" w:color="auto"/>
              <w:bottom w:val="single" w:sz="6" w:space="0" w:color="auto"/>
              <w:right w:val="single" w:sz="6" w:space="0" w:color="auto"/>
            </w:tcBorders>
            <w:shd w:val="clear" w:color="auto" w:fill="auto"/>
            <w:noWrap/>
            <w:vAlign w:val="center"/>
          </w:tcPr>
          <w:p w:rsidR="002858D9" w:rsidRPr="00B41060" w:rsidRDefault="002858D9" w:rsidP="00004824">
            <w:pPr>
              <w:jc w:val="center"/>
              <w:rPr>
                <w:rFonts w:cs="Arial"/>
                <w:color w:val="000000"/>
                <w:szCs w:val="18"/>
                <w:lang w:val="es-419"/>
              </w:rPr>
            </w:pPr>
            <w:r w:rsidRPr="00B41060">
              <w:rPr>
                <w:color w:val="000000"/>
                <w:lang w:val="es-419"/>
              </w:rPr>
              <w:t>1</w:t>
            </w:r>
          </w:p>
        </w:tc>
        <w:tc>
          <w:tcPr>
            <w:tcW w:w="2276" w:type="dxa"/>
            <w:gridSpan w:val="2"/>
            <w:tcBorders>
              <w:top w:val="single" w:sz="4" w:space="0" w:color="auto"/>
              <w:left w:val="single" w:sz="6" w:space="0" w:color="auto"/>
              <w:bottom w:val="single" w:sz="6" w:space="0" w:color="auto"/>
              <w:right w:val="single" w:sz="6" w:space="0" w:color="auto"/>
            </w:tcBorders>
            <w:shd w:val="clear" w:color="auto" w:fill="auto"/>
            <w:noWrap/>
            <w:vAlign w:val="center"/>
          </w:tcPr>
          <w:p w:rsidR="002858D9" w:rsidRPr="00B41060" w:rsidRDefault="002858D9" w:rsidP="00004824">
            <w:pPr>
              <w:jc w:val="center"/>
              <w:rPr>
                <w:rFonts w:cs="Arial"/>
                <w:color w:val="000000"/>
                <w:szCs w:val="18"/>
                <w:lang w:val="es-419"/>
              </w:rPr>
            </w:pPr>
            <w:r w:rsidRPr="00B41060">
              <w:rPr>
                <w:color w:val="000000"/>
                <w:lang w:val="es-419"/>
              </w:rPr>
              <w:t>homogénea</w:t>
            </w:r>
          </w:p>
        </w:tc>
        <w:tc>
          <w:tcPr>
            <w:tcW w:w="2059" w:type="dxa"/>
            <w:tcBorders>
              <w:top w:val="single" w:sz="4" w:space="0" w:color="auto"/>
              <w:left w:val="single" w:sz="6" w:space="0" w:color="auto"/>
              <w:bottom w:val="single" w:sz="6" w:space="0" w:color="auto"/>
              <w:right w:val="single" w:sz="4" w:space="0" w:color="auto"/>
            </w:tcBorders>
            <w:shd w:val="clear" w:color="auto" w:fill="auto"/>
            <w:vAlign w:val="center"/>
          </w:tcPr>
          <w:p w:rsidR="002858D9" w:rsidRPr="00B41060" w:rsidRDefault="002858D9" w:rsidP="00004824">
            <w:pPr>
              <w:jc w:val="center"/>
              <w:rPr>
                <w:rFonts w:cs="Arial"/>
                <w:color w:val="000000"/>
                <w:szCs w:val="18"/>
                <w:lang w:val="es-419"/>
              </w:rPr>
            </w:pPr>
            <w:r w:rsidRPr="00B41060">
              <w:rPr>
                <w:color w:val="000000"/>
                <w:lang w:val="es-419"/>
              </w:rPr>
              <w:t>homogénea</w:t>
            </w:r>
          </w:p>
        </w:tc>
        <w:tc>
          <w:tcPr>
            <w:tcW w:w="1740" w:type="dxa"/>
            <w:tcBorders>
              <w:top w:val="single" w:sz="4" w:space="0" w:color="auto"/>
              <w:left w:val="single" w:sz="4" w:space="0" w:color="auto"/>
              <w:bottom w:val="single" w:sz="4" w:space="0" w:color="auto"/>
              <w:right w:val="single" w:sz="4" w:space="0" w:color="auto"/>
            </w:tcBorders>
            <w:shd w:val="clear" w:color="auto" w:fill="auto"/>
          </w:tcPr>
          <w:p w:rsidR="002858D9" w:rsidRPr="00B41060" w:rsidRDefault="002858D9" w:rsidP="00004824">
            <w:pPr>
              <w:jc w:val="center"/>
              <w:rPr>
                <w:szCs w:val="18"/>
                <w:lang w:val="es-419"/>
              </w:rPr>
            </w:pPr>
            <w:r w:rsidRPr="00B41060">
              <w:rPr>
                <w:color w:val="000000"/>
                <w:lang w:val="es-419"/>
              </w:rPr>
              <w:t>homogénea</w:t>
            </w:r>
          </w:p>
        </w:tc>
      </w:tr>
      <w:tr w:rsidR="002858D9" w:rsidRPr="00B41060" w:rsidTr="00004824">
        <w:trPr>
          <w:trHeight w:val="247"/>
        </w:trPr>
        <w:tc>
          <w:tcPr>
            <w:tcW w:w="623" w:type="dxa"/>
            <w:vMerge/>
            <w:tcBorders>
              <w:left w:val="single" w:sz="4" w:space="0" w:color="auto"/>
              <w:right w:val="single" w:sz="4" w:space="0" w:color="auto"/>
            </w:tcBorders>
            <w:shd w:val="clear" w:color="auto" w:fill="auto"/>
            <w:textDirection w:val="btLr"/>
            <w:vAlign w:val="center"/>
            <w:hideMark/>
          </w:tcPr>
          <w:p w:rsidR="002858D9" w:rsidRPr="00B41060" w:rsidRDefault="002858D9" w:rsidP="00004824">
            <w:pPr>
              <w:jc w:val="center"/>
              <w:rPr>
                <w:rFonts w:cs="Arial"/>
                <w:color w:val="000000"/>
                <w:szCs w:val="18"/>
                <w:lang w:val="es-419"/>
              </w:rPr>
            </w:pPr>
          </w:p>
        </w:tc>
        <w:tc>
          <w:tcPr>
            <w:tcW w:w="1094" w:type="dxa"/>
            <w:gridSpan w:val="2"/>
            <w:tcBorders>
              <w:top w:val="single" w:sz="6" w:space="0" w:color="auto"/>
              <w:left w:val="single" w:sz="4" w:space="0" w:color="auto"/>
              <w:bottom w:val="single" w:sz="4" w:space="0" w:color="auto"/>
              <w:right w:val="single" w:sz="6" w:space="0" w:color="auto"/>
            </w:tcBorders>
            <w:shd w:val="clear" w:color="auto" w:fill="auto"/>
            <w:noWrap/>
            <w:vAlign w:val="center"/>
            <w:hideMark/>
          </w:tcPr>
          <w:p w:rsidR="002858D9" w:rsidRPr="00B41060" w:rsidRDefault="002858D9" w:rsidP="00004824">
            <w:pPr>
              <w:jc w:val="center"/>
              <w:rPr>
                <w:rFonts w:cs="Arial"/>
                <w:color w:val="000000"/>
                <w:szCs w:val="18"/>
                <w:lang w:val="es-419"/>
              </w:rPr>
            </w:pPr>
            <w:r w:rsidRPr="00B41060">
              <w:rPr>
                <w:color w:val="000000"/>
                <w:lang w:val="es-419"/>
              </w:rPr>
              <w:t>2</w:t>
            </w:r>
          </w:p>
        </w:tc>
        <w:tc>
          <w:tcPr>
            <w:tcW w:w="1097" w:type="dxa"/>
            <w:tcBorders>
              <w:top w:val="single" w:sz="6" w:space="0" w:color="auto"/>
              <w:left w:val="single" w:sz="6" w:space="0" w:color="auto"/>
              <w:bottom w:val="single" w:sz="4" w:space="0" w:color="auto"/>
              <w:right w:val="single" w:sz="6" w:space="0" w:color="auto"/>
            </w:tcBorders>
            <w:shd w:val="clear" w:color="auto" w:fill="auto"/>
            <w:noWrap/>
            <w:vAlign w:val="center"/>
            <w:hideMark/>
          </w:tcPr>
          <w:p w:rsidR="002858D9" w:rsidRPr="00B41060" w:rsidRDefault="002858D9" w:rsidP="00004824">
            <w:pPr>
              <w:jc w:val="center"/>
              <w:rPr>
                <w:rFonts w:cs="Arial"/>
                <w:color w:val="000000"/>
                <w:szCs w:val="18"/>
                <w:lang w:val="es-419"/>
              </w:rPr>
            </w:pPr>
            <w:r w:rsidRPr="00B41060">
              <w:rPr>
                <w:color w:val="000000"/>
                <w:lang w:val="es-419"/>
              </w:rPr>
              <w:t>2</w:t>
            </w:r>
          </w:p>
        </w:tc>
        <w:tc>
          <w:tcPr>
            <w:tcW w:w="2276" w:type="dxa"/>
            <w:gridSpan w:val="2"/>
            <w:tcBorders>
              <w:top w:val="single" w:sz="6" w:space="0" w:color="auto"/>
              <w:left w:val="single" w:sz="6" w:space="0" w:color="auto"/>
              <w:bottom w:val="single" w:sz="4" w:space="0" w:color="auto"/>
              <w:right w:val="single" w:sz="6" w:space="0" w:color="auto"/>
            </w:tcBorders>
            <w:shd w:val="clear" w:color="auto" w:fill="auto"/>
            <w:noWrap/>
            <w:vAlign w:val="center"/>
            <w:hideMark/>
          </w:tcPr>
          <w:p w:rsidR="002858D9" w:rsidRPr="00B41060" w:rsidRDefault="002858D9" w:rsidP="00004824">
            <w:pPr>
              <w:jc w:val="center"/>
              <w:rPr>
                <w:rFonts w:cs="Arial"/>
                <w:color w:val="000000"/>
                <w:szCs w:val="18"/>
                <w:lang w:val="es-419"/>
              </w:rPr>
            </w:pPr>
            <w:r w:rsidRPr="00B41060">
              <w:rPr>
                <w:color w:val="000000"/>
                <w:lang w:val="es-419"/>
              </w:rPr>
              <w:t>homogénea</w:t>
            </w:r>
          </w:p>
        </w:tc>
        <w:tc>
          <w:tcPr>
            <w:tcW w:w="2059" w:type="dxa"/>
            <w:tcBorders>
              <w:top w:val="single" w:sz="6" w:space="0" w:color="auto"/>
              <w:left w:val="single" w:sz="6" w:space="0" w:color="auto"/>
              <w:bottom w:val="single" w:sz="4" w:space="0" w:color="auto"/>
              <w:right w:val="single" w:sz="4" w:space="0" w:color="auto"/>
            </w:tcBorders>
            <w:shd w:val="clear" w:color="auto" w:fill="auto"/>
            <w:vAlign w:val="center"/>
            <w:hideMark/>
          </w:tcPr>
          <w:p w:rsidR="002858D9" w:rsidRPr="00B41060" w:rsidRDefault="002858D9" w:rsidP="00004824">
            <w:pPr>
              <w:jc w:val="center"/>
              <w:rPr>
                <w:rFonts w:cs="Arial"/>
                <w:color w:val="000000"/>
                <w:szCs w:val="18"/>
                <w:lang w:val="es-419"/>
              </w:rPr>
            </w:pPr>
            <w:r w:rsidRPr="00B41060">
              <w:rPr>
                <w:color w:val="000000"/>
                <w:lang w:val="es-419"/>
              </w:rPr>
              <w:t>homogénea</w:t>
            </w:r>
          </w:p>
        </w:tc>
        <w:tc>
          <w:tcPr>
            <w:tcW w:w="1740" w:type="dxa"/>
            <w:tcBorders>
              <w:top w:val="single" w:sz="4" w:space="0" w:color="auto"/>
              <w:left w:val="single" w:sz="4" w:space="0" w:color="auto"/>
              <w:bottom w:val="single" w:sz="4" w:space="0" w:color="auto"/>
              <w:right w:val="single" w:sz="4" w:space="0" w:color="auto"/>
            </w:tcBorders>
            <w:shd w:val="clear" w:color="auto" w:fill="auto"/>
          </w:tcPr>
          <w:p w:rsidR="002858D9" w:rsidRPr="00B41060" w:rsidRDefault="002858D9" w:rsidP="00004824">
            <w:pPr>
              <w:jc w:val="center"/>
              <w:rPr>
                <w:szCs w:val="18"/>
                <w:lang w:val="es-419"/>
              </w:rPr>
            </w:pPr>
            <w:r w:rsidRPr="00B41060">
              <w:rPr>
                <w:lang w:val="es-419"/>
              </w:rPr>
              <w:t>no homogénea</w:t>
            </w:r>
          </w:p>
        </w:tc>
      </w:tr>
      <w:tr w:rsidR="002858D9" w:rsidRPr="00B41060" w:rsidTr="00004824">
        <w:trPr>
          <w:trHeight w:val="281"/>
        </w:trPr>
        <w:tc>
          <w:tcPr>
            <w:tcW w:w="623" w:type="dxa"/>
            <w:vMerge/>
            <w:tcBorders>
              <w:left w:val="single" w:sz="4" w:space="0" w:color="auto"/>
              <w:right w:val="single" w:sz="4" w:space="0" w:color="000000"/>
            </w:tcBorders>
            <w:vAlign w:val="center"/>
            <w:hideMark/>
          </w:tcPr>
          <w:p w:rsidR="002858D9" w:rsidRPr="00B41060" w:rsidRDefault="002858D9" w:rsidP="00004824">
            <w:pPr>
              <w:jc w:val="left"/>
              <w:rPr>
                <w:rFonts w:cs="Arial"/>
                <w:color w:val="000000"/>
                <w:szCs w:val="18"/>
                <w:lang w:val="es-419"/>
              </w:rPr>
            </w:pPr>
          </w:p>
        </w:tc>
        <w:tc>
          <w:tcPr>
            <w:tcW w:w="1094" w:type="dxa"/>
            <w:gridSpan w:val="2"/>
            <w:tcBorders>
              <w:top w:val="single" w:sz="4" w:space="0" w:color="auto"/>
              <w:left w:val="nil"/>
              <w:bottom w:val="single" w:sz="4" w:space="0" w:color="auto"/>
              <w:right w:val="single" w:sz="4" w:space="0" w:color="auto"/>
            </w:tcBorders>
            <w:shd w:val="clear" w:color="auto" w:fill="auto"/>
            <w:vAlign w:val="center"/>
            <w:hideMark/>
          </w:tcPr>
          <w:p w:rsidR="002858D9" w:rsidRPr="00B41060" w:rsidRDefault="002858D9" w:rsidP="00004824">
            <w:pPr>
              <w:jc w:val="center"/>
              <w:rPr>
                <w:rFonts w:cs="Arial"/>
                <w:color w:val="000000"/>
                <w:szCs w:val="18"/>
                <w:lang w:val="es-419"/>
              </w:rPr>
            </w:pPr>
            <w:r w:rsidRPr="00B41060">
              <w:rPr>
                <w:color w:val="000000"/>
                <w:lang w:val="es-419"/>
              </w:rPr>
              <w:t>0</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rsidR="002858D9" w:rsidRPr="00B41060" w:rsidRDefault="002858D9" w:rsidP="00004824">
            <w:pPr>
              <w:jc w:val="center"/>
              <w:rPr>
                <w:rFonts w:cs="Arial"/>
                <w:color w:val="000000"/>
                <w:szCs w:val="18"/>
                <w:lang w:val="es-419"/>
              </w:rPr>
            </w:pPr>
            <w:r w:rsidRPr="00B41060">
              <w:rPr>
                <w:color w:val="000000"/>
                <w:lang w:val="es-419"/>
              </w:rPr>
              <w:t>3*</w:t>
            </w:r>
          </w:p>
        </w:tc>
        <w:tc>
          <w:tcPr>
            <w:tcW w:w="2276" w:type="dxa"/>
            <w:gridSpan w:val="2"/>
            <w:tcBorders>
              <w:top w:val="single" w:sz="4" w:space="0" w:color="auto"/>
              <w:left w:val="nil"/>
              <w:bottom w:val="single" w:sz="4" w:space="0" w:color="auto"/>
              <w:right w:val="single" w:sz="4" w:space="0" w:color="auto"/>
            </w:tcBorders>
            <w:shd w:val="clear" w:color="auto" w:fill="auto"/>
            <w:vAlign w:val="center"/>
            <w:hideMark/>
          </w:tcPr>
          <w:p w:rsidR="002858D9" w:rsidRPr="00B41060" w:rsidRDefault="002858D9" w:rsidP="00004824">
            <w:pPr>
              <w:rPr>
                <w:rFonts w:cs="Arial"/>
                <w:color w:val="000000"/>
                <w:szCs w:val="18"/>
                <w:lang w:val="es-419"/>
              </w:rPr>
            </w:pPr>
            <w:r w:rsidRPr="00B41060">
              <w:rPr>
                <w:color w:val="000000"/>
                <w:lang w:val="es-419"/>
              </w:rPr>
              <w:t>tercer ciclo de cultivo*</w:t>
            </w:r>
          </w:p>
        </w:tc>
        <w:tc>
          <w:tcPr>
            <w:tcW w:w="2059" w:type="dxa"/>
            <w:tcBorders>
              <w:top w:val="single" w:sz="4" w:space="0" w:color="auto"/>
              <w:left w:val="nil"/>
              <w:bottom w:val="single" w:sz="4" w:space="0" w:color="auto"/>
              <w:right w:val="single" w:sz="4" w:space="0" w:color="auto"/>
            </w:tcBorders>
            <w:shd w:val="clear" w:color="auto" w:fill="auto"/>
            <w:vAlign w:val="center"/>
            <w:hideMark/>
          </w:tcPr>
          <w:p w:rsidR="002858D9" w:rsidRPr="00B41060" w:rsidRDefault="002858D9" w:rsidP="00004824">
            <w:pPr>
              <w:jc w:val="center"/>
              <w:rPr>
                <w:rFonts w:cs="Arial"/>
                <w:color w:val="000000"/>
                <w:szCs w:val="18"/>
                <w:lang w:val="es-419"/>
              </w:rPr>
            </w:pPr>
            <w:r w:rsidRPr="00B41060">
              <w:rPr>
                <w:color w:val="000000"/>
                <w:lang w:val="es-419"/>
              </w:rPr>
              <w:t>homogénea*</w:t>
            </w:r>
          </w:p>
        </w:tc>
        <w:tc>
          <w:tcPr>
            <w:tcW w:w="1740" w:type="dxa"/>
            <w:tcBorders>
              <w:top w:val="single" w:sz="4" w:space="0" w:color="auto"/>
              <w:bottom w:val="single" w:sz="4" w:space="0" w:color="auto"/>
              <w:right w:val="single" w:sz="4" w:space="0" w:color="auto"/>
            </w:tcBorders>
            <w:shd w:val="clear" w:color="auto" w:fill="auto"/>
          </w:tcPr>
          <w:p w:rsidR="002858D9" w:rsidRPr="00B41060" w:rsidRDefault="002858D9" w:rsidP="00004824">
            <w:pPr>
              <w:jc w:val="center"/>
              <w:rPr>
                <w:szCs w:val="18"/>
                <w:lang w:val="es-419"/>
              </w:rPr>
            </w:pPr>
            <w:r w:rsidRPr="00B41060">
              <w:rPr>
                <w:lang w:val="es-419"/>
              </w:rPr>
              <w:t>homogénea*</w:t>
            </w:r>
          </w:p>
        </w:tc>
      </w:tr>
      <w:tr w:rsidR="002858D9" w:rsidRPr="00B41060" w:rsidTr="00004824">
        <w:trPr>
          <w:trHeight w:val="255"/>
        </w:trPr>
        <w:tc>
          <w:tcPr>
            <w:tcW w:w="623" w:type="dxa"/>
            <w:vMerge/>
            <w:tcBorders>
              <w:left w:val="single" w:sz="4" w:space="0" w:color="auto"/>
              <w:right w:val="single" w:sz="4" w:space="0" w:color="auto"/>
            </w:tcBorders>
            <w:vAlign w:val="center"/>
            <w:hideMark/>
          </w:tcPr>
          <w:p w:rsidR="002858D9" w:rsidRPr="00B41060" w:rsidRDefault="002858D9" w:rsidP="00004824">
            <w:pPr>
              <w:jc w:val="left"/>
              <w:rPr>
                <w:rFonts w:cs="Arial"/>
                <w:color w:val="000000"/>
                <w:szCs w:val="18"/>
                <w:lang w:val="es-419"/>
              </w:rPr>
            </w:pPr>
          </w:p>
        </w:tc>
        <w:tc>
          <w:tcPr>
            <w:tcW w:w="1094" w:type="dxa"/>
            <w:gridSpan w:val="2"/>
            <w:tcBorders>
              <w:top w:val="single" w:sz="4" w:space="0" w:color="auto"/>
              <w:left w:val="single" w:sz="4" w:space="0" w:color="auto"/>
              <w:bottom w:val="single" w:sz="4" w:space="0" w:color="auto"/>
              <w:right w:val="single" w:sz="6" w:space="0" w:color="auto"/>
            </w:tcBorders>
            <w:shd w:val="clear" w:color="auto" w:fill="auto"/>
            <w:vAlign w:val="center"/>
            <w:hideMark/>
          </w:tcPr>
          <w:p w:rsidR="002858D9" w:rsidRPr="00B41060" w:rsidRDefault="002858D9" w:rsidP="00004824">
            <w:pPr>
              <w:jc w:val="center"/>
              <w:rPr>
                <w:rFonts w:cs="Arial"/>
                <w:color w:val="000000"/>
                <w:szCs w:val="18"/>
                <w:lang w:val="es-419"/>
              </w:rPr>
            </w:pPr>
            <w:r w:rsidRPr="00B41060">
              <w:rPr>
                <w:color w:val="000000"/>
                <w:lang w:val="es-419"/>
              </w:rPr>
              <w:t>1</w:t>
            </w:r>
          </w:p>
        </w:tc>
        <w:tc>
          <w:tcPr>
            <w:tcW w:w="1097" w:type="dxa"/>
            <w:tcBorders>
              <w:top w:val="single" w:sz="4" w:space="0" w:color="auto"/>
              <w:left w:val="single" w:sz="6" w:space="0" w:color="auto"/>
              <w:bottom w:val="single" w:sz="4" w:space="0" w:color="auto"/>
              <w:right w:val="single" w:sz="6" w:space="0" w:color="auto"/>
            </w:tcBorders>
            <w:shd w:val="clear" w:color="auto" w:fill="auto"/>
            <w:vAlign w:val="center"/>
            <w:hideMark/>
          </w:tcPr>
          <w:p w:rsidR="002858D9" w:rsidRPr="00B41060" w:rsidRDefault="002858D9" w:rsidP="00004824">
            <w:pPr>
              <w:jc w:val="center"/>
              <w:rPr>
                <w:rFonts w:cs="Arial"/>
                <w:color w:val="000000"/>
                <w:szCs w:val="18"/>
                <w:lang w:val="es-419"/>
              </w:rPr>
            </w:pPr>
            <w:r w:rsidRPr="00B41060">
              <w:rPr>
                <w:color w:val="000000"/>
                <w:lang w:val="es-419"/>
              </w:rPr>
              <w:t>3*</w:t>
            </w:r>
          </w:p>
        </w:tc>
        <w:tc>
          <w:tcPr>
            <w:tcW w:w="2276" w:type="dxa"/>
            <w:gridSpan w:val="2"/>
            <w:tcBorders>
              <w:top w:val="single" w:sz="4" w:space="0" w:color="auto"/>
              <w:left w:val="single" w:sz="6" w:space="0" w:color="auto"/>
              <w:bottom w:val="single" w:sz="4" w:space="0" w:color="auto"/>
              <w:right w:val="single" w:sz="6" w:space="0" w:color="auto"/>
            </w:tcBorders>
            <w:shd w:val="clear" w:color="auto" w:fill="auto"/>
            <w:vAlign w:val="center"/>
            <w:hideMark/>
          </w:tcPr>
          <w:p w:rsidR="002858D9" w:rsidRPr="00B41060" w:rsidRDefault="002858D9" w:rsidP="00004824">
            <w:pPr>
              <w:rPr>
                <w:rFonts w:cs="Arial"/>
                <w:color w:val="000000"/>
                <w:szCs w:val="18"/>
                <w:lang w:val="es-419"/>
              </w:rPr>
            </w:pPr>
            <w:r w:rsidRPr="00B41060">
              <w:rPr>
                <w:color w:val="000000"/>
                <w:lang w:val="es-419"/>
              </w:rPr>
              <w:t>tercer ciclo de cultivo*</w:t>
            </w:r>
          </w:p>
        </w:tc>
        <w:tc>
          <w:tcPr>
            <w:tcW w:w="2059" w:type="dxa"/>
            <w:tcBorders>
              <w:top w:val="single" w:sz="4" w:space="0" w:color="auto"/>
              <w:left w:val="single" w:sz="6" w:space="0" w:color="auto"/>
              <w:bottom w:val="single" w:sz="4" w:space="0" w:color="auto"/>
              <w:right w:val="single" w:sz="4" w:space="0" w:color="auto"/>
            </w:tcBorders>
            <w:shd w:val="clear" w:color="auto" w:fill="auto"/>
            <w:vAlign w:val="center"/>
            <w:hideMark/>
          </w:tcPr>
          <w:p w:rsidR="002858D9" w:rsidRPr="00B41060" w:rsidRDefault="002858D9" w:rsidP="00004824">
            <w:pPr>
              <w:jc w:val="center"/>
              <w:rPr>
                <w:rFonts w:cs="Arial"/>
                <w:color w:val="000000"/>
                <w:szCs w:val="18"/>
                <w:lang w:val="es-419"/>
              </w:rPr>
            </w:pPr>
            <w:r w:rsidRPr="00B41060">
              <w:rPr>
                <w:color w:val="000000"/>
                <w:lang w:val="es-419"/>
              </w:rPr>
              <w:t>no homogénea*</w:t>
            </w:r>
          </w:p>
        </w:tc>
        <w:tc>
          <w:tcPr>
            <w:tcW w:w="1740" w:type="dxa"/>
            <w:tcBorders>
              <w:top w:val="single" w:sz="4" w:space="0" w:color="auto"/>
              <w:left w:val="single" w:sz="4" w:space="0" w:color="auto"/>
              <w:bottom w:val="single" w:sz="4" w:space="0" w:color="auto"/>
              <w:right w:val="single" w:sz="4" w:space="0" w:color="auto"/>
            </w:tcBorders>
            <w:shd w:val="clear" w:color="auto" w:fill="auto"/>
          </w:tcPr>
          <w:p w:rsidR="002858D9" w:rsidRPr="00B41060" w:rsidRDefault="002858D9" w:rsidP="00004824">
            <w:pPr>
              <w:jc w:val="center"/>
              <w:rPr>
                <w:szCs w:val="18"/>
                <w:lang w:val="es-419"/>
              </w:rPr>
            </w:pPr>
            <w:r w:rsidRPr="00B41060">
              <w:rPr>
                <w:lang w:val="es-419"/>
              </w:rPr>
              <w:t>no homogénea*</w:t>
            </w:r>
          </w:p>
        </w:tc>
      </w:tr>
      <w:tr w:rsidR="002858D9" w:rsidRPr="00B41060" w:rsidTr="00004824">
        <w:trPr>
          <w:trHeight w:val="275"/>
        </w:trPr>
        <w:tc>
          <w:tcPr>
            <w:tcW w:w="623" w:type="dxa"/>
            <w:vMerge/>
            <w:tcBorders>
              <w:left w:val="single" w:sz="4" w:space="0" w:color="auto"/>
              <w:right w:val="single" w:sz="4" w:space="0" w:color="000000"/>
            </w:tcBorders>
            <w:vAlign w:val="center"/>
            <w:hideMark/>
          </w:tcPr>
          <w:p w:rsidR="002858D9" w:rsidRPr="00B41060" w:rsidRDefault="002858D9" w:rsidP="00004824">
            <w:pPr>
              <w:jc w:val="left"/>
              <w:rPr>
                <w:rFonts w:cs="Arial"/>
                <w:color w:val="000000"/>
                <w:szCs w:val="18"/>
                <w:lang w:val="es-419"/>
              </w:rPr>
            </w:pPr>
          </w:p>
        </w:tc>
        <w:tc>
          <w:tcPr>
            <w:tcW w:w="1094" w:type="dxa"/>
            <w:gridSpan w:val="2"/>
            <w:tcBorders>
              <w:top w:val="single" w:sz="4" w:space="0" w:color="auto"/>
              <w:left w:val="nil"/>
              <w:bottom w:val="single" w:sz="4" w:space="0" w:color="auto"/>
              <w:right w:val="single" w:sz="4" w:space="0" w:color="auto"/>
            </w:tcBorders>
            <w:shd w:val="clear" w:color="auto" w:fill="auto"/>
            <w:noWrap/>
            <w:vAlign w:val="center"/>
            <w:hideMark/>
          </w:tcPr>
          <w:p w:rsidR="002858D9" w:rsidRPr="00B41060" w:rsidRDefault="002858D9" w:rsidP="00004824">
            <w:pPr>
              <w:jc w:val="center"/>
              <w:rPr>
                <w:rFonts w:cs="Arial"/>
                <w:color w:val="000000"/>
                <w:szCs w:val="18"/>
                <w:lang w:val="es-419"/>
              </w:rPr>
            </w:pPr>
            <w:r w:rsidRPr="00B41060">
              <w:rPr>
                <w:color w:val="000000"/>
                <w:lang w:val="es-419"/>
              </w:rPr>
              <w:t>1</w:t>
            </w:r>
          </w:p>
        </w:tc>
        <w:tc>
          <w:tcPr>
            <w:tcW w:w="1097" w:type="dxa"/>
            <w:tcBorders>
              <w:top w:val="single" w:sz="4" w:space="0" w:color="auto"/>
              <w:left w:val="nil"/>
              <w:bottom w:val="single" w:sz="4" w:space="0" w:color="auto"/>
              <w:right w:val="single" w:sz="4" w:space="0" w:color="auto"/>
            </w:tcBorders>
            <w:shd w:val="clear" w:color="auto" w:fill="auto"/>
            <w:noWrap/>
            <w:vAlign w:val="center"/>
            <w:hideMark/>
          </w:tcPr>
          <w:p w:rsidR="002858D9" w:rsidRPr="00B41060" w:rsidRDefault="002858D9" w:rsidP="00004824">
            <w:pPr>
              <w:ind w:left="49"/>
              <w:jc w:val="center"/>
              <w:rPr>
                <w:rFonts w:cs="Arial"/>
                <w:color w:val="000000"/>
                <w:szCs w:val="18"/>
                <w:lang w:val="es-419"/>
              </w:rPr>
            </w:pPr>
            <w:r w:rsidRPr="00B41060">
              <w:rPr>
                <w:color w:val="000000"/>
                <w:lang w:val="es-419"/>
              </w:rPr>
              <w:t>4*</w:t>
            </w:r>
          </w:p>
        </w:tc>
        <w:tc>
          <w:tcPr>
            <w:tcW w:w="2276" w:type="dxa"/>
            <w:gridSpan w:val="2"/>
            <w:tcBorders>
              <w:top w:val="single" w:sz="4" w:space="0" w:color="auto"/>
              <w:left w:val="nil"/>
              <w:bottom w:val="single" w:sz="4" w:space="0" w:color="auto"/>
              <w:right w:val="single" w:sz="4" w:space="0" w:color="auto"/>
            </w:tcBorders>
            <w:shd w:val="clear" w:color="auto" w:fill="auto"/>
            <w:vAlign w:val="center"/>
            <w:hideMark/>
          </w:tcPr>
          <w:p w:rsidR="002858D9" w:rsidRPr="00B41060" w:rsidRDefault="002858D9" w:rsidP="00004824">
            <w:pPr>
              <w:rPr>
                <w:rFonts w:cs="Arial"/>
                <w:color w:val="000000"/>
                <w:szCs w:val="18"/>
                <w:lang w:val="es-419"/>
              </w:rPr>
            </w:pPr>
            <w:r w:rsidRPr="00B41060">
              <w:rPr>
                <w:color w:val="000000"/>
                <w:lang w:val="es-419"/>
              </w:rPr>
              <w:t>tercer ciclo de cultivo*</w:t>
            </w:r>
          </w:p>
        </w:tc>
        <w:tc>
          <w:tcPr>
            <w:tcW w:w="2059" w:type="dxa"/>
            <w:tcBorders>
              <w:top w:val="single" w:sz="4" w:space="0" w:color="auto"/>
              <w:left w:val="nil"/>
              <w:bottom w:val="single" w:sz="4" w:space="0" w:color="auto"/>
              <w:right w:val="single" w:sz="4" w:space="0" w:color="auto"/>
            </w:tcBorders>
            <w:shd w:val="clear" w:color="auto" w:fill="auto"/>
            <w:vAlign w:val="center"/>
            <w:hideMark/>
          </w:tcPr>
          <w:p w:rsidR="002858D9" w:rsidRPr="00B41060" w:rsidRDefault="002858D9" w:rsidP="00004824">
            <w:pPr>
              <w:jc w:val="center"/>
              <w:rPr>
                <w:rFonts w:cs="Arial"/>
                <w:color w:val="000000"/>
                <w:szCs w:val="18"/>
                <w:lang w:val="es-419"/>
              </w:rPr>
            </w:pPr>
            <w:r w:rsidRPr="00B41060">
              <w:rPr>
                <w:color w:val="000000"/>
                <w:lang w:val="es-419"/>
              </w:rPr>
              <w:t>no homogénea*</w:t>
            </w:r>
          </w:p>
        </w:tc>
        <w:tc>
          <w:tcPr>
            <w:tcW w:w="1740" w:type="dxa"/>
            <w:tcBorders>
              <w:top w:val="single" w:sz="4" w:space="0" w:color="auto"/>
              <w:bottom w:val="single" w:sz="4" w:space="0" w:color="auto"/>
              <w:right w:val="single" w:sz="4" w:space="0" w:color="auto"/>
            </w:tcBorders>
            <w:shd w:val="clear" w:color="auto" w:fill="auto"/>
          </w:tcPr>
          <w:p w:rsidR="002858D9" w:rsidRPr="00B41060" w:rsidRDefault="002858D9" w:rsidP="00004824">
            <w:pPr>
              <w:jc w:val="center"/>
              <w:rPr>
                <w:szCs w:val="18"/>
                <w:lang w:val="es-419"/>
              </w:rPr>
            </w:pPr>
            <w:r w:rsidRPr="00B41060">
              <w:rPr>
                <w:lang w:val="es-419"/>
              </w:rPr>
              <w:t>no homogénea*</w:t>
            </w:r>
          </w:p>
        </w:tc>
      </w:tr>
      <w:tr w:rsidR="002858D9" w:rsidRPr="00B41060" w:rsidTr="00004824">
        <w:trPr>
          <w:trHeight w:val="274"/>
        </w:trPr>
        <w:tc>
          <w:tcPr>
            <w:tcW w:w="623" w:type="dxa"/>
            <w:vMerge/>
            <w:tcBorders>
              <w:left w:val="single" w:sz="4" w:space="0" w:color="auto"/>
              <w:bottom w:val="single" w:sz="4" w:space="0" w:color="auto"/>
              <w:right w:val="single" w:sz="4" w:space="0" w:color="000000"/>
            </w:tcBorders>
            <w:shd w:val="clear" w:color="auto" w:fill="auto"/>
            <w:noWrap/>
            <w:vAlign w:val="bottom"/>
            <w:hideMark/>
          </w:tcPr>
          <w:p w:rsidR="002858D9" w:rsidRPr="00B41060" w:rsidRDefault="002858D9" w:rsidP="00004824">
            <w:pPr>
              <w:jc w:val="left"/>
              <w:rPr>
                <w:rFonts w:cs="Arial"/>
                <w:color w:val="000000"/>
                <w:szCs w:val="18"/>
                <w:lang w:val="es-419"/>
              </w:rPr>
            </w:pPr>
          </w:p>
        </w:tc>
        <w:tc>
          <w:tcPr>
            <w:tcW w:w="1094" w:type="dxa"/>
            <w:gridSpan w:val="2"/>
            <w:tcBorders>
              <w:top w:val="nil"/>
              <w:left w:val="single" w:sz="4" w:space="0" w:color="000000"/>
              <w:bottom w:val="single" w:sz="4" w:space="0" w:color="auto"/>
              <w:right w:val="single" w:sz="4" w:space="0" w:color="auto"/>
            </w:tcBorders>
            <w:shd w:val="clear" w:color="auto" w:fill="auto"/>
            <w:noWrap/>
            <w:vAlign w:val="center"/>
            <w:hideMark/>
          </w:tcPr>
          <w:p w:rsidR="002858D9" w:rsidRPr="00B41060" w:rsidRDefault="002858D9" w:rsidP="00004824">
            <w:pPr>
              <w:ind w:left="49"/>
              <w:jc w:val="center"/>
              <w:rPr>
                <w:rFonts w:cs="Arial"/>
                <w:color w:val="000000"/>
                <w:szCs w:val="18"/>
                <w:lang w:val="es-419"/>
              </w:rPr>
            </w:pPr>
            <w:r w:rsidRPr="00B41060">
              <w:rPr>
                <w:color w:val="000000"/>
                <w:lang w:val="es-419"/>
              </w:rPr>
              <w:t>4**</w:t>
            </w:r>
          </w:p>
        </w:tc>
        <w:tc>
          <w:tcPr>
            <w:tcW w:w="1097" w:type="dxa"/>
            <w:tcBorders>
              <w:top w:val="nil"/>
              <w:left w:val="single" w:sz="4" w:space="0" w:color="auto"/>
              <w:bottom w:val="single" w:sz="4" w:space="0" w:color="auto"/>
              <w:right w:val="single" w:sz="4" w:space="0" w:color="auto"/>
            </w:tcBorders>
            <w:shd w:val="clear" w:color="auto" w:fill="auto"/>
            <w:noWrap/>
            <w:vAlign w:val="center"/>
            <w:hideMark/>
          </w:tcPr>
          <w:p w:rsidR="002858D9" w:rsidRPr="00B41060" w:rsidRDefault="002858D9" w:rsidP="00004824">
            <w:pPr>
              <w:jc w:val="center"/>
              <w:rPr>
                <w:rFonts w:cs="Arial"/>
                <w:color w:val="000000"/>
                <w:szCs w:val="18"/>
                <w:lang w:val="es-419"/>
              </w:rPr>
            </w:pPr>
            <w:r w:rsidRPr="00B41060">
              <w:rPr>
                <w:color w:val="000000"/>
                <w:lang w:val="es-419"/>
              </w:rPr>
              <w:t>1*</w:t>
            </w:r>
          </w:p>
        </w:tc>
        <w:tc>
          <w:tcPr>
            <w:tcW w:w="2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2858D9" w:rsidRPr="00B41060" w:rsidRDefault="002858D9" w:rsidP="00004824">
            <w:pPr>
              <w:rPr>
                <w:rFonts w:cs="Arial"/>
                <w:color w:val="000000"/>
                <w:szCs w:val="18"/>
                <w:lang w:val="es-419"/>
              </w:rPr>
            </w:pPr>
            <w:r w:rsidRPr="00B41060">
              <w:rPr>
                <w:color w:val="000000"/>
                <w:lang w:val="es-419"/>
              </w:rPr>
              <w:t>tercer ciclo de cultivo*</w:t>
            </w:r>
          </w:p>
        </w:tc>
        <w:tc>
          <w:tcPr>
            <w:tcW w:w="2059" w:type="dxa"/>
            <w:tcBorders>
              <w:top w:val="nil"/>
              <w:left w:val="single" w:sz="4" w:space="0" w:color="auto"/>
              <w:bottom w:val="single" w:sz="4" w:space="0" w:color="auto"/>
              <w:right w:val="single" w:sz="4" w:space="0" w:color="auto"/>
            </w:tcBorders>
            <w:shd w:val="clear" w:color="auto" w:fill="auto"/>
            <w:noWrap/>
            <w:vAlign w:val="center"/>
            <w:hideMark/>
          </w:tcPr>
          <w:p w:rsidR="002858D9" w:rsidRPr="00B41060" w:rsidRDefault="002858D9" w:rsidP="00004824">
            <w:pPr>
              <w:jc w:val="center"/>
              <w:rPr>
                <w:rFonts w:cs="Arial"/>
                <w:color w:val="000000"/>
                <w:szCs w:val="18"/>
                <w:lang w:val="es-419"/>
              </w:rPr>
            </w:pPr>
            <w:r w:rsidRPr="00B41060">
              <w:rPr>
                <w:color w:val="000000"/>
                <w:lang w:val="es-419"/>
              </w:rPr>
              <w:t>no homogénea*</w:t>
            </w:r>
          </w:p>
        </w:tc>
        <w:tc>
          <w:tcPr>
            <w:tcW w:w="1740" w:type="dxa"/>
            <w:tcBorders>
              <w:top w:val="single" w:sz="4" w:space="0" w:color="auto"/>
              <w:bottom w:val="single" w:sz="4" w:space="0" w:color="auto"/>
              <w:right w:val="single" w:sz="4" w:space="0" w:color="auto"/>
            </w:tcBorders>
            <w:shd w:val="clear" w:color="auto" w:fill="auto"/>
          </w:tcPr>
          <w:p w:rsidR="002858D9" w:rsidRPr="00B41060" w:rsidRDefault="002858D9" w:rsidP="00004824">
            <w:pPr>
              <w:jc w:val="center"/>
              <w:rPr>
                <w:szCs w:val="18"/>
                <w:lang w:val="es-419"/>
              </w:rPr>
            </w:pPr>
            <w:r w:rsidRPr="00B41060">
              <w:rPr>
                <w:lang w:val="es-419"/>
              </w:rPr>
              <w:t>no homogénea*</w:t>
            </w:r>
          </w:p>
        </w:tc>
      </w:tr>
    </w:tbl>
    <w:p w:rsidR="002858D9" w:rsidRPr="00B41060" w:rsidRDefault="002858D9" w:rsidP="002858D9">
      <w:pPr>
        <w:spacing w:after="240"/>
        <w:rPr>
          <w:b/>
          <w:caps/>
          <w:sz w:val="14"/>
          <w:szCs w:val="24"/>
          <w:lang w:val="es-419"/>
        </w:rPr>
      </w:pPr>
    </w:p>
    <w:p w:rsidR="002858D9" w:rsidRPr="00B41060" w:rsidRDefault="002858D9" w:rsidP="002858D9">
      <w:pPr>
        <w:keepNext/>
        <w:keepLines/>
        <w:ind w:left="567"/>
        <w:rPr>
          <w:sz w:val="16"/>
          <w:u w:val="single"/>
          <w:lang w:val="es-419"/>
        </w:rPr>
      </w:pPr>
      <w:r w:rsidRPr="00B41060">
        <w:rPr>
          <w:sz w:val="18"/>
          <w:lang w:val="es-419"/>
        </w:rPr>
        <w:t>* Es preciso poner cuidado al examinar resultados que sean muy diferentes en cada uno de los ciclos de cultivo, por ejemplo cuando se observe una gran abundancia de plantas fuera de tipo en un ciclo de cultivo y su ausencia en otro ciclo. Cuando corresponda se debe llevar a cabo una prueba estadística para verificar la coherencia. Es importante determinar si las diferencias entre ciclos en cuanto al número de plantas fuera de tipo se deben a motivos medioambientales o a las variaciones en la toma de muestras.</w:t>
      </w:r>
    </w:p>
    <w:p w:rsidR="002858D9" w:rsidRPr="00B41060" w:rsidRDefault="002858D9" w:rsidP="002858D9">
      <w:pPr>
        <w:keepNext/>
        <w:keepLines/>
        <w:ind w:left="567"/>
        <w:rPr>
          <w:sz w:val="18"/>
          <w:lang w:val="es-419"/>
        </w:rPr>
      </w:pPr>
    </w:p>
    <w:p w:rsidR="002858D9" w:rsidRPr="00B41060" w:rsidRDefault="002858D9" w:rsidP="002858D9">
      <w:pPr>
        <w:ind w:left="567"/>
        <w:jc w:val="left"/>
        <w:rPr>
          <w:lang w:val="es-419"/>
        </w:rPr>
      </w:pPr>
      <w:r w:rsidRPr="00B41060">
        <w:rPr>
          <w:sz w:val="18"/>
          <w:lang w:val="es-419"/>
        </w:rPr>
        <w:t>** Si una variedad supera en el primer ciclo de cultivo el límite superior predefinido del número de plantas fuera de tipo, podrá rechazarse tras un único ciclo de cultivo.”</w:t>
      </w:r>
    </w:p>
    <w:p w:rsidR="002858D9" w:rsidRPr="00B41060" w:rsidRDefault="002858D9" w:rsidP="002858D9">
      <w:pPr>
        <w:rPr>
          <w:lang w:val="es-419"/>
        </w:rPr>
      </w:pPr>
    </w:p>
    <w:p w:rsidR="002858D9" w:rsidRPr="00B41060" w:rsidRDefault="002858D9" w:rsidP="002858D9">
      <w:pPr>
        <w:rPr>
          <w:lang w:val="es-419"/>
        </w:rPr>
      </w:pPr>
    </w:p>
    <w:p w:rsidR="002858D9" w:rsidRPr="00B41060" w:rsidRDefault="002858D9" w:rsidP="002858D9">
      <w:pPr>
        <w:rPr>
          <w:u w:val="single"/>
          <w:lang w:val="es-419"/>
        </w:rPr>
      </w:pPr>
      <w:r w:rsidRPr="00B41060">
        <w:rPr>
          <w:u w:val="single"/>
          <w:lang w:val="es-419"/>
        </w:rPr>
        <w:t>Nueva sección</w:t>
      </w:r>
      <w:r>
        <w:rPr>
          <w:u w:val="single"/>
          <w:lang w:val="es-419"/>
        </w:rPr>
        <w:t xml:space="preserve"> </w:t>
      </w:r>
      <w:r w:rsidRPr="00B41060">
        <w:rPr>
          <w:u w:val="single"/>
          <w:lang w:val="es-419"/>
        </w:rPr>
        <w:t xml:space="preserve">4.8: Evaluación de la homogeneidad sobre la base de las plantas fuera de tipo mediante la observación de </w:t>
      </w:r>
      <w:proofErr w:type="spellStart"/>
      <w:r w:rsidRPr="00B41060">
        <w:rPr>
          <w:u w:val="single"/>
          <w:lang w:val="es-419"/>
        </w:rPr>
        <w:t>submuestras</w:t>
      </w:r>
      <w:proofErr w:type="spellEnd"/>
      <w:r w:rsidRPr="00B41060">
        <w:rPr>
          <w:u w:val="single"/>
          <w:lang w:val="es-419"/>
        </w:rPr>
        <w:t xml:space="preserve"> en un único examen o ensayo </w:t>
      </w:r>
    </w:p>
    <w:p w:rsidR="002858D9" w:rsidRPr="00B41060" w:rsidRDefault="002858D9" w:rsidP="002858D9">
      <w:pPr>
        <w:rPr>
          <w:lang w:val="es-419"/>
        </w:rPr>
      </w:pPr>
    </w:p>
    <w:p w:rsidR="002858D9" w:rsidRPr="00B41060" w:rsidRDefault="002858D9" w:rsidP="002858D9">
      <w:pPr>
        <w:ind w:firstLine="567"/>
        <w:rPr>
          <w:i/>
          <w:lang w:val="es-419"/>
        </w:rPr>
      </w:pPr>
      <w:r w:rsidRPr="00B41060">
        <w:rPr>
          <w:i/>
          <w:lang w:val="es-419"/>
        </w:rPr>
        <w:t xml:space="preserve">Método: Utilización de una </w:t>
      </w:r>
      <w:proofErr w:type="spellStart"/>
      <w:r w:rsidRPr="00B41060">
        <w:rPr>
          <w:i/>
          <w:lang w:val="es-419"/>
        </w:rPr>
        <w:t>submuestra</w:t>
      </w:r>
      <w:proofErr w:type="spellEnd"/>
      <w:r w:rsidRPr="00B41060">
        <w:rPr>
          <w:i/>
          <w:lang w:val="es-419"/>
        </w:rPr>
        <w:t xml:space="preserve"> como primera etapa de la evaluación</w:t>
      </w:r>
    </w:p>
    <w:p w:rsidR="002858D9" w:rsidRPr="00B41060" w:rsidRDefault="002858D9" w:rsidP="002858D9">
      <w:pPr>
        <w:rPr>
          <w:b/>
          <w:lang w:val="es-419"/>
        </w:rPr>
      </w:pPr>
    </w:p>
    <w:p w:rsidR="002858D9" w:rsidRPr="00B41060" w:rsidRDefault="002858D9" w:rsidP="002858D9">
      <w:pPr>
        <w:rPr>
          <w:lang w:val="es-419"/>
        </w:rPr>
      </w:pPr>
      <w:r w:rsidRPr="00B41060">
        <w:rPr>
          <w:lang w:val="es-419"/>
        </w:rPr>
        <w:t xml:space="preserve">Una variedad se considera homogénea si el número de plantas fuera de tipo en la </w:t>
      </w:r>
      <w:proofErr w:type="spellStart"/>
      <w:r w:rsidRPr="00B41060">
        <w:rPr>
          <w:lang w:val="es-419"/>
        </w:rPr>
        <w:t>submuestra</w:t>
      </w:r>
      <w:proofErr w:type="spellEnd"/>
      <w:r w:rsidRPr="00B41060">
        <w:rPr>
          <w:lang w:val="es-419"/>
        </w:rPr>
        <w:t xml:space="preserve"> no supera un límite inferior predefinido.</w:t>
      </w:r>
    </w:p>
    <w:p w:rsidR="002858D9" w:rsidRPr="00B41060" w:rsidRDefault="002858D9" w:rsidP="002858D9">
      <w:pPr>
        <w:rPr>
          <w:lang w:val="es-419"/>
        </w:rPr>
      </w:pPr>
    </w:p>
    <w:p w:rsidR="002858D9" w:rsidRPr="00B41060" w:rsidRDefault="002858D9" w:rsidP="002858D9">
      <w:pPr>
        <w:rPr>
          <w:lang w:val="es-419"/>
        </w:rPr>
      </w:pPr>
      <w:r w:rsidRPr="00B41060">
        <w:rPr>
          <w:lang w:val="es-419"/>
        </w:rPr>
        <w:t xml:space="preserve">Una variedad se considera no homogénea si el número de plantas fuera de tipo en la </w:t>
      </w:r>
      <w:proofErr w:type="spellStart"/>
      <w:r w:rsidRPr="00B41060">
        <w:rPr>
          <w:lang w:val="es-419"/>
        </w:rPr>
        <w:t>submuestra</w:t>
      </w:r>
      <w:proofErr w:type="spellEnd"/>
      <w:r w:rsidRPr="00B41060">
        <w:rPr>
          <w:lang w:val="es-419"/>
        </w:rPr>
        <w:t xml:space="preserve"> supera un límite superior predefinido.</w:t>
      </w:r>
    </w:p>
    <w:p w:rsidR="002858D9" w:rsidRPr="00B41060" w:rsidRDefault="002858D9" w:rsidP="002858D9">
      <w:pPr>
        <w:rPr>
          <w:lang w:val="es-419"/>
        </w:rPr>
      </w:pPr>
    </w:p>
    <w:p w:rsidR="002858D9" w:rsidRPr="00B41060" w:rsidRDefault="002858D9" w:rsidP="002858D9">
      <w:pPr>
        <w:rPr>
          <w:lang w:val="es-419"/>
        </w:rPr>
      </w:pPr>
      <w:r w:rsidRPr="00B41060">
        <w:rPr>
          <w:lang w:val="es-419"/>
        </w:rPr>
        <w:t>Si el número de plantas fuera de tipo está entre el límite inferior y el límite superior predefinidos, se evalúa toda la muestra. Los límites inferior y superior deben fijarse teniendo en cuenta errores de tipo</w:t>
      </w:r>
      <w:r>
        <w:rPr>
          <w:lang w:val="es-419"/>
        </w:rPr>
        <w:t xml:space="preserve"> </w:t>
      </w:r>
      <w:r w:rsidRPr="00B41060">
        <w:rPr>
          <w:lang w:val="es-419"/>
        </w:rPr>
        <w:t>I y de tipo</w:t>
      </w:r>
      <w:r>
        <w:rPr>
          <w:lang w:val="es-419"/>
        </w:rPr>
        <w:t xml:space="preserve"> </w:t>
      </w:r>
      <w:r w:rsidRPr="00B41060">
        <w:rPr>
          <w:lang w:val="es-419"/>
        </w:rPr>
        <w:t xml:space="preserve">II similares en la </w:t>
      </w:r>
      <w:proofErr w:type="spellStart"/>
      <w:r w:rsidRPr="00B41060">
        <w:rPr>
          <w:lang w:val="es-419"/>
        </w:rPr>
        <w:t>submuestra</w:t>
      </w:r>
      <w:proofErr w:type="spellEnd"/>
      <w:r w:rsidRPr="00B41060">
        <w:rPr>
          <w:lang w:val="es-419"/>
        </w:rPr>
        <w:t xml:space="preserve"> y en toda la muestra.</w:t>
      </w:r>
    </w:p>
    <w:p w:rsidR="002858D9" w:rsidRPr="00B41060" w:rsidRDefault="002858D9" w:rsidP="002858D9">
      <w:pPr>
        <w:rPr>
          <w:lang w:val="es-419"/>
        </w:rPr>
      </w:pPr>
    </w:p>
    <w:p w:rsidR="002858D9" w:rsidRPr="00B41060" w:rsidRDefault="002858D9" w:rsidP="002858D9">
      <w:pPr>
        <w:ind w:firstLine="567"/>
        <w:rPr>
          <w:i/>
          <w:szCs w:val="24"/>
          <w:lang w:val="es-419"/>
        </w:rPr>
      </w:pPr>
      <w:r w:rsidRPr="00B41060">
        <w:rPr>
          <w:i/>
          <w:lang w:val="es-419"/>
        </w:rPr>
        <w:lastRenderedPageBreak/>
        <w:t>Ejemplo:</w:t>
      </w:r>
    </w:p>
    <w:p w:rsidR="002858D9" w:rsidRPr="00B41060" w:rsidRDefault="002858D9" w:rsidP="002858D9">
      <w:pPr>
        <w:rPr>
          <w:szCs w:val="24"/>
          <w:lang w:val="es-419"/>
        </w:rPr>
      </w:pPr>
    </w:p>
    <w:p w:rsidR="002858D9" w:rsidRPr="00B41060" w:rsidRDefault="002858D9" w:rsidP="002858D9">
      <w:pPr>
        <w:autoSpaceDE w:val="0"/>
        <w:autoSpaceDN w:val="0"/>
        <w:adjustRightInd w:val="0"/>
        <w:rPr>
          <w:color w:val="000000"/>
          <w:szCs w:val="24"/>
          <w:lang w:val="es-419"/>
        </w:rPr>
      </w:pPr>
      <w:r w:rsidRPr="00B41060">
        <w:rPr>
          <w:color w:val="000000"/>
          <w:lang w:val="es-419"/>
        </w:rPr>
        <w:t>En el caso de una muestra de</w:t>
      </w:r>
      <w:r>
        <w:rPr>
          <w:color w:val="000000"/>
          <w:lang w:val="es-419"/>
        </w:rPr>
        <w:t xml:space="preserve"> </w:t>
      </w:r>
      <w:r w:rsidRPr="00B41060">
        <w:rPr>
          <w:color w:val="000000"/>
          <w:lang w:val="es-419"/>
        </w:rPr>
        <w:t>100 plantas, el número aceptable de plantas fuera de tipo es</w:t>
      </w:r>
      <w:r>
        <w:rPr>
          <w:color w:val="000000"/>
          <w:lang w:val="es-419"/>
        </w:rPr>
        <w:t xml:space="preserve"> </w:t>
      </w:r>
      <w:r w:rsidRPr="00B41060">
        <w:rPr>
          <w:color w:val="000000"/>
          <w:lang w:val="es-419"/>
        </w:rPr>
        <w:t>3 (aplicando una población estándar del</w:t>
      </w:r>
      <w:r>
        <w:rPr>
          <w:color w:val="000000"/>
          <w:lang w:val="es-419"/>
        </w:rPr>
        <w:t xml:space="preserve"> </w:t>
      </w:r>
      <w:r w:rsidRPr="00B41060">
        <w:rPr>
          <w:color w:val="000000"/>
          <w:lang w:val="es-419"/>
        </w:rPr>
        <w:t>1% y una probabilidad de aceptación del</w:t>
      </w:r>
      <w:r>
        <w:rPr>
          <w:color w:val="000000"/>
          <w:lang w:val="es-419"/>
        </w:rPr>
        <w:t xml:space="preserve"> </w:t>
      </w:r>
      <w:r w:rsidRPr="00B41060">
        <w:rPr>
          <w:color w:val="000000"/>
          <w:lang w:val="es-419"/>
        </w:rPr>
        <w:t>95% como mínimo).</w:t>
      </w:r>
    </w:p>
    <w:p w:rsidR="002858D9" w:rsidRPr="00B41060" w:rsidRDefault="002858D9" w:rsidP="002858D9">
      <w:pPr>
        <w:autoSpaceDE w:val="0"/>
        <w:autoSpaceDN w:val="0"/>
        <w:adjustRightInd w:val="0"/>
        <w:rPr>
          <w:color w:val="000000"/>
          <w:szCs w:val="24"/>
          <w:lang w:val="es-419"/>
        </w:rPr>
      </w:pPr>
    </w:p>
    <w:p w:rsidR="002858D9" w:rsidRPr="00B41060" w:rsidRDefault="002858D9" w:rsidP="002858D9">
      <w:pPr>
        <w:autoSpaceDE w:val="0"/>
        <w:autoSpaceDN w:val="0"/>
        <w:adjustRightInd w:val="0"/>
        <w:rPr>
          <w:color w:val="000000"/>
          <w:szCs w:val="24"/>
          <w:lang w:val="es-419"/>
        </w:rPr>
      </w:pPr>
      <w:r w:rsidRPr="00B41060">
        <w:rPr>
          <w:color w:val="000000"/>
          <w:lang w:val="es-419"/>
        </w:rPr>
        <w:t xml:space="preserve">En una </w:t>
      </w:r>
      <w:proofErr w:type="spellStart"/>
      <w:r w:rsidRPr="00B41060">
        <w:rPr>
          <w:color w:val="000000"/>
          <w:lang w:val="es-419"/>
        </w:rPr>
        <w:t>submuestra</w:t>
      </w:r>
      <w:proofErr w:type="spellEnd"/>
      <w:r w:rsidRPr="00B41060">
        <w:rPr>
          <w:color w:val="000000"/>
          <w:lang w:val="es-419"/>
        </w:rPr>
        <w:t xml:space="preserve"> de</w:t>
      </w:r>
      <w:r>
        <w:rPr>
          <w:color w:val="000000"/>
          <w:lang w:val="es-419"/>
        </w:rPr>
        <w:t xml:space="preserve"> </w:t>
      </w:r>
      <w:r w:rsidRPr="00B41060">
        <w:rPr>
          <w:color w:val="000000"/>
          <w:lang w:val="es-419"/>
        </w:rPr>
        <w:t>20 plantas utilizada en el contexto de la antedicha muestra de</w:t>
      </w:r>
      <w:r>
        <w:rPr>
          <w:color w:val="000000"/>
          <w:lang w:val="es-419"/>
        </w:rPr>
        <w:t xml:space="preserve"> </w:t>
      </w:r>
      <w:r w:rsidRPr="00B41060">
        <w:rPr>
          <w:color w:val="000000"/>
          <w:lang w:val="es-419"/>
        </w:rPr>
        <w:t>100 plantas:</w:t>
      </w:r>
    </w:p>
    <w:p w:rsidR="002858D9" w:rsidRPr="00B41060" w:rsidRDefault="002858D9" w:rsidP="002858D9">
      <w:pPr>
        <w:autoSpaceDE w:val="0"/>
        <w:autoSpaceDN w:val="0"/>
        <w:adjustRightInd w:val="0"/>
        <w:rPr>
          <w:color w:val="000000"/>
          <w:szCs w:val="24"/>
          <w:lang w:val="es-419"/>
        </w:rPr>
      </w:pPr>
    </w:p>
    <w:p w:rsidR="002858D9" w:rsidRPr="00B41060" w:rsidRDefault="002858D9" w:rsidP="002858D9">
      <w:pPr>
        <w:rPr>
          <w:lang w:val="es-419"/>
        </w:rPr>
      </w:pPr>
      <w:r w:rsidRPr="00B41060">
        <w:rPr>
          <w:lang w:val="es-419"/>
        </w:rPr>
        <w:t xml:space="preserve">Se considera que una variedad es homogénea si no se observan plantas fuera de tipo en la </w:t>
      </w:r>
      <w:proofErr w:type="spellStart"/>
      <w:r w:rsidRPr="00B41060">
        <w:rPr>
          <w:lang w:val="es-419"/>
        </w:rPr>
        <w:t>submuestra</w:t>
      </w:r>
      <w:proofErr w:type="spellEnd"/>
      <w:r w:rsidRPr="00B41060">
        <w:rPr>
          <w:lang w:val="es-419"/>
        </w:rPr>
        <w:t>.</w:t>
      </w:r>
    </w:p>
    <w:p w:rsidR="002858D9" w:rsidRPr="00B41060" w:rsidRDefault="002858D9" w:rsidP="002858D9">
      <w:pPr>
        <w:rPr>
          <w:lang w:val="es-419"/>
        </w:rPr>
      </w:pPr>
    </w:p>
    <w:p w:rsidR="002858D9" w:rsidRPr="00B41060" w:rsidRDefault="002858D9" w:rsidP="002858D9">
      <w:pPr>
        <w:rPr>
          <w:lang w:val="es-419"/>
        </w:rPr>
      </w:pPr>
      <w:r w:rsidRPr="00B41060">
        <w:rPr>
          <w:lang w:val="es-419"/>
        </w:rPr>
        <w:t xml:space="preserve">Se considera que una variedad no es homogénea si el número de plantas fuera de tipo en la </w:t>
      </w:r>
      <w:proofErr w:type="spellStart"/>
      <w:r w:rsidRPr="00B41060">
        <w:rPr>
          <w:lang w:val="es-419"/>
        </w:rPr>
        <w:t>submuestra</w:t>
      </w:r>
      <w:proofErr w:type="spellEnd"/>
      <w:r w:rsidRPr="00B41060">
        <w:rPr>
          <w:lang w:val="es-419"/>
        </w:rPr>
        <w:t xml:space="preserve"> es mayor de</w:t>
      </w:r>
      <w:r>
        <w:rPr>
          <w:lang w:val="es-419"/>
        </w:rPr>
        <w:t xml:space="preserve"> </w:t>
      </w:r>
      <w:r w:rsidRPr="00B41060">
        <w:rPr>
          <w:lang w:val="es-419"/>
        </w:rPr>
        <w:t>3.</w:t>
      </w:r>
    </w:p>
    <w:p w:rsidR="002858D9" w:rsidRPr="00B41060" w:rsidRDefault="002858D9" w:rsidP="002858D9">
      <w:pPr>
        <w:rPr>
          <w:lang w:val="es-419"/>
        </w:rPr>
      </w:pPr>
    </w:p>
    <w:p w:rsidR="002858D9" w:rsidRPr="00B41060" w:rsidRDefault="002858D9" w:rsidP="002858D9">
      <w:pPr>
        <w:rPr>
          <w:lang w:val="es-419"/>
        </w:rPr>
      </w:pPr>
      <w:r w:rsidRPr="00B41060">
        <w:rPr>
          <w:lang w:val="es-419"/>
        </w:rPr>
        <w:t>Si el número de plantas fuera de tipo está entre</w:t>
      </w:r>
      <w:r>
        <w:rPr>
          <w:lang w:val="es-419"/>
        </w:rPr>
        <w:t xml:space="preserve"> </w:t>
      </w:r>
      <w:r w:rsidRPr="00B41060">
        <w:rPr>
          <w:lang w:val="es-419"/>
        </w:rPr>
        <w:t>1 y</w:t>
      </w:r>
      <w:r>
        <w:rPr>
          <w:lang w:val="es-419"/>
        </w:rPr>
        <w:t xml:space="preserve"> </w:t>
      </w:r>
      <w:r w:rsidRPr="00B41060">
        <w:rPr>
          <w:lang w:val="es-419"/>
        </w:rPr>
        <w:t>3, se evalúa toda la muestra de</w:t>
      </w:r>
      <w:r>
        <w:rPr>
          <w:lang w:val="es-419"/>
        </w:rPr>
        <w:t xml:space="preserve"> </w:t>
      </w:r>
      <w:r w:rsidRPr="00B41060">
        <w:rPr>
          <w:lang w:val="es-419"/>
        </w:rPr>
        <w:t>100 plantas.</w:t>
      </w:r>
    </w:p>
    <w:p w:rsidR="002858D9" w:rsidRPr="00B41060" w:rsidRDefault="002858D9" w:rsidP="002858D9">
      <w:pPr>
        <w:rPr>
          <w:lang w:val="es-419"/>
        </w:rPr>
      </w:pPr>
    </w:p>
    <w:p w:rsidR="002858D9" w:rsidRPr="00B41060" w:rsidRDefault="002858D9" w:rsidP="002858D9">
      <w:pPr>
        <w:rPr>
          <w:lang w:val="es-419"/>
        </w:rPr>
      </w:pPr>
      <w:r w:rsidRPr="00B41060">
        <w:rPr>
          <w:lang w:val="es-419"/>
        </w:rPr>
        <w:t>Si el número de plantas fuera de tipo de la muestra de 100</w:t>
      </w:r>
      <w:r>
        <w:rPr>
          <w:lang w:val="es-419"/>
        </w:rPr>
        <w:t xml:space="preserve"> </w:t>
      </w:r>
      <w:r w:rsidRPr="00B41060">
        <w:rPr>
          <w:lang w:val="es-419"/>
        </w:rPr>
        <w:t>plantas es mayor que 3, se considera que la variedad no es homogénea.</w:t>
      </w:r>
    </w:p>
    <w:p w:rsidR="00914865" w:rsidRPr="00FA185E" w:rsidRDefault="00914865" w:rsidP="00914865">
      <w:pPr>
        <w:rPr>
          <w:lang w:val="es-419"/>
        </w:rPr>
      </w:pPr>
    </w:p>
    <w:p w:rsidR="00914865" w:rsidRPr="00FA185E" w:rsidRDefault="00914865" w:rsidP="00914865">
      <w:pPr>
        <w:rPr>
          <w:lang w:val="es-419"/>
        </w:rPr>
      </w:pPr>
    </w:p>
    <w:p w:rsidR="00914865" w:rsidRPr="00FA185E" w:rsidRDefault="00914865" w:rsidP="00914865">
      <w:pPr>
        <w:rPr>
          <w:lang w:val="es-419"/>
        </w:rPr>
      </w:pPr>
    </w:p>
    <w:p w:rsidR="00914865" w:rsidRPr="00FA185E" w:rsidRDefault="00914865" w:rsidP="00914865">
      <w:pPr>
        <w:jc w:val="right"/>
        <w:rPr>
          <w:lang w:val="es-419"/>
        </w:rPr>
      </w:pPr>
      <w:r w:rsidRPr="00FA185E">
        <w:rPr>
          <w:lang w:val="es-419"/>
        </w:rPr>
        <w:t>[Sigue el Anexo</w:t>
      </w:r>
      <w:r w:rsidR="00B23B18">
        <w:rPr>
          <w:lang w:val="es-419"/>
        </w:rPr>
        <w:t xml:space="preserve"> </w:t>
      </w:r>
      <w:r w:rsidRPr="00FA185E">
        <w:rPr>
          <w:lang w:val="es-419"/>
        </w:rPr>
        <w:t>IV]</w:t>
      </w:r>
    </w:p>
    <w:p w:rsidR="00914865" w:rsidRPr="00FA185E" w:rsidRDefault="00914865" w:rsidP="00914865">
      <w:pPr>
        <w:rPr>
          <w:lang w:val="es-419"/>
        </w:rPr>
        <w:sectPr w:rsidR="00914865" w:rsidRPr="00FA185E" w:rsidSect="009E5A8F">
          <w:headerReference w:type="default" r:id="rId17"/>
          <w:headerReference w:type="first" r:id="rId18"/>
          <w:footnotePr>
            <w:numRestart w:val="eachSect"/>
          </w:footnotePr>
          <w:pgSz w:w="11907" w:h="16840" w:code="9"/>
          <w:pgMar w:top="510" w:right="1134" w:bottom="709" w:left="1134" w:header="510" w:footer="680" w:gutter="0"/>
          <w:pgNumType w:start="1"/>
          <w:cols w:space="720"/>
          <w:titlePg/>
        </w:sectPr>
      </w:pPr>
    </w:p>
    <w:p w:rsidR="002858D9" w:rsidRPr="00B41060" w:rsidRDefault="002858D9" w:rsidP="002858D9">
      <w:pPr>
        <w:jc w:val="center"/>
        <w:rPr>
          <w:lang w:val="es-419"/>
        </w:rPr>
      </w:pPr>
      <w:r w:rsidRPr="00B41060">
        <w:rPr>
          <w:caps/>
          <w:lang w:val="es-419"/>
        </w:rPr>
        <w:lastRenderedPageBreak/>
        <w:t>REVISIONES DEL documento</w:t>
      </w:r>
      <w:r>
        <w:rPr>
          <w:caps/>
          <w:lang w:val="es-419"/>
        </w:rPr>
        <w:t xml:space="preserve"> </w:t>
      </w:r>
      <w:r w:rsidRPr="00B41060">
        <w:rPr>
          <w:caps/>
          <w:lang w:val="es-419"/>
        </w:rPr>
        <w:t xml:space="preserve">TGP/14 “Glosario de términos utilizados en los documentos de la UPOV” </w:t>
      </w:r>
      <w:r w:rsidRPr="00B41060">
        <w:rPr>
          <w:lang w:val="es-419"/>
        </w:rPr>
        <w:t>CONVENIDO POR EL COMITÉ TÉCNICO EN SUS SESIONES QUINCUAGÉSIMA TERCERA</w:t>
      </w:r>
      <w:r w:rsidRPr="00B41060">
        <w:rPr>
          <w:rStyle w:val="FootnoteReference"/>
          <w:lang w:val="es-419"/>
        </w:rPr>
        <w:footnoteReference w:id="21"/>
      </w:r>
      <w:r w:rsidRPr="00B41060">
        <w:rPr>
          <w:lang w:val="es-419"/>
        </w:rPr>
        <w:t xml:space="preserve"> Y QUINCUAGÉSIMA CUARTA</w:t>
      </w:r>
      <w:r w:rsidRPr="00B41060">
        <w:rPr>
          <w:rStyle w:val="FootnoteReference"/>
          <w:lang w:val="es-419"/>
        </w:rPr>
        <w:footnoteReference w:id="22"/>
      </w:r>
    </w:p>
    <w:p w:rsidR="002858D9" w:rsidRPr="00B41060" w:rsidRDefault="002858D9" w:rsidP="002858D9">
      <w:pPr>
        <w:rPr>
          <w:lang w:val="es-419"/>
        </w:rPr>
      </w:pPr>
    </w:p>
    <w:p w:rsidR="002858D9" w:rsidRPr="00B41060" w:rsidRDefault="002858D9" w:rsidP="002858D9">
      <w:pPr>
        <w:rPr>
          <w:lang w:val="es-419"/>
        </w:rPr>
      </w:pPr>
    </w:p>
    <w:p w:rsidR="002858D9" w:rsidRPr="00B41060" w:rsidRDefault="002858D9" w:rsidP="002858D9">
      <w:pPr>
        <w:rPr>
          <w:u w:val="single"/>
          <w:lang w:val="es-419"/>
        </w:rPr>
      </w:pPr>
      <w:r w:rsidRPr="00B41060">
        <w:rPr>
          <w:u w:val="single"/>
          <w:lang w:val="es-419"/>
        </w:rPr>
        <w:t>i)</w:t>
      </w:r>
      <w:r w:rsidRPr="00B41060">
        <w:rPr>
          <w:u w:val="single"/>
          <w:lang w:val="es-419"/>
        </w:rPr>
        <w:tab/>
        <w:t>Ilustraciones para los caracteres relacionados con la forma y con una relación</w:t>
      </w:r>
    </w:p>
    <w:p w:rsidR="002858D9" w:rsidRPr="00B41060" w:rsidRDefault="002858D9" w:rsidP="002858D9">
      <w:pPr>
        <w:rPr>
          <w:snapToGrid w:val="0"/>
          <w:lang w:val="es-419"/>
        </w:rPr>
      </w:pPr>
    </w:p>
    <w:p w:rsidR="002858D9" w:rsidRPr="00B41060" w:rsidRDefault="002858D9" w:rsidP="002858D9">
      <w:pPr>
        <w:rPr>
          <w:lang w:val="es-419"/>
        </w:rPr>
      </w:pPr>
      <w:r w:rsidRPr="00B41060">
        <w:rPr>
          <w:lang w:val="es-419"/>
        </w:rPr>
        <w:fldChar w:fldCharType="begin"/>
      </w:r>
      <w:r w:rsidRPr="00B41060">
        <w:rPr>
          <w:lang w:val="es-419"/>
        </w:rPr>
        <w:instrText xml:space="preserve"> AUTONUM  </w:instrText>
      </w:r>
      <w:r w:rsidRPr="00B41060">
        <w:rPr>
          <w:lang w:val="es-419"/>
        </w:rPr>
        <w:fldChar w:fldCharType="end"/>
      </w:r>
      <w:r w:rsidRPr="00B41060">
        <w:rPr>
          <w:lang w:val="es-419"/>
        </w:rPr>
        <w:tab/>
        <w:t>En su quincuagésima tercera sesión, el TC convino en revisar el documento</w:t>
      </w:r>
      <w:r>
        <w:rPr>
          <w:lang w:val="es-419"/>
        </w:rPr>
        <w:t xml:space="preserve"> </w:t>
      </w:r>
      <w:r w:rsidRPr="00B41060">
        <w:rPr>
          <w:lang w:val="es-419"/>
        </w:rPr>
        <w:t>TGP/14: sección</w:t>
      </w:r>
      <w:r>
        <w:rPr>
          <w:lang w:val="es-419"/>
        </w:rPr>
        <w:t xml:space="preserve"> </w:t>
      </w:r>
      <w:r w:rsidRPr="00B41060">
        <w:rPr>
          <w:lang w:val="es-419"/>
        </w:rPr>
        <w:t xml:space="preserve">2: subsección 2: “Formas y estructuras”, para modificar el cuadro de la posición de la parte más ancha y la relación longitud/anchura, presentado en la variante 2 del ejemplo 5, y eliminar el texto “relación” e indicar “anchura relativa” en una columna diferente de la escala de “ancha a estrecha” para que el texto sea el siguiente (véase el párrafo 141 del documento TC/53/31 “Informe”) (se indican las eliminaciones mediante </w:t>
      </w:r>
      <w:r w:rsidRPr="00B41060">
        <w:rPr>
          <w:strike/>
          <w:highlight w:val="lightGray"/>
          <w:lang w:val="es-419"/>
        </w:rPr>
        <w:t>sombreado y tachado</w:t>
      </w:r>
      <w:r w:rsidRPr="00B41060">
        <w:rPr>
          <w:lang w:val="es-419"/>
        </w:rPr>
        <w:t xml:space="preserve"> y los añadidos mediante </w:t>
      </w:r>
      <w:r w:rsidRPr="00B41060">
        <w:rPr>
          <w:highlight w:val="lightGray"/>
          <w:u w:val="single"/>
          <w:lang w:val="es-419"/>
        </w:rPr>
        <w:t>sombreado y subrayado</w:t>
      </w:r>
      <w:r w:rsidRPr="00B41060">
        <w:rPr>
          <w:lang w:val="es-419"/>
        </w:rPr>
        <w:t>):</w:t>
      </w:r>
    </w:p>
    <w:p w:rsidR="002858D9" w:rsidRPr="00B41060" w:rsidRDefault="002858D9" w:rsidP="002858D9">
      <w:pPr>
        <w:keepNext/>
        <w:keepLines/>
        <w:rPr>
          <w:lang w:val="es-419"/>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
        <w:gridCol w:w="422"/>
        <w:gridCol w:w="7"/>
        <w:gridCol w:w="276"/>
        <w:gridCol w:w="7"/>
        <w:gridCol w:w="1420"/>
        <w:gridCol w:w="1389"/>
        <w:gridCol w:w="19"/>
        <w:gridCol w:w="1370"/>
        <w:gridCol w:w="48"/>
        <w:gridCol w:w="1340"/>
        <w:gridCol w:w="1389"/>
        <w:gridCol w:w="1375"/>
        <w:gridCol w:w="14"/>
      </w:tblGrid>
      <w:tr w:rsidR="002858D9" w:rsidRPr="00B41060" w:rsidTr="00004824">
        <w:trPr>
          <w:gridBefore w:val="1"/>
          <w:gridAfter w:val="1"/>
          <w:wBefore w:w="379" w:type="dxa"/>
          <w:wAfter w:w="14" w:type="dxa"/>
          <w:cantSplit/>
          <w:jc w:val="center"/>
        </w:trPr>
        <w:tc>
          <w:tcPr>
            <w:tcW w:w="422" w:type="dxa"/>
            <w:tcBorders>
              <w:top w:val="nil"/>
              <w:left w:val="nil"/>
              <w:bottom w:val="nil"/>
              <w:right w:val="nil"/>
            </w:tcBorders>
          </w:tcPr>
          <w:p w:rsidR="002858D9" w:rsidRPr="00B41060" w:rsidRDefault="002858D9" w:rsidP="00004824">
            <w:pPr>
              <w:keepNext/>
              <w:keepLines/>
              <w:jc w:val="center"/>
              <w:rPr>
                <w:sz w:val="18"/>
                <w:lang w:val="es-419"/>
              </w:rPr>
            </w:pPr>
          </w:p>
        </w:tc>
        <w:tc>
          <w:tcPr>
            <w:tcW w:w="283" w:type="dxa"/>
            <w:gridSpan w:val="2"/>
            <w:tcBorders>
              <w:top w:val="nil"/>
              <w:left w:val="nil"/>
              <w:bottom w:val="nil"/>
              <w:right w:val="nil"/>
            </w:tcBorders>
          </w:tcPr>
          <w:p w:rsidR="002858D9" w:rsidRPr="00B41060" w:rsidRDefault="002858D9" w:rsidP="00004824">
            <w:pPr>
              <w:keepNext/>
              <w:keepLines/>
              <w:jc w:val="center"/>
              <w:rPr>
                <w:sz w:val="18"/>
                <w:lang w:val="es-419"/>
              </w:rPr>
            </w:pPr>
          </w:p>
        </w:tc>
        <w:tc>
          <w:tcPr>
            <w:tcW w:w="8357" w:type="dxa"/>
            <w:gridSpan w:val="9"/>
            <w:tcBorders>
              <w:left w:val="single" w:sz="4" w:space="0" w:color="auto"/>
              <w:bottom w:val="nil"/>
            </w:tcBorders>
          </w:tcPr>
          <w:p w:rsidR="002858D9" w:rsidRPr="00B41060" w:rsidRDefault="002858D9" w:rsidP="00004824">
            <w:pPr>
              <w:keepNext/>
              <w:keepLines/>
              <w:jc w:val="center"/>
              <w:rPr>
                <w:sz w:val="18"/>
                <w:lang w:val="es-419"/>
              </w:rPr>
            </w:pPr>
            <w:r w:rsidRPr="00B41060">
              <w:rPr>
                <w:lang w:val="es-419"/>
              </w:rPr>
              <w:tab/>
            </w:r>
            <w:r w:rsidRPr="00B41060">
              <w:rPr>
                <w:noProof/>
                <w:sz w:val="18"/>
                <w:lang w:val="es-419"/>
              </w:rPr>
              <w:sym w:font="Wingdings" w:char="F0DF"/>
            </w:r>
            <w:r w:rsidRPr="00B41060">
              <w:rPr>
                <w:lang w:val="es-419"/>
              </w:rPr>
              <w:tab/>
            </w:r>
            <w:r w:rsidRPr="00B41060">
              <w:rPr>
                <w:lang w:val="es-419"/>
              </w:rPr>
              <w:tab/>
              <w:t>parte más ancha</w:t>
            </w:r>
            <w:r w:rsidRPr="00B41060">
              <w:rPr>
                <w:lang w:val="es-419"/>
              </w:rPr>
              <w:tab/>
            </w:r>
            <w:r w:rsidRPr="00B41060">
              <w:rPr>
                <w:lang w:val="es-419"/>
              </w:rPr>
              <w:tab/>
            </w:r>
            <w:r w:rsidRPr="00B41060">
              <w:rPr>
                <w:noProof/>
                <w:sz w:val="18"/>
                <w:lang w:val="es-419"/>
              </w:rPr>
              <w:sym w:font="Wingdings" w:char="F0E0"/>
            </w:r>
            <w:r w:rsidRPr="00B41060">
              <w:rPr>
                <w:noProof/>
                <w:sz w:val="18"/>
                <w:lang w:val="es-419"/>
              </w:rPr>
              <w:t xml:space="preserve"> </w:t>
            </w:r>
            <w:r w:rsidRPr="00B41060">
              <w:rPr>
                <w:lang w:val="es-419"/>
              </w:rPr>
              <w:tab/>
            </w:r>
          </w:p>
        </w:tc>
      </w:tr>
      <w:tr w:rsidR="002858D9" w:rsidRPr="00B41060" w:rsidTr="00004824">
        <w:trPr>
          <w:gridBefore w:val="1"/>
          <w:gridAfter w:val="1"/>
          <w:wBefore w:w="379" w:type="dxa"/>
          <w:wAfter w:w="14" w:type="dxa"/>
          <w:cantSplit/>
          <w:jc w:val="center"/>
        </w:trPr>
        <w:tc>
          <w:tcPr>
            <w:tcW w:w="422" w:type="dxa"/>
            <w:tcBorders>
              <w:top w:val="nil"/>
              <w:left w:val="nil"/>
              <w:bottom w:val="nil"/>
              <w:right w:val="nil"/>
            </w:tcBorders>
          </w:tcPr>
          <w:p w:rsidR="002858D9" w:rsidRPr="00B41060" w:rsidRDefault="002858D9" w:rsidP="00004824">
            <w:pPr>
              <w:jc w:val="center"/>
              <w:rPr>
                <w:sz w:val="18"/>
                <w:lang w:val="es-419"/>
              </w:rPr>
            </w:pPr>
          </w:p>
        </w:tc>
        <w:tc>
          <w:tcPr>
            <w:tcW w:w="283" w:type="dxa"/>
            <w:gridSpan w:val="2"/>
            <w:tcBorders>
              <w:top w:val="nil"/>
              <w:left w:val="nil"/>
              <w:bottom w:val="nil"/>
              <w:right w:val="nil"/>
            </w:tcBorders>
          </w:tcPr>
          <w:p w:rsidR="002858D9" w:rsidRPr="00B41060" w:rsidRDefault="002858D9" w:rsidP="00004824">
            <w:pPr>
              <w:jc w:val="center"/>
              <w:rPr>
                <w:sz w:val="18"/>
                <w:lang w:val="es-419"/>
              </w:rPr>
            </w:pPr>
          </w:p>
        </w:tc>
        <w:tc>
          <w:tcPr>
            <w:tcW w:w="2835" w:type="dxa"/>
            <w:gridSpan w:val="4"/>
            <w:tcBorders>
              <w:top w:val="single" w:sz="4" w:space="0" w:color="auto"/>
              <w:left w:val="single" w:sz="4" w:space="0" w:color="auto"/>
              <w:bottom w:val="single" w:sz="4" w:space="0" w:color="auto"/>
              <w:right w:val="single" w:sz="4" w:space="0" w:color="auto"/>
            </w:tcBorders>
          </w:tcPr>
          <w:p w:rsidR="002858D9" w:rsidRPr="00B41060" w:rsidRDefault="002858D9" w:rsidP="00004824">
            <w:pPr>
              <w:jc w:val="center"/>
              <w:rPr>
                <w:sz w:val="18"/>
                <w:lang w:val="es-419"/>
              </w:rPr>
            </w:pPr>
            <w:r w:rsidRPr="00B41060">
              <w:rPr>
                <w:noProof/>
                <w:sz w:val="18"/>
                <w:lang w:val="es-419"/>
              </w:rPr>
              <w:t xml:space="preserve">por </w:t>
            </w:r>
            <w:r>
              <w:rPr>
                <w:noProof/>
                <w:sz w:val="18"/>
                <w:lang w:val="es-419"/>
              </w:rPr>
              <w:t>debajo de la mitad</w:t>
            </w:r>
          </w:p>
        </w:tc>
        <w:tc>
          <w:tcPr>
            <w:tcW w:w="1418" w:type="dxa"/>
            <w:gridSpan w:val="2"/>
            <w:tcBorders>
              <w:top w:val="single" w:sz="4" w:space="0" w:color="auto"/>
              <w:left w:val="single" w:sz="4" w:space="0" w:color="auto"/>
              <w:bottom w:val="single" w:sz="4" w:space="0" w:color="auto"/>
              <w:right w:val="single" w:sz="4" w:space="0" w:color="auto"/>
            </w:tcBorders>
          </w:tcPr>
          <w:p w:rsidR="002858D9" w:rsidRPr="00B41060" w:rsidRDefault="002858D9" w:rsidP="00004824">
            <w:pPr>
              <w:jc w:val="center"/>
              <w:rPr>
                <w:sz w:val="18"/>
                <w:lang w:val="es-419"/>
              </w:rPr>
            </w:pPr>
            <w:r w:rsidRPr="00B41060">
              <w:rPr>
                <w:sz w:val="18"/>
                <w:lang w:val="es-419"/>
              </w:rPr>
              <w:t>en la mitad</w:t>
            </w:r>
          </w:p>
        </w:tc>
        <w:tc>
          <w:tcPr>
            <w:tcW w:w="4104" w:type="dxa"/>
            <w:gridSpan w:val="3"/>
            <w:tcBorders>
              <w:top w:val="single" w:sz="4" w:space="0" w:color="auto"/>
              <w:left w:val="single" w:sz="4" w:space="0" w:color="auto"/>
              <w:bottom w:val="single" w:sz="4" w:space="0" w:color="auto"/>
              <w:right w:val="single" w:sz="4" w:space="0" w:color="auto"/>
            </w:tcBorders>
          </w:tcPr>
          <w:p w:rsidR="002858D9" w:rsidRPr="00B41060" w:rsidRDefault="002858D9" w:rsidP="00004824">
            <w:pPr>
              <w:jc w:val="center"/>
              <w:rPr>
                <w:sz w:val="18"/>
                <w:lang w:val="es-419"/>
              </w:rPr>
            </w:pPr>
            <w:r>
              <w:rPr>
                <w:noProof/>
                <w:sz w:val="18"/>
                <w:lang w:val="es-419"/>
              </w:rPr>
              <w:t>por encima de la mitad</w:t>
            </w:r>
          </w:p>
        </w:tc>
      </w:tr>
      <w:tr w:rsidR="002858D9" w:rsidRPr="00B41060" w:rsidTr="00004824">
        <w:trPr>
          <w:gridBefore w:val="1"/>
          <w:wBefore w:w="379" w:type="dxa"/>
          <w:trHeight w:val="163"/>
          <w:jc w:val="center"/>
        </w:trPr>
        <w:tc>
          <w:tcPr>
            <w:tcW w:w="429" w:type="dxa"/>
            <w:gridSpan w:val="2"/>
            <w:tcBorders>
              <w:top w:val="nil"/>
              <w:left w:val="nil"/>
              <w:bottom w:val="nil"/>
              <w:right w:val="nil"/>
            </w:tcBorders>
          </w:tcPr>
          <w:p w:rsidR="002858D9" w:rsidRPr="00B41060" w:rsidRDefault="002858D9" w:rsidP="00004824">
            <w:pPr>
              <w:jc w:val="center"/>
              <w:rPr>
                <w:sz w:val="18"/>
                <w:lang w:val="es-419"/>
              </w:rPr>
            </w:pPr>
          </w:p>
        </w:tc>
        <w:tc>
          <w:tcPr>
            <w:tcW w:w="283" w:type="dxa"/>
            <w:gridSpan w:val="2"/>
            <w:tcBorders>
              <w:top w:val="nil"/>
              <w:left w:val="nil"/>
              <w:bottom w:val="nil"/>
              <w:right w:val="nil"/>
            </w:tcBorders>
          </w:tcPr>
          <w:p w:rsidR="002858D9" w:rsidRPr="00B41060" w:rsidRDefault="002858D9" w:rsidP="00004824">
            <w:pPr>
              <w:jc w:val="center"/>
              <w:rPr>
                <w:sz w:val="18"/>
                <w:lang w:val="es-419"/>
              </w:rPr>
            </w:pPr>
          </w:p>
        </w:tc>
        <w:tc>
          <w:tcPr>
            <w:tcW w:w="1420" w:type="dxa"/>
            <w:tcBorders>
              <w:top w:val="nil"/>
              <w:left w:val="nil"/>
              <w:bottom w:val="nil"/>
              <w:right w:val="nil"/>
            </w:tcBorders>
          </w:tcPr>
          <w:p w:rsidR="002858D9" w:rsidRPr="00B41060" w:rsidRDefault="002858D9" w:rsidP="00004824">
            <w:pPr>
              <w:jc w:val="center"/>
              <w:rPr>
                <w:sz w:val="18"/>
                <w:lang w:val="es-419"/>
              </w:rPr>
            </w:pPr>
          </w:p>
        </w:tc>
        <w:tc>
          <w:tcPr>
            <w:tcW w:w="1389" w:type="dxa"/>
            <w:tcBorders>
              <w:top w:val="nil"/>
              <w:left w:val="nil"/>
              <w:bottom w:val="nil"/>
              <w:right w:val="nil"/>
            </w:tcBorders>
          </w:tcPr>
          <w:p w:rsidR="002858D9" w:rsidRPr="00B41060" w:rsidRDefault="002858D9" w:rsidP="00004824">
            <w:pPr>
              <w:jc w:val="center"/>
              <w:rPr>
                <w:sz w:val="18"/>
                <w:lang w:val="es-419"/>
              </w:rPr>
            </w:pPr>
          </w:p>
        </w:tc>
        <w:tc>
          <w:tcPr>
            <w:tcW w:w="1389" w:type="dxa"/>
            <w:gridSpan w:val="2"/>
            <w:tcBorders>
              <w:top w:val="nil"/>
              <w:left w:val="nil"/>
              <w:bottom w:val="nil"/>
              <w:right w:val="nil"/>
            </w:tcBorders>
          </w:tcPr>
          <w:p w:rsidR="002858D9" w:rsidRPr="00B41060" w:rsidRDefault="002858D9" w:rsidP="00004824">
            <w:pPr>
              <w:jc w:val="center"/>
              <w:rPr>
                <w:sz w:val="18"/>
                <w:lang w:val="es-419"/>
              </w:rPr>
            </w:pPr>
          </w:p>
        </w:tc>
        <w:tc>
          <w:tcPr>
            <w:tcW w:w="1388" w:type="dxa"/>
            <w:gridSpan w:val="2"/>
            <w:tcBorders>
              <w:top w:val="nil"/>
              <w:left w:val="nil"/>
              <w:bottom w:val="nil"/>
              <w:right w:val="nil"/>
            </w:tcBorders>
          </w:tcPr>
          <w:p w:rsidR="002858D9" w:rsidRPr="00B41060" w:rsidRDefault="002858D9" w:rsidP="00004824">
            <w:pPr>
              <w:jc w:val="center"/>
              <w:rPr>
                <w:sz w:val="18"/>
                <w:lang w:val="es-419"/>
              </w:rPr>
            </w:pPr>
          </w:p>
        </w:tc>
        <w:tc>
          <w:tcPr>
            <w:tcW w:w="1389" w:type="dxa"/>
            <w:tcBorders>
              <w:top w:val="nil"/>
              <w:left w:val="nil"/>
              <w:bottom w:val="nil"/>
              <w:right w:val="nil"/>
            </w:tcBorders>
          </w:tcPr>
          <w:p w:rsidR="002858D9" w:rsidRPr="00B41060" w:rsidRDefault="002858D9" w:rsidP="00004824">
            <w:pPr>
              <w:jc w:val="center"/>
              <w:rPr>
                <w:sz w:val="18"/>
                <w:lang w:val="es-419"/>
              </w:rPr>
            </w:pPr>
          </w:p>
        </w:tc>
        <w:tc>
          <w:tcPr>
            <w:tcW w:w="1389" w:type="dxa"/>
            <w:gridSpan w:val="2"/>
            <w:tcBorders>
              <w:top w:val="nil"/>
              <w:left w:val="nil"/>
              <w:bottom w:val="nil"/>
              <w:right w:val="nil"/>
            </w:tcBorders>
          </w:tcPr>
          <w:p w:rsidR="002858D9" w:rsidRPr="00B41060" w:rsidRDefault="002858D9" w:rsidP="00004824">
            <w:pPr>
              <w:jc w:val="center"/>
              <w:rPr>
                <w:sz w:val="18"/>
                <w:lang w:val="es-419"/>
              </w:rPr>
            </w:pPr>
          </w:p>
        </w:tc>
      </w:tr>
      <w:tr w:rsidR="002858D9" w:rsidRPr="00B41060" w:rsidTr="00004824">
        <w:trPr>
          <w:cantSplit/>
          <w:jc w:val="center"/>
        </w:trPr>
        <w:tc>
          <w:tcPr>
            <w:tcW w:w="379" w:type="dxa"/>
            <w:vMerge w:val="restart"/>
            <w:shd w:val="clear" w:color="auto" w:fill="auto"/>
            <w:textDirection w:val="btLr"/>
          </w:tcPr>
          <w:p w:rsidR="002858D9" w:rsidRPr="00B41060" w:rsidRDefault="002858D9" w:rsidP="00004824">
            <w:pPr>
              <w:ind w:left="113" w:right="113"/>
              <w:jc w:val="center"/>
              <w:rPr>
                <w:noProof/>
                <w:sz w:val="18"/>
                <w:highlight w:val="lightGray"/>
                <w:u w:val="single"/>
                <w:lang w:val="es-419"/>
              </w:rPr>
            </w:pPr>
            <w:r w:rsidRPr="00B41060">
              <w:rPr>
                <w:noProof/>
                <w:sz w:val="18"/>
                <w:highlight w:val="lightGray"/>
                <w:u w:val="single"/>
                <w:lang w:val="es-419"/>
              </w:rPr>
              <w:sym w:font="Wingdings" w:char="F0DF"/>
            </w:r>
            <w:r w:rsidRPr="00B41060">
              <w:rPr>
                <w:noProof/>
                <w:sz w:val="18"/>
                <w:highlight w:val="lightGray"/>
                <w:u w:val="single"/>
                <w:lang w:val="es-419"/>
              </w:rPr>
              <w:tab/>
            </w:r>
            <w:r w:rsidRPr="00B41060">
              <w:rPr>
                <w:noProof/>
                <w:sz w:val="18"/>
                <w:highlight w:val="lightGray"/>
                <w:u w:val="single"/>
                <w:lang w:val="es-419"/>
              </w:rPr>
              <w:tab/>
              <w:t>anchura relativa</w:t>
            </w:r>
            <w:r w:rsidRPr="00B41060">
              <w:rPr>
                <w:noProof/>
                <w:sz w:val="18"/>
                <w:highlight w:val="lightGray"/>
                <w:u w:val="single"/>
                <w:lang w:val="es-419"/>
              </w:rPr>
              <w:tab/>
            </w:r>
            <w:r w:rsidRPr="00B41060">
              <w:rPr>
                <w:noProof/>
                <w:sz w:val="18"/>
                <w:highlight w:val="lightGray"/>
                <w:u w:val="single"/>
                <w:lang w:val="es-419"/>
              </w:rPr>
              <w:tab/>
            </w:r>
            <w:r w:rsidRPr="00B41060">
              <w:rPr>
                <w:noProof/>
                <w:color w:val="000000" w:themeColor="text1"/>
                <w:sz w:val="18"/>
                <w:highlight w:val="lightGray"/>
                <w:u w:val="single"/>
                <w:lang w:val="es-419"/>
              </w:rPr>
              <w:sym w:font="Wingdings" w:char="F0E0"/>
            </w:r>
          </w:p>
        </w:tc>
        <w:tc>
          <w:tcPr>
            <w:tcW w:w="429" w:type="dxa"/>
            <w:gridSpan w:val="2"/>
            <w:vMerge w:val="restart"/>
            <w:tcBorders>
              <w:top w:val="single" w:sz="4" w:space="0" w:color="auto"/>
              <w:right w:val="single" w:sz="4" w:space="0" w:color="auto"/>
            </w:tcBorders>
            <w:textDirection w:val="btLr"/>
          </w:tcPr>
          <w:p w:rsidR="002858D9" w:rsidRPr="00B41060" w:rsidRDefault="002858D9" w:rsidP="00004824">
            <w:pPr>
              <w:ind w:left="113" w:right="113"/>
              <w:jc w:val="center"/>
              <w:rPr>
                <w:sz w:val="18"/>
                <w:szCs w:val="18"/>
                <w:lang w:val="es-419"/>
              </w:rPr>
            </w:pPr>
            <w:r w:rsidRPr="00B41060">
              <w:rPr>
                <w:sz w:val="18"/>
                <w:szCs w:val="18"/>
                <w:lang w:val="es-419"/>
              </w:rPr>
              <w:t xml:space="preserve">ancha </w:t>
            </w:r>
            <w:r w:rsidRPr="00B41060">
              <w:rPr>
                <w:strike/>
                <w:noProof/>
                <w:sz w:val="18"/>
                <w:szCs w:val="18"/>
                <w:highlight w:val="lightGray"/>
                <w:lang w:val="es-419"/>
              </w:rPr>
              <w:t>(</w:t>
            </w:r>
            <w:r w:rsidRPr="00B41060">
              <w:rPr>
                <w:i/>
                <w:strike/>
                <w:sz w:val="18"/>
                <w:szCs w:val="18"/>
                <w:highlight w:val="lightGray"/>
                <w:lang w:val="es-419"/>
              </w:rPr>
              <w:t>baja)</w:t>
            </w:r>
            <w:r w:rsidRPr="00B41060">
              <w:rPr>
                <w:noProof/>
                <w:sz w:val="18"/>
                <w:szCs w:val="18"/>
                <w:lang w:val="es-419"/>
              </w:rPr>
              <w:sym w:font="Wingdings" w:char="F0DF"/>
            </w:r>
            <w:r w:rsidRPr="00B41060">
              <w:rPr>
                <w:sz w:val="18"/>
                <w:szCs w:val="18"/>
                <w:lang w:val="es-419"/>
              </w:rPr>
              <w:tab/>
            </w:r>
            <w:r w:rsidRPr="00B41060">
              <w:rPr>
                <w:strike/>
                <w:sz w:val="18"/>
                <w:szCs w:val="18"/>
                <w:highlight w:val="lightGray"/>
                <w:lang w:val="es-419"/>
              </w:rPr>
              <w:t>anchura</w:t>
            </w:r>
            <w:r w:rsidRPr="00B41060">
              <w:rPr>
                <w:strike/>
                <w:sz w:val="18"/>
                <w:szCs w:val="18"/>
                <w:lang w:val="es-419"/>
              </w:rPr>
              <w:t xml:space="preserve"> </w:t>
            </w:r>
            <w:r w:rsidRPr="00B41060">
              <w:rPr>
                <w:strike/>
                <w:sz w:val="18"/>
                <w:szCs w:val="18"/>
                <w:highlight w:val="lightGray"/>
                <w:lang w:val="es-419"/>
              </w:rPr>
              <w:t>(</w:t>
            </w:r>
            <w:r w:rsidRPr="00B41060">
              <w:rPr>
                <w:strike/>
                <w:color w:val="000000"/>
                <w:sz w:val="18"/>
                <w:szCs w:val="18"/>
                <w:highlight w:val="lightGray"/>
                <w:lang w:val="es-419"/>
              </w:rPr>
              <w:t>relación longitud/anchura)</w:t>
            </w:r>
            <w:r w:rsidRPr="00B41060">
              <w:rPr>
                <w:sz w:val="18"/>
                <w:szCs w:val="18"/>
                <w:lang w:val="es-419"/>
              </w:rPr>
              <w:tab/>
            </w:r>
            <w:r w:rsidRPr="00B41060">
              <w:rPr>
                <w:noProof/>
                <w:sz w:val="18"/>
                <w:szCs w:val="18"/>
                <w:lang w:val="es-419"/>
              </w:rPr>
              <w:sym w:font="Wingdings" w:char="F0E0"/>
            </w:r>
            <w:r w:rsidRPr="00B41060">
              <w:rPr>
                <w:sz w:val="18"/>
                <w:szCs w:val="18"/>
                <w:lang w:val="es-419"/>
              </w:rPr>
              <w:t xml:space="preserve"> estrecha </w:t>
            </w:r>
            <w:r w:rsidRPr="00B41060">
              <w:rPr>
                <w:strike/>
                <w:noProof/>
                <w:sz w:val="18"/>
                <w:szCs w:val="18"/>
                <w:highlight w:val="lightGray"/>
                <w:lang w:val="es-419"/>
              </w:rPr>
              <w:t>(</w:t>
            </w:r>
            <w:r w:rsidRPr="00B41060">
              <w:rPr>
                <w:i/>
                <w:strike/>
                <w:sz w:val="18"/>
                <w:szCs w:val="18"/>
                <w:highlight w:val="lightGray"/>
                <w:lang w:val="es-419"/>
              </w:rPr>
              <w:t>alta</w:t>
            </w:r>
            <w:r w:rsidRPr="00B41060">
              <w:rPr>
                <w:strike/>
                <w:noProof/>
                <w:sz w:val="18"/>
                <w:szCs w:val="18"/>
                <w:highlight w:val="lightGray"/>
                <w:lang w:val="es-419"/>
              </w:rPr>
              <w:t>)</w:t>
            </w:r>
          </w:p>
        </w:tc>
        <w:tc>
          <w:tcPr>
            <w:tcW w:w="283" w:type="dxa"/>
            <w:gridSpan w:val="2"/>
            <w:tcBorders>
              <w:top w:val="nil"/>
              <w:left w:val="nil"/>
              <w:bottom w:val="nil"/>
              <w:right w:val="nil"/>
            </w:tcBorders>
          </w:tcPr>
          <w:p w:rsidR="002858D9" w:rsidRPr="00B41060" w:rsidRDefault="002858D9" w:rsidP="00004824">
            <w:pPr>
              <w:jc w:val="center"/>
              <w:rPr>
                <w:sz w:val="18"/>
                <w:lang w:val="es-419"/>
              </w:rPr>
            </w:pPr>
          </w:p>
        </w:tc>
        <w:tc>
          <w:tcPr>
            <w:tcW w:w="1420" w:type="dxa"/>
            <w:tcBorders>
              <w:left w:val="single" w:sz="4" w:space="0" w:color="auto"/>
            </w:tcBorders>
          </w:tcPr>
          <w:p w:rsidR="002858D9" w:rsidRPr="00B41060" w:rsidRDefault="002858D9" w:rsidP="00004824">
            <w:pPr>
              <w:jc w:val="center"/>
              <w:rPr>
                <w:sz w:val="18"/>
                <w:lang w:val="es-419"/>
              </w:rPr>
            </w:pPr>
          </w:p>
        </w:tc>
        <w:tc>
          <w:tcPr>
            <w:tcW w:w="1389" w:type="dxa"/>
          </w:tcPr>
          <w:p w:rsidR="002858D9" w:rsidRPr="00B41060" w:rsidRDefault="002858D9" w:rsidP="00004824">
            <w:pPr>
              <w:jc w:val="center"/>
              <w:rPr>
                <w:sz w:val="18"/>
                <w:lang w:val="es-419"/>
              </w:rPr>
            </w:pPr>
          </w:p>
        </w:tc>
        <w:tc>
          <w:tcPr>
            <w:tcW w:w="1389" w:type="dxa"/>
            <w:gridSpan w:val="2"/>
          </w:tcPr>
          <w:p w:rsidR="002858D9" w:rsidRPr="00B41060" w:rsidRDefault="002858D9" w:rsidP="00004824">
            <w:pPr>
              <w:jc w:val="center"/>
              <w:rPr>
                <w:sz w:val="18"/>
                <w:lang w:val="es-419"/>
              </w:rPr>
            </w:pPr>
            <w:r w:rsidRPr="00B41060">
              <w:rPr>
                <w:noProof/>
                <w:sz w:val="18"/>
                <w:lang w:val="en-US" w:eastAsia="en-US" w:bidi="ar-SA"/>
              </w:rPr>
              <w:drawing>
                <wp:inline distT="0" distB="0" distL="0" distR="0" wp14:anchorId="25B3FAD3" wp14:editId="04AA3690">
                  <wp:extent cx="171450" cy="10858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1450" cy="1085850"/>
                          </a:xfrm>
                          <a:prstGeom prst="rect">
                            <a:avLst/>
                          </a:prstGeom>
                          <a:noFill/>
                          <a:ln>
                            <a:noFill/>
                          </a:ln>
                        </pic:spPr>
                      </pic:pic>
                    </a:graphicData>
                  </a:graphic>
                </wp:inline>
              </w:drawing>
            </w:r>
          </w:p>
          <w:p w:rsidR="002858D9" w:rsidRPr="00B41060" w:rsidRDefault="002858D9" w:rsidP="00004824">
            <w:pPr>
              <w:jc w:val="center"/>
              <w:rPr>
                <w:sz w:val="18"/>
                <w:lang w:val="es-419"/>
              </w:rPr>
            </w:pPr>
            <w:r w:rsidRPr="00B41060">
              <w:rPr>
                <w:sz w:val="18"/>
                <w:lang w:val="es-419"/>
              </w:rPr>
              <w:t xml:space="preserve">6 </w:t>
            </w:r>
          </w:p>
          <w:p w:rsidR="002858D9" w:rsidRPr="00B41060" w:rsidRDefault="002858D9" w:rsidP="00004824">
            <w:pPr>
              <w:jc w:val="center"/>
              <w:rPr>
                <w:sz w:val="18"/>
                <w:lang w:val="es-419"/>
              </w:rPr>
            </w:pPr>
            <w:r w:rsidRPr="00B41060">
              <w:rPr>
                <w:sz w:val="18"/>
                <w:lang w:val="es-419"/>
              </w:rPr>
              <w:t>lineal</w:t>
            </w:r>
          </w:p>
        </w:tc>
        <w:tc>
          <w:tcPr>
            <w:tcW w:w="1388" w:type="dxa"/>
            <w:gridSpan w:val="2"/>
          </w:tcPr>
          <w:p w:rsidR="002858D9" w:rsidRPr="00B41060" w:rsidRDefault="002858D9" w:rsidP="00004824">
            <w:pPr>
              <w:jc w:val="center"/>
              <w:rPr>
                <w:sz w:val="18"/>
                <w:lang w:val="es-419"/>
              </w:rPr>
            </w:pPr>
          </w:p>
        </w:tc>
        <w:tc>
          <w:tcPr>
            <w:tcW w:w="1389" w:type="dxa"/>
          </w:tcPr>
          <w:p w:rsidR="002858D9" w:rsidRPr="00B41060" w:rsidRDefault="002858D9" w:rsidP="00004824">
            <w:pPr>
              <w:jc w:val="center"/>
              <w:rPr>
                <w:sz w:val="18"/>
                <w:lang w:val="es-419"/>
              </w:rPr>
            </w:pPr>
          </w:p>
        </w:tc>
        <w:tc>
          <w:tcPr>
            <w:tcW w:w="1389" w:type="dxa"/>
            <w:gridSpan w:val="2"/>
          </w:tcPr>
          <w:p w:rsidR="002858D9" w:rsidRPr="00B41060" w:rsidRDefault="002858D9" w:rsidP="00004824">
            <w:pPr>
              <w:jc w:val="center"/>
              <w:rPr>
                <w:sz w:val="18"/>
                <w:lang w:val="es-419"/>
              </w:rPr>
            </w:pPr>
          </w:p>
        </w:tc>
      </w:tr>
      <w:tr w:rsidR="002858D9" w:rsidRPr="00B41060" w:rsidTr="00004824">
        <w:trPr>
          <w:cantSplit/>
          <w:jc w:val="center"/>
        </w:trPr>
        <w:tc>
          <w:tcPr>
            <w:tcW w:w="379" w:type="dxa"/>
            <w:vMerge/>
            <w:shd w:val="clear" w:color="auto" w:fill="auto"/>
          </w:tcPr>
          <w:p w:rsidR="002858D9" w:rsidRPr="00B41060" w:rsidRDefault="002858D9" w:rsidP="00004824">
            <w:pPr>
              <w:jc w:val="center"/>
              <w:rPr>
                <w:sz w:val="18"/>
                <w:lang w:val="es-419"/>
              </w:rPr>
            </w:pPr>
          </w:p>
        </w:tc>
        <w:tc>
          <w:tcPr>
            <w:tcW w:w="429" w:type="dxa"/>
            <w:gridSpan w:val="2"/>
            <w:vMerge/>
            <w:tcBorders>
              <w:right w:val="single" w:sz="4" w:space="0" w:color="auto"/>
            </w:tcBorders>
          </w:tcPr>
          <w:p w:rsidR="002858D9" w:rsidRPr="00B41060" w:rsidRDefault="002858D9" w:rsidP="00004824">
            <w:pPr>
              <w:jc w:val="center"/>
              <w:rPr>
                <w:sz w:val="18"/>
                <w:lang w:val="es-419"/>
              </w:rPr>
            </w:pPr>
          </w:p>
        </w:tc>
        <w:tc>
          <w:tcPr>
            <w:tcW w:w="283" w:type="dxa"/>
            <w:gridSpan w:val="2"/>
            <w:tcBorders>
              <w:top w:val="nil"/>
              <w:left w:val="nil"/>
              <w:bottom w:val="nil"/>
              <w:right w:val="nil"/>
            </w:tcBorders>
          </w:tcPr>
          <w:p w:rsidR="002858D9" w:rsidRPr="00B41060" w:rsidRDefault="002858D9" w:rsidP="00004824">
            <w:pPr>
              <w:jc w:val="center"/>
              <w:rPr>
                <w:sz w:val="18"/>
                <w:lang w:val="es-419"/>
              </w:rPr>
            </w:pPr>
          </w:p>
        </w:tc>
        <w:tc>
          <w:tcPr>
            <w:tcW w:w="1420" w:type="dxa"/>
            <w:tcBorders>
              <w:left w:val="single" w:sz="4" w:space="0" w:color="auto"/>
            </w:tcBorders>
          </w:tcPr>
          <w:p w:rsidR="002858D9" w:rsidRPr="00B41060" w:rsidRDefault="002858D9" w:rsidP="00004824">
            <w:pPr>
              <w:jc w:val="center"/>
              <w:rPr>
                <w:sz w:val="18"/>
                <w:lang w:val="es-419"/>
              </w:rPr>
            </w:pPr>
          </w:p>
        </w:tc>
        <w:tc>
          <w:tcPr>
            <w:tcW w:w="1389" w:type="dxa"/>
          </w:tcPr>
          <w:p w:rsidR="002858D9" w:rsidRPr="00B41060" w:rsidRDefault="002858D9" w:rsidP="00004824">
            <w:pPr>
              <w:jc w:val="center"/>
              <w:rPr>
                <w:sz w:val="18"/>
                <w:lang w:val="es-419"/>
              </w:rPr>
            </w:pPr>
          </w:p>
        </w:tc>
        <w:tc>
          <w:tcPr>
            <w:tcW w:w="1389" w:type="dxa"/>
            <w:gridSpan w:val="2"/>
          </w:tcPr>
          <w:p w:rsidR="002858D9" w:rsidRPr="00B41060" w:rsidRDefault="002858D9" w:rsidP="00004824">
            <w:pPr>
              <w:jc w:val="center"/>
              <w:rPr>
                <w:sz w:val="18"/>
                <w:lang w:val="es-419"/>
              </w:rPr>
            </w:pPr>
            <w:r w:rsidRPr="00B41060">
              <w:rPr>
                <w:noProof/>
                <w:sz w:val="18"/>
                <w:lang w:val="en-US" w:eastAsia="en-US" w:bidi="ar-SA"/>
              </w:rPr>
              <w:drawing>
                <wp:inline distT="0" distB="0" distL="0" distR="0" wp14:anchorId="10FBF7D9" wp14:editId="2D6008E3">
                  <wp:extent cx="371475" cy="10858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1475" cy="1085850"/>
                          </a:xfrm>
                          <a:prstGeom prst="rect">
                            <a:avLst/>
                          </a:prstGeom>
                          <a:noFill/>
                          <a:ln>
                            <a:noFill/>
                          </a:ln>
                        </pic:spPr>
                      </pic:pic>
                    </a:graphicData>
                  </a:graphic>
                </wp:inline>
              </w:drawing>
            </w:r>
          </w:p>
          <w:p w:rsidR="002858D9" w:rsidRPr="00B41060" w:rsidRDefault="002858D9" w:rsidP="00004824">
            <w:pPr>
              <w:jc w:val="center"/>
              <w:rPr>
                <w:sz w:val="18"/>
                <w:lang w:val="es-419"/>
              </w:rPr>
            </w:pPr>
            <w:r w:rsidRPr="00B41060">
              <w:rPr>
                <w:sz w:val="18"/>
                <w:lang w:val="es-419"/>
              </w:rPr>
              <w:t>5</w:t>
            </w:r>
          </w:p>
          <w:p w:rsidR="002858D9" w:rsidRPr="00B41060" w:rsidRDefault="002858D9" w:rsidP="00004824">
            <w:pPr>
              <w:jc w:val="center"/>
              <w:rPr>
                <w:sz w:val="18"/>
                <w:lang w:val="es-419"/>
              </w:rPr>
            </w:pPr>
            <w:r w:rsidRPr="00B41060">
              <w:rPr>
                <w:sz w:val="18"/>
                <w:lang w:val="es-419"/>
              </w:rPr>
              <w:t>oblonga</w:t>
            </w:r>
          </w:p>
        </w:tc>
        <w:tc>
          <w:tcPr>
            <w:tcW w:w="1388" w:type="dxa"/>
            <w:gridSpan w:val="2"/>
          </w:tcPr>
          <w:p w:rsidR="002858D9" w:rsidRPr="00B41060" w:rsidRDefault="002858D9" w:rsidP="00004824">
            <w:pPr>
              <w:jc w:val="center"/>
              <w:rPr>
                <w:sz w:val="18"/>
                <w:lang w:val="es-419"/>
              </w:rPr>
            </w:pPr>
            <w:r w:rsidRPr="00B41060">
              <w:rPr>
                <w:noProof/>
                <w:sz w:val="18"/>
                <w:lang w:val="en-US" w:eastAsia="en-US" w:bidi="ar-SA"/>
              </w:rPr>
              <w:drawing>
                <wp:inline distT="0" distB="0" distL="0" distR="0" wp14:anchorId="5841CA20" wp14:editId="6EF40969">
                  <wp:extent cx="266700" cy="10858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6700" cy="1085850"/>
                          </a:xfrm>
                          <a:prstGeom prst="rect">
                            <a:avLst/>
                          </a:prstGeom>
                          <a:noFill/>
                          <a:ln>
                            <a:noFill/>
                          </a:ln>
                        </pic:spPr>
                      </pic:pic>
                    </a:graphicData>
                  </a:graphic>
                </wp:inline>
              </w:drawing>
            </w:r>
          </w:p>
          <w:p w:rsidR="002858D9" w:rsidRPr="00B41060" w:rsidRDefault="002858D9" w:rsidP="00004824">
            <w:pPr>
              <w:jc w:val="center"/>
              <w:rPr>
                <w:sz w:val="18"/>
                <w:lang w:val="es-419"/>
              </w:rPr>
            </w:pPr>
            <w:r w:rsidRPr="00B41060">
              <w:rPr>
                <w:sz w:val="18"/>
                <w:lang w:val="es-419"/>
              </w:rPr>
              <w:t>8</w:t>
            </w:r>
          </w:p>
          <w:p w:rsidR="002858D9" w:rsidRPr="00B41060" w:rsidRDefault="002858D9" w:rsidP="00004824">
            <w:pPr>
              <w:jc w:val="center"/>
              <w:rPr>
                <w:sz w:val="18"/>
                <w:lang w:val="es-419"/>
              </w:rPr>
            </w:pPr>
            <w:proofErr w:type="spellStart"/>
            <w:r w:rsidRPr="00B41060">
              <w:rPr>
                <w:sz w:val="18"/>
                <w:lang w:val="es-419"/>
              </w:rPr>
              <w:t>oblanceolada</w:t>
            </w:r>
            <w:proofErr w:type="spellEnd"/>
          </w:p>
        </w:tc>
        <w:tc>
          <w:tcPr>
            <w:tcW w:w="1389" w:type="dxa"/>
          </w:tcPr>
          <w:p w:rsidR="002858D9" w:rsidRPr="00B41060" w:rsidRDefault="002858D9" w:rsidP="00004824">
            <w:pPr>
              <w:jc w:val="center"/>
              <w:rPr>
                <w:sz w:val="18"/>
                <w:lang w:val="es-419"/>
              </w:rPr>
            </w:pPr>
            <w:r w:rsidRPr="00B41060">
              <w:rPr>
                <w:noProof/>
                <w:sz w:val="18"/>
                <w:lang w:val="en-US" w:eastAsia="en-US" w:bidi="ar-SA"/>
              </w:rPr>
              <w:drawing>
                <wp:inline distT="0" distB="0" distL="0" distR="0" wp14:anchorId="2319EE8B" wp14:editId="34E10577">
                  <wp:extent cx="304800" cy="10763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4800" cy="1076325"/>
                          </a:xfrm>
                          <a:prstGeom prst="rect">
                            <a:avLst/>
                          </a:prstGeom>
                          <a:noFill/>
                          <a:ln>
                            <a:noFill/>
                          </a:ln>
                        </pic:spPr>
                      </pic:pic>
                    </a:graphicData>
                  </a:graphic>
                </wp:inline>
              </w:drawing>
            </w:r>
          </w:p>
          <w:p w:rsidR="002858D9" w:rsidRPr="00B41060" w:rsidRDefault="002858D9" w:rsidP="00004824">
            <w:pPr>
              <w:jc w:val="center"/>
              <w:rPr>
                <w:sz w:val="18"/>
                <w:lang w:val="es-419"/>
              </w:rPr>
            </w:pPr>
            <w:r w:rsidRPr="00B41060">
              <w:rPr>
                <w:sz w:val="18"/>
                <w:lang w:val="es-419"/>
              </w:rPr>
              <w:t>9</w:t>
            </w:r>
          </w:p>
          <w:p w:rsidR="002858D9" w:rsidRPr="00B41060" w:rsidRDefault="002858D9" w:rsidP="00004824">
            <w:pPr>
              <w:jc w:val="center"/>
              <w:rPr>
                <w:sz w:val="18"/>
                <w:lang w:val="es-419"/>
              </w:rPr>
            </w:pPr>
            <w:r w:rsidRPr="00B41060">
              <w:rPr>
                <w:sz w:val="18"/>
                <w:lang w:val="es-419"/>
              </w:rPr>
              <w:t>espatulada</w:t>
            </w:r>
          </w:p>
        </w:tc>
        <w:tc>
          <w:tcPr>
            <w:tcW w:w="1389" w:type="dxa"/>
            <w:gridSpan w:val="2"/>
          </w:tcPr>
          <w:p w:rsidR="002858D9" w:rsidRPr="00B41060" w:rsidRDefault="002858D9" w:rsidP="00004824">
            <w:pPr>
              <w:jc w:val="center"/>
              <w:rPr>
                <w:sz w:val="18"/>
                <w:lang w:val="es-419"/>
              </w:rPr>
            </w:pPr>
          </w:p>
        </w:tc>
      </w:tr>
      <w:tr w:rsidR="002858D9" w:rsidRPr="00B41060" w:rsidTr="00004824">
        <w:trPr>
          <w:cantSplit/>
          <w:jc w:val="center"/>
        </w:trPr>
        <w:tc>
          <w:tcPr>
            <w:tcW w:w="379" w:type="dxa"/>
            <w:vMerge/>
            <w:shd w:val="clear" w:color="auto" w:fill="auto"/>
          </w:tcPr>
          <w:p w:rsidR="002858D9" w:rsidRPr="00B41060" w:rsidRDefault="002858D9" w:rsidP="00004824">
            <w:pPr>
              <w:jc w:val="center"/>
              <w:rPr>
                <w:sz w:val="18"/>
                <w:lang w:val="es-419"/>
              </w:rPr>
            </w:pPr>
          </w:p>
        </w:tc>
        <w:tc>
          <w:tcPr>
            <w:tcW w:w="429" w:type="dxa"/>
            <w:gridSpan w:val="2"/>
            <w:vMerge/>
            <w:tcBorders>
              <w:right w:val="single" w:sz="4" w:space="0" w:color="auto"/>
            </w:tcBorders>
          </w:tcPr>
          <w:p w:rsidR="002858D9" w:rsidRPr="00B41060" w:rsidRDefault="002858D9" w:rsidP="00004824">
            <w:pPr>
              <w:jc w:val="center"/>
              <w:rPr>
                <w:sz w:val="18"/>
                <w:lang w:val="es-419"/>
              </w:rPr>
            </w:pPr>
          </w:p>
        </w:tc>
        <w:tc>
          <w:tcPr>
            <w:tcW w:w="283" w:type="dxa"/>
            <w:gridSpan w:val="2"/>
            <w:tcBorders>
              <w:top w:val="nil"/>
              <w:left w:val="nil"/>
              <w:bottom w:val="nil"/>
              <w:right w:val="nil"/>
            </w:tcBorders>
          </w:tcPr>
          <w:p w:rsidR="002858D9" w:rsidRPr="00B41060" w:rsidRDefault="002858D9" w:rsidP="00004824">
            <w:pPr>
              <w:jc w:val="center"/>
              <w:rPr>
                <w:sz w:val="18"/>
                <w:lang w:val="es-419"/>
              </w:rPr>
            </w:pPr>
          </w:p>
        </w:tc>
        <w:tc>
          <w:tcPr>
            <w:tcW w:w="1420" w:type="dxa"/>
            <w:tcBorders>
              <w:left w:val="single" w:sz="4" w:space="0" w:color="auto"/>
            </w:tcBorders>
          </w:tcPr>
          <w:p w:rsidR="002858D9" w:rsidRPr="00B41060" w:rsidRDefault="002858D9" w:rsidP="00004824">
            <w:pPr>
              <w:jc w:val="center"/>
              <w:rPr>
                <w:sz w:val="18"/>
                <w:lang w:val="es-419"/>
              </w:rPr>
            </w:pPr>
            <w:r w:rsidRPr="00B41060">
              <w:rPr>
                <w:noProof/>
                <w:sz w:val="18"/>
                <w:lang w:val="en-US" w:eastAsia="en-US" w:bidi="ar-SA"/>
              </w:rPr>
              <w:drawing>
                <wp:inline distT="0" distB="0" distL="0" distR="0" wp14:anchorId="379B7E32" wp14:editId="63452771">
                  <wp:extent cx="581025" cy="10477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81025" cy="1047750"/>
                          </a:xfrm>
                          <a:prstGeom prst="rect">
                            <a:avLst/>
                          </a:prstGeom>
                          <a:noFill/>
                          <a:ln>
                            <a:noFill/>
                          </a:ln>
                        </pic:spPr>
                      </pic:pic>
                    </a:graphicData>
                  </a:graphic>
                </wp:inline>
              </w:drawing>
            </w:r>
          </w:p>
          <w:p w:rsidR="002858D9" w:rsidRPr="00B41060" w:rsidRDefault="002858D9" w:rsidP="00004824">
            <w:pPr>
              <w:jc w:val="center"/>
              <w:rPr>
                <w:sz w:val="18"/>
                <w:lang w:val="es-419"/>
              </w:rPr>
            </w:pPr>
            <w:r w:rsidRPr="00B41060">
              <w:rPr>
                <w:sz w:val="18"/>
                <w:lang w:val="es-419"/>
              </w:rPr>
              <w:t xml:space="preserve">1 </w:t>
            </w:r>
          </w:p>
          <w:p w:rsidR="002858D9" w:rsidRPr="00B41060" w:rsidRDefault="002858D9" w:rsidP="00004824">
            <w:pPr>
              <w:jc w:val="center"/>
              <w:rPr>
                <w:sz w:val="18"/>
                <w:lang w:val="es-419"/>
              </w:rPr>
            </w:pPr>
            <w:r w:rsidRPr="00B41060">
              <w:rPr>
                <w:sz w:val="18"/>
                <w:lang w:val="es-419"/>
              </w:rPr>
              <w:t>triangular</w:t>
            </w:r>
          </w:p>
        </w:tc>
        <w:tc>
          <w:tcPr>
            <w:tcW w:w="1389" w:type="dxa"/>
          </w:tcPr>
          <w:p w:rsidR="002858D9" w:rsidRPr="00B41060" w:rsidRDefault="002858D9" w:rsidP="00004824">
            <w:pPr>
              <w:jc w:val="center"/>
              <w:rPr>
                <w:sz w:val="18"/>
                <w:lang w:val="es-419"/>
              </w:rPr>
            </w:pPr>
            <w:r w:rsidRPr="00B41060">
              <w:rPr>
                <w:noProof/>
                <w:sz w:val="18"/>
                <w:lang w:val="en-US" w:eastAsia="en-US" w:bidi="ar-SA"/>
              </w:rPr>
              <w:drawing>
                <wp:inline distT="0" distB="0" distL="0" distR="0" wp14:anchorId="6F070DBD" wp14:editId="7CA6F6E1">
                  <wp:extent cx="504825" cy="10858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04825" cy="1085850"/>
                          </a:xfrm>
                          <a:prstGeom prst="rect">
                            <a:avLst/>
                          </a:prstGeom>
                          <a:noFill/>
                          <a:ln>
                            <a:noFill/>
                          </a:ln>
                        </pic:spPr>
                      </pic:pic>
                    </a:graphicData>
                  </a:graphic>
                </wp:inline>
              </w:drawing>
            </w:r>
          </w:p>
          <w:p w:rsidR="002858D9" w:rsidRPr="00B41060" w:rsidRDefault="002858D9" w:rsidP="00004824">
            <w:pPr>
              <w:jc w:val="center"/>
              <w:rPr>
                <w:sz w:val="18"/>
                <w:lang w:val="es-419"/>
              </w:rPr>
            </w:pPr>
            <w:r w:rsidRPr="00B41060">
              <w:rPr>
                <w:sz w:val="18"/>
                <w:lang w:val="es-419"/>
              </w:rPr>
              <w:t>2</w:t>
            </w:r>
          </w:p>
          <w:p w:rsidR="002858D9" w:rsidRPr="00B41060" w:rsidRDefault="002858D9" w:rsidP="00004824">
            <w:pPr>
              <w:jc w:val="center"/>
              <w:rPr>
                <w:sz w:val="18"/>
                <w:lang w:val="es-419"/>
              </w:rPr>
            </w:pPr>
            <w:r w:rsidRPr="00B41060">
              <w:rPr>
                <w:sz w:val="18"/>
                <w:lang w:val="es-419"/>
              </w:rPr>
              <w:t>oval</w:t>
            </w:r>
          </w:p>
        </w:tc>
        <w:tc>
          <w:tcPr>
            <w:tcW w:w="1389" w:type="dxa"/>
            <w:gridSpan w:val="2"/>
          </w:tcPr>
          <w:p w:rsidR="002858D9" w:rsidRPr="00B41060" w:rsidRDefault="002858D9" w:rsidP="00004824">
            <w:pPr>
              <w:jc w:val="center"/>
              <w:rPr>
                <w:sz w:val="18"/>
                <w:lang w:val="es-419"/>
              </w:rPr>
            </w:pPr>
            <w:r w:rsidRPr="00B41060">
              <w:rPr>
                <w:noProof/>
                <w:sz w:val="18"/>
                <w:lang w:val="en-US" w:eastAsia="en-US" w:bidi="ar-SA"/>
              </w:rPr>
              <w:drawing>
                <wp:inline distT="0" distB="0" distL="0" distR="0" wp14:anchorId="2C5A133F" wp14:editId="16A114F5">
                  <wp:extent cx="457200" cy="10763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57200" cy="1076325"/>
                          </a:xfrm>
                          <a:prstGeom prst="rect">
                            <a:avLst/>
                          </a:prstGeom>
                          <a:noFill/>
                          <a:ln>
                            <a:noFill/>
                          </a:ln>
                        </pic:spPr>
                      </pic:pic>
                    </a:graphicData>
                  </a:graphic>
                </wp:inline>
              </w:drawing>
            </w:r>
          </w:p>
          <w:p w:rsidR="002858D9" w:rsidRPr="00B41060" w:rsidRDefault="002858D9" w:rsidP="00004824">
            <w:pPr>
              <w:jc w:val="center"/>
              <w:rPr>
                <w:sz w:val="18"/>
                <w:lang w:val="es-419"/>
              </w:rPr>
            </w:pPr>
            <w:r w:rsidRPr="00B41060">
              <w:rPr>
                <w:sz w:val="18"/>
                <w:lang w:val="es-419"/>
              </w:rPr>
              <w:t>4</w:t>
            </w:r>
          </w:p>
          <w:p w:rsidR="002858D9" w:rsidRPr="00B41060" w:rsidRDefault="002858D9" w:rsidP="00004824">
            <w:pPr>
              <w:jc w:val="center"/>
              <w:rPr>
                <w:sz w:val="18"/>
                <w:lang w:val="es-419"/>
              </w:rPr>
            </w:pPr>
            <w:r w:rsidRPr="00B41060">
              <w:rPr>
                <w:sz w:val="18"/>
                <w:lang w:val="es-419"/>
              </w:rPr>
              <w:t>elíptica</w:t>
            </w:r>
          </w:p>
        </w:tc>
        <w:tc>
          <w:tcPr>
            <w:tcW w:w="1388" w:type="dxa"/>
            <w:gridSpan w:val="2"/>
          </w:tcPr>
          <w:p w:rsidR="002858D9" w:rsidRPr="00B41060" w:rsidRDefault="002858D9" w:rsidP="00004824">
            <w:pPr>
              <w:jc w:val="center"/>
              <w:rPr>
                <w:sz w:val="18"/>
                <w:lang w:val="es-419"/>
              </w:rPr>
            </w:pPr>
            <w:r w:rsidRPr="00B41060">
              <w:rPr>
                <w:noProof/>
                <w:sz w:val="18"/>
                <w:lang w:val="en-US" w:eastAsia="en-US" w:bidi="ar-SA"/>
              </w:rPr>
              <w:drawing>
                <wp:inline distT="0" distB="0" distL="0" distR="0" wp14:anchorId="3CADAFE7" wp14:editId="6E4213E5">
                  <wp:extent cx="533400" cy="10763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3400" cy="1076325"/>
                          </a:xfrm>
                          <a:prstGeom prst="rect">
                            <a:avLst/>
                          </a:prstGeom>
                          <a:noFill/>
                          <a:ln>
                            <a:noFill/>
                          </a:ln>
                        </pic:spPr>
                      </pic:pic>
                    </a:graphicData>
                  </a:graphic>
                </wp:inline>
              </w:drawing>
            </w:r>
          </w:p>
          <w:p w:rsidR="002858D9" w:rsidRPr="00B41060" w:rsidRDefault="002858D9" w:rsidP="00004824">
            <w:pPr>
              <w:jc w:val="center"/>
              <w:rPr>
                <w:sz w:val="18"/>
                <w:lang w:val="es-419"/>
              </w:rPr>
            </w:pPr>
            <w:r w:rsidRPr="00B41060">
              <w:rPr>
                <w:sz w:val="18"/>
                <w:lang w:val="es-419"/>
              </w:rPr>
              <w:t>7</w:t>
            </w:r>
          </w:p>
          <w:p w:rsidR="002858D9" w:rsidRPr="00B41060" w:rsidRDefault="002858D9" w:rsidP="00004824">
            <w:pPr>
              <w:jc w:val="center"/>
              <w:rPr>
                <w:sz w:val="18"/>
                <w:lang w:val="es-419"/>
              </w:rPr>
            </w:pPr>
            <w:proofErr w:type="spellStart"/>
            <w:r w:rsidRPr="00B41060">
              <w:rPr>
                <w:sz w:val="18"/>
                <w:lang w:val="es-419"/>
              </w:rPr>
              <w:t>oboval</w:t>
            </w:r>
            <w:proofErr w:type="spellEnd"/>
          </w:p>
        </w:tc>
        <w:tc>
          <w:tcPr>
            <w:tcW w:w="1389" w:type="dxa"/>
          </w:tcPr>
          <w:p w:rsidR="002858D9" w:rsidRPr="00B41060" w:rsidRDefault="002858D9" w:rsidP="00004824">
            <w:pPr>
              <w:jc w:val="center"/>
              <w:rPr>
                <w:sz w:val="18"/>
                <w:lang w:val="es-419"/>
              </w:rPr>
            </w:pPr>
          </w:p>
        </w:tc>
        <w:tc>
          <w:tcPr>
            <w:tcW w:w="1389" w:type="dxa"/>
            <w:gridSpan w:val="2"/>
          </w:tcPr>
          <w:p w:rsidR="002858D9" w:rsidRPr="00B41060" w:rsidRDefault="002858D9" w:rsidP="00004824">
            <w:pPr>
              <w:jc w:val="center"/>
              <w:rPr>
                <w:sz w:val="18"/>
                <w:lang w:val="es-419"/>
              </w:rPr>
            </w:pPr>
            <w:r w:rsidRPr="00B41060">
              <w:rPr>
                <w:noProof/>
                <w:sz w:val="18"/>
                <w:lang w:val="en-US" w:eastAsia="en-US" w:bidi="ar-SA"/>
              </w:rPr>
              <w:drawing>
                <wp:inline distT="0" distB="0" distL="0" distR="0" wp14:anchorId="7802365E" wp14:editId="07ECAFDC">
                  <wp:extent cx="523875" cy="108585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23875" cy="1085850"/>
                          </a:xfrm>
                          <a:prstGeom prst="rect">
                            <a:avLst/>
                          </a:prstGeom>
                          <a:noFill/>
                          <a:ln>
                            <a:noFill/>
                          </a:ln>
                        </pic:spPr>
                      </pic:pic>
                    </a:graphicData>
                  </a:graphic>
                </wp:inline>
              </w:drawing>
            </w:r>
          </w:p>
          <w:p w:rsidR="002858D9" w:rsidRPr="00B41060" w:rsidRDefault="002858D9" w:rsidP="00004824">
            <w:pPr>
              <w:jc w:val="center"/>
              <w:rPr>
                <w:sz w:val="18"/>
                <w:lang w:val="es-419"/>
              </w:rPr>
            </w:pPr>
            <w:r w:rsidRPr="00B41060">
              <w:rPr>
                <w:sz w:val="18"/>
                <w:lang w:val="es-419"/>
              </w:rPr>
              <w:t xml:space="preserve">10 </w:t>
            </w:r>
            <w:proofErr w:type="spellStart"/>
            <w:r w:rsidRPr="00B41060">
              <w:rPr>
                <w:sz w:val="18"/>
                <w:lang w:val="es-419"/>
              </w:rPr>
              <w:t>obtriangular</w:t>
            </w:r>
            <w:proofErr w:type="spellEnd"/>
          </w:p>
        </w:tc>
      </w:tr>
      <w:tr w:rsidR="002858D9" w:rsidRPr="00B41060" w:rsidTr="00004824">
        <w:trPr>
          <w:cantSplit/>
          <w:trHeight w:val="2035"/>
          <w:jc w:val="center"/>
        </w:trPr>
        <w:tc>
          <w:tcPr>
            <w:tcW w:w="379" w:type="dxa"/>
            <w:vMerge/>
            <w:shd w:val="clear" w:color="auto" w:fill="auto"/>
          </w:tcPr>
          <w:p w:rsidR="002858D9" w:rsidRPr="00B41060" w:rsidRDefault="002858D9" w:rsidP="00004824">
            <w:pPr>
              <w:jc w:val="center"/>
              <w:rPr>
                <w:sz w:val="18"/>
                <w:lang w:val="es-419"/>
              </w:rPr>
            </w:pPr>
          </w:p>
        </w:tc>
        <w:tc>
          <w:tcPr>
            <w:tcW w:w="429" w:type="dxa"/>
            <w:gridSpan w:val="2"/>
            <w:vMerge/>
            <w:tcBorders>
              <w:right w:val="single" w:sz="4" w:space="0" w:color="auto"/>
            </w:tcBorders>
          </w:tcPr>
          <w:p w:rsidR="002858D9" w:rsidRPr="00B41060" w:rsidRDefault="002858D9" w:rsidP="00004824">
            <w:pPr>
              <w:jc w:val="center"/>
              <w:rPr>
                <w:sz w:val="18"/>
                <w:lang w:val="es-419"/>
              </w:rPr>
            </w:pPr>
          </w:p>
        </w:tc>
        <w:tc>
          <w:tcPr>
            <w:tcW w:w="283" w:type="dxa"/>
            <w:gridSpan w:val="2"/>
            <w:tcBorders>
              <w:top w:val="nil"/>
              <w:left w:val="nil"/>
              <w:bottom w:val="nil"/>
              <w:right w:val="nil"/>
            </w:tcBorders>
          </w:tcPr>
          <w:p w:rsidR="002858D9" w:rsidRPr="00B41060" w:rsidRDefault="002858D9" w:rsidP="00004824">
            <w:pPr>
              <w:jc w:val="center"/>
              <w:rPr>
                <w:sz w:val="18"/>
                <w:lang w:val="es-419"/>
              </w:rPr>
            </w:pPr>
          </w:p>
        </w:tc>
        <w:tc>
          <w:tcPr>
            <w:tcW w:w="1420" w:type="dxa"/>
            <w:tcBorders>
              <w:left w:val="single" w:sz="4" w:space="0" w:color="auto"/>
            </w:tcBorders>
          </w:tcPr>
          <w:p w:rsidR="002858D9" w:rsidRPr="00B41060" w:rsidRDefault="002858D9" w:rsidP="00004824">
            <w:pPr>
              <w:jc w:val="center"/>
              <w:rPr>
                <w:sz w:val="18"/>
                <w:lang w:val="es-419"/>
              </w:rPr>
            </w:pPr>
          </w:p>
        </w:tc>
        <w:tc>
          <w:tcPr>
            <w:tcW w:w="1389" w:type="dxa"/>
          </w:tcPr>
          <w:p w:rsidR="002858D9" w:rsidRPr="00B41060" w:rsidRDefault="002858D9" w:rsidP="00004824">
            <w:pPr>
              <w:jc w:val="center"/>
              <w:rPr>
                <w:sz w:val="18"/>
                <w:lang w:val="es-419"/>
              </w:rPr>
            </w:pPr>
          </w:p>
        </w:tc>
        <w:tc>
          <w:tcPr>
            <w:tcW w:w="1389" w:type="dxa"/>
            <w:gridSpan w:val="2"/>
          </w:tcPr>
          <w:p w:rsidR="002858D9" w:rsidRPr="00B41060" w:rsidRDefault="002858D9" w:rsidP="00004824">
            <w:pPr>
              <w:jc w:val="center"/>
              <w:rPr>
                <w:sz w:val="18"/>
                <w:lang w:val="es-419"/>
              </w:rPr>
            </w:pPr>
            <w:r w:rsidRPr="00B41060">
              <w:rPr>
                <w:noProof/>
                <w:sz w:val="18"/>
                <w:lang w:val="en-US" w:eastAsia="en-US" w:bidi="ar-SA"/>
              </w:rPr>
              <w:drawing>
                <wp:inline distT="0" distB="0" distL="0" distR="0" wp14:anchorId="1E233A34" wp14:editId="487CA7F8">
                  <wp:extent cx="600075" cy="8572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00075" cy="857250"/>
                          </a:xfrm>
                          <a:prstGeom prst="rect">
                            <a:avLst/>
                          </a:prstGeom>
                          <a:noFill/>
                          <a:ln>
                            <a:noFill/>
                          </a:ln>
                        </pic:spPr>
                      </pic:pic>
                    </a:graphicData>
                  </a:graphic>
                </wp:inline>
              </w:drawing>
            </w:r>
          </w:p>
          <w:p w:rsidR="002858D9" w:rsidRPr="00B41060" w:rsidRDefault="002858D9" w:rsidP="00004824">
            <w:pPr>
              <w:jc w:val="center"/>
              <w:rPr>
                <w:sz w:val="18"/>
                <w:lang w:val="es-419"/>
              </w:rPr>
            </w:pPr>
            <w:r w:rsidRPr="00B41060">
              <w:rPr>
                <w:sz w:val="18"/>
                <w:lang w:val="es-419"/>
              </w:rPr>
              <w:t>3</w:t>
            </w:r>
          </w:p>
          <w:p w:rsidR="002858D9" w:rsidRPr="00B41060" w:rsidRDefault="002858D9" w:rsidP="00004824">
            <w:pPr>
              <w:jc w:val="center"/>
              <w:rPr>
                <w:sz w:val="18"/>
                <w:lang w:val="es-419"/>
              </w:rPr>
            </w:pPr>
            <w:r w:rsidRPr="00B41060">
              <w:rPr>
                <w:sz w:val="18"/>
                <w:lang w:val="es-419"/>
              </w:rPr>
              <w:t>circular</w:t>
            </w:r>
          </w:p>
        </w:tc>
        <w:tc>
          <w:tcPr>
            <w:tcW w:w="1388" w:type="dxa"/>
            <w:gridSpan w:val="2"/>
          </w:tcPr>
          <w:p w:rsidR="002858D9" w:rsidRPr="00B41060" w:rsidRDefault="002858D9" w:rsidP="00004824">
            <w:pPr>
              <w:jc w:val="center"/>
              <w:rPr>
                <w:sz w:val="18"/>
                <w:lang w:val="es-419"/>
              </w:rPr>
            </w:pPr>
          </w:p>
        </w:tc>
        <w:tc>
          <w:tcPr>
            <w:tcW w:w="1389" w:type="dxa"/>
          </w:tcPr>
          <w:p w:rsidR="002858D9" w:rsidRPr="00B41060" w:rsidRDefault="002858D9" w:rsidP="00004824">
            <w:pPr>
              <w:jc w:val="center"/>
              <w:rPr>
                <w:sz w:val="18"/>
                <w:lang w:val="es-419"/>
              </w:rPr>
            </w:pPr>
          </w:p>
        </w:tc>
        <w:tc>
          <w:tcPr>
            <w:tcW w:w="1389" w:type="dxa"/>
            <w:gridSpan w:val="2"/>
          </w:tcPr>
          <w:p w:rsidR="002858D9" w:rsidRPr="00B41060" w:rsidRDefault="002858D9" w:rsidP="00004824">
            <w:pPr>
              <w:jc w:val="center"/>
              <w:rPr>
                <w:sz w:val="18"/>
                <w:lang w:val="es-419"/>
              </w:rPr>
            </w:pPr>
          </w:p>
        </w:tc>
      </w:tr>
    </w:tbl>
    <w:p w:rsidR="002858D9" w:rsidRPr="00B41060" w:rsidRDefault="002858D9" w:rsidP="002858D9">
      <w:pPr>
        <w:rPr>
          <w:lang w:val="es-419"/>
        </w:rPr>
      </w:pPr>
    </w:p>
    <w:p w:rsidR="002858D9" w:rsidRPr="00B41060" w:rsidRDefault="002858D9" w:rsidP="002858D9">
      <w:pPr>
        <w:rPr>
          <w:lang w:val="es-419"/>
        </w:rPr>
      </w:pPr>
    </w:p>
    <w:p w:rsidR="002858D9" w:rsidRPr="00B41060" w:rsidRDefault="002858D9" w:rsidP="002858D9">
      <w:pPr>
        <w:jc w:val="left"/>
        <w:rPr>
          <w:lang w:val="es-419"/>
        </w:rPr>
      </w:pPr>
      <w:r w:rsidRPr="00B41060">
        <w:rPr>
          <w:lang w:val="es-419"/>
        </w:rPr>
        <w:br w:type="page"/>
      </w:r>
    </w:p>
    <w:p w:rsidR="002858D9" w:rsidRPr="00B41060" w:rsidRDefault="002858D9" w:rsidP="002858D9">
      <w:pPr>
        <w:rPr>
          <w:rFonts w:eastAsia="MS Mincho"/>
          <w:u w:val="single"/>
          <w:lang w:val="es-419"/>
        </w:rPr>
      </w:pPr>
      <w:r w:rsidRPr="00B41060">
        <w:rPr>
          <w:lang w:val="es-419"/>
        </w:rPr>
        <w:lastRenderedPageBreak/>
        <w:t>i</w:t>
      </w:r>
      <w:r w:rsidRPr="00B41060">
        <w:rPr>
          <w:u w:val="single"/>
          <w:lang w:val="es-419"/>
        </w:rPr>
        <w:t>i)</w:t>
      </w:r>
      <w:r w:rsidRPr="00B41060">
        <w:rPr>
          <w:u w:val="single"/>
          <w:lang w:val="es-419"/>
        </w:rPr>
        <w:tab/>
        <w:t>Factores que se han de tener en cuenta al crear grupos de color</w:t>
      </w:r>
    </w:p>
    <w:p w:rsidR="002858D9" w:rsidRPr="00B41060" w:rsidRDefault="002858D9" w:rsidP="002858D9">
      <w:pPr>
        <w:rPr>
          <w:lang w:val="es-419"/>
        </w:rPr>
      </w:pPr>
    </w:p>
    <w:p w:rsidR="002858D9" w:rsidRPr="00B41060" w:rsidRDefault="002858D9" w:rsidP="002858D9">
      <w:pPr>
        <w:rPr>
          <w:lang w:val="es-419"/>
        </w:rPr>
      </w:pPr>
      <w:r w:rsidRPr="00B41060">
        <w:rPr>
          <w:lang w:val="es-419"/>
        </w:rPr>
        <w:fldChar w:fldCharType="begin"/>
      </w:r>
      <w:r w:rsidRPr="00B41060">
        <w:rPr>
          <w:lang w:val="es-419"/>
        </w:rPr>
        <w:instrText xml:space="preserve"> AUTONUM  </w:instrText>
      </w:r>
      <w:r w:rsidRPr="00B41060">
        <w:rPr>
          <w:lang w:val="es-419"/>
        </w:rPr>
        <w:fldChar w:fldCharType="end"/>
      </w:r>
      <w:r w:rsidRPr="00B41060">
        <w:rPr>
          <w:lang w:val="es-419"/>
        </w:rPr>
        <w:tab/>
        <w:t>En su quincuagésima cuarta sesión, el TC examinó el documento</w:t>
      </w:r>
      <w:r>
        <w:rPr>
          <w:lang w:val="es-419"/>
        </w:rPr>
        <w:t xml:space="preserve"> </w:t>
      </w:r>
      <w:r w:rsidRPr="00B41060">
        <w:rPr>
          <w:lang w:val="es-419"/>
        </w:rPr>
        <w:t>TC/54/22 “Nombres de los colores de la carta de colores</w:t>
      </w:r>
      <w:r>
        <w:rPr>
          <w:lang w:val="es-419"/>
        </w:rPr>
        <w:t xml:space="preserve"> </w:t>
      </w:r>
      <w:r w:rsidRPr="00B41060">
        <w:rPr>
          <w:lang w:val="es-419"/>
        </w:rPr>
        <w:t>RHS” (véase el párrafo 244 del documento TC/54/31 “Informe”)</w:t>
      </w:r>
    </w:p>
    <w:p w:rsidR="002858D9" w:rsidRPr="00B41060" w:rsidRDefault="002858D9" w:rsidP="002858D9">
      <w:pPr>
        <w:rPr>
          <w:lang w:val="es-419"/>
        </w:rPr>
      </w:pPr>
    </w:p>
    <w:p w:rsidR="002858D9" w:rsidRPr="00B41060" w:rsidRDefault="002858D9" w:rsidP="002858D9">
      <w:pPr>
        <w:rPr>
          <w:lang w:val="es-419"/>
        </w:rPr>
      </w:pPr>
      <w:r w:rsidRPr="00B41060">
        <w:rPr>
          <w:lang w:val="es-419"/>
        </w:rPr>
        <w:fldChar w:fldCharType="begin"/>
      </w:r>
      <w:r w:rsidRPr="00B41060">
        <w:rPr>
          <w:lang w:val="es-419"/>
        </w:rPr>
        <w:instrText xml:space="preserve"> AUTONUM  </w:instrText>
      </w:r>
      <w:r w:rsidRPr="00B41060">
        <w:rPr>
          <w:lang w:val="es-419"/>
        </w:rPr>
        <w:fldChar w:fldCharType="end"/>
      </w:r>
      <w:r w:rsidRPr="00B41060">
        <w:rPr>
          <w:lang w:val="es-419"/>
        </w:rPr>
        <w:tab/>
        <w:t>El TC acordó proponer que se revise el documento TGP/14 para incluir la siguiente orientación sobre los factores que se han de tener en cuenta al crear grupos de color a efectos de agrupar variedades y organizar el ensayo de cultivo:</w:t>
      </w:r>
    </w:p>
    <w:p w:rsidR="002858D9" w:rsidRPr="00B41060" w:rsidRDefault="002858D9" w:rsidP="002858D9">
      <w:pPr>
        <w:rPr>
          <w:rFonts w:eastAsiaTheme="minorEastAsia" w:cs="Arial"/>
          <w:lang w:val="es-419"/>
        </w:rPr>
      </w:pPr>
    </w:p>
    <w:p w:rsidR="002858D9" w:rsidRPr="00B41060" w:rsidRDefault="002858D9" w:rsidP="002858D9">
      <w:pPr>
        <w:ind w:left="567" w:right="567"/>
        <w:rPr>
          <w:rFonts w:eastAsiaTheme="minorEastAsia" w:cs="Arial"/>
          <w:szCs w:val="18"/>
          <w:lang w:val="es-419"/>
        </w:rPr>
      </w:pPr>
      <w:r w:rsidRPr="00B41060">
        <w:rPr>
          <w:lang w:val="es-419"/>
        </w:rPr>
        <w:t>subsección 3: color: nueva sección: “Factores que se han de tener en cuenta al crear grupos de color</w:t>
      </w:r>
    </w:p>
    <w:p w:rsidR="002858D9" w:rsidRPr="00B41060" w:rsidRDefault="002858D9" w:rsidP="002858D9">
      <w:pPr>
        <w:ind w:left="567" w:right="567"/>
        <w:rPr>
          <w:rFonts w:eastAsiaTheme="minorEastAsia" w:cs="Arial"/>
          <w:lang w:val="es-419"/>
        </w:rPr>
      </w:pPr>
    </w:p>
    <w:p w:rsidR="002858D9" w:rsidRPr="00B41060" w:rsidRDefault="002858D9" w:rsidP="002858D9">
      <w:pPr>
        <w:ind w:left="567" w:right="567"/>
        <w:rPr>
          <w:rFonts w:eastAsiaTheme="minorEastAsia" w:cs="Arial"/>
          <w:lang w:val="es-419"/>
        </w:rPr>
      </w:pPr>
      <w:r w:rsidRPr="00B41060">
        <w:rPr>
          <w:rFonts w:eastAsiaTheme="minorEastAsia" w:cs="Arial"/>
          <w:lang w:val="es-419"/>
        </w:rPr>
        <w:t>“</w:t>
      </w:r>
      <w:r w:rsidRPr="00B41060">
        <w:rPr>
          <w:lang w:val="es-419"/>
        </w:rPr>
        <w:t>Cuando se utiliza el color de una parte de una planta para el agrupamiento de variedades, es necesario que la diferencia entre los colores sea clara y amplia. No obstante, los grupos de color se emplean en el cuestionario técnico incluso en el caso de que el solicitante no disponga de una carta de colores RHS. Por tanto, los grupos han de ser lo suficientemente pequeños como para que el solicitante pueda proporcionar un nivel de expresión adecuado para el carácter.</w:t>
      </w:r>
    </w:p>
    <w:p w:rsidR="002858D9" w:rsidRPr="00B41060" w:rsidRDefault="002858D9" w:rsidP="002858D9">
      <w:pPr>
        <w:ind w:left="567" w:right="567"/>
        <w:rPr>
          <w:rFonts w:eastAsiaTheme="minorEastAsia" w:cs="Arial"/>
          <w:lang w:val="es-419"/>
        </w:rPr>
      </w:pPr>
    </w:p>
    <w:p w:rsidR="002858D9" w:rsidRPr="00B41060" w:rsidRDefault="002858D9" w:rsidP="002858D9">
      <w:pPr>
        <w:ind w:left="567" w:right="567"/>
        <w:rPr>
          <w:rFonts w:eastAsiaTheme="minorEastAsia" w:cs="Arial"/>
          <w:lang w:val="es-419"/>
        </w:rPr>
      </w:pPr>
      <w:r w:rsidRPr="00B41060">
        <w:rPr>
          <w:lang w:val="es-419"/>
        </w:rPr>
        <w:t>Al crear grupos de color a efectos del agrupamiento, se han de tener en cuenta los factores siguientes:</w:t>
      </w:r>
    </w:p>
    <w:p w:rsidR="002858D9" w:rsidRPr="00B41060" w:rsidRDefault="002858D9" w:rsidP="002858D9">
      <w:pPr>
        <w:ind w:left="567" w:right="567"/>
        <w:rPr>
          <w:rFonts w:eastAsiaTheme="minorEastAsia" w:cs="Arial"/>
          <w:sz w:val="12"/>
          <w:lang w:val="es-419"/>
        </w:rPr>
      </w:pPr>
    </w:p>
    <w:p w:rsidR="002858D9" w:rsidRPr="00B41060" w:rsidRDefault="002858D9" w:rsidP="002858D9">
      <w:pPr>
        <w:ind w:left="1701" w:right="567" w:hanging="567"/>
        <w:contextualSpacing/>
        <w:rPr>
          <w:rFonts w:eastAsiaTheme="minorEastAsia" w:cs="Arial"/>
          <w:lang w:val="es-419"/>
        </w:rPr>
      </w:pPr>
      <w:r w:rsidRPr="00B41060">
        <w:rPr>
          <w:lang w:val="es-419"/>
        </w:rPr>
        <w:t>a)</w:t>
      </w:r>
      <w:r w:rsidRPr="00B41060">
        <w:rPr>
          <w:lang w:val="es-419"/>
        </w:rPr>
        <w:tab/>
        <w:t>la gama de variación del color de la parte de la planta dentro de la especie</w:t>
      </w:r>
    </w:p>
    <w:p w:rsidR="002858D9" w:rsidRPr="00B41060" w:rsidRDefault="002858D9" w:rsidP="002858D9">
      <w:pPr>
        <w:ind w:left="567" w:right="567" w:firstLine="567"/>
        <w:contextualSpacing/>
        <w:rPr>
          <w:rFonts w:eastAsiaTheme="minorEastAsia" w:cs="Arial"/>
          <w:lang w:val="es-419"/>
        </w:rPr>
      </w:pPr>
      <w:r w:rsidRPr="00B41060">
        <w:rPr>
          <w:lang w:val="es-419"/>
        </w:rPr>
        <w:t>b)</w:t>
      </w:r>
      <w:r w:rsidRPr="00B41060">
        <w:rPr>
          <w:lang w:val="es-419"/>
        </w:rPr>
        <w:tab/>
        <w:t>la diferencia entre los colores para que las variedades se consideren claramente distinguibles</w:t>
      </w:r>
    </w:p>
    <w:p w:rsidR="002858D9" w:rsidRPr="00B41060" w:rsidRDefault="002858D9" w:rsidP="002858D9">
      <w:pPr>
        <w:ind w:left="1701" w:right="567" w:hanging="567"/>
        <w:contextualSpacing/>
        <w:rPr>
          <w:rFonts w:eastAsiaTheme="minorEastAsia" w:cs="Arial"/>
          <w:lang w:val="es-419"/>
        </w:rPr>
      </w:pPr>
      <w:r w:rsidRPr="00B41060">
        <w:rPr>
          <w:lang w:val="es-419"/>
        </w:rPr>
        <w:t>c)</w:t>
      </w:r>
      <w:r w:rsidRPr="00B41060">
        <w:rPr>
          <w:lang w:val="es-419"/>
        </w:rPr>
        <w:tab/>
        <w:t>la posible influencia del medio ambiente en el color de la parte de la planta.</w:t>
      </w:r>
    </w:p>
    <w:p w:rsidR="002858D9" w:rsidRPr="00B41060" w:rsidRDefault="002858D9" w:rsidP="002858D9">
      <w:pPr>
        <w:rPr>
          <w:rFonts w:eastAsiaTheme="minorEastAsia"/>
          <w:sz w:val="22"/>
          <w:lang w:val="es-419"/>
        </w:rPr>
      </w:pPr>
    </w:p>
    <w:p w:rsidR="002858D9" w:rsidRPr="00B41060" w:rsidRDefault="002858D9" w:rsidP="002858D9">
      <w:pPr>
        <w:ind w:left="567" w:right="567"/>
        <w:rPr>
          <w:rFonts w:eastAsiaTheme="minorEastAsia" w:cs="Arial"/>
          <w:lang w:val="es-419"/>
        </w:rPr>
      </w:pPr>
      <w:r w:rsidRPr="00B41060">
        <w:rPr>
          <w:lang w:val="es-419"/>
        </w:rPr>
        <w:t>Según la especie de que se trate y la parte de la planta que se observe, los grupos de color para el agrupamiento pueden variar. En el cuadro siguiente se ofrecen ejemplos de grupos de color en los caracteres de agrupamiento de diferentes directrices de examen.</w:t>
      </w:r>
    </w:p>
    <w:p w:rsidR="002858D9" w:rsidRPr="00B41060" w:rsidRDefault="002858D9" w:rsidP="002858D9">
      <w:pPr>
        <w:tabs>
          <w:tab w:val="left" w:pos="8556"/>
        </w:tabs>
        <w:rPr>
          <w:rFonts w:eastAsiaTheme="minorEastAsia" w:cs="Arial"/>
          <w:lang w:val="es-419"/>
        </w:rPr>
      </w:pPr>
    </w:p>
    <w:tbl>
      <w:tblPr>
        <w:tblW w:w="8745" w:type="dxa"/>
        <w:jc w:val="center"/>
        <w:tblLayout w:type="fixed"/>
        <w:tblCellMar>
          <w:top w:w="57" w:type="dxa"/>
          <w:left w:w="57" w:type="dxa"/>
          <w:bottom w:w="28" w:type="dxa"/>
          <w:right w:w="57" w:type="dxa"/>
        </w:tblCellMar>
        <w:tblLook w:val="04A0" w:firstRow="1" w:lastRow="0" w:firstColumn="1" w:lastColumn="0" w:noHBand="0" w:noVBand="1"/>
      </w:tblPr>
      <w:tblGrid>
        <w:gridCol w:w="1510"/>
        <w:gridCol w:w="1787"/>
        <w:gridCol w:w="2004"/>
        <w:gridCol w:w="1742"/>
        <w:gridCol w:w="1702"/>
      </w:tblGrid>
      <w:tr w:rsidR="002858D9" w:rsidRPr="00B41060" w:rsidTr="00004824">
        <w:trPr>
          <w:cantSplit/>
          <w:trHeight w:val="397"/>
          <w:jc w:val="center"/>
        </w:trPr>
        <w:tc>
          <w:tcPr>
            <w:tcW w:w="1508" w:type="dxa"/>
            <w:tcBorders>
              <w:top w:val="single" w:sz="4" w:space="0" w:color="auto"/>
              <w:left w:val="nil"/>
              <w:bottom w:val="single" w:sz="4" w:space="0" w:color="auto"/>
              <w:right w:val="single" w:sz="4" w:space="0" w:color="auto"/>
            </w:tcBorders>
            <w:hideMark/>
          </w:tcPr>
          <w:p w:rsidR="002858D9" w:rsidRPr="00B41060" w:rsidRDefault="002858D9" w:rsidP="00004824">
            <w:pPr>
              <w:jc w:val="left"/>
              <w:rPr>
                <w:sz w:val="16"/>
                <w:lang w:val="es-419"/>
              </w:rPr>
            </w:pPr>
            <w:r w:rsidRPr="00B41060">
              <w:rPr>
                <w:sz w:val="16"/>
                <w:lang w:val="es-419"/>
              </w:rPr>
              <w:t>Directrices de examen</w:t>
            </w:r>
          </w:p>
        </w:tc>
        <w:tc>
          <w:tcPr>
            <w:tcW w:w="1786" w:type="dxa"/>
            <w:tcBorders>
              <w:top w:val="single" w:sz="4" w:space="0" w:color="auto"/>
              <w:left w:val="single" w:sz="4" w:space="0" w:color="auto"/>
              <w:bottom w:val="single" w:sz="4" w:space="0" w:color="auto"/>
              <w:right w:val="single" w:sz="4" w:space="0" w:color="auto"/>
            </w:tcBorders>
            <w:hideMark/>
          </w:tcPr>
          <w:p w:rsidR="002858D9" w:rsidRPr="00B41060" w:rsidRDefault="002858D9" w:rsidP="00004824">
            <w:pPr>
              <w:jc w:val="left"/>
              <w:rPr>
                <w:sz w:val="16"/>
                <w:lang w:val="es-419"/>
              </w:rPr>
            </w:pPr>
            <w:r w:rsidRPr="00B41060">
              <w:rPr>
                <w:sz w:val="16"/>
                <w:lang w:val="es-419"/>
              </w:rPr>
              <w:t>Campánula</w:t>
            </w:r>
            <w:r w:rsidRPr="00B41060">
              <w:rPr>
                <w:sz w:val="16"/>
                <w:lang w:val="es-419"/>
              </w:rPr>
              <w:br/>
              <w:t>(TG/305/1)</w:t>
            </w:r>
          </w:p>
        </w:tc>
        <w:tc>
          <w:tcPr>
            <w:tcW w:w="2002" w:type="dxa"/>
            <w:tcBorders>
              <w:top w:val="single" w:sz="4" w:space="0" w:color="auto"/>
              <w:left w:val="single" w:sz="4" w:space="0" w:color="auto"/>
              <w:bottom w:val="single" w:sz="4" w:space="0" w:color="auto"/>
              <w:right w:val="single" w:sz="4" w:space="0" w:color="auto"/>
            </w:tcBorders>
            <w:hideMark/>
          </w:tcPr>
          <w:p w:rsidR="002858D9" w:rsidRPr="00B41060" w:rsidRDefault="002858D9" w:rsidP="00004824">
            <w:pPr>
              <w:jc w:val="left"/>
              <w:rPr>
                <w:dstrike/>
                <w:sz w:val="16"/>
                <w:lang w:val="es-419"/>
              </w:rPr>
            </w:pPr>
            <w:proofErr w:type="spellStart"/>
            <w:r w:rsidRPr="00B41060">
              <w:rPr>
                <w:i/>
                <w:sz w:val="16"/>
                <w:lang w:val="es-419"/>
              </w:rPr>
              <w:t>Hosta</w:t>
            </w:r>
            <w:proofErr w:type="spellEnd"/>
            <w:r w:rsidRPr="00B41060">
              <w:rPr>
                <w:sz w:val="16"/>
                <w:lang w:val="es-419"/>
              </w:rPr>
              <w:br/>
              <w:t>(TG/299/1)</w:t>
            </w:r>
          </w:p>
        </w:tc>
        <w:tc>
          <w:tcPr>
            <w:tcW w:w="1741" w:type="dxa"/>
            <w:tcBorders>
              <w:top w:val="single" w:sz="4" w:space="0" w:color="auto"/>
              <w:left w:val="single" w:sz="4" w:space="0" w:color="auto"/>
              <w:bottom w:val="single" w:sz="4" w:space="0" w:color="auto"/>
              <w:right w:val="single" w:sz="4" w:space="0" w:color="auto"/>
            </w:tcBorders>
            <w:hideMark/>
          </w:tcPr>
          <w:p w:rsidR="002858D9" w:rsidRPr="00B41060" w:rsidRDefault="002858D9" w:rsidP="00004824">
            <w:pPr>
              <w:jc w:val="left"/>
              <w:rPr>
                <w:dstrike/>
                <w:sz w:val="16"/>
                <w:lang w:val="es-419"/>
              </w:rPr>
            </w:pPr>
            <w:proofErr w:type="spellStart"/>
            <w:r w:rsidRPr="00B41060">
              <w:rPr>
                <w:i/>
                <w:sz w:val="16"/>
                <w:lang w:val="es-419"/>
              </w:rPr>
              <w:t>Cordyline</w:t>
            </w:r>
            <w:proofErr w:type="spellEnd"/>
            <w:r w:rsidRPr="00B41060">
              <w:rPr>
                <w:sz w:val="16"/>
                <w:lang w:val="es-419"/>
              </w:rPr>
              <w:br/>
              <w:t>(TG/317/1)</w:t>
            </w:r>
          </w:p>
        </w:tc>
        <w:tc>
          <w:tcPr>
            <w:tcW w:w="1701" w:type="dxa"/>
            <w:tcBorders>
              <w:top w:val="single" w:sz="4" w:space="0" w:color="auto"/>
              <w:left w:val="single" w:sz="4" w:space="0" w:color="auto"/>
              <w:bottom w:val="single" w:sz="4" w:space="0" w:color="auto"/>
              <w:right w:val="nil"/>
            </w:tcBorders>
            <w:hideMark/>
          </w:tcPr>
          <w:p w:rsidR="002858D9" w:rsidRPr="00B41060" w:rsidRDefault="002858D9" w:rsidP="00004824">
            <w:pPr>
              <w:jc w:val="left"/>
              <w:rPr>
                <w:sz w:val="16"/>
                <w:lang w:val="es-419"/>
              </w:rPr>
            </w:pPr>
            <w:proofErr w:type="spellStart"/>
            <w:r w:rsidRPr="00B41060">
              <w:rPr>
                <w:i/>
                <w:sz w:val="16"/>
                <w:lang w:val="es-419"/>
              </w:rPr>
              <w:t>Osteospermum</w:t>
            </w:r>
            <w:proofErr w:type="spellEnd"/>
            <w:r w:rsidRPr="00B41060">
              <w:rPr>
                <w:sz w:val="16"/>
                <w:lang w:val="es-419"/>
              </w:rPr>
              <w:br/>
              <w:t>(TG/175/5)</w:t>
            </w:r>
          </w:p>
        </w:tc>
      </w:tr>
      <w:tr w:rsidR="002858D9" w:rsidRPr="00B41060" w:rsidTr="00004824">
        <w:trPr>
          <w:cantSplit/>
          <w:jc w:val="center"/>
        </w:trPr>
        <w:tc>
          <w:tcPr>
            <w:tcW w:w="1508" w:type="dxa"/>
            <w:tcBorders>
              <w:top w:val="nil"/>
              <w:left w:val="nil"/>
              <w:bottom w:val="single" w:sz="4" w:space="0" w:color="auto"/>
              <w:right w:val="single" w:sz="4" w:space="0" w:color="auto"/>
            </w:tcBorders>
            <w:hideMark/>
          </w:tcPr>
          <w:p w:rsidR="002858D9" w:rsidRPr="00B41060" w:rsidRDefault="002858D9" w:rsidP="00004824">
            <w:pPr>
              <w:jc w:val="left"/>
              <w:rPr>
                <w:sz w:val="16"/>
                <w:lang w:val="es-419"/>
              </w:rPr>
            </w:pPr>
            <w:r w:rsidRPr="00B41060">
              <w:rPr>
                <w:sz w:val="16"/>
                <w:lang w:val="es-419"/>
              </w:rPr>
              <w:t>Carácter</w:t>
            </w:r>
          </w:p>
        </w:tc>
        <w:tc>
          <w:tcPr>
            <w:tcW w:w="1786" w:type="dxa"/>
            <w:tcBorders>
              <w:top w:val="nil"/>
              <w:left w:val="single" w:sz="4" w:space="0" w:color="auto"/>
              <w:bottom w:val="single" w:sz="4" w:space="0" w:color="auto"/>
              <w:right w:val="single" w:sz="4" w:space="0" w:color="auto"/>
            </w:tcBorders>
            <w:hideMark/>
          </w:tcPr>
          <w:p w:rsidR="002858D9" w:rsidRPr="00B41060" w:rsidRDefault="002858D9" w:rsidP="00004824">
            <w:pPr>
              <w:jc w:val="left"/>
              <w:rPr>
                <w:sz w:val="16"/>
                <w:lang w:val="es-419"/>
              </w:rPr>
            </w:pPr>
            <w:r w:rsidRPr="00B41060">
              <w:rPr>
                <w:sz w:val="16"/>
                <w:lang w:val="es-419"/>
              </w:rPr>
              <w:t>Corola: color principal de la cara interna</w:t>
            </w:r>
          </w:p>
        </w:tc>
        <w:tc>
          <w:tcPr>
            <w:tcW w:w="2002" w:type="dxa"/>
            <w:tcBorders>
              <w:top w:val="nil"/>
              <w:left w:val="single" w:sz="4" w:space="0" w:color="auto"/>
              <w:bottom w:val="single" w:sz="4" w:space="0" w:color="auto"/>
              <w:right w:val="single" w:sz="4" w:space="0" w:color="auto"/>
            </w:tcBorders>
            <w:hideMark/>
          </w:tcPr>
          <w:p w:rsidR="002858D9" w:rsidRPr="00B41060" w:rsidRDefault="002858D9" w:rsidP="00004824">
            <w:pPr>
              <w:jc w:val="left"/>
              <w:rPr>
                <w:sz w:val="16"/>
                <w:lang w:val="es-419"/>
              </w:rPr>
            </w:pPr>
            <w:r w:rsidRPr="00B41060">
              <w:rPr>
                <w:sz w:val="16"/>
                <w:lang w:val="es-419"/>
              </w:rPr>
              <w:t>Limbo: color que ocupa la superficie más grande</w:t>
            </w:r>
          </w:p>
        </w:tc>
        <w:tc>
          <w:tcPr>
            <w:tcW w:w="1741" w:type="dxa"/>
            <w:tcBorders>
              <w:top w:val="nil"/>
              <w:left w:val="single" w:sz="4" w:space="0" w:color="auto"/>
              <w:bottom w:val="single" w:sz="4" w:space="0" w:color="auto"/>
              <w:right w:val="single" w:sz="4" w:space="0" w:color="auto"/>
            </w:tcBorders>
            <w:hideMark/>
          </w:tcPr>
          <w:p w:rsidR="002858D9" w:rsidRPr="00B41060" w:rsidRDefault="002858D9" w:rsidP="00004824">
            <w:pPr>
              <w:jc w:val="left"/>
              <w:rPr>
                <w:sz w:val="16"/>
                <w:lang w:val="es-419"/>
              </w:rPr>
            </w:pPr>
            <w:r w:rsidRPr="00B41060">
              <w:rPr>
                <w:sz w:val="16"/>
                <w:lang w:val="es-419"/>
              </w:rPr>
              <w:t>Hoja: color secundario</w:t>
            </w:r>
          </w:p>
        </w:tc>
        <w:tc>
          <w:tcPr>
            <w:tcW w:w="1701" w:type="dxa"/>
            <w:tcBorders>
              <w:top w:val="nil"/>
              <w:left w:val="single" w:sz="4" w:space="0" w:color="auto"/>
              <w:bottom w:val="single" w:sz="4" w:space="0" w:color="auto"/>
              <w:right w:val="nil"/>
            </w:tcBorders>
            <w:hideMark/>
          </w:tcPr>
          <w:p w:rsidR="002858D9" w:rsidRPr="00B41060" w:rsidRDefault="002858D9" w:rsidP="00004824">
            <w:pPr>
              <w:jc w:val="left"/>
              <w:rPr>
                <w:sz w:val="16"/>
                <w:lang w:val="es-419"/>
              </w:rPr>
            </w:pPr>
            <w:r w:rsidRPr="00B41060">
              <w:rPr>
                <w:sz w:val="16"/>
                <w:lang w:val="es-419"/>
              </w:rPr>
              <w:t>Flor ligulada: color principal de la parte central</w:t>
            </w:r>
          </w:p>
        </w:tc>
      </w:tr>
      <w:tr w:rsidR="002858D9" w:rsidRPr="00B41060" w:rsidTr="00004824">
        <w:trPr>
          <w:cantSplit/>
          <w:jc w:val="center"/>
        </w:trPr>
        <w:tc>
          <w:tcPr>
            <w:tcW w:w="1508" w:type="dxa"/>
            <w:vMerge w:val="restart"/>
            <w:tcBorders>
              <w:top w:val="nil"/>
              <w:left w:val="nil"/>
              <w:bottom w:val="nil"/>
              <w:right w:val="single" w:sz="4" w:space="0" w:color="auto"/>
            </w:tcBorders>
            <w:hideMark/>
          </w:tcPr>
          <w:p w:rsidR="002858D9" w:rsidRPr="00B41060" w:rsidRDefault="002858D9" w:rsidP="00004824">
            <w:pPr>
              <w:jc w:val="left"/>
              <w:rPr>
                <w:sz w:val="16"/>
                <w:lang w:val="es-419"/>
              </w:rPr>
            </w:pPr>
            <w:r w:rsidRPr="00B41060">
              <w:rPr>
                <w:sz w:val="16"/>
                <w:lang w:val="es-419"/>
              </w:rPr>
              <w:t>Grupos de color para el agrupamiento</w:t>
            </w:r>
          </w:p>
        </w:tc>
        <w:tc>
          <w:tcPr>
            <w:tcW w:w="1786" w:type="dxa"/>
            <w:tcBorders>
              <w:top w:val="nil"/>
              <w:left w:val="single" w:sz="4" w:space="0" w:color="auto"/>
              <w:bottom w:val="nil"/>
              <w:right w:val="single" w:sz="4" w:space="0" w:color="auto"/>
            </w:tcBorders>
            <w:hideMark/>
          </w:tcPr>
          <w:p w:rsidR="002858D9" w:rsidRPr="00B41060" w:rsidRDefault="002858D9" w:rsidP="00004824">
            <w:pPr>
              <w:jc w:val="left"/>
              <w:rPr>
                <w:sz w:val="16"/>
                <w:lang w:val="es-419"/>
              </w:rPr>
            </w:pPr>
            <w:r w:rsidRPr="00B41060">
              <w:rPr>
                <w:sz w:val="16"/>
                <w:lang w:val="es-419"/>
              </w:rPr>
              <w:t>blanco</w:t>
            </w:r>
          </w:p>
        </w:tc>
        <w:tc>
          <w:tcPr>
            <w:tcW w:w="2002" w:type="dxa"/>
            <w:tcBorders>
              <w:top w:val="nil"/>
              <w:left w:val="single" w:sz="4" w:space="0" w:color="auto"/>
              <w:bottom w:val="nil"/>
              <w:right w:val="single" w:sz="4" w:space="0" w:color="auto"/>
            </w:tcBorders>
            <w:hideMark/>
          </w:tcPr>
          <w:p w:rsidR="002858D9" w:rsidRPr="00B41060" w:rsidRDefault="002858D9" w:rsidP="00004824">
            <w:pPr>
              <w:jc w:val="left"/>
              <w:rPr>
                <w:sz w:val="16"/>
                <w:lang w:val="es-419"/>
              </w:rPr>
            </w:pPr>
            <w:r w:rsidRPr="00B41060">
              <w:rPr>
                <w:sz w:val="16"/>
                <w:lang w:val="es-419"/>
              </w:rPr>
              <w:t>blanco</w:t>
            </w:r>
          </w:p>
        </w:tc>
        <w:tc>
          <w:tcPr>
            <w:tcW w:w="1741" w:type="dxa"/>
            <w:tcBorders>
              <w:top w:val="nil"/>
              <w:left w:val="single" w:sz="4" w:space="0" w:color="auto"/>
              <w:bottom w:val="nil"/>
              <w:right w:val="single" w:sz="4" w:space="0" w:color="auto"/>
            </w:tcBorders>
            <w:hideMark/>
          </w:tcPr>
          <w:p w:rsidR="002858D9" w:rsidRPr="00B41060" w:rsidRDefault="002858D9" w:rsidP="00004824">
            <w:pPr>
              <w:jc w:val="left"/>
              <w:rPr>
                <w:sz w:val="16"/>
                <w:lang w:val="es-419"/>
              </w:rPr>
            </w:pPr>
            <w:r w:rsidRPr="00B41060">
              <w:rPr>
                <w:sz w:val="16"/>
                <w:lang w:val="es-419"/>
              </w:rPr>
              <w:t>blanco</w:t>
            </w:r>
          </w:p>
        </w:tc>
        <w:tc>
          <w:tcPr>
            <w:tcW w:w="1701" w:type="dxa"/>
            <w:tcBorders>
              <w:top w:val="nil"/>
              <w:left w:val="single" w:sz="4" w:space="0" w:color="auto"/>
              <w:bottom w:val="nil"/>
              <w:right w:val="nil"/>
            </w:tcBorders>
            <w:hideMark/>
          </w:tcPr>
          <w:p w:rsidR="002858D9" w:rsidRPr="00B41060" w:rsidRDefault="002858D9" w:rsidP="00004824">
            <w:pPr>
              <w:jc w:val="left"/>
              <w:rPr>
                <w:sz w:val="16"/>
                <w:lang w:val="es-419"/>
              </w:rPr>
            </w:pPr>
            <w:r w:rsidRPr="00B41060">
              <w:rPr>
                <w:sz w:val="16"/>
                <w:lang w:val="es-419"/>
              </w:rPr>
              <w:t>blanco</w:t>
            </w:r>
          </w:p>
        </w:tc>
      </w:tr>
      <w:tr w:rsidR="002858D9" w:rsidRPr="00B41060" w:rsidTr="00004824">
        <w:trPr>
          <w:cantSplit/>
          <w:jc w:val="center"/>
        </w:trPr>
        <w:tc>
          <w:tcPr>
            <w:tcW w:w="1508" w:type="dxa"/>
            <w:vMerge/>
            <w:tcBorders>
              <w:top w:val="nil"/>
              <w:left w:val="nil"/>
              <w:bottom w:val="nil"/>
              <w:right w:val="single" w:sz="4" w:space="0" w:color="auto"/>
            </w:tcBorders>
            <w:vAlign w:val="center"/>
            <w:hideMark/>
          </w:tcPr>
          <w:p w:rsidR="002858D9" w:rsidRPr="00B41060" w:rsidRDefault="002858D9" w:rsidP="00004824">
            <w:pPr>
              <w:jc w:val="left"/>
              <w:rPr>
                <w:sz w:val="16"/>
                <w:lang w:val="es-419"/>
              </w:rPr>
            </w:pPr>
          </w:p>
        </w:tc>
        <w:tc>
          <w:tcPr>
            <w:tcW w:w="1786" w:type="dxa"/>
            <w:tcBorders>
              <w:top w:val="nil"/>
              <w:left w:val="single" w:sz="4" w:space="0" w:color="auto"/>
              <w:bottom w:val="nil"/>
              <w:right w:val="single" w:sz="4" w:space="0" w:color="auto"/>
            </w:tcBorders>
            <w:hideMark/>
          </w:tcPr>
          <w:p w:rsidR="002858D9" w:rsidRPr="00B41060" w:rsidRDefault="002858D9" w:rsidP="00004824">
            <w:pPr>
              <w:jc w:val="left"/>
              <w:rPr>
                <w:sz w:val="16"/>
                <w:lang w:val="es-419"/>
              </w:rPr>
            </w:pPr>
            <w:r w:rsidRPr="00B41060">
              <w:rPr>
                <w:sz w:val="16"/>
                <w:lang w:val="es-419"/>
              </w:rPr>
              <w:t>rosa</w:t>
            </w:r>
          </w:p>
        </w:tc>
        <w:tc>
          <w:tcPr>
            <w:tcW w:w="2002" w:type="dxa"/>
            <w:tcBorders>
              <w:top w:val="nil"/>
              <w:left w:val="single" w:sz="4" w:space="0" w:color="auto"/>
              <w:bottom w:val="nil"/>
              <w:right w:val="single" w:sz="4" w:space="0" w:color="auto"/>
            </w:tcBorders>
            <w:hideMark/>
          </w:tcPr>
          <w:p w:rsidR="002858D9" w:rsidRPr="00B41060" w:rsidRDefault="002858D9" w:rsidP="00004824">
            <w:pPr>
              <w:jc w:val="left"/>
              <w:rPr>
                <w:sz w:val="16"/>
                <w:lang w:val="es-419"/>
              </w:rPr>
            </w:pPr>
            <w:r w:rsidRPr="00B41060">
              <w:rPr>
                <w:sz w:val="16"/>
                <w:lang w:val="es-419"/>
              </w:rPr>
              <w:t>amarillo claro</w:t>
            </w:r>
          </w:p>
        </w:tc>
        <w:tc>
          <w:tcPr>
            <w:tcW w:w="1741" w:type="dxa"/>
            <w:tcBorders>
              <w:top w:val="nil"/>
              <w:left w:val="single" w:sz="4" w:space="0" w:color="auto"/>
              <w:bottom w:val="nil"/>
              <w:right w:val="single" w:sz="4" w:space="0" w:color="auto"/>
            </w:tcBorders>
            <w:hideMark/>
          </w:tcPr>
          <w:p w:rsidR="002858D9" w:rsidRPr="00B41060" w:rsidRDefault="002858D9" w:rsidP="00004824">
            <w:pPr>
              <w:jc w:val="left"/>
              <w:rPr>
                <w:sz w:val="16"/>
                <w:lang w:val="es-419"/>
              </w:rPr>
            </w:pPr>
            <w:r w:rsidRPr="00B41060">
              <w:rPr>
                <w:sz w:val="16"/>
                <w:lang w:val="es-419"/>
              </w:rPr>
              <w:t>amarillo</w:t>
            </w:r>
          </w:p>
        </w:tc>
        <w:tc>
          <w:tcPr>
            <w:tcW w:w="1701" w:type="dxa"/>
            <w:tcBorders>
              <w:top w:val="nil"/>
              <w:left w:val="single" w:sz="4" w:space="0" w:color="auto"/>
              <w:bottom w:val="nil"/>
              <w:right w:val="nil"/>
            </w:tcBorders>
            <w:hideMark/>
          </w:tcPr>
          <w:p w:rsidR="002858D9" w:rsidRPr="00B41060" w:rsidRDefault="002858D9" w:rsidP="00004824">
            <w:pPr>
              <w:jc w:val="left"/>
              <w:rPr>
                <w:sz w:val="16"/>
                <w:lang w:val="es-419"/>
              </w:rPr>
            </w:pPr>
            <w:r w:rsidRPr="00B41060">
              <w:rPr>
                <w:sz w:val="16"/>
                <w:lang w:val="es-419"/>
              </w:rPr>
              <w:t>amarillo</w:t>
            </w:r>
          </w:p>
        </w:tc>
      </w:tr>
      <w:tr w:rsidR="002858D9" w:rsidRPr="00B41060" w:rsidTr="00004824">
        <w:trPr>
          <w:cantSplit/>
          <w:jc w:val="center"/>
        </w:trPr>
        <w:tc>
          <w:tcPr>
            <w:tcW w:w="1508" w:type="dxa"/>
            <w:tcBorders>
              <w:top w:val="nil"/>
              <w:left w:val="nil"/>
              <w:bottom w:val="nil"/>
              <w:right w:val="single" w:sz="4" w:space="0" w:color="auto"/>
            </w:tcBorders>
          </w:tcPr>
          <w:p w:rsidR="002858D9" w:rsidRPr="00B41060" w:rsidRDefault="002858D9" w:rsidP="00004824">
            <w:pPr>
              <w:jc w:val="left"/>
              <w:rPr>
                <w:sz w:val="16"/>
                <w:lang w:val="es-419"/>
              </w:rPr>
            </w:pPr>
          </w:p>
        </w:tc>
        <w:tc>
          <w:tcPr>
            <w:tcW w:w="1786" w:type="dxa"/>
            <w:tcBorders>
              <w:top w:val="nil"/>
              <w:left w:val="single" w:sz="4" w:space="0" w:color="auto"/>
              <w:bottom w:val="nil"/>
              <w:right w:val="single" w:sz="4" w:space="0" w:color="auto"/>
            </w:tcBorders>
            <w:hideMark/>
          </w:tcPr>
          <w:p w:rsidR="002858D9" w:rsidRPr="00B41060" w:rsidRDefault="002858D9" w:rsidP="00004824">
            <w:pPr>
              <w:jc w:val="left"/>
              <w:rPr>
                <w:sz w:val="16"/>
                <w:lang w:val="es-419"/>
              </w:rPr>
            </w:pPr>
            <w:r w:rsidRPr="00B41060">
              <w:rPr>
                <w:sz w:val="16"/>
                <w:lang w:val="es-419"/>
              </w:rPr>
              <w:t>púrpura rojizo</w:t>
            </w:r>
          </w:p>
        </w:tc>
        <w:tc>
          <w:tcPr>
            <w:tcW w:w="2002" w:type="dxa"/>
            <w:tcBorders>
              <w:top w:val="nil"/>
              <w:left w:val="single" w:sz="4" w:space="0" w:color="auto"/>
              <w:bottom w:val="nil"/>
              <w:right w:val="single" w:sz="4" w:space="0" w:color="auto"/>
            </w:tcBorders>
            <w:hideMark/>
          </w:tcPr>
          <w:p w:rsidR="002858D9" w:rsidRPr="00B41060" w:rsidRDefault="002858D9" w:rsidP="00004824">
            <w:pPr>
              <w:jc w:val="left"/>
              <w:rPr>
                <w:sz w:val="16"/>
                <w:lang w:val="es-419"/>
              </w:rPr>
            </w:pPr>
            <w:r w:rsidRPr="00B41060">
              <w:rPr>
                <w:sz w:val="16"/>
                <w:lang w:val="es-419"/>
              </w:rPr>
              <w:t>amarillo medio</w:t>
            </w:r>
          </w:p>
        </w:tc>
        <w:tc>
          <w:tcPr>
            <w:tcW w:w="1741" w:type="dxa"/>
            <w:tcBorders>
              <w:top w:val="nil"/>
              <w:left w:val="single" w:sz="4" w:space="0" w:color="auto"/>
              <w:bottom w:val="nil"/>
              <w:right w:val="single" w:sz="4" w:space="0" w:color="auto"/>
            </w:tcBorders>
            <w:hideMark/>
          </w:tcPr>
          <w:p w:rsidR="002858D9" w:rsidRPr="00B41060" w:rsidRDefault="002858D9" w:rsidP="00004824">
            <w:pPr>
              <w:jc w:val="left"/>
              <w:rPr>
                <w:sz w:val="16"/>
                <w:lang w:val="es-419"/>
              </w:rPr>
            </w:pPr>
            <w:r w:rsidRPr="00B41060">
              <w:rPr>
                <w:sz w:val="16"/>
                <w:lang w:val="es-419"/>
              </w:rPr>
              <w:t>verde</w:t>
            </w:r>
          </w:p>
        </w:tc>
        <w:tc>
          <w:tcPr>
            <w:tcW w:w="1701" w:type="dxa"/>
            <w:tcBorders>
              <w:top w:val="nil"/>
              <w:left w:val="single" w:sz="4" w:space="0" w:color="auto"/>
              <w:bottom w:val="nil"/>
              <w:right w:val="nil"/>
            </w:tcBorders>
            <w:hideMark/>
          </w:tcPr>
          <w:p w:rsidR="002858D9" w:rsidRPr="00B41060" w:rsidRDefault="002858D9" w:rsidP="00004824">
            <w:pPr>
              <w:jc w:val="left"/>
              <w:rPr>
                <w:sz w:val="16"/>
                <w:lang w:val="es-419"/>
              </w:rPr>
            </w:pPr>
            <w:r w:rsidRPr="00B41060">
              <w:rPr>
                <w:sz w:val="16"/>
                <w:lang w:val="es-419"/>
              </w:rPr>
              <w:t>naranja</w:t>
            </w:r>
          </w:p>
        </w:tc>
      </w:tr>
      <w:tr w:rsidR="002858D9" w:rsidRPr="00B41060" w:rsidTr="00004824">
        <w:trPr>
          <w:cantSplit/>
          <w:jc w:val="center"/>
        </w:trPr>
        <w:tc>
          <w:tcPr>
            <w:tcW w:w="1508" w:type="dxa"/>
            <w:tcBorders>
              <w:top w:val="nil"/>
              <w:left w:val="nil"/>
              <w:bottom w:val="nil"/>
              <w:right w:val="single" w:sz="4" w:space="0" w:color="auto"/>
            </w:tcBorders>
          </w:tcPr>
          <w:p w:rsidR="002858D9" w:rsidRPr="00B41060" w:rsidRDefault="002858D9" w:rsidP="00004824">
            <w:pPr>
              <w:jc w:val="left"/>
              <w:rPr>
                <w:sz w:val="16"/>
                <w:lang w:val="es-419"/>
              </w:rPr>
            </w:pPr>
          </w:p>
        </w:tc>
        <w:tc>
          <w:tcPr>
            <w:tcW w:w="1786" w:type="dxa"/>
            <w:tcBorders>
              <w:top w:val="nil"/>
              <w:left w:val="single" w:sz="4" w:space="0" w:color="auto"/>
              <w:bottom w:val="nil"/>
              <w:right w:val="single" w:sz="4" w:space="0" w:color="auto"/>
            </w:tcBorders>
            <w:hideMark/>
          </w:tcPr>
          <w:p w:rsidR="002858D9" w:rsidRPr="00B41060" w:rsidRDefault="002858D9" w:rsidP="00004824">
            <w:pPr>
              <w:jc w:val="left"/>
              <w:rPr>
                <w:sz w:val="16"/>
                <w:lang w:val="es-419"/>
              </w:rPr>
            </w:pPr>
            <w:r w:rsidRPr="00B41060">
              <w:rPr>
                <w:sz w:val="16"/>
                <w:lang w:val="es-419"/>
              </w:rPr>
              <w:t>púrpura</w:t>
            </w:r>
          </w:p>
        </w:tc>
        <w:tc>
          <w:tcPr>
            <w:tcW w:w="2002" w:type="dxa"/>
            <w:tcBorders>
              <w:top w:val="nil"/>
              <w:left w:val="single" w:sz="4" w:space="0" w:color="auto"/>
              <w:bottom w:val="nil"/>
              <w:right w:val="single" w:sz="4" w:space="0" w:color="auto"/>
            </w:tcBorders>
            <w:hideMark/>
          </w:tcPr>
          <w:p w:rsidR="002858D9" w:rsidRPr="00B41060" w:rsidRDefault="002858D9" w:rsidP="00004824">
            <w:pPr>
              <w:jc w:val="left"/>
              <w:rPr>
                <w:sz w:val="16"/>
                <w:lang w:val="es-419"/>
              </w:rPr>
            </w:pPr>
            <w:r w:rsidRPr="00B41060">
              <w:rPr>
                <w:sz w:val="16"/>
                <w:lang w:val="es-419"/>
              </w:rPr>
              <w:t>amarillo oscuro</w:t>
            </w:r>
          </w:p>
        </w:tc>
        <w:tc>
          <w:tcPr>
            <w:tcW w:w="1741" w:type="dxa"/>
            <w:tcBorders>
              <w:top w:val="nil"/>
              <w:left w:val="single" w:sz="4" w:space="0" w:color="auto"/>
              <w:bottom w:val="nil"/>
              <w:right w:val="single" w:sz="4" w:space="0" w:color="auto"/>
            </w:tcBorders>
            <w:hideMark/>
          </w:tcPr>
          <w:p w:rsidR="002858D9" w:rsidRPr="00B41060" w:rsidRDefault="002858D9" w:rsidP="00004824">
            <w:pPr>
              <w:jc w:val="left"/>
              <w:rPr>
                <w:sz w:val="16"/>
                <w:lang w:val="es-419"/>
              </w:rPr>
            </w:pPr>
            <w:r w:rsidRPr="00B41060">
              <w:rPr>
                <w:sz w:val="16"/>
                <w:lang w:val="es-419"/>
              </w:rPr>
              <w:t>rojo</w:t>
            </w:r>
          </w:p>
        </w:tc>
        <w:tc>
          <w:tcPr>
            <w:tcW w:w="1701" w:type="dxa"/>
            <w:tcBorders>
              <w:top w:val="nil"/>
              <w:left w:val="single" w:sz="4" w:space="0" w:color="auto"/>
              <w:bottom w:val="nil"/>
              <w:right w:val="nil"/>
            </w:tcBorders>
            <w:hideMark/>
          </w:tcPr>
          <w:p w:rsidR="002858D9" w:rsidRPr="00B41060" w:rsidRDefault="002858D9" w:rsidP="00004824">
            <w:pPr>
              <w:jc w:val="left"/>
              <w:rPr>
                <w:sz w:val="16"/>
                <w:lang w:val="es-419"/>
              </w:rPr>
            </w:pPr>
            <w:r w:rsidRPr="00B41060">
              <w:rPr>
                <w:sz w:val="16"/>
                <w:lang w:val="es-419"/>
              </w:rPr>
              <w:t>rosa</w:t>
            </w:r>
          </w:p>
        </w:tc>
      </w:tr>
      <w:tr w:rsidR="002858D9" w:rsidRPr="00B41060" w:rsidTr="00004824">
        <w:trPr>
          <w:cantSplit/>
          <w:jc w:val="center"/>
        </w:trPr>
        <w:tc>
          <w:tcPr>
            <w:tcW w:w="1508" w:type="dxa"/>
            <w:tcBorders>
              <w:top w:val="nil"/>
              <w:left w:val="nil"/>
              <w:bottom w:val="nil"/>
              <w:right w:val="single" w:sz="4" w:space="0" w:color="auto"/>
            </w:tcBorders>
          </w:tcPr>
          <w:p w:rsidR="002858D9" w:rsidRPr="00B41060" w:rsidRDefault="002858D9" w:rsidP="00004824">
            <w:pPr>
              <w:jc w:val="left"/>
              <w:rPr>
                <w:sz w:val="16"/>
                <w:lang w:val="es-419"/>
              </w:rPr>
            </w:pPr>
          </w:p>
        </w:tc>
        <w:tc>
          <w:tcPr>
            <w:tcW w:w="1786" w:type="dxa"/>
            <w:tcBorders>
              <w:top w:val="nil"/>
              <w:left w:val="single" w:sz="4" w:space="0" w:color="auto"/>
              <w:bottom w:val="nil"/>
              <w:right w:val="single" w:sz="4" w:space="0" w:color="auto"/>
            </w:tcBorders>
            <w:hideMark/>
          </w:tcPr>
          <w:p w:rsidR="002858D9" w:rsidRPr="00B41060" w:rsidRDefault="002858D9" w:rsidP="00004824">
            <w:pPr>
              <w:jc w:val="left"/>
              <w:rPr>
                <w:sz w:val="16"/>
                <w:lang w:val="es-419"/>
              </w:rPr>
            </w:pPr>
            <w:r w:rsidRPr="00B41060">
              <w:rPr>
                <w:sz w:val="16"/>
                <w:lang w:val="es-419"/>
              </w:rPr>
              <w:t>azul</w:t>
            </w:r>
          </w:p>
        </w:tc>
        <w:tc>
          <w:tcPr>
            <w:tcW w:w="2002" w:type="dxa"/>
            <w:tcBorders>
              <w:top w:val="nil"/>
              <w:left w:val="single" w:sz="4" w:space="0" w:color="auto"/>
              <w:bottom w:val="nil"/>
              <w:right w:val="single" w:sz="4" w:space="0" w:color="auto"/>
            </w:tcBorders>
            <w:hideMark/>
          </w:tcPr>
          <w:p w:rsidR="002858D9" w:rsidRPr="00B41060" w:rsidRDefault="002858D9" w:rsidP="00004824">
            <w:pPr>
              <w:jc w:val="left"/>
              <w:rPr>
                <w:sz w:val="16"/>
                <w:lang w:val="es-419"/>
              </w:rPr>
            </w:pPr>
            <w:r w:rsidRPr="00B41060">
              <w:rPr>
                <w:sz w:val="16"/>
                <w:lang w:val="es-419"/>
              </w:rPr>
              <w:t>verde claro</w:t>
            </w:r>
          </w:p>
        </w:tc>
        <w:tc>
          <w:tcPr>
            <w:tcW w:w="1741" w:type="dxa"/>
            <w:tcBorders>
              <w:top w:val="nil"/>
              <w:left w:val="single" w:sz="4" w:space="0" w:color="auto"/>
              <w:bottom w:val="nil"/>
              <w:right w:val="single" w:sz="4" w:space="0" w:color="auto"/>
            </w:tcBorders>
            <w:hideMark/>
          </w:tcPr>
          <w:p w:rsidR="002858D9" w:rsidRPr="00B41060" w:rsidRDefault="002858D9" w:rsidP="00004824">
            <w:pPr>
              <w:jc w:val="left"/>
              <w:rPr>
                <w:sz w:val="16"/>
                <w:lang w:val="es-419"/>
              </w:rPr>
            </w:pPr>
            <w:r w:rsidRPr="00B41060">
              <w:rPr>
                <w:sz w:val="16"/>
                <w:lang w:val="es-419"/>
              </w:rPr>
              <w:t>púrpura</w:t>
            </w:r>
          </w:p>
        </w:tc>
        <w:tc>
          <w:tcPr>
            <w:tcW w:w="1701" w:type="dxa"/>
            <w:tcBorders>
              <w:top w:val="nil"/>
              <w:left w:val="single" w:sz="4" w:space="0" w:color="auto"/>
              <w:bottom w:val="nil"/>
              <w:right w:val="nil"/>
            </w:tcBorders>
            <w:hideMark/>
          </w:tcPr>
          <w:p w:rsidR="002858D9" w:rsidRPr="00B41060" w:rsidRDefault="002858D9" w:rsidP="00004824">
            <w:pPr>
              <w:jc w:val="left"/>
              <w:rPr>
                <w:sz w:val="16"/>
                <w:lang w:val="es-419"/>
              </w:rPr>
            </w:pPr>
            <w:r w:rsidRPr="00B41060">
              <w:rPr>
                <w:sz w:val="16"/>
                <w:lang w:val="es-419"/>
              </w:rPr>
              <w:t>rojo</w:t>
            </w:r>
          </w:p>
        </w:tc>
      </w:tr>
      <w:tr w:rsidR="002858D9" w:rsidRPr="00B41060" w:rsidTr="00004824">
        <w:trPr>
          <w:cantSplit/>
          <w:jc w:val="center"/>
        </w:trPr>
        <w:tc>
          <w:tcPr>
            <w:tcW w:w="1508" w:type="dxa"/>
            <w:tcBorders>
              <w:top w:val="nil"/>
              <w:left w:val="nil"/>
              <w:bottom w:val="nil"/>
              <w:right w:val="single" w:sz="4" w:space="0" w:color="auto"/>
            </w:tcBorders>
          </w:tcPr>
          <w:p w:rsidR="002858D9" w:rsidRPr="00B41060" w:rsidRDefault="002858D9" w:rsidP="00004824">
            <w:pPr>
              <w:jc w:val="left"/>
              <w:rPr>
                <w:sz w:val="16"/>
                <w:lang w:val="es-419"/>
              </w:rPr>
            </w:pPr>
          </w:p>
        </w:tc>
        <w:tc>
          <w:tcPr>
            <w:tcW w:w="1786" w:type="dxa"/>
            <w:tcBorders>
              <w:top w:val="nil"/>
              <w:left w:val="single" w:sz="4" w:space="0" w:color="auto"/>
              <w:bottom w:val="nil"/>
              <w:right w:val="single" w:sz="4" w:space="0" w:color="auto"/>
            </w:tcBorders>
          </w:tcPr>
          <w:p w:rsidR="002858D9" w:rsidRPr="00B41060" w:rsidRDefault="002858D9" w:rsidP="00004824">
            <w:pPr>
              <w:jc w:val="left"/>
              <w:rPr>
                <w:sz w:val="16"/>
                <w:lang w:val="es-419"/>
              </w:rPr>
            </w:pPr>
          </w:p>
        </w:tc>
        <w:tc>
          <w:tcPr>
            <w:tcW w:w="2002" w:type="dxa"/>
            <w:tcBorders>
              <w:top w:val="nil"/>
              <w:left w:val="single" w:sz="4" w:space="0" w:color="auto"/>
              <w:bottom w:val="nil"/>
              <w:right w:val="single" w:sz="4" w:space="0" w:color="auto"/>
            </w:tcBorders>
            <w:hideMark/>
          </w:tcPr>
          <w:p w:rsidR="002858D9" w:rsidRPr="00B41060" w:rsidRDefault="002858D9" w:rsidP="00004824">
            <w:pPr>
              <w:jc w:val="left"/>
              <w:rPr>
                <w:sz w:val="16"/>
                <w:lang w:val="es-419"/>
              </w:rPr>
            </w:pPr>
            <w:r w:rsidRPr="00B41060">
              <w:rPr>
                <w:sz w:val="16"/>
                <w:lang w:val="es-419"/>
              </w:rPr>
              <w:t>verde medio</w:t>
            </w:r>
          </w:p>
        </w:tc>
        <w:tc>
          <w:tcPr>
            <w:tcW w:w="1741" w:type="dxa"/>
            <w:tcBorders>
              <w:top w:val="nil"/>
              <w:left w:val="single" w:sz="4" w:space="0" w:color="auto"/>
              <w:bottom w:val="nil"/>
              <w:right w:val="single" w:sz="4" w:space="0" w:color="auto"/>
            </w:tcBorders>
            <w:hideMark/>
          </w:tcPr>
          <w:p w:rsidR="002858D9" w:rsidRPr="00B41060" w:rsidRDefault="002858D9" w:rsidP="00004824">
            <w:pPr>
              <w:jc w:val="left"/>
              <w:rPr>
                <w:sz w:val="16"/>
                <w:lang w:val="es-419"/>
              </w:rPr>
            </w:pPr>
            <w:r w:rsidRPr="00B41060">
              <w:rPr>
                <w:sz w:val="16"/>
                <w:lang w:val="es-419"/>
              </w:rPr>
              <w:t>marrón</w:t>
            </w:r>
          </w:p>
        </w:tc>
        <w:tc>
          <w:tcPr>
            <w:tcW w:w="1701" w:type="dxa"/>
            <w:tcBorders>
              <w:top w:val="nil"/>
              <w:left w:val="single" w:sz="4" w:space="0" w:color="auto"/>
              <w:bottom w:val="nil"/>
              <w:right w:val="nil"/>
            </w:tcBorders>
            <w:hideMark/>
          </w:tcPr>
          <w:p w:rsidR="002858D9" w:rsidRPr="00B41060" w:rsidRDefault="002858D9" w:rsidP="00004824">
            <w:pPr>
              <w:jc w:val="left"/>
              <w:rPr>
                <w:sz w:val="16"/>
                <w:lang w:val="es-419"/>
              </w:rPr>
            </w:pPr>
            <w:r w:rsidRPr="00B41060">
              <w:rPr>
                <w:sz w:val="16"/>
                <w:lang w:val="es-419"/>
              </w:rPr>
              <w:t>púrpura</w:t>
            </w:r>
          </w:p>
        </w:tc>
      </w:tr>
      <w:tr w:rsidR="002858D9" w:rsidRPr="00B41060" w:rsidTr="00004824">
        <w:trPr>
          <w:cantSplit/>
          <w:jc w:val="center"/>
        </w:trPr>
        <w:tc>
          <w:tcPr>
            <w:tcW w:w="1508" w:type="dxa"/>
            <w:tcBorders>
              <w:top w:val="nil"/>
              <w:left w:val="nil"/>
              <w:right w:val="single" w:sz="4" w:space="0" w:color="auto"/>
            </w:tcBorders>
          </w:tcPr>
          <w:p w:rsidR="002858D9" w:rsidRPr="00B41060" w:rsidRDefault="002858D9" w:rsidP="00004824">
            <w:pPr>
              <w:jc w:val="left"/>
              <w:rPr>
                <w:sz w:val="16"/>
                <w:lang w:val="es-419"/>
              </w:rPr>
            </w:pPr>
          </w:p>
        </w:tc>
        <w:tc>
          <w:tcPr>
            <w:tcW w:w="1786" w:type="dxa"/>
            <w:tcBorders>
              <w:top w:val="nil"/>
              <w:left w:val="single" w:sz="4" w:space="0" w:color="auto"/>
              <w:right w:val="single" w:sz="4" w:space="0" w:color="auto"/>
            </w:tcBorders>
          </w:tcPr>
          <w:p w:rsidR="002858D9" w:rsidRPr="00B41060" w:rsidRDefault="002858D9" w:rsidP="00004824">
            <w:pPr>
              <w:jc w:val="left"/>
              <w:rPr>
                <w:sz w:val="16"/>
                <w:lang w:val="es-419"/>
              </w:rPr>
            </w:pPr>
          </w:p>
        </w:tc>
        <w:tc>
          <w:tcPr>
            <w:tcW w:w="2002" w:type="dxa"/>
            <w:tcBorders>
              <w:top w:val="nil"/>
              <w:left w:val="single" w:sz="4" w:space="0" w:color="auto"/>
              <w:bottom w:val="nil"/>
              <w:right w:val="single" w:sz="4" w:space="0" w:color="auto"/>
            </w:tcBorders>
            <w:hideMark/>
          </w:tcPr>
          <w:p w:rsidR="002858D9" w:rsidRPr="00B41060" w:rsidRDefault="002858D9" w:rsidP="00004824">
            <w:pPr>
              <w:jc w:val="left"/>
              <w:rPr>
                <w:sz w:val="16"/>
                <w:lang w:val="es-419"/>
              </w:rPr>
            </w:pPr>
            <w:r w:rsidRPr="00B41060">
              <w:rPr>
                <w:sz w:val="16"/>
                <w:lang w:val="es-419"/>
              </w:rPr>
              <w:t>verde oscuro</w:t>
            </w:r>
          </w:p>
        </w:tc>
        <w:tc>
          <w:tcPr>
            <w:tcW w:w="1741" w:type="dxa"/>
            <w:tcBorders>
              <w:top w:val="nil"/>
              <w:left w:val="single" w:sz="4" w:space="0" w:color="auto"/>
              <w:bottom w:val="nil"/>
              <w:right w:val="single" w:sz="4" w:space="0" w:color="auto"/>
            </w:tcBorders>
            <w:hideMark/>
          </w:tcPr>
          <w:p w:rsidR="002858D9" w:rsidRPr="00B41060" w:rsidRDefault="002858D9" w:rsidP="00004824">
            <w:pPr>
              <w:jc w:val="left"/>
              <w:rPr>
                <w:sz w:val="16"/>
                <w:lang w:val="es-419"/>
              </w:rPr>
            </w:pPr>
            <w:r w:rsidRPr="00B41060">
              <w:rPr>
                <w:sz w:val="16"/>
                <w:lang w:val="es-419"/>
              </w:rPr>
              <w:t>negruzco</w:t>
            </w:r>
          </w:p>
        </w:tc>
        <w:tc>
          <w:tcPr>
            <w:tcW w:w="1701" w:type="dxa"/>
            <w:tcBorders>
              <w:top w:val="nil"/>
              <w:left w:val="single" w:sz="4" w:space="0" w:color="auto"/>
              <w:bottom w:val="nil"/>
              <w:right w:val="nil"/>
            </w:tcBorders>
            <w:hideMark/>
          </w:tcPr>
          <w:p w:rsidR="002858D9" w:rsidRPr="00B41060" w:rsidRDefault="002858D9" w:rsidP="00004824">
            <w:pPr>
              <w:jc w:val="left"/>
              <w:rPr>
                <w:sz w:val="16"/>
                <w:lang w:val="es-419"/>
              </w:rPr>
            </w:pPr>
            <w:r w:rsidRPr="00B41060">
              <w:rPr>
                <w:sz w:val="16"/>
                <w:lang w:val="es-419"/>
              </w:rPr>
              <w:t>violeta</w:t>
            </w:r>
          </w:p>
        </w:tc>
      </w:tr>
      <w:tr w:rsidR="002858D9" w:rsidRPr="00B41060" w:rsidTr="00004824">
        <w:trPr>
          <w:cantSplit/>
          <w:jc w:val="center"/>
        </w:trPr>
        <w:tc>
          <w:tcPr>
            <w:tcW w:w="1508" w:type="dxa"/>
            <w:tcBorders>
              <w:top w:val="nil"/>
              <w:left w:val="nil"/>
              <w:bottom w:val="nil"/>
              <w:right w:val="single" w:sz="4" w:space="0" w:color="auto"/>
            </w:tcBorders>
          </w:tcPr>
          <w:p w:rsidR="002858D9" w:rsidRPr="00B41060" w:rsidRDefault="002858D9" w:rsidP="00004824">
            <w:pPr>
              <w:jc w:val="left"/>
              <w:rPr>
                <w:sz w:val="16"/>
                <w:lang w:val="es-419"/>
              </w:rPr>
            </w:pPr>
          </w:p>
        </w:tc>
        <w:tc>
          <w:tcPr>
            <w:tcW w:w="1786" w:type="dxa"/>
            <w:tcBorders>
              <w:top w:val="nil"/>
              <w:left w:val="single" w:sz="4" w:space="0" w:color="auto"/>
              <w:bottom w:val="nil"/>
              <w:right w:val="single" w:sz="4" w:space="0" w:color="auto"/>
            </w:tcBorders>
          </w:tcPr>
          <w:p w:rsidR="002858D9" w:rsidRPr="00B41060" w:rsidRDefault="002858D9" w:rsidP="00004824">
            <w:pPr>
              <w:jc w:val="left"/>
              <w:rPr>
                <w:sz w:val="16"/>
                <w:lang w:val="es-419"/>
              </w:rPr>
            </w:pPr>
          </w:p>
        </w:tc>
        <w:tc>
          <w:tcPr>
            <w:tcW w:w="2002" w:type="dxa"/>
            <w:tcBorders>
              <w:top w:val="nil"/>
              <w:left w:val="single" w:sz="4" w:space="0" w:color="auto"/>
              <w:bottom w:val="nil"/>
              <w:right w:val="single" w:sz="4" w:space="0" w:color="auto"/>
            </w:tcBorders>
            <w:hideMark/>
          </w:tcPr>
          <w:p w:rsidR="002858D9" w:rsidRPr="00B41060" w:rsidRDefault="002858D9" w:rsidP="00004824">
            <w:pPr>
              <w:jc w:val="left"/>
              <w:rPr>
                <w:sz w:val="16"/>
                <w:lang w:val="es-419"/>
              </w:rPr>
            </w:pPr>
            <w:r w:rsidRPr="00B41060">
              <w:rPr>
                <w:sz w:val="16"/>
                <w:lang w:val="es-419"/>
              </w:rPr>
              <w:t>verde azulado</w:t>
            </w:r>
          </w:p>
        </w:tc>
        <w:tc>
          <w:tcPr>
            <w:tcW w:w="1741" w:type="dxa"/>
            <w:tcBorders>
              <w:top w:val="nil"/>
              <w:left w:val="single" w:sz="4" w:space="0" w:color="auto"/>
              <w:bottom w:val="nil"/>
              <w:right w:val="single" w:sz="4" w:space="0" w:color="auto"/>
            </w:tcBorders>
          </w:tcPr>
          <w:p w:rsidR="002858D9" w:rsidRPr="00B41060" w:rsidRDefault="002858D9" w:rsidP="00004824">
            <w:pPr>
              <w:jc w:val="left"/>
              <w:rPr>
                <w:sz w:val="16"/>
                <w:lang w:val="es-419"/>
              </w:rPr>
            </w:pPr>
          </w:p>
        </w:tc>
        <w:tc>
          <w:tcPr>
            <w:tcW w:w="1701" w:type="dxa"/>
            <w:tcBorders>
              <w:top w:val="nil"/>
              <w:left w:val="single" w:sz="4" w:space="0" w:color="auto"/>
              <w:bottom w:val="nil"/>
              <w:right w:val="nil"/>
            </w:tcBorders>
          </w:tcPr>
          <w:p w:rsidR="002858D9" w:rsidRPr="00B41060" w:rsidRDefault="002858D9" w:rsidP="00004824">
            <w:pPr>
              <w:jc w:val="left"/>
              <w:rPr>
                <w:sz w:val="16"/>
                <w:lang w:val="es-419"/>
              </w:rPr>
            </w:pPr>
          </w:p>
        </w:tc>
      </w:tr>
    </w:tbl>
    <w:p w:rsidR="002858D9" w:rsidRPr="00B41060" w:rsidRDefault="002858D9" w:rsidP="002858D9">
      <w:pPr>
        <w:rPr>
          <w:rFonts w:eastAsiaTheme="minorEastAsia" w:cs="Arial"/>
          <w:lang w:val="es-419"/>
        </w:rPr>
      </w:pPr>
    </w:p>
    <w:p w:rsidR="002858D9" w:rsidRPr="00B41060" w:rsidRDefault="002858D9" w:rsidP="002858D9">
      <w:pPr>
        <w:keepLines/>
        <w:ind w:left="567" w:right="567"/>
        <w:rPr>
          <w:rFonts w:eastAsiaTheme="minorEastAsia" w:cs="Arial"/>
          <w:lang w:val="es-419"/>
        </w:rPr>
      </w:pPr>
      <w:r w:rsidRPr="00B41060">
        <w:rPr>
          <w:lang w:val="es-419"/>
        </w:rPr>
        <w:t>Cabe subrayar que, cuando se emplea información que no procede de la misma fuente (el mismo lugar, el mismo observador), los grupos no siempre son claramente distintos entre sí y no siempre se pueden utilizar para excluir variedades del ensayo. Por ejemplo, respecto del carácter “Hoja:</w:t>
      </w:r>
      <w:r>
        <w:rPr>
          <w:lang w:val="es-419"/>
        </w:rPr>
        <w:t xml:space="preserve"> </w:t>
      </w:r>
      <w:r w:rsidRPr="00B41060">
        <w:rPr>
          <w:lang w:val="es-419"/>
        </w:rPr>
        <w:t xml:space="preserve">color secundario” de </w:t>
      </w:r>
      <w:proofErr w:type="spellStart"/>
      <w:r w:rsidRPr="00B41060">
        <w:rPr>
          <w:i/>
          <w:lang w:val="es-419"/>
        </w:rPr>
        <w:t>Cordyline</w:t>
      </w:r>
      <w:proofErr w:type="spellEnd"/>
      <w:r w:rsidRPr="00B41060">
        <w:rPr>
          <w:lang w:val="es-419"/>
        </w:rPr>
        <w:t>, es posible que no se pueda distinguir claramente entre “marrón” y “negruzco” en fotografías de Internet o de un catálogo de plantas.”</w:t>
      </w:r>
    </w:p>
    <w:p w:rsidR="002858D9" w:rsidRPr="00B41060" w:rsidRDefault="002858D9" w:rsidP="002858D9">
      <w:pPr>
        <w:jc w:val="left"/>
        <w:rPr>
          <w:lang w:val="es-419"/>
        </w:rPr>
      </w:pPr>
    </w:p>
    <w:p w:rsidR="00914865" w:rsidRPr="00FA185E" w:rsidRDefault="00914865" w:rsidP="00914865">
      <w:pPr>
        <w:jc w:val="left"/>
        <w:rPr>
          <w:lang w:val="es-419"/>
        </w:rPr>
      </w:pPr>
    </w:p>
    <w:p w:rsidR="00914865" w:rsidRPr="00FA185E" w:rsidRDefault="00914865" w:rsidP="00914865">
      <w:pPr>
        <w:jc w:val="left"/>
        <w:rPr>
          <w:lang w:val="es-419"/>
        </w:rPr>
      </w:pPr>
    </w:p>
    <w:p w:rsidR="00914865" w:rsidRPr="00FA185E" w:rsidRDefault="00914865" w:rsidP="00914865">
      <w:pPr>
        <w:jc w:val="right"/>
        <w:rPr>
          <w:lang w:val="es-419"/>
        </w:rPr>
      </w:pPr>
      <w:r w:rsidRPr="00FA185E">
        <w:rPr>
          <w:lang w:val="es-419"/>
        </w:rPr>
        <w:t>[Sigue el Anexo V]</w:t>
      </w:r>
    </w:p>
    <w:p w:rsidR="00914865" w:rsidRPr="00FA185E" w:rsidRDefault="00914865" w:rsidP="00914865">
      <w:pPr>
        <w:jc w:val="left"/>
        <w:rPr>
          <w:lang w:val="es-419"/>
        </w:rPr>
      </w:pPr>
    </w:p>
    <w:p w:rsidR="00914865" w:rsidRPr="00FA185E" w:rsidRDefault="00914865" w:rsidP="00914865">
      <w:pPr>
        <w:jc w:val="left"/>
        <w:rPr>
          <w:lang w:val="es-419"/>
        </w:rPr>
        <w:sectPr w:rsidR="00914865" w:rsidRPr="00FA185E" w:rsidSect="009E5A8F">
          <w:headerReference w:type="default" r:id="rId29"/>
          <w:headerReference w:type="first" r:id="rId30"/>
          <w:footnotePr>
            <w:numRestart w:val="eachSect"/>
          </w:footnotePr>
          <w:pgSz w:w="11907" w:h="16840" w:code="9"/>
          <w:pgMar w:top="510" w:right="1134" w:bottom="709" w:left="1134" w:header="510" w:footer="680" w:gutter="0"/>
          <w:pgNumType w:start="1"/>
          <w:cols w:space="720"/>
          <w:titlePg/>
        </w:sectPr>
      </w:pPr>
    </w:p>
    <w:p w:rsidR="00C8468F" w:rsidRPr="00B41060" w:rsidRDefault="00C8468F" w:rsidP="00C8468F">
      <w:pPr>
        <w:jc w:val="center"/>
        <w:rPr>
          <w:lang w:val="es-419"/>
        </w:rPr>
      </w:pPr>
      <w:r w:rsidRPr="00B41060">
        <w:rPr>
          <w:caps/>
          <w:lang w:val="es-419"/>
        </w:rPr>
        <w:lastRenderedPageBreak/>
        <w:t>REVISIONES DEL documento</w:t>
      </w:r>
      <w:r>
        <w:rPr>
          <w:caps/>
          <w:lang w:val="es-419"/>
        </w:rPr>
        <w:t xml:space="preserve"> </w:t>
      </w:r>
      <w:r w:rsidRPr="00B41060">
        <w:rPr>
          <w:caps/>
          <w:lang w:val="es-419"/>
        </w:rPr>
        <w:t xml:space="preserve">TGP/15 “Orientación sobre el uso de marcadores bioquímicos y moleculares en el examen de la distinción, la homogeneidad y la estabilidad (DHE)” </w:t>
      </w:r>
      <w:r w:rsidRPr="00B41060">
        <w:rPr>
          <w:lang w:val="es-419"/>
        </w:rPr>
        <w:t xml:space="preserve">CONVENIDAS POR EL COMITÉ TÉCNICO EN SU </w:t>
      </w:r>
      <w:r w:rsidRPr="00B41060">
        <w:rPr>
          <w:lang w:val="es-419"/>
        </w:rPr>
        <w:br/>
        <w:t>QUINCUAGÉSIMA</w:t>
      </w:r>
      <w:r>
        <w:rPr>
          <w:lang w:val="es-419"/>
        </w:rPr>
        <w:t xml:space="preserve"> </w:t>
      </w:r>
      <w:r w:rsidRPr="00B41060">
        <w:rPr>
          <w:lang w:val="es-419"/>
        </w:rPr>
        <w:t>CUARTA SESIÓN</w:t>
      </w:r>
      <w:r w:rsidRPr="00B41060">
        <w:rPr>
          <w:rStyle w:val="FootnoteReference"/>
          <w:lang w:val="es-419"/>
        </w:rPr>
        <w:footnoteReference w:id="23"/>
      </w:r>
    </w:p>
    <w:p w:rsidR="00C8468F" w:rsidRPr="00B41060" w:rsidRDefault="00C8468F" w:rsidP="00C8468F">
      <w:pPr>
        <w:rPr>
          <w:lang w:val="es-419"/>
        </w:rPr>
      </w:pPr>
    </w:p>
    <w:p w:rsidR="00C8468F" w:rsidRPr="00B41060" w:rsidRDefault="00C8468F" w:rsidP="00C8468F">
      <w:pPr>
        <w:rPr>
          <w:lang w:val="es-419"/>
        </w:rPr>
      </w:pPr>
    </w:p>
    <w:p w:rsidR="00C8468F" w:rsidRPr="00B41060" w:rsidRDefault="00C8468F" w:rsidP="00C8468F">
      <w:pPr>
        <w:rPr>
          <w:u w:val="single"/>
          <w:lang w:val="es-419"/>
        </w:rPr>
      </w:pPr>
      <w:r w:rsidRPr="00B41060">
        <w:rPr>
          <w:u w:val="single"/>
          <w:lang w:val="es-419"/>
        </w:rPr>
        <w:t>Revisión del modelo</w:t>
      </w:r>
      <w:r>
        <w:rPr>
          <w:u w:val="single"/>
          <w:lang w:val="es-419"/>
        </w:rPr>
        <w:t xml:space="preserve"> </w:t>
      </w:r>
      <w:r w:rsidRPr="00B41060">
        <w:rPr>
          <w:u w:val="single"/>
          <w:lang w:val="es-419"/>
        </w:rPr>
        <w:t>1: nuevo texto sobre la fiabilidad del vínculo entre el gen y la expresión del carácter</w:t>
      </w:r>
    </w:p>
    <w:p w:rsidR="00C8468F" w:rsidRPr="00B41060" w:rsidRDefault="00C8468F" w:rsidP="00C8468F">
      <w:pPr>
        <w:rPr>
          <w:lang w:val="es-419"/>
        </w:rPr>
      </w:pPr>
    </w:p>
    <w:p w:rsidR="00C8468F" w:rsidRPr="00B41060" w:rsidRDefault="00C8468F" w:rsidP="00C8468F">
      <w:pPr>
        <w:rPr>
          <w:lang w:val="es-419"/>
        </w:rPr>
      </w:pPr>
      <w:r w:rsidRPr="00B41060">
        <w:rPr>
          <w:lang w:val="es-419"/>
        </w:rPr>
        <w:t>Tras las propuestas acordadas por el TC en su quincuagésima cuarta sesión, se propone incluir las frases siguientes en el documento</w:t>
      </w:r>
      <w:r>
        <w:rPr>
          <w:lang w:val="es-419"/>
        </w:rPr>
        <w:t xml:space="preserve"> </w:t>
      </w:r>
      <w:r w:rsidRPr="00B41060">
        <w:rPr>
          <w:lang w:val="es-419"/>
        </w:rPr>
        <w:t>TGP/15:</w:t>
      </w:r>
    </w:p>
    <w:p w:rsidR="00C8468F" w:rsidRPr="00B41060" w:rsidRDefault="00C8468F" w:rsidP="00C8468F">
      <w:pPr>
        <w:rPr>
          <w:lang w:val="es-419"/>
        </w:rPr>
      </w:pPr>
    </w:p>
    <w:p w:rsidR="00C8468F" w:rsidRPr="00B41060" w:rsidRDefault="00C8468F" w:rsidP="00C8468F">
      <w:pPr>
        <w:tabs>
          <w:tab w:val="left" w:pos="1276"/>
        </w:tabs>
        <w:ind w:left="567" w:right="567"/>
        <w:rPr>
          <w:rFonts w:cs="Arial"/>
          <w:lang w:val="es-419"/>
        </w:rPr>
      </w:pPr>
      <w:r w:rsidRPr="00B41060">
        <w:rPr>
          <w:lang w:val="es-419"/>
        </w:rPr>
        <w:t>“2.1.2</w:t>
      </w:r>
      <w:r w:rsidRPr="00B41060">
        <w:rPr>
          <w:lang w:val="es-419"/>
        </w:rPr>
        <w:tab/>
        <w:t>Incumbe a la autoridad competente determinar si se han cumplido las premisas al aplicar el modelo y el ejemplo que figuran en el Anexo I del presente documento.</w:t>
      </w:r>
    </w:p>
    <w:p w:rsidR="00C8468F" w:rsidRPr="00B41060" w:rsidRDefault="00C8468F" w:rsidP="00C8468F">
      <w:pPr>
        <w:tabs>
          <w:tab w:val="left" w:pos="1276"/>
        </w:tabs>
        <w:ind w:left="567" w:right="567"/>
        <w:rPr>
          <w:rFonts w:cs="Arial"/>
          <w:lang w:val="es-419"/>
        </w:rPr>
      </w:pPr>
    </w:p>
    <w:p w:rsidR="00C8468F" w:rsidRPr="00B41060" w:rsidRDefault="00C8468F" w:rsidP="00C8468F">
      <w:pPr>
        <w:tabs>
          <w:tab w:val="left" w:pos="1276"/>
        </w:tabs>
        <w:ind w:left="567" w:right="567"/>
        <w:rPr>
          <w:rFonts w:cs="Arial"/>
          <w:lang w:val="es-419"/>
        </w:rPr>
      </w:pPr>
      <w:r w:rsidRPr="00B41060">
        <w:rPr>
          <w:lang w:val="es-419"/>
        </w:rPr>
        <w:t>2.1.3</w:t>
      </w:r>
      <w:r w:rsidRPr="00B41060">
        <w:rPr>
          <w:lang w:val="es-419"/>
        </w:rPr>
        <w:tab/>
        <w:t>Para que se incluya en las directrices de examen un método basado en el modelo que figura en el Anexo I del presente documento, el Grupo de Trabajo Técnico competente y el TC deberán convenir en que se ha satisfecho el requisito de fiabilidad del vínculo entre el gen y la expresión del carácter.”</w:t>
      </w:r>
    </w:p>
    <w:p w:rsidR="00C8468F" w:rsidRPr="00B41060" w:rsidRDefault="00C8468F" w:rsidP="00C8468F">
      <w:pPr>
        <w:rPr>
          <w:lang w:val="es-419"/>
        </w:rPr>
      </w:pPr>
    </w:p>
    <w:p w:rsidR="00C8468F" w:rsidRPr="00B41060" w:rsidRDefault="00C8468F" w:rsidP="00C8468F">
      <w:pPr>
        <w:jc w:val="left"/>
        <w:rPr>
          <w:lang w:val="es-419"/>
        </w:rPr>
      </w:pPr>
    </w:p>
    <w:p w:rsidR="00C8468F" w:rsidRPr="00B41060" w:rsidRDefault="00C8468F" w:rsidP="00C8468F">
      <w:pPr>
        <w:rPr>
          <w:u w:val="single"/>
          <w:lang w:val="es-419"/>
        </w:rPr>
      </w:pPr>
      <w:r w:rsidRPr="00B41060">
        <w:rPr>
          <w:u w:val="single"/>
          <w:lang w:val="es-419"/>
        </w:rPr>
        <w:t>Nuevo modelo: “Selección genética de variedades similares para el primer ciclo de cultivo”</w:t>
      </w:r>
    </w:p>
    <w:p w:rsidR="00C8468F" w:rsidRPr="00B41060" w:rsidRDefault="00C8468F" w:rsidP="00C8468F">
      <w:pPr>
        <w:rPr>
          <w:lang w:val="es-419"/>
        </w:rPr>
      </w:pPr>
    </w:p>
    <w:p w:rsidR="00C8468F" w:rsidRPr="00B41060" w:rsidRDefault="00C8468F" w:rsidP="00C8468F">
      <w:pPr>
        <w:rPr>
          <w:lang w:val="es-419"/>
        </w:rPr>
      </w:pPr>
      <w:r w:rsidRPr="00B41060">
        <w:rPr>
          <w:lang w:val="es-419"/>
        </w:rPr>
        <w:t>En su quincuagésima</w:t>
      </w:r>
      <w:r>
        <w:rPr>
          <w:lang w:val="es-419"/>
        </w:rPr>
        <w:t xml:space="preserve"> </w:t>
      </w:r>
      <w:r w:rsidRPr="00B41060">
        <w:rPr>
          <w:lang w:val="es-419"/>
        </w:rPr>
        <w:t>cuarta sesión, el TC convino en la inclusión de un nuevo modelo en el documento</w:t>
      </w:r>
      <w:r>
        <w:rPr>
          <w:lang w:val="es-419"/>
        </w:rPr>
        <w:t> </w:t>
      </w:r>
      <w:r w:rsidRPr="00B41060">
        <w:rPr>
          <w:lang w:val="es-419"/>
        </w:rPr>
        <w:t>TGP/15, concretamente (véanse los párrafos 290 y 291 del documento</w:t>
      </w:r>
      <w:r>
        <w:rPr>
          <w:lang w:val="es-419"/>
        </w:rPr>
        <w:t xml:space="preserve"> </w:t>
      </w:r>
      <w:r w:rsidRPr="00B41060">
        <w:rPr>
          <w:lang w:val="es-419"/>
        </w:rPr>
        <w:t>TC/54/31 “Informe”):</w:t>
      </w:r>
    </w:p>
    <w:p w:rsidR="00C8468F" w:rsidRPr="00B41060" w:rsidRDefault="00C8468F" w:rsidP="00C8468F">
      <w:pPr>
        <w:rPr>
          <w:lang w:val="es-419"/>
        </w:rPr>
      </w:pPr>
    </w:p>
    <w:p w:rsidR="00C8468F" w:rsidRPr="00B41060" w:rsidRDefault="00C8468F" w:rsidP="00C8468F">
      <w:pPr>
        <w:ind w:left="567" w:right="567"/>
        <w:rPr>
          <w:i/>
          <w:lang w:val="es-419"/>
        </w:rPr>
      </w:pPr>
      <w:r w:rsidRPr="00B41060">
        <w:rPr>
          <w:i/>
          <w:lang w:val="es-419"/>
        </w:rPr>
        <w:t>Nueva sección 2.3 “Selección genética de variedades similares para el primer ciclo de cultivo”</w:t>
      </w:r>
    </w:p>
    <w:p w:rsidR="00C8468F" w:rsidRPr="00B41060" w:rsidRDefault="00C8468F" w:rsidP="00C8468F">
      <w:pPr>
        <w:ind w:left="567" w:right="567"/>
        <w:rPr>
          <w:lang w:val="es-419"/>
        </w:rPr>
      </w:pPr>
    </w:p>
    <w:p w:rsidR="00C8468F" w:rsidRPr="00B41060" w:rsidRDefault="00C8468F" w:rsidP="00C8468F">
      <w:pPr>
        <w:ind w:left="567" w:right="567"/>
        <w:rPr>
          <w:lang w:val="es-419"/>
        </w:rPr>
      </w:pPr>
      <w:r w:rsidRPr="00B41060">
        <w:rPr>
          <w:lang w:val="es-419"/>
        </w:rPr>
        <w:t>2.3</w:t>
      </w:r>
      <w:r w:rsidRPr="00B41060">
        <w:rPr>
          <w:lang w:val="es-419"/>
        </w:rPr>
        <w:tab/>
        <w:t>Selección genética de variedades similares para el primer ciclo de cultivo (véase el</w:t>
      </w:r>
      <w:r>
        <w:rPr>
          <w:lang w:val="es-419"/>
        </w:rPr>
        <w:t xml:space="preserve"> </w:t>
      </w:r>
      <w:r w:rsidRPr="00B41060">
        <w:rPr>
          <w:lang w:val="es-419"/>
        </w:rPr>
        <w:t>Anexo</w:t>
      </w:r>
      <w:r>
        <w:rPr>
          <w:lang w:val="es-419"/>
        </w:rPr>
        <w:t xml:space="preserve"> </w:t>
      </w:r>
      <w:r w:rsidRPr="00B41060">
        <w:rPr>
          <w:lang w:val="es-419"/>
        </w:rPr>
        <w:t>III)</w:t>
      </w:r>
    </w:p>
    <w:p w:rsidR="00C8468F" w:rsidRPr="00B41060" w:rsidRDefault="00C8468F" w:rsidP="00C8468F">
      <w:pPr>
        <w:ind w:left="567" w:right="567"/>
        <w:rPr>
          <w:lang w:val="es-419"/>
        </w:rPr>
      </w:pPr>
    </w:p>
    <w:p w:rsidR="00C8468F" w:rsidRPr="00B41060" w:rsidRDefault="00C8468F" w:rsidP="00C8468F">
      <w:pPr>
        <w:ind w:left="567" w:right="567"/>
        <w:rPr>
          <w:lang w:val="es-419"/>
        </w:rPr>
      </w:pPr>
      <w:r w:rsidRPr="00B41060">
        <w:rPr>
          <w:lang w:val="es-419"/>
        </w:rPr>
        <w:t>2.3.1</w:t>
      </w:r>
      <w:r w:rsidRPr="00B41060">
        <w:rPr>
          <w:lang w:val="es-419"/>
        </w:rPr>
        <w:tab/>
        <w:t>Este método incluye una fase de comprobación de la similitud genética antes del primer ciclo de cultivo.</w:t>
      </w:r>
    </w:p>
    <w:p w:rsidR="00C8468F" w:rsidRPr="00B41060" w:rsidRDefault="00C8468F" w:rsidP="00C8468F">
      <w:pPr>
        <w:ind w:left="567" w:right="567"/>
        <w:rPr>
          <w:lang w:val="es-419"/>
        </w:rPr>
      </w:pPr>
    </w:p>
    <w:p w:rsidR="00C8468F" w:rsidRPr="00B41060" w:rsidRDefault="00C8468F" w:rsidP="00C8468F">
      <w:pPr>
        <w:ind w:left="567" w:right="567"/>
        <w:rPr>
          <w:lang w:val="es-419"/>
        </w:rPr>
      </w:pPr>
      <w:r w:rsidRPr="00B41060">
        <w:rPr>
          <w:lang w:val="es-419"/>
        </w:rPr>
        <w:t>2.3.2</w:t>
      </w:r>
      <w:r w:rsidRPr="00B41060">
        <w:rPr>
          <w:lang w:val="es-419"/>
        </w:rPr>
        <w:tab/>
        <w:t>En aquellos casos en que la duración mínima de los ensayos es normalmente de dos ciclos de cultivo, se seleccionan de la colección de variedades las que son genéticamente similares a fin de compararlas con las variedades candidatas en el primer ciclo de cultivo. En la fase siguiente, se utiliza la información suministrada por el solicitante en el cuestionario técnico para comprobar si alguna variedad genéticamente similar presenta diferencias en los caracteres DHE y, por tanto, no es necesario compararla en el ensayo de cultivo.</w:t>
      </w:r>
    </w:p>
    <w:p w:rsidR="00C8468F" w:rsidRPr="00B41060" w:rsidRDefault="00C8468F" w:rsidP="00C8468F">
      <w:pPr>
        <w:ind w:left="567" w:right="567"/>
        <w:rPr>
          <w:lang w:val="es-419"/>
        </w:rPr>
      </w:pPr>
    </w:p>
    <w:p w:rsidR="00C8468F" w:rsidRPr="00B41060" w:rsidRDefault="00C8468F" w:rsidP="00C8468F">
      <w:pPr>
        <w:ind w:left="567" w:right="567"/>
        <w:rPr>
          <w:lang w:val="es-419"/>
        </w:rPr>
      </w:pPr>
      <w:r w:rsidRPr="00B41060">
        <w:rPr>
          <w:lang w:val="es-419"/>
        </w:rPr>
        <w:t>2.3.3</w:t>
      </w:r>
      <w:r w:rsidRPr="00B41060">
        <w:rPr>
          <w:lang w:val="es-419"/>
        </w:rPr>
        <w:tab/>
        <w:t xml:space="preserve">Sobre la base de la descripción de los caracteres DHE de la variedad elaborada en el primer ciclo de cultivo, se realiza otra búsqueda en la colección para encontrar variedades similares que no se hayan comparado en ese primer ciclo y deban compararse con la variedad candidata en el segundo ciclo. </w:t>
      </w:r>
    </w:p>
    <w:p w:rsidR="00C8468F" w:rsidRPr="00B41060" w:rsidRDefault="00C8468F" w:rsidP="00C8468F">
      <w:pPr>
        <w:ind w:left="567" w:right="567"/>
        <w:rPr>
          <w:lang w:val="es-419"/>
        </w:rPr>
      </w:pPr>
    </w:p>
    <w:p w:rsidR="00C8468F" w:rsidRPr="00B41060" w:rsidRDefault="00C8468F" w:rsidP="00C8468F">
      <w:pPr>
        <w:ind w:left="567" w:right="567"/>
        <w:rPr>
          <w:lang w:val="es-419"/>
        </w:rPr>
      </w:pPr>
      <w:r w:rsidRPr="00B41060">
        <w:rPr>
          <w:lang w:val="es-419"/>
        </w:rPr>
        <w:t>2.3.4</w:t>
      </w:r>
      <w:r w:rsidRPr="00B41060">
        <w:rPr>
          <w:lang w:val="es-419"/>
        </w:rPr>
        <w:tab/>
        <w:t>En el Anexo III del presente documento “Selección genética de variedades similares para el primer ciclo de cultivo” se ofrece un ejemplo de la selección genética de variedades similares para el primer ciclo de cultivo.</w:t>
      </w:r>
    </w:p>
    <w:p w:rsidR="00C8468F" w:rsidRPr="00B41060" w:rsidRDefault="00C8468F" w:rsidP="00C8468F">
      <w:pPr>
        <w:ind w:left="567" w:right="567"/>
        <w:rPr>
          <w:lang w:val="es-419"/>
        </w:rPr>
      </w:pPr>
    </w:p>
    <w:p w:rsidR="00C8468F" w:rsidRPr="00B41060" w:rsidRDefault="00C8468F" w:rsidP="00C8468F">
      <w:pPr>
        <w:ind w:left="567" w:right="567"/>
        <w:rPr>
          <w:i/>
          <w:lang w:val="es-419"/>
        </w:rPr>
      </w:pPr>
      <w:r w:rsidRPr="00B41060">
        <w:rPr>
          <w:i/>
          <w:lang w:val="es-419"/>
        </w:rPr>
        <w:t>Anexo III “</w:t>
      </w:r>
      <w:proofErr w:type="spellStart"/>
      <w:r w:rsidRPr="00B41060">
        <w:rPr>
          <w:i/>
          <w:lang w:val="es-419"/>
        </w:rPr>
        <w:t>Model</w:t>
      </w:r>
      <w:proofErr w:type="spellEnd"/>
      <w:r w:rsidRPr="00B41060">
        <w:rPr>
          <w:i/>
          <w:lang w:val="es-419"/>
        </w:rPr>
        <w:t>: Selección genética de variedades similares para el primer ciclo de cultivo”</w:t>
      </w:r>
    </w:p>
    <w:p w:rsidR="00C8468F" w:rsidRPr="00B41060" w:rsidRDefault="00C8468F" w:rsidP="00C8468F">
      <w:pPr>
        <w:ind w:left="567" w:right="567"/>
        <w:jc w:val="center"/>
        <w:rPr>
          <w:snapToGrid w:val="0"/>
          <w:color w:val="000000"/>
          <w:lang w:val="es-419"/>
        </w:rPr>
      </w:pPr>
    </w:p>
    <w:p w:rsidR="00C8468F" w:rsidRPr="00B41060" w:rsidRDefault="00C8468F" w:rsidP="00C8468F">
      <w:pPr>
        <w:ind w:left="567" w:right="567"/>
        <w:jc w:val="left"/>
        <w:rPr>
          <w:i/>
          <w:lang w:val="es-419"/>
        </w:rPr>
      </w:pPr>
      <w:r w:rsidRPr="00B41060">
        <w:rPr>
          <w:lang w:val="es-419"/>
        </w:rPr>
        <w:t>Ejemplo: la judía común (preparado por un experto de los Países Bajos)</w:t>
      </w:r>
    </w:p>
    <w:p w:rsidR="00C8468F" w:rsidRPr="00B41060" w:rsidRDefault="00C8468F" w:rsidP="00C8468F">
      <w:pPr>
        <w:ind w:left="567" w:right="567"/>
        <w:jc w:val="center"/>
        <w:rPr>
          <w:rFonts w:cs="Arial"/>
          <w:i/>
          <w:lang w:val="es-419"/>
        </w:rPr>
      </w:pPr>
    </w:p>
    <w:p w:rsidR="00C8468F" w:rsidRPr="00B41060" w:rsidRDefault="00C8468F" w:rsidP="00C8468F">
      <w:pPr>
        <w:ind w:left="567" w:right="567"/>
        <w:rPr>
          <w:lang w:val="es-419"/>
        </w:rPr>
      </w:pPr>
      <w:r w:rsidRPr="00B41060">
        <w:rPr>
          <w:lang w:val="es-419"/>
        </w:rPr>
        <w:t>1.</w:t>
      </w:r>
      <w:r w:rsidRPr="00B41060">
        <w:rPr>
          <w:lang w:val="es-419"/>
        </w:rPr>
        <w:tab/>
        <w:t>Introducción</w:t>
      </w:r>
    </w:p>
    <w:p w:rsidR="00C8468F" w:rsidRPr="00B41060" w:rsidRDefault="00C8468F" w:rsidP="00C8468F">
      <w:pPr>
        <w:ind w:left="567" w:right="567"/>
        <w:rPr>
          <w:lang w:val="es-419"/>
        </w:rPr>
      </w:pPr>
    </w:p>
    <w:p w:rsidR="00C8468F" w:rsidRPr="00B41060" w:rsidRDefault="00C8468F" w:rsidP="00C8468F">
      <w:pPr>
        <w:ind w:left="567" w:right="567"/>
        <w:rPr>
          <w:lang w:val="es-419"/>
        </w:rPr>
      </w:pPr>
      <w:r w:rsidRPr="00B41060">
        <w:rPr>
          <w:lang w:val="es-419"/>
        </w:rPr>
        <w:t xml:space="preserve">1.1 </w:t>
      </w:r>
      <w:r w:rsidRPr="00B41060">
        <w:rPr>
          <w:lang w:val="es-419"/>
        </w:rPr>
        <w:tab/>
        <w:t xml:space="preserve">Este método incluye una fase de comprobación de la similitud genética antes del primer ciclo de cultivo. </w:t>
      </w:r>
    </w:p>
    <w:p w:rsidR="00C8468F" w:rsidRPr="00B41060" w:rsidRDefault="00C8468F" w:rsidP="00C8468F">
      <w:pPr>
        <w:ind w:left="567" w:right="567"/>
        <w:rPr>
          <w:lang w:val="es-419"/>
        </w:rPr>
      </w:pPr>
    </w:p>
    <w:p w:rsidR="00C8468F" w:rsidRPr="00B41060" w:rsidRDefault="00C8468F" w:rsidP="00C8468F">
      <w:pPr>
        <w:ind w:left="567" w:right="567"/>
        <w:rPr>
          <w:lang w:val="es-419"/>
        </w:rPr>
      </w:pPr>
      <w:r w:rsidRPr="00B41060">
        <w:rPr>
          <w:lang w:val="es-419"/>
        </w:rPr>
        <w:t>1.2</w:t>
      </w:r>
      <w:r w:rsidRPr="00B41060">
        <w:rPr>
          <w:lang w:val="es-419"/>
        </w:rPr>
        <w:tab/>
        <w:t xml:space="preserve">En aquellos casos en que la duración mínima de los ensayos es normalmente de dos ciclos de cultivo, se seleccionan de la colección de variedades las que son genéticamente similares a fin de compararlas con las variedades candidatas en el primer ciclo de cultivo. En la fase </w:t>
      </w:r>
      <w:r w:rsidRPr="00B41060">
        <w:rPr>
          <w:lang w:val="es-419"/>
        </w:rPr>
        <w:lastRenderedPageBreak/>
        <w:t xml:space="preserve">siguiente, se utiliza la información suministrada por el solicitante en el cuestionario técnico para comprobar si alguna variedad genéticamente similar presenta diferencias en los caracteres DHE y, por tanto, no es necesario compararla en el ensayo de cultivo. </w:t>
      </w:r>
    </w:p>
    <w:p w:rsidR="00C8468F" w:rsidRPr="00B41060" w:rsidRDefault="00C8468F" w:rsidP="00C8468F">
      <w:pPr>
        <w:ind w:left="567" w:right="567"/>
        <w:rPr>
          <w:lang w:val="es-419"/>
        </w:rPr>
      </w:pPr>
    </w:p>
    <w:p w:rsidR="00C8468F" w:rsidRPr="00B41060" w:rsidRDefault="00C8468F" w:rsidP="00C8468F">
      <w:pPr>
        <w:ind w:left="567" w:right="567"/>
        <w:rPr>
          <w:lang w:val="es-419"/>
        </w:rPr>
      </w:pPr>
      <w:r w:rsidRPr="00B41060">
        <w:rPr>
          <w:lang w:val="es-419"/>
        </w:rPr>
        <w:t>1.3</w:t>
      </w:r>
      <w:r w:rsidRPr="00B41060">
        <w:rPr>
          <w:lang w:val="es-419"/>
        </w:rPr>
        <w:tab/>
        <w:t xml:space="preserve">Sobre la base de la descripción de los caracteres DHE de la variedad elaborada en el primer ciclo de cultivo, se realiza otra búsqueda en la colección para encontrar variedades similares que no se hayan comparado en ese primer ciclo y deban compararse con la variedad candidata en el segundo ciclo. </w:t>
      </w:r>
    </w:p>
    <w:p w:rsidR="00C8468F" w:rsidRPr="00B41060" w:rsidRDefault="00C8468F" w:rsidP="00C8468F">
      <w:pPr>
        <w:ind w:left="567" w:right="567"/>
        <w:rPr>
          <w:lang w:val="es-419"/>
        </w:rPr>
      </w:pPr>
    </w:p>
    <w:p w:rsidR="00C8468F" w:rsidRPr="00B41060" w:rsidRDefault="00C8468F" w:rsidP="00C8468F">
      <w:pPr>
        <w:ind w:left="567" w:right="567"/>
        <w:rPr>
          <w:lang w:val="es-419"/>
        </w:rPr>
      </w:pPr>
      <w:r w:rsidRPr="00B41060">
        <w:rPr>
          <w:lang w:val="es-419"/>
        </w:rPr>
        <w:t>2.</w:t>
      </w:r>
      <w:r w:rsidRPr="00B41060">
        <w:rPr>
          <w:lang w:val="es-419"/>
        </w:rPr>
        <w:tab/>
        <w:t>Procedimiento</w:t>
      </w:r>
    </w:p>
    <w:p w:rsidR="00C8468F" w:rsidRPr="00B41060" w:rsidRDefault="00C8468F" w:rsidP="00C8468F">
      <w:pPr>
        <w:keepNext/>
        <w:ind w:left="567" w:right="567"/>
        <w:outlineLvl w:val="2"/>
        <w:rPr>
          <w:rFonts w:eastAsia="MS Mincho"/>
          <w:i/>
          <w:lang w:val="es-419"/>
        </w:rPr>
      </w:pPr>
      <w:r w:rsidRPr="00B41060">
        <w:rPr>
          <w:i/>
          <w:lang w:val="es-419"/>
        </w:rPr>
        <w:t xml:space="preserve"> </w:t>
      </w:r>
    </w:p>
    <w:p w:rsidR="00C8468F" w:rsidRPr="00B41060" w:rsidRDefault="00C8468F" w:rsidP="00C8468F">
      <w:pPr>
        <w:ind w:left="567" w:right="567"/>
        <w:rPr>
          <w:i/>
          <w:lang w:val="es-419"/>
        </w:rPr>
      </w:pPr>
      <w:r w:rsidRPr="00B41060">
        <w:rPr>
          <w:i/>
          <w:lang w:val="es-419"/>
        </w:rPr>
        <w:t>Determinación de la similitud genética</w:t>
      </w:r>
    </w:p>
    <w:p w:rsidR="00C8468F" w:rsidRPr="00B41060" w:rsidRDefault="00C8468F" w:rsidP="00C8468F">
      <w:pPr>
        <w:ind w:left="567" w:right="567"/>
        <w:rPr>
          <w:lang w:val="es-419"/>
        </w:rPr>
      </w:pPr>
    </w:p>
    <w:p w:rsidR="00C8468F" w:rsidRPr="00B41060" w:rsidRDefault="00C8468F" w:rsidP="00C8468F">
      <w:pPr>
        <w:ind w:left="567" w:right="567"/>
        <w:rPr>
          <w:lang w:val="es-419"/>
        </w:rPr>
      </w:pPr>
      <w:r w:rsidRPr="00B41060">
        <w:rPr>
          <w:lang w:val="es-419"/>
        </w:rPr>
        <w:t>2.1</w:t>
      </w:r>
      <w:r w:rsidRPr="00B41060">
        <w:rPr>
          <w:lang w:val="es-419"/>
        </w:rPr>
        <w:tab/>
        <w:t>En cuanto se recibe el material vegetal, se obtiene el perfil de ADN de la variedad candidata.</w:t>
      </w:r>
    </w:p>
    <w:p w:rsidR="00C8468F" w:rsidRPr="00B41060" w:rsidRDefault="00C8468F" w:rsidP="00C8468F">
      <w:pPr>
        <w:ind w:left="567" w:right="567"/>
        <w:rPr>
          <w:lang w:val="es-419"/>
        </w:rPr>
      </w:pPr>
    </w:p>
    <w:p w:rsidR="00C8468F" w:rsidRPr="00B41060" w:rsidRDefault="00C8468F" w:rsidP="00C8468F">
      <w:pPr>
        <w:ind w:left="567" w:right="567"/>
        <w:rPr>
          <w:lang w:val="es-419"/>
        </w:rPr>
      </w:pPr>
      <w:r w:rsidRPr="00B41060">
        <w:rPr>
          <w:lang w:val="es-419"/>
        </w:rPr>
        <w:t>2.2</w:t>
      </w:r>
      <w:r w:rsidRPr="00B41060">
        <w:rPr>
          <w:lang w:val="es-419"/>
        </w:rPr>
        <w:tab/>
        <w:t xml:space="preserve">El perfil de ADN se compara con los perfiles de todas las variedades que figuran en la colección de variedades y se seleccionan las que presentan similitud genética. </w:t>
      </w:r>
    </w:p>
    <w:p w:rsidR="00C8468F" w:rsidRPr="00B41060" w:rsidRDefault="00C8468F" w:rsidP="00C8468F">
      <w:pPr>
        <w:ind w:left="567" w:right="567"/>
        <w:rPr>
          <w:lang w:val="es-419"/>
        </w:rPr>
      </w:pPr>
    </w:p>
    <w:p w:rsidR="00C8468F" w:rsidRPr="00B41060" w:rsidRDefault="00C8468F" w:rsidP="00C8468F">
      <w:pPr>
        <w:ind w:left="567" w:right="567"/>
        <w:rPr>
          <w:i/>
          <w:lang w:val="es-419"/>
        </w:rPr>
      </w:pPr>
      <w:r w:rsidRPr="00B41060">
        <w:rPr>
          <w:i/>
          <w:lang w:val="es-419"/>
        </w:rPr>
        <w:t>Información del cuestionario técnico</w:t>
      </w:r>
    </w:p>
    <w:p w:rsidR="00C8468F" w:rsidRPr="00B41060" w:rsidRDefault="00C8468F" w:rsidP="00C8468F">
      <w:pPr>
        <w:ind w:left="567" w:right="567"/>
        <w:rPr>
          <w:lang w:val="es-419"/>
        </w:rPr>
      </w:pPr>
    </w:p>
    <w:p w:rsidR="00C8468F" w:rsidRPr="00B41060" w:rsidRDefault="00C8468F" w:rsidP="00C8468F">
      <w:pPr>
        <w:ind w:left="567" w:right="567"/>
        <w:rPr>
          <w:lang w:val="es-419"/>
        </w:rPr>
      </w:pPr>
      <w:r w:rsidRPr="00B41060">
        <w:rPr>
          <w:lang w:val="es-419"/>
        </w:rPr>
        <w:t>2.3</w:t>
      </w:r>
      <w:r w:rsidRPr="00B41060">
        <w:rPr>
          <w:lang w:val="es-419"/>
        </w:rPr>
        <w:tab/>
        <w:t xml:space="preserve">A continuación, se utiliza la información suministrada por el solicitante en el cuestionario técnico para comprobar si alguna variedad genéticamente similar presenta claras diferencias respecto de los caracteres DHE, en cuyo caso no será necesario compararla con las variedades candidatas en el ensayo de cultivo. </w:t>
      </w:r>
    </w:p>
    <w:p w:rsidR="00C8468F" w:rsidRPr="00B41060" w:rsidRDefault="00C8468F" w:rsidP="00C8468F">
      <w:pPr>
        <w:ind w:left="567" w:right="567"/>
        <w:rPr>
          <w:lang w:val="es-419"/>
        </w:rPr>
      </w:pPr>
    </w:p>
    <w:p w:rsidR="00C8468F" w:rsidRPr="00B41060" w:rsidRDefault="00C8468F" w:rsidP="00C8468F">
      <w:pPr>
        <w:ind w:left="567" w:right="567"/>
        <w:rPr>
          <w:i/>
          <w:lang w:val="es-419"/>
        </w:rPr>
      </w:pPr>
      <w:r w:rsidRPr="00B41060">
        <w:rPr>
          <w:i/>
          <w:lang w:val="es-419"/>
        </w:rPr>
        <w:t>Ensayo de campo</w:t>
      </w:r>
    </w:p>
    <w:p w:rsidR="00C8468F" w:rsidRPr="00B41060" w:rsidRDefault="00C8468F" w:rsidP="00C8468F">
      <w:pPr>
        <w:ind w:left="567" w:right="567"/>
        <w:rPr>
          <w:lang w:val="es-419"/>
        </w:rPr>
      </w:pPr>
    </w:p>
    <w:p w:rsidR="00C8468F" w:rsidRPr="00B41060" w:rsidRDefault="00C8468F" w:rsidP="00C8468F">
      <w:pPr>
        <w:ind w:left="567" w:right="567" w:firstLine="567"/>
        <w:rPr>
          <w:u w:val="single"/>
          <w:lang w:val="es-419"/>
        </w:rPr>
      </w:pPr>
      <w:r w:rsidRPr="00B41060">
        <w:rPr>
          <w:u w:val="single"/>
          <w:lang w:val="es-419"/>
        </w:rPr>
        <w:t>Primer ciclo de cultivo</w:t>
      </w:r>
    </w:p>
    <w:p w:rsidR="00C8468F" w:rsidRPr="00B41060" w:rsidRDefault="00C8468F" w:rsidP="00C8468F">
      <w:pPr>
        <w:ind w:left="567" w:right="567"/>
        <w:rPr>
          <w:lang w:val="es-419"/>
        </w:rPr>
      </w:pPr>
    </w:p>
    <w:p w:rsidR="00C8468F" w:rsidRPr="00B41060" w:rsidRDefault="00C8468F" w:rsidP="00C8468F">
      <w:pPr>
        <w:ind w:left="567" w:right="567"/>
        <w:rPr>
          <w:lang w:val="es-419"/>
        </w:rPr>
      </w:pPr>
      <w:r w:rsidRPr="00B41060">
        <w:rPr>
          <w:lang w:val="es-419"/>
        </w:rPr>
        <w:t>2.4</w:t>
      </w:r>
      <w:r w:rsidRPr="00B41060">
        <w:rPr>
          <w:lang w:val="es-419"/>
        </w:rPr>
        <w:tab/>
        <w:t xml:space="preserve">Las variedades candidatas y las genéticamente similares seleccionadas mediante el procedimiento descrito se cultivan en un mismo ensayo de campo. Se elabora una completa descripción de los caracteres DHE de la variedad candidata y se compara con las descripciones de todas las variedades de la colección por medio de una base de datos que contiene descripciones elaboradas en el mismo lugar en años anteriores. </w:t>
      </w:r>
    </w:p>
    <w:p w:rsidR="00C8468F" w:rsidRPr="00B41060" w:rsidRDefault="00C8468F" w:rsidP="00C8468F">
      <w:pPr>
        <w:ind w:left="567" w:right="567"/>
        <w:rPr>
          <w:lang w:val="es-419"/>
        </w:rPr>
      </w:pPr>
    </w:p>
    <w:p w:rsidR="00C8468F" w:rsidRPr="00B41060" w:rsidRDefault="00C8468F" w:rsidP="00C8468F">
      <w:pPr>
        <w:ind w:left="567" w:right="567"/>
        <w:rPr>
          <w:lang w:val="es-419"/>
        </w:rPr>
      </w:pPr>
      <w:r w:rsidRPr="00B41060">
        <w:rPr>
          <w:lang w:val="es-419"/>
        </w:rPr>
        <w:t>2.5</w:t>
      </w:r>
      <w:r w:rsidRPr="00B41060">
        <w:rPr>
          <w:lang w:val="es-419"/>
        </w:rPr>
        <w:tab/>
        <w:t xml:space="preserve">Resultados posibles: </w:t>
      </w:r>
    </w:p>
    <w:p w:rsidR="00C8468F" w:rsidRPr="00B41060" w:rsidRDefault="00C8468F" w:rsidP="00C8468F">
      <w:pPr>
        <w:ind w:left="567" w:right="567"/>
        <w:rPr>
          <w:lang w:val="es-419"/>
        </w:rPr>
      </w:pPr>
    </w:p>
    <w:p w:rsidR="00C8468F" w:rsidRPr="00B41060" w:rsidRDefault="00C8468F" w:rsidP="00C8468F">
      <w:pPr>
        <w:ind w:left="567" w:right="567"/>
        <w:rPr>
          <w:lang w:val="es-419"/>
        </w:rPr>
      </w:pPr>
      <w:r w:rsidRPr="00B41060">
        <w:rPr>
          <w:lang w:val="es-419"/>
        </w:rPr>
        <w:t xml:space="preserve">Si la variedad candidata no es distinta de las variedades genéticamente similares en lo que respecta a los caracteres DHE, se continuará con el ensayo en otro ciclo de cultivo. </w:t>
      </w:r>
    </w:p>
    <w:p w:rsidR="00C8468F" w:rsidRPr="00B41060" w:rsidRDefault="00C8468F" w:rsidP="00C8468F">
      <w:pPr>
        <w:ind w:left="567" w:right="567"/>
        <w:rPr>
          <w:lang w:val="es-419"/>
        </w:rPr>
      </w:pPr>
    </w:p>
    <w:p w:rsidR="00C8468F" w:rsidRPr="00B41060" w:rsidRDefault="00C8468F" w:rsidP="00C8468F">
      <w:pPr>
        <w:ind w:left="567" w:right="567"/>
        <w:rPr>
          <w:lang w:val="es-419"/>
        </w:rPr>
      </w:pPr>
      <w:r w:rsidRPr="00B41060">
        <w:rPr>
          <w:lang w:val="es-419"/>
        </w:rPr>
        <w:t xml:space="preserve">En cualquier caso, la descripción de la variedad candidata elaborada en el primer ciclo de cultivo se compara con las descripciones de las variedades de la colección por medio de una base de datos que contiene descripciones elaboradas en el mismo lugar. </w:t>
      </w:r>
    </w:p>
    <w:p w:rsidR="00C8468F" w:rsidRPr="00B41060" w:rsidRDefault="00C8468F" w:rsidP="00C8468F">
      <w:pPr>
        <w:ind w:left="567" w:right="567"/>
        <w:rPr>
          <w:lang w:val="es-419"/>
        </w:rPr>
      </w:pPr>
    </w:p>
    <w:p w:rsidR="00C8468F" w:rsidRPr="00B41060" w:rsidRDefault="00C8468F" w:rsidP="00C8468F">
      <w:pPr>
        <w:ind w:left="567" w:right="567"/>
        <w:rPr>
          <w:lang w:val="es-419"/>
        </w:rPr>
      </w:pPr>
      <w:r w:rsidRPr="00B41060">
        <w:rPr>
          <w:lang w:val="es-419"/>
        </w:rPr>
        <w:tab/>
        <w:t>a)</w:t>
      </w:r>
      <w:r w:rsidRPr="00B41060">
        <w:rPr>
          <w:lang w:val="es-419"/>
        </w:rPr>
        <w:tab/>
        <w:t>Si, al final del primer ciclo de cultivo, se determina que la variedad candidata es distinta de todas las variedades cultivadas en ese primer ciclo y de todas las demás variedades de la colección y que reúne los requisitos de homogeneidad y estabilidad, puede concluirse el examen DHE cuando termine el primer ciclo de cultivo.</w:t>
      </w:r>
    </w:p>
    <w:p w:rsidR="00C8468F" w:rsidRPr="00B41060" w:rsidRDefault="00C8468F" w:rsidP="00C8468F">
      <w:pPr>
        <w:ind w:left="567" w:right="567"/>
        <w:rPr>
          <w:lang w:val="es-419"/>
        </w:rPr>
      </w:pPr>
    </w:p>
    <w:p w:rsidR="00C8468F" w:rsidRPr="00B41060" w:rsidRDefault="00C8468F" w:rsidP="00C8468F">
      <w:pPr>
        <w:ind w:left="567" w:right="567"/>
        <w:rPr>
          <w:lang w:val="es-419"/>
        </w:rPr>
      </w:pPr>
      <w:r w:rsidRPr="00B41060">
        <w:rPr>
          <w:lang w:val="es-419"/>
        </w:rPr>
        <w:tab/>
        <w:t>b)</w:t>
      </w:r>
      <w:r w:rsidRPr="00B41060">
        <w:rPr>
          <w:lang w:val="es-419"/>
        </w:rPr>
        <w:tab/>
        <w:t xml:space="preserve">En todos los demás casos, deberá llevarse a cabo un segundo ciclo de cultivo. </w:t>
      </w:r>
    </w:p>
    <w:p w:rsidR="00C8468F" w:rsidRPr="00B41060" w:rsidRDefault="00C8468F" w:rsidP="00C8468F">
      <w:pPr>
        <w:ind w:left="567" w:right="567"/>
        <w:rPr>
          <w:lang w:val="es-419"/>
        </w:rPr>
      </w:pPr>
    </w:p>
    <w:p w:rsidR="00C8468F" w:rsidRPr="00B41060" w:rsidRDefault="00C8468F" w:rsidP="00C8468F">
      <w:pPr>
        <w:ind w:left="567" w:right="567" w:firstLine="567"/>
        <w:rPr>
          <w:u w:val="single"/>
          <w:lang w:val="es-419"/>
        </w:rPr>
      </w:pPr>
      <w:r w:rsidRPr="00B41060">
        <w:rPr>
          <w:u w:val="single"/>
          <w:lang w:val="es-419"/>
        </w:rPr>
        <w:t>Segundo ciclo de cultivo</w:t>
      </w:r>
    </w:p>
    <w:p w:rsidR="00C8468F" w:rsidRPr="00B41060" w:rsidRDefault="00C8468F" w:rsidP="00C8468F">
      <w:pPr>
        <w:ind w:left="567" w:right="567"/>
        <w:rPr>
          <w:lang w:val="es-419"/>
        </w:rPr>
      </w:pPr>
    </w:p>
    <w:p w:rsidR="00C8468F" w:rsidRPr="00B41060" w:rsidRDefault="00C8468F" w:rsidP="00C8468F">
      <w:pPr>
        <w:ind w:left="567" w:right="567"/>
        <w:rPr>
          <w:lang w:val="es-419"/>
        </w:rPr>
      </w:pPr>
      <w:r w:rsidRPr="00B41060">
        <w:rPr>
          <w:lang w:val="es-419"/>
        </w:rPr>
        <w:t>2.6</w:t>
      </w:r>
      <w:r w:rsidRPr="00B41060">
        <w:rPr>
          <w:lang w:val="es-419"/>
        </w:rPr>
        <w:tab/>
        <w:t xml:space="preserve">En el segundo ciclo, se cultiva la variedad candidata junto con todas aquellas variedades de la colección respecto de las cuales se ha determinado que no es distinta al final del primer ciclo de cultivo. </w:t>
      </w:r>
    </w:p>
    <w:p w:rsidR="00C8468F" w:rsidRPr="00B41060" w:rsidRDefault="00C8468F" w:rsidP="00C8468F">
      <w:pPr>
        <w:ind w:left="567" w:right="567"/>
        <w:rPr>
          <w:lang w:val="es-419"/>
        </w:rPr>
      </w:pPr>
    </w:p>
    <w:p w:rsidR="00C8468F" w:rsidRPr="00B41060" w:rsidRDefault="00C8468F" w:rsidP="00C8468F">
      <w:pPr>
        <w:ind w:left="567" w:right="567"/>
        <w:rPr>
          <w:lang w:val="es-419"/>
        </w:rPr>
      </w:pPr>
      <w:r w:rsidRPr="00B41060">
        <w:rPr>
          <w:lang w:val="es-419"/>
        </w:rPr>
        <w:t>2.7</w:t>
      </w:r>
      <w:r w:rsidRPr="00B41060">
        <w:rPr>
          <w:lang w:val="es-419"/>
        </w:rPr>
        <w:tab/>
        <w:t>Al término del segundo ciclo de cultivo se efectúa una evaluación de la distinción, la homogeneidad y la estabilidad. Si no es posible adoptar entonces una decisión acerca de la distinción, la homogeneidad y la estabilidad, puede llevarse a cabo un nuevo ciclo de cultivo.</w:t>
      </w:r>
    </w:p>
    <w:p w:rsidR="00914865" w:rsidRPr="00FA185E" w:rsidRDefault="00914865" w:rsidP="00914865">
      <w:pPr>
        <w:rPr>
          <w:lang w:val="es-419"/>
        </w:rPr>
      </w:pPr>
    </w:p>
    <w:p w:rsidR="00914865" w:rsidRPr="00FA185E" w:rsidRDefault="00914865" w:rsidP="00914865">
      <w:pPr>
        <w:rPr>
          <w:lang w:val="es-419"/>
        </w:rPr>
      </w:pPr>
    </w:p>
    <w:p w:rsidR="00914865" w:rsidRPr="00FA185E" w:rsidRDefault="00914865" w:rsidP="001743D7">
      <w:pPr>
        <w:jc w:val="right"/>
        <w:rPr>
          <w:lang w:val="es-419"/>
        </w:rPr>
      </w:pPr>
      <w:r w:rsidRPr="00FA185E">
        <w:rPr>
          <w:lang w:val="es-419"/>
        </w:rPr>
        <w:t>[Sigue el Anexo</w:t>
      </w:r>
      <w:r w:rsidR="00B23B18">
        <w:rPr>
          <w:lang w:val="es-419"/>
        </w:rPr>
        <w:t xml:space="preserve"> </w:t>
      </w:r>
      <w:r w:rsidRPr="00FA185E">
        <w:rPr>
          <w:lang w:val="es-419"/>
        </w:rPr>
        <w:t>VI]</w:t>
      </w:r>
    </w:p>
    <w:p w:rsidR="00914865" w:rsidRPr="00FA185E" w:rsidRDefault="00914865" w:rsidP="00914865">
      <w:pPr>
        <w:jc w:val="right"/>
        <w:rPr>
          <w:lang w:val="es-419"/>
        </w:rPr>
        <w:sectPr w:rsidR="00914865" w:rsidRPr="00FA185E" w:rsidSect="009E5A8F">
          <w:headerReference w:type="default" r:id="rId31"/>
          <w:headerReference w:type="first" r:id="rId32"/>
          <w:footnotePr>
            <w:numRestart w:val="eachSect"/>
          </w:footnotePr>
          <w:pgSz w:w="11907" w:h="16840" w:code="9"/>
          <w:pgMar w:top="510" w:right="1134" w:bottom="709" w:left="1134" w:header="510" w:footer="680" w:gutter="0"/>
          <w:pgNumType w:start="1"/>
          <w:cols w:space="720"/>
          <w:titlePg/>
        </w:sectPr>
      </w:pPr>
    </w:p>
    <w:p w:rsidR="00914865" w:rsidRPr="00FA185E" w:rsidRDefault="00914865" w:rsidP="00914865">
      <w:pPr>
        <w:jc w:val="left"/>
        <w:rPr>
          <w:lang w:val="es-419"/>
        </w:rPr>
      </w:pPr>
      <w:r w:rsidRPr="00FA185E">
        <w:rPr>
          <w:noProof/>
          <w:lang w:val="en-US" w:eastAsia="en-US" w:bidi="ar-SA"/>
        </w:rPr>
        <w:lastRenderedPageBreak/>
        <mc:AlternateContent>
          <mc:Choice Requires="wps">
            <w:drawing>
              <wp:anchor distT="0" distB="0" distL="114300" distR="114300" simplePos="0" relativeHeight="251661312" behindDoc="0" locked="0" layoutInCell="1" allowOverlap="1">
                <wp:simplePos x="0" y="0"/>
                <wp:positionH relativeFrom="column">
                  <wp:posOffset>7214235</wp:posOffset>
                </wp:positionH>
                <wp:positionV relativeFrom="paragraph">
                  <wp:posOffset>6258704</wp:posOffset>
                </wp:positionV>
                <wp:extent cx="2324100" cy="2952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2324100" cy="295275"/>
                        </a:xfrm>
                        <a:prstGeom prst="rect">
                          <a:avLst/>
                        </a:prstGeom>
                        <a:solidFill>
                          <a:schemeClr val="lt1"/>
                        </a:solidFill>
                        <a:ln w="6350">
                          <a:noFill/>
                        </a:ln>
                      </wps:spPr>
                      <wps:txbx>
                        <w:txbxContent>
                          <w:p w:rsidR="001E4C97" w:rsidRPr="00914865" w:rsidRDefault="001E4C97">
                            <w:r>
                              <w:t>Fin del Anexo VI y del documento</w:t>
                            </w:r>
                            <w:bookmarkStart w:id="51" w:name="_GoBack"/>
                            <w:bookmarkEnd w:id="5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 o:spid="_x0000_s1028" type="#_x0000_t202" style="position:absolute;margin-left:568.05pt;margin-top:492.8pt;width:183pt;height:23.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" fillcolor="white [3201]" stroked="f" strokeweight=".5pt">
                <v:textbox>
                  <w:txbxContent>
                    <w:p w:rsidR="001E4C97" w:rsidRPr="00914865" w:rsidRDefault="001E4C97">
                      <w:r>
                        <w:t>Fin del Anexo VI y del documento</w:t>
                      </w:r>
                      <w:bookmarkStart w:id="52" w:name="_GoBack"/>
                      <w:bookmarkEnd w:id="52"/>
                    </w:p>
                  </w:txbxContent>
                </v:textbox>
              </v:shape>
            </w:pict>
          </mc:Fallback>
        </mc:AlternateContent>
      </w:r>
      <w:r w:rsidR="00C8468F" w:rsidRPr="00C8468F">
        <w:rPr>
          <w:lang w:val="es-419"/>
        </w:rPr>
        <w:t xml:space="preserve"> </w:t>
      </w:r>
      <w:r w:rsidR="00C8468F" w:rsidRPr="00C8468F">
        <w:drawing>
          <wp:inline distT="0" distB="0" distL="0" distR="0">
            <wp:extent cx="9549516" cy="6258718"/>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51778" cy="6260201"/>
                    </a:xfrm>
                    <a:prstGeom prst="rect">
                      <a:avLst/>
                    </a:prstGeom>
                    <a:noFill/>
                    <a:ln>
                      <a:noFill/>
                    </a:ln>
                  </pic:spPr>
                </pic:pic>
              </a:graphicData>
            </a:graphic>
          </wp:inline>
        </w:drawing>
      </w:r>
    </w:p>
    <w:sectPr w:rsidR="00914865" w:rsidRPr="00FA185E" w:rsidSect="00914865">
      <w:headerReference w:type="default" r:id="rId34"/>
      <w:headerReference w:type="first" r:id="rId35"/>
      <w:pgSz w:w="16840" w:h="11907" w:orient="landscape" w:code="9"/>
      <w:pgMar w:top="1134" w:right="510" w:bottom="1134" w:left="1134" w:header="510"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671" w:rsidRDefault="00902671" w:rsidP="006655D3">
      <w:r>
        <w:separator/>
      </w:r>
    </w:p>
    <w:p w:rsidR="00902671" w:rsidRDefault="00902671" w:rsidP="006655D3"/>
    <w:p w:rsidR="00902671" w:rsidRDefault="00902671" w:rsidP="006655D3"/>
  </w:endnote>
  <w:endnote w:type="continuationSeparator" w:id="0">
    <w:p w:rsidR="00902671" w:rsidRDefault="00902671" w:rsidP="006655D3">
      <w:r>
        <w:separator/>
      </w:r>
    </w:p>
    <w:p w:rsidR="00902671" w:rsidRPr="00294751" w:rsidRDefault="00902671">
      <w:pPr>
        <w:pStyle w:val="Footer"/>
        <w:spacing w:after="60"/>
        <w:rPr>
          <w:sz w:val="18"/>
          <w:lang w:val="fr-FR"/>
        </w:rPr>
      </w:pPr>
      <w:r w:rsidRPr="00294751">
        <w:rPr>
          <w:sz w:val="18"/>
          <w:lang w:val="fr-FR"/>
        </w:rPr>
        <w:t>[Suite de la note de la page précédente]</w:t>
      </w:r>
    </w:p>
    <w:p w:rsidR="00902671" w:rsidRPr="00294751" w:rsidRDefault="00902671" w:rsidP="006655D3">
      <w:pPr>
        <w:rPr>
          <w:lang w:val="fr-FR"/>
        </w:rPr>
      </w:pPr>
    </w:p>
    <w:p w:rsidR="00902671" w:rsidRPr="00294751" w:rsidRDefault="00902671" w:rsidP="006655D3">
      <w:pPr>
        <w:rPr>
          <w:lang w:val="fr-FR"/>
        </w:rPr>
      </w:pPr>
    </w:p>
  </w:endnote>
  <w:endnote w:type="continuationNotice" w:id="1">
    <w:p w:rsidR="00902671" w:rsidRPr="00294751" w:rsidRDefault="00902671" w:rsidP="006655D3">
      <w:pPr>
        <w:rPr>
          <w:lang w:val="fr-FR"/>
        </w:rPr>
      </w:pPr>
      <w:r w:rsidRPr="00294751">
        <w:rPr>
          <w:lang w:val="fr-FR"/>
        </w:rPr>
        <w:t>[Suite de la note page suivante]</w:t>
      </w:r>
    </w:p>
    <w:p w:rsidR="00902671" w:rsidRPr="00294751" w:rsidRDefault="00902671" w:rsidP="006655D3">
      <w:pPr>
        <w:rPr>
          <w:lang w:val="fr-FR"/>
        </w:rPr>
      </w:pPr>
    </w:p>
    <w:p w:rsidR="00902671" w:rsidRPr="00294751" w:rsidRDefault="0090267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C97" w:rsidRPr="00DE7D82" w:rsidRDefault="001E4C97" w:rsidP="009E5A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671" w:rsidRDefault="00902671" w:rsidP="006655D3">
      <w:r>
        <w:separator/>
      </w:r>
    </w:p>
  </w:footnote>
  <w:footnote w:type="continuationSeparator" w:id="0">
    <w:p w:rsidR="00902671" w:rsidRDefault="00902671" w:rsidP="006655D3">
      <w:r>
        <w:separator/>
      </w:r>
    </w:p>
  </w:footnote>
  <w:footnote w:type="continuationNotice" w:id="1">
    <w:p w:rsidR="00902671" w:rsidRPr="00AB530F" w:rsidRDefault="00902671" w:rsidP="00AB530F">
      <w:pPr>
        <w:pStyle w:val="Footer"/>
      </w:pPr>
    </w:p>
  </w:footnote>
  <w:footnote w:id="2">
    <w:p w:rsidR="001E4C97" w:rsidRPr="009E5A8F" w:rsidRDefault="001E4C97" w:rsidP="00B23B18">
      <w:pPr>
        <w:pStyle w:val="FootnoteText"/>
      </w:pPr>
      <w:r>
        <w:rPr>
          <w:rStyle w:val="FootnoteReference"/>
        </w:rPr>
        <w:footnoteRef/>
      </w:r>
      <w:r>
        <w:t xml:space="preserve"> </w:t>
      </w:r>
      <w:r>
        <w:tab/>
        <w:t>Que se celebrará en Ginebra los días</w:t>
      </w:r>
      <w:r w:rsidR="00B23B18">
        <w:t xml:space="preserve"> </w:t>
      </w:r>
      <w:r>
        <w:t>28 y 29 de octubre de</w:t>
      </w:r>
      <w:r w:rsidR="00B23B18">
        <w:t xml:space="preserve"> </w:t>
      </w:r>
      <w:r>
        <w:t>2019.</w:t>
      </w:r>
    </w:p>
  </w:footnote>
  <w:footnote w:id="3">
    <w:p w:rsidR="001E4C97" w:rsidRPr="009E5A8F" w:rsidRDefault="001E4C97" w:rsidP="00B23B18">
      <w:pPr>
        <w:pStyle w:val="FootnoteText"/>
      </w:pPr>
      <w:r>
        <w:rPr>
          <w:rStyle w:val="FootnoteReference"/>
        </w:rPr>
        <w:footnoteRef/>
      </w:r>
      <w:r>
        <w:t xml:space="preserve"> </w:t>
      </w:r>
      <w:r>
        <w:tab/>
        <w:t>Celebrada en Ginebra los días 28 y 29 de octubre de 2018.</w:t>
      </w:r>
    </w:p>
  </w:footnote>
  <w:footnote w:id="4">
    <w:p w:rsidR="001E4C97" w:rsidRPr="009E5A8F" w:rsidRDefault="001E4C97" w:rsidP="00B23B18">
      <w:pPr>
        <w:pStyle w:val="FootnoteText"/>
      </w:pPr>
      <w:r>
        <w:rPr>
          <w:rStyle w:val="FootnoteReference"/>
        </w:rPr>
        <w:footnoteRef/>
      </w:r>
      <w:r>
        <w:t xml:space="preserve"> </w:t>
      </w:r>
      <w:r>
        <w:tab/>
        <w:t>Celebrada en Ginebra el 30 de octubre de 2018.</w:t>
      </w:r>
    </w:p>
  </w:footnote>
  <w:footnote w:id="5">
    <w:p w:rsidR="001E4C97" w:rsidRPr="009E5A8F" w:rsidRDefault="001E4C97" w:rsidP="00B23B18">
      <w:pPr>
        <w:pStyle w:val="FootnoteText"/>
      </w:pPr>
      <w:r>
        <w:rPr>
          <w:rStyle w:val="FootnoteReference"/>
        </w:rPr>
        <w:footnoteRef/>
      </w:r>
      <w:r>
        <w:t xml:space="preserve"> </w:t>
      </w:r>
      <w:r>
        <w:tab/>
        <w:t>Véanse el párrafo</w:t>
      </w:r>
      <w:r w:rsidR="00B23B18">
        <w:t xml:space="preserve"> </w:t>
      </w:r>
      <w:r>
        <w:t xml:space="preserve">251 del documento </w:t>
      </w:r>
      <w:hyperlink r:id="rId1" w:history="1">
        <w:hyperlink r:id="rId2" w:history="1">
          <w:r w:rsidR="00315E11">
            <w:rPr>
              <w:rStyle w:val="Hyperlink"/>
            </w:rPr>
            <w:t>TC/54/31</w:t>
          </w:r>
        </w:hyperlink>
      </w:hyperlink>
      <w:r>
        <w:t xml:space="preserve"> “Informe” y el párrafo</w:t>
      </w:r>
      <w:r w:rsidR="00B23B18">
        <w:t xml:space="preserve"> </w:t>
      </w:r>
      <w:r>
        <w:t>13 del documento</w:t>
      </w:r>
      <w:r w:rsidR="00B23B18">
        <w:t xml:space="preserve"> </w:t>
      </w:r>
      <w:hyperlink r:id="rId3" w:history="1">
        <w:r w:rsidR="00315E11" w:rsidRPr="005755F0">
          <w:rPr>
            <w:rStyle w:val="Hyperlink"/>
          </w:rPr>
          <w:t>CAJ/75/14</w:t>
        </w:r>
      </w:hyperlink>
      <w:r>
        <w:t xml:space="preserve"> “Informe”.</w:t>
      </w:r>
    </w:p>
  </w:footnote>
  <w:footnote w:id="6">
    <w:p w:rsidR="001E4C97" w:rsidRPr="009E5A8F" w:rsidRDefault="001E4C97" w:rsidP="00B23B18">
      <w:pPr>
        <w:pStyle w:val="FootnoteText"/>
      </w:pPr>
      <w:r>
        <w:rPr>
          <w:rStyle w:val="FootnoteReference"/>
        </w:rPr>
        <w:footnoteRef/>
      </w:r>
      <w:r>
        <w:t xml:space="preserve"> </w:t>
      </w:r>
      <w:r>
        <w:tab/>
        <w:t>Que se celebrará en Ginebra el</w:t>
      </w:r>
      <w:r w:rsidR="00B23B18">
        <w:t xml:space="preserve"> </w:t>
      </w:r>
      <w:r>
        <w:t>30 de octubre de</w:t>
      </w:r>
      <w:r w:rsidR="00B23B18">
        <w:t xml:space="preserve"> </w:t>
      </w:r>
      <w:r>
        <w:t>2019.</w:t>
      </w:r>
    </w:p>
  </w:footnote>
  <w:footnote w:id="7">
    <w:p w:rsidR="001E4C97" w:rsidRPr="009E5A8F" w:rsidRDefault="001E4C97" w:rsidP="00B23B18">
      <w:pPr>
        <w:pStyle w:val="FootnoteText"/>
      </w:pPr>
      <w:r>
        <w:rPr>
          <w:rStyle w:val="FootnoteReference"/>
        </w:rPr>
        <w:footnoteRef/>
      </w:r>
      <w:r>
        <w:t xml:space="preserve"> </w:t>
      </w:r>
      <w:r>
        <w:tab/>
        <w:t>Véanse los párrafos</w:t>
      </w:r>
      <w:r w:rsidR="00B23B18">
        <w:t xml:space="preserve"> </w:t>
      </w:r>
      <w:r>
        <w:t>210</w:t>
      </w:r>
      <w:r w:rsidR="00B23B18">
        <w:t xml:space="preserve"> </w:t>
      </w:r>
      <w:r>
        <w:t>a</w:t>
      </w:r>
      <w:r w:rsidR="00B23B18">
        <w:t xml:space="preserve"> </w:t>
      </w:r>
      <w:r>
        <w:t>212 y 217</w:t>
      </w:r>
      <w:r w:rsidR="00B23B18">
        <w:t xml:space="preserve"> </w:t>
      </w:r>
      <w:r>
        <w:t>a</w:t>
      </w:r>
      <w:r w:rsidR="00B23B18">
        <w:t xml:space="preserve"> </w:t>
      </w:r>
      <w:r>
        <w:t>220 del documento</w:t>
      </w:r>
      <w:r w:rsidR="00B23B18">
        <w:t xml:space="preserve"> </w:t>
      </w:r>
      <w:hyperlink r:id="rId4" w:history="1">
        <w:hyperlink r:id="rId5" w:history="1">
          <w:r w:rsidR="00315E11">
            <w:rPr>
              <w:rStyle w:val="Hyperlink"/>
            </w:rPr>
            <w:t>TC/54/31</w:t>
          </w:r>
        </w:hyperlink>
      </w:hyperlink>
      <w:r>
        <w:t xml:space="preserve"> “Informe”).</w:t>
      </w:r>
    </w:p>
  </w:footnote>
  <w:footnote w:id="8">
    <w:p w:rsidR="001E4C97" w:rsidRPr="009E5A8F" w:rsidRDefault="001E4C97" w:rsidP="00B23B18">
      <w:pPr>
        <w:pStyle w:val="FootnoteText"/>
      </w:pPr>
      <w:r>
        <w:rPr>
          <w:rStyle w:val="FootnoteReference"/>
        </w:rPr>
        <w:footnoteRef/>
      </w:r>
      <w:r>
        <w:t xml:space="preserve"> </w:t>
      </w:r>
      <w:r>
        <w:tab/>
        <w:t>Celebrada en Ginebra del</w:t>
      </w:r>
      <w:r w:rsidR="00B23B18">
        <w:t xml:space="preserve"> </w:t>
      </w:r>
      <w:r>
        <w:t>3 al 5 de abril de</w:t>
      </w:r>
      <w:r w:rsidR="00B23B18">
        <w:t xml:space="preserve"> </w:t>
      </w:r>
      <w:r>
        <w:t>2017.</w:t>
      </w:r>
    </w:p>
  </w:footnote>
  <w:footnote w:id="9">
    <w:p w:rsidR="001E4C97" w:rsidRPr="009E5A8F" w:rsidRDefault="001E4C97" w:rsidP="00B23B18">
      <w:pPr>
        <w:pStyle w:val="FootnoteText"/>
      </w:pPr>
      <w:r>
        <w:rPr>
          <w:rStyle w:val="FootnoteReference"/>
        </w:rPr>
        <w:footnoteRef/>
      </w:r>
      <w:r>
        <w:t xml:space="preserve"> </w:t>
      </w:r>
      <w:r>
        <w:tab/>
        <w:t>Véanse los párrafos</w:t>
      </w:r>
      <w:r w:rsidR="00B23B18">
        <w:t xml:space="preserve"> </w:t>
      </w:r>
      <w:r>
        <w:t>113 a</w:t>
      </w:r>
      <w:r w:rsidR="00B23B18">
        <w:t xml:space="preserve"> </w:t>
      </w:r>
      <w:r>
        <w:t xml:space="preserve">116 del documento </w:t>
      </w:r>
      <w:hyperlink r:id="rId6">
        <w:r>
          <w:rPr>
            <w:rStyle w:val="Hyperlink"/>
          </w:rPr>
          <w:t>TC/53/31</w:t>
        </w:r>
      </w:hyperlink>
      <w:r>
        <w:t xml:space="preserve"> “Informe”.</w:t>
      </w:r>
    </w:p>
  </w:footnote>
  <w:footnote w:id="10">
    <w:p w:rsidR="001E4C97" w:rsidRPr="009E5A8F" w:rsidRDefault="001E4C97" w:rsidP="00B23B18">
      <w:pPr>
        <w:pStyle w:val="FootnoteText"/>
      </w:pPr>
      <w:r>
        <w:rPr>
          <w:rStyle w:val="FootnoteReference"/>
        </w:rPr>
        <w:footnoteRef/>
      </w:r>
      <w:r>
        <w:t xml:space="preserve"> </w:t>
      </w:r>
      <w:r>
        <w:tab/>
        <w:t>Véanse los párrafos 231 y 232 del documento</w:t>
      </w:r>
      <w:r w:rsidR="00B23B18">
        <w:t xml:space="preserve"> </w:t>
      </w:r>
      <w:hyperlink r:id="rId7" w:history="1">
        <w:hyperlink r:id="rId8" w:history="1">
          <w:r w:rsidR="00315E11">
            <w:rPr>
              <w:rStyle w:val="Hyperlink"/>
            </w:rPr>
            <w:t>TC/54/31</w:t>
          </w:r>
        </w:hyperlink>
      </w:hyperlink>
      <w:r>
        <w:t xml:space="preserve"> “Informe”.</w:t>
      </w:r>
    </w:p>
  </w:footnote>
  <w:footnote w:id="11">
    <w:p w:rsidR="001E4C97" w:rsidRPr="009E5A8F" w:rsidRDefault="001E4C97" w:rsidP="00B23B18">
      <w:pPr>
        <w:pStyle w:val="FootnoteText"/>
      </w:pPr>
      <w:r>
        <w:rPr>
          <w:rStyle w:val="FootnoteReference"/>
        </w:rPr>
        <w:footnoteRef/>
      </w:r>
      <w:r>
        <w:t xml:space="preserve"> </w:t>
      </w:r>
      <w:r>
        <w:tab/>
        <w:t>Véanse los párrafos 233 y 234 del documento</w:t>
      </w:r>
      <w:r w:rsidR="00B23B18">
        <w:t xml:space="preserve"> </w:t>
      </w:r>
      <w:hyperlink r:id="rId9" w:history="1">
        <w:hyperlink r:id="rId10" w:history="1">
          <w:r w:rsidR="00315E11">
            <w:rPr>
              <w:rStyle w:val="Hyperlink"/>
            </w:rPr>
            <w:t>TC/54/31</w:t>
          </w:r>
        </w:hyperlink>
      </w:hyperlink>
      <w:r>
        <w:t xml:space="preserve"> “Informe”.</w:t>
      </w:r>
    </w:p>
  </w:footnote>
  <w:footnote w:id="12">
    <w:p w:rsidR="001E4C97" w:rsidRPr="009E5A8F" w:rsidRDefault="001E4C97" w:rsidP="00B23B18">
      <w:pPr>
        <w:pStyle w:val="FootnoteText"/>
      </w:pPr>
      <w:r>
        <w:rPr>
          <w:rStyle w:val="FootnoteReference"/>
        </w:rPr>
        <w:footnoteRef/>
      </w:r>
      <w:r>
        <w:t xml:space="preserve"> </w:t>
      </w:r>
      <w:r>
        <w:tab/>
        <w:t>Véase el párrafo</w:t>
      </w:r>
      <w:r w:rsidR="00B23B18">
        <w:t xml:space="preserve"> </w:t>
      </w:r>
      <w:r>
        <w:t>141 del documento</w:t>
      </w:r>
      <w:r w:rsidR="00B23B18">
        <w:t xml:space="preserve"> </w:t>
      </w:r>
      <w:hyperlink r:id="rId11">
        <w:r>
          <w:rPr>
            <w:rStyle w:val="Hyperlink"/>
          </w:rPr>
          <w:t>TC/53/31</w:t>
        </w:r>
      </w:hyperlink>
      <w:r>
        <w:t xml:space="preserve"> “Informe”.</w:t>
      </w:r>
    </w:p>
  </w:footnote>
  <w:footnote w:id="13">
    <w:p w:rsidR="001E4C97" w:rsidRPr="009E5A8F" w:rsidRDefault="001E4C97" w:rsidP="00B23B18">
      <w:pPr>
        <w:pStyle w:val="FootnoteText"/>
      </w:pPr>
      <w:r>
        <w:rPr>
          <w:rStyle w:val="FootnoteReference"/>
        </w:rPr>
        <w:footnoteRef/>
      </w:r>
      <w:r>
        <w:t xml:space="preserve"> </w:t>
      </w:r>
      <w:r>
        <w:tab/>
        <w:t>Véase el párrafo</w:t>
      </w:r>
      <w:r w:rsidR="00B23B18">
        <w:t xml:space="preserve"> </w:t>
      </w:r>
      <w:r>
        <w:t>244 del documento</w:t>
      </w:r>
      <w:r w:rsidR="00B23B18">
        <w:t xml:space="preserve"> </w:t>
      </w:r>
      <w:hyperlink r:id="rId12" w:history="1">
        <w:hyperlink r:id="rId13" w:history="1">
          <w:r w:rsidR="00315E11">
            <w:rPr>
              <w:rStyle w:val="Hyperlink"/>
            </w:rPr>
            <w:t>TC/54/31</w:t>
          </w:r>
        </w:hyperlink>
      </w:hyperlink>
      <w:r>
        <w:t xml:space="preserve"> “Informe”.</w:t>
      </w:r>
    </w:p>
  </w:footnote>
  <w:footnote w:id="14">
    <w:p w:rsidR="001E4C97" w:rsidRPr="009E5A8F" w:rsidRDefault="001E4C97" w:rsidP="00B23B18">
      <w:pPr>
        <w:pStyle w:val="FootnoteText"/>
      </w:pPr>
      <w:r>
        <w:rPr>
          <w:rStyle w:val="FootnoteReference"/>
        </w:rPr>
        <w:footnoteRef/>
      </w:r>
      <w:r>
        <w:t xml:space="preserve"> </w:t>
      </w:r>
      <w:r>
        <w:tab/>
        <w:t>Véanse los párrafos 272 y 273 del documento</w:t>
      </w:r>
      <w:r w:rsidR="00B23B18">
        <w:t xml:space="preserve"> </w:t>
      </w:r>
      <w:hyperlink r:id="rId14" w:history="1">
        <w:hyperlink r:id="rId15" w:history="1">
          <w:r w:rsidR="00315E11">
            <w:rPr>
              <w:rStyle w:val="Hyperlink"/>
            </w:rPr>
            <w:t>TC/54/31</w:t>
          </w:r>
        </w:hyperlink>
      </w:hyperlink>
      <w:r>
        <w:t xml:space="preserve"> “Informe”.</w:t>
      </w:r>
    </w:p>
  </w:footnote>
  <w:footnote w:id="15">
    <w:p w:rsidR="001E4C97" w:rsidRPr="009E5A8F" w:rsidRDefault="001E4C97" w:rsidP="00B23B18">
      <w:pPr>
        <w:pStyle w:val="FootnoteText"/>
      </w:pPr>
      <w:r>
        <w:rPr>
          <w:rStyle w:val="FootnoteReference"/>
        </w:rPr>
        <w:footnoteRef/>
      </w:r>
      <w:r>
        <w:t xml:space="preserve"> </w:t>
      </w:r>
      <w:r>
        <w:tab/>
        <w:t>Véanse los párrafos 290 y 291 del documento</w:t>
      </w:r>
      <w:r w:rsidR="00B23B18">
        <w:t xml:space="preserve"> </w:t>
      </w:r>
      <w:hyperlink r:id="rId16" w:history="1">
        <w:hyperlink r:id="rId17" w:history="1">
          <w:r w:rsidR="00315E11">
            <w:rPr>
              <w:rStyle w:val="Hyperlink"/>
            </w:rPr>
            <w:t>TC/54/31</w:t>
          </w:r>
        </w:hyperlink>
      </w:hyperlink>
      <w:r>
        <w:t xml:space="preserve"> “Informe”.</w:t>
      </w:r>
    </w:p>
  </w:footnote>
  <w:footnote w:id="16">
    <w:p w:rsidR="001E4C97" w:rsidRPr="009E5A8F" w:rsidRDefault="001E4C97" w:rsidP="00B23B18">
      <w:pPr>
        <w:pStyle w:val="FootnoteText"/>
      </w:pPr>
      <w:r>
        <w:rPr>
          <w:rStyle w:val="FootnoteReference"/>
        </w:rPr>
        <w:footnoteRef/>
      </w:r>
      <w:r>
        <w:t xml:space="preserve"> </w:t>
      </w:r>
      <w:r>
        <w:tab/>
        <w:t>Véanse el párrafo</w:t>
      </w:r>
      <w:r w:rsidR="00B23B18">
        <w:t xml:space="preserve"> </w:t>
      </w:r>
      <w:r>
        <w:t xml:space="preserve">251 del documento </w:t>
      </w:r>
      <w:hyperlink r:id="rId18" w:history="1">
        <w:hyperlink r:id="rId19" w:history="1">
          <w:r w:rsidR="00315E11">
            <w:rPr>
              <w:rStyle w:val="Hyperlink"/>
            </w:rPr>
            <w:t>TC/54/31</w:t>
          </w:r>
        </w:hyperlink>
      </w:hyperlink>
      <w:r>
        <w:t xml:space="preserve"> “Informe” y el párrafo</w:t>
      </w:r>
      <w:r w:rsidR="00B23B18">
        <w:t xml:space="preserve"> </w:t>
      </w:r>
      <w:r>
        <w:t xml:space="preserve">13 del documento </w:t>
      </w:r>
      <w:hyperlink r:id="rId20" w:history="1">
        <w:r w:rsidR="00315E11" w:rsidRPr="005755F0">
          <w:rPr>
            <w:rStyle w:val="Hyperlink"/>
          </w:rPr>
          <w:t>CAJ/75/14</w:t>
        </w:r>
      </w:hyperlink>
      <w:r>
        <w:t xml:space="preserve"> “Informe”.</w:t>
      </w:r>
    </w:p>
  </w:footnote>
  <w:footnote w:id="17">
    <w:p w:rsidR="0014006B" w:rsidRPr="009E5A8F" w:rsidRDefault="0014006B" w:rsidP="0014006B">
      <w:pPr>
        <w:pStyle w:val="FootnoteText"/>
      </w:pPr>
      <w:r>
        <w:rPr>
          <w:rStyle w:val="FootnoteReference"/>
        </w:rPr>
        <w:footnoteRef/>
      </w:r>
      <w:r>
        <w:t xml:space="preserve"> </w:t>
      </w:r>
      <w:r>
        <w:tab/>
        <w:t>Celebrada en Ginebra los días 28 y 29 de octubre de 2018.</w:t>
      </w:r>
    </w:p>
  </w:footnote>
  <w:footnote w:id="18">
    <w:p w:rsidR="0014006B" w:rsidRPr="009E5A8F" w:rsidRDefault="0014006B" w:rsidP="0014006B">
      <w:pPr>
        <w:pStyle w:val="FootnoteText"/>
      </w:pPr>
      <w:r>
        <w:rPr>
          <w:rStyle w:val="FootnoteReference"/>
        </w:rPr>
        <w:footnoteRef/>
      </w:r>
      <w:r>
        <w:tab/>
        <w:t>Celebrada en Ginebra del 3 al 5 de abril de 2017.</w:t>
      </w:r>
    </w:p>
  </w:footnote>
  <w:footnote w:id="19">
    <w:p w:rsidR="0014006B" w:rsidRPr="009E5A8F" w:rsidRDefault="0014006B" w:rsidP="0014006B">
      <w:pPr>
        <w:pStyle w:val="FootnoteText"/>
      </w:pPr>
      <w:r>
        <w:rPr>
          <w:rStyle w:val="FootnoteReference"/>
        </w:rPr>
        <w:footnoteRef/>
      </w:r>
      <w:r>
        <w:t xml:space="preserve"> </w:t>
      </w:r>
      <w:r>
        <w:tab/>
        <w:t>Celebrada en Ginebra los días 28 y 29 de octubre de 2018.</w:t>
      </w:r>
    </w:p>
  </w:footnote>
  <w:footnote w:id="20">
    <w:p w:rsidR="002858D9" w:rsidRPr="009E5A8F" w:rsidRDefault="002858D9" w:rsidP="002858D9">
      <w:pPr>
        <w:pStyle w:val="FootnoteText"/>
      </w:pPr>
      <w:r>
        <w:rPr>
          <w:rStyle w:val="FootnoteReference"/>
        </w:rPr>
        <w:footnoteRef/>
      </w:r>
      <w:r>
        <w:t xml:space="preserve"> </w:t>
      </w:r>
      <w:r>
        <w:tab/>
        <w:t>Celebrada en Ginebra los días 28 y 29 de octubre de 2018.</w:t>
      </w:r>
    </w:p>
  </w:footnote>
  <w:footnote w:id="21">
    <w:p w:rsidR="002858D9" w:rsidRPr="009E5A8F" w:rsidRDefault="002858D9" w:rsidP="002858D9">
      <w:pPr>
        <w:pStyle w:val="FootnoteText"/>
      </w:pPr>
      <w:r>
        <w:rPr>
          <w:rStyle w:val="FootnoteReference"/>
        </w:rPr>
        <w:footnoteRef/>
      </w:r>
      <w:r>
        <w:tab/>
        <w:t>Celebrada en Ginebra del 3 al 5 de abril de 2017.</w:t>
      </w:r>
    </w:p>
  </w:footnote>
  <w:footnote w:id="22">
    <w:p w:rsidR="002858D9" w:rsidRPr="009E5A8F" w:rsidRDefault="002858D9" w:rsidP="002858D9">
      <w:pPr>
        <w:pStyle w:val="FootnoteText"/>
      </w:pPr>
      <w:r>
        <w:rPr>
          <w:rStyle w:val="FootnoteReference"/>
        </w:rPr>
        <w:footnoteRef/>
      </w:r>
      <w:r>
        <w:t xml:space="preserve"> </w:t>
      </w:r>
      <w:r>
        <w:tab/>
        <w:t>Celebrada en Ginebra los días 28 y 29 de octubre de 2018.</w:t>
      </w:r>
    </w:p>
  </w:footnote>
  <w:footnote w:id="23">
    <w:p w:rsidR="00C8468F" w:rsidRPr="009E5A8F" w:rsidRDefault="00C8468F" w:rsidP="00C8468F">
      <w:pPr>
        <w:pStyle w:val="FootnoteText"/>
      </w:pPr>
      <w:r>
        <w:rPr>
          <w:rStyle w:val="FootnoteReference"/>
        </w:rPr>
        <w:footnoteRef/>
      </w:r>
      <w:r>
        <w:t xml:space="preserve"> </w:t>
      </w:r>
      <w:r>
        <w:tab/>
        <w:t>Celebrada en Ginebra los días 28 y 29 de octubre de 2018.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C97" w:rsidRPr="002E1B40" w:rsidRDefault="001E4C97" w:rsidP="009E5A8F">
    <w:pPr>
      <w:jc w:val="center"/>
    </w:pPr>
    <w:r>
      <w:t>CAJ/76/5</w:t>
    </w:r>
  </w:p>
  <w:p w:rsidR="001E4C97" w:rsidRPr="002E1B40" w:rsidRDefault="001E4C97" w:rsidP="009E5A8F">
    <w:pPr>
      <w:jc w:val="center"/>
    </w:pPr>
    <w:r>
      <w:t xml:space="preserve">página </w:t>
    </w:r>
    <w:r w:rsidRPr="00C5280D">
      <w:fldChar w:fldCharType="begin"/>
    </w:r>
    <w:r w:rsidRPr="002E1B40">
      <w:instrText xml:space="preserve"> PAGE </w:instrText>
    </w:r>
    <w:r w:rsidRPr="00C5280D">
      <w:fldChar w:fldCharType="separate"/>
    </w:r>
    <w:r w:rsidR="00C8468F">
      <w:rPr>
        <w:noProof/>
      </w:rPr>
      <w:t>6</w:t>
    </w:r>
    <w:r w:rsidRPr="00C5280D">
      <w:fldChar w:fldCharType="end"/>
    </w:r>
  </w:p>
  <w:p w:rsidR="001E4C97" w:rsidRPr="002E1B40" w:rsidRDefault="001E4C97" w:rsidP="006655D3"/>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C97" w:rsidRDefault="001E4C97" w:rsidP="009E5A8F">
    <w:pPr>
      <w:jc w:val="center"/>
    </w:pPr>
    <w:r>
      <w:t>CAJ/76/5</w:t>
    </w:r>
  </w:p>
  <w:p w:rsidR="001E4C97" w:rsidRDefault="001E4C97" w:rsidP="009E5A8F">
    <w:pPr>
      <w:jc w:val="center"/>
    </w:pPr>
  </w:p>
  <w:p w:rsidR="001E4C97" w:rsidRDefault="001E4C97" w:rsidP="009E5A8F">
    <w:pPr>
      <w:jc w:val="center"/>
    </w:pPr>
    <w:r>
      <w:t xml:space="preserve">ANEXO V </w:t>
    </w:r>
  </w:p>
  <w:p w:rsidR="001E4C97" w:rsidRPr="004A75CB" w:rsidRDefault="001E4C97" w:rsidP="009E5A8F">
    <w:pPr>
      <w:jc w:val="cent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C97" w:rsidRPr="000A23DC" w:rsidRDefault="001E4C97" w:rsidP="000A23DC">
    <w:pPr>
      <w:pStyle w:val="Header"/>
      <w:rPr>
        <w:rStyle w:val="PageNumber"/>
      </w:rPr>
    </w:pPr>
    <w:r>
      <w:rPr>
        <w:rStyle w:val="PageNumber"/>
      </w:rPr>
      <w:t>CAJ/76/</w:t>
    </w:r>
  </w:p>
  <w:p w:rsidR="001E4C97" w:rsidRPr="00202E38" w:rsidRDefault="001E4C97" w:rsidP="008B3D8D">
    <w:pPr>
      <w:pStyle w:val="Header"/>
    </w:pPr>
    <w:r>
      <w:t xml:space="preserve">página </w:t>
    </w:r>
    <w:r w:rsidRPr="00202E38">
      <w:rPr>
        <w:rStyle w:val="PageNumber"/>
      </w:rPr>
      <w:fldChar w:fldCharType="begin"/>
    </w:r>
    <w:r w:rsidRPr="00202E38">
      <w:rPr>
        <w:rStyle w:val="PageNumber"/>
      </w:rPr>
      <w:instrText xml:space="preserve"> PAGE </w:instrText>
    </w:r>
    <w:r w:rsidRPr="00202E38">
      <w:rPr>
        <w:rStyle w:val="PageNumber"/>
      </w:rPr>
      <w:fldChar w:fldCharType="separate"/>
    </w:r>
    <w:r w:rsidR="00C8468F">
      <w:rPr>
        <w:rStyle w:val="PageNumber"/>
        <w:noProof/>
      </w:rPr>
      <w:t>4</w:t>
    </w:r>
    <w:r w:rsidRPr="00202E38">
      <w:rPr>
        <w:rStyle w:val="PageNumber"/>
      </w:rPr>
      <w:fldChar w:fldCharType="end"/>
    </w:r>
  </w:p>
  <w:p w:rsidR="001E4C97" w:rsidRPr="00202E38" w:rsidRDefault="001E4C97" w:rsidP="006655D3"/>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C97" w:rsidRPr="00914865" w:rsidRDefault="001E4C97" w:rsidP="00C8468F">
    <w:pPr>
      <w:spacing w:after="120"/>
      <w:jc w:val="center"/>
    </w:pPr>
    <w:r>
      <w:t>CAJ/76/5</w:t>
    </w:r>
  </w:p>
  <w:p w:rsidR="001E4C97" w:rsidRPr="00914865" w:rsidRDefault="001E4C97" w:rsidP="00C8468F">
    <w:pPr>
      <w:spacing w:after="120"/>
      <w:jc w:val="center"/>
    </w:pPr>
    <w:r>
      <w:t>ANEXO VI. PROGRAMA PARA LA ELABORACIÓN DE LOS DOCUMENTOS</w:t>
    </w:r>
    <w:r w:rsidR="00B23B18">
      <w:t xml:space="preserve"> </w:t>
    </w:r>
    <w:r>
      <w:t>TGP</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C97" w:rsidRPr="00C5280D" w:rsidRDefault="001E4C97" w:rsidP="00EB048E">
    <w:pPr>
      <w:pStyle w:val="Header"/>
      <w:rPr>
        <w:rStyle w:val="PageNumber"/>
      </w:rPr>
    </w:pPr>
    <w:r>
      <w:t>CAJ/76/5</w:t>
    </w:r>
  </w:p>
  <w:p w:rsidR="001E4C97" w:rsidRPr="00C5280D" w:rsidRDefault="001E4C97" w:rsidP="00EB048E">
    <w:pPr>
      <w:pStyle w:val="Header"/>
    </w:pPr>
    <w:r>
      <w:t xml:space="preserve">Anexo I, 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C8468F">
      <w:rPr>
        <w:rStyle w:val="PageNumber"/>
        <w:noProof/>
      </w:rPr>
      <w:t>2</w:t>
    </w:r>
    <w:r w:rsidRPr="00C5280D">
      <w:rPr>
        <w:rStyle w:val="PageNumber"/>
      </w:rPr>
      <w:fldChar w:fldCharType="end"/>
    </w:r>
  </w:p>
  <w:p w:rsidR="001E4C97" w:rsidRPr="00C5280D" w:rsidRDefault="001E4C97"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C97" w:rsidRDefault="001E4C97" w:rsidP="009E5A8F">
    <w:pPr>
      <w:jc w:val="center"/>
    </w:pPr>
    <w:r>
      <w:t>CAJ/76/5</w:t>
    </w:r>
  </w:p>
  <w:p w:rsidR="001E4C97" w:rsidRDefault="001E4C97" w:rsidP="009E5A8F">
    <w:pPr>
      <w:jc w:val="center"/>
    </w:pPr>
  </w:p>
  <w:p w:rsidR="001E4C97" w:rsidRDefault="001E4C97" w:rsidP="009E5A8F">
    <w:pPr>
      <w:jc w:val="center"/>
    </w:pPr>
    <w:r>
      <w:t xml:space="preserve">ANEXO I </w:t>
    </w:r>
  </w:p>
  <w:p w:rsidR="001E4C97" w:rsidRPr="004A75CB" w:rsidRDefault="001E4C97" w:rsidP="009E5A8F">
    <w:pP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C97" w:rsidRDefault="001E4C97" w:rsidP="009E5A8F">
    <w:pPr>
      <w:jc w:val="center"/>
    </w:pPr>
    <w:r>
      <w:t>CAJ/76/5</w:t>
    </w:r>
  </w:p>
  <w:p w:rsidR="001E4C97" w:rsidRDefault="001E4C97" w:rsidP="009E5A8F">
    <w:pPr>
      <w:jc w:val="center"/>
    </w:pPr>
  </w:p>
  <w:p w:rsidR="001E4C97" w:rsidRDefault="001E4C97" w:rsidP="009E5A8F">
    <w:pPr>
      <w:jc w:val="center"/>
    </w:pPr>
    <w:r>
      <w:t xml:space="preserve">ANEXO II </w:t>
    </w:r>
  </w:p>
  <w:p w:rsidR="001E4C97" w:rsidRPr="004A75CB" w:rsidRDefault="001E4C97" w:rsidP="009E5A8F">
    <w:pPr>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C97" w:rsidRPr="00436698" w:rsidRDefault="001E4C97" w:rsidP="00EB048E">
    <w:pPr>
      <w:pStyle w:val="Header"/>
      <w:rPr>
        <w:rStyle w:val="PageNumber"/>
      </w:rPr>
    </w:pPr>
    <w:r>
      <w:t>CAJ/76/5</w:t>
    </w:r>
  </w:p>
  <w:p w:rsidR="001E4C97" w:rsidRPr="00436698" w:rsidRDefault="001E4C97" w:rsidP="00EB048E">
    <w:pPr>
      <w:pStyle w:val="Header"/>
    </w:pPr>
    <w:r>
      <w:t xml:space="preserve">Anexo III, página </w:t>
    </w:r>
    <w:r w:rsidRPr="00C5280D">
      <w:rPr>
        <w:rStyle w:val="PageNumber"/>
      </w:rPr>
      <w:fldChar w:fldCharType="begin"/>
    </w:r>
    <w:r w:rsidRPr="00436698">
      <w:rPr>
        <w:rStyle w:val="PageNumber"/>
      </w:rPr>
      <w:instrText xml:space="preserve"> PAGE </w:instrText>
    </w:r>
    <w:r w:rsidRPr="00C5280D">
      <w:rPr>
        <w:rStyle w:val="PageNumber"/>
      </w:rPr>
      <w:fldChar w:fldCharType="separate"/>
    </w:r>
    <w:r w:rsidR="00C8468F">
      <w:rPr>
        <w:rStyle w:val="PageNumber"/>
        <w:noProof/>
      </w:rPr>
      <w:t>3</w:t>
    </w:r>
    <w:r w:rsidRPr="00C5280D">
      <w:rPr>
        <w:rStyle w:val="PageNumber"/>
      </w:rPr>
      <w:fldChar w:fldCharType="end"/>
    </w:r>
  </w:p>
  <w:p w:rsidR="001E4C97" w:rsidRPr="00436698" w:rsidRDefault="001E4C97" w:rsidP="006655D3"/>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C97" w:rsidRDefault="001E4C97" w:rsidP="009E5A8F">
    <w:pPr>
      <w:jc w:val="center"/>
    </w:pPr>
    <w:r>
      <w:t>CAJ/76/5</w:t>
    </w:r>
  </w:p>
  <w:p w:rsidR="001E4C97" w:rsidRDefault="001E4C97" w:rsidP="009E5A8F">
    <w:pPr>
      <w:jc w:val="center"/>
    </w:pPr>
  </w:p>
  <w:p w:rsidR="001E4C97" w:rsidRDefault="001E4C97" w:rsidP="009E5A8F">
    <w:pPr>
      <w:jc w:val="center"/>
    </w:pPr>
    <w:r>
      <w:t xml:space="preserve">ANEXO III </w:t>
    </w:r>
  </w:p>
  <w:p w:rsidR="001E4C97" w:rsidRPr="004A75CB" w:rsidRDefault="001E4C97" w:rsidP="009E5A8F">
    <w:pPr>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C97" w:rsidRPr="00436698" w:rsidRDefault="001E4C97" w:rsidP="00EB048E">
    <w:pPr>
      <w:pStyle w:val="Header"/>
      <w:rPr>
        <w:rStyle w:val="PageNumber"/>
      </w:rPr>
    </w:pPr>
    <w:r>
      <w:t>CAJ/76/5</w:t>
    </w:r>
  </w:p>
  <w:p w:rsidR="001E4C97" w:rsidRPr="00436698" w:rsidRDefault="001E4C97" w:rsidP="00EB048E">
    <w:pPr>
      <w:pStyle w:val="Header"/>
    </w:pPr>
    <w:r>
      <w:t xml:space="preserve">Anexo IV, página </w:t>
    </w:r>
    <w:r w:rsidRPr="00C5280D">
      <w:rPr>
        <w:rStyle w:val="PageNumber"/>
      </w:rPr>
      <w:fldChar w:fldCharType="begin"/>
    </w:r>
    <w:r w:rsidRPr="00436698">
      <w:rPr>
        <w:rStyle w:val="PageNumber"/>
      </w:rPr>
      <w:instrText xml:space="preserve"> PAGE </w:instrText>
    </w:r>
    <w:r w:rsidRPr="00C5280D">
      <w:rPr>
        <w:rStyle w:val="PageNumber"/>
      </w:rPr>
      <w:fldChar w:fldCharType="separate"/>
    </w:r>
    <w:r w:rsidR="00C8468F">
      <w:rPr>
        <w:rStyle w:val="PageNumber"/>
        <w:noProof/>
      </w:rPr>
      <w:t>2</w:t>
    </w:r>
    <w:r w:rsidRPr="00C5280D">
      <w:rPr>
        <w:rStyle w:val="PageNumber"/>
      </w:rPr>
      <w:fldChar w:fldCharType="end"/>
    </w:r>
  </w:p>
  <w:p w:rsidR="001E4C97" w:rsidRPr="00436698" w:rsidRDefault="001E4C97" w:rsidP="006655D3"/>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C97" w:rsidRDefault="001E4C97" w:rsidP="009E5A8F">
    <w:pPr>
      <w:jc w:val="center"/>
    </w:pPr>
    <w:r>
      <w:t>CAJ/76/5</w:t>
    </w:r>
  </w:p>
  <w:p w:rsidR="001E4C97" w:rsidRDefault="001E4C97" w:rsidP="009E5A8F">
    <w:pPr>
      <w:jc w:val="center"/>
    </w:pPr>
  </w:p>
  <w:p w:rsidR="001E4C97" w:rsidRDefault="001E4C97" w:rsidP="009E5A8F">
    <w:pPr>
      <w:jc w:val="center"/>
    </w:pPr>
    <w:r>
      <w:t xml:space="preserve">ANEXO IV </w:t>
    </w:r>
  </w:p>
  <w:p w:rsidR="001E4C97" w:rsidRPr="004A75CB" w:rsidRDefault="001E4C97" w:rsidP="009E5A8F">
    <w:pPr>
      <w:jc w:val="cent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C97" w:rsidRPr="00436698" w:rsidRDefault="001E4C97" w:rsidP="00EB048E">
    <w:pPr>
      <w:pStyle w:val="Header"/>
      <w:rPr>
        <w:rStyle w:val="PageNumber"/>
      </w:rPr>
    </w:pPr>
    <w:r>
      <w:t>CAJ/76/5</w:t>
    </w:r>
  </w:p>
  <w:p w:rsidR="001E4C97" w:rsidRPr="00436698" w:rsidRDefault="001E4C97" w:rsidP="00EB048E">
    <w:pPr>
      <w:pStyle w:val="Header"/>
    </w:pPr>
    <w:r>
      <w:t xml:space="preserve">Anexo V, página </w:t>
    </w:r>
    <w:r w:rsidRPr="00C5280D">
      <w:rPr>
        <w:rStyle w:val="PageNumber"/>
      </w:rPr>
      <w:fldChar w:fldCharType="begin"/>
    </w:r>
    <w:r w:rsidRPr="00436698">
      <w:rPr>
        <w:rStyle w:val="PageNumber"/>
      </w:rPr>
      <w:instrText xml:space="preserve"> PAGE </w:instrText>
    </w:r>
    <w:r w:rsidRPr="00C5280D">
      <w:rPr>
        <w:rStyle w:val="PageNumber"/>
      </w:rPr>
      <w:fldChar w:fldCharType="separate"/>
    </w:r>
    <w:r w:rsidR="00C8468F">
      <w:rPr>
        <w:rStyle w:val="PageNumber"/>
        <w:noProof/>
      </w:rPr>
      <w:t>2</w:t>
    </w:r>
    <w:r w:rsidRPr="00C5280D">
      <w:rPr>
        <w:rStyle w:val="PageNumber"/>
      </w:rPr>
      <w:fldChar w:fldCharType="end"/>
    </w:r>
  </w:p>
  <w:p w:rsidR="001E4C97" w:rsidRPr="00436698" w:rsidRDefault="001E4C97"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57F96"/>
    <w:multiLevelType w:val="hybridMultilevel"/>
    <w:tmpl w:val="CFBAB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E260C"/>
    <w:multiLevelType w:val="hybridMultilevel"/>
    <w:tmpl w:val="FB582102"/>
    <w:lvl w:ilvl="0" w:tplc="D65050B0">
      <w:start w:val="1"/>
      <w:numFmt w:val="lowerLetter"/>
      <w:lvlText w:val="(%1)"/>
      <w:lvlJc w:val="left"/>
      <w:pPr>
        <w:ind w:left="5750" w:hanging="360"/>
      </w:pPr>
      <w:rPr>
        <w:rFonts w:cs="Times New Roman"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2" w15:restartNumberingAfterBreak="0">
    <w:nsid w:val="17AD7199"/>
    <w:multiLevelType w:val="hybridMultilevel"/>
    <w:tmpl w:val="AE209784"/>
    <w:lvl w:ilvl="0" w:tplc="0E4CF37C">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1E0B4C7E"/>
    <w:multiLevelType w:val="hybridMultilevel"/>
    <w:tmpl w:val="05E8F502"/>
    <w:lvl w:ilvl="0" w:tplc="4CC0E2EC">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4" w15:restartNumberingAfterBreak="0">
    <w:nsid w:val="26AA139A"/>
    <w:multiLevelType w:val="hybridMultilevel"/>
    <w:tmpl w:val="0D3E884A"/>
    <w:lvl w:ilvl="0" w:tplc="0E4CF37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825A4E"/>
    <w:multiLevelType w:val="hybridMultilevel"/>
    <w:tmpl w:val="4C0E2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7770E4"/>
    <w:multiLevelType w:val="hybridMultilevel"/>
    <w:tmpl w:val="66843ACC"/>
    <w:lvl w:ilvl="0" w:tplc="EB04B3C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306C5"/>
    <w:multiLevelType w:val="hybridMultilevel"/>
    <w:tmpl w:val="E74AB398"/>
    <w:lvl w:ilvl="0" w:tplc="C7385F10">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8" w15:restartNumberingAfterBreak="0">
    <w:nsid w:val="42817DDD"/>
    <w:multiLevelType w:val="hybridMultilevel"/>
    <w:tmpl w:val="05E8F502"/>
    <w:lvl w:ilvl="0" w:tplc="4CC0E2EC">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9" w15:restartNumberingAfterBreak="0">
    <w:nsid w:val="4508156C"/>
    <w:multiLevelType w:val="hybridMultilevel"/>
    <w:tmpl w:val="7666A288"/>
    <w:lvl w:ilvl="0" w:tplc="0E4CF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6B5934"/>
    <w:multiLevelType w:val="hybridMultilevel"/>
    <w:tmpl w:val="2388A26E"/>
    <w:lvl w:ilvl="0" w:tplc="A674507C">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1" w15:restartNumberingAfterBreak="0">
    <w:nsid w:val="4EA97BD0"/>
    <w:multiLevelType w:val="hybridMultilevel"/>
    <w:tmpl w:val="07468D48"/>
    <w:lvl w:ilvl="0" w:tplc="1AC678F0">
      <w:start w:val="2"/>
      <w:numFmt w:val="lowerLetter"/>
      <w:lvlText w:val="%1)"/>
      <w:lvlJc w:val="left"/>
      <w:pPr>
        <w:ind w:left="1495" w:hanging="360"/>
      </w:pPr>
      <w:rPr>
        <w:rFonts w:cs="Times New Roman" w:hint="default"/>
      </w:rPr>
    </w:lvl>
    <w:lvl w:ilvl="1" w:tplc="0C0A0019" w:tentative="1">
      <w:start w:val="1"/>
      <w:numFmt w:val="lowerLetter"/>
      <w:lvlText w:val="%2."/>
      <w:lvlJc w:val="left"/>
      <w:pPr>
        <w:ind w:left="2215" w:hanging="360"/>
      </w:pPr>
    </w:lvl>
    <w:lvl w:ilvl="2" w:tplc="0C0A001B" w:tentative="1">
      <w:start w:val="1"/>
      <w:numFmt w:val="lowerRoman"/>
      <w:lvlText w:val="%3."/>
      <w:lvlJc w:val="right"/>
      <w:pPr>
        <w:ind w:left="2935" w:hanging="180"/>
      </w:pPr>
    </w:lvl>
    <w:lvl w:ilvl="3" w:tplc="0C0A000F" w:tentative="1">
      <w:start w:val="1"/>
      <w:numFmt w:val="decimal"/>
      <w:lvlText w:val="%4."/>
      <w:lvlJc w:val="left"/>
      <w:pPr>
        <w:ind w:left="3655" w:hanging="360"/>
      </w:pPr>
    </w:lvl>
    <w:lvl w:ilvl="4" w:tplc="0C0A0019" w:tentative="1">
      <w:start w:val="1"/>
      <w:numFmt w:val="lowerLetter"/>
      <w:lvlText w:val="%5."/>
      <w:lvlJc w:val="left"/>
      <w:pPr>
        <w:ind w:left="4375" w:hanging="360"/>
      </w:pPr>
    </w:lvl>
    <w:lvl w:ilvl="5" w:tplc="0C0A001B" w:tentative="1">
      <w:start w:val="1"/>
      <w:numFmt w:val="lowerRoman"/>
      <w:lvlText w:val="%6."/>
      <w:lvlJc w:val="right"/>
      <w:pPr>
        <w:ind w:left="5095" w:hanging="180"/>
      </w:pPr>
    </w:lvl>
    <w:lvl w:ilvl="6" w:tplc="0C0A000F" w:tentative="1">
      <w:start w:val="1"/>
      <w:numFmt w:val="decimal"/>
      <w:lvlText w:val="%7."/>
      <w:lvlJc w:val="left"/>
      <w:pPr>
        <w:ind w:left="5815" w:hanging="360"/>
      </w:pPr>
    </w:lvl>
    <w:lvl w:ilvl="7" w:tplc="0C0A0019" w:tentative="1">
      <w:start w:val="1"/>
      <w:numFmt w:val="lowerLetter"/>
      <w:lvlText w:val="%8."/>
      <w:lvlJc w:val="left"/>
      <w:pPr>
        <w:ind w:left="6535" w:hanging="360"/>
      </w:pPr>
    </w:lvl>
    <w:lvl w:ilvl="8" w:tplc="0C0A001B" w:tentative="1">
      <w:start w:val="1"/>
      <w:numFmt w:val="lowerRoman"/>
      <w:lvlText w:val="%9."/>
      <w:lvlJc w:val="right"/>
      <w:pPr>
        <w:ind w:left="7255" w:hanging="180"/>
      </w:pPr>
    </w:lvl>
  </w:abstractNum>
  <w:abstractNum w:abstractNumId="12" w15:restartNumberingAfterBreak="0">
    <w:nsid w:val="51086AB5"/>
    <w:multiLevelType w:val="hybridMultilevel"/>
    <w:tmpl w:val="F85C6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EF287E"/>
    <w:multiLevelType w:val="hybridMultilevel"/>
    <w:tmpl w:val="7666A288"/>
    <w:lvl w:ilvl="0" w:tplc="0E4CF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1A5454"/>
    <w:multiLevelType w:val="hybridMultilevel"/>
    <w:tmpl w:val="9334C074"/>
    <w:lvl w:ilvl="0" w:tplc="9F3E7D0C">
      <w:start w:val="1"/>
      <w:numFmt w:val="lowerLetter"/>
      <w:lvlText w:val="(%1)"/>
      <w:lvlJc w:val="left"/>
      <w:pPr>
        <w:ind w:left="1140" w:hanging="570"/>
      </w:pPr>
      <w:rPr>
        <w:rFonts w:cs="Arial"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5" w15:restartNumberingAfterBreak="0">
    <w:nsid w:val="62EC4B75"/>
    <w:multiLevelType w:val="hybridMultilevel"/>
    <w:tmpl w:val="133A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6D7D76"/>
    <w:multiLevelType w:val="hybridMultilevel"/>
    <w:tmpl w:val="E74AB398"/>
    <w:lvl w:ilvl="0" w:tplc="C7385F10">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6"/>
  </w:num>
  <w:num w:numId="2">
    <w:abstractNumId w:val="1"/>
  </w:num>
  <w:num w:numId="3">
    <w:abstractNumId w:val="12"/>
  </w:num>
  <w:num w:numId="4">
    <w:abstractNumId w:val="15"/>
  </w:num>
  <w:num w:numId="5">
    <w:abstractNumId w:val="5"/>
  </w:num>
  <w:num w:numId="6">
    <w:abstractNumId w:val="4"/>
  </w:num>
  <w:num w:numId="7">
    <w:abstractNumId w:val="9"/>
  </w:num>
  <w:num w:numId="8">
    <w:abstractNumId w:val="2"/>
  </w:num>
  <w:num w:numId="9">
    <w:abstractNumId w:val="3"/>
  </w:num>
  <w:num w:numId="10">
    <w:abstractNumId w:val="10"/>
  </w:num>
  <w:num w:numId="11">
    <w:abstractNumId w:val="8"/>
  </w:num>
  <w:num w:numId="12">
    <w:abstractNumId w:val="16"/>
  </w:num>
  <w:num w:numId="13">
    <w:abstractNumId w:val="14"/>
  </w:num>
  <w:num w:numId="14">
    <w:abstractNumId w:val="7"/>
  </w:num>
  <w:num w:numId="15">
    <w:abstractNumId w:val="13"/>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D55"/>
    <w:rsid w:val="00010CF3"/>
    <w:rsid w:val="00011E27"/>
    <w:rsid w:val="000148BC"/>
    <w:rsid w:val="000220A8"/>
    <w:rsid w:val="00024AB8"/>
    <w:rsid w:val="00030854"/>
    <w:rsid w:val="00036028"/>
    <w:rsid w:val="00043D1D"/>
    <w:rsid w:val="00044642"/>
    <w:rsid w:val="000446B9"/>
    <w:rsid w:val="00047E21"/>
    <w:rsid w:val="00050E16"/>
    <w:rsid w:val="000638A9"/>
    <w:rsid w:val="00085505"/>
    <w:rsid w:val="00086B0F"/>
    <w:rsid w:val="000A23DC"/>
    <w:rsid w:val="000C4E25"/>
    <w:rsid w:val="000C7021"/>
    <w:rsid w:val="000D6BBC"/>
    <w:rsid w:val="000D7780"/>
    <w:rsid w:val="000E636A"/>
    <w:rsid w:val="000F2F11"/>
    <w:rsid w:val="00105929"/>
    <w:rsid w:val="001074B9"/>
    <w:rsid w:val="00110C36"/>
    <w:rsid w:val="001131D5"/>
    <w:rsid w:val="001247D1"/>
    <w:rsid w:val="0014006B"/>
    <w:rsid w:val="00141DB8"/>
    <w:rsid w:val="00163E76"/>
    <w:rsid w:val="00172084"/>
    <w:rsid w:val="001743D7"/>
    <w:rsid w:val="0017474A"/>
    <w:rsid w:val="001758C6"/>
    <w:rsid w:val="00182B99"/>
    <w:rsid w:val="00186D57"/>
    <w:rsid w:val="001E4C97"/>
    <w:rsid w:val="001F36B2"/>
    <w:rsid w:val="001F64BF"/>
    <w:rsid w:val="00202E38"/>
    <w:rsid w:val="0021332C"/>
    <w:rsid w:val="00213982"/>
    <w:rsid w:val="00213F04"/>
    <w:rsid w:val="0024416D"/>
    <w:rsid w:val="002464A3"/>
    <w:rsid w:val="00271911"/>
    <w:rsid w:val="002800A0"/>
    <w:rsid w:val="002801B3"/>
    <w:rsid w:val="00281060"/>
    <w:rsid w:val="002858D9"/>
    <w:rsid w:val="002940E8"/>
    <w:rsid w:val="00294751"/>
    <w:rsid w:val="002A6E50"/>
    <w:rsid w:val="002B4298"/>
    <w:rsid w:val="002C256A"/>
    <w:rsid w:val="002D7D2B"/>
    <w:rsid w:val="002E5944"/>
    <w:rsid w:val="002F701A"/>
    <w:rsid w:val="00305A7F"/>
    <w:rsid w:val="003152FE"/>
    <w:rsid w:val="00315E11"/>
    <w:rsid w:val="00327436"/>
    <w:rsid w:val="00344BD6"/>
    <w:rsid w:val="003539A6"/>
    <w:rsid w:val="0035528D"/>
    <w:rsid w:val="00361821"/>
    <w:rsid w:val="00361E9E"/>
    <w:rsid w:val="003B031A"/>
    <w:rsid w:val="003C7FBE"/>
    <w:rsid w:val="003D227C"/>
    <w:rsid w:val="003D2B4D"/>
    <w:rsid w:val="003D3D93"/>
    <w:rsid w:val="003D5DCC"/>
    <w:rsid w:val="00404329"/>
    <w:rsid w:val="0040557F"/>
    <w:rsid w:val="00444A88"/>
    <w:rsid w:val="00474DA4"/>
    <w:rsid w:val="00476B4D"/>
    <w:rsid w:val="004805FA"/>
    <w:rsid w:val="004935D2"/>
    <w:rsid w:val="004B1215"/>
    <w:rsid w:val="004D047D"/>
    <w:rsid w:val="004D2B1A"/>
    <w:rsid w:val="004F1E9E"/>
    <w:rsid w:val="004F305A"/>
    <w:rsid w:val="00512164"/>
    <w:rsid w:val="00520297"/>
    <w:rsid w:val="005338F9"/>
    <w:rsid w:val="0054281C"/>
    <w:rsid w:val="00544581"/>
    <w:rsid w:val="00545E42"/>
    <w:rsid w:val="0055268D"/>
    <w:rsid w:val="00566C7E"/>
    <w:rsid w:val="00576BE4"/>
    <w:rsid w:val="005A400A"/>
    <w:rsid w:val="005A70CC"/>
    <w:rsid w:val="005D6448"/>
    <w:rsid w:val="005F7B92"/>
    <w:rsid w:val="00612379"/>
    <w:rsid w:val="006153B6"/>
    <w:rsid w:val="0061555F"/>
    <w:rsid w:val="00636CA6"/>
    <w:rsid w:val="00637EDD"/>
    <w:rsid w:val="00641200"/>
    <w:rsid w:val="00645CA8"/>
    <w:rsid w:val="006655D3"/>
    <w:rsid w:val="00667404"/>
    <w:rsid w:val="006818F4"/>
    <w:rsid w:val="00687EB4"/>
    <w:rsid w:val="00695C56"/>
    <w:rsid w:val="006A32E5"/>
    <w:rsid w:val="006A5CDE"/>
    <w:rsid w:val="006A644A"/>
    <w:rsid w:val="006B17D2"/>
    <w:rsid w:val="006B41C3"/>
    <w:rsid w:val="006C224E"/>
    <w:rsid w:val="006C4025"/>
    <w:rsid w:val="006D780A"/>
    <w:rsid w:val="0071271E"/>
    <w:rsid w:val="00732DEC"/>
    <w:rsid w:val="00735BD5"/>
    <w:rsid w:val="0075035D"/>
    <w:rsid w:val="00750AA6"/>
    <w:rsid w:val="00751613"/>
    <w:rsid w:val="00752334"/>
    <w:rsid w:val="00754724"/>
    <w:rsid w:val="007556F6"/>
    <w:rsid w:val="00760EEF"/>
    <w:rsid w:val="00777EE5"/>
    <w:rsid w:val="00783722"/>
    <w:rsid w:val="00784836"/>
    <w:rsid w:val="0079023E"/>
    <w:rsid w:val="007A2854"/>
    <w:rsid w:val="007B4805"/>
    <w:rsid w:val="007C1D92"/>
    <w:rsid w:val="007C4CB9"/>
    <w:rsid w:val="007D0B9D"/>
    <w:rsid w:val="007D19B0"/>
    <w:rsid w:val="007F498F"/>
    <w:rsid w:val="0080679D"/>
    <w:rsid w:val="008108B0"/>
    <w:rsid w:val="00811B20"/>
    <w:rsid w:val="008211B5"/>
    <w:rsid w:val="0082296E"/>
    <w:rsid w:val="00824099"/>
    <w:rsid w:val="00846D7C"/>
    <w:rsid w:val="008574A4"/>
    <w:rsid w:val="00864C55"/>
    <w:rsid w:val="00867AC1"/>
    <w:rsid w:val="00881E82"/>
    <w:rsid w:val="00884E8D"/>
    <w:rsid w:val="00884FEF"/>
    <w:rsid w:val="00890DF8"/>
    <w:rsid w:val="008A743F"/>
    <w:rsid w:val="008B3D8D"/>
    <w:rsid w:val="008C0970"/>
    <w:rsid w:val="008C6250"/>
    <w:rsid w:val="008D0BC5"/>
    <w:rsid w:val="008D2CF7"/>
    <w:rsid w:val="008E5EB2"/>
    <w:rsid w:val="00900C26"/>
    <w:rsid w:val="0090197F"/>
    <w:rsid w:val="00902671"/>
    <w:rsid w:val="00906DDC"/>
    <w:rsid w:val="00914865"/>
    <w:rsid w:val="00916079"/>
    <w:rsid w:val="00923E92"/>
    <w:rsid w:val="00934E09"/>
    <w:rsid w:val="00936253"/>
    <w:rsid w:val="00940D46"/>
    <w:rsid w:val="00943983"/>
    <w:rsid w:val="00952539"/>
    <w:rsid w:val="00952DD4"/>
    <w:rsid w:val="0096175D"/>
    <w:rsid w:val="00965AE7"/>
    <w:rsid w:val="00970FED"/>
    <w:rsid w:val="00992D82"/>
    <w:rsid w:val="00997029"/>
    <w:rsid w:val="009A7339"/>
    <w:rsid w:val="009B440E"/>
    <w:rsid w:val="009D690D"/>
    <w:rsid w:val="009E5A8F"/>
    <w:rsid w:val="009E65B6"/>
    <w:rsid w:val="009F3777"/>
    <w:rsid w:val="00A24C10"/>
    <w:rsid w:val="00A42AC3"/>
    <w:rsid w:val="00A430CF"/>
    <w:rsid w:val="00A54309"/>
    <w:rsid w:val="00A706D3"/>
    <w:rsid w:val="00AB2B93"/>
    <w:rsid w:val="00AB530F"/>
    <w:rsid w:val="00AB7E5B"/>
    <w:rsid w:val="00AC2883"/>
    <w:rsid w:val="00AE0EF1"/>
    <w:rsid w:val="00AE2937"/>
    <w:rsid w:val="00AF1302"/>
    <w:rsid w:val="00B07301"/>
    <w:rsid w:val="00B11F3E"/>
    <w:rsid w:val="00B224DE"/>
    <w:rsid w:val="00B23B18"/>
    <w:rsid w:val="00B324D4"/>
    <w:rsid w:val="00B34EEA"/>
    <w:rsid w:val="00B46575"/>
    <w:rsid w:val="00B61777"/>
    <w:rsid w:val="00B64449"/>
    <w:rsid w:val="00B84BBD"/>
    <w:rsid w:val="00B973B9"/>
    <w:rsid w:val="00BA43FB"/>
    <w:rsid w:val="00BB31D1"/>
    <w:rsid w:val="00BC0BD4"/>
    <w:rsid w:val="00BC1273"/>
    <w:rsid w:val="00BC127D"/>
    <w:rsid w:val="00BC1FE6"/>
    <w:rsid w:val="00C061B6"/>
    <w:rsid w:val="00C2446C"/>
    <w:rsid w:val="00C35C32"/>
    <w:rsid w:val="00C36AE5"/>
    <w:rsid w:val="00C41F17"/>
    <w:rsid w:val="00C527FA"/>
    <w:rsid w:val="00C5280D"/>
    <w:rsid w:val="00C531FE"/>
    <w:rsid w:val="00C53EB3"/>
    <w:rsid w:val="00C5791C"/>
    <w:rsid w:val="00C66290"/>
    <w:rsid w:val="00C72B7A"/>
    <w:rsid w:val="00C81527"/>
    <w:rsid w:val="00C8468F"/>
    <w:rsid w:val="00C973F2"/>
    <w:rsid w:val="00CA304C"/>
    <w:rsid w:val="00CA774A"/>
    <w:rsid w:val="00CC11B0"/>
    <w:rsid w:val="00CC2841"/>
    <w:rsid w:val="00CF1330"/>
    <w:rsid w:val="00CF7E36"/>
    <w:rsid w:val="00D345F5"/>
    <w:rsid w:val="00D3708D"/>
    <w:rsid w:val="00D40426"/>
    <w:rsid w:val="00D418D5"/>
    <w:rsid w:val="00D4659D"/>
    <w:rsid w:val="00D57C96"/>
    <w:rsid w:val="00D57D18"/>
    <w:rsid w:val="00D91203"/>
    <w:rsid w:val="00D95174"/>
    <w:rsid w:val="00DA4973"/>
    <w:rsid w:val="00DA6F36"/>
    <w:rsid w:val="00DB596E"/>
    <w:rsid w:val="00DB7773"/>
    <w:rsid w:val="00DC00EA"/>
    <w:rsid w:val="00DC3802"/>
    <w:rsid w:val="00DC6714"/>
    <w:rsid w:val="00E07D87"/>
    <w:rsid w:val="00E32F7E"/>
    <w:rsid w:val="00E5267B"/>
    <w:rsid w:val="00E532CE"/>
    <w:rsid w:val="00E63C0E"/>
    <w:rsid w:val="00E72D49"/>
    <w:rsid w:val="00E7593C"/>
    <w:rsid w:val="00E7678A"/>
    <w:rsid w:val="00E935F1"/>
    <w:rsid w:val="00E94A81"/>
    <w:rsid w:val="00EA1FFB"/>
    <w:rsid w:val="00EB048E"/>
    <w:rsid w:val="00EB4E9C"/>
    <w:rsid w:val="00EB7224"/>
    <w:rsid w:val="00EC2265"/>
    <w:rsid w:val="00EC6D55"/>
    <w:rsid w:val="00EE34DF"/>
    <w:rsid w:val="00EF2F89"/>
    <w:rsid w:val="00F03E98"/>
    <w:rsid w:val="00F1237A"/>
    <w:rsid w:val="00F22CBD"/>
    <w:rsid w:val="00F272F1"/>
    <w:rsid w:val="00F45372"/>
    <w:rsid w:val="00F50A8A"/>
    <w:rsid w:val="00F560F7"/>
    <w:rsid w:val="00F6334D"/>
    <w:rsid w:val="00FA185E"/>
    <w:rsid w:val="00FA49AB"/>
    <w:rsid w:val="00FC0ECF"/>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775ECE6"/>
  <w15:docId w15:val="{B01CC695-4FAC-454E-A231-91896E65F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semiHidden/>
    <w:unhideWhenUsed/>
    <w:qFormat/>
    <w:rsid w:val="00914865"/>
    <w:pPr>
      <w:keepNext/>
      <w:keepLines/>
      <w:spacing w:before="4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B3D8D"/>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4D2B1A"/>
    <w:pPr>
      <w:tabs>
        <w:tab w:val="left" w:pos="5387"/>
        <w:tab w:val="left" w:pos="5954"/>
      </w:tabs>
      <w:ind w:left="4820"/>
    </w:pPr>
    <w:rPr>
      <w:i/>
    </w:rPr>
  </w:style>
  <w:style w:type="paragraph" w:styleId="FootnoteText">
    <w:name w:val="footnote text"/>
    <w:link w:val="FootnoteTextChar"/>
    <w:autoRedefine/>
    <w:rsid w:val="00B23B1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A32E5"/>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32E5"/>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s-ES" w:bidi="es-ES"/>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s-ES" w:bidi="es-ES"/>
    </w:rPr>
  </w:style>
  <w:style w:type="paragraph" w:styleId="TOC2">
    <w:name w:val="toc 2"/>
    <w:next w:val="Normal"/>
    <w:autoRedefine/>
    <w:uiPriority w:val="39"/>
    <w:qFormat/>
    <w:rsid w:val="005D6448"/>
    <w:pPr>
      <w:tabs>
        <w:tab w:val="right" w:leader="dot" w:pos="9639"/>
      </w:tabs>
      <w:spacing w:after="120"/>
      <w:ind w:left="284" w:right="851"/>
    </w:pPr>
    <w:rPr>
      <w:rFonts w:ascii="Arial" w:hAnsi="Arial"/>
      <w:noProof/>
      <w:sz w:val="18"/>
      <w:lang w:val="es-419"/>
    </w:rPr>
  </w:style>
  <w:style w:type="paragraph" w:styleId="TOC3">
    <w:name w:val="toc 3"/>
    <w:next w:val="Normal"/>
    <w:autoRedefine/>
    <w:uiPriority w:val="39"/>
    <w:qFormat/>
    <w:rsid w:val="006818F4"/>
    <w:pPr>
      <w:tabs>
        <w:tab w:val="right" w:leader="dot" w:pos="9639"/>
      </w:tabs>
      <w:spacing w:after="120"/>
      <w:ind w:left="568" w:right="851" w:hanging="284"/>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6818F4"/>
    <w:pPr>
      <w:tabs>
        <w:tab w:val="right" w:leader="dot" w:pos="9639"/>
      </w:tabs>
      <w:spacing w:after="120"/>
      <w:ind w:left="738" w:right="851" w:hanging="284"/>
    </w:pPr>
    <w:rPr>
      <w:rFonts w:ascii="Arial" w:hAnsi="Arial"/>
      <w:i/>
      <w:sz w:val="18"/>
    </w:rPr>
  </w:style>
  <w:style w:type="paragraph" w:styleId="TOC1">
    <w:name w:val="toc 1"/>
    <w:next w:val="Normal"/>
    <w:autoRedefine/>
    <w:uiPriority w:val="39"/>
    <w:qFormat/>
    <w:rsid w:val="005D6448"/>
    <w:pPr>
      <w:tabs>
        <w:tab w:val="right" w:leader="dot" w:pos="9639"/>
      </w:tabs>
      <w:spacing w:after="120"/>
      <w:jc w:val="center"/>
    </w:pPr>
    <w:rPr>
      <w:rFonts w:ascii="Arial" w:hAnsi="Arial"/>
      <w:caps/>
      <w:noProof/>
      <w:snapToGrid w:val="0"/>
      <w:sz w:val="18"/>
      <w:lang w:val="es-419"/>
    </w:rPr>
  </w:style>
  <w:style w:type="paragraph" w:styleId="TOC5">
    <w:name w:val="toc 5"/>
    <w:next w:val="Normal"/>
    <w:autoRedefine/>
    <w:rsid w:val="006818F4"/>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6Char">
    <w:name w:val="Heading 6 Char"/>
    <w:basedOn w:val="DefaultParagraphFont"/>
    <w:link w:val="Heading6"/>
    <w:semiHidden/>
    <w:rsid w:val="00914865"/>
    <w:rPr>
      <w:rFonts w:asciiTheme="majorHAnsi" w:eastAsiaTheme="majorEastAsia" w:hAnsiTheme="majorHAnsi" w:cstheme="majorBidi"/>
      <w:color w:val="243F60" w:themeColor="accent1" w:themeShade="7F"/>
    </w:rPr>
  </w:style>
  <w:style w:type="character" w:customStyle="1" w:styleId="Heading1Char">
    <w:name w:val="Heading 1 Char"/>
    <w:aliases w:val="COMMON NAME Char,common Char"/>
    <w:basedOn w:val="DefaultParagraphFont"/>
    <w:link w:val="Heading1"/>
    <w:rsid w:val="00914865"/>
    <w:rPr>
      <w:rFonts w:ascii="Arial" w:hAnsi="Arial"/>
      <w:caps/>
    </w:rPr>
  </w:style>
  <w:style w:type="character" w:customStyle="1" w:styleId="Heading2Char">
    <w:name w:val="Heading 2 Char"/>
    <w:link w:val="Heading2"/>
    <w:locked/>
    <w:rsid w:val="00914865"/>
    <w:rPr>
      <w:rFonts w:ascii="Arial" w:hAnsi="Arial"/>
      <w:u w:val="single"/>
    </w:rPr>
  </w:style>
  <w:style w:type="character" w:customStyle="1" w:styleId="Heading3Char">
    <w:name w:val="Heading 3 Char"/>
    <w:basedOn w:val="DefaultParagraphFont"/>
    <w:link w:val="Heading3"/>
    <w:rsid w:val="00914865"/>
    <w:rPr>
      <w:rFonts w:ascii="Arial" w:hAnsi="Arial"/>
      <w:i/>
    </w:rPr>
  </w:style>
  <w:style w:type="character" w:customStyle="1" w:styleId="Heading4Char">
    <w:name w:val="Heading 4 Char"/>
    <w:link w:val="Heading4"/>
    <w:rsid w:val="00914865"/>
    <w:rPr>
      <w:rFonts w:ascii="Arial" w:hAnsi="Arial"/>
      <w:u w:val="single"/>
      <w:lang w:val="es-ES"/>
    </w:rPr>
  </w:style>
  <w:style w:type="character" w:customStyle="1" w:styleId="HeaderChar">
    <w:name w:val="Header Char"/>
    <w:basedOn w:val="DefaultParagraphFont"/>
    <w:link w:val="Header"/>
    <w:rsid w:val="00914865"/>
    <w:rPr>
      <w:rFonts w:ascii="Arial" w:hAnsi="Arial"/>
      <w:lang w:val="es-ES"/>
    </w:rPr>
  </w:style>
  <w:style w:type="paragraph" w:customStyle="1" w:styleId="Sessiontwp">
    <w:name w:val="Session_twp"/>
    <w:basedOn w:val="Normal"/>
    <w:next w:val="Normal"/>
    <w:qFormat/>
    <w:rsid w:val="00914865"/>
    <w:rPr>
      <w:b/>
    </w:rPr>
  </w:style>
  <w:style w:type="paragraph" w:customStyle="1" w:styleId="Sessiontwpplacedate">
    <w:name w:val="Session_twp_place_date"/>
    <w:basedOn w:val="Normal"/>
    <w:next w:val="Normal"/>
    <w:qFormat/>
    <w:rsid w:val="00914865"/>
  </w:style>
  <w:style w:type="paragraph" w:styleId="ListParagraph">
    <w:name w:val="List Paragraph"/>
    <w:basedOn w:val="Normal"/>
    <w:uiPriority w:val="34"/>
    <w:qFormat/>
    <w:rsid w:val="00914865"/>
    <w:pPr>
      <w:ind w:left="720"/>
      <w:contextualSpacing/>
    </w:pPr>
  </w:style>
  <w:style w:type="table" w:styleId="TableGrid">
    <w:name w:val="Table Grid"/>
    <w:basedOn w:val="TableNormal"/>
    <w:rsid w:val="00914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914865"/>
    <w:rPr>
      <w:color w:val="800080" w:themeColor="followedHyperlink"/>
      <w:u w:val="single"/>
    </w:rPr>
  </w:style>
  <w:style w:type="character" w:customStyle="1" w:styleId="DecisionParagraphsChar">
    <w:name w:val="DecisionParagraphs Char"/>
    <w:basedOn w:val="DefaultParagraphFont"/>
    <w:link w:val="DecisionParagraphs"/>
    <w:rsid w:val="00914865"/>
    <w:rPr>
      <w:rFonts w:ascii="Arial" w:hAnsi="Arial"/>
      <w:i/>
      <w:lang w:val="es-E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semiHidden/>
    <w:rsid w:val="00914865"/>
    <w:rPr>
      <w:rFonts w:ascii="Arial" w:hAnsi="Arial"/>
    </w:rPr>
  </w:style>
  <w:style w:type="paragraph" w:styleId="CommentSubject">
    <w:name w:val="annotation subject"/>
    <w:basedOn w:val="CommentText"/>
    <w:next w:val="CommentText"/>
    <w:link w:val="CommentSubjectChar"/>
    <w:semiHidden/>
    <w:unhideWhenUsed/>
    <w:rsid w:val="00914865"/>
    <w:rPr>
      <w:b/>
      <w:bCs/>
    </w:rPr>
  </w:style>
  <w:style w:type="character" w:customStyle="1" w:styleId="CommentSubjectChar">
    <w:name w:val="Comment Subject Char"/>
    <w:basedOn w:val="CommentTextChar"/>
    <w:link w:val="CommentSubject"/>
    <w:semiHidden/>
    <w:rsid w:val="00914865"/>
    <w:rPr>
      <w:rFonts w:ascii="Arial" w:hAnsi="Arial"/>
      <w:b/>
      <w:bCs/>
    </w:rPr>
  </w:style>
  <w:style w:type="character" w:customStyle="1" w:styleId="EndnoteTextChar">
    <w:name w:val="Endnote Text Char"/>
    <w:basedOn w:val="DefaultParagraphFont"/>
    <w:link w:val="EndnoteText"/>
    <w:semiHidden/>
    <w:rsid w:val="00914865"/>
    <w:rPr>
      <w:rFonts w:ascii="Arial" w:hAnsi="Arial"/>
      <w:lang w:val="es-ES"/>
    </w:rPr>
  </w:style>
  <w:style w:type="character" w:customStyle="1" w:styleId="FootnoteTextChar">
    <w:name w:val="Footnote Text Char"/>
    <w:basedOn w:val="DefaultParagraphFont"/>
    <w:link w:val="FootnoteText"/>
    <w:rsid w:val="0014006B"/>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image" Target="media/image9.wmf"/><Relationship Id="rId21" Type="http://schemas.openxmlformats.org/officeDocument/2006/relationships/image" Target="media/image4.wmf"/><Relationship Id="rId34" Type="http://schemas.openxmlformats.org/officeDocument/2006/relationships/header" Target="header11.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image" Target="media/image8.wmf"/><Relationship Id="rId33" Type="http://schemas.openxmlformats.org/officeDocument/2006/relationships/image" Target="media/image12.emf"/><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image" Target="media/image3.wmf"/><Relationship Id="rId29"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pov.int/edocs/mdocs/upov/es/tc_54/tc_54_31.pdf" TargetMode="External"/><Relationship Id="rId24" Type="http://schemas.openxmlformats.org/officeDocument/2006/relationships/image" Target="media/image7.wmf"/><Relationship Id="rId32" Type="http://schemas.openxmlformats.org/officeDocument/2006/relationships/header" Target="header10.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image" Target="media/image6.wmf"/><Relationship Id="rId28" Type="http://schemas.openxmlformats.org/officeDocument/2006/relationships/image" Target="media/image11.wmf"/><Relationship Id="rId36" Type="http://schemas.openxmlformats.org/officeDocument/2006/relationships/fontTable" Target="fontTable.xml"/><Relationship Id="rId10" Type="http://schemas.openxmlformats.org/officeDocument/2006/relationships/hyperlink" Target="http://www.upov.int/upov_collection/es/" TargetMode="External"/><Relationship Id="rId19" Type="http://schemas.openxmlformats.org/officeDocument/2006/relationships/image" Target="media/image2.wmf"/><Relationship Id="rId31"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yperlink" Target="https://www.upov.int/edocs/mdocs/upov/es/caj_75/caj_75_13.pdf" TargetMode="External"/><Relationship Id="rId14" Type="http://schemas.openxmlformats.org/officeDocument/2006/relationships/footer" Target="footer1.xml"/><Relationship Id="rId22" Type="http://schemas.openxmlformats.org/officeDocument/2006/relationships/image" Target="media/image5.wmf"/><Relationship Id="rId27" Type="http://schemas.openxmlformats.org/officeDocument/2006/relationships/image" Target="media/image10.wmf"/><Relationship Id="rId30" Type="http://schemas.openxmlformats.org/officeDocument/2006/relationships/header" Target="header8.xml"/><Relationship Id="rId35" Type="http://schemas.openxmlformats.org/officeDocument/2006/relationships/header" Target="header12.xml"/><Relationship Id="rId8" Type="http://schemas.openxmlformats.org/officeDocument/2006/relationships/hyperlink" Target="https://www.upov.int/edocs/mdocs/upov/es/tc_54/tc_54_5_rev.pdf" TargetMode="External"/><Relationship Id="rId3" Type="http://schemas.openxmlformats.org/officeDocument/2006/relationships/settings" Target="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www.upov.int/edocs/mdocs/upov/es/tc_54/tc_54_31.pdf" TargetMode="External"/><Relationship Id="rId13" Type="http://schemas.openxmlformats.org/officeDocument/2006/relationships/hyperlink" Target="https://www.upov.int/edocs/mdocs/upov/es/tc_54/tc_54_31.pdf" TargetMode="External"/><Relationship Id="rId18" Type="http://schemas.openxmlformats.org/officeDocument/2006/relationships/hyperlink" Target="https://www.upov.int/meetings/en/doc_details.jsp?meeting_id=48107&amp;doc_id=419311" TargetMode="External"/><Relationship Id="rId3" Type="http://schemas.openxmlformats.org/officeDocument/2006/relationships/hyperlink" Target="https://www.upov.int/edocs/mdocs/upov/es/caj_75/caj_75_14.pdf" TargetMode="External"/><Relationship Id="rId7" Type="http://schemas.openxmlformats.org/officeDocument/2006/relationships/hyperlink" Target="https://www.upov.int/meetings/en/doc_details.jsp?meeting_id=48107&amp;doc_id=419311" TargetMode="External"/><Relationship Id="rId12" Type="http://schemas.openxmlformats.org/officeDocument/2006/relationships/hyperlink" Target="https://www.upov.int/meetings/en/doc_details.jsp?meeting_id=48107&amp;doc_id=419311" TargetMode="External"/><Relationship Id="rId17" Type="http://schemas.openxmlformats.org/officeDocument/2006/relationships/hyperlink" Target="https://www.upov.int/edocs/mdocs/upov/es/tc_54/tc_54_31.pdf" TargetMode="External"/><Relationship Id="rId2" Type="http://schemas.openxmlformats.org/officeDocument/2006/relationships/hyperlink" Target="https://www.upov.int/edocs/mdocs/upov/es/tc_54/tc_54_31.pdf" TargetMode="External"/><Relationship Id="rId16" Type="http://schemas.openxmlformats.org/officeDocument/2006/relationships/hyperlink" Target="https://www.upov.int/meetings/en/doc_details.jsp?meeting_id=48107&amp;doc_id=419311" TargetMode="External"/><Relationship Id="rId20" Type="http://schemas.openxmlformats.org/officeDocument/2006/relationships/hyperlink" Target="https://www.upov.int/edocs/mdocs/upov/es/caj_75/caj_75_14.pdf" TargetMode="External"/><Relationship Id="rId1" Type="http://schemas.openxmlformats.org/officeDocument/2006/relationships/hyperlink" Target="https://www.upov.int/meetings/en/doc_details.jsp?meeting_id=48107&amp;doc_id=419311" TargetMode="External"/><Relationship Id="rId6" Type="http://schemas.openxmlformats.org/officeDocument/2006/relationships/hyperlink" Target="https://www.upov.int/meetings/es/doc_details.jsp?meeting_id=42485&amp;doc_id=369923" TargetMode="External"/><Relationship Id="rId11" Type="http://schemas.openxmlformats.org/officeDocument/2006/relationships/hyperlink" Target="https://www.upov.int/meetings/es/doc_details.jsp?meeting_id=42485&amp;doc_id=369923" TargetMode="External"/><Relationship Id="rId5" Type="http://schemas.openxmlformats.org/officeDocument/2006/relationships/hyperlink" Target="https://www.upov.int/edocs/mdocs/upov/es/tc_54/tc_54_31.pdf" TargetMode="External"/><Relationship Id="rId15" Type="http://schemas.openxmlformats.org/officeDocument/2006/relationships/hyperlink" Target="https://www.upov.int/edocs/mdocs/upov/es/tc_54/tc_54_31.pdf" TargetMode="External"/><Relationship Id="rId10" Type="http://schemas.openxmlformats.org/officeDocument/2006/relationships/hyperlink" Target="https://www.upov.int/edocs/mdocs/upov/es/tc_54/tc_54_31.pdf" TargetMode="External"/><Relationship Id="rId19" Type="http://schemas.openxmlformats.org/officeDocument/2006/relationships/hyperlink" Target="https://www.upov.int/edocs/mdocs/upov/es/tc_54/tc_54_31.pdf" TargetMode="External"/><Relationship Id="rId4" Type="http://schemas.openxmlformats.org/officeDocument/2006/relationships/hyperlink" Target="https://www.upov.int/meetings/en/doc_details.jsp?meeting_id=48107&amp;doc_id=419311" TargetMode="External"/><Relationship Id="rId9" Type="http://schemas.openxmlformats.org/officeDocument/2006/relationships/hyperlink" Target="https://www.upov.int/meetings/en/doc_details.jsp?meeting_id=48107&amp;doc_id=419311" TargetMode="External"/><Relationship Id="rId14" Type="http://schemas.openxmlformats.org/officeDocument/2006/relationships/hyperlink" Target="https://www.upov.int/meetings/en/doc_details.jsp?meeting_id=48107&amp;doc_id=4193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17</Pages>
  <Words>7202</Words>
  <Characters>39735</Characters>
  <Application>Microsoft Office Word</Application>
  <DocSecurity>0</DocSecurity>
  <Lines>331</Lines>
  <Paragraphs>93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CAJ/76/5</vt:lpstr>
      <vt:lpstr>CAJ/76/5</vt:lpstr>
    </vt:vector>
  </TitlesOfParts>
  <Company>UPOV</Company>
  <LinksUpToDate>false</LinksUpToDate>
  <CharactersWithSpaces>46844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CAJ/76/5</dc:title>
  <dc:creator>CEVALLOS DUQUE Nilo</dc:creator>
  <cp:lastModifiedBy>SANCHEZ VIZCAINO GOMEZ Rosa Maria</cp:lastModifiedBy>
  <cp:revision>18</cp:revision>
  <cp:lastPrinted>2016-11-22T15:41:00Z</cp:lastPrinted>
  <dcterms:created xsi:type="dcterms:W3CDTF">2019-07-29T09:31:00Z</dcterms:created>
  <dcterms:modified xsi:type="dcterms:W3CDTF">2019-08-02T13:22:00Z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75bba39f-f3c6-4cb8-a8ca-025070773e1c</vt:lpwstr>
  </property>
</Properties>
</file>