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373A4" w:rsidTr="00EB4E9C">
        <w:tc>
          <w:tcPr>
            <w:tcW w:w="6522" w:type="dxa"/>
          </w:tcPr>
          <w:p w:rsidR="00DC3802" w:rsidRPr="00C373A4" w:rsidRDefault="00DC3802" w:rsidP="00AC2883">
            <w:pPr>
              <w:rPr>
                <w:dstrike/>
                <w:lang w:val="es-419"/>
              </w:rPr>
            </w:pPr>
            <w:r w:rsidRPr="00C373A4">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373A4" w:rsidRDefault="002E5944" w:rsidP="00AC2883">
            <w:pPr>
              <w:pStyle w:val="Lettrine"/>
              <w:rPr>
                <w:dstrike/>
                <w:lang w:val="es-419"/>
              </w:rPr>
            </w:pPr>
            <w:r w:rsidRPr="00C373A4">
              <w:rPr>
                <w:lang w:val="es-419"/>
              </w:rPr>
              <w:t>S</w:t>
            </w:r>
          </w:p>
        </w:tc>
      </w:tr>
      <w:tr w:rsidR="00DC3802" w:rsidRPr="00C373A4" w:rsidTr="00645CA8">
        <w:trPr>
          <w:trHeight w:val="219"/>
        </w:trPr>
        <w:tc>
          <w:tcPr>
            <w:tcW w:w="6522" w:type="dxa"/>
          </w:tcPr>
          <w:p w:rsidR="00DC3802" w:rsidRPr="00C373A4" w:rsidRDefault="002E5944" w:rsidP="00BC0BD4">
            <w:pPr>
              <w:pStyle w:val="upove"/>
              <w:rPr>
                <w:dstrike/>
                <w:lang w:val="es-419"/>
              </w:rPr>
            </w:pPr>
            <w:r w:rsidRPr="00C373A4">
              <w:rPr>
                <w:lang w:val="es-419"/>
              </w:rPr>
              <w:t>Unión Internacional para la Protección de las Obtenciones Vegetales</w:t>
            </w:r>
          </w:p>
        </w:tc>
        <w:tc>
          <w:tcPr>
            <w:tcW w:w="3117" w:type="dxa"/>
          </w:tcPr>
          <w:p w:rsidR="00DC3802" w:rsidRPr="00C373A4" w:rsidRDefault="00DC3802" w:rsidP="00DA4973">
            <w:pPr>
              <w:rPr>
                <w:lang w:val="es-419"/>
              </w:rPr>
            </w:pPr>
          </w:p>
        </w:tc>
      </w:tr>
    </w:tbl>
    <w:p w:rsidR="00DC3802" w:rsidRPr="00C373A4" w:rsidRDefault="00DC3802" w:rsidP="00DC3802">
      <w:pPr>
        <w:rPr>
          <w:lang w:val="es-419"/>
        </w:rPr>
      </w:pPr>
    </w:p>
    <w:p w:rsidR="00DA4973" w:rsidRPr="00C373A4"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373A4" w:rsidTr="00EB4E9C">
        <w:tc>
          <w:tcPr>
            <w:tcW w:w="6512" w:type="dxa"/>
          </w:tcPr>
          <w:p w:rsidR="00EB4E9C" w:rsidRPr="00C373A4" w:rsidRDefault="002E5944" w:rsidP="00AC2883">
            <w:pPr>
              <w:pStyle w:val="Sessiontc"/>
              <w:spacing w:line="240" w:lineRule="auto"/>
              <w:rPr>
                <w:lang w:val="es-419"/>
              </w:rPr>
            </w:pPr>
            <w:r w:rsidRPr="00C373A4">
              <w:rPr>
                <w:lang w:val="es-419"/>
              </w:rPr>
              <w:t xml:space="preserve">Comité </w:t>
            </w:r>
            <w:r w:rsidR="00752334" w:rsidRPr="00C373A4">
              <w:rPr>
                <w:lang w:val="es-419"/>
              </w:rPr>
              <w:t>Administrativo y Jurídico</w:t>
            </w:r>
          </w:p>
          <w:p w:rsidR="00EB4E9C" w:rsidRPr="00C373A4" w:rsidRDefault="00943983" w:rsidP="008C6250">
            <w:pPr>
              <w:pStyle w:val="Sessiontcplacedate"/>
              <w:rPr>
                <w:dstrike/>
                <w:sz w:val="22"/>
                <w:lang w:val="es-419"/>
              </w:rPr>
            </w:pPr>
            <w:r w:rsidRPr="00C373A4">
              <w:rPr>
                <w:lang w:val="es-419"/>
              </w:rPr>
              <w:t xml:space="preserve">Septuagésima </w:t>
            </w:r>
            <w:r w:rsidR="008C6250" w:rsidRPr="00C373A4">
              <w:rPr>
                <w:lang w:val="es-419"/>
              </w:rPr>
              <w:t>sex</w:t>
            </w:r>
            <w:r w:rsidR="00404329" w:rsidRPr="00C373A4">
              <w:rPr>
                <w:lang w:val="es-419"/>
              </w:rPr>
              <w:t>ta</w:t>
            </w:r>
            <w:r w:rsidR="002E5944" w:rsidRPr="00C373A4">
              <w:rPr>
                <w:lang w:val="es-419"/>
              </w:rPr>
              <w:t xml:space="preserve"> sesión</w:t>
            </w:r>
            <w:r w:rsidR="00EB4E9C" w:rsidRPr="00C373A4">
              <w:rPr>
                <w:lang w:val="es-419"/>
              </w:rPr>
              <w:br/>
            </w:r>
            <w:r w:rsidR="002E5944" w:rsidRPr="00C373A4">
              <w:rPr>
                <w:lang w:val="es-419"/>
              </w:rPr>
              <w:t>Ginebra</w:t>
            </w:r>
            <w:r w:rsidR="00EB4E9C" w:rsidRPr="00C373A4">
              <w:rPr>
                <w:lang w:val="es-419"/>
              </w:rPr>
              <w:t xml:space="preserve">, </w:t>
            </w:r>
            <w:r w:rsidR="00404329" w:rsidRPr="00C373A4">
              <w:rPr>
                <w:lang w:val="es-419"/>
              </w:rPr>
              <w:t>3</w:t>
            </w:r>
            <w:r w:rsidR="008C6250" w:rsidRPr="00C373A4">
              <w:rPr>
                <w:lang w:val="es-419"/>
              </w:rPr>
              <w:t>0</w:t>
            </w:r>
            <w:r w:rsidR="00A706D3" w:rsidRPr="00C373A4">
              <w:rPr>
                <w:lang w:val="es-419"/>
              </w:rPr>
              <w:t xml:space="preserve"> </w:t>
            </w:r>
            <w:r w:rsidR="002E5944" w:rsidRPr="00C373A4">
              <w:rPr>
                <w:lang w:val="es-419"/>
              </w:rPr>
              <w:t xml:space="preserve">de </w:t>
            </w:r>
            <w:r w:rsidR="00752334" w:rsidRPr="00C373A4">
              <w:rPr>
                <w:lang w:val="es-419"/>
              </w:rPr>
              <w:t xml:space="preserve">octubre </w:t>
            </w:r>
            <w:r w:rsidR="002E5944" w:rsidRPr="00C373A4">
              <w:rPr>
                <w:lang w:val="es-419"/>
              </w:rPr>
              <w:t>de</w:t>
            </w:r>
            <w:r w:rsidR="00A706D3" w:rsidRPr="00C373A4">
              <w:rPr>
                <w:lang w:val="es-419"/>
              </w:rPr>
              <w:t xml:space="preserve"> </w:t>
            </w:r>
            <w:r w:rsidR="008C6250" w:rsidRPr="00C373A4">
              <w:rPr>
                <w:lang w:val="es-419"/>
              </w:rPr>
              <w:t>2019</w:t>
            </w:r>
          </w:p>
        </w:tc>
        <w:tc>
          <w:tcPr>
            <w:tcW w:w="3127" w:type="dxa"/>
          </w:tcPr>
          <w:p w:rsidR="00EB4E9C" w:rsidRPr="00C373A4" w:rsidRDefault="008C6250" w:rsidP="003C7FBE">
            <w:pPr>
              <w:pStyle w:val="Doccode"/>
              <w:rPr>
                <w:lang w:val="es-419"/>
              </w:rPr>
            </w:pPr>
            <w:r w:rsidRPr="00C373A4">
              <w:rPr>
                <w:lang w:val="es-419"/>
              </w:rPr>
              <w:t>CAJ/76</w:t>
            </w:r>
            <w:r w:rsidR="00EB4E9C" w:rsidRPr="00C373A4">
              <w:rPr>
                <w:lang w:val="es-419"/>
              </w:rPr>
              <w:t>/</w:t>
            </w:r>
            <w:r w:rsidR="00513E8F">
              <w:rPr>
                <w:lang w:val="es-419"/>
              </w:rPr>
              <w:t>4</w:t>
            </w:r>
          </w:p>
          <w:p w:rsidR="00EB4E9C" w:rsidRPr="00C373A4" w:rsidRDefault="00EB4E9C" w:rsidP="003C7FBE">
            <w:pPr>
              <w:pStyle w:val="Docoriginal"/>
              <w:rPr>
                <w:lang w:val="es-419"/>
              </w:rPr>
            </w:pPr>
            <w:r w:rsidRPr="00C373A4">
              <w:rPr>
                <w:lang w:val="es-419"/>
              </w:rPr>
              <w:t>Original:</w:t>
            </w:r>
            <w:r w:rsidR="006567B5" w:rsidRPr="00C373A4">
              <w:rPr>
                <w:b w:val="0"/>
                <w:spacing w:val="0"/>
                <w:lang w:val="es-419"/>
              </w:rPr>
              <w:t xml:space="preserve"> </w:t>
            </w:r>
            <w:r w:rsidR="002E5944" w:rsidRPr="00C373A4">
              <w:rPr>
                <w:b w:val="0"/>
                <w:spacing w:val="0"/>
                <w:lang w:val="es-419"/>
              </w:rPr>
              <w:t>Inglés</w:t>
            </w:r>
          </w:p>
          <w:p w:rsidR="00EB4E9C" w:rsidRPr="00C373A4" w:rsidRDefault="002E5944" w:rsidP="00613224">
            <w:pPr>
              <w:pStyle w:val="Docoriginal"/>
              <w:rPr>
                <w:lang w:val="es-419"/>
              </w:rPr>
            </w:pPr>
            <w:r w:rsidRPr="00C373A4">
              <w:rPr>
                <w:lang w:val="es-419"/>
              </w:rPr>
              <w:t>Fecha</w:t>
            </w:r>
            <w:r w:rsidR="00EB4E9C" w:rsidRPr="00C373A4">
              <w:rPr>
                <w:lang w:val="es-419"/>
              </w:rPr>
              <w:t>:</w:t>
            </w:r>
            <w:r w:rsidR="006567B5" w:rsidRPr="00C373A4">
              <w:rPr>
                <w:b w:val="0"/>
                <w:spacing w:val="0"/>
                <w:lang w:val="es-419"/>
              </w:rPr>
              <w:t xml:space="preserve"> </w:t>
            </w:r>
            <w:r w:rsidR="00613224" w:rsidRPr="0033296F">
              <w:rPr>
                <w:b w:val="0"/>
                <w:spacing w:val="0"/>
                <w:lang w:val="es-419"/>
              </w:rPr>
              <w:t>23 de julio</w:t>
            </w:r>
            <w:r w:rsidR="00EB4E9C" w:rsidRPr="0033296F">
              <w:rPr>
                <w:b w:val="0"/>
                <w:spacing w:val="0"/>
                <w:lang w:val="es-419"/>
              </w:rPr>
              <w:t xml:space="preserve"> </w:t>
            </w:r>
            <w:r w:rsidRPr="0033296F">
              <w:rPr>
                <w:b w:val="0"/>
                <w:spacing w:val="0"/>
                <w:lang w:val="es-419"/>
              </w:rPr>
              <w:t xml:space="preserve">de </w:t>
            </w:r>
            <w:r w:rsidR="00EB4E9C" w:rsidRPr="0033296F">
              <w:rPr>
                <w:b w:val="0"/>
                <w:spacing w:val="0"/>
                <w:lang w:val="es-419"/>
              </w:rPr>
              <w:t>201</w:t>
            </w:r>
            <w:r w:rsidR="008C6250" w:rsidRPr="0033296F">
              <w:rPr>
                <w:b w:val="0"/>
                <w:spacing w:val="0"/>
                <w:lang w:val="es-419"/>
              </w:rPr>
              <w:t>9</w:t>
            </w:r>
          </w:p>
        </w:tc>
      </w:tr>
    </w:tbl>
    <w:p w:rsidR="00815C66" w:rsidRPr="00C373A4" w:rsidRDefault="00F81C35" w:rsidP="00727FFC">
      <w:pPr>
        <w:pStyle w:val="Titleofdoc0"/>
        <w:rPr>
          <w:lang w:val="es-419"/>
        </w:rPr>
      </w:pPr>
      <w:bookmarkStart w:id="0" w:name="TitleOfDoc"/>
      <w:bookmarkStart w:id="1" w:name="Prepared"/>
      <w:bookmarkEnd w:id="0"/>
      <w:bookmarkEnd w:id="1"/>
      <w:r w:rsidRPr="00C373A4">
        <w:rPr>
          <w:lang w:val="es-419"/>
        </w:rPr>
        <w:t>ELABORACIÓN DE MATERIAL DE INFORMACIÓN SOBRE EL CONVENIO DE LA UPOV</w:t>
      </w:r>
    </w:p>
    <w:p w:rsidR="006A644A" w:rsidRPr="00C373A4" w:rsidRDefault="000638A9" w:rsidP="006A644A">
      <w:pPr>
        <w:pStyle w:val="preparedby1"/>
        <w:jc w:val="left"/>
        <w:rPr>
          <w:lang w:val="es-419"/>
        </w:rPr>
      </w:pPr>
      <w:r w:rsidRPr="00C373A4">
        <w:rPr>
          <w:lang w:val="es-419"/>
        </w:rPr>
        <w:t>Documento preparado por la Oficina de la Unión</w:t>
      </w:r>
    </w:p>
    <w:p w:rsidR="00050E16" w:rsidRPr="00C373A4" w:rsidRDefault="000638A9" w:rsidP="006A644A">
      <w:pPr>
        <w:pStyle w:val="Disclaimer"/>
        <w:rPr>
          <w:lang w:val="es-419"/>
        </w:rPr>
      </w:pPr>
      <w:r w:rsidRPr="00C373A4">
        <w:rPr>
          <w:lang w:val="es-419"/>
        </w:rPr>
        <w:t>Descargo de responsabilidad: el presente documento no constituye un documento de política u orientación de la UPOV</w:t>
      </w:r>
    </w:p>
    <w:p w:rsidR="00815C66" w:rsidRPr="00C373A4" w:rsidRDefault="00F81C35" w:rsidP="00815C66">
      <w:pPr>
        <w:pStyle w:val="Heading1"/>
        <w:rPr>
          <w:snapToGrid w:val="0"/>
          <w:lang w:val="es-419"/>
        </w:rPr>
      </w:pPr>
      <w:bookmarkStart w:id="2" w:name="_Toc15394174"/>
      <w:r w:rsidRPr="00C373A4">
        <w:rPr>
          <w:snapToGrid w:val="0"/>
          <w:lang w:val="es-419"/>
        </w:rPr>
        <w:t>RESUMEN</w:t>
      </w:r>
      <w:bookmarkEnd w:id="2"/>
    </w:p>
    <w:p w:rsidR="00815C66" w:rsidRPr="00C373A4" w:rsidRDefault="00815C66" w:rsidP="00815C66">
      <w:pPr>
        <w:rPr>
          <w:snapToGrid w:val="0"/>
          <w:lang w:val="es-419"/>
        </w:rPr>
      </w:pPr>
    </w:p>
    <w:p w:rsidR="00815C66" w:rsidRPr="00C373A4" w:rsidRDefault="0073767E" w:rsidP="00815C66">
      <w:pPr>
        <w:rPr>
          <w:lang w:val="es-419"/>
        </w:rPr>
      </w:pPr>
      <w:r w:rsidRPr="00CD4752">
        <w:rPr>
          <w:spacing w:val="-4"/>
          <w:lang w:val="es-419"/>
        </w:rPr>
        <w:fldChar w:fldCharType="begin"/>
      </w:r>
      <w:r w:rsidR="00815C66" w:rsidRPr="00CD4752">
        <w:rPr>
          <w:spacing w:val="-4"/>
          <w:lang w:val="es-419"/>
        </w:rPr>
        <w:instrText xml:space="preserve"> AUTONUM  </w:instrText>
      </w:r>
      <w:r w:rsidRPr="00CD4752">
        <w:rPr>
          <w:spacing w:val="-4"/>
          <w:lang w:val="es-419"/>
        </w:rPr>
        <w:fldChar w:fldCharType="end"/>
      </w:r>
      <w:r w:rsidR="00815C66" w:rsidRPr="00CD4752">
        <w:rPr>
          <w:spacing w:val="-4"/>
          <w:lang w:val="es-419"/>
        </w:rPr>
        <w:tab/>
      </w:r>
      <w:r w:rsidR="00F81C35" w:rsidRPr="00CD4752">
        <w:rPr>
          <w:spacing w:val="-4"/>
          <w:lang w:val="es-419"/>
        </w:rPr>
        <w:t>El presente documento tiene por objeto facilitar antecedentes para asistir al Comité Administrativo y Jurídico</w:t>
      </w:r>
      <w:r w:rsidR="00F81C35" w:rsidRPr="00C373A4">
        <w:rPr>
          <w:lang w:val="es-419"/>
        </w:rPr>
        <w:t xml:space="preserve"> </w:t>
      </w:r>
      <w:r w:rsidR="00F81C35" w:rsidRPr="00DE5223">
        <w:rPr>
          <w:spacing w:val="-2"/>
          <w:lang w:val="es-419"/>
        </w:rPr>
        <w:t xml:space="preserve">(CAJ) en el examen de las cuestiones pertinentes </w:t>
      </w:r>
      <w:r w:rsidR="00727FFC" w:rsidRPr="00DE5223">
        <w:rPr>
          <w:spacing w:val="-2"/>
          <w:lang w:val="es-419"/>
        </w:rPr>
        <w:t xml:space="preserve">respecto </w:t>
      </w:r>
      <w:r w:rsidR="00F05024" w:rsidRPr="00DE5223">
        <w:rPr>
          <w:spacing w:val="-2"/>
          <w:lang w:val="es-419"/>
        </w:rPr>
        <w:t>de</w:t>
      </w:r>
      <w:r w:rsidR="00F81C35" w:rsidRPr="00DE5223">
        <w:rPr>
          <w:spacing w:val="-2"/>
          <w:lang w:val="es-419"/>
        </w:rPr>
        <w:t xml:space="preserve"> la elaboración de material de información.</w:t>
      </w:r>
    </w:p>
    <w:p w:rsidR="00815C66" w:rsidRPr="00C373A4" w:rsidRDefault="00815C66" w:rsidP="00815C66">
      <w:pPr>
        <w:rPr>
          <w:lang w:val="es-419"/>
        </w:rPr>
      </w:pPr>
    </w:p>
    <w:p w:rsidR="00815C66" w:rsidRPr="00C373A4" w:rsidRDefault="0073767E" w:rsidP="00815C66">
      <w:pPr>
        <w:keepNext/>
        <w:rPr>
          <w:u w:val="single"/>
          <w:lang w:val="es-419"/>
        </w:rPr>
      </w:pPr>
      <w:r w:rsidRPr="00C373A4">
        <w:rPr>
          <w:lang w:val="es-419"/>
        </w:rPr>
        <w:fldChar w:fldCharType="begin"/>
      </w:r>
      <w:r w:rsidR="00815C66" w:rsidRPr="00C373A4">
        <w:rPr>
          <w:lang w:val="es-419"/>
        </w:rPr>
        <w:instrText xml:space="preserve"> AUTONUM  </w:instrText>
      </w:r>
      <w:r w:rsidRPr="00C373A4">
        <w:rPr>
          <w:lang w:val="es-419"/>
        </w:rPr>
        <w:fldChar w:fldCharType="end"/>
      </w:r>
      <w:r w:rsidR="00815C66" w:rsidRPr="00C373A4">
        <w:rPr>
          <w:lang w:val="es-419"/>
        </w:rPr>
        <w:tab/>
      </w:r>
      <w:r w:rsidR="00F05024" w:rsidRPr="00C373A4">
        <w:rPr>
          <w:lang w:val="es-419"/>
        </w:rPr>
        <w:t>Se invita al CAJ a:</w:t>
      </w:r>
    </w:p>
    <w:p w:rsidR="00815C66" w:rsidRPr="00C373A4" w:rsidRDefault="00815C66" w:rsidP="00815C66">
      <w:pPr>
        <w:rPr>
          <w:lang w:val="es-419"/>
        </w:rPr>
      </w:pPr>
    </w:p>
    <w:p w:rsidR="00815C66" w:rsidRPr="00C373A4" w:rsidRDefault="00815C66" w:rsidP="00815C66">
      <w:pPr>
        <w:rPr>
          <w:lang w:val="es-419"/>
        </w:rPr>
      </w:pPr>
      <w:r w:rsidRPr="00C373A4">
        <w:rPr>
          <w:lang w:val="es-419"/>
        </w:rPr>
        <w:tab/>
      </w:r>
      <w:r w:rsidR="00F05024" w:rsidRPr="00C373A4">
        <w:rPr>
          <w:lang w:val="es-419"/>
        </w:rPr>
        <w:t>a)</w:t>
      </w:r>
      <w:r w:rsidRPr="00C373A4">
        <w:rPr>
          <w:lang w:val="es-419"/>
        </w:rPr>
        <w:tab/>
      </w:r>
      <w:r w:rsidR="00F05024" w:rsidRPr="00C373A4">
        <w:rPr>
          <w:lang w:val="es-419"/>
        </w:rPr>
        <w:t>tomar nota de que las cuestiones relativas a las variedades esencialmente derivadas se examinan en el documento CAJ/76/3;</w:t>
      </w:r>
      <w:r w:rsidRPr="00C373A4">
        <w:rPr>
          <w:lang w:val="es-419"/>
        </w:rPr>
        <w:t xml:space="preserve"> </w:t>
      </w:r>
    </w:p>
    <w:p w:rsidR="00815C66" w:rsidRPr="00C373A4" w:rsidRDefault="00815C66" w:rsidP="00815C66">
      <w:pPr>
        <w:rPr>
          <w:lang w:val="es-419"/>
        </w:rPr>
      </w:pPr>
    </w:p>
    <w:p w:rsidR="00815C66" w:rsidRPr="00C373A4" w:rsidRDefault="00815C66" w:rsidP="00815C66">
      <w:pPr>
        <w:rPr>
          <w:lang w:val="es-419"/>
        </w:rPr>
      </w:pPr>
      <w:r w:rsidRPr="00C373A4">
        <w:rPr>
          <w:lang w:val="es-419"/>
        </w:rPr>
        <w:tab/>
      </w:r>
      <w:r w:rsidR="00F05024" w:rsidRPr="00C373A4">
        <w:rPr>
          <w:lang w:val="es-419"/>
        </w:rPr>
        <w:t>b)</w:t>
      </w:r>
      <w:r w:rsidRPr="00C373A4">
        <w:rPr>
          <w:lang w:val="es-419"/>
        </w:rPr>
        <w:tab/>
      </w:r>
      <w:r w:rsidR="00F05024" w:rsidRPr="00C373A4">
        <w:rPr>
          <w:lang w:val="es-419"/>
        </w:rPr>
        <w:t>tomar nota de que las cuestiones relativas a las denominaciones de variedades se examinan en el documento CAJ/76/6</w:t>
      </w:r>
      <w:r w:rsidR="0041520B" w:rsidRPr="00C373A4">
        <w:rPr>
          <w:lang w:val="es-419"/>
        </w:rPr>
        <w:t xml:space="preserve"> “Denominaciones de variedades”; y</w:t>
      </w:r>
    </w:p>
    <w:p w:rsidR="00815C66" w:rsidRPr="00C373A4" w:rsidRDefault="00815C66" w:rsidP="00815C66">
      <w:pPr>
        <w:rPr>
          <w:lang w:val="es-419"/>
        </w:rPr>
      </w:pPr>
    </w:p>
    <w:p w:rsidR="00815C66" w:rsidRPr="00C373A4" w:rsidRDefault="00815C66" w:rsidP="00815C66">
      <w:pPr>
        <w:rPr>
          <w:lang w:val="es-419"/>
        </w:rPr>
      </w:pPr>
      <w:r w:rsidRPr="00C373A4">
        <w:rPr>
          <w:lang w:val="es-419"/>
        </w:rPr>
        <w:tab/>
      </w:r>
      <w:r w:rsidR="0041520B" w:rsidRPr="00C373A4">
        <w:rPr>
          <w:lang w:val="es-419"/>
        </w:rPr>
        <w:t>c)</w:t>
      </w:r>
      <w:r w:rsidRPr="00C373A4">
        <w:rPr>
          <w:lang w:val="es-419"/>
        </w:rPr>
        <w:tab/>
      </w:r>
      <w:r w:rsidR="0041520B" w:rsidRPr="00C373A4">
        <w:rPr>
          <w:lang w:val="es-419"/>
        </w:rPr>
        <w:t>examinar el programa para la elaboración de material de información.</w:t>
      </w:r>
    </w:p>
    <w:p w:rsidR="00815C66" w:rsidRPr="00C373A4" w:rsidRDefault="00815C66" w:rsidP="00815C66">
      <w:pPr>
        <w:jc w:val="left"/>
        <w:rPr>
          <w:rFonts w:cs="Arial"/>
          <w:lang w:val="es-419"/>
        </w:rPr>
      </w:pPr>
    </w:p>
    <w:p w:rsidR="00815C66" w:rsidRPr="00C373A4" w:rsidRDefault="00815C66" w:rsidP="00815C66">
      <w:pPr>
        <w:jc w:val="left"/>
        <w:rPr>
          <w:rFonts w:cs="Arial"/>
          <w:lang w:val="es-419"/>
        </w:rPr>
      </w:pPr>
    </w:p>
    <w:p w:rsidR="00815C66" w:rsidRPr="00C373A4" w:rsidRDefault="0041520B" w:rsidP="00815C66">
      <w:pPr>
        <w:keepNext/>
        <w:rPr>
          <w:u w:val="single"/>
          <w:lang w:val="es-419"/>
        </w:rPr>
      </w:pPr>
      <w:r w:rsidRPr="00C373A4">
        <w:rPr>
          <w:u w:val="single"/>
          <w:lang w:val="es-419"/>
        </w:rPr>
        <w:t>Índice</w:t>
      </w:r>
    </w:p>
    <w:p w:rsidR="00815C66" w:rsidRPr="00C373A4" w:rsidRDefault="00815C66" w:rsidP="00815C66">
      <w:pPr>
        <w:keepNext/>
        <w:rPr>
          <w:lang w:val="es-419"/>
        </w:rPr>
      </w:pPr>
    </w:p>
    <w:p w:rsidR="006B63B4" w:rsidRPr="006B63B4" w:rsidRDefault="0073767E">
      <w:pPr>
        <w:pStyle w:val="TOC1"/>
        <w:rPr>
          <w:rFonts w:asciiTheme="minorHAnsi" w:eastAsiaTheme="minorEastAsia" w:hAnsiTheme="minorHAnsi" w:cstheme="minorBidi"/>
          <w:caps w:val="0"/>
          <w:noProof/>
          <w:sz w:val="22"/>
          <w:szCs w:val="22"/>
          <w:lang w:val="es-ES_tradnl"/>
        </w:rPr>
      </w:pPr>
      <w:r w:rsidRPr="00C373A4">
        <w:rPr>
          <w:rFonts w:eastAsia="Arial Unicode MS"/>
          <w:b/>
          <w:bCs/>
          <w:noProof/>
        </w:rPr>
        <w:fldChar w:fldCharType="begin"/>
      </w:r>
      <w:r w:rsidR="00815C66" w:rsidRPr="006B63B4">
        <w:rPr>
          <w:rFonts w:eastAsia="Arial Unicode MS"/>
          <w:b/>
          <w:lang w:val="es-ES_tradnl"/>
        </w:rPr>
        <w:instrText xml:space="preserve"> TOC \"Heading 1;1" </w:instrText>
      </w:r>
      <w:r w:rsidRPr="00C373A4">
        <w:rPr>
          <w:rFonts w:eastAsia="Arial Unicode MS"/>
          <w:b/>
          <w:bCs/>
          <w:noProof/>
        </w:rPr>
        <w:fldChar w:fldCharType="separate"/>
      </w:r>
      <w:r w:rsidR="006B63B4" w:rsidRPr="008E78EB">
        <w:rPr>
          <w:noProof/>
          <w:snapToGrid w:val="0"/>
          <w:lang w:val="es-419"/>
        </w:rPr>
        <w:t>RESUMEN</w:t>
      </w:r>
      <w:r w:rsidR="006B63B4" w:rsidRPr="006B63B4">
        <w:rPr>
          <w:noProof/>
          <w:lang w:val="es-ES_tradnl"/>
        </w:rPr>
        <w:tab/>
      </w:r>
      <w:r w:rsidR="006B63B4">
        <w:rPr>
          <w:noProof/>
        </w:rPr>
        <w:fldChar w:fldCharType="begin"/>
      </w:r>
      <w:r w:rsidR="006B63B4" w:rsidRPr="006B63B4">
        <w:rPr>
          <w:noProof/>
          <w:lang w:val="es-ES_tradnl"/>
        </w:rPr>
        <w:instrText xml:space="preserve"> PAGEREF _Toc15394174 \h </w:instrText>
      </w:r>
      <w:r w:rsidR="006B63B4">
        <w:rPr>
          <w:noProof/>
        </w:rPr>
      </w:r>
      <w:r w:rsidR="006B63B4">
        <w:rPr>
          <w:noProof/>
        </w:rPr>
        <w:fldChar w:fldCharType="separate"/>
      </w:r>
      <w:r w:rsidR="00EF7EE5">
        <w:rPr>
          <w:noProof/>
          <w:lang w:val="es-ES_tradnl"/>
        </w:rPr>
        <w:t>1</w:t>
      </w:r>
      <w:r w:rsidR="006B63B4">
        <w:rPr>
          <w:noProof/>
        </w:rPr>
        <w:fldChar w:fldCharType="end"/>
      </w:r>
    </w:p>
    <w:p w:rsidR="006B63B4" w:rsidRPr="006B63B4" w:rsidRDefault="006B63B4">
      <w:pPr>
        <w:pStyle w:val="TOC1"/>
        <w:rPr>
          <w:rFonts w:asciiTheme="minorHAnsi" w:eastAsiaTheme="minorEastAsia" w:hAnsiTheme="minorHAnsi" w:cstheme="minorBidi"/>
          <w:caps w:val="0"/>
          <w:noProof/>
          <w:sz w:val="22"/>
          <w:szCs w:val="22"/>
          <w:lang w:val="es-ES_tradnl"/>
        </w:rPr>
      </w:pPr>
      <w:r w:rsidRPr="008E78EB">
        <w:rPr>
          <w:noProof/>
          <w:lang w:val="es-419"/>
        </w:rPr>
        <w:t>INTRODUCCIÓN</w:t>
      </w:r>
      <w:r w:rsidRPr="006B63B4">
        <w:rPr>
          <w:noProof/>
          <w:lang w:val="es-ES_tradnl"/>
        </w:rPr>
        <w:tab/>
      </w:r>
      <w:r>
        <w:rPr>
          <w:noProof/>
        </w:rPr>
        <w:fldChar w:fldCharType="begin"/>
      </w:r>
      <w:r w:rsidRPr="006B63B4">
        <w:rPr>
          <w:noProof/>
          <w:lang w:val="es-ES_tradnl"/>
        </w:rPr>
        <w:instrText xml:space="preserve"> PAGEREF _Toc15394175 \h </w:instrText>
      </w:r>
      <w:r>
        <w:rPr>
          <w:noProof/>
        </w:rPr>
      </w:r>
      <w:r>
        <w:rPr>
          <w:noProof/>
        </w:rPr>
        <w:fldChar w:fldCharType="separate"/>
      </w:r>
      <w:r w:rsidR="00EF7EE5">
        <w:rPr>
          <w:noProof/>
          <w:lang w:val="es-ES_tradnl"/>
        </w:rPr>
        <w:t>2</w:t>
      </w:r>
      <w:r>
        <w:rPr>
          <w:noProof/>
        </w:rPr>
        <w:fldChar w:fldCharType="end"/>
      </w:r>
    </w:p>
    <w:p w:rsidR="006B63B4" w:rsidRPr="006B63B4" w:rsidRDefault="006B63B4">
      <w:pPr>
        <w:pStyle w:val="TOC1"/>
        <w:rPr>
          <w:rFonts w:asciiTheme="minorHAnsi" w:eastAsiaTheme="minorEastAsia" w:hAnsiTheme="minorHAnsi" w:cstheme="minorBidi"/>
          <w:caps w:val="0"/>
          <w:noProof/>
          <w:sz w:val="22"/>
          <w:szCs w:val="22"/>
          <w:lang w:val="es-ES_tradnl"/>
        </w:rPr>
      </w:pPr>
      <w:r w:rsidRPr="008E78EB">
        <w:rPr>
          <w:rFonts w:cs="Arial"/>
          <w:noProof/>
          <w:lang w:val="es-419"/>
        </w:rPr>
        <w:t>CUADRO PANORÁMICO DEL PROCESO DE ELABORACIÓN DE MATERIAL DE INFORMACIÓN</w:t>
      </w:r>
      <w:r w:rsidRPr="006B63B4">
        <w:rPr>
          <w:noProof/>
          <w:lang w:val="es-ES_tradnl"/>
        </w:rPr>
        <w:tab/>
      </w:r>
      <w:r>
        <w:rPr>
          <w:noProof/>
        </w:rPr>
        <w:fldChar w:fldCharType="begin"/>
      </w:r>
      <w:r w:rsidRPr="006B63B4">
        <w:rPr>
          <w:noProof/>
          <w:lang w:val="es-ES_tradnl"/>
        </w:rPr>
        <w:instrText xml:space="preserve"> PAGEREF _Toc15394176 \h </w:instrText>
      </w:r>
      <w:r>
        <w:rPr>
          <w:noProof/>
        </w:rPr>
      </w:r>
      <w:r>
        <w:rPr>
          <w:noProof/>
        </w:rPr>
        <w:fldChar w:fldCharType="separate"/>
      </w:r>
      <w:r w:rsidR="00EF7EE5">
        <w:rPr>
          <w:noProof/>
          <w:lang w:val="es-ES_tradnl"/>
        </w:rPr>
        <w:t>2</w:t>
      </w:r>
      <w:r>
        <w:rPr>
          <w:noProof/>
        </w:rPr>
        <w:fldChar w:fldCharType="end"/>
      </w:r>
    </w:p>
    <w:p w:rsidR="006B63B4" w:rsidRPr="006B63B4" w:rsidRDefault="006B63B4">
      <w:pPr>
        <w:pStyle w:val="TOC1"/>
        <w:rPr>
          <w:rFonts w:asciiTheme="minorHAnsi" w:eastAsiaTheme="minorEastAsia" w:hAnsiTheme="minorHAnsi" w:cstheme="minorBidi"/>
          <w:caps w:val="0"/>
          <w:noProof/>
          <w:sz w:val="22"/>
          <w:szCs w:val="22"/>
          <w:lang w:val="es-ES_tradnl"/>
        </w:rPr>
      </w:pPr>
      <w:r w:rsidRPr="008E78EB">
        <w:rPr>
          <w:rFonts w:cs="Arial"/>
          <w:noProof/>
          <w:lang w:val="es-419"/>
        </w:rPr>
        <w:t>MATERIAL DE INFORMACIÓN</w:t>
      </w:r>
      <w:r w:rsidRPr="006B63B4">
        <w:rPr>
          <w:noProof/>
          <w:lang w:val="es-ES_tradnl"/>
        </w:rPr>
        <w:tab/>
      </w:r>
      <w:r>
        <w:rPr>
          <w:noProof/>
        </w:rPr>
        <w:fldChar w:fldCharType="begin"/>
      </w:r>
      <w:r w:rsidRPr="006B63B4">
        <w:rPr>
          <w:noProof/>
          <w:lang w:val="es-ES_tradnl"/>
        </w:rPr>
        <w:instrText xml:space="preserve"> PAGEREF _Toc15394177 \h </w:instrText>
      </w:r>
      <w:r>
        <w:rPr>
          <w:noProof/>
        </w:rPr>
      </w:r>
      <w:r>
        <w:rPr>
          <w:noProof/>
        </w:rPr>
        <w:fldChar w:fldCharType="separate"/>
      </w:r>
      <w:r w:rsidR="00EF7EE5">
        <w:rPr>
          <w:noProof/>
          <w:lang w:val="es-ES_tradnl"/>
        </w:rPr>
        <w:t>2</w:t>
      </w:r>
      <w:r>
        <w:rPr>
          <w:noProof/>
        </w:rPr>
        <w:fldChar w:fldCharType="end"/>
      </w:r>
    </w:p>
    <w:p w:rsidR="006B63B4" w:rsidRPr="006B63B4" w:rsidRDefault="006B63B4" w:rsidP="000F0DD0">
      <w:pPr>
        <w:pStyle w:val="TOC2"/>
        <w:rPr>
          <w:rFonts w:asciiTheme="minorHAnsi" w:eastAsiaTheme="minorEastAsia" w:hAnsiTheme="minorHAnsi" w:cstheme="minorBidi"/>
          <w:noProof/>
          <w:sz w:val="22"/>
          <w:szCs w:val="22"/>
          <w:lang w:val="es-ES_tradnl"/>
        </w:rPr>
      </w:pPr>
      <w:r w:rsidRPr="000F0DD0">
        <w:rPr>
          <w:noProof/>
          <w:lang w:val="es-ES_tradnl"/>
        </w:rPr>
        <w:t>Variedades esencialmente derivadas</w:t>
      </w:r>
      <w:r w:rsidRPr="006B63B4">
        <w:rPr>
          <w:noProof/>
          <w:lang w:val="es-ES_tradnl"/>
        </w:rPr>
        <w:tab/>
      </w:r>
      <w:r>
        <w:rPr>
          <w:noProof/>
        </w:rPr>
        <w:fldChar w:fldCharType="begin"/>
      </w:r>
      <w:r w:rsidRPr="006B63B4">
        <w:rPr>
          <w:noProof/>
          <w:lang w:val="es-ES_tradnl"/>
        </w:rPr>
        <w:instrText xml:space="preserve"> PAGEREF _Toc15394178 \h </w:instrText>
      </w:r>
      <w:r>
        <w:rPr>
          <w:noProof/>
        </w:rPr>
      </w:r>
      <w:r>
        <w:rPr>
          <w:noProof/>
        </w:rPr>
        <w:fldChar w:fldCharType="separate"/>
      </w:r>
      <w:r w:rsidR="00EF7EE5">
        <w:rPr>
          <w:noProof/>
          <w:lang w:val="es-ES_tradnl"/>
        </w:rPr>
        <w:t>2</w:t>
      </w:r>
      <w:r>
        <w:rPr>
          <w:noProof/>
        </w:rPr>
        <w:fldChar w:fldCharType="end"/>
      </w:r>
    </w:p>
    <w:p w:rsidR="006B63B4" w:rsidRPr="006B63B4" w:rsidRDefault="006B63B4" w:rsidP="000F0DD0">
      <w:pPr>
        <w:pStyle w:val="TOC2"/>
        <w:rPr>
          <w:rFonts w:asciiTheme="minorHAnsi" w:eastAsiaTheme="minorEastAsia" w:hAnsiTheme="minorHAnsi" w:cstheme="minorBidi"/>
          <w:noProof/>
          <w:sz w:val="22"/>
          <w:szCs w:val="22"/>
          <w:lang w:val="es-ES_tradnl"/>
        </w:rPr>
      </w:pPr>
      <w:r w:rsidRPr="000F0DD0">
        <w:rPr>
          <w:noProof/>
          <w:lang w:val="es-ES_tradnl"/>
        </w:rPr>
        <w:t>Denominaciones de variedades</w:t>
      </w:r>
      <w:r w:rsidRPr="006B63B4">
        <w:rPr>
          <w:noProof/>
          <w:lang w:val="es-ES_tradnl"/>
        </w:rPr>
        <w:tab/>
      </w:r>
      <w:r>
        <w:rPr>
          <w:noProof/>
        </w:rPr>
        <w:fldChar w:fldCharType="begin"/>
      </w:r>
      <w:r w:rsidRPr="006B63B4">
        <w:rPr>
          <w:noProof/>
          <w:lang w:val="es-ES_tradnl"/>
        </w:rPr>
        <w:instrText xml:space="preserve"> PAGEREF _Toc15394179 \h </w:instrText>
      </w:r>
      <w:r>
        <w:rPr>
          <w:noProof/>
        </w:rPr>
      </w:r>
      <w:r>
        <w:rPr>
          <w:noProof/>
        </w:rPr>
        <w:fldChar w:fldCharType="separate"/>
      </w:r>
      <w:r w:rsidR="00EF7EE5">
        <w:rPr>
          <w:noProof/>
          <w:lang w:val="es-ES_tradnl"/>
        </w:rPr>
        <w:t>2</w:t>
      </w:r>
      <w:r>
        <w:rPr>
          <w:noProof/>
        </w:rPr>
        <w:fldChar w:fldCharType="end"/>
      </w:r>
    </w:p>
    <w:p w:rsidR="006B63B4" w:rsidRPr="006B63B4" w:rsidRDefault="006B63B4">
      <w:pPr>
        <w:pStyle w:val="TOC1"/>
        <w:rPr>
          <w:rFonts w:asciiTheme="minorHAnsi" w:eastAsiaTheme="minorEastAsia" w:hAnsiTheme="minorHAnsi" w:cstheme="minorBidi"/>
          <w:caps w:val="0"/>
          <w:noProof/>
          <w:sz w:val="22"/>
          <w:szCs w:val="22"/>
          <w:lang w:val="es-ES_tradnl"/>
        </w:rPr>
      </w:pPr>
      <w:r w:rsidRPr="008E78EB">
        <w:rPr>
          <w:noProof/>
          <w:lang w:val="es-419"/>
        </w:rPr>
        <w:t>PROGRAMA PROVISIONAL PARA LA ELABORACIÓN DE MATERIAL DE INFORMACIÓN</w:t>
      </w:r>
      <w:r w:rsidRPr="006B63B4">
        <w:rPr>
          <w:noProof/>
          <w:lang w:val="es-ES_tradnl"/>
        </w:rPr>
        <w:tab/>
      </w:r>
      <w:r>
        <w:rPr>
          <w:noProof/>
        </w:rPr>
        <w:fldChar w:fldCharType="begin"/>
      </w:r>
      <w:r w:rsidRPr="006B63B4">
        <w:rPr>
          <w:noProof/>
          <w:lang w:val="es-ES_tradnl"/>
        </w:rPr>
        <w:instrText xml:space="preserve"> PAGEREF _Toc15394180 \h </w:instrText>
      </w:r>
      <w:r>
        <w:rPr>
          <w:noProof/>
        </w:rPr>
      </w:r>
      <w:r>
        <w:rPr>
          <w:noProof/>
        </w:rPr>
        <w:fldChar w:fldCharType="separate"/>
      </w:r>
      <w:r w:rsidR="00EF7EE5">
        <w:rPr>
          <w:noProof/>
          <w:lang w:val="es-ES_tradnl"/>
        </w:rPr>
        <w:t>3</w:t>
      </w:r>
      <w:r>
        <w:rPr>
          <w:noProof/>
        </w:rPr>
        <w:fldChar w:fldCharType="end"/>
      </w:r>
    </w:p>
    <w:p w:rsidR="00815C66" w:rsidRPr="00C373A4" w:rsidRDefault="0073767E" w:rsidP="00727FFC">
      <w:pPr>
        <w:spacing w:after="120"/>
        <w:ind w:left="1134" w:right="1134" w:hanging="1134"/>
        <w:jc w:val="left"/>
        <w:rPr>
          <w:rFonts w:eastAsia="Arial Unicode MS"/>
          <w:lang w:val="es-419"/>
        </w:rPr>
      </w:pPr>
      <w:r w:rsidRPr="00C373A4">
        <w:rPr>
          <w:rFonts w:eastAsia="Arial Unicode MS" w:cs="Arial"/>
          <w:b/>
          <w:lang w:val="es-419"/>
        </w:rPr>
        <w:fldChar w:fldCharType="end"/>
      </w:r>
      <w:r w:rsidR="0041520B" w:rsidRPr="00C373A4">
        <w:rPr>
          <w:rFonts w:eastAsia="Arial Unicode MS"/>
          <w:lang w:val="es-419"/>
        </w:rPr>
        <w:t>ANEXO</w:t>
      </w:r>
      <w:r w:rsidR="00815C66" w:rsidRPr="00C373A4">
        <w:rPr>
          <w:rFonts w:eastAsia="Arial Unicode MS"/>
          <w:lang w:val="es-419"/>
        </w:rPr>
        <w:t xml:space="preserve"> </w:t>
      </w:r>
      <w:r w:rsidR="00815C66" w:rsidRPr="00C373A4">
        <w:rPr>
          <w:rFonts w:eastAsia="Arial Unicode MS"/>
          <w:lang w:val="es-419"/>
        </w:rPr>
        <w:tab/>
      </w:r>
      <w:r w:rsidR="0041520B" w:rsidRPr="00C373A4">
        <w:rPr>
          <w:rFonts w:eastAsia="Arial Unicode MS"/>
          <w:lang w:val="es-419"/>
        </w:rPr>
        <w:t>CUADRO PANORÁMICO DEL PROCESO DE ELABORACIÓN DE MATERIAL DE INFORMACIÓN</w:t>
      </w:r>
    </w:p>
    <w:p w:rsidR="00815C66" w:rsidRPr="00C373A4" w:rsidRDefault="00815C66" w:rsidP="00815C66">
      <w:pPr>
        <w:rPr>
          <w:lang w:val="es-419"/>
        </w:rPr>
      </w:pPr>
    </w:p>
    <w:p w:rsidR="00815C66" w:rsidRDefault="00815C66" w:rsidP="00815C66">
      <w:pPr>
        <w:rPr>
          <w:lang w:val="es-419"/>
        </w:rPr>
      </w:pPr>
    </w:p>
    <w:p w:rsidR="006A4A27" w:rsidRPr="00C373A4" w:rsidRDefault="006A4A27" w:rsidP="00815C66">
      <w:pPr>
        <w:rPr>
          <w:lang w:val="es-419"/>
        </w:rPr>
      </w:pPr>
    </w:p>
    <w:p w:rsidR="00815C66" w:rsidRPr="00C373A4" w:rsidRDefault="0041520B" w:rsidP="00976D7C">
      <w:pPr>
        <w:pStyle w:val="Heading1"/>
        <w:keepLines/>
        <w:rPr>
          <w:lang w:val="es-419"/>
        </w:rPr>
      </w:pPr>
      <w:bookmarkStart w:id="3" w:name="_Toc15394175"/>
      <w:r w:rsidRPr="00C373A4">
        <w:rPr>
          <w:lang w:val="es-419"/>
        </w:rPr>
        <w:lastRenderedPageBreak/>
        <w:t>INTRODUCCIÓN</w:t>
      </w:r>
      <w:bookmarkEnd w:id="3"/>
    </w:p>
    <w:p w:rsidR="00815C66" w:rsidRPr="000F0DD0" w:rsidRDefault="00815C66" w:rsidP="00976D7C">
      <w:pPr>
        <w:keepNext/>
        <w:keepLines/>
        <w:rPr>
          <w:sz w:val="18"/>
          <w:lang w:val="es-419"/>
        </w:rPr>
      </w:pPr>
    </w:p>
    <w:p w:rsidR="00815C66" w:rsidRPr="00C373A4" w:rsidRDefault="0073767E" w:rsidP="00976D7C">
      <w:pPr>
        <w:keepLines/>
        <w:autoSpaceDE w:val="0"/>
        <w:rPr>
          <w:rFonts w:cs="Arial"/>
          <w:lang w:val="es-419"/>
        </w:rPr>
      </w:pPr>
      <w:r w:rsidRPr="00C373A4">
        <w:rPr>
          <w:rFonts w:cs="Arial"/>
          <w:lang w:val="es-419"/>
        </w:rPr>
        <w:fldChar w:fldCharType="begin"/>
      </w:r>
      <w:r w:rsidR="00815C66" w:rsidRPr="00C373A4">
        <w:rPr>
          <w:rFonts w:cs="Arial"/>
          <w:lang w:val="es-419"/>
        </w:rPr>
        <w:instrText xml:space="preserve"> AUTONUM  </w:instrText>
      </w:r>
      <w:r w:rsidRPr="00C373A4">
        <w:rPr>
          <w:rFonts w:cs="Arial"/>
          <w:lang w:val="es-419"/>
        </w:rPr>
        <w:fldChar w:fldCharType="end"/>
      </w:r>
      <w:r w:rsidR="00815C66" w:rsidRPr="00C373A4">
        <w:rPr>
          <w:rFonts w:cs="Arial"/>
          <w:lang w:val="es-419"/>
        </w:rPr>
        <w:tab/>
      </w:r>
      <w:bookmarkStart w:id="4" w:name="_GoBack"/>
      <w:bookmarkEnd w:id="4"/>
      <w:r w:rsidR="006567B5" w:rsidRPr="00C373A4">
        <w:rPr>
          <w:rFonts w:cs="Arial"/>
          <w:lang w:val="es-419"/>
        </w:rPr>
        <w:t>En su quincuagésima segunda sesión,</w:t>
      </w:r>
      <w:r w:rsidR="006567B5" w:rsidRPr="00C373A4">
        <w:rPr>
          <w:rStyle w:val="FootnoteReference"/>
          <w:rFonts w:cs="Arial"/>
          <w:lang w:val="es-419"/>
        </w:rPr>
        <w:footnoteReference w:id="2"/>
      </w:r>
      <w:r w:rsidR="006567B5" w:rsidRPr="00C373A4">
        <w:rPr>
          <w:rFonts w:cs="Arial"/>
          <w:lang w:val="es-419"/>
        </w:rPr>
        <w:t xml:space="preserve"> el CAJ acordó un enfoque para la elaboración de material de información sobre el Convenio de la UPOV.</w:t>
      </w:r>
      <w:r w:rsidR="006567B5" w:rsidRPr="00C373A4">
        <w:rPr>
          <w:rStyle w:val="FootnoteReference"/>
          <w:rFonts w:cs="Arial"/>
          <w:lang w:val="es-419"/>
        </w:rPr>
        <w:footnoteReference w:id="3"/>
      </w:r>
      <w:r w:rsidR="006567B5" w:rsidRPr="00C373A4">
        <w:rPr>
          <w:rFonts w:cs="Arial"/>
          <w:lang w:val="es-419"/>
        </w:rPr>
        <w:t xml:space="preserve"> </w:t>
      </w:r>
      <w:r w:rsidR="008A79BF" w:rsidRPr="00C373A4">
        <w:rPr>
          <w:rFonts w:cs="Arial"/>
          <w:lang w:val="es-419"/>
        </w:rPr>
        <w:t>También convino en crear un grupo asesor que asista al CAJ (CAJ-AG) en la elaboración de los documentos relativos a dicho material.</w:t>
      </w:r>
      <w:r w:rsidR="008A79BF" w:rsidRPr="00C373A4">
        <w:rPr>
          <w:rStyle w:val="FootnoteReference"/>
          <w:rFonts w:cs="Arial"/>
          <w:lang w:val="es-419"/>
        </w:rPr>
        <w:footnoteReference w:id="4"/>
      </w:r>
      <w:r w:rsidR="006567B5" w:rsidRPr="00C373A4">
        <w:rPr>
          <w:rFonts w:cs="Arial"/>
          <w:lang w:val="es-419"/>
        </w:rPr>
        <w:t xml:space="preserve"> </w:t>
      </w:r>
      <w:r w:rsidR="008A79BF" w:rsidRPr="00C373A4">
        <w:rPr>
          <w:rFonts w:cs="Arial"/>
          <w:lang w:val="es-419"/>
        </w:rPr>
        <w:t>El enfoque acordado se resume a continuación:</w:t>
      </w:r>
      <w:r w:rsidR="006567B5" w:rsidRPr="00C373A4">
        <w:rPr>
          <w:rFonts w:cs="Arial"/>
          <w:lang w:val="es-419"/>
        </w:rPr>
        <w:t xml:space="preserve"> </w:t>
      </w:r>
      <w:r w:rsidR="008A79BF" w:rsidRPr="00C373A4">
        <w:rPr>
          <w:rFonts w:cs="Arial"/>
          <w:lang w:val="es-419"/>
        </w:rPr>
        <w:t>la Oficina de la Unión elaborará proyectos de material que considere que abarcan cuestiones suficientemente claras y los transmitirá al CAJ con miras a que este último formule observaciones dentro de un plazo específico.</w:t>
      </w:r>
      <w:r w:rsidR="006567B5" w:rsidRPr="00C373A4">
        <w:rPr>
          <w:rFonts w:cs="Arial"/>
          <w:lang w:val="es-419"/>
        </w:rPr>
        <w:t xml:space="preserve"> </w:t>
      </w:r>
      <w:r w:rsidR="00C6726B" w:rsidRPr="00C373A4">
        <w:rPr>
          <w:rFonts w:cs="Arial"/>
          <w:lang w:val="es-419"/>
        </w:rPr>
        <w:t>En otros casos, cuando se considere que se plantean cuestiones problemáticas y que sería importante debatirlas en las sesiones del CAJ a los fines de elaborar material adecuado al respecto, y también en los casos en que los proyectos de material que a simple vista no parecían plantear problemas susciten motivos de preocupación imprevistos al ser distribuidos para recabar observaciones, se convino en solicitar la asistencia del CAJ-AG antes de invitar al CAJ a examinar esas cuestiones en el marco de sus sesiones.</w:t>
      </w:r>
      <w:r w:rsidR="00815C66" w:rsidRPr="00C373A4">
        <w:rPr>
          <w:rFonts w:cs="Arial"/>
          <w:lang w:val="es-419"/>
        </w:rPr>
        <w:t xml:space="preserve"> </w:t>
      </w:r>
    </w:p>
    <w:p w:rsidR="00815C66" w:rsidRPr="000F0DD0" w:rsidRDefault="00815C66" w:rsidP="00815C66">
      <w:pPr>
        <w:rPr>
          <w:rFonts w:cs="Arial"/>
          <w:sz w:val="18"/>
          <w:lang w:val="es-419"/>
        </w:rPr>
      </w:pPr>
    </w:p>
    <w:p w:rsidR="00815C66" w:rsidRPr="00C373A4" w:rsidRDefault="0073767E" w:rsidP="00815C66">
      <w:pPr>
        <w:tabs>
          <w:tab w:val="left" w:pos="567"/>
        </w:tabs>
        <w:autoSpaceDE w:val="0"/>
        <w:rPr>
          <w:rFonts w:cs="Arial"/>
          <w:lang w:val="es-419"/>
        </w:rPr>
      </w:pPr>
      <w:r w:rsidRPr="00C373A4">
        <w:rPr>
          <w:rFonts w:cs="Arial"/>
          <w:lang w:val="es-419"/>
        </w:rPr>
        <w:fldChar w:fldCharType="begin"/>
      </w:r>
      <w:r w:rsidR="00815C66" w:rsidRPr="00C373A4">
        <w:rPr>
          <w:rFonts w:cs="Arial"/>
          <w:lang w:val="es-419"/>
        </w:rPr>
        <w:instrText xml:space="preserve"> AUTONUM  </w:instrText>
      </w:r>
      <w:r w:rsidRPr="00C373A4">
        <w:rPr>
          <w:rFonts w:cs="Arial"/>
          <w:lang w:val="es-419"/>
        </w:rPr>
        <w:fldChar w:fldCharType="end"/>
      </w:r>
      <w:r w:rsidR="00815C66" w:rsidRPr="00C373A4">
        <w:rPr>
          <w:rFonts w:cs="Arial"/>
          <w:lang w:val="es-419"/>
        </w:rPr>
        <w:tab/>
      </w:r>
      <w:r w:rsidR="000053AF" w:rsidRPr="00C373A4">
        <w:rPr>
          <w:rFonts w:cs="Arial"/>
          <w:lang w:val="es-419"/>
        </w:rPr>
        <w:t>El CAJ, en su septuagésima sesión,</w:t>
      </w:r>
      <w:r w:rsidR="000053AF" w:rsidRPr="00C373A4">
        <w:rPr>
          <w:rStyle w:val="FootnoteReference"/>
          <w:rFonts w:cs="Arial"/>
          <w:lang w:val="es-419"/>
        </w:rPr>
        <w:footnoteReference w:id="5"/>
      </w:r>
      <w:r w:rsidR="000053AF" w:rsidRPr="00C373A4">
        <w:rPr>
          <w:rFonts w:cs="Arial"/>
          <w:lang w:val="es-419"/>
        </w:rPr>
        <w:t xml:space="preserve"> acordó que todas las cuestiones sometidas a la consideración del CAJ-AG en su novena sesión</w:t>
      </w:r>
      <w:r w:rsidR="000053AF" w:rsidRPr="00C373A4">
        <w:rPr>
          <w:rStyle w:val="FootnoteReference"/>
          <w:rFonts w:cs="Arial"/>
          <w:lang w:val="es-419"/>
        </w:rPr>
        <w:footnoteReference w:id="6"/>
      </w:r>
      <w:r w:rsidR="000053AF" w:rsidRPr="00C373A4">
        <w:rPr>
          <w:rFonts w:cs="Arial"/>
          <w:lang w:val="es-419"/>
        </w:rPr>
        <w:t xml:space="preserve"> deb</w:t>
      </w:r>
      <w:r w:rsidR="00CA0ABA" w:rsidRPr="00C373A4">
        <w:rPr>
          <w:rFonts w:cs="Arial"/>
          <w:lang w:val="es-419"/>
        </w:rPr>
        <w:t>e</w:t>
      </w:r>
      <w:r w:rsidR="000053AF" w:rsidRPr="00C373A4">
        <w:rPr>
          <w:rFonts w:cs="Arial"/>
          <w:lang w:val="es-419"/>
        </w:rPr>
        <w:t xml:space="preserve">n, tras la celebración de la novena sesión del </w:t>
      </w:r>
      <w:r w:rsidR="00F87855" w:rsidRPr="00C373A4">
        <w:rPr>
          <w:rFonts w:cs="Arial"/>
          <w:lang w:val="es-419"/>
        </w:rPr>
        <w:t>CAJ-</w:t>
      </w:r>
      <w:r w:rsidR="000053AF" w:rsidRPr="00C373A4">
        <w:rPr>
          <w:rFonts w:cs="Arial"/>
          <w:lang w:val="es-419"/>
        </w:rPr>
        <w:t xml:space="preserve">AG, ser examinadas por el CAJ y que el </w:t>
      </w:r>
      <w:r w:rsidR="00F87855" w:rsidRPr="00C373A4">
        <w:rPr>
          <w:rFonts w:cs="Arial"/>
          <w:lang w:val="es-419"/>
        </w:rPr>
        <w:t>CAJ-</w:t>
      </w:r>
      <w:r w:rsidR="000053AF" w:rsidRPr="00C373A4">
        <w:rPr>
          <w:rFonts w:cs="Arial"/>
          <w:lang w:val="es-419"/>
        </w:rPr>
        <w:t>AG únicamente deb</w:t>
      </w:r>
      <w:r w:rsidR="00CA0ABA" w:rsidRPr="00C373A4">
        <w:rPr>
          <w:rFonts w:cs="Arial"/>
          <w:lang w:val="es-419"/>
        </w:rPr>
        <w:t>e</w:t>
      </w:r>
      <w:r w:rsidR="000053AF" w:rsidRPr="00C373A4">
        <w:rPr>
          <w:rFonts w:cs="Arial"/>
          <w:lang w:val="es-419"/>
        </w:rPr>
        <w:t xml:space="preserve"> reunirse, con carácter </w:t>
      </w:r>
      <w:r w:rsidR="000053AF" w:rsidRPr="00C373A4">
        <w:rPr>
          <w:rFonts w:cs="Arial"/>
          <w:i/>
          <w:lang w:val="es-419"/>
        </w:rPr>
        <w:t>ad hoc</w:t>
      </w:r>
      <w:r w:rsidR="000053AF" w:rsidRPr="00C373A4">
        <w:rPr>
          <w:rFonts w:cs="Arial"/>
          <w:lang w:val="es-419"/>
        </w:rPr>
        <w:t>, cuando el CAJ lo estim</w:t>
      </w:r>
      <w:r w:rsidR="00CA0ABA" w:rsidRPr="00C373A4">
        <w:rPr>
          <w:rFonts w:cs="Arial"/>
          <w:lang w:val="es-419"/>
        </w:rPr>
        <w:t>e</w:t>
      </w:r>
      <w:r w:rsidR="000053AF" w:rsidRPr="00C373A4">
        <w:rPr>
          <w:rFonts w:cs="Arial"/>
          <w:lang w:val="es-419"/>
        </w:rPr>
        <w:t xml:space="preserve"> oportuno</w:t>
      </w:r>
      <w:r w:rsidR="00C6726B" w:rsidRPr="00C373A4">
        <w:rPr>
          <w:rFonts w:cs="Arial"/>
          <w:lang w:val="es-419"/>
        </w:rPr>
        <w:t>.</w:t>
      </w:r>
      <w:r w:rsidR="00815C66" w:rsidRPr="00C373A4">
        <w:rPr>
          <w:rStyle w:val="FootnoteReference"/>
          <w:rFonts w:cs="Arial"/>
          <w:lang w:val="es-419"/>
        </w:rPr>
        <w:footnoteReference w:id="7"/>
      </w:r>
    </w:p>
    <w:p w:rsidR="00815C66" w:rsidRPr="000F0DD0" w:rsidRDefault="00815C66" w:rsidP="00815C66">
      <w:pPr>
        <w:rPr>
          <w:rFonts w:cs="Arial"/>
          <w:sz w:val="18"/>
          <w:lang w:val="es-419"/>
        </w:rPr>
      </w:pPr>
    </w:p>
    <w:p w:rsidR="00815C66" w:rsidRPr="000F0DD0" w:rsidRDefault="00815C66" w:rsidP="00815C66">
      <w:pPr>
        <w:rPr>
          <w:rFonts w:cs="Arial"/>
          <w:sz w:val="18"/>
          <w:lang w:val="es-419"/>
        </w:rPr>
      </w:pPr>
    </w:p>
    <w:p w:rsidR="000F0DD0" w:rsidRPr="000F0DD0" w:rsidRDefault="000F0DD0" w:rsidP="00815C66">
      <w:pPr>
        <w:rPr>
          <w:rFonts w:cs="Arial"/>
          <w:sz w:val="12"/>
          <w:szCs w:val="12"/>
          <w:lang w:val="es-419"/>
        </w:rPr>
      </w:pPr>
    </w:p>
    <w:p w:rsidR="00815C66" w:rsidRPr="00C373A4" w:rsidRDefault="00CA0ABA" w:rsidP="00815C66">
      <w:pPr>
        <w:pStyle w:val="Heading1"/>
        <w:rPr>
          <w:rFonts w:cs="Arial"/>
          <w:lang w:val="es-419"/>
        </w:rPr>
      </w:pPr>
      <w:bookmarkStart w:id="5" w:name="_Toc15394176"/>
      <w:r w:rsidRPr="00C373A4">
        <w:rPr>
          <w:rFonts w:cs="Arial"/>
          <w:lang w:val="es-419"/>
        </w:rPr>
        <w:t>CUADRO PANORÁMICO DEL PROCESO DE ELABORACIÓN DE MATERIAL DE INFORMACIÓN</w:t>
      </w:r>
      <w:bookmarkEnd w:id="5"/>
    </w:p>
    <w:p w:rsidR="00815C66" w:rsidRPr="000F0DD0" w:rsidRDefault="00815C66" w:rsidP="00815C66">
      <w:pPr>
        <w:keepNext/>
        <w:rPr>
          <w:rFonts w:cs="Arial"/>
          <w:sz w:val="18"/>
          <w:lang w:val="es-419"/>
        </w:rPr>
      </w:pPr>
    </w:p>
    <w:p w:rsidR="00815C66" w:rsidRPr="00C373A4" w:rsidRDefault="0073767E" w:rsidP="00815C66">
      <w:pPr>
        <w:rPr>
          <w:rFonts w:cs="Arial"/>
          <w:lang w:val="es-419"/>
        </w:rPr>
      </w:pPr>
      <w:r w:rsidRPr="00C373A4">
        <w:rPr>
          <w:rFonts w:cs="Arial"/>
          <w:lang w:val="es-419"/>
        </w:rPr>
        <w:fldChar w:fldCharType="begin"/>
      </w:r>
      <w:r w:rsidR="00815C66" w:rsidRPr="00C373A4">
        <w:rPr>
          <w:rFonts w:cs="Arial"/>
          <w:lang w:val="es-419"/>
        </w:rPr>
        <w:instrText xml:space="preserve"> AUTONUM  </w:instrText>
      </w:r>
      <w:r w:rsidRPr="00C373A4">
        <w:rPr>
          <w:rFonts w:cs="Arial"/>
          <w:lang w:val="es-419"/>
        </w:rPr>
        <w:fldChar w:fldCharType="end"/>
      </w:r>
      <w:r w:rsidR="00815C66" w:rsidRPr="00C373A4">
        <w:rPr>
          <w:rFonts w:cs="Arial"/>
          <w:lang w:val="es-419"/>
        </w:rPr>
        <w:tab/>
      </w:r>
      <w:r w:rsidR="00CA0ABA" w:rsidRPr="00C373A4">
        <w:rPr>
          <w:rFonts w:cs="Arial"/>
          <w:spacing w:val="-2"/>
          <w:lang w:val="es-419"/>
        </w:rPr>
        <w:t>En el Anexo del presente documento figura un cuadro panorámico del proceso de elaboración de material de información.</w:t>
      </w:r>
      <w:r w:rsidR="00815C66" w:rsidRPr="00C373A4">
        <w:rPr>
          <w:rFonts w:cs="Arial"/>
          <w:lang w:val="es-419"/>
        </w:rPr>
        <w:t xml:space="preserve"> </w:t>
      </w:r>
    </w:p>
    <w:p w:rsidR="00815C66" w:rsidRPr="000F0DD0" w:rsidRDefault="00815C66" w:rsidP="00815C66">
      <w:pPr>
        <w:rPr>
          <w:rFonts w:cs="Arial"/>
          <w:sz w:val="18"/>
          <w:lang w:val="es-419"/>
        </w:rPr>
      </w:pPr>
    </w:p>
    <w:p w:rsidR="000F0DD0" w:rsidRPr="000F0DD0" w:rsidRDefault="000F0DD0" w:rsidP="00815C66">
      <w:pPr>
        <w:rPr>
          <w:rFonts w:cs="Arial"/>
          <w:sz w:val="18"/>
          <w:lang w:val="es-419"/>
        </w:rPr>
      </w:pPr>
    </w:p>
    <w:p w:rsidR="00976D7C" w:rsidRPr="000F0DD0" w:rsidRDefault="00976D7C" w:rsidP="00815C66">
      <w:pPr>
        <w:rPr>
          <w:rFonts w:cs="Arial"/>
          <w:sz w:val="12"/>
          <w:szCs w:val="12"/>
          <w:lang w:val="es-419"/>
        </w:rPr>
      </w:pPr>
    </w:p>
    <w:p w:rsidR="00815C66" w:rsidRPr="00C373A4" w:rsidRDefault="00CA0ABA" w:rsidP="00815C66">
      <w:pPr>
        <w:pStyle w:val="Heading1"/>
        <w:rPr>
          <w:rFonts w:cs="Arial"/>
          <w:lang w:val="es-419"/>
        </w:rPr>
      </w:pPr>
      <w:bookmarkStart w:id="6" w:name="_Toc15394177"/>
      <w:r w:rsidRPr="00C373A4">
        <w:rPr>
          <w:rFonts w:cs="Arial"/>
          <w:lang w:val="es-419"/>
        </w:rPr>
        <w:t>MATERIAL DE INFORMACIÓN</w:t>
      </w:r>
      <w:bookmarkEnd w:id="6"/>
      <w:r w:rsidR="00815C66" w:rsidRPr="00C373A4">
        <w:rPr>
          <w:rFonts w:cs="Arial"/>
          <w:lang w:val="es-419"/>
        </w:rPr>
        <w:t xml:space="preserve"> </w:t>
      </w:r>
    </w:p>
    <w:p w:rsidR="00815C66" w:rsidRPr="000F0DD0" w:rsidRDefault="00815C66" w:rsidP="00815C66">
      <w:pPr>
        <w:rPr>
          <w:rFonts w:cs="Arial"/>
          <w:sz w:val="18"/>
          <w:lang w:val="es-419"/>
        </w:rPr>
      </w:pPr>
    </w:p>
    <w:p w:rsidR="00815C66" w:rsidRPr="00C373A4" w:rsidRDefault="00CA0ABA" w:rsidP="00815C66">
      <w:pPr>
        <w:pStyle w:val="Heading2"/>
        <w:rPr>
          <w:lang w:val="es-419"/>
        </w:rPr>
      </w:pPr>
      <w:bookmarkStart w:id="7" w:name="_Toc15394178"/>
      <w:r w:rsidRPr="00C373A4">
        <w:rPr>
          <w:lang w:val="es-419"/>
        </w:rPr>
        <w:t>Variedades esencialmente derivadas</w:t>
      </w:r>
      <w:bookmarkEnd w:id="7"/>
    </w:p>
    <w:p w:rsidR="00815C66" w:rsidRPr="00C373A4" w:rsidRDefault="00815C66" w:rsidP="00815C66">
      <w:pPr>
        <w:rPr>
          <w:lang w:val="es-419"/>
        </w:rPr>
      </w:pPr>
    </w:p>
    <w:p w:rsidR="00815C66" w:rsidRPr="00C373A4" w:rsidRDefault="0073767E" w:rsidP="00815C66">
      <w:pPr>
        <w:rPr>
          <w:lang w:val="es-419"/>
        </w:rPr>
      </w:pPr>
      <w:r w:rsidRPr="00C373A4">
        <w:rPr>
          <w:lang w:val="es-419"/>
        </w:rPr>
        <w:fldChar w:fldCharType="begin"/>
      </w:r>
      <w:r w:rsidR="00815C66" w:rsidRPr="00C373A4">
        <w:rPr>
          <w:lang w:val="es-419"/>
        </w:rPr>
        <w:instrText xml:space="preserve"> AUTONUM  </w:instrText>
      </w:r>
      <w:r w:rsidRPr="00C373A4">
        <w:rPr>
          <w:lang w:val="es-419"/>
        </w:rPr>
        <w:fldChar w:fldCharType="end"/>
      </w:r>
      <w:r w:rsidR="00815C66" w:rsidRPr="00C373A4">
        <w:rPr>
          <w:lang w:val="es-419"/>
        </w:rPr>
        <w:tab/>
      </w:r>
      <w:r w:rsidR="005B7B7C" w:rsidRPr="00C373A4">
        <w:rPr>
          <w:lang w:val="es-419"/>
        </w:rPr>
        <w:t>Se invita al CAJ a tomar nota de que las cuestiones relativas a las variedades esencialmente derivadas se examinan en el documento CAJ/76/3 “Variedades esencialmente derivadas”.</w:t>
      </w:r>
    </w:p>
    <w:p w:rsidR="00815C66" w:rsidRPr="000F0DD0" w:rsidRDefault="00815C66" w:rsidP="00815C66">
      <w:pPr>
        <w:rPr>
          <w:sz w:val="18"/>
          <w:lang w:val="es-419"/>
        </w:rPr>
      </w:pPr>
    </w:p>
    <w:p w:rsidR="00815C66" w:rsidRPr="00C373A4" w:rsidRDefault="0073767E" w:rsidP="00815C66">
      <w:pPr>
        <w:rPr>
          <w:rFonts w:eastAsiaTheme="minorEastAsia"/>
          <w:lang w:val="es-419"/>
        </w:rPr>
      </w:pPr>
      <w:r w:rsidRPr="00C373A4">
        <w:rPr>
          <w:lang w:val="es-419"/>
        </w:rPr>
        <w:fldChar w:fldCharType="begin"/>
      </w:r>
      <w:r w:rsidR="00815C66" w:rsidRPr="00C373A4">
        <w:rPr>
          <w:lang w:val="es-419"/>
        </w:rPr>
        <w:instrText xml:space="preserve"> AUTONUM  </w:instrText>
      </w:r>
      <w:r w:rsidRPr="00C373A4">
        <w:rPr>
          <w:lang w:val="es-419"/>
        </w:rPr>
        <w:fldChar w:fldCharType="end"/>
      </w:r>
      <w:r w:rsidR="00815C66" w:rsidRPr="00C373A4">
        <w:rPr>
          <w:lang w:val="es-419"/>
        </w:rPr>
        <w:tab/>
      </w:r>
      <w:r w:rsidR="005B7B7C" w:rsidRPr="00C373A4">
        <w:rPr>
          <w:rFonts w:eastAsiaTheme="minorEastAsia"/>
          <w:lang w:val="es-419"/>
        </w:rPr>
        <w:t xml:space="preserve">El CAJ, </w:t>
      </w:r>
      <w:r w:rsidR="005B7B7C" w:rsidRPr="00C373A4">
        <w:rPr>
          <w:spacing w:val="-2"/>
          <w:kern w:val="28"/>
          <w:lang w:val="es-419"/>
        </w:rPr>
        <w:t>en su septuagésima quinta sesión,</w:t>
      </w:r>
      <w:r w:rsidR="005B7B7C" w:rsidRPr="00C373A4">
        <w:rPr>
          <w:rStyle w:val="FootnoteReference"/>
          <w:spacing w:val="-2"/>
          <w:kern w:val="28"/>
          <w:lang w:val="es-419"/>
        </w:rPr>
        <w:footnoteReference w:id="8"/>
      </w:r>
      <w:r w:rsidR="005B7B7C" w:rsidRPr="00C373A4">
        <w:rPr>
          <w:spacing w:val="-2"/>
          <w:kern w:val="28"/>
          <w:lang w:val="es-419"/>
        </w:rPr>
        <w:t xml:space="preserve"> </w:t>
      </w:r>
      <w:r w:rsidR="000546DD" w:rsidRPr="00C373A4">
        <w:rPr>
          <w:rFonts w:eastAsiaTheme="minorEastAsia"/>
          <w:lang w:val="es-419"/>
        </w:rPr>
        <w:t>convino en que el examen de la revisión de las notas explicativas sobre las variedades esencialmente derivadas ha de incluirse en el orden del día de la septuagésima sexta sesión del CAJ</w:t>
      </w:r>
      <w:r w:rsidR="000546DD" w:rsidRPr="00C373A4">
        <w:rPr>
          <w:rStyle w:val="FootnoteReference"/>
          <w:rFonts w:eastAsiaTheme="minorEastAsia"/>
          <w:lang w:val="es-419"/>
        </w:rPr>
        <w:footnoteReference w:id="9"/>
      </w:r>
      <w:r w:rsidR="000546DD" w:rsidRPr="00C373A4">
        <w:rPr>
          <w:rFonts w:eastAsiaTheme="minorEastAsia"/>
          <w:lang w:val="es-419"/>
        </w:rPr>
        <w:t xml:space="preserve"> y en que este examen ha de basarse en los resultados del seminario (véase el párrafo 17 del documento </w:t>
      </w:r>
      <w:hyperlink r:id="rId8" w:history="1">
        <w:r w:rsidR="000546DD" w:rsidRPr="00C373A4">
          <w:rPr>
            <w:rStyle w:val="Hyperlink"/>
            <w:rFonts w:eastAsiaTheme="minorEastAsia"/>
            <w:lang w:val="es-419"/>
          </w:rPr>
          <w:t>CAJ/75/14</w:t>
        </w:r>
      </w:hyperlink>
      <w:r w:rsidR="000546DD" w:rsidRPr="00C373A4">
        <w:rPr>
          <w:rFonts w:eastAsiaTheme="minorEastAsia"/>
          <w:lang w:val="es-419"/>
        </w:rPr>
        <w:t xml:space="preserve"> “Informe”).</w:t>
      </w:r>
    </w:p>
    <w:p w:rsidR="00815C66" w:rsidRPr="000F0DD0" w:rsidRDefault="00815C66" w:rsidP="00815C66">
      <w:pPr>
        <w:rPr>
          <w:sz w:val="18"/>
          <w:lang w:val="es-419"/>
        </w:rPr>
      </w:pPr>
    </w:p>
    <w:p w:rsidR="00815C66" w:rsidRPr="00C373A4" w:rsidRDefault="0073767E" w:rsidP="00815C66">
      <w:pPr>
        <w:pStyle w:val="DecisionParagraphs"/>
        <w:rPr>
          <w:lang w:val="es-419"/>
        </w:rPr>
      </w:pPr>
      <w:r w:rsidRPr="00C373A4">
        <w:rPr>
          <w:lang w:val="es-419"/>
        </w:rPr>
        <w:fldChar w:fldCharType="begin"/>
      </w:r>
      <w:r w:rsidR="00815C66" w:rsidRPr="00C373A4">
        <w:rPr>
          <w:lang w:val="es-419"/>
        </w:rPr>
        <w:instrText xml:space="preserve"> AUTONUM  </w:instrText>
      </w:r>
      <w:r w:rsidRPr="00C373A4">
        <w:rPr>
          <w:lang w:val="es-419"/>
        </w:rPr>
        <w:fldChar w:fldCharType="end"/>
      </w:r>
      <w:r w:rsidR="00815C66" w:rsidRPr="00C373A4">
        <w:rPr>
          <w:lang w:val="es-419"/>
        </w:rPr>
        <w:tab/>
      </w:r>
      <w:r w:rsidR="000546DD" w:rsidRPr="00C373A4">
        <w:rPr>
          <w:lang w:val="es-419"/>
        </w:rPr>
        <w:t>Se invita al CAJ a tomar nota de que las cuestiones relativas a las variedades esencialmente derivadas se examinan en el documento CAJ/76/3.</w:t>
      </w:r>
    </w:p>
    <w:p w:rsidR="00815C66" w:rsidRPr="000F0DD0" w:rsidRDefault="00815C66" w:rsidP="00815C66">
      <w:pPr>
        <w:rPr>
          <w:sz w:val="18"/>
          <w:lang w:val="es-419"/>
        </w:rPr>
      </w:pPr>
    </w:p>
    <w:p w:rsidR="00815C66" w:rsidRPr="000F0DD0" w:rsidRDefault="00815C66" w:rsidP="00815C66">
      <w:pPr>
        <w:rPr>
          <w:sz w:val="18"/>
          <w:lang w:val="es-419"/>
        </w:rPr>
      </w:pPr>
    </w:p>
    <w:p w:rsidR="00815C66" w:rsidRPr="00C373A4" w:rsidRDefault="000546DD" w:rsidP="00815C66">
      <w:pPr>
        <w:pStyle w:val="Heading2"/>
        <w:rPr>
          <w:lang w:val="es-419"/>
        </w:rPr>
      </w:pPr>
      <w:bookmarkStart w:id="8" w:name="_Toc15394179"/>
      <w:r w:rsidRPr="00C373A4">
        <w:rPr>
          <w:lang w:val="es-419"/>
        </w:rPr>
        <w:t>Denominaciones de variedades</w:t>
      </w:r>
      <w:bookmarkEnd w:id="8"/>
    </w:p>
    <w:p w:rsidR="00815C66" w:rsidRPr="000F0DD0" w:rsidRDefault="00815C66" w:rsidP="00815C66">
      <w:pPr>
        <w:rPr>
          <w:sz w:val="18"/>
          <w:lang w:val="es-419"/>
        </w:rPr>
      </w:pPr>
    </w:p>
    <w:p w:rsidR="00815C66" w:rsidRPr="00C373A4" w:rsidRDefault="0073767E" w:rsidP="00815C66">
      <w:pPr>
        <w:rPr>
          <w:lang w:val="es-419"/>
        </w:rPr>
      </w:pPr>
      <w:r w:rsidRPr="00C373A4">
        <w:rPr>
          <w:lang w:val="es-419"/>
        </w:rPr>
        <w:fldChar w:fldCharType="begin"/>
      </w:r>
      <w:r w:rsidR="00815C66" w:rsidRPr="00C373A4">
        <w:rPr>
          <w:lang w:val="es-419"/>
        </w:rPr>
        <w:instrText xml:space="preserve"> AUTONUM  </w:instrText>
      </w:r>
      <w:r w:rsidRPr="00C373A4">
        <w:rPr>
          <w:lang w:val="es-419"/>
        </w:rPr>
        <w:fldChar w:fldCharType="end"/>
      </w:r>
      <w:r w:rsidR="00815C66" w:rsidRPr="00C373A4">
        <w:rPr>
          <w:lang w:val="es-419"/>
        </w:rPr>
        <w:tab/>
      </w:r>
      <w:r w:rsidR="000546DD" w:rsidRPr="00C373A4">
        <w:rPr>
          <w:lang w:val="es-419"/>
        </w:rPr>
        <w:t>Las cuestiones relativas a las denominaciones de variedades se examinan en el documento CAJ/76/6 “Denominaciones de variedades”.</w:t>
      </w:r>
    </w:p>
    <w:p w:rsidR="00815C66" w:rsidRPr="000F0DD0" w:rsidRDefault="00815C66" w:rsidP="00815C66">
      <w:pPr>
        <w:pStyle w:val="DecisionParagraphs"/>
        <w:keepLines/>
        <w:tabs>
          <w:tab w:val="clear" w:pos="5387"/>
          <w:tab w:val="clear" w:pos="5954"/>
        </w:tabs>
        <w:ind w:left="0"/>
        <w:rPr>
          <w:sz w:val="18"/>
          <w:highlight w:val="yellow"/>
          <w:lang w:val="es-419"/>
        </w:rPr>
      </w:pPr>
    </w:p>
    <w:p w:rsidR="00143D78" w:rsidRDefault="0073767E" w:rsidP="00815C66">
      <w:pPr>
        <w:pStyle w:val="DecisionParagraphs"/>
        <w:keepLines/>
        <w:rPr>
          <w:lang w:val="es-419"/>
        </w:rPr>
      </w:pPr>
      <w:r w:rsidRPr="00C373A4">
        <w:rPr>
          <w:lang w:val="es-419"/>
        </w:rPr>
        <w:fldChar w:fldCharType="begin"/>
      </w:r>
      <w:r w:rsidR="00815C66" w:rsidRPr="00C373A4">
        <w:rPr>
          <w:lang w:val="es-419"/>
        </w:rPr>
        <w:instrText xml:space="preserve"> AUTONUM  </w:instrText>
      </w:r>
      <w:r w:rsidRPr="00C373A4">
        <w:rPr>
          <w:lang w:val="es-419"/>
        </w:rPr>
        <w:fldChar w:fldCharType="end"/>
      </w:r>
      <w:r w:rsidR="00815C66" w:rsidRPr="00C373A4">
        <w:rPr>
          <w:lang w:val="es-419"/>
        </w:rPr>
        <w:tab/>
      </w:r>
      <w:r w:rsidR="000546DD" w:rsidRPr="00C373A4">
        <w:rPr>
          <w:lang w:val="es-419"/>
        </w:rPr>
        <w:t>Se invita al CAJ a tomar nota de que las cuestiones relativas a las denominaciones de variedades se examinan en el documento CAJ/76/6 “Denominaciones de variedades”.</w:t>
      </w:r>
      <w:r w:rsidR="00143D78">
        <w:rPr>
          <w:lang w:val="es-419"/>
        </w:rPr>
        <w:br w:type="page"/>
      </w:r>
    </w:p>
    <w:p w:rsidR="00815C66" w:rsidRPr="00C373A4" w:rsidRDefault="000546DD" w:rsidP="00815C66">
      <w:pPr>
        <w:pStyle w:val="Heading1"/>
        <w:rPr>
          <w:lang w:val="es-419"/>
        </w:rPr>
      </w:pPr>
      <w:bookmarkStart w:id="9" w:name="_Toc15394180"/>
      <w:r w:rsidRPr="00C373A4">
        <w:rPr>
          <w:lang w:val="es-419"/>
        </w:rPr>
        <w:lastRenderedPageBreak/>
        <w:t>PROGRAMA PROVISIONAL PARA LA ELABORACIÓN DE MATERIAL DE INFORMACIÓN</w:t>
      </w:r>
      <w:bookmarkEnd w:id="9"/>
      <w:r w:rsidR="00815C66" w:rsidRPr="00C373A4">
        <w:rPr>
          <w:lang w:val="es-419"/>
        </w:rPr>
        <w:t xml:space="preserve"> </w:t>
      </w:r>
    </w:p>
    <w:p w:rsidR="00815C66" w:rsidRPr="00C373A4" w:rsidRDefault="00815C66" w:rsidP="00815C66">
      <w:pPr>
        <w:pStyle w:val="Heading2"/>
        <w:rPr>
          <w:lang w:val="es-419"/>
        </w:rPr>
      </w:pPr>
    </w:p>
    <w:p w:rsidR="00815C66" w:rsidRPr="00C373A4" w:rsidRDefault="0073767E" w:rsidP="00815C66">
      <w:pPr>
        <w:rPr>
          <w:rFonts w:eastAsia="MS Mincho"/>
          <w:lang w:val="es-419"/>
        </w:rPr>
      </w:pPr>
      <w:r w:rsidRPr="00C373A4">
        <w:rPr>
          <w:rFonts w:eastAsia="MS Mincho"/>
          <w:lang w:val="es-419"/>
        </w:rPr>
        <w:fldChar w:fldCharType="begin"/>
      </w:r>
      <w:r w:rsidR="00815C66" w:rsidRPr="00C373A4">
        <w:rPr>
          <w:rFonts w:eastAsia="MS Mincho"/>
          <w:lang w:val="es-419"/>
        </w:rPr>
        <w:instrText xml:space="preserve"> AUTONUM  </w:instrText>
      </w:r>
      <w:r w:rsidRPr="00C373A4">
        <w:rPr>
          <w:rFonts w:eastAsia="MS Mincho"/>
          <w:lang w:val="es-419"/>
        </w:rPr>
        <w:fldChar w:fldCharType="end"/>
      </w:r>
      <w:r w:rsidR="00815C66" w:rsidRPr="00C373A4">
        <w:rPr>
          <w:rFonts w:eastAsia="MS Mincho"/>
          <w:lang w:val="es-419"/>
        </w:rPr>
        <w:tab/>
      </w:r>
      <w:r w:rsidR="000546DD" w:rsidRPr="00C373A4">
        <w:rPr>
          <w:rFonts w:eastAsia="MS Mincho"/>
          <w:lang w:val="es-419"/>
        </w:rPr>
        <w:t>Se invita al CAJ a examinar el programa para la elaboración de material de información que se propone en el Anexo del presente documento, teniendo en cuenta las conclusione</w:t>
      </w:r>
      <w:r w:rsidR="00654645">
        <w:rPr>
          <w:rFonts w:eastAsia="MS Mincho"/>
          <w:lang w:val="es-419"/>
        </w:rPr>
        <w:t>s alcanzadas en su septuagésima </w:t>
      </w:r>
      <w:r w:rsidR="000546DD" w:rsidRPr="00C373A4">
        <w:rPr>
          <w:rFonts w:eastAsia="MS Mincho"/>
          <w:lang w:val="es-419"/>
        </w:rPr>
        <w:t>sexta sesión</w:t>
      </w:r>
      <w:r w:rsidR="000546DD" w:rsidRPr="00C373A4">
        <w:rPr>
          <w:rFonts w:eastAsia="MS Mincho"/>
          <w:vertAlign w:val="superscript"/>
          <w:lang w:val="es-419"/>
        </w:rPr>
        <w:t>8</w:t>
      </w:r>
      <w:r w:rsidR="000546DD" w:rsidRPr="00C373A4">
        <w:rPr>
          <w:rFonts w:eastAsia="MS Mincho"/>
          <w:lang w:val="es-419"/>
        </w:rPr>
        <w:t xml:space="preserve"> sobre los asuntos planteados más arriba.</w:t>
      </w:r>
    </w:p>
    <w:p w:rsidR="00815C66" w:rsidRPr="00C373A4" w:rsidRDefault="00815C66" w:rsidP="00815C66">
      <w:pPr>
        <w:rPr>
          <w:rFonts w:eastAsia="MS Mincho"/>
          <w:lang w:val="es-419"/>
        </w:rPr>
      </w:pPr>
    </w:p>
    <w:p w:rsidR="00815C66" w:rsidRPr="00C373A4" w:rsidRDefault="0073767E" w:rsidP="00815C66">
      <w:pPr>
        <w:pStyle w:val="DecisionParagraphs"/>
        <w:rPr>
          <w:lang w:val="es-419"/>
        </w:rPr>
      </w:pPr>
      <w:r w:rsidRPr="00C373A4">
        <w:rPr>
          <w:lang w:val="es-419"/>
        </w:rPr>
        <w:fldChar w:fldCharType="begin"/>
      </w:r>
      <w:r w:rsidR="00815C66" w:rsidRPr="00C373A4">
        <w:rPr>
          <w:lang w:val="es-419"/>
        </w:rPr>
        <w:instrText xml:space="preserve"> AUTONUM  </w:instrText>
      </w:r>
      <w:r w:rsidRPr="00C373A4">
        <w:rPr>
          <w:lang w:val="es-419"/>
        </w:rPr>
        <w:fldChar w:fldCharType="end"/>
      </w:r>
      <w:r w:rsidR="00815C66" w:rsidRPr="00C373A4">
        <w:rPr>
          <w:lang w:val="es-419"/>
        </w:rPr>
        <w:tab/>
      </w:r>
      <w:r w:rsidR="007D56C8" w:rsidRPr="00C373A4">
        <w:rPr>
          <w:lang w:val="es-419"/>
        </w:rPr>
        <w:t>Se invita al CAJ a examinar el programa para la elaboración de material de información.</w:t>
      </w:r>
    </w:p>
    <w:p w:rsidR="00815C66" w:rsidRPr="00C373A4" w:rsidRDefault="00815C66" w:rsidP="00815C66">
      <w:pPr>
        <w:pStyle w:val="DecisionParagraphs"/>
        <w:rPr>
          <w:lang w:val="es-419"/>
        </w:rPr>
      </w:pPr>
    </w:p>
    <w:p w:rsidR="00815C66" w:rsidRPr="00C373A4" w:rsidRDefault="00815C66" w:rsidP="00815C66">
      <w:pPr>
        <w:pStyle w:val="DecisionParagraphs"/>
        <w:rPr>
          <w:lang w:val="es-419"/>
        </w:rPr>
      </w:pPr>
    </w:p>
    <w:p w:rsidR="00815C66" w:rsidRPr="00C373A4" w:rsidRDefault="00815C66" w:rsidP="00815C66">
      <w:pPr>
        <w:pStyle w:val="DecisionParagraphs"/>
        <w:rPr>
          <w:lang w:val="es-419"/>
        </w:rPr>
      </w:pPr>
    </w:p>
    <w:p w:rsidR="00815C66" w:rsidRPr="00C373A4" w:rsidRDefault="007D56C8" w:rsidP="00815C66">
      <w:pPr>
        <w:pStyle w:val="DecisionParagraphs"/>
        <w:jc w:val="right"/>
        <w:rPr>
          <w:i w:val="0"/>
          <w:lang w:val="es-419"/>
        </w:rPr>
      </w:pPr>
      <w:r w:rsidRPr="00C373A4">
        <w:rPr>
          <w:i w:val="0"/>
          <w:lang w:val="es-419"/>
        </w:rPr>
        <w:t>[Sigue el Anexo]</w:t>
      </w:r>
    </w:p>
    <w:p w:rsidR="00815C66" w:rsidRPr="00C373A4" w:rsidRDefault="00815C66" w:rsidP="00815C66">
      <w:pPr>
        <w:pStyle w:val="DecisionParagraphs"/>
        <w:jc w:val="right"/>
        <w:rPr>
          <w:i w:val="0"/>
          <w:lang w:val="es-419"/>
        </w:rPr>
      </w:pPr>
    </w:p>
    <w:p w:rsidR="00815C66" w:rsidRPr="00C373A4" w:rsidRDefault="00815C66" w:rsidP="00815C66">
      <w:pPr>
        <w:pStyle w:val="DecisionParagraphs"/>
        <w:rPr>
          <w:lang w:val="es-419"/>
        </w:rPr>
      </w:pPr>
    </w:p>
    <w:p w:rsidR="00815C66" w:rsidRPr="00C373A4" w:rsidRDefault="00815C66" w:rsidP="00815C66">
      <w:pPr>
        <w:jc w:val="left"/>
        <w:rPr>
          <w:lang w:val="es-419"/>
        </w:rPr>
        <w:sectPr w:rsidR="00815C66" w:rsidRPr="00C373A4" w:rsidSect="00976D7C">
          <w:headerReference w:type="default" r:id="rId9"/>
          <w:pgSz w:w="11907" w:h="16840" w:code="9"/>
          <w:pgMar w:top="567" w:right="1134" w:bottom="1134" w:left="1134" w:header="510" w:footer="624" w:gutter="0"/>
          <w:cols w:space="720"/>
          <w:titlePg/>
        </w:sectPr>
      </w:pPr>
    </w:p>
    <w:p w:rsidR="00815C66" w:rsidRPr="00C373A4" w:rsidRDefault="00815C66" w:rsidP="00815C66">
      <w:pPr>
        <w:jc w:val="center"/>
        <w:rPr>
          <w:lang w:val="es-419"/>
        </w:rPr>
      </w:pPr>
      <w:r w:rsidRPr="00C373A4">
        <w:rPr>
          <w:lang w:val="es-419"/>
        </w:rPr>
        <w:lastRenderedPageBreak/>
        <w:t>CAJ/76/4</w:t>
      </w:r>
    </w:p>
    <w:p w:rsidR="00815C66" w:rsidRPr="00C373A4" w:rsidRDefault="00815C66" w:rsidP="00815C66">
      <w:pPr>
        <w:jc w:val="center"/>
        <w:rPr>
          <w:lang w:val="es-419"/>
        </w:rPr>
      </w:pPr>
    </w:p>
    <w:p w:rsidR="00815C66" w:rsidRPr="00C373A4" w:rsidRDefault="00815C66" w:rsidP="00815C66">
      <w:pPr>
        <w:jc w:val="center"/>
        <w:rPr>
          <w:lang w:val="es-419"/>
        </w:rPr>
      </w:pPr>
      <w:r w:rsidRPr="00C373A4">
        <w:rPr>
          <w:lang w:val="es-419"/>
        </w:rPr>
        <w:t>ANEX</w:t>
      </w:r>
      <w:r w:rsidR="00603C99" w:rsidRPr="00C373A4">
        <w:rPr>
          <w:lang w:val="es-419"/>
        </w:rPr>
        <w:t>O</w:t>
      </w:r>
    </w:p>
    <w:p w:rsidR="00815C66" w:rsidRPr="00C373A4" w:rsidRDefault="00815C66" w:rsidP="00815C66">
      <w:pPr>
        <w:jc w:val="center"/>
        <w:rPr>
          <w:lang w:val="es-419"/>
        </w:rPr>
      </w:pPr>
    </w:p>
    <w:p w:rsidR="00815C66" w:rsidRPr="00C373A4" w:rsidRDefault="00815C66" w:rsidP="00815C66">
      <w:pPr>
        <w:jc w:val="center"/>
        <w:rPr>
          <w:lang w:val="es-419"/>
        </w:rPr>
      </w:pPr>
    </w:p>
    <w:p w:rsidR="00815C66" w:rsidRPr="00C373A4" w:rsidRDefault="00E03922" w:rsidP="00815C66">
      <w:pPr>
        <w:jc w:val="center"/>
        <w:rPr>
          <w:lang w:val="es-419"/>
        </w:rPr>
      </w:pPr>
      <w:r w:rsidRPr="00C373A4">
        <w:rPr>
          <w:lang w:val="es-419"/>
        </w:rPr>
        <w:t>CUADRO PANORÁMICO DEL PROCESO DE ELABORACIÓN DE MATERIAL DE INFORMACIÓN</w:t>
      </w:r>
    </w:p>
    <w:p w:rsidR="00815C66" w:rsidRPr="00C373A4" w:rsidRDefault="00815C66" w:rsidP="00815C66">
      <w:pPr>
        <w:jc w:val="left"/>
        <w:rPr>
          <w:lang w:val="es-419"/>
        </w:rPr>
      </w:pPr>
    </w:p>
    <w:p w:rsidR="00815C66" w:rsidRPr="00C373A4" w:rsidRDefault="00815C66" w:rsidP="00815C66">
      <w:pPr>
        <w:jc w:val="left"/>
        <w:rPr>
          <w:lang w:val="es-419"/>
        </w:rPr>
      </w:pPr>
    </w:p>
    <w:p w:rsidR="00815C66" w:rsidRPr="00C373A4" w:rsidRDefault="00E03922" w:rsidP="00815C66">
      <w:pPr>
        <w:jc w:val="left"/>
        <w:rPr>
          <w:lang w:val="es-419"/>
        </w:rPr>
      </w:pPr>
      <w:r w:rsidRPr="00C373A4">
        <w:rPr>
          <w:lang w:val="es-419"/>
        </w:rPr>
        <w:t>NOTAS EXPLICATIVAS</w:t>
      </w:r>
    </w:p>
    <w:p w:rsidR="00815C66" w:rsidRPr="00C373A4" w:rsidRDefault="00815C66" w:rsidP="00815C66">
      <w:pPr>
        <w:rPr>
          <w:lang w:val="es-419"/>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741"/>
        <w:gridCol w:w="4717"/>
        <w:gridCol w:w="3912"/>
      </w:tblGrid>
      <w:tr w:rsidR="00815C66" w:rsidRPr="00C373A4" w:rsidTr="00E345F4">
        <w:trPr>
          <w:cantSplit/>
          <w:jc w:val="center"/>
        </w:trPr>
        <w:tc>
          <w:tcPr>
            <w:tcW w:w="1741" w:type="dxa"/>
            <w:shd w:val="clear" w:color="auto" w:fill="D9D9D9"/>
          </w:tcPr>
          <w:p w:rsidR="00815C66" w:rsidRPr="00C373A4" w:rsidRDefault="00E03922" w:rsidP="001312C3">
            <w:pPr>
              <w:jc w:val="left"/>
              <w:rPr>
                <w:sz w:val="18"/>
                <w:szCs w:val="18"/>
                <w:lang w:val="es-419"/>
              </w:rPr>
            </w:pPr>
            <w:r w:rsidRPr="00C373A4">
              <w:rPr>
                <w:sz w:val="18"/>
                <w:szCs w:val="18"/>
                <w:lang w:val="es-419"/>
              </w:rPr>
              <w:t>Referencia</w:t>
            </w:r>
          </w:p>
        </w:tc>
        <w:tc>
          <w:tcPr>
            <w:tcW w:w="4717" w:type="dxa"/>
            <w:shd w:val="clear" w:color="auto" w:fill="D9D9D9"/>
          </w:tcPr>
          <w:p w:rsidR="00815C66" w:rsidRPr="00C373A4" w:rsidRDefault="00E03922" w:rsidP="001312C3">
            <w:pPr>
              <w:jc w:val="left"/>
              <w:rPr>
                <w:sz w:val="18"/>
                <w:szCs w:val="18"/>
                <w:lang w:val="es-419"/>
              </w:rPr>
            </w:pPr>
            <w:r w:rsidRPr="00C373A4">
              <w:rPr>
                <w:sz w:val="18"/>
                <w:szCs w:val="18"/>
                <w:lang w:val="es-419"/>
              </w:rPr>
              <w:t>Notas explicativas sobre:</w:t>
            </w:r>
          </w:p>
        </w:tc>
        <w:tc>
          <w:tcPr>
            <w:tcW w:w="3912" w:type="dxa"/>
            <w:shd w:val="clear" w:color="auto" w:fill="D9D9D9"/>
          </w:tcPr>
          <w:p w:rsidR="00815C66" w:rsidRPr="00C373A4" w:rsidRDefault="00E03922" w:rsidP="001312C3">
            <w:pPr>
              <w:jc w:val="left"/>
              <w:rPr>
                <w:sz w:val="18"/>
                <w:szCs w:val="18"/>
                <w:lang w:val="es-419"/>
              </w:rPr>
            </w:pPr>
            <w:r w:rsidRPr="00C373A4">
              <w:rPr>
                <w:sz w:val="18"/>
                <w:szCs w:val="18"/>
                <w:lang w:val="es-419"/>
              </w:rPr>
              <w:t>Situación</w:t>
            </w:r>
          </w:p>
        </w:tc>
      </w:tr>
      <w:tr w:rsidR="00815C66" w:rsidRPr="00C373A4" w:rsidTr="00E345F4">
        <w:trPr>
          <w:cantSplit/>
          <w:jc w:val="center"/>
        </w:trPr>
        <w:tc>
          <w:tcPr>
            <w:tcW w:w="1741" w:type="dxa"/>
          </w:tcPr>
          <w:p w:rsidR="00815C66" w:rsidRPr="00C373A4" w:rsidRDefault="00815C66" w:rsidP="00E345F4">
            <w:pPr>
              <w:jc w:val="left"/>
              <w:rPr>
                <w:sz w:val="18"/>
                <w:szCs w:val="18"/>
                <w:lang w:val="es-419"/>
              </w:rPr>
            </w:pPr>
            <w:r w:rsidRPr="00C373A4">
              <w:rPr>
                <w:sz w:val="18"/>
                <w:szCs w:val="18"/>
                <w:lang w:val="es-419"/>
              </w:rPr>
              <w:t>UPOV/EXN/BRD</w:t>
            </w:r>
          </w:p>
        </w:tc>
        <w:tc>
          <w:tcPr>
            <w:tcW w:w="4717" w:type="dxa"/>
          </w:tcPr>
          <w:p w:rsidR="00815C66" w:rsidRPr="00C373A4" w:rsidRDefault="00E03922" w:rsidP="001312C3">
            <w:pPr>
              <w:jc w:val="left"/>
              <w:rPr>
                <w:sz w:val="18"/>
                <w:szCs w:val="18"/>
                <w:lang w:val="es-419"/>
              </w:rPr>
            </w:pPr>
            <w:r w:rsidRPr="00C373A4">
              <w:rPr>
                <w:sz w:val="18"/>
                <w:szCs w:val="18"/>
                <w:lang w:val="es-419"/>
              </w:rPr>
              <w:t>Definición de obtentor con arreglo al Acta de 1991 del Convenio de la UPOV</w:t>
            </w:r>
          </w:p>
        </w:tc>
        <w:tc>
          <w:tcPr>
            <w:tcW w:w="3912" w:type="dxa"/>
          </w:tcPr>
          <w:p w:rsidR="00815C66" w:rsidRPr="00C373A4" w:rsidRDefault="00E03922" w:rsidP="001312C3">
            <w:pPr>
              <w:jc w:val="left"/>
              <w:rPr>
                <w:strike/>
                <w:sz w:val="18"/>
                <w:szCs w:val="18"/>
                <w:lang w:val="es-419"/>
              </w:rPr>
            </w:pPr>
            <w:r w:rsidRPr="00C373A4">
              <w:rPr>
                <w:iCs/>
                <w:sz w:val="18"/>
                <w:szCs w:val="18"/>
                <w:lang w:val="es-419"/>
              </w:rPr>
              <w:t>UPOV/EXN/BRD/1 aprobado en octubre de 2013</w:t>
            </w:r>
          </w:p>
        </w:tc>
      </w:tr>
      <w:tr w:rsidR="00815C66" w:rsidRPr="00C373A4" w:rsidTr="00E345F4">
        <w:trPr>
          <w:cantSplit/>
          <w:jc w:val="center"/>
        </w:trPr>
        <w:tc>
          <w:tcPr>
            <w:tcW w:w="1741" w:type="dxa"/>
          </w:tcPr>
          <w:p w:rsidR="00815C66" w:rsidRPr="00C373A4" w:rsidRDefault="00815C66" w:rsidP="00E345F4">
            <w:pPr>
              <w:jc w:val="left"/>
              <w:rPr>
                <w:sz w:val="18"/>
                <w:szCs w:val="18"/>
                <w:lang w:val="es-419"/>
              </w:rPr>
            </w:pPr>
            <w:r w:rsidRPr="00C373A4">
              <w:rPr>
                <w:sz w:val="18"/>
                <w:szCs w:val="18"/>
                <w:lang w:val="es-419"/>
              </w:rPr>
              <w:t>UPOV/EXN/CAL</w:t>
            </w:r>
          </w:p>
        </w:tc>
        <w:tc>
          <w:tcPr>
            <w:tcW w:w="4717" w:type="dxa"/>
          </w:tcPr>
          <w:p w:rsidR="00815C66" w:rsidRPr="00C373A4" w:rsidRDefault="00E03922" w:rsidP="001312C3">
            <w:pPr>
              <w:jc w:val="left"/>
              <w:rPr>
                <w:sz w:val="18"/>
                <w:szCs w:val="18"/>
                <w:lang w:val="es-419"/>
              </w:rPr>
            </w:pPr>
            <w:r w:rsidRPr="00C373A4">
              <w:rPr>
                <w:sz w:val="18"/>
                <w:szCs w:val="18"/>
                <w:lang w:val="es-419"/>
              </w:rPr>
              <w:t>Condiciones y limitaciones relativas a la autorización del obtentor respecto del material de reproducción o de multiplicación vegetativa con arreglo al Convenio de la UPOV</w:t>
            </w:r>
          </w:p>
        </w:tc>
        <w:tc>
          <w:tcPr>
            <w:tcW w:w="3912" w:type="dxa"/>
          </w:tcPr>
          <w:p w:rsidR="00815C66" w:rsidRPr="00C373A4" w:rsidRDefault="00E03922" w:rsidP="001312C3">
            <w:pPr>
              <w:jc w:val="left"/>
              <w:rPr>
                <w:iCs/>
                <w:sz w:val="18"/>
                <w:szCs w:val="18"/>
                <w:lang w:val="es-419"/>
              </w:rPr>
            </w:pPr>
            <w:r w:rsidRPr="00C373A4">
              <w:rPr>
                <w:sz w:val="18"/>
                <w:szCs w:val="18"/>
                <w:lang w:val="es-419"/>
              </w:rPr>
              <w:t>UPOV/EXN/CAL/1 aprobado en octubre de 2010</w:t>
            </w:r>
          </w:p>
        </w:tc>
      </w:tr>
      <w:tr w:rsidR="00815C66" w:rsidRPr="00C373A4" w:rsidTr="00E345F4">
        <w:trPr>
          <w:cantSplit/>
          <w:jc w:val="center"/>
        </w:trPr>
        <w:tc>
          <w:tcPr>
            <w:tcW w:w="1741" w:type="dxa"/>
          </w:tcPr>
          <w:p w:rsidR="00815C66" w:rsidRPr="00C373A4" w:rsidRDefault="00815C66" w:rsidP="00E345F4">
            <w:pPr>
              <w:jc w:val="left"/>
              <w:rPr>
                <w:sz w:val="18"/>
                <w:szCs w:val="18"/>
                <w:lang w:val="es-419"/>
              </w:rPr>
            </w:pPr>
            <w:r w:rsidRPr="00C373A4">
              <w:rPr>
                <w:sz w:val="18"/>
                <w:szCs w:val="18"/>
                <w:lang w:val="es-419"/>
              </w:rPr>
              <w:t>UPOV/EXN/CAN</w:t>
            </w:r>
          </w:p>
        </w:tc>
        <w:tc>
          <w:tcPr>
            <w:tcW w:w="4717" w:type="dxa"/>
          </w:tcPr>
          <w:p w:rsidR="00815C66" w:rsidRPr="00C373A4" w:rsidRDefault="00E03922" w:rsidP="001312C3">
            <w:pPr>
              <w:jc w:val="left"/>
              <w:rPr>
                <w:sz w:val="18"/>
                <w:szCs w:val="18"/>
                <w:lang w:val="es-419"/>
              </w:rPr>
            </w:pPr>
            <w:r w:rsidRPr="00C373A4">
              <w:rPr>
                <w:sz w:val="18"/>
                <w:szCs w:val="18"/>
                <w:lang w:val="es-419"/>
              </w:rPr>
              <w:t xml:space="preserve">Caducidad del derecho de obtentor con arreglo al Convenio de </w:t>
            </w:r>
            <w:r w:rsidR="00DC21AF" w:rsidRPr="00C373A4">
              <w:rPr>
                <w:sz w:val="18"/>
                <w:szCs w:val="18"/>
                <w:lang w:val="es-419"/>
              </w:rPr>
              <w:t>la</w:t>
            </w:r>
            <w:r w:rsidRPr="00C373A4">
              <w:rPr>
                <w:sz w:val="18"/>
                <w:szCs w:val="18"/>
                <w:lang w:val="es-419"/>
              </w:rPr>
              <w:t> UPOV</w:t>
            </w:r>
          </w:p>
        </w:tc>
        <w:tc>
          <w:tcPr>
            <w:tcW w:w="3912" w:type="dxa"/>
          </w:tcPr>
          <w:p w:rsidR="00815C66" w:rsidRPr="00C373A4" w:rsidRDefault="00E03922" w:rsidP="001312C3">
            <w:pPr>
              <w:jc w:val="left"/>
              <w:rPr>
                <w:sz w:val="18"/>
                <w:szCs w:val="18"/>
                <w:lang w:val="es-419"/>
              </w:rPr>
            </w:pPr>
            <w:r w:rsidRPr="00C373A4">
              <w:rPr>
                <w:spacing w:val="-2"/>
                <w:sz w:val="18"/>
                <w:szCs w:val="18"/>
                <w:lang w:val="es-419"/>
              </w:rPr>
              <w:t>UPOV/EXN/CAL/2 aprobado en octubre de 2015</w:t>
            </w:r>
          </w:p>
        </w:tc>
      </w:tr>
      <w:tr w:rsidR="00815C66" w:rsidRPr="00C373A4" w:rsidTr="00E345F4">
        <w:trPr>
          <w:cantSplit/>
          <w:jc w:val="center"/>
        </w:trPr>
        <w:tc>
          <w:tcPr>
            <w:tcW w:w="1741" w:type="dxa"/>
          </w:tcPr>
          <w:p w:rsidR="00815C66" w:rsidRPr="00C373A4" w:rsidRDefault="00815C66" w:rsidP="00E345F4">
            <w:pPr>
              <w:jc w:val="left"/>
              <w:rPr>
                <w:sz w:val="18"/>
                <w:szCs w:val="18"/>
                <w:lang w:val="es-419"/>
              </w:rPr>
            </w:pPr>
            <w:r w:rsidRPr="00C373A4">
              <w:rPr>
                <w:color w:val="000000"/>
                <w:sz w:val="18"/>
                <w:szCs w:val="18"/>
                <w:lang w:val="es-419"/>
              </w:rPr>
              <w:t>UPOV/EXN/EDV</w:t>
            </w:r>
          </w:p>
        </w:tc>
        <w:tc>
          <w:tcPr>
            <w:tcW w:w="4717" w:type="dxa"/>
          </w:tcPr>
          <w:p w:rsidR="00815C66" w:rsidRPr="00C373A4" w:rsidRDefault="00E03922" w:rsidP="001312C3">
            <w:pPr>
              <w:jc w:val="left"/>
              <w:rPr>
                <w:color w:val="000000"/>
                <w:sz w:val="18"/>
                <w:szCs w:val="18"/>
                <w:lang w:val="es-419"/>
              </w:rPr>
            </w:pPr>
            <w:r w:rsidRPr="00C373A4">
              <w:rPr>
                <w:color w:val="000000"/>
                <w:sz w:val="18"/>
                <w:szCs w:val="18"/>
                <w:lang w:val="es-419"/>
              </w:rPr>
              <w:t>Variedades esencialment</w:t>
            </w:r>
            <w:r w:rsidR="000311A1">
              <w:rPr>
                <w:color w:val="000000"/>
                <w:sz w:val="18"/>
                <w:szCs w:val="18"/>
                <w:lang w:val="es-419"/>
              </w:rPr>
              <w:t>e derivadas con arreglo al Acta </w:t>
            </w:r>
            <w:r w:rsidRPr="00C373A4">
              <w:rPr>
                <w:color w:val="000000"/>
                <w:sz w:val="18"/>
                <w:szCs w:val="18"/>
                <w:lang w:val="es-419"/>
              </w:rPr>
              <w:t>de 1991 del Convenio de la UPOV</w:t>
            </w:r>
          </w:p>
        </w:tc>
        <w:tc>
          <w:tcPr>
            <w:tcW w:w="3912" w:type="dxa"/>
          </w:tcPr>
          <w:p w:rsidR="00815C66" w:rsidRPr="00C373A4" w:rsidRDefault="00E03922" w:rsidP="00E345F4">
            <w:pPr>
              <w:spacing w:after="60"/>
              <w:jc w:val="left"/>
              <w:rPr>
                <w:sz w:val="18"/>
                <w:szCs w:val="18"/>
                <w:lang w:val="es-419"/>
              </w:rPr>
            </w:pPr>
            <w:r w:rsidRPr="00C373A4">
              <w:rPr>
                <w:color w:val="000000"/>
                <w:sz w:val="18"/>
                <w:szCs w:val="18"/>
                <w:lang w:val="es-419"/>
              </w:rPr>
              <w:t>UPOV/EXN/EDV/2 aprobado en abril de 2017</w:t>
            </w:r>
          </w:p>
          <w:p w:rsidR="00815C66" w:rsidRPr="00C373A4" w:rsidRDefault="00E03922" w:rsidP="001312C3">
            <w:pPr>
              <w:jc w:val="left"/>
              <w:rPr>
                <w:i/>
                <w:strike/>
                <w:sz w:val="18"/>
                <w:szCs w:val="18"/>
                <w:lang w:val="es-419"/>
              </w:rPr>
            </w:pPr>
            <w:r w:rsidRPr="00C373A4">
              <w:rPr>
                <w:i/>
                <w:color w:val="000000"/>
                <w:sz w:val="18"/>
                <w:szCs w:val="18"/>
                <w:lang w:val="es-419"/>
              </w:rPr>
              <w:t>En octubre de 2019, el CAJ considerará una posible revisión.</w:t>
            </w:r>
          </w:p>
        </w:tc>
      </w:tr>
      <w:tr w:rsidR="00815C66" w:rsidRPr="00C373A4" w:rsidTr="00E345F4">
        <w:trPr>
          <w:cantSplit/>
          <w:jc w:val="center"/>
        </w:trPr>
        <w:tc>
          <w:tcPr>
            <w:tcW w:w="1741" w:type="dxa"/>
          </w:tcPr>
          <w:p w:rsidR="00815C66" w:rsidRPr="00C373A4" w:rsidRDefault="00815C66" w:rsidP="00E345F4">
            <w:pPr>
              <w:jc w:val="left"/>
              <w:rPr>
                <w:sz w:val="18"/>
                <w:szCs w:val="18"/>
                <w:lang w:val="es-419"/>
              </w:rPr>
            </w:pPr>
            <w:r w:rsidRPr="00C373A4">
              <w:rPr>
                <w:color w:val="000000"/>
                <w:sz w:val="18"/>
                <w:szCs w:val="18"/>
                <w:lang w:val="es-419"/>
              </w:rPr>
              <w:t>UPOV/EXN/ENF</w:t>
            </w:r>
          </w:p>
        </w:tc>
        <w:tc>
          <w:tcPr>
            <w:tcW w:w="4717" w:type="dxa"/>
          </w:tcPr>
          <w:p w:rsidR="00815C66" w:rsidRPr="00C373A4" w:rsidRDefault="00E03922" w:rsidP="001312C3">
            <w:pPr>
              <w:jc w:val="left"/>
              <w:rPr>
                <w:sz w:val="18"/>
                <w:szCs w:val="18"/>
                <w:lang w:val="es-419"/>
              </w:rPr>
            </w:pPr>
            <w:r w:rsidRPr="00C373A4">
              <w:rPr>
                <w:sz w:val="18"/>
                <w:szCs w:val="18"/>
                <w:lang w:val="es-419"/>
              </w:rPr>
              <w:t>Defensa de los derechos de obtentor con arreglo al Convenio de la UPOV</w:t>
            </w:r>
          </w:p>
        </w:tc>
        <w:tc>
          <w:tcPr>
            <w:tcW w:w="3912" w:type="dxa"/>
          </w:tcPr>
          <w:p w:rsidR="00815C66" w:rsidRPr="00C373A4" w:rsidRDefault="00E03922" w:rsidP="001312C3">
            <w:pPr>
              <w:jc w:val="left"/>
              <w:rPr>
                <w:sz w:val="18"/>
                <w:szCs w:val="18"/>
                <w:lang w:val="es-419"/>
              </w:rPr>
            </w:pPr>
            <w:r w:rsidRPr="00C373A4">
              <w:rPr>
                <w:color w:val="000000"/>
                <w:sz w:val="18"/>
                <w:szCs w:val="18"/>
                <w:lang w:val="es-419"/>
              </w:rPr>
              <w:t>UPOV/EXN/ENF/1 aprobado en octubre de 2009</w:t>
            </w:r>
          </w:p>
        </w:tc>
      </w:tr>
      <w:tr w:rsidR="00815C66" w:rsidRPr="00C373A4" w:rsidTr="00E345F4">
        <w:trPr>
          <w:cantSplit/>
          <w:jc w:val="center"/>
        </w:trPr>
        <w:tc>
          <w:tcPr>
            <w:tcW w:w="1741" w:type="dxa"/>
          </w:tcPr>
          <w:p w:rsidR="00815C66" w:rsidRPr="00C373A4" w:rsidRDefault="00815C66" w:rsidP="00E345F4">
            <w:pPr>
              <w:jc w:val="left"/>
              <w:rPr>
                <w:color w:val="000000"/>
                <w:sz w:val="18"/>
                <w:szCs w:val="18"/>
                <w:lang w:val="es-419"/>
              </w:rPr>
            </w:pPr>
            <w:r w:rsidRPr="00C373A4">
              <w:rPr>
                <w:color w:val="000000"/>
                <w:sz w:val="18"/>
                <w:szCs w:val="18"/>
                <w:lang w:val="es-419"/>
              </w:rPr>
              <w:t>UPOV/EXN/EXC</w:t>
            </w:r>
          </w:p>
        </w:tc>
        <w:tc>
          <w:tcPr>
            <w:tcW w:w="4717" w:type="dxa"/>
          </w:tcPr>
          <w:p w:rsidR="00815C66" w:rsidRPr="00C373A4" w:rsidRDefault="005065C6" w:rsidP="001312C3">
            <w:pPr>
              <w:jc w:val="left"/>
              <w:rPr>
                <w:color w:val="000000"/>
                <w:sz w:val="18"/>
                <w:szCs w:val="18"/>
                <w:lang w:val="es-419"/>
              </w:rPr>
            </w:pPr>
            <w:r w:rsidRPr="00C373A4">
              <w:rPr>
                <w:color w:val="000000"/>
                <w:sz w:val="18"/>
                <w:szCs w:val="18"/>
                <w:lang w:val="es-419"/>
              </w:rPr>
              <w:t xml:space="preserve">Excepciones al derecho </w:t>
            </w:r>
            <w:r w:rsidR="000311A1">
              <w:rPr>
                <w:color w:val="000000"/>
                <w:sz w:val="18"/>
                <w:szCs w:val="18"/>
                <w:lang w:val="es-419"/>
              </w:rPr>
              <w:t>de obtentor con arreglo al Acta </w:t>
            </w:r>
            <w:r w:rsidRPr="00C373A4">
              <w:rPr>
                <w:color w:val="000000"/>
                <w:sz w:val="18"/>
                <w:szCs w:val="18"/>
                <w:lang w:val="es-419"/>
              </w:rPr>
              <w:t>de 1991 del Convenio de la UPOV</w:t>
            </w:r>
          </w:p>
        </w:tc>
        <w:tc>
          <w:tcPr>
            <w:tcW w:w="3912" w:type="dxa"/>
          </w:tcPr>
          <w:p w:rsidR="00815C66" w:rsidRPr="00C373A4" w:rsidRDefault="005065C6" w:rsidP="001312C3">
            <w:pPr>
              <w:jc w:val="left"/>
              <w:rPr>
                <w:sz w:val="18"/>
                <w:szCs w:val="18"/>
                <w:lang w:val="es-419"/>
              </w:rPr>
            </w:pPr>
            <w:r w:rsidRPr="00C373A4">
              <w:rPr>
                <w:color w:val="000000"/>
                <w:sz w:val="18"/>
                <w:szCs w:val="18"/>
                <w:lang w:val="es-419"/>
              </w:rPr>
              <w:t>UPOV/EXN/EXC/1 aprobado en octubre de 2009</w:t>
            </w:r>
          </w:p>
        </w:tc>
      </w:tr>
      <w:tr w:rsidR="00815C66" w:rsidRPr="00C373A4" w:rsidTr="00E345F4">
        <w:trPr>
          <w:cantSplit/>
          <w:jc w:val="center"/>
        </w:trPr>
        <w:tc>
          <w:tcPr>
            <w:tcW w:w="1741" w:type="dxa"/>
          </w:tcPr>
          <w:p w:rsidR="00815C66" w:rsidRPr="00C373A4" w:rsidRDefault="00815C66" w:rsidP="00E345F4">
            <w:pPr>
              <w:jc w:val="left"/>
              <w:rPr>
                <w:sz w:val="18"/>
                <w:szCs w:val="18"/>
                <w:lang w:val="es-419"/>
              </w:rPr>
            </w:pPr>
            <w:r w:rsidRPr="00C373A4">
              <w:rPr>
                <w:sz w:val="18"/>
                <w:szCs w:val="18"/>
                <w:lang w:val="es-419"/>
              </w:rPr>
              <w:t>UPOV/EXN/GEN</w:t>
            </w:r>
          </w:p>
        </w:tc>
        <w:tc>
          <w:tcPr>
            <w:tcW w:w="4717" w:type="dxa"/>
          </w:tcPr>
          <w:p w:rsidR="00815C66" w:rsidRPr="00C373A4" w:rsidRDefault="005065C6" w:rsidP="001312C3">
            <w:pPr>
              <w:jc w:val="left"/>
              <w:rPr>
                <w:sz w:val="18"/>
                <w:szCs w:val="18"/>
                <w:lang w:val="es-419"/>
              </w:rPr>
            </w:pPr>
            <w:r w:rsidRPr="00C373A4">
              <w:rPr>
                <w:sz w:val="18"/>
                <w:szCs w:val="18"/>
                <w:lang w:val="es-419"/>
              </w:rPr>
              <w:t xml:space="preserve">Géneros y especies que deben protegerse con arreglo al </w:t>
            </w:r>
            <w:r w:rsidR="000311A1">
              <w:rPr>
                <w:sz w:val="18"/>
                <w:szCs w:val="18"/>
                <w:lang w:val="es-419"/>
              </w:rPr>
              <w:t>Acta </w:t>
            </w:r>
            <w:r w:rsidR="007A1763" w:rsidRPr="00C373A4">
              <w:rPr>
                <w:sz w:val="18"/>
                <w:szCs w:val="18"/>
                <w:lang w:val="es-419"/>
              </w:rPr>
              <w:t>de 1991 del Convenio de la </w:t>
            </w:r>
            <w:r w:rsidRPr="00C373A4">
              <w:rPr>
                <w:sz w:val="18"/>
                <w:szCs w:val="18"/>
                <w:lang w:val="es-419"/>
              </w:rPr>
              <w:t>UPOV</w:t>
            </w:r>
          </w:p>
        </w:tc>
        <w:tc>
          <w:tcPr>
            <w:tcW w:w="3912" w:type="dxa"/>
          </w:tcPr>
          <w:p w:rsidR="00815C66" w:rsidRPr="00C373A4" w:rsidRDefault="007A1763" w:rsidP="001312C3">
            <w:pPr>
              <w:jc w:val="left"/>
              <w:rPr>
                <w:sz w:val="18"/>
                <w:szCs w:val="18"/>
                <w:lang w:val="es-419"/>
              </w:rPr>
            </w:pPr>
            <w:r w:rsidRPr="00C373A4">
              <w:rPr>
                <w:sz w:val="18"/>
                <w:szCs w:val="18"/>
                <w:lang w:val="es-419"/>
              </w:rPr>
              <w:t>UPOV/EXN/GEN/1 aprobado en octubre de 2009</w:t>
            </w:r>
          </w:p>
        </w:tc>
      </w:tr>
      <w:tr w:rsidR="00815C66" w:rsidRPr="00C373A4" w:rsidTr="00E345F4">
        <w:trPr>
          <w:cantSplit/>
          <w:jc w:val="center"/>
        </w:trPr>
        <w:tc>
          <w:tcPr>
            <w:tcW w:w="1741" w:type="dxa"/>
          </w:tcPr>
          <w:p w:rsidR="00815C66" w:rsidRPr="00C373A4" w:rsidRDefault="00815C66" w:rsidP="00E345F4">
            <w:pPr>
              <w:jc w:val="left"/>
              <w:rPr>
                <w:sz w:val="18"/>
                <w:szCs w:val="18"/>
                <w:lang w:val="es-419"/>
              </w:rPr>
            </w:pPr>
            <w:r w:rsidRPr="00C373A4">
              <w:rPr>
                <w:sz w:val="18"/>
                <w:szCs w:val="18"/>
                <w:lang w:val="es-419"/>
              </w:rPr>
              <w:t>UPOV/EXN/HRV</w:t>
            </w:r>
          </w:p>
        </w:tc>
        <w:tc>
          <w:tcPr>
            <w:tcW w:w="4717" w:type="dxa"/>
          </w:tcPr>
          <w:p w:rsidR="00815C66" w:rsidRPr="00C373A4" w:rsidRDefault="007A1763" w:rsidP="001312C3">
            <w:pPr>
              <w:jc w:val="left"/>
              <w:rPr>
                <w:sz w:val="18"/>
                <w:szCs w:val="18"/>
                <w:lang w:val="es-419"/>
              </w:rPr>
            </w:pPr>
            <w:r w:rsidRPr="00C373A4">
              <w:rPr>
                <w:sz w:val="18"/>
                <w:szCs w:val="18"/>
                <w:lang w:val="es-419"/>
              </w:rPr>
              <w:t>Actos respecto del producto de</w:t>
            </w:r>
            <w:r w:rsidR="000311A1">
              <w:rPr>
                <w:sz w:val="18"/>
                <w:szCs w:val="18"/>
                <w:lang w:val="es-419"/>
              </w:rPr>
              <w:t xml:space="preserve"> la cosecha con arreglo al Acta </w:t>
            </w:r>
            <w:r w:rsidRPr="00C373A4">
              <w:rPr>
                <w:sz w:val="18"/>
                <w:szCs w:val="18"/>
                <w:lang w:val="es-419"/>
              </w:rPr>
              <w:t>de 1991 del Convenio de la</w:t>
            </w:r>
            <w:r w:rsidR="006C5C19" w:rsidRPr="00C373A4">
              <w:rPr>
                <w:sz w:val="18"/>
                <w:szCs w:val="18"/>
                <w:lang w:val="es-419"/>
              </w:rPr>
              <w:t> </w:t>
            </w:r>
            <w:r w:rsidRPr="00C373A4">
              <w:rPr>
                <w:sz w:val="18"/>
                <w:szCs w:val="18"/>
                <w:lang w:val="es-419"/>
              </w:rPr>
              <w:t>UPOV</w:t>
            </w:r>
          </w:p>
        </w:tc>
        <w:tc>
          <w:tcPr>
            <w:tcW w:w="3912" w:type="dxa"/>
          </w:tcPr>
          <w:p w:rsidR="00815C66" w:rsidRPr="00C373A4" w:rsidRDefault="006C5C19" w:rsidP="001312C3">
            <w:pPr>
              <w:jc w:val="left"/>
              <w:rPr>
                <w:color w:val="000000"/>
                <w:sz w:val="18"/>
                <w:szCs w:val="18"/>
                <w:lang w:val="es-419"/>
              </w:rPr>
            </w:pPr>
            <w:r w:rsidRPr="00C373A4">
              <w:rPr>
                <w:iCs/>
                <w:sz w:val="18"/>
                <w:szCs w:val="18"/>
                <w:lang w:val="es-419"/>
              </w:rPr>
              <w:t>UPOV/EXN/HRV/1 aprobado en octubre de 2013</w:t>
            </w:r>
          </w:p>
        </w:tc>
      </w:tr>
      <w:tr w:rsidR="00815C66" w:rsidRPr="00C373A4" w:rsidTr="00E345F4">
        <w:trPr>
          <w:cantSplit/>
          <w:jc w:val="center"/>
        </w:trPr>
        <w:tc>
          <w:tcPr>
            <w:tcW w:w="1741" w:type="dxa"/>
          </w:tcPr>
          <w:p w:rsidR="00815C66" w:rsidRPr="00C373A4" w:rsidRDefault="00815C66" w:rsidP="00E345F4">
            <w:pPr>
              <w:jc w:val="left"/>
              <w:rPr>
                <w:sz w:val="18"/>
                <w:szCs w:val="18"/>
                <w:lang w:val="es-419"/>
              </w:rPr>
            </w:pPr>
            <w:r w:rsidRPr="00C373A4">
              <w:rPr>
                <w:sz w:val="18"/>
                <w:szCs w:val="18"/>
                <w:lang w:val="es-419"/>
              </w:rPr>
              <w:t>UPOV/EXN/NAT</w:t>
            </w:r>
          </w:p>
        </w:tc>
        <w:tc>
          <w:tcPr>
            <w:tcW w:w="4717" w:type="dxa"/>
          </w:tcPr>
          <w:p w:rsidR="00815C66" w:rsidRPr="00C373A4" w:rsidRDefault="006C5C19" w:rsidP="001312C3">
            <w:pPr>
              <w:jc w:val="left"/>
              <w:rPr>
                <w:sz w:val="18"/>
                <w:szCs w:val="18"/>
                <w:lang w:val="es-419"/>
              </w:rPr>
            </w:pPr>
            <w:r w:rsidRPr="00C373A4">
              <w:rPr>
                <w:sz w:val="18"/>
                <w:szCs w:val="18"/>
                <w:lang w:val="es-419"/>
              </w:rPr>
              <w:t xml:space="preserve">Trato nacional con arreglo al </w:t>
            </w:r>
            <w:r w:rsidR="00866AA3" w:rsidRPr="00C373A4">
              <w:rPr>
                <w:sz w:val="18"/>
                <w:szCs w:val="18"/>
                <w:lang w:val="es-419"/>
              </w:rPr>
              <w:t>Acta de 1991 del Convenio de la </w:t>
            </w:r>
            <w:r w:rsidRPr="00C373A4">
              <w:rPr>
                <w:sz w:val="18"/>
                <w:szCs w:val="18"/>
                <w:lang w:val="es-419"/>
              </w:rPr>
              <w:t>UPOV</w:t>
            </w:r>
          </w:p>
        </w:tc>
        <w:tc>
          <w:tcPr>
            <w:tcW w:w="3912" w:type="dxa"/>
          </w:tcPr>
          <w:p w:rsidR="00815C66" w:rsidRPr="00C373A4" w:rsidRDefault="00866AA3" w:rsidP="001312C3">
            <w:pPr>
              <w:jc w:val="left"/>
              <w:rPr>
                <w:sz w:val="18"/>
                <w:szCs w:val="18"/>
                <w:lang w:val="es-419"/>
              </w:rPr>
            </w:pPr>
            <w:r w:rsidRPr="00C373A4">
              <w:rPr>
                <w:sz w:val="18"/>
                <w:szCs w:val="18"/>
                <w:lang w:val="es-419"/>
              </w:rPr>
              <w:t>UPOV/EXN/NAT/1 aprobado en octubre de 2009</w:t>
            </w:r>
          </w:p>
        </w:tc>
      </w:tr>
      <w:tr w:rsidR="00815C66" w:rsidRPr="00C373A4" w:rsidTr="00E345F4">
        <w:trPr>
          <w:cantSplit/>
          <w:jc w:val="center"/>
        </w:trPr>
        <w:tc>
          <w:tcPr>
            <w:tcW w:w="1741" w:type="dxa"/>
          </w:tcPr>
          <w:p w:rsidR="00815C66" w:rsidRPr="00C373A4" w:rsidRDefault="00815C66" w:rsidP="00E345F4">
            <w:pPr>
              <w:jc w:val="left"/>
              <w:rPr>
                <w:sz w:val="18"/>
                <w:szCs w:val="18"/>
                <w:lang w:val="es-419"/>
              </w:rPr>
            </w:pPr>
            <w:r w:rsidRPr="00C373A4">
              <w:rPr>
                <w:sz w:val="18"/>
                <w:szCs w:val="18"/>
                <w:lang w:val="es-419"/>
              </w:rPr>
              <w:t>UPOV/EXN/NOV</w:t>
            </w:r>
          </w:p>
        </w:tc>
        <w:tc>
          <w:tcPr>
            <w:tcW w:w="4717" w:type="dxa"/>
          </w:tcPr>
          <w:p w:rsidR="00815C66" w:rsidRPr="00C373A4" w:rsidRDefault="00866AA3" w:rsidP="001312C3">
            <w:pPr>
              <w:jc w:val="left"/>
              <w:rPr>
                <w:sz w:val="18"/>
                <w:szCs w:val="18"/>
                <w:lang w:val="es-419"/>
              </w:rPr>
            </w:pPr>
            <w:r w:rsidRPr="00C373A4">
              <w:rPr>
                <w:sz w:val="18"/>
                <w:szCs w:val="18"/>
                <w:lang w:val="es-419"/>
              </w:rPr>
              <w:t>Novedad con arreglo al Convenio de la UPOV</w:t>
            </w:r>
          </w:p>
        </w:tc>
        <w:tc>
          <w:tcPr>
            <w:tcW w:w="3912" w:type="dxa"/>
          </w:tcPr>
          <w:p w:rsidR="00815C66" w:rsidRPr="00C373A4" w:rsidRDefault="00866AA3" w:rsidP="001312C3">
            <w:pPr>
              <w:jc w:val="left"/>
              <w:rPr>
                <w:sz w:val="18"/>
                <w:szCs w:val="18"/>
                <w:lang w:val="es-419"/>
              </w:rPr>
            </w:pPr>
            <w:r w:rsidRPr="00C373A4">
              <w:rPr>
                <w:sz w:val="18"/>
                <w:szCs w:val="18"/>
                <w:lang w:val="es-419"/>
              </w:rPr>
              <w:t>UPOV/EXN/NOV/1 aprobado en octubre de 2009</w:t>
            </w:r>
          </w:p>
        </w:tc>
      </w:tr>
      <w:tr w:rsidR="00815C66" w:rsidRPr="00C373A4" w:rsidTr="00E345F4">
        <w:trPr>
          <w:cantSplit/>
          <w:jc w:val="center"/>
        </w:trPr>
        <w:tc>
          <w:tcPr>
            <w:tcW w:w="1741" w:type="dxa"/>
          </w:tcPr>
          <w:p w:rsidR="00815C66" w:rsidRPr="00C373A4" w:rsidRDefault="00815C66" w:rsidP="00E345F4">
            <w:pPr>
              <w:jc w:val="left"/>
              <w:rPr>
                <w:color w:val="000000"/>
                <w:sz w:val="18"/>
                <w:szCs w:val="18"/>
                <w:lang w:val="es-419"/>
              </w:rPr>
            </w:pPr>
            <w:r w:rsidRPr="00C373A4">
              <w:rPr>
                <w:color w:val="000000"/>
                <w:sz w:val="18"/>
                <w:szCs w:val="18"/>
                <w:lang w:val="es-419"/>
              </w:rPr>
              <w:t>UPOV/EXN/NUL</w:t>
            </w:r>
          </w:p>
        </w:tc>
        <w:tc>
          <w:tcPr>
            <w:tcW w:w="4717" w:type="dxa"/>
          </w:tcPr>
          <w:p w:rsidR="00815C66" w:rsidRPr="00C373A4" w:rsidRDefault="00E030F3" w:rsidP="001312C3">
            <w:pPr>
              <w:jc w:val="left"/>
              <w:rPr>
                <w:sz w:val="18"/>
                <w:szCs w:val="18"/>
                <w:lang w:val="es-419"/>
              </w:rPr>
            </w:pPr>
            <w:r w:rsidRPr="00C373A4">
              <w:rPr>
                <w:sz w:val="18"/>
                <w:szCs w:val="18"/>
                <w:lang w:val="es-419"/>
              </w:rPr>
              <w:t>Nulidad del derecho de obtentor con arreglo al Convenio de la UPOV</w:t>
            </w:r>
          </w:p>
        </w:tc>
        <w:tc>
          <w:tcPr>
            <w:tcW w:w="3912" w:type="dxa"/>
          </w:tcPr>
          <w:p w:rsidR="00815C66" w:rsidRPr="00C373A4" w:rsidRDefault="00E030F3" w:rsidP="001312C3">
            <w:pPr>
              <w:jc w:val="left"/>
              <w:rPr>
                <w:sz w:val="18"/>
                <w:szCs w:val="18"/>
                <w:lang w:val="es-419"/>
              </w:rPr>
            </w:pPr>
            <w:r w:rsidRPr="00C373A4">
              <w:rPr>
                <w:spacing w:val="-2"/>
                <w:sz w:val="18"/>
                <w:szCs w:val="18"/>
                <w:lang w:val="es-419"/>
              </w:rPr>
              <w:t>UPOV/EXN/NUL/2 aprobado en octubre de 2015</w:t>
            </w:r>
          </w:p>
        </w:tc>
      </w:tr>
      <w:tr w:rsidR="00815C66" w:rsidRPr="00C373A4" w:rsidTr="00E345F4">
        <w:trPr>
          <w:cantSplit/>
          <w:jc w:val="center"/>
        </w:trPr>
        <w:tc>
          <w:tcPr>
            <w:tcW w:w="1741" w:type="dxa"/>
            <w:tcBorders>
              <w:bottom w:val="single" w:sz="2" w:space="0" w:color="auto"/>
            </w:tcBorders>
          </w:tcPr>
          <w:p w:rsidR="00815C66" w:rsidRPr="00C373A4" w:rsidRDefault="00815C66" w:rsidP="00E345F4">
            <w:pPr>
              <w:jc w:val="left"/>
              <w:rPr>
                <w:sz w:val="18"/>
                <w:szCs w:val="18"/>
                <w:lang w:val="es-419"/>
              </w:rPr>
            </w:pPr>
            <w:r w:rsidRPr="00C373A4">
              <w:rPr>
                <w:sz w:val="18"/>
                <w:szCs w:val="18"/>
                <w:lang w:val="es-419"/>
              </w:rPr>
              <w:t>UPOV/EXN/PPM</w:t>
            </w:r>
          </w:p>
        </w:tc>
        <w:tc>
          <w:tcPr>
            <w:tcW w:w="4717" w:type="dxa"/>
            <w:tcBorders>
              <w:bottom w:val="single" w:sz="2" w:space="0" w:color="auto"/>
            </w:tcBorders>
          </w:tcPr>
          <w:p w:rsidR="00815C66" w:rsidRPr="00C373A4" w:rsidRDefault="00E030F3" w:rsidP="001312C3">
            <w:pPr>
              <w:jc w:val="left"/>
              <w:rPr>
                <w:sz w:val="18"/>
                <w:szCs w:val="18"/>
                <w:lang w:val="es-419"/>
              </w:rPr>
            </w:pPr>
            <w:r w:rsidRPr="00C373A4">
              <w:rPr>
                <w:sz w:val="18"/>
                <w:szCs w:val="18"/>
                <w:lang w:val="es-419"/>
              </w:rPr>
              <w:t>Material de reproducción o de multiplicación con arreglo al Convenio de la UPOV</w:t>
            </w:r>
          </w:p>
        </w:tc>
        <w:tc>
          <w:tcPr>
            <w:tcW w:w="3912" w:type="dxa"/>
            <w:tcBorders>
              <w:bottom w:val="single" w:sz="2" w:space="0" w:color="auto"/>
            </w:tcBorders>
          </w:tcPr>
          <w:p w:rsidR="00815C66" w:rsidRPr="00C373A4" w:rsidRDefault="00E030F3" w:rsidP="001312C3">
            <w:pPr>
              <w:jc w:val="left"/>
              <w:rPr>
                <w:spacing w:val="-2"/>
                <w:sz w:val="18"/>
                <w:szCs w:val="18"/>
                <w:lang w:val="es-419"/>
              </w:rPr>
            </w:pPr>
            <w:r w:rsidRPr="00C373A4">
              <w:rPr>
                <w:spacing w:val="-2"/>
                <w:sz w:val="18"/>
                <w:szCs w:val="18"/>
                <w:lang w:val="es-419"/>
              </w:rPr>
              <w:t>UPOV/EXN/PPM/1 aprobado en abril de 2017</w:t>
            </w:r>
          </w:p>
        </w:tc>
      </w:tr>
      <w:tr w:rsidR="00815C66" w:rsidRPr="00C373A4" w:rsidTr="00E345F4">
        <w:trPr>
          <w:cantSplit/>
          <w:jc w:val="center"/>
        </w:trPr>
        <w:tc>
          <w:tcPr>
            <w:tcW w:w="1741" w:type="dxa"/>
          </w:tcPr>
          <w:p w:rsidR="00815C66" w:rsidRPr="00C373A4" w:rsidRDefault="00815C66" w:rsidP="00E345F4">
            <w:pPr>
              <w:jc w:val="left"/>
              <w:rPr>
                <w:sz w:val="18"/>
                <w:szCs w:val="18"/>
                <w:lang w:val="es-419"/>
              </w:rPr>
            </w:pPr>
            <w:r w:rsidRPr="00C373A4">
              <w:rPr>
                <w:sz w:val="18"/>
                <w:szCs w:val="18"/>
                <w:lang w:val="es-419"/>
              </w:rPr>
              <w:t>UPOV/EXN/PRI</w:t>
            </w:r>
          </w:p>
        </w:tc>
        <w:tc>
          <w:tcPr>
            <w:tcW w:w="4717" w:type="dxa"/>
          </w:tcPr>
          <w:p w:rsidR="00815C66" w:rsidRPr="00C373A4" w:rsidRDefault="00E030F3" w:rsidP="001312C3">
            <w:pPr>
              <w:jc w:val="left"/>
              <w:rPr>
                <w:sz w:val="18"/>
                <w:szCs w:val="18"/>
                <w:lang w:val="es-419"/>
              </w:rPr>
            </w:pPr>
            <w:r w:rsidRPr="00C373A4">
              <w:rPr>
                <w:sz w:val="18"/>
                <w:szCs w:val="18"/>
                <w:lang w:val="es-419"/>
              </w:rPr>
              <w:t>Derecho de prioridad con arreglo al Convenio de la UPOV</w:t>
            </w:r>
          </w:p>
        </w:tc>
        <w:tc>
          <w:tcPr>
            <w:tcW w:w="3912" w:type="dxa"/>
          </w:tcPr>
          <w:p w:rsidR="00815C66" w:rsidRPr="00C373A4" w:rsidRDefault="00E030F3" w:rsidP="001312C3">
            <w:pPr>
              <w:jc w:val="left"/>
              <w:rPr>
                <w:sz w:val="18"/>
                <w:szCs w:val="18"/>
                <w:lang w:val="es-419"/>
              </w:rPr>
            </w:pPr>
            <w:r w:rsidRPr="00C373A4">
              <w:rPr>
                <w:sz w:val="18"/>
                <w:szCs w:val="18"/>
                <w:lang w:val="es-419"/>
              </w:rPr>
              <w:t>UPOV/EXN/PRI/1 aprobado en octubre de 2009</w:t>
            </w:r>
          </w:p>
        </w:tc>
      </w:tr>
      <w:tr w:rsidR="00815C66" w:rsidRPr="00C373A4" w:rsidTr="00E345F4">
        <w:trPr>
          <w:cantSplit/>
          <w:jc w:val="center"/>
        </w:trPr>
        <w:tc>
          <w:tcPr>
            <w:tcW w:w="1741" w:type="dxa"/>
          </w:tcPr>
          <w:p w:rsidR="00815C66" w:rsidRPr="00C373A4" w:rsidRDefault="00815C66" w:rsidP="00E345F4">
            <w:pPr>
              <w:jc w:val="left"/>
              <w:rPr>
                <w:sz w:val="18"/>
                <w:szCs w:val="18"/>
                <w:lang w:val="es-419"/>
              </w:rPr>
            </w:pPr>
            <w:r w:rsidRPr="00C373A4">
              <w:rPr>
                <w:sz w:val="18"/>
                <w:szCs w:val="18"/>
                <w:lang w:val="es-419"/>
              </w:rPr>
              <w:t>UPOV/EXN/PRP</w:t>
            </w:r>
          </w:p>
        </w:tc>
        <w:tc>
          <w:tcPr>
            <w:tcW w:w="4717" w:type="dxa"/>
          </w:tcPr>
          <w:p w:rsidR="00815C66" w:rsidRPr="00C373A4" w:rsidRDefault="00E030F3" w:rsidP="001312C3">
            <w:pPr>
              <w:jc w:val="left"/>
              <w:rPr>
                <w:sz w:val="18"/>
                <w:szCs w:val="18"/>
                <w:lang w:val="es-419"/>
              </w:rPr>
            </w:pPr>
            <w:r w:rsidRPr="00C373A4">
              <w:rPr>
                <w:sz w:val="18"/>
                <w:szCs w:val="18"/>
                <w:lang w:val="es-419"/>
              </w:rPr>
              <w:t>Protección provisional con arreglo al Convenio de la UPOV</w:t>
            </w:r>
          </w:p>
        </w:tc>
        <w:tc>
          <w:tcPr>
            <w:tcW w:w="3912" w:type="dxa"/>
          </w:tcPr>
          <w:p w:rsidR="00815C66" w:rsidRPr="00C373A4" w:rsidRDefault="00E030F3" w:rsidP="001312C3">
            <w:pPr>
              <w:jc w:val="left"/>
              <w:rPr>
                <w:spacing w:val="-2"/>
                <w:sz w:val="18"/>
                <w:szCs w:val="18"/>
                <w:lang w:val="es-419"/>
              </w:rPr>
            </w:pPr>
            <w:r w:rsidRPr="00C373A4">
              <w:rPr>
                <w:spacing w:val="-2"/>
                <w:sz w:val="18"/>
                <w:szCs w:val="18"/>
                <w:lang w:val="es-419"/>
              </w:rPr>
              <w:t>UPOV/EXN/PRP/2 aprobado en octubre de 2015</w:t>
            </w:r>
          </w:p>
        </w:tc>
      </w:tr>
      <w:tr w:rsidR="00815C66" w:rsidRPr="00C373A4" w:rsidTr="00E345F4">
        <w:trPr>
          <w:cantSplit/>
          <w:jc w:val="center"/>
        </w:trPr>
        <w:tc>
          <w:tcPr>
            <w:tcW w:w="1741" w:type="dxa"/>
            <w:tcBorders>
              <w:bottom w:val="single" w:sz="2" w:space="0" w:color="auto"/>
            </w:tcBorders>
          </w:tcPr>
          <w:p w:rsidR="00815C66" w:rsidRPr="00C373A4" w:rsidRDefault="00815C66" w:rsidP="00E345F4">
            <w:pPr>
              <w:jc w:val="left"/>
              <w:rPr>
                <w:sz w:val="18"/>
                <w:szCs w:val="18"/>
                <w:lang w:val="es-419"/>
              </w:rPr>
            </w:pPr>
            <w:r w:rsidRPr="00C373A4">
              <w:rPr>
                <w:sz w:val="18"/>
                <w:szCs w:val="18"/>
                <w:lang w:val="es-419"/>
              </w:rPr>
              <w:t>UPOV/EXN/VAR</w:t>
            </w:r>
          </w:p>
        </w:tc>
        <w:tc>
          <w:tcPr>
            <w:tcW w:w="4717" w:type="dxa"/>
            <w:tcBorders>
              <w:bottom w:val="single" w:sz="2" w:space="0" w:color="auto"/>
            </w:tcBorders>
          </w:tcPr>
          <w:p w:rsidR="00815C66" w:rsidRPr="00C373A4" w:rsidRDefault="00E030F3" w:rsidP="001312C3">
            <w:pPr>
              <w:jc w:val="left"/>
              <w:rPr>
                <w:sz w:val="18"/>
                <w:szCs w:val="18"/>
                <w:lang w:val="es-419"/>
              </w:rPr>
            </w:pPr>
            <w:r w:rsidRPr="00C373A4">
              <w:rPr>
                <w:sz w:val="18"/>
                <w:szCs w:val="18"/>
                <w:lang w:val="es-419"/>
              </w:rPr>
              <w:t>Definición de variedad con arreglo al Acta de 1991 del Convenio de la UPOV</w:t>
            </w:r>
          </w:p>
        </w:tc>
        <w:tc>
          <w:tcPr>
            <w:tcW w:w="3912" w:type="dxa"/>
            <w:tcBorders>
              <w:bottom w:val="single" w:sz="2" w:space="0" w:color="auto"/>
            </w:tcBorders>
          </w:tcPr>
          <w:p w:rsidR="00815C66" w:rsidRPr="00C373A4" w:rsidRDefault="00E030F3" w:rsidP="001312C3">
            <w:pPr>
              <w:jc w:val="left"/>
              <w:rPr>
                <w:sz w:val="18"/>
                <w:szCs w:val="18"/>
                <w:lang w:val="es-419"/>
              </w:rPr>
            </w:pPr>
            <w:r w:rsidRPr="00C373A4">
              <w:rPr>
                <w:sz w:val="18"/>
                <w:szCs w:val="18"/>
                <w:lang w:val="es-419"/>
              </w:rPr>
              <w:t>UPOV/EXN/VAR/1 aprobado en octubre de 2010</w:t>
            </w:r>
          </w:p>
        </w:tc>
      </w:tr>
    </w:tbl>
    <w:p w:rsidR="00815C66" w:rsidRPr="00C373A4" w:rsidRDefault="00815C66" w:rsidP="00815C66">
      <w:pPr>
        <w:jc w:val="center"/>
        <w:rPr>
          <w:lang w:val="es-419"/>
        </w:rPr>
      </w:pPr>
      <w:r w:rsidRPr="00C373A4">
        <w:rPr>
          <w:sz w:val="18"/>
          <w:szCs w:val="18"/>
          <w:lang w:val="es-419"/>
        </w:rPr>
        <w:br w:type="page"/>
      </w:r>
    </w:p>
    <w:p w:rsidR="00815C66" w:rsidRPr="00C373A4" w:rsidRDefault="00E030F3" w:rsidP="00815C66">
      <w:pPr>
        <w:rPr>
          <w:lang w:val="es-419"/>
        </w:rPr>
      </w:pPr>
      <w:r w:rsidRPr="00C373A4">
        <w:rPr>
          <w:lang w:val="es-419"/>
        </w:rPr>
        <w:lastRenderedPageBreak/>
        <w:t>DOCUMENTOS DE INFORMACIÓN</w:t>
      </w:r>
    </w:p>
    <w:p w:rsidR="00815C66" w:rsidRPr="00C373A4" w:rsidRDefault="00815C66" w:rsidP="00815C66">
      <w:pPr>
        <w:rPr>
          <w:lang w:val="es-419"/>
        </w:rPr>
      </w:pPr>
    </w:p>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758"/>
        <w:gridCol w:w="4807"/>
        <w:gridCol w:w="3920"/>
      </w:tblGrid>
      <w:tr w:rsidR="00815C66" w:rsidRPr="00C373A4" w:rsidTr="00E345F4">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815C66" w:rsidRPr="00C373A4" w:rsidRDefault="00E030F3" w:rsidP="001312C3">
            <w:pPr>
              <w:jc w:val="left"/>
              <w:rPr>
                <w:sz w:val="18"/>
                <w:szCs w:val="18"/>
                <w:lang w:val="es-419"/>
              </w:rPr>
            </w:pPr>
            <w:r w:rsidRPr="00C373A4">
              <w:rPr>
                <w:sz w:val="18"/>
                <w:szCs w:val="18"/>
                <w:lang w:val="es-419"/>
              </w:rPr>
              <w:t>Referencia más reciente</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815C66" w:rsidRPr="00C373A4" w:rsidRDefault="00E030F3" w:rsidP="001312C3">
            <w:pPr>
              <w:jc w:val="center"/>
              <w:rPr>
                <w:sz w:val="18"/>
                <w:szCs w:val="18"/>
                <w:lang w:val="es-419"/>
              </w:rPr>
            </w:pPr>
            <w:r w:rsidRPr="00C373A4">
              <w:rPr>
                <w:sz w:val="18"/>
                <w:szCs w:val="18"/>
                <w:lang w:val="es-419"/>
              </w:rPr>
              <w:t>Documentos INF</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815C66" w:rsidRPr="00C373A4" w:rsidRDefault="00E030F3" w:rsidP="001312C3">
            <w:pPr>
              <w:jc w:val="left"/>
              <w:rPr>
                <w:sz w:val="18"/>
                <w:szCs w:val="18"/>
                <w:lang w:val="es-419"/>
              </w:rPr>
            </w:pPr>
            <w:r w:rsidRPr="00C373A4">
              <w:rPr>
                <w:sz w:val="18"/>
                <w:szCs w:val="18"/>
                <w:lang w:val="es-419"/>
              </w:rPr>
              <w:t>Situación</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UPOV/INF-EXN</w:t>
            </w:r>
          </w:p>
        </w:tc>
        <w:tc>
          <w:tcPr>
            <w:tcW w:w="4807" w:type="dxa"/>
          </w:tcPr>
          <w:p w:rsidR="00815C66" w:rsidRPr="00C373A4" w:rsidRDefault="00E030F3" w:rsidP="001312C3">
            <w:pPr>
              <w:jc w:val="left"/>
              <w:rPr>
                <w:sz w:val="18"/>
                <w:szCs w:val="18"/>
                <w:lang w:val="es-419"/>
              </w:rPr>
            </w:pPr>
            <w:r w:rsidRPr="00C373A4">
              <w:rPr>
                <w:sz w:val="18"/>
                <w:szCs w:val="18"/>
                <w:lang w:val="es-419"/>
              </w:rPr>
              <w:t>Lista de documentos UPOV/INF-EXN y fechas de última publicación</w:t>
            </w:r>
          </w:p>
        </w:tc>
        <w:tc>
          <w:tcPr>
            <w:tcW w:w="3920" w:type="dxa"/>
          </w:tcPr>
          <w:p w:rsidR="00815C66" w:rsidRPr="00C373A4" w:rsidRDefault="00E030F3" w:rsidP="00E345F4">
            <w:pPr>
              <w:spacing w:after="60"/>
              <w:jc w:val="left"/>
              <w:rPr>
                <w:sz w:val="18"/>
                <w:szCs w:val="18"/>
                <w:lang w:val="es-419"/>
              </w:rPr>
            </w:pPr>
            <w:r w:rsidRPr="00C373A4">
              <w:rPr>
                <w:sz w:val="18"/>
                <w:szCs w:val="18"/>
                <w:lang w:val="es-419"/>
              </w:rPr>
              <w:t xml:space="preserve">UPOV/INF-EXN/12 aprobado en </w:t>
            </w:r>
            <w:r w:rsidRPr="00C373A4">
              <w:rPr>
                <w:spacing w:val="-2"/>
                <w:sz w:val="18"/>
                <w:szCs w:val="18"/>
                <w:lang w:val="es-419"/>
              </w:rPr>
              <w:t xml:space="preserve">noviembre </w:t>
            </w:r>
            <w:r w:rsidRPr="00C373A4">
              <w:rPr>
                <w:sz w:val="18"/>
                <w:szCs w:val="18"/>
                <w:lang w:val="es-419"/>
              </w:rPr>
              <w:t>de 2018</w:t>
            </w:r>
          </w:p>
          <w:p w:rsidR="00815C66" w:rsidRPr="00C373A4" w:rsidRDefault="00E030F3" w:rsidP="001312C3">
            <w:pPr>
              <w:jc w:val="left"/>
              <w:rPr>
                <w:sz w:val="18"/>
                <w:szCs w:val="18"/>
                <w:lang w:val="es-419"/>
              </w:rPr>
            </w:pPr>
            <w:r w:rsidRPr="00C373A4">
              <w:rPr>
                <w:i/>
                <w:sz w:val="18"/>
                <w:szCs w:val="18"/>
                <w:lang w:val="es-419"/>
              </w:rPr>
              <w:t>UPOV/INF-EXN/13 </w:t>
            </w:r>
            <w:proofErr w:type="spellStart"/>
            <w:r w:rsidRPr="00C373A4">
              <w:rPr>
                <w:i/>
                <w:sz w:val="18"/>
                <w:szCs w:val="18"/>
                <w:lang w:val="es-419"/>
              </w:rPr>
              <w:t>Draft</w:t>
            </w:r>
            <w:proofErr w:type="spellEnd"/>
            <w:r w:rsidRPr="00C373A4">
              <w:rPr>
                <w:i/>
                <w:sz w:val="18"/>
                <w:szCs w:val="18"/>
                <w:lang w:val="es-419"/>
              </w:rPr>
              <w:t> 1 será examinado por el Consejo en noviembre de 2019</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UPOV/INF/4</w:t>
            </w:r>
          </w:p>
        </w:tc>
        <w:tc>
          <w:tcPr>
            <w:tcW w:w="4807" w:type="dxa"/>
          </w:tcPr>
          <w:p w:rsidR="00815C66" w:rsidRPr="00C373A4" w:rsidRDefault="00E030F3" w:rsidP="001312C3">
            <w:pPr>
              <w:jc w:val="left"/>
              <w:rPr>
                <w:sz w:val="18"/>
                <w:szCs w:val="18"/>
                <w:lang w:val="es-419"/>
              </w:rPr>
            </w:pPr>
            <w:r w:rsidRPr="00C373A4">
              <w:rPr>
                <w:sz w:val="18"/>
                <w:szCs w:val="18"/>
                <w:lang w:val="es-419"/>
              </w:rPr>
              <w:t>Reglamento financiero y reglamentación financiera de la UPOV</w:t>
            </w:r>
          </w:p>
        </w:tc>
        <w:tc>
          <w:tcPr>
            <w:tcW w:w="3920" w:type="dxa"/>
          </w:tcPr>
          <w:p w:rsidR="00815C66" w:rsidRPr="00C373A4" w:rsidRDefault="00E030F3" w:rsidP="001312C3">
            <w:pPr>
              <w:jc w:val="left"/>
              <w:rPr>
                <w:sz w:val="18"/>
                <w:szCs w:val="18"/>
                <w:lang w:val="es-419"/>
              </w:rPr>
            </w:pPr>
            <w:r w:rsidRPr="00C373A4">
              <w:rPr>
                <w:sz w:val="18"/>
                <w:szCs w:val="18"/>
                <w:lang w:val="es-419"/>
              </w:rPr>
              <w:t>UPOV/INF/4/5 aprobado en noviembre de 2018</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UPOV/INF/5</w:t>
            </w:r>
          </w:p>
        </w:tc>
        <w:tc>
          <w:tcPr>
            <w:tcW w:w="4807" w:type="dxa"/>
          </w:tcPr>
          <w:p w:rsidR="00815C66" w:rsidRPr="00C373A4" w:rsidRDefault="00E030F3" w:rsidP="001312C3">
            <w:pPr>
              <w:jc w:val="left"/>
              <w:rPr>
                <w:sz w:val="18"/>
                <w:szCs w:val="18"/>
                <w:lang w:val="es-419"/>
              </w:rPr>
            </w:pPr>
            <w:r w:rsidRPr="00C373A4">
              <w:rPr>
                <w:sz w:val="18"/>
                <w:szCs w:val="18"/>
                <w:lang w:val="es-419"/>
              </w:rPr>
              <w:t>Boletín tipo de la UPOV sobre la protección de las obtenciones vegetales</w:t>
            </w:r>
          </w:p>
        </w:tc>
        <w:tc>
          <w:tcPr>
            <w:tcW w:w="3920" w:type="dxa"/>
          </w:tcPr>
          <w:p w:rsidR="00815C66" w:rsidRPr="00C373A4" w:rsidRDefault="00E030F3" w:rsidP="00E345F4">
            <w:pPr>
              <w:spacing w:after="60"/>
              <w:jc w:val="left"/>
              <w:rPr>
                <w:sz w:val="18"/>
                <w:szCs w:val="18"/>
                <w:lang w:val="es-419"/>
              </w:rPr>
            </w:pPr>
            <w:r w:rsidRPr="00C373A4">
              <w:rPr>
                <w:sz w:val="18"/>
                <w:szCs w:val="18"/>
                <w:lang w:val="es-419"/>
              </w:rPr>
              <w:t>UPOV/INF/5 aprobado en octubre de 1979</w:t>
            </w:r>
          </w:p>
          <w:p w:rsidR="00815C66" w:rsidRPr="00C373A4" w:rsidRDefault="00E030F3" w:rsidP="001312C3">
            <w:pPr>
              <w:jc w:val="left"/>
              <w:rPr>
                <w:i/>
                <w:sz w:val="18"/>
                <w:szCs w:val="18"/>
                <w:lang w:val="es-419"/>
              </w:rPr>
            </w:pPr>
            <w:r w:rsidRPr="00C373A4">
              <w:rPr>
                <w:i/>
                <w:sz w:val="18"/>
                <w:szCs w:val="18"/>
                <w:lang w:val="es-419"/>
              </w:rPr>
              <w:t>UPOV/INF/5/2 </w:t>
            </w:r>
            <w:proofErr w:type="spellStart"/>
            <w:r w:rsidRPr="00C373A4">
              <w:rPr>
                <w:i/>
                <w:sz w:val="18"/>
                <w:szCs w:val="18"/>
                <w:lang w:val="es-419"/>
              </w:rPr>
              <w:t>Draft</w:t>
            </w:r>
            <w:proofErr w:type="spellEnd"/>
            <w:r w:rsidRPr="00C373A4">
              <w:rPr>
                <w:i/>
                <w:sz w:val="18"/>
                <w:szCs w:val="18"/>
                <w:lang w:val="es-419"/>
              </w:rPr>
              <w:t> 2 será examinado por el Consejo en noviembre de 2019</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UPOV/INF/6</w:t>
            </w:r>
          </w:p>
        </w:tc>
        <w:tc>
          <w:tcPr>
            <w:tcW w:w="4807" w:type="dxa"/>
          </w:tcPr>
          <w:p w:rsidR="00815C66" w:rsidRPr="00C373A4" w:rsidRDefault="00E030F3" w:rsidP="001312C3">
            <w:pPr>
              <w:jc w:val="left"/>
              <w:rPr>
                <w:sz w:val="18"/>
                <w:szCs w:val="18"/>
                <w:lang w:val="es-419"/>
              </w:rPr>
            </w:pPr>
            <w:r w:rsidRPr="00C373A4">
              <w:rPr>
                <w:sz w:val="18"/>
                <w:szCs w:val="18"/>
                <w:lang w:val="es-419"/>
              </w:rPr>
              <w:t>Orientaciones para la redacc</w:t>
            </w:r>
            <w:r w:rsidR="00EF7EE5">
              <w:rPr>
                <w:sz w:val="18"/>
                <w:szCs w:val="18"/>
                <w:lang w:val="es-419"/>
              </w:rPr>
              <w:t>ión de leyes basadas en el Acta </w:t>
            </w:r>
            <w:r w:rsidRPr="00C373A4">
              <w:rPr>
                <w:sz w:val="18"/>
                <w:szCs w:val="18"/>
                <w:lang w:val="es-419"/>
              </w:rPr>
              <w:t>de 1991 del Convenio de la UPOV</w:t>
            </w:r>
          </w:p>
        </w:tc>
        <w:tc>
          <w:tcPr>
            <w:tcW w:w="3920" w:type="dxa"/>
          </w:tcPr>
          <w:p w:rsidR="00815C66" w:rsidRPr="00C373A4" w:rsidRDefault="00E030F3" w:rsidP="001312C3">
            <w:pPr>
              <w:jc w:val="left"/>
              <w:rPr>
                <w:sz w:val="18"/>
                <w:szCs w:val="18"/>
                <w:lang w:val="es-419"/>
              </w:rPr>
            </w:pPr>
            <w:r w:rsidRPr="00C373A4">
              <w:rPr>
                <w:sz w:val="18"/>
                <w:szCs w:val="18"/>
                <w:lang w:val="es-419"/>
              </w:rPr>
              <w:t>UPOV/INF/6/5 aprobado en abril de 2017</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UPOV/INF/7</w:t>
            </w:r>
          </w:p>
        </w:tc>
        <w:tc>
          <w:tcPr>
            <w:tcW w:w="4807" w:type="dxa"/>
          </w:tcPr>
          <w:p w:rsidR="00815C66" w:rsidRPr="00C373A4" w:rsidRDefault="00E030F3" w:rsidP="001312C3">
            <w:pPr>
              <w:jc w:val="left"/>
              <w:rPr>
                <w:sz w:val="18"/>
                <w:szCs w:val="18"/>
                <w:lang w:val="es-419"/>
              </w:rPr>
            </w:pPr>
            <w:r w:rsidRPr="00C373A4">
              <w:rPr>
                <w:sz w:val="18"/>
                <w:szCs w:val="18"/>
                <w:lang w:val="es-419"/>
              </w:rPr>
              <w:t>Reglamento del Consejo</w:t>
            </w:r>
          </w:p>
        </w:tc>
        <w:tc>
          <w:tcPr>
            <w:tcW w:w="3920" w:type="dxa"/>
          </w:tcPr>
          <w:p w:rsidR="00815C66" w:rsidRPr="00C373A4" w:rsidRDefault="00E030F3" w:rsidP="001312C3">
            <w:pPr>
              <w:jc w:val="left"/>
              <w:rPr>
                <w:sz w:val="18"/>
                <w:szCs w:val="18"/>
                <w:lang w:val="es-419"/>
              </w:rPr>
            </w:pPr>
            <w:r w:rsidRPr="00C373A4">
              <w:rPr>
                <w:sz w:val="18"/>
                <w:szCs w:val="18"/>
                <w:lang w:val="es-419"/>
              </w:rPr>
              <w:t>UPOV/INF/7 aprobado en octubre de 1982</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UPOV/INF/8</w:t>
            </w:r>
          </w:p>
        </w:tc>
        <w:tc>
          <w:tcPr>
            <w:tcW w:w="4807" w:type="dxa"/>
          </w:tcPr>
          <w:p w:rsidR="00815C66" w:rsidRPr="00C373A4" w:rsidRDefault="00E030F3" w:rsidP="001312C3">
            <w:pPr>
              <w:jc w:val="left"/>
              <w:rPr>
                <w:sz w:val="18"/>
                <w:szCs w:val="18"/>
                <w:lang w:val="es-419"/>
              </w:rPr>
            </w:pPr>
            <w:r w:rsidRPr="00C373A4">
              <w:rPr>
                <w:sz w:val="18"/>
                <w:szCs w:val="18"/>
                <w:lang w:val="es-419"/>
              </w:rPr>
              <w:t>Acuerdo entre la Organización Mundial de la Propiedad Intelectual y la Unión Internacional para la Protección de las Obtenciones Vegetales</w:t>
            </w:r>
          </w:p>
        </w:tc>
        <w:tc>
          <w:tcPr>
            <w:tcW w:w="3920" w:type="dxa"/>
          </w:tcPr>
          <w:p w:rsidR="00815C66" w:rsidRPr="00C373A4" w:rsidRDefault="00E030F3" w:rsidP="001312C3">
            <w:pPr>
              <w:jc w:val="left"/>
              <w:rPr>
                <w:sz w:val="18"/>
                <w:szCs w:val="18"/>
                <w:lang w:val="es-419"/>
              </w:rPr>
            </w:pPr>
            <w:r w:rsidRPr="00C373A4">
              <w:rPr>
                <w:sz w:val="18"/>
                <w:szCs w:val="18"/>
                <w:lang w:val="es-419"/>
              </w:rPr>
              <w:t>UPOV/INF/8 firmado en noviembre de 1982</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UPOV/INF/9</w:t>
            </w:r>
          </w:p>
        </w:tc>
        <w:tc>
          <w:tcPr>
            <w:tcW w:w="4807" w:type="dxa"/>
          </w:tcPr>
          <w:p w:rsidR="00815C66" w:rsidRPr="00C373A4" w:rsidRDefault="00E030F3" w:rsidP="001312C3">
            <w:pPr>
              <w:jc w:val="left"/>
              <w:rPr>
                <w:sz w:val="18"/>
                <w:szCs w:val="18"/>
                <w:lang w:val="es-419"/>
              </w:rPr>
            </w:pPr>
            <w:r w:rsidRPr="00C373A4">
              <w:rPr>
                <w:sz w:val="18"/>
                <w:szCs w:val="18"/>
                <w:lang w:val="es-419"/>
              </w:rPr>
              <w:t>Acuerdo entre la Unión Internacional para la Protección de las Obtenciones Vegetales y el Consejo Federal Suizo para determinar la situación jurídica en Suiza de esa Unión (Acuerdo de Sede)</w:t>
            </w:r>
          </w:p>
        </w:tc>
        <w:tc>
          <w:tcPr>
            <w:tcW w:w="3920" w:type="dxa"/>
          </w:tcPr>
          <w:p w:rsidR="00815C66" w:rsidRPr="00C373A4" w:rsidRDefault="00E030F3" w:rsidP="001312C3">
            <w:pPr>
              <w:jc w:val="left"/>
              <w:rPr>
                <w:sz w:val="18"/>
                <w:szCs w:val="18"/>
                <w:lang w:val="es-419"/>
              </w:rPr>
            </w:pPr>
            <w:r w:rsidRPr="00C373A4">
              <w:rPr>
                <w:sz w:val="18"/>
                <w:szCs w:val="18"/>
                <w:lang w:val="es-419"/>
              </w:rPr>
              <w:t>UPOV/INF/9 firmado en noviembre de 1983</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UPOV/INF/10</w:t>
            </w:r>
          </w:p>
        </w:tc>
        <w:tc>
          <w:tcPr>
            <w:tcW w:w="4807" w:type="dxa"/>
          </w:tcPr>
          <w:p w:rsidR="00815C66" w:rsidRPr="00C373A4" w:rsidRDefault="00E030F3" w:rsidP="001312C3">
            <w:pPr>
              <w:jc w:val="left"/>
              <w:rPr>
                <w:sz w:val="18"/>
                <w:szCs w:val="18"/>
                <w:lang w:val="es-419"/>
              </w:rPr>
            </w:pPr>
            <w:r w:rsidRPr="00C373A4">
              <w:rPr>
                <w:sz w:val="18"/>
                <w:szCs w:val="18"/>
                <w:lang w:val="es-419"/>
              </w:rPr>
              <w:t>Auditoría interna</w:t>
            </w:r>
          </w:p>
        </w:tc>
        <w:tc>
          <w:tcPr>
            <w:tcW w:w="3920" w:type="dxa"/>
          </w:tcPr>
          <w:p w:rsidR="00815C66" w:rsidRPr="00C373A4" w:rsidRDefault="00E030F3" w:rsidP="001312C3">
            <w:pPr>
              <w:jc w:val="left"/>
              <w:rPr>
                <w:sz w:val="18"/>
                <w:szCs w:val="18"/>
                <w:lang w:val="es-419"/>
              </w:rPr>
            </w:pPr>
            <w:r w:rsidRPr="00C373A4">
              <w:rPr>
                <w:sz w:val="18"/>
                <w:szCs w:val="18"/>
                <w:lang w:val="es-419"/>
              </w:rPr>
              <w:t>UPOV/INF/10/1 aprobado en octubre de 2010</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UPOV/INF/12</w:t>
            </w:r>
          </w:p>
        </w:tc>
        <w:tc>
          <w:tcPr>
            <w:tcW w:w="4807" w:type="dxa"/>
          </w:tcPr>
          <w:p w:rsidR="00815C66" w:rsidRPr="00C373A4" w:rsidRDefault="00E030F3" w:rsidP="001312C3">
            <w:pPr>
              <w:jc w:val="left"/>
              <w:rPr>
                <w:sz w:val="18"/>
                <w:szCs w:val="18"/>
                <w:lang w:val="es-419"/>
              </w:rPr>
            </w:pPr>
            <w:r w:rsidRPr="00C373A4">
              <w:rPr>
                <w:sz w:val="18"/>
                <w:szCs w:val="18"/>
                <w:lang w:val="es-419"/>
              </w:rPr>
              <w:t>Notas explicativas sobre las denominaciones de variedades con arreglo al Convenio de la UPOV</w:t>
            </w:r>
          </w:p>
        </w:tc>
        <w:tc>
          <w:tcPr>
            <w:tcW w:w="3920" w:type="dxa"/>
          </w:tcPr>
          <w:p w:rsidR="00815C66" w:rsidRPr="00C373A4" w:rsidRDefault="00E030F3" w:rsidP="00E345F4">
            <w:pPr>
              <w:spacing w:after="60"/>
              <w:jc w:val="left"/>
              <w:rPr>
                <w:bCs/>
                <w:snapToGrid w:val="0"/>
                <w:sz w:val="18"/>
                <w:szCs w:val="18"/>
                <w:lang w:val="es-419"/>
              </w:rPr>
            </w:pPr>
            <w:r w:rsidRPr="00C373A4">
              <w:rPr>
                <w:sz w:val="18"/>
                <w:szCs w:val="18"/>
                <w:lang w:val="es-419"/>
              </w:rPr>
              <w:t>UPOV/INF/12/5 aprobado en octubre de 2015</w:t>
            </w:r>
          </w:p>
          <w:p w:rsidR="00815C66" w:rsidRPr="00C373A4" w:rsidRDefault="00E030F3" w:rsidP="001312C3">
            <w:pPr>
              <w:jc w:val="left"/>
              <w:rPr>
                <w:spacing w:val="-2"/>
                <w:sz w:val="18"/>
                <w:szCs w:val="18"/>
                <w:lang w:val="es-419"/>
              </w:rPr>
            </w:pPr>
            <w:r w:rsidRPr="00C373A4">
              <w:rPr>
                <w:i/>
                <w:sz w:val="18"/>
                <w:szCs w:val="18"/>
                <w:lang w:val="es-419"/>
              </w:rPr>
              <w:t>UPOV/EXN/DEN/1 </w:t>
            </w:r>
            <w:proofErr w:type="spellStart"/>
            <w:r w:rsidRPr="00C373A4">
              <w:rPr>
                <w:i/>
                <w:sz w:val="18"/>
                <w:szCs w:val="18"/>
                <w:lang w:val="es-419"/>
              </w:rPr>
              <w:t>Draft</w:t>
            </w:r>
            <w:proofErr w:type="spellEnd"/>
            <w:r w:rsidRPr="00C373A4">
              <w:rPr>
                <w:i/>
                <w:sz w:val="18"/>
                <w:szCs w:val="18"/>
                <w:lang w:val="es-419"/>
              </w:rPr>
              <w:t> 2 será examinado por el CAJ en octubre de 2019</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UPOV/INF/13</w:t>
            </w:r>
          </w:p>
        </w:tc>
        <w:tc>
          <w:tcPr>
            <w:tcW w:w="4807" w:type="dxa"/>
          </w:tcPr>
          <w:p w:rsidR="00815C66" w:rsidRPr="00C373A4" w:rsidRDefault="00E030F3" w:rsidP="001312C3">
            <w:pPr>
              <w:jc w:val="left"/>
              <w:rPr>
                <w:sz w:val="18"/>
                <w:szCs w:val="18"/>
                <w:lang w:val="es-419"/>
              </w:rPr>
            </w:pPr>
            <w:r w:rsidRPr="00C373A4">
              <w:rPr>
                <w:sz w:val="18"/>
                <w:szCs w:val="18"/>
                <w:lang w:val="es-419"/>
              </w:rPr>
              <w:t>Orientación sobre cómo ser miembro de la UPOV</w:t>
            </w:r>
          </w:p>
        </w:tc>
        <w:tc>
          <w:tcPr>
            <w:tcW w:w="3920" w:type="dxa"/>
          </w:tcPr>
          <w:p w:rsidR="00815C66" w:rsidRPr="00C373A4" w:rsidRDefault="00E030F3" w:rsidP="001312C3">
            <w:pPr>
              <w:jc w:val="left"/>
              <w:rPr>
                <w:sz w:val="18"/>
                <w:szCs w:val="18"/>
                <w:lang w:val="es-419"/>
              </w:rPr>
            </w:pPr>
            <w:r w:rsidRPr="00C373A4">
              <w:rPr>
                <w:sz w:val="18"/>
                <w:szCs w:val="18"/>
                <w:lang w:val="es-419"/>
              </w:rPr>
              <w:t>UPOV/INF/13/2 aprobado en octubre de 2017</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UPOV/INF/14</w:t>
            </w:r>
          </w:p>
        </w:tc>
        <w:tc>
          <w:tcPr>
            <w:tcW w:w="4807" w:type="dxa"/>
          </w:tcPr>
          <w:p w:rsidR="00815C66" w:rsidRPr="00C373A4" w:rsidRDefault="00E030F3" w:rsidP="001312C3">
            <w:pPr>
              <w:jc w:val="left"/>
              <w:rPr>
                <w:sz w:val="18"/>
                <w:szCs w:val="18"/>
                <w:lang w:val="es-419"/>
              </w:rPr>
            </w:pPr>
            <w:r w:rsidRPr="00C373A4">
              <w:rPr>
                <w:sz w:val="18"/>
                <w:szCs w:val="18"/>
                <w:lang w:val="es-419"/>
              </w:rPr>
              <w:t>Orientación para los miembros de la UPOV sobre cómo ratificar el Acta de 1991 del Convenio de la UPOV, o adherirse a ella</w:t>
            </w:r>
          </w:p>
        </w:tc>
        <w:tc>
          <w:tcPr>
            <w:tcW w:w="3920" w:type="dxa"/>
          </w:tcPr>
          <w:p w:rsidR="00815C66" w:rsidRPr="00C373A4" w:rsidRDefault="00E030F3" w:rsidP="001312C3">
            <w:pPr>
              <w:jc w:val="left"/>
              <w:rPr>
                <w:sz w:val="18"/>
                <w:szCs w:val="18"/>
                <w:lang w:val="es-419"/>
              </w:rPr>
            </w:pPr>
            <w:r w:rsidRPr="00C373A4">
              <w:rPr>
                <w:sz w:val="18"/>
                <w:szCs w:val="18"/>
                <w:lang w:val="es-419"/>
              </w:rPr>
              <w:t>UPOV/INF/14/1 aprobado en octubre de 2009</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UPOV/INF/15</w:t>
            </w:r>
          </w:p>
        </w:tc>
        <w:tc>
          <w:tcPr>
            <w:tcW w:w="4807" w:type="dxa"/>
          </w:tcPr>
          <w:p w:rsidR="00815C66" w:rsidRPr="00C373A4" w:rsidRDefault="00E030F3" w:rsidP="001312C3">
            <w:pPr>
              <w:jc w:val="left"/>
              <w:rPr>
                <w:sz w:val="18"/>
                <w:szCs w:val="18"/>
                <w:lang w:val="es-419"/>
              </w:rPr>
            </w:pPr>
            <w:r w:rsidRPr="00C373A4">
              <w:rPr>
                <w:sz w:val="18"/>
                <w:szCs w:val="18"/>
                <w:lang w:val="es-419"/>
              </w:rPr>
              <w:t>Orientación para los miembros de la UPOV</w:t>
            </w:r>
            <w:r w:rsidR="00815C66" w:rsidRPr="00C373A4">
              <w:rPr>
                <w:sz w:val="18"/>
                <w:szCs w:val="18"/>
                <w:lang w:val="es-419"/>
              </w:rPr>
              <w:t xml:space="preserve"> </w:t>
            </w:r>
          </w:p>
        </w:tc>
        <w:tc>
          <w:tcPr>
            <w:tcW w:w="3920" w:type="dxa"/>
          </w:tcPr>
          <w:p w:rsidR="00815C66" w:rsidRPr="00C373A4" w:rsidRDefault="00E030F3" w:rsidP="001312C3">
            <w:pPr>
              <w:jc w:val="left"/>
              <w:rPr>
                <w:sz w:val="18"/>
                <w:szCs w:val="18"/>
                <w:lang w:val="es-419"/>
              </w:rPr>
            </w:pPr>
            <w:r w:rsidRPr="00C373A4">
              <w:rPr>
                <w:sz w:val="18"/>
                <w:szCs w:val="18"/>
                <w:lang w:val="es-419"/>
              </w:rPr>
              <w:t>UPOV/INF/15/3 aprobado en marzo de 2015</w:t>
            </w:r>
            <w:r w:rsidR="00815C66" w:rsidRPr="00C373A4">
              <w:rPr>
                <w:sz w:val="18"/>
                <w:szCs w:val="18"/>
                <w:lang w:val="es-419"/>
              </w:rPr>
              <w:t xml:space="preserve"> </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UPOV/INF/16</w:t>
            </w:r>
          </w:p>
        </w:tc>
        <w:tc>
          <w:tcPr>
            <w:tcW w:w="4807" w:type="dxa"/>
          </w:tcPr>
          <w:p w:rsidR="00815C66" w:rsidRPr="00C373A4" w:rsidRDefault="00E030F3" w:rsidP="001312C3">
            <w:pPr>
              <w:jc w:val="left"/>
              <w:rPr>
                <w:sz w:val="18"/>
                <w:szCs w:val="18"/>
                <w:lang w:val="es-419"/>
              </w:rPr>
            </w:pPr>
            <w:r w:rsidRPr="00C373A4">
              <w:rPr>
                <w:sz w:val="18"/>
                <w:szCs w:val="18"/>
                <w:lang w:val="es-419"/>
              </w:rPr>
              <w:t>Programas informáticos para intercambio</w:t>
            </w:r>
          </w:p>
        </w:tc>
        <w:tc>
          <w:tcPr>
            <w:tcW w:w="3920" w:type="dxa"/>
          </w:tcPr>
          <w:p w:rsidR="00815C66" w:rsidRPr="00C373A4" w:rsidRDefault="00E030F3" w:rsidP="001312C3">
            <w:pPr>
              <w:jc w:val="left"/>
              <w:rPr>
                <w:sz w:val="18"/>
                <w:szCs w:val="18"/>
                <w:lang w:val="es-419"/>
              </w:rPr>
            </w:pPr>
            <w:r w:rsidRPr="00C373A4">
              <w:rPr>
                <w:sz w:val="18"/>
                <w:szCs w:val="18"/>
                <w:lang w:val="es-419"/>
              </w:rPr>
              <w:t>UPOV/INF/16/8 aprobado en noviembre de 2018</w:t>
            </w:r>
            <w:r w:rsidR="00815C66" w:rsidRPr="00C373A4">
              <w:rPr>
                <w:sz w:val="18"/>
                <w:szCs w:val="18"/>
                <w:lang w:val="es-419"/>
              </w:rPr>
              <w:t xml:space="preserve"> </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UPOV/INF/17</w:t>
            </w:r>
          </w:p>
        </w:tc>
        <w:tc>
          <w:tcPr>
            <w:tcW w:w="4807" w:type="dxa"/>
          </w:tcPr>
          <w:p w:rsidR="00815C66" w:rsidRPr="00C373A4" w:rsidRDefault="00E030F3" w:rsidP="001312C3">
            <w:pPr>
              <w:jc w:val="left"/>
              <w:rPr>
                <w:sz w:val="18"/>
                <w:szCs w:val="18"/>
                <w:lang w:val="es-419"/>
              </w:rPr>
            </w:pPr>
            <w:r w:rsidRPr="00C373A4">
              <w:rPr>
                <w:sz w:val="18"/>
                <w:szCs w:val="18"/>
                <w:lang w:val="es-419"/>
              </w:rPr>
              <w:t>Directrices para los perfiles de ADN:</w:t>
            </w:r>
            <w:r w:rsidR="00815C66" w:rsidRPr="00C373A4">
              <w:rPr>
                <w:sz w:val="18"/>
                <w:szCs w:val="18"/>
                <w:lang w:val="es-419"/>
              </w:rPr>
              <w:t xml:space="preserve"> </w:t>
            </w:r>
            <w:r w:rsidRPr="00C373A4">
              <w:rPr>
                <w:sz w:val="18"/>
                <w:szCs w:val="18"/>
                <w:lang w:val="es-419"/>
              </w:rPr>
              <w:t>selección de marcadores moleculares y creación de una base de datos (“Directrices BMT”)</w:t>
            </w:r>
          </w:p>
        </w:tc>
        <w:tc>
          <w:tcPr>
            <w:tcW w:w="3920" w:type="dxa"/>
          </w:tcPr>
          <w:p w:rsidR="00815C66" w:rsidRPr="00C373A4" w:rsidRDefault="00E030F3" w:rsidP="001312C3">
            <w:pPr>
              <w:jc w:val="left"/>
              <w:rPr>
                <w:sz w:val="18"/>
                <w:szCs w:val="18"/>
                <w:lang w:val="es-419"/>
              </w:rPr>
            </w:pPr>
            <w:r w:rsidRPr="00C373A4">
              <w:rPr>
                <w:sz w:val="18"/>
                <w:szCs w:val="18"/>
                <w:lang w:val="es-419"/>
              </w:rPr>
              <w:t>UPOV/INF/17/1 aprobado en octubre de 2010</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UPOV/INF/18</w:t>
            </w:r>
          </w:p>
        </w:tc>
        <w:tc>
          <w:tcPr>
            <w:tcW w:w="4807" w:type="dxa"/>
          </w:tcPr>
          <w:p w:rsidR="00815C66" w:rsidRPr="00C373A4" w:rsidRDefault="00E030F3" w:rsidP="001312C3">
            <w:pPr>
              <w:jc w:val="left"/>
              <w:rPr>
                <w:sz w:val="18"/>
                <w:szCs w:val="18"/>
                <w:lang w:val="es-419"/>
              </w:rPr>
            </w:pPr>
            <w:r w:rsidRPr="00C373A4">
              <w:rPr>
                <w:sz w:val="18"/>
                <w:szCs w:val="18"/>
                <w:lang w:val="es-419"/>
              </w:rPr>
              <w:t>Posible utilización de marcadores moleculares en el examen de la distinción, la homogeneidad y la estabilidad (DUS)</w:t>
            </w:r>
          </w:p>
        </w:tc>
        <w:tc>
          <w:tcPr>
            <w:tcW w:w="3920" w:type="dxa"/>
          </w:tcPr>
          <w:p w:rsidR="00815C66" w:rsidRPr="00C373A4" w:rsidRDefault="00E030F3" w:rsidP="001312C3">
            <w:pPr>
              <w:jc w:val="left"/>
              <w:rPr>
                <w:sz w:val="18"/>
                <w:szCs w:val="18"/>
                <w:lang w:val="es-419"/>
              </w:rPr>
            </w:pPr>
            <w:r w:rsidRPr="00C373A4">
              <w:rPr>
                <w:sz w:val="18"/>
                <w:szCs w:val="18"/>
                <w:lang w:val="es-419"/>
              </w:rPr>
              <w:t>UPOV/INF/18/1 aprobado en octubre de 2011</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UPOV/INF/19</w:t>
            </w:r>
          </w:p>
        </w:tc>
        <w:tc>
          <w:tcPr>
            <w:tcW w:w="4807" w:type="dxa"/>
          </w:tcPr>
          <w:p w:rsidR="00815C66" w:rsidRPr="00C373A4" w:rsidRDefault="00E030F3" w:rsidP="001312C3">
            <w:pPr>
              <w:jc w:val="left"/>
              <w:rPr>
                <w:sz w:val="18"/>
                <w:szCs w:val="18"/>
                <w:lang w:val="es-419"/>
              </w:rPr>
            </w:pPr>
            <w:r w:rsidRPr="00C373A4">
              <w:rPr>
                <w:sz w:val="18"/>
                <w:szCs w:val="18"/>
                <w:lang w:val="es-419"/>
              </w:rPr>
              <w:t>Reglas que rigen la concesión de la condición de observador ante los órganos de la UPOV a los Estados, las organizaciones intergubernamentales y las organizaciones internacionales no gubernamentales</w:t>
            </w:r>
          </w:p>
        </w:tc>
        <w:tc>
          <w:tcPr>
            <w:tcW w:w="3920" w:type="dxa"/>
          </w:tcPr>
          <w:p w:rsidR="00815C66" w:rsidRPr="00C373A4" w:rsidRDefault="00E030F3" w:rsidP="001312C3">
            <w:pPr>
              <w:jc w:val="left"/>
              <w:rPr>
                <w:iCs/>
                <w:sz w:val="18"/>
                <w:szCs w:val="18"/>
                <w:lang w:val="es-419"/>
              </w:rPr>
            </w:pPr>
            <w:r w:rsidRPr="00C373A4">
              <w:rPr>
                <w:sz w:val="18"/>
                <w:szCs w:val="18"/>
                <w:lang w:val="es-419"/>
              </w:rPr>
              <w:t>UPOV/INF/19/1 aprobado en noviembre de 2012</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UPOV/INF/20</w:t>
            </w:r>
          </w:p>
        </w:tc>
        <w:tc>
          <w:tcPr>
            <w:tcW w:w="4807" w:type="dxa"/>
          </w:tcPr>
          <w:p w:rsidR="00815C66" w:rsidRPr="00C373A4" w:rsidRDefault="00E030F3" w:rsidP="001312C3">
            <w:pPr>
              <w:jc w:val="left"/>
              <w:rPr>
                <w:sz w:val="18"/>
                <w:szCs w:val="18"/>
                <w:lang w:val="es-419"/>
              </w:rPr>
            </w:pPr>
            <w:r w:rsidRPr="00C373A4">
              <w:rPr>
                <w:sz w:val="18"/>
                <w:szCs w:val="18"/>
                <w:lang w:val="es-419"/>
              </w:rPr>
              <w:t>Reglas que rigen el acceso a los documentos de la UPOV</w:t>
            </w:r>
          </w:p>
        </w:tc>
        <w:tc>
          <w:tcPr>
            <w:tcW w:w="3920" w:type="dxa"/>
          </w:tcPr>
          <w:p w:rsidR="00815C66" w:rsidRPr="00C373A4" w:rsidRDefault="00E030F3" w:rsidP="001312C3">
            <w:pPr>
              <w:jc w:val="left"/>
              <w:rPr>
                <w:iCs/>
                <w:sz w:val="18"/>
                <w:szCs w:val="18"/>
                <w:lang w:val="es-419"/>
              </w:rPr>
            </w:pPr>
            <w:r w:rsidRPr="00C373A4">
              <w:rPr>
                <w:sz w:val="18"/>
                <w:szCs w:val="18"/>
                <w:lang w:val="es-419"/>
              </w:rPr>
              <w:t>UPOV/INF/20/1 aprobado en noviembre de 2012</w:t>
            </w:r>
          </w:p>
        </w:tc>
      </w:tr>
      <w:tr w:rsidR="00815C66" w:rsidRPr="00C373A4" w:rsidTr="00E345F4">
        <w:trPr>
          <w:cantSplit/>
          <w:jc w:val="center"/>
        </w:trPr>
        <w:tc>
          <w:tcPr>
            <w:tcW w:w="1758" w:type="dxa"/>
          </w:tcPr>
          <w:p w:rsidR="00815C66" w:rsidRPr="00C373A4" w:rsidRDefault="00815C66" w:rsidP="00E345F4">
            <w:pPr>
              <w:jc w:val="left"/>
              <w:rPr>
                <w:sz w:val="18"/>
                <w:szCs w:val="18"/>
                <w:lang w:val="es-419"/>
              </w:rPr>
            </w:pPr>
            <w:r w:rsidRPr="00C373A4">
              <w:rPr>
                <w:sz w:val="18"/>
                <w:szCs w:val="18"/>
                <w:lang w:val="es-419"/>
              </w:rPr>
              <w:t>UPOV/INF/21</w:t>
            </w:r>
          </w:p>
        </w:tc>
        <w:tc>
          <w:tcPr>
            <w:tcW w:w="4807" w:type="dxa"/>
          </w:tcPr>
          <w:p w:rsidR="00815C66" w:rsidRPr="00C373A4" w:rsidRDefault="00E030F3" w:rsidP="001312C3">
            <w:pPr>
              <w:jc w:val="left"/>
              <w:rPr>
                <w:sz w:val="18"/>
                <w:szCs w:val="18"/>
                <w:lang w:val="es-419"/>
              </w:rPr>
            </w:pPr>
            <w:r w:rsidRPr="00C373A4">
              <w:rPr>
                <w:sz w:val="18"/>
                <w:szCs w:val="18"/>
                <w:lang w:val="es-419"/>
              </w:rPr>
              <w:t>Mecanismos alternativos de solución de controversias</w:t>
            </w:r>
          </w:p>
        </w:tc>
        <w:tc>
          <w:tcPr>
            <w:tcW w:w="3920" w:type="dxa"/>
          </w:tcPr>
          <w:p w:rsidR="00815C66" w:rsidRPr="00C373A4" w:rsidRDefault="00E030F3" w:rsidP="001312C3">
            <w:pPr>
              <w:jc w:val="left"/>
              <w:rPr>
                <w:sz w:val="18"/>
                <w:szCs w:val="18"/>
                <w:lang w:val="es-419"/>
              </w:rPr>
            </w:pPr>
            <w:r w:rsidRPr="00C373A4">
              <w:rPr>
                <w:sz w:val="18"/>
                <w:szCs w:val="18"/>
                <w:lang w:val="es-419"/>
              </w:rPr>
              <w:t>UPOV/INF/21/1 aprobado en noviembre de 2012</w:t>
            </w:r>
          </w:p>
        </w:tc>
      </w:tr>
      <w:tr w:rsidR="00815C66" w:rsidRPr="00C373A4" w:rsidTr="00E345F4">
        <w:trPr>
          <w:cantSplit/>
          <w:jc w:val="center"/>
        </w:trPr>
        <w:tc>
          <w:tcPr>
            <w:tcW w:w="1758" w:type="dxa"/>
          </w:tcPr>
          <w:p w:rsidR="00815C66" w:rsidRPr="00C373A4" w:rsidRDefault="00815C66" w:rsidP="00E345F4">
            <w:pPr>
              <w:rPr>
                <w:sz w:val="18"/>
                <w:szCs w:val="18"/>
                <w:lang w:val="es-419"/>
              </w:rPr>
            </w:pPr>
            <w:r w:rsidRPr="00C373A4">
              <w:rPr>
                <w:sz w:val="18"/>
                <w:szCs w:val="18"/>
                <w:lang w:val="es-419"/>
              </w:rPr>
              <w:t>UPOV/INF/22</w:t>
            </w:r>
          </w:p>
        </w:tc>
        <w:tc>
          <w:tcPr>
            <w:tcW w:w="4807" w:type="dxa"/>
          </w:tcPr>
          <w:p w:rsidR="00815C66" w:rsidRPr="00C373A4" w:rsidRDefault="00E030F3" w:rsidP="001312C3">
            <w:pPr>
              <w:rPr>
                <w:sz w:val="18"/>
                <w:szCs w:val="18"/>
                <w:lang w:val="es-419"/>
              </w:rPr>
            </w:pPr>
            <w:r w:rsidRPr="00C373A4">
              <w:rPr>
                <w:sz w:val="18"/>
                <w:szCs w:val="18"/>
                <w:lang w:val="es-419"/>
              </w:rPr>
              <w:t>Programas informáticos y equipos utilizados por los miembros de la Unión</w:t>
            </w:r>
            <w:r w:rsidR="00815C66" w:rsidRPr="00C373A4">
              <w:rPr>
                <w:sz w:val="18"/>
                <w:szCs w:val="18"/>
                <w:lang w:val="es-419"/>
              </w:rPr>
              <w:t xml:space="preserve"> </w:t>
            </w:r>
          </w:p>
        </w:tc>
        <w:tc>
          <w:tcPr>
            <w:tcW w:w="3920" w:type="dxa"/>
          </w:tcPr>
          <w:p w:rsidR="00815C66" w:rsidRPr="00C373A4" w:rsidRDefault="00E030F3" w:rsidP="00E345F4">
            <w:pPr>
              <w:spacing w:after="60"/>
              <w:jc w:val="left"/>
              <w:rPr>
                <w:sz w:val="18"/>
                <w:szCs w:val="18"/>
                <w:lang w:val="es-419"/>
              </w:rPr>
            </w:pPr>
            <w:r w:rsidRPr="00C373A4">
              <w:rPr>
                <w:sz w:val="18"/>
                <w:szCs w:val="18"/>
                <w:lang w:val="es-419"/>
              </w:rPr>
              <w:t>UPOV/INF/22/5 aprobado en noviembre de 2018</w:t>
            </w:r>
          </w:p>
          <w:p w:rsidR="00815C66" w:rsidRPr="00C373A4" w:rsidRDefault="00E030F3" w:rsidP="001312C3">
            <w:pPr>
              <w:jc w:val="left"/>
              <w:rPr>
                <w:i/>
                <w:sz w:val="18"/>
                <w:szCs w:val="18"/>
                <w:lang w:val="es-419"/>
              </w:rPr>
            </w:pPr>
            <w:r w:rsidRPr="00C373A4">
              <w:rPr>
                <w:i/>
                <w:sz w:val="18"/>
                <w:szCs w:val="18"/>
                <w:lang w:val="es-419"/>
              </w:rPr>
              <w:t>UPOV/INF/22/6 </w:t>
            </w:r>
            <w:proofErr w:type="spellStart"/>
            <w:r w:rsidRPr="00C373A4">
              <w:rPr>
                <w:i/>
                <w:sz w:val="18"/>
                <w:szCs w:val="18"/>
                <w:lang w:val="es-419"/>
              </w:rPr>
              <w:t>Draft</w:t>
            </w:r>
            <w:proofErr w:type="spellEnd"/>
            <w:r w:rsidRPr="00C373A4">
              <w:rPr>
                <w:i/>
                <w:sz w:val="18"/>
                <w:szCs w:val="18"/>
                <w:lang w:val="es-419"/>
              </w:rPr>
              <w:t> 1 será examinado por el CAJ y el Consejo en noviembre de 2019</w:t>
            </w:r>
          </w:p>
        </w:tc>
      </w:tr>
    </w:tbl>
    <w:p w:rsidR="00815C66" w:rsidRPr="00C373A4" w:rsidRDefault="00815C66" w:rsidP="00815C66">
      <w:pPr>
        <w:rPr>
          <w:lang w:val="es-419"/>
        </w:rPr>
      </w:pPr>
    </w:p>
    <w:p w:rsidR="00815C66" w:rsidRPr="00C373A4" w:rsidRDefault="00815C66" w:rsidP="00815C66">
      <w:pPr>
        <w:rPr>
          <w:lang w:val="es-419"/>
        </w:rPr>
      </w:pPr>
    </w:p>
    <w:p w:rsidR="00815C66" w:rsidRPr="00C373A4" w:rsidRDefault="00815C66" w:rsidP="00815C66">
      <w:pPr>
        <w:rPr>
          <w:lang w:val="es-419"/>
        </w:rPr>
      </w:pPr>
    </w:p>
    <w:p w:rsidR="00050E16" w:rsidRPr="00C373A4" w:rsidRDefault="00815C66" w:rsidP="00617652">
      <w:pPr>
        <w:jc w:val="right"/>
        <w:rPr>
          <w:lang w:val="es-419"/>
        </w:rPr>
      </w:pPr>
      <w:r w:rsidRPr="00C373A4">
        <w:rPr>
          <w:lang w:val="es-419"/>
        </w:rPr>
        <w:t>[Fin del Anexo y del documento]</w:t>
      </w:r>
    </w:p>
    <w:sectPr w:rsidR="00050E16" w:rsidRPr="00C373A4" w:rsidSect="00603C99">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830" w:rsidRDefault="002E6830" w:rsidP="006655D3">
      <w:r>
        <w:separator/>
      </w:r>
    </w:p>
    <w:p w:rsidR="002E6830" w:rsidRDefault="002E6830" w:rsidP="006655D3"/>
    <w:p w:rsidR="002E6830" w:rsidRDefault="002E6830" w:rsidP="006655D3"/>
  </w:endnote>
  <w:endnote w:type="continuationSeparator" w:id="0">
    <w:p w:rsidR="002E6830" w:rsidRDefault="002E6830" w:rsidP="006655D3">
      <w:r>
        <w:separator/>
      </w:r>
    </w:p>
    <w:p w:rsidR="002E6830" w:rsidRPr="00294751" w:rsidRDefault="002E6830">
      <w:pPr>
        <w:pStyle w:val="Footer"/>
        <w:spacing w:after="60"/>
        <w:rPr>
          <w:sz w:val="18"/>
          <w:lang w:val="fr-FR"/>
        </w:rPr>
      </w:pPr>
      <w:r w:rsidRPr="00294751">
        <w:rPr>
          <w:sz w:val="18"/>
          <w:lang w:val="fr-FR"/>
        </w:rPr>
        <w:t>[Suite de la note de la page précédente]</w:t>
      </w:r>
    </w:p>
    <w:p w:rsidR="002E6830" w:rsidRPr="00294751" w:rsidRDefault="002E6830" w:rsidP="006655D3">
      <w:pPr>
        <w:rPr>
          <w:lang w:val="fr-FR"/>
        </w:rPr>
      </w:pPr>
    </w:p>
    <w:p w:rsidR="002E6830" w:rsidRPr="00294751" w:rsidRDefault="002E6830" w:rsidP="006655D3">
      <w:pPr>
        <w:rPr>
          <w:lang w:val="fr-FR"/>
        </w:rPr>
      </w:pPr>
    </w:p>
  </w:endnote>
  <w:endnote w:type="continuationNotice" w:id="1">
    <w:p w:rsidR="002E6830" w:rsidRPr="00294751" w:rsidRDefault="002E6830" w:rsidP="006655D3">
      <w:pPr>
        <w:rPr>
          <w:lang w:val="fr-FR"/>
        </w:rPr>
      </w:pPr>
      <w:r w:rsidRPr="00294751">
        <w:rPr>
          <w:lang w:val="fr-FR"/>
        </w:rPr>
        <w:t>[Suite de la note page suivante]</w:t>
      </w:r>
    </w:p>
    <w:p w:rsidR="002E6830" w:rsidRPr="00294751" w:rsidRDefault="002E6830" w:rsidP="006655D3">
      <w:pPr>
        <w:rPr>
          <w:lang w:val="fr-FR"/>
        </w:rPr>
      </w:pPr>
    </w:p>
    <w:p w:rsidR="002E6830" w:rsidRPr="00294751" w:rsidRDefault="002E683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830" w:rsidRDefault="002E6830" w:rsidP="006655D3">
      <w:r>
        <w:separator/>
      </w:r>
    </w:p>
  </w:footnote>
  <w:footnote w:type="continuationSeparator" w:id="0">
    <w:p w:rsidR="002E6830" w:rsidRDefault="002E6830" w:rsidP="006655D3">
      <w:r>
        <w:separator/>
      </w:r>
    </w:p>
  </w:footnote>
  <w:footnote w:type="continuationNotice" w:id="1">
    <w:p w:rsidR="002E6830" w:rsidRPr="00AB530F" w:rsidRDefault="002E6830" w:rsidP="00AB530F">
      <w:pPr>
        <w:pStyle w:val="Footer"/>
      </w:pPr>
    </w:p>
  </w:footnote>
  <w:footnote w:id="2">
    <w:p w:rsidR="006567B5" w:rsidRPr="00F80DC3" w:rsidRDefault="006567B5" w:rsidP="006567B5">
      <w:pPr>
        <w:pStyle w:val="FootnoteText"/>
        <w:rPr>
          <w:lang w:val="es-ES"/>
        </w:rPr>
      </w:pPr>
      <w:r w:rsidRPr="0021431F">
        <w:rPr>
          <w:rStyle w:val="FootnoteReference"/>
          <w:szCs w:val="16"/>
        </w:rPr>
        <w:footnoteRef/>
      </w:r>
      <w:r w:rsidRPr="00F80DC3">
        <w:rPr>
          <w:lang w:val="es-ES"/>
        </w:rPr>
        <w:t xml:space="preserve"> </w:t>
      </w:r>
      <w:r w:rsidRPr="00F80DC3">
        <w:rPr>
          <w:lang w:val="es-ES"/>
        </w:rPr>
        <w:tab/>
      </w:r>
      <w:r w:rsidR="00196301" w:rsidRPr="00196301">
        <w:t>Celebrada en Ginebra el 24 de octubre de 2005.</w:t>
      </w:r>
    </w:p>
  </w:footnote>
  <w:footnote w:id="3">
    <w:p w:rsidR="006567B5" w:rsidRPr="00F80DC3" w:rsidRDefault="006567B5" w:rsidP="006567B5">
      <w:pPr>
        <w:pStyle w:val="FootnoteText"/>
        <w:rPr>
          <w:lang w:val="es-ES"/>
        </w:rPr>
      </w:pPr>
      <w:r w:rsidRPr="0021431F">
        <w:rPr>
          <w:rStyle w:val="FootnoteReference"/>
          <w:szCs w:val="16"/>
        </w:rPr>
        <w:footnoteRef/>
      </w:r>
      <w:r w:rsidRPr="00F80DC3">
        <w:rPr>
          <w:lang w:val="es-ES"/>
        </w:rPr>
        <w:t xml:space="preserve"> </w:t>
      </w:r>
      <w:r w:rsidRPr="00F80DC3">
        <w:rPr>
          <w:lang w:val="es-ES"/>
        </w:rPr>
        <w:tab/>
      </w:r>
      <w:r w:rsidR="00196301" w:rsidRPr="00196301">
        <w:t xml:space="preserve">Véanse los párrafos 8 a 10 del documento </w:t>
      </w:r>
      <w:hyperlink r:id="rId1" w:history="1">
        <w:r w:rsidR="00196301" w:rsidRPr="00196301">
          <w:rPr>
            <w:rStyle w:val="Hyperlink"/>
          </w:rPr>
          <w:t>CAJ/52/4</w:t>
        </w:r>
      </w:hyperlink>
      <w:r w:rsidR="00196301" w:rsidRPr="00196301">
        <w:t xml:space="preserve"> “Elaboración de material de información sobre el Acta de 1991 del Convenio de la UPOV”.</w:t>
      </w:r>
    </w:p>
  </w:footnote>
  <w:footnote w:id="4">
    <w:p w:rsidR="008A79BF" w:rsidRPr="00F80DC3" w:rsidRDefault="008A79BF" w:rsidP="00815C66">
      <w:pPr>
        <w:pStyle w:val="FootnoteText"/>
        <w:rPr>
          <w:lang w:val="es-ES"/>
        </w:rPr>
      </w:pPr>
      <w:r w:rsidRPr="0021431F">
        <w:rPr>
          <w:rStyle w:val="FootnoteReference"/>
          <w:szCs w:val="16"/>
        </w:rPr>
        <w:footnoteRef/>
      </w:r>
      <w:r w:rsidRPr="00F80DC3">
        <w:rPr>
          <w:lang w:val="es-ES"/>
        </w:rPr>
        <w:t xml:space="preserve"> </w:t>
      </w:r>
      <w:r w:rsidRPr="00F80DC3">
        <w:rPr>
          <w:lang w:val="es-ES"/>
        </w:rPr>
        <w:tab/>
      </w:r>
      <w:r w:rsidR="00196301" w:rsidRPr="00196301">
        <w:t xml:space="preserve">Véanse los párrafos 11 a 14 del documento </w:t>
      </w:r>
      <w:hyperlink r:id="rId2" w:history="1">
        <w:r w:rsidR="00196301" w:rsidRPr="00196301">
          <w:rPr>
            <w:rStyle w:val="Hyperlink"/>
          </w:rPr>
          <w:t>CAJ/52/4</w:t>
        </w:r>
      </w:hyperlink>
      <w:r w:rsidR="00196301" w:rsidRPr="00196301">
        <w:t xml:space="preserve"> y el párrafo 67 del documento </w:t>
      </w:r>
      <w:hyperlink r:id="rId3" w:history="1">
        <w:r w:rsidR="00196301" w:rsidRPr="00196301">
          <w:rPr>
            <w:rStyle w:val="Hyperlink"/>
          </w:rPr>
          <w:t>CAJ/52/5</w:t>
        </w:r>
      </w:hyperlink>
      <w:r w:rsidR="00196301" w:rsidRPr="00196301">
        <w:t xml:space="preserve"> “Informe”.</w:t>
      </w:r>
    </w:p>
  </w:footnote>
  <w:footnote w:id="5">
    <w:p w:rsidR="000053AF" w:rsidRPr="00F80DC3" w:rsidRDefault="000053AF" w:rsidP="000053AF">
      <w:pPr>
        <w:pStyle w:val="FootnoteText"/>
        <w:rPr>
          <w:lang w:val="es-ES"/>
        </w:rPr>
      </w:pPr>
      <w:r w:rsidRPr="0021431F">
        <w:rPr>
          <w:rStyle w:val="FootnoteReference"/>
          <w:szCs w:val="16"/>
        </w:rPr>
        <w:footnoteRef/>
      </w:r>
      <w:r w:rsidRPr="00F80DC3">
        <w:rPr>
          <w:lang w:val="es-ES"/>
        </w:rPr>
        <w:t xml:space="preserve"> </w:t>
      </w:r>
      <w:r w:rsidRPr="00F80DC3">
        <w:rPr>
          <w:lang w:val="es-ES"/>
        </w:rPr>
        <w:tab/>
      </w:r>
      <w:r w:rsidR="00196301" w:rsidRPr="005B7B7C">
        <w:t>Celebrada en Ginebra el 13 de octubre de 2014.</w:t>
      </w:r>
    </w:p>
  </w:footnote>
  <w:footnote w:id="6">
    <w:p w:rsidR="000053AF" w:rsidRPr="00F80DC3" w:rsidRDefault="000053AF" w:rsidP="000053AF">
      <w:pPr>
        <w:pStyle w:val="FootnoteText"/>
        <w:rPr>
          <w:lang w:val="es-ES"/>
        </w:rPr>
      </w:pPr>
      <w:r w:rsidRPr="0021431F">
        <w:rPr>
          <w:rStyle w:val="FootnoteReference"/>
          <w:szCs w:val="16"/>
        </w:rPr>
        <w:footnoteRef/>
      </w:r>
      <w:r w:rsidRPr="00F80DC3">
        <w:rPr>
          <w:lang w:val="es-ES"/>
        </w:rPr>
        <w:t xml:space="preserve"> </w:t>
      </w:r>
      <w:r w:rsidRPr="00F80DC3">
        <w:rPr>
          <w:lang w:val="es-ES"/>
        </w:rPr>
        <w:tab/>
      </w:r>
      <w:r w:rsidR="005B7B7C" w:rsidRPr="005B7B7C">
        <w:t>Celebrada en Ginebra los días 14 y 17 de octubre de 2014.</w:t>
      </w:r>
    </w:p>
  </w:footnote>
  <w:footnote w:id="7">
    <w:p w:rsidR="00815C66" w:rsidRPr="00F80DC3" w:rsidRDefault="00815C66" w:rsidP="00815C66">
      <w:pPr>
        <w:pStyle w:val="FootnoteText"/>
        <w:rPr>
          <w:lang w:val="es-ES"/>
        </w:rPr>
      </w:pPr>
      <w:r w:rsidRPr="0021431F">
        <w:rPr>
          <w:rStyle w:val="FootnoteReference"/>
          <w:szCs w:val="16"/>
        </w:rPr>
        <w:footnoteRef/>
      </w:r>
      <w:r w:rsidRPr="00F80DC3">
        <w:rPr>
          <w:lang w:val="es-ES"/>
        </w:rPr>
        <w:t xml:space="preserve"> </w:t>
      </w:r>
      <w:r w:rsidRPr="00F80DC3">
        <w:rPr>
          <w:lang w:val="es-ES"/>
        </w:rPr>
        <w:tab/>
      </w:r>
      <w:r w:rsidR="005B7B7C" w:rsidRPr="005B7B7C">
        <w:t xml:space="preserve">Véanse los párrafos 38 a 41 del documento </w:t>
      </w:r>
      <w:hyperlink r:id="rId4" w:history="1">
        <w:r w:rsidR="005B7B7C" w:rsidRPr="005B7B7C">
          <w:rPr>
            <w:rStyle w:val="Hyperlink"/>
          </w:rPr>
          <w:t>CAJ/70/10</w:t>
        </w:r>
      </w:hyperlink>
      <w:r w:rsidR="005B7B7C" w:rsidRPr="005B7B7C">
        <w:t xml:space="preserve"> “Informe sobre las conclusiones”.</w:t>
      </w:r>
    </w:p>
  </w:footnote>
  <w:footnote w:id="8">
    <w:p w:rsidR="005B7B7C" w:rsidRPr="00F80DC3" w:rsidRDefault="005B7B7C" w:rsidP="00815C66">
      <w:pPr>
        <w:pStyle w:val="FootnoteText"/>
        <w:rPr>
          <w:lang w:val="es-ES"/>
        </w:rPr>
      </w:pPr>
      <w:r>
        <w:rPr>
          <w:rStyle w:val="FootnoteReference"/>
        </w:rPr>
        <w:footnoteRef/>
      </w:r>
      <w:r w:rsidRPr="00F80DC3">
        <w:rPr>
          <w:lang w:val="es-ES"/>
        </w:rPr>
        <w:t xml:space="preserve"> </w:t>
      </w:r>
      <w:r w:rsidRPr="00F80DC3">
        <w:rPr>
          <w:lang w:val="es-ES"/>
        </w:rPr>
        <w:tab/>
      </w:r>
      <w:r w:rsidRPr="005B7B7C">
        <w:t>Celebrada en Ginebra el 31 de octubre de 2018.</w:t>
      </w:r>
    </w:p>
  </w:footnote>
  <w:footnote w:id="9">
    <w:p w:rsidR="000546DD" w:rsidRPr="00F80DC3" w:rsidRDefault="000546DD" w:rsidP="000546DD">
      <w:pPr>
        <w:pStyle w:val="FootnoteText"/>
        <w:rPr>
          <w:lang w:val="es-ES"/>
        </w:rPr>
      </w:pPr>
      <w:r>
        <w:rPr>
          <w:rStyle w:val="FootnoteReference"/>
        </w:rPr>
        <w:footnoteRef/>
      </w:r>
      <w:r w:rsidRPr="00F80DC3">
        <w:rPr>
          <w:lang w:val="es-ES"/>
        </w:rPr>
        <w:t xml:space="preserve"> </w:t>
      </w:r>
      <w:r w:rsidRPr="00F80DC3">
        <w:rPr>
          <w:lang w:val="es-ES"/>
        </w:rPr>
        <w:tab/>
      </w:r>
      <w:r w:rsidR="0030540C" w:rsidRPr="0030540C">
        <w:t>Prevista en Ginebra el 30 de octubre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66" w:rsidRPr="00C5280D" w:rsidRDefault="00815C66" w:rsidP="00906B72">
    <w:pPr>
      <w:pStyle w:val="Header"/>
      <w:rPr>
        <w:rStyle w:val="PageNumber"/>
        <w:lang w:val="en-US"/>
      </w:rPr>
    </w:pPr>
    <w:r>
      <w:rPr>
        <w:rStyle w:val="PageNumber"/>
        <w:lang w:val="en-US"/>
      </w:rPr>
      <w:t>CAJ/76/4</w:t>
    </w:r>
  </w:p>
  <w:p w:rsidR="00815C66" w:rsidRPr="00C5280D" w:rsidRDefault="00603C99" w:rsidP="00906B72">
    <w:pPr>
      <w:pStyle w:val="Header"/>
      <w:rPr>
        <w:lang w:val="en-US"/>
      </w:rPr>
    </w:pPr>
    <w:proofErr w:type="spellStart"/>
    <w:r>
      <w:rPr>
        <w:lang w:val="en-US"/>
      </w:rPr>
      <w:t>página</w:t>
    </w:r>
    <w:proofErr w:type="spellEnd"/>
    <w:r w:rsidR="00815C66" w:rsidRPr="00C5280D">
      <w:rPr>
        <w:lang w:val="en-US"/>
      </w:rPr>
      <w:t xml:space="preserve"> </w:t>
    </w:r>
    <w:r w:rsidR="0073767E" w:rsidRPr="00C5280D">
      <w:rPr>
        <w:rStyle w:val="PageNumber"/>
        <w:lang w:val="en-US"/>
      </w:rPr>
      <w:fldChar w:fldCharType="begin"/>
    </w:r>
    <w:r w:rsidR="00815C66" w:rsidRPr="00C5280D">
      <w:rPr>
        <w:rStyle w:val="PageNumber"/>
        <w:lang w:val="en-US"/>
      </w:rPr>
      <w:instrText xml:space="preserve"> PAGE </w:instrText>
    </w:r>
    <w:r w:rsidR="0073767E" w:rsidRPr="00C5280D">
      <w:rPr>
        <w:rStyle w:val="PageNumber"/>
        <w:lang w:val="en-US"/>
      </w:rPr>
      <w:fldChar w:fldCharType="separate"/>
    </w:r>
    <w:r w:rsidR="006A4A27">
      <w:rPr>
        <w:rStyle w:val="PageNumber"/>
        <w:noProof/>
        <w:lang w:val="en-US"/>
      </w:rPr>
      <w:t>3</w:t>
    </w:r>
    <w:r w:rsidR="0073767E" w:rsidRPr="00C5280D">
      <w:rPr>
        <w:rStyle w:val="PageNumber"/>
        <w:lang w:val="en-US"/>
      </w:rPr>
      <w:fldChar w:fldCharType="end"/>
    </w:r>
  </w:p>
  <w:p w:rsidR="00815C66" w:rsidRPr="00C5280D" w:rsidRDefault="00815C66" w:rsidP="00906B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8C6250" w:rsidP="000A23DC">
    <w:pPr>
      <w:pStyle w:val="Header"/>
      <w:rPr>
        <w:rStyle w:val="PageNumber"/>
      </w:rPr>
    </w:pPr>
    <w:r>
      <w:rPr>
        <w:rStyle w:val="PageNumber"/>
      </w:rPr>
      <w:t>CAJ/76</w:t>
    </w:r>
    <w:r w:rsidR="00667404" w:rsidRPr="000A23DC">
      <w:rPr>
        <w:rStyle w:val="PageNumber"/>
      </w:rPr>
      <w:t>/</w:t>
    </w:r>
    <w:r w:rsidR="00603C99">
      <w:rPr>
        <w:rStyle w:val="PageNumber"/>
      </w:rPr>
      <w:t>4</w:t>
    </w:r>
  </w:p>
  <w:p w:rsidR="00182B99" w:rsidRPr="00202E38" w:rsidRDefault="00603C99" w:rsidP="008B3D8D">
    <w:pPr>
      <w:pStyle w:val="Header"/>
      <w:rPr>
        <w:lang w:val="de-DE"/>
      </w:rPr>
    </w:pPr>
    <w:r>
      <w:t xml:space="preserve">Anexo, </w:t>
    </w:r>
    <w:r w:rsidR="008B3D8D" w:rsidRPr="008B3D8D">
      <w:t>página</w:t>
    </w:r>
    <w:r w:rsidR="00182B99" w:rsidRPr="00202E38">
      <w:rPr>
        <w:lang w:val="de-DE"/>
      </w:rPr>
      <w:t xml:space="preserve"> </w:t>
    </w:r>
    <w:r w:rsidR="0073767E" w:rsidRPr="00202E38">
      <w:rPr>
        <w:rStyle w:val="PageNumber"/>
        <w:lang w:val="de-DE"/>
      </w:rPr>
      <w:fldChar w:fldCharType="begin"/>
    </w:r>
    <w:r w:rsidR="00182B99" w:rsidRPr="00202E38">
      <w:rPr>
        <w:rStyle w:val="PageNumber"/>
        <w:lang w:val="de-DE"/>
      </w:rPr>
      <w:instrText xml:space="preserve"> PAGE </w:instrText>
    </w:r>
    <w:r w:rsidR="0073767E" w:rsidRPr="00202E38">
      <w:rPr>
        <w:rStyle w:val="PageNumber"/>
        <w:lang w:val="de-DE"/>
      </w:rPr>
      <w:fldChar w:fldCharType="separate"/>
    </w:r>
    <w:r w:rsidR="006A4A27">
      <w:rPr>
        <w:rStyle w:val="PageNumber"/>
        <w:noProof/>
        <w:lang w:val="de-DE"/>
      </w:rPr>
      <w:t>2</w:t>
    </w:r>
    <w:r w:rsidR="0073767E" w:rsidRPr="00202E38">
      <w:rPr>
        <w:rStyle w:val="PageNumber"/>
        <w:lang w:val="de-DE"/>
      </w:rPr>
      <w:fldChar w:fldCharType="end"/>
    </w:r>
  </w:p>
  <w:p w:rsidR="00182B99" w:rsidRPr="00202E38" w:rsidRDefault="00182B99"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99" w:rsidRDefault="00603C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30"/>
    <w:rsid w:val="000053AF"/>
    <w:rsid w:val="000066C7"/>
    <w:rsid w:val="00010CF3"/>
    <w:rsid w:val="00011E27"/>
    <w:rsid w:val="000148BC"/>
    <w:rsid w:val="00024AB8"/>
    <w:rsid w:val="00030854"/>
    <w:rsid w:val="000311A1"/>
    <w:rsid w:val="00036028"/>
    <w:rsid w:val="00044642"/>
    <w:rsid w:val="000446B9"/>
    <w:rsid w:val="00047E21"/>
    <w:rsid w:val="00050E16"/>
    <w:rsid w:val="000546DD"/>
    <w:rsid w:val="000638A9"/>
    <w:rsid w:val="00085505"/>
    <w:rsid w:val="000A23DC"/>
    <w:rsid w:val="000C4E25"/>
    <w:rsid w:val="000C7021"/>
    <w:rsid w:val="000D6BBC"/>
    <w:rsid w:val="000D7780"/>
    <w:rsid w:val="000E636A"/>
    <w:rsid w:val="000E77CE"/>
    <w:rsid w:val="000F0DD0"/>
    <w:rsid w:val="000F2F11"/>
    <w:rsid w:val="00105929"/>
    <w:rsid w:val="00110C36"/>
    <w:rsid w:val="001131D5"/>
    <w:rsid w:val="001312C3"/>
    <w:rsid w:val="00141DB8"/>
    <w:rsid w:val="00143D78"/>
    <w:rsid w:val="00172084"/>
    <w:rsid w:val="0017474A"/>
    <w:rsid w:val="001758C6"/>
    <w:rsid w:val="00182B99"/>
    <w:rsid w:val="00196301"/>
    <w:rsid w:val="001E7B75"/>
    <w:rsid w:val="001F64BF"/>
    <w:rsid w:val="00202E38"/>
    <w:rsid w:val="0021332C"/>
    <w:rsid w:val="00213982"/>
    <w:rsid w:val="0024416D"/>
    <w:rsid w:val="002464A3"/>
    <w:rsid w:val="00271911"/>
    <w:rsid w:val="002800A0"/>
    <w:rsid w:val="002801B3"/>
    <w:rsid w:val="00281060"/>
    <w:rsid w:val="002940E8"/>
    <w:rsid w:val="00294751"/>
    <w:rsid w:val="002A6E50"/>
    <w:rsid w:val="002B1065"/>
    <w:rsid w:val="002B4298"/>
    <w:rsid w:val="002C256A"/>
    <w:rsid w:val="002E5831"/>
    <w:rsid w:val="002E5944"/>
    <w:rsid w:val="002E6830"/>
    <w:rsid w:val="003053C8"/>
    <w:rsid w:val="0030540C"/>
    <w:rsid w:val="00305A7F"/>
    <w:rsid w:val="003152FE"/>
    <w:rsid w:val="00327436"/>
    <w:rsid w:val="0033296F"/>
    <w:rsid w:val="00344BD6"/>
    <w:rsid w:val="0035528D"/>
    <w:rsid w:val="00361821"/>
    <w:rsid w:val="00361E9E"/>
    <w:rsid w:val="003B031A"/>
    <w:rsid w:val="003C7FBE"/>
    <w:rsid w:val="003D227C"/>
    <w:rsid w:val="003D2B4D"/>
    <w:rsid w:val="003D5DCC"/>
    <w:rsid w:val="00404329"/>
    <w:rsid w:val="0040557F"/>
    <w:rsid w:val="0041520B"/>
    <w:rsid w:val="00444A88"/>
    <w:rsid w:val="00474DA4"/>
    <w:rsid w:val="00476B4D"/>
    <w:rsid w:val="004805FA"/>
    <w:rsid w:val="004935D2"/>
    <w:rsid w:val="004B1215"/>
    <w:rsid w:val="004D047D"/>
    <w:rsid w:val="004D2B1A"/>
    <w:rsid w:val="004F1E9E"/>
    <w:rsid w:val="004F305A"/>
    <w:rsid w:val="005065C6"/>
    <w:rsid w:val="00512164"/>
    <w:rsid w:val="00513E8F"/>
    <w:rsid w:val="00520297"/>
    <w:rsid w:val="00522451"/>
    <w:rsid w:val="005338F9"/>
    <w:rsid w:val="0054281C"/>
    <w:rsid w:val="00544581"/>
    <w:rsid w:val="00545E42"/>
    <w:rsid w:val="0055268D"/>
    <w:rsid w:val="00566C7E"/>
    <w:rsid w:val="00576BE4"/>
    <w:rsid w:val="00584153"/>
    <w:rsid w:val="00590F09"/>
    <w:rsid w:val="005A400A"/>
    <w:rsid w:val="005B7B7C"/>
    <w:rsid w:val="005F7B92"/>
    <w:rsid w:val="00603C99"/>
    <w:rsid w:val="00612379"/>
    <w:rsid w:val="00613224"/>
    <w:rsid w:val="006153B6"/>
    <w:rsid w:val="0061555F"/>
    <w:rsid w:val="00617652"/>
    <w:rsid w:val="00636CA6"/>
    <w:rsid w:val="00637EDD"/>
    <w:rsid w:val="00641200"/>
    <w:rsid w:val="00645CA8"/>
    <w:rsid w:val="00654645"/>
    <w:rsid w:val="006567B5"/>
    <w:rsid w:val="006655D3"/>
    <w:rsid w:val="00667404"/>
    <w:rsid w:val="006818F4"/>
    <w:rsid w:val="00687EB4"/>
    <w:rsid w:val="00695C56"/>
    <w:rsid w:val="006A32E5"/>
    <w:rsid w:val="006A4A27"/>
    <w:rsid w:val="006A5CDE"/>
    <w:rsid w:val="006A644A"/>
    <w:rsid w:val="006B17D2"/>
    <w:rsid w:val="006B63B4"/>
    <w:rsid w:val="006C224E"/>
    <w:rsid w:val="006C5C19"/>
    <w:rsid w:val="006D780A"/>
    <w:rsid w:val="0071271E"/>
    <w:rsid w:val="00727FFC"/>
    <w:rsid w:val="00732DEC"/>
    <w:rsid w:val="00735BD5"/>
    <w:rsid w:val="0073767E"/>
    <w:rsid w:val="00750AA6"/>
    <w:rsid w:val="00751613"/>
    <w:rsid w:val="00752334"/>
    <w:rsid w:val="007556F6"/>
    <w:rsid w:val="00760EEF"/>
    <w:rsid w:val="00777EE5"/>
    <w:rsid w:val="00783722"/>
    <w:rsid w:val="00784836"/>
    <w:rsid w:val="0079023E"/>
    <w:rsid w:val="007A1763"/>
    <w:rsid w:val="007A2854"/>
    <w:rsid w:val="007C1D92"/>
    <w:rsid w:val="007C4CB9"/>
    <w:rsid w:val="007D0B9D"/>
    <w:rsid w:val="007D19B0"/>
    <w:rsid w:val="007D56C8"/>
    <w:rsid w:val="007F498F"/>
    <w:rsid w:val="0080679D"/>
    <w:rsid w:val="008108B0"/>
    <w:rsid w:val="00811B20"/>
    <w:rsid w:val="00815C66"/>
    <w:rsid w:val="008211B5"/>
    <w:rsid w:val="00821BAD"/>
    <w:rsid w:val="0082296E"/>
    <w:rsid w:val="00824099"/>
    <w:rsid w:val="00846D7C"/>
    <w:rsid w:val="008574A4"/>
    <w:rsid w:val="00864C55"/>
    <w:rsid w:val="00866AA3"/>
    <w:rsid w:val="00867AC1"/>
    <w:rsid w:val="00890DF8"/>
    <w:rsid w:val="008A743F"/>
    <w:rsid w:val="008A79BF"/>
    <w:rsid w:val="008B3D8D"/>
    <w:rsid w:val="008C0970"/>
    <w:rsid w:val="008C6250"/>
    <w:rsid w:val="008D0BC5"/>
    <w:rsid w:val="008D2CF7"/>
    <w:rsid w:val="00900C26"/>
    <w:rsid w:val="0090197F"/>
    <w:rsid w:val="00906DDC"/>
    <w:rsid w:val="00934E09"/>
    <w:rsid w:val="00936253"/>
    <w:rsid w:val="00940D46"/>
    <w:rsid w:val="00943983"/>
    <w:rsid w:val="00952DD4"/>
    <w:rsid w:val="0096175D"/>
    <w:rsid w:val="00965AE7"/>
    <w:rsid w:val="00970FED"/>
    <w:rsid w:val="00976D7C"/>
    <w:rsid w:val="009861BE"/>
    <w:rsid w:val="00992D82"/>
    <w:rsid w:val="00997029"/>
    <w:rsid w:val="009A7339"/>
    <w:rsid w:val="009B440E"/>
    <w:rsid w:val="009D690D"/>
    <w:rsid w:val="009E65B6"/>
    <w:rsid w:val="00A24C10"/>
    <w:rsid w:val="00A42AC3"/>
    <w:rsid w:val="00A430CF"/>
    <w:rsid w:val="00A54309"/>
    <w:rsid w:val="00A706D3"/>
    <w:rsid w:val="00AB2B93"/>
    <w:rsid w:val="00AB51DA"/>
    <w:rsid w:val="00AB530F"/>
    <w:rsid w:val="00AB7E5B"/>
    <w:rsid w:val="00AC2883"/>
    <w:rsid w:val="00AE0EF1"/>
    <w:rsid w:val="00AE2937"/>
    <w:rsid w:val="00B07301"/>
    <w:rsid w:val="00B11F3E"/>
    <w:rsid w:val="00B224DE"/>
    <w:rsid w:val="00B324D4"/>
    <w:rsid w:val="00B46575"/>
    <w:rsid w:val="00B61777"/>
    <w:rsid w:val="00B803C4"/>
    <w:rsid w:val="00B84BBD"/>
    <w:rsid w:val="00B948BA"/>
    <w:rsid w:val="00BA43FB"/>
    <w:rsid w:val="00BB55D4"/>
    <w:rsid w:val="00BC0BD4"/>
    <w:rsid w:val="00BC127D"/>
    <w:rsid w:val="00BC1FE6"/>
    <w:rsid w:val="00C061B6"/>
    <w:rsid w:val="00C2446C"/>
    <w:rsid w:val="00C36AE5"/>
    <w:rsid w:val="00C373A4"/>
    <w:rsid w:val="00C41F17"/>
    <w:rsid w:val="00C527FA"/>
    <w:rsid w:val="00C5280D"/>
    <w:rsid w:val="00C53EB3"/>
    <w:rsid w:val="00C5791C"/>
    <w:rsid w:val="00C66290"/>
    <w:rsid w:val="00C6726B"/>
    <w:rsid w:val="00C72B7A"/>
    <w:rsid w:val="00C973F2"/>
    <w:rsid w:val="00CA0ABA"/>
    <w:rsid w:val="00CA304C"/>
    <w:rsid w:val="00CA774A"/>
    <w:rsid w:val="00CC11B0"/>
    <w:rsid w:val="00CC2841"/>
    <w:rsid w:val="00CD4752"/>
    <w:rsid w:val="00CF1330"/>
    <w:rsid w:val="00CF7E36"/>
    <w:rsid w:val="00D3708D"/>
    <w:rsid w:val="00D40426"/>
    <w:rsid w:val="00D57C96"/>
    <w:rsid w:val="00D57D18"/>
    <w:rsid w:val="00D91203"/>
    <w:rsid w:val="00D95174"/>
    <w:rsid w:val="00DA4973"/>
    <w:rsid w:val="00DA6F36"/>
    <w:rsid w:val="00DB596E"/>
    <w:rsid w:val="00DB7773"/>
    <w:rsid w:val="00DC00EA"/>
    <w:rsid w:val="00DC21AF"/>
    <w:rsid w:val="00DC3802"/>
    <w:rsid w:val="00DC7AA3"/>
    <w:rsid w:val="00DE5223"/>
    <w:rsid w:val="00E030F3"/>
    <w:rsid w:val="00E03922"/>
    <w:rsid w:val="00E07D87"/>
    <w:rsid w:val="00E32F7E"/>
    <w:rsid w:val="00E5267B"/>
    <w:rsid w:val="00E63C0E"/>
    <w:rsid w:val="00E72D49"/>
    <w:rsid w:val="00E7593C"/>
    <w:rsid w:val="00E7678A"/>
    <w:rsid w:val="00E935F1"/>
    <w:rsid w:val="00E94A81"/>
    <w:rsid w:val="00EA1FFB"/>
    <w:rsid w:val="00EB048E"/>
    <w:rsid w:val="00EB4E9C"/>
    <w:rsid w:val="00EB7224"/>
    <w:rsid w:val="00EC2265"/>
    <w:rsid w:val="00EE34DF"/>
    <w:rsid w:val="00EF2F89"/>
    <w:rsid w:val="00EF7EE5"/>
    <w:rsid w:val="00F03E98"/>
    <w:rsid w:val="00F05024"/>
    <w:rsid w:val="00F1237A"/>
    <w:rsid w:val="00F22CBD"/>
    <w:rsid w:val="00F272F1"/>
    <w:rsid w:val="00F45372"/>
    <w:rsid w:val="00F560F7"/>
    <w:rsid w:val="00F6334D"/>
    <w:rsid w:val="00F80DC3"/>
    <w:rsid w:val="00F81C35"/>
    <w:rsid w:val="00F87855"/>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B42816"/>
  <w15:docId w15:val="{E89B4005-6151-48D1-80D3-8ED6A17D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0F0DD0"/>
    <w:pPr>
      <w:tabs>
        <w:tab w:val="right" w:leader="dot" w:pos="9639"/>
      </w:tabs>
      <w:spacing w:after="120"/>
      <w:ind w:left="432" w:right="562"/>
    </w:pPr>
    <w:rPr>
      <w:rFonts w:ascii="Arial" w:hAnsi="Arial"/>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513E8F"/>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815C66"/>
    <w:rPr>
      <w:rFonts w:ascii="Arial" w:hAnsi="Arial"/>
      <w:caps/>
    </w:rPr>
  </w:style>
  <w:style w:type="character" w:customStyle="1" w:styleId="Heading2Char">
    <w:name w:val="Heading 2 Char"/>
    <w:basedOn w:val="DefaultParagraphFont"/>
    <w:link w:val="Heading2"/>
    <w:rsid w:val="00815C66"/>
    <w:rPr>
      <w:rFonts w:ascii="Arial" w:hAnsi="Arial"/>
      <w:u w:val="single"/>
    </w:rPr>
  </w:style>
  <w:style w:type="character" w:customStyle="1" w:styleId="HeaderChar">
    <w:name w:val="Header Char"/>
    <w:basedOn w:val="DefaultParagraphFont"/>
    <w:link w:val="Header"/>
    <w:rsid w:val="00815C66"/>
    <w:rPr>
      <w:rFonts w:ascii="Arial" w:hAnsi="Arial"/>
      <w:lang w:val="es-ES_tradnl"/>
    </w:rPr>
  </w:style>
  <w:style w:type="character" w:customStyle="1" w:styleId="DecisionParagraphsChar">
    <w:name w:val="DecisionParagraphs Char"/>
    <w:basedOn w:val="DefaultParagraphFont"/>
    <w:link w:val="DecisionParagraphs"/>
    <w:rsid w:val="00815C66"/>
    <w:rPr>
      <w:rFonts w:ascii="Arial" w:hAnsi="Arial"/>
      <w:i/>
      <w:lang w:val="es-ES_tradnl"/>
    </w:rPr>
  </w:style>
  <w:style w:type="character" w:customStyle="1" w:styleId="FootnoteTextChar">
    <w:name w:val="Footnote Text Char"/>
    <w:basedOn w:val="DefaultParagraphFont"/>
    <w:link w:val="FootnoteText"/>
    <w:rsid w:val="00815C66"/>
    <w:rPr>
      <w:rFonts w:ascii="Arial" w:hAnsi="Arial"/>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edocs/mdocs/upov/es/caj_75/caj_75_1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edocs/mdocs/upov/es/caj/52/caj_52_05.pdf" TargetMode="External"/><Relationship Id="rId2" Type="http://schemas.openxmlformats.org/officeDocument/2006/relationships/hyperlink" Target="https://www.upov.int/edocs/mdocs/upov/es/caj/52/caj_52_04.pdf" TargetMode="External"/><Relationship Id="rId1" Type="http://schemas.openxmlformats.org/officeDocument/2006/relationships/hyperlink" Target="https://www.upov.int/edocs/mdocs/upov/es/caj/52/caj_52_04.pdf" TargetMode="External"/><Relationship Id="rId4" Type="http://schemas.openxmlformats.org/officeDocument/2006/relationships/hyperlink" Target="https://www.upov.int/edocs/mdocs/upov/es/caj_70/caj_70_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7CCD4-F27A-4641-92F9-C11B57A9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1489</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CAJ/76/4</vt:lpstr>
    </vt:vector>
  </TitlesOfParts>
  <Company>UPOV</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CAJ/76/4</dc:title>
  <dc:creator>CEVALLOS DUQUE Nilo</dc:creator>
  <cp:lastModifiedBy>SANCHEZ VIZCAINO GOMEZ Rosa Maria</cp:lastModifiedBy>
  <cp:revision>18</cp:revision>
  <cp:lastPrinted>2019-07-30T13:52:00Z</cp:lastPrinted>
  <dcterms:created xsi:type="dcterms:W3CDTF">2019-07-26T09:38:00Z</dcterms:created>
  <dcterms:modified xsi:type="dcterms:W3CDTF">2019-08-02T09:06:00Z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fbb9e6f4-db14-4ed8-b3ed-c723b7e9a721</vt:lpwstr>
  </property>
</Properties>
</file>