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E74710" w:rsidTr="00EB4E9C">
        <w:tc>
          <w:tcPr>
            <w:tcW w:w="6522" w:type="dxa"/>
          </w:tcPr>
          <w:p w:rsidR="00DC3802" w:rsidRPr="00E74710" w:rsidRDefault="00DC3802" w:rsidP="00AC2883">
            <w:pPr>
              <w:rPr>
                <w:dstrike/>
                <w:lang w:val="es-419"/>
              </w:rPr>
            </w:pPr>
            <w:r w:rsidRPr="00E74710">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E74710" w:rsidRDefault="002E5944" w:rsidP="00AC2883">
            <w:pPr>
              <w:pStyle w:val="Lettrine"/>
              <w:rPr>
                <w:lang w:val="es-419"/>
              </w:rPr>
            </w:pPr>
            <w:r w:rsidRPr="00E74710">
              <w:rPr>
                <w:lang w:val="es-419"/>
              </w:rPr>
              <w:t>S</w:t>
            </w:r>
          </w:p>
        </w:tc>
      </w:tr>
      <w:tr w:rsidR="00DC3802" w:rsidRPr="00E74710" w:rsidTr="00645CA8">
        <w:trPr>
          <w:trHeight w:val="219"/>
        </w:trPr>
        <w:tc>
          <w:tcPr>
            <w:tcW w:w="6522" w:type="dxa"/>
          </w:tcPr>
          <w:p w:rsidR="00DC3802" w:rsidRPr="00E74710" w:rsidRDefault="002E5944" w:rsidP="00BC0BD4">
            <w:pPr>
              <w:pStyle w:val="upove"/>
              <w:rPr>
                <w:dstrike/>
                <w:lang w:val="es-419"/>
              </w:rPr>
            </w:pPr>
            <w:r w:rsidRPr="00E74710">
              <w:rPr>
                <w:lang w:val="es-419"/>
              </w:rPr>
              <w:t>Unión Internacional para la Protección de las Obtenciones Vegetales</w:t>
            </w:r>
          </w:p>
        </w:tc>
        <w:tc>
          <w:tcPr>
            <w:tcW w:w="3117" w:type="dxa"/>
          </w:tcPr>
          <w:p w:rsidR="00DC3802" w:rsidRPr="00E74710" w:rsidRDefault="00DC3802" w:rsidP="00DA4973">
            <w:pPr>
              <w:rPr>
                <w:lang w:val="es-419"/>
              </w:rPr>
            </w:pPr>
          </w:p>
        </w:tc>
      </w:tr>
    </w:tbl>
    <w:p w:rsidR="00DC3802" w:rsidRPr="00E74710" w:rsidRDefault="00DC3802" w:rsidP="00DC3802">
      <w:pPr>
        <w:rPr>
          <w:lang w:val="es-419"/>
        </w:rPr>
      </w:pPr>
    </w:p>
    <w:p w:rsidR="00DA4973" w:rsidRPr="00E74710" w:rsidRDefault="00DA4973"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E74710" w:rsidTr="00EB4E9C">
        <w:tc>
          <w:tcPr>
            <w:tcW w:w="6512" w:type="dxa"/>
          </w:tcPr>
          <w:p w:rsidR="00EB4E9C" w:rsidRPr="00E74710" w:rsidRDefault="002E5944" w:rsidP="00AC2883">
            <w:pPr>
              <w:pStyle w:val="Sessiontc"/>
              <w:spacing w:line="240" w:lineRule="auto"/>
              <w:rPr>
                <w:lang w:val="es-419"/>
              </w:rPr>
            </w:pPr>
            <w:r w:rsidRPr="00E74710">
              <w:rPr>
                <w:lang w:val="es-419"/>
              </w:rPr>
              <w:t xml:space="preserve">Comité </w:t>
            </w:r>
            <w:r w:rsidR="00752334" w:rsidRPr="00E74710">
              <w:rPr>
                <w:lang w:val="es-419"/>
              </w:rPr>
              <w:t>Administrativo y Jurídico</w:t>
            </w:r>
          </w:p>
          <w:p w:rsidR="00EB4E9C" w:rsidRPr="00E74710" w:rsidRDefault="00943983" w:rsidP="008C6250">
            <w:pPr>
              <w:pStyle w:val="Sessiontcplacedate"/>
              <w:rPr>
                <w:dstrike/>
                <w:sz w:val="22"/>
                <w:lang w:val="es-419"/>
              </w:rPr>
            </w:pPr>
            <w:r w:rsidRPr="00E74710">
              <w:rPr>
                <w:lang w:val="es-419"/>
              </w:rPr>
              <w:t xml:space="preserve">Septuagésima </w:t>
            </w:r>
            <w:r w:rsidR="008C6250" w:rsidRPr="00E74710">
              <w:rPr>
                <w:lang w:val="es-419"/>
              </w:rPr>
              <w:t>sex</w:t>
            </w:r>
            <w:r w:rsidR="00404329" w:rsidRPr="00E74710">
              <w:rPr>
                <w:lang w:val="es-419"/>
              </w:rPr>
              <w:t>ta</w:t>
            </w:r>
            <w:r w:rsidR="002E5944" w:rsidRPr="00E74710">
              <w:rPr>
                <w:lang w:val="es-419"/>
              </w:rPr>
              <w:t xml:space="preserve"> sesión</w:t>
            </w:r>
            <w:r w:rsidR="00EB4E9C" w:rsidRPr="00E74710">
              <w:rPr>
                <w:lang w:val="es-419"/>
              </w:rPr>
              <w:br/>
            </w:r>
            <w:r w:rsidR="002E5944" w:rsidRPr="00E74710">
              <w:rPr>
                <w:lang w:val="es-419"/>
              </w:rPr>
              <w:t>Ginebra</w:t>
            </w:r>
            <w:r w:rsidR="00EB4E9C" w:rsidRPr="00E74710">
              <w:rPr>
                <w:lang w:val="es-419"/>
              </w:rPr>
              <w:t xml:space="preserve">, </w:t>
            </w:r>
            <w:r w:rsidR="00404329" w:rsidRPr="00E74710">
              <w:rPr>
                <w:lang w:val="es-419"/>
              </w:rPr>
              <w:t>3</w:t>
            </w:r>
            <w:r w:rsidR="008C6250" w:rsidRPr="00E74710">
              <w:rPr>
                <w:lang w:val="es-419"/>
              </w:rPr>
              <w:t>0</w:t>
            </w:r>
            <w:r w:rsidR="00A706D3" w:rsidRPr="00E74710">
              <w:rPr>
                <w:lang w:val="es-419"/>
              </w:rPr>
              <w:t xml:space="preserve"> </w:t>
            </w:r>
            <w:r w:rsidR="002E5944" w:rsidRPr="00E74710">
              <w:rPr>
                <w:lang w:val="es-419"/>
              </w:rPr>
              <w:t xml:space="preserve">de </w:t>
            </w:r>
            <w:r w:rsidR="00752334" w:rsidRPr="00E74710">
              <w:rPr>
                <w:lang w:val="es-419"/>
              </w:rPr>
              <w:t xml:space="preserve">octubre </w:t>
            </w:r>
            <w:r w:rsidR="002E5944" w:rsidRPr="00E74710">
              <w:rPr>
                <w:lang w:val="es-419"/>
              </w:rPr>
              <w:t>de</w:t>
            </w:r>
            <w:r w:rsidR="00A706D3" w:rsidRPr="00E74710">
              <w:rPr>
                <w:lang w:val="es-419"/>
              </w:rPr>
              <w:t xml:space="preserve"> </w:t>
            </w:r>
            <w:r w:rsidR="008C6250" w:rsidRPr="00E74710">
              <w:rPr>
                <w:lang w:val="es-419"/>
              </w:rPr>
              <w:t>2019</w:t>
            </w:r>
          </w:p>
        </w:tc>
        <w:tc>
          <w:tcPr>
            <w:tcW w:w="3127" w:type="dxa"/>
          </w:tcPr>
          <w:p w:rsidR="00EB4E9C" w:rsidRPr="00E74710" w:rsidRDefault="008C6250" w:rsidP="003C7FBE">
            <w:pPr>
              <w:pStyle w:val="Doccode"/>
              <w:rPr>
                <w:lang w:val="es-419"/>
              </w:rPr>
            </w:pPr>
            <w:r w:rsidRPr="00E74710">
              <w:rPr>
                <w:lang w:val="es-419"/>
              </w:rPr>
              <w:t>CAJ/76</w:t>
            </w:r>
            <w:r w:rsidR="00EB4E9C" w:rsidRPr="00E74710">
              <w:rPr>
                <w:lang w:val="es-419"/>
              </w:rPr>
              <w:t>/</w:t>
            </w:r>
            <w:r w:rsidR="00B35C82" w:rsidRPr="00E74710">
              <w:rPr>
                <w:lang w:val="es-419"/>
              </w:rPr>
              <w:t>3</w:t>
            </w:r>
          </w:p>
          <w:p w:rsidR="00EB4E9C" w:rsidRPr="00E74710" w:rsidRDefault="00EB4E9C" w:rsidP="003C7FBE">
            <w:pPr>
              <w:pStyle w:val="Docoriginal"/>
              <w:rPr>
                <w:lang w:val="es-419"/>
              </w:rPr>
            </w:pPr>
            <w:r w:rsidRPr="00E74710">
              <w:rPr>
                <w:lang w:val="es-419"/>
              </w:rPr>
              <w:t>Original:</w:t>
            </w:r>
            <w:r w:rsidRPr="00E74710">
              <w:rPr>
                <w:b w:val="0"/>
                <w:spacing w:val="0"/>
                <w:lang w:val="es-419"/>
              </w:rPr>
              <w:t xml:space="preserve"> </w:t>
            </w:r>
            <w:r w:rsidR="002E5944" w:rsidRPr="00E74710">
              <w:rPr>
                <w:b w:val="0"/>
                <w:spacing w:val="0"/>
                <w:lang w:val="es-419"/>
              </w:rPr>
              <w:t>Inglés</w:t>
            </w:r>
          </w:p>
          <w:p w:rsidR="00EB4E9C" w:rsidRPr="00E74710" w:rsidRDefault="002E5944" w:rsidP="00B35C82">
            <w:pPr>
              <w:pStyle w:val="Docoriginal"/>
              <w:rPr>
                <w:lang w:val="es-419"/>
              </w:rPr>
            </w:pPr>
            <w:r w:rsidRPr="00E74710">
              <w:rPr>
                <w:lang w:val="es-419"/>
              </w:rPr>
              <w:t>Fecha</w:t>
            </w:r>
            <w:r w:rsidR="00EB4E9C" w:rsidRPr="00E74710">
              <w:rPr>
                <w:lang w:val="es-419"/>
              </w:rPr>
              <w:t>:</w:t>
            </w:r>
            <w:r w:rsidR="00EB4E9C" w:rsidRPr="00E74710">
              <w:rPr>
                <w:b w:val="0"/>
                <w:spacing w:val="0"/>
                <w:lang w:val="es-419"/>
              </w:rPr>
              <w:t xml:space="preserve"> </w:t>
            </w:r>
            <w:r w:rsidR="00B35C82" w:rsidRPr="00714D43">
              <w:rPr>
                <w:b w:val="0"/>
                <w:spacing w:val="0"/>
                <w:lang w:val="es-419"/>
              </w:rPr>
              <w:t>23 de julio</w:t>
            </w:r>
            <w:r w:rsidR="00EB4E9C" w:rsidRPr="00714D43">
              <w:rPr>
                <w:b w:val="0"/>
                <w:spacing w:val="0"/>
                <w:lang w:val="es-419"/>
              </w:rPr>
              <w:t xml:space="preserve"> </w:t>
            </w:r>
            <w:r w:rsidRPr="00714D43">
              <w:rPr>
                <w:b w:val="0"/>
                <w:spacing w:val="0"/>
                <w:lang w:val="es-419"/>
              </w:rPr>
              <w:t xml:space="preserve">de </w:t>
            </w:r>
            <w:r w:rsidR="00EB4E9C" w:rsidRPr="00714D43">
              <w:rPr>
                <w:b w:val="0"/>
                <w:spacing w:val="0"/>
                <w:lang w:val="es-419"/>
              </w:rPr>
              <w:t>201</w:t>
            </w:r>
            <w:r w:rsidR="008C6250" w:rsidRPr="00714D43">
              <w:rPr>
                <w:b w:val="0"/>
                <w:spacing w:val="0"/>
                <w:lang w:val="es-419"/>
              </w:rPr>
              <w:t>9</w:t>
            </w:r>
          </w:p>
        </w:tc>
      </w:tr>
    </w:tbl>
    <w:p w:rsidR="00EB516E" w:rsidRPr="00E74710" w:rsidRDefault="004822B1" w:rsidP="00D73B6F">
      <w:pPr>
        <w:pStyle w:val="Titleofdoc0"/>
        <w:rPr>
          <w:lang w:val="es-419"/>
        </w:rPr>
      </w:pPr>
      <w:bookmarkStart w:id="0" w:name="TitleOfDoc"/>
      <w:bookmarkStart w:id="1" w:name="Prepared"/>
      <w:bookmarkEnd w:id="0"/>
      <w:bookmarkEnd w:id="1"/>
      <w:r w:rsidRPr="00E74710">
        <w:rPr>
          <w:lang w:val="es-419"/>
        </w:rPr>
        <w:t>VARIEDADES ESENCIALMENTE DERIVADAS</w:t>
      </w:r>
    </w:p>
    <w:p w:rsidR="006A644A" w:rsidRPr="00E74710" w:rsidRDefault="000638A9" w:rsidP="006A644A">
      <w:pPr>
        <w:pStyle w:val="preparedby1"/>
        <w:jc w:val="left"/>
        <w:rPr>
          <w:lang w:val="es-419"/>
        </w:rPr>
      </w:pPr>
      <w:r w:rsidRPr="00E74710">
        <w:rPr>
          <w:lang w:val="es-419"/>
        </w:rPr>
        <w:t>Documento preparado por la Oficina de la Unión</w:t>
      </w:r>
    </w:p>
    <w:p w:rsidR="00050E16" w:rsidRPr="00E74710" w:rsidRDefault="000638A9" w:rsidP="006A644A">
      <w:pPr>
        <w:pStyle w:val="Disclaimer"/>
        <w:rPr>
          <w:lang w:val="es-419"/>
        </w:rPr>
      </w:pPr>
      <w:r w:rsidRPr="00E74710">
        <w:rPr>
          <w:lang w:val="es-419"/>
        </w:rPr>
        <w:t>Descargo de responsabilidad: el presente documento no constituye un documento de política u orientación de la UPOV</w:t>
      </w:r>
    </w:p>
    <w:p w:rsidR="00EB516E" w:rsidRPr="00E74710" w:rsidRDefault="004822B1" w:rsidP="00EB516E">
      <w:pPr>
        <w:pStyle w:val="Heading1"/>
        <w:rPr>
          <w:b/>
          <w:snapToGrid w:val="0"/>
          <w:lang w:val="es-419"/>
        </w:rPr>
      </w:pPr>
      <w:bookmarkStart w:id="2" w:name="_Toc15552273"/>
      <w:r w:rsidRPr="00E74710">
        <w:rPr>
          <w:snapToGrid w:val="0"/>
          <w:lang w:val="es-419"/>
        </w:rPr>
        <w:t>RESUMEN</w:t>
      </w:r>
      <w:bookmarkEnd w:id="2"/>
    </w:p>
    <w:p w:rsidR="00EB516E" w:rsidRPr="00E74710" w:rsidRDefault="00EB516E" w:rsidP="00EB516E">
      <w:pPr>
        <w:rPr>
          <w:snapToGrid w:val="0"/>
          <w:lang w:val="es-419"/>
        </w:rPr>
      </w:pPr>
    </w:p>
    <w:p w:rsidR="00EB516E" w:rsidRPr="00E74710" w:rsidRDefault="008871CE" w:rsidP="00EB516E">
      <w:pPr>
        <w:rPr>
          <w:lang w:val="es-419"/>
        </w:rPr>
      </w:pPr>
      <w:r w:rsidRPr="00E74710">
        <w:rPr>
          <w:lang w:val="es-419"/>
        </w:rPr>
        <w:fldChar w:fldCharType="begin"/>
      </w:r>
      <w:r w:rsidR="00EB516E" w:rsidRPr="00E74710">
        <w:rPr>
          <w:lang w:val="es-419"/>
        </w:rPr>
        <w:instrText xml:space="preserve"> AUTONUM  </w:instrText>
      </w:r>
      <w:r w:rsidRPr="00E74710">
        <w:rPr>
          <w:lang w:val="es-419"/>
        </w:rPr>
        <w:fldChar w:fldCharType="end"/>
      </w:r>
      <w:r w:rsidR="00EB516E" w:rsidRPr="00E74710">
        <w:rPr>
          <w:lang w:val="es-419"/>
        </w:rPr>
        <w:tab/>
      </w:r>
      <w:r w:rsidR="00C97540" w:rsidRPr="00E74710">
        <w:rPr>
          <w:lang w:val="es-419"/>
        </w:rPr>
        <w:t xml:space="preserve">El presente documento tiene por finalidad facilitar antecedentes e informar acerca de las novedades acaecidas en relación con las variedades esencialmente derivadas, </w:t>
      </w:r>
      <w:r w:rsidR="00083FF9" w:rsidRPr="00E74710">
        <w:rPr>
          <w:lang w:val="es-419"/>
        </w:rPr>
        <w:t xml:space="preserve">incluidas </w:t>
      </w:r>
      <w:r w:rsidR="00C97540" w:rsidRPr="00E74710">
        <w:rPr>
          <w:lang w:val="es-419"/>
        </w:rPr>
        <w:t>las cuestiones pertinentes respecto del “Seminario sobre la repercusión de la política sobre variedades esencialmente derivadas en la estrategia de fitomejoramiento”</w:t>
      </w:r>
      <w:r w:rsidR="00083FF9" w:rsidRPr="00E74710">
        <w:rPr>
          <w:lang w:val="es-419"/>
        </w:rPr>
        <w:t>,</w:t>
      </w:r>
      <w:r w:rsidR="00C97540" w:rsidRPr="00E74710">
        <w:rPr>
          <w:lang w:val="es-419"/>
        </w:rPr>
        <w:t xml:space="preserve"> con objeto de </w:t>
      </w:r>
      <w:r w:rsidR="00D73B6F" w:rsidRPr="00E74710">
        <w:rPr>
          <w:lang w:val="es-419"/>
        </w:rPr>
        <w:t>asistir</w:t>
      </w:r>
      <w:r w:rsidR="00C97540" w:rsidRPr="00E74710">
        <w:rPr>
          <w:lang w:val="es-419"/>
        </w:rPr>
        <w:t xml:space="preserve"> al Comité Administrativo y Jurídico (CAJ) </w:t>
      </w:r>
      <w:r w:rsidR="00D73B6F" w:rsidRPr="00E74710">
        <w:rPr>
          <w:lang w:val="es-419"/>
        </w:rPr>
        <w:t xml:space="preserve">en su </w:t>
      </w:r>
      <w:r w:rsidR="00C97540" w:rsidRPr="00E74710">
        <w:rPr>
          <w:lang w:val="es-419"/>
        </w:rPr>
        <w:t>examen de la revisión de las orientaciones sobre las variedades esencialmente derivadas que se brindan en el documento</w:t>
      </w:r>
      <w:r w:rsidR="00DB5299" w:rsidRPr="00E74710">
        <w:rPr>
          <w:lang w:val="es-419"/>
        </w:rPr>
        <w:t xml:space="preserve"> UPOV/EXN/</w:t>
      </w:r>
      <w:r w:rsidR="00C97540" w:rsidRPr="00E74710">
        <w:rPr>
          <w:lang w:val="es-419"/>
        </w:rPr>
        <w:t>EDV</w:t>
      </w:r>
      <w:r w:rsidR="00DB5299" w:rsidRPr="00E74710">
        <w:rPr>
          <w:lang w:val="es-419"/>
        </w:rPr>
        <w:t>/2 “</w:t>
      </w:r>
      <w:r w:rsidR="00C97540" w:rsidRPr="00E74710">
        <w:rPr>
          <w:lang w:val="es-419"/>
        </w:rPr>
        <w:t>Notas explicativas sobre las denominaciones de variedades con arreglo al Convenio de la UPOV</w:t>
      </w:r>
      <w:r w:rsidR="00DB5299" w:rsidRPr="00E74710">
        <w:rPr>
          <w:lang w:val="es-419"/>
        </w:rPr>
        <w:t>”.</w:t>
      </w:r>
    </w:p>
    <w:p w:rsidR="00EB516E" w:rsidRPr="00E74710" w:rsidRDefault="00EB516E" w:rsidP="00EB516E">
      <w:pPr>
        <w:jc w:val="left"/>
        <w:rPr>
          <w:rFonts w:cs="Arial"/>
          <w:u w:val="single"/>
          <w:lang w:val="es-419"/>
        </w:rPr>
      </w:pPr>
    </w:p>
    <w:p w:rsidR="00EB516E" w:rsidRPr="00E74710" w:rsidRDefault="008871CE" w:rsidP="00EB516E">
      <w:pPr>
        <w:jc w:val="left"/>
        <w:rPr>
          <w:rFonts w:eastAsiaTheme="minorEastAsia" w:cs="Arial"/>
          <w:snapToGrid w:val="0"/>
          <w:lang w:val="es-419"/>
        </w:rPr>
      </w:pPr>
      <w:r w:rsidRPr="00E74710">
        <w:rPr>
          <w:lang w:val="es-419"/>
        </w:rPr>
        <w:fldChar w:fldCharType="begin"/>
      </w:r>
      <w:r w:rsidR="00EB516E" w:rsidRPr="00E74710">
        <w:rPr>
          <w:lang w:val="es-419"/>
        </w:rPr>
        <w:instrText xml:space="preserve"> AUTONUM  </w:instrText>
      </w:r>
      <w:r w:rsidRPr="00E74710">
        <w:rPr>
          <w:lang w:val="es-419"/>
        </w:rPr>
        <w:fldChar w:fldCharType="end"/>
      </w:r>
      <w:r w:rsidR="00EB516E" w:rsidRPr="00E74710">
        <w:rPr>
          <w:lang w:val="es-419"/>
        </w:rPr>
        <w:tab/>
      </w:r>
      <w:r w:rsidR="00083FF9" w:rsidRPr="00E74710">
        <w:rPr>
          <w:lang w:val="es-419"/>
        </w:rPr>
        <w:t>Se invita al CAJ a:</w:t>
      </w:r>
    </w:p>
    <w:p w:rsidR="00EB516E" w:rsidRPr="00E74710" w:rsidRDefault="00EB516E" w:rsidP="00EB516E">
      <w:pPr>
        <w:jc w:val="left"/>
        <w:rPr>
          <w:rFonts w:cs="Arial"/>
          <w:u w:val="single"/>
          <w:lang w:val="es-419"/>
        </w:rPr>
      </w:pPr>
    </w:p>
    <w:p w:rsidR="00EB516E" w:rsidRPr="00E74710" w:rsidRDefault="00EB516E" w:rsidP="00EB516E">
      <w:pPr>
        <w:rPr>
          <w:rFonts w:eastAsiaTheme="minorEastAsia"/>
          <w:snapToGrid w:val="0"/>
          <w:lang w:val="es-419"/>
        </w:rPr>
      </w:pPr>
      <w:r w:rsidRPr="00E74710">
        <w:rPr>
          <w:rFonts w:eastAsiaTheme="minorEastAsia"/>
          <w:snapToGrid w:val="0"/>
          <w:lang w:val="es-419"/>
        </w:rPr>
        <w:tab/>
      </w:r>
      <w:r w:rsidR="00083FF9" w:rsidRPr="00E74710">
        <w:rPr>
          <w:rFonts w:eastAsiaTheme="minorEastAsia"/>
          <w:snapToGrid w:val="0"/>
          <w:lang w:val="es-419"/>
        </w:rPr>
        <w:t>a)</w:t>
      </w:r>
      <w:r w:rsidRPr="00E74710">
        <w:rPr>
          <w:rFonts w:eastAsiaTheme="minorEastAsia"/>
          <w:snapToGrid w:val="0"/>
          <w:lang w:val="es-419"/>
        </w:rPr>
        <w:tab/>
      </w:r>
      <w:r w:rsidR="00083FF9" w:rsidRPr="00E74710">
        <w:rPr>
          <w:rFonts w:eastAsiaTheme="minorEastAsia"/>
          <w:snapToGrid w:val="0"/>
          <w:lang w:val="es-419"/>
        </w:rPr>
        <w:t>tomar nota de los antecedentes y las novedades acaecidas en relación con las variedades esencialmente derivadas, incluidas las cuestiones pertinentes respecto del “Seminario sobre la repercusión de la política sobre variedades esencialmente derivadas en la estrategia de fitomejoramiento”, que se exponen en los párrafos 4 a 15 del presente documento;</w:t>
      </w:r>
    </w:p>
    <w:p w:rsidR="00EB516E" w:rsidRPr="00E74710" w:rsidRDefault="00EB516E" w:rsidP="00EB516E">
      <w:pPr>
        <w:rPr>
          <w:rFonts w:eastAsiaTheme="minorEastAsia"/>
          <w:snapToGrid w:val="0"/>
          <w:lang w:val="es-419"/>
        </w:rPr>
      </w:pPr>
    </w:p>
    <w:p w:rsidR="00EB516E" w:rsidRPr="00E74710" w:rsidRDefault="00EB516E" w:rsidP="00EB516E">
      <w:pPr>
        <w:rPr>
          <w:rFonts w:eastAsiaTheme="minorEastAsia"/>
          <w:snapToGrid w:val="0"/>
          <w:lang w:val="es-419"/>
        </w:rPr>
      </w:pPr>
      <w:r w:rsidRPr="00E74710">
        <w:rPr>
          <w:rFonts w:eastAsiaTheme="minorEastAsia"/>
          <w:snapToGrid w:val="0"/>
          <w:lang w:val="es-419"/>
        </w:rPr>
        <w:tab/>
      </w:r>
      <w:r w:rsidR="00345EA3" w:rsidRPr="00E74710">
        <w:rPr>
          <w:rFonts w:eastAsiaTheme="minorEastAsia"/>
          <w:snapToGrid w:val="0"/>
          <w:lang w:val="es-419"/>
        </w:rPr>
        <w:t>b)</w:t>
      </w:r>
      <w:r w:rsidRPr="00E74710">
        <w:rPr>
          <w:rFonts w:eastAsiaTheme="minorEastAsia"/>
          <w:snapToGrid w:val="0"/>
          <w:lang w:val="es-419"/>
        </w:rPr>
        <w:tab/>
      </w:r>
      <w:r w:rsidR="00345EA3" w:rsidRPr="00E74710">
        <w:rPr>
          <w:rFonts w:eastAsiaTheme="minorEastAsia"/>
          <w:snapToGrid w:val="0"/>
          <w:lang w:val="es-419"/>
        </w:rPr>
        <w:t>examinar los resultados del Seminario sobre variedades esencialmente derivadas que</w:t>
      </w:r>
      <w:r w:rsidR="0026431F" w:rsidRPr="00E74710">
        <w:rPr>
          <w:rFonts w:eastAsiaTheme="minorEastAsia"/>
          <w:snapToGrid w:val="0"/>
          <w:lang w:val="es-419"/>
        </w:rPr>
        <w:t xml:space="preserve">, en un informe verbal a cargo del presidente del CAJ, </w:t>
      </w:r>
      <w:r w:rsidR="00345EA3" w:rsidRPr="00E74710">
        <w:rPr>
          <w:rFonts w:eastAsiaTheme="minorEastAsia"/>
          <w:snapToGrid w:val="0"/>
          <w:lang w:val="es-419"/>
        </w:rPr>
        <w:t xml:space="preserve">se </w:t>
      </w:r>
      <w:r w:rsidR="00032AD8" w:rsidRPr="00E74710">
        <w:rPr>
          <w:rFonts w:eastAsiaTheme="minorEastAsia"/>
          <w:snapToGrid w:val="0"/>
          <w:lang w:val="es-419"/>
        </w:rPr>
        <w:t xml:space="preserve">presentarán </w:t>
      </w:r>
      <w:r w:rsidR="004D40C5" w:rsidRPr="00E74710">
        <w:rPr>
          <w:rFonts w:eastAsiaTheme="minorEastAsia"/>
          <w:snapToGrid w:val="0"/>
          <w:lang w:val="es-419"/>
        </w:rPr>
        <w:t xml:space="preserve">en la septuagésima sexta sesión del </w:t>
      </w:r>
      <w:r w:rsidR="0026431F" w:rsidRPr="00E74710">
        <w:rPr>
          <w:rFonts w:eastAsiaTheme="minorEastAsia"/>
          <w:snapToGrid w:val="0"/>
          <w:lang w:val="es-419"/>
        </w:rPr>
        <w:t xml:space="preserve">CAJ, </w:t>
      </w:r>
      <w:r w:rsidR="00345EA3" w:rsidRPr="00E74710">
        <w:rPr>
          <w:rFonts w:eastAsiaTheme="minorEastAsia"/>
          <w:snapToGrid w:val="0"/>
          <w:lang w:val="es-419"/>
        </w:rPr>
        <w:t>exp</w:t>
      </w:r>
      <w:r w:rsidR="0026431F" w:rsidRPr="00E74710">
        <w:rPr>
          <w:rFonts w:eastAsiaTheme="minorEastAsia"/>
          <w:snapToGrid w:val="0"/>
          <w:lang w:val="es-419"/>
        </w:rPr>
        <w:t>uestos</w:t>
      </w:r>
      <w:r w:rsidR="00345EA3" w:rsidRPr="00E74710">
        <w:rPr>
          <w:rFonts w:eastAsiaTheme="minorEastAsia"/>
          <w:snapToGrid w:val="0"/>
          <w:lang w:val="es-419"/>
        </w:rPr>
        <w:t xml:space="preserve"> en los párrafos 16 a 18 del presente documento;</w:t>
      </w:r>
      <w:r w:rsidR="00951F8A" w:rsidRPr="00E74710">
        <w:rPr>
          <w:rFonts w:eastAsiaTheme="minorEastAsia"/>
          <w:snapToGrid w:val="0"/>
          <w:lang w:val="es-419"/>
        </w:rPr>
        <w:t xml:space="preserve"> </w:t>
      </w:r>
    </w:p>
    <w:p w:rsidR="00EB516E" w:rsidRPr="00E74710" w:rsidRDefault="00EB516E" w:rsidP="00EB516E">
      <w:pPr>
        <w:rPr>
          <w:rFonts w:eastAsiaTheme="minorEastAsia"/>
          <w:snapToGrid w:val="0"/>
          <w:lang w:val="es-419"/>
        </w:rPr>
      </w:pPr>
    </w:p>
    <w:p w:rsidR="00EB516E" w:rsidRPr="00E74710" w:rsidRDefault="00EB516E" w:rsidP="00EB516E">
      <w:pPr>
        <w:rPr>
          <w:rFonts w:eastAsiaTheme="minorEastAsia"/>
          <w:snapToGrid w:val="0"/>
          <w:lang w:val="es-419"/>
        </w:rPr>
      </w:pPr>
      <w:r w:rsidRPr="00E74710">
        <w:rPr>
          <w:rFonts w:eastAsiaTheme="minorEastAsia"/>
          <w:snapToGrid w:val="0"/>
          <w:lang w:val="es-419"/>
        </w:rPr>
        <w:tab/>
      </w:r>
      <w:r w:rsidR="00345EA3" w:rsidRPr="00E74710">
        <w:rPr>
          <w:rFonts w:eastAsiaTheme="minorEastAsia"/>
          <w:snapToGrid w:val="0"/>
          <w:lang w:val="es-419"/>
        </w:rPr>
        <w:t>c)</w:t>
      </w:r>
      <w:r w:rsidRPr="00E74710">
        <w:rPr>
          <w:rFonts w:eastAsiaTheme="minorEastAsia"/>
          <w:snapToGrid w:val="0"/>
          <w:lang w:val="es-419"/>
        </w:rPr>
        <w:tab/>
      </w:r>
      <w:r w:rsidR="001F1286" w:rsidRPr="00E74710">
        <w:rPr>
          <w:rFonts w:eastAsiaTheme="minorEastAsia"/>
          <w:snapToGrid w:val="0"/>
          <w:lang w:val="es-419"/>
        </w:rPr>
        <w:t>tomar nota de que no se han producido avances en relación con una eventual reunión de la Oficina de la Unión con la CIOPORA, la ISF y la OMPI a fin de explorar la posible función de la UPOV en los mecanismos extrajudiciales de solución de controversias para asuntos relativos a variedades esencialmente derivadas, en particular la puesta a disposición de expertos en materia de variedades esencialmente derivadas.</w:t>
      </w:r>
    </w:p>
    <w:p w:rsidR="00EB516E" w:rsidRPr="00E74710" w:rsidRDefault="00EB516E" w:rsidP="00EB516E">
      <w:pPr>
        <w:rPr>
          <w:u w:val="single"/>
          <w:lang w:val="es-419"/>
        </w:rPr>
      </w:pPr>
    </w:p>
    <w:p w:rsidR="00EB516E" w:rsidRPr="00E74710" w:rsidRDefault="008871CE" w:rsidP="00EB516E">
      <w:pPr>
        <w:jc w:val="left"/>
        <w:rPr>
          <w:rFonts w:cs="Arial"/>
          <w:color w:val="000000"/>
          <w:lang w:val="es-419"/>
        </w:rPr>
      </w:pPr>
      <w:r w:rsidRPr="00E74710">
        <w:rPr>
          <w:rFonts w:cs="Arial"/>
          <w:lang w:val="es-419"/>
        </w:rPr>
        <w:fldChar w:fldCharType="begin"/>
      </w:r>
      <w:r w:rsidR="00EB516E" w:rsidRPr="00E74710">
        <w:rPr>
          <w:rFonts w:cs="Arial"/>
          <w:lang w:val="es-419"/>
        </w:rPr>
        <w:instrText xml:space="preserve"> AUTONUM  </w:instrText>
      </w:r>
      <w:r w:rsidRPr="00E74710">
        <w:rPr>
          <w:rFonts w:cs="Arial"/>
          <w:lang w:val="es-419"/>
        </w:rPr>
        <w:fldChar w:fldCharType="end"/>
      </w:r>
      <w:r w:rsidR="00EB516E" w:rsidRPr="00E74710">
        <w:rPr>
          <w:rFonts w:cs="Arial"/>
          <w:lang w:val="es-419"/>
        </w:rPr>
        <w:tab/>
      </w:r>
      <w:r w:rsidR="001F1286" w:rsidRPr="00E74710">
        <w:rPr>
          <w:rFonts w:cs="Arial"/>
          <w:lang w:val="es-419" w:eastAsia="ja-JP"/>
        </w:rPr>
        <w:t>El presente documento se estructura del modo siguiente:</w:t>
      </w:r>
    </w:p>
    <w:p w:rsidR="00EB516E" w:rsidRPr="00E74710" w:rsidRDefault="00EB516E" w:rsidP="00EB516E">
      <w:pPr>
        <w:rPr>
          <w:snapToGrid w:val="0"/>
          <w:lang w:val="es-419"/>
        </w:rPr>
      </w:pPr>
    </w:p>
    <w:p w:rsidR="00D57822" w:rsidRDefault="008871CE" w:rsidP="00DF159A">
      <w:pPr>
        <w:pStyle w:val="TOC1"/>
        <w:rPr>
          <w:rFonts w:asciiTheme="minorHAnsi" w:eastAsiaTheme="minorEastAsia" w:hAnsiTheme="minorHAnsi" w:cstheme="minorBidi"/>
          <w:noProof/>
          <w:sz w:val="22"/>
          <w:szCs w:val="22"/>
        </w:rPr>
      </w:pPr>
      <w:r w:rsidRPr="00E74710">
        <w:rPr>
          <w:snapToGrid w:val="0"/>
          <w:lang w:val="es-419"/>
        </w:rPr>
        <w:fldChar w:fldCharType="begin"/>
      </w:r>
      <w:r w:rsidR="00EB516E" w:rsidRPr="00E74710">
        <w:rPr>
          <w:snapToGrid w:val="0"/>
          <w:lang w:val="es-419"/>
        </w:rPr>
        <w:instrText xml:space="preserve"> TOC \o "1-3" \h \z \u </w:instrText>
      </w:r>
      <w:r w:rsidRPr="00E74710">
        <w:rPr>
          <w:snapToGrid w:val="0"/>
          <w:lang w:val="es-419"/>
        </w:rPr>
        <w:fldChar w:fldCharType="separate"/>
      </w:r>
      <w:hyperlink w:anchor="_Toc15552273" w:history="1">
        <w:r w:rsidR="00D57822" w:rsidRPr="00AA5580">
          <w:rPr>
            <w:rStyle w:val="Hyperlink"/>
            <w:noProof/>
            <w:snapToGrid w:val="0"/>
            <w:lang w:val="es-419"/>
          </w:rPr>
          <w:t>RESUMEN</w:t>
        </w:r>
        <w:r w:rsidR="00D57822">
          <w:rPr>
            <w:noProof/>
            <w:webHidden/>
          </w:rPr>
          <w:tab/>
        </w:r>
        <w:r w:rsidR="00D57822">
          <w:rPr>
            <w:noProof/>
            <w:webHidden/>
          </w:rPr>
          <w:fldChar w:fldCharType="begin"/>
        </w:r>
        <w:r w:rsidR="00D57822">
          <w:rPr>
            <w:noProof/>
            <w:webHidden/>
          </w:rPr>
          <w:instrText xml:space="preserve"> PAGEREF _Toc15552273 \h </w:instrText>
        </w:r>
        <w:r w:rsidR="00D57822">
          <w:rPr>
            <w:noProof/>
            <w:webHidden/>
          </w:rPr>
        </w:r>
        <w:r w:rsidR="00D57822">
          <w:rPr>
            <w:noProof/>
            <w:webHidden/>
          </w:rPr>
          <w:fldChar w:fldCharType="separate"/>
        </w:r>
        <w:r w:rsidR="006A776C">
          <w:rPr>
            <w:noProof/>
            <w:webHidden/>
          </w:rPr>
          <w:t>1</w:t>
        </w:r>
        <w:r w:rsidR="00D57822">
          <w:rPr>
            <w:noProof/>
            <w:webHidden/>
          </w:rPr>
          <w:fldChar w:fldCharType="end"/>
        </w:r>
      </w:hyperlink>
    </w:p>
    <w:p w:rsidR="00D57822" w:rsidRDefault="00DF159A" w:rsidP="00DF159A">
      <w:pPr>
        <w:pStyle w:val="TOC1"/>
        <w:rPr>
          <w:rFonts w:asciiTheme="minorHAnsi" w:eastAsiaTheme="minorEastAsia" w:hAnsiTheme="minorHAnsi" w:cstheme="minorBidi"/>
          <w:noProof/>
          <w:sz w:val="22"/>
          <w:szCs w:val="22"/>
        </w:rPr>
      </w:pPr>
      <w:hyperlink w:anchor="_Toc15552274" w:history="1">
        <w:r w:rsidR="00D57822" w:rsidRPr="00AA5580">
          <w:rPr>
            <w:rStyle w:val="Hyperlink"/>
            <w:noProof/>
            <w:lang w:val="es-419"/>
          </w:rPr>
          <w:t>ANTECEDENTES</w:t>
        </w:r>
        <w:r w:rsidR="00D57822">
          <w:rPr>
            <w:noProof/>
            <w:webHidden/>
          </w:rPr>
          <w:tab/>
        </w:r>
        <w:r w:rsidR="00D57822">
          <w:rPr>
            <w:noProof/>
            <w:webHidden/>
          </w:rPr>
          <w:fldChar w:fldCharType="begin"/>
        </w:r>
        <w:r w:rsidR="00D57822">
          <w:rPr>
            <w:noProof/>
            <w:webHidden/>
          </w:rPr>
          <w:instrText xml:space="preserve"> PAGEREF _Toc15552274 \h </w:instrText>
        </w:r>
        <w:r w:rsidR="00D57822">
          <w:rPr>
            <w:noProof/>
            <w:webHidden/>
          </w:rPr>
        </w:r>
        <w:r w:rsidR="00D57822">
          <w:rPr>
            <w:noProof/>
            <w:webHidden/>
          </w:rPr>
          <w:fldChar w:fldCharType="separate"/>
        </w:r>
        <w:r w:rsidR="006A776C">
          <w:rPr>
            <w:noProof/>
            <w:webHidden/>
          </w:rPr>
          <w:t>2</w:t>
        </w:r>
        <w:r w:rsidR="00D57822">
          <w:rPr>
            <w:noProof/>
            <w:webHidden/>
          </w:rPr>
          <w:fldChar w:fldCharType="end"/>
        </w:r>
      </w:hyperlink>
    </w:p>
    <w:p w:rsidR="00D57822" w:rsidRDefault="00DF159A">
      <w:pPr>
        <w:pStyle w:val="TOC2"/>
        <w:rPr>
          <w:rFonts w:asciiTheme="minorHAnsi" w:eastAsiaTheme="minorEastAsia" w:hAnsiTheme="minorHAnsi" w:cstheme="minorBidi"/>
          <w:noProof/>
          <w:sz w:val="22"/>
          <w:szCs w:val="22"/>
        </w:rPr>
      </w:pPr>
      <w:hyperlink w:anchor="_Toc15552275" w:history="1">
        <w:r w:rsidR="00D57822" w:rsidRPr="00AA5580">
          <w:rPr>
            <w:rStyle w:val="Hyperlink"/>
            <w:noProof/>
            <w:lang w:val="es-419"/>
          </w:rPr>
          <w:t>Respuestas a la circular E-19/032 de la UPOV proponiendo preguntas y asuntos que se estime conveniente tratar en el Seminario sobre variedades esencialmente derivadas</w:t>
        </w:r>
        <w:r w:rsidR="00D57822">
          <w:rPr>
            <w:noProof/>
            <w:webHidden/>
          </w:rPr>
          <w:tab/>
        </w:r>
        <w:r w:rsidR="00D57822">
          <w:rPr>
            <w:noProof/>
            <w:webHidden/>
          </w:rPr>
          <w:fldChar w:fldCharType="begin"/>
        </w:r>
        <w:r w:rsidR="00D57822">
          <w:rPr>
            <w:noProof/>
            <w:webHidden/>
          </w:rPr>
          <w:instrText xml:space="preserve"> PAGEREF _Toc15552275 \h </w:instrText>
        </w:r>
        <w:r w:rsidR="00D57822">
          <w:rPr>
            <w:noProof/>
            <w:webHidden/>
          </w:rPr>
        </w:r>
        <w:r w:rsidR="00D57822">
          <w:rPr>
            <w:noProof/>
            <w:webHidden/>
          </w:rPr>
          <w:fldChar w:fldCharType="separate"/>
        </w:r>
        <w:r w:rsidR="006A776C">
          <w:rPr>
            <w:noProof/>
            <w:webHidden/>
          </w:rPr>
          <w:t>2</w:t>
        </w:r>
        <w:r w:rsidR="00D57822">
          <w:rPr>
            <w:noProof/>
            <w:webHidden/>
          </w:rPr>
          <w:fldChar w:fldCharType="end"/>
        </w:r>
      </w:hyperlink>
    </w:p>
    <w:p w:rsidR="00D57822" w:rsidRDefault="00DF159A">
      <w:pPr>
        <w:pStyle w:val="TOC2"/>
        <w:rPr>
          <w:rFonts w:asciiTheme="minorHAnsi" w:eastAsiaTheme="minorEastAsia" w:hAnsiTheme="minorHAnsi" w:cstheme="minorBidi"/>
          <w:noProof/>
          <w:sz w:val="22"/>
          <w:szCs w:val="22"/>
        </w:rPr>
      </w:pPr>
      <w:hyperlink w:anchor="_Toc15552276" w:history="1">
        <w:r w:rsidR="00D57822" w:rsidRPr="00AA5580">
          <w:rPr>
            <w:rStyle w:val="Hyperlink"/>
            <w:noProof/>
            <w:lang w:val="es-419"/>
          </w:rPr>
          <w:t>Elaboración del proyecto de programa del Seminario sobre variedades esencialmente derivadas que se ha de someter a la aprobación del CAJ por correspondencia</w:t>
        </w:r>
        <w:r w:rsidR="00D57822">
          <w:rPr>
            <w:noProof/>
            <w:webHidden/>
          </w:rPr>
          <w:tab/>
        </w:r>
        <w:r w:rsidR="00D57822">
          <w:rPr>
            <w:noProof/>
            <w:webHidden/>
          </w:rPr>
          <w:fldChar w:fldCharType="begin"/>
        </w:r>
        <w:r w:rsidR="00D57822">
          <w:rPr>
            <w:noProof/>
            <w:webHidden/>
          </w:rPr>
          <w:instrText xml:space="preserve"> PAGEREF _Toc15552276 \h </w:instrText>
        </w:r>
        <w:r w:rsidR="00D57822">
          <w:rPr>
            <w:noProof/>
            <w:webHidden/>
          </w:rPr>
        </w:r>
        <w:r w:rsidR="00D57822">
          <w:rPr>
            <w:noProof/>
            <w:webHidden/>
          </w:rPr>
          <w:fldChar w:fldCharType="separate"/>
        </w:r>
        <w:r w:rsidR="006A776C">
          <w:rPr>
            <w:noProof/>
            <w:webHidden/>
          </w:rPr>
          <w:t>2</w:t>
        </w:r>
        <w:r w:rsidR="00D57822">
          <w:rPr>
            <w:noProof/>
            <w:webHidden/>
          </w:rPr>
          <w:fldChar w:fldCharType="end"/>
        </w:r>
      </w:hyperlink>
    </w:p>
    <w:p w:rsidR="00D57822" w:rsidRDefault="00DF159A" w:rsidP="00DF159A">
      <w:pPr>
        <w:pStyle w:val="TOC1"/>
        <w:rPr>
          <w:rFonts w:asciiTheme="minorHAnsi" w:eastAsiaTheme="minorEastAsia" w:hAnsiTheme="minorHAnsi" w:cstheme="minorBidi"/>
          <w:noProof/>
          <w:sz w:val="22"/>
          <w:szCs w:val="22"/>
        </w:rPr>
      </w:pPr>
      <w:hyperlink w:anchor="_Toc15552277" w:history="1">
        <w:r w:rsidR="00D57822" w:rsidRPr="00AA5580">
          <w:rPr>
            <w:rStyle w:val="Hyperlink"/>
            <w:noProof/>
            <w:lang w:val="es-419"/>
          </w:rPr>
          <w:t>RESULTADO deL SEMINARIO SOBRE VARIEDADES ESENCIALMENTE DERIVADAS y revisión de las orientaciones sobre las variedades esencialmente derivadas que se brindan en el documento UPOV/EXN/EDV/2 “NOTAS EXPLICATIVAS SOBRE LAS VARIEDADES ESENCIALMENTE DERIVADAS CON ARREGLO AL ACTA DE 1991 DEL CONVENIO DE LA UPOV”</w:t>
        </w:r>
        <w:r w:rsidR="00D57822">
          <w:rPr>
            <w:noProof/>
            <w:webHidden/>
          </w:rPr>
          <w:tab/>
        </w:r>
        <w:r w:rsidR="00D57822">
          <w:rPr>
            <w:noProof/>
            <w:webHidden/>
          </w:rPr>
          <w:fldChar w:fldCharType="begin"/>
        </w:r>
        <w:r w:rsidR="00D57822">
          <w:rPr>
            <w:noProof/>
            <w:webHidden/>
          </w:rPr>
          <w:instrText xml:space="preserve"> PAGEREF _Toc15552277 \h </w:instrText>
        </w:r>
        <w:r w:rsidR="00D57822">
          <w:rPr>
            <w:noProof/>
            <w:webHidden/>
          </w:rPr>
        </w:r>
        <w:r w:rsidR="00D57822">
          <w:rPr>
            <w:noProof/>
            <w:webHidden/>
          </w:rPr>
          <w:fldChar w:fldCharType="separate"/>
        </w:r>
        <w:r w:rsidR="006A776C">
          <w:rPr>
            <w:noProof/>
            <w:webHidden/>
          </w:rPr>
          <w:t>2</w:t>
        </w:r>
        <w:r w:rsidR="00D57822">
          <w:rPr>
            <w:noProof/>
            <w:webHidden/>
          </w:rPr>
          <w:fldChar w:fldCharType="end"/>
        </w:r>
      </w:hyperlink>
    </w:p>
    <w:p w:rsidR="00D57822" w:rsidRDefault="00DF159A" w:rsidP="00DF159A">
      <w:pPr>
        <w:pStyle w:val="TOC1"/>
        <w:rPr>
          <w:rFonts w:asciiTheme="minorHAnsi" w:eastAsiaTheme="minorEastAsia" w:hAnsiTheme="minorHAnsi" w:cstheme="minorBidi"/>
          <w:noProof/>
          <w:sz w:val="22"/>
          <w:szCs w:val="22"/>
        </w:rPr>
      </w:pPr>
      <w:hyperlink w:anchor="_Toc15552278" w:history="1">
        <w:r w:rsidR="00D57822" w:rsidRPr="00AA5580">
          <w:rPr>
            <w:rStyle w:val="Hyperlink"/>
            <w:noProof/>
            <w:lang w:val="es-419"/>
          </w:rPr>
          <w:t>MECANISMOS EXTRAJUDICIALES DE SOLUCIÓN DE CONTROVERSIAS PARA ASUNTOS RELATIVOS A VARIEDADES ESENCIALMENTE DERIVADAS</w:t>
        </w:r>
        <w:r w:rsidR="00D57822">
          <w:rPr>
            <w:noProof/>
            <w:webHidden/>
          </w:rPr>
          <w:tab/>
        </w:r>
        <w:r w:rsidR="00D57822">
          <w:rPr>
            <w:noProof/>
            <w:webHidden/>
          </w:rPr>
          <w:fldChar w:fldCharType="begin"/>
        </w:r>
        <w:r w:rsidR="00D57822">
          <w:rPr>
            <w:noProof/>
            <w:webHidden/>
          </w:rPr>
          <w:instrText xml:space="preserve"> PAGEREF _Toc15552278 \h </w:instrText>
        </w:r>
        <w:r w:rsidR="00D57822">
          <w:rPr>
            <w:noProof/>
            <w:webHidden/>
          </w:rPr>
        </w:r>
        <w:r w:rsidR="00D57822">
          <w:rPr>
            <w:noProof/>
            <w:webHidden/>
          </w:rPr>
          <w:fldChar w:fldCharType="separate"/>
        </w:r>
        <w:r w:rsidR="006A776C">
          <w:rPr>
            <w:noProof/>
            <w:webHidden/>
          </w:rPr>
          <w:t>2</w:t>
        </w:r>
        <w:r w:rsidR="00D57822">
          <w:rPr>
            <w:noProof/>
            <w:webHidden/>
          </w:rPr>
          <w:fldChar w:fldCharType="end"/>
        </w:r>
      </w:hyperlink>
    </w:p>
    <w:p w:rsidR="00EB516E" w:rsidRPr="00E74710" w:rsidRDefault="008871CE" w:rsidP="00DF159A">
      <w:pPr>
        <w:tabs>
          <w:tab w:val="left" w:pos="1134"/>
        </w:tabs>
        <w:ind w:left="1134" w:right="283" w:hanging="1134"/>
        <w:jc w:val="left"/>
        <w:rPr>
          <w:snapToGrid w:val="0"/>
          <w:lang w:val="es-419"/>
        </w:rPr>
      </w:pPr>
      <w:r w:rsidRPr="00E74710">
        <w:rPr>
          <w:snapToGrid w:val="0"/>
          <w:lang w:val="es-419"/>
        </w:rPr>
        <w:lastRenderedPageBreak/>
        <w:fldChar w:fldCharType="end"/>
      </w:r>
      <w:r w:rsidR="001F1286" w:rsidRPr="00E74710">
        <w:rPr>
          <w:lang w:val="es-419"/>
        </w:rPr>
        <w:t>ANEXO:</w:t>
      </w:r>
      <w:r w:rsidR="00EB516E" w:rsidRPr="00E74710">
        <w:rPr>
          <w:lang w:val="es-419"/>
        </w:rPr>
        <w:tab/>
      </w:r>
      <w:r w:rsidR="001F1286" w:rsidRPr="00E74710">
        <w:rPr>
          <w:lang w:val="es-419"/>
        </w:rPr>
        <w:t>PROYECTO DE PROGRAMA DEL “SEMINARIO SOBRE LA REPERCUSIÓN DE LA POLÍTICA SOBRE VARIEDADES ESENCIALMENTE DERIVADAS EN LA ESTRATEGIA DE FITOMEJORAMIENTO”</w:t>
      </w:r>
    </w:p>
    <w:p w:rsidR="00EB516E" w:rsidRPr="00E74710" w:rsidRDefault="00EB516E" w:rsidP="00EB516E">
      <w:pPr>
        <w:jc w:val="left"/>
        <w:rPr>
          <w:rFonts w:cs="Arial"/>
          <w:u w:val="single"/>
          <w:lang w:val="es-419"/>
        </w:rPr>
      </w:pPr>
    </w:p>
    <w:p w:rsidR="00EB516E" w:rsidRDefault="00EB516E" w:rsidP="00EB516E">
      <w:pPr>
        <w:jc w:val="left"/>
        <w:rPr>
          <w:rFonts w:cs="Arial"/>
          <w:u w:val="single"/>
          <w:lang w:val="es-419"/>
        </w:rPr>
      </w:pPr>
    </w:p>
    <w:p w:rsidR="00D57822" w:rsidRPr="00E74710" w:rsidRDefault="00D57822" w:rsidP="00EB516E">
      <w:pPr>
        <w:jc w:val="left"/>
        <w:rPr>
          <w:rFonts w:cs="Arial"/>
          <w:u w:val="single"/>
          <w:lang w:val="es-419"/>
        </w:rPr>
      </w:pPr>
    </w:p>
    <w:p w:rsidR="00EB516E" w:rsidRPr="00E74710" w:rsidRDefault="001F1286" w:rsidP="00EB516E">
      <w:pPr>
        <w:pStyle w:val="Heading1"/>
        <w:rPr>
          <w:lang w:val="es-419"/>
        </w:rPr>
      </w:pPr>
      <w:bookmarkStart w:id="3" w:name="_Toc15552274"/>
      <w:r w:rsidRPr="00E74710">
        <w:rPr>
          <w:lang w:val="es-419"/>
        </w:rPr>
        <w:t>ANTECEDENTES</w:t>
      </w:r>
      <w:bookmarkEnd w:id="3"/>
    </w:p>
    <w:p w:rsidR="00EB516E" w:rsidRPr="00E74710" w:rsidRDefault="00EB516E" w:rsidP="00EB516E">
      <w:pPr>
        <w:jc w:val="left"/>
        <w:rPr>
          <w:rFonts w:cs="Arial"/>
          <w:u w:val="single"/>
          <w:lang w:val="es-419"/>
        </w:rPr>
      </w:pPr>
    </w:p>
    <w:p w:rsidR="00EB516E" w:rsidRPr="00E74710" w:rsidRDefault="008871CE" w:rsidP="00EB516E">
      <w:pPr>
        <w:keepNext/>
        <w:rPr>
          <w:kern w:val="28"/>
          <w:lang w:val="es-419"/>
        </w:rPr>
      </w:pPr>
      <w:r w:rsidRPr="00E74710">
        <w:rPr>
          <w:spacing w:val="-2"/>
          <w:lang w:val="es-419"/>
        </w:rPr>
        <w:fldChar w:fldCharType="begin"/>
      </w:r>
      <w:r w:rsidR="00EB516E" w:rsidRPr="00E74710">
        <w:rPr>
          <w:spacing w:val="-2"/>
          <w:lang w:val="es-419"/>
        </w:rPr>
        <w:instrText xml:space="preserve"> AUTONUM  </w:instrText>
      </w:r>
      <w:r w:rsidRPr="00E74710">
        <w:rPr>
          <w:spacing w:val="-2"/>
          <w:lang w:val="es-419"/>
        </w:rPr>
        <w:fldChar w:fldCharType="end"/>
      </w:r>
      <w:r w:rsidR="00EB516E" w:rsidRPr="00E74710">
        <w:rPr>
          <w:spacing w:val="-2"/>
          <w:lang w:val="es-419"/>
        </w:rPr>
        <w:tab/>
      </w:r>
      <w:r w:rsidR="00ED7218" w:rsidRPr="00E74710">
        <w:rPr>
          <w:spacing w:val="-2"/>
          <w:kern w:val="28"/>
          <w:lang w:val="es-419"/>
        </w:rPr>
        <w:t xml:space="preserve">El CAJ, en su septuagésima quinta </w:t>
      </w:r>
      <w:r w:rsidR="00AE64B6" w:rsidRPr="00E74710">
        <w:rPr>
          <w:spacing w:val="-2"/>
          <w:kern w:val="28"/>
          <w:lang w:val="es-419"/>
        </w:rPr>
        <w:t>sesión</w:t>
      </w:r>
      <w:r w:rsidR="00ED7218" w:rsidRPr="00E74710">
        <w:rPr>
          <w:spacing w:val="-2"/>
          <w:kern w:val="28"/>
          <w:lang w:val="es-419"/>
        </w:rPr>
        <w:t>,</w:t>
      </w:r>
      <w:r w:rsidR="00ED7218" w:rsidRPr="00E74710">
        <w:rPr>
          <w:rStyle w:val="FootnoteReference"/>
          <w:spacing w:val="-2"/>
          <w:kern w:val="28"/>
          <w:lang w:val="es-419"/>
        </w:rPr>
        <w:footnoteReference w:id="2"/>
      </w:r>
      <w:r w:rsidR="00ED7218" w:rsidRPr="00E74710">
        <w:rPr>
          <w:spacing w:val="-2"/>
          <w:kern w:val="28"/>
          <w:lang w:val="es-419"/>
        </w:rPr>
        <w:t xml:space="preserve"> examinó el documento CAJ/75/3 “Ponencias sobre las variedades esencialmente derivadas” </w:t>
      </w:r>
      <w:r w:rsidR="00F63A4E" w:rsidRPr="00E74710">
        <w:rPr>
          <w:spacing w:val="-2"/>
          <w:kern w:val="28"/>
          <w:lang w:val="es-419"/>
        </w:rPr>
        <w:t>y las</w:t>
      </w:r>
      <w:r w:rsidR="00ED7218" w:rsidRPr="00E74710">
        <w:rPr>
          <w:spacing w:val="-2"/>
          <w:kern w:val="28"/>
          <w:lang w:val="es-419"/>
        </w:rPr>
        <w:t xml:space="preserve"> </w:t>
      </w:r>
      <w:r w:rsidR="00F63A4E" w:rsidRPr="00E74710">
        <w:rPr>
          <w:spacing w:val="-2"/>
          <w:kern w:val="28"/>
          <w:lang w:val="es-419"/>
        </w:rPr>
        <w:t>ponencias presentadas</w:t>
      </w:r>
      <w:r w:rsidR="00ED7218" w:rsidRPr="00E74710">
        <w:rPr>
          <w:spacing w:val="-2"/>
          <w:kern w:val="28"/>
          <w:lang w:val="es-419"/>
        </w:rPr>
        <w:t xml:space="preserve"> por los Estados Unidos de América, </w:t>
      </w:r>
      <w:r w:rsidR="00F63A4E" w:rsidRPr="00E74710">
        <w:rPr>
          <w:spacing w:val="-2"/>
          <w:kern w:val="28"/>
          <w:lang w:val="es-419"/>
        </w:rPr>
        <w:t xml:space="preserve">la Comunidad Internacional de Fitomejoradores de Plantas Ornamentales y Frutales de Reproducción Asexuada </w:t>
      </w:r>
      <w:r w:rsidR="00ED7218" w:rsidRPr="00E74710">
        <w:rPr>
          <w:spacing w:val="-2"/>
          <w:lang w:val="es-419"/>
        </w:rPr>
        <w:t xml:space="preserve">(CIOPORA), </w:t>
      </w:r>
      <w:r w:rsidR="00F63A4E" w:rsidRPr="00E74710">
        <w:rPr>
          <w:spacing w:val="-2"/>
          <w:lang w:val="es-419"/>
        </w:rPr>
        <w:t>la</w:t>
      </w:r>
      <w:r w:rsidR="00ED7218" w:rsidRPr="00E74710">
        <w:rPr>
          <w:spacing w:val="-2"/>
          <w:lang w:val="es-419"/>
        </w:rPr>
        <w:t xml:space="preserve"> </w:t>
      </w:r>
      <w:r w:rsidR="00ED7218" w:rsidRPr="00E74710">
        <w:rPr>
          <w:i/>
          <w:spacing w:val="-2"/>
          <w:lang w:val="es-419"/>
        </w:rPr>
        <w:t xml:space="preserve">European Seed Association </w:t>
      </w:r>
      <w:r w:rsidR="00ED7218" w:rsidRPr="00E74710">
        <w:rPr>
          <w:spacing w:val="-2"/>
          <w:lang w:val="es-419"/>
        </w:rPr>
        <w:t>(ESA)</w:t>
      </w:r>
      <w:r w:rsidR="00ED7218" w:rsidRPr="00E74710">
        <w:rPr>
          <w:lang w:val="es-419"/>
        </w:rPr>
        <w:t xml:space="preserve"> </w:t>
      </w:r>
      <w:r w:rsidR="00F63A4E" w:rsidRPr="00E74710">
        <w:rPr>
          <w:lang w:val="es-419"/>
        </w:rPr>
        <w:t xml:space="preserve">y la </w:t>
      </w:r>
      <w:r w:rsidR="00ED7218" w:rsidRPr="00E74710">
        <w:rPr>
          <w:i/>
          <w:lang w:val="es-419"/>
        </w:rPr>
        <w:t xml:space="preserve">International Seed Federation </w:t>
      </w:r>
      <w:r w:rsidR="00F63A4E" w:rsidRPr="00E74710">
        <w:rPr>
          <w:lang w:val="es-419"/>
        </w:rPr>
        <w:t>(ISF)</w:t>
      </w:r>
      <w:r w:rsidR="00B23D79" w:rsidRPr="00E74710">
        <w:rPr>
          <w:spacing w:val="-2"/>
          <w:kern w:val="28"/>
          <w:lang w:val="es-419"/>
        </w:rPr>
        <w:t xml:space="preserve"> sobre las variedades esencialmente derivadas</w:t>
      </w:r>
      <w:r w:rsidR="00B23D79" w:rsidRPr="00E74710">
        <w:rPr>
          <w:lang w:val="es-419"/>
        </w:rPr>
        <w:t>.</w:t>
      </w:r>
    </w:p>
    <w:p w:rsidR="00EB516E" w:rsidRPr="00E74710" w:rsidRDefault="00EB516E" w:rsidP="00EB516E">
      <w:pPr>
        <w:rPr>
          <w:lang w:val="es-419"/>
        </w:rPr>
      </w:pPr>
    </w:p>
    <w:p w:rsidR="00EB516E" w:rsidRPr="00E74710" w:rsidRDefault="008871CE" w:rsidP="00EB516E">
      <w:pPr>
        <w:keepNext/>
        <w:rPr>
          <w:lang w:val="es-419"/>
        </w:rPr>
      </w:pPr>
      <w:r w:rsidRPr="00E74710">
        <w:rPr>
          <w:lang w:val="es-419"/>
        </w:rPr>
        <w:fldChar w:fldCharType="begin"/>
      </w:r>
      <w:r w:rsidR="00EB516E" w:rsidRPr="00E74710">
        <w:rPr>
          <w:lang w:val="es-419"/>
        </w:rPr>
        <w:instrText xml:space="preserve"> AUTONUM  </w:instrText>
      </w:r>
      <w:r w:rsidRPr="00E74710">
        <w:rPr>
          <w:lang w:val="es-419"/>
        </w:rPr>
        <w:fldChar w:fldCharType="end"/>
      </w:r>
      <w:r w:rsidR="00EB516E" w:rsidRPr="00E74710">
        <w:rPr>
          <w:lang w:val="es-419"/>
        </w:rPr>
        <w:tab/>
      </w:r>
      <w:r w:rsidR="00D746F1" w:rsidRPr="00E74710">
        <w:rPr>
          <w:lang w:val="es-419"/>
        </w:rPr>
        <w:t>El CAJ convino en:</w:t>
      </w:r>
    </w:p>
    <w:p w:rsidR="00EB516E" w:rsidRPr="00E74710" w:rsidRDefault="00EB516E" w:rsidP="00EB516E">
      <w:pPr>
        <w:keepNext/>
        <w:rPr>
          <w:lang w:val="es-419"/>
        </w:rPr>
      </w:pPr>
    </w:p>
    <w:p w:rsidR="00EB516E" w:rsidRPr="00E74710" w:rsidRDefault="00C24CBF" w:rsidP="00EB516E">
      <w:pPr>
        <w:keepNext/>
        <w:numPr>
          <w:ilvl w:val="0"/>
          <w:numId w:val="2"/>
        </w:numPr>
        <w:rPr>
          <w:lang w:val="es-419"/>
        </w:rPr>
      </w:pPr>
      <w:r w:rsidRPr="00E74710">
        <w:rPr>
          <w:lang w:val="es-419"/>
        </w:rPr>
        <w:t>“proponer al Consejo que organice un “Seminario sobre la repercusión de la política sobre variedades esencialmente derivadas en la estrategia de fitomejoramiento”, que ha de celebrarse el 30 de octubre de 2019 por la mañana”;</w:t>
      </w:r>
    </w:p>
    <w:p w:rsidR="00EB516E" w:rsidRPr="00E74710" w:rsidRDefault="00EB516E" w:rsidP="00EB516E">
      <w:pPr>
        <w:rPr>
          <w:lang w:val="es-419"/>
        </w:rPr>
      </w:pPr>
    </w:p>
    <w:p w:rsidR="00EB516E" w:rsidRPr="00E74710" w:rsidRDefault="00C24CBF" w:rsidP="00EB516E">
      <w:pPr>
        <w:numPr>
          <w:ilvl w:val="0"/>
          <w:numId w:val="2"/>
        </w:numPr>
        <w:rPr>
          <w:lang w:val="es-419"/>
        </w:rPr>
      </w:pPr>
      <w:r w:rsidRPr="00E74710">
        <w:rPr>
          <w:lang w:val="es-419"/>
        </w:rPr>
        <w:t>“que el seminario incluya ponencias a cargo de obtentores, jueces, universitarios y autoridades de los miembros de la UPOV para ofrecer diversas perspectivas sobre la cuestión.</w:t>
      </w:r>
      <w:r w:rsidR="00951F8A" w:rsidRPr="00E74710">
        <w:rPr>
          <w:lang w:val="es-419"/>
        </w:rPr>
        <w:t xml:space="preserve"> </w:t>
      </w:r>
      <w:r w:rsidRPr="00E74710">
        <w:rPr>
          <w:lang w:val="es-419"/>
        </w:rPr>
        <w:t>La Oficina de la Unión invitará a los miembros y observadores a plantear preguntas y asuntos que estimen conveniente tratar en el seminario.</w:t>
      </w:r>
      <w:r w:rsidR="00951F8A" w:rsidRPr="00E74710">
        <w:rPr>
          <w:lang w:val="es-419"/>
        </w:rPr>
        <w:t xml:space="preserve"> </w:t>
      </w:r>
      <w:r w:rsidRPr="00E74710">
        <w:rPr>
          <w:lang w:val="es-419"/>
        </w:rPr>
        <w:t>A continuación, la Oficina de la Unión, previa consulta con el presidente del CAJ, preparará un proyecto de programa para que los miembros de este Comité formulen observaciones por correspondencia.</w:t>
      </w:r>
      <w:r w:rsidR="00951F8A" w:rsidRPr="00E74710">
        <w:rPr>
          <w:lang w:val="es-419"/>
        </w:rPr>
        <w:t xml:space="preserve"> </w:t>
      </w:r>
      <w:r w:rsidRPr="00E74710">
        <w:rPr>
          <w:lang w:val="es-419"/>
        </w:rPr>
        <w:t>Teniendo en cuenta las observaciones recibidas, el presidente del CAJ ultimará el programa, en colaboración con la Oficina de la Unión.”</w:t>
      </w:r>
    </w:p>
    <w:p w:rsidR="00EB516E" w:rsidRPr="00E74710" w:rsidRDefault="00EB516E" w:rsidP="00EB516E">
      <w:pPr>
        <w:rPr>
          <w:lang w:val="es-419"/>
        </w:rPr>
      </w:pPr>
    </w:p>
    <w:p w:rsidR="00EB516E" w:rsidRPr="00E74710" w:rsidRDefault="00C24CBF" w:rsidP="00EB516E">
      <w:pPr>
        <w:numPr>
          <w:ilvl w:val="0"/>
          <w:numId w:val="2"/>
        </w:numPr>
        <w:rPr>
          <w:lang w:val="es-419"/>
        </w:rPr>
      </w:pPr>
      <w:r w:rsidRPr="00E74710">
        <w:rPr>
          <w:lang w:val="es-419"/>
        </w:rPr>
        <w:t>“que el seminario ha de estar abierto al público y en que su grabación ha de publicarse en el sitio web de la UPOV tras un lapso de tiempo oportuno” (véanse los párrafos 15 y 16 del documento CAJ/75/14 “Informe”).</w:t>
      </w:r>
      <w:r w:rsidR="00EB516E" w:rsidRPr="00E74710">
        <w:rPr>
          <w:lang w:val="es-419"/>
        </w:rPr>
        <w:t xml:space="preserve"> </w:t>
      </w:r>
    </w:p>
    <w:p w:rsidR="00EB516E" w:rsidRPr="00E74710" w:rsidRDefault="00EB516E" w:rsidP="00EB516E">
      <w:pPr>
        <w:pStyle w:val="ListParagraph"/>
        <w:rPr>
          <w:lang w:val="es-419"/>
        </w:rPr>
      </w:pPr>
    </w:p>
    <w:p w:rsidR="00EB516E" w:rsidRPr="00E74710" w:rsidRDefault="008871CE" w:rsidP="00EB516E">
      <w:pPr>
        <w:rPr>
          <w:rFonts w:eastAsiaTheme="minorEastAsia"/>
          <w:lang w:val="es-419"/>
        </w:rPr>
      </w:pPr>
      <w:r w:rsidRPr="00E74710">
        <w:rPr>
          <w:lang w:val="es-419"/>
        </w:rPr>
        <w:fldChar w:fldCharType="begin"/>
      </w:r>
      <w:r w:rsidR="00EB516E" w:rsidRPr="00E74710">
        <w:rPr>
          <w:lang w:val="es-419"/>
        </w:rPr>
        <w:instrText xml:space="preserve"> AUTONUM  </w:instrText>
      </w:r>
      <w:r w:rsidRPr="00E74710">
        <w:rPr>
          <w:lang w:val="es-419"/>
        </w:rPr>
        <w:fldChar w:fldCharType="end"/>
      </w:r>
      <w:r w:rsidR="00EB516E" w:rsidRPr="00E74710">
        <w:rPr>
          <w:lang w:val="es-419"/>
        </w:rPr>
        <w:tab/>
      </w:r>
      <w:r w:rsidR="00C24CBF" w:rsidRPr="00E74710">
        <w:rPr>
          <w:rFonts w:eastAsiaTheme="minorEastAsia"/>
          <w:lang w:val="es-419"/>
        </w:rPr>
        <w:t>El CAJ</w:t>
      </w:r>
      <w:r w:rsidR="006F6597" w:rsidRPr="00E74710">
        <w:rPr>
          <w:rFonts w:eastAsiaTheme="minorEastAsia"/>
          <w:lang w:val="es-419"/>
        </w:rPr>
        <w:t xml:space="preserve"> </w:t>
      </w:r>
      <w:r w:rsidR="00C24CBF" w:rsidRPr="00E74710">
        <w:rPr>
          <w:rFonts w:eastAsiaTheme="minorEastAsia"/>
          <w:lang w:val="es-419"/>
        </w:rPr>
        <w:t>convino en que el examen de la revisión de las notas explicativas sobre las variedades esencialmente derivadas ha de incluirse en el orden del día de la septuagésima sexta sesión del CAJ y en que este examen ha de basarse en los resultados del seminario (véase el párrafo 17 del documento CAJ/75/14 “Informe”).</w:t>
      </w:r>
    </w:p>
    <w:p w:rsidR="00EB516E" w:rsidRPr="00E74710" w:rsidRDefault="00EB516E" w:rsidP="00EB516E">
      <w:pPr>
        <w:rPr>
          <w:lang w:val="es-419"/>
        </w:rPr>
      </w:pPr>
    </w:p>
    <w:p w:rsidR="00EB516E" w:rsidRPr="00E74710" w:rsidRDefault="008871CE" w:rsidP="00EB516E">
      <w:pPr>
        <w:rPr>
          <w:lang w:val="es-419"/>
        </w:rPr>
      </w:pPr>
      <w:r w:rsidRPr="00E74710">
        <w:rPr>
          <w:lang w:val="es-419"/>
        </w:rPr>
        <w:fldChar w:fldCharType="begin"/>
      </w:r>
      <w:r w:rsidR="00EB516E" w:rsidRPr="00E74710">
        <w:rPr>
          <w:lang w:val="es-419"/>
        </w:rPr>
        <w:instrText xml:space="preserve"> AUTONUM  </w:instrText>
      </w:r>
      <w:r w:rsidRPr="00E74710">
        <w:rPr>
          <w:lang w:val="es-419"/>
        </w:rPr>
        <w:fldChar w:fldCharType="end"/>
      </w:r>
      <w:r w:rsidR="00EB516E" w:rsidRPr="00E74710">
        <w:rPr>
          <w:lang w:val="es-419"/>
        </w:rPr>
        <w:tab/>
      </w:r>
      <w:r w:rsidR="006F3ED4" w:rsidRPr="00E74710">
        <w:rPr>
          <w:lang w:val="es-419"/>
        </w:rPr>
        <w:t>El Consejo, en su quincuagésima segunda sesión ordinaria,</w:t>
      </w:r>
      <w:r w:rsidR="006F3ED4" w:rsidRPr="00E74710">
        <w:rPr>
          <w:rStyle w:val="FootnoteReference"/>
          <w:lang w:val="es-419"/>
        </w:rPr>
        <w:footnoteReference w:id="3"/>
      </w:r>
      <w:r w:rsidR="006F3ED4" w:rsidRPr="00E74710">
        <w:rPr>
          <w:lang w:val="es-419"/>
        </w:rPr>
        <w:t xml:space="preserve"> aprobó “la organización de un “Seminario sobre la repercusión de la política sobre variedades esencialmente derivadas en la estrategia de fitomejoramiento”, que tendrá lugar el 30 de octubre de 2019 por la mañana” (véase el párrafo 12.b) del documento C/52/20 “Informe”).</w:t>
      </w:r>
    </w:p>
    <w:p w:rsidR="00EB516E" w:rsidRPr="00E74710" w:rsidRDefault="00EB516E" w:rsidP="00EB516E">
      <w:pPr>
        <w:rPr>
          <w:rFonts w:cs="Arial"/>
          <w:lang w:val="es-419"/>
        </w:rPr>
      </w:pPr>
    </w:p>
    <w:p w:rsidR="00EB516E" w:rsidRPr="00E74710" w:rsidRDefault="00EB516E" w:rsidP="00EB516E">
      <w:pPr>
        <w:jc w:val="left"/>
        <w:rPr>
          <w:rFonts w:cs="Arial"/>
          <w:lang w:val="es-419"/>
        </w:rPr>
      </w:pPr>
    </w:p>
    <w:p w:rsidR="00EB516E" w:rsidRPr="00E74710" w:rsidRDefault="002D74D5" w:rsidP="00EB516E">
      <w:pPr>
        <w:pStyle w:val="Heading2"/>
        <w:rPr>
          <w:lang w:val="es-419"/>
        </w:rPr>
      </w:pPr>
      <w:bookmarkStart w:id="4" w:name="_Toc15552275"/>
      <w:r w:rsidRPr="00E74710">
        <w:rPr>
          <w:lang w:val="es-419"/>
        </w:rPr>
        <w:t>Respuestas a la circular E-19/032 de la UPOV proponiendo preguntas y asuntos</w:t>
      </w:r>
      <w:r w:rsidR="009A00D0" w:rsidRPr="00E74710">
        <w:rPr>
          <w:lang w:val="es-419"/>
        </w:rPr>
        <w:t xml:space="preserve"> </w:t>
      </w:r>
      <w:r w:rsidRPr="00E74710">
        <w:rPr>
          <w:lang w:val="es-419"/>
        </w:rPr>
        <w:t xml:space="preserve">que se </w:t>
      </w:r>
      <w:r w:rsidR="009A00D0" w:rsidRPr="00E74710">
        <w:rPr>
          <w:lang w:val="es-419"/>
        </w:rPr>
        <w:t>estime conveniente tratar en el Seminario sobre variedades esencialmente derivadas</w:t>
      </w:r>
      <w:bookmarkEnd w:id="4"/>
    </w:p>
    <w:p w:rsidR="00EB516E" w:rsidRPr="00E74710" w:rsidRDefault="00EB516E" w:rsidP="00EB516E">
      <w:pPr>
        <w:jc w:val="left"/>
        <w:rPr>
          <w:rFonts w:cs="Arial"/>
          <w:spacing w:val="-2"/>
          <w:lang w:val="es-419"/>
        </w:rPr>
      </w:pPr>
    </w:p>
    <w:p w:rsidR="00EB516E" w:rsidRPr="002910B2" w:rsidRDefault="008871CE" w:rsidP="00EB516E">
      <w:pPr>
        <w:rPr>
          <w:rFonts w:cs="Arial"/>
          <w:lang w:val="es-419"/>
        </w:rPr>
      </w:pPr>
      <w:r w:rsidRPr="002910B2">
        <w:rPr>
          <w:rFonts w:cs="Arial"/>
          <w:lang w:val="es-419"/>
        </w:rPr>
        <w:fldChar w:fldCharType="begin"/>
      </w:r>
      <w:r w:rsidR="00EB516E" w:rsidRPr="002910B2">
        <w:rPr>
          <w:rFonts w:cs="Arial"/>
          <w:lang w:val="es-419"/>
        </w:rPr>
        <w:instrText xml:space="preserve"> AUTONUM  </w:instrText>
      </w:r>
      <w:r w:rsidRPr="002910B2">
        <w:rPr>
          <w:rFonts w:cs="Arial"/>
          <w:lang w:val="es-419"/>
        </w:rPr>
        <w:fldChar w:fldCharType="end"/>
      </w:r>
      <w:r w:rsidR="00EB516E" w:rsidRPr="002910B2">
        <w:rPr>
          <w:rFonts w:cs="Arial"/>
          <w:lang w:val="es-419"/>
        </w:rPr>
        <w:tab/>
      </w:r>
      <w:r w:rsidR="009A00D0" w:rsidRPr="002910B2">
        <w:rPr>
          <w:rFonts w:cs="Arial"/>
          <w:lang w:val="es-419"/>
        </w:rPr>
        <w:t xml:space="preserve">De conformidad con el procedimiento descrito más arriba, los siguientes miembros y observadores </w:t>
      </w:r>
      <w:r w:rsidR="00FF2B78" w:rsidRPr="002910B2">
        <w:rPr>
          <w:rFonts w:cs="Arial"/>
          <w:lang w:val="es-419"/>
        </w:rPr>
        <w:t>incluyeron</w:t>
      </w:r>
      <w:r w:rsidR="009A00D0" w:rsidRPr="002910B2">
        <w:rPr>
          <w:rFonts w:cs="Arial"/>
          <w:lang w:val="es-419"/>
        </w:rPr>
        <w:t xml:space="preserve"> </w:t>
      </w:r>
      <w:r w:rsidR="00FF2B78" w:rsidRPr="002910B2">
        <w:rPr>
          <w:rFonts w:cs="Arial"/>
          <w:lang w:val="es-419"/>
        </w:rPr>
        <w:t xml:space="preserve">en sus respuestas a la circular E-19/032 de la UPOV, de 8 de marzo de 2019, </w:t>
      </w:r>
      <w:r w:rsidR="009A00D0" w:rsidRPr="002910B2">
        <w:rPr>
          <w:rFonts w:cs="Arial"/>
          <w:lang w:val="es-419"/>
        </w:rPr>
        <w:t xml:space="preserve">preguntas y asuntos </w:t>
      </w:r>
      <w:r w:rsidR="00FF2B78" w:rsidRPr="002910B2">
        <w:rPr>
          <w:rFonts w:cs="Arial"/>
          <w:lang w:val="es-419"/>
        </w:rPr>
        <w:t>que estiman conveniente tratar en el Seminario sobre variedades esencialmente derivadas</w:t>
      </w:r>
      <w:r w:rsidR="00A06737" w:rsidRPr="002910B2">
        <w:rPr>
          <w:rFonts w:cs="Arial"/>
          <w:lang w:val="es-419"/>
        </w:rPr>
        <w:t>: China, la Federación </w:t>
      </w:r>
      <w:r w:rsidR="009A00D0" w:rsidRPr="002910B2">
        <w:rPr>
          <w:rFonts w:cs="Arial"/>
          <w:lang w:val="es-419"/>
        </w:rPr>
        <w:t>de Rusi</w:t>
      </w:r>
      <w:r w:rsidR="00FF2B78" w:rsidRPr="002910B2">
        <w:rPr>
          <w:rFonts w:cs="Arial"/>
          <w:lang w:val="es-419"/>
        </w:rPr>
        <w:t>a, Suecia, la Unión Europea, la </w:t>
      </w:r>
      <w:r w:rsidR="009A00D0" w:rsidRPr="002910B2">
        <w:rPr>
          <w:rFonts w:cs="Arial"/>
          <w:lang w:val="es-419"/>
        </w:rPr>
        <w:t>CIOPORA</w:t>
      </w:r>
      <w:r w:rsidR="00FF2B78" w:rsidRPr="002910B2">
        <w:rPr>
          <w:rFonts w:cs="Arial"/>
          <w:lang w:val="es-419"/>
        </w:rPr>
        <w:t>, la </w:t>
      </w:r>
      <w:r w:rsidR="009A00D0" w:rsidRPr="002910B2">
        <w:rPr>
          <w:rFonts w:cs="Arial"/>
          <w:lang w:val="es-419"/>
        </w:rPr>
        <w:t xml:space="preserve">ESA </w:t>
      </w:r>
      <w:r w:rsidR="00FF2B78" w:rsidRPr="002910B2">
        <w:rPr>
          <w:rFonts w:cs="Arial"/>
          <w:lang w:val="es-419"/>
        </w:rPr>
        <w:t>y la </w:t>
      </w:r>
      <w:r w:rsidR="009A00D0" w:rsidRPr="002910B2">
        <w:rPr>
          <w:rFonts w:cs="Arial"/>
          <w:lang w:val="es-419"/>
        </w:rPr>
        <w:t>ISF.</w:t>
      </w:r>
    </w:p>
    <w:p w:rsidR="00EB516E" w:rsidRPr="00E74710" w:rsidRDefault="00EB516E" w:rsidP="00EB516E">
      <w:pPr>
        <w:rPr>
          <w:rFonts w:cs="Arial"/>
          <w:lang w:val="es-419"/>
        </w:rPr>
      </w:pPr>
    </w:p>
    <w:p w:rsidR="00EB516E" w:rsidRPr="00E74710" w:rsidRDefault="008871CE" w:rsidP="00EB516E">
      <w:pPr>
        <w:jc w:val="left"/>
        <w:rPr>
          <w:rFonts w:cs="Arial"/>
          <w:u w:val="single"/>
          <w:lang w:val="es-419"/>
        </w:rPr>
      </w:pPr>
      <w:r w:rsidRPr="00E74710">
        <w:rPr>
          <w:rFonts w:cs="Arial"/>
          <w:lang w:val="es-419"/>
        </w:rPr>
        <w:fldChar w:fldCharType="begin"/>
      </w:r>
      <w:r w:rsidR="00EB516E" w:rsidRPr="00E74710">
        <w:rPr>
          <w:rFonts w:cs="Arial"/>
          <w:lang w:val="es-419"/>
        </w:rPr>
        <w:instrText xml:space="preserve"> AUTONUM  </w:instrText>
      </w:r>
      <w:r w:rsidRPr="00E74710">
        <w:rPr>
          <w:rFonts w:cs="Arial"/>
          <w:lang w:val="es-419"/>
        </w:rPr>
        <w:fldChar w:fldCharType="end"/>
      </w:r>
      <w:r w:rsidR="00EB516E" w:rsidRPr="00E74710">
        <w:rPr>
          <w:rFonts w:cs="Arial"/>
          <w:lang w:val="es-419"/>
        </w:rPr>
        <w:tab/>
      </w:r>
      <w:r w:rsidR="003F4B46" w:rsidRPr="00E74710">
        <w:rPr>
          <w:rFonts w:cs="Arial"/>
          <w:lang w:val="es-419"/>
        </w:rPr>
        <w:t xml:space="preserve">Se resumen a continuación las </w:t>
      </w:r>
      <w:r w:rsidR="00BF5B8A" w:rsidRPr="00E74710">
        <w:rPr>
          <w:rFonts w:cs="Arial"/>
          <w:lang w:val="es-419"/>
        </w:rPr>
        <w:t xml:space="preserve">preguntas y </w:t>
      </w:r>
      <w:r w:rsidR="003F4B46" w:rsidRPr="00E74710">
        <w:rPr>
          <w:rFonts w:cs="Arial"/>
          <w:lang w:val="es-419"/>
        </w:rPr>
        <w:t xml:space="preserve">los asuntos </w:t>
      </w:r>
      <w:r w:rsidR="00BF5B8A" w:rsidRPr="00E74710">
        <w:rPr>
          <w:rFonts w:cs="Arial"/>
          <w:lang w:val="es-419"/>
        </w:rPr>
        <w:t>rec</w:t>
      </w:r>
      <w:r w:rsidR="003F4B46" w:rsidRPr="00E74710">
        <w:rPr>
          <w:rFonts w:cs="Arial"/>
          <w:lang w:val="es-419"/>
        </w:rPr>
        <w:t>ibidos</w:t>
      </w:r>
      <w:r w:rsidR="00BF5B8A" w:rsidRPr="00E74710">
        <w:rPr>
          <w:rFonts w:cs="Arial"/>
          <w:lang w:val="es-419"/>
        </w:rPr>
        <w:t xml:space="preserve"> en respuesta a </w:t>
      </w:r>
      <w:r w:rsidR="003F4B46" w:rsidRPr="00E74710">
        <w:rPr>
          <w:rFonts w:cs="Arial"/>
          <w:lang w:val="es-419"/>
        </w:rPr>
        <w:t>la circular E-19/032 de la UPOV</w:t>
      </w:r>
      <w:r w:rsidR="00BF5B8A" w:rsidRPr="00E74710">
        <w:rPr>
          <w:rFonts w:cs="Arial"/>
          <w:lang w:val="es-419"/>
        </w:rPr>
        <w:t>:</w:t>
      </w:r>
    </w:p>
    <w:p w:rsidR="00EB516E" w:rsidRPr="00E74710" w:rsidRDefault="00EB516E" w:rsidP="00EB516E">
      <w:pPr>
        <w:jc w:val="left"/>
        <w:rPr>
          <w:rFonts w:cs="Arial"/>
          <w:lang w:val="es-419"/>
        </w:rPr>
      </w:pPr>
    </w:p>
    <w:p w:rsidR="00EB516E" w:rsidRPr="00E74710" w:rsidRDefault="00792E7D" w:rsidP="00EB516E">
      <w:pPr>
        <w:numPr>
          <w:ilvl w:val="0"/>
          <w:numId w:val="1"/>
        </w:numPr>
        <w:ind w:left="1134" w:hanging="567"/>
        <w:rPr>
          <w:rFonts w:cs="Arial"/>
          <w:lang w:val="es-419"/>
        </w:rPr>
      </w:pPr>
      <w:r w:rsidRPr="00E74710">
        <w:rPr>
          <w:rFonts w:cs="Arial"/>
          <w:lang w:val="es-419"/>
        </w:rPr>
        <w:t>origen de la aplicación del concepto de variedad esencialmente derivada y experiencias al respecto (por ejemplo, mutantes y técnicas modernas);</w:t>
      </w:r>
    </w:p>
    <w:p w:rsidR="00EB516E" w:rsidRPr="00E74710" w:rsidRDefault="00EB516E" w:rsidP="00EB516E">
      <w:pPr>
        <w:ind w:left="1134" w:hanging="567"/>
        <w:rPr>
          <w:rFonts w:cs="Arial"/>
          <w:lang w:val="es-419"/>
        </w:rPr>
      </w:pPr>
    </w:p>
    <w:p w:rsidR="00EB516E" w:rsidRPr="00E74710" w:rsidRDefault="00792E7D" w:rsidP="00EB516E">
      <w:pPr>
        <w:numPr>
          <w:ilvl w:val="0"/>
          <w:numId w:val="1"/>
        </w:numPr>
        <w:ind w:left="1134" w:hanging="567"/>
        <w:rPr>
          <w:rFonts w:cs="Arial"/>
          <w:lang w:val="es-419"/>
        </w:rPr>
      </w:pPr>
      <w:r w:rsidRPr="00E74710">
        <w:rPr>
          <w:rFonts w:cs="Arial"/>
          <w:lang w:val="es-419"/>
        </w:rPr>
        <w:t>relación entre los métodos de fitomejoramiento y la determinación de la derivación esencial;</w:t>
      </w:r>
    </w:p>
    <w:p w:rsidR="00EB516E" w:rsidRPr="00E74710" w:rsidRDefault="00EB516E" w:rsidP="00EB516E">
      <w:pPr>
        <w:ind w:left="1134" w:hanging="567"/>
        <w:rPr>
          <w:rFonts w:cs="Arial"/>
          <w:lang w:val="es-419"/>
        </w:rPr>
      </w:pPr>
    </w:p>
    <w:p w:rsidR="00EB516E" w:rsidRPr="00E74710" w:rsidRDefault="00792E7D" w:rsidP="00EB516E">
      <w:pPr>
        <w:numPr>
          <w:ilvl w:val="0"/>
          <w:numId w:val="1"/>
        </w:numPr>
        <w:ind w:left="1134" w:hanging="567"/>
        <w:rPr>
          <w:rFonts w:cs="Arial"/>
          <w:lang w:val="es-419"/>
        </w:rPr>
      </w:pPr>
      <w:r w:rsidRPr="00E74710">
        <w:rPr>
          <w:rFonts w:cs="Arial"/>
          <w:lang w:val="es-419"/>
        </w:rPr>
        <w:lastRenderedPageBreak/>
        <w:t>retos que plantea el creciente flujo de nuevas variedades obtenidas mediante técnicas modernas de fitomejoramiento;</w:t>
      </w:r>
    </w:p>
    <w:p w:rsidR="00EB516E" w:rsidRPr="00E74710" w:rsidRDefault="00EB516E" w:rsidP="00EB516E">
      <w:pPr>
        <w:ind w:left="1134" w:hanging="567"/>
        <w:rPr>
          <w:rFonts w:cs="Arial"/>
          <w:lang w:val="es-419"/>
        </w:rPr>
      </w:pPr>
    </w:p>
    <w:p w:rsidR="00EB516E" w:rsidRPr="00E74710" w:rsidRDefault="00792E7D" w:rsidP="00EB516E">
      <w:pPr>
        <w:numPr>
          <w:ilvl w:val="0"/>
          <w:numId w:val="1"/>
        </w:numPr>
        <w:ind w:left="1134" w:hanging="567"/>
        <w:rPr>
          <w:rFonts w:cs="Arial"/>
          <w:lang w:val="es-419"/>
        </w:rPr>
      </w:pPr>
      <w:r w:rsidRPr="00E74710">
        <w:rPr>
          <w:rFonts w:cs="Arial"/>
          <w:lang w:val="es-419"/>
        </w:rPr>
        <w:t>¿cómo puede el concepto de variedad esencialmente derivada garantizar una fuente adicional de remuneración a los obtentores de las variedades iniciales?;</w:t>
      </w:r>
    </w:p>
    <w:p w:rsidR="00EB516E" w:rsidRPr="00E74710" w:rsidRDefault="00EB516E" w:rsidP="00EB516E">
      <w:pPr>
        <w:ind w:left="1134" w:hanging="567"/>
        <w:rPr>
          <w:rFonts w:cs="Arial"/>
          <w:lang w:val="es-419"/>
        </w:rPr>
      </w:pPr>
    </w:p>
    <w:p w:rsidR="00EB516E" w:rsidRPr="00E74710" w:rsidRDefault="00792E7D" w:rsidP="00EB516E">
      <w:pPr>
        <w:numPr>
          <w:ilvl w:val="0"/>
          <w:numId w:val="1"/>
        </w:numPr>
        <w:ind w:left="1134" w:hanging="567"/>
        <w:rPr>
          <w:rFonts w:cs="Arial"/>
          <w:lang w:val="es-419"/>
        </w:rPr>
      </w:pPr>
      <w:r w:rsidRPr="00E74710">
        <w:rPr>
          <w:rFonts w:cs="Arial"/>
          <w:lang w:val="es-419"/>
        </w:rPr>
        <w:t>¿cuál es el equilibrio entre el concepto de variedad esencialmente derivada y la exención del obtentor?;</w:t>
      </w:r>
    </w:p>
    <w:p w:rsidR="00EB516E" w:rsidRPr="00E74710" w:rsidRDefault="00EB516E" w:rsidP="00EB516E">
      <w:pPr>
        <w:ind w:left="1134" w:hanging="567"/>
        <w:rPr>
          <w:rFonts w:cs="Arial"/>
          <w:lang w:val="es-419"/>
        </w:rPr>
      </w:pPr>
    </w:p>
    <w:p w:rsidR="00EB516E" w:rsidRPr="00E74710" w:rsidRDefault="00792E7D" w:rsidP="00EB516E">
      <w:pPr>
        <w:numPr>
          <w:ilvl w:val="0"/>
          <w:numId w:val="1"/>
        </w:numPr>
        <w:ind w:left="1134" w:hanging="567"/>
        <w:rPr>
          <w:rFonts w:cs="Arial"/>
          <w:lang w:val="es-419"/>
        </w:rPr>
      </w:pPr>
      <w:r w:rsidRPr="00E74710">
        <w:rPr>
          <w:rFonts w:cs="Arial"/>
          <w:lang w:val="es-419"/>
        </w:rPr>
        <w:t>posible orientación sobre el requisito de “conformidad” establecido en el artículo 14.5)b)iii) del Acta de 1991 en relación con el concepto de “caracteres esenciales”;</w:t>
      </w:r>
      <w:r w:rsidR="00EB516E" w:rsidRPr="00E74710">
        <w:rPr>
          <w:rFonts w:cs="Arial"/>
          <w:lang w:val="es-419"/>
        </w:rPr>
        <w:t xml:space="preserve"> </w:t>
      </w:r>
    </w:p>
    <w:p w:rsidR="00EB516E" w:rsidRPr="00E74710" w:rsidRDefault="00EB516E" w:rsidP="00EB516E">
      <w:pPr>
        <w:ind w:left="1134" w:hanging="567"/>
        <w:rPr>
          <w:rFonts w:cs="Arial"/>
          <w:lang w:val="es-419"/>
        </w:rPr>
      </w:pPr>
    </w:p>
    <w:p w:rsidR="00EB516E" w:rsidRPr="00E74710" w:rsidRDefault="00792E7D" w:rsidP="00EB516E">
      <w:pPr>
        <w:numPr>
          <w:ilvl w:val="0"/>
          <w:numId w:val="1"/>
        </w:numPr>
        <w:ind w:left="1134" w:hanging="567"/>
        <w:rPr>
          <w:rFonts w:cs="Arial"/>
          <w:lang w:val="es-419"/>
        </w:rPr>
      </w:pPr>
      <w:r w:rsidRPr="00E74710">
        <w:rPr>
          <w:rFonts w:cs="Arial"/>
          <w:lang w:val="es-419"/>
        </w:rPr>
        <w:t>¿cómo interpretan los tribunales el concepto de variedad esencialmente derivada?;</w:t>
      </w:r>
    </w:p>
    <w:p w:rsidR="00EB516E" w:rsidRPr="00E74710" w:rsidRDefault="00EB516E" w:rsidP="00EB516E">
      <w:pPr>
        <w:ind w:left="1134" w:hanging="567"/>
        <w:rPr>
          <w:rFonts w:cs="Arial"/>
          <w:lang w:val="es-419"/>
        </w:rPr>
      </w:pPr>
    </w:p>
    <w:p w:rsidR="00EB516E" w:rsidRPr="00E74710" w:rsidRDefault="00792E7D" w:rsidP="00EB516E">
      <w:pPr>
        <w:numPr>
          <w:ilvl w:val="0"/>
          <w:numId w:val="1"/>
        </w:numPr>
        <w:ind w:left="1134" w:hanging="567"/>
        <w:rPr>
          <w:rFonts w:cs="Arial"/>
          <w:lang w:val="es-419"/>
        </w:rPr>
      </w:pPr>
      <w:r w:rsidRPr="00E74710">
        <w:rPr>
          <w:rFonts w:cs="Arial"/>
          <w:lang w:val="es-419"/>
        </w:rPr>
        <w:t>¿cómo se percibe la evolución del número de casos relativos a variedades esencialmente derivadas?;</w:t>
      </w:r>
    </w:p>
    <w:p w:rsidR="00EB516E" w:rsidRPr="00E74710" w:rsidRDefault="00EB516E" w:rsidP="00EB516E">
      <w:pPr>
        <w:ind w:left="1134" w:hanging="567"/>
        <w:rPr>
          <w:rFonts w:cs="Arial"/>
          <w:lang w:val="es-419"/>
        </w:rPr>
      </w:pPr>
    </w:p>
    <w:p w:rsidR="00EB516E" w:rsidRPr="00E74710" w:rsidRDefault="00792E7D" w:rsidP="00EB516E">
      <w:pPr>
        <w:numPr>
          <w:ilvl w:val="0"/>
          <w:numId w:val="1"/>
        </w:numPr>
        <w:ind w:left="1134" w:hanging="567"/>
        <w:rPr>
          <w:rFonts w:cs="Arial"/>
          <w:lang w:val="es-419"/>
        </w:rPr>
      </w:pPr>
      <w:r w:rsidRPr="00E74710">
        <w:rPr>
          <w:rFonts w:cs="Arial"/>
          <w:lang w:val="es-419"/>
        </w:rPr>
        <w:t>¿cuál es la prueba de la conformidad genética con la variedad inicial y de la conformidad en la expresión de los caracteres esenciales de la variedad inicial?;</w:t>
      </w:r>
    </w:p>
    <w:p w:rsidR="00EB516E" w:rsidRPr="00E74710" w:rsidRDefault="00EB516E" w:rsidP="00EB516E">
      <w:pPr>
        <w:ind w:left="1134" w:hanging="567"/>
        <w:rPr>
          <w:rFonts w:cs="Arial"/>
          <w:lang w:val="es-419"/>
        </w:rPr>
      </w:pPr>
    </w:p>
    <w:p w:rsidR="00EB516E" w:rsidRPr="00E74710" w:rsidRDefault="00792E7D" w:rsidP="00EB516E">
      <w:pPr>
        <w:numPr>
          <w:ilvl w:val="0"/>
          <w:numId w:val="1"/>
        </w:numPr>
        <w:ind w:left="1134" w:hanging="567"/>
        <w:rPr>
          <w:rFonts w:cs="Arial"/>
          <w:lang w:val="es-419"/>
        </w:rPr>
      </w:pPr>
      <w:r w:rsidRPr="00E74710">
        <w:rPr>
          <w:rFonts w:cs="Arial"/>
          <w:lang w:val="es-419"/>
        </w:rPr>
        <w:t>¿qué debe determinar la inversión de la carga de la prueba en los casos relativos a variedades esencialmente derivadas?;</w:t>
      </w:r>
    </w:p>
    <w:p w:rsidR="00EB516E" w:rsidRPr="00E74710" w:rsidRDefault="00EB516E" w:rsidP="00EB516E">
      <w:pPr>
        <w:ind w:left="1134" w:hanging="567"/>
        <w:contextualSpacing/>
        <w:rPr>
          <w:rFonts w:cs="Arial"/>
          <w:lang w:val="es-419"/>
        </w:rPr>
      </w:pPr>
    </w:p>
    <w:p w:rsidR="00EB516E" w:rsidRPr="00E74710" w:rsidRDefault="00792E7D" w:rsidP="00EB516E">
      <w:pPr>
        <w:numPr>
          <w:ilvl w:val="0"/>
          <w:numId w:val="1"/>
        </w:numPr>
        <w:ind w:left="1134" w:hanging="567"/>
        <w:rPr>
          <w:rFonts w:cs="Arial"/>
          <w:lang w:val="es-419"/>
        </w:rPr>
      </w:pPr>
      <w:r w:rsidRPr="00E74710">
        <w:rPr>
          <w:rFonts w:cs="Arial"/>
          <w:lang w:val="es-419"/>
        </w:rPr>
        <w:t>¿qué estrategias han de aplicarse en los programas de fitomejoramiento que incluyen diversos métodos y distintos cultivos y especies (por ejemplo, agrícolas, frutales, hortícolas y ornamentales)?;</w:t>
      </w:r>
    </w:p>
    <w:p w:rsidR="00EB516E" w:rsidRPr="00E74710" w:rsidRDefault="00EB516E" w:rsidP="00EB516E">
      <w:pPr>
        <w:ind w:left="1134" w:hanging="567"/>
        <w:contextualSpacing/>
        <w:rPr>
          <w:rFonts w:cs="Arial"/>
          <w:lang w:val="es-419"/>
        </w:rPr>
      </w:pPr>
    </w:p>
    <w:p w:rsidR="00EB516E" w:rsidRPr="00E74710" w:rsidRDefault="00792E7D" w:rsidP="00EB516E">
      <w:pPr>
        <w:numPr>
          <w:ilvl w:val="0"/>
          <w:numId w:val="1"/>
        </w:numPr>
        <w:ind w:left="1134" w:hanging="567"/>
        <w:rPr>
          <w:rFonts w:cs="Arial"/>
          <w:lang w:val="es-419"/>
        </w:rPr>
      </w:pPr>
      <w:r w:rsidRPr="00E74710">
        <w:rPr>
          <w:rFonts w:cs="Arial"/>
          <w:lang w:val="es-419"/>
        </w:rPr>
        <w:t>experiencias respecto de diferencias en los caracteres esenciales de las variedades, con ejemplos concretos en función de la especie y el método de fitomejoramiento;</w:t>
      </w:r>
      <w:r w:rsidR="00EB516E" w:rsidRPr="00E74710">
        <w:rPr>
          <w:rFonts w:cs="Arial"/>
          <w:lang w:val="es-419"/>
        </w:rPr>
        <w:t xml:space="preserve"> </w:t>
      </w:r>
    </w:p>
    <w:p w:rsidR="00EB516E" w:rsidRPr="00E74710" w:rsidRDefault="00EB516E" w:rsidP="00EB516E">
      <w:pPr>
        <w:ind w:left="1134" w:hanging="567"/>
        <w:contextualSpacing/>
        <w:rPr>
          <w:rFonts w:cs="Arial"/>
          <w:lang w:val="es-419"/>
        </w:rPr>
      </w:pPr>
    </w:p>
    <w:p w:rsidR="00EB516E" w:rsidRPr="00E74710" w:rsidRDefault="00792E7D" w:rsidP="00EB516E">
      <w:pPr>
        <w:numPr>
          <w:ilvl w:val="0"/>
          <w:numId w:val="1"/>
        </w:numPr>
        <w:ind w:left="1134" w:hanging="567"/>
        <w:rPr>
          <w:rFonts w:cs="Arial"/>
          <w:lang w:val="es-419"/>
        </w:rPr>
      </w:pPr>
      <w:r w:rsidRPr="00E74710">
        <w:rPr>
          <w:rFonts w:cs="Arial"/>
          <w:lang w:val="es-419"/>
        </w:rPr>
        <w:t>incidencia del concepto de variedad esencialmente derivada en la evolución del fitomejoramiento (por ejemplo, mutagénesis dirigida, el genoma del mutante es casi idéntico al de la variedad inicial pero el fenotipo puede diferir significativamente; retrocruzamiento repetitivo; modificación del genoma); y</w:t>
      </w:r>
    </w:p>
    <w:p w:rsidR="00EB516E" w:rsidRPr="00E74710" w:rsidRDefault="00EB516E" w:rsidP="00EB516E">
      <w:pPr>
        <w:ind w:left="1134" w:hanging="567"/>
        <w:contextualSpacing/>
        <w:rPr>
          <w:rFonts w:cs="Arial"/>
          <w:lang w:val="es-419"/>
        </w:rPr>
      </w:pPr>
    </w:p>
    <w:p w:rsidR="00EB516E" w:rsidRPr="00E74710" w:rsidRDefault="003142D2" w:rsidP="00EB516E">
      <w:pPr>
        <w:numPr>
          <w:ilvl w:val="0"/>
          <w:numId w:val="1"/>
        </w:numPr>
        <w:ind w:left="1134" w:hanging="567"/>
        <w:rPr>
          <w:rFonts w:cs="Arial"/>
          <w:lang w:val="es-419"/>
        </w:rPr>
      </w:pPr>
      <w:r w:rsidRPr="00E74710">
        <w:rPr>
          <w:rFonts w:cs="Arial"/>
          <w:lang w:val="es-419"/>
        </w:rPr>
        <w:t>¿la orientación que se ofrece actualmente en el documento UPOV/EXN/EDV/2 cubre las necesidades de todos los tipos de programas de fitomejoramiento?.</w:t>
      </w:r>
    </w:p>
    <w:p w:rsidR="00EB516E" w:rsidRPr="00E74710" w:rsidRDefault="00EB516E" w:rsidP="00EB516E">
      <w:pPr>
        <w:rPr>
          <w:rFonts w:cs="Arial"/>
          <w:lang w:val="es-419"/>
        </w:rPr>
      </w:pPr>
    </w:p>
    <w:p w:rsidR="00EB516E" w:rsidRPr="00E74710" w:rsidRDefault="00EB516E" w:rsidP="00EB516E">
      <w:pPr>
        <w:rPr>
          <w:rFonts w:cs="Arial"/>
          <w:lang w:val="es-419"/>
        </w:rPr>
      </w:pPr>
    </w:p>
    <w:p w:rsidR="00EB516E" w:rsidRPr="00E74710" w:rsidRDefault="003142D2" w:rsidP="00EB516E">
      <w:pPr>
        <w:pStyle w:val="Heading2"/>
        <w:rPr>
          <w:lang w:val="es-419"/>
        </w:rPr>
      </w:pPr>
      <w:bookmarkStart w:id="5" w:name="_Toc15552276"/>
      <w:r w:rsidRPr="00E74710">
        <w:rPr>
          <w:lang w:val="es-419"/>
        </w:rPr>
        <w:t>Elaboración del proyecto de programa del Seminario sobre variedades esencialmente derivadas que se ha de someter a la aprobación del CAJ por correspondencia</w:t>
      </w:r>
      <w:bookmarkEnd w:id="5"/>
    </w:p>
    <w:p w:rsidR="00EB516E" w:rsidRPr="00E74710" w:rsidRDefault="00EB516E" w:rsidP="00EB516E">
      <w:pPr>
        <w:rPr>
          <w:rFonts w:cs="Arial"/>
          <w:lang w:val="es-419"/>
        </w:rPr>
      </w:pPr>
    </w:p>
    <w:p w:rsidR="00EB516E" w:rsidRPr="00E74710" w:rsidRDefault="008871CE" w:rsidP="00EB516E">
      <w:pPr>
        <w:rPr>
          <w:lang w:val="es-419"/>
        </w:rPr>
      </w:pPr>
      <w:r w:rsidRPr="00E74710">
        <w:rPr>
          <w:lang w:val="es-419"/>
        </w:rPr>
        <w:fldChar w:fldCharType="begin"/>
      </w:r>
      <w:r w:rsidR="00EB516E" w:rsidRPr="00E74710">
        <w:rPr>
          <w:lang w:val="es-419"/>
        </w:rPr>
        <w:instrText xml:space="preserve"> AUTONUM  </w:instrText>
      </w:r>
      <w:r w:rsidRPr="00E74710">
        <w:rPr>
          <w:lang w:val="es-419"/>
        </w:rPr>
        <w:fldChar w:fldCharType="end"/>
      </w:r>
      <w:r w:rsidR="00EB516E" w:rsidRPr="00E74710">
        <w:rPr>
          <w:lang w:val="es-419"/>
        </w:rPr>
        <w:tab/>
      </w:r>
      <w:r w:rsidR="002F6C53" w:rsidRPr="00E74710">
        <w:rPr>
          <w:lang w:val="es-419"/>
        </w:rPr>
        <w:t xml:space="preserve">En las conversaciones mantenidas con el presidente del CAJ </w:t>
      </w:r>
      <w:r w:rsidR="008F022B" w:rsidRPr="00E74710">
        <w:rPr>
          <w:lang w:val="es-419"/>
        </w:rPr>
        <w:t>a fin de</w:t>
      </w:r>
      <w:r w:rsidR="002F6C53" w:rsidRPr="00E74710">
        <w:rPr>
          <w:lang w:val="es-419"/>
        </w:rPr>
        <w:t xml:space="preserve"> elabora</w:t>
      </w:r>
      <w:r w:rsidR="008F022B" w:rsidRPr="00E74710">
        <w:rPr>
          <w:lang w:val="es-419"/>
        </w:rPr>
        <w:t>r</w:t>
      </w:r>
      <w:r w:rsidR="002F6C53" w:rsidRPr="00E74710">
        <w:rPr>
          <w:lang w:val="es-419"/>
        </w:rPr>
        <w:t xml:space="preserve"> el proyecto de programa del Seminario sobre variedades esencialmente derivadas</w:t>
      </w:r>
      <w:r w:rsidR="0011449E" w:rsidRPr="00E74710">
        <w:rPr>
          <w:lang w:val="es-419"/>
        </w:rPr>
        <w:t>,</w:t>
      </w:r>
      <w:r w:rsidR="002F6C53" w:rsidRPr="00E74710">
        <w:rPr>
          <w:lang w:val="es-419"/>
        </w:rPr>
        <w:t xml:space="preserve"> se recordó que el seminario sobre variedades esencialmente derivadas que tuvo lugar en 2013 ya incluía ponencias a cargo de autoridades de miembros de la UPOV y ponencias sobre decisiones judiciales relativas a variedades esencialmente derivadas (véase </w:t>
      </w:r>
      <w:hyperlink r:id="rId8" w:history="1">
        <w:r w:rsidR="008F022B" w:rsidRPr="00E74710">
          <w:rPr>
            <w:color w:val="0000FF"/>
            <w:u w:val="single"/>
            <w:lang w:val="es-419"/>
          </w:rPr>
          <w:t>https://www.upov.int/meetings/es/details.jsp?meeting_id=29782</w:t>
        </w:r>
      </w:hyperlink>
      <w:r w:rsidR="002F6C53" w:rsidRPr="00E74710">
        <w:rPr>
          <w:lang w:val="es-419"/>
        </w:rPr>
        <w:t>).</w:t>
      </w:r>
    </w:p>
    <w:p w:rsidR="00EB516E" w:rsidRPr="00E74710" w:rsidRDefault="00EB516E" w:rsidP="00EB516E">
      <w:pPr>
        <w:rPr>
          <w:lang w:val="es-419"/>
        </w:rPr>
      </w:pPr>
    </w:p>
    <w:p w:rsidR="00EB516E" w:rsidRPr="00E74710" w:rsidRDefault="008871CE" w:rsidP="00EB516E">
      <w:pPr>
        <w:rPr>
          <w:lang w:val="es-419"/>
        </w:rPr>
      </w:pPr>
      <w:r w:rsidRPr="00E74710">
        <w:rPr>
          <w:lang w:val="es-419"/>
        </w:rPr>
        <w:fldChar w:fldCharType="begin"/>
      </w:r>
      <w:r w:rsidR="00EB516E" w:rsidRPr="00E74710">
        <w:rPr>
          <w:lang w:val="es-419"/>
        </w:rPr>
        <w:instrText xml:space="preserve"> AUTONUM  </w:instrText>
      </w:r>
      <w:r w:rsidRPr="00E74710">
        <w:rPr>
          <w:lang w:val="es-419"/>
        </w:rPr>
        <w:fldChar w:fldCharType="end"/>
      </w:r>
      <w:r w:rsidR="00EB516E" w:rsidRPr="00E74710">
        <w:rPr>
          <w:lang w:val="es-419"/>
        </w:rPr>
        <w:tab/>
      </w:r>
      <w:r w:rsidR="000452A4" w:rsidRPr="00E74710">
        <w:rPr>
          <w:lang w:val="es-419"/>
        </w:rPr>
        <w:t>Por ello, en la sesión I del proyecto de programa se ofrecerá un panorama de las novedades acaecidas en el ámbito académico desde que se celebró el seminario sobre variedades esencialmente derivadas de 2013, así como experiencias de jueces y autoridades.</w:t>
      </w:r>
      <w:r w:rsidR="00951F8A" w:rsidRPr="00E74710">
        <w:rPr>
          <w:lang w:val="es-419"/>
        </w:rPr>
        <w:t xml:space="preserve"> </w:t>
      </w:r>
    </w:p>
    <w:p w:rsidR="00EB516E" w:rsidRPr="00E74710" w:rsidRDefault="00EB516E" w:rsidP="00EB516E">
      <w:pPr>
        <w:rPr>
          <w:lang w:val="es-419"/>
        </w:rPr>
      </w:pPr>
    </w:p>
    <w:p w:rsidR="00EB516E" w:rsidRPr="00E74710" w:rsidRDefault="008871CE" w:rsidP="00EB516E">
      <w:pPr>
        <w:rPr>
          <w:lang w:val="es-419"/>
        </w:rPr>
      </w:pPr>
      <w:r w:rsidRPr="00E74710">
        <w:rPr>
          <w:lang w:val="es-419"/>
        </w:rPr>
        <w:fldChar w:fldCharType="begin"/>
      </w:r>
      <w:r w:rsidR="00EB516E" w:rsidRPr="00E74710">
        <w:rPr>
          <w:lang w:val="es-419"/>
        </w:rPr>
        <w:instrText xml:space="preserve"> AUTONUM  </w:instrText>
      </w:r>
      <w:r w:rsidRPr="00E74710">
        <w:rPr>
          <w:lang w:val="es-419"/>
        </w:rPr>
        <w:fldChar w:fldCharType="end"/>
      </w:r>
      <w:r w:rsidR="00EB516E" w:rsidRPr="00E74710">
        <w:rPr>
          <w:lang w:val="es-419"/>
        </w:rPr>
        <w:tab/>
      </w:r>
      <w:r w:rsidR="003840D5" w:rsidRPr="00E74710">
        <w:rPr>
          <w:lang w:val="es-419"/>
        </w:rPr>
        <w:t>Se recordó asimismo que el objetivo del seminario es analizar la repercusión de las variedades esencialmente derivadas en la estrategia de fitomejoramiento, para lo cual es necesario contar con la opinión de los obtentores en particular.</w:t>
      </w:r>
      <w:r w:rsidR="00951F8A" w:rsidRPr="00E74710">
        <w:rPr>
          <w:lang w:val="es-419"/>
        </w:rPr>
        <w:t xml:space="preserve"> </w:t>
      </w:r>
      <w:r w:rsidR="007C73A9" w:rsidRPr="00E74710">
        <w:rPr>
          <w:lang w:val="es-419"/>
        </w:rPr>
        <w:t>En consecuencia, y habida cuenta de la limitada duración del seminario, se propone que las ponencias de la sesión II se centren en los puntos de vista de los obtentores.</w:t>
      </w:r>
      <w:r w:rsidR="00951F8A" w:rsidRPr="00E74710">
        <w:rPr>
          <w:lang w:val="es-419"/>
        </w:rPr>
        <w:t xml:space="preserve"> </w:t>
      </w:r>
      <w:r w:rsidR="00404B5B" w:rsidRPr="00E74710">
        <w:rPr>
          <w:lang w:val="es-419"/>
        </w:rPr>
        <w:t xml:space="preserve">Se invitará a los oradores a que aborden las preguntas y los asuntos planteados </w:t>
      </w:r>
      <w:r w:rsidR="007C73A9" w:rsidRPr="00E74710">
        <w:rPr>
          <w:lang w:val="es-419"/>
        </w:rPr>
        <w:t xml:space="preserve">en respuesta a </w:t>
      </w:r>
      <w:r w:rsidR="00404B5B" w:rsidRPr="00E74710">
        <w:rPr>
          <w:lang w:val="es-419"/>
        </w:rPr>
        <w:t xml:space="preserve">la circular </w:t>
      </w:r>
      <w:r w:rsidR="002910B2">
        <w:rPr>
          <w:lang w:val="es-419"/>
        </w:rPr>
        <w:t>E-19/032 (véase </w:t>
      </w:r>
      <w:r w:rsidR="00404B5B" w:rsidRPr="00E74710">
        <w:rPr>
          <w:lang w:val="es-419"/>
        </w:rPr>
        <w:t xml:space="preserve">el </w:t>
      </w:r>
      <w:r w:rsidR="007C73A9" w:rsidRPr="00E74710">
        <w:rPr>
          <w:lang w:val="es-419"/>
        </w:rPr>
        <w:t>párrafo</w:t>
      </w:r>
      <w:r w:rsidR="00404B5B" w:rsidRPr="00E74710">
        <w:rPr>
          <w:lang w:val="es-419"/>
        </w:rPr>
        <w:t> </w:t>
      </w:r>
      <w:r w:rsidR="007C73A9" w:rsidRPr="00E74710">
        <w:rPr>
          <w:lang w:val="es-419"/>
        </w:rPr>
        <w:t xml:space="preserve">9) </w:t>
      </w:r>
      <w:r w:rsidR="00404B5B" w:rsidRPr="00E74710">
        <w:rPr>
          <w:lang w:val="es-419"/>
        </w:rPr>
        <w:t>según proceda</w:t>
      </w:r>
      <w:r w:rsidR="007C73A9" w:rsidRPr="00E74710">
        <w:rPr>
          <w:lang w:val="es-419"/>
        </w:rPr>
        <w:t>.</w:t>
      </w:r>
      <w:r w:rsidR="00EB516E" w:rsidRPr="00E74710">
        <w:rPr>
          <w:lang w:val="es-419"/>
        </w:rPr>
        <w:t xml:space="preserve"> </w:t>
      </w:r>
    </w:p>
    <w:p w:rsidR="00EB516E" w:rsidRPr="00E74710" w:rsidRDefault="00EB516E" w:rsidP="00EB516E">
      <w:pPr>
        <w:rPr>
          <w:rFonts w:cs="Arial"/>
          <w:lang w:val="es-419"/>
        </w:rPr>
      </w:pPr>
    </w:p>
    <w:p w:rsidR="002910B2" w:rsidRDefault="008871CE" w:rsidP="00EB516E">
      <w:pPr>
        <w:rPr>
          <w:rFonts w:cs="Arial"/>
          <w:lang w:val="es-419"/>
        </w:rPr>
      </w:pPr>
      <w:r w:rsidRPr="00E74710">
        <w:rPr>
          <w:rFonts w:cs="Arial"/>
          <w:lang w:val="es-419"/>
        </w:rPr>
        <w:fldChar w:fldCharType="begin"/>
      </w:r>
      <w:r w:rsidR="00EB516E" w:rsidRPr="00E74710">
        <w:rPr>
          <w:rFonts w:cs="Arial"/>
          <w:lang w:val="es-419"/>
        </w:rPr>
        <w:instrText xml:space="preserve"> AUTONUM  </w:instrText>
      </w:r>
      <w:r w:rsidRPr="00E74710">
        <w:rPr>
          <w:rFonts w:cs="Arial"/>
          <w:lang w:val="es-419"/>
        </w:rPr>
        <w:fldChar w:fldCharType="end"/>
      </w:r>
      <w:r w:rsidR="00EB516E" w:rsidRPr="00E74710">
        <w:rPr>
          <w:rFonts w:cs="Arial"/>
          <w:lang w:val="es-419"/>
        </w:rPr>
        <w:tab/>
      </w:r>
      <w:r w:rsidR="00404B5B" w:rsidRPr="00E74710">
        <w:rPr>
          <w:rFonts w:cs="Arial"/>
          <w:lang w:val="es-419"/>
        </w:rPr>
        <w:t>El proyecto de programa del Seminario sobre variedades esencialmente derivadas, elaborado en consulta con el presidente del CAJ, se distribuyó al CAJ para su aprobación por correspondencia mediante la circular E-19/090 de la </w:t>
      </w:r>
      <w:r w:rsidR="00013906" w:rsidRPr="00E74710">
        <w:rPr>
          <w:rFonts w:cs="Arial"/>
          <w:lang w:val="es-419"/>
        </w:rPr>
        <w:t>UPOV,</w:t>
      </w:r>
      <w:r w:rsidR="00404B5B" w:rsidRPr="00E74710">
        <w:rPr>
          <w:rFonts w:cs="Arial"/>
          <w:lang w:val="es-419"/>
        </w:rPr>
        <w:t xml:space="preserve"> de 20 de junio de 2019.</w:t>
      </w:r>
      <w:r w:rsidR="00951F8A" w:rsidRPr="00E74710">
        <w:rPr>
          <w:rFonts w:cs="Arial"/>
          <w:lang w:val="es-419"/>
        </w:rPr>
        <w:t xml:space="preserve"> </w:t>
      </w:r>
      <w:r w:rsidR="00404B5B" w:rsidRPr="00E74710">
        <w:rPr>
          <w:rFonts w:cs="Arial"/>
          <w:lang w:val="es-419"/>
        </w:rPr>
        <w:t xml:space="preserve">No se ha recibido </w:t>
      </w:r>
      <w:r w:rsidR="00013906" w:rsidRPr="00E74710">
        <w:rPr>
          <w:rFonts w:cs="Arial"/>
          <w:lang w:val="es-419"/>
        </w:rPr>
        <w:t>ningún comentario</w:t>
      </w:r>
      <w:r w:rsidR="00404B5B" w:rsidRPr="00E74710">
        <w:rPr>
          <w:rFonts w:cs="Arial"/>
          <w:lang w:val="es-419"/>
        </w:rPr>
        <w:t xml:space="preserve"> acerca del proyecto de programa que figura en el Anexo del presente documento.</w:t>
      </w:r>
      <w:r w:rsidR="00951F8A" w:rsidRPr="00E74710">
        <w:rPr>
          <w:rFonts w:cs="Arial"/>
          <w:lang w:val="es-419"/>
        </w:rPr>
        <w:t xml:space="preserve"> </w:t>
      </w:r>
      <w:r w:rsidR="002910B2">
        <w:rPr>
          <w:rFonts w:cs="Arial"/>
          <w:lang w:val="es-419"/>
        </w:rPr>
        <w:br w:type="page"/>
      </w:r>
    </w:p>
    <w:p w:rsidR="00EB516E" w:rsidRPr="00E74710" w:rsidRDefault="008871CE" w:rsidP="00EB516E">
      <w:pPr>
        <w:rPr>
          <w:rFonts w:cs="Arial"/>
          <w:spacing w:val="-2"/>
          <w:lang w:val="es-419"/>
        </w:rPr>
      </w:pPr>
      <w:r w:rsidRPr="006A776C">
        <w:rPr>
          <w:rFonts w:cs="Arial"/>
          <w:spacing w:val="2"/>
          <w:lang w:val="es-419"/>
        </w:rPr>
        <w:lastRenderedPageBreak/>
        <w:fldChar w:fldCharType="begin"/>
      </w:r>
      <w:r w:rsidR="00EB516E" w:rsidRPr="006A776C">
        <w:rPr>
          <w:rFonts w:cs="Arial"/>
          <w:spacing w:val="2"/>
          <w:lang w:val="es-419"/>
        </w:rPr>
        <w:instrText xml:space="preserve"> AUTONUM  </w:instrText>
      </w:r>
      <w:r w:rsidRPr="006A776C">
        <w:rPr>
          <w:rFonts w:cs="Arial"/>
          <w:spacing w:val="2"/>
          <w:lang w:val="es-419"/>
        </w:rPr>
        <w:fldChar w:fldCharType="end"/>
      </w:r>
      <w:r w:rsidR="00EB516E" w:rsidRPr="006A776C">
        <w:rPr>
          <w:rFonts w:cs="Arial"/>
          <w:spacing w:val="2"/>
          <w:lang w:val="es-419"/>
        </w:rPr>
        <w:tab/>
      </w:r>
      <w:r w:rsidR="00E544A4" w:rsidRPr="006A776C">
        <w:rPr>
          <w:rFonts w:cs="Arial"/>
          <w:spacing w:val="2"/>
          <w:lang w:val="es-419"/>
        </w:rPr>
        <w:t xml:space="preserve">El CAJ convino en que el </w:t>
      </w:r>
      <w:r w:rsidR="006376C6" w:rsidRPr="006A776C">
        <w:rPr>
          <w:rFonts w:cs="Arial"/>
          <w:spacing w:val="2"/>
          <w:lang w:val="es-419"/>
        </w:rPr>
        <w:t xml:space="preserve">Seminario sobre variedades esencialmente derivadas </w:t>
      </w:r>
      <w:r w:rsidR="00E544A4" w:rsidRPr="006A776C">
        <w:rPr>
          <w:rFonts w:cs="Arial"/>
          <w:spacing w:val="2"/>
          <w:lang w:val="es-419"/>
        </w:rPr>
        <w:t>ha de estar abierto al público y en que su grabación ha de publicarse en el sitio web de la UPOV tras un lapso de tiempo oportuno.</w:t>
      </w:r>
      <w:r w:rsidR="00951F8A" w:rsidRPr="006A776C">
        <w:rPr>
          <w:rFonts w:cs="Arial"/>
          <w:lang w:val="es-419"/>
        </w:rPr>
        <w:t xml:space="preserve"> </w:t>
      </w:r>
      <w:r w:rsidR="006376C6" w:rsidRPr="006A776C">
        <w:rPr>
          <w:rFonts w:cs="Arial"/>
          <w:lang w:val="es-419"/>
        </w:rPr>
        <w:t>La inscripción por Internet y el proyecto de programa del Seminario sobre variedades</w:t>
      </w:r>
      <w:r w:rsidR="007E4C7D" w:rsidRPr="006A776C">
        <w:rPr>
          <w:rFonts w:cs="Arial"/>
          <w:lang w:val="es-419"/>
        </w:rPr>
        <w:br/>
      </w:r>
      <w:r w:rsidR="006376C6" w:rsidRPr="006A776C">
        <w:rPr>
          <w:rFonts w:cs="Arial"/>
          <w:lang w:val="es-419"/>
        </w:rPr>
        <w:t xml:space="preserve">esencialmente derivadas aprobado por el CAJ están disponibles en la siguiente dirección: </w:t>
      </w:r>
      <w:hyperlink r:id="rId9" w:history="1">
        <w:r w:rsidR="006376C6" w:rsidRPr="00E74710">
          <w:rPr>
            <w:rStyle w:val="Hyperlink"/>
            <w:rFonts w:cs="Arial"/>
            <w:spacing w:val="-2"/>
            <w:lang w:val="es-419"/>
          </w:rPr>
          <w:t>https://www.upov.int/meetings/es/details.jsp?meeting_id=50787</w:t>
        </w:r>
      </w:hyperlink>
      <w:r w:rsidR="006376C6" w:rsidRPr="00E74710">
        <w:rPr>
          <w:lang w:val="es-419"/>
        </w:rPr>
        <w:t>.</w:t>
      </w:r>
    </w:p>
    <w:p w:rsidR="00EB516E" w:rsidRPr="00E74710" w:rsidRDefault="00EB516E" w:rsidP="00EB516E">
      <w:pPr>
        <w:rPr>
          <w:rFonts w:cs="Arial"/>
          <w:spacing w:val="-2"/>
          <w:lang w:val="es-419"/>
        </w:rPr>
      </w:pPr>
    </w:p>
    <w:p w:rsidR="00EB516E" w:rsidRPr="00F85912" w:rsidRDefault="008871CE" w:rsidP="00EB516E">
      <w:pPr>
        <w:rPr>
          <w:rFonts w:cs="Arial"/>
          <w:lang w:val="es-419"/>
        </w:rPr>
      </w:pPr>
      <w:r w:rsidRPr="00F85912">
        <w:rPr>
          <w:rFonts w:cs="Arial"/>
          <w:lang w:val="es-419"/>
        </w:rPr>
        <w:fldChar w:fldCharType="begin"/>
      </w:r>
      <w:r w:rsidR="00EB516E" w:rsidRPr="00F85912">
        <w:rPr>
          <w:rFonts w:cs="Arial"/>
          <w:lang w:val="es-419"/>
        </w:rPr>
        <w:instrText xml:space="preserve"> AUTONUM  </w:instrText>
      </w:r>
      <w:r w:rsidRPr="00F85912">
        <w:rPr>
          <w:rFonts w:cs="Arial"/>
          <w:lang w:val="es-419"/>
        </w:rPr>
        <w:fldChar w:fldCharType="end"/>
      </w:r>
      <w:r w:rsidR="00EB516E" w:rsidRPr="00F85912">
        <w:rPr>
          <w:rFonts w:cs="Arial"/>
          <w:lang w:val="es-419"/>
        </w:rPr>
        <w:tab/>
      </w:r>
      <w:r w:rsidR="006376C6" w:rsidRPr="00F85912">
        <w:rPr>
          <w:rFonts w:cs="Arial"/>
          <w:lang w:val="es-419"/>
        </w:rPr>
        <w:t xml:space="preserve">Está previsto publicar las actas </w:t>
      </w:r>
      <w:r w:rsidR="003D6971" w:rsidRPr="00F85912">
        <w:rPr>
          <w:rFonts w:cs="Arial"/>
          <w:lang w:val="es-419"/>
        </w:rPr>
        <w:t xml:space="preserve">del </w:t>
      </w:r>
      <w:r w:rsidR="006376C6" w:rsidRPr="00F85912">
        <w:rPr>
          <w:rFonts w:cs="Arial"/>
          <w:lang w:val="es-419"/>
        </w:rPr>
        <w:t>Seminario sobre variedades esencialmente derivadas en los cuatro idiomas de la UPOV (alemán, español, francés e inglés), con inclusión de las ponencias y los debates, lo antes posible tras la celebración del seminario.</w:t>
      </w:r>
      <w:r w:rsidR="00EB516E" w:rsidRPr="00F85912">
        <w:rPr>
          <w:rFonts w:cs="Arial"/>
          <w:lang w:val="es-419"/>
        </w:rPr>
        <w:t xml:space="preserve"> </w:t>
      </w:r>
    </w:p>
    <w:p w:rsidR="00EB516E" w:rsidRDefault="00EB516E" w:rsidP="00EB516E">
      <w:pPr>
        <w:rPr>
          <w:rFonts w:cs="Arial"/>
          <w:spacing w:val="-2"/>
          <w:lang w:val="es-419"/>
        </w:rPr>
      </w:pPr>
    </w:p>
    <w:p w:rsidR="00D57822" w:rsidRPr="00E74710" w:rsidRDefault="00D57822" w:rsidP="00EB516E">
      <w:pPr>
        <w:rPr>
          <w:rFonts w:cs="Arial"/>
          <w:spacing w:val="-2"/>
          <w:lang w:val="es-419"/>
        </w:rPr>
      </w:pPr>
    </w:p>
    <w:p w:rsidR="00EB516E" w:rsidRPr="00E74710" w:rsidRDefault="003D6971" w:rsidP="00EB516E">
      <w:pPr>
        <w:pStyle w:val="Heading1"/>
        <w:rPr>
          <w:lang w:val="es-419"/>
        </w:rPr>
      </w:pPr>
      <w:bookmarkStart w:id="6" w:name="_Toc15552277"/>
      <w:r w:rsidRPr="00E74710">
        <w:rPr>
          <w:caps w:val="0"/>
          <w:lang w:val="es-419"/>
        </w:rPr>
        <w:t>RESULTADO</w:t>
      </w:r>
      <w:r w:rsidRPr="00E74710">
        <w:rPr>
          <w:lang w:val="es-419"/>
        </w:rPr>
        <w:t xml:space="preserve"> deL </w:t>
      </w:r>
      <w:r w:rsidRPr="00E74710">
        <w:rPr>
          <w:caps w:val="0"/>
          <w:lang w:val="es-419"/>
        </w:rPr>
        <w:t>SEMINARIO SOBRE VARIEDADES ESENCIALMENTE DERIVADAS</w:t>
      </w:r>
      <w:r w:rsidRPr="00E74710">
        <w:rPr>
          <w:lang w:val="es-419"/>
        </w:rPr>
        <w:t xml:space="preserve"> y revisión de las orientaciones sobre las variedades esencialmente derivadas que se brindan en el documento UPOV/EXN/</w:t>
      </w:r>
      <w:r w:rsidR="00F27803" w:rsidRPr="00E74710">
        <w:rPr>
          <w:caps w:val="0"/>
          <w:lang w:val="es-419"/>
        </w:rPr>
        <w:t>EDV/</w:t>
      </w:r>
      <w:r w:rsidRPr="00E74710">
        <w:rPr>
          <w:lang w:val="es-419"/>
        </w:rPr>
        <w:t>2 “NOTAS EXPLICATIVAS SOBRE LAS VARIEDADES ESENCIALMENTE DERIVADAS CON ARREGLO AL ACTA DE 1991 DEL CONVENIO DE LA</w:t>
      </w:r>
      <w:r w:rsidR="00F27803" w:rsidRPr="00E74710">
        <w:rPr>
          <w:lang w:val="es-419"/>
        </w:rPr>
        <w:t> </w:t>
      </w:r>
      <w:r w:rsidRPr="00E74710">
        <w:rPr>
          <w:lang w:val="es-419"/>
        </w:rPr>
        <w:t>UPOV”</w:t>
      </w:r>
      <w:bookmarkEnd w:id="6"/>
    </w:p>
    <w:p w:rsidR="00EB516E" w:rsidRPr="00E74710" w:rsidRDefault="00EB516E" w:rsidP="00EB516E">
      <w:pPr>
        <w:rPr>
          <w:rFonts w:cs="Arial"/>
          <w:spacing w:val="-2"/>
          <w:lang w:val="es-419"/>
        </w:rPr>
      </w:pPr>
    </w:p>
    <w:p w:rsidR="00EB516E" w:rsidRPr="00E74710" w:rsidRDefault="008871CE" w:rsidP="00EB516E">
      <w:pPr>
        <w:rPr>
          <w:rFonts w:cs="Arial"/>
          <w:spacing w:val="-2"/>
          <w:lang w:val="es-419"/>
        </w:rPr>
      </w:pPr>
      <w:r w:rsidRPr="00E74710">
        <w:rPr>
          <w:rFonts w:cs="Arial"/>
          <w:spacing w:val="-2"/>
          <w:lang w:val="es-419"/>
        </w:rPr>
        <w:fldChar w:fldCharType="begin"/>
      </w:r>
      <w:r w:rsidR="00EB516E" w:rsidRPr="00E74710">
        <w:rPr>
          <w:rFonts w:cs="Arial"/>
          <w:spacing w:val="-2"/>
          <w:lang w:val="es-419"/>
        </w:rPr>
        <w:instrText xml:space="preserve"> AUTONUM  </w:instrText>
      </w:r>
      <w:r w:rsidRPr="00E74710">
        <w:rPr>
          <w:rFonts w:cs="Arial"/>
          <w:spacing w:val="-2"/>
          <w:lang w:val="es-419"/>
        </w:rPr>
        <w:fldChar w:fldCharType="end"/>
      </w:r>
      <w:r w:rsidR="00EB516E" w:rsidRPr="00E74710">
        <w:rPr>
          <w:rFonts w:cs="Arial"/>
          <w:spacing w:val="-2"/>
          <w:lang w:val="es-419"/>
        </w:rPr>
        <w:tab/>
      </w:r>
      <w:r w:rsidR="00F27803" w:rsidRPr="00E74710">
        <w:rPr>
          <w:spacing w:val="-2"/>
          <w:kern w:val="28"/>
          <w:lang w:val="es-419"/>
        </w:rPr>
        <w:t>En su septuagésima quinta sesión,</w:t>
      </w:r>
      <w:r w:rsidR="00F27803" w:rsidRPr="00E74710">
        <w:rPr>
          <w:spacing w:val="-2"/>
          <w:kern w:val="28"/>
          <w:vertAlign w:val="superscript"/>
          <w:lang w:val="es-419"/>
        </w:rPr>
        <w:t>1</w:t>
      </w:r>
      <w:r w:rsidR="00F27803" w:rsidRPr="00E74710">
        <w:rPr>
          <w:spacing w:val="-2"/>
          <w:kern w:val="28"/>
          <w:lang w:val="es-419"/>
        </w:rPr>
        <w:t xml:space="preserve"> </w:t>
      </w:r>
      <w:r w:rsidR="00F27803" w:rsidRPr="00E74710">
        <w:rPr>
          <w:rFonts w:cs="Arial"/>
          <w:spacing w:val="-2"/>
          <w:lang w:val="es-419"/>
        </w:rPr>
        <w:t>el CAJ convino en que el examen de la revisión de las notas explicativas sobre las variedades esencialmente derivadas ha de incluirse en el orden del día de la septuagésima sexta sesión del CAJ y en que este examen ha de basarse en los resultados del seminario (véase el párrafo 17 del documento CAJ/75/14 “Informe”).</w:t>
      </w:r>
    </w:p>
    <w:p w:rsidR="00EB516E" w:rsidRPr="00E74710" w:rsidRDefault="00EB516E" w:rsidP="00EB516E">
      <w:pPr>
        <w:rPr>
          <w:rFonts w:cs="Arial"/>
          <w:spacing w:val="-2"/>
          <w:lang w:val="es-419"/>
        </w:rPr>
      </w:pPr>
    </w:p>
    <w:p w:rsidR="00EB516E" w:rsidRPr="00E74710" w:rsidRDefault="008871CE" w:rsidP="00EB516E">
      <w:pPr>
        <w:rPr>
          <w:rFonts w:cs="Arial"/>
          <w:spacing w:val="-2"/>
          <w:lang w:val="es-419"/>
        </w:rPr>
      </w:pPr>
      <w:r w:rsidRPr="00E74710">
        <w:rPr>
          <w:rFonts w:cs="Arial"/>
          <w:spacing w:val="-2"/>
          <w:lang w:val="es-419"/>
        </w:rPr>
        <w:fldChar w:fldCharType="begin"/>
      </w:r>
      <w:r w:rsidR="00EB516E" w:rsidRPr="00E74710">
        <w:rPr>
          <w:rFonts w:cs="Arial"/>
          <w:spacing w:val="-2"/>
          <w:lang w:val="es-419"/>
        </w:rPr>
        <w:instrText xml:space="preserve"> AUTONUM  </w:instrText>
      </w:r>
      <w:r w:rsidRPr="00E74710">
        <w:rPr>
          <w:rFonts w:cs="Arial"/>
          <w:spacing w:val="-2"/>
          <w:lang w:val="es-419"/>
        </w:rPr>
        <w:fldChar w:fldCharType="end"/>
      </w:r>
      <w:r w:rsidR="00EB516E" w:rsidRPr="00E74710">
        <w:rPr>
          <w:rFonts w:cs="Arial"/>
          <w:spacing w:val="-2"/>
          <w:lang w:val="es-419"/>
        </w:rPr>
        <w:tab/>
      </w:r>
      <w:r w:rsidR="006246A9" w:rsidRPr="00E74710">
        <w:rPr>
          <w:rFonts w:cs="Arial"/>
          <w:spacing w:val="-2"/>
          <w:lang w:val="es-419"/>
        </w:rPr>
        <w:t xml:space="preserve">En la septuagésima sexta sesión del </w:t>
      </w:r>
      <w:r w:rsidR="00F408E2" w:rsidRPr="00E74710">
        <w:rPr>
          <w:rFonts w:cs="Arial"/>
          <w:spacing w:val="-2"/>
          <w:lang w:val="es-419"/>
        </w:rPr>
        <w:t>CAJ</w:t>
      </w:r>
      <w:r w:rsidR="006246A9" w:rsidRPr="00E74710">
        <w:rPr>
          <w:rStyle w:val="FootnoteReference"/>
          <w:rFonts w:cs="Arial"/>
          <w:spacing w:val="-2"/>
          <w:lang w:val="es-419"/>
        </w:rPr>
        <w:footnoteReference w:id="4"/>
      </w:r>
      <w:r w:rsidR="006246A9" w:rsidRPr="00E74710">
        <w:rPr>
          <w:rFonts w:cs="Arial"/>
          <w:spacing w:val="-2"/>
          <w:lang w:val="es-419"/>
        </w:rPr>
        <w:t xml:space="preserve"> se presentará</w:t>
      </w:r>
      <w:r w:rsidR="00A11484" w:rsidRPr="00E74710">
        <w:rPr>
          <w:rFonts w:cs="Arial"/>
          <w:spacing w:val="-2"/>
          <w:lang w:val="es-419"/>
        </w:rPr>
        <w:t>,</w:t>
      </w:r>
      <w:r w:rsidR="006246A9" w:rsidRPr="00E74710">
        <w:rPr>
          <w:rFonts w:cs="Arial"/>
          <w:spacing w:val="-2"/>
          <w:lang w:val="es-419"/>
        </w:rPr>
        <w:t xml:space="preserve"> </w:t>
      </w:r>
      <w:r w:rsidR="00A11484" w:rsidRPr="00E74710">
        <w:rPr>
          <w:rFonts w:cs="Arial"/>
          <w:spacing w:val="-2"/>
          <w:lang w:val="es-419"/>
        </w:rPr>
        <w:t xml:space="preserve">en un informe verbal a cargo del presidente del CAJ, </w:t>
      </w:r>
      <w:r w:rsidR="006246A9" w:rsidRPr="00E74710">
        <w:rPr>
          <w:rFonts w:cs="Arial"/>
          <w:spacing w:val="-2"/>
          <w:lang w:val="es-419"/>
        </w:rPr>
        <w:t>un resumen de los resultados del Seminario sobre variedades esencialmente derivadas</w:t>
      </w:r>
      <w:r w:rsidR="00F27803" w:rsidRPr="00E74710">
        <w:rPr>
          <w:rFonts w:cs="Arial"/>
          <w:spacing w:val="-2"/>
          <w:lang w:val="es-419"/>
        </w:rPr>
        <w:t>.</w:t>
      </w:r>
      <w:r w:rsidR="00EB516E" w:rsidRPr="00E74710">
        <w:rPr>
          <w:rFonts w:cs="Arial"/>
          <w:spacing w:val="-2"/>
          <w:lang w:val="es-419"/>
        </w:rPr>
        <w:t xml:space="preserve"> </w:t>
      </w:r>
    </w:p>
    <w:p w:rsidR="00EB516E" w:rsidRPr="00E74710" w:rsidRDefault="00EB516E" w:rsidP="00EB516E">
      <w:pPr>
        <w:rPr>
          <w:rFonts w:cs="Arial"/>
          <w:spacing w:val="-2"/>
          <w:lang w:val="es-419"/>
        </w:rPr>
      </w:pPr>
    </w:p>
    <w:p w:rsidR="00EB516E" w:rsidRPr="00E74710" w:rsidRDefault="008871CE" w:rsidP="00EB516E">
      <w:pPr>
        <w:rPr>
          <w:rFonts w:cs="Arial"/>
          <w:spacing w:val="-2"/>
          <w:lang w:val="es-419"/>
        </w:rPr>
      </w:pPr>
      <w:r w:rsidRPr="00E74710">
        <w:rPr>
          <w:rFonts w:cs="Arial"/>
          <w:spacing w:val="-2"/>
          <w:lang w:val="es-419"/>
        </w:rPr>
        <w:fldChar w:fldCharType="begin"/>
      </w:r>
      <w:r w:rsidR="00EB516E" w:rsidRPr="00E74710">
        <w:rPr>
          <w:rFonts w:cs="Arial"/>
          <w:spacing w:val="-2"/>
          <w:lang w:val="es-419"/>
        </w:rPr>
        <w:instrText xml:space="preserve"> AUTONUM  </w:instrText>
      </w:r>
      <w:r w:rsidRPr="00E74710">
        <w:rPr>
          <w:rFonts w:cs="Arial"/>
          <w:spacing w:val="-2"/>
          <w:lang w:val="es-419"/>
        </w:rPr>
        <w:fldChar w:fldCharType="end"/>
      </w:r>
      <w:r w:rsidR="00EB516E" w:rsidRPr="00E74710">
        <w:rPr>
          <w:rFonts w:cs="Arial"/>
          <w:spacing w:val="-2"/>
          <w:lang w:val="es-419"/>
        </w:rPr>
        <w:tab/>
      </w:r>
      <w:r w:rsidR="006246A9" w:rsidRPr="00E74710">
        <w:rPr>
          <w:rFonts w:cs="Arial"/>
          <w:spacing w:val="-2"/>
          <w:lang w:val="es-419"/>
        </w:rPr>
        <w:t>Con arreglo a lo que antecede, se invitará al CAJ a considerar si procede iniciar una revisión de las orientaciones sobre las variedades esencialmente derivadas que se brindan en el documento UPOV/EXN/EDV/2 “Notas explicativas sobre las variedades esencialmente derivadas con arreglo al Acta de 1991 del Convenio de la UPOV”.</w:t>
      </w:r>
    </w:p>
    <w:p w:rsidR="00EB516E" w:rsidRDefault="00EB516E" w:rsidP="00EB516E">
      <w:pPr>
        <w:rPr>
          <w:rFonts w:cs="Arial"/>
          <w:spacing w:val="-2"/>
          <w:lang w:val="es-419"/>
        </w:rPr>
      </w:pPr>
      <w:bookmarkStart w:id="7" w:name="_GoBack"/>
      <w:bookmarkEnd w:id="7"/>
    </w:p>
    <w:p w:rsidR="00D57822" w:rsidRPr="00E74710" w:rsidRDefault="00D57822" w:rsidP="00EB516E">
      <w:pPr>
        <w:rPr>
          <w:rFonts w:cs="Arial"/>
          <w:spacing w:val="-2"/>
          <w:lang w:val="es-419"/>
        </w:rPr>
      </w:pPr>
    </w:p>
    <w:p w:rsidR="00EB516E" w:rsidRPr="00E74710" w:rsidRDefault="00E255F4" w:rsidP="00EB516E">
      <w:pPr>
        <w:pStyle w:val="Heading1"/>
        <w:rPr>
          <w:rFonts w:cs="Arial"/>
          <w:spacing w:val="-2"/>
          <w:lang w:val="es-419"/>
        </w:rPr>
      </w:pPr>
      <w:bookmarkStart w:id="8" w:name="_Toc15552278"/>
      <w:r w:rsidRPr="00E74710">
        <w:rPr>
          <w:caps w:val="0"/>
          <w:lang w:val="es-419"/>
        </w:rPr>
        <w:t>MECANISMOS EXTRAJUDICIALES DE SOLUCIÓN DE CONTROVERSIAS</w:t>
      </w:r>
      <w:r w:rsidRPr="00E74710">
        <w:rPr>
          <w:lang w:val="es-419"/>
        </w:rPr>
        <w:t xml:space="preserve"> </w:t>
      </w:r>
      <w:r w:rsidRPr="00E74710">
        <w:rPr>
          <w:caps w:val="0"/>
          <w:lang w:val="es-419"/>
        </w:rPr>
        <w:t>PARA ASUNTOS RELATIVOS A VARIEDADES ESENCIALMENTE DERIVADAS</w:t>
      </w:r>
      <w:bookmarkEnd w:id="8"/>
    </w:p>
    <w:p w:rsidR="00EB516E" w:rsidRPr="00E74710" w:rsidRDefault="00EB516E" w:rsidP="00EB516E">
      <w:pPr>
        <w:rPr>
          <w:rFonts w:cs="Arial"/>
          <w:lang w:val="es-419"/>
        </w:rPr>
      </w:pPr>
    </w:p>
    <w:p w:rsidR="00EB516E" w:rsidRPr="00E74710" w:rsidRDefault="008871CE" w:rsidP="00EB516E">
      <w:pPr>
        <w:rPr>
          <w:rFonts w:eastAsiaTheme="minorEastAsia"/>
          <w:lang w:val="es-419"/>
        </w:rPr>
      </w:pPr>
      <w:r w:rsidRPr="00E74710">
        <w:rPr>
          <w:rFonts w:eastAsiaTheme="minorEastAsia"/>
          <w:lang w:val="es-419"/>
        </w:rPr>
        <w:fldChar w:fldCharType="begin"/>
      </w:r>
      <w:r w:rsidR="00EB516E" w:rsidRPr="00E74710">
        <w:rPr>
          <w:rFonts w:eastAsiaTheme="minorEastAsia"/>
          <w:lang w:val="es-419"/>
        </w:rPr>
        <w:instrText xml:space="preserve"> AUTONUM  </w:instrText>
      </w:r>
      <w:r w:rsidRPr="00E74710">
        <w:rPr>
          <w:rFonts w:eastAsiaTheme="minorEastAsia"/>
          <w:lang w:val="es-419"/>
        </w:rPr>
        <w:fldChar w:fldCharType="end"/>
      </w:r>
      <w:r w:rsidR="00EB516E" w:rsidRPr="00E74710">
        <w:rPr>
          <w:rFonts w:eastAsiaTheme="minorEastAsia"/>
          <w:lang w:val="es-419"/>
        </w:rPr>
        <w:tab/>
      </w:r>
      <w:r w:rsidR="00E255F4" w:rsidRPr="00E74710">
        <w:rPr>
          <w:lang w:val="es-419"/>
        </w:rPr>
        <w:t>No se han producido avances en relación con una eventual reunión de la Oficina de la Unión con la CIOPORA, la ISF y la </w:t>
      </w:r>
      <w:r w:rsidR="00B06C80" w:rsidRPr="00B06C80">
        <w:rPr>
          <w:lang w:val="es-419"/>
        </w:rPr>
        <w:t>Organización Mundial de la Propiedad Intelectual</w:t>
      </w:r>
      <w:r w:rsidR="00B06C80">
        <w:rPr>
          <w:lang w:val="es-419"/>
        </w:rPr>
        <w:t xml:space="preserve"> (</w:t>
      </w:r>
      <w:r w:rsidR="00E255F4" w:rsidRPr="00E74710">
        <w:rPr>
          <w:lang w:val="es-419"/>
        </w:rPr>
        <w:t>OMPI</w:t>
      </w:r>
      <w:r w:rsidR="00B06C80">
        <w:rPr>
          <w:lang w:val="es-419"/>
        </w:rPr>
        <w:t>)</w:t>
      </w:r>
      <w:r w:rsidR="00E255F4" w:rsidRPr="00E74710">
        <w:rPr>
          <w:lang w:val="es-419"/>
        </w:rPr>
        <w:t xml:space="preserve"> a fin de explorar la posible función de la UPOV en los mecanismos extrajudiciales de solución de controversias para asuntos relativos a variedades esencialmente derivadas, en particular la puesta a disposición de expertos en materia de variedades esencialmente derivadas, y la Oficina de la Unión no tiene previsto llevar este tema más adelante </w:t>
      </w:r>
      <w:r w:rsidR="00B63DEB" w:rsidRPr="00E74710">
        <w:rPr>
          <w:lang w:val="es-419"/>
        </w:rPr>
        <w:t>salvo que tenga lugar un</w:t>
      </w:r>
      <w:r w:rsidR="00E255F4" w:rsidRPr="00E74710">
        <w:rPr>
          <w:lang w:val="es-419"/>
        </w:rPr>
        <w:t xml:space="preserve"> cambio de circunstancias.</w:t>
      </w:r>
      <w:r w:rsidR="00951F8A" w:rsidRPr="00E74710">
        <w:rPr>
          <w:lang w:val="es-419"/>
        </w:rPr>
        <w:t xml:space="preserve"> </w:t>
      </w:r>
    </w:p>
    <w:p w:rsidR="00EB516E" w:rsidRPr="00E74710" w:rsidRDefault="00EB516E" w:rsidP="00EB516E">
      <w:pPr>
        <w:rPr>
          <w:lang w:val="es-419"/>
        </w:rPr>
      </w:pPr>
    </w:p>
    <w:p w:rsidR="00EB516E" w:rsidRPr="00E74710" w:rsidRDefault="008871CE" w:rsidP="00EB516E">
      <w:pPr>
        <w:pStyle w:val="DecisionParagraphs"/>
        <w:rPr>
          <w:lang w:val="es-419"/>
        </w:rPr>
      </w:pPr>
      <w:r w:rsidRPr="00E74710">
        <w:rPr>
          <w:lang w:val="es-419"/>
        </w:rPr>
        <w:fldChar w:fldCharType="begin"/>
      </w:r>
      <w:r w:rsidR="00EB516E" w:rsidRPr="00E74710">
        <w:rPr>
          <w:lang w:val="es-419"/>
        </w:rPr>
        <w:instrText xml:space="preserve"> AUTONUM  </w:instrText>
      </w:r>
      <w:r w:rsidRPr="00E74710">
        <w:rPr>
          <w:lang w:val="es-419"/>
        </w:rPr>
        <w:fldChar w:fldCharType="end"/>
      </w:r>
      <w:r w:rsidR="00EB516E" w:rsidRPr="00E74710">
        <w:rPr>
          <w:lang w:val="es-419"/>
        </w:rPr>
        <w:tab/>
      </w:r>
      <w:r w:rsidR="00B63DEB" w:rsidRPr="00E74710">
        <w:rPr>
          <w:lang w:val="es-419"/>
        </w:rPr>
        <w:t>Se invita al CAJ a:</w:t>
      </w:r>
    </w:p>
    <w:p w:rsidR="00EB516E" w:rsidRPr="00E74710" w:rsidRDefault="00EB516E" w:rsidP="00EB516E">
      <w:pPr>
        <w:pStyle w:val="DecisionParagraphs"/>
        <w:rPr>
          <w:lang w:val="es-419"/>
        </w:rPr>
      </w:pPr>
    </w:p>
    <w:p w:rsidR="00EB516E" w:rsidRPr="00E74710" w:rsidRDefault="00EB516E" w:rsidP="00EB516E">
      <w:pPr>
        <w:pStyle w:val="DecisionParagraphs"/>
        <w:rPr>
          <w:lang w:val="es-419"/>
        </w:rPr>
      </w:pPr>
      <w:r w:rsidRPr="00E74710">
        <w:rPr>
          <w:lang w:val="es-419"/>
        </w:rPr>
        <w:tab/>
      </w:r>
      <w:r w:rsidR="00B63DEB" w:rsidRPr="00E74710">
        <w:rPr>
          <w:lang w:val="es-419"/>
        </w:rPr>
        <w:t>a)</w:t>
      </w:r>
      <w:r w:rsidRPr="00E74710">
        <w:rPr>
          <w:lang w:val="es-419"/>
        </w:rPr>
        <w:tab/>
      </w:r>
      <w:r w:rsidR="00B63DEB" w:rsidRPr="00E74710">
        <w:rPr>
          <w:lang w:val="es-419"/>
        </w:rPr>
        <w:t>tomar nota de los antecedentes y las novedades acaecidas en relación con las variedades esencialmente derivadas, incluidas las cuestiones pertinentes respecto del “Seminario sobre la repercusión de la política sobre variedades esencialmente derivadas en la estrategia de fitomejoramiento”, que se exponen en los párrafos 4 a 15 del presente documento;</w:t>
      </w:r>
    </w:p>
    <w:p w:rsidR="00EB516E" w:rsidRPr="00E74710" w:rsidRDefault="00EB516E" w:rsidP="00EB516E">
      <w:pPr>
        <w:pStyle w:val="DecisionParagraphs"/>
        <w:rPr>
          <w:lang w:val="es-419"/>
        </w:rPr>
      </w:pPr>
    </w:p>
    <w:p w:rsidR="00EB516E" w:rsidRPr="00E74710" w:rsidRDefault="00EB516E" w:rsidP="00EB516E">
      <w:pPr>
        <w:pStyle w:val="DecisionParagraphs"/>
        <w:rPr>
          <w:lang w:val="es-419"/>
        </w:rPr>
      </w:pPr>
      <w:r w:rsidRPr="00E74710">
        <w:rPr>
          <w:lang w:val="es-419"/>
        </w:rPr>
        <w:tab/>
      </w:r>
      <w:r w:rsidR="00B63DEB" w:rsidRPr="00E74710">
        <w:rPr>
          <w:lang w:val="es-419"/>
        </w:rPr>
        <w:t>b)</w:t>
      </w:r>
      <w:r w:rsidRPr="00E74710">
        <w:rPr>
          <w:lang w:val="es-419"/>
        </w:rPr>
        <w:tab/>
      </w:r>
      <w:r w:rsidR="005503E6" w:rsidRPr="00E74710">
        <w:rPr>
          <w:lang w:val="es-419"/>
        </w:rPr>
        <w:t>examinar los resultados del Seminario sobre variedades esencialmente derivadas que, en un informe verbal a cargo del presidente del CAJ, se presentarán en la septuagésima sexta sesión del CAJ, expuestos en los párrafos 16 a 18 del presente documento;</w:t>
      </w:r>
      <w:r w:rsidR="00951F8A" w:rsidRPr="00E74710">
        <w:rPr>
          <w:lang w:val="es-419"/>
        </w:rPr>
        <w:t xml:space="preserve"> </w:t>
      </w:r>
    </w:p>
    <w:p w:rsidR="00EB516E" w:rsidRPr="00E74710" w:rsidRDefault="00EB516E" w:rsidP="00EB516E">
      <w:pPr>
        <w:pStyle w:val="DecisionParagraphs"/>
        <w:rPr>
          <w:lang w:val="es-419"/>
        </w:rPr>
      </w:pPr>
    </w:p>
    <w:p w:rsidR="00EB516E" w:rsidRPr="00E74710" w:rsidRDefault="00EB516E" w:rsidP="00855AB2">
      <w:pPr>
        <w:pStyle w:val="DecisionParagraphs"/>
        <w:keepLines/>
        <w:rPr>
          <w:lang w:val="es-419"/>
        </w:rPr>
      </w:pPr>
      <w:r w:rsidRPr="00E74710">
        <w:rPr>
          <w:lang w:val="es-419"/>
        </w:rPr>
        <w:lastRenderedPageBreak/>
        <w:tab/>
      </w:r>
      <w:r w:rsidR="004D40C5" w:rsidRPr="00E74710">
        <w:rPr>
          <w:lang w:val="es-419"/>
        </w:rPr>
        <w:t>c)</w:t>
      </w:r>
      <w:r w:rsidRPr="00E74710">
        <w:rPr>
          <w:lang w:val="es-419"/>
        </w:rPr>
        <w:tab/>
      </w:r>
      <w:r w:rsidR="004D40C5" w:rsidRPr="00E74710">
        <w:rPr>
          <w:lang w:val="es-419"/>
        </w:rPr>
        <w:t>tomar nota de que no se han producido avances en relación con una eventual reunión de la Oficina de la Unión con la CIOPORA, la ISF y la OMPI a fin de explorar la posible función de la UPOV en los mecanismos extrajudiciales de solución de controversias para asuntos relativos a variedades esencialmente derivadas, en particular la puesta a disposición de expertos en materia de variedades esencialmente derivadas.</w:t>
      </w:r>
    </w:p>
    <w:p w:rsidR="00EB516E" w:rsidRPr="00E74710" w:rsidRDefault="00EB516E" w:rsidP="00EB516E">
      <w:pPr>
        <w:jc w:val="left"/>
        <w:rPr>
          <w:lang w:val="es-419"/>
        </w:rPr>
      </w:pPr>
    </w:p>
    <w:p w:rsidR="00EB516E" w:rsidRPr="00E74710" w:rsidRDefault="00EB516E" w:rsidP="00EB516E">
      <w:pPr>
        <w:rPr>
          <w:lang w:val="es-419"/>
        </w:rPr>
      </w:pPr>
    </w:p>
    <w:p w:rsidR="00EB516E" w:rsidRPr="00E74710" w:rsidRDefault="00EB516E" w:rsidP="00EB516E">
      <w:pPr>
        <w:rPr>
          <w:lang w:val="es-419"/>
        </w:rPr>
      </w:pPr>
    </w:p>
    <w:p w:rsidR="00EB516E" w:rsidRPr="00E74710" w:rsidRDefault="004D40C5" w:rsidP="00EB516E">
      <w:pPr>
        <w:jc w:val="right"/>
        <w:rPr>
          <w:lang w:val="es-419"/>
        </w:rPr>
      </w:pPr>
      <w:r w:rsidRPr="00E74710">
        <w:rPr>
          <w:lang w:val="es-419"/>
        </w:rPr>
        <w:t>[Sigue el Anexo]</w:t>
      </w:r>
    </w:p>
    <w:p w:rsidR="00EB516E" w:rsidRPr="00E74710" w:rsidRDefault="00EB516E" w:rsidP="00EB516E">
      <w:pPr>
        <w:jc w:val="left"/>
        <w:rPr>
          <w:lang w:val="es-419"/>
        </w:rPr>
      </w:pPr>
    </w:p>
    <w:p w:rsidR="00EB516E" w:rsidRPr="00E74710" w:rsidRDefault="00EB516E" w:rsidP="00EB516E">
      <w:pPr>
        <w:jc w:val="left"/>
        <w:rPr>
          <w:lang w:val="es-419"/>
        </w:rPr>
        <w:sectPr w:rsidR="00EB516E" w:rsidRPr="00E74710" w:rsidSect="00586A12">
          <w:headerReference w:type="default" r:id="rId10"/>
          <w:pgSz w:w="11907" w:h="16840" w:code="9"/>
          <w:pgMar w:top="567" w:right="1134" w:bottom="1134" w:left="1134" w:header="510" w:footer="680" w:gutter="0"/>
          <w:cols w:space="720"/>
          <w:titlePg/>
        </w:sectPr>
      </w:pPr>
    </w:p>
    <w:tbl>
      <w:tblPr>
        <w:tblW w:w="5000" w:type="pct"/>
        <w:tblLayout w:type="fixed"/>
        <w:tblCellMar>
          <w:left w:w="0" w:type="dxa"/>
          <w:right w:w="0" w:type="dxa"/>
        </w:tblCellMar>
        <w:tblLook w:val="0000" w:firstRow="0" w:lastRow="0" w:firstColumn="0" w:lastColumn="0" w:noHBand="0" w:noVBand="0"/>
      </w:tblPr>
      <w:tblGrid>
        <w:gridCol w:w="6522"/>
        <w:gridCol w:w="3117"/>
      </w:tblGrid>
      <w:tr w:rsidR="00EB516E" w:rsidRPr="00E74710" w:rsidTr="002D74D5">
        <w:tc>
          <w:tcPr>
            <w:tcW w:w="6522" w:type="dxa"/>
          </w:tcPr>
          <w:p w:rsidR="00EB516E" w:rsidRPr="00E74710" w:rsidRDefault="00EB516E" w:rsidP="002D74D5">
            <w:pPr>
              <w:rPr>
                <w:lang w:val="es-419"/>
              </w:rPr>
            </w:pPr>
            <w:r w:rsidRPr="00E74710">
              <w:rPr>
                <w:noProof/>
                <w:lang w:val="en-US"/>
              </w:rPr>
              <w:lastRenderedPageBreak/>
              <w:drawing>
                <wp:inline distT="0" distB="0" distL="0" distR="0">
                  <wp:extent cx="952031" cy="244054"/>
                  <wp:effectExtent l="0" t="0" r="6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EB516E" w:rsidRPr="00E74710" w:rsidRDefault="00BE2F92" w:rsidP="004D40C5">
            <w:pPr>
              <w:pStyle w:val="Lettrine"/>
              <w:rPr>
                <w:lang w:val="es-419"/>
              </w:rPr>
            </w:pPr>
            <w:r w:rsidRPr="00E74710">
              <w:rPr>
                <w:lang w:val="es-419"/>
              </w:rPr>
              <w:t>S</w:t>
            </w:r>
          </w:p>
        </w:tc>
      </w:tr>
      <w:tr w:rsidR="00EB516E" w:rsidRPr="00E74710" w:rsidTr="00B43448">
        <w:trPr>
          <w:trHeight w:val="219"/>
        </w:trPr>
        <w:tc>
          <w:tcPr>
            <w:tcW w:w="6522" w:type="dxa"/>
          </w:tcPr>
          <w:p w:rsidR="00EB516E" w:rsidRPr="00E74710" w:rsidRDefault="00BE2F92" w:rsidP="00832E1F">
            <w:pPr>
              <w:pStyle w:val="upove"/>
              <w:rPr>
                <w:lang w:val="es-419"/>
              </w:rPr>
            </w:pPr>
            <w:r w:rsidRPr="00E74710">
              <w:rPr>
                <w:lang w:val="es-419"/>
              </w:rPr>
              <w:t>Unión Internacional para la Protección de las Obtenciones Vegetales</w:t>
            </w:r>
          </w:p>
        </w:tc>
        <w:tc>
          <w:tcPr>
            <w:tcW w:w="3117" w:type="dxa"/>
          </w:tcPr>
          <w:p w:rsidR="00EB516E" w:rsidRPr="00E74710" w:rsidRDefault="00EB516E" w:rsidP="002D74D5">
            <w:pPr>
              <w:rPr>
                <w:lang w:val="es-419"/>
              </w:rPr>
            </w:pPr>
          </w:p>
        </w:tc>
      </w:tr>
    </w:tbl>
    <w:p w:rsidR="00EB516E" w:rsidRPr="00E74710" w:rsidRDefault="00EB516E" w:rsidP="00EB516E">
      <w:pPr>
        <w:rPr>
          <w:lang w:val="es-419"/>
        </w:rPr>
      </w:pPr>
    </w:p>
    <w:p w:rsidR="00EB516E" w:rsidRPr="00E74710" w:rsidRDefault="00EB516E" w:rsidP="00EB516E">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516E" w:rsidRPr="00E74710" w:rsidTr="002D74D5">
        <w:tc>
          <w:tcPr>
            <w:tcW w:w="6512" w:type="dxa"/>
          </w:tcPr>
          <w:p w:rsidR="00EB516E" w:rsidRPr="00E74710" w:rsidRDefault="00BE2F92" w:rsidP="002D74D5">
            <w:pPr>
              <w:pStyle w:val="Sessiontcplacedate"/>
              <w:spacing w:before="0"/>
              <w:rPr>
                <w:lang w:val="es-419"/>
              </w:rPr>
            </w:pPr>
            <w:r w:rsidRPr="00E74710">
              <w:rPr>
                <w:lang w:val="es-419"/>
              </w:rPr>
              <w:t>Seminario sobre la repercusión de la política sobre variedades esencialmente derivadas en la estrategia de fitomejoramiento</w:t>
            </w:r>
            <w:r w:rsidR="00EB516E" w:rsidRPr="00E74710">
              <w:rPr>
                <w:lang w:val="es-419"/>
              </w:rPr>
              <w:br/>
            </w:r>
          </w:p>
          <w:p w:rsidR="00EB516E" w:rsidRPr="00E74710" w:rsidRDefault="00BE2F92" w:rsidP="00832E1F">
            <w:pPr>
              <w:pStyle w:val="Sessiontcplacedate"/>
              <w:rPr>
                <w:sz w:val="22"/>
                <w:lang w:val="es-419"/>
              </w:rPr>
            </w:pPr>
            <w:r w:rsidRPr="00E74710">
              <w:rPr>
                <w:lang w:val="es-419"/>
              </w:rPr>
              <w:t>Ginebra, 30 de octubre de 2019</w:t>
            </w:r>
          </w:p>
        </w:tc>
        <w:tc>
          <w:tcPr>
            <w:tcW w:w="3127" w:type="dxa"/>
          </w:tcPr>
          <w:p w:rsidR="00EB516E" w:rsidRPr="00E74710" w:rsidRDefault="00EB516E" w:rsidP="002D74D5">
            <w:pPr>
              <w:pStyle w:val="Doccode"/>
              <w:rPr>
                <w:lang w:val="es-419"/>
              </w:rPr>
            </w:pPr>
            <w:r w:rsidRPr="00E74710">
              <w:rPr>
                <w:lang w:val="es-419"/>
              </w:rPr>
              <w:t>UPOV/SEM/GE/19/1 Prov. 1</w:t>
            </w:r>
          </w:p>
          <w:p w:rsidR="00EB516E" w:rsidRPr="00E74710" w:rsidRDefault="00BE2F92" w:rsidP="00B43448">
            <w:pPr>
              <w:pStyle w:val="Docoriginal"/>
              <w:rPr>
                <w:lang w:val="es-419"/>
              </w:rPr>
            </w:pPr>
            <w:r w:rsidRPr="00E74710">
              <w:rPr>
                <w:lang w:val="es-419"/>
              </w:rPr>
              <w:t>Original:</w:t>
            </w:r>
            <w:r w:rsidR="00951F8A" w:rsidRPr="00E74710">
              <w:rPr>
                <w:b w:val="0"/>
                <w:spacing w:val="0"/>
                <w:lang w:val="es-419"/>
              </w:rPr>
              <w:t xml:space="preserve"> </w:t>
            </w:r>
            <w:r w:rsidRPr="00E74710">
              <w:rPr>
                <w:b w:val="0"/>
                <w:spacing w:val="0"/>
                <w:lang w:val="es-419"/>
              </w:rPr>
              <w:t>Inglés</w:t>
            </w:r>
          </w:p>
          <w:p w:rsidR="00EB516E" w:rsidRPr="00E74710" w:rsidRDefault="00BE2F92" w:rsidP="00832E1F">
            <w:pPr>
              <w:pStyle w:val="Docoriginal"/>
              <w:rPr>
                <w:lang w:val="es-419"/>
              </w:rPr>
            </w:pPr>
            <w:r w:rsidRPr="00E74710">
              <w:rPr>
                <w:lang w:val="es-419"/>
              </w:rPr>
              <w:t>Fecha:</w:t>
            </w:r>
            <w:r w:rsidR="00951F8A" w:rsidRPr="00E74710">
              <w:rPr>
                <w:b w:val="0"/>
                <w:spacing w:val="0"/>
                <w:lang w:val="es-419"/>
              </w:rPr>
              <w:t xml:space="preserve"> </w:t>
            </w:r>
            <w:r w:rsidRPr="00E74710">
              <w:rPr>
                <w:b w:val="0"/>
                <w:spacing w:val="0"/>
                <w:lang w:val="es-419"/>
              </w:rPr>
              <w:t>25 de julio de 2019</w:t>
            </w:r>
          </w:p>
        </w:tc>
      </w:tr>
    </w:tbl>
    <w:p w:rsidR="00EB516E" w:rsidRPr="00E74710" w:rsidRDefault="00BE2F92" w:rsidP="00B43448">
      <w:pPr>
        <w:pStyle w:val="Titleofdoc0"/>
        <w:rPr>
          <w:lang w:val="es-419"/>
        </w:rPr>
      </w:pPr>
      <w:r w:rsidRPr="00E74710">
        <w:rPr>
          <w:lang w:val="es-419"/>
        </w:rPr>
        <w:t>PROYECTO DE PROGRAMA</w:t>
      </w:r>
      <w:r w:rsidR="00EB516E" w:rsidRPr="00E74710">
        <w:rPr>
          <w:lang w:val="es-419"/>
        </w:rPr>
        <w:t xml:space="preserve"> </w:t>
      </w:r>
    </w:p>
    <w:p w:rsidR="00EB516E" w:rsidRPr="00E74710" w:rsidRDefault="00BE2F92" w:rsidP="00B43448">
      <w:pPr>
        <w:pStyle w:val="preparedby1"/>
        <w:jc w:val="left"/>
        <w:rPr>
          <w:lang w:val="es-419"/>
        </w:rPr>
      </w:pPr>
      <w:r w:rsidRPr="00E74710">
        <w:rPr>
          <w:lang w:val="es-419"/>
        </w:rPr>
        <w:t>aprobado por el Comité Administrativo y Jurídico</w:t>
      </w:r>
    </w:p>
    <w:p w:rsidR="00EB516E" w:rsidRPr="00E74710" w:rsidRDefault="00BE2F92" w:rsidP="00B43448">
      <w:pPr>
        <w:pStyle w:val="Disclaimer"/>
        <w:rPr>
          <w:lang w:val="es-419"/>
        </w:rPr>
      </w:pPr>
      <w:r w:rsidRPr="00E74710">
        <w:rPr>
          <w:lang w:val="es-419"/>
        </w:rPr>
        <w:t>Descargo de responsabilidad:</w:t>
      </w:r>
      <w:r w:rsidR="00951F8A" w:rsidRPr="00E74710">
        <w:rPr>
          <w:lang w:val="es-419"/>
        </w:rPr>
        <w:t xml:space="preserve"> </w:t>
      </w:r>
      <w:r w:rsidRPr="00E74710">
        <w:rPr>
          <w:lang w:val="es-419"/>
        </w:rPr>
        <w:t>el presente documento no constituye un documento de política u orientación de la UPOV</w:t>
      </w:r>
    </w:p>
    <w:tbl>
      <w:tblPr>
        <w:tblW w:w="8085" w:type="dxa"/>
        <w:jc w:val="center"/>
        <w:tblBorders>
          <w:top w:val="single" w:sz="4" w:space="0" w:color="auto"/>
          <w:left w:val="single" w:sz="4" w:space="0" w:color="auto"/>
          <w:bottom w:val="single" w:sz="4" w:space="0" w:color="auto"/>
          <w:right w:val="single" w:sz="4" w:space="0" w:color="auto"/>
        </w:tblBorders>
        <w:tblCellMar>
          <w:top w:w="113" w:type="dxa"/>
          <w:left w:w="113" w:type="dxa"/>
          <w:bottom w:w="113" w:type="dxa"/>
          <w:right w:w="113" w:type="dxa"/>
        </w:tblCellMar>
        <w:tblLook w:val="01E0" w:firstRow="1" w:lastRow="1" w:firstColumn="1" w:lastColumn="1" w:noHBand="0" w:noVBand="0"/>
      </w:tblPr>
      <w:tblGrid>
        <w:gridCol w:w="8085"/>
      </w:tblGrid>
      <w:tr w:rsidR="00251C50" w:rsidRPr="00D657D9" w:rsidTr="00BE07FA">
        <w:trPr>
          <w:cantSplit/>
          <w:trHeight w:val="255"/>
          <w:jc w:val="center"/>
        </w:trPr>
        <w:tc>
          <w:tcPr>
            <w:tcW w:w="8085" w:type="dxa"/>
            <w:shd w:val="clear" w:color="auto" w:fill="auto"/>
            <w:noWrap/>
          </w:tcPr>
          <w:p w:rsidR="00251C50" w:rsidRPr="00E63F5C" w:rsidRDefault="00251C50" w:rsidP="00BE07FA">
            <w:pPr>
              <w:rPr>
                <w:rFonts w:cs="Arial"/>
                <w:b/>
                <w:color w:val="006600"/>
                <w:sz w:val="18"/>
                <w:lang w:val="es-ES"/>
              </w:rPr>
            </w:pPr>
            <w:r w:rsidRPr="00E63F5C">
              <w:rPr>
                <w:rFonts w:cs="Arial"/>
                <w:b/>
                <w:color w:val="006600"/>
                <w:sz w:val="18"/>
              </w:rPr>
              <w:t>Resumen</w:t>
            </w:r>
          </w:p>
          <w:p w:rsidR="00251C50" w:rsidRPr="00E63F5C" w:rsidRDefault="00251C50" w:rsidP="00BE07FA">
            <w:pPr>
              <w:rPr>
                <w:rFonts w:cs="Arial"/>
                <w:b/>
                <w:color w:val="006600"/>
                <w:sz w:val="18"/>
                <w:lang w:val="es-ES"/>
              </w:rPr>
            </w:pPr>
          </w:p>
          <w:p w:rsidR="00251C50" w:rsidRPr="00E63F5C" w:rsidRDefault="00251C50" w:rsidP="00BE07FA">
            <w:pPr>
              <w:rPr>
                <w:sz w:val="18"/>
                <w:lang w:val="es-ES"/>
              </w:rPr>
            </w:pPr>
            <w:r w:rsidRPr="00E63F5C">
              <w:rPr>
                <w:sz w:val="18"/>
              </w:rPr>
              <w:t>El concepto de variedad esencialmente derivada se introdujo en el Acta de 1991 del Convenio de la UPOV.</w:t>
            </w:r>
            <w:r w:rsidRPr="00E63F5C">
              <w:rPr>
                <w:sz w:val="18"/>
                <w:lang w:val="es-ES"/>
              </w:rPr>
              <w:t xml:space="preserve"> </w:t>
            </w:r>
            <w:r w:rsidRPr="00E63F5C">
              <w:rPr>
                <w:sz w:val="18"/>
              </w:rPr>
              <w:t>Dicho concepto tiene por objeto ofrecer un incentivo eficaz para el fitomejoramiento a fin de lograr el máximo avance en la creación de nuevas variedades mejoradas en beneficio de la sociedad.</w:t>
            </w:r>
            <w:r w:rsidRPr="00E63F5C">
              <w:rPr>
                <w:sz w:val="18"/>
                <w:lang w:val="es-ES"/>
              </w:rPr>
              <w:t xml:space="preserve"> </w:t>
            </w:r>
          </w:p>
          <w:p w:rsidR="00251C50" w:rsidRPr="00E63F5C" w:rsidRDefault="00251C50" w:rsidP="00BE07FA">
            <w:pPr>
              <w:rPr>
                <w:sz w:val="18"/>
                <w:lang w:val="es-ES"/>
              </w:rPr>
            </w:pPr>
          </w:p>
          <w:p w:rsidR="00251C50" w:rsidRPr="00EB49C1" w:rsidRDefault="00251C50" w:rsidP="00BE07FA">
            <w:pPr>
              <w:rPr>
                <w:sz w:val="18"/>
              </w:rPr>
            </w:pPr>
            <w:r w:rsidRPr="00E63F5C">
              <w:rPr>
                <w:sz w:val="18"/>
              </w:rPr>
              <w:t>El objetivo del seminario es analizar la repercusión de la política sobre variedades esencialmente derivadas en la estrategia de fitomejoramiento y sus consecuencias en cuanto al desarrollo de variedades vegetales nuevas y mejoradas.</w:t>
            </w:r>
            <w:r w:rsidRPr="00E63F5C">
              <w:rPr>
                <w:sz w:val="18"/>
                <w:lang w:val="es-ES"/>
              </w:rPr>
              <w:t xml:space="preserve"> </w:t>
            </w:r>
            <w:r w:rsidRPr="00E63F5C">
              <w:rPr>
                <w:sz w:val="18"/>
              </w:rPr>
              <w:t xml:space="preserve">En él se expondrán puntos de vista que abarcan </w:t>
            </w:r>
            <w:r w:rsidRPr="00E63F5C">
              <w:rPr>
                <w:rFonts w:cs="Arial"/>
                <w:sz w:val="18"/>
              </w:rPr>
              <w:t>diversos métodos de fitomejoramiento y distintos tipos de plantas.</w:t>
            </w:r>
            <w:r w:rsidRPr="00E63F5C">
              <w:rPr>
                <w:rFonts w:cs="Arial"/>
                <w:sz w:val="18"/>
                <w:lang w:val="es-ES"/>
              </w:rPr>
              <w:t xml:space="preserve"> </w:t>
            </w:r>
            <w:r w:rsidRPr="00E63F5C">
              <w:rPr>
                <w:rFonts w:cs="Arial"/>
                <w:sz w:val="18"/>
              </w:rPr>
              <w:t xml:space="preserve">Se espera que el seminario sirva de ayuda al Comité Administrativo y Jurídico (CAJ) en su revisión de las </w:t>
            </w:r>
            <w:r w:rsidRPr="00E63F5C">
              <w:rPr>
                <w:sz w:val="18"/>
              </w:rPr>
              <w:t xml:space="preserve">orientaciones sobre las variedades esencialmente derivadas que se brindan en el documento </w:t>
            </w:r>
            <w:hyperlink r:id="rId11" w:history="1">
              <w:r w:rsidRPr="00E63F5C">
                <w:rPr>
                  <w:rStyle w:val="Hyperlink"/>
                  <w:sz w:val="18"/>
                </w:rPr>
                <w:t>UPOV/EXN/EDV/2</w:t>
              </w:r>
            </w:hyperlink>
            <w:r>
              <w:rPr>
                <w:rStyle w:val="Hyperlink"/>
                <w:sz w:val="18"/>
              </w:rPr>
              <w:t>.</w:t>
            </w:r>
          </w:p>
        </w:tc>
      </w:tr>
    </w:tbl>
    <w:p w:rsidR="00EB516E" w:rsidRPr="001B2947" w:rsidRDefault="00EB516E" w:rsidP="00EB516E">
      <w:pPr>
        <w:rPr>
          <w:rFonts w:cs="Arial"/>
          <w:highlight w:val="yellow"/>
        </w:rPr>
      </w:pPr>
    </w:p>
    <w:p w:rsidR="00EB516E" w:rsidRPr="001B2947" w:rsidRDefault="00EB516E" w:rsidP="00EB516E">
      <w:pPr>
        <w:rPr>
          <w:lang w:val="es-419"/>
        </w:rPr>
      </w:pPr>
    </w:p>
    <w:tbl>
      <w:tblPr>
        <w:tblW w:w="9753" w:type="dxa"/>
        <w:tblInd w:w="-57" w:type="dxa"/>
        <w:tblCellMar>
          <w:left w:w="57" w:type="dxa"/>
          <w:right w:w="57" w:type="dxa"/>
        </w:tblCellMar>
        <w:tblLook w:val="01E0" w:firstRow="1" w:lastRow="1" w:firstColumn="1" w:lastColumn="1" w:noHBand="0" w:noVBand="0"/>
      </w:tblPr>
      <w:tblGrid>
        <w:gridCol w:w="57"/>
        <w:gridCol w:w="709"/>
        <w:gridCol w:w="57"/>
        <w:gridCol w:w="8873"/>
        <w:gridCol w:w="57"/>
      </w:tblGrid>
      <w:tr w:rsidR="00D077F5" w:rsidRPr="00EA5810" w:rsidTr="00D077F5">
        <w:trPr>
          <w:gridBefore w:val="1"/>
          <w:wBefore w:w="57" w:type="dxa"/>
          <w:cantSplit/>
        </w:trPr>
        <w:tc>
          <w:tcPr>
            <w:tcW w:w="766" w:type="dxa"/>
            <w:gridSpan w:val="2"/>
            <w:shd w:val="clear" w:color="auto" w:fill="auto"/>
            <w:noWrap/>
          </w:tcPr>
          <w:p w:rsidR="00D077F5" w:rsidRPr="00482CF4" w:rsidRDefault="00D077F5" w:rsidP="00BE07FA">
            <w:pPr>
              <w:jc w:val="left"/>
              <w:rPr>
                <w:rFonts w:cs="Arial"/>
                <w:b/>
                <w:color w:val="006600"/>
              </w:rPr>
            </w:pPr>
            <w:r w:rsidRPr="00482CF4">
              <w:rPr>
                <w:rFonts w:cs="Arial"/>
                <w:b/>
                <w:color w:val="006600"/>
              </w:rPr>
              <w:t>8.30</w:t>
            </w:r>
          </w:p>
        </w:tc>
        <w:tc>
          <w:tcPr>
            <w:tcW w:w="8930" w:type="dxa"/>
            <w:gridSpan w:val="2"/>
            <w:shd w:val="clear" w:color="auto" w:fill="auto"/>
            <w:noWrap/>
          </w:tcPr>
          <w:p w:rsidR="00D077F5" w:rsidRPr="00482CF4" w:rsidRDefault="00D077F5" w:rsidP="00D077F5">
            <w:pPr>
              <w:ind w:left="168"/>
              <w:rPr>
                <w:rFonts w:cs="Arial"/>
                <w:b/>
                <w:color w:val="006600"/>
              </w:rPr>
            </w:pPr>
            <w:r w:rsidRPr="00D8056C">
              <w:rPr>
                <w:rFonts w:cs="Arial"/>
                <w:b/>
                <w:color w:val="006600"/>
              </w:rPr>
              <w:t>Inscripción</w:t>
            </w:r>
          </w:p>
        </w:tc>
      </w:tr>
      <w:tr w:rsidR="00D077F5" w:rsidRPr="00EA5810" w:rsidTr="00D077F5">
        <w:trPr>
          <w:gridBefore w:val="1"/>
          <w:wBefore w:w="57" w:type="dxa"/>
          <w:cantSplit/>
        </w:trPr>
        <w:tc>
          <w:tcPr>
            <w:tcW w:w="766" w:type="dxa"/>
            <w:gridSpan w:val="2"/>
            <w:shd w:val="clear" w:color="auto" w:fill="auto"/>
            <w:noWrap/>
          </w:tcPr>
          <w:p w:rsidR="00D077F5" w:rsidRPr="00EA5810" w:rsidRDefault="00D077F5" w:rsidP="00BE07FA">
            <w:pPr>
              <w:jc w:val="left"/>
              <w:rPr>
                <w:rFonts w:cs="Arial"/>
                <w:sz w:val="16"/>
                <w:szCs w:val="16"/>
              </w:rPr>
            </w:pPr>
          </w:p>
        </w:tc>
        <w:tc>
          <w:tcPr>
            <w:tcW w:w="8930" w:type="dxa"/>
            <w:gridSpan w:val="2"/>
            <w:shd w:val="clear" w:color="auto" w:fill="auto"/>
            <w:noWrap/>
          </w:tcPr>
          <w:p w:rsidR="00D077F5" w:rsidRPr="00EA5810" w:rsidRDefault="00D077F5" w:rsidP="00D077F5">
            <w:pPr>
              <w:ind w:left="168"/>
              <w:rPr>
                <w:rFonts w:cs="Arial"/>
                <w:sz w:val="16"/>
                <w:szCs w:val="16"/>
              </w:rPr>
            </w:pPr>
          </w:p>
        </w:tc>
      </w:tr>
      <w:tr w:rsidR="00D077F5" w:rsidRPr="00D657D9" w:rsidTr="00D077F5">
        <w:trPr>
          <w:gridBefore w:val="1"/>
          <w:wBefore w:w="57" w:type="dxa"/>
          <w:cantSplit/>
        </w:trPr>
        <w:tc>
          <w:tcPr>
            <w:tcW w:w="766" w:type="dxa"/>
            <w:gridSpan w:val="2"/>
            <w:shd w:val="clear" w:color="auto" w:fill="auto"/>
            <w:noWrap/>
          </w:tcPr>
          <w:p w:rsidR="00D077F5" w:rsidRPr="00482CF4" w:rsidRDefault="00D077F5" w:rsidP="00BE07FA">
            <w:pPr>
              <w:jc w:val="left"/>
              <w:rPr>
                <w:rFonts w:cs="Arial"/>
                <w:b/>
                <w:color w:val="006600"/>
              </w:rPr>
            </w:pPr>
            <w:r w:rsidRPr="00482CF4">
              <w:rPr>
                <w:rFonts w:cs="Arial"/>
                <w:b/>
                <w:color w:val="006600"/>
              </w:rPr>
              <w:t>9.30</w:t>
            </w:r>
          </w:p>
        </w:tc>
        <w:tc>
          <w:tcPr>
            <w:tcW w:w="8930" w:type="dxa"/>
            <w:gridSpan w:val="2"/>
            <w:shd w:val="clear" w:color="auto" w:fill="auto"/>
            <w:noWrap/>
          </w:tcPr>
          <w:p w:rsidR="00D077F5" w:rsidRPr="00443ACA" w:rsidRDefault="00D077F5" w:rsidP="00D077F5">
            <w:pPr>
              <w:ind w:left="168"/>
              <w:rPr>
                <w:rFonts w:cs="Arial"/>
                <w:b/>
                <w:color w:val="006600"/>
                <w:lang w:val="es-ES"/>
              </w:rPr>
            </w:pPr>
            <w:r w:rsidRPr="009C1AA5">
              <w:rPr>
                <w:rFonts w:cs="Arial"/>
                <w:b/>
                <w:color w:val="006600"/>
              </w:rPr>
              <w:t>Alocución de bienvenida e inauguración</w:t>
            </w:r>
            <w:r w:rsidRPr="00443ACA">
              <w:rPr>
                <w:rFonts w:cs="Arial"/>
                <w:b/>
                <w:color w:val="006600"/>
                <w:lang w:val="es-ES"/>
              </w:rPr>
              <w:t xml:space="preserve"> </w:t>
            </w:r>
          </w:p>
        </w:tc>
      </w:tr>
      <w:tr w:rsidR="00D077F5" w:rsidRPr="00D657D9" w:rsidTr="00D077F5">
        <w:trPr>
          <w:gridBefore w:val="1"/>
          <w:wBefore w:w="57" w:type="dxa"/>
          <w:cantSplit/>
        </w:trPr>
        <w:tc>
          <w:tcPr>
            <w:tcW w:w="766" w:type="dxa"/>
            <w:gridSpan w:val="2"/>
            <w:shd w:val="clear" w:color="auto" w:fill="auto"/>
            <w:noWrap/>
          </w:tcPr>
          <w:p w:rsidR="00D077F5" w:rsidRPr="00E63F5C" w:rsidRDefault="00D077F5" w:rsidP="00BE07FA">
            <w:pPr>
              <w:jc w:val="left"/>
              <w:rPr>
                <w:rFonts w:cs="Arial"/>
                <w:sz w:val="18"/>
                <w:szCs w:val="16"/>
                <w:lang w:val="es-ES"/>
              </w:rPr>
            </w:pPr>
          </w:p>
        </w:tc>
        <w:tc>
          <w:tcPr>
            <w:tcW w:w="8930" w:type="dxa"/>
            <w:gridSpan w:val="2"/>
            <w:shd w:val="clear" w:color="auto" w:fill="auto"/>
            <w:noWrap/>
          </w:tcPr>
          <w:p w:rsidR="00D077F5" w:rsidRPr="00E63F5C" w:rsidRDefault="00D077F5" w:rsidP="00D077F5">
            <w:pPr>
              <w:ind w:left="168"/>
              <w:rPr>
                <w:rFonts w:cs="Arial"/>
                <w:i/>
                <w:sz w:val="18"/>
                <w:lang w:val="es-ES"/>
              </w:rPr>
            </w:pPr>
            <w:r w:rsidRPr="00E63F5C">
              <w:rPr>
                <w:rFonts w:cs="Arial"/>
                <w:i/>
                <w:sz w:val="18"/>
              </w:rPr>
              <w:t>Sr. Peter Button, Secretario general adjunto de la UPOV</w:t>
            </w:r>
          </w:p>
          <w:p w:rsidR="00D077F5" w:rsidRPr="00E63F5C" w:rsidRDefault="00D077F5" w:rsidP="00D077F5">
            <w:pPr>
              <w:ind w:left="168"/>
              <w:rPr>
                <w:rFonts w:cs="Arial"/>
                <w:sz w:val="18"/>
                <w:szCs w:val="16"/>
                <w:lang w:val="es-ES"/>
              </w:rPr>
            </w:pPr>
          </w:p>
        </w:tc>
      </w:tr>
      <w:tr w:rsidR="00D077F5" w:rsidRPr="00D657D9" w:rsidTr="00D077F5">
        <w:trPr>
          <w:gridBefore w:val="1"/>
          <w:wBefore w:w="57" w:type="dxa"/>
          <w:cantSplit/>
        </w:trPr>
        <w:tc>
          <w:tcPr>
            <w:tcW w:w="766" w:type="dxa"/>
            <w:gridSpan w:val="2"/>
            <w:shd w:val="clear" w:color="auto" w:fill="auto"/>
            <w:noWrap/>
          </w:tcPr>
          <w:p w:rsidR="00D077F5" w:rsidRPr="00443ACA" w:rsidRDefault="00D077F5" w:rsidP="00BE07FA">
            <w:pPr>
              <w:jc w:val="left"/>
              <w:rPr>
                <w:rFonts w:cs="Arial"/>
                <w:sz w:val="16"/>
                <w:szCs w:val="16"/>
                <w:lang w:val="es-ES"/>
              </w:rPr>
            </w:pPr>
          </w:p>
        </w:tc>
        <w:tc>
          <w:tcPr>
            <w:tcW w:w="8930" w:type="dxa"/>
            <w:gridSpan w:val="2"/>
            <w:shd w:val="clear" w:color="auto" w:fill="auto"/>
            <w:noWrap/>
          </w:tcPr>
          <w:p w:rsidR="00D077F5" w:rsidRPr="00443ACA" w:rsidRDefault="00D077F5" w:rsidP="00D077F5">
            <w:pPr>
              <w:spacing w:before="240"/>
              <w:ind w:left="168"/>
              <w:jc w:val="left"/>
              <w:rPr>
                <w:rFonts w:cs="Arial"/>
                <w:b/>
                <w:sz w:val="16"/>
                <w:szCs w:val="16"/>
                <w:lang w:val="es-ES"/>
              </w:rPr>
            </w:pPr>
            <w:r w:rsidRPr="00861301">
              <w:rPr>
                <w:rFonts w:cs="Arial"/>
                <w:b/>
                <w:color w:val="006600"/>
                <w:u w:val="single"/>
              </w:rPr>
              <w:t>SESIÓN</w:t>
            </w:r>
            <w:r>
              <w:rPr>
                <w:rFonts w:cs="Arial"/>
                <w:b/>
                <w:color w:val="006600"/>
                <w:u w:val="single"/>
              </w:rPr>
              <w:t xml:space="preserve"> </w:t>
            </w:r>
            <w:r w:rsidRPr="00861301">
              <w:rPr>
                <w:rFonts w:cs="Arial"/>
                <w:b/>
                <w:color w:val="006600"/>
                <w:u w:val="single"/>
              </w:rPr>
              <w:t>I:</w:t>
            </w:r>
            <w:r w:rsidRPr="00443ACA">
              <w:rPr>
                <w:rFonts w:cs="Arial"/>
                <w:b/>
                <w:color w:val="006600"/>
                <w:u w:val="single"/>
                <w:lang w:val="es-ES"/>
              </w:rPr>
              <w:t xml:space="preserve"> </w:t>
            </w:r>
            <w:r w:rsidRPr="00861301">
              <w:rPr>
                <w:rFonts w:cs="Arial"/>
                <w:b/>
                <w:color w:val="006600"/>
                <w:u w:val="single"/>
              </w:rPr>
              <w:t>HACIA UN CONCEPTO DE VARIEDAD</w:t>
            </w:r>
            <w:r>
              <w:rPr>
                <w:rFonts w:cs="Arial"/>
                <w:b/>
                <w:color w:val="006600"/>
                <w:u w:val="single"/>
              </w:rPr>
              <w:t xml:space="preserve"> ESENCIALMENTE DERIVADA PARA EL </w:t>
            </w:r>
            <w:r w:rsidRPr="00861301">
              <w:rPr>
                <w:rFonts w:cs="Arial"/>
                <w:b/>
                <w:color w:val="006600"/>
                <w:u w:val="single"/>
              </w:rPr>
              <w:t>PRESENTE Y EL FUTURO</w:t>
            </w:r>
          </w:p>
        </w:tc>
      </w:tr>
      <w:tr w:rsidR="00D077F5" w:rsidRPr="00E63F5C" w:rsidTr="00D077F5">
        <w:trPr>
          <w:gridBefore w:val="1"/>
          <w:wBefore w:w="57" w:type="dxa"/>
          <w:cantSplit/>
        </w:trPr>
        <w:tc>
          <w:tcPr>
            <w:tcW w:w="766" w:type="dxa"/>
            <w:gridSpan w:val="2"/>
            <w:shd w:val="clear" w:color="auto" w:fill="auto"/>
            <w:noWrap/>
          </w:tcPr>
          <w:p w:rsidR="00D077F5" w:rsidRPr="00E63F5C" w:rsidRDefault="00D077F5" w:rsidP="00BE07FA">
            <w:pPr>
              <w:jc w:val="left"/>
              <w:rPr>
                <w:rFonts w:cs="Arial"/>
                <w:sz w:val="18"/>
                <w:szCs w:val="16"/>
                <w:lang w:val="es-ES"/>
              </w:rPr>
            </w:pPr>
          </w:p>
        </w:tc>
        <w:tc>
          <w:tcPr>
            <w:tcW w:w="8930" w:type="dxa"/>
            <w:gridSpan w:val="2"/>
            <w:shd w:val="clear" w:color="auto" w:fill="auto"/>
            <w:noWrap/>
          </w:tcPr>
          <w:p w:rsidR="00D077F5" w:rsidRPr="00E63F5C" w:rsidRDefault="00D077F5" w:rsidP="00D077F5">
            <w:pPr>
              <w:ind w:left="168"/>
              <w:rPr>
                <w:rFonts w:cs="Arial"/>
                <w:i/>
                <w:sz w:val="18"/>
              </w:rPr>
            </w:pPr>
            <w:r w:rsidRPr="00E63F5C">
              <w:rPr>
                <w:rFonts w:cs="Arial"/>
                <w:i/>
                <w:sz w:val="18"/>
              </w:rPr>
              <w:t>Moderador: Sr. Peter Button</w:t>
            </w:r>
          </w:p>
        </w:tc>
      </w:tr>
      <w:tr w:rsidR="00D077F5" w:rsidRPr="001D414E" w:rsidTr="00D077F5">
        <w:trPr>
          <w:gridBefore w:val="1"/>
          <w:wBefore w:w="57" w:type="dxa"/>
          <w:cantSplit/>
        </w:trPr>
        <w:tc>
          <w:tcPr>
            <w:tcW w:w="766" w:type="dxa"/>
            <w:gridSpan w:val="2"/>
            <w:shd w:val="clear" w:color="auto" w:fill="auto"/>
            <w:noWrap/>
          </w:tcPr>
          <w:p w:rsidR="00D077F5" w:rsidRPr="001D414E" w:rsidRDefault="00D077F5" w:rsidP="00BE07FA">
            <w:pPr>
              <w:jc w:val="left"/>
              <w:rPr>
                <w:rFonts w:cs="Arial"/>
                <w:sz w:val="12"/>
                <w:szCs w:val="16"/>
              </w:rPr>
            </w:pPr>
          </w:p>
        </w:tc>
        <w:tc>
          <w:tcPr>
            <w:tcW w:w="8930" w:type="dxa"/>
            <w:gridSpan w:val="2"/>
            <w:shd w:val="clear" w:color="auto" w:fill="auto"/>
            <w:noWrap/>
          </w:tcPr>
          <w:p w:rsidR="00D077F5" w:rsidRPr="001D414E" w:rsidRDefault="00D077F5" w:rsidP="00D077F5">
            <w:pPr>
              <w:ind w:left="168"/>
              <w:rPr>
                <w:rFonts w:cs="Arial"/>
                <w:sz w:val="12"/>
                <w:szCs w:val="16"/>
              </w:rPr>
            </w:pPr>
          </w:p>
        </w:tc>
      </w:tr>
      <w:tr w:rsidR="00D077F5" w:rsidRPr="00D657D9" w:rsidTr="00D077F5">
        <w:trPr>
          <w:gridBefore w:val="1"/>
          <w:wBefore w:w="57" w:type="dxa"/>
          <w:cantSplit/>
        </w:trPr>
        <w:tc>
          <w:tcPr>
            <w:tcW w:w="766" w:type="dxa"/>
            <w:gridSpan w:val="2"/>
            <w:shd w:val="clear" w:color="auto" w:fill="auto"/>
            <w:noWrap/>
          </w:tcPr>
          <w:p w:rsidR="00D077F5" w:rsidRPr="00482CF4" w:rsidRDefault="00D077F5" w:rsidP="00BE07FA">
            <w:pPr>
              <w:jc w:val="left"/>
              <w:rPr>
                <w:rFonts w:cs="Arial"/>
                <w:b/>
                <w:color w:val="006600"/>
              </w:rPr>
            </w:pPr>
            <w:r w:rsidRPr="00482CF4">
              <w:rPr>
                <w:rFonts w:cs="Arial"/>
                <w:b/>
                <w:color w:val="006600"/>
              </w:rPr>
              <w:t>9.40</w:t>
            </w:r>
          </w:p>
        </w:tc>
        <w:tc>
          <w:tcPr>
            <w:tcW w:w="8930" w:type="dxa"/>
            <w:gridSpan w:val="2"/>
            <w:shd w:val="clear" w:color="auto" w:fill="auto"/>
            <w:noWrap/>
          </w:tcPr>
          <w:p w:rsidR="00D077F5" w:rsidRPr="00443ACA" w:rsidRDefault="00D077F5" w:rsidP="00D077F5">
            <w:pPr>
              <w:ind w:left="168"/>
              <w:jc w:val="left"/>
              <w:rPr>
                <w:rFonts w:cs="Arial"/>
                <w:b/>
                <w:color w:val="006600"/>
                <w:lang w:val="es-ES"/>
              </w:rPr>
            </w:pPr>
            <w:r w:rsidRPr="00861301">
              <w:rPr>
                <w:rFonts w:cs="Arial"/>
                <w:b/>
                <w:color w:val="006600"/>
              </w:rPr>
              <w:t>El fitomejoramiento y el concepto de variedad esencialmente derivada:</w:t>
            </w:r>
            <w:r w:rsidRPr="00443ACA">
              <w:rPr>
                <w:rFonts w:cs="Arial"/>
                <w:b/>
                <w:color w:val="006600"/>
                <w:lang w:val="es-ES"/>
              </w:rPr>
              <w:t xml:space="preserve"> </w:t>
            </w:r>
            <w:r w:rsidRPr="00F5133E">
              <w:rPr>
                <w:rFonts w:cs="Arial"/>
                <w:b/>
                <w:color w:val="006600"/>
              </w:rPr>
              <w:t>¿</w:t>
            </w:r>
            <w:r>
              <w:rPr>
                <w:rFonts w:cs="Arial"/>
                <w:b/>
                <w:color w:val="006600"/>
              </w:rPr>
              <w:t xml:space="preserve">Cuáles </w:t>
            </w:r>
            <w:r w:rsidRPr="00F5133E">
              <w:rPr>
                <w:rFonts w:cs="Arial"/>
                <w:b/>
                <w:color w:val="006600"/>
              </w:rPr>
              <w:t xml:space="preserve">son los retos del pasado </w:t>
            </w:r>
            <w:r>
              <w:rPr>
                <w:rFonts w:cs="Arial"/>
                <w:b/>
                <w:color w:val="006600"/>
              </w:rPr>
              <w:t xml:space="preserve">y las </w:t>
            </w:r>
            <w:r w:rsidRPr="00F5133E">
              <w:rPr>
                <w:rFonts w:cs="Arial"/>
                <w:b/>
                <w:color w:val="006600"/>
              </w:rPr>
              <w:t>oportunidades de cara al futuro?</w:t>
            </w:r>
          </w:p>
        </w:tc>
      </w:tr>
      <w:tr w:rsidR="00D077F5" w:rsidRPr="00D657D9" w:rsidTr="00D077F5">
        <w:trPr>
          <w:gridBefore w:val="1"/>
          <w:wBefore w:w="57" w:type="dxa"/>
          <w:cantSplit/>
        </w:trPr>
        <w:tc>
          <w:tcPr>
            <w:tcW w:w="766" w:type="dxa"/>
            <w:gridSpan w:val="2"/>
            <w:shd w:val="clear" w:color="auto" w:fill="auto"/>
            <w:noWrap/>
          </w:tcPr>
          <w:p w:rsidR="00D077F5" w:rsidRPr="00F3438E" w:rsidRDefault="00D077F5" w:rsidP="00BE07FA">
            <w:pPr>
              <w:jc w:val="left"/>
              <w:rPr>
                <w:rFonts w:cs="Arial"/>
                <w:sz w:val="18"/>
                <w:szCs w:val="16"/>
                <w:lang w:val="es-ES"/>
              </w:rPr>
            </w:pPr>
          </w:p>
        </w:tc>
        <w:tc>
          <w:tcPr>
            <w:tcW w:w="8930" w:type="dxa"/>
            <w:gridSpan w:val="2"/>
            <w:shd w:val="clear" w:color="auto" w:fill="auto"/>
            <w:noWrap/>
          </w:tcPr>
          <w:p w:rsidR="00D077F5" w:rsidRPr="00F3438E" w:rsidRDefault="00D077F5" w:rsidP="00D077F5">
            <w:pPr>
              <w:ind w:left="168"/>
              <w:jc w:val="left"/>
              <w:rPr>
                <w:rFonts w:cs="Arial"/>
                <w:i/>
                <w:sz w:val="18"/>
                <w:szCs w:val="16"/>
                <w:lang w:val="es-ES"/>
              </w:rPr>
            </w:pPr>
            <w:r w:rsidRPr="00F3438E">
              <w:rPr>
                <w:rFonts w:cs="Arial"/>
                <w:i/>
                <w:iCs/>
                <w:sz w:val="18"/>
              </w:rPr>
              <w:t>Orador principal:</w:t>
            </w:r>
            <w:r w:rsidRPr="00F3438E">
              <w:rPr>
                <w:rFonts w:cs="Arial"/>
                <w:i/>
                <w:iCs/>
                <w:sz w:val="18"/>
                <w:lang w:val="es-ES"/>
              </w:rPr>
              <w:t xml:space="preserve"> </w:t>
            </w:r>
            <w:r w:rsidRPr="00F3438E">
              <w:rPr>
                <w:rFonts w:cs="Arial"/>
                <w:i/>
                <w:iCs/>
                <w:sz w:val="18"/>
              </w:rPr>
              <w:t xml:space="preserve">Sr. </w:t>
            </w:r>
            <w:proofErr w:type="spellStart"/>
            <w:r w:rsidRPr="00F3438E">
              <w:rPr>
                <w:rFonts w:cs="Arial"/>
                <w:i/>
                <w:iCs/>
                <w:sz w:val="18"/>
              </w:rPr>
              <w:t>Sven</w:t>
            </w:r>
            <w:proofErr w:type="spellEnd"/>
            <w:r w:rsidRPr="00F3438E">
              <w:rPr>
                <w:rFonts w:cs="Arial"/>
                <w:i/>
                <w:iCs/>
                <w:sz w:val="18"/>
              </w:rPr>
              <w:t xml:space="preserve"> J. R. </w:t>
            </w:r>
            <w:proofErr w:type="spellStart"/>
            <w:r w:rsidRPr="00F3438E">
              <w:rPr>
                <w:rFonts w:cs="Arial"/>
                <w:i/>
                <w:iCs/>
                <w:sz w:val="18"/>
              </w:rPr>
              <w:t>Bostyn</w:t>
            </w:r>
            <w:proofErr w:type="spellEnd"/>
            <w:r w:rsidRPr="00F3438E">
              <w:rPr>
                <w:rFonts w:cs="Arial"/>
                <w:i/>
                <w:iCs/>
                <w:sz w:val="18"/>
              </w:rPr>
              <w:t>, Centro de Estudios Avanzados en Derecho de la Innovación Biomédica (</w:t>
            </w:r>
            <w:proofErr w:type="spellStart"/>
            <w:r w:rsidRPr="00F3438E">
              <w:rPr>
                <w:rFonts w:cs="Arial"/>
                <w:i/>
                <w:iCs/>
                <w:sz w:val="18"/>
              </w:rPr>
              <w:t>CeBIL</w:t>
            </w:r>
            <w:proofErr w:type="spellEnd"/>
            <w:r w:rsidRPr="00F3438E">
              <w:rPr>
                <w:rFonts w:cs="Arial"/>
                <w:i/>
                <w:iCs/>
                <w:sz w:val="18"/>
              </w:rPr>
              <w:t>), Facultad de Derecho, Universidad de Copenhague (Dinamarca)</w:t>
            </w:r>
          </w:p>
        </w:tc>
      </w:tr>
      <w:tr w:rsidR="00D077F5" w:rsidRPr="00D657D9" w:rsidTr="00D077F5">
        <w:trPr>
          <w:gridBefore w:val="1"/>
          <w:wBefore w:w="57" w:type="dxa"/>
          <w:cantSplit/>
        </w:trPr>
        <w:tc>
          <w:tcPr>
            <w:tcW w:w="766" w:type="dxa"/>
            <w:gridSpan w:val="2"/>
            <w:shd w:val="clear" w:color="auto" w:fill="auto"/>
            <w:noWrap/>
          </w:tcPr>
          <w:p w:rsidR="00D077F5" w:rsidRPr="001D414E" w:rsidRDefault="00D077F5" w:rsidP="00BE07FA">
            <w:pPr>
              <w:jc w:val="left"/>
              <w:rPr>
                <w:rFonts w:cs="Arial"/>
                <w:sz w:val="12"/>
                <w:szCs w:val="16"/>
                <w:lang w:val="es-ES"/>
              </w:rPr>
            </w:pPr>
          </w:p>
        </w:tc>
        <w:tc>
          <w:tcPr>
            <w:tcW w:w="8930" w:type="dxa"/>
            <w:gridSpan w:val="2"/>
            <w:shd w:val="clear" w:color="auto" w:fill="auto"/>
            <w:noWrap/>
          </w:tcPr>
          <w:p w:rsidR="00D077F5" w:rsidRPr="001D414E" w:rsidRDefault="00D077F5" w:rsidP="00D077F5">
            <w:pPr>
              <w:ind w:left="168"/>
              <w:jc w:val="left"/>
              <w:rPr>
                <w:rFonts w:cs="Arial"/>
                <w:sz w:val="12"/>
                <w:szCs w:val="16"/>
                <w:lang w:val="es-ES"/>
              </w:rPr>
            </w:pPr>
          </w:p>
        </w:tc>
      </w:tr>
      <w:tr w:rsidR="00D077F5" w:rsidRPr="00D657D9" w:rsidTr="00D077F5">
        <w:trPr>
          <w:gridBefore w:val="1"/>
          <w:wBefore w:w="57" w:type="dxa"/>
          <w:cantSplit/>
        </w:trPr>
        <w:tc>
          <w:tcPr>
            <w:tcW w:w="766" w:type="dxa"/>
            <w:gridSpan w:val="2"/>
            <w:shd w:val="clear" w:color="auto" w:fill="auto"/>
            <w:noWrap/>
          </w:tcPr>
          <w:p w:rsidR="00D077F5" w:rsidRPr="00482CF4" w:rsidRDefault="00D077F5" w:rsidP="00BE07FA">
            <w:pPr>
              <w:jc w:val="left"/>
              <w:rPr>
                <w:rFonts w:cs="Arial"/>
                <w:b/>
                <w:color w:val="006600"/>
                <w:sz w:val="16"/>
                <w:szCs w:val="16"/>
              </w:rPr>
            </w:pPr>
            <w:r>
              <w:rPr>
                <w:rFonts w:cs="Arial"/>
                <w:b/>
                <w:color w:val="006600"/>
              </w:rPr>
              <w:t>10.10</w:t>
            </w:r>
          </w:p>
        </w:tc>
        <w:tc>
          <w:tcPr>
            <w:tcW w:w="8930" w:type="dxa"/>
            <w:gridSpan w:val="2"/>
            <w:shd w:val="clear" w:color="auto" w:fill="auto"/>
            <w:noWrap/>
          </w:tcPr>
          <w:p w:rsidR="00D077F5" w:rsidRPr="00443ACA" w:rsidRDefault="00D077F5" w:rsidP="00D077F5">
            <w:pPr>
              <w:ind w:left="168"/>
              <w:jc w:val="left"/>
              <w:rPr>
                <w:rFonts w:cs="Arial"/>
                <w:b/>
                <w:color w:val="006600"/>
                <w:lang w:val="es-ES"/>
              </w:rPr>
            </w:pPr>
            <w:r w:rsidRPr="00E60FE0">
              <w:rPr>
                <w:rFonts w:cs="Arial"/>
                <w:b/>
                <w:color w:val="006600"/>
              </w:rPr>
              <w:t>Orientaciones de la</w:t>
            </w:r>
            <w:r>
              <w:rPr>
                <w:rFonts w:cs="Arial"/>
                <w:b/>
                <w:color w:val="006600"/>
              </w:rPr>
              <w:t xml:space="preserve"> </w:t>
            </w:r>
            <w:r w:rsidRPr="00E60FE0">
              <w:rPr>
                <w:rFonts w:cs="Arial"/>
                <w:b/>
                <w:color w:val="006600"/>
              </w:rPr>
              <w:t>UPOV sobre las variedades esencialmente derivadas</w:t>
            </w:r>
          </w:p>
        </w:tc>
      </w:tr>
      <w:tr w:rsidR="00D077F5" w:rsidRPr="00D657D9" w:rsidTr="00D077F5">
        <w:trPr>
          <w:gridBefore w:val="1"/>
          <w:wBefore w:w="57" w:type="dxa"/>
          <w:cantSplit/>
        </w:trPr>
        <w:tc>
          <w:tcPr>
            <w:tcW w:w="766" w:type="dxa"/>
            <w:gridSpan w:val="2"/>
            <w:shd w:val="clear" w:color="auto" w:fill="auto"/>
            <w:noWrap/>
          </w:tcPr>
          <w:p w:rsidR="00D077F5" w:rsidRPr="00F3438E" w:rsidRDefault="00D077F5" w:rsidP="00BE07FA">
            <w:pPr>
              <w:jc w:val="left"/>
              <w:rPr>
                <w:rFonts w:cs="Arial"/>
                <w:sz w:val="18"/>
                <w:lang w:val="es-ES"/>
              </w:rPr>
            </w:pPr>
          </w:p>
        </w:tc>
        <w:tc>
          <w:tcPr>
            <w:tcW w:w="8930" w:type="dxa"/>
            <w:gridSpan w:val="2"/>
            <w:shd w:val="clear" w:color="auto" w:fill="auto"/>
            <w:noWrap/>
          </w:tcPr>
          <w:p w:rsidR="00D077F5" w:rsidRPr="00F3438E" w:rsidRDefault="00D077F5" w:rsidP="00D077F5">
            <w:pPr>
              <w:ind w:left="168"/>
              <w:jc w:val="left"/>
              <w:rPr>
                <w:rFonts w:cs="Arial"/>
                <w:i/>
                <w:sz w:val="18"/>
                <w:lang w:val="es-ES"/>
              </w:rPr>
            </w:pPr>
            <w:r w:rsidRPr="00F3438E">
              <w:rPr>
                <w:rFonts w:cs="Arial"/>
                <w:i/>
                <w:sz w:val="18"/>
              </w:rPr>
              <w:t>Sra. Yolanda Huerta, Consejera Jurídica y Directora de Formación y Asistencia de la UPOV</w:t>
            </w:r>
            <w:r w:rsidRPr="00F3438E">
              <w:rPr>
                <w:rFonts w:cs="Arial"/>
                <w:i/>
                <w:iCs/>
                <w:sz w:val="18"/>
                <w:lang w:val="es-ES"/>
              </w:rPr>
              <w:t xml:space="preserve"> </w:t>
            </w:r>
          </w:p>
        </w:tc>
      </w:tr>
      <w:tr w:rsidR="00D077F5" w:rsidRPr="00D657D9" w:rsidTr="00D077F5">
        <w:trPr>
          <w:gridBefore w:val="1"/>
          <w:wBefore w:w="57" w:type="dxa"/>
          <w:cantSplit/>
        </w:trPr>
        <w:tc>
          <w:tcPr>
            <w:tcW w:w="766" w:type="dxa"/>
            <w:gridSpan w:val="2"/>
            <w:shd w:val="clear" w:color="auto" w:fill="auto"/>
            <w:noWrap/>
          </w:tcPr>
          <w:p w:rsidR="00D077F5" w:rsidRPr="001D414E" w:rsidRDefault="00D077F5" w:rsidP="00BE07FA">
            <w:pPr>
              <w:jc w:val="left"/>
              <w:rPr>
                <w:rFonts w:cs="Arial"/>
                <w:sz w:val="12"/>
                <w:szCs w:val="16"/>
                <w:lang w:val="es-ES"/>
              </w:rPr>
            </w:pPr>
          </w:p>
        </w:tc>
        <w:tc>
          <w:tcPr>
            <w:tcW w:w="8930" w:type="dxa"/>
            <w:gridSpan w:val="2"/>
            <w:shd w:val="clear" w:color="auto" w:fill="auto"/>
            <w:noWrap/>
          </w:tcPr>
          <w:p w:rsidR="00D077F5" w:rsidRPr="001D414E" w:rsidRDefault="00D077F5" w:rsidP="00D077F5">
            <w:pPr>
              <w:ind w:left="168"/>
              <w:rPr>
                <w:rFonts w:cs="Arial"/>
                <w:sz w:val="12"/>
                <w:szCs w:val="16"/>
                <w:lang w:val="es-ES"/>
              </w:rPr>
            </w:pPr>
          </w:p>
        </w:tc>
      </w:tr>
      <w:tr w:rsidR="00D077F5" w:rsidRPr="00D657D9" w:rsidTr="00D077F5">
        <w:trPr>
          <w:gridBefore w:val="1"/>
          <w:wBefore w:w="57" w:type="dxa"/>
          <w:cantSplit/>
        </w:trPr>
        <w:tc>
          <w:tcPr>
            <w:tcW w:w="766" w:type="dxa"/>
            <w:gridSpan w:val="2"/>
            <w:shd w:val="clear" w:color="auto" w:fill="auto"/>
            <w:noWrap/>
          </w:tcPr>
          <w:p w:rsidR="00D077F5" w:rsidRPr="00443ACA" w:rsidRDefault="00D077F5" w:rsidP="00BE07FA">
            <w:pPr>
              <w:jc w:val="left"/>
              <w:rPr>
                <w:rFonts w:cs="Arial"/>
                <w:sz w:val="16"/>
                <w:szCs w:val="16"/>
                <w:lang w:val="es-ES"/>
              </w:rPr>
            </w:pPr>
          </w:p>
        </w:tc>
        <w:tc>
          <w:tcPr>
            <w:tcW w:w="8930" w:type="dxa"/>
            <w:gridSpan w:val="2"/>
            <w:shd w:val="clear" w:color="auto" w:fill="auto"/>
            <w:noWrap/>
          </w:tcPr>
          <w:p w:rsidR="00D077F5" w:rsidRPr="00443ACA" w:rsidRDefault="00D077F5" w:rsidP="00D077F5">
            <w:pPr>
              <w:spacing w:before="240"/>
              <w:ind w:left="168"/>
              <w:jc w:val="left"/>
              <w:rPr>
                <w:rFonts w:cs="Arial"/>
                <w:lang w:val="es-ES"/>
              </w:rPr>
            </w:pPr>
            <w:r w:rsidRPr="00E60FE0">
              <w:rPr>
                <w:rFonts w:cs="Arial"/>
                <w:b/>
                <w:color w:val="006600"/>
                <w:u w:val="single"/>
              </w:rPr>
              <w:t>SESIÓN</w:t>
            </w:r>
            <w:r>
              <w:rPr>
                <w:rFonts w:cs="Arial"/>
                <w:b/>
                <w:color w:val="006600"/>
                <w:u w:val="single"/>
              </w:rPr>
              <w:t xml:space="preserve"> </w:t>
            </w:r>
            <w:r w:rsidRPr="00E60FE0">
              <w:rPr>
                <w:rFonts w:cs="Arial"/>
                <w:b/>
                <w:color w:val="006600"/>
                <w:u w:val="single"/>
              </w:rPr>
              <w:t>II:</w:t>
            </w:r>
            <w:r w:rsidRPr="00443ACA">
              <w:rPr>
                <w:rFonts w:cs="Arial"/>
                <w:b/>
                <w:color w:val="006600"/>
                <w:u w:val="single"/>
                <w:lang w:val="es-ES"/>
              </w:rPr>
              <w:t xml:space="preserve"> </w:t>
            </w:r>
            <w:r w:rsidRPr="00E60FE0">
              <w:rPr>
                <w:rFonts w:cs="Arial"/>
                <w:b/>
                <w:color w:val="006600"/>
                <w:u w:val="single"/>
              </w:rPr>
              <w:t>INCIDENCIA DEL CONCEPTO DE VARIEDAD ESENCIALMENTE DERIVADA EN EL</w:t>
            </w:r>
            <w:r>
              <w:rPr>
                <w:rFonts w:cs="Arial"/>
                <w:b/>
                <w:color w:val="006600"/>
                <w:u w:val="single"/>
              </w:rPr>
              <w:t> </w:t>
            </w:r>
            <w:r w:rsidRPr="00E60FE0">
              <w:rPr>
                <w:rFonts w:cs="Arial"/>
                <w:b/>
                <w:color w:val="006600"/>
                <w:u w:val="single"/>
              </w:rPr>
              <w:t>FITOMEJORAMIENTO</w:t>
            </w:r>
            <w:r w:rsidRPr="00443ACA">
              <w:rPr>
                <w:rFonts w:cs="Arial"/>
                <w:b/>
                <w:color w:val="006600"/>
                <w:u w:val="single"/>
                <w:lang w:val="es-ES"/>
              </w:rPr>
              <w:t xml:space="preserve">  </w:t>
            </w:r>
          </w:p>
        </w:tc>
      </w:tr>
      <w:tr w:rsidR="00D077F5" w:rsidRPr="00D657D9" w:rsidTr="00D077F5">
        <w:trPr>
          <w:gridBefore w:val="1"/>
          <w:wBefore w:w="57" w:type="dxa"/>
          <w:cantSplit/>
        </w:trPr>
        <w:tc>
          <w:tcPr>
            <w:tcW w:w="766" w:type="dxa"/>
            <w:gridSpan w:val="2"/>
            <w:shd w:val="clear" w:color="auto" w:fill="auto"/>
            <w:noWrap/>
          </w:tcPr>
          <w:p w:rsidR="00D077F5" w:rsidRPr="00F3438E" w:rsidRDefault="00D077F5" w:rsidP="00BE07FA">
            <w:pPr>
              <w:jc w:val="left"/>
              <w:rPr>
                <w:rFonts w:cs="Arial"/>
                <w:sz w:val="18"/>
                <w:szCs w:val="16"/>
                <w:lang w:val="es-ES"/>
              </w:rPr>
            </w:pPr>
          </w:p>
        </w:tc>
        <w:tc>
          <w:tcPr>
            <w:tcW w:w="8930" w:type="dxa"/>
            <w:gridSpan w:val="2"/>
            <w:shd w:val="clear" w:color="auto" w:fill="auto"/>
            <w:noWrap/>
          </w:tcPr>
          <w:p w:rsidR="00D077F5" w:rsidRPr="00F3438E" w:rsidRDefault="00D077F5" w:rsidP="00D077F5">
            <w:pPr>
              <w:ind w:left="168"/>
              <w:jc w:val="left"/>
              <w:rPr>
                <w:rFonts w:cs="Arial"/>
                <w:i/>
                <w:spacing w:val="-2"/>
                <w:sz w:val="18"/>
                <w:szCs w:val="16"/>
                <w:lang w:val="es-ES"/>
              </w:rPr>
            </w:pPr>
            <w:r w:rsidRPr="00F3438E">
              <w:rPr>
                <w:rFonts w:cs="Arial"/>
                <w:i/>
                <w:spacing w:val="-2"/>
                <w:sz w:val="18"/>
              </w:rPr>
              <w:t>Moderador:</w:t>
            </w:r>
            <w:r w:rsidRPr="00F3438E">
              <w:rPr>
                <w:rFonts w:cs="Arial"/>
                <w:i/>
                <w:spacing w:val="-2"/>
                <w:sz w:val="18"/>
                <w:lang w:val="es-ES"/>
              </w:rPr>
              <w:t xml:space="preserve"> </w:t>
            </w:r>
            <w:r w:rsidRPr="00F3438E">
              <w:rPr>
                <w:rFonts w:cs="Arial"/>
                <w:i/>
                <w:spacing w:val="-2"/>
                <w:sz w:val="18"/>
              </w:rPr>
              <w:t>Sr. Anthony Parker,</w:t>
            </w:r>
            <w:r w:rsidRPr="00F3438E">
              <w:rPr>
                <w:i/>
                <w:spacing w:val="-2"/>
                <w:sz w:val="18"/>
              </w:rPr>
              <w:t xml:space="preserve"> </w:t>
            </w:r>
            <w:r w:rsidRPr="00F3438E">
              <w:rPr>
                <w:rFonts w:cs="Arial"/>
                <w:i/>
                <w:spacing w:val="-2"/>
                <w:sz w:val="18"/>
              </w:rPr>
              <w:t>Presidente del Comité Administrativo y Jurídico (CAJ) de la UPOV</w:t>
            </w:r>
          </w:p>
        </w:tc>
      </w:tr>
      <w:tr w:rsidR="00D077F5" w:rsidRPr="00D657D9" w:rsidTr="00D077F5">
        <w:trPr>
          <w:gridBefore w:val="1"/>
          <w:wBefore w:w="57" w:type="dxa"/>
          <w:cantSplit/>
        </w:trPr>
        <w:tc>
          <w:tcPr>
            <w:tcW w:w="766" w:type="dxa"/>
            <w:gridSpan w:val="2"/>
            <w:shd w:val="clear" w:color="auto" w:fill="auto"/>
            <w:noWrap/>
          </w:tcPr>
          <w:p w:rsidR="00D077F5" w:rsidRPr="00443ACA" w:rsidRDefault="00D077F5" w:rsidP="00BE07FA">
            <w:pPr>
              <w:jc w:val="left"/>
              <w:rPr>
                <w:rFonts w:cs="Arial"/>
                <w:sz w:val="12"/>
                <w:szCs w:val="16"/>
                <w:lang w:val="es-ES"/>
              </w:rPr>
            </w:pPr>
          </w:p>
        </w:tc>
        <w:tc>
          <w:tcPr>
            <w:tcW w:w="8930" w:type="dxa"/>
            <w:gridSpan w:val="2"/>
            <w:shd w:val="clear" w:color="auto" w:fill="auto"/>
            <w:noWrap/>
          </w:tcPr>
          <w:p w:rsidR="00D077F5" w:rsidRPr="00443ACA" w:rsidRDefault="00D077F5" w:rsidP="00D077F5">
            <w:pPr>
              <w:ind w:left="168"/>
              <w:jc w:val="left"/>
              <w:rPr>
                <w:rFonts w:cs="Arial"/>
                <w:sz w:val="12"/>
                <w:szCs w:val="16"/>
                <w:lang w:val="es-ES"/>
              </w:rPr>
            </w:pPr>
          </w:p>
        </w:tc>
      </w:tr>
      <w:tr w:rsidR="00D077F5" w:rsidRPr="00D657D9" w:rsidTr="00D077F5">
        <w:trPr>
          <w:gridBefore w:val="1"/>
          <w:wBefore w:w="57" w:type="dxa"/>
          <w:cantSplit/>
        </w:trPr>
        <w:tc>
          <w:tcPr>
            <w:tcW w:w="766" w:type="dxa"/>
            <w:gridSpan w:val="2"/>
            <w:shd w:val="clear" w:color="auto" w:fill="auto"/>
            <w:noWrap/>
          </w:tcPr>
          <w:p w:rsidR="00D077F5" w:rsidRPr="00482CF4" w:rsidRDefault="00D077F5" w:rsidP="00BE07FA">
            <w:pPr>
              <w:jc w:val="left"/>
              <w:rPr>
                <w:rFonts w:cs="Arial"/>
                <w:b/>
                <w:color w:val="006600"/>
              </w:rPr>
            </w:pPr>
            <w:r>
              <w:rPr>
                <w:rFonts w:cs="Arial"/>
                <w:b/>
                <w:color w:val="006600"/>
              </w:rPr>
              <w:t>10.20</w:t>
            </w:r>
          </w:p>
        </w:tc>
        <w:tc>
          <w:tcPr>
            <w:tcW w:w="8930" w:type="dxa"/>
            <w:gridSpan w:val="2"/>
            <w:shd w:val="clear" w:color="auto" w:fill="auto"/>
            <w:noWrap/>
          </w:tcPr>
          <w:p w:rsidR="00D077F5" w:rsidRPr="00443ACA" w:rsidRDefault="00D077F5" w:rsidP="00D077F5">
            <w:pPr>
              <w:ind w:left="168"/>
              <w:jc w:val="left"/>
              <w:rPr>
                <w:rFonts w:cs="Arial"/>
                <w:b/>
                <w:color w:val="006600"/>
                <w:lang w:val="es-ES"/>
              </w:rPr>
            </w:pPr>
            <w:r w:rsidRPr="00FD5646">
              <w:rPr>
                <w:rFonts w:cs="Arial"/>
                <w:b/>
                <w:color w:val="006600"/>
              </w:rPr>
              <w:t>Perspectivas para los cultivos agrícolas</w:t>
            </w:r>
          </w:p>
        </w:tc>
      </w:tr>
      <w:tr w:rsidR="00D077F5" w:rsidRPr="00D657D9" w:rsidTr="00D077F5">
        <w:trPr>
          <w:gridBefore w:val="1"/>
          <w:wBefore w:w="57" w:type="dxa"/>
          <w:cantSplit/>
        </w:trPr>
        <w:tc>
          <w:tcPr>
            <w:tcW w:w="766" w:type="dxa"/>
            <w:gridSpan w:val="2"/>
            <w:shd w:val="clear" w:color="auto" w:fill="auto"/>
            <w:noWrap/>
          </w:tcPr>
          <w:p w:rsidR="00D077F5" w:rsidRPr="00F3438E" w:rsidRDefault="00D077F5" w:rsidP="00BE07FA">
            <w:pPr>
              <w:jc w:val="left"/>
              <w:rPr>
                <w:rFonts w:cs="Arial"/>
                <w:spacing w:val="-4"/>
                <w:sz w:val="18"/>
                <w:lang w:val="es-ES"/>
              </w:rPr>
            </w:pPr>
          </w:p>
        </w:tc>
        <w:tc>
          <w:tcPr>
            <w:tcW w:w="8930" w:type="dxa"/>
            <w:gridSpan w:val="2"/>
            <w:shd w:val="clear" w:color="auto" w:fill="auto"/>
            <w:noWrap/>
          </w:tcPr>
          <w:p w:rsidR="00D077F5" w:rsidRPr="00F3438E" w:rsidRDefault="00D077F5" w:rsidP="00D077F5">
            <w:pPr>
              <w:ind w:left="168"/>
              <w:jc w:val="left"/>
              <w:rPr>
                <w:rFonts w:cs="Arial"/>
                <w:spacing w:val="-4"/>
                <w:sz w:val="18"/>
                <w:lang w:val="es-ES"/>
              </w:rPr>
            </w:pPr>
            <w:r w:rsidRPr="00F3438E">
              <w:rPr>
                <w:rFonts w:cs="Arial"/>
                <w:i/>
                <w:iCs/>
                <w:spacing w:val="-4"/>
                <w:sz w:val="18"/>
              </w:rPr>
              <w:t>Sra. Magali Pla, Dir</w:t>
            </w:r>
            <w:r>
              <w:rPr>
                <w:rFonts w:cs="Arial"/>
                <w:i/>
                <w:iCs/>
                <w:spacing w:val="-4"/>
                <w:sz w:val="18"/>
              </w:rPr>
              <w:t>e</w:t>
            </w:r>
            <w:r w:rsidRPr="00F3438E">
              <w:rPr>
                <w:rFonts w:cs="Arial"/>
                <w:i/>
                <w:iCs/>
                <w:spacing w:val="-4"/>
                <w:sz w:val="18"/>
              </w:rPr>
              <w:t xml:space="preserve">ctora adjunta de Propiedad Industrial de </w:t>
            </w:r>
            <w:proofErr w:type="spellStart"/>
            <w:r w:rsidRPr="00F3438E">
              <w:rPr>
                <w:rFonts w:cs="Arial"/>
                <w:i/>
                <w:iCs/>
                <w:spacing w:val="-4"/>
                <w:sz w:val="18"/>
              </w:rPr>
              <w:t>Limagrain</w:t>
            </w:r>
            <w:proofErr w:type="spellEnd"/>
            <w:r w:rsidRPr="00F3438E">
              <w:rPr>
                <w:rFonts w:cs="Arial"/>
                <w:i/>
                <w:iCs/>
                <w:spacing w:val="-4"/>
                <w:sz w:val="18"/>
              </w:rPr>
              <w:t xml:space="preserve"> (Francia)</w:t>
            </w:r>
          </w:p>
        </w:tc>
      </w:tr>
      <w:tr w:rsidR="00D077F5" w:rsidRPr="00D657D9" w:rsidTr="00D077F5">
        <w:trPr>
          <w:gridBefore w:val="1"/>
          <w:wBefore w:w="57" w:type="dxa"/>
          <w:cantSplit/>
        </w:trPr>
        <w:tc>
          <w:tcPr>
            <w:tcW w:w="766" w:type="dxa"/>
            <w:gridSpan w:val="2"/>
            <w:shd w:val="clear" w:color="auto" w:fill="auto"/>
            <w:noWrap/>
          </w:tcPr>
          <w:p w:rsidR="00D077F5" w:rsidRPr="001D414E" w:rsidRDefault="00D077F5" w:rsidP="00BE07FA">
            <w:pPr>
              <w:jc w:val="left"/>
              <w:rPr>
                <w:rFonts w:cs="Arial"/>
                <w:sz w:val="10"/>
                <w:szCs w:val="16"/>
                <w:lang w:val="es-ES"/>
              </w:rPr>
            </w:pPr>
          </w:p>
        </w:tc>
        <w:tc>
          <w:tcPr>
            <w:tcW w:w="8930" w:type="dxa"/>
            <w:gridSpan w:val="2"/>
            <w:shd w:val="clear" w:color="auto" w:fill="auto"/>
            <w:noWrap/>
          </w:tcPr>
          <w:p w:rsidR="00D077F5" w:rsidRPr="001D414E" w:rsidRDefault="00D077F5" w:rsidP="00D077F5">
            <w:pPr>
              <w:ind w:left="168"/>
              <w:jc w:val="left"/>
              <w:rPr>
                <w:rFonts w:cs="Arial"/>
                <w:sz w:val="10"/>
                <w:szCs w:val="16"/>
                <w:lang w:val="es-ES"/>
              </w:rPr>
            </w:pPr>
          </w:p>
        </w:tc>
      </w:tr>
      <w:tr w:rsidR="00D077F5" w:rsidRPr="00D657D9" w:rsidTr="00D077F5">
        <w:trPr>
          <w:gridBefore w:val="1"/>
          <w:wBefore w:w="57" w:type="dxa"/>
          <w:cantSplit/>
        </w:trPr>
        <w:tc>
          <w:tcPr>
            <w:tcW w:w="766" w:type="dxa"/>
            <w:gridSpan w:val="2"/>
            <w:shd w:val="clear" w:color="auto" w:fill="auto"/>
            <w:noWrap/>
          </w:tcPr>
          <w:p w:rsidR="00D077F5" w:rsidRPr="00482CF4" w:rsidRDefault="00D077F5" w:rsidP="00BE07FA">
            <w:pPr>
              <w:keepNext/>
              <w:jc w:val="left"/>
              <w:rPr>
                <w:rFonts w:cs="Arial"/>
                <w:b/>
                <w:color w:val="006600"/>
              </w:rPr>
            </w:pPr>
            <w:r>
              <w:rPr>
                <w:rFonts w:cs="Arial"/>
                <w:b/>
                <w:color w:val="006600"/>
              </w:rPr>
              <w:t>10.40</w:t>
            </w:r>
          </w:p>
        </w:tc>
        <w:tc>
          <w:tcPr>
            <w:tcW w:w="8930" w:type="dxa"/>
            <w:gridSpan w:val="2"/>
            <w:shd w:val="clear" w:color="auto" w:fill="auto"/>
            <w:noWrap/>
          </w:tcPr>
          <w:p w:rsidR="00D077F5" w:rsidRPr="00443ACA" w:rsidRDefault="00D077F5" w:rsidP="00D077F5">
            <w:pPr>
              <w:keepNext/>
              <w:ind w:left="168"/>
              <w:jc w:val="left"/>
              <w:rPr>
                <w:rFonts w:cs="Arial"/>
                <w:b/>
                <w:color w:val="006600"/>
                <w:lang w:val="es-ES"/>
              </w:rPr>
            </w:pPr>
            <w:r w:rsidRPr="00FD5646">
              <w:rPr>
                <w:rFonts w:cs="Arial"/>
                <w:b/>
                <w:color w:val="006600"/>
              </w:rPr>
              <w:t>Perspectivas para las plantas ornamentales</w:t>
            </w:r>
          </w:p>
        </w:tc>
      </w:tr>
      <w:tr w:rsidR="00D077F5" w:rsidRPr="00D57822" w:rsidTr="00D077F5">
        <w:trPr>
          <w:gridBefore w:val="1"/>
          <w:wBefore w:w="57" w:type="dxa"/>
          <w:cantSplit/>
        </w:trPr>
        <w:tc>
          <w:tcPr>
            <w:tcW w:w="766" w:type="dxa"/>
            <w:gridSpan w:val="2"/>
            <w:shd w:val="clear" w:color="auto" w:fill="auto"/>
            <w:noWrap/>
          </w:tcPr>
          <w:p w:rsidR="00D077F5" w:rsidRPr="00F3438E" w:rsidRDefault="00D077F5" w:rsidP="00BE07FA">
            <w:pPr>
              <w:jc w:val="left"/>
              <w:rPr>
                <w:rFonts w:cs="Arial"/>
                <w:sz w:val="18"/>
                <w:lang w:val="es-ES"/>
              </w:rPr>
            </w:pPr>
          </w:p>
        </w:tc>
        <w:tc>
          <w:tcPr>
            <w:tcW w:w="8930" w:type="dxa"/>
            <w:gridSpan w:val="2"/>
            <w:shd w:val="clear" w:color="auto" w:fill="auto"/>
            <w:noWrap/>
          </w:tcPr>
          <w:p w:rsidR="00D077F5" w:rsidRPr="00F3438E" w:rsidRDefault="00D077F5" w:rsidP="00D077F5">
            <w:pPr>
              <w:ind w:left="168"/>
              <w:jc w:val="left"/>
              <w:rPr>
                <w:rFonts w:cs="Arial"/>
                <w:i/>
                <w:iCs/>
                <w:sz w:val="18"/>
                <w:lang w:val="de-DE"/>
              </w:rPr>
            </w:pPr>
            <w:r w:rsidRPr="00F3438E">
              <w:rPr>
                <w:rFonts w:cs="Arial"/>
                <w:i/>
                <w:iCs/>
                <w:sz w:val="18"/>
                <w:lang w:val="de-DE"/>
              </w:rPr>
              <w:t>Sr. Micha Danziger, Danziger "Dan" Flower Farm (Israel)</w:t>
            </w:r>
          </w:p>
        </w:tc>
      </w:tr>
      <w:tr w:rsidR="00D077F5" w:rsidRPr="00D57822" w:rsidTr="00D077F5">
        <w:trPr>
          <w:gridBefore w:val="1"/>
          <w:wBefore w:w="57" w:type="dxa"/>
          <w:cantSplit/>
        </w:trPr>
        <w:tc>
          <w:tcPr>
            <w:tcW w:w="766" w:type="dxa"/>
            <w:gridSpan w:val="2"/>
            <w:shd w:val="clear" w:color="auto" w:fill="auto"/>
            <w:noWrap/>
          </w:tcPr>
          <w:p w:rsidR="00D077F5" w:rsidRPr="001D414E" w:rsidRDefault="00D077F5" w:rsidP="00BE07FA">
            <w:pPr>
              <w:jc w:val="left"/>
              <w:rPr>
                <w:rFonts w:cs="Arial"/>
                <w:sz w:val="12"/>
                <w:szCs w:val="16"/>
                <w:lang w:val="de-DE"/>
              </w:rPr>
            </w:pPr>
          </w:p>
        </w:tc>
        <w:tc>
          <w:tcPr>
            <w:tcW w:w="8930" w:type="dxa"/>
            <w:gridSpan w:val="2"/>
            <w:shd w:val="clear" w:color="auto" w:fill="auto"/>
            <w:noWrap/>
          </w:tcPr>
          <w:p w:rsidR="00D077F5" w:rsidRPr="001D414E" w:rsidRDefault="00D077F5" w:rsidP="00D077F5">
            <w:pPr>
              <w:ind w:left="168"/>
              <w:jc w:val="left"/>
              <w:rPr>
                <w:rFonts w:cs="Arial"/>
                <w:sz w:val="12"/>
                <w:szCs w:val="16"/>
                <w:lang w:val="de-DE"/>
              </w:rPr>
            </w:pPr>
          </w:p>
        </w:tc>
      </w:tr>
      <w:tr w:rsidR="00D077F5" w:rsidRPr="00F3438E" w:rsidTr="00D077F5">
        <w:trPr>
          <w:gridBefore w:val="1"/>
          <w:wBefore w:w="57" w:type="dxa"/>
          <w:cantSplit/>
        </w:trPr>
        <w:tc>
          <w:tcPr>
            <w:tcW w:w="766" w:type="dxa"/>
            <w:gridSpan w:val="2"/>
            <w:shd w:val="clear" w:color="auto" w:fill="auto"/>
            <w:noWrap/>
          </w:tcPr>
          <w:p w:rsidR="00D077F5" w:rsidRPr="00F3438E" w:rsidRDefault="00D077F5" w:rsidP="00BE07FA">
            <w:pPr>
              <w:jc w:val="left"/>
              <w:rPr>
                <w:rFonts w:cs="Arial"/>
                <w:sz w:val="18"/>
                <w:szCs w:val="16"/>
              </w:rPr>
            </w:pPr>
            <w:r w:rsidRPr="00F3438E">
              <w:rPr>
                <w:rFonts w:cs="Arial"/>
                <w:b/>
                <w:i/>
                <w:sz w:val="18"/>
              </w:rPr>
              <w:t>11.00</w:t>
            </w:r>
          </w:p>
        </w:tc>
        <w:tc>
          <w:tcPr>
            <w:tcW w:w="8930" w:type="dxa"/>
            <w:gridSpan w:val="2"/>
            <w:shd w:val="clear" w:color="auto" w:fill="auto"/>
            <w:noWrap/>
          </w:tcPr>
          <w:p w:rsidR="00D077F5" w:rsidRPr="00F3438E" w:rsidRDefault="00D077F5" w:rsidP="00D077F5">
            <w:pPr>
              <w:ind w:left="168"/>
              <w:jc w:val="left"/>
              <w:rPr>
                <w:rFonts w:cs="Arial"/>
                <w:sz w:val="18"/>
                <w:szCs w:val="16"/>
              </w:rPr>
            </w:pPr>
            <w:r w:rsidRPr="00F3438E">
              <w:rPr>
                <w:rFonts w:cs="Arial"/>
                <w:b/>
                <w:bCs/>
                <w:i/>
                <w:sz w:val="18"/>
              </w:rPr>
              <w:t>Pausa</w:t>
            </w:r>
          </w:p>
        </w:tc>
      </w:tr>
      <w:tr w:rsidR="00D077F5" w:rsidRPr="00EA5810" w:rsidTr="00D077F5">
        <w:trPr>
          <w:gridBefore w:val="1"/>
          <w:wBefore w:w="57" w:type="dxa"/>
          <w:cantSplit/>
        </w:trPr>
        <w:tc>
          <w:tcPr>
            <w:tcW w:w="766" w:type="dxa"/>
            <w:gridSpan w:val="2"/>
            <w:shd w:val="clear" w:color="auto" w:fill="auto"/>
            <w:noWrap/>
          </w:tcPr>
          <w:p w:rsidR="00D077F5" w:rsidRPr="00DD212F" w:rsidRDefault="00D077F5" w:rsidP="00BE07FA">
            <w:pPr>
              <w:jc w:val="left"/>
              <w:rPr>
                <w:rFonts w:cs="Arial"/>
                <w:sz w:val="14"/>
                <w:szCs w:val="16"/>
              </w:rPr>
            </w:pPr>
          </w:p>
        </w:tc>
        <w:tc>
          <w:tcPr>
            <w:tcW w:w="8930" w:type="dxa"/>
            <w:gridSpan w:val="2"/>
            <w:shd w:val="clear" w:color="auto" w:fill="auto"/>
            <w:noWrap/>
          </w:tcPr>
          <w:p w:rsidR="00D077F5" w:rsidRPr="00DD212F" w:rsidRDefault="00D077F5" w:rsidP="00BE07FA">
            <w:pPr>
              <w:jc w:val="left"/>
              <w:rPr>
                <w:rFonts w:cs="Arial"/>
                <w:sz w:val="14"/>
                <w:szCs w:val="16"/>
              </w:rPr>
            </w:pPr>
          </w:p>
        </w:tc>
      </w:tr>
      <w:tr w:rsidR="00D077F5" w:rsidRPr="00D657D9" w:rsidTr="00D077F5">
        <w:trPr>
          <w:gridAfter w:val="1"/>
          <w:wAfter w:w="57" w:type="dxa"/>
          <w:cantSplit/>
        </w:trPr>
        <w:tc>
          <w:tcPr>
            <w:tcW w:w="766" w:type="dxa"/>
            <w:gridSpan w:val="2"/>
            <w:shd w:val="clear" w:color="auto" w:fill="auto"/>
            <w:noWrap/>
          </w:tcPr>
          <w:p w:rsidR="00D077F5" w:rsidRPr="00482CF4" w:rsidRDefault="00D077F5" w:rsidP="00BE07FA">
            <w:pPr>
              <w:jc w:val="left"/>
              <w:rPr>
                <w:rFonts w:cs="Arial"/>
                <w:b/>
                <w:color w:val="006600"/>
              </w:rPr>
            </w:pPr>
            <w:r>
              <w:rPr>
                <w:rFonts w:cs="Arial"/>
                <w:b/>
                <w:color w:val="006600"/>
              </w:rPr>
              <w:t>11.20</w:t>
            </w:r>
          </w:p>
        </w:tc>
        <w:tc>
          <w:tcPr>
            <w:tcW w:w="8930" w:type="dxa"/>
            <w:gridSpan w:val="2"/>
            <w:shd w:val="clear" w:color="auto" w:fill="auto"/>
            <w:noWrap/>
          </w:tcPr>
          <w:p w:rsidR="00D077F5" w:rsidRPr="00443ACA" w:rsidRDefault="00D077F5" w:rsidP="00D077F5">
            <w:pPr>
              <w:ind w:left="228"/>
              <w:jc w:val="left"/>
              <w:rPr>
                <w:rFonts w:cs="Arial"/>
                <w:b/>
                <w:color w:val="006600"/>
                <w:lang w:val="es-ES"/>
              </w:rPr>
            </w:pPr>
            <w:r w:rsidRPr="00FD5646">
              <w:rPr>
                <w:rFonts w:cs="Arial"/>
                <w:b/>
                <w:color w:val="006600"/>
              </w:rPr>
              <w:t>Perspectivas para los cultivos hortícolas</w:t>
            </w:r>
            <w:r w:rsidRPr="00443ACA">
              <w:rPr>
                <w:rFonts w:cs="Arial"/>
                <w:b/>
                <w:color w:val="006600"/>
                <w:lang w:val="es-ES"/>
              </w:rPr>
              <w:t xml:space="preserve"> </w:t>
            </w:r>
          </w:p>
        </w:tc>
      </w:tr>
      <w:tr w:rsidR="00D077F5" w:rsidRPr="00D657D9" w:rsidTr="00D077F5">
        <w:trPr>
          <w:gridAfter w:val="1"/>
          <w:wAfter w:w="57" w:type="dxa"/>
          <w:cantSplit/>
        </w:trPr>
        <w:tc>
          <w:tcPr>
            <w:tcW w:w="766" w:type="dxa"/>
            <w:gridSpan w:val="2"/>
            <w:shd w:val="clear" w:color="auto" w:fill="auto"/>
            <w:noWrap/>
          </w:tcPr>
          <w:p w:rsidR="00D077F5" w:rsidRPr="00F3438E" w:rsidRDefault="00D077F5" w:rsidP="00BE07FA">
            <w:pPr>
              <w:jc w:val="left"/>
              <w:rPr>
                <w:rFonts w:cs="Arial"/>
                <w:sz w:val="18"/>
                <w:lang w:val="es-ES"/>
              </w:rPr>
            </w:pPr>
          </w:p>
        </w:tc>
        <w:tc>
          <w:tcPr>
            <w:tcW w:w="8930" w:type="dxa"/>
            <w:gridSpan w:val="2"/>
            <w:shd w:val="clear" w:color="auto" w:fill="auto"/>
            <w:noWrap/>
          </w:tcPr>
          <w:p w:rsidR="00D077F5" w:rsidRPr="00F3438E" w:rsidRDefault="00D077F5" w:rsidP="00D077F5">
            <w:pPr>
              <w:ind w:left="228"/>
              <w:jc w:val="left"/>
              <w:rPr>
                <w:rFonts w:cs="Arial"/>
                <w:i/>
                <w:iCs/>
                <w:sz w:val="18"/>
                <w:lang w:val="es-ES"/>
              </w:rPr>
            </w:pPr>
            <w:r w:rsidRPr="00F3438E">
              <w:rPr>
                <w:rFonts w:cs="Arial"/>
                <w:i/>
                <w:iCs/>
                <w:sz w:val="18"/>
              </w:rPr>
              <w:t xml:space="preserve">Sr. Laurens </w:t>
            </w:r>
            <w:proofErr w:type="spellStart"/>
            <w:r w:rsidRPr="00F3438E">
              <w:rPr>
                <w:rFonts w:cs="Arial"/>
                <w:i/>
                <w:iCs/>
                <w:sz w:val="18"/>
              </w:rPr>
              <w:t>Kroon</w:t>
            </w:r>
            <w:proofErr w:type="spellEnd"/>
            <w:r w:rsidRPr="00F3438E">
              <w:rPr>
                <w:rFonts w:cs="Arial"/>
                <w:i/>
                <w:iCs/>
                <w:sz w:val="18"/>
              </w:rPr>
              <w:t xml:space="preserve">, Jefe de Investigación de </w:t>
            </w:r>
            <w:proofErr w:type="spellStart"/>
            <w:r w:rsidRPr="00F3438E">
              <w:rPr>
                <w:rFonts w:cs="Arial"/>
                <w:i/>
                <w:iCs/>
                <w:sz w:val="18"/>
              </w:rPr>
              <w:t>Bejo</w:t>
            </w:r>
            <w:proofErr w:type="spellEnd"/>
            <w:r w:rsidRPr="00F3438E">
              <w:rPr>
                <w:rFonts w:cs="Arial"/>
                <w:i/>
                <w:iCs/>
                <w:sz w:val="18"/>
              </w:rPr>
              <w:t xml:space="preserve"> (Países Bajos)</w:t>
            </w:r>
          </w:p>
        </w:tc>
      </w:tr>
      <w:tr w:rsidR="00D077F5" w:rsidRPr="00D657D9" w:rsidTr="00D077F5">
        <w:trPr>
          <w:gridAfter w:val="1"/>
          <w:wAfter w:w="57" w:type="dxa"/>
          <w:cantSplit/>
        </w:trPr>
        <w:tc>
          <w:tcPr>
            <w:tcW w:w="766" w:type="dxa"/>
            <w:gridSpan w:val="2"/>
            <w:shd w:val="clear" w:color="auto" w:fill="auto"/>
            <w:noWrap/>
          </w:tcPr>
          <w:p w:rsidR="00D077F5" w:rsidRPr="001D414E" w:rsidRDefault="00D077F5" w:rsidP="00BE07FA">
            <w:pPr>
              <w:jc w:val="left"/>
              <w:rPr>
                <w:rFonts w:cs="Arial"/>
                <w:sz w:val="12"/>
                <w:szCs w:val="16"/>
                <w:lang w:val="es-ES"/>
              </w:rPr>
            </w:pPr>
          </w:p>
        </w:tc>
        <w:tc>
          <w:tcPr>
            <w:tcW w:w="8930" w:type="dxa"/>
            <w:gridSpan w:val="2"/>
            <w:shd w:val="clear" w:color="auto" w:fill="auto"/>
            <w:noWrap/>
          </w:tcPr>
          <w:p w:rsidR="00D077F5" w:rsidRPr="001D414E" w:rsidRDefault="00D077F5" w:rsidP="00D077F5">
            <w:pPr>
              <w:ind w:left="228"/>
              <w:jc w:val="left"/>
              <w:rPr>
                <w:rFonts w:cs="Arial"/>
                <w:sz w:val="12"/>
                <w:szCs w:val="16"/>
                <w:lang w:val="es-ES"/>
              </w:rPr>
            </w:pPr>
          </w:p>
        </w:tc>
      </w:tr>
      <w:tr w:rsidR="00D077F5" w:rsidRPr="00D657D9" w:rsidTr="00D077F5">
        <w:trPr>
          <w:gridAfter w:val="1"/>
          <w:wAfter w:w="57" w:type="dxa"/>
          <w:cantSplit/>
        </w:trPr>
        <w:tc>
          <w:tcPr>
            <w:tcW w:w="766" w:type="dxa"/>
            <w:gridSpan w:val="2"/>
            <w:shd w:val="clear" w:color="auto" w:fill="auto"/>
            <w:noWrap/>
          </w:tcPr>
          <w:p w:rsidR="00D077F5" w:rsidRPr="00482CF4" w:rsidRDefault="00D077F5" w:rsidP="00BE07FA">
            <w:pPr>
              <w:jc w:val="left"/>
              <w:rPr>
                <w:rFonts w:cs="Arial"/>
                <w:b/>
                <w:color w:val="006600"/>
              </w:rPr>
            </w:pPr>
            <w:r>
              <w:rPr>
                <w:rFonts w:cs="Arial"/>
                <w:b/>
                <w:color w:val="006600"/>
              </w:rPr>
              <w:t>11.4</w:t>
            </w:r>
            <w:r w:rsidRPr="00482CF4">
              <w:rPr>
                <w:rFonts w:cs="Arial"/>
                <w:b/>
                <w:color w:val="006600"/>
              </w:rPr>
              <w:t>0</w:t>
            </w:r>
          </w:p>
        </w:tc>
        <w:tc>
          <w:tcPr>
            <w:tcW w:w="8930" w:type="dxa"/>
            <w:gridSpan w:val="2"/>
            <w:shd w:val="clear" w:color="auto" w:fill="auto"/>
            <w:noWrap/>
          </w:tcPr>
          <w:p w:rsidR="00D077F5" w:rsidRPr="00443ACA" w:rsidRDefault="00D077F5" w:rsidP="00D077F5">
            <w:pPr>
              <w:ind w:left="228"/>
              <w:jc w:val="left"/>
              <w:rPr>
                <w:rFonts w:cs="Arial"/>
                <w:b/>
                <w:color w:val="006600"/>
                <w:lang w:val="es-ES"/>
              </w:rPr>
            </w:pPr>
            <w:r w:rsidRPr="00FD5646">
              <w:rPr>
                <w:rFonts w:cs="Arial"/>
                <w:b/>
                <w:color w:val="006600"/>
              </w:rPr>
              <w:t>Perspectivas para las plantas frutales</w:t>
            </w:r>
            <w:r w:rsidRPr="00443ACA">
              <w:rPr>
                <w:rFonts w:cs="Arial"/>
                <w:b/>
                <w:color w:val="006600"/>
                <w:lang w:val="es-ES"/>
              </w:rPr>
              <w:t xml:space="preserve"> </w:t>
            </w:r>
          </w:p>
        </w:tc>
      </w:tr>
      <w:tr w:rsidR="00D077F5" w:rsidRPr="00D657D9" w:rsidTr="00D077F5">
        <w:trPr>
          <w:gridAfter w:val="1"/>
          <w:wAfter w:w="57" w:type="dxa"/>
          <w:cantSplit/>
        </w:trPr>
        <w:tc>
          <w:tcPr>
            <w:tcW w:w="766" w:type="dxa"/>
            <w:gridSpan w:val="2"/>
            <w:shd w:val="clear" w:color="auto" w:fill="auto"/>
            <w:noWrap/>
          </w:tcPr>
          <w:p w:rsidR="00D077F5" w:rsidRPr="00F3438E" w:rsidRDefault="00D077F5" w:rsidP="00BE07FA">
            <w:pPr>
              <w:jc w:val="left"/>
              <w:rPr>
                <w:rFonts w:cs="Arial"/>
                <w:sz w:val="18"/>
                <w:szCs w:val="16"/>
                <w:lang w:val="es-ES"/>
              </w:rPr>
            </w:pPr>
          </w:p>
        </w:tc>
        <w:tc>
          <w:tcPr>
            <w:tcW w:w="8930" w:type="dxa"/>
            <w:gridSpan w:val="2"/>
            <w:shd w:val="clear" w:color="auto" w:fill="auto"/>
            <w:noWrap/>
          </w:tcPr>
          <w:p w:rsidR="00D077F5" w:rsidRPr="00F3438E" w:rsidRDefault="00D077F5" w:rsidP="00D077F5">
            <w:pPr>
              <w:ind w:left="228"/>
              <w:jc w:val="left"/>
              <w:rPr>
                <w:rFonts w:cs="Arial"/>
                <w:i/>
                <w:iCs/>
                <w:sz w:val="18"/>
                <w:lang w:val="es-ES"/>
              </w:rPr>
            </w:pPr>
            <w:r w:rsidRPr="00F3438E">
              <w:rPr>
                <w:rFonts w:cs="Arial"/>
                <w:i/>
                <w:iCs/>
                <w:sz w:val="18"/>
              </w:rPr>
              <w:t xml:space="preserve">Sra. Emma Brown, Directora de Desarrollo Comercial de </w:t>
            </w:r>
            <w:proofErr w:type="spellStart"/>
            <w:r w:rsidRPr="00F3438E">
              <w:rPr>
                <w:rFonts w:cs="Arial"/>
                <w:i/>
                <w:iCs/>
                <w:sz w:val="18"/>
              </w:rPr>
              <w:t>Plant</w:t>
            </w:r>
            <w:proofErr w:type="spellEnd"/>
            <w:r w:rsidRPr="00F3438E">
              <w:rPr>
                <w:rFonts w:cs="Arial"/>
                <w:i/>
                <w:iCs/>
                <w:sz w:val="18"/>
              </w:rPr>
              <w:t xml:space="preserve"> &amp; </w:t>
            </w:r>
            <w:proofErr w:type="spellStart"/>
            <w:r w:rsidRPr="00F3438E">
              <w:rPr>
                <w:rFonts w:cs="Arial"/>
                <w:i/>
                <w:iCs/>
                <w:sz w:val="18"/>
              </w:rPr>
              <w:t>Food</w:t>
            </w:r>
            <w:proofErr w:type="spellEnd"/>
            <w:r w:rsidRPr="00F3438E">
              <w:rPr>
                <w:rFonts w:cs="Arial"/>
                <w:i/>
                <w:iCs/>
                <w:sz w:val="18"/>
              </w:rPr>
              <w:t xml:space="preserve"> </w:t>
            </w:r>
            <w:proofErr w:type="spellStart"/>
            <w:r w:rsidRPr="00F3438E">
              <w:rPr>
                <w:rFonts w:cs="Arial"/>
                <w:i/>
                <w:iCs/>
                <w:sz w:val="18"/>
              </w:rPr>
              <w:t>Research</w:t>
            </w:r>
            <w:proofErr w:type="spellEnd"/>
            <w:r w:rsidRPr="00F3438E">
              <w:rPr>
                <w:rFonts w:cs="Arial"/>
                <w:i/>
                <w:iCs/>
                <w:sz w:val="18"/>
              </w:rPr>
              <w:t xml:space="preserve"> (Nueva Zelandia)</w:t>
            </w:r>
            <w:r w:rsidRPr="00F3438E">
              <w:rPr>
                <w:rFonts w:cs="Arial"/>
                <w:i/>
                <w:iCs/>
                <w:sz w:val="18"/>
                <w:lang w:val="es-ES"/>
              </w:rPr>
              <w:t xml:space="preserve"> </w:t>
            </w:r>
          </w:p>
        </w:tc>
      </w:tr>
      <w:tr w:rsidR="00D077F5" w:rsidRPr="00D657D9" w:rsidTr="00D077F5">
        <w:trPr>
          <w:gridAfter w:val="1"/>
          <w:wAfter w:w="57" w:type="dxa"/>
          <w:cantSplit/>
        </w:trPr>
        <w:tc>
          <w:tcPr>
            <w:tcW w:w="766" w:type="dxa"/>
            <w:gridSpan w:val="2"/>
            <w:shd w:val="clear" w:color="auto" w:fill="auto"/>
            <w:noWrap/>
          </w:tcPr>
          <w:p w:rsidR="00D077F5" w:rsidRPr="00443ACA" w:rsidRDefault="00D077F5" w:rsidP="00BE07FA">
            <w:pPr>
              <w:jc w:val="left"/>
              <w:rPr>
                <w:rFonts w:cs="Arial"/>
                <w:sz w:val="14"/>
                <w:szCs w:val="14"/>
                <w:lang w:val="es-ES"/>
              </w:rPr>
            </w:pPr>
          </w:p>
        </w:tc>
        <w:tc>
          <w:tcPr>
            <w:tcW w:w="8930" w:type="dxa"/>
            <w:gridSpan w:val="2"/>
            <w:shd w:val="clear" w:color="auto" w:fill="auto"/>
            <w:noWrap/>
          </w:tcPr>
          <w:p w:rsidR="00D077F5" w:rsidRPr="00443ACA" w:rsidRDefault="00D077F5" w:rsidP="00D077F5">
            <w:pPr>
              <w:ind w:left="228"/>
              <w:jc w:val="left"/>
              <w:rPr>
                <w:rFonts w:cs="Arial"/>
                <w:sz w:val="14"/>
                <w:szCs w:val="14"/>
                <w:lang w:val="es-ES"/>
              </w:rPr>
            </w:pPr>
          </w:p>
        </w:tc>
      </w:tr>
      <w:tr w:rsidR="00D077F5" w:rsidRPr="00EA5810" w:rsidTr="00D077F5">
        <w:trPr>
          <w:gridAfter w:val="1"/>
          <w:wAfter w:w="57" w:type="dxa"/>
          <w:cantSplit/>
        </w:trPr>
        <w:tc>
          <w:tcPr>
            <w:tcW w:w="766" w:type="dxa"/>
            <w:gridSpan w:val="2"/>
            <w:shd w:val="clear" w:color="auto" w:fill="auto"/>
            <w:noWrap/>
          </w:tcPr>
          <w:p w:rsidR="00D077F5" w:rsidRPr="00482CF4" w:rsidRDefault="00D077F5" w:rsidP="00BE07FA">
            <w:pPr>
              <w:jc w:val="left"/>
              <w:rPr>
                <w:rFonts w:cs="Arial"/>
                <w:b/>
                <w:color w:val="006600"/>
              </w:rPr>
            </w:pPr>
            <w:r>
              <w:rPr>
                <w:rFonts w:cs="Arial"/>
                <w:b/>
                <w:color w:val="006600"/>
              </w:rPr>
              <w:t>12.0</w:t>
            </w:r>
            <w:r w:rsidRPr="00482CF4">
              <w:rPr>
                <w:rFonts w:cs="Arial"/>
                <w:b/>
                <w:color w:val="006600"/>
              </w:rPr>
              <w:t>0</w:t>
            </w:r>
          </w:p>
        </w:tc>
        <w:tc>
          <w:tcPr>
            <w:tcW w:w="8930" w:type="dxa"/>
            <w:gridSpan w:val="2"/>
            <w:shd w:val="clear" w:color="auto" w:fill="auto"/>
            <w:noWrap/>
          </w:tcPr>
          <w:p w:rsidR="00D077F5" w:rsidRPr="00482CF4" w:rsidRDefault="00D077F5" w:rsidP="00D077F5">
            <w:pPr>
              <w:ind w:left="228"/>
              <w:jc w:val="left"/>
              <w:rPr>
                <w:rFonts w:cs="Arial"/>
                <w:b/>
                <w:bCs/>
                <w:i/>
                <w:color w:val="006600"/>
              </w:rPr>
            </w:pPr>
            <w:r w:rsidRPr="00831498">
              <w:rPr>
                <w:rFonts w:cs="Arial"/>
                <w:b/>
                <w:bCs/>
                <w:color w:val="006600"/>
              </w:rPr>
              <w:t>Mesa redonda y preguntas</w:t>
            </w:r>
            <w:r>
              <w:rPr>
                <w:rFonts w:cs="Arial"/>
                <w:b/>
                <w:bCs/>
                <w:color w:val="006600"/>
              </w:rPr>
              <w:t xml:space="preserve"> </w:t>
            </w:r>
          </w:p>
        </w:tc>
      </w:tr>
      <w:tr w:rsidR="00D077F5" w:rsidRPr="00EA5810" w:rsidTr="00D077F5">
        <w:trPr>
          <w:gridAfter w:val="1"/>
          <w:wAfter w:w="57" w:type="dxa"/>
          <w:cantSplit/>
        </w:trPr>
        <w:tc>
          <w:tcPr>
            <w:tcW w:w="766" w:type="dxa"/>
            <w:gridSpan w:val="2"/>
            <w:shd w:val="clear" w:color="auto" w:fill="auto"/>
            <w:noWrap/>
          </w:tcPr>
          <w:p w:rsidR="00D077F5" w:rsidRPr="00DD212F" w:rsidRDefault="00D077F5" w:rsidP="00BE07FA">
            <w:pPr>
              <w:jc w:val="left"/>
              <w:rPr>
                <w:rFonts w:cs="Arial"/>
                <w:sz w:val="14"/>
                <w:szCs w:val="16"/>
              </w:rPr>
            </w:pPr>
          </w:p>
        </w:tc>
        <w:tc>
          <w:tcPr>
            <w:tcW w:w="8930" w:type="dxa"/>
            <w:gridSpan w:val="2"/>
            <w:shd w:val="clear" w:color="auto" w:fill="auto"/>
            <w:noWrap/>
          </w:tcPr>
          <w:p w:rsidR="00D077F5" w:rsidRPr="00DD212F" w:rsidRDefault="00D077F5" w:rsidP="00D077F5">
            <w:pPr>
              <w:ind w:left="228"/>
              <w:jc w:val="left"/>
              <w:rPr>
                <w:rFonts w:cs="Arial"/>
                <w:sz w:val="14"/>
                <w:szCs w:val="16"/>
              </w:rPr>
            </w:pPr>
          </w:p>
        </w:tc>
      </w:tr>
      <w:tr w:rsidR="00D077F5" w:rsidRPr="00EA5810" w:rsidTr="00D077F5">
        <w:trPr>
          <w:gridAfter w:val="1"/>
          <w:wAfter w:w="57" w:type="dxa"/>
          <w:cantSplit/>
        </w:trPr>
        <w:tc>
          <w:tcPr>
            <w:tcW w:w="766" w:type="dxa"/>
            <w:gridSpan w:val="2"/>
            <w:shd w:val="clear" w:color="auto" w:fill="auto"/>
            <w:noWrap/>
          </w:tcPr>
          <w:p w:rsidR="00D077F5" w:rsidRPr="00482CF4" w:rsidRDefault="00D077F5" w:rsidP="00BE07FA">
            <w:pPr>
              <w:jc w:val="left"/>
              <w:rPr>
                <w:rFonts w:cs="Arial"/>
                <w:b/>
                <w:color w:val="006600"/>
                <w:sz w:val="16"/>
                <w:szCs w:val="16"/>
              </w:rPr>
            </w:pPr>
            <w:r>
              <w:rPr>
                <w:rFonts w:cs="Arial"/>
                <w:b/>
                <w:color w:val="006600"/>
              </w:rPr>
              <w:t>12.25</w:t>
            </w:r>
          </w:p>
        </w:tc>
        <w:tc>
          <w:tcPr>
            <w:tcW w:w="8930" w:type="dxa"/>
            <w:gridSpan w:val="2"/>
            <w:shd w:val="clear" w:color="auto" w:fill="auto"/>
            <w:noWrap/>
          </w:tcPr>
          <w:p w:rsidR="00D077F5" w:rsidRPr="00482CF4" w:rsidRDefault="00D077F5" w:rsidP="00D077F5">
            <w:pPr>
              <w:ind w:left="228"/>
              <w:jc w:val="left"/>
              <w:rPr>
                <w:rFonts w:cs="Arial"/>
                <w:b/>
                <w:bCs/>
                <w:color w:val="006600"/>
              </w:rPr>
            </w:pPr>
            <w:r w:rsidRPr="00831498">
              <w:rPr>
                <w:rFonts w:cs="Arial"/>
                <w:b/>
                <w:bCs/>
                <w:color w:val="006600"/>
              </w:rPr>
              <w:t>Alocución de clausura</w:t>
            </w:r>
            <w:r>
              <w:rPr>
                <w:rFonts w:cs="Arial"/>
                <w:b/>
                <w:bCs/>
                <w:color w:val="006600"/>
              </w:rPr>
              <w:t xml:space="preserve"> </w:t>
            </w:r>
          </w:p>
        </w:tc>
      </w:tr>
      <w:tr w:rsidR="00D077F5" w:rsidRPr="00F3438E" w:rsidTr="00D077F5">
        <w:trPr>
          <w:gridAfter w:val="1"/>
          <w:wAfter w:w="57" w:type="dxa"/>
          <w:cantSplit/>
        </w:trPr>
        <w:tc>
          <w:tcPr>
            <w:tcW w:w="766" w:type="dxa"/>
            <w:gridSpan w:val="2"/>
            <w:shd w:val="clear" w:color="auto" w:fill="auto"/>
            <w:noWrap/>
          </w:tcPr>
          <w:p w:rsidR="00D077F5" w:rsidRPr="00F3438E" w:rsidRDefault="00D077F5" w:rsidP="00BE07FA">
            <w:pPr>
              <w:jc w:val="left"/>
              <w:rPr>
                <w:rFonts w:cs="Arial"/>
                <w:sz w:val="18"/>
                <w:szCs w:val="16"/>
              </w:rPr>
            </w:pPr>
          </w:p>
        </w:tc>
        <w:tc>
          <w:tcPr>
            <w:tcW w:w="8930" w:type="dxa"/>
            <w:gridSpan w:val="2"/>
            <w:shd w:val="clear" w:color="auto" w:fill="auto"/>
            <w:noWrap/>
          </w:tcPr>
          <w:p w:rsidR="00D077F5" w:rsidRPr="001B2947" w:rsidRDefault="00D077F5" w:rsidP="00D077F5">
            <w:pPr>
              <w:ind w:left="228"/>
              <w:jc w:val="left"/>
              <w:rPr>
                <w:rFonts w:cs="Arial"/>
                <w:i/>
                <w:spacing w:val="-2"/>
                <w:sz w:val="18"/>
              </w:rPr>
            </w:pPr>
            <w:r w:rsidRPr="00F3438E">
              <w:rPr>
                <w:rFonts w:cs="Arial"/>
                <w:i/>
                <w:spacing w:val="-2"/>
                <w:sz w:val="18"/>
              </w:rPr>
              <w:t>Sr. Anthony Parker</w:t>
            </w:r>
          </w:p>
        </w:tc>
      </w:tr>
    </w:tbl>
    <w:p w:rsidR="00EB516E" w:rsidRPr="00E74710" w:rsidRDefault="00EB516E" w:rsidP="00EB516E">
      <w:pPr>
        <w:jc w:val="right"/>
        <w:rPr>
          <w:lang w:val="es-419"/>
        </w:rPr>
      </w:pPr>
    </w:p>
    <w:p w:rsidR="00EB516E" w:rsidRDefault="00EB516E" w:rsidP="00EB516E">
      <w:pPr>
        <w:jc w:val="right"/>
        <w:rPr>
          <w:lang w:val="es-419"/>
        </w:rPr>
      </w:pPr>
    </w:p>
    <w:p w:rsidR="001B2947" w:rsidRPr="00E74710" w:rsidRDefault="001B2947" w:rsidP="00EB516E">
      <w:pPr>
        <w:jc w:val="right"/>
        <w:rPr>
          <w:lang w:val="es-419"/>
        </w:rPr>
      </w:pPr>
    </w:p>
    <w:p w:rsidR="00EB516E" w:rsidRPr="00E74710" w:rsidRDefault="005B5A9E" w:rsidP="00EB516E">
      <w:pPr>
        <w:jc w:val="right"/>
        <w:rPr>
          <w:lang w:val="es-419"/>
        </w:rPr>
      </w:pPr>
      <w:r w:rsidRPr="00E74710">
        <w:rPr>
          <w:lang w:val="es-419"/>
        </w:rPr>
        <w:t>[Fin del Anexo y del documento]</w:t>
      </w:r>
    </w:p>
    <w:p w:rsidR="00050E16" w:rsidRPr="00E74710" w:rsidRDefault="00050E16" w:rsidP="00EB516E">
      <w:pPr>
        <w:rPr>
          <w:lang w:val="es-419"/>
        </w:rPr>
      </w:pPr>
    </w:p>
    <w:sectPr w:rsidR="00050E16" w:rsidRPr="00E74710" w:rsidSect="001B2947">
      <w:headerReference w:type="default" r:id="rId12"/>
      <w:headerReference w:type="first" r:id="rId13"/>
      <w:pgSz w:w="11907" w:h="16840" w:code="9"/>
      <w:pgMar w:top="510" w:right="1134" w:bottom="992"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4D5" w:rsidRDefault="002D74D5" w:rsidP="006655D3">
      <w:r>
        <w:separator/>
      </w:r>
    </w:p>
    <w:p w:rsidR="002D74D5" w:rsidRDefault="002D74D5" w:rsidP="006655D3"/>
    <w:p w:rsidR="002D74D5" w:rsidRDefault="002D74D5" w:rsidP="006655D3"/>
  </w:endnote>
  <w:endnote w:type="continuationSeparator" w:id="0">
    <w:p w:rsidR="002D74D5" w:rsidRDefault="002D74D5" w:rsidP="006655D3">
      <w:r>
        <w:separator/>
      </w:r>
    </w:p>
    <w:p w:rsidR="002D74D5" w:rsidRPr="00294751" w:rsidRDefault="002D74D5">
      <w:pPr>
        <w:pStyle w:val="Footer"/>
        <w:spacing w:after="60"/>
        <w:rPr>
          <w:sz w:val="18"/>
          <w:lang w:val="fr-FR"/>
        </w:rPr>
      </w:pPr>
      <w:r w:rsidRPr="00294751">
        <w:rPr>
          <w:sz w:val="18"/>
          <w:lang w:val="fr-FR"/>
        </w:rPr>
        <w:t>[Suite de la note de la page précédente]</w:t>
      </w:r>
    </w:p>
    <w:p w:rsidR="002D74D5" w:rsidRPr="00294751" w:rsidRDefault="002D74D5" w:rsidP="006655D3">
      <w:pPr>
        <w:rPr>
          <w:lang w:val="fr-FR"/>
        </w:rPr>
      </w:pPr>
    </w:p>
    <w:p w:rsidR="002D74D5" w:rsidRPr="00294751" w:rsidRDefault="002D74D5" w:rsidP="006655D3">
      <w:pPr>
        <w:rPr>
          <w:lang w:val="fr-FR"/>
        </w:rPr>
      </w:pPr>
    </w:p>
  </w:endnote>
  <w:endnote w:type="continuationNotice" w:id="1">
    <w:p w:rsidR="002D74D5" w:rsidRPr="00294751" w:rsidRDefault="002D74D5" w:rsidP="006655D3">
      <w:pPr>
        <w:rPr>
          <w:lang w:val="fr-FR"/>
        </w:rPr>
      </w:pPr>
      <w:r w:rsidRPr="00294751">
        <w:rPr>
          <w:lang w:val="fr-FR"/>
        </w:rPr>
        <w:t>[Suite de la note page suivante]</w:t>
      </w:r>
    </w:p>
    <w:p w:rsidR="002D74D5" w:rsidRPr="00294751" w:rsidRDefault="002D74D5" w:rsidP="006655D3">
      <w:pPr>
        <w:rPr>
          <w:lang w:val="fr-FR"/>
        </w:rPr>
      </w:pPr>
    </w:p>
    <w:p w:rsidR="002D74D5" w:rsidRPr="00294751" w:rsidRDefault="002D74D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4D5" w:rsidRDefault="002D74D5" w:rsidP="006655D3">
      <w:r>
        <w:separator/>
      </w:r>
    </w:p>
  </w:footnote>
  <w:footnote w:type="continuationSeparator" w:id="0">
    <w:p w:rsidR="002D74D5" w:rsidRDefault="002D74D5" w:rsidP="006655D3">
      <w:r>
        <w:separator/>
      </w:r>
    </w:p>
  </w:footnote>
  <w:footnote w:type="continuationNotice" w:id="1">
    <w:p w:rsidR="002D74D5" w:rsidRPr="00AB530F" w:rsidRDefault="002D74D5" w:rsidP="00AB530F">
      <w:pPr>
        <w:pStyle w:val="Footer"/>
      </w:pPr>
    </w:p>
  </w:footnote>
  <w:footnote w:id="2">
    <w:p w:rsidR="002D74D5" w:rsidRPr="005C254C" w:rsidRDefault="002D74D5" w:rsidP="00EB516E">
      <w:pPr>
        <w:pStyle w:val="FootnoteText"/>
        <w:rPr>
          <w:lang w:val="es-ES"/>
        </w:rPr>
      </w:pPr>
      <w:r>
        <w:rPr>
          <w:rStyle w:val="FootnoteReference"/>
        </w:rPr>
        <w:footnoteRef/>
      </w:r>
      <w:r w:rsidRPr="005C254C">
        <w:rPr>
          <w:lang w:val="es-ES"/>
        </w:rPr>
        <w:tab/>
      </w:r>
      <w:r w:rsidRPr="009059D8">
        <w:t>Celebrada en Ginebra el 31 de octubre de 2018.</w:t>
      </w:r>
    </w:p>
  </w:footnote>
  <w:footnote w:id="3">
    <w:p w:rsidR="002D74D5" w:rsidRPr="005C254C" w:rsidRDefault="002D74D5" w:rsidP="00EB516E">
      <w:pPr>
        <w:pStyle w:val="FootnoteText"/>
        <w:rPr>
          <w:lang w:val="es-ES"/>
        </w:rPr>
      </w:pPr>
      <w:r>
        <w:rPr>
          <w:rStyle w:val="FootnoteReference"/>
        </w:rPr>
        <w:footnoteRef/>
      </w:r>
      <w:r w:rsidRPr="005C254C">
        <w:rPr>
          <w:lang w:val="es-ES"/>
        </w:rPr>
        <w:tab/>
      </w:r>
      <w:r w:rsidRPr="009059D8">
        <w:t>Celebrada en Ginebra el 2 de noviembre de 2018.</w:t>
      </w:r>
    </w:p>
  </w:footnote>
  <w:footnote w:id="4">
    <w:p w:rsidR="006246A9" w:rsidRPr="005C254C" w:rsidRDefault="006246A9" w:rsidP="006246A9">
      <w:pPr>
        <w:pStyle w:val="FootnoteText"/>
        <w:rPr>
          <w:lang w:val="es-ES"/>
        </w:rPr>
      </w:pPr>
      <w:r>
        <w:rPr>
          <w:rStyle w:val="FootnoteReference"/>
        </w:rPr>
        <w:footnoteRef/>
      </w:r>
      <w:r w:rsidRPr="005C254C">
        <w:rPr>
          <w:lang w:val="es-ES"/>
        </w:rPr>
        <w:tab/>
      </w:r>
      <w:r w:rsidR="00EE2174" w:rsidRPr="00EE2174">
        <w:t>Prevista en Ginebra el 30 de octubre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4D5" w:rsidRPr="00C5280D" w:rsidRDefault="002D74D5" w:rsidP="00EB048E">
    <w:pPr>
      <w:pStyle w:val="Header"/>
      <w:rPr>
        <w:rStyle w:val="PageNumber"/>
        <w:lang w:val="en-US"/>
      </w:rPr>
    </w:pPr>
    <w:r>
      <w:rPr>
        <w:rStyle w:val="PageNumber"/>
        <w:lang w:val="en-US"/>
      </w:rPr>
      <w:t>CAJ/76/3</w:t>
    </w:r>
  </w:p>
  <w:p w:rsidR="002D74D5" w:rsidRPr="00AC603D" w:rsidRDefault="002D74D5" w:rsidP="00EB048E">
    <w:pPr>
      <w:pStyle w:val="Header"/>
    </w:pPr>
    <w:r w:rsidRPr="00AC603D">
      <w:t xml:space="preserve">página </w:t>
    </w:r>
    <w:r w:rsidR="008871CE" w:rsidRPr="00AC603D">
      <w:rPr>
        <w:rStyle w:val="PageNumber"/>
      </w:rPr>
      <w:fldChar w:fldCharType="begin"/>
    </w:r>
    <w:r w:rsidRPr="00AC603D">
      <w:rPr>
        <w:rStyle w:val="PageNumber"/>
      </w:rPr>
      <w:instrText xml:space="preserve"> PAGE </w:instrText>
    </w:r>
    <w:r w:rsidR="008871CE" w:rsidRPr="00AC603D">
      <w:rPr>
        <w:rStyle w:val="PageNumber"/>
      </w:rPr>
      <w:fldChar w:fldCharType="separate"/>
    </w:r>
    <w:r w:rsidR="00DF159A">
      <w:rPr>
        <w:rStyle w:val="PageNumber"/>
        <w:noProof/>
      </w:rPr>
      <w:t>3</w:t>
    </w:r>
    <w:r w:rsidR="008871CE" w:rsidRPr="00AC603D">
      <w:rPr>
        <w:rStyle w:val="PageNumber"/>
      </w:rPr>
      <w:fldChar w:fldCharType="end"/>
    </w:r>
  </w:p>
  <w:p w:rsidR="002D74D5" w:rsidRPr="00C5280D" w:rsidRDefault="002D74D5"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4D5" w:rsidRPr="000A23DC" w:rsidRDefault="002D74D5" w:rsidP="000A23DC">
    <w:pPr>
      <w:pStyle w:val="Header"/>
      <w:rPr>
        <w:rStyle w:val="PageNumber"/>
      </w:rPr>
    </w:pPr>
    <w:r>
      <w:rPr>
        <w:rStyle w:val="PageNumber"/>
      </w:rPr>
      <w:t>CAJ/76</w:t>
    </w:r>
    <w:r w:rsidRPr="000A23DC">
      <w:rPr>
        <w:rStyle w:val="PageNumber"/>
      </w:rPr>
      <w:t>/</w:t>
    </w:r>
    <w:r w:rsidR="00E74710">
      <w:rPr>
        <w:rStyle w:val="PageNumber"/>
      </w:rPr>
      <w:t>3</w:t>
    </w:r>
  </w:p>
  <w:p w:rsidR="002D74D5" w:rsidRPr="00202E38" w:rsidRDefault="00E74710" w:rsidP="008B3D8D">
    <w:pPr>
      <w:pStyle w:val="Header"/>
      <w:rPr>
        <w:lang w:val="de-DE"/>
      </w:rPr>
    </w:pPr>
    <w:r>
      <w:t xml:space="preserve">Anexo, </w:t>
    </w:r>
    <w:r w:rsidR="002D74D5" w:rsidRPr="008B3D8D">
      <w:t>página</w:t>
    </w:r>
    <w:r w:rsidR="002D74D5" w:rsidRPr="00202E38">
      <w:rPr>
        <w:lang w:val="de-DE"/>
      </w:rPr>
      <w:t xml:space="preserve"> </w:t>
    </w:r>
    <w:r w:rsidR="008871CE" w:rsidRPr="00202E38">
      <w:rPr>
        <w:rStyle w:val="PageNumber"/>
        <w:lang w:val="de-DE"/>
      </w:rPr>
      <w:fldChar w:fldCharType="begin"/>
    </w:r>
    <w:r w:rsidR="002D74D5" w:rsidRPr="00202E38">
      <w:rPr>
        <w:rStyle w:val="PageNumber"/>
        <w:lang w:val="de-DE"/>
      </w:rPr>
      <w:instrText xml:space="preserve"> PAGE </w:instrText>
    </w:r>
    <w:r w:rsidR="008871CE" w:rsidRPr="00202E38">
      <w:rPr>
        <w:rStyle w:val="PageNumber"/>
        <w:lang w:val="de-DE"/>
      </w:rPr>
      <w:fldChar w:fldCharType="separate"/>
    </w:r>
    <w:r w:rsidR="00DF159A">
      <w:rPr>
        <w:rStyle w:val="PageNumber"/>
        <w:noProof/>
        <w:lang w:val="de-DE"/>
      </w:rPr>
      <w:t>2</w:t>
    </w:r>
    <w:r w:rsidR="008871CE" w:rsidRPr="00202E38">
      <w:rPr>
        <w:rStyle w:val="PageNumber"/>
        <w:lang w:val="de-DE"/>
      </w:rPr>
      <w:fldChar w:fldCharType="end"/>
    </w:r>
  </w:p>
  <w:p w:rsidR="002D74D5" w:rsidRPr="00202E38" w:rsidRDefault="002D74D5" w:rsidP="006655D3">
    <w:pP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710" w:rsidRDefault="00E74710">
    <w:pPr>
      <w:pStyle w:val="Header"/>
      <w:rPr>
        <w:lang w:val="es-ES"/>
      </w:rPr>
    </w:pPr>
    <w:r>
      <w:rPr>
        <w:lang w:val="es-ES"/>
      </w:rPr>
      <w:t>CAJ/76/3</w:t>
    </w:r>
  </w:p>
  <w:p w:rsidR="00E74710" w:rsidRDefault="00E74710">
    <w:pPr>
      <w:pStyle w:val="Header"/>
      <w:rPr>
        <w:lang w:val="es-ES"/>
      </w:rPr>
    </w:pPr>
  </w:p>
  <w:p w:rsidR="00E74710" w:rsidRDefault="00E74710">
    <w:pPr>
      <w:pStyle w:val="Header"/>
      <w:rPr>
        <w:lang w:val="es-ES"/>
      </w:rPr>
    </w:pPr>
    <w:r>
      <w:rPr>
        <w:lang w:val="es-ES"/>
      </w:rPr>
      <w:t>ANEXO</w:t>
    </w:r>
  </w:p>
  <w:p w:rsidR="00E74710" w:rsidRPr="00E74710" w:rsidRDefault="00E74710">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834DF"/>
    <w:multiLevelType w:val="hybridMultilevel"/>
    <w:tmpl w:val="021E7882"/>
    <w:lvl w:ilvl="0" w:tplc="20722C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E33CB8"/>
    <w:multiLevelType w:val="hybridMultilevel"/>
    <w:tmpl w:val="786AFC40"/>
    <w:lvl w:ilvl="0" w:tplc="83D892F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tBookmark" w:val="00002"/>
  </w:docVars>
  <w:rsids>
    <w:rsidRoot w:val="009D42E5"/>
    <w:rsid w:val="00010CF3"/>
    <w:rsid w:val="00011E27"/>
    <w:rsid w:val="00013906"/>
    <w:rsid w:val="000148BC"/>
    <w:rsid w:val="00024AB8"/>
    <w:rsid w:val="00030854"/>
    <w:rsid w:val="00032AD8"/>
    <w:rsid w:val="00036028"/>
    <w:rsid w:val="00044642"/>
    <w:rsid w:val="000446B9"/>
    <w:rsid w:val="000452A4"/>
    <w:rsid w:val="00047E21"/>
    <w:rsid w:val="00050E16"/>
    <w:rsid w:val="000638A9"/>
    <w:rsid w:val="00083FF9"/>
    <w:rsid w:val="00085505"/>
    <w:rsid w:val="000A23DC"/>
    <w:rsid w:val="000B53FC"/>
    <w:rsid w:val="000C4E25"/>
    <w:rsid w:val="000C7021"/>
    <w:rsid w:val="000D6BBC"/>
    <w:rsid w:val="000D7780"/>
    <w:rsid w:val="000E636A"/>
    <w:rsid w:val="000F2F11"/>
    <w:rsid w:val="00105929"/>
    <w:rsid w:val="00110C36"/>
    <w:rsid w:val="001131D5"/>
    <w:rsid w:val="0011449E"/>
    <w:rsid w:val="00141DB8"/>
    <w:rsid w:val="00172084"/>
    <w:rsid w:val="00172A82"/>
    <w:rsid w:val="0017474A"/>
    <w:rsid w:val="001758C6"/>
    <w:rsid w:val="00182B99"/>
    <w:rsid w:val="00191192"/>
    <w:rsid w:val="001B2947"/>
    <w:rsid w:val="001F1286"/>
    <w:rsid w:val="001F64BF"/>
    <w:rsid w:val="00202E38"/>
    <w:rsid w:val="0021332C"/>
    <w:rsid w:val="00213982"/>
    <w:rsid w:val="0024416D"/>
    <w:rsid w:val="002464A3"/>
    <w:rsid w:val="00251C50"/>
    <w:rsid w:val="0026431F"/>
    <w:rsid w:val="00271911"/>
    <w:rsid w:val="002800A0"/>
    <w:rsid w:val="002801B3"/>
    <w:rsid w:val="00281060"/>
    <w:rsid w:val="002910B2"/>
    <w:rsid w:val="002940E8"/>
    <w:rsid w:val="002944A5"/>
    <w:rsid w:val="00294751"/>
    <w:rsid w:val="002A4FFC"/>
    <w:rsid w:val="002A6E50"/>
    <w:rsid w:val="002B4298"/>
    <w:rsid w:val="002C256A"/>
    <w:rsid w:val="002D74D5"/>
    <w:rsid w:val="002E2CEF"/>
    <w:rsid w:val="002E5944"/>
    <w:rsid w:val="002F6C53"/>
    <w:rsid w:val="00305A7F"/>
    <w:rsid w:val="00313CE6"/>
    <w:rsid w:val="003142D2"/>
    <w:rsid w:val="003152FE"/>
    <w:rsid w:val="00327436"/>
    <w:rsid w:val="00336AD8"/>
    <w:rsid w:val="00344BD6"/>
    <w:rsid w:val="00345EA3"/>
    <w:rsid w:val="0035528D"/>
    <w:rsid w:val="00361821"/>
    <w:rsid w:val="00361E9E"/>
    <w:rsid w:val="003840D5"/>
    <w:rsid w:val="003B031A"/>
    <w:rsid w:val="003C7FBE"/>
    <w:rsid w:val="003D227C"/>
    <w:rsid w:val="003D2B4D"/>
    <w:rsid w:val="003D5DCC"/>
    <w:rsid w:val="003D6971"/>
    <w:rsid w:val="003F4B46"/>
    <w:rsid w:val="00400D11"/>
    <w:rsid w:val="00401FAB"/>
    <w:rsid w:val="00404329"/>
    <w:rsid w:val="00404B5B"/>
    <w:rsid w:val="0040557F"/>
    <w:rsid w:val="00444A88"/>
    <w:rsid w:val="00473897"/>
    <w:rsid w:val="00474DA4"/>
    <w:rsid w:val="00476B4D"/>
    <w:rsid w:val="004805FA"/>
    <w:rsid w:val="004822B1"/>
    <w:rsid w:val="00492966"/>
    <w:rsid w:val="004935D2"/>
    <w:rsid w:val="004B1215"/>
    <w:rsid w:val="004D047D"/>
    <w:rsid w:val="004D2B1A"/>
    <w:rsid w:val="004D40C5"/>
    <w:rsid w:val="004F1E9E"/>
    <w:rsid w:val="004F305A"/>
    <w:rsid w:val="00512164"/>
    <w:rsid w:val="00520297"/>
    <w:rsid w:val="005338F9"/>
    <w:rsid w:val="0054281C"/>
    <w:rsid w:val="00544581"/>
    <w:rsid w:val="00545E42"/>
    <w:rsid w:val="005503E6"/>
    <w:rsid w:val="0055268D"/>
    <w:rsid w:val="00566C7E"/>
    <w:rsid w:val="00571249"/>
    <w:rsid w:val="00576BE4"/>
    <w:rsid w:val="00586A12"/>
    <w:rsid w:val="005A400A"/>
    <w:rsid w:val="005B4FD1"/>
    <w:rsid w:val="005B5A9E"/>
    <w:rsid w:val="005C254C"/>
    <w:rsid w:val="005F7B92"/>
    <w:rsid w:val="00612379"/>
    <w:rsid w:val="006153B6"/>
    <w:rsid w:val="0061555F"/>
    <w:rsid w:val="006246A9"/>
    <w:rsid w:val="00636CA6"/>
    <w:rsid w:val="006376C6"/>
    <w:rsid w:val="00637EDD"/>
    <w:rsid w:val="00641200"/>
    <w:rsid w:val="00645CA8"/>
    <w:rsid w:val="006655D3"/>
    <w:rsid w:val="00667404"/>
    <w:rsid w:val="006818F4"/>
    <w:rsid w:val="00687EB4"/>
    <w:rsid w:val="00692168"/>
    <w:rsid w:val="00695C56"/>
    <w:rsid w:val="006A32E5"/>
    <w:rsid w:val="006A5CDE"/>
    <w:rsid w:val="006A644A"/>
    <w:rsid w:val="006A776C"/>
    <w:rsid w:val="006B17D2"/>
    <w:rsid w:val="006C224E"/>
    <w:rsid w:val="006D780A"/>
    <w:rsid w:val="006F3ED4"/>
    <w:rsid w:val="006F6597"/>
    <w:rsid w:val="0071271E"/>
    <w:rsid w:val="00714D43"/>
    <w:rsid w:val="00732DEC"/>
    <w:rsid w:val="00734E98"/>
    <w:rsid w:val="00735BD5"/>
    <w:rsid w:val="00750AA6"/>
    <w:rsid w:val="00751613"/>
    <w:rsid w:val="00752334"/>
    <w:rsid w:val="007556F6"/>
    <w:rsid w:val="00760EEF"/>
    <w:rsid w:val="00777EE5"/>
    <w:rsid w:val="00783722"/>
    <w:rsid w:val="00784836"/>
    <w:rsid w:val="0079023E"/>
    <w:rsid w:val="00792E7D"/>
    <w:rsid w:val="007A2854"/>
    <w:rsid w:val="007C1D92"/>
    <w:rsid w:val="007C4CB9"/>
    <w:rsid w:val="007C73A9"/>
    <w:rsid w:val="007D0B9D"/>
    <w:rsid w:val="007D19B0"/>
    <w:rsid w:val="007E3E9F"/>
    <w:rsid w:val="007E4C7D"/>
    <w:rsid w:val="007F498F"/>
    <w:rsid w:val="00803EAE"/>
    <w:rsid w:val="0080679D"/>
    <w:rsid w:val="008108B0"/>
    <w:rsid w:val="00811B20"/>
    <w:rsid w:val="008211B5"/>
    <w:rsid w:val="0082296E"/>
    <w:rsid w:val="00824099"/>
    <w:rsid w:val="00832E1F"/>
    <w:rsid w:val="00846D7C"/>
    <w:rsid w:val="00853868"/>
    <w:rsid w:val="00855AB2"/>
    <w:rsid w:val="008574A4"/>
    <w:rsid w:val="00864C55"/>
    <w:rsid w:val="00867AC1"/>
    <w:rsid w:val="008871CE"/>
    <w:rsid w:val="00890DF8"/>
    <w:rsid w:val="008A743F"/>
    <w:rsid w:val="008B3AA8"/>
    <w:rsid w:val="008B3D8D"/>
    <w:rsid w:val="008C0970"/>
    <w:rsid w:val="008C6250"/>
    <w:rsid w:val="008D0BC5"/>
    <w:rsid w:val="008D2CF7"/>
    <w:rsid w:val="008F022B"/>
    <w:rsid w:val="00900C26"/>
    <w:rsid w:val="0090197F"/>
    <w:rsid w:val="009059D8"/>
    <w:rsid w:val="00906DDC"/>
    <w:rsid w:val="00934E09"/>
    <w:rsid w:val="00936253"/>
    <w:rsid w:val="00940D46"/>
    <w:rsid w:val="00943983"/>
    <w:rsid w:val="00951F8A"/>
    <w:rsid w:val="00952DD4"/>
    <w:rsid w:val="0096175D"/>
    <w:rsid w:val="00965AE7"/>
    <w:rsid w:val="00970FED"/>
    <w:rsid w:val="00992D82"/>
    <w:rsid w:val="00997029"/>
    <w:rsid w:val="009A00D0"/>
    <w:rsid w:val="009A7339"/>
    <w:rsid w:val="009B440E"/>
    <w:rsid w:val="009D42E5"/>
    <w:rsid w:val="009D690D"/>
    <w:rsid w:val="009E65B6"/>
    <w:rsid w:val="00A06737"/>
    <w:rsid w:val="00A11484"/>
    <w:rsid w:val="00A24C10"/>
    <w:rsid w:val="00A42AC3"/>
    <w:rsid w:val="00A430CF"/>
    <w:rsid w:val="00A54309"/>
    <w:rsid w:val="00A706D3"/>
    <w:rsid w:val="00AA4C7F"/>
    <w:rsid w:val="00AB2B93"/>
    <w:rsid w:val="00AB530F"/>
    <w:rsid w:val="00AB7E5B"/>
    <w:rsid w:val="00AC2883"/>
    <w:rsid w:val="00AC603D"/>
    <w:rsid w:val="00AE0EF1"/>
    <w:rsid w:val="00AE2937"/>
    <w:rsid w:val="00AE64B6"/>
    <w:rsid w:val="00B06C80"/>
    <w:rsid w:val="00B07301"/>
    <w:rsid w:val="00B11F3E"/>
    <w:rsid w:val="00B121FC"/>
    <w:rsid w:val="00B224DE"/>
    <w:rsid w:val="00B23D79"/>
    <w:rsid w:val="00B324D4"/>
    <w:rsid w:val="00B32C3F"/>
    <w:rsid w:val="00B35C82"/>
    <w:rsid w:val="00B43448"/>
    <w:rsid w:val="00B46575"/>
    <w:rsid w:val="00B61777"/>
    <w:rsid w:val="00B63DEB"/>
    <w:rsid w:val="00B84BBD"/>
    <w:rsid w:val="00BA43FB"/>
    <w:rsid w:val="00BC0BD4"/>
    <w:rsid w:val="00BC127D"/>
    <w:rsid w:val="00BC1FE6"/>
    <w:rsid w:val="00BE2F92"/>
    <w:rsid w:val="00BE4869"/>
    <w:rsid w:val="00BF5B8A"/>
    <w:rsid w:val="00C061B6"/>
    <w:rsid w:val="00C2446C"/>
    <w:rsid w:val="00C24CBF"/>
    <w:rsid w:val="00C36AE5"/>
    <w:rsid w:val="00C41F17"/>
    <w:rsid w:val="00C527FA"/>
    <w:rsid w:val="00C5280D"/>
    <w:rsid w:val="00C52B81"/>
    <w:rsid w:val="00C53EB3"/>
    <w:rsid w:val="00C5791C"/>
    <w:rsid w:val="00C66290"/>
    <w:rsid w:val="00C72B7A"/>
    <w:rsid w:val="00C920B8"/>
    <w:rsid w:val="00C973F2"/>
    <w:rsid w:val="00C97540"/>
    <w:rsid w:val="00CA304C"/>
    <w:rsid w:val="00CA774A"/>
    <w:rsid w:val="00CC11B0"/>
    <w:rsid w:val="00CC2841"/>
    <w:rsid w:val="00CF1330"/>
    <w:rsid w:val="00CF7E36"/>
    <w:rsid w:val="00D077F5"/>
    <w:rsid w:val="00D13B7C"/>
    <w:rsid w:val="00D3708D"/>
    <w:rsid w:val="00D40426"/>
    <w:rsid w:val="00D57822"/>
    <w:rsid w:val="00D57C96"/>
    <w:rsid w:val="00D57D18"/>
    <w:rsid w:val="00D67ACF"/>
    <w:rsid w:val="00D73B6F"/>
    <w:rsid w:val="00D746F1"/>
    <w:rsid w:val="00D91203"/>
    <w:rsid w:val="00D95174"/>
    <w:rsid w:val="00DA4973"/>
    <w:rsid w:val="00DA6F36"/>
    <w:rsid w:val="00DB5299"/>
    <w:rsid w:val="00DB596E"/>
    <w:rsid w:val="00DB7773"/>
    <w:rsid w:val="00DC00EA"/>
    <w:rsid w:val="00DC3802"/>
    <w:rsid w:val="00DF159A"/>
    <w:rsid w:val="00E07D87"/>
    <w:rsid w:val="00E255F4"/>
    <w:rsid w:val="00E32F7E"/>
    <w:rsid w:val="00E5267B"/>
    <w:rsid w:val="00E544A4"/>
    <w:rsid w:val="00E63C0E"/>
    <w:rsid w:val="00E72D49"/>
    <w:rsid w:val="00E74710"/>
    <w:rsid w:val="00E7593C"/>
    <w:rsid w:val="00E7678A"/>
    <w:rsid w:val="00E935F1"/>
    <w:rsid w:val="00E94A81"/>
    <w:rsid w:val="00EA1FFB"/>
    <w:rsid w:val="00EA7C71"/>
    <w:rsid w:val="00EB048E"/>
    <w:rsid w:val="00EB2B6A"/>
    <w:rsid w:val="00EB4E9C"/>
    <w:rsid w:val="00EB516E"/>
    <w:rsid w:val="00EB7224"/>
    <w:rsid w:val="00EC2265"/>
    <w:rsid w:val="00ED7218"/>
    <w:rsid w:val="00EE2174"/>
    <w:rsid w:val="00EE34DF"/>
    <w:rsid w:val="00EF2F89"/>
    <w:rsid w:val="00F03E98"/>
    <w:rsid w:val="00F1237A"/>
    <w:rsid w:val="00F22CBD"/>
    <w:rsid w:val="00F272F1"/>
    <w:rsid w:val="00F27803"/>
    <w:rsid w:val="00F408E2"/>
    <w:rsid w:val="00F45372"/>
    <w:rsid w:val="00F560F7"/>
    <w:rsid w:val="00F6334D"/>
    <w:rsid w:val="00F63A4E"/>
    <w:rsid w:val="00F85912"/>
    <w:rsid w:val="00F90436"/>
    <w:rsid w:val="00FA49AB"/>
    <w:rsid w:val="00FB5B1B"/>
    <w:rsid w:val="00FD3F87"/>
    <w:rsid w:val="00FE39C7"/>
    <w:rsid w:val="00FF2B78"/>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92FB663D-B9AD-4482-A90B-F9CD735C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4D2B1A"/>
    <w:pPr>
      <w:tabs>
        <w:tab w:val="left" w:pos="5387"/>
        <w:tab w:val="left" w:pos="5954"/>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D57822"/>
    <w:pPr>
      <w:tabs>
        <w:tab w:val="right" w:leader="dot" w:pos="9639"/>
      </w:tabs>
      <w:spacing w:after="120"/>
      <w:ind w:left="432" w:right="562"/>
    </w:pPr>
    <w:rPr>
      <w:rFonts w:ascii="Arial" w:hAnsi="Arial"/>
    </w:rPr>
  </w:style>
  <w:style w:type="paragraph" w:styleId="TOC3">
    <w:name w:val="toc 3"/>
    <w:next w:val="Normal"/>
    <w:autoRedefine/>
    <w:rsid w:val="006818F4"/>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6818F4"/>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DF159A"/>
    <w:pPr>
      <w:tabs>
        <w:tab w:val="right" w:leader="dot" w:pos="9639"/>
      </w:tabs>
      <w:spacing w:after="120"/>
      <w:ind w:right="113"/>
    </w:pPr>
    <w:rPr>
      <w:rFonts w:ascii="Arial" w:hAnsi="Arial"/>
      <w:caps/>
    </w:rPr>
  </w:style>
  <w:style w:type="paragraph" w:styleId="TOC5">
    <w:name w:val="toc 5"/>
    <w:next w:val="Normal"/>
    <w:autoRedefine/>
    <w:rsid w:val="006818F4"/>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EB516E"/>
    <w:rPr>
      <w:rFonts w:ascii="Arial" w:hAnsi="Arial"/>
      <w:caps/>
    </w:rPr>
  </w:style>
  <w:style w:type="character" w:customStyle="1" w:styleId="Heading2Char">
    <w:name w:val="Heading 2 Char"/>
    <w:basedOn w:val="DefaultParagraphFont"/>
    <w:link w:val="Heading2"/>
    <w:rsid w:val="00EB516E"/>
    <w:rPr>
      <w:rFonts w:ascii="Arial" w:hAnsi="Arial"/>
      <w:u w:val="single"/>
    </w:rPr>
  </w:style>
  <w:style w:type="character" w:customStyle="1" w:styleId="HeaderChar">
    <w:name w:val="Header Char"/>
    <w:basedOn w:val="DefaultParagraphFont"/>
    <w:link w:val="Header"/>
    <w:uiPriority w:val="99"/>
    <w:rsid w:val="00EB516E"/>
    <w:rPr>
      <w:rFonts w:ascii="Arial" w:hAnsi="Arial"/>
      <w:lang w:val="es-ES_tradnl"/>
    </w:rPr>
  </w:style>
  <w:style w:type="character" w:customStyle="1" w:styleId="FootnoteTextChar">
    <w:name w:val="Footnote Text Char"/>
    <w:basedOn w:val="DefaultParagraphFont"/>
    <w:link w:val="FootnoteText"/>
    <w:rsid w:val="00EB516E"/>
    <w:rPr>
      <w:rFonts w:ascii="Arial" w:hAnsi="Arial"/>
      <w:sz w:val="16"/>
      <w:lang w:val="es-ES_tradnl"/>
    </w:rPr>
  </w:style>
  <w:style w:type="character" w:customStyle="1" w:styleId="DecisionParagraphsChar">
    <w:name w:val="DecisionParagraphs Char"/>
    <w:basedOn w:val="DefaultParagraphFont"/>
    <w:link w:val="DecisionParagraphs"/>
    <w:rsid w:val="00EB516E"/>
    <w:rPr>
      <w:rFonts w:ascii="Arial" w:hAnsi="Arial"/>
      <w:i/>
      <w:lang w:val="es-ES_tradnl"/>
    </w:rPr>
  </w:style>
  <w:style w:type="paragraph" w:styleId="ListParagraph">
    <w:name w:val="List Paragraph"/>
    <w:basedOn w:val="Normal"/>
    <w:uiPriority w:val="34"/>
    <w:qFormat/>
    <w:rsid w:val="00EB516E"/>
    <w:pPr>
      <w:ind w:left="720"/>
      <w:contextualSpacing/>
    </w:pPr>
    <w:rPr>
      <w:lang w:val="en-US"/>
    </w:rPr>
  </w:style>
  <w:style w:type="character" w:styleId="FollowedHyperlink">
    <w:name w:val="FollowedHyperlink"/>
    <w:basedOn w:val="DefaultParagraphFont"/>
    <w:semiHidden/>
    <w:unhideWhenUsed/>
    <w:rsid w:val="006376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pov.int/meetings/es/details.jsp?meeting_id=2978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pov.int/edocs/expndocs/es/upov_exn_edv.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pov.int/meetings/es/details.jsp?meeting_id=5078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2483</Words>
  <Characters>14911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CAJ/76/3</vt:lpstr>
    </vt:vector>
  </TitlesOfParts>
  <Company>UPOV</Company>
  <LinksUpToDate>false</LinksUpToDate>
  <CharactersWithSpaces>17360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CAJ/76/3</dc:title>
  <dc:creator>CEVALLOS DUQUE Nilo</dc:creator>
  <cp:lastModifiedBy>SANCHEZ VIZCAINO GOMEZ Rosa Maria</cp:lastModifiedBy>
  <cp:revision>20</cp:revision>
  <cp:lastPrinted>2016-11-22T15:41:00Z</cp:lastPrinted>
  <dcterms:created xsi:type="dcterms:W3CDTF">2019-07-29T09:03:00Z</dcterms:created>
  <dcterms:modified xsi:type="dcterms:W3CDTF">2019-08-02T09:13:00Z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3068811c-4fbd-4ca2-8364-d26593fd8b39</vt:lpwstr>
  </property>
</Properties>
</file>