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7419B" w:rsidRPr="005960BF" w:rsidTr="00E7419B">
        <w:trPr>
          <w:trHeight w:val="219"/>
        </w:trPr>
        <w:tc>
          <w:tcPr>
            <w:tcW w:w="6522" w:type="dxa"/>
          </w:tcPr>
          <w:p w:rsidR="00E7419B" w:rsidRPr="005960BF" w:rsidRDefault="00E7419B" w:rsidP="00E7419B">
            <w:pPr>
              <w:pStyle w:val="upove"/>
              <w:rPr>
                <w:dstrike/>
              </w:rPr>
            </w:pPr>
            <w:r w:rsidRPr="00D42526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7419B" w:rsidRPr="00D42526" w:rsidRDefault="00E7419B" w:rsidP="00E7419B">
            <w:pPr>
              <w:pStyle w:val="Lettrine"/>
            </w:pPr>
            <w:r w:rsidRPr="00D42526">
              <w:t>S</w:t>
            </w:r>
          </w:p>
        </w:tc>
      </w:tr>
      <w:tr w:rsidR="00E7419B" w:rsidRPr="00653532" w:rsidTr="00E7419B">
        <w:trPr>
          <w:trHeight w:val="219"/>
        </w:trPr>
        <w:tc>
          <w:tcPr>
            <w:tcW w:w="6522" w:type="dxa"/>
          </w:tcPr>
          <w:p w:rsidR="00E7419B" w:rsidRPr="003719EA" w:rsidRDefault="00E7419B" w:rsidP="00E80EC5">
            <w:pPr>
              <w:pStyle w:val="upove"/>
              <w:rPr>
                <w:dstrike/>
                <w:lang w:val="es-ES_tradnl"/>
              </w:rPr>
            </w:pPr>
            <w:r w:rsidRPr="00D42526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E7419B" w:rsidRPr="00D42526" w:rsidRDefault="00E7419B" w:rsidP="00E80EC5">
            <w:pPr>
              <w:rPr>
                <w:lang w:val="es-ES_tradnl"/>
              </w:rPr>
            </w:pPr>
          </w:p>
        </w:tc>
      </w:tr>
    </w:tbl>
    <w:p w:rsidR="00DC3802" w:rsidRPr="00D42526" w:rsidRDefault="00DC3802" w:rsidP="00DC3802">
      <w:pPr>
        <w:rPr>
          <w:lang w:val="es-ES_tradnl"/>
        </w:rPr>
      </w:pPr>
    </w:p>
    <w:p w:rsidR="00DA4973" w:rsidRPr="003719EA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960BF" w:rsidRPr="00653532" w:rsidTr="005960BF">
        <w:tc>
          <w:tcPr>
            <w:tcW w:w="6512" w:type="dxa"/>
          </w:tcPr>
          <w:p w:rsidR="005960BF" w:rsidRPr="00D42526" w:rsidRDefault="005960BF" w:rsidP="00E80EC5">
            <w:pPr>
              <w:pStyle w:val="Sessiontc"/>
              <w:spacing w:line="240" w:lineRule="auto"/>
              <w:rPr>
                <w:lang w:val="es-ES_tradnl"/>
              </w:rPr>
            </w:pPr>
            <w:r w:rsidRPr="00D42526">
              <w:rPr>
                <w:lang w:val="es-ES_tradnl"/>
              </w:rPr>
              <w:t>Comité Administrativo y Jurídico</w:t>
            </w:r>
          </w:p>
          <w:p w:rsidR="005960BF" w:rsidRPr="003719EA" w:rsidRDefault="005960BF" w:rsidP="00E80EC5">
            <w:pPr>
              <w:pStyle w:val="Sessiontcplacedate"/>
              <w:rPr>
                <w:sz w:val="22"/>
                <w:lang w:val="es-ES_tradnl"/>
              </w:rPr>
            </w:pPr>
            <w:r w:rsidRPr="00D42526">
              <w:rPr>
                <w:lang w:val="es-ES_tradnl"/>
              </w:rPr>
              <w:t>Septuagésima quinta sesión</w:t>
            </w:r>
            <w:r w:rsidRPr="00D42526">
              <w:rPr>
                <w:lang w:val="es-ES_tradnl"/>
              </w:rPr>
              <w:br/>
              <w:t>Ginebra</w:t>
            </w:r>
            <w:r w:rsidR="00596575" w:rsidRPr="00D42526">
              <w:rPr>
                <w:lang w:val="es-ES_tradnl"/>
              </w:rPr>
              <w:t>, 3</w:t>
            </w:r>
            <w:r w:rsidRPr="00D42526">
              <w:rPr>
                <w:lang w:val="es-ES_tradnl"/>
              </w:rPr>
              <w:t>1 de octubre de</w:t>
            </w:r>
            <w:r w:rsidR="00596575" w:rsidRPr="00D42526">
              <w:rPr>
                <w:lang w:val="es-ES_tradnl"/>
              </w:rPr>
              <w:t> 2</w:t>
            </w:r>
            <w:r w:rsidRPr="00D42526">
              <w:rPr>
                <w:lang w:val="es-ES_tradnl"/>
              </w:rPr>
              <w:t>018</w:t>
            </w:r>
          </w:p>
        </w:tc>
        <w:tc>
          <w:tcPr>
            <w:tcW w:w="3127" w:type="dxa"/>
          </w:tcPr>
          <w:p w:rsidR="005960BF" w:rsidRPr="00D42526" w:rsidRDefault="005960BF" w:rsidP="003C7FBE">
            <w:pPr>
              <w:pStyle w:val="Doccode"/>
              <w:rPr>
                <w:lang w:val="es-ES_tradnl"/>
              </w:rPr>
            </w:pPr>
            <w:r w:rsidRPr="00D42526">
              <w:rPr>
                <w:lang w:val="es-ES_tradnl"/>
              </w:rPr>
              <w:t>CAJ/75/6</w:t>
            </w:r>
          </w:p>
          <w:p w:rsidR="005960BF" w:rsidRPr="00D42526" w:rsidRDefault="005960BF" w:rsidP="005960BF">
            <w:pPr>
              <w:pStyle w:val="Docoriginal"/>
              <w:rPr>
                <w:lang w:val="es-ES_tradnl"/>
              </w:rPr>
            </w:pPr>
            <w:r w:rsidRPr="00D42526">
              <w:rPr>
                <w:lang w:val="es-ES_tradnl"/>
              </w:rPr>
              <w:t>Original:</w:t>
            </w:r>
            <w:r w:rsidRPr="00D42526">
              <w:rPr>
                <w:b w:val="0"/>
                <w:spacing w:val="0"/>
                <w:lang w:val="es-ES_tradnl"/>
              </w:rPr>
              <w:t xml:space="preserve"> Inglés</w:t>
            </w:r>
          </w:p>
          <w:p w:rsidR="005960BF" w:rsidRPr="003719EA" w:rsidRDefault="005960BF" w:rsidP="00D42526">
            <w:pPr>
              <w:pStyle w:val="Docoriginal"/>
              <w:rPr>
                <w:lang w:val="es-ES_tradnl"/>
              </w:rPr>
            </w:pPr>
            <w:r w:rsidRPr="00D42526">
              <w:rPr>
                <w:lang w:val="es-ES_tradnl"/>
              </w:rPr>
              <w:t>Fecha:</w:t>
            </w:r>
            <w:r w:rsidRPr="003719EA">
              <w:rPr>
                <w:b w:val="0"/>
                <w:spacing w:val="0"/>
                <w:lang w:val="es-ES_tradnl"/>
              </w:rPr>
              <w:t xml:space="preserve"> </w:t>
            </w:r>
            <w:r w:rsidR="008C1800" w:rsidRPr="008C1800">
              <w:rPr>
                <w:b w:val="0"/>
                <w:spacing w:val="0"/>
                <w:lang w:val="es-ES_tradnl"/>
              </w:rPr>
              <w:t>16</w:t>
            </w:r>
            <w:r w:rsidR="00C7667C" w:rsidRPr="008C1800">
              <w:rPr>
                <w:b w:val="0"/>
                <w:spacing w:val="0"/>
                <w:lang w:val="es-ES_tradnl"/>
              </w:rPr>
              <w:t xml:space="preserve"> de agosto de</w:t>
            </w:r>
            <w:r w:rsidR="00596575" w:rsidRPr="008C1800">
              <w:rPr>
                <w:b w:val="0"/>
                <w:spacing w:val="0"/>
                <w:lang w:val="es-ES_tradnl"/>
              </w:rPr>
              <w:t> 2</w:t>
            </w:r>
            <w:r w:rsidR="00C7667C" w:rsidRPr="008C1800">
              <w:rPr>
                <w:b w:val="0"/>
                <w:spacing w:val="0"/>
                <w:lang w:val="es-ES_tradnl"/>
              </w:rPr>
              <w:t>018</w:t>
            </w:r>
          </w:p>
        </w:tc>
      </w:tr>
    </w:tbl>
    <w:p w:rsidR="000D7780" w:rsidRPr="00734637" w:rsidRDefault="0087714B" w:rsidP="00DE3D37">
      <w:pPr>
        <w:pStyle w:val="Titleofdoc0"/>
        <w:rPr>
          <w:lang w:val="es-ES"/>
        </w:rPr>
      </w:pPr>
      <w:bookmarkStart w:id="0" w:name="TitleOfDoc"/>
      <w:bookmarkEnd w:id="0"/>
      <w:r w:rsidRPr="00DE3D37">
        <w:rPr>
          <w:lang w:val="es-ES_tradnl"/>
        </w:rPr>
        <w:t>ELABORACIÓN DE MATERIAL DE INFORMACIÓN SOBRE EL CONVENIO DE LA UPOV</w:t>
      </w:r>
    </w:p>
    <w:p w:rsidR="005960BF" w:rsidRPr="00D42526" w:rsidRDefault="005960BF" w:rsidP="005960BF">
      <w:pPr>
        <w:pStyle w:val="preparedby1"/>
        <w:jc w:val="left"/>
        <w:rPr>
          <w:lang w:val="es-ES_tradnl"/>
        </w:rPr>
      </w:pPr>
      <w:bookmarkStart w:id="1" w:name="Prepared"/>
      <w:bookmarkEnd w:id="1"/>
      <w:r w:rsidRPr="00D42526">
        <w:rPr>
          <w:lang w:val="es-ES_tradnl"/>
        </w:rPr>
        <w:t>Documento preparado por la Oficina de la Unión</w:t>
      </w:r>
    </w:p>
    <w:p w:rsidR="005960BF" w:rsidRPr="00734637" w:rsidRDefault="005960BF" w:rsidP="005960BF">
      <w:pPr>
        <w:pStyle w:val="Disclaimer"/>
        <w:rPr>
          <w:lang w:val="es-ES"/>
        </w:rPr>
      </w:pPr>
      <w:r w:rsidRPr="00D42526">
        <w:rPr>
          <w:lang w:val="es-ES_tradnl"/>
        </w:rPr>
        <w:t>Descargo de responsabilidad: el presente documento no constituye un documento de política u orientación de la UPOV</w:t>
      </w:r>
    </w:p>
    <w:p w:rsidR="001D5883" w:rsidRPr="00734637" w:rsidRDefault="0087714B" w:rsidP="001D5883">
      <w:pPr>
        <w:pStyle w:val="Heading1"/>
        <w:rPr>
          <w:snapToGrid w:val="0"/>
          <w:lang w:val="es-ES"/>
        </w:rPr>
      </w:pPr>
      <w:bookmarkStart w:id="2" w:name="_Toc522611817"/>
      <w:r w:rsidRPr="00DE3D37">
        <w:rPr>
          <w:snapToGrid w:val="0"/>
          <w:lang w:val="es-ES_tradnl"/>
        </w:rPr>
        <w:t>RESUMEN</w:t>
      </w:r>
      <w:bookmarkEnd w:id="2"/>
    </w:p>
    <w:p w:rsidR="001D5883" w:rsidRPr="00734637" w:rsidRDefault="001D5883" w:rsidP="001D5883">
      <w:pPr>
        <w:rPr>
          <w:snapToGrid w:val="0"/>
          <w:lang w:val="es-ES"/>
        </w:rPr>
      </w:pPr>
    </w:p>
    <w:p w:rsidR="001D5883" w:rsidRPr="00734637" w:rsidRDefault="00C37188" w:rsidP="001D5883">
      <w:pPr>
        <w:rPr>
          <w:lang w:val="es-ES"/>
        </w:rPr>
      </w:pPr>
      <w:r w:rsidRPr="007F71BE">
        <w:rPr>
          <w:spacing w:val="-2"/>
        </w:rPr>
        <w:fldChar w:fldCharType="begin"/>
      </w:r>
      <w:r w:rsidR="001D5883" w:rsidRPr="007F71BE">
        <w:rPr>
          <w:spacing w:val="-2"/>
          <w:lang w:val="es-ES"/>
        </w:rPr>
        <w:instrText xml:space="preserve"> AUTONUM  </w:instrText>
      </w:r>
      <w:r w:rsidRPr="007F71BE">
        <w:rPr>
          <w:spacing w:val="-2"/>
        </w:rPr>
        <w:fldChar w:fldCharType="end"/>
      </w:r>
      <w:r w:rsidR="001D5883" w:rsidRPr="007F71BE">
        <w:rPr>
          <w:spacing w:val="-2"/>
          <w:lang w:val="es-ES"/>
        </w:rPr>
        <w:tab/>
      </w:r>
      <w:r w:rsidR="008C1800" w:rsidRPr="007F71BE">
        <w:rPr>
          <w:spacing w:val="-2"/>
          <w:lang w:val="es-ES_tradnl"/>
        </w:rPr>
        <w:t xml:space="preserve">El propósito del presente documento es </w:t>
      </w:r>
      <w:r w:rsidR="0087714B" w:rsidRPr="007F71BE">
        <w:rPr>
          <w:spacing w:val="-2"/>
          <w:lang w:val="es-ES_tradnl"/>
        </w:rPr>
        <w:t>facilitar antecedentes para asistir al Comité Administrativo y Jurídico (CAJ) en el examen de las cuestiones pertinentes que se real</w:t>
      </w:r>
      <w:r w:rsidR="007F71BE" w:rsidRPr="007F71BE">
        <w:rPr>
          <w:spacing w:val="-2"/>
          <w:lang w:val="es-ES_tradnl"/>
        </w:rPr>
        <w:t>izará en su septuagésima quinta </w:t>
      </w:r>
      <w:r w:rsidR="0087714B" w:rsidRPr="007F71BE">
        <w:rPr>
          <w:spacing w:val="-2"/>
          <w:lang w:val="es-ES_tradnl"/>
        </w:rPr>
        <w:t>sesión</w:t>
      </w:r>
      <w:r w:rsidR="0087714B" w:rsidRPr="004A3264">
        <w:rPr>
          <w:lang w:val="es-ES_tradnl"/>
        </w:rPr>
        <w:t xml:space="preserve"> y </w:t>
      </w:r>
      <w:r w:rsidR="00DE3D37" w:rsidRPr="004A3264">
        <w:rPr>
          <w:lang w:val="es-ES_tradnl"/>
        </w:rPr>
        <w:t xml:space="preserve">proponer un </w:t>
      </w:r>
      <w:r w:rsidR="0087714B" w:rsidRPr="004A3264">
        <w:rPr>
          <w:lang w:val="es-ES_tradnl"/>
        </w:rPr>
        <w:t>programa provisional para la elaboración de material de información.</w:t>
      </w:r>
    </w:p>
    <w:p w:rsidR="001D5883" w:rsidRPr="00734637" w:rsidRDefault="001D5883" w:rsidP="001D5883">
      <w:pPr>
        <w:rPr>
          <w:lang w:val="es-ES"/>
        </w:rPr>
      </w:pPr>
    </w:p>
    <w:p w:rsidR="001D5883" w:rsidRPr="00734637" w:rsidRDefault="00C37188" w:rsidP="001D5883">
      <w:pPr>
        <w:keepNext/>
        <w:rPr>
          <w:u w:val="single"/>
          <w:lang w:val="es-ES"/>
        </w:rPr>
      </w:pPr>
      <w:r w:rsidRPr="004B0FC0">
        <w:fldChar w:fldCharType="begin"/>
      </w:r>
      <w:r w:rsidR="001D5883" w:rsidRPr="00734637">
        <w:rPr>
          <w:lang w:val="es-ES"/>
        </w:rPr>
        <w:instrText xml:space="preserve"> AUTONUM  </w:instrText>
      </w:r>
      <w:r w:rsidRPr="004B0FC0">
        <w:fldChar w:fldCharType="end"/>
      </w:r>
      <w:r w:rsidR="001D5883" w:rsidRPr="00734637">
        <w:rPr>
          <w:lang w:val="es-ES"/>
        </w:rPr>
        <w:tab/>
      </w:r>
      <w:r w:rsidR="0087714B" w:rsidRPr="004A3264">
        <w:rPr>
          <w:lang w:val="es-ES_tradnl"/>
        </w:rPr>
        <w:t>Se invita al CAJ a:</w:t>
      </w:r>
      <w:r w:rsidR="001D5883" w:rsidRPr="00734637">
        <w:rPr>
          <w:lang w:val="es-ES"/>
        </w:rPr>
        <w:t xml:space="preserve"> </w:t>
      </w:r>
    </w:p>
    <w:p w:rsidR="00846E9C" w:rsidRPr="00734637" w:rsidRDefault="00846E9C" w:rsidP="00846E9C">
      <w:pPr>
        <w:rPr>
          <w:lang w:val="es-ES"/>
        </w:rPr>
      </w:pPr>
    </w:p>
    <w:p w:rsidR="00846E9C" w:rsidRPr="00734637" w:rsidRDefault="00FF0312" w:rsidP="00846E9C">
      <w:pPr>
        <w:rPr>
          <w:lang w:val="es-ES"/>
        </w:rPr>
      </w:pPr>
      <w:r w:rsidRPr="00734637">
        <w:rPr>
          <w:lang w:val="es-ES"/>
        </w:rPr>
        <w:tab/>
      </w:r>
      <w:r w:rsidR="00EF2815" w:rsidRPr="00734637">
        <w:rPr>
          <w:lang w:val="es-ES"/>
        </w:rPr>
        <w:t>a)</w:t>
      </w:r>
      <w:r w:rsidR="00EF2815" w:rsidRPr="00734637">
        <w:rPr>
          <w:lang w:val="es-ES"/>
        </w:rPr>
        <w:tab/>
      </w:r>
      <w:r w:rsidR="0087714B" w:rsidRPr="004A3264">
        <w:rPr>
          <w:lang w:val="es-ES_tradnl"/>
        </w:rPr>
        <w:t xml:space="preserve">tomar nota de que </w:t>
      </w:r>
      <w:r w:rsidR="00E80EC5" w:rsidRPr="004A3264">
        <w:rPr>
          <w:lang w:val="es-ES_tradnl"/>
        </w:rPr>
        <w:t>en los documentos CAJ/75/3</w:t>
      </w:r>
      <w:r w:rsidR="00596575" w:rsidRPr="004A3264">
        <w:rPr>
          <w:lang w:val="es-ES_tradnl"/>
        </w:rPr>
        <w:t xml:space="preserve">, </w:t>
      </w:r>
      <w:r w:rsidR="00E80EC5" w:rsidRPr="004A3264">
        <w:rPr>
          <w:lang w:val="es-ES_tradnl"/>
        </w:rPr>
        <w:t xml:space="preserve">CAJ/75/4 y CAJ/75/5 se proporciona </w:t>
      </w:r>
      <w:r w:rsidR="0087714B" w:rsidRPr="004A3264">
        <w:rPr>
          <w:lang w:val="es-ES_tradnl"/>
        </w:rPr>
        <w:t>información acerca de las ponencias sobre las variedades esencialmente derivadas</w:t>
      </w:r>
      <w:r w:rsidR="00596575" w:rsidRPr="004A3264">
        <w:rPr>
          <w:lang w:val="es-ES_tradnl"/>
        </w:rPr>
        <w:t xml:space="preserve">, </w:t>
      </w:r>
      <w:r w:rsidR="00E80EC5" w:rsidRPr="004A3264">
        <w:rPr>
          <w:lang w:val="es-ES_tradnl"/>
        </w:rPr>
        <w:t xml:space="preserve">sobre </w:t>
      </w:r>
      <w:r w:rsidR="0087714B" w:rsidRPr="004A3264">
        <w:rPr>
          <w:lang w:val="es-ES_tradnl"/>
        </w:rPr>
        <w:t xml:space="preserve">las condiciones y limitaciones relativas a la autorización del obtentor respecto del material de reproducción o de multiplicación y </w:t>
      </w:r>
      <w:r w:rsidR="00E80EC5" w:rsidRPr="004A3264">
        <w:rPr>
          <w:lang w:val="es-ES_tradnl"/>
        </w:rPr>
        <w:t xml:space="preserve">sobre </w:t>
      </w:r>
      <w:r w:rsidR="0087714B" w:rsidRPr="004A3264">
        <w:rPr>
          <w:lang w:val="es-ES_tradnl"/>
        </w:rPr>
        <w:t>el alcance de la protección provisional</w:t>
      </w:r>
      <w:r w:rsidR="00596575" w:rsidRPr="004A3264">
        <w:rPr>
          <w:lang w:val="es-ES_tradnl"/>
        </w:rPr>
        <w:t xml:space="preserve">, </w:t>
      </w:r>
      <w:r w:rsidR="00E80EC5" w:rsidRPr="004A3264">
        <w:rPr>
          <w:lang w:val="es-ES_tradnl"/>
        </w:rPr>
        <w:t>respectivamente</w:t>
      </w:r>
      <w:r w:rsidR="0087714B" w:rsidRPr="004A3264">
        <w:rPr>
          <w:lang w:val="es-ES_tradnl"/>
        </w:rPr>
        <w:t>;</w:t>
      </w:r>
      <w:r w:rsidR="00846E9C" w:rsidRPr="00734637">
        <w:rPr>
          <w:lang w:val="es-ES"/>
        </w:rPr>
        <w:t xml:space="preserve"> </w:t>
      </w:r>
    </w:p>
    <w:p w:rsidR="00846E9C" w:rsidRPr="00734637" w:rsidRDefault="00846E9C" w:rsidP="00846E9C">
      <w:pPr>
        <w:rPr>
          <w:lang w:val="es-ES"/>
        </w:rPr>
      </w:pPr>
    </w:p>
    <w:p w:rsidR="001D5883" w:rsidRPr="00734637" w:rsidRDefault="00CF6569" w:rsidP="00846E9C">
      <w:pPr>
        <w:rPr>
          <w:lang w:val="es-ES"/>
        </w:rPr>
      </w:pPr>
      <w:r w:rsidRPr="00734637">
        <w:rPr>
          <w:lang w:val="es-ES"/>
        </w:rPr>
        <w:tab/>
      </w:r>
      <w:r w:rsidR="00EF2815" w:rsidRPr="00734637">
        <w:rPr>
          <w:lang w:val="es-ES"/>
        </w:rPr>
        <w:t>b)</w:t>
      </w:r>
      <w:r w:rsidR="00EF2815" w:rsidRPr="00734637">
        <w:rPr>
          <w:lang w:val="es-ES"/>
        </w:rPr>
        <w:tab/>
      </w:r>
      <w:r w:rsidR="00E80EC5" w:rsidRPr="004A3264">
        <w:rPr>
          <w:lang w:val="es-ES_tradnl"/>
        </w:rPr>
        <w:t xml:space="preserve">tomar nota de que no se han producido </w:t>
      </w:r>
      <w:r w:rsidR="00665E0E" w:rsidRPr="004A3264">
        <w:rPr>
          <w:lang w:val="es-ES_tradnl"/>
        </w:rPr>
        <w:t>avances</w:t>
      </w:r>
      <w:r w:rsidR="00E80EC5" w:rsidRPr="004A3264">
        <w:rPr>
          <w:lang w:val="es-ES_tradnl"/>
        </w:rPr>
        <w:t xml:space="preserve"> </w:t>
      </w:r>
      <w:r w:rsidR="0054749F" w:rsidRPr="004A3264">
        <w:rPr>
          <w:lang w:val="es-ES_tradnl"/>
        </w:rPr>
        <w:t>en relación con un</w:t>
      </w:r>
      <w:r w:rsidR="00E80EC5" w:rsidRPr="004A3264">
        <w:rPr>
          <w:lang w:val="es-ES_tradnl"/>
        </w:rPr>
        <w:t xml:space="preserve">a </w:t>
      </w:r>
      <w:r w:rsidR="0054749F" w:rsidRPr="004A3264">
        <w:rPr>
          <w:lang w:val="es-ES_tradnl"/>
        </w:rPr>
        <w:t>eventual</w:t>
      </w:r>
      <w:r w:rsidR="00E80EC5" w:rsidRPr="004A3264">
        <w:rPr>
          <w:lang w:val="es-ES_tradnl"/>
        </w:rPr>
        <w:t xml:space="preserve"> reunión de la Oficina de la Unión con </w:t>
      </w:r>
      <w:r w:rsidR="0054749F" w:rsidRPr="004A3264">
        <w:rPr>
          <w:lang w:val="es-ES_tradnl"/>
        </w:rPr>
        <w:t xml:space="preserve">la </w:t>
      </w:r>
      <w:r w:rsidR="00E80EC5" w:rsidRPr="004A3264">
        <w:rPr>
          <w:lang w:val="es-ES_tradnl"/>
        </w:rPr>
        <w:t>CIOPORA</w:t>
      </w:r>
      <w:r w:rsidR="00596575" w:rsidRPr="004A3264">
        <w:rPr>
          <w:lang w:val="es-ES_tradnl"/>
        </w:rPr>
        <w:t xml:space="preserve">, </w:t>
      </w:r>
      <w:r w:rsidR="0054749F" w:rsidRPr="004A3264">
        <w:rPr>
          <w:lang w:val="es-ES_tradnl"/>
        </w:rPr>
        <w:t xml:space="preserve">la </w:t>
      </w:r>
      <w:r w:rsidR="00E80EC5" w:rsidRPr="004A3264">
        <w:rPr>
          <w:lang w:val="es-ES_tradnl"/>
        </w:rPr>
        <w:t xml:space="preserve">ISF y </w:t>
      </w:r>
      <w:r w:rsidR="0054749F" w:rsidRPr="004A3264">
        <w:rPr>
          <w:lang w:val="es-ES_tradnl"/>
        </w:rPr>
        <w:t xml:space="preserve">la </w:t>
      </w:r>
      <w:r w:rsidR="00E80EC5" w:rsidRPr="004A3264">
        <w:rPr>
          <w:lang w:val="es-ES_tradnl"/>
        </w:rPr>
        <w:t xml:space="preserve">OMPI </w:t>
      </w:r>
      <w:r w:rsidR="00770D53" w:rsidRPr="004A3264">
        <w:rPr>
          <w:lang w:val="es-ES_tradnl"/>
        </w:rPr>
        <w:t xml:space="preserve">a fin de </w:t>
      </w:r>
      <w:r w:rsidR="0054749F" w:rsidRPr="004A3264">
        <w:rPr>
          <w:lang w:val="es-ES_tradnl"/>
        </w:rPr>
        <w:t xml:space="preserve">explorar la posible función de la UPOV en los </w:t>
      </w:r>
      <w:r w:rsidR="00E80EC5" w:rsidRPr="004A3264">
        <w:rPr>
          <w:lang w:val="es-ES_tradnl"/>
        </w:rPr>
        <w:t>mecanismos extrajudiciales de solución de controversias para asuntos relativos a variedades esencialmente derivadas</w:t>
      </w:r>
      <w:r w:rsidR="00596575" w:rsidRPr="004A3264">
        <w:rPr>
          <w:lang w:val="es-ES_tradnl"/>
        </w:rPr>
        <w:t xml:space="preserve">, </w:t>
      </w:r>
      <w:r w:rsidR="00E80EC5" w:rsidRPr="004A3264">
        <w:rPr>
          <w:lang w:val="es-ES_tradnl"/>
        </w:rPr>
        <w:t>en particular la puesta a disposición de expertos en materia de variedades esencialmente derivadas</w:t>
      </w:r>
      <w:r w:rsidR="0054749F" w:rsidRPr="004A3264">
        <w:rPr>
          <w:lang w:val="es-ES_tradnl"/>
        </w:rPr>
        <w:t>;</w:t>
      </w:r>
    </w:p>
    <w:p w:rsidR="00846E9C" w:rsidRPr="00734637" w:rsidRDefault="00846E9C" w:rsidP="00846E9C">
      <w:pPr>
        <w:rPr>
          <w:lang w:val="es-ES"/>
        </w:rPr>
      </w:pPr>
    </w:p>
    <w:p w:rsidR="00846E9C" w:rsidRPr="00734637" w:rsidRDefault="00EF2815" w:rsidP="00846E9C">
      <w:pPr>
        <w:ind w:firstLine="567"/>
        <w:rPr>
          <w:lang w:val="es-ES"/>
        </w:rPr>
      </w:pPr>
      <w:r w:rsidRPr="00734637">
        <w:rPr>
          <w:lang w:val="es-ES"/>
        </w:rPr>
        <w:t>c)</w:t>
      </w:r>
      <w:r w:rsidRPr="00734637">
        <w:rPr>
          <w:lang w:val="es-ES"/>
        </w:rPr>
        <w:tab/>
      </w:r>
      <w:r w:rsidR="001D5768" w:rsidRPr="004A3264">
        <w:rPr>
          <w:lang w:val="es-ES_tradnl"/>
        </w:rPr>
        <w:t xml:space="preserve">examinar la revisión del documento UPOV/INF/5 “Boletín tipo de la UPOV sobre la protección de las obtenciones vegetales” </w:t>
      </w:r>
      <w:r w:rsidR="00F85599" w:rsidRPr="004A3264">
        <w:rPr>
          <w:lang w:val="es-ES_tradnl"/>
        </w:rPr>
        <w:t xml:space="preserve">que se expone en el documento </w:t>
      </w:r>
      <w:r w:rsidR="001D5768" w:rsidRPr="004A3264">
        <w:rPr>
          <w:lang w:val="es-ES_tradnl"/>
        </w:rPr>
        <w:t>UPOV/INF/5/2 Draft 1 “</w:t>
      </w:r>
      <w:r w:rsidR="00525B72" w:rsidRPr="004A3264">
        <w:rPr>
          <w:lang w:val="es-ES_tradnl"/>
        </w:rPr>
        <w:t xml:space="preserve">Publicación </w:t>
      </w:r>
      <w:r w:rsidR="001D5768" w:rsidRPr="004A3264">
        <w:rPr>
          <w:lang w:val="es-ES_tradnl"/>
        </w:rPr>
        <w:t>tipo de la UPOV sobre la protección de las obtenciones vegetales (revisión)”;</w:t>
      </w:r>
    </w:p>
    <w:p w:rsidR="00A877B5" w:rsidRPr="00734637" w:rsidRDefault="00A877B5" w:rsidP="00846E9C">
      <w:pPr>
        <w:ind w:firstLine="567"/>
        <w:rPr>
          <w:lang w:val="es-ES"/>
        </w:rPr>
      </w:pPr>
    </w:p>
    <w:p w:rsidR="00A877B5" w:rsidRPr="00734637" w:rsidRDefault="00EF2815" w:rsidP="00846E9C">
      <w:pPr>
        <w:ind w:firstLine="567"/>
        <w:rPr>
          <w:lang w:val="es-ES"/>
        </w:rPr>
      </w:pPr>
      <w:r w:rsidRPr="00734637">
        <w:rPr>
          <w:lang w:val="es-ES"/>
        </w:rPr>
        <w:t>d)</w:t>
      </w:r>
      <w:r w:rsidRPr="00734637">
        <w:rPr>
          <w:lang w:val="es-ES"/>
        </w:rPr>
        <w:tab/>
      </w:r>
      <w:r w:rsidR="005D31AE" w:rsidRPr="004A3264">
        <w:rPr>
          <w:lang w:val="es-ES_tradnl"/>
        </w:rPr>
        <w:t>tomar nota de que en el documento CAJ/75/7 “Denominaciones de variedades” se presenta un informe sobre la labor relativa a la posible elaboración de un instrumento de la UPOV de búsqueda de similitud a los fines de la denominación de variedades</w:t>
      </w:r>
      <w:r w:rsidR="00596575" w:rsidRPr="004A3264">
        <w:rPr>
          <w:lang w:val="es-ES_tradnl"/>
        </w:rPr>
        <w:t xml:space="preserve">, </w:t>
      </w:r>
      <w:r w:rsidR="005D31AE" w:rsidRPr="004A3264">
        <w:rPr>
          <w:lang w:val="es-ES_tradnl"/>
        </w:rPr>
        <w:t xml:space="preserve">así como propuestas relativas a una </w:t>
      </w:r>
      <w:r w:rsidR="00D829D7" w:rsidRPr="004A3264">
        <w:rPr>
          <w:lang w:val="es-ES_tradnl"/>
        </w:rPr>
        <w:t>eventual</w:t>
      </w:r>
      <w:r w:rsidR="005D31AE" w:rsidRPr="004A3264">
        <w:rPr>
          <w:lang w:val="es-ES_tradnl"/>
        </w:rPr>
        <w:t xml:space="preserve"> revisión del documento UPOV/INF/12 “Notas explicativas sobre las denominaciones de variedades con arreglo al Convenio de la UPOV”;</w:t>
      </w:r>
      <w:r w:rsidR="00A877B5" w:rsidRPr="00734637">
        <w:rPr>
          <w:lang w:val="es-ES"/>
        </w:rPr>
        <w:t xml:space="preserve"> </w:t>
      </w:r>
      <w:r w:rsidR="00CA383D" w:rsidRPr="004A3264">
        <w:rPr>
          <w:lang w:val="es-ES_tradnl"/>
        </w:rPr>
        <w:t>y</w:t>
      </w:r>
      <w:r w:rsidR="00A877B5" w:rsidRPr="00734637">
        <w:rPr>
          <w:lang w:val="es-ES"/>
        </w:rPr>
        <w:t xml:space="preserve"> </w:t>
      </w:r>
    </w:p>
    <w:p w:rsidR="00A877B5" w:rsidRPr="00734637" w:rsidRDefault="00A877B5" w:rsidP="00846E9C">
      <w:pPr>
        <w:ind w:firstLine="567"/>
        <w:rPr>
          <w:lang w:val="es-ES"/>
        </w:rPr>
      </w:pPr>
    </w:p>
    <w:p w:rsidR="00A877B5" w:rsidRPr="00734637" w:rsidRDefault="00EF2815" w:rsidP="00846E9C">
      <w:pPr>
        <w:ind w:firstLine="567"/>
        <w:rPr>
          <w:lang w:val="es-ES"/>
        </w:rPr>
      </w:pPr>
      <w:r w:rsidRPr="00734637">
        <w:rPr>
          <w:lang w:val="es-ES"/>
        </w:rPr>
        <w:t>e)</w:t>
      </w:r>
      <w:r w:rsidRPr="00734637">
        <w:rPr>
          <w:lang w:val="es-ES"/>
        </w:rPr>
        <w:tab/>
      </w:r>
      <w:r w:rsidR="00CA383D" w:rsidRPr="004A3264">
        <w:rPr>
          <w:lang w:val="es-ES_tradnl"/>
        </w:rPr>
        <w:t xml:space="preserve">examinar el programa para la elaboración de material de información conjuntamente con los debates mantenidos en el marco del “Programa de la septuagésima </w:t>
      </w:r>
      <w:r w:rsidR="00CA383D" w:rsidRPr="004A3264">
        <w:rPr>
          <w:rFonts w:eastAsia="MS Mincho"/>
          <w:lang w:val="es-ES_tradnl"/>
        </w:rPr>
        <w:t xml:space="preserve">sexta </w:t>
      </w:r>
      <w:r w:rsidR="00CA383D" w:rsidRPr="004A3264">
        <w:rPr>
          <w:lang w:val="es-ES_tradnl"/>
        </w:rPr>
        <w:t>sesión”.</w:t>
      </w:r>
    </w:p>
    <w:p w:rsidR="001D5883" w:rsidRPr="00734637" w:rsidRDefault="001D5883" w:rsidP="001D5883">
      <w:pPr>
        <w:ind w:firstLine="567"/>
        <w:rPr>
          <w:rFonts w:cs="Arial"/>
          <w:lang w:val="es-ES"/>
        </w:rPr>
      </w:pPr>
    </w:p>
    <w:p w:rsidR="001D5883" w:rsidRPr="00734637" w:rsidRDefault="001D5883" w:rsidP="001D5883">
      <w:pPr>
        <w:ind w:firstLine="567"/>
        <w:rPr>
          <w:rFonts w:cs="Arial"/>
          <w:lang w:val="es-ES"/>
        </w:rPr>
      </w:pPr>
    </w:p>
    <w:p w:rsidR="001D5883" w:rsidRPr="00734637" w:rsidRDefault="001D5883">
      <w:pPr>
        <w:jc w:val="left"/>
        <w:rPr>
          <w:rFonts w:cs="Arial"/>
          <w:lang w:val="es-ES"/>
        </w:rPr>
      </w:pPr>
      <w:r w:rsidRPr="00734637">
        <w:rPr>
          <w:rFonts w:cs="Arial"/>
          <w:lang w:val="es-ES"/>
        </w:rPr>
        <w:br w:type="page"/>
      </w:r>
    </w:p>
    <w:p w:rsidR="001D5883" w:rsidRPr="004A32E1" w:rsidRDefault="00622AEC" w:rsidP="001D5883">
      <w:pPr>
        <w:keepNext/>
        <w:rPr>
          <w:u w:val="single"/>
          <w:lang w:val="es-ES"/>
        </w:rPr>
      </w:pPr>
      <w:r w:rsidRPr="004A3264">
        <w:rPr>
          <w:u w:val="single"/>
          <w:lang w:val="es-ES_tradnl"/>
        </w:rPr>
        <w:lastRenderedPageBreak/>
        <w:t>Índice</w:t>
      </w:r>
    </w:p>
    <w:p w:rsidR="001D5883" w:rsidRPr="004A32E1" w:rsidRDefault="001D5883" w:rsidP="001D5883">
      <w:pPr>
        <w:keepNext/>
        <w:rPr>
          <w:lang w:val="es-ES"/>
        </w:rPr>
      </w:pPr>
    </w:p>
    <w:p w:rsidR="0066085C" w:rsidRDefault="00C3718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 w:rsidRPr="004B0FC0">
        <w:rPr>
          <w:rFonts w:eastAsia="Arial Unicode MS"/>
          <w:b/>
          <w:caps w:val="0"/>
          <w:sz w:val="20"/>
        </w:rPr>
        <w:fldChar w:fldCharType="begin"/>
      </w:r>
      <w:r w:rsidR="001D5883" w:rsidRPr="004A32E1">
        <w:rPr>
          <w:rFonts w:eastAsia="Arial Unicode MS"/>
          <w:b/>
          <w:caps w:val="0"/>
          <w:lang w:val="es-ES"/>
        </w:rPr>
        <w:instrText xml:space="preserve"> TOC \</w:instrText>
      </w:r>
      <w:r w:rsidR="001072EC" w:rsidRPr="004A32E1">
        <w:rPr>
          <w:rFonts w:eastAsia="Arial Unicode MS"/>
          <w:b/>
          <w:caps w:val="0"/>
          <w:lang w:val="es-ES"/>
        </w:rPr>
        <w:instrText>"Heading 1;1</w:instrText>
      </w:r>
      <w:r w:rsidR="001D5883" w:rsidRPr="004A32E1">
        <w:rPr>
          <w:rFonts w:eastAsia="Arial Unicode MS"/>
          <w:b/>
          <w:caps w:val="0"/>
          <w:lang w:val="es-ES"/>
        </w:rPr>
        <w:instrText xml:space="preserve">" </w:instrText>
      </w:r>
      <w:r w:rsidRPr="004B0FC0">
        <w:rPr>
          <w:rFonts w:eastAsia="Arial Unicode MS"/>
          <w:b/>
          <w:caps w:val="0"/>
          <w:sz w:val="20"/>
        </w:rPr>
        <w:fldChar w:fldCharType="separate"/>
      </w:r>
      <w:r w:rsidR="0066085C" w:rsidRPr="00251710">
        <w:rPr>
          <w:noProof/>
          <w:snapToGrid w:val="0"/>
          <w:lang w:val="es-ES_tradnl"/>
        </w:rPr>
        <w:t>RESUMEN</w:t>
      </w:r>
      <w:r w:rsidR="0066085C" w:rsidRPr="004A32E1">
        <w:rPr>
          <w:noProof/>
          <w:lang w:val="es-ES"/>
        </w:rPr>
        <w:tab/>
      </w:r>
      <w:r>
        <w:rPr>
          <w:noProof/>
        </w:rPr>
        <w:fldChar w:fldCharType="begin"/>
      </w:r>
      <w:r w:rsidR="0066085C" w:rsidRPr="004A32E1">
        <w:rPr>
          <w:noProof/>
          <w:lang w:val="es-ES"/>
        </w:rPr>
        <w:instrText xml:space="preserve"> PAGEREF _Toc522611817 \h </w:instrText>
      </w:r>
      <w:r>
        <w:rPr>
          <w:noProof/>
        </w:rPr>
      </w:r>
      <w:r>
        <w:rPr>
          <w:noProof/>
        </w:rPr>
        <w:fldChar w:fldCharType="separate"/>
      </w:r>
      <w:r w:rsidR="00421D33">
        <w:rPr>
          <w:noProof/>
          <w:lang w:val="es-ES"/>
        </w:rPr>
        <w:t>1</w:t>
      </w:r>
      <w:r>
        <w:rPr>
          <w:noProof/>
        </w:rPr>
        <w:fldChar w:fldCharType="end"/>
      </w:r>
    </w:p>
    <w:p w:rsidR="0066085C" w:rsidRDefault="0066085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 w:rsidRPr="00251710">
        <w:rPr>
          <w:noProof/>
          <w:lang w:val="es-ES_tradnl"/>
        </w:rPr>
        <w:t>INTRODUCCIÓN</w:t>
      </w:r>
      <w:r w:rsidRPr="004A32E1">
        <w:rPr>
          <w:noProof/>
          <w:lang w:val="es-ES"/>
        </w:rPr>
        <w:tab/>
      </w:r>
      <w:r w:rsidR="00C37188">
        <w:rPr>
          <w:noProof/>
        </w:rPr>
        <w:fldChar w:fldCharType="begin"/>
      </w:r>
      <w:r w:rsidRPr="004A32E1">
        <w:rPr>
          <w:noProof/>
          <w:lang w:val="es-ES"/>
        </w:rPr>
        <w:instrText xml:space="preserve"> PAGEREF _Toc522611818 \h </w:instrText>
      </w:r>
      <w:r w:rsidR="00C37188">
        <w:rPr>
          <w:noProof/>
        </w:rPr>
      </w:r>
      <w:r w:rsidR="00C37188">
        <w:rPr>
          <w:noProof/>
        </w:rPr>
        <w:fldChar w:fldCharType="separate"/>
      </w:r>
      <w:r w:rsidR="00421D33">
        <w:rPr>
          <w:noProof/>
          <w:lang w:val="es-ES"/>
        </w:rPr>
        <w:t>2</w:t>
      </w:r>
      <w:r w:rsidR="00C37188">
        <w:rPr>
          <w:noProof/>
        </w:rPr>
        <w:fldChar w:fldCharType="end"/>
      </w:r>
    </w:p>
    <w:p w:rsidR="0066085C" w:rsidRDefault="0066085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 w:rsidRPr="00251710">
        <w:rPr>
          <w:rFonts w:cs="Arial"/>
          <w:noProof/>
          <w:lang w:val="es-ES_tradnl"/>
        </w:rPr>
        <w:t>CUADRO PANORÁMICO DEL PROCESO DE ELABORACIÓN DE MATERIAL DE INFORMACIÓN</w:t>
      </w:r>
      <w:r w:rsidRPr="004A32E1">
        <w:rPr>
          <w:noProof/>
          <w:lang w:val="es-ES"/>
        </w:rPr>
        <w:tab/>
      </w:r>
      <w:r w:rsidR="00C37188">
        <w:rPr>
          <w:noProof/>
        </w:rPr>
        <w:fldChar w:fldCharType="begin"/>
      </w:r>
      <w:r w:rsidRPr="004A32E1">
        <w:rPr>
          <w:noProof/>
          <w:lang w:val="es-ES"/>
        </w:rPr>
        <w:instrText xml:space="preserve"> PAGEREF _Toc522611819 \h </w:instrText>
      </w:r>
      <w:r w:rsidR="00C37188">
        <w:rPr>
          <w:noProof/>
        </w:rPr>
      </w:r>
      <w:r w:rsidR="00C37188">
        <w:rPr>
          <w:noProof/>
        </w:rPr>
        <w:fldChar w:fldCharType="separate"/>
      </w:r>
      <w:r w:rsidR="00421D33">
        <w:rPr>
          <w:noProof/>
          <w:lang w:val="es-ES"/>
        </w:rPr>
        <w:t>2</w:t>
      </w:r>
      <w:r w:rsidR="00C37188">
        <w:rPr>
          <w:noProof/>
        </w:rPr>
        <w:fldChar w:fldCharType="end"/>
      </w:r>
    </w:p>
    <w:p w:rsidR="0066085C" w:rsidRDefault="0066085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 w:rsidRPr="00251710">
        <w:rPr>
          <w:rFonts w:cs="Arial"/>
          <w:caps w:val="0"/>
          <w:noProof/>
          <w:lang w:val="es-ES_tradnl"/>
        </w:rPr>
        <w:t>MATERIAL DE INFORMACIÓN</w:t>
      </w:r>
      <w:r w:rsidRPr="004A32E1">
        <w:rPr>
          <w:noProof/>
          <w:lang w:val="es-ES"/>
        </w:rPr>
        <w:tab/>
      </w:r>
      <w:r w:rsidR="00C37188">
        <w:rPr>
          <w:noProof/>
        </w:rPr>
        <w:fldChar w:fldCharType="begin"/>
      </w:r>
      <w:r w:rsidRPr="004A32E1">
        <w:rPr>
          <w:noProof/>
          <w:lang w:val="es-ES"/>
        </w:rPr>
        <w:instrText xml:space="preserve"> PAGEREF _Toc522611820 \h </w:instrText>
      </w:r>
      <w:r w:rsidR="00C37188">
        <w:rPr>
          <w:noProof/>
        </w:rPr>
      </w:r>
      <w:r w:rsidR="00C37188">
        <w:rPr>
          <w:noProof/>
        </w:rPr>
        <w:fldChar w:fldCharType="separate"/>
      </w:r>
      <w:r w:rsidR="00421D33">
        <w:rPr>
          <w:noProof/>
          <w:lang w:val="es-ES"/>
        </w:rPr>
        <w:t>2</w:t>
      </w:r>
      <w:r w:rsidR="00C37188">
        <w:rPr>
          <w:noProof/>
        </w:rPr>
        <w:fldChar w:fldCharType="end"/>
      </w:r>
    </w:p>
    <w:p w:rsidR="0066085C" w:rsidRPr="00902DA7" w:rsidRDefault="0066085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_tradnl" w:eastAsia="es-ES_tradnl"/>
        </w:rPr>
      </w:pPr>
      <w:r w:rsidRPr="00902DA7">
        <w:rPr>
          <w:rFonts w:cs="Arial"/>
          <w:smallCaps w:val="0"/>
          <w:noProof/>
          <w:lang w:val="es-ES_tradnl"/>
        </w:rPr>
        <w:t>Boletín tipo de la UPOV sobre la protección de las obtenciones vegetales (revisión)</w:t>
      </w:r>
      <w:r w:rsidRPr="004A32E1">
        <w:rPr>
          <w:smallCaps w:val="0"/>
          <w:noProof/>
          <w:lang w:val="es-ES"/>
        </w:rPr>
        <w:tab/>
      </w:r>
      <w:r w:rsidR="00C37188" w:rsidRPr="00902DA7">
        <w:rPr>
          <w:smallCaps w:val="0"/>
          <w:noProof/>
        </w:rPr>
        <w:fldChar w:fldCharType="begin"/>
      </w:r>
      <w:r w:rsidRPr="004A32E1">
        <w:rPr>
          <w:smallCaps w:val="0"/>
          <w:noProof/>
          <w:lang w:val="es-ES"/>
        </w:rPr>
        <w:instrText xml:space="preserve"> PAGEREF _Toc522611821 \h </w:instrText>
      </w:r>
      <w:r w:rsidR="00C37188" w:rsidRPr="00902DA7">
        <w:rPr>
          <w:smallCaps w:val="0"/>
          <w:noProof/>
        </w:rPr>
      </w:r>
      <w:r w:rsidR="00C37188" w:rsidRPr="00902DA7">
        <w:rPr>
          <w:smallCaps w:val="0"/>
          <w:noProof/>
        </w:rPr>
        <w:fldChar w:fldCharType="separate"/>
      </w:r>
      <w:r w:rsidR="00421D33">
        <w:rPr>
          <w:smallCaps w:val="0"/>
          <w:noProof/>
          <w:lang w:val="es-ES"/>
        </w:rPr>
        <w:t>4</w:t>
      </w:r>
      <w:r w:rsidR="00C37188" w:rsidRPr="00902DA7">
        <w:rPr>
          <w:smallCaps w:val="0"/>
          <w:noProof/>
        </w:rPr>
        <w:fldChar w:fldCharType="end"/>
      </w:r>
    </w:p>
    <w:p w:rsidR="0066085C" w:rsidRPr="00902DA7" w:rsidRDefault="0066085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val="es-ES_tradnl" w:eastAsia="es-ES_tradnl"/>
        </w:rPr>
      </w:pPr>
      <w:r w:rsidRPr="00A66904">
        <w:rPr>
          <w:rFonts w:cs="Arial"/>
          <w:smallCaps w:val="0"/>
          <w:noProof/>
          <w:spacing w:val="-2"/>
          <w:lang w:val="es-ES_tradnl"/>
        </w:rPr>
        <w:t>Notas explicativas sobre las denominaciones de variedades con arreglo al Convenio de la UPOV (revisión)</w:t>
      </w:r>
      <w:r w:rsidRPr="004A32E1">
        <w:rPr>
          <w:smallCaps w:val="0"/>
          <w:noProof/>
          <w:lang w:val="es-ES"/>
        </w:rPr>
        <w:tab/>
      </w:r>
      <w:r w:rsidR="00C37188" w:rsidRPr="00902DA7">
        <w:rPr>
          <w:smallCaps w:val="0"/>
          <w:noProof/>
        </w:rPr>
        <w:fldChar w:fldCharType="begin"/>
      </w:r>
      <w:r w:rsidRPr="004A32E1">
        <w:rPr>
          <w:smallCaps w:val="0"/>
          <w:noProof/>
          <w:lang w:val="es-ES"/>
        </w:rPr>
        <w:instrText xml:space="preserve"> PAGEREF _Toc522611822 \h </w:instrText>
      </w:r>
      <w:r w:rsidR="00C37188" w:rsidRPr="00902DA7">
        <w:rPr>
          <w:smallCaps w:val="0"/>
          <w:noProof/>
        </w:rPr>
      </w:r>
      <w:r w:rsidR="00C37188" w:rsidRPr="00902DA7">
        <w:rPr>
          <w:smallCaps w:val="0"/>
          <w:noProof/>
        </w:rPr>
        <w:fldChar w:fldCharType="separate"/>
      </w:r>
      <w:r w:rsidR="00421D33">
        <w:rPr>
          <w:smallCaps w:val="0"/>
          <w:noProof/>
          <w:lang w:val="es-ES"/>
        </w:rPr>
        <w:t>5</w:t>
      </w:r>
      <w:r w:rsidR="00C37188" w:rsidRPr="00902DA7">
        <w:rPr>
          <w:smallCaps w:val="0"/>
          <w:noProof/>
        </w:rPr>
        <w:fldChar w:fldCharType="end"/>
      </w:r>
    </w:p>
    <w:p w:rsidR="0066085C" w:rsidRDefault="0066085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s-ES_tradnl" w:eastAsia="es-ES_tradnl"/>
        </w:rPr>
      </w:pPr>
      <w:r w:rsidRPr="00251710">
        <w:rPr>
          <w:noProof/>
          <w:lang w:val="es-ES_tradnl"/>
        </w:rPr>
        <w:t>PROGRAMA PROVISIONAL PARA LA ELABORACIÓN DE MATERIAL DE INFORMACIÓN</w:t>
      </w:r>
      <w:r w:rsidRPr="004A32E1">
        <w:rPr>
          <w:noProof/>
          <w:lang w:val="es-ES"/>
        </w:rPr>
        <w:tab/>
      </w:r>
      <w:r w:rsidR="00C37188">
        <w:rPr>
          <w:noProof/>
        </w:rPr>
        <w:fldChar w:fldCharType="begin"/>
      </w:r>
      <w:r w:rsidRPr="004A32E1">
        <w:rPr>
          <w:noProof/>
          <w:lang w:val="es-ES"/>
        </w:rPr>
        <w:instrText xml:space="preserve"> PAGEREF _Toc522611823 \h </w:instrText>
      </w:r>
      <w:r w:rsidR="00C37188">
        <w:rPr>
          <w:noProof/>
        </w:rPr>
      </w:r>
      <w:r w:rsidR="00C37188">
        <w:rPr>
          <w:noProof/>
        </w:rPr>
        <w:fldChar w:fldCharType="separate"/>
      </w:r>
      <w:r w:rsidR="00421D33">
        <w:rPr>
          <w:noProof/>
          <w:lang w:val="es-ES"/>
        </w:rPr>
        <w:t>5</w:t>
      </w:r>
      <w:r w:rsidR="00C37188">
        <w:rPr>
          <w:noProof/>
        </w:rPr>
        <w:fldChar w:fldCharType="end"/>
      </w:r>
    </w:p>
    <w:p w:rsidR="001D5883" w:rsidRPr="00734637" w:rsidRDefault="00C37188" w:rsidP="007F71BE">
      <w:pPr>
        <w:spacing w:before="200"/>
        <w:ind w:left="1134" w:hanging="1134"/>
        <w:jc w:val="left"/>
        <w:rPr>
          <w:rFonts w:eastAsia="Arial Unicode MS"/>
          <w:sz w:val="18"/>
          <w:szCs w:val="18"/>
          <w:lang w:val="es-ES"/>
        </w:rPr>
      </w:pPr>
      <w:r w:rsidRPr="004B0FC0">
        <w:rPr>
          <w:rFonts w:eastAsia="Arial Unicode MS" w:cs="Arial"/>
          <w:b/>
          <w:bCs/>
          <w:caps/>
          <w:noProof/>
          <w:sz w:val="18"/>
        </w:rPr>
        <w:fldChar w:fldCharType="end"/>
      </w:r>
      <w:r w:rsidR="00622AEC" w:rsidRPr="004A3264">
        <w:rPr>
          <w:rFonts w:eastAsia="Arial Unicode MS"/>
          <w:sz w:val="18"/>
          <w:szCs w:val="18"/>
          <w:lang w:val="es-ES_tradnl"/>
        </w:rPr>
        <w:t>ANEXO</w:t>
      </w:r>
      <w:r w:rsidR="001D5883" w:rsidRPr="00734637">
        <w:rPr>
          <w:rFonts w:eastAsia="Arial Unicode MS"/>
          <w:sz w:val="18"/>
          <w:szCs w:val="18"/>
          <w:lang w:val="es-ES"/>
        </w:rPr>
        <w:tab/>
      </w:r>
      <w:r w:rsidR="00622AEC" w:rsidRPr="004A3264">
        <w:rPr>
          <w:rFonts w:eastAsia="Arial Unicode MS"/>
          <w:sz w:val="18"/>
          <w:szCs w:val="18"/>
          <w:lang w:val="es-ES_tradnl"/>
        </w:rPr>
        <w:t>CUADRO PANORÁMICO DEL PROCESO DE ELABORACIÓN DE MATERIAL DE INFORMACIÓN</w:t>
      </w:r>
    </w:p>
    <w:p w:rsidR="001D5883" w:rsidRPr="00734637" w:rsidRDefault="001D5883" w:rsidP="001D5883">
      <w:pPr>
        <w:rPr>
          <w:lang w:val="es-ES"/>
        </w:rPr>
      </w:pPr>
    </w:p>
    <w:p w:rsidR="001D5883" w:rsidRDefault="001D5883" w:rsidP="001D5883">
      <w:pPr>
        <w:rPr>
          <w:lang w:val="es-ES"/>
        </w:rPr>
      </w:pPr>
    </w:p>
    <w:p w:rsidR="00A66904" w:rsidRPr="00734637" w:rsidRDefault="00A66904" w:rsidP="001D5883">
      <w:pPr>
        <w:rPr>
          <w:lang w:val="es-ES"/>
        </w:rPr>
      </w:pPr>
    </w:p>
    <w:p w:rsidR="001D5883" w:rsidRPr="00734637" w:rsidRDefault="00622AEC" w:rsidP="001D5883">
      <w:pPr>
        <w:pStyle w:val="Heading1"/>
        <w:rPr>
          <w:lang w:val="es-ES"/>
        </w:rPr>
      </w:pPr>
      <w:bookmarkStart w:id="3" w:name="_Toc522611818"/>
      <w:r w:rsidRPr="004A3264">
        <w:rPr>
          <w:lang w:val="es-ES_tradnl"/>
        </w:rPr>
        <w:t>INTRODUCCIÓN</w:t>
      </w:r>
      <w:bookmarkEnd w:id="3"/>
    </w:p>
    <w:p w:rsidR="001D5883" w:rsidRPr="00734637" w:rsidRDefault="001D5883" w:rsidP="001D5883">
      <w:pPr>
        <w:keepNext/>
        <w:rPr>
          <w:lang w:val="es-ES"/>
        </w:rPr>
      </w:pPr>
    </w:p>
    <w:p w:rsidR="001D5883" w:rsidRPr="00734637" w:rsidRDefault="00C37188" w:rsidP="001D5883">
      <w:pPr>
        <w:autoSpaceDE w:val="0"/>
        <w:rPr>
          <w:rFonts w:cs="Arial"/>
          <w:lang w:val="es-ES"/>
        </w:rPr>
      </w:pPr>
      <w:r w:rsidRPr="00980611">
        <w:rPr>
          <w:rFonts w:cs="Arial"/>
        </w:rPr>
        <w:fldChar w:fldCharType="begin"/>
      </w:r>
      <w:r w:rsidR="001D5883" w:rsidRPr="00734637">
        <w:rPr>
          <w:rFonts w:cs="Arial"/>
          <w:lang w:val="es-ES"/>
        </w:rPr>
        <w:instrText xml:space="preserve"> AUTONUM  </w:instrText>
      </w:r>
      <w:r w:rsidRPr="00980611">
        <w:rPr>
          <w:rFonts w:cs="Arial"/>
        </w:rPr>
        <w:fldChar w:fldCharType="end"/>
      </w:r>
      <w:r w:rsidR="001D5883" w:rsidRPr="00734637">
        <w:rPr>
          <w:rFonts w:cs="Arial"/>
          <w:lang w:val="es-ES"/>
        </w:rPr>
        <w:tab/>
      </w:r>
      <w:r w:rsidR="007A2740" w:rsidRPr="001B3359">
        <w:rPr>
          <w:rFonts w:cs="Arial"/>
          <w:lang w:val="es-ES_tradnl"/>
        </w:rPr>
        <w:t>En su quincuagésima segunda sesión,</w:t>
      </w:r>
      <w:r w:rsidR="007A2740" w:rsidRPr="001B3359">
        <w:rPr>
          <w:rStyle w:val="FootnoteReference"/>
          <w:rFonts w:cs="Arial"/>
          <w:lang w:val="es-ES_tradnl"/>
        </w:rPr>
        <w:footnoteReference w:id="2"/>
      </w:r>
      <w:r w:rsidR="007A2740" w:rsidRPr="001B3359">
        <w:rPr>
          <w:rFonts w:cs="Arial"/>
          <w:lang w:val="es-ES_tradnl"/>
        </w:rPr>
        <w:t xml:space="preserve"> el </w:t>
      </w:r>
      <w:r w:rsidR="00E21B65" w:rsidRPr="001B3359">
        <w:rPr>
          <w:rFonts w:cs="Arial"/>
          <w:lang w:val="es-ES_tradnl"/>
        </w:rPr>
        <w:t xml:space="preserve">CAJ </w:t>
      </w:r>
      <w:r w:rsidR="007A2740" w:rsidRPr="001B3359">
        <w:rPr>
          <w:rFonts w:cs="Arial"/>
          <w:lang w:val="es-ES_tradnl"/>
        </w:rPr>
        <w:t>acordó un enfoque para la elaboración de material de información sobre el Convenio de la UPOV.</w:t>
      </w:r>
      <w:r w:rsidR="00E21B65" w:rsidRPr="001B3359">
        <w:rPr>
          <w:rStyle w:val="FootnoteReference"/>
          <w:rFonts w:cs="Arial"/>
          <w:lang w:val="es-ES_tradnl"/>
        </w:rPr>
        <w:footnoteReference w:id="3"/>
      </w:r>
      <w:r w:rsidR="00EF2815" w:rsidRPr="00734637">
        <w:rPr>
          <w:rFonts w:cs="Arial"/>
          <w:lang w:val="es-ES"/>
        </w:rPr>
        <w:t xml:space="preserve"> </w:t>
      </w:r>
      <w:r w:rsidR="007F71BE">
        <w:rPr>
          <w:rFonts w:cs="Arial"/>
          <w:lang w:val="es-ES"/>
        </w:rPr>
        <w:t xml:space="preserve"> </w:t>
      </w:r>
      <w:r w:rsidR="005407F4" w:rsidRPr="001B3359">
        <w:rPr>
          <w:rFonts w:cs="Arial"/>
          <w:lang w:val="es-ES_tradnl"/>
        </w:rPr>
        <w:t>También convino en crear un grupo asesor que asista al CAJ (CAJ</w:t>
      </w:r>
      <w:r w:rsidR="005407F4" w:rsidRPr="001B3359">
        <w:rPr>
          <w:rFonts w:cs="Arial"/>
          <w:lang w:val="es-ES_tradnl"/>
        </w:rPr>
        <w:noBreakHyphen/>
        <w:t>AG) en la elaboración de los documentos relativos a dicho material.</w:t>
      </w:r>
      <w:r w:rsidR="005407F4" w:rsidRPr="001B3359">
        <w:rPr>
          <w:rStyle w:val="FootnoteReference"/>
          <w:rFonts w:cs="Arial"/>
          <w:lang w:val="es-ES_tradnl"/>
        </w:rPr>
        <w:footnoteReference w:id="4"/>
      </w:r>
      <w:r w:rsidR="00EF2815" w:rsidRPr="00734637">
        <w:rPr>
          <w:rFonts w:cs="Arial"/>
          <w:lang w:val="es-ES"/>
        </w:rPr>
        <w:t xml:space="preserve"> </w:t>
      </w:r>
      <w:r w:rsidR="007F71BE">
        <w:rPr>
          <w:rFonts w:cs="Arial"/>
          <w:lang w:val="es-ES"/>
        </w:rPr>
        <w:t xml:space="preserve"> </w:t>
      </w:r>
      <w:r w:rsidR="005407F4" w:rsidRPr="001B3359">
        <w:rPr>
          <w:rFonts w:cs="Arial"/>
          <w:lang w:val="es-ES_tradnl"/>
        </w:rPr>
        <w:t>El enfoque acordado se resume a continuación:</w:t>
      </w:r>
      <w:r w:rsidR="00EF2815" w:rsidRPr="00734637">
        <w:rPr>
          <w:rFonts w:cs="Arial"/>
          <w:lang w:val="es-ES"/>
        </w:rPr>
        <w:t xml:space="preserve"> </w:t>
      </w:r>
      <w:r w:rsidR="005407F4" w:rsidRPr="001B3359">
        <w:rPr>
          <w:rFonts w:cs="Arial"/>
          <w:lang w:val="es-ES_tradnl"/>
        </w:rPr>
        <w:t>la Oficina de la Unión elaborará proyectos de material que considere que abarcan cuestiones suficientemente claras y los transmitirá al CAJ con miras a que este último formule observaciones dentro de un plazo específico.</w:t>
      </w:r>
      <w:r w:rsidR="00EF2815" w:rsidRPr="00734637">
        <w:rPr>
          <w:rFonts w:cs="Arial"/>
          <w:lang w:val="es-ES"/>
        </w:rPr>
        <w:t xml:space="preserve"> </w:t>
      </w:r>
      <w:r w:rsidR="007F71BE">
        <w:rPr>
          <w:rFonts w:cs="Arial"/>
          <w:lang w:val="es-ES"/>
        </w:rPr>
        <w:t xml:space="preserve"> </w:t>
      </w:r>
      <w:r w:rsidR="005407F4" w:rsidRPr="001B3359">
        <w:rPr>
          <w:rFonts w:cs="Arial"/>
          <w:lang w:val="es-ES_tradnl"/>
        </w:rPr>
        <w:t>En otros casos</w:t>
      </w:r>
      <w:r w:rsidR="00596575" w:rsidRPr="001B3359">
        <w:rPr>
          <w:rFonts w:cs="Arial"/>
          <w:lang w:val="es-ES_tradnl"/>
        </w:rPr>
        <w:t xml:space="preserve">, </w:t>
      </w:r>
      <w:r w:rsidR="005407F4" w:rsidRPr="001B3359">
        <w:rPr>
          <w:rFonts w:cs="Arial"/>
          <w:lang w:val="es-ES_tradnl"/>
        </w:rPr>
        <w:t>cuando se considere que se plantean cuestiones problemáticas y que sería importante debatirlas en las sesiones del CAJ a los fines de elaborar material adecuado al respecto</w:t>
      </w:r>
      <w:r w:rsidR="00596575" w:rsidRPr="001B3359">
        <w:rPr>
          <w:rFonts w:cs="Arial"/>
          <w:lang w:val="es-ES_tradnl"/>
        </w:rPr>
        <w:t xml:space="preserve">, </w:t>
      </w:r>
      <w:r w:rsidR="005407F4" w:rsidRPr="001B3359">
        <w:rPr>
          <w:rFonts w:cs="Arial"/>
          <w:lang w:val="es-ES_tradnl"/>
        </w:rPr>
        <w:t>y también en los casos en que los proyectos de material que a simple vista no parecían plantear problemas susciten motivos de preocupación imprevistos al ser distribuidos para recabar observaciones</w:t>
      </w:r>
      <w:r w:rsidR="00596575" w:rsidRPr="001B3359">
        <w:rPr>
          <w:rFonts w:cs="Arial"/>
          <w:lang w:val="es-ES_tradnl"/>
        </w:rPr>
        <w:t xml:space="preserve">, </w:t>
      </w:r>
      <w:r w:rsidR="005407F4" w:rsidRPr="001B3359">
        <w:rPr>
          <w:rFonts w:cs="Arial"/>
          <w:lang w:val="es-ES_tradnl"/>
        </w:rPr>
        <w:t>se convino en solicitar la asistencia del CAJ</w:t>
      </w:r>
      <w:r w:rsidR="005407F4" w:rsidRPr="001B3359">
        <w:rPr>
          <w:rFonts w:cs="Arial"/>
          <w:lang w:val="es-ES_tradnl"/>
        </w:rPr>
        <w:noBreakHyphen/>
        <w:t>AG antes de invitar al CAJ a examinar esas cuestiones en el marco de sus sesiones.</w:t>
      </w:r>
      <w:r w:rsidR="001D5883" w:rsidRPr="00734637">
        <w:rPr>
          <w:rFonts w:cs="Arial"/>
          <w:lang w:val="es-ES"/>
        </w:rPr>
        <w:t xml:space="preserve"> </w:t>
      </w:r>
    </w:p>
    <w:p w:rsidR="001D5883" w:rsidRPr="00734637" w:rsidRDefault="001D5883" w:rsidP="001D5883">
      <w:pPr>
        <w:rPr>
          <w:rFonts w:cs="Arial"/>
          <w:lang w:val="es-ES"/>
        </w:rPr>
      </w:pPr>
    </w:p>
    <w:p w:rsidR="001D5883" w:rsidRPr="00734637" w:rsidRDefault="00C37188" w:rsidP="001D5883">
      <w:pPr>
        <w:tabs>
          <w:tab w:val="left" w:pos="567"/>
        </w:tabs>
        <w:autoSpaceDE w:val="0"/>
        <w:rPr>
          <w:rFonts w:cs="Arial"/>
          <w:lang w:val="es-ES"/>
        </w:rPr>
      </w:pPr>
      <w:r w:rsidRPr="00980611">
        <w:rPr>
          <w:rFonts w:cs="Arial"/>
        </w:rPr>
        <w:fldChar w:fldCharType="begin"/>
      </w:r>
      <w:r w:rsidR="001D5883" w:rsidRPr="00734637">
        <w:rPr>
          <w:rFonts w:cs="Arial"/>
          <w:lang w:val="es-ES"/>
        </w:rPr>
        <w:instrText xml:space="preserve"> AUTONUM  </w:instrText>
      </w:r>
      <w:r w:rsidRPr="00980611">
        <w:rPr>
          <w:rFonts w:cs="Arial"/>
        </w:rPr>
        <w:fldChar w:fldCharType="end"/>
      </w:r>
      <w:r w:rsidR="001D5883" w:rsidRPr="00734637">
        <w:rPr>
          <w:rFonts w:cs="Arial"/>
          <w:lang w:val="es-ES"/>
        </w:rPr>
        <w:tab/>
      </w:r>
      <w:r w:rsidR="005407F4" w:rsidRPr="00A663D9">
        <w:rPr>
          <w:rFonts w:cs="Arial"/>
          <w:lang w:val="es-ES_tradnl"/>
        </w:rPr>
        <w:t>El CAJ</w:t>
      </w:r>
      <w:r w:rsidR="00596575" w:rsidRPr="00A663D9">
        <w:rPr>
          <w:rFonts w:cs="Arial"/>
          <w:lang w:val="es-ES_tradnl"/>
        </w:rPr>
        <w:t xml:space="preserve">, </w:t>
      </w:r>
      <w:r w:rsidR="005407F4" w:rsidRPr="00A663D9">
        <w:rPr>
          <w:rFonts w:cs="Arial"/>
          <w:lang w:val="es-ES_tradnl"/>
        </w:rPr>
        <w:t>en su septuagésima sesión</w:t>
      </w:r>
      <w:r w:rsidR="00596575" w:rsidRPr="00A663D9">
        <w:rPr>
          <w:rFonts w:cs="Arial"/>
          <w:lang w:val="es-ES_tradnl"/>
        </w:rPr>
        <w:t>,</w:t>
      </w:r>
      <w:r w:rsidR="00766F01" w:rsidRPr="00A663D9">
        <w:rPr>
          <w:rStyle w:val="FootnoteReference"/>
          <w:rFonts w:cs="Arial"/>
          <w:lang w:val="es-ES_tradnl"/>
        </w:rPr>
        <w:footnoteReference w:id="5"/>
      </w:r>
      <w:r w:rsidR="005407F4" w:rsidRPr="00A663D9">
        <w:rPr>
          <w:rFonts w:cs="Arial"/>
          <w:lang w:val="es-ES_tradnl"/>
        </w:rPr>
        <w:t xml:space="preserve"> acordó que todas las cuestiones sometidas a la consideración del </w:t>
      </w:r>
      <w:r w:rsidR="00766F01" w:rsidRPr="00A663D9">
        <w:rPr>
          <w:rFonts w:cs="Arial"/>
          <w:lang w:val="es-ES_tradnl"/>
        </w:rPr>
        <w:t>CAJ</w:t>
      </w:r>
      <w:r w:rsidR="00766F01" w:rsidRPr="00A663D9">
        <w:rPr>
          <w:rFonts w:cs="Arial"/>
          <w:lang w:val="es-ES_tradnl"/>
        </w:rPr>
        <w:noBreakHyphen/>
        <w:t>AG</w:t>
      </w:r>
      <w:r w:rsidR="005407F4" w:rsidRPr="00A663D9">
        <w:rPr>
          <w:rFonts w:cs="Arial"/>
          <w:lang w:val="es-ES_tradnl"/>
        </w:rPr>
        <w:t xml:space="preserve"> en su novena sesión</w:t>
      </w:r>
      <w:r w:rsidR="00766F01" w:rsidRPr="00A663D9">
        <w:rPr>
          <w:rStyle w:val="FootnoteReference"/>
          <w:rFonts w:cs="Arial"/>
          <w:lang w:val="es-ES_tradnl"/>
        </w:rPr>
        <w:footnoteReference w:id="6"/>
      </w:r>
      <w:r w:rsidR="005407F4" w:rsidRPr="00A663D9">
        <w:rPr>
          <w:rFonts w:cs="Arial"/>
          <w:lang w:val="es-ES_tradnl"/>
        </w:rPr>
        <w:t xml:space="preserve"> debían</w:t>
      </w:r>
      <w:r w:rsidR="00596575" w:rsidRPr="00A663D9">
        <w:rPr>
          <w:rFonts w:cs="Arial"/>
          <w:lang w:val="es-ES_tradnl"/>
        </w:rPr>
        <w:t xml:space="preserve">, </w:t>
      </w:r>
      <w:r w:rsidR="005407F4" w:rsidRPr="00A663D9">
        <w:rPr>
          <w:rFonts w:cs="Arial"/>
          <w:lang w:val="es-ES_tradnl"/>
        </w:rPr>
        <w:t xml:space="preserve">tras la celebración de la novena sesión del </w:t>
      </w:r>
      <w:r w:rsidR="00766F01" w:rsidRPr="00A663D9">
        <w:rPr>
          <w:rFonts w:cs="Arial"/>
          <w:lang w:val="es-ES_tradnl"/>
        </w:rPr>
        <w:t>CAJ</w:t>
      </w:r>
      <w:r w:rsidR="00766F01" w:rsidRPr="00A663D9">
        <w:rPr>
          <w:rFonts w:cs="Arial"/>
          <w:lang w:val="es-ES_tradnl"/>
        </w:rPr>
        <w:noBreakHyphen/>
        <w:t>AG</w:t>
      </w:r>
      <w:r w:rsidR="00596575" w:rsidRPr="00A663D9">
        <w:rPr>
          <w:rFonts w:cs="Arial"/>
          <w:lang w:val="es-ES_tradnl"/>
        </w:rPr>
        <w:t xml:space="preserve">, </w:t>
      </w:r>
      <w:r w:rsidR="005407F4" w:rsidRPr="00A663D9">
        <w:rPr>
          <w:rFonts w:cs="Arial"/>
          <w:lang w:val="es-ES_tradnl"/>
        </w:rPr>
        <w:t xml:space="preserve">ser examinadas por el CAJ y que el </w:t>
      </w:r>
      <w:r w:rsidR="00766F01" w:rsidRPr="00A663D9">
        <w:rPr>
          <w:rFonts w:cs="Arial"/>
          <w:lang w:val="es-ES_tradnl"/>
        </w:rPr>
        <w:t>CAJ</w:t>
      </w:r>
      <w:r w:rsidR="00766F01" w:rsidRPr="00A663D9">
        <w:rPr>
          <w:rFonts w:cs="Arial"/>
          <w:lang w:val="es-ES_tradnl"/>
        </w:rPr>
        <w:noBreakHyphen/>
        <w:t xml:space="preserve">AG </w:t>
      </w:r>
      <w:r w:rsidR="005407F4" w:rsidRPr="00A663D9">
        <w:rPr>
          <w:rFonts w:cs="Arial"/>
          <w:lang w:val="es-ES_tradnl"/>
        </w:rPr>
        <w:t>únicamente debía reunirse</w:t>
      </w:r>
      <w:r w:rsidR="00596575" w:rsidRPr="00A663D9">
        <w:rPr>
          <w:rFonts w:cs="Arial"/>
          <w:lang w:val="es-ES_tradnl"/>
        </w:rPr>
        <w:t xml:space="preserve">, </w:t>
      </w:r>
      <w:r w:rsidR="005407F4" w:rsidRPr="00A663D9">
        <w:rPr>
          <w:rFonts w:cs="Arial"/>
          <w:lang w:val="es-ES_tradnl"/>
        </w:rPr>
        <w:t xml:space="preserve">con carácter </w:t>
      </w:r>
      <w:r w:rsidR="005407F4" w:rsidRPr="00A663D9">
        <w:rPr>
          <w:rFonts w:cs="Arial"/>
          <w:i/>
          <w:lang w:val="es-ES_tradnl"/>
        </w:rPr>
        <w:t>ad</w:t>
      </w:r>
      <w:r w:rsidR="00766F01" w:rsidRPr="00A663D9">
        <w:rPr>
          <w:rFonts w:cs="Arial"/>
          <w:i/>
          <w:lang w:val="es-ES_tradnl"/>
        </w:rPr>
        <w:t> </w:t>
      </w:r>
      <w:r w:rsidR="005407F4" w:rsidRPr="00A663D9">
        <w:rPr>
          <w:rFonts w:cs="Arial"/>
          <w:i/>
          <w:lang w:val="es-ES_tradnl"/>
        </w:rPr>
        <w:t>hoc</w:t>
      </w:r>
      <w:r w:rsidR="00596575" w:rsidRPr="00A663D9">
        <w:rPr>
          <w:rFonts w:cs="Arial"/>
          <w:lang w:val="es-ES_tradnl"/>
        </w:rPr>
        <w:t xml:space="preserve">, </w:t>
      </w:r>
      <w:r w:rsidR="005407F4" w:rsidRPr="00A663D9">
        <w:rPr>
          <w:rFonts w:cs="Arial"/>
          <w:lang w:val="es-ES_tradnl"/>
        </w:rPr>
        <w:t>cuando el CAJ lo estimara oportuno.</w:t>
      </w:r>
      <w:r w:rsidR="001D5883" w:rsidRPr="00980611">
        <w:rPr>
          <w:rStyle w:val="FootnoteReference"/>
          <w:rFonts w:cs="Arial"/>
        </w:rPr>
        <w:footnoteReference w:id="7"/>
      </w:r>
    </w:p>
    <w:p w:rsidR="001D5883" w:rsidRPr="00734637" w:rsidRDefault="001D5883" w:rsidP="001D5883">
      <w:pPr>
        <w:rPr>
          <w:rFonts w:cs="Arial"/>
          <w:lang w:val="es-ES"/>
        </w:rPr>
      </w:pPr>
    </w:p>
    <w:p w:rsidR="001D5883" w:rsidRDefault="001D5883" w:rsidP="001D5883">
      <w:pPr>
        <w:rPr>
          <w:rFonts w:cs="Arial"/>
          <w:lang w:val="es-ES"/>
        </w:rPr>
      </w:pPr>
    </w:p>
    <w:p w:rsidR="00A66904" w:rsidRPr="00734637" w:rsidRDefault="00A66904" w:rsidP="001D5883">
      <w:pPr>
        <w:rPr>
          <w:rFonts w:cs="Arial"/>
          <w:lang w:val="es-ES"/>
        </w:rPr>
      </w:pPr>
    </w:p>
    <w:p w:rsidR="001D5883" w:rsidRPr="00734637" w:rsidRDefault="00766F01" w:rsidP="001D5883">
      <w:pPr>
        <w:pStyle w:val="Heading1"/>
        <w:rPr>
          <w:rFonts w:cs="Arial"/>
          <w:lang w:val="es-ES"/>
        </w:rPr>
      </w:pPr>
      <w:bookmarkStart w:id="4" w:name="_Toc522611819"/>
      <w:r w:rsidRPr="00A663D9">
        <w:rPr>
          <w:rFonts w:cs="Arial"/>
          <w:lang w:val="es-ES_tradnl"/>
        </w:rPr>
        <w:t>CUADRO PANORÁMICO DEL PROCESO DE ELABORACIÓN DE MATERIAL DE INFORMACIÓN</w:t>
      </w:r>
      <w:bookmarkEnd w:id="4"/>
    </w:p>
    <w:p w:rsidR="001D5883" w:rsidRPr="00734637" w:rsidRDefault="001D5883" w:rsidP="001D5883">
      <w:pPr>
        <w:keepNext/>
        <w:rPr>
          <w:rFonts w:cs="Arial"/>
          <w:lang w:val="es-ES"/>
        </w:rPr>
      </w:pPr>
    </w:p>
    <w:p w:rsidR="001D5883" w:rsidRPr="00734637" w:rsidRDefault="00C37188" w:rsidP="001D5883">
      <w:pPr>
        <w:rPr>
          <w:rFonts w:cs="Arial"/>
          <w:lang w:val="es-ES"/>
        </w:rPr>
      </w:pPr>
      <w:r w:rsidRPr="00980611">
        <w:rPr>
          <w:rFonts w:cs="Arial"/>
        </w:rPr>
        <w:fldChar w:fldCharType="begin"/>
      </w:r>
      <w:r w:rsidR="001D5883" w:rsidRPr="00734637">
        <w:rPr>
          <w:rFonts w:cs="Arial"/>
          <w:lang w:val="es-ES"/>
        </w:rPr>
        <w:instrText xml:space="preserve"> AUTONUM  </w:instrText>
      </w:r>
      <w:r w:rsidRPr="00980611">
        <w:rPr>
          <w:rFonts w:cs="Arial"/>
        </w:rPr>
        <w:fldChar w:fldCharType="end"/>
      </w:r>
      <w:r w:rsidR="001D5883" w:rsidRPr="00734637">
        <w:rPr>
          <w:rFonts w:cs="Arial"/>
          <w:lang w:val="es-ES"/>
        </w:rPr>
        <w:tab/>
      </w:r>
      <w:r w:rsidR="00766F01" w:rsidRPr="00A663D9">
        <w:rPr>
          <w:rFonts w:cs="Arial"/>
          <w:spacing w:val="-2"/>
          <w:lang w:val="es-ES_tradnl"/>
        </w:rPr>
        <w:t>En el Anexo del presente documento figura un cuadro panorámico del proceso de elaboración de material de información.</w:t>
      </w:r>
      <w:r w:rsidR="001D5883" w:rsidRPr="00734637">
        <w:rPr>
          <w:rFonts w:cs="Arial"/>
          <w:lang w:val="es-ES"/>
        </w:rPr>
        <w:t xml:space="preserve"> </w:t>
      </w:r>
    </w:p>
    <w:p w:rsidR="001D5883" w:rsidRDefault="001D5883" w:rsidP="001D5883">
      <w:pPr>
        <w:rPr>
          <w:rFonts w:cs="Arial"/>
          <w:lang w:val="es-ES"/>
        </w:rPr>
      </w:pPr>
    </w:p>
    <w:p w:rsidR="00A66904" w:rsidRPr="00734637" w:rsidRDefault="00A66904" w:rsidP="001D5883">
      <w:pPr>
        <w:rPr>
          <w:rFonts w:cs="Arial"/>
          <w:lang w:val="es-ES"/>
        </w:rPr>
      </w:pPr>
    </w:p>
    <w:p w:rsidR="00CD7512" w:rsidRPr="00734637" w:rsidRDefault="00CD7512" w:rsidP="001D5883">
      <w:pPr>
        <w:rPr>
          <w:rFonts w:cs="Arial"/>
          <w:lang w:val="es-ES"/>
        </w:rPr>
      </w:pPr>
    </w:p>
    <w:p w:rsidR="001D5883" w:rsidRPr="00734637" w:rsidRDefault="00766F01" w:rsidP="001D5883">
      <w:pPr>
        <w:pStyle w:val="Heading1"/>
        <w:rPr>
          <w:rFonts w:cs="Arial"/>
          <w:lang w:val="es-ES"/>
        </w:rPr>
      </w:pPr>
      <w:bookmarkStart w:id="5" w:name="_Toc522611820"/>
      <w:r w:rsidRPr="00A663D9">
        <w:rPr>
          <w:rFonts w:cs="Arial"/>
          <w:caps w:val="0"/>
          <w:lang w:val="es-ES_tradnl"/>
        </w:rPr>
        <w:t>MATERIAL DE INFORMACIÓN</w:t>
      </w:r>
      <w:bookmarkEnd w:id="5"/>
      <w:r w:rsidR="001D5883" w:rsidRPr="00734637">
        <w:rPr>
          <w:rFonts w:cs="Arial"/>
          <w:lang w:val="es-ES"/>
        </w:rPr>
        <w:t xml:space="preserve"> </w:t>
      </w:r>
    </w:p>
    <w:p w:rsidR="001D5883" w:rsidRPr="00734637" w:rsidRDefault="001D5883" w:rsidP="001D5883">
      <w:pPr>
        <w:rPr>
          <w:rFonts w:cs="Arial"/>
          <w:lang w:val="es-ES"/>
        </w:rPr>
      </w:pPr>
    </w:p>
    <w:p w:rsidR="00B1388A" w:rsidRPr="00734637" w:rsidRDefault="00C37188" w:rsidP="006D7748">
      <w:pPr>
        <w:rPr>
          <w:rFonts w:cs="Arial"/>
          <w:lang w:val="es-ES"/>
        </w:rPr>
      </w:pPr>
      <w:r>
        <w:rPr>
          <w:rFonts w:cs="Arial"/>
        </w:rPr>
        <w:fldChar w:fldCharType="begin"/>
      </w:r>
      <w:r w:rsidR="00D07235" w:rsidRPr="00734637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="00D07235" w:rsidRPr="00734637">
        <w:rPr>
          <w:rFonts w:cs="Arial"/>
          <w:lang w:val="es-ES"/>
        </w:rPr>
        <w:tab/>
      </w:r>
      <w:r w:rsidR="006009A3" w:rsidRPr="00A62A75">
        <w:rPr>
          <w:rFonts w:cs="Arial"/>
          <w:lang w:val="es-ES_tradnl"/>
        </w:rPr>
        <w:t>En su septuagésima cuarta sesión,</w:t>
      </w:r>
      <w:r w:rsidR="006009A3" w:rsidRPr="00A62A75">
        <w:rPr>
          <w:rStyle w:val="FootnoteReference"/>
          <w:rFonts w:cs="Arial"/>
          <w:lang w:val="es-ES_tradnl"/>
        </w:rPr>
        <w:footnoteReference w:id="8"/>
      </w:r>
      <w:r w:rsidR="006009A3" w:rsidRPr="00A62A75">
        <w:rPr>
          <w:rFonts w:cs="Arial"/>
          <w:lang w:val="es-ES_tradnl"/>
        </w:rPr>
        <w:t xml:space="preserve"> el CAJ examinó las observaciones formuladas </w:t>
      </w:r>
      <w:r w:rsidR="00A663D9" w:rsidRPr="00A62A75">
        <w:rPr>
          <w:rFonts w:cs="Arial"/>
          <w:lang w:val="es-ES_tradnl"/>
        </w:rPr>
        <w:t xml:space="preserve">respecto </w:t>
      </w:r>
      <w:r w:rsidR="006009A3" w:rsidRPr="00A62A75">
        <w:rPr>
          <w:rFonts w:cs="Arial"/>
          <w:lang w:val="es-ES_tradnl"/>
        </w:rPr>
        <w:t>de los documentos UPOV/EXN/EDV/2 “Notas explicativas sobre las variedades esencialmente derivadas con arreglo al Acta de 1991 del Convenio de la UPOV”</w:t>
      </w:r>
      <w:r w:rsidR="00596575" w:rsidRPr="00A62A75">
        <w:rPr>
          <w:rFonts w:cs="Arial"/>
          <w:lang w:val="es-ES_tradnl"/>
        </w:rPr>
        <w:t xml:space="preserve">, </w:t>
      </w:r>
      <w:r w:rsidR="006009A3" w:rsidRPr="00A62A75">
        <w:rPr>
          <w:rFonts w:cs="Arial"/>
          <w:lang w:val="es-ES_tradnl"/>
        </w:rPr>
        <w:t>UPOV/EXN/CAL/1 “Notas explicativas sobre las condiciones y limitaciones relativas a la autorización del obtentor respecto del material de reproducción o de multiplicación con arreglo al Convenio de la UPOV” y UPOV/EXN/PRP/2 “Notas explicativas sobre la protección provisional con arreglo al Convenio de la UPOV”.</w:t>
      </w:r>
      <w:r w:rsidR="00D07235" w:rsidRPr="00734637">
        <w:rPr>
          <w:rFonts w:cs="Arial"/>
          <w:lang w:val="es-ES"/>
        </w:rPr>
        <w:t xml:space="preserve"> </w:t>
      </w:r>
      <w:r w:rsidR="007F71BE">
        <w:rPr>
          <w:rFonts w:cs="Arial"/>
          <w:lang w:val="es-ES"/>
        </w:rPr>
        <w:t xml:space="preserve"> </w:t>
      </w:r>
      <w:r w:rsidR="00EF2387" w:rsidRPr="00A62A75">
        <w:rPr>
          <w:rFonts w:cs="Arial"/>
          <w:lang w:val="es-ES_tradnl"/>
        </w:rPr>
        <w:t>Los</w:t>
      </w:r>
      <w:r w:rsidR="00A11B4E" w:rsidRPr="00A62A75">
        <w:rPr>
          <w:rFonts w:cs="Arial"/>
          <w:lang w:val="es-ES_tradnl"/>
        </w:rPr>
        <w:t xml:space="preserve"> antecedentes</w:t>
      </w:r>
      <w:r w:rsidR="00EF2387" w:rsidRPr="00A62A75">
        <w:rPr>
          <w:rFonts w:cs="Arial"/>
          <w:lang w:val="es-ES_tradnl"/>
        </w:rPr>
        <w:t xml:space="preserve"> </w:t>
      </w:r>
      <w:r w:rsidR="00D80E2E" w:rsidRPr="00A62A75">
        <w:rPr>
          <w:rFonts w:cs="Arial"/>
          <w:lang w:val="es-ES_tradnl"/>
        </w:rPr>
        <w:t>de</w:t>
      </w:r>
      <w:r w:rsidR="00EF2387" w:rsidRPr="00A62A75">
        <w:rPr>
          <w:rFonts w:cs="Arial"/>
          <w:lang w:val="es-ES_tradnl"/>
        </w:rPr>
        <w:t xml:space="preserve"> dichas </w:t>
      </w:r>
      <w:r w:rsidR="00A11B4E" w:rsidRPr="00A62A75">
        <w:rPr>
          <w:rFonts w:cs="Arial"/>
          <w:lang w:val="es-ES_tradnl"/>
        </w:rPr>
        <w:t>observaciones</w:t>
      </w:r>
      <w:r w:rsidR="00EF2387" w:rsidRPr="00A62A75">
        <w:rPr>
          <w:rFonts w:cs="Arial"/>
          <w:lang w:val="es-ES_tradnl"/>
        </w:rPr>
        <w:t xml:space="preserve"> figuran </w:t>
      </w:r>
      <w:r w:rsidR="00A11B4E" w:rsidRPr="00A62A75">
        <w:rPr>
          <w:rFonts w:cs="Arial"/>
          <w:lang w:val="es-ES_tradnl"/>
        </w:rPr>
        <w:t xml:space="preserve">en </w:t>
      </w:r>
      <w:r w:rsidR="00EF2387" w:rsidRPr="00A62A75">
        <w:rPr>
          <w:rFonts w:cs="Arial"/>
          <w:lang w:val="es-ES_tradnl"/>
        </w:rPr>
        <w:t>los párrafos</w:t>
      </w:r>
      <w:r w:rsidR="00596575" w:rsidRPr="00A62A75">
        <w:rPr>
          <w:rFonts w:cs="Arial"/>
          <w:lang w:val="es-ES_tradnl"/>
        </w:rPr>
        <w:t> 6</w:t>
      </w:r>
      <w:r w:rsidR="00EF2387" w:rsidRPr="00A62A75">
        <w:rPr>
          <w:rFonts w:cs="Arial"/>
          <w:lang w:val="es-ES_tradnl"/>
        </w:rPr>
        <w:t xml:space="preserve"> a</w:t>
      </w:r>
      <w:r w:rsidR="00596575" w:rsidRPr="00A62A75">
        <w:rPr>
          <w:rFonts w:cs="Arial"/>
          <w:lang w:val="es-ES_tradnl"/>
        </w:rPr>
        <w:t> 2</w:t>
      </w:r>
      <w:r w:rsidR="00EF2387" w:rsidRPr="00A62A75">
        <w:rPr>
          <w:rFonts w:cs="Arial"/>
          <w:lang w:val="es-ES_tradnl"/>
        </w:rPr>
        <w:t xml:space="preserve">6 del </w:t>
      </w:r>
      <w:r w:rsidR="00A11B4E" w:rsidRPr="00A62A75">
        <w:rPr>
          <w:rFonts w:cs="Arial"/>
          <w:lang w:val="es-ES_tradnl"/>
        </w:rPr>
        <w:t>documento CAJ/75/2 “Elaboración de material de información sobre el Convenio de la UPOV</w:t>
      </w:r>
      <w:r w:rsidR="00EF2387" w:rsidRPr="00A62A75">
        <w:rPr>
          <w:rFonts w:cs="Arial"/>
          <w:lang w:val="es-ES_tradnl"/>
        </w:rPr>
        <w:t>”</w:t>
      </w:r>
      <w:r w:rsidR="00A11B4E" w:rsidRPr="00A62A75">
        <w:rPr>
          <w:rFonts w:cs="Arial"/>
          <w:lang w:val="es-ES_tradnl"/>
        </w:rPr>
        <w:t>.</w:t>
      </w:r>
    </w:p>
    <w:p w:rsidR="001D5883" w:rsidRPr="00734637" w:rsidRDefault="00C37188" w:rsidP="007F71BE">
      <w:pPr>
        <w:keepLines/>
        <w:spacing w:before="240"/>
        <w:rPr>
          <w:rFonts w:cs="Arial"/>
          <w:lang w:val="es-ES"/>
        </w:rPr>
      </w:pPr>
      <w:r w:rsidRPr="00DC1C2A">
        <w:rPr>
          <w:rFonts w:cs="Arial"/>
        </w:rPr>
        <w:lastRenderedPageBreak/>
        <w:fldChar w:fldCharType="begin"/>
      </w:r>
      <w:r w:rsidR="001D5883" w:rsidRPr="00734637">
        <w:rPr>
          <w:rFonts w:cs="Arial"/>
          <w:lang w:val="es-ES"/>
        </w:rPr>
        <w:instrText xml:space="preserve"> AUTONUM  </w:instrText>
      </w:r>
      <w:r w:rsidRPr="00DC1C2A">
        <w:rPr>
          <w:rFonts w:cs="Arial"/>
        </w:rPr>
        <w:fldChar w:fldCharType="end"/>
      </w:r>
      <w:r w:rsidR="001D5883" w:rsidRPr="00734637">
        <w:rPr>
          <w:rFonts w:cs="Arial"/>
          <w:lang w:val="es-ES"/>
        </w:rPr>
        <w:tab/>
      </w:r>
      <w:r w:rsidR="00D80E2E" w:rsidRPr="00A62A75">
        <w:rPr>
          <w:rFonts w:cs="Arial"/>
          <w:lang w:val="es-ES_tradnl"/>
        </w:rPr>
        <w:t>Tras debatir las observaciones recogidas en el documento CAJ/74/2</w:t>
      </w:r>
      <w:r w:rsidR="00596575" w:rsidRPr="00A62A75">
        <w:rPr>
          <w:rFonts w:cs="Arial"/>
          <w:lang w:val="es-ES_tradnl"/>
        </w:rPr>
        <w:t xml:space="preserve">, </w:t>
      </w:r>
      <w:r w:rsidR="00D80E2E" w:rsidRPr="00A62A75">
        <w:rPr>
          <w:rFonts w:cs="Arial"/>
          <w:lang w:val="es-ES_tradnl"/>
        </w:rPr>
        <w:t>el CAJ convino en incluir los siguientes tres puntos en el programa de su septuagésima quinta sesión e invitar a los miembros y observadores a que presenten ponencias para referir sus puntos de vista sobre las cuestiones fundamentales indicadas:</w:t>
      </w:r>
    </w:p>
    <w:p w:rsidR="001D5883" w:rsidRPr="00734637" w:rsidRDefault="001D5883" w:rsidP="007F71BE">
      <w:pPr>
        <w:rPr>
          <w:rFonts w:cs="Arial"/>
          <w:lang w:val="es-ES"/>
        </w:rPr>
      </w:pPr>
    </w:p>
    <w:p w:rsidR="001D5883" w:rsidRPr="00734637" w:rsidRDefault="00CD7512" w:rsidP="007F71BE">
      <w:pPr>
        <w:ind w:left="567" w:right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“</w:t>
      </w:r>
      <w:r w:rsidR="00EF2815" w:rsidRPr="00734637">
        <w:rPr>
          <w:rFonts w:cs="Arial"/>
          <w:sz w:val="18"/>
          <w:lang w:val="es-ES"/>
        </w:rPr>
        <w:t>a)</w:t>
      </w:r>
      <w:r w:rsidR="00EF2815" w:rsidRPr="00734637">
        <w:rPr>
          <w:rFonts w:cs="Arial"/>
          <w:sz w:val="18"/>
          <w:lang w:val="es-ES"/>
        </w:rPr>
        <w:tab/>
      </w:r>
      <w:r w:rsidR="00D80E2E" w:rsidRPr="00A62A75">
        <w:rPr>
          <w:rFonts w:cs="Arial"/>
          <w:sz w:val="18"/>
          <w:lang w:val="es-ES_tradnl"/>
        </w:rPr>
        <w:t>Variedades esencialmente derivadas</w:t>
      </w:r>
    </w:p>
    <w:p w:rsidR="001D5883" w:rsidRPr="00734637" w:rsidRDefault="001D5883" w:rsidP="007F71BE">
      <w:pPr>
        <w:ind w:left="567" w:right="567"/>
        <w:rPr>
          <w:rFonts w:cs="Arial"/>
          <w:sz w:val="18"/>
          <w:lang w:val="es-ES"/>
        </w:rPr>
      </w:pPr>
    </w:p>
    <w:p w:rsidR="001D5883" w:rsidRPr="00734637" w:rsidRDefault="00EF2815" w:rsidP="007F71BE">
      <w:pPr>
        <w:ind w:left="567" w:right="567" w:firstLine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i)</w:t>
      </w:r>
      <w:r w:rsidRPr="00734637">
        <w:rPr>
          <w:rFonts w:cs="Arial"/>
          <w:sz w:val="18"/>
          <w:lang w:val="es-ES"/>
        </w:rPr>
        <w:tab/>
      </w:r>
      <w:r w:rsidR="00D80E2E" w:rsidRPr="00A62A75">
        <w:rPr>
          <w:rFonts w:cs="Arial"/>
          <w:sz w:val="18"/>
          <w:lang w:val="es-ES_tradnl"/>
        </w:rPr>
        <w:t>caracteres esenciales</w:t>
      </w:r>
      <w:r w:rsidR="001D5883" w:rsidRPr="00734637">
        <w:rPr>
          <w:rFonts w:cs="Arial"/>
          <w:sz w:val="18"/>
          <w:lang w:val="es-ES"/>
        </w:rPr>
        <w:t xml:space="preserve"> </w:t>
      </w:r>
    </w:p>
    <w:p w:rsidR="001D5883" w:rsidRPr="00734637" w:rsidRDefault="00FF0312" w:rsidP="007F71BE">
      <w:pPr>
        <w:ind w:left="567" w:right="567" w:firstLine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ii)</w:t>
      </w:r>
      <w:r w:rsidR="001D5883" w:rsidRPr="00734637">
        <w:rPr>
          <w:rFonts w:cs="Arial"/>
          <w:sz w:val="18"/>
          <w:lang w:val="es-ES"/>
        </w:rPr>
        <w:tab/>
      </w:r>
      <w:r w:rsidR="00D80E2E" w:rsidRPr="00A62A75">
        <w:rPr>
          <w:rFonts w:cs="Arial"/>
          <w:sz w:val="18"/>
          <w:lang w:val="es-ES_tradnl"/>
        </w:rPr>
        <w:t>derivadas principalmente</w:t>
      </w:r>
    </w:p>
    <w:p w:rsidR="001D5883" w:rsidRPr="00734637" w:rsidRDefault="001D5883" w:rsidP="007F71BE">
      <w:pPr>
        <w:ind w:left="567" w:right="567" w:firstLine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iii)</w:t>
      </w:r>
      <w:r w:rsidRPr="00734637">
        <w:rPr>
          <w:rFonts w:cs="Arial"/>
          <w:sz w:val="18"/>
          <w:lang w:val="es-ES"/>
        </w:rPr>
        <w:tab/>
      </w:r>
      <w:r w:rsidR="00D80E2E" w:rsidRPr="00A62A75">
        <w:rPr>
          <w:rFonts w:cs="Arial"/>
          <w:sz w:val="18"/>
          <w:lang w:val="es-ES_tradnl"/>
        </w:rPr>
        <w:t>derivación indirecta</w:t>
      </w:r>
      <w:r w:rsidR="00596575" w:rsidRPr="00A62A75">
        <w:rPr>
          <w:rFonts w:cs="Arial"/>
          <w:sz w:val="18"/>
          <w:lang w:val="es-ES_tradnl"/>
        </w:rPr>
        <w:t xml:space="preserve">, </w:t>
      </w:r>
      <w:r w:rsidR="00D80E2E" w:rsidRPr="00A62A75">
        <w:rPr>
          <w:rFonts w:cs="Arial"/>
          <w:sz w:val="18"/>
          <w:lang w:val="es-ES_tradnl"/>
        </w:rPr>
        <w:t>incluida la relación con híbridos y líneas parentales</w:t>
      </w:r>
      <w:r w:rsidRPr="00734637">
        <w:rPr>
          <w:rFonts w:cs="Arial"/>
          <w:sz w:val="18"/>
          <w:lang w:val="es-ES"/>
        </w:rPr>
        <w:t xml:space="preserve"> </w:t>
      </w:r>
    </w:p>
    <w:p w:rsidR="001D5883" w:rsidRPr="00734637" w:rsidRDefault="001D5883" w:rsidP="007F71BE">
      <w:pPr>
        <w:ind w:left="567" w:right="567" w:firstLine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iv)</w:t>
      </w:r>
      <w:r w:rsidRPr="00734637">
        <w:rPr>
          <w:rFonts w:cs="Arial"/>
          <w:sz w:val="18"/>
          <w:lang w:val="es-ES"/>
        </w:rPr>
        <w:tab/>
      </w:r>
      <w:r w:rsidR="00D80E2E" w:rsidRPr="00A62A75">
        <w:rPr>
          <w:rFonts w:cs="Arial"/>
          <w:sz w:val="18"/>
          <w:lang w:val="es-ES_tradnl"/>
        </w:rPr>
        <w:t>examen de las variedades esencialmente derivadas</w:t>
      </w:r>
      <w:r w:rsidRPr="00734637">
        <w:rPr>
          <w:rFonts w:cs="Arial"/>
          <w:sz w:val="18"/>
          <w:lang w:val="es-ES"/>
        </w:rPr>
        <w:t xml:space="preserve"> </w:t>
      </w:r>
    </w:p>
    <w:p w:rsidR="001D5883" w:rsidRPr="00734637" w:rsidRDefault="001D5883" w:rsidP="007F71BE">
      <w:pPr>
        <w:ind w:left="567" w:right="567"/>
        <w:rPr>
          <w:rFonts w:cs="Arial"/>
          <w:sz w:val="18"/>
          <w:lang w:val="es-ES"/>
        </w:rPr>
      </w:pPr>
    </w:p>
    <w:p w:rsidR="001D5883" w:rsidRPr="00734637" w:rsidRDefault="00EF2815" w:rsidP="007F71BE">
      <w:pPr>
        <w:ind w:left="567" w:right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b)</w:t>
      </w:r>
      <w:r w:rsidRPr="00734637">
        <w:rPr>
          <w:rFonts w:cs="Arial"/>
          <w:sz w:val="18"/>
          <w:lang w:val="es-ES"/>
        </w:rPr>
        <w:tab/>
      </w:r>
      <w:r w:rsidR="00D80E2E" w:rsidRPr="00A62A75">
        <w:rPr>
          <w:rFonts w:cs="Arial"/>
          <w:sz w:val="18"/>
          <w:lang w:val="es-ES_tradnl"/>
        </w:rPr>
        <w:t>Condiciones y limitaciones relativas a la autorización del obtentor respecto del material de reproducción o de multiplicación vegetativa</w:t>
      </w:r>
    </w:p>
    <w:p w:rsidR="001D5883" w:rsidRPr="00734637" w:rsidRDefault="001D5883" w:rsidP="007F71BE">
      <w:pPr>
        <w:ind w:left="567" w:right="567"/>
        <w:rPr>
          <w:rFonts w:cs="Arial"/>
          <w:sz w:val="18"/>
          <w:lang w:val="es-ES"/>
        </w:rPr>
      </w:pPr>
    </w:p>
    <w:p w:rsidR="001D5883" w:rsidRPr="00734637" w:rsidRDefault="001D5883" w:rsidP="007F71BE">
      <w:pPr>
        <w:ind w:left="567" w:right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ab/>
        <w:t xml:space="preserve">- </w:t>
      </w:r>
      <w:r w:rsidR="00D80E2E" w:rsidRPr="00A62A75">
        <w:rPr>
          <w:rFonts w:cs="Arial"/>
          <w:sz w:val="18"/>
          <w:lang w:val="es-ES_tradnl"/>
        </w:rPr>
        <w:t>ejemplos idóneos de las condiciones y limitaciones</w:t>
      </w:r>
    </w:p>
    <w:p w:rsidR="001D5883" w:rsidRPr="00734637" w:rsidRDefault="001D5883" w:rsidP="007F71BE">
      <w:pPr>
        <w:ind w:left="567" w:right="567"/>
        <w:rPr>
          <w:rFonts w:cs="Arial"/>
          <w:sz w:val="18"/>
          <w:lang w:val="es-ES"/>
        </w:rPr>
      </w:pPr>
    </w:p>
    <w:p w:rsidR="001D5883" w:rsidRPr="00734637" w:rsidRDefault="00EF2815" w:rsidP="007F71BE">
      <w:pPr>
        <w:ind w:left="567" w:right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c)</w:t>
      </w:r>
      <w:r w:rsidRPr="00734637">
        <w:rPr>
          <w:rFonts w:cs="Arial"/>
          <w:sz w:val="18"/>
          <w:lang w:val="es-ES"/>
        </w:rPr>
        <w:tab/>
      </w:r>
      <w:r w:rsidR="00D80E2E" w:rsidRPr="00A62A75">
        <w:rPr>
          <w:rFonts w:cs="Arial"/>
          <w:sz w:val="18"/>
          <w:lang w:val="es-ES_tradnl"/>
        </w:rPr>
        <w:t>Alcance de la protección provisional.”</w:t>
      </w:r>
    </w:p>
    <w:p w:rsidR="001D5883" w:rsidRPr="00734637" w:rsidRDefault="001D5883" w:rsidP="00385538">
      <w:pPr>
        <w:rPr>
          <w:lang w:val="es-ES"/>
        </w:rPr>
      </w:pPr>
    </w:p>
    <w:p w:rsidR="00D07235" w:rsidRPr="00734637" w:rsidRDefault="00C37188" w:rsidP="001D5883">
      <w:pPr>
        <w:keepLines/>
        <w:rPr>
          <w:rFonts w:cs="Arial"/>
          <w:lang w:val="es-ES"/>
        </w:rPr>
      </w:pPr>
      <w:r w:rsidRPr="00DC1C2A">
        <w:rPr>
          <w:rFonts w:cs="Arial"/>
        </w:rPr>
        <w:fldChar w:fldCharType="begin"/>
      </w:r>
      <w:r w:rsidR="001D5883" w:rsidRPr="00734637">
        <w:rPr>
          <w:rFonts w:cs="Arial"/>
          <w:lang w:val="es-ES"/>
        </w:rPr>
        <w:instrText xml:space="preserve"> AUTONUM  </w:instrText>
      </w:r>
      <w:r w:rsidRPr="00DC1C2A">
        <w:rPr>
          <w:rFonts w:cs="Arial"/>
        </w:rPr>
        <w:fldChar w:fldCharType="end"/>
      </w:r>
      <w:r w:rsidR="001D5883" w:rsidRPr="00734637">
        <w:rPr>
          <w:rFonts w:cs="Arial"/>
          <w:lang w:val="es-ES"/>
        </w:rPr>
        <w:tab/>
      </w:r>
      <w:r w:rsidR="00305C0E" w:rsidRPr="00A62A75">
        <w:rPr>
          <w:rFonts w:cs="Arial"/>
          <w:lang w:val="es-ES_tradnl"/>
        </w:rPr>
        <w:t>Con arreglo a lo anterior</w:t>
      </w:r>
      <w:r w:rsidR="00596575" w:rsidRPr="00A62A75">
        <w:rPr>
          <w:rFonts w:cs="Arial"/>
          <w:lang w:val="es-ES_tradnl"/>
        </w:rPr>
        <w:t xml:space="preserve">, </w:t>
      </w:r>
      <w:r w:rsidR="00305C0E" w:rsidRPr="00A62A75">
        <w:rPr>
          <w:rFonts w:cs="Arial"/>
          <w:lang w:val="es-ES_tradnl"/>
        </w:rPr>
        <w:t>se invitará a</w:t>
      </w:r>
      <w:r w:rsidR="00D80E2E" w:rsidRPr="00A62A75">
        <w:rPr>
          <w:rFonts w:cs="Arial"/>
          <w:lang w:val="es-ES_tradnl"/>
        </w:rPr>
        <w:t xml:space="preserve">l CAJ </w:t>
      </w:r>
      <w:r w:rsidR="00305C0E" w:rsidRPr="00A62A75">
        <w:rPr>
          <w:rFonts w:cs="Arial"/>
          <w:lang w:val="es-ES_tradnl"/>
        </w:rPr>
        <w:t>a que</w:t>
      </w:r>
      <w:r w:rsidR="00596575" w:rsidRPr="00A62A75">
        <w:rPr>
          <w:rFonts w:cs="Arial"/>
          <w:lang w:val="es-ES_tradnl"/>
        </w:rPr>
        <w:t xml:space="preserve">, </w:t>
      </w:r>
      <w:r w:rsidR="00305C0E" w:rsidRPr="00A62A75">
        <w:rPr>
          <w:rFonts w:cs="Arial"/>
          <w:lang w:val="es-ES_tradnl"/>
        </w:rPr>
        <w:t>en su septuagésima quinta sesión</w:t>
      </w:r>
      <w:r w:rsidR="00596575" w:rsidRPr="00A62A75">
        <w:rPr>
          <w:rFonts w:cs="Arial"/>
          <w:lang w:val="es-ES_tradnl"/>
        </w:rPr>
        <w:t xml:space="preserve">, </w:t>
      </w:r>
      <w:r w:rsidR="00305C0E" w:rsidRPr="00A62A75">
        <w:rPr>
          <w:rFonts w:cs="Arial"/>
          <w:lang w:val="es-ES_tradnl"/>
        </w:rPr>
        <w:t xml:space="preserve">estudie </w:t>
      </w:r>
      <w:r w:rsidR="00D80E2E" w:rsidRPr="00A62A75">
        <w:rPr>
          <w:rFonts w:cs="Arial"/>
          <w:lang w:val="es-ES_tradnl"/>
        </w:rPr>
        <w:t xml:space="preserve">la necesidad </w:t>
      </w:r>
      <w:r w:rsidR="00305C0E" w:rsidRPr="00A62A75">
        <w:rPr>
          <w:rFonts w:cs="Arial"/>
          <w:lang w:val="es-ES_tradnl"/>
        </w:rPr>
        <w:t>de revisar las orientaciones actuales</w:t>
      </w:r>
      <w:r w:rsidR="001B30CE" w:rsidRPr="00A62A75">
        <w:rPr>
          <w:rFonts w:cs="Arial"/>
          <w:lang w:val="es-ES_tradnl"/>
        </w:rPr>
        <w:t>.</w:t>
      </w:r>
      <w:r w:rsidR="00D80E2E" w:rsidRPr="00A62A75">
        <w:rPr>
          <w:rStyle w:val="FootnoteReference"/>
          <w:rFonts w:cs="Arial"/>
          <w:sz w:val="18"/>
          <w:lang w:val="es-ES_tradnl"/>
        </w:rPr>
        <w:footnoteReference w:id="9"/>
      </w:r>
      <w:r w:rsidR="00EF2815" w:rsidRPr="00734637">
        <w:rPr>
          <w:rFonts w:cs="Arial"/>
          <w:lang w:val="es-ES"/>
        </w:rPr>
        <w:t xml:space="preserve"> </w:t>
      </w:r>
      <w:r w:rsidR="007F71BE">
        <w:rPr>
          <w:rFonts w:cs="Arial"/>
          <w:lang w:val="es-ES"/>
        </w:rPr>
        <w:t xml:space="preserve"> </w:t>
      </w:r>
      <w:r w:rsidR="00562A1F" w:rsidRPr="00A62A75">
        <w:rPr>
          <w:rFonts w:cs="Arial"/>
          <w:lang w:val="es-ES_tradnl"/>
        </w:rPr>
        <w:t>En los documentos CAJ/75/3</w:t>
      </w:r>
      <w:r w:rsidR="00596575" w:rsidRPr="00A62A75">
        <w:rPr>
          <w:rFonts w:cs="Arial"/>
          <w:lang w:val="es-ES_tradnl"/>
        </w:rPr>
        <w:t xml:space="preserve">, </w:t>
      </w:r>
      <w:r w:rsidR="00562A1F" w:rsidRPr="00A62A75">
        <w:rPr>
          <w:rFonts w:cs="Arial"/>
          <w:lang w:val="es-ES_tradnl"/>
        </w:rPr>
        <w:t>CAJ/75/4 y CAJ/75/5 se proporciona información acerca de las ponencias sobre las variedades esencialmente derivadas</w:t>
      </w:r>
      <w:r w:rsidR="00596575" w:rsidRPr="00A62A75">
        <w:rPr>
          <w:rFonts w:cs="Arial"/>
          <w:lang w:val="es-ES_tradnl"/>
        </w:rPr>
        <w:t xml:space="preserve">, </w:t>
      </w:r>
      <w:r w:rsidR="00562A1F" w:rsidRPr="00A62A75">
        <w:rPr>
          <w:rFonts w:cs="Arial"/>
          <w:lang w:val="es-ES_tradnl"/>
        </w:rPr>
        <w:t>sobre las condiciones y limitaciones relativas a la autorización del obtentor respecto del material de reproducción o de multiplicación y sobre el alcance de la protección provisional</w:t>
      </w:r>
      <w:r w:rsidR="00596575" w:rsidRPr="00A62A75">
        <w:rPr>
          <w:rFonts w:cs="Arial"/>
          <w:lang w:val="es-ES_tradnl"/>
        </w:rPr>
        <w:t xml:space="preserve">, </w:t>
      </w:r>
      <w:r w:rsidR="00562A1F" w:rsidRPr="00A62A75">
        <w:rPr>
          <w:rFonts w:cs="Arial"/>
          <w:lang w:val="es-ES_tradnl"/>
        </w:rPr>
        <w:t>respectivamente.</w:t>
      </w:r>
    </w:p>
    <w:p w:rsidR="00D07235" w:rsidRPr="00734637" w:rsidRDefault="00D07235" w:rsidP="00D07235">
      <w:pPr>
        <w:rPr>
          <w:rFonts w:cs="Arial"/>
          <w:lang w:val="es-ES"/>
        </w:rPr>
      </w:pPr>
    </w:p>
    <w:p w:rsidR="00D07235" w:rsidRPr="00734637" w:rsidRDefault="00C37188" w:rsidP="00D07235">
      <w:pPr>
        <w:rPr>
          <w:rFonts w:cs="Arial"/>
          <w:lang w:val="es-ES"/>
        </w:rPr>
      </w:pPr>
      <w:r w:rsidRPr="00DC1C2A">
        <w:rPr>
          <w:rFonts w:cs="Arial"/>
        </w:rPr>
        <w:fldChar w:fldCharType="begin"/>
      </w:r>
      <w:r w:rsidR="00D07235" w:rsidRPr="00734637">
        <w:rPr>
          <w:rFonts w:cs="Arial"/>
          <w:lang w:val="es-ES"/>
        </w:rPr>
        <w:instrText xml:space="preserve"> AUTONUM  </w:instrText>
      </w:r>
      <w:r w:rsidRPr="00DC1C2A">
        <w:rPr>
          <w:rFonts w:cs="Arial"/>
        </w:rPr>
        <w:fldChar w:fldCharType="end"/>
      </w:r>
      <w:r w:rsidR="00D07235" w:rsidRPr="00734637">
        <w:rPr>
          <w:rFonts w:cs="Arial"/>
          <w:lang w:val="es-ES"/>
        </w:rPr>
        <w:tab/>
      </w:r>
      <w:r w:rsidR="00562A1F" w:rsidRPr="00A62A75">
        <w:rPr>
          <w:rFonts w:cs="Arial"/>
          <w:lang w:val="es-ES_tradnl"/>
        </w:rPr>
        <w:t>En su septuagésima cuarta sesión</w:t>
      </w:r>
      <w:r w:rsidR="00596575" w:rsidRPr="00A62A75">
        <w:rPr>
          <w:rFonts w:cs="Arial"/>
          <w:lang w:val="es-ES_tradnl"/>
        </w:rPr>
        <w:t xml:space="preserve">, </w:t>
      </w:r>
      <w:r w:rsidR="00562A1F" w:rsidRPr="00A62A75">
        <w:rPr>
          <w:rFonts w:cs="Arial"/>
          <w:lang w:val="es-ES_tradnl"/>
        </w:rPr>
        <w:t xml:space="preserve">el CAJ tomó nota de la solicitud de la Comunidad Internacional de Fitomejoradores de Plantas Ornamentales y Frutales de Reproducción Asexuada (CIOPORA) y la </w:t>
      </w:r>
      <w:r w:rsidR="00562A1F" w:rsidRPr="00A62A75">
        <w:rPr>
          <w:rFonts w:cs="Arial"/>
          <w:i/>
          <w:lang w:val="es-ES_tradnl"/>
        </w:rPr>
        <w:t>International Seed Federation</w:t>
      </w:r>
      <w:r w:rsidR="00562A1F" w:rsidRPr="00A62A75">
        <w:rPr>
          <w:rFonts w:cs="Arial"/>
          <w:lang w:val="es-ES_tradnl"/>
        </w:rPr>
        <w:t xml:space="preserve"> (ISF) de aplazar la reunión de la Oficina de la Unión con la CIOPORA</w:t>
      </w:r>
      <w:r w:rsidR="00596575" w:rsidRPr="00A62A75">
        <w:rPr>
          <w:rFonts w:cs="Arial"/>
          <w:lang w:val="es-ES_tradnl"/>
        </w:rPr>
        <w:t xml:space="preserve">, </w:t>
      </w:r>
      <w:r w:rsidR="00562A1F" w:rsidRPr="00A62A75">
        <w:rPr>
          <w:rFonts w:cs="Arial"/>
          <w:lang w:val="es-ES_tradnl"/>
        </w:rPr>
        <w:t>la ISF y la Organización Mundial de la Propiedad Intelectual (OMPI) cuya finalidad es explorar la posible función de la UPOV en los mecanismos extrajudiciales de solución de controversias para asuntos relativos a variedades esencialmente derivadas</w:t>
      </w:r>
      <w:r w:rsidR="00596575" w:rsidRPr="00A62A75">
        <w:rPr>
          <w:rFonts w:cs="Arial"/>
          <w:lang w:val="es-ES_tradnl"/>
        </w:rPr>
        <w:t xml:space="preserve">, </w:t>
      </w:r>
      <w:r w:rsidR="00562A1F" w:rsidRPr="00A62A75">
        <w:rPr>
          <w:rFonts w:cs="Arial"/>
          <w:lang w:val="es-ES_tradnl"/>
        </w:rPr>
        <w:t>en particular la puesta a disposición de expertos en materia de variedades esencialmente derivadas.</w:t>
      </w:r>
      <w:r w:rsidR="00D07235" w:rsidRPr="00734637">
        <w:rPr>
          <w:rFonts w:cs="Arial"/>
          <w:lang w:val="es-ES"/>
        </w:rPr>
        <w:t xml:space="preserve"> </w:t>
      </w:r>
      <w:r w:rsidR="007F71BE">
        <w:rPr>
          <w:rFonts w:cs="Arial"/>
          <w:lang w:val="es-ES"/>
        </w:rPr>
        <w:t xml:space="preserve"> </w:t>
      </w:r>
      <w:r w:rsidR="00562A1F" w:rsidRPr="00A62A75">
        <w:rPr>
          <w:rFonts w:cs="Arial"/>
          <w:lang w:val="es-ES_tradnl"/>
        </w:rPr>
        <w:t>El CAJ tomó nota de que se notificará de todos los avances relativos a la reunión en las próximas sesiones del CAJ.</w:t>
      </w:r>
      <w:r w:rsidR="00562A1F" w:rsidRPr="00A62A75">
        <w:rPr>
          <w:rStyle w:val="FootnoteReference"/>
          <w:rFonts w:cs="Arial"/>
          <w:lang w:val="es-ES_tradnl"/>
        </w:rPr>
        <w:footnoteReference w:id="10"/>
      </w:r>
      <w:r w:rsidR="00EF2815" w:rsidRPr="00734637">
        <w:rPr>
          <w:rFonts w:cs="Arial"/>
          <w:lang w:val="es-ES"/>
        </w:rPr>
        <w:t xml:space="preserve"> </w:t>
      </w:r>
      <w:r w:rsidR="005D4389" w:rsidRPr="00A62A75">
        <w:rPr>
          <w:rFonts w:cs="Arial"/>
          <w:lang w:val="es-ES_tradnl"/>
        </w:rPr>
        <w:t>No se han producido avances en relación con este asunto.</w:t>
      </w:r>
      <w:r w:rsidR="00D07235" w:rsidRPr="00734637">
        <w:rPr>
          <w:rFonts w:cs="Arial"/>
          <w:lang w:val="es-ES"/>
        </w:rPr>
        <w:t xml:space="preserve"> </w:t>
      </w:r>
    </w:p>
    <w:p w:rsidR="00D07235" w:rsidRPr="00734637" w:rsidRDefault="00D07235" w:rsidP="00D07235">
      <w:pPr>
        <w:rPr>
          <w:rFonts w:cs="Arial"/>
          <w:lang w:val="es-ES"/>
        </w:rPr>
      </w:pPr>
    </w:p>
    <w:p w:rsidR="00D07235" w:rsidRPr="00734637" w:rsidRDefault="00C37188" w:rsidP="00385538">
      <w:pPr>
        <w:pStyle w:val="DecisionParagraphs"/>
        <w:rPr>
          <w:rFonts w:cs="Arial"/>
          <w:spacing w:val="-2"/>
          <w:lang w:val="es-ES"/>
        </w:rPr>
      </w:pPr>
      <w:r w:rsidRPr="00411E74">
        <w:rPr>
          <w:rFonts w:cs="Arial"/>
          <w:spacing w:val="-2"/>
        </w:rPr>
        <w:fldChar w:fldCharType="begin"/>
      </w:r>
      <w:r w:rsidR="00B721AD" w:rsidRPr="00734637">
        <w:rPr>
          <w:rFonts w:cs="Arial"/>
          <w:spacing w:val="-2"/>
          <w:lang w:val="es-ES"/>
        </w:rPr>
        <w:instrText xml:space="preserve"> AUTONUM  </w:instrText>
      </w:r>
      <w:r w:rsidRPr="00411E74">
        <w:rPr>
          <w:rFonts w:cs="Arial"/>
          <w:spacing w:val="-2"/>
        </w:rPr>
        <w:fldChar w:fldCharType="end"/>
      </w:r>
      <w:r w:rsidR="00B721AD" w:rsidRPr="00734637">
        <w:rPr>
          <w:rFonts w:cs="Arial"/>
          <w:spacing w:val="-2"/>
          <w:lang w:val="es-ES"/>
        </w:rPr>
        <w:tab/>
      </w:r>
      <w:r w:rsidR="00665E0E" w:rsidRPr="00A62A75">
        <w:rPr>
          <w:rFonts w:cs="Arial"/>
          <w:spacing w:val="-2"/>
          <w:lang w:val="es-ES_tradnl"/>
        </w:rPr>
        <w:t>Se invita al CAJ a tomar nota</w:t>
      </w:r>
      <w:r w:rsidR="00A62A75" w:rsidRPr="00A62A75">
        <w:rPr>
          <w:rFonts w:cs="Arial"/>
          <w:spacing w:val="-2"/>
          <w:lang w:val="es-ES_tradnl"/>
        </w:rPr>
        <w:t xml:space="preserve"> de que</w:t>
      </w:r>
      <w:r w:rsidR="00665E0E" w:rsidRPr="00A62A75">
        <w:rPr>
          <w:rFonts w:cs="Arial"/>
          <w:spacing w:val="-2"/>
          <w:lang w:val="es-ES_tradnl"/>
        </w:rPr>
        <w:t>:</w:t>
      </w:r>
    </w:p>
    <w:p w:rsidR="00D07235" w:rsidRPr="00734637" w:rsidRDefault="00D07235" w:rsidP="00385538">
      <w:pPr>
        <w:pStyle w:val="DecisionParagraphs"/>
        <w:rPr>
          <w:rFonts w:cs="Arial"/>
          <w:spacing w:val="-2"/>
          <w:lang w:val="es-ES"/>
        </w:rPr>
      </w:pPr>
    </w:p>
    <w:p w:rsidR="00B721AD" w:rsidRPr="00734637" w:rsidRDefault="00FF0312" w:rsidP="00385538">
      <w:pPr>
        <w:pStyle w:val="DecisionParagraphs"/>
        <w:rPr>
          <w:rFonts w:cs="Arial"/>
          <w:spacing w:val="-2"/>
          <w:lang w:val="es-ES"/>
        </w:rPr>
      </w:pPr>
      <w:r w:rsidRPr="00734637">
        <w:rPr>
          <w:rFonts w:cs="Arial"/>
          <w:spacing w:val="-2"/>
          <w:lang w:val="es-ES"/>
        </w:rPr>
        <w:tab/>
      </w:r>
      <w:r w:rsidR="00EF2815" w:rsidRPr="00734637">
        <w:rPr>
          <w:rFonts w:cs="Arial"/>
          <w:spacing w:val="-2"/>
          <w:lang w:val="es-ES"/>
        </w:rPr>
        <w:t>a)</w:t>
      </w:r>
      <w:r w:rsidR="00EF2815" w:rsidRPr="00734637">
        <w:rPr>
          <w:rFonts w:cs="Arial"/>
          <w:spacing w:val="-2"/>
          <w:lang w:val="es-ES"/>
        </w:rPr>
        <w:tab/>
      </w:r>
      <w:r w:rsidR="00665E0E" w:rsidRPr="00A62A75">
        <w:rPr>
          <w:rFonts w:cs="Arial"/>
          <w:spacing w:val="-2"/>
          <w:lang w:val="es-ES_tradnl"/>
        </w:rPr>
        <w:t>en los documentos CAJ/75/3</w:t>
      </w:r>
      <w:r w:rsidR="00596575" w:rsidRPr="00A62A75">
        <w:rPr>
          <w:rFonts w:cs="Arial"/>
          <w:spacing w:val="-2"/>
          <w:lang w:val="es-ES_tradnl"/>
        </w:rPr>
        <w:t xml:space="preserve">, </w:t>
      </w:r>
      <w:r w:rsidR="00665E0E" w:rsidRPr="00A62A75">
        <w:rPr>
          <w:rFonts w:cs="Arial"/>
          <w:spacing w:val="-2"/>
          <w:lang w:val="es-ES_tradnl"/>
        </w:rPr>
        <w:t>CAJ/75/4 y CAJ/75/5 se proporciona información acerca de las ponencias sobre las variedades esencialmente derivadas</w:t>
      </w:r>
      <w:r w:rsidR="00596575" w:rsidRPr="00A62A75">
        <w:rPr>
          <w:rFonts w:cs="Arial"/>
          <w:spacing w:val="-2"/>
          <w:lang w:val="es-ES_tradnl"/>
        </w:rPr>
        <w:t xml:space="preserve">, </w:t>
      </w:r>
      <w:r w:rsidR="00665E0E" w:rsidRPr="00A62A75">
        <w:rPr>
          <w:rFonts w:cs="Arial"/>
          <w:spacing w:val="-2"/>
          <w:lang w:val="es-ES_tradnl"/>
        </w:rPr>
        <w:t>sobre las condiciones y limitaciones relativas a la autorización del obtentor respecto del material de reproducción o de multiplicación y sobre el alcance de la protección provisional</w:t>
      </w:r>
      <w:r w:rsidR="00596575" w:rsidRPr="00A62A75">
        <w:rPr>
          <w:rFonts w:cs="Arial"/>
          <w:spacing w:val="-2"/>
          <w:lang w:val="es-ES_tradnl"/>
        </w:rPr>
        <w:t xml:space="preserve">, </w:t>
      </w:r>
      <w:r w:rsidR="00665E0E" w:rsidRPr="00A62A75">
        <w:rPr>
          <w:rFonts w:cs="Arial"/>
          <w:spacing w:val="-2"/>
          <w:lang w:val="es-ES_tradnl"/>
        </w:rPr>
        <w:t>respectivamente;</w:t>
      </w:r>
      <w:r w:rsidR="00D07235" w:rsidRPr="00734637">
        <w:rPr>
          <w:rFonts w:cs="Arial"/>
          <w:spacing w:val="-2"/>
          <w:lang w:val="es-ES"/>
        </w:rPr>
        <w:t xml:space="preserve"> </w:t>
      </w:r>
      <w:r w:rsidR="00665E0E" w:rsidRPr="00A62A75">
        <w:rPr>
          <w:rFonts w:cs="Arial"/>
          <w:spacing w:val="-2"/>
          <w:lang w:val="es-ES_tradnl"/>
        </w:rPr>
        <w:t>y</w:t>
      </w:r>
    </w:p>
    <w:p w:rsidR="00D07235" w:rsidRPr="00734637" w:rsidRDefault="00D07235" w:rsidP="00385538">
      <w:pPr>
        <w:pStyle w:val="DecisionParagraphs"/>
        <w:rPr>
          <w:rFonts w:cs="Arial"/>
          <w:spacing w:val="-2"/>
          <w:lang w:val="es-ES"/>
        </w:rPr>
      </w:pPr>
    </w:p>
    <w:p w:rsidR="00D07235" w:rsidRPr="00734637" w:rsidRDefault="00D07235" w:rsidP="00385538">
      <w:pPr>
        <w:pStyle w:val="DecisionParagraphs"/>
        <w:rPr>
          <w:rFonts w:cs="Arial"/>
          <w:spacing w:val="-2"/>
          <w:lang w:val="es-ES"/>
        </w:rPr>
      </w:pPr>
      <w:r w:rsidRPr="00734637">
        <w:rPr>
          <w:rFonts w:cs="Arial"/>
          <w:spacing w:val="-2"/>
          <w:lang w:val="es-ES"/>
        </w:rPr>
        <w:tab/>
      </w:r>
      <w:r w:rsidR="00EF2815" w:rsidRPr="00734637">
        <w:rPr>
          <w:rFonts w:cs="Arial"/>
          <w:spacing w:val="-2"/>
          <w:lang w:val="es-ES"/>
        </w:rPr>
        <w:t>b)</w:t>
      </w:r>
      <w:r w:rsidR="00EF2815" w:rsidRPr="00734637">
        <w:rPr>
          <w:rFonts w:cs="Arial"/>
          <w:spacing w:val="-2"/>
          <w:lang w:val="es-ES"/>
        </w:rPr>
        <w:tab/>
      </w:r>
      <w:r w:rsidR="00665E0E" w:rsidRPr="00A62A75">
        <w:rPr>
          <w:rFonts w:cs="Arial"/>
          <w:spacing w:val="-2"/>
          <w:lang w:val="es-ES_tradnl"/>
        </w:rPr>
        <w:t>no se han producido avances en relación con una eventual reunión de la Oficina de la Unión con la CIOPORA</w:t>
      </w:r>
      <w:r w:rsidR="00596575" w:rsidRPr="00A62A75">
        <w:rPr>
          <w:rFonts w:cs="Arial"/>
          <w:spacing w:val="-2"/>
          <w:lang w:val="es-ES_tradnl"/>
        </w:rPr>
        <w:t xml:space="preserve">, </w:t>
      </w:r>
      <w:r w:rsidR="00665E0E" w:rsidRPr="00A62A75">
        <w:rPr>
          <w:rFonts w:cs="Arial"/>
          <w:spacing w:val="-2"/>
          <w:lang w:val="es-ES_tradnl"/>
        </w:rPr>
        <w:t>la ISF y la OMPI a fin de explorar la posible función de la UPOV en los mecanismos extrajudiciales de solución de controversias para asuntos relativos a variedades esencialmente derivadas</w:t>
      </w:r>
      <w:r w:rsidR="00596575" w:rsidRPr="00A62A75">
        <w:rPr>
          <w:rFonts w:cs="Arial"/>
          <w:spacing w:val="-2"/>
          <w:lang w:val="es-ES_tradnl"/>
        </w:rPr>
        <w:t xml:space="preserve">, </w:t>
      </w:r>
      <w:r w:rsidR="00665E0E" w:rsidRPr="00A62A75">
        <w:rPr>
          <w:rFonts w:cs="Arial"/>
          <w:spacing w:val="-2"/>
          <w:lang w:val="es-ES_tradnl"/>
        </w:rPr>
        <w:t>en particular la puesta a disposición de expertos en materia de variedades esencialmente derivadas.</w:t>
      </w:r>
    </w:p>
    <w:p w:rsidR="001D5883" w:rsidRDefault="001D5883" w:rsidP="001D5883">
      <w:pPr>
        <w:rPr>
          <w:rFonts w:cs="Arial"/>
          <w:spacing w:val="-3"/>
          <w:highlight w:val="lightGray"/>
          <w:lang w:val="es-ES"/>
        </w:rPr>
      </w:pPr>
    </w:p>
    <w:p w:rsidR="007F71BE" w:rsidRPr="00734637" w:rsidRDefault="007F71BE" w:rsidP="001D5883">
      <w:pPr>
        <w:rPr>
          <w:rFonts w:cs="Arial"/>
          <w:spacing w:val="-3"/>
          <w:highlight w:val="lightGray"/>
          <w:lang w:val="es-ES"/>
        </w:rPr>
      </w:pPr>
    </w:p>
    <w:p w:rsidR="001D5883" w:rsidRPr="00734637" w:rsidRDefault="00665E0E" w:rsidP="007F71BE">
      <w:pPr>
        <w:pStyle w:val="Heading2"/>
        <w:keepLines/>
        <w:rPr>
          <w:rFonts w:cs="Arial"/>
          <w:lang w:val="es-ES"/>
        </w:rPr>
      </w:pPr>
      <w:bookmarkStart w:id="6" w:name="_Toc522611821"/>
      <w:r w:rsidRPr="00A62A75">
        <w:rPr>
          <w:rFonts w:cs="Arial"/>
          <w:lang w:val="es-ES_tradnl"/>
        </w:rPr>
        <w:lastRenderedPageBreak/>
        <w:t>Boletín tipo de la UPOV sobre la protección de las obtenciones vegetales (revisión)</w:t>
      </w:r>
      <w:bookmarkEnd w:id="6"/>
    </w:p>
    <w:p w:rsidR="00B174FF" w:rsidRPr="00734637" w:rsidRDefault="00B174FF" w:rsidP="007F71BE">
      <w:pPr>
        <w:keepNext/>
        <w:keepLines/>
        <w:rPr>
          <w:rFonts w:cs="Arial"/>
          <w:lang w:val="es-ES"/>
        </w:rPr>
      </w:pPr>
    </w:p>
    <w:p w:rsidR="001D5883" w:rsidRPr="00734637" w:rsidRDefault="00C37188" w:rsidP="007F71BE">
      <w:pPr>
        <w:keepNext/>
        <w:keepLines/>
        <w:rPr>
          <w:rFonts w:cs="Arial"/>
          <w:spacing w:val="-2"/>
          <w:lang w:val="es-ES"/>
        </w:rPr>
      </w:pPr>
      <w:r w:rsidRPr="007F71BE">
        <w:rPr>
          <w:rFonts w:cs="Arial"/>
          <w:spacing w:val="-2"/>
        </w:rPr>
        <w:fldChar w:fldCharType="begin"/>
      </w:r>
      <w:r w:rsidR="001D5883" w:rsidRPr="007F71BE">
        <w:rPr>
          <w:rFonts w:cs="Arial"/>
          <w:spacing w:val="-2"/>
          <w:lang w:val="es-ES"/>
        </w:rPr>
        <w:instrText xml:space="preserve"> AUTONUM  </w:instrText>
      </w:r>
      <w:r w:rsidRPr="007F71BE">
        <w:rPr>
          <w:rFonts w:cs="Arial"/>
          <w:spacing w:val="-2"/>
        </w:rPr>
        <w:fldChar w:fldCharType="end"/>
      </w:r>
      <w:r w:rsidR="001D5883" w:rsidRPr="007F71BE">
        <w:rPr>
          <w:rFonts w:cs="Arial"/>
          <w:spacing w:val="-2"/>
          <w:lang w:val="es-ES"/>
        </w:rPr>
        <w:tab/>
      </w:r>
      <w:r w:rsidR="00665E0E" w:rsidRPr="007F71BE">
        <w:rPr>
          <w:rFonts w:cs="Arial"/>
          <w:spacing w:val="-2"/>
          <w:lang w:val="es-ES_tradnl"/>
        </w:rPr>
        <w:t xml:space="preserve">El “Boletín tipo de la UPOV sobre la protección de las obtenciones vegetales” </w:t>
      </w:r>
      <w:r w:rsidR="00665E0E" w:rsidRPr="007F71BE">
        <w:rPr>
          <w:rFonts w:cs="Arial"/>
          <w:spacing w:val="-4"/>
          <w:lang w:val="es-ES_tradnl"/>
        </w:rPr>
        <w:t>(documento UPOV/INF/5) fue aprobado por el Consejo el 18 de octubre de 1979 (véanse los párrafos 12 y 12a)</w:t>
      </w:r>
      <w:r w:rsidR="00665E0E" w:rsidRPr="00373FE1">
        <w:rPr>
          <w:rFonts w:cs="Arial"/>
          <w:lang w:val="es-ES_tradnl"/>
        </w:rPr>
        <w:t xml:space="preserve"> del documento C/XIII/17).</w:t>
      </w:r>
      <w:r w:rsidR="00EF2815" w:rsidRPr="00734637">
        <w:rPr>
          <w:rFonts w:cs="Arial"/>
          <w:lang w:val="es-ES"/>
        </w:rPr>
        <w:t xml:space="preserve"> </w:t>
      </w:r>
      <w:r w:rsidR="007F71BE">
        <w:rPr>
          <w:rFonts w:cs="Arial"/>
          <w:lang w:val="es-ES"/>
        </w:rPr>
        <w:t xml:space="preserve"> </w:t>
      </w:r>
      <w:r w:rsidR="00665E0E" w:rsidRPr="00373FE1">
        <w:rPr>
          <w:rFonts w:cs="Arial"/>
          <w:lang w:val="es-ES_tradnl"/>
        </w:rPr>
        <w:t xml:space="preserve">En la colección de la UPOV hay disponibles copias del documento UPOV/INF/5 </w:t>
      </w:r>
      <w:r w:rsidR="00665E0E" w:rsidRPr="00373FE1">
        <w:rPr>
          <w:rFonts w:cs="Arial"/>
          <w:spacing w:val="-2"/>
          <w:lang w:val="es-ES_tradnl"/>
        </w:rPr>
        <w:t xml:space="preserve">(véase </w:t>
      </w:r>
      <w:hyperlink r:id="rId9" w:history="1">
        <w:r w:rsidR="00665E0E" w:rsidRPr="00373FE1">
          <w:rPr>
            <w:rStyle w:val="Hyperlink"/>
            <w:rFonts w:cs="Arial"/>
            <w:spacing w:val="-2"/>
            <w:lang w:val="es-ES_tradnl"/>
          </w:rPr>
          <w:t>http://www.upov.int/upov_collection/es/</w:t>
        </w:r>
      </w:hyperlink>
      <w:r w:rsidR="00665E0E" w:rsidRPr="00373FE1">
        <w:rPr>
          <w:rFonts w:cs="Arial"/>
          <w:spacing w:val="-2"/>
          <w:lang w:val="es-ES_tradnl"/>
        </w:rPr>
        <w:t>).</w:t>
      </w:r>
    </w:p>
    <w:p w:rsidR="001D5883" w:rsidRPr="00734637" w:rsidRDefault="001D5883" w:rsidP="001D5883">
      <w:pPr>
        <w:rPr>
          <w:rFonts w:cs="Arial"/>
          <w:i/>
          <w:spacing w:val="-2"/>
          <w:lang w:val="es-ES"/>
        </w:rPr>
      </w:pPr>
    </w:p>
    <w:p w:rsidR="001D5883" w:rsidRPr="00734637" w:rsidRDefault="00C37188" w:rsidP="001D5883">
      <w:pPr>
        <w:autoSpaceDE w:val="0"/>
        <w:rPr>
          <w:rFonts w:cs="Arial"/>
          <w:spacing w:val="-2"/>
          <w:lang w:val="es-ES"/>
        </w:rPr>
      </w:pPr>
      <w:r w:rsidRPr="00DC1C2A">
        <w:rPr>
          <w:rFonts w:cs="Arial"/>
          <w:spacing w:val="-2"/>
        </w:rPr>
        <w:fldChar w:fldCharType="begin"/>
      </w:r>
      <w:r w:rsidR="001D5883" w:rsidRPr="00734637">
        <w:rPr>
          <w:rFonts w:cs="Arial"/>
          <w:spacing w:val="-2"/>
          <w:lang w:val="es-ES"/>
        </w:rPr>
        <w:instrText xml:space="preserve"> AUTONUM  </w:instrText>
      </w:r>
      <w:r w:rsidRPr="00DC1C2A">
        <w:rPr>
          <w:rFonts w:cs="Arial"/>
          <w:spacing w:val="-2"/>
        </w:rPr>
        <w:fldChar w:fldCharType="end"/>
      </w:r>
      <w:r w:rsidR="001D5883" w:rsidRPr="00734637">
        <w:rPr>
          <w:rFonts w:cs="Arial"/>
          <w:spacing w:val="-2"/>
          <w:lang w:val="es-ES"/>
        </w:rPr>
        <w:tab/>
      </w:r>
      <w:r w:rsidR="00665E0E" w:rsidRPr="00373FE1">
        <w:rPr>
          <w:rFonts w:cs="Arial"/>
          <w:spacing w:val="-2"/>
          <w:lang w:val="es-ES_tradnl"/>
        </w:rPr>
        <w:t>En su sexagésima cuarta sesión,</w:t>
      </w:r>
      <w:r w:rsidR="00665E0E" w:rsidRPr="00373FE1">
        <w:rPr>
          <w:rStyle w:val="FootnoteReference"/>
          <w:rFonts w:cs="Arial"/>
          <w:spacing w:val="-2"/>
          <w:lang w:val="es-ES_tradnl"/>
        </w:rPr>
        <w:footnoteReference w:id="11"/>
      </w:r>
      <w:r w:rsidR="00665E0E" w:rsidRPr="00373FE1">
        <w:rPr>
          <w:rFonts w:cs="Arial"/>
          <w:spacing w:val="-2"/>
          <w:lang w:val="es-ES_tradnl"/>
        </w:rPr>
        <w:t xml:space="preserve"> el CAJ convino en que se debería actualizar el documento UPOV/INF/5 con el fin de:</w:t>
      </w:r>
    </w:p>
    <w:p w:rsidR="001D5883" w:rsidRPr="00734637" w:rsidRDefault="001D5883" w:rsidP="001D5883">
      <w:pPr>
        <w:rPr>
          <w:rFonts w:cs="Arial"/>
          <w:lang w:val="es-ES"/>
        </w:rPr>
      </w:pPr>
    </w:p>
    <w:p w:rsidR="001D5883" w:rsidRPr="00734637" w:rsidRDefault="0007333E" w:rsidP="004A32E1">
      <w:pPr>
        <w:tabs>
          <w:tab w:val="left" w:pos="1701"/>
        </w:tabs>
        <w:ind w:left="567" w:right="567" w:firstLine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“</w:t>
      </w:r>
      <w:r w:rsidR="00EF2815" w:rsidRPr="00734637">
        <w:rPr>
          <w:rFonts w:cs="Arial"/>
          <w:sz w:val="18"/>
          <w:lang w:val="es-ES"/>
        </w:rPr>
        <w:t>a)</w:t>
      </w:r>
      <w:r w:rsidR="00EF2815" w:rsidRPr="00734637">
        <w:rPr>
          <w:rFonts w:cs="Arial"/>
          <w:sz w:val="18"/>
          <w:lang w:val="es-ES"/>
        </w:rPr>
        <w:tab/>
      </w:r>
      <w:r w:rsidR="00665E0E" w:rsidRPr="00373FE1">
        <w:rPr>
          <w:rFonts w:cs="Arial"/>
          <w:sz w:val="18"/>
          <w:lang w:val="es-ES_tradnl"/>
        </w:rPr>
        <w:t>reflejar la redacción del Acta de</w:t>
      </w:r>
      <w:r w:rsidR="00596575" w:rsidRPr="00373FE1">
        <w:rPr>
          <w:rFonts w:cs="Arial"/>
          <w:sz w:val="18"/>
          <w:lang w:val="es-ES_tradnl"/>
        </w:rPr>
        <w:t> 1</w:t>
      </w:r>
      <w:r w:rsidR="00665E0E" w:rsidRPr="00373FE1">
        <w:rPr>
          <w:rFonts w:cs="Arial"/>
          <w:sz w:val="18"/>
          <w:lang w:val="es-ES_tradnl"/>
        </w:rPr>
        <w:t>991 del Convenio de la UPOV y de los documentos aprobados recientemente por el Consejo (por ejemplo</w:t>
      </w:r>
      <w:r w:rsidR="00596575" w:rsidRPr="00373FE1">
        <w:rPr>
          <w:rFonts w:cs="Arial"/>
          <w:sz w:val="18"/>
          <w:lang w:val="es-ES_tradnl"/>
        </w:rPr>
        <w:t xml:space="preserve">, </w:t>
      </w:r>
      <w:r w:rsidR="00665E0E" w:rsidRPr="00373FE1">
        <w:rPr>
          <w:rFonts w:cs="Arial"/>
          <w:sz w:val="18"/>
          <w:lang w:val="es-ES_tradnl"/>
        </w:rPr>
        <w:t>el Formulario tipo de la UPOV para las solicitudes de derecho de obtentor (documento TGP/5 Sección</w:t>
      </w:r>
      <w:r w:rsidR="00596575" w:rsidRPr="00373FE1">
        <w:rPr>
          <w:rFonts w:cs="Arial"/>
          <w:sz w:val="18"/>
          <w:lang w:val="es-ES_tradnl"/>
        </w:rPr>
        <w:t> 2</w:t>
      </w:r>
      <w:r w:rsidR="00665E0E" w:rsidRPr="00373FE1">
        <w:rPr>
          <w:rFonts w:cs="Arial"/>
          <w:sz w:val="18"/>
          <w:lang w:val="es-ES_tradnl"/>
        </w:rPr>
        <w:t>/3));</w:t>
      </w:r>
    </w:p>
    <w:p w:rsidR="001D5883" w:rsidRPr="00734637" w:rsidRDefault="001D5883" w:rsidP="004A32E1">
      <w:pPr>
        <w:ind w:left="567" w:right="567" w:firstLine="567"/>
        <w:rPr>
          <w:rFonts w:cs="Arial"/>
          <w:sz w:val="18"/>
          <w:lang w:val="es-ES"/>
        </w:rPr>
      </w:pPr>
    </w:p>
    <w:p w:rsidR="001D5883" w:rsidRPr="00734637" w:rsidRDefault="00EF2815" w:rsidP="004A32E1">
      <w:pPr>
        <w:tabs>
          <w:tab w:val="left" w:pos="1701"/>
        </w:tabs>
        <w:ind w:left="567" w:right="567" w:firstLine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b)</w:t>
      </w:r>
      <w:r w:rsidRPr="00734637">
        <w:rPr>
          <w:rFonts w:cs="Arial"/>
          <w:sz w:val="18"/>
          <w:lang w:val="es-ES"/>
        </w:rPr>
        <w:tab/>
      </w:r>
      <w:r w:rsidR="00665E0E" w:rsidRPr="00373FE1">
        <w:rPr>
          <w:rFonts w:cs="Arial"/>
          <w:sz w:val="18"/>
          <w:lang w:val="es-ES_tradnl"/>
        </w:rPr>
        <w:t>abordar los cambios pertinentes en los formatos de los boletines nacionales o regionales de los miembros de la Unión;</w:t>
      </w:r>
      <w:r w:rsidRPr="00734637">
        <w:rPr>
          <w:rFonts w:cs="Arial"/>
          <w:sz w:val="18"/>
          <w:lang w:val="es-ES"/>
        </w:rPr>
        <w:t xml:space="preserve"> </w:t>
      </w:r>
      <w:r w:rsidR="00665E0E" w:rsidRPr="00373FE1">
        <w:rPr>
          <w:rFonts w:cs="Arial"/>
          <w:sz w:val="18"/>
          <w:lang w:val="es-ES_tradnl"/>
        </w:rPr>
        <w:t>y</w:t>
      </w:r>
    </w:p>
    <w:p w:rsidR="001D5883" w:rsidRPr="00734637" w:rsidRDefault="001D5883" w:rsidP="004A32E1">
      <w:pPr>
        <w:ind w:left="567" w:right="567" w:firstLine="567"/>
        <w:rPr>
          <w:rFonts w:cs="Arial"/>
          <w:sz w:val="18"/>
          <w:lang w:val="es-ES"/>
        </w:rPr>
      </w:pPr>
    </w:p>
    <w:p w:rsidR="001D5883" w:rsidRPr="00734637" w:rsidRDefault="00EF2815" w:rsidP="004A32E1">
      <w:pPr>
        <w:tabs>
          <w:tab w:val="left" w:pos="1701"/>
        </w:tabs>
        <w:ind w:left="567" w:right="567" w:firstLine="567"/>
        <w:rPr>
          <w:rFonts w:cs="Arial"/>
          <w:sz w:val="18"/>
          <w:lang w:val="es-ES"/>
        </w:rPr>
      </w:pPr>
      <w:r w:rsidRPr="00734637">
        <w:rPr>
          <w:rFonts w:cs="Arial"/>
          <w:sz w:val="18"/>
          <w:lang w:val="es-ES"/>
        </w:rPr>
        <w:t>c)</w:t>
      </w:r>
      <w:r w:rsidRPr="00734637">
        <w:rPr>
          <w:rFonts w:cs="Arial"/>
          <w:sz w:val="18"/>
          <w:lang w:val="es-ES"/>
        </w:rPr>
        <w:tab/>
      </w:r>
      <w:r w:rsidR="00665E0E" w:rsidRPr="00373FE1">
        <w:rPr>
          <w:rFonts w:cs="Arial"/>
          <w:sz w:val="18"/>
          <w:lang w:val="es-ES_tradnl"/>
        </w:rPr>
        <w:t>simplificar la estructura del documento.”</w:t>
      </w:r>
      <w:r w:rsidR="008F4336" w:rsidRPr="00CD7512">
        <w:rPr>
          <w:rStyle w:val="FootnoteReference"/>
          <w:rFonts w:cs="Arial"/>
          <w:sz w:val="18"/>
          <w:szCs w:val="18"/>
        </w:rPr>
        <w:footnoteReference w:id="12"/>
      </w:r>
      <w:r w:rsidR="001D5883" w:rsidRPr="00734637">
        <w:rPr>
          <w:rFonts w:cs="Arial"/>
          <w:sz w:val="18"/>
          <w:szCs w:val="18"/>
          <w:lang w:val="es-ES"/>
        </w:rPr>
        <w:t xml:space="preserve"> </w:t>
      </w:r>
    </w:p>
    <w:p w:rsidR="001D5883" w:rsidRPr="00734637" w:rsidRDefault="001D5883" w:rsidP="001D5883">
      <w:pPr>
        <w:pStyle w:val="Heading2"/>
        <w:rPr>
          <w:rFonts w:cs="Arial"/>
          <w:lang w:val="es-ES"/>
        </w:rPr>
      </w:pPr>
    </w:p>
    <w:p w:rsidR="001D5883" w:rsidRPr="00734637" w:rsidRDefault="00C37188" w:rsidP="001D5883">
      <w:pPr>
        <w:autoSpaceDE w:val="0"/>
        <w:rPr>
          <w:rFonts w:cs="Arial"/>
          <w:lang w:val="es-ES"/>
        </w:rPr>
      </w:pPr>
      <w:r w:rsidRPr="00DC1C2A">
        <w:rPr>
          <w:rFonts w:cs="Arial"/>
        </w:rPr>
        <w:fldChar w:fldCharType="begin"/>
      </w:r>
      <w:r w:rsidR="001D5883" w:rsidRPr="00734637">
        <w:rPr>
          <w:rFonts w:cs="Arial"/>
          <w:lang w:val="es-ES"/>
        </w:rPr>
        <w:instrText xml:space="preserve"> AUTONUM  </w:instrText>
      </w:r>
      <w:r w:rsidRPr="00DC1C2A">
        <w:rPr>
          <w:rFonts w:cs="Arial"/>
        </w:rPr>
        <w:fldChar w:fldCharType="end"/>
      </w:r>
      <w:r w:rsidR="001D5883" w:rsidRPr="00734637">
        <w:rPr>
          <w:rFonts w:cs="Arial"/>
          <w:lang w:val="es-ES"/>
        </w:rPr>
        <w:tab/>
      </w:r>
      <w:r w:rsidR="00C67785" w:rsidRPr="00373FE1">
        <w:rPr>
          <w:rFonts w:cs="Arial"/>
          <w:lang w:val="es-ES_tradnl"/>
        </w:rPr>
        <w:t>En su septuagésima tercera sesión,</w:t>
      </w:r>
      <w:r w:rsidR="00C67785" w:rsidRPr="00373FE1">
        <w:rPr>
          <w:rStyle w:val="FootnoteReference"/>
          <w:rFonts w:cs="Arial"/>
          <w:lang w:val="es-ES_tradnl"/>
        </w:rPr>
        <w:footnoteReference w:id="13"/>
      </w:r>
      <w:r w:rsidR="00C67785" w:rsidRPr="00373FE1">
        <w:rPr>
          <w:rFonts w:cs="Arial"/>
          <w:snapToGrid w:val="0"/>
          <w:lang w:val="es-ES_tradnl"/>
        </w:rPr>
        <w:t xml:space="preserve"> </w:t>
      </w:r>
      <w:r w:rsidR="00C67785" w:rsidRPr="00373FE1">
        <w:rPr>
          <w:rFonts w:cs="Arial"/>
          <w:lang w:val="es-ES_tradnl"/>
        </w:rPr>
        <w:t>el CAJ convino en seguir aplazando la elaboración de un proyecto de revisión del documento UPOV/INF/5 “Boletín tipo de la UPOV sobre la protección de las obtenciones vegetales (revisión)” (documento UPOV/INF/5/1 Draft 1)</w:t>
      </w:r>
      <w:r w:rsidR="00596575" w:rsidRPr="00373FE1">
        <w:rPr>
          <w:rFonts w:cs="Arial"/>
          <w:lang w:val="es-ES_tradnl"/>
        </w:rPr>
        <w:t xml:space="preserve">, </w:t>
      </w:r>
      <w:r w:rsidR="00C67785" w:rsidRPr="00373FE1">
        <w:rPr>
          <w:rFonts w:cs="Arial"/>
          <w:lang w:val="es-ES_tradnl"/>
        </w:rPr>
        <w:t>en espera de novedades relativas a la elaboración de un prototipo de formulario electrónico (véase el documento CAJ/73/4 “Formulario electrónico de solicitud”).</w:t>
      </w:r>
      <w:r w:rsidR="001D5883" w:rsidRPr="00DC1C2A">
        <w:rPr>
          <w:rStyle w:val="FootnoteReference"/>
          <w:rFonts w:cs="Arial"/>
        </w:rPr>
        <w:footnoteReference w:id="14"/>
      </w:r>
      <w:r w:rsidR="001D5883" w:rsidRPr="00734637">
        <w:rPr>
          <w:rFonts w:cs="Arial"/>
          <w:lang w:val="es-ES"/>
        </w:rPr>
        <w:t xml:space="preserve"> </w:t>
      </w:r>
    </w:p>
    <w:p w:rsidR="001D5883" w:rsidRPr="00734637" w:rsidRDefault="001D5883" w:rsidP="001D5883">
      <w:pPr>
        <w:rPr>
          <w:rFonts w:cs="Arial"/>
          <w:lang w:val="es-ES"/>
        </w:rPr>
      </w:pPr>
    </w:p>
    <w:p w:rsidR="001D5883" w:rsidRPr="00734637" w:rsidRDefault="00C37188" w:rsidP="001D5883">
      <w:pPr>
        <w:autoSpaceDE w:val="0"/>
        <w:rPr>
          <w:rFonts w:cs="Arial"/>
          <w:lang w:val="es-ES"/>
        </w:rPr>
      </w:pPr>
      <w:r w:rsidRPr="00DC1C2A">
        <w:rPr>
          <w:rFonts w:cs="Arial"/>
        </w:rPr>
        <w:fldChar w:fldCharType="begin"/>
      </w:r>
      <w:r w:rsidR="001D5883" w:rsidRPr="00734637">
        <w:rPr>
          <w:rFonts w:cs="Arial"/>
          <w:lang w:val="es-ES"/>
        </w:rPr>
        <w:instrText xml:space="preserve"> AUTONUM  </w:instrText>
      </w:r>
      <w:r w:rsidRPr="00DC1C2A">
        <w:rPr>
          <w:rFonts w:cs="Arial"/>
        </w:rPr>
        <w:fldChar w:fldCharType="end"/>
      </w:r>
      <w:r w:rsidR="001D5883" w:rsidRPr="00734637">
        <w:rPr>
          <w:rFonts w:cs="Arial"/>
          <w:lang w:val="es-ES"/>
        </w:rPr>
        <w:tab/>
      </w:r>
      <w:r w:rsidR="008F4533" w:rsidRPr="00373FE1">
        <w:rPr>
          <w:rFonts w:cs="Arial"/>
          <w:lang w:val="es-ES_tradnl"/>
        </w:rPr>
        <w:t>En su quincuagésima sesión ordinaria</w:t>
      </w:r>
      <w:r w:rsidR="00596575" w:rsidRPr="00373FE1">
        <w:rPr>
          <w:rFonts w:cs="Arial"/>
          <w:lang w:val="es-ES_tradnl"/>
        </w:rPr>
        <w:t xml:space="preserve">, </w:t>
      </w:r>
      <w:r w:rsidR="008F4533" w:rsidRPr="00373FE1">
        <w:rPr>
          <w:rFonts w:cs="Arial"/>
          <w:lang w:val="es-ES_tradnl"/>
        </w:rPr>
        <w:t>celebrada en Ginebra el</w:t>
      </w:r>
      <w:r w:rsidR="00596575" w:rsidRPr="00373FE1">
        <w:rPr>
          <w:rFonts w:cs="Arial"/>
          <w:lang w:val="es-ES_tradnl"/>
        </w:rPr>
        <w:t> 2</w:t>
      </w:r>
      <w:r w:rsidR="008F4533" w:rsidRPr="00373FE1">
        <w:rPr>
          <w:rFonts w:cs="Arial"/>
          <w:lang w:val="es-ES_tradnl"/>
        </w:rPr>
        <w:t>8 de octubre de</w:t>
      </w:r>
      <w:r w:rsidR="00596575" w:rsidRPr="00373FE1">
        <w:rPr>
          <w:rFonts w:cs="Arial"/>
          <w:lang w:val="es-ES_tradnl"/>
        </w:rPr>
        <w:t> 2</w:t>
      </w:r>
      <w:r w:rsidR="008F4533" w:rsidRPr="00373FE1">
        <w:rPr>
          <w:rFonts w:cs="Arial"/>
          <w:lang w:val="es-ES_tradnl"/>
        </w:rPr>
        <w:t>016</w:t>
      </w:r>
      <w:r w:rsidR="00596575" w:rsidRPr="00373FE1">
        <w:rPr>
          <w:rFonts w:cs="Arial"/>
          <w:lang w:val="es-ES_tradnl"/>
        </w:rPr>
        <w:t xml:space="preserve">, </w:t>
      </w:r>
      <w:r w:rsidR="008F4533" w:rsidRPr="00373FE1">
        <w:rPr>
          <w:rFonts w:cs="Arial"/>
          <w:lang w:val="es-ES_tradnl"/>
        </w:rPr>
        <w:t>el Consejo aprobó la puesta en funcionamiento del formulario electrónico de solicitud (EAF) en enero de 2017.</w:t>
      </w:r>
      <w:r w:rsidR="001D5883" w:rsidRPr="00DC1C2A">
        <w:rPr>
          <w:rStyle w:val="FootnoteReference"/>
          <w:rFonts w:cs="Arial"/>
        </w:rPr>
        <w:footnoteReference w:id="15"/>
      </w:r>
      <w:r w:rsidR="00EF2815" w:rsidRPr="00734637">
        <w:rPr>
          <w:rFonts w:cs="Arial"/>
          <w:lang w:val="es-ES"/>
        </w:rPr>
        <w:t xml:space="preserve"> </w:t>
      </w:r>
    </w:p>
    <w:p w:rsidR="001D5883" w:rsidRPr="00734637" w:rsidRDefault="001D5883" w:rsidP="001D5883">
      <w:pPr>
        <w:rPr>
          <w:rFonts w:cs="Arial"/>
          <w:lang w:val="es-ES"/>
        </w:rPr>
      </w:pPr>
    </w:p>
    <w:p w:rsidR="001D5883" w:rsidRPr="00734637" w:rsidRDefault="00C37188" w:rsidP="001D5883">
      <w:pPr>
        <w:autoSpaceDE w:val="0"/>
        <w:rPr>
          <w:rFonts w:cs="Arial"/>
          <w:lang w:val="es-ES"/>
        </w:rPr>
      </w:pPr>
      <w:r w:rsidRPr="00DC1C2A">
        <w:rPr>
          <w:rFonts w:cs="Arial"/>
        </w:rPr>
        <w:fldChar w:fldCharType="begin"/>
      </w:r>
      <w:r w:rsidR="001D5883" w:rsidRPr="00734637">
        <w:rPr>
          <w:rFonts w:cs="Arial"/>
          <w:lang w:val="es-ES"/>
        </w:rPr>
        <w:instrText xml:space="preserve"> AUTONUM  </w:instrText>
      </w:r>
      <w:r w:rsidRPr="00DC1C2A">
        <w:rPr>
          <w:rFonts w:cs="Arial"/>
        </w:rPr>
        <w:fldChar w:fldCharType="end"/>
      </w:r>
      <w:r w:rsidR="001D5883" w:rsidRPr="00734637">
        <w:rPr>
          <w:rFonts w:cs="Arial"/>
          <w:lang w:val="es-ES"/>
        </w:rPr>
        <w:tab/>
      </w:r>
      <w:r w:rsidR="0009217D" w:rsidRPr="00373FE1">
        <w:rPr>
          <w:rFonts w:cs="Arial"/>
          <w:lang w:val="es-ES_tradnl"/>
        </w:rPr>
        <w:t>En su sexagésima octava sesión,</w:t>
      </w:r>
      <w:r w:rsidR="0009217D" w:rsidRPr="00373FE1">
        <w:rPr>
          <w:rStyle w:val="FootnoteReference"/>
          <w:rFonts w:cs="Arial"/>
          <w:lang w:val="es-ES_tradnl"/>
        </w:rPr>
        <w:footnoteReference w:id="16"/>
      </w:r>
      <w:r w:rsidR="0009217D" w:rsidRPr="00373FE1">
        <w:rPr>
          <w:rFonts w:cs="Arial"/>
          <w:lang w:val="es-ES_tradnl"/>
        </w:rPr>
        <w:t xml:space="preserve"> el CAJ aprobó las modificaciones al programa de mejoras de la base de datos PLUTO (“Programa”) (véase el </w:t>
      </w:r>
      <w:r w:rsidR="0009217D" w:rsidRPr="00373FE1">
        <w:rPr>
          <w:rFonts w:cs="Arial"/>
          <w:bCs/>
          <w:color w:val="000000" w:themeColor="text1"/>
          <w:spacing w:val="-2"/>
          <w:lang w:val="es-ES_tradnl" w:eastAsia="ja-JP"/>
        </w:rPr>
        <w:t>Anexo I del documento CAJ/69/6 “Bases de datos de información de la UPOV”).</w:t>
      </w:r>
      <w:r w:rsidR="001D5883" w:rsidRPr="00DC1C2A">
        <w:rPr>
          <w:rStyle w:val="FootnoteReference"/>
          <w:rFonts w:cs="Arial"/>
        </w:rPr>
        <w:footnoteReference w:id="17"/>
      </w:r>
      <w:r w:rsidR="00EF2815" w:rsidRPr="00734637">
        <w:rPr>
          <w:rFonts w:cs="Arial"/>
          <w:bCs/>
          <w:color w:val="000000" w:themeColor="text1"/>
          <w:spacing w:val="-2"/>
          <w:lang w:val="es-ES" w:eastAsia="ja-JP"/>
        </w:rPr>
        <w:t xml:space="preserve"> </w:t>
      </w:r>
    </w:p>
    <w:p w:rsidR="001D5883" w:rsidRPr="00734637" w:rsidRDefault="001D5883" w:rsidP="001D5883">
      <w:pPr>
        <w:rPr>
          <w:rFonts w:cs="Arial"/>
          <w:bCs/>
          <w:color w:val="000000" w:themeColor="text1"/>
          <w:spacing w:val="-2"/>
          <w:lang w:val="es-ES" w:eastAsia="ja-JP"/>
        </w:rPr>
      </w:pPr>
    </w:p>
    <w:p w:rsidR="00B174FF" w:rsidRPr="00734637" w:rsidRDefault="00C37188" w:rsidP="00B174FF">
      <w:pPr>
        <w:rPr>
          <w:rFonts w:cs="Arial"/>
          <w:lang w:val="es-ES"/>
        </w:rPr>
      </w:pPr>
      <w:r w:rsidRPr="00CF6569">
        <w:rPr>
          <w:rFonts w:cs="Arial"/>
          <w:i/>
          <w:spacing w:val="-2"/>
        </w:rPr>
        <w:fldChar w:fldCharType="begin"/>
      </w:r>
      <w:r w:rsidR="00B174FF" w:rsidRPr="00734637">
        <w:rPr>
          <w:rFonts w:cs="Arial"/>
          <w:spacing w:val="-2"/>
          <w:lang w:val="es-ES"/>
        </w:rPr>
        <w:instrText xml:space="preserve"> AUTONUM  </w:instrText>
      </w:r>
      <w:r w:rsidRPr="00CF6569">
        <w:rPr>
          <w:rFonts w:cs="Arial"/>
          <w:i/>
          <w:spacing w:val="-2"/>
        </w:rPr>
        <w:fldChar w:fldCharType="end"/>
      </w:r>
      <w:r w:rsidR="00B174FF" w:rsidRPr="00734637">
        <w:rPr>
          <w:rFonts w:cs="Arial"/>
          <w:spacing w:val="-2"/>
          <w:lang w:val="es-ES"/>
        </w:rPr>
        <w:tab/>
      </w:r>
      <w:r w:rsidR="0009217D" w:rsidRPr="007959A4">
        <w:rPr>
          <w:rFonts w:cs="Arial"/>
          <w:lang w:val="es-ES_tradnl"/>
        </w:rPr>
        <w:t>En su septuagésima cuarta sesión</w:t>
      </w:r>
      <w:r w:rsidR="00596575" w:rsidRPr="007959A4">
        <w:rPr>
          <w:rFonts w:cs="Arial"/>
          <w:lang w:val="es-ES_tradnl"/>
        </w:rPr>
        <w:t>,</w:t>
      </w:r>
      <w:r w:rsidR="0009217D" w:rsidRPr="007959A4">
        <w:rPr>
          <w:rStyle w:val="FootnoteReference"/>
          <w:rFonts w:cs="Arial"/>
          <w:lang w:val="es-ES_tradnl"/>
        </w:rPr>
        <w:footnoteReference w:id="18"/>
      </w:r>
      <w:r w:rsidR="0009217D" w:rsidRPr="007959A4">
        <w:rPr>
          <w:rFonts w:cs="Arial"/>
          <w:spacing w:val="-2"/>
          <w:lang w:val="es-ES_tradnl"/>
        </w:rPr>
        <w:t xml:space="preserve"> </w:t>
      </w:r>
      <w:r w:rsidR="00C55795" w:rsidRPr="007959A4">
        <w:rPr>
          <w:rFonts w:cs="Arial"/>
          <w:spacing w:val="-2"/>
          <w:lang w:val="es-ES_tradnl"/>
        </w:rPr>
        <w:t xml:space="preserve">con miras a examinarlas en su septuagésima quinta sesión, </w:t>
      </w:r>
      <w:r w:rsidR="0009217D" w:rsidRPr="007959A4">
        <w:rPr>
          <w:rFonts w:cs="Arial"/>
          <w:spacing w:val="-2"/>
          <w:lang w:val="es-ES_tradnl"/>
        </w:rPr>
        <w:t>el CAJ</w:t>
      </w:r>
      <w:r w:rsidR="0009217D" w:rsidRPr="007959A4">
        <w:rPr>
          <w:rFonts w:cs="Arial"/>
          <w:lang w:val="es-ES_tradnl"/>
        </w:rPr>
        <w:t xml:space="preserve"> </w:t>
      </w:r>
      <w:r w:rsidR="009B5598" w:rsidRPr="007959A4">
        <w:rPr>
          <w:rFonts w:cs="Arial"/>
          <w:spacing w:val="-2"/>
          <w:lang w:val="es-ES_tradnl"/>
        </w:rPr>
        <w:t>solicitó a la Oficina de la Unión que elabore propuestas de revisión del documento UPOV/INF/5 “Boletín tipo de la UPOV sobre la protección de las obtenciones vegetales (revisión)” que tengan en cuenta las cuestiones que deben actualizarse</w:t>
      </w:r>
      <w:r w:rsidR="00596575" w:rsidRPr="007959A4">
        <w:rPr>
          <w:rFonts w:cs="Arial"/>
          <w:spacing w:val="-2"/>
          <w:lang w:val="es-ES_tradnl"/>
        </w:rPr>
        <w:t xml:space="preserve">, </w:t>
      </w:r>
      <w:r w:rsidR="009B5598" w:rsidRPr="007959A4">
        <w:rPr>
          <w:rFonts w:cs="Arial"/>
          <w:spacing w:val="-2"/>
          <w:lang w:val="es-ES_tradnl"/>
        </w:rPr>
        <w:t>señaladas por el CAJ en su sexagésima cuarta sesión</w:t>
      </w:r>
      <w:r w:rsidR="00596575" w:rsidRPr="007959A4">
        <w:rPr>
          <w:rFonts w:cs="Arial"/>
          <w:spacing w:val="-2"/>
          <w:lang w:val="es-ES_tradnl"/>
        </w:rPr>
        <w:t xml:space="preserve">, </w:t>
      </w:r>
      <w:r w:rsidR="009B5598" w:rsidRPr="007959A4">
        <w:rPr>
          <w:rFonts w:cs="Arial"/>
          <w:spacing w:val="-2"/>
          <w:lang w:val="es-ES_tradnl"/>
        </w:rPr>
        <w:t>y que expongan las novedades relativas al EAF y los campos pertinentes de la base de datos PLUTO</w:t>
      </w:r>
      <w:r w:rsidR="00596575" w:rsidRPr="007959A4">
        <w:rPr>
          <w:rFonts w:cs="Arial"/>
          <w:spacing w:val="-2"/>
          <w:lang w:val="es-ES_tradnl"/>
        </w:rPr>
        <w:t xml:space="preserve">, </w:t>
      </w:r>
      <w:r w:rsidR="009B5598" w:rsidRPr="007959A4">
        <w:rPr>
          <w:rFonts w:cs="Arial"/>
          <w:spacing w:val="-2"/>
          <w:lang w:val="es-ES_tradnl"/>
        </w:rPr>
        <w:t>a fin de</w:t>
      </w:r>
      <w:r w:rsidR="0009217D" w:rsidRPr="007959A4">
        <w:rPr>
          <w:rFonts w:cs="Arial"/>
          <w:lang w:val="es-ES_tradnl"/>
        </w:rPr>
        <w:t>:</w:t>
      </w:r>
    </w:p>
    <w:p w:rsidR="00B174FF" w:rsidRPr="00734637" w:rsidRDefault="00B174FF" w:rsidP="00B174FF">
      <w:pPr>
        <w:rPr>
          <w:rFonts w:cs="Arial"/>
          <w:lang w:val="es-ES"/>
        </w:rPr>
      </w:pPr>
    </w:p>
    <w:p w:rsidR="00B174FF" w:rsidRPr="00734637" w:rsidRDefault="00EF2815" w:rsidP="00B174FF">
      <w:pPr>
        <w:ind w:firstLine="567"/>
        <w:rPr>
          <w:rFonts w:cs="Arial"/>
          <w:lang w:val="es-ES"/>
        </w:rPr>
      </w:pPr>
      <w:r w:rsidRPr="00734637">
        <w:rPr>
          <w:rFonts w:cs="Arial"/>
          <w:lang w:val="es-ES"/>
        </w:rPr>
        <w:t>a)</w:t>
      </w:r>
      <w:r w:rsidRPr="00734637">
        <w:rPr>
          <w:rFonts w:cs="Arial"/>
          <w:lang w:val="es-ES"/>
        </w:rPr>
        <w:tab/>
      </w:r>
      <w:r w:rsidR="009B5598" w:rsidRPr="007959A4">
        <w:rPr>
          <w:rFonts w:cs="Arial"/>
          <w:lang w:val="es-ES_tradnl"/>
        </w:rPr>
        <w:t>reflejar la redacción del Acta de</w:t>
      </w:r>
      <w:r w:rsidR="00596575" w:rsidRPr="007959A4">
        <w:rPr>
          <w:rFonts w:cs="Arial"/>
          <w:lang w:val="es-ES_tradnl"/>
        </w:rPr>
        <w:t> 1</w:t>
      </w:r>
      <w:r w:rsidR="009B5598" w:rsidRPr="007959A4">
        <w:rPr>
          <w:rFonts w:cs="Arial"/>
          <w:lang w:val="es-ES_tradnl"/>
        </w:rPr>
        <w:t>991 del Convenio de la UPOV y de los documentos aprobados recientemente por el Consejo (por ejemplo</w:t>
      </w:r>
      <w:r w:rsidR="00596575" w:rsidRPr="007959A4">
        <w:rPr>
          <w:rFonts w:cs="Arial"/>
          <w:lang w:val="es-ES_tradnl"/>
        </w:rPr>
        <w:t xml:space="preserve">, </w:t>
      </w:r>
      <w:r w:rsidR="009B5598" w:rsidRPr="007959A4">
        <w:rPr>
          <w:rFonts w:cs="Arial"/>
          <w:lang w:val="es-ES_tradnl"/>
        </w:rPr>
        <w:t>el Formulario tipo de la UPOV para las solicitudes de derecho de obtentor (documento TGP/5 Sección</w:t>
      </w:r>
      <w:r w:rsidR="00596575" w:rsidRPr="007959A4">
        <w:rPr>
          <w:rFonts w:cs="Arial"/>
          <w:lang w:val="es-ES_tradnl"/>
        </w:rPr>
        <w:t> 2</w:t>
      </w:r>
      <w:r w:rsidR="009B5598" w:rsidRPr="007959A4">
        <w:rPr>
          <w:rFonts w:cs="Arial"/>
          <w:lang w:val="es-ES_tradnl"/>
        </w:rPr>
        <w:t>/3) y las novedades relativas al formulario electrónico de solicitud (EAF));</w:t>
      </w:r>
    </w:p>
    <w:p w:rsidR="00B174FF" w:rsidRPr="00734637" w:rsidRDefault="00B174FF" w:rsidP="00B174FF">
      <w:pPr>
        <w:rPr>
          <w:rFonts w:cs="Arial"/>
          <w:lang w:val="es-ES"/>
        </w:rPr>
      </w:pPr>
    </w:p>
    <w:p w:rsidR="00B174FF" w:rsidRPr="00734637" w:rsidRDefault="00EF2815" w:rsidP="00B174FF">
      <w:pPr>
        <w:ind w:firstLine="567"/>
        <w:rPr>
          <w:rFonts w:cs="Arial"/>
          <w:lang w:val="es-ES"/>
        </w:rPr>
      </w:pPr>
      <w:r w:rsidRPr="00734637">
        <w:rPr>
          <w:rFonts w:cs="Arial"/>
          <w:lang w:val="es-ES"/>
        </w:rPr>
        <w:t>b)</w:t>
      </w:r>
      <w:r w:rsidRPr="00734637">
        <w:rPr>
          <w:rFonts w:cs="Arial"/>
          <w:lang w:val="es-ES"/>
        </w:rPr>
        <w:tab/>
      </w:r>
      <w:r w:rsidR="009B5598" w:rsidRPr="007959A4">
        <w:rPr>
          <w:rFonts w:cs="Arial"/>
          <w:lang w:val="es-ES_tradnl"/>
        </w:rPr>
        <w:t>abordar los cambios pertinentes en los formatos de los boletines nacionales o regionales de los miembros de la Unión y los campos que proceda de la base de datos PLUTO como instrumento adicional para comunicar al público la información relativa a las solicitudes y concesiones de derechos de obtentor y las denominaciones propuestas y aprobadas;</w:t>
      </w:r>
    </w:p>
    <w:p w:rsidR="00B174FF" w:rsidRPr="00734637" w:rsidRDefault="00B174FF" w:rsidP="00B174FF">
      <w:pPr>
        <w:ind w:firstLine="567"/>
        <w:rPr>
          <w:rFonts w:cs="Arial"/>
          <w:lang w:val="es-ES"/>
        </w:rPr>
      </w:pPr>
    </w:p>
    <w:p w:rsidR="00B174FF" w:rsidRPr="00734637" w:rsidRDefault="00EF2815" w:rsidP="00B174FF">
      <w:pPr>
        <w:ind w:firstLine="567"/>
        <w:rPr>
          <w:rFonts w:cs="Arial"/>
          <w:lang w:val="es-ES"/>
        </w:rPr>
      </w:pPr>
      <w:r w:rsidRPr="00734637">
        <w:rPr>
          <w:rFonts w:cs="Arial"/>
          <w:lang w:val="es-ES"/>
        </w:rPr>
        <w:t>c)</w:t>
      </w:r>
      <w:r w:rsidRPr="00734637">
        <w:rPr>
          <w:rFonts w:cs="Arial"/>
          <w:lang w:val="es-ES"/>
        </w:rPr>
        <w:tab/>
      </w:r>
      <w:r w:rsidR="009B5598" w:rsidRPr="007959A4">
        <w:rPr>
          <w:rFonts w:cs="Arial"/>
          <w:lang w:val="es-ES_tradnl"/>
        </w:rPr>
        <w:t>simplificar la estructura del documento.</w:t>
      </w:r>
      <w:r w:rsidR="00B174FF" w:rsidRPr="00DC1C2A">
        <w:rPr>
          <w:rStyle w:val="FootnoteReference"/>
          <w:rFonts w:cs="Arial"/>
        </w:rPr>
        <w:footnoteReference w:id="19"/>
      </w:r>
    </w:p>
    <w:p w:rsidR="007A40B1" w:rsidRPr="00734637" w:rsidRDefault="007A40B1" w:rsidP="006311FB">
      <w:pPr>
        <w:rPr>
          <w:rFonts w:cs="Arial"/>
          <w:highlight w:val="yellow"/>
          <w:lang w:val="es-ES"/>
        </w:rPr>
      </w:pPr>
    </w:p>
    <w:p w:rsidR="00F111A2" w:rsidRPr="00734637" w:rsidRDefault="00F111A2">
      <w:pPr>
        <w:jc w:val="left"/>
        <w:rPr>
          <w:rFonts w:cs="Arial"/>
          <w:lang w:val="es-ES"/>
        </w:rPr>
      </w:pPr>
      <w:r w:rsidRPr="00734637">
        <w:rPr>
          <w:rFonts w:cs="Arial"/>
          <w:lang w:val="es-ES"/>
        </w:rPr>
        <w:br w:type="page"/>
      </w:r>
    </w:p>
    <w:p w:rsidR="007A40B1" w:rsidRPr="00734637" w:rsidRDefault="00C37188" w:rsidP="007A40B1">
      <w:pPr>
        <w:rPr>
          <w:rFonts w:cs="Arial"/>
          <w:lang w:val="es-ES"/>
        </w:rPr>
      </w:pPr>
      <w:r w:rsidRPr="00D53442">
        <w:rPr>
          <w:rFonts w:cs="Arial"/>
        </w:rPr>
        <w:lastRenderedPageBreak/>
        <w:fldChar w:fldCharType="begin"/>
      </w:r>
      <w:r w:rsidR="007A40B1" w:rsidRPr="00734637">
        <w:rPr>
          <w:rFonts w:cs="Arial"/>
          <w:lang w:val="es-ES"/>
        </w:rPr>
        <w:instrText xml:space="preserve"> AUTONUM  </w:instrText>
      </w:r>
      <w:r w:rsidRPr="00D53442">
        <w:rPr>
          <w:rFonts w:cs="Arial"/>
        </w:rPr>
        <w:fldChar w:fldCharType="end"/>
      </w:r>
      <w:r w:rsidR="007A40B1" w:rsidRPr="00734637">
        <w:rPr>
          <w:rFonts w:cs="Arial"/>
          <w:lang w:val="es-ES"/>
        </w:rPr>
        <w:tab/>
      </w:r>
      <w:r w:rsidR="00525B72" w:rsidRPr="007959A4">
        <w:rPr>
          <w:rFonts w:cs="Arial"/>
          <w:lang w:val="es-ES_tradnl"/>
        </w:rPr>
        <w:t xml:space="preserve">Habida cuenta de los </w:t>
      </w:r>
      <w:r w:rsidR="009B5598" w:rsidRPr="007959A4">
        <w:rPr>
          <w:rFonts w:cs="Arial"/>
          <w:lang w:val="es-ES_tradnl"/>
        </w:rPr>
        <w:t>distinto</w:t>
      </w:r>
      <w:r w:rsidR="00525B72" w:rsidRPr="007959A4">
        <w:rPr>
          <w:rFonts w:cs="Arial"/>
          <w:lang w:val="es-ES_tradnl"/>
        </w:rPr>
        <w:t>s</w:t>
      </w:r>
      <w:r w:rsidR="009B5598" w:rsidRPr="007959A4">
        <w:rPr>
          <w:rFonts w:cs="Arial"/>
          <w:lang w:val="es-ES_tradnl"/>
        </w:rPr>
        <w:t xml:space="preserve"> me</w:t>
      </w:r>
      <w:r w:rsidR="00525B72" w:rsidRPr="007959A4">
        <w:rPr>
          <w:rFonts w:cs="Arial"/>
          <w:lang w:val="es-ES_tradnl"/>
        </w:rPr>
        <w:t>dio</w:t>
      </w:r>
      <w:r w:rsidR="009B5598" w:rsidRPr="007959A4">
        <w:rPr>
          <w:rFonts w:cs="Arial"/>
          <w:lang w:val="es-ES_tradnl"/>
        </w:rPr>
        <w:t>s (i</w:t>
      </w:r>
      <w:r w:rsidR="00525B72" w:rsidRPr="007959A4">
        <w:rPr>
          <w:rFonts w:cs="Arial"/>
          <w:lang w:val="es-ES_tradnl"/>
        </w:rPr>
        <w:t>mpresos</w:t>
      </w:r>
      <w:r w:rsidR="009B5598" w:rsidRPr="007959A4">
        <w:rPr>
          <w:rFonts w:cs="Arial"/>
          <w:lang w:val="es-ES_tradnl"/>
        </w:rPr>
        <w:t xml:space="preserve"> o electrónico</w:t>
      </w:r>
      <w:r w:rsidR="00525B72" w:rsidRPr="007959A4">
        <w:rPr>
          <w:rFonts w:cs="Arial"/>
          <w:lang w:val="es-ES_tradnl"/>
        </w:rPr>
        <w:t>s</w:t>
      </w:r>
      <w:r w:rsidR="009B5598" w:rsidRPr="007959A4">
        <w:rPr>
          <w:rFonts w:cs="Arial"/>
          <w:lang w:val="es-ES_tradnl"/>
        </w:rPr>
        <w:t xml:space="preserve">) </w:t>
      </w:r>
      <w:r w:rsidR="00525B72" w:rsidRPr="007959A4">
        <w:rPr>
          <w:rFonts w:cs="Arial"/>
          <w:lang w:val="es-ES_tradnl"/>
        </w:rPr>
        <w:t xml:space="preserve">que emplean los </w:t>
      </w:r>
      <w:r w:rsidR="00653532">
        <w:rPr>
          <w:rFonts w:cs="Arial"/>
          <w:lang w:val="es-ES_tradnl"/>
        </w:rPr>
        <w:t>miembros de la </w:t>
      </w:r>
      <w:r w:rsidR="009B5598" w:rsidRPr="007959A4">
        <w:rPr>
          <w:rFonts w:cs="Arial"/>
          <w:lang w:val="es-ES_tradnl"/>
        </w:rPr>
        <w:t xml:space="preserve">Unión </w:t>
      </w:r>
      <w:r w:rsidR="00525B72" w:rsidRPr="007959A4">
        <w:rPr>
          <w:rFonts w:cs="Arial"/>
          <w:lang w:val="es-ES_tradnl"/>
        </w:rPr>
        <w:t>para</w:t>
      </w:r>
      <w:r w:rsidR="009B5598" w:rsidRPr="007959A4">
        <w:rPr>
          <w:rFonts w:cs="Arial"/>
          <w:lang w:val="es-ES_tradnl"/>
        </w:rPr>
        <w:t xml:space="preserve"> </w:t>
      </w:r>
      <w:r w:rsidR="00525B72" w:rsidRPr="007959A4">
        <w:rPr>
          <w:rFonts w:cs="Arial"/>
          <w:lang w:val="es-ES_tradnl"/>
        </w:rPr>
        <w:t>informar al público sobre cuestiones relativas a los derechos de obtentor</w:t>
      </w:r>
      <w:r w:rsidR="00596575" w:rsidRPr="007959A4">
        <w:rPr>
          <w:rFonts w:cs="Arial"/>
          <w:lang w:val="es-ES_tradnl"/>
        </w:rPr>
        <w:t xml:space="preserve">, </w:t>
      </w:r>
      <w:r w:rsidR="00653532">
        <w:rPr>
          <w:lang w:val="es-ES_tradnl"/>
        </w:rPr>
        <w:t>en particular las </w:t>
      </w:r>
      <w:r w:rsidR="00525B72" w:rsidRPr="007959A4">
        <w:rPr>
          <w:lang w:val="es-ES_tradnl"/>
        </w:rPr>
        <w:t xml:space="preserve">publicaciones </w:t>
      </w:r>
      <w:r w:rsidR="00525B72" w:rsidRPr="007959A4">
        <w:rPr>
          <w:rFonts w:cs="Arial"/>
          <w:lang w:val="es-ES_tradnl"/>
        </w:rPr>
        <w:t>electrónicas</w:t>
      </w:r>
      <w:r w:rsidR="00596575" w:rsidRPr="007959A4">
        <w:rPr>
          <w:rFonts w:cs="Arial"/>
          <w:lang w:val="es-ES_tradnl"/>
        </w:rPr>
        <w:t xml:space="preserve">, </w:t>
      </w:r>
      <w:r w:rsidR="009B5598" w:rsidRPr="007959A4">
        <w:rPr>
          <w:rFonts w:cs="Arial"/>
          <w:lang w:val="es-ES_tradnl"/>
        </w:rPr>
        <w:t xml:space="preserve">se propone </w:t>
      </w:r>
      <w:r w:rsidR="00525B72" w:rsidRPr="007959A4">
        <w:rPr>
          <w:rFonts w:cs="Arial"/>
          <w:lang w:val="es-ES_tradnl"/>
        </w:rPr>
        <w:t xml:space="preserve">modificar el </w:t>
      </w:r>
      <w:r w:rsidR="009B5598" w:rsidRPr="007959A4">
        <w:rPr>
          <w:rFonts w:cs="Arial"/>
          <w:lang w:val="es-ES_tradnl"/>
        </w:rPr>
        <w:t xml:space="preserve">título </w:t>
      </w:r>
      <w:r w:rsidR="00525B72" w:rsidRPr="007959A4">
        <w:rPr>
          <w:rFonts w:cs="Arial"/>
          <w:lang w:val="es-ES_tradnl"/>
        </w:rPr>
        <w:t xml:space="preserve">de la versión </w:t>
      </w:r>
      <w:r w:rsidR="009B5598" w:rsidRPr="007959A4">
        <w:rPr>
          <w:rFonts w:cs="Arial"/>
          <w:lang w:val="es-ES_tradnl"/>
        </w:rPr>
        <w:t>revis</w:t>
      </w:r>
      <w:r w:rsidR="00525B72" w:rsidRPr="007959A4">
        <w:rPr>
          <w:rFonts w:cs="Arial"/>
          <w:lang w:val="es-ES_tradnl"/>
        </w:rPr>
        <w:t>ada</w:t>
      </w:r>
      <w:r w:rsidR="009B5598" w:rsidRPr="007959A4">
        <w:rPr>
          <w:rFonts w:cs="Arial"/>
          <w:lang w:val="es-ES_tradnl"/>
        </w:rPr>
        <w:t xml:space="preserve"> de</w:t>
      </w:r>
      <w:r w:rsidR="00525B72" w:rsidRPr="007959A4">
        <w:rPr>
          <w:rFonts w:cs="Arial"/>
          <w:lang w:val="es-ES_tradnl"/>
        </w:rPr>
        <w:t>l</w:t>
      </w:r>
      <w:r w:rsidR="00653532">
        <w:rPr>
          <w:rFonts w:cs="Arial"/>
          <w:lang w:val="es-ES_tradnl"/>
        </w:rPr>
        <w:t xml:space="preserve"> documento </w:t>
      </w:r>
      <w:r w:rsidR="009B5598" w:rsidRPr="007959A4">
        <w:rPr>
          <w:rFonts w:cs="Arial"/>
          <w:lang w:val="es-ES_tradnl"/>
        </w:rPr>
        <w:t xml:space="preserve">UPOV/INF/5 </w:t>
      </w:r>
      <w:r w:rsidR="00525B72" w:rsidRPr="007959A4">
        <w:rPr>
          <w:rFonts w:cs="Arial"/>
          <w:lang w:val="es-ES_tradnl"/>
        </w:rPr>
        <w:t xml:space="preserve">sustituyendo </w:t>
      </w:r>
      <w:r w:rsidR="009B5598" w:rsidRPr="007959A4">
        <w:rPr>
          <w:rFonts w:cs="Arial"/>
          <w:lang w:val="es-ES_tradnl"/>
        </w:rPr>
        <w:t>la palabra “</w:t>
      </w:r>
      <w:r w:rsidR="00525B72" w:rsidRPr="007959A4">
        <w:rPr>
          <w:rFonts w:cs="Arial"/>
          <w:lang w:val="es-ES_tradnl"/>
        </w:rPr>
        <w:t>Boletín</w:t>
      </w:r>
      <w:r w:rsidR="009B5598" w:rsidRPr="007959A4">
        <w:rPr>
          <w:rFonts w:cs="Arial"/>
          <w:lang w:val="es-ES_tradnl"/>
        </w:rPr>
        <w:t>” por la palabra “Publicación”</w:t>
      </w:r>
      <w:r w:rsidR="00596575" w:rsidRPr="007959A4">
        <w:rPr>
          <w:rFonts w:cs="Arial"/>
          <w:lang w:val="es-ES_tradnl"/>
        </w:rPr>
        <w:t xml:space="preserve">, </w:t>
      </w:r>
      <w:r w:rsidR="00525B72" w:rsidRPr="007959A4">
        <w:rPr>
          <w:rFonts w:cs="Arial"/>
          <w:lang w:val="es-ES_tradnl"/>
        </w:rPr>
        <w:t>de modo que quede como sigue</w:t>
      </w:r>
      <w:r w:rsidR="009B5598" w:rsidRPr="007959A4">
        <w:rPr>
          <w:rFonts w:cs="Arial"/>
          <w:lang w:val="es-ES_tradnl"/>
        </w:rPr>
        <w:t>:</w:t>
      </w:r>
      <w:r w:rsidR="007A40B1" w:rsidRPr="00734637">
        <w:rPr>
          <w:rFonts w:cs="Arial"/>
          <w:lang w:val="es-ES"/>
        </w:rPr>
        <w:t xml:space="preserve"> </w:t>
      </w:r>
      <w:r w:rsidR="00653532">
        <w:rPr>
          <w:rFonts w:cs="Arial"/>
          <w:lang w:val="es-ES_tradnl"/>
        </w:rPr>
        <w:t>“Publicación </w:t>
      </w:r>
      <w:r w:rsidR="00525B72" w:rsidRPr="007959A4">
        <w:rPr>
          <w:rFonts w:cs="Arial"/>
          <w:lang w:val="es-ES_tradnl"/>
        </w:rPr>
        <w:t xml:space="preserve">tipo de la UPOV </w:t>
      </w:r>
      <w:r w:rsidR="00653532" w:rsidRPr="00D807B1">
        <w:rPr>
          <w:lang w:val="es-ES_tradnl"/>
        </w:rPr>
        <w:t xml:space="preserve">sobre </w:t>
      </w:r>
      <w:r w:rsidR="00653532" w:rsidRPr="004A1010">
        <w:rPr>
          <w:lang w:val="es-ES_tradnl"/>
        </w:rPr>
        <w:t>los derechos de obtentor</w:t>
      </w:r>
      <w:r w:rsidR="00525B72" w:rsidRPr="007959A4">
        <w:rPr>
          <w:rFonts w:cs="Arial"/>
          <w:lang w:val="es-ES_tradnl"/>
        </w:rPr>
        <w:t>”.</w:t>
      </w:r>
      <w:r w:rsidR="00653532">
        <w:rPr>
          <w:rFonts w:cs="Arial"/>
          <w:lang w:val="es-ES_tradnl"/>
        </w:rPr>
        <w:t xml:space="preserve"> </w:t>
      </w:r>
    </w:p>
    <w:p w:rsidR="007A40B1" w:rsidRPr="00734637" w:rsidRDefault="007A40B1" w:rsidP="006311FB">
      <w:pPr>
        <w:rPr>
          <w:rFonts w:cs="Arial"/>
          <w:lang w:val="es-ES"/>
        </w:rPr>
      </w:pPr>
    </w:p>
    <w:p w:rsidR="001E252B" w:rsidRPr="00734637" w:rsidRDefault="00C37188" w:rsidP="006311FB">
      <w:pPr>
        <w:rPr>
          <w:rFonts w:cs="Arial"/>
          <w:lang w:val="es-ES"/>
        </w:rPr>
      </w:pPr>
      <w:r w:rsidRPr="00846E9C">
        <w:rPr>
          <w:rFonts w:cs="Arial"/>
          <w:i/>
          <w:spacing w:val="-2"/>
        </w:rPr>
        <w:fldChar w:fldCharType="begin"/>
      </w:r>
      <w:r w:rsidR="00BC5BBB" w:rsidRPr="00734637">
        <w:rPr>
          <w:rFonts w:cs="Arial"/>
          <w:spacing w:val="-2"/>
          <w:lang w:val="es-ES"/>
        </w:rPr>
        <w:instrText xml:space="preserve"> AUTONUM  </w:instrText>
      </w:r>
      <w:r w:rsidRPr="00846E9C">
        <w:rPr>
          <w:rFonts w:cs="Arial"/>
          <w:i/>
          <w:spacing w:val="-2"/>
        </w:rPr>
        <w:fldChar w:fldCharType="end"/>
      </w:r>
      <w:r w:rsidR="00BC5BBB" w:rsidRPr="00734637">
        <w:rPr>
          <w:rFonts w:cs="Arial"/>
          <w:spacing w:val="-2"/>
          <w:lang w:val="es-ES"/>
        </w:rPr>
        <w:tab/>
      </w:r>
      <w:r w:rsidR="0077663D" w:rsidRPr="007959A4">
        <w:rPr>
          <w:rFonts w:cs="Arial"/>
          <w:lang w:val="es-ES_tradnl"/>
        </w:rPr>
        <w:t>Dado que el</w:t>
      </w:r>
      <w:r w:rsidR="00525B72" w:rsidRPr="007959A4">
        <w:rPr>
          <w:rFonts w:cs="Arial"/>
          <w:lang w:val="es-ES_tradnl"/>
        </w:rPr>
        <w:t xml:space="preserve"> documento UPOV/INF/5/2 Draft 1 “</w:t>
      </w:r>
      <w:r w:rsidR="0077663D" w:rsidRPr="007959A4">
        <w:rPr>
          <w:rFonts w:cs="Arial"/>
          <w:lang w:val="es-ES_tradnl"/>
        </w:rPr>
        <w:t xml:space="preserve">Publicación tipo de la UPOV </w:t>
      </w:r>
      <w:r w:rsidR="00653532" w:rsidRPr="00D807B1">
        <w:rPr>
          <w:lang w:val="es-ES_tradnl"/>
        </w:rPr>
        <w:t xml:space="preserve">sobre </w:t>
      </w:r>
      <w:r w:rsidR="00653532" w:rsidRPr="004A1010">
        <w:rPr>
          <w:lang w:val="es-ES_tradnl"/>
        </w:rPr>
        <w:t>los derechos de obtentor</w:t>
      </w:r>
      <w:r w:rsidR="00525B72" w:rsidRPr="007959A4">
        <w:rPr>
          <w:rFonts w:cs="Arial"/>
          <w:lang w:val="es-ES_tradnl"/>
        </w:rPr>
        <w:t xml:space="preserve">” </w:t>
      </w:r>
      <w:r w:rsidR="00F85599" w:rsidRPr="007959A4">
        <w:rPr>
          <w:rFonts w:cs="Arial"/>
          <w:lang w:val="es-ES_tradnl"/>
        </w:rPr>
        <w:t xml:space="preserve">se </w:t>
      </w:r>
      <w:r w:rsidR="00525B72" w:rsidRPr="007959A4">
        <w:rPr>
          <w:rFonts w:cs="Arial"/>
          <w:lang w:val="es-ES_tradnl"/>
        </w:rPr>
        <w:t xml:space="preserve">ha </w:t>
      </w:r>
      <w:r w:rsidR="00F85599" w:rsidRPr="007959A4">
        <w:rPr>
          <w:rFonts w:cs="Arial"/>
          <w:lang w:val="es-ES_tradnl"/>
        </w:rPr>
        <w:t xml:space="preserve">elaborado conforme a una </w:t>
      </w:r>
      <w:r w:rsidR="00525B72" w:rsidRPr="007959A4">
        <w:rPr>
          <w:rFonts w:cs="Arial"/>
          <w:lang w:val="es-ES_tradnl"/>
        </w:rPr>
        <w:t xml:space="preserve">estructura </w:t>
      </w:r>
      <w:r w:rsidR="00F85599" w:rsidRPr="007959A4">
        <w:rPr>
          <w:rFonts w:cs="Arial"/>
          <w:lang w:val="es-ES_tradnl"/>
        </w:rPr>
        <w:t xml:space="preserve">simplificada </w:t>
      </w:r>
      <w:r w:rsidR="00525B72" w:rsidRPr="007959A4">
        <w:rPr>
          <w:rFonts w:cs="Arial"/>
          <w:lang w:val="es-ES_tradnl"/>
        </w:rPr>
        <w:t xml:space="preserve">y </w:t>
      </w:r>
      <w:r w:rsidR="00F85599" w:rsidRPr="007959A4">
        <w:rPr>
          <w:rFonts w:cs="Arial"/>
          <w:lang w:val="es-ES_tradnl"/>
        </w:rPr>
        <w:t>a las</w:t>
      </w:r>
      <w:r w:rsidR="00525B72" w:rsidRPr="007959A4">
        <w:rPr>
          <w:rFonts w:cs="Arial"/>
          <w:lang w:val="es-ES_tradnl"/>
        </w:rPr>
        <w:t xml:space="preserve"> novedades</w:t>
      </w:r>
      <w:r w:rsidR="00F85599" w:rsidRPr="007959A4">
        <w:rPr>
          <w:rFonts w:cs="Arial"/>
          <w:lang w:val="es-ES_tradnl"/>
        </w:rPr>
        <w:t xml:space="preserve"> que se señalan </w:t>
      </w:r>
      <w:r w:rsidR="00653532">
        <w:rPr>
          <w:rFonts w:cs="Arial"/>
          <w:lang w:val="es-ES_tradnl"/>
        </w:rPr>
        <w:t>en el </w:t>
      </w:r>
      <w:r w:rsidR="00525B72" w:rsidRPr="007959A4">
        <w:rPr>
          <w:rFonts w:cs="Arial"/>
          <w:lang w:val="es-ES_tradnl"/>
        </w:rPr>
        <w:t>párrafo</w:t>
      </w:r>
      <w:r w:rsidR="00596575" w:rsidRPr="007959A4">
        <w:rPr>
          <w:rFonts w:cs="Arial"/>
          <w:lang w:val="es-ES_tradnl"/>
        </w:rPr>
        <w:t> 1</w:t>
      </w:r>
      <w:r w:rsidR="00525B72" w:rsidRPr="007959A4">
        <w:rPr>
          <w:rFonts w:cs="Arial"/>
          <w:lang w:val="es-ES_tradnl"/>
        </w:rPr>
        <w:t xml:space="preserve">6 </w:t>
      </w:r>
      <w:r w:rsidR="00F85599" w:rsidRPr="007959A4">
        <w:rPr>
          <w:rFonts w:cs="Arial"/>
          <w:lang w:val="es-ES_tradnl"/>
        </w:rPr>
        <w:t>anterior</w:t>
      </w:r>
      <w:r w:rsidR="00596575" w:rsidRPr="007959A4">
        <w:rPr>
          <w:rFonts w:cs="Arial"/>
          <w:lang w:val="es-ES_tradnl"/>
        </w:rPr>
        <w:t xml:space="preserve">, </w:t>
      </w:r>
      <w:r w:rsidR="00F85599" w:rsidRPr="007959A4">
        <w:rPr>
          <w:rFonts w:cs="Arial"/>
          <w:lang w:val="es-ES_tradnl"/>
        </w:rPr>
        <w:t xml:space="preserve">las </w:t>
      </w:r>
      <w:r w:rsidR="00525B72" w:rsidRPr="007959A4">
        <w:rPr>
          <w:rFonts w:cs="Arial"/>
          <w:lang w:val="es-ES_tradnl"/>
        </w:rPr>
        <w:t xml:space="preserve">propuestas no </w:t>
      </w:r>
      <w:r w:rsidR="00F85599" w:rsidRPr="007959A4">
        <w:rPr>
          <w:rFonts w:cs="Arial"/>
          <w:lang w:val="es-ES_tradnl"/>
        </w:rPr>
        <w:t>se presentan</w:t>
      </w:r>
      <w:r w:rsidR="00525B72" w:rsidRPr="007959A4">
        <w:rPr>
          <w:rFonts w:cs="Arial"/>
          <w:lang w:val="es-ES_tradnl"/>
        </w:rPr>
        <w:t xml:space="preserve"> </w:t>
      </w:r>
      <w:r w:rsidR="00F85599" w:rsidRPr="007959A4">
        <w:rPr>
          <w:rFonts w:cs="Arial"/>
          <w:lang w:val="es-ES_tradnl"/>
        </w:rPr>
        <w:t>con marcas de revisión</w:t>
      </w:r>
      <w:r w:rsidR="00525B72" w:rsidRPr="007959A4">
        <w:rPr>
          <w:rFonts w:cs="Arial"/>
          <w:lang w:val="es-ES_tradnl"/>
        </w:rPr>
        <w:t>.</w:t>
      </w:r>
    </w:p>
    <w:p w:rsidR="001E252B" w:rsidRPr="00734637" w:rsidRDefault="001E252B" w:rsidP="001E252B">
      <w:pPr>
        <w:rPr>
          <w:rFonts w:cs="Arial"/>
          <w:lang w:val="es-ES"/>
        </w:rPr>
      </w:pPr>
    </w:p>
    <w:p w:rsidR="001D5883" w:rsidRPr="00734637" w:rsidRDefault="00C37188" w:rsidP="001D5883">
      <w:pPr>
        <w:pStyle w:val="DecisionParagraphs"/>
        <w:rPr>
          <w:rFonts w:cs="Arial"/>
          <w:lang w:val="es-ES"/>
        </w:rPr>
      </w:pPr>
      <w:r w:rsidRPr="00846E9C">
        <w:rPr>
          <w:rFonts w:cs="Arial"/>
          <w:spacing w:val="-2"/>
        </w:rPr>
        <w:fldChar w:fldCharType="begin"/>
      </w:r>
      <w:r w:rsidR="001D5883" w:rsidRPr="00734637">
        <w:rPr>
          <w:rFonts w:cs="Arial"/>
          <w:spacing w:val="-2"/>
          <w:lang w:val="es-ES"/>
        </w:rPr>
        <w:instrText xml:space="preserve"> AUTONUM  </w:instrText>
      </w:r>
      <w:r w:rsidRPr="00846E9C">
        <w:rPr>
          <w:rFonts w:cs="Arial"/>
          <w:spacing w:val="-2"/>
        </w:rPr>
        <w:fldChar w:fldCharType="end"/>
      </w:r>
      <w:r w:rsidR="001D5883" w:rsidRPr="00734637">
        <w:rPr>
          <w:rFonts w:cs="Arial"/>
          <w:spacing w:val="-2"/>
          <w:lang w:val="es-ES"/>
        </w:rPr>
        <w:tab/>
      </w:r>
      <w:r w:rsidR="00F85599" w:rsidRPr="007959A4">
        <w:rPr>
          <w:rFonts w:cs="Arial"/>
          <w:spacing w:val="-2"/>
          <w:lang w:val="es-ES_tradnl"/>
        </w:rPr>
        <w:t>Se invita al CAJ a examinar la revisión del documento</w:t>
      </w:r>
      <w:r w:rsidR="00653532">
        <w:rPr>
          <w:rFonts w:cs="Arial"/>
          <w:spacing w:val="-2"/>
          <w:lang w:val="es-ES_tradnl"/>
        </w:rPr>
        <w:t xml:space="preserve"> UPOV/INF/5 “Boletín tipo de la </w:t>
      </w:r>
      <w:r w:rsidR="00F85599" w:rsidRPr="007959A4">
        <w:rPr>
          <w:rFonts w:cs="Arial"/>
          <w:spacing w:val="-2"/>
          <w:lang w:val="es-ES_tradnl"/>
        </w:rPr>
        <w:t>UPOV sobre la protección de las obtenciones vegetales” que se expone en el documento UPOV/INF/5/2 Draft 1 “</w:t>
      </w:r>
      <w:r w:rsidR="00F85599" w:rsidRPr="007959A4">
        <w:rPr>
          <w:rFonts w:cs="Arial"/>
          <w:lang w:val="es-ES_tradnl"/>
        </w:rPr>
        <w:t xml:space="preserve">Publicación </w:t>
      </w:r>
      <w:r w:rsidR="00F85599" w:rsidRPr="007959A4">
        <w:rPr>
          <w:rFonts w:cs="Arial"/>
          <w:spacing w:val="-2"/>
          <w:lang w:val="es-ES_tradnl"/>
        </w:rPr>
        <w:t xml:space="preserve">tipo de la UPOV </w:t>
      </w:r>
      <w:r w:rsidR="00653532" w:rsidRPr="00D807B1">
        <w:rPr>
          <w:lang w:val="es-ES_tradnl"/>
        </w:rPr>
        <w:t xml:space="preserve">sobre </w:t>
      </w:r>
      <w:r w:rsidR="00653532">
        <w:rPr>
          <w:lang w:val="es-ES_tradnl"/>
        </w:rPr>
        <w:t>los derechos de </w:t>
      </w:r>
      <w:r w:rsidR="00653532" w:rsidRPr="004A1010">
        <w:rPr>
          <w:lang w:val="es-ES_tradnl"/>
        </w:rPr>
        <w:t>obtentor</w:t>
      </w:r>
      <w:r w:rsidR="00F85599" w:rsidRPr="007959A4">
        <w:rPr>
          <w:rFonts w:cs="Arial"/>
          <w:spacing w:val="-2"/>
          <w:lang w:val="es-ES_tradnl"/>
        </w:rPr>
        <w:t xml:space="preserve"> (revisión)”.</w:t>
      </w:r>
    </w:p>
    <w:p w:rsidR="00A877B5" w:rsidRPr="00734637" w:rsidRDefault="00A877B5" w:rsidP="001D5883">
      <w:pPr>
        <w:rPr>
          <w:rFonts w:cs="Arial"/>
          <w:i/>
          <w:lang w:val="es-ES"/>
        </w:rPr>
      </w:pPr>
    </w:p>
    <w:p w:rsidR="001D5883" w:rsidRPr="00734637" w:rsidRDefault="001D5883" w:rsidP="001D5883">
      <w:pPr>
        <w:rPr>
          <w:rFonts w:cs="Arial"/>
          <w:lang w:val="es-ES"/>
        </w:rPr>
      </w:pPr>
    </w:p>
    <w:p w:rsidR="001D5883" w:rsidRPr="00734637" w:rsidRDefault="00F85599" w:rsidP="001D5883">
      <w:pPr>
        <w:pStyle w:val="Heading2"/>
        <w:rPr>
          <w:rFonts w:cs="Arial"/>
          <w:lang w:val="es-ES"/>
        </w:rPr>
      </w:pPr>
      <w:bookmarkStart w:id="7" w:name="_Toc522611822"/>
      <w:r w:rsidRPr="007959A4">
        <w:rPr>
          <w:rFonts w:cs="Arial"/>
          <w:lang w:val="es-ES_tradnl"/>
        </w:rPr>
        <w:t>Notas explicativas sobre las denominaciones de variedades con arreglo al Convenio de la UPOV (revisión)</w:t>
      </w:r>
      <w:bookmarkEnd w:id="7"/>
      <w:r w:rsidR="001D5883" w:rsidRPr="00734637">
        <w:rPr>
          <w:rFonts w:cs="Arial"/>
          <w:lang w:val="es-ES"/>
        </w:rPr>
        <w:t xml:space="preserve"> </w:t>
      </w:r>
    </w:p>
    <w:p w:rsidR="001D5883" w:rsidRPr="00734637" w:rsidRDefault="001D5883" w:rsidP="001D5883">
      <w:pPr>
        <w:rPr>
          <w:lang w:val="es-ES"/>
        </w:rPr>
      </w:pPr>
    </w:p>
    <w:p w:rsidR="004D079C" w:rsidRPr="00734637" w:rsidRDefault="00C37188" w:rsidP="004D079C">
      <w:pPr>
        <w:pStyle w:val="DecisionParagraphs"/>
        <w:keepLines/>
        <w:tabs>
          <w:tab w:val="clear" w:pos="5387"/>
          <w:tab w:val="clear" w:pos="5954"/>
        </w:tabs>
        <w:ind w:left="0"/>
        <w:rPr>
          <w:i w:val="0"/>
          <w:lang w:val="es-ES"/>
        </w:rPr>
      </w:pPr>
      <w:r w:rsidRPr="001971D3">
        <w:rPr>
          <w:i w:val="0"/>
        </w:rPr>
        <w:fldChar w:fldCharType="begin"/>
      </w:r>
      <w:r w:rsidR="004D079C" w:rsidRPr="00734637">
        <w:rPr>
          <w:i w:val="0"/>
          <w:lang w:val="es-ES"/>
        </w:rPr>
        <w:instrText xml:space="preserve"> AUTONUM  </w:instrText>
      </w:r>
      <w:r w:rsidRPr="001971D3">
        <w:rPr>
          <w:i w:val="0"/>
        </w:rPr>
        <w:fldChar w:fldCharType="end"/>
      </w:r>
      <w:r w:rsidR="004D079C" w:rsidRPr="00734637">
        <w:rPr>
          <w:i w:val="0"/>
          <w:lang w:val="es-ES"/>
        </w:rPr>
        <w:tab/>
      </w:r>
      <w:r w:rsidR="00E82285" w:rsidRPr="007959A4">
        <w:rPr>
          <w:i w:val="0"/>
          <w:lang w:val="es-ES_tradnl"/>
        </w:rPr>
        <w:t>Se invita al CAJ a tomar nota de que en el documento CAJ/75/7 “Denominaciones de variedades” se presenta un informe sobre la labor relativa a la posible elaboración de un instrumento de la UPOV de búsqueda de similitud a los fines de la denominación de variedades</w:t>
      </w:r>
      <w:r w:rsidR="00596575" w:rsidRPr="007959A4">
        <w:rPr>
          <w:i w:val="0"/>
          <w:lang w:val="es-ES_tradnl"/>
        </w:rPr>
        <w:t xml:space="preserve">, </w:t>
      </w:r>
      <w:r w:rsidR="00E82285" w:rsidRPr="007959A4">
        <w:rPr>
          <w:i w:val="0"/>
          <w:lang w:val="es-ES_tradnl"/>
        </w:rPr>
        <w:t>así como propuestas relativas a una eventual revisión del documento UPOV/INF/12 “Notas explicativas sobre las denominaciones de variedades con arreglo al Convenio de la UPOV”.</w:t>
      </w:r>
      <w:r w:rsidR="00E82285" w:rsidRPr="007959A4">
        <w:rPr>
          <w:rStyle w:val="FootnoteReference"/>
          <w:i w:val="0"/>
          <w:lang w:val="es-ES_tradnl"/>
        </w:rPr>
        <w:footnoteReference w:id="20"/>
      </w:r>
    </w:p>
    <w:p w:rsidR="004D079C" w:rsidRPr="00734637" w:rsidRDefault="004D079C" w:rsidP="001D5883">
      <w:pPr>
        <w:rPr>
          <w:highlight w:val="yellow"/>
          <w:lang w:val="es-ES"/>
        </w:rPr>
      </w:pPr>
    </w:p>
    <w:p w:rsidR="001D5883" w:rsidRPr="00734637" w:rsidRDefault="00C37188" w:rsidP="001D5883">
      <w:pPr>
        <w:pStyle w:val="DecisionParagraphs"/>
        <w:keepLines/>
        <w:rPr>
          <w:lang w:val="es-ES"/>
        </w:rPr>
      </w:pPr>
      <w:r w:rsidRPr="004F1804">
        <w:fldChar w:fldCharType="begin"/>
      </w:r>
      <w:r w:rsidR="001D5883" w:rsidRPr="00734637">
        <w:rPr>
          <w:lang w:val="es-ES"/>
        </w:rPr>
        <w:instrText xml:space="preserve"> AUTONUM  </w:instrText>
      </w:r>
      <w:r w:rsidRPr="004F1804">
        <w:fldChar w:fldCharType="end"/>
      </w:r>
      <w:r w:rsidR="001D5883" w:rsidRPr="00734637">
        <w:rPr>
          <w:lang w:val="es-ES"/>
        </w:rPr>
        <w:tab/>
      </w:r>
      <w:r w:rsidR="00960563" w:rsidRPr="004A3111">
        <w:rPr>
          <w:lang w:val="es-ES_tradnl"/>
        </w:rPr>
        <w:t>Se invita al CAJ a tomar nota de que en el documento CAJ/75/7 “Denominaciones de variedades” se presenta un informe sobre la labor relativa a la posible elaboración de un instrumento de la UPOV de búsqueda de similitud a los fines de la denominación de variedades</w:t>
      </w:r>
      <w:r w:rsidR="00596575" w:rsidRPr="004A3111">
        <w:rPr>
          <w:lang w:val="es-ES_tradnl"/>
        </w:rPr>
        <w:t xml:space="preserve">, </w:t>
      </w:r>
      <w:r w:rsidR="00960563" w:rsidRPr="004A3111">
        <w:rPr>
          <w:lang w:val="es-ES_tradnl"/>
        </w:rPr>
        <w:t>así como propuestas relativas a una eventual revisión del documento UPOV/INF/12 “Notas explicativas sobre las denominaciones de variedades con arreglo al Convenio de la UPOV”.</w:t>
      </w:r>
    </w:p>
    <w:p w:rsidR="001D5883" w:rsidRPr="00734637" w:rsidRDefault="001D5883" w:rsidP="001D5883">
      <w:pPr>
        <w:rPr>
          <w:lang w:val="es-ES" w:eastAsia="zh-CN"/>
        </w:rPr>
      </w:pPr>
    </w:p>
    <w:p w:rsidR="004F1804" w:rsidRPr="00734637" w:rsidRDefault="004F1804" w:rsidP="001D5883">
      <w:pPr>
        <w:rPr>
          <w:lang w:val="es-ES" w:eastAsia="zh-CN"/>
        </w:rPr>
      </w:pPr>
    </w:p>
    <w:p w:rsidR="001D5883" w:rsidRPr="00734637" w:rsidRDefault="001D5883" w:rsidP="001D5883">
      <w:pPr>
        <w:rPr>
          <w:lang w:val="es-ES"/>
        </w:rPr>
      </w:pPr>
    </w:p>
    <w:p w:rsidR="001D5883" w:rsidRPr="00734637" w:rsidRDefault="00960563" w:rsidP="001D5883">
      <w:pPr>
        <w:pStyle w:val="Heading1"/>
        <w:rPr>
          <w:lang w:val="es-ES"/>
        </w:rPr>
      </w:pPr>
      <w:bookmarkStart w:id="8" w:name="_Toc522611823"/>
      <w:r w:rsidRPr="004A3111">
        <w:rPr>
          <w:lang w:val="es-ES_tradnl"/>
        </w:rPr>
        <w:t>PROGRAMA PROVISIONAL PARA LA ELABORACIÓN DE MATERIAL DE INFORMACIÓN</w:t>
      </w:r>
      <w:bookmarkEnd w:id="8"/>
      <w:r w:rsidR="001D5883" w:rsidRPr="00734637">
        <w:rPr>
          <w:lang w:val="es-ES"/>
        </w:rPr>
        <w:t xml:space="preserve"> </w:t>
      </w:r>
    </w:p>
    <w:p w:rsidR="001D5883" w:rsidRPr="00734637" w:rsidRDefault="001D5883" w:rsidP="001D5883">
      <w:pPr>
        <w:pStyle w:val="Heading2"/>
        <w:rPr>
          <w:lang w:val="es-ES"/>
        </w:rPr>
      </w:pPr>
    </w:p>
    <w:p w:rsidR="001D5883" w:rsidRPr="00734637" w:rsidRDefault="00C37188" w:rsidP="001D5883">
      <w:pPr>
        <w:rPr>
          <w:rFonts w:eastAsia="MS Mincho"/>
          <w:lang w:val="es-ES"/>
        </w:rPr>
      </w:pPr>
      <w:r w:rsidRPr="004F1804">
        <w:rPr>
          <w:rFonts w:eastAsia="MS Mincho"/>
        </w:rPr>
        <w:fldChar w:fldCharType="begin"/>
      </w:r>
      <w:r w:rsidR="001D5883" w:rsidRPr="00734637">
        <w:rPr>
          <w:rFonts w:eastAsia="MS Mincho"/>
          <w:lang w:val="es-ES"/>
        </w:rPr>
        <w:instrText xml:space="preserve"> AUTONUM  </w:instrText>
      </w:r>
      <w:r w:rsidRPr="004F1804">
        <w:rPr>
          <w:rFonts w:eastAsia="MS Mincho"/>
        </w:rPr>
        <w:fldChar w:fldCharType="end"/>
      </w:r>
      <w:r w:rsidR="001D5883" w:rsidRPr="00734637">
        <w:rPr>
          <w:rFonts w:eastAsia="MS Mincho"/>
          <w:lang w:val="es-ES"/>
        </w:rPr>
        <w:tab/>
      </w:r>
      <w:r w:rsidR="00960563" w:rsidRPr="004A3111">
        <w:rPr>
          <w:rFonts w:eastAsia="MS Mincho"/>
          <w:lang w:val="es-ES_tradnl"/>
        </w:rPr>
        <w:t>Se invita al CAJ a examinar el programa para la elaboración de material de información</w:t>
      </w:r>
      <w:r w:rsidR="00596575" w:rsidRPr="004A3111">
        <w:rPr>
          <w:rFonts w:eastAsia="MS Mincho"/>
          <w:lang w:val="es-ES_tradnl"/>
        </w:rPr>
        <w:t xml:space="preserve">, </w:t>
      </w:r>
      <w:r w:rsidR="007A5B86" w:rsidRPr="004A3111">
        <w:rPr>
          <w:rFonts w:eastAsia="MS Mincho"/>
          <w:lang w:val="es-ES_tradnl"/>
        </w:rPr>
        <w:t xml:space="preserve">tal como se propone </w:t>
      </w:r>
      <w:r w:rsidR="00960563" w:rsidRPr="004A3111">
        <w:rPr>
          <w:rFonts w:eastAsia="MS Mincho"/>
          <w:lang w:val="es-ES_tradnl"/>
        </w:rPr>
        <w:t>en el Anexo del presente documento</w:t>
      </w:r>
      <w:r w:rsidR="00596575" w:rsidRPr="004A3111">
        <w:rPr>
          <w:rFonts w:eastAsia="MS Mincho"/>
          <w:lang w:val="es-ES_tradnl"/>
        </w:rPr>
        <w:t xml:space="preserve">, </w:t>
      </w:r>
      <w:r w:rsidR="007A5B86" w:rsidRPr="004A3111">
        <w:rPr>
          <w:rFonts w:eastAsia="MS Mincho"/>
          <w:lang w:val="es-ES_tradnl"/>
        </w:rPr>
        <w:t xml:space="preserve">teniendo en cuenta las conclusiones alcanzadas </w:t>
      </w:r>
      <w:r w:rsidR="00960563" w:rsidRPr="004A3111">
        <w:rPr>
          <w:rFonts w:eastAsia="MS Mincho"/>
          <w:lang w:val="es-ES_tradnl"/>
        </w:rPr>
        <w:t>en su septuagésima</w:t>
      </w:r>
      <w:r w:rsidR="007A5B86" w:rsidRPr="004A3111">
        <w:rPr>
          <w:rFonts w:eastAsia="MS Mincho"/>
          <w:lang w:val="es-ES_tradnl"/>
        </w:rPr>
        <w:t xml:space="preserve"> </w:t>
      </w:r>
      <w:r w:rsidR="00960563" w:rsidRPr="004A3111">
        <w:rPr>
          <w:rFonts w:eastAsia="MS Mincho"/>
          <w:lang w:val="es-ES_tradnl"/>
        </w:rPr>
        <w:t xml:space="preserve">quinta sesión </w:t>
      </w:r>
      <w:r w:rsidR="007A5B86" w:rsidRPr="004A3111">
        <w:rPr>
          <w:rFonts w:eastAsia="MS Mincho"/>
          <w:lang w:val="es-ES_tradnl"/>
        </w:rPr>
        <w:t>sobre los asuntos planteados más arriba</w:t>
      </w:r>
      <w:r w:rsidR="00596575" w:rsidRPr="004A3111">
        <w:rPr>
          <w:rFonts w:eastAsia="MS Mincho"/>
          <w:lang w:val="es-ES_tradnl"/>
        </w:rPr>
        <w:t xml:space="preserve">, </w:t>
      </w:r>
      <w:r w:rsidR="007A5B86" w:rsidRPr="004A3111">
        <w:rPr>
          <w:rFonts w:eastAsia="MS Mincho"/>
          <w:lang w:val="es-ES_tradnl"/>
        </w:rPr>
        <w:t xml:space="preserve">conjuntamente con los debates mantenidos en </w:t>
      </w:r>
      <w:r w:rsidR="00960563" w:rsidRPr="004A3111">
        <w:rPr>
          <w:rFonts w:eastAsia="MS Mincho"/>
          <w:lang w:val="es-ES_tradnl"/>
        </w:rPr>
        <w:t>el marco del “Programa de la septuagésima sexta sesión”.</w:t>
      </w:r>
    </w:p>
    <w:p w:rsidR="001D5883" w:rsidRPr="00734637" w:rsidRDefault="001D5883" w:rsidP="001D5883">
      <w:pPr>
        <w:rPr>
          <w:rFonts w:eastAsia="MS Mincho"/>
          <w:lang w:val="es-ES"/>
        </w:rPr>
      </w:pPr>
    </w:p>
    <w:p w:rsidR="001D5883" w:rsidRPr="00734637" w:rsidRDefault="00C37188" w:rsidP="001D5883">
      <w:pPr>
        <w:pStyle w:val="DecisionParagraphs"/>
        <w:rPr>
          <w:lang w:val="es-ES"/>
        </w:rPr>
      </w:pPr>
      <w:r w:rsidRPr="004F1804">
        <w:fldChar w:fldCharType="begin"/>
      </w:r>
      <w:r w:rsidR="001D5883" w:rsidRPr="00734637">
        <w:rPr>
          <w:lang w:val="es-ES"/>
        </w:rPr>
        <w:instrText xml:space="preserve"> AUTONUM  </w:instrText>
      </w:r>
      <w:r w:rsidRPr="004F1804">
        <w:fldChar w:fldCharType="end"/>
      </w:r>
      <w:r w:rsidR="001D5883" w:rsidRPr="00734637">
        <w:rPr>
          <w:lang w:val="es-ES"/>
        </w:rPr>
        <w:tab/>
      </w:r>
      <w:r w:rsidR="007A5B86" w:rsidRPr="004A3111">
        <w:rPr>
          <w:lang w:val="es-ES_tradnl"/>
        </w:rPr>
        <w:t>Se invita al CAJ a examinar el programa para la elaboración de material de información conjuntamente con los debates mantenidos en el marco del “Programa de la septuagésima sexta sesión”.</w:t>
      </w:r>
    </w:p>
    <w:p w:rsidR="001D5883" w:rsidRPr="00734637" w:rsidRDefault="001D5883" w:rsidP="001D5883">
      <w:pPr>
        <w:pStyle w:val="DecisionParagraphs"/>
        <w:rPr>
          <w:lang w:val="es-ES"/>
        </w:rPr>
      </w:pPr>
    </w:p>
    <w:p w:rsidR="001D5883" w:rsidRPr="00734637" w:rsidRDefault="001D5883" w:rsidP="001D5883">
      <w:pPr>
        <w:pStyle w:val="DecisionParagraphs"/>
        <w:rPr>
          <w:lang w:val="es-ES"/>
        </w:rPr>
      </w:pPr>
    </w:p>
    <w:p w:rsidR="001D5883" w:rsidRDefault="007A5B86" w:rsidP="001D5883">
      <w:pPr>
        <w:pStyle w:val="DecisionParagraphs"/>
        <w:jc w:val="right"/>
        <w:rPr>
          <w:i w:val="0"/>
          <w:lang w:val="es-ES_tradnl"/>
        </w:rPr>
      </w:pPr>
      <w:r w:rsidRPr="004A3111">
        <w:rPr>
          <w:i w:val="0"/>
          <w:lang w:val="es-ES_tradnl"/>
        </w:rPr>
        <w:t>[Sigue el Anexo]</w:t>
      </w:r>
    </w:p>
    <w:p w:rsidR="00A66904" w:rsidRPr="004A32E1" w:rsidRDefault="00A66904" w:rsidP="001D5883">
      <w:pPr>
        <w:pStyle w:val="DecisionParagraphs"/>
        <w:jc w:val="right"/>
        <w:rPr>
          <w:i w:val="0"/>
          <w:lang w:val="es-ES"/>
        </w:rPr>
      </w:pPr>
    </w:p>
    <w:p w:rsidR="001D5883" w:rsidRPr="004A32E1" w:rsidRDefault="001D5883" w:rsidP="001D5883">
      <w:pPr>
        <w:pStyle w:val="DecisionParagraphs"/>
        <w:rPr>
          <w:lang w:val="es-ES"/>
        </w:rPr>
      </w:pPr>
    </w:p>
    <w:p w:rsidR="001D5883" w:rsidRPr="004A32E1" w:rsidRDefault="001D5883" w:rsidP="001D5883">
      <w:pPr>
        <w:jc w:val="left"/>
        <w:rPr>
          <w:lang w:val="es-ES"/>
        </w:rPr>
        <w:sectPr w:rsidR="001D5883" w:rsidRPr="004A32E1" w:rsidSect="00906B72"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1D5883" w:rsidRPr="004A32E1" w:rsidRDefault="004F1804" w:rsidP="001D5883">
      <w:pPr>
        <w:jc w:val="center"/>
        <w:rPr>
          <w:lang w:val="es-ES"/>
        </w:rPr>
      </w:pPr>
      <w:r w:rsidRPr="004A32E1">
        <w:rPr>
          <w:lang w:val="es-ES"/>
        </w:rPr>
        <w:lastRenderedPageBreak/>
        <w:t>CAJ/75/6</w:t>
      </w:r>
    </w:p>
    <w:p w:rsidR="001D5883" w:rsidRPr="004A32E1" w:rsidRDefault="001D5883" w:rsidP="001D5883">
      <w:pPr>
        <w:jc w:val="center"/>
        <w:rPr>
          <w:lang w:val="es-ES"/>
        </w:rPr>
      </w:pPr>
    </w:p>
    <w:p w:rsidR="006D444B" w:rsidRPr="004A32E1" w:rsidRDefault="007A5B86" w:rsidP="006D444B">
      <w:pPr>
        <w:jc w:val="center"/>
        <w:rPr>
          <w:lang w:val="es-ES"/>
        </w:rPr>
      </w:pPr>
      <w:r w:rsidRPr="004A3111">
        <w:rPr>
          <w:lang w:val="es-ES_tradnl"/>
        </w:rPr>
        <w:t>ANEXO</w:t>
      </w:r>
    </w:p>
    <w:p w:rsidR="001D5883" w:rsidRPr="004A32E1" w:rsidRDefault="001D5883" w:rsidP="001D5883">
      <w:pPr>
        <w:jc w:val="center"/>
        <w:rPr>
          <w:lang w:val="es-ES"/>
        </w:rPr>
      </w:pPr>
    </w:p>
    <w:p w:rsidR="001D5883" w:rsidRPr="004A32E1" w:rsidRDefault="001D5883" w:rsidP="005F1AD9">
      <w:pPr>
        <w:jc w:val="center"/>
        <w:rPr>
          <w:lang w:val="es-ES"/>
        </w:rPr>
      </w:pPr>
    </w:p>
    <w:p w:rsidR="001D5883" w:rsidRPr="004A32E1" w:rsidRDefault="007A5B86" w:rsidP="001D5883">
      <w:pPr>
        <w:jc w:val="center"/>
        <w:rPr>
          <w:lang w:val="es-ES"/>
        </w:rPr>
      </w:pPr>
      <w:r w:rsidRPr="004A3111">
        <w:rPr>
          <w:lang w:val="es-ES_tradnl"/>
        </w:rPr>
        <w:t>CUADRO PANORÁMICO DEL PROCESO DE ELABORACIÓN DE MATERIAL DE INFORMACIÓN</w:t>
      </w:r>
    </w:p>
    <w:p w:rsidR="001D5883" w:rsidRPr="004A32E1" w:rsidRDefault="001D5883" w:rsidP="001D5883">
      <w:pPr>
        <w:jc w:val="left"/>
        <w:rPr>
          <w:lang w:val="es-ES"/>
        </w:rPr>
      </w:pPr>
    </w:p>
    <w:p w:rsidR="004D079C" w:rsidRPr="004B0FC0" w:rsidRDefault="007A5B86" w:rsidP="004D079C">
      <w:pPr>
        <w:jc w:val="left"/>
      </w:pPr>
      <w:r w:rsidRPr="004A3111">
        <w:rPr>
          <w:lang w:val="es-ES_tradnl"/>
        </w:rPr>
        <w:t>NOTAS EXPLICATIVAS</w:t>
      </w:r>
    </w:p>
    <w:p w:rsidR="004D079C" w:rsidRPr="004B0FC0" w:rsidRDefault="004D079C" w:rsidP="004D079C"/>
    <w:tbl>
      <w:tblPr>
        <w:tblW w:w="103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741"/>
        <w:gridCol w:w="4717"/>
        <w:gridCol w:w="3912"/>
      </w:tblGrid>
      <w:tr w:rsidR="004D079C" w:rsidRPr="004B0FC0" w:rsidTr="00906B72">
        <w:trPr>
          <w:cantSplit/>
          <w:jc w:val="center"/>
        </w:trPr>
        <w:tc>
          <w:tcPr>
            <w:tcW w:w="1741" w:type="dxa"/>
            <w:shd w:val="clear" w:color="auto" w:fill="D9D9D9"/>
          </w:tcPr>
          <w:p w:rsidR="004D079C" w:rsidRPr="00EB579D" w:rsidRDefault="007F3453" w:rsidP="00D42526">
            <w:pPr>
              <w:jc w:val="left"/>
              <w:rPr>
                <w:sz w:val="18"/>
                <w:szCs w:val="18"/>
                <w:lang w:val="es-ES_tradnl"/>
              </w:rPr>
            </w:pPr>
            <w:r w:rsidRPr="00EB579D">
              <w:rPr>
                <w:sz w:val="18"/>
                <w:szCs w:val="18"/>
                <w:lang w:val="es-ES_tradnl"/>
              </w:rPr>
              <w:t>Referencia</w:t>
            </w:r>
          </w:p>
        </w:tc>
        <w:tc>
          <w:tcPr>
            <w:tcW w:w="4717" w:type="dxa"/>
            <w:shd w:val="clear" w:color="auto" w:fill="D9D9D9"/>
          </w:tcPr>
          <w:p w:rsidR="004D079C" w:rsidRPr="004B0FC0" w:rsidRDefault="007F3453" w:rsidP="00D42526">
            <w:pPr>
              <w:jc w:val="left"/>
              <w:rPr>
                <w:sz w:val="18"/>
                <w:szCs w:val="18"/>
              </w:rPr>
            </w:pPr>
            <w:r w:rsidRPr="004A3111">
              <w:rPr>
                <w:sz w:val="18"/>
                <w:szCs w:val="18"/>
                <w:lang w:val="es-ES_tradnl"/>
              </w:rPr>
              <w:t>Notas explicativas sobre:</w:t>
            </w:r>
          </w:p>
        </w:tc>
        <w:tc>
          <w:tcPr>
            <w:tcW w:w="3912" w:type="dxa"/>
            <w:shd w:val="clear" w:color="auto" w:fill="D9D9D9"/>
          </w:tcPr>
          <w:p w:rsidR="004D079C" w:rsidRPr="004B0FC0" w:rsidRDefault="007F3453" w:rsidP="00D42526">
            <w:pPr>
              <w:jc w:val="left"/>
              <w:rPr>
                <w:sz w:val="18"/>
                <w:szCs w:val="18"/>
              </w:rPr>
            </w:pPr>
            <w:r w:rsidRPr="004A3111">
              <w:rPr>
                <w:sz w:val="18"/>
                <w:szCs w:val="18"/>
                <w:lang w:val="es-ES_tradnl"/>
              </w:rPr>
              <w:t>Situación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UPOV/EXN/BRD</w:t>
            </w:r>
          </w:p>
        </w:tc>
        <w:tc>
          <w:tcPr>
            <w:tcW w:w="4717" w:type="dxa"/>
          </w:tcPr>
          <w:p w:rsidR="004D079C" w:rsidRPr="004A32E1" w:rsidRDefault="007F3453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Definición de obtentor con arreglo al Acta de 1991 del Convenio de la UPOV</w:t>
            </w:r>
          </w:p>
        </w:tc>
        <w:tc>
          <w:tcPr>
            <w:tcW w:w="3912" w:type="dxa"/>
          </w:tcPr>
          <w:p w:rsidR="004D079C" w:rsidRPr="004A32E1" w:rsidRDefault="007F3453" w:rsidP="00D42526">
            <w:pPr>
              <w:jc w:val="left"/>
              <w:rPr>
                <w:strike/>
                <w:sz w:val="18"/>
                <w:szCs w:val="18"/>
                <w:lang w:val="es-ES"/>
              </w:rPr>
            </w:pPr>
            <w:r w:rsidRPr="004A3111">
              <w:rPr>
                <w:iCs/>
                <w:sz w:val="18"/>
                <w:szCs w:val="18"/>
                <w:lang w:val="es-ES_tradnl"/>
              </w:rPr>
              <w:t>UPOV/EXN/BRD/1 aprobado en octubre de 2013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UPOV/EXN/CAL</w:t>
            </w:r>
          </w:p>
        </w:tc>
        <w:tc>
          <w:tcPr>
            <w:tcW w:w="4717" w:type="dxa"/>
          </w:tcPr>
          <w:p w:rsidR="004D079C" w:rsidRPr="004A32E1" w:rsidRDefault="007F3453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Condiciones y limitaciones relativas a la autorización del obtentor respecto del material de reproducción o de multiplicación vegetativa con arreglo al Convenio de la UPOV</w:t>
            </w:r>
          </w:p>
        </w:tc>
        <w:tc>
          <w:tcPr>
            <w:tcW w:w="3912" w:type="dxa"/>
          </w:tcPr>
          <w:p w:rsidR="004D079C" w:rsidRPr="004A32E1" w:rsidRDefault="007F3453" w:rsidP="00906B72">
            <w:pPr>
              <w:jc w:val="left"/>
              <w:rPr>
                <w:iCs/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UPOV/EXN/CAL/1 aprobado en octubre de 2010</w:t>
            </w:r>
          </w:p>
          <w:p w:rsidR="004D079C" w:rsidRPr="004A32E1" w:rsidRDefault="007F3453" w:rsidP="00D42526">
            <w:pPr>
              <w:jc w:val="left"/>
              <w:rPr>
                <w:i/>
                <w:sz w:val="18"/>
                <w:szCs w:val="18"/>
                <w:lang w:val="es-ES"/>
              </w:rPr>
            </w:pPr>
            <w:r w:rsidRPr="004A3111">
              <w:rPr>
                <w:i/>
                <w:color w:val="000000"/>
                <w:sz w:val="18"/>
                <w:szCs w:val="18"/>
                <w:lang w:val="es-ES_tradnl"/>
              </w:rPr>
              <w:t>En octubre de 2018</w:t>
            </w:r>
            <w:r w:rsidR="00596575" w:rsidRPr="004A3111">
              <w:rPr>
                <w:i/>
                <w:color w:val="000000"/>
                <w:sz w:val="18"/>
                <w:szCs w:val="18"/>
                <w:lang w:val="es-ES_tradnl"/>
              </w:rPr>
              <w:t xml:space="preserve">, </w:t>
            </w:r>
            <w:r w:rsidRPr="004A3111">
              <w:rPr>
                <w:i/>
                <w:color w:val="000000"/>
                <w:sz w:val="18"/>
                <w:szCs w:val="18"/>
                <w:lang w:val="es-ES_tradnl"/>
              </w:rPr>
              <w:t>el CAJ considerará una posible revisión.</w:t>
            </w:r>
          </w:p>
        </w:tc>
      </w:tr>
      <w:tr w:rsidR="004D079C" w:rsidRPr="004A32E1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UPOV/EXN/CAN</w:t>
            </w:r>
          </w:p>
        </w:tc>
        <w:tc>
          <w:tcPr>
            <w:tcW w:w="4717" w:type="dxa"/>
          </w:tcPr>
          <w:p w:rsidR="004D079C" w:rsidRPr="004A32E1" w:rsidRDefault="007F3453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Caducidad del derecho de obtentor con arreglo al Convenio de la UPOV</w:t>
            </w:r>
          </w:p>
        </w:tc>
        <w:tc>
          <w:tcPr>
            <w:tcW w:w="3912" w:type="dxa"/>
          </w:tcPr>
          <w:p w:rsidR="004D079C" w:rsidRPr="004A32E1" w:rsidRDefault="007F3453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pacing w:val="-2"/>
                <w:sz w:val="18"/>
                <w:szCs w:val="18"/>
                <w:lang w:val="es-ES_tradnl"/>
              </w:rPr>
              <w:t>UPOV/EXN/CAN/2 aprobado en octubre de 2015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color w:val="000000"/>
                <w:sz w:val="18"/>
                <w:szCs w:val="18"/>
                <w:lang w:val="es-ES_tradnl"/>
              </w:rPr>
              <w:t>UPOV/EXN/EDV</w:t>
            </w:r>
          </w:p>
        </w:tc>
        <w:tc>
          <w:tcPr>
            <w:tcW w:w="4717" w:type="dxa"/>
          </w:tcPr>
          <w:p w:rsidR="004D079C" w:rsidRPr="004A32E1" w:rsidRDefault="007F3453" w:rsidP="00D42526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4A3111">
              <w:rPr>
                <w:color w:val="000000"/>
                <w:sz w:val="18"/>
                <w:szCs w:val="18"/>
                <w:lang w:val="es-ES_tradnl"/>
              </w:rPr>
              <w:t>Variedades esencialmente derivadas con arreglo al Acta de 1991 del Convenio de la UPOV</w:t>
            </w:r>
          </w:p>
        </w:tc>
        <w:tc>
          <w:tcPr>
            <w:tcW w:w="3912" w:type="dxa"/>
          </w:tcPr>
          <w:p w:rsidR="004D079C" w:rsidRPr="004A32E1" w:rsidRDefault="007F3453" w:rsidP="00906B72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color w:val="000000"/>
                <w:sz w:val="18"/>
                <w:szCs w:val="18"/>
                <w:lang w:val="es-ES_tradnl"/>
              </w:rPr>
              <w:t>UPOV/EXN/EDV/2 aprobado en abril de 2017</w:t>
            </w:r>
          </w:p>
          <w:p w:rsidR="004D079C" w:rsidRPr="004A32E1" w:rsidRDefault="007F3453" w:rsidP="00D42526">
            <w:pPr>
              <w:jc w:val="left"/>
              <w:rPr>
                <w:i/>
                <w:strike/>
                <w:sz w:val="18"/>
                <w:szCs w:val="18"/>
                <w:lang w:val="es-ES"/>
              </w:rPr>
            </w:pPr>
            <w:r w:rsidRPr="004A3111">
              <w:rPr>
                <w:i/>
                <w:color w:val="000000"/>
                <w:sz w:val="18"/>
                <w:szCs w:val="18"/>
                <w:lang w:val="es-ES_tradnl"/>
              </w:rPr>
              <w:t>En octubre de 2018</w:t>
            </w:r>
            <w:r w:rsidR="00596575" w:rsidRPr="004A3111">
              <w:rPr>
                <w:i/>
                <w:color w:val="000000"/>
                <w:sz w:val="18"/>
                <w:szCs w:val="18"/>
                <w:lang w:val="es-ES_tradnl"/>
              </w:rPr>
              <w:t xml:space="preserve">, </w:t>
            </w:r>
            <w:r w:rsidRPr="004A3111">
              <w:rPr>
                <w:i/>
                <w:color w:val="000000"/>
                <w:sz w:val="18"/>
                <w:szCs w:val="18"/>
                <w:lang w:val="es-ES_tradnl"/>
              </w:rPr>
              <w:t>el CAJ considerará una posible revisión.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color w:val="000000"/>
                <w:sz w:val="18"/>
                <w:szCs w:val="18"/>
                <w:lang w:val="es-ES_tradnl"/>
              </w:rPr>
              <w:t>UPOV/EXN/ENF</w:t>
            </w:r>
          </w:p>
        </w:tc>
        <w:tc>
          <w:tcPr>
            <w:tcW w:w="4717" w:type="dxa"/>
          </w:tcPr>
          <w:p w:rsidR="004D079C" w:rsidRPr="004A32E1" w:rsidRDefault="007F3453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Defensa del derecho de obtentor con arreglo al Convenio de la UPOV</w:t>
            </w:r>
          </w:p>
        </w:tc>
        <w:tc>
          <w:tcPr>
            <w:tcW w:w="3912" w:type="dxa"/>
          </w:tcPr>
          <w:p w:rsidR="004D079C" w:rsidRPr="004A32E1" w:rsidRDefault="007F3453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color w:val="000000"/>
                <w:sz w:val="18"/>
                <w:szCs w:val="18"/>
                <w:lang w:val="es-ES_tradnl"/>
              </w:rPr>
              <w:t>UPOV/EXN/ENF/1 aprobado en octubre de 2009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D42526">
              <w:rPr>
                <w:color w:val="000000"/>
                <w:sz w:val="18"/>
                <w:szCs w:val="18"/>
                <w:lang w:val="es-ES_tradnl"/>
              </w:rPr>
              <w:t>UPOV/EXN/EXC</w:t>
            </w:r>
          </w:p>
        </w:tc>
        <w:tc>
          <w:tcPr>
            <w:tcW w:w="4717" w:type="dxa"/>
          </w:tcPr>
          <w:p w:rsidR="004D079C" w:rsidRPr="004A32E1" w:rsidRDefault="007F3453" w:rsidP="00D42526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4A3111">
              <w:rPr>
                <w:color w:val="000000"/>
                <w:sz w:val="18"/>
                <w:szCs w:val="18"/>
                <w:lang w:val="es-ES_tradnl"/>
              </w:rPr>
              <w:t>Excepciones al derecho de obtentor con arreglo al Acta de 1991 del Convenio de la UPOV</w:t>
            </w:r>
          </w:p>
        </w:tc>
        <w:tc>
          <w:tcPr>
            <w:tcW w:w="3912" w:type="dxa"/>
          </w:tcPr>
          <w:p w:rsidR="004D079C" w:rsidRPr="004A32E1" w:rsidRDefault="007F3453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color w:val="000000"/>
                <w:sz w:val="18"/>
                <w:szCs w:val="18"/>
                <w:lang w:val="es-ES_tradnl"/>
              </w:rPr>
              <w:t>UPOV/EXN/EXC/1 aprobado en octubre de 2009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UPOV/EXN/GEN</w:t>
            </w:r>
          </w:p>
        </w:tc>
        <w:tc>
          <w:tcPr>
            <w:tcW w:w="4717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Géneros y especies que deben protegerse con arreglo al Acta de 1991 del Convenio de la UPOV</w:t>
            </w:r>
          </w:p>
        </w:tc>
        <w:tc>
          <w:tcPr>
            <w:tcW w:w="3912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UPOV/EXN/GEN/1 aprobado en octubre de 2009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UPOV/EXN/HRV</w:t>
            </w:r>
          </w:p>
        </w:tc>
        <w:tc>
          <w:tcPr>
            <w:tcW w:w="4717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Actos respecto del producto de la cosecha con arreglo al Acta de 1991 del Convenio de la UPOV</w:t>
            </w:r>
          </w:p>
        </w:tc>
        <w:tc>
          <w:tcPr>
            <w:tcW w:w="3912" w:type="dxa"/>
          </w:tcPr>
          <w:p w:rsidR="004D079C" w:rsidRPr="004A32E1" w:rsidRDefault="001247B2" w:rsidP="00D42526">
            <w:pPr>
              <w:jc w:val="left"/>
              <w:rPr>
                <w:color w:val="000000"/>
                <w:sz w:val="18"/>
                <w:szCs w:val="18"/>
                <w:lang w:val="es-ES"/>
              </w:rPr>
            </w:pPr>
            <w:r w:rsidRPr="004A3111">
              <w:rPr>
                <w:iCs/>
                <w:sz w:val="18"/>
                <w:szCs w:val="18"/>
                <w:lang w:val="es-ES_tradnl"/>
              </w:rPr>
              <w:t>UPOV/EXN/HRV/1 aprobado en octubre de 2013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UPOV/EXN/NAT</w:t>
            </w:r>
          </w:p>
        </w:tc>
        <w:tc>
          <w:tcPr>
            <w:tcW w:w="4717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Trato nacional con arreglo al Acta de 1991 del Convenio de la UPOV</w:t>
            </w:r>
          </w:p>
        </w:tc>
        <w:tc>
          <w:tcPr>
            <w:tcW w:w="3912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UPOV/EXN/NAT/1 aprobado en octubre de 2009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UPOV/EXN/NOV</w:t>
            </w:r>
          </w:p>
        </w:tc>
        <w:tc>
          <w:tcPr>
            <w:tcW w:w="4717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Novedad con arreglo al Convenio de la UPOV</w:t>
            </w:r>
          </w:p>
        </w:tc>
        <w:tc>
          <w:tcPr>
            <w:tcW w:w="3912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UPOV/EXN/NOV/1 aprobado en octubre de 2009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color w:val="000000"/>
                <w:sz w:val="18"/>
                <w:szCs w:val="18"/>
                <w:lang w:val="es-ES_tradnl"/>
              </w:rPr>
            </w:pPr>
            <w:r w:rsidRPr="00D42526">
              <w:rPr>
                <w:color w:val="000000"/>
                <w:sz w:val="18"/>
                <w:szCs w:val="18"/>
                <w:lang w:val="es-ES_tradnl"/>
              </w:rPr>
              <w:t>UPOV/EXN/NUL</w:t>
            </w:r>
          </w:p>
        </w:tc>
        <w:tc>
          <w:tcPr>
            <w:tcW w:w="4717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Nulidad del derecho de obtentor con arreglo al Convenio de la UPOV</w:t>
            </w:r>
          </w:p>
        </w:tc>
        <w:tc>
          <w:tcPr>
            <w:tcW w:w="3912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pacing w:val="-2"/>
                <w:sz w:val="18"/>
                <w:szCs w:val="18"/>
                <w:lang w:val="es-ES_tradnl"/>
              </w:rPr>
              <w:t>UPOV/EXN/NUL/2 aprobado en octubre de 2015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UPOV/EXN/PPM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Material de reproducción o de multiplicación con arreglo al Convenio de la 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4D079C" w:rsidRPr="004A32E1" w:rsidRDefault="001247B2" w:rsidP="00D42526">
            <w:pPr>
              <w:jc w:val="left"/>
              <w:rPr>
                <w:spacing w:val="-2"/>
                <w:sz w:val="18"/>
                <w:szCs w:val="18"/>
                <w:lang w:val="es-ES"/>
              </w:rPr>
            </w:pPr>
            <w:r w:rsidRPr="004A3111">
              <w:rPr>
                <w:spacing w:val="-2"/>
                <w:sz w:val="18"/>
                <w:szCs w:val="18"/>
                <w:lang w:val="es-ES_tradnl"/>
              </w:rPr>
              <w:t>UPOV/EXN/PPM/1 aprobado en abril de 2017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UPOV/EXN/PRI</w:t>
            </w:r>
          </w:p>
        </w:tc>
        <w:tc>
          <w:tcPr>
            <w:tcW w:w="4717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Derecho de prioridad con arreglo al Convenio de la UPOV</w:t>
            </w:r>
          </w:p>
        </w:tc>
        <w:tc>
          <w:tcPr>
            <w:tcW w:w="3912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UPOV/EXN/PRI/1 aprobado en octubre de 2009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UPOV/EXN/PRP</w:t>
            </w:r>
          </w:p>
        </w:tc>
        <w:tc>
          <w:tcPr>
            <w:tcW w:w="4717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Protección provisional con arreglo al Convenio de la UPOV</w:t>
            </w:r>
          </w:p>
        </w:tc>
        <w:tc>
          <w:tcPr>
            <w:tcW w:w="3912" w:type="dxa"/>
          </w:tcPr>
          <w:p w:rsidR="004D079C" w:rsidRPr="004A32E1" w:rsidRDefault="001247B2" w:rsidP="00906B72">
            <w:pPr>
              <w:jc w:val="left"/>
              <w:rPr>
                <w:spacing w:val="-2"/>
                <w:sz w:val="18"/>
                <w:szCs w:val="18"/>
                <w:lang w:val="es-ES"/>
              </w:rPr>
            </w:pPr>
            <w:r w:rsidRPr="004A3111">
              <w:rPr>
                <w:spacing w:val="-2"/>
                <w:sz w:val="18"/>
                <w:szCs w:val="18"/>
                <w:lang w:val="es-ES_tradnl"/>
              </w:rPr>
              <w:t>UPOV/EXN/PRP/2 aprobado en octubre de 2015</w:t>
            </w:r>
          </w:p>
          <w:p w:rsidR="004D079C" w:rsidRPr="004A32E1" w:rsidRDefault="001247B2" w:rsidP="00D42526">
            <w:pPr>
              <w:jc w:val="left"/>
              <w:rPr>
                <w:i/>
                <w:strike/>
                <w:spacing w:val="-2"/>
                <w:sz w:val="18"/>
                <w:szCs w:val="18"/>
                <w:lang w:val="es-ES"/>
              </w:rPr>
            </w:pPr>
            <w:r w:rsidRPr="004A3111">
              <w:rPr>
                <w:i/>
                <w:color w:val="000000"/>
                <w:sz w:val="18"/>
                <w:szCs w:val="18"/>
                <w:lang w:val="es-ES_tradnl"/>
              </w:rPr>
              <w:t>En octubre de 2018</w:t>
            </w:r>
            <w:r w:rsidR="00596575" w:rsidRPr="004A3111">
              <w:rPr>
                <w:i/>
                <w:color w:val="000000"/>
                <w:sz w:val="18"/>
                <w:szCs w:val="18"/>
                <w:lang w:val="es-ES_tradnl"/>
              </w:rPr>
              <w:t xml:space="preserve">, </w:t>
            </w:r>
            <w:r w:rsidRPr="004A3111">
              <w:rPr>
                <w:i/>
                <w:color w:val="000000"/>
                <w:sz w:val="18"/>
                <w:szCs w:val="18"/>
                <w:lang w:val="es-ES_tradnl"/>
              </w:rPr>
              <w:t>el CAJ considerará una posible revisión.</w:t>
            </w:r>
          </w:p>
        </w:tc>
      </w:tr>
      <w:tr w:rsidR="004D079C" w:rsidRPr="00653532" w:rsidTr="00906B72">
        <w:trPr>
          <w:cantSplit/>
          <w:jc w:val="center"/>
        </w:trPr>
        <w:tc>
          <w:tcPr>
            <w:tcW w:w="1741" w:type="dxa"/>
            <w:tcBorders>
              <w:bottom w:val="single" w:sz="2" w:space="0" w:color="auto"/>
            </w:tcBorders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  <w:lang w:val="es-ES_tradnl"/>
              </w:rPr>
            </w:pPr>
            <w:r w:rsidRPr="00D42526">
              <w:rPr>
                <w:sz w:val="18"/>
                <w:szCs w:val="18"/>
                <w:lang w:val="es-ES_tradnl"/>
              </w:rPr>
              <w:t>UPOV/EXN/VAR</w:t>
            </w:r>
          </w:p>
        </w:tc>
        <w:tc>
          <w:tcPr>
            <w:tcW w:w="4717" w:type="dxa"/>
            <w:tcBorders>
              <w:bottom w:val="single" w:sz="2" w:space="0" w:color="auto"/>
            </w:tcBorders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Definición de variedad con arreglo al Acta de 1991 del Convenio de la UPOV</w:t>
            </w:r>
          </w:p>
        </w:tc>
        <w:tc>
          <w:tcPr>
            <w:tcW w:w="3912" w:type="dxa"/>
            <w:tcBorders>
              <w:bottom w:val="single" w:sz="2" w:space="0" w:color="auto"/>
            </w:tcBorders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UPOV/EXN/VAR/1 aprobado en octubre de 2010</w:t>
            </w:r>
          </w:p>
        </w:tc>
      </w:tr>
    </w:tbl>
    <w:p w:rsidR="004D079C" w:rsidRPr="004B0FC0" w:rsidRDefault="004D079C" w:rsidP="004D079C">
      <w:r w:rsidRPr="004A32E1">
        <w:rPr>
          <w:sz w:val="18"/>
          <w:szCs w:val="18"/>
          <w:lang w:val="es-ES"/>
        </w:rPr>
        <w:br w:type="page"/>
      </w:r>
      <w:r w:rsidR="001247B2" w:rsidRPr="004A3111">
        <w:rPr>
          <w:lang w:val="es-ES_tradnl"/>
        </w:rPr>
        <w:lastRenderedPageBreak/>
        <w:t>DOCUMENTOS DE INFORMACIÓN</w:t>
      </w:r>
    </w:p>
    <w:p w:rsidR="004D079C" w:rsidRPr="004B0FC0" w:rsidRDefault="004D079C" w:rsidP="004D079C"/>
    <w:tbl>
      <w:tblPr>
        <w:tblW w:w="1048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699"/>
        <w:gridCol w:w="4866"/>
        <w:gridCol w:w="3920"/>
      </w:tblGrid>
      <w:tr w:rsidR="004D079C" w:rsidRPr="004B0FC0" w:rsidTr="002E21EF">
        <w:trPr>
          <w:cantSplit/>
          <w:jc w:val="center"/>
        </w:trPr>
        <w:tc>
          <w:tcPr>
            <w:tcW w:w="169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D079C" w:rsidRPr="004B0FC0" w:rsidRDefault="001247B2" w:rsidP="00D42526">
            <w:pPr>
              <w:jc w:val="left"/>
              <w:rPr>
                <w:sz w:val="18"/>
                <w:szCs w:val="18"/>
              </w:rPr>
            </w:pPr>
            <w:r w:rsidRPr="004A3111">
              <w:rPr>
                <w:sz w:val="18"/>
                <w:szCs w:val="18"/>
                <w:lang w:val="es-ES_tradnl"/>
              </w:rPr>
              <w:t>Referencia más reciente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D079C" w:rsidRPr="004B0FC0" w:rsidRDefault="001247B2" w:rsidP="00D42526">
            <w:pPr>
              <w:jc w:val="center"/>
              <w:rPr>
                <w:sz w:val="18"/>
                <w:szCs w:val="18"/>
              </w:rPr>
            </w:pPr>
            <w:r w:rsidRPr="004A3111">
              <w:rPr>
                <w:sz w:val="18"/>
                <w:szCs w:val="18"/>
                <w:lang w:val="es-ES_tradnl"/>
              </w:rPr>
              <w:t>Documentos INF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4D079C" w:rsidRPr="004B0FC0" w:rsidRDefault="001247B2" w:rsidP="00D42526">
            <w:pPr>
              <w:jc w:val="left"/>
              <w:rPr>
                <w:sz w:val="18"/>
                <w:szCs w:val="18"/>
              </w:rPr>
            </w:pPr>
            <w:r w:rsidRPr="004A3111">
              <w:rPr>
                <w:sz w:val="18"/>
                <w:szCs w:val="18"/>
                <w:lang w:val="es-ES_tradnl"/>
              </w:rPr>
              <w:t>Situación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UPOV/INF-EXN</w:t>
            </w:r>
          </w:p>
        </w:tc>
        <w:tc>
          <w:tcPr>
            <w:tcW w:w="4866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Lista de documentos UPOV/INF-EXN y fechas de última publicación</w:t>
            </w:r>
          </w:p>
        </w:tc>
        <w:tc>
          <w:tcPr>
            <w:tcW w:w="3920" w:type="dxa"/>
          </w:tcPr>
          <w:p w:rsidR="004D079C" w:rsidRPr="004A32E1" w:rsidRDefault="001247B2" w:rsidP="00906B72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 xml:space="preserve">UPOV/INF-EXN/11 </w:t>
            </w:r>
            <w:r w:rsidRPr="004A3111">
              <w:rPr>
                <w:spacing w:val="-2"/>
                <w:sz w:val="18"/>
                <w:szCs w:val="18"/>
                <w:lang w:val="es-ES_tradnl"/>
              </w:rPr>
              <w:t>aprobado en octubre de 2017</w:t>
            </w:r>
          </w:p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i/>
                <w:sz w:val="18"/>
                <w:szCs w:val="18"/>
                <w:lang w:val="es-ES_tradnl"/>
              </w:rPr>
              <w:t>UPOV/INF-EXN/12 Draft 1</w:t>
            </w:r>
            <w:r w:rsidRPr="004A3111">
              <w:rPr>
                <w:sz w:val="18"/>
                <w:szCs w:val="18"/>
                <w:lang w:val="es-ES_tradnl"/>
              </w:rPr>
              <w:t xml:space="preserve"> </w:t>
            </w:r>
            <w:r w:rsidR="004A3111" w:rsidRPr="004A3111">
              <w:rPr>
                <w:i/>
                <w:sz w:val="18"/>
                <w:szCs w:val="18"/>
                <w:lang w:val="es-ES_tradnl"/>
              </w:rPr>
              <w:t>será examinado por</w:t>
            </w:r>
            <w:r w:rsidRPr="004A3111">
              <w:rPr>
                <w:i/>
                <w:sz w:val="18"/>
                <w:szCs w:val="18"/>
                <w:lang w:val="es-ES_tradnl"/>
              </w:rPr>
              <w:t xml:space="preserve"> el Consejo en noviembre de</w:t>
            </w:r>
            <w:r w:rsidR="00596575" w:rsidRPr="004A3111">
              <w:rPr>
                <w:i/>
                <w:sz w:val="18"/>
                <w:szCs w:val="18"/>
                <w:lang w:val="es-ES_tradnl"/>
              </w:rPr>
              <w:t> 2</w:t>
            </w:r>
            <w:r w:rsidRPr="004A3111">
              <w:rPr>
                <w:i/>
                <w:sz w:val="18"/>
                <w:szCs w:val="18"/>
                <w:lang w:val="es-ES_tradnl"/>
              </w:rPr>
              <w:t>018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UPOV/INF/4</w:t>
            </w:r>
          </w:p>
        </w:tc>
        <w:tc>
          <w:tcPr>
            <w:tcW w:w="4866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Reglamento financiero y reglamentación financiera de la UPOV</w:t>
            </w:r>
          </w:p>
        </w:tc>
        <w:tc>
          <w:tcPr>
            <w:tcW w:w="3920" w:type="dxa"/>
          </w:tcPr>
          <w:p w:rsidR="00411E74" w:rsidRPr="004A32E1" w:rsidRDefault="001247B2" w:rsidP="006D444B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UPOV/INF/4/4 aprobado en marzo de 2015</w:t>
            </w:r>
          </w:p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i/>
                <w:sz w:val="18"/>
                <w:szCs w:val="18"/>
                <w:lang w:val="es-ES_tradnl"/>
              </w:rPr>
              <w:t xml:space="preserve">UPOV/INF/4/5 Draft 1 </w:t>
            </w:r>
            <w:r w:rsidR="004A3111" w:rsidRPr="004A3111">
              <w:rPr>
                <w:i/>
                <w:sz w:val="18"/>
                <w:szCs w:val="18"/>
                <w:lang w:val="es-ES_tradnl"/>
              </w:rPr>
              <w:t xml:space="preserve">será examinado por </w:t>
            </w:r>
            <w:r w:rsidRPr="004A3111">
              <w:rPr>
                <w:i/>
                <w:sz w:val="18"/>
                <w:szCs w:val="18"/>
                <w:lang w:val="es-ES_tradnl"/>
              </w:rPr>
              <w:t>el Consejo en noviembre de</w:t>
            </w:r>
            <w:r w:rsidR="00596575" w:rsidRPr="004A3111">
              <w:rPr>
                <w:i/>
                <w:sz w:val="18"/>
                <w:szCs w:val="18"/>
                <w:lang w:val="es-ES_tradnl"/>
              </w:rPr>
              <w:t> 2</w:t>
            </w:r>
            <w:r w:rsidRPr="004A3111">
              <w:rPr>
                <w:i/>
                <w:sz w:val="18"/>
                <w:szCs w:val="18"/>
                <w:lang w:val="es-ES_tradnl"/>
              </w:rPr>
              <w:t>018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UPOV/INF/5</w:t>
            </w:r>
          </w:p>
        </w:tc>
        <w:tc>
          <w:tcPr>
            <w:tcW w:w="4866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Boletín tipo de la UPOV sobre la protección de las obtenciones vegetales</w:t>
            </w:r>
          </w:p>
        </w:tc>
        <w:tc>
          <w:tcPr>
            <w:tcW w:w="3920" w:type="dxa"/>
          </w:tcPr>
          <w:p w:rsidR="004D079C" w:rsidRPr="004A32E1" w:rsidRDefault="001247B2" w:rsidP="00906B72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UPOV/INF/5 aprobado en octubre de 1979</w:t>
            </w:r>
          </w:p>
          <w:p w:rsidR="004D079C" w:rsidRPr="00653532" w:rsidRDefault="0048657C" w:rsidP="00D42526">
            <w:pPr>
              <w:jc w:val="left"/>
              <w:rPr>
                <w:i/>
                <w:sz w:val="18"/>
                <w:szCs w:val="18"/>
                <w:lang w:val="es-ES"/>
              </w:rPr>
            </w:pPr>
            <w:bookmarkStart w:id="9" w:name="_GoBack"/>
            <w:r w:rsidRPr="00653532">
              <w:rPr>
                <w:i/>
                <w:sz w:val="18"/>
                <w:szCs w:val="18"/>
                <w:lang w:val="es-ES_tradnl"/>
              </w:rPr>
              <w:t xml:space="preserve">UPOV/INF/5/2 Draft 1 </w:t>
            </w:r>
            <w:r w:rsidR="004A3111" w:rsidRPr="00653532">
              <w:rPr>
                <w:i/>
                <w:sz w:val="18"/>
                <w:szCs w:val="18"/>
                <w:lang w:val="es-ES_tradnl"/>
              </w:rPr>
              <w:t xml:space="preserve">será examinado por </w:t>
            </w:r>
            <w:r w:rsidRPr="00653532">
              <w:rPr>
                <w:i/>
                <w:sz w:val="18"/>
                <w:szCs w:val="18"/>
                <w:lang w:val="es-ES_tradnl"/>
              </w:rPr>
              <w:t xml:space="preserve">el </w:t>
            </w:r>
            <w:r w:rsidR="001247B2" w:rsidRPr="00653532">
              <w:rPr>
                <w:i/>
                <w:sz w:val="18"/>
                <w:szCs w:val="18"/>
                <w:lang w:val="es-ES_tradnl"/>
              </w:rPr>
              <w:t>CAJ en octubre de 2018</w:t>
            </w:r>
            <w:bookmarkEnd w:id="9"/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UPOV/INF/6</w:t>
            </w:r>
          </w:p>
        </w:tc>
        <w:tc>
          <w:tcPr>
            <w:tcW w:w="4866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Orientaciones para la redacción de leyes basadas en el Acta de</w:t>
            </w:r>
            <w:r w:rsidR="00596575" w:rsidRPr="004A3111">
              <w:rPr>
                <w:sz w:val="18"/>
                <w:szCs w:val="18"/>
                <w:lang w:val="es-ES_tradnl"/>
              </w:rPr>
              <w:t> 1</w:t>
            </w:r>
            <w:r w:rsidRPr="004A3111">
              <w:rPr>
                <w:sz w:val="18"/>
                <w:szCs w:val="18"/>
                <w:lang w:val="es-ES_tradnl"/>
              </w:rPr>
              <w:t>991 del Convenio de la UPOV</w:t>
            </w:r>
          </w:p>
        </w:tc>
        <w:tc>
          <w:tcPr>
            <w:tcW w:w="3920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UPOV/INF/6/5 aprobado en abril de 2017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UPOV/INF/7</w:t>
            </w:r>
          </w:p>
        </w:tc>
        <w:tc>
          <w:tcPr>
            <w:tcW w:w="4866" w:type="dxa"/>
          </w:tcPr>
          <w:p w:rsidR="004D079C" w:rsidRPr="004B0FC0" w:rsidRDefault="001247B2" w:rsidP="00D42526">
            <w:pPr>
              <w:jc w:val="left"/>
              <w:rPr>
                <w:sz w:val="18"/>
                <w:szCs w:val="18"/>
              </w:rPr>
            </w:pPr>
            <w:r w:rsidRPr="004A3111">
              <w:rPr>
                <w:sz w:val="18"/>
                <w:szCs w:val="18"/>
                <w:lang w:val="es-ES_tradnl"/>
              </w:rPr>
              <w:t>Reglamento del Consejo</w:t>
            </w:r>
          </w:p>
        </w:tc>
        <w:tc>
          <w:tcPr>
            <w:tcW w:w="3920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UPOV/INF/7 aprobado en octubre de 1982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UPOV/INF/8</w:t>
            </w:r>
          </w:p>
        </w:tc>
        <w:tc>
          <w:tcPr>
            <w:tcW w:w="4866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Acuerdo entre la Organización Mundial de la Propiedad Intelectual y la Unión Internacional para la Protección de las Obtenciones Vegetales</w:t>
            </w:r>
          </w:p>
        </w:tc>
        <w:tc>
          <w:tcPr>
            <w:tcW w:w="3920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UPOV/INF/8 firmado en noviembre de 1982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UPOV/INF/9</w:t>
            </w:r>
          </w:p>
        </w:tc>
        <w:tc>
          <w:tcPr>
            <w:tcW w:w="4866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Acuerdo entre la Unión Internacional para la Protección de las Obtenciones Vegetales y el Consejo Federal Suizo para determinar la situación jurídica en Suiza de esa Unión (Acuerdo de Sede)</w:t>
            </w:r>
          </w:p>
        </w:tc>
        <w:tc>
          <w:tcPr>
            <w:tcW w:w="3920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UPOV/INF/9 firmado en noviembre de 1983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UPOV/INF/10</w:t>
            </w:r>
          </w:p>
        </w:tc>
        <w:tc>
          <w:tcPr>
            <w:tcW w:w="4866" w:type="dxa"/>
          </w:tcPr>
          <w:p w:rsidR="004D079C" w:rsidRPr="004B0FC0" w:rsidRDefault="001247B2" w:rsidP="00D42526">
            <w:pPr>
              <w:jc w:val="left"/>
              <w:rPr>
                <w:sz w:val="18"/>
                <w:szCs w:val="18"/>
              </w:rPr>
            </w:pPr>
            <w:r w:rsidRPr="004A3111">
              <w:rPr>
                <w:sz w:val="18"/>
                <w:szCs w:val="18"/>
                <w:lang w:val="es-ES_tradnl"/>
              </w:rPr>
              <w:t>Auditoría interna</w:t>
            </w:r>
          </w:p>
        </w:tc>
        <w:tc>
          <w:tcPr>
            <w:tcW w:w="3920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UPOV/INF/10/1 aprobado en octubre de 2010</w:t>
            </w:r>
          </w:p>
        </w:tc>
      </w:tr>
      <w:tr w:rsidR="004D079C" w:rsidRPr="004A32E1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UPOV/INF/12</w:t>
            </w:r>
          </w:p>
        </w:tc>
        <w:tc>
          <w:tcPr>
            <w:tcW w:w="4866" w:type="dxa"/>
          </w:tcPr>
          <w:p w:rsidR="004D079C" w:rsidRPr="004A32E1" w:rsidRDefault="001247B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Notas explicativas sobre las denominaciones de variedades con arreglo al Convenio de la UPOV</w:t>
            </w:r>
          </w:p>
        </w:tc>
        <w:tc>
          <w:tcPr>
            <w:tcW w:w="3920" w:type="dxa"/>
          </w:tcPr>
          <w:p w:rsidR="004D079C" w:rsidRPr="004A32E1" w:rsidRDefault="001247B2" w:rsidP="00906B72">
            <w:pPr>
              <w:jc w:val="left"/>
              <w:rPr>
                <w:bCs/>
                <w:snapToGrid w:val="0"/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UPOV/INF/12/5 aprobado en octubre de 2015</w:t>
            </w:r>
          </w:p>
          <w:p w:rsidR="004D079C" w:rsidRPr="004A32E1" w:rsidRDefault="005508AC" w:rsidP="00D42526">
            <w:pPr>
              <w:jc w:val="left"/>
              <w:rPr>
                <w:spacing w:val="-2"/>
                <w:sz w:val="18"/>
                <w:szCs w:val="18"/>
                <w:lang w:val="es-ES"/>
              </w:rPr>
            </w:pPr>
            <w:r w:rsidRPr="00513D05">
              <w:rPr>
                <w:i/>
                <w:sz w:val="18"/>
                <w:szCs w:val="18"/>
              </w:rPr>
              <w:t xml:space="preserve">UPOV/EXN/DEN/1 Draft </w:t>
            </w:r>
            <w:r w:rsidRPr="005508AC">
              <w:rPr>
                <w:i/>
                <w:sz w:val="18"/>
                <w:szCs w:val="18"/>
              </w:rPr>
              <w:t>1</w:t>
            </w:r>
            <w:r w:rsidRPr="005508AC">
              <w:rPr>
                <w:sz w:val="18"/>
                <w:szCs w:val="18"/>
              </w:rPr>
              <w:t xml:space="preserve"> </w:t>
            </w:r>
            <w:r w:rsidR="004A3111" w:rsidRPr="005508AC">
              <w:rPr>
                <w:i/>
                <w:sz w:val="18"/>
                <w:szCs w:val="18"/>
                <w:lang w:val="es-ES_tradnl"/>
              </w:rPr>
              <w:t xml:space="preserve">será examinado por </w:t>
            </w:r>
            <w:r w:rsidR="0048657C" w:rsidRPr="005508AC">
              <w:rPr>
                <w:i/>
                <w:sz w:val="18"/>
                <w:szCs w:val="18"/>
                <w:lang w:val="es-ES_tradnl"/>
              </w:rPr>
              <w:t>el WG</w:t>
            </w:r>
            <w:r w:rsidR="0048657C" w:rsidRPr="005508AC">
              <w:rPr>
                <w:i/>
                <w:sz w:val="18"/>
                <w:szCs w:val="18"/>
                <w:lang w:val="es-ES_tradnl"/>
              </w:rPr>
              <w:noBreakHyphen/>
              <w:t xml:space="preserve">DEN </w:t>
            </w:r>
            <w:r w:rsidR="009F1A05" w:rsidRPr="005508AC">
              <w:rPr>
                <w:i/>
                <w:sz w:val="18"/>
                <w:szCs w:val="18"/>
                <w:lang w:val="es-ES_tradnl"/>
              </w:rPr>
              <w:t xml:space="preserve">en octubre </w:t>
            </w:r>
            <w:r w:rsidR="001247B2" w:rsidRPr="005508AC">
              <w:rPr>
                <w:i/>
                <w:sz w:val="18"/>
                <w:szCs w:val="18"/>
                <w:lang w:val="es-ES_tradnl"/>
              </w:rPr>
              <w:t>de 2018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UPOV/INF/13</w:t>
            </w:r>
          </w:p>
        </w:tc>
        <w:tc>
          <w:tcPr>
            <w:tcW w:w="4866" w:type="dxa"/>
          </w:tcPr>
          <w:p w:rsidR="004D079C" w:rsidRPr="004A32E1" w:rsidRDefault="004C533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Orientación sobre cómo ser miembro de la UPOV</w:t>
            </w:r>
          </w:p>
        </w:tc>
        <w:tc>
          <w:tcPr>
            <w:tcW w:w="3920" w:type="dxa"/>
          </w:tcPr>
          <w:p w:rsidR="004D079C" w:rsidRPr="004A32E1" w:rsidRDefault="004C533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UPOV/INF/13/2 aprobado en octubre de 2017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UPOV/INF/14</w:t>
            </w:r>
          </w:p>
        </w:tc>
        <w:tc>
          <w:tcPr>
            <w:tcW w:w="4866" w:type="dxa"/>
          </w:tcPr>
          <w:p w:rsidR="004D079C" w:rsidRPr="004A32E1" w:rsidRDefault="004C533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Orientación para los miembros de la UPOV sobre cómo ratificar el Acta de</w:t>
            </w:r>
            <w:r w:rsidR="00596575" w:rsidRPr="004A3111">
              <w:rPr>
                <w:sz w:val="18"/>
                <w:szCs w:val="18"/>
                <w:lang w:val="es-ES_tradnl"/>
              </w:rPr>
              <w:t> 1</w:t>
            </w:r>
            <w:r w:rsidRPr="004A3111">
              <w:rPr>
                <w:sz w:val="18"/>
                <w:szCs w:val="18"/>
                <w:lang w:val="es-ES_tradnl"/>
              </w:rPr>
              <w:t>991 del Convenio de la UPOV</w:t>
            </w:r>
            <w:r w:rsidR="00596575" w:rsidRPr="004A3111">
              <w:rPr>
                <w:sz w:val="18"/>
                <w:szCs w:val="18"/>
                <w:lang w:val="es-ES_tradnl"/>
              </w:rPr>
              <w:t xml:space="preserve">, </w:t>
            </w:r>
            <w:r w:rsidRPr="004A3111">
              <w:rPr>
                <w:sz w:val="18"/>
                <w:szCs w:val="18"/>
                <w:lang w:val="es-ES_tradnl"/>
              </w:rPr>
              <w:t>o adherirse a ella</w:t>
            </w:r>
          </w:p>
        </w:tc>
        <w:tc>
          <w:tcPr>
            <w:tcW w:w="3920" w:type="dxa"/>
          </w:tcPr>
          <w:p w:rsidR="004D079C" w:rsidRPr="004A32E1" w:rsidRDefault="004C533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UPOV/INF/14/1 aprobado en octubre de 2009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UPOV/INF/15</w:t>
            </w:r>
          </w:p>
        </w:tc>
        <w:tc>
          <w:tcPr>
            <w:tcW w:w="4866" w:type="dxa"/>
          </w:tcPr>
          <w:p w:rsidR="004D079C" w:rsidRPr="004A32E1" w:rsidRDefault="004C533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Orientación para los miembros de la UPOV sobre las obligaciones actuales y las notificaciones conexas</w:t>
            </w:r>
          </w:p>
        </w:tc>
        <w:tc>
          <w:tcPr>
            <w:tcW w:w="3920" w:type="dxa"/>
          </w:tcPr>
          <w:p w:rsidR="004D079C" w:rsidRPr="004A32E1" w:rsidRDefault="004C533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UPOV/INF/15/3 aprobado en marzo de 2015</w:t>
            </w:r>
            <w:r w:rsidR="004D079C" w:rsidRPr="004A32E1"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UPOV/INF/16</w:t>
            </w:r>
          </w:p>
        </w:tc>
        <w:tc>
          <w:tcPr>
            <w:tcW w:w="4866" w:type="dxa"/>
          </w:tcPr>
          <w:p w:rsidR="004D079C" w:rsidRPr="004B0FC0" w:rsidRDefault="004C5332" w:rsidP="00D42526">
            <w:pPr>
              <w:jc w:val="left"/>
              <w:rPr>
                <w:sz w:val="18"/>
                <w:szCs w:val="18"/>
              </w:rPr>
            </w:pPr>
            <w:r w:rsidRPr="004A3111">
              <w:rPr>
                <w:sz w:val="18"/>
                <w:szCs w:val="18"/>
                <w:lang w:val="es-ES_tradnl"/>
              </w:rPr>
              <w:t>Programas informáticos para intercambio</w:t>
            </w:r>
          </w:p>
        </w:tc>
        <w:tc>
          <w:tcPr>
            <w:tcW w:w="3920" w:type="dxa"/>
          </w:tcPr>
          <w:p w:rsidR="00A85842" w:rsidRPr="004A32E1" w:rsidRDefault="004C5332" w:rsidP="00A85842">
            <w:pPr>
              <w:jc w:val="left"/>
              <w:rPr>
                <w:sz w:val="18"/>
                <w:szCs w:val="18"/>
                <w:lang w:val="es-ES"/>
              </w:rPr>
            </w:pPr>
            <w:r w:rsidRPr="004A3111">
              <w:rPr>
                <w:sz w:val="18"/>
                <w:szCs w:val="18"/>
                <w:lang w:val="es-ES_tradnl"/>
              </w:rPr>
              <w:t>UPOV/INF/16/7 aprobado en octubre de 2017</w:t>
            </w:r>
            <w:r w:rsidR="00A85842" w:rsidRPr="004A32E1">
              <w:rPr>
                <w:sz w:val="18"/>
                <w:szCs w:val="18"/>
                <w:lang w:val="es-ES"/>
              </w:rPr>
              <w:t xml:space="preserve"> </w:t>
            </w:r>
          </w:p>
          <w:p w:rsidR="004D079C" w:rsidRPr="00653532" w:rsidRDefault="004C5332" w:rsidP="00D42526">
            <w:pPr>
              <w:jc w:val="left"/>
              <w:rPr>
                <w:i/>
                <w:sz w:val="18"/>
                <w:szCs w:val="18"/>
                <w:lang w:val="es-ES"/>
              </w:rPr>
            </w:pPr>
            <w:r w:rsidRPr="00653532">
              <w:rPr>
                <w:i/>
                <w:sz w:val="18"/>
                <w:szCs w:val="18"/>
                <w:lang w:val="es-ES_tradnl"/>
              </w:rPr>
              <w:t xml:space="preserve">UPOV/INF/16/8 Draft 1 </w:t>
            </w:r>
            <w:r w:rsidR="004A3111" w:rsidRPr="00653532">
              <w:rPr>
                <w:i/>
                <w:sz w:val="18"/>
                <w:szCs w:val="18"/>
                <w:lang w:val="es-ES_tradnl"/>
              </w:rPr>
              <w:t xml:space="preserve">será examinado por </w:t>
            </w:r>
            <w:r w:rsidRPr="00653532">
              <w:rPr>
                <w:i/>
                <w:sz w:val="18"/>
                <w:szCs w:val="18"/>
                <w:lang w:val="es-ES_tradnl"/>
              </w:rPr>
              <w:t>el CAJ y el Consejo en noviembre de 2018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UPOV/INF/17</w:t>
            </w:r>
          </w:p>
        </w:tc>
        <w:tc>
          <w:tcPr>
            <w:tcW w:w="4866" w:type="dxa"/>
          </w:tcPr>
          <w:p w:rsidR="004D079C" w:rsidRPr="004A32E1" w:rsidRDefault="004C533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Directrices para los perfiles de ADN:</w:t>
            </w:r>
            <w:r w:rsidR="004D079C" w:rsidRPr="004A32E1">
              <w:rPr>
                <w:sz w:val="18"/>
                <w:szCs w:val="18"/>
                <w:lang w:val="es-ES"/>
              </w:rPr>
              <w:t xml:space="preserve"> </w:t>
            </w:r>
            <w:r w:rsidRPr="00C30F4A">
              <w:rPr>
                <w:sz w:val="18"/>
                <w:szCs w:val="18"/>
                <w:lang w:val="es-ES_tradnl"/>
              </w:rPr>
              <w:t>selección de marcadores moleculares y creación de una base de datos (</w:t>
            </w:r>
            <w:r w:rsidR="00C30F4A" w:rsidRPr="00C30F4A">
              <w:rPr>
                <w:sz w:val="18"/>
                <w:szCs w:val="18"/>
                <w:lang w:val="es-ES_tradnl"/>
              </w:rPr>
              <w:t>“</w:t>
            </w:r>
            <w:r w:rsidRPr="00C30F4A">
              <w:rPr>
                <w:sz w:val="18"/>
                <w:szCs w:val="18"/>
                <w:lang w:val="es-ES_tradnl"/>
              </w:rPr>
              <w:t>Directrices BMT</w:t>
            </w:r>
            <w:r w:rsidR="00C30F4A" w:rsidRPr="00C30F4A">
              <w:rPr>
                <w:sz w:val="18"/>
                <w:szCs w:val="18"/>
                <w:lang w:val="es-ES_tradnl"/>
              </w:rPr>
              <w:t>”</w:t>
            </w:r>
            <w:r w:rsidRPr="00C30F4A">
              <w:rPr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3920" w:type="dxa"/>
          </w:tcPr>
          <w:p w:rsidR="004D079C" w:rsidRPr="004A32E1" w:rsidRDefault="004C533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UPOV/INF/17/1 aprobado en octubre de 2010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UPOV/INF/18</w:t>
            </w:r>
          </w:p>
        </w:tc>
        <w:tc>
          <w:tcPr>
            <w:tcW w:w="4866" w:type="dxa"/>
          </w:tcPr>
          <w:p w:rsidR="004D079C" w:rsidRPr="004A32E1" w:rsidRDefault="00D76C5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Posible utilización de marcadores moleculares en el examen de la distinción</w:t>
            </w:r>
            <w:r w:rsidR="00596575" w:rsidRPr="00C30F4A">
              <w:rPr>
                <w:sz w:val="18"/>
                <w:szCs w:val="18"/>
                <w:lang w:val="es-ES_tradnl"/>
              </w:rPr>
              <w:t xml:space="preserve">, </w:t>
            </w:r>
            <w:r w:rsidRPr="00C30F4A">
              <w:rPr>
                <w:sz w:val="18"/>
                <w:szCs w:val="18"/>
                <w:lang w:val="es-ES_tradnl"/>
              </w:rPr>
              <w:t>la homogeneidad y la estabilidad (DHE)</w:t>
            </w:r>
          </w:p>
        </w:tc>
        <w:tc>
          <w:tcPr>
            <w:tcW w:w="3920" w:type="dxa"/>
          </w:tcPr>
          <w:p w:rsidR="004D079C" w:rsidRPr="004A32E1" w:rsidRDefault="00D76C5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UPOV/INF/18/1 aprobado en octubre de 2011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UPOV/INF/19</w:t>
            </w:r>
          </w:p>
        </w:tc>
        <w:tc>
          <w:tcPr>
            <w:tcW w:w="4866" w:type="dxa"/>
          </w:tcPr>
          <w:p w:rsidR="004D079C" w:rsidRPr="004A32E1" w:rsidRDefault="00D76C5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Reglas que rigen la concesión de la condición de observador ante los órganos de la UPOV a los Estados</w:t>
            </w:r>
            <w:r w:rsidR="00596575" w:rsidRPr="00C30F4A">
              <w:rPr>
                <w:sz w:val="18"/>
                <w:szCs w:val="18"/>
                <w:lang w:val="es-ES_tradnl"/>
              </w:rPr>
              <w:t xml:space="preserve">, </w:t>
            </w:r>
            <w:r w:rsidRPr="00C30F4A">
              <w:rPr>
                <w:sz w:val="18"/>
                <w:szCs w:val="18"/>
                <w:lang w:val="es-ES_tradnl"/>
              </w:rPr>
              <w:t>las organizaciones intergubernamentales y las organizaciones internacionales no gubernamentales</w:t>
            </w:r>
          </w:p>
        </w:tc>
        <w:tc>
          <w:tcPr>
            <w:tcW w:w="3920" w:type="dxa"/>
          </w:tcPr>
          <w:p w:rsidR="004D079C" w:rsidRPr="004A32E1" w:rsidRDefault="00D76C52" w:rsidP="00D42526">
            <w:pPr>
              <w:jc w:val="left"/>
              <w:rPr>
                <w:iCs/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UPOV/INF/19/1 aprobado en noviembre de 2012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UPOV/INF/20</w:t>
            </w:r>
          </w:p>
        </w:tc>
        <w:tc>
          <w:tcPr>
            <w:tcW w:w="4866" w:type="dxa"/>
          </w:tcPr>
          <w:p w:rsidR="004D079C" w:rsidRPr="004A32E1" w:rsidRDefault="00D76C5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Reglas que rigen el acceso a los documentos de la UPOV</w:t>
            </w:r>
          </w:p>
        </w:tc>
        <w:tc>
          <w:tcPr>
            <w:tcW w:w="3920" w:type="dxa"/>
          </w:tcPr>
          <w:p w:rsidR="004D079C" w:rsidRPr="004A32E1" w:rsidRDefault="00D76C52" w:rsidP="00D42526">
            <w:pPr>
              <w:jc w:val="left"/>
              <w:rPr>
                <w:iCs/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UPOV/INF/20/1 aprobado en noviembre de 2012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jc w:val="left"/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UPOV/INF/21</w:t>
            </w:r>
          </w:p>
        </w:tc>
        <w:tc>
          <w:tcPr>
            <w:tcW w:w="4866" w:type="dxa"/>
          </w:tcPr>
          <w:p w:rsidR="004D079C" w:rsidRPr="004A32E1" w:rsidRDefault="00D76C5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Mecanismos alternativos de solución de controversias</w:t>
            </w:r>
          </w:p>
        </w:tc>
        <w:tc>
          <w:tcPr>
            <w:tcW w:w="3920" w:type="dxa"/>
          </w:tcPr>
          <w:p w:rsidR="004D079C" w:rsidRPr="004A32E1" w:rsidRDefault="00D76C52" w:rsidP="00D42526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UPOV/INF/21/1 aprobado en noviembre de 2012</w:t>
            </w:r>
          </w:p>
        </w:tc>
      </w:tr>
      <w:tr w:rsidR="004D079C" w:rsidRPr="00653532" w:rsidTr="002E21EF">
        <w:trPr>
          <w:cantSplit/>
          <w:jc w:val="center"/>
        </w:trPr>
        <w:tc>
          <w:tcPr>
            <w:tcW w:w="1699" w:type="dxa"/>
          </w:tcPr>
          <w:p w:rsidR="004D079C" w:rsidRPr="00D42526" w:rsidRDefault="004D079C" w:rsidP="00906B72">
            <w:pPr>
              <w:rPr>
                <w:sz w:val="18"/>
                <w:szCs w:val="18"/>
              </w:rPr>
            </w:pPr>
            <w:r w:rsidRPr="00D42526">
              <w:rPr>
                <w:sz w:val="18"/>
                <w:szCs w:val="18"/>
              </w:rPr>
              <w:t>UPOV/INF/22</w:t>
            </w:r>
          </w:p>
        </w:tc>
        <w:tc>
          <w:tcPr>
            <w:tcW w:w="4866" w:type="dxa"/>
          </w:tcPr>
          <w:p w:rsidR="004D079C" w:rsidRPr="004A32E1" w:rsidRDefault="00D76C52" w:rsidP="00D42526">
            <w:pPr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Programas informáticos y equipos utilizados por los miembros de la Unión</w:t>
            </w:r>
            <w:r w:rsidR="004D079C" w:rsidRPr="004A32E1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920" w:type="dxa"/>
          </w:tcPr>
          <w:p w:rsidR="004D079C" w:rsidRPr="004A32E1" w:rsidRDefault="00D76C52" w:rsidP="00906B72">
            <w:pPr>
              <w:jc w:val="left"/>
              <w:rPr>
                <w:sz w:val="18"/>
                <w:szCs w:val="18"/>
                <w:lang w:val="es-ES"/>
              </w:rPr>
            </w:pPr>
            <w:r w:rsidRPr="00C30F4A">
              <w:rPr>
                <w:sz w:val="18"/>
                <w:szCs w:val="18"/>
                <w:lang w:val="es-ES_tradnl"/>
              </w:rPr>
              <w:t>UPOV/INF/22/4 aprobado en octubre de 2017</w:t>
            </w:r>
          </w:p>
          <w:p w:rsidR="004D079C" w:rsidRPr="004A32E1" w:rsidRDefault="00D76C52" w:rsidP="00D42526">
            <w:pPr>
              <w:jc w:val="left"/>
              <w:rPr>
                <w:i/>
                <w:sz w:val="18"/>
                <w:szCs w:val="18"/>
                <w:lang w:val="es-ES"/>
              </w:rPr>
            </w:pPr>
            <w:r w:rsidRPr="00C30F4A">
              <w:rPr>
                <w:i/>
                <w:sz w:val="18"/>
                <w:szCs w:val="18"/>
                <w:lang w:val="es-ES_tradnl"/>
              </w:rPr>
              <w:t xml:space="preserve">UPOV/INF/22/5 Draft 1 </w:t>
            </w:r>
            <w:r w:rsidR="00C30F4A" w:rsidRPr="00C30F4A">
              <w:rPr>
                <w:i/>
                <w:sz w:val="18"/>
                <w:szCs w:val="18"/>
                <w:lang w:val="es-ES_tradnl"/>
              </w:rPr>
              <w:t xml:space="preserve">será examinado por </w:t>
            </w:r>
            <w:r w:rsidRPr="00C30F4A">
              <w:rPr>
                <w:i/>
                <w:sz w:val="18"/>
                <w:szCs w:val="18"/>
                <w:lang w:val="es-ES_tradnl"/>
              </w:rPr>
              <w:t>el CAJ y el Consejo en noviembre de 2018</w:t>
            </w:r>
          </w:p>
        </w:tc>
      </w:tr>
    </w:tbl>
    <w:p w:rsidR="004D079C" w:rsidRDefault="004D079C" w:rsidP="004D079C">
      <w:pPr>
        <w:rPr>
          <w:lang w:val="es-ES"/>
        </w:rPr>
      </w:pPr>
    </w:p>
    <w:p w:rsidR="009B440E" w:rsidRPr="004A32E1" w:rsidRDefault="00A66904" w:rsidP="00050E16">
      <w:pPr>
        <w:jc w:val="right"/>
        <w:rPr>
          <w:lang w:val="es-ES"/>
        </w:rPr>
      </w:pPr>
      <w:r w:rsidRPr="001233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175347B" wp14:editId="086B03FD">
                <wp:simplePos x="0" y="0"/>
                <wp:positionH relativeFrom="column">
                  <wp:posOffset>4238625</wp:posOffset>
                </wp:positionH>
                <wp:positionV relativeFrom="paragraph">
                  <wp:posOffset>173990</wp:posOffset>
                </wp:positionV>
                <wp:extent cx="1920875" cy="2286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6904" w:rsidRPr="00A66904" w:rsidRDefault="00A66904" w:rsidP="00A66904">
                            <w:pPr>
                              <w:ind w:right="53"/>
                              <w:jc w:val="right"/>
                              <w:rPr>
                                <w:rFonts w:cs="Arial"/>
                                <w:lang w:val="fr-CH"/>
                              </w:rPr>
                            </w:pPr>
                            <w:r w:rsidRPr="00291446">
                              <w:rPr>
                                <w:rFonts w:cs="Arial"/>
                                <w:lang w:val="es-ES"/>
                              </w:rPr>
                              <w:t>[</w:t>
                            </w:r>
                            <w:r w:rsidRPr="00C30F4A">
                              <w:rPr>
                                <w:lang w:val="es-ES_tradnl"/>
                              </w:rPr>
                              <w:t>Fin del Anexo y del documento</w:t>
                            </w:r>
                            <w:r w:rsidRPr="00291446">
                              <w:rPr>
                                <w:rFonts w:cs="Arial"/>
                                <w:lang w:val="es-E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7534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.75pt;margin-top:13.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R7Urg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" o:allowincell="f" filled="f" stroked="f">
                <v:textbox inset="0,0,0,0">
                  <w:txbxContent>
                    <w:p w:rsidR="00A66904" w:rsidRPr="00A66904" w:rsidRDefault="00A66904" w:rsidP="00A66904">
                      <w:pPr>
                        <w:ind w:right="53"/>
                        <w:jc w:val="right"/>
                        <w:rPr>
                          <w:rFonts w:cs="Arial"/>
                          <w:lang w:val="fr-CH"/>
                        </w:rPr>
                      </w:pPr>
                      <w:r w:rsidRPr="00291446">
                        <w:rPr>
                          <w:rFonts w:cs="Arial"/>
                          <w:lang w:val="es-ES"/>
                        </w:rPr>
                        <w:t>[</w:t>
                      </w:r>
                      <w:r w:rsidRPr="00C30F4A">
                        <w:rPr>
                          <w:lang w:val="es-ES_tradnl"/>
                        </w:rPr>
                        <w:t>Fin del Anexo y del documento</w:t>
                      </w:r>
                      <w:r w:rsidRPr="00291446">
                        <w:rPr>
                          <w:rFonts w:cs="Arial"/>
                          <w:lang w:val="es-E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440E" w:rsidRPr="004A32E1" w:rsidSect="006D444B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9A4" w:rsidRDefault="007959A4" w:rsidP="006655D3">
      <w:r>
        <w:separator/>
      </w:r>
    </w:p>
    <w:p w:rsidR="007959A4" w:rsidRDefault="007959A4" w:rsidP="006655D3"/>
    <w:p w:rsidR="007959A4" w:rsidRDefault="007959A4" w:rsidP="006655D3"/>
  </w:endnote>
  <w:endnote w:type="continuationSeparator" w:id="0">
    <w:p w:rsidR="007959A4" w:rsidRDefault="007959A4" w:rsidP="006655D3">
      <w:r>
        <w:separator/>
      </w:r>
    </w:p>
    <w:p w:rsidR="007959A4" w:rsidRPr="00294751" w:rsidRDefault="007959A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959A4" w:rsidRPr="00294751" w:rsidRDefault="007959A4" w:rsidP="006655D3">
      <w:pPr>
        <w:rPr>
          <w:lang w:val="fr-FR"/>
        </w:rPr>
      </w:pPr>
    </w:p>
    <w:p w:rsidR="007959A4" w:rsidRPr="00294751" w:rsidRDefault="007959A4" w:rsidP="006655D3">
      <w:pPr>
        <w:rPr>
          <w:lang w:val="fr-FR"/>
        </w:rPr>
      </w:pPr>
    </w:p>
  </w:endnote>
  <w:endnote w:type="continuationNotice" w:id="1">
    <w:p w:rsidR="007959A4" w:rsidRPr="00294751" w:rsidRDefault="007959A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959A4" w:rsidRPr="00294751" w:rsidRDefault="007959A4" w:rsidP="006655D3">
      <w:pPr>
        <w:rPr>
          <w:lang w:val="fr-FR"/>
        </w:rPr>
      </w:pPr>
    </w:p>
    <w:p w:rsidR="007959A4" w:rsidRPr="00294751" w:rsidRDefault="007959A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9A4" w:rsidRDefault="007959A4" w:rsidP="006655D3">
      <w:r>
        <w:separator/>
      </w:r>
    </w:p>
  </w:footnote>
  <w:footnote w:type="continuationSeparator" w:id="0">
    <w:p w:rsidR="007959A4" w:rsidRDefault="007959A4" w:rsidP="006655D3">
      <w:r>
        <w:separator/>
      </w:r>
    </w:p>
  </w:footnote>
  <w:footnote w:type="continuationNotice" w:id="1">
    <w:p w:rsidR="007959A4" w:rsidRPr="00AB530F" w:rsidRDefault="007959A4" w:rsidP="00AB530F">
      <w:pPr>
        <w:pStyle w:val="Footer"/>
      </w:pPr>
    </w:p>
  </w:footnote>
  <w:footnote w:id="2">
    <w:p w:rsidR="007959A4" w:rsidRPr="004A32E1" w:rsidRDefault="007959A4" w:rsidP="007A2740">
      <w:pPr>
        <w:pStyle w:val="FootnoteText"/>
        <w:rPr>
          <w:lang w:val="es-ES"/>
        </w:rPr>
      </w:pPr>
      <w:r w:rsidRPr="0021431F">
        <w:rPr>
          <w:rStyle w:val="FootnoteReference"/>
          <w:szCs w:val="16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DC2E21">
        <w:rPr>
          <w:lang w:val="es-ES_tradnl"/>
        </w:rPr>
        <w:t>Celebrada en Ginebra el 24 de octubre de 2005.</w:t>
      </w:r>
    </w:p>
  </w:footnote>
  <w:footnote w:id="3">
    <w:p w:rsidR="007959A4" w:rsidRPr="004A32E1" w:rsidRDefault="007959A4" w:rsidP="001D5883">
      <w:pPr>
        <w:pStyle w:val="FootnoteText"/>
        <w:rPr>
          <w:lang w:val="es-ES"/>
        </w:rPr>
      </w:pPr>
      <w:r w:rsidRPr="0021431F">
        <w:rPr>
          <w:rStyle w:val="FootnoteReference"/>
          <w:szCs w:val="16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BD6E40">
        <w:rPr>
          <w:lang w:val="es-ES_tradnl"/>
        </w:rPr>
        <w:t xml:space="preserve">Véanse los párrafos 8 a 10 del documento </w:t>
      </w:r>
      <w:hyperlink r:id="rId1" w:history="1">
        <w:r w:rsidRPr="00BD6E40">
          <w:rPr>
            <w:rStyle w:val="Hyperlink"/>
            <w:lang w:val="es-ES_tradnl"/>
          </w:rPr>
          <w:t>CAJ/52/4</w:t>
        </w:r>
      </w:hyperlink>
      <w:r w:rsidRPr="00BD6E40">
        <w:rPr>
          <w:lang w:val="es-ES_tradnl"/>
        </w:rPr>
        <w:t xml:space="preserve"> “Elaboración de material de información sobre el Acta de 1991 del Convenio de la UPOV”.</w:t>
      </w:r>
    </w:p>
  </w:footnote>
  <w:footnote w:id="4">
    <w:p w:rsidR="007959A4" w:rsidRPr="004A32E1" w:rsidRDefault="007959A4" w:rsidP="001D5883">
      <w:pPr>
        <w:pStyle w:val="FootnoteText"/>
        <w:rPr>
          <w:lang w:val="es-ES"/>
        </w:rPr>
      </w:pPr>
      <w:r w:rsidRPr="0021431F">
        <w:rPr>
          <w:rStyle w:val="FootnoteReference"/>
          <w:szCs w:val="16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BD6E40">
        <w:rPr>
          <w:lang w:val="es-ES_tradnl"/>
        </w:rPr>
        <w:t xml:space="preserve">Véanse los párrafos 11 a 14 del documento </w:t>
      </w:r>
      <w:hyperlink r:id="rId2" w:history="1">
        <w:r w:rsidRPr="00BD6E40">
          <w:rPr>
            <w:rStyle w:val="Hyperlink"/>
            <w:lang w:val="es-ES_tradnl"/>
          </w:rPr>
          <w:t>CAJ/52/4</w:t>
        </w:r>
      </w:hyperlink>
      <w:r w:rsidRPr="00BD6E40">
        <w:rPr>
          <w:lang w:val="es-ES_tradnl"/>
        </w:rPr>
        <w:t xml:space="preserve"> y el párrafo 67 del documento </w:t>
      </w:r>
      <w:hyperlink r:id="rId3" w:history="1">
        <w:r w:rsidRPr="00BD6E40">
          <w:rPr>
            <w:rStyle w:val="Hyperlink"/>
            <w:lang w:val="es-ES_tradnl"/>
          </w:rPr>
          <w:t>CAJ/52/5</w:t>
        </w:r>
      </w:hyperlink>
      <w:r w:rsidRPr="00BD6E40">
        <w:rPr>
          <w:lang w:val="es-ES_tradnl"/>
        </w:rPr>
        <w:t xml:space="preserve"> “Informe”.</w:t>
      </w:r>
    </w:p>
  </w:footnote>
  <w:footnote w:id="5">
    <w:p w:rsidR="007959A4" w:rsidRPr="004A32E1" w:rsidRDefault="007959A4" w:rsidP="00766F01">
      <w:pPr>
        <w:pStyle w:val="FootnoteText"/>
        <w:rPr>
          <w:lang w:val="es-ES"/>
        </w:rPr>
      </w:pPr>
      <w:r w:rsidRPr="0021431F">
        <w:rPr>
          <w:rStyle w:val="FootnoteReference"/>
          <w:szCs w:val="16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BD6E40">
        <w:rPr>
          <w:lang w:val="es-ES_tradnl"/>
        </w:rPr>
        <w:t>Celebrada en Ginebra el 13 de octubre de 2014.</w:t>
      </w:r>
    </w:p>
  </w:footnote>
  <w:footnote w:id="6">
    <w:p w:rsidR="007959A4" w:rsidRPr="004A32E1" w:rsidRDefault="007959A4" w:rsidP="00766F01">
      <w:pPr>
        <w:pStyle w:val="FootnoteText"/>
        <w:rPr>
          <w:lang w:val="es-ES"/>
        </w:rPr>
      </w:pPr>
      <w:r w:rsidRPr="0021431F">
        <w:rPr>
          <w:rStyle w:val="FootnoteReference"/>
          <w:szCs w:val="16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BD6E40">
        <w:rPr>
          <w:lang w:val="es-ES_tradnl"/>
        </w:rPr>
        <w:t>Celebrada en Ginebra los días 14 y 17 de octubre de 2014.</w:t>
      </w:r>
    </w:p>
  </w:footnote>
  <w:footnote w:id="7">
    <w:p w:rsidR="007959A4" w:rsidRPr="004A32E1" w:rsidRDefault="007959A4" w:rsidP="001D5883">
      <w:pPr>
        <w:pStyle w:val="FootnoteText"/>
        <w:rPr>
          <w:lang w:val="es-ES"/>
        </w:rPr>
      </w:pPr>
      <w:r w:rsidRPr="0021431F">
        <w:rPr>
          <w:rStyle w:val="FootnoteReference"/>
          <w:szCs w:val="16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BD6E40">
        <w:rPr>
          <w:lang w:val="es-ES_tradnl"/>
        </w:rPr>
        <w:t xml:space="preserve">Véanse los párrafos 38 a 41 del documento </w:t>
      </w:r>
      <w:hyperlink r:id="rId4" w:history="1">
        <w:r w:rsidRPr="00BD6E40">
          <w:rPr>
            <w:rStyle w:val="Hyperlink"/>
            <w:lang w:val="es-ES_tradnl"/>
          </w:rPr>
          <w:t>CAJ/70/10</w:t>
        </w:r>
      </w:hyperlink>
      <w:r w:rsidRPr="00BD6E40">
        <w:rPr>
          <w:lang w:val="es-ES_tradnl"/>
        </w:rPr>
        <w:t xml:space="preserve"> “Informe sobre las conclusiones”.</w:t>
      </w:r>
    </w:p>
  </w:footnote>
  <w:footnote w:id="8">
    <w:p w:rsidR="007959A4" w:rsidRPr="004A32E1" w:rsidRDefault="007959A4" w:rsidP="00B3531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6C1BA2">
        <w:rPr>
          <w:lang w:val="es-ES_tradnl"/>
        </w:rPr>
        <w:t>Celebrada en Ginebra los días 23 y 24 de octubre de 2017.</w:t>
      </w:r>
    </w:p>
  </w:footnote>
  <w:footnote w:id="9">
    <w:p w:rsidR="007959A4" w:rsidRPr="004A32E1" w:rsidRDefault="007959A4" w:rsidP="00330FD9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A02B03">
        <w:rPr>
          <w:lang w:val="es-ES_tradnl"/>
        </w:rPr>
        <w:t xml:space="preserve">Véanse los párrafos 10 y 11 del documento </w:t>
      </w:r>
      <w:hyperlink r:id="rId5" w:history="1">
        <w:r w:rsidRPr="00A02B03">
          <w:rPr>
            <w:rStyle w:val="Hyperlink"/>
            <w:lang w:val="es-ES_tradnl"/>
          </w:rPr>
          <w:t>CAJ/74/10</w:t>
        </w:r>
      </w:hyperlink>
      <w:r w:rsidRPr="00A02B03">
        <w:rPr>
          <w:lang w:val="es-ES_tradnl"/>
        </w:rPr>
        <w:t xml:space="preserve"> “Informe”.</w:t>
      </w:r>
    </w:p>
  </w:footnote>
  <w:footnote w:id="10">
    <w:p w:rsidR="007959A4" w:rsidRPr="004A32E1" w:rsidRDefault="007959A4" w:rsidP="00D07235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E12489">
        <w:rPr>
          <w:lang w:val="es-ES_tradnl"/>
        </w:rPr>
        <w:t xml:space="preserve">Véase el párrafo 9 del documento </w:t>
      </w:r>
      <w:hyperlink r:id="rId6" w:history="1">
        <w:r w:rsidRPr="00E12489">
          <w:rPr>
            <w:rStyle w:val="Hyperlink"/>
            <w:lang w:val="es-ES_tradnl"/>
          </w:rPr>
          <w:t>CAJ/74/10</w:t>
        </w:r>
      </w:hyperlink>
      <w:r w:rsidRPr="00E12489">
        <w:rPr>
          <w:lang w:val="es-ES_tradnl"/>
        </w:rPr>
        <w:t xml:space="preserve"> “Informe”.</w:t>
      </w:r>
    </w:p>
  </w:footnote>
  <w:footnote w:id="11">
    <w:p w:rsidR="007959A4" w:rsidRPr="004A32E1" w:rsidRDefault="007959A4" w:rsidP="001D588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ab/>
      </w:r>
      <w:r w:rsidRPr="00E12489">
        <w:rPr>
          <w:lang w:val="es-ES_tradnl"/>
        </w:rPr>
        <w:t>Celebrada en Ginebra el 17 de octubre de 2011.</w:t>
      </w:r>
      <w:r w:rsidRPr="004A32E1">
        <w:rPr>
          <w:lang w:val="es-ES"/>
        </w:rPr>
        <w:t xml:space="preserve"> </w:t>
      </w:r>
    </w:p>
  </w:footnote>
  <w:footnote w:id="12">
    <w:p w:rsidR="007959A4" w:rsidRPr="004A32E1" w:rsidRDefault="007959A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8A6317">
        <w:rPr>
          <w:lang w:val="es-ES_tradnl"/>
        </w:rPr>
        <w:t xml:space="preserve">Véase el párrafo 8 del documento </w:t>
      </w:r>
      <w:hyperlink r:id="rId7" w:history="1">
        <w:r w:rsidRPr="008A6317">
          <w:rPr>
            <w:rStyle w:val="Hyperlink"/>
            <w:lang w:val="es-ES_tradnl"/>
          </w:rPr>
          <w:t>CAJ/64/2</w:t>
        </w:r>
      </w:hyperlink>
      <w:r w:rsidRPr="008A6317">
        <w:rPr>
          <w:lang w:val="es-ES_tradnl"/>
        </w:rPr>
        <w:t xml:space="preserve"> “Elaboración de material de información sobre el Convenio de la UPOV”.</w:t>
      </w:r>
    </w:p>
  </w:footnote>
  <w:footnote w:id="13">
    <w:p w:rsidR="007959A4" w:rsidRPr="004A32E1" w:rsidRDefault="007959A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8A6317">
        <w:rPr>
          <w:lang w:val="es-ES_tradnl"/>
        </w:rPr>
        <w:t>Celebrada en Ginebra el 25 de octubre de 2016.</w:t>
      </w:r>
    </w:p>
  </w:footnote>
  <w:footnote w:id="14">
    <w:p w:rsidR="007959A4" w:rsidRPr="004A32E1" w:rsidRDefault="007959A4" w:rsidP="001D5883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8A6317">
        <w:rPr>
          <w:lang w:val="es-ES_tradnl"/>
        </w:rPr>
        <w:t xml:space="preserve">Véase el párrafo 21 del documento </w:t>
      </w:r>
      <w:hyperlink r:id="rId8" w:history="1">
        <w:r w:rsidRPr="008A6317">
          <w:rPr>
            <w:rStyle w:val="Hyperlink"/>
            <w:lang w:val="es-ES_tradnl"/>
          </w:rPr>
          <w:t>CAJ/73/10</w:t>
        </w:r>
      </w:hyperlink>
      <w:r w:rsidRPr="008A6317">
        <w:rPr>
          <w:lang w:val="es-ES_tradnl"/>
        </w:rPr>
        <w:t xml:space="preserve"> “Informe sobre las conclusiones”.</w:t>
      </w:r>
    </w:p>
  </w:footnote>
  <w:footnote w:id="15">
    <w:p w:rsidR="007959A4" w:rsidRPr="004A32E1" w:rsidRDefault="007959A4" w:rsidP="001D5883">
      <w:pPr>
        <w:pStyle w:val="FootnoteText"/>
        <w:rPr>
          <w:lang w:val="es-ES"/>
        </w:rPr>
      </w:pPr>
      <w:r w:rsidRPr="00D76B0E"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8A6317">
        <w:rPr>
          <w:lang w:val="es-ES_tradnl"/>
        </w:rPr>
        <w:t xml:space="preserve">Véase el párrafo 10.d) del documento </w:t>
      </w:r>
      <w:hyperlink r:id="rId9" w:history="1">
        <w:r w:rsidRPr="008A6317">
          <w:rPr>
            <w:rStyle w:val="Hyperlink"/>
            <w:lang w:val="es-ES_tradnl"/>
          </w:rPr>
          <w:t>C/50/20</w:t>
        </w:r>
      </w:hyperlink>
      <w:r w:rsidRPr="008A6317">
        <w:rPr>
          <w:lang w:val="es-ES_tradnl"/>
        </w:rPr>
        <w:t xml:space="preserve"> “Informe”.</w:t>
      </w:r>
    </w:p>
  </w:footnote>
  <w:footnote w:id="16">
    <w:p w:rsidR="007959A4" w:rsidRPr="004A32E1" w:rsidRDefault="007959A4" w:rsidP="0009217D">
      <w:pPr>
        <w:pStyle w:val="FootnoteText"/>
        <w:rPr>
          <w:lang w:val="es-ES" w:eastAsia="ja-JP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rFonts w:hint="eastAsia"/>
          <w:lang w:val="es-ES" w:eastAsia="ja-JP"/>
        </w:rPr>
        <w:tab/>
      </w:r>
      <w:r w:rsidRPr="008A6317">
        <w:rPr>
          <w:lang w:val="es-ES_tradnl" w:eastAsia="ja-JP"/>
        </w:rPr>
        <w:t>Celebrada en Ginebra el 21 de octubre de 2013.</w:t>
      </w:r>
    </w:p>
  </w:footnote>
  <w:footnote w:id="17">
    <w:p w:rsidR="007959A4" w:rsidRPr="004A32E1" w:rsidRDefault="007959A4" w:rsidP="001D5883">
      <w:pPr>
        <w:pStyle w:val="FootnoteText"/>
        <w:rPr>
          <w:lang w:val="es-ES" w:eastAsia="ja-JP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rFonts w:hint="eastAsia"/>
          <w:lang w:val="es-ES" w:eastAsia="ja-JP"/>
        </w:rPr>
        <w:tab/>
      </w:r>
      <w:r w:rsidRPr="008A6317">
        <w:rPr>
          <w:lang w:val="es-ES_tradnl"/>
        </w:rPr>
        <w:t xml:space="preserve">Véanse los párrafos 23 a 26 del documento </w:t>
      </w:r>
      <w:hyperlink r:id="rId10" w:history="1">
        <w:r w:rsidRPr="008A6317">
          <w:rPr>
            <w:rStyle w:val="Hyperlink"/>
            <w:lang w:val="es-ES_tradnl"/>
          </w:rPr>
          <w:t>CAJ/68/10</w:t>
        </w:r>
      </w:hyperlink>
      <w:r w:rsidRPr="008A6317">
        <w:rPr>
          <w:lang w:val="es-ES_tradnl"/>
        </w:rPr>
        <w:t xml:space="preserve"> “Informe sobre las conclusiones”.</w:t>
      </w:r>
    </w:p>
  </w:footnote>
  <w:footnote w:id="18">
    <w:p w:rsidR="007959A4" w:rsidRPr="004A32E1" w:rsidRDefault="007959A4" w:rsidP="0009217D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8A6317">
        <w:rPr>
          <w:lang w:val="es-ES_tradnl"/>
        </w:rPr>
        <w:t>Celebrada en Ginebra los días 23 y 24 de octubre de 2017.</w:t>
      </w:r>
    </w:p>
  </w:footnote>
  <w:footnote w:id="19">
    <w:p w:rsidR="007959A4" w:rsidRPr="004A32E1" w:rsidRDefault="007959A4" w:rsidP="00B174F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8A6317">
        <w:rPr>
          <w:lang w:val="es-ES_tradnl"/>
        </w:rPr>
        <w:t xml:space="preserve">Véase el párrafo 12 del documento </w:t>
      </w:r>
      <w:hyperlink r:id="rId11" w:history="1">
        <w:r w:rsidR="008E409C" w:rsidRPr="00E12489">
          <w:rPr>
            <w:rStyle w:val="Hyperlink"/>
            <w:lang w:val="es-ES_tradnl"/>
          </w:rPr>
          <w:t>CAJ/74/10</w:t>
        </w:r>
      </w:hyperlink>
      <w:r w:rsidR="008E409C" w:rsidRPr="008A6317">
        <w:rPr>
          <w:lang w:val="es-ES_tradnl"/>
        </w:rPr>
        <w:t xml:space="preserve"> </w:t>
      </w:r>
      <w:r w:rsidRPr="008A6317">
        <w:rPr>
          <w:lang w:val="es-ES_tradnl"/>
        </w:rPr>
        <w:t>“Informe”.</w:t>
      </w:r>
    </w:p>
  </w:footnote>
  <w:footnote w:id="20">
    <w:p w:rsidR="007959A4" w:rsidRPr="004A32E1" w:rsidRDefault="007959A4" w:rsidP="004D079C">
      <w:pPr>
        <w:pStyle w:val="FootnoteText"/>
        <w:rPr>
          <w:lang w:val="es-ES"/>
        </w:rPr>
      </w:pPr>
      <w:r w:rsidRPr="004F1804">
        <w:rPr>
          <w:rStyle w:val="FootnoteReference"/>
        </w:rPr>
        <w:footnoteRef/>
      </w:r>
      <w:r w:rsidRPr="004A32E1">
        <w:rPr>
          <w:lang w:val="es-ES"/>
        </w:rPr>
        <w:t xml:space="preserve"> </w:t>
      </w:r>
      <w:r w:rsidRPr="004A32E1">
        <w:rPr>
          <w:lang w:val="es-ES"/>
        </w:rPr>
        <w:tab/>
      </w:r>
      <w:r w:rsidRPr="008A6317">
        <w:rPr>
          <w:lang w:val="es-ES_tradnl"/>
        </w:rPr>
        <w:t xml:space="preserve">Véase el párrafo 13 del documento </w:t>
      </w:r>
      <w:hyperlink r:id="rId12" w:history="1">
        <w:r w:rsidR="008E409C" w:rsidRPr="00E12489">
          <w:rPr>
            <w:rStyle w:val="Hyperlink"/>
            <w:lang w:val="es-ES_tradnl"/>
          </w:rPr>
          <w:t>CAJ/74/10</w:t>
        </w:r>
      </w:hyperlink>
      <w:r w:rsidR="008E409C" w:rsidRPr="008A6317">
        <w:rPr>
          <w:lang w:val="es-ES_tradnl"/>
        </w:rPr>
        <w:t xml:space="preserve"> </w:t>
      </w:r>
      <w:r w:rsidRPr="008A6317">
        <w:rPr>
          <w:lang w:val="es-ES_tradnl"/>
        </w:rPr>
        <w:t>“Informe”.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A4" w:rsidRPr="00C5280D" w:rsidRDefault="007959A4" w:rsidP="00906B7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CAJ/75/6</w:t>
    </w:r>
  </w:p>
  <w:p w:rsidR="007959A4" w:rsidRPr="00E12EE7" w:rsidRDefault="007959A4" w:rsidP="00906B72">
    <w:pPr>
      <w:pStyle w:val="Header"/>
      <w:rPr>
        <w:lang w:val="es-ES_tradnl"/>
      </w:rPr>
    </w:pPr>
    <w:r>
      <w:rPr>
        <w:lang w:val="es-ES_tradnl"/>
      </w:rPr>
      <w:t xml:space="preserve">página </w:t>
    </w:r>
    <w:r w:rsidR="00C37188" w:rsidRPr="00E12EE7">
      <w:rPr>
        <w:rStyle w:val="PageNumber"/>
        <w:lang w:val="es-ES_tradnl"/>
      </w:rPr>
      <w:fldChar w:fldCharType="begin"/>
    </w:r>
    <w:r w:rsidRPr="00E12EE7">
      <w:rPr>
        <w:rStyle w:val="PageNumber"/>
        <w:lang w:val="es-ES_tradnl"/>
      </w:rPr>
      <w:instrText xml:space="preserve"> PAGE </w:instrText>
    </w:r>
    <w:r w:rsidR="00C37188" w:rsidRPr="00E12EE7">
      <w:rPr>
        <w:rStyle w:val="PageNumber"/>
        <w:lang w:val="es-ES_tradnl"/>
      </w:rPr>
      <w:fldChar w:fldCharType="separate"/>
    </w:r>
    <w:r w:rsidR="00421D33">
      <w:rPr>
        <w:rStyle w:val="PageNumber"/>
        <w:noProof/>
        <w:lang w:val="es-ES_tradnl"/>
      </w:rPr>
      <w:t>5</w:t>
    </w:r>
    <w:r w:rsidR="00C37188" w:rsidRPr="00E12EE7">
      <w:rPr>
        <w:rStyle w:val="PageNumber"/>
        <w:lang w:val="es-ES_tradnl"/>
      </w:rPr>
      <w:fldChar w:fldCharType="end"/>
    </w:r>
  </w:p>
  <w:p w:rsidR="007959A4" w:rsidRPr="00C5280D" w:rsidRDefault="007959A4" w:rsidP="00906B7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A4" w:rsidRDefault="007959A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CAJ/75/6</w:t>
    </w:r>
  </w:p>
  <w:p w:rsidR="007959A4" w:rsidRDefault="007959A4" w:rsidP="00EB048E">
    <w:pPr>
      <w:pStyle w:val="Header"/>
      <w:rPr>
        <w:rStyle w:val="PageNumber"/>
        <w:lang w:val="en-US"/>
      </w:rPr>
    </w:pPr>
  </w:p>
  <w:p w:rsidR="007959A4" w:rsidRPr="00E12EE7" w:rsidRDefault="007959A4" w:rsidP="00E66616">
    <w:pPr>
      <w:jc w:val="center"/>
      <w:rPr>
        <w:lang w:val="es-ES_tradnl"/>
      </w:rPr>
    </w:pPr>
    <w:r w:rsidRPr="00E12EE7">
      <w:rPr>
        <w:lang w:val="es-ES_tradnl"/>
      </w:rPr>
      <w:t>Anex</w:t>
    </w:r>
    <w:r>
      <w:rPr>
        <w:lang w:val="es-ES_tradnl"/>
      </w:rPr>
      <w:t>o</w:t>
    </w:r>
    <w:r w:rsidRPr="00E12EE7">
      <w:rPr>
        <w:lang w:val="es-ES_tradnl"/>
      </w:rPr>
      <w:t xml:space="preserve">, </w:t>
    </w:r>
    <w:r>
      <w:rPr>
        <w:rFonts w:cs="Arial"/>
        <w:lang w:val="es-ES_tradnl"/>
      </w:rPr>
      <w:t xml:space="preserve">página </w:t>
    </w:r>
    <w:r w:rsidR="00C37188" w:rsidRPr="00E12EE7">
      <w:rPr>
        <w:rStyle w:val="PageNumber"/>
        <w:rFonts w:cs="Arial"/>
        <w:lang w:val="es-ES_tradnl"/>
      </w:rPr>
      <w:fldChar w:fldCharType="begin"/>
    </w:r>
    <w:r w:rsidRPr="00E12EE7">
      <w:rPr>
        <w:rStyle w:val="PageNumber"/>
        <w:rFonts w:cs="Arial"/>
        <w:lang w:val="es-ES_tradnl"/>
      </w:rPr>
      <w:instrText xml:space="preserve"> PAGE </w:instrText>
    </w:r>
    <w:r w:rsidR="00C37188" w:rsidRPr="00E12EE7">
      <w:rPr>
        <w:rStyle w:val="PageNumber"/>
        <w:rFonts w:cs="Arial"/>
        <w:lang w:val="es-ES_tradnl"/>
      </w:rPr>
      <w:fldChar w:fldCharType="separate"/>
    </w:r>
    <w:r w:rsidR="00421D33">
      <w:rPr>
        <w:rStyle w:val="PageNumber"/>
        <w:rFonts w:cs="Arial"/>
        <w:noProof/>
        <w:lang w:val="es-ES_tradnl"/>
      </w:rPr>
      <w:t>2</w:t>
    </w:r>
    <w:r w:rsidR="00C37188" w:rsidRPr="00E12EE7">
      <w:rPr>
        <w:rStyle w:val="PageNumber"/>
        <w:rFonts w:cs="Arial"/>
        <w:lang w:val="es-ES_tradnl"/>
      </w:rPr>
      <w:fldChar w:fldCharType="end"/>
    </w:r>
  </w:p>
  <w:p w:rsidR="007959A4" w:rsidRPr="00C5280D" w:rsidRDefault="007959A4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791"/>
    <w:multiLevelType w:val="multilevel"/>
    <w:tmpl w:val="90187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F3145C"/>
    <w:multiLevelType w:val="multilevel"/>
    <w:tmpl w:val="9E801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0D24AE3"/>
    <w:multiLevelType w:val="multilevel"/>
    <w:tmpl w:val="54AC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tBookmark" w:val="00001"/>
  </w:docVars>
  <w:rsids>
    <w:rsidRoot w:val="00C307A0"/>
    <w:rsid w:val="00000677"/>
    <w:rsid w:val="00010CF3"/>
    <w:rsid w:val="00011E27"/>
    <w:rsid w:val="000148BC"/>
    <w:rsid w:val="00024AB8"/>
    <w:rsid w:val="00030854"/>
    <w:rsid w:val="000308D1"/>
    <w:rsid w:val="000336AB"/>
    <w:rsid w:val="00036028"/>
    <w:rsid w:val="00044642"/>
    <w:rsid w:val="000446B9"/>
    <w:rsid w:val="00047E21"/>
    <w:rsid w:val="00050E16"/>
    <w:rsid w:val="0007333E"/>
    <w:rsid w:val="00085505"/>
    <w:rsid w:val="0009217D"/>
    <w:rsid w:val="000C4E25"/>
    <w:rsid w:val="000C7021"/>
    <w:rsid w:val="000D6BBC"/>
    <w:rsid w:val="000D7780"/>
    <w:rsid w:val="000E636A"/>
    <w:rsid w:val="000F2F11"/>
    <w:rsid w:val="00105929"/>
    <w:rsid w:val="001072EC"/>
    <w:rsid w:val="00110BED"/>
    <w:rsid w:val="00110C36"/>
    <w:rsid w:val="001131D5"/>
    <w:rsid w:val="001247B2"/>
    <w:rsid w:val="00141DB8"/>
    <w:rsid w:val="00172084"/>
    <w:rsid w:val="0017474A"/>
    <w:rsid w:val="001758C6"/>
    <w:rsid w:val="00182B99"/>
    <w:rsid w:val="001B30CE"/>
    <w:rsid w:val="001B3359"/>
    <w:rsid w:val="001C1525"/>
    <w:rsid w:val="001D5768"/>
    <w:rsid w:val="001D5883"/>
    <w:rsid w:val="001E252B"/>
    <w:rsid w:val="0021332C"/>
    <w:rsid w:val="00213982"/>
    <w:rsid w:val="00227438"/>
    <w:rsid w:val="00227991"/>
    <w:rsid w:val="0024416D"/>
    <w:rsid w:val="00263740"/>
    <w:rsid w:val="0027069F"/>
    <w:rsid w:val="00271911"/>
    <w:rsid w:val="002800A0"/>
    <w:rsid w:val="002801B3"/>
    <w:rsid w:val="00281060"/>
    <w:rsid w:val="0028478A"/>
    <w:rsid w:val="002940E8"/>
    <w:rsid w:val="00294751"/>
    <w:rsid w:val="002A6E50"/>
    <w:rsid w:val="002B125B"/>
    <w:rsid w:val="002B4298"/>
    <w:rsid w:val="002B7A36"/>
    <w:rsid w:val="002C256A"/>
    <w:rsid w:val="002E21EF"/>
    <w:rsid w:val="002F30AE"/>
    <w:rsid w:val="00305A7F"/>
    <w:rsid w:val="00305C0E"/>
    <w:rsid w:val="00306F1E"/>
    <w:rsid w:val="003152FE"/>
    <w:rsid w:val="00320829"/>
    <w:rsid w:val="00327436"/>
    <w:rsid w:val="00330FD9"/>
    <w:rsid w:val="00344BD6"/>
    <w:rsid w:val="0035528D"/>
    <w:rsid w:val="00361821"/>
    <w:rsid w:val="003619AE"/>
    <w:rsid w:val="00361E9E"/>
    <w:rsid w:val="003719EA"/>
    <w:rsid w:val="00373FE1"/>
    <w:rsid w:val="00385538"/>
    <w:rsid w:val="003A099C"/>
    <w:rsid w:val="003C7FBE"/>
    <w:rsid w:val="003D227C"/>
    <w:rsid w:val="003D2B4D"/>
    <w:rsid w:val="00411E74"/>
    <w:rsid w:val="00421D33"/>
    <w:rsid w:val="00430D19"/>
    <w:rsid w:val="00444A88"/>
    <w:rsid w:val="00474DA4"/>
    <w:rsid w:val="00476B4D"/>
    <w:rsid w:val="004805FA"/>
    <w:rsid w:val="0048657C"/>
    <w:rsid w:val="004935D2"/>
    <w:rsid w:val="004A3111"/>
    <w:rsid w:val="004A3264"/>
    <w:rsid w:val="004A32E1"/>
    <w:rsid w:val="004B1215"/>
    <w:rsid w:val="004C5332"/>
    <w:rsid w:val="004C708B"/>
    <w:rsid w:val="004D047D"/>
    <w:rsid w:val="004D079C"/>
    <w:rsid w:val="004E0857"/>
    <w:rsid w:val="004F1804"/>
    <w:rsid w:val="004F1E9E"/>
    <w:rsid w:val="004F1FA0"/>
    <w:rsid w:val="004F305A"/>
    <w:rsid w:val="004F79E3"/>
    <w:rsid w:val="00505302"/>
    <w:rsid w:val="00512164"/>
    <w:rsid w:val="00513D05"/>
    <w:rsid w:val="00517916"/>
    <w:rsid w:val="00520297"/>
    <w:rsid w:val="00525B72"/>
    <w:rsid w:val="005338F9"/>
    <w:rsid w:val="00535736"/>
    <w:rsid w:val="005407F4"/>
    <w:rsid w:val="0054281C"/>
    <w:rsid w:val="00544581"/>
    <w:rsid w:val="0054749F"/>
    <w:rsid w:val="005508AC"/>
    <w:rsid w:val="0055268D"/>
    <w:rsid w:val="00562A1F"/>
    <w:rsid w:val="00576BE4"/>
    <w:rsid w:val="005779DB"/>
    <w:rsid w:val="005960BF"/>
    <w:rsid w:val="00596575"/>
    <w:rsid w:val="005A30B7"/>
    <w:rsid w:val="005A400A"/>
    <w:rsid w:val="005D31AE"/>
    <w:rsid w:val="005D4389"/>
    <w:rsid w:val="005E2F21"/>
    <w:rsid w:val="005E2F93"/>
    <w:rsid w:val="005F1AD9"/>
    <w:rsid w:val="005F7B92"/>
    <w:rsid w:val="006009A3"/>
    <w:rsid w:val="006016D5"/>
    <w:rsid w:val="00612379"/>
    <w:rsid w:val="006153B6"/>
    <w:rsid w:val="0061555F"/>
    <w:rsid w:val="00622AEC"/>
    <w:rsid w:val="006311FB"/>
    <w:rsid w:val="00636CA6"/>
    <w:rsid w:val="00641200"/>
    <w:rsid w:val="00645CA8"/>
    <w:rsid w:val="00653240"/>
    <w:rsid w:val="00653532"/>
    <w:rsid w:val="00657196"/>
    <w:rsid w:val="0066085C"/>
    <w:rsid w:val="006655D3"/>
    <w:rsid w:val="00665E0E"/>
    <w:rsid w:val="00667404"/>
    <w:rsid w:val="006856E2"/>
    <w:rsid w:val="00687EB4"/>
    <w:rsid w:val="00695C56"/>
    <w:rsid w:val="006A5CDE"/>
    <w:rsid w:val="006A644A"/>
    <w:rsid w:val="006B17D2"/>
    <w:rsid w:val="006C1BA2"/>
    <w:rsid w:val="006C224E"/>
    <w:rsid w:val="006D444B"/>
    <w:rsid w:val="006D7748"/>
    <w:rsid w:val="006D780A"/>
    <w:rsid w:val="006D7DE7"/>
    <w:rsid w:val="00705C4F"/>
    <w:rsid w:val="00710301"/>
    <w:rsid w:val="0071271E"/>
    <w:rsid w:val="00716CBD"/>
    <w:rsid w:val="0073256D"/>
    <w:rsid w:val="0073296B"/>
    <w:rsid w:val="00732DEC"/>
    <w:rsid w:val="00734637"/>
    <w:rsid w:val="00735BD5"/>
    <w:rsid w:val="007451EC"/>
    <w:rsid w:val="00751613"/>
    <w:rsid w:val="00753EE9"/>
    <w:rsid w:val="007556F6"/>
    <w:rsid w:val="00760EEF"/>
    <w:rsid w:val="00766F01"/>
    <w:rsid w:val="00766F42"/>
    <w:rsid w:val="00770D53"/>
    <w:rsid w:val="0077663D"/>
    <w:rsid w:val="00777EE5"/>
    <w:rsid w:val="00784836"/>
    <w:rsid w:val="0079023E"/>
    <w:rsid w:val="007959A4"/>
    <w:rsid w:val="007A2740"/>
    <w:rsid w:val="007A2854"/>
    <w:rsid w:val="007A40B1"/>
    <w:rsid w:val="007A5B86"/>
    <w:rsid w:val="007B782C"/>
    <w:rsid w:val="007C1D92"/>
    <w:rsid w:val="007C4CB9"/>
    <w:rsid w:val="007D0B9D"/>
    <w:rsid w:val="007D19B0"/>
    <w:rsid w:val="007F3453"/>
    <w:rsid w:val="007F498F"/>
    <w:rsid w:val="007F71BE"/>
    <w:rsid w:val="0080679D"/>
    <w:rsid w:val="008108B0"/>
    <w:rsid w:val="00811B20"/>
    <w:rsid w:val="00812609"/>
    <w:rsid w:val="00812C33"/>
    <w:rsid w:val="008211B5"/>
    <w:rsid w:val="0082296E"/>
    <w:rsid w:val="00824099"/>
    <w:rsid w:val="00846D7C"/>
    <w:rsid w:val="00846E9C"/>
    <w:rsid w:val="00867AC1"/>
    <w:rsid w:val="008759AB"/>
    <w:rsid w:val="0087714B"/>
    <w:rsid w:val="00890DF8"/>
    <w:rsid w:val="008A6317"/>
    <w:rsid w:val="008A743F"/>
    <w:rsid w:val="008B12A6"/>
    <w:rsid w:val="008C0970"/>
    <w:rsid w:val="008C1800"/>
    <w:rsid w:val="008D0BC5"/>
    <w:rsid w:val="008D2CF7"/>
    <w:rsid w:val="008E3D38"/>
    <w:rsid w:val="008E409C"/>
    <w:rsid w:val="008E5BB7"/>
    <w:rsid w:val="008F4336"/>
    <w:rsid w:val="008F4533"/>
    <w:rsid w:val="00900C26"/>
    <w:rsid w:val="0090197F"/>
    <w:rsid w:val="00902DA7"/>
    <w:rsid w:val="00903264"/>
    <w:rsid w:val="00906B72"/>
    <w:rsid w:val="00906DDC"/>
    <w:rsid w:val="00934E09"/>
    <w:rsid w:val="00936253"/>
    <w:rsid w:val="00940D46"/>
    <w:rsid w:val="00952DD4"/>
    <w:rsid w:val="00960563"/>
    <w:rsid w:val="00965AE7"/>
    <w:rsid w:val="00970FED"/>
    <w:rsid w:val="00980611"/>
    <w:rsid w:val="009923D5"/>
    <w:rsid w:val="00992D82"/>
    <w:rsid w:val="00997029"/>
    <w:rsid w:val="009A7339"/>
    <w:rsid w:val="009B440E"/>
    <w:rsid w:val="009B5598"/>
    <w:rsid w:val="009B55EC"/>
    <w:rsid w:val="009C1979"/>
    <w:rsid w:val="009C7688"/>
    <w:rsid w:val="009D0417"/>
    <w:rsid w:val="009D690D"/>
    <w:rsid w:val="009E0871"/>
    <w:rsid w:val="009E65B6"/>
    <w:rsid w:val="009F1A05"/>
    <w:rsid w:val="009F77CF"/>
    <w:rsid w:val="00A02B03"/>
    <w:rsid w:val="00A11B4E"/>
    <w:rsid w:val="00A24C10"/>
    <w:rsid w:val="00A42AC3"/>
    <w:rsid w:val="00A430CF"/>
    <w:rsid w:val="00A54309"/>
    <w:rsid w:val="00A62A75"/>
    <w:rsid w:val="00A663D9"/>
    <w:rsid w:val="00A66904"/>
    <w:rsid w:val="00A80F2A"/>
    <w:rsid w:val="00A8147D"/>
    <w:rsid w:val="00A85842"/>
    <w:rsid w:val="00A877B5"/>
    <w:rsid w:val="00AA18DC"/>
    <w:rsid w:val="00AB2B93"/>
    <w:rsid w:val="00AB530F"/>
    <w:rsid w:val="00AB7E5B"/>
    <w:rsid w:val="00AC2883"/>
    <w:rsid w:val="00AE0EF1"/>
    <w:rsid w:val="00AE0F02"/>
    <w:rsid w:val="00AE2937"/>
    <w:rsid w:val="00AE29EE"/>
    <w:rsid w:val="00B07301"/>
    <w:rsid w:val="00B11F3E"/>
    <w:rsid w:val="00B1388A"/>
    <w:rsid w:val="00B15DFC"/>
    <w:rsid w:val="00B174FF"/>
    <w:rsid w:val="00B224DE"/>
    <w:rsid w:val="00B324D4"/>
    <w:rsid w:val="00B3275E"/>
    <w:rsid w:val="00B35316"/>
    <w:rsid w:val="00B46575"/>
    <w:rsid w:val="00B61097"/>
    <w:rsid w:val="00B61777"/>
    <w:rsid w:val="00B622E6"/>
    <w:rsid w:val="00B721AD"/>
    <w:rsid w:val="00B84BBD"/>
    <w:rsid w:val="00BA43FB"/>
    <w:rsid w:val="00BC127D"/>
    <w:rsid w:val="00BC1FE6"/>
    <w:rsid w:val="00BC5BBB"/>
    <w:rsid w:val="00BD6E40"/>
    <w:rsid w:val="00C061B6"/>
    <w:rsid w:val="00C2446C"/>
    <w:rsid w:val="00C307A0"/>
    <w:rsid w:val="00C30F4A"/>
    <w:rsid w:val="00C3460B"/>
    <w:rsid w:val="00C36AE5"/>
    <w:rsid w:val="00C37188"/>
    <w:rsid w:val="00C41F17"/>
    <w:rsid w:val="00C47459"/>
    <w:rsid w:val="00C527FA"/>
    <w:rsid w:val="00C5280D"/>
    <w:rsid w:val="00C53EB3"/>
    <w:rsid w:val="00C55795"/>
    <w:rsid w:val="00C5791C"/>
    <w:rsid w:val="00C66290"/>
    <w:rsid w:val="00C67785"/>
    <w:rsid w:val="00C67916"/>
    <w:rsid w:val="00C72B7A"/>
    <w:rsid w:val="00C74EA0"/>
    <w:rsid w:val="00C7667C"/>
    <w:rsid w:val="00C95042"/>
    <w:rsid w:val="00C973F2"/>
    <w:rsid w:val="00CA304C"/>
    <w:rsid w:val="00CA383D"/>
    <w:rsid w:val="00CA774A"/>
    <w:rsid w:val="00CC11B0"/>
    <w:rsid w:val="00CC2841"/>
    <w:rsid w:val="00CD7512"/>
    <w:rsid w:val="00CE38A7"/>
    <w:rsid w:val="00CF1330"/>
    <w:rsid w:val="00CF6569"/>
    <w:rsid w:val="00CF7E36"/>
    <w:rsid w:val="00D07235"/>
    <w:rsid w:val="00D2734E"/>
    <w:rsid w:val="00D3708D"/>
    <w:rsid w:val="00D40426"/>
    <w:rsid w:val="00D42526"/>
    <w:rsid w:val="00D53442"/>
    <w:rsid w:val="00D57412"/>
    <w:rsid w:val="00D57C96"/>
    <w:rsid w:val="00D57D18"/>
    <w:rsid w:val="00D76C52"/>
    <w:rsid w:val="00D80E2E"/>
    <w:rsid w:val="00D829D7"/>
    <w:rsid w:val="00D91203"/>
    <w:rsid w:val="00D95174"/>
    <w:rsid w:val="00DA4973"/>
    <w:rsid w:val="00DA6F36"/>
    <w:rsid w:val="00DB596E"/>
    <w:rsid w:val="00DB7773"/>
    <w:rsid w:val="00DC00EA"/>
    <w:rsid w:val="00DC1C2A"/>
    <w:rsid w:val="00DC2E21"/>
    <w:rsid w:val="00DC3477"/>
    <w:rsid w:val="00DC3802"/>
    <w:rsid w:val="00DE05B2"/>
    <w:rsid w:val="00DE3D37"/>
    <w:rsid w:val="00E07D87"/>
    <w:rsid w:val="00E12489"/>
    <w:rsid w:val="00E125A8"/>
    <w:rsid w:val="00E12EE7"/>
    <w:rsid w:val="00E21B65"/>
    <w:rsid w:val="00E249C8"/>
    <w:rsid w:val="00E26C7C"/>
    <w:rsid w:val="00E32F7E"/>
    <w:rsid w:val="00E42A62"/>
    <w:rsid w:val="00E5267B"/>
    <w:rsid w:val="00E63C0E"/>
    <w:rsid w:val="00E66616"/>
    <w:rsid w:val="00E72D49"/>
    <w:rsid w:val="00E7419B"/>
    <w:rsid w:val="00E7593C"/>
    <w:rsid w:val="00E7678A"/>
    <w:rsid w:val="00E80EC5"/>
    <w:rsid w:val="00E82285"/>
    <w:rsid w:val="00E935F1"/>
    <w:rsid w:val="00E94A81"/>
    <w:rsid w:val="00EA1FFB"/>
    <w:rsid w:val="00EB048E"/>
    <w:rsid w:val="00EB4E9C"/>
    <w:rsid w:val="00EB579D"/>
    <w:rsid w:val="00ED390C"/>
    <w:rsid w:val="00EE2025"/>
    <w:rsid w:val="00EE34DF"/>
    <w:rsid w:val="00EF2387"/>
    <w:rsid w:val="00EF2815"/>
    <w:rsid w:val="00EF2F89"/>
    <w:rsid w:val="00F03E98"/>
    <w:rsid w:val="00F111A2"/>
    <w:rsid w:val="00F1237A"/>
    <w:rsid w:val="00F22CBD"/>
    <w:rsid w:val="00F272F1"/>
    <w:rsid w:val="00F45372"/>
    <w:rsid w:val="00F560F7"/>
    <w:rsid w:val="00F6334D"/>
    <w:rsid w:val="00F63599"/>
    <w:rsid w:val="00F85599"/>
    <w:rsid w:val="00FA0ECC"/>
    <w:rsid w:val="00FA49AB"/>
    <w:rsid w:val="00FB0EAA"/>
    <w:rsid w:val="00FE39C7"/>
    <w:rsid w:val="00FF0312"/>
    <w:rsid w:val="00FF36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6FF089D"/>
  <w15:docId w15:val="{1D65C61C-8D38-4121-9F7C-3BBA768C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1D5883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1D5883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1D5883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883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1D5883"/>
    <w:rPr>
      <w:rFonts w:ascii="Arial" w:hAnsi="Arial"/>
      <w:u w:val="single"/>
    </w:rPr>
  </w:style>
  <w:style w:type="character" w:customStyle="1" w:styleId="Heading6Char">
    <w:name w:val="Heading 6 Char"/>
    <w:basedOn w:val="DefaultParagraphFont"/>
    <w:link w:val="Heading6"/>
    <w:rsid w:val="001D5883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1D5883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1D5883"/>
    <w:rPr>
      <w:rFonts w:ascii="Arial" w:hAnsi="Arial"/>
      <w:u w:val="single"/>
    </w:rPr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character" w:customStyle="1" w:styleId="DecisionParagraphsChar">
    <w:name w:val="DecisionParagraphs Char"/>
    <w:basedOn w:val="DefaultParagraphFont"/>
    <w:link w:val="DecisionParagraphs"/>
    <w:rsid w:val="001D5883"/>
    <w:rPr>
      <w:rFonts w:ascii="Arial" w:hAnsi="Arial"/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1D5883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1"/>
    <w:rsid w:val="00D3708D"/>
  </w:style>
  <w:style w:type="character" w:customStyle="1" w:styleId="BodyTextChar1">
    <w:name w:val="Body Text Char1"/>
    <w:basedOn w:val="DefaultParagraphFont"/>
    <w:link w:val="BodyText"/>
    <w:rsid w:val="001D5883"/>
    <w:rPr>
      <w:rFonts w:ascii="Arial" w:hAnsi="Arial"/>
    </w:rPr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1D5883"/>
    <w:rPr>
      <w:rFonts w:ascii="Arial" w:hAnsi="Arial"/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character" w:customStyle="1" w:styleId="pldetailsChar">
    <w:name w:val="pldetails Char"/>
    <w:link w:val="pldetails"/>
    <w:locked/>
    <w:rsid w:val="001D5883"/>
    <w:rPr>
      <w:rFonts w:ascii="Arial" w:hAnsi="Arial"/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qFormat/>
    <w:rsid w:val="00A66904"/>
    <w:pPr>
      <w:tabs>
        <w:tab w:val="right" w:leader="dot" w:pos="9639"/>
      </w:tabs>
      <w:spacing w:before="60"/>
      <w:ind w:left="568" w:right="851" w:hanging="284"/>
      <w:jc w:val="left"/>
    </w:pPr>
    <w:rPr>
      <w:smallCaps/>
      <w:sz w:val="18"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A66904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NormalWeb">
    <w:name w:val="Normal (Web)"/>
    <w:basedOn w:val="Normal"/>
    <w:rsid w:val="001D5883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1D5883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1D5883"/>
    <w:pPr>
      <w:spacing w:before="720" w:after="480"/>
      <w:jc w:val="center"/>
    </w:pPr>
    <w:rPr>
      <w:caps/>
      <w:sz w:val="28"/>
    </w:rPr>
  </w:style>
  <w:style w:type="paragraph" w:customStyle="1" w:styleId="tqparabox">
    <w:name w:val="tqparabox"/>
    <w:basedOn w:val="Normal"/>
    <w:rsid w:val="001D5883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1D5883"/>
    <w:pPr>
      <w:ind w:left="1200"/>
    </w:pPr>
  </w:style>
  <w:style w:type="paragraph" w:styleId="BodyTextIndent">
    <w:name w:val="Body Text Indent"/>
    <w:basedOn w:val="Normal"/>
    <w:link w:val="BodyTextIndentChar"/>
    <w:rsid w:val="001D5883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1D5883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1D5883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1D5883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1D5883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1D5883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1D5883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rsid w:val="001D5883"/>
  </w:style>
  <w:style w:type="character" w:customStyle="1" w:styleId="E-mailSignatureChar">
    <w:name w:val="E-mail Signature Char"/>
    <w:basedOn w:val="DefaultParagraphFont"/>
    <w:link w:val="E-mailSignature"/>
    <w:rsid w:val="001D5883"/>
    <w:rPr>
      <w:rFonts w:ascii="Arial" w:hAnsi="Arial"/>
    </w:rPr>
  </w:style>
  <w:style w:type="character" w:styleId="Emphasis">
    <w:name w:val="Emphasis"/>
    <w:basedOn w:val="DefaultParagraphFont"/>
    <w:qFormat/>
    <w:rsid w:val="001D5883"/>
    <w:rPr>
      <w:i/>
      <w:iCs/>
    </w:rPr>
  </w:style>
  <w:style w:type="paragraph" w:styleId="EnvelopeAddress">
    <w:name w:val="envelope address"/>
    <w:basedOn w:val="Normal"/>
    <w:rsid w:val="001D5883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rsid w:val="001D5883"/>
  </w:style>
  <w:style w:type="character" w:styleId="HTMLAcronym">
    <w:name w:val="HTML Acronym"/>
    <w:basedOn w:val="DefaultParagraphFont"/>
    <w:rsid w:val="001D5883"/>
  </w:style>
  <w:style w:type="paragraph" w:styleId="HTMLAddress">
    <w:name w:val="HTML Address"/>
    <w:basedOn w:val="Normal"/>
    <w:link w:val="HTMLAddressChar"/>
    <w:rsid w:val="001D588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D5883"/>
    <w:rPr>
      <w:rFonts w:ascii="Arial" w:hAnsi="Arial"/>
      <w:i/>
      <w:iCs/>
    </w:rPr>
  </w:style>
  <w:style w:type="character" w:styleId="HTMLCite">
    <w:name w:val="HTML Cite"/>
    <w:basedOn w:val="DefaultParagraphFont"/>
    <w:rsid w:val="001D5883"/>
    <w:rPr>
      <w:i/>
      <w:iCs/>
    </w:rPr>
  </w:style>
  <w:style w:type="character" w:styleId="HTMLCode">
    <w:name w:val="HTML Code"/>
    <w:basedOn w:val="DefaultParagraphFont"/>
    <w:rsid w:val="001D5883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D5883"/>
    <w:rPr>
      <w:i/>
      <w:iCs/>
    </w:rPr>
  </w:style>
  <w:style w:type="character" w:styleId="HTMLKeyboard">
    <w:name w:val="HTML Keyboard"/>
    <w:basedOn w:val="DefaultParagraphFont"/>
    <w:rsid w:val="001D5883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D5883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rsid w:val="001D5883"/>
    <w:rPr>
      <w:rFonts w:ascii="Courier New" w:hAnsi="Courier New" w:cs="Courier New"/>
    </w:rPr>
  </w:style>
  <w:style w:type="character" w:styleId="HTMLSample">
    <w:name w:val="HTML Sample"/>
    <w:basedOn w:val="DefaultParagraphFont"/>
    <w:rsid w:val="001D5883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D5883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D5883"/>
    <w:rPr>
      <w:i/>
      <w:iCs/>
    </w:rPr>
  </w:style>
  <w:style w:type="character" w:styleId="LineNumber">
    <w:name w:val="line number"/>
    <w:basedOn w:val="DefaultParagraphFont"/>
    <w:rsid w:val="001D5883"/>
  </w:style>
  <w:style w:type="paragraph" w:styleId="List">
    <w:name w:val="List"/>
    <w:basedOn w:val="Normal"/>
    <w:rsid w:val="001D5883"/>
    <w:pPr>
      <w:ind w:left="360" w:hanging="360"/>
    </w:pPr>
  </w:style>
  <w:style w:type="paragraph" w:styleId="List2">
    <w:name w:val="List 2"/>
    <w:basedOn w:val="Normal"/>
    <w:rsid w:val="001D5883"/>
    <w:pPr>
      <w:ind w:left="720" w:hanging="360"/>
    </w:pPr>
  </w:style>
  <w:style w:type="paragraph" w:styleId="List3">
    <w:name w:val="List 3"/>
    <w:basedOn w:val="Normal"/>
    <w:rsid w:val="001D5883"/>
    <w:pPr>
      <w:ind w:left="1080" w:hanging="360"/>
    </w:pPr>
  </w:style>
  <w:style w:type="paragraph" w:styleId="List4">
    <w:name w:val="List 4"/>
    <w:basedOn w:val="Normal"/>
    <w:rsid w:val="001D5883"/>
    <w:pPr>
      <w:ind w:left="1440" w:hanging="360"/>
    </w:pPr>
  </w:style>
  <w:style w:type="paragraph" w:styleId="List5">
    <w:name w:val="List 5"/>
    <w:basedOn w:val="Normal"/>
    <w:rsid w:val="001D5883"/>
    <w:pPr>
      <w:ind w:left="1800" w:hanging="360"/>
    </w:pPr>
  </w:style>
  <w:style w:type="paragraph" w:styleId="ListBullet">
    <w:name w:val="List Bullet"/>
    <w:basedOn w:val="Normal"/>
    <w:autoRedefine/>
    <w:rsid w:val="001D5883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rsid w:val="001D588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1D588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1D588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rsid w:val="001D588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rsid w:val="001D5883"/>
    <w:pPr>
      <w:spacing w:after="120"/>
      <w:ind w:left="360"/>
    </w:pPr>
  </w:style>
  <w:style w:type="paragraph" w:styleId="ListContinue2">
    <w:name w:val="List Continue 2"/>
    <w:basedOn w:val="Normal"/>
    <w:rsid w:val="001D5883"/>
    <w:pPr>
      <w:spacing w:after="120"/>
      <w:ind w:left="720"/>
    </w:pPr>
  </w:style>
  <w:style w:type="paragraph" w:styleId="ListContinue3">
    <w:name w:val="List Continue 3"/>
    <w:basedOn w:val="Normal"/>
    <w:rsid w:val="001D5883"/>
    <w:pPr>
      <w:spacing w:after="120"/>
      <w:ind w:left="1080"/>
    </w:pPr>
  </w:style>
  <w:style w:type="paragraph" w:styleId="ListContinue4">
    <w:name w:val="List Continue 4"/>
    <w:basedOn w:val="Normal"/>
    <w:rsid w:val="001D5883"/>
    <w:pPr>
      <w:spacing w:after="120"/>
      <w:ind w:left="1440"/>
    </w:pPr>
  </w:style>
  <w:style w:type="paragraph" w:styleId="ListContinue5">
    <w:name w:val="List Continue 5"/>
    <w:basedOn w:val="Normal"/>
    <w:rsid w:val="001D5883"/>
    <w:pPr>
      <w:spacing w:after="120"/>
      <w:ind w:left="1800"/>
    </w:pPr>
  </w:style>
  <w:style w:type="paragraph" w:styleId="ListNumber">
    <w:name w:val="List Number"/>
    <w:basedOn w:val="Normal"/>
    <w:rsid w:val="001D588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rsid w:val="001D588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rsid w:val="001D588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rsid w:val="001D588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rsid w:val="001D5883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rsid w:val="001D58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rsid w:val="001D5883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1D5883"/>
  </w:style>
  <w:style w:type="character" w:customStyle="1" w:styleId="NoteHeadingChar">
    <w:name w:val="Note Heading Char"/>
    <w:basedOn w:val="DefaultParagraphFont"/>
    <w:link w:val="NoteHeading"/>
    <w:rsid w:val="001D5883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1D5883"/>
  </w:style>
  <w:style w:type="character" w:customStyle="1" w:styleId="SalutationChar">
    <w:name w:val="Salutation Char"/>
    <w:basedOn w:val="DefaultParagraphFont"/>
    <w:link w:val="Salutation"/>
    <w:rsid w:val="001D5883"/>
    <w:rPr>
      <w:rFonts w:ascii="Arial" w:hAnsi="Arial"/>
    </w:rPr>
  </w:style>
  <w:style w:type="character" w:styleId="Strong">
    <w:name w:val="Strong"/>
    <w:basedOn w:val="DefaultParagraphFont"/>
    <w:qFormat/>
    <w:rsid w:val="001D5883"/>
    <w:rPr>
      <w:b/>
      <w:bCs/>
    </w:rPr>
  </w:style>
  <w:style w:type="paragraph" w:styleId="Subtitle">
    <w:name w:val="Subtitle"/>
    <w:basedOn w:val="Normal"/>
    <w:link w:val="SubtitleChar"/>
    <w:qFormat/>
    <w:rsid w:val="001D5883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1D5883"/>
    <w:rPr>
      <w:rFonts w:ascii="Arial" w:hAnsi="Arial"/>
      <w:szCs w:val="24"/>
    </w:rPr>
  </w:style>
  <w:style w:type="table" w:styleId="Table3Deffects2">
    <w:name w:val="Table 3D effects 2"/>
    <w:basedOn w:val="TableNormal"/>
    <w:rsid w:val="001D5883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1D5883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rsid w:val="001D5883"/>
    <w:pPr>
      <w:ind w:left="1440"/>
    </w:pPr>
  </w:style>
  <w:style w:type="paragraph" w:styleId="TOC8">
    <w:name w:val="toc 8"/>
    <w:basedOn w:val="Normal"/>
    <w:next w:val="Normal"/>
    <w:autoRedefine/>
    <w:rsid w:val="001D5883"/>
    <w:pPr>
      <w:ind w:left="1680"/>
    </w:pPr>
  </w:style>
  <w:style w:type="paragraph" w:styleId="TOC9">
    <w:name w:val="toc 9"/>
    <w:basedOn w:val="Normal"/>
    <w:next w:val="Normal"/>
    <w:autoRedefine/>
    <w:rsid w:val="001D5883"/>
    <w:pPr>
      <w:ind w:left="1920"/>
    </w:pPr>
  </w:style>
  <w:style w:type="character" w:styleId="FollowedHyperlink">
    <w:name w:val="FollowedHyperlink"/>
    <w:basedOn w:val="DefaultParagraphFont"/>
    <w:rsid w:val="001D5883"/>
    <w:rPr>
      <w:color w:val="606420"/>
      <w:u w:val="single"/>
    </w:rPr>
  </w:style>
  <w:style w:type="paragraph" w:styleId="BlockText">
    <w:name w:val="Block Text"/>
    <w:basedOn w:val="Normal"/>
    <w:rsid w:val="001D5883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1D5883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rsid w:val="001D5883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1D5883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1D5883"/>
    <w:rPr>
      <w:caps w:val="0"/>
      <w:lang w:val="es-ES_tradnl"/>
    </w:rPr>
  </w:style>
  <w:style w:type="paragraph" w:customStyle="1" w:styleId="n">
    <w:name w:val="n"/>
    <w:basedOn w:val="Header"/>
    <w:rsid w:val="001D5883"/>
  </w:style>
  <w:style w:type="paragraph" w:customStyle="1" w:styleId="TitleofSection">
    <w:name w:val="Title of Section"/>
    <w:basedOn w:val="TitleofDoc"/>
    <w:rsid w:val="001D5883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1D5883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styleId="PlainText">
    <w:name w:val="Plain Text"/>
    <w:basedOn w:val="Normal"/>
    <w:link w:val="PlainTextChar"/>
    <w:rsid w:val="001D5883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1D5883"/>
    <w:rPr>
      <w:rFonts w:ascii="Courier New" w:hAnsi="Courier New" w:cs="Courier New"/>
      <w:lang w:eastAsia="fr-FR"/>
    </w:rPr>
  </w:style>
  <w:style w:type="character" w:customStyle="1" w:styleId="BodyTextChar">
    <w:name w:val="Body Text Char"/>
    <w:basedOn w:val="DefaultParagraphFont"/>
    <w:rsid w:val="001D5883"/>
  </w:style>
  <w:style w:type="paragraph" w:customStyle="1" w:styleId="Inf6Titre4">
    <w:name w:val="Inf6_Titre4"/>
    <w:basedOn w:val="Normal"/>
    <w:next w:val="Normal"/>
    <w:rsid w:val="001D5883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1D5883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1D5883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1D5883"/>
    <w:pPr>
      <w:keepNext w:val="0"/>
      <w:spacing w:after="240" w:line="240" w:lineRule="auto"/>
    </w:pPr>
    <w:rPr>
      <w:b/>
      <w:caps w:val="0"/>
    </w:rPr>
  </w:style>
  <w:style w:type="paragraph" w:styleId="ListParagraph">
    <w:name w:val="List Paragraph"/>
    <w:basedOn w:val="Normal"/>
    <w:uiPriority w:val="34"/>
    <w:qFormat/>
    <w:rsid w:val="001D5883"/>
    <w:pPr>
      <w:ind w:left="720"/>
      <w:contextualSpacing/>
    </w:pPr>
    <w:rPr>
      <w:rFonts w:cs="Arial"/>
    </w:rPr>
  </w:style>
  <w:style w:type="paragraph" w:styleId="BodyText2">
    <w:name w:val="Body Text 2"/>
    <w:basedOn w:val="Normal"/>
    <w:link w:val="BodyText2Char"/>
    <w:rsid w:val="001D5883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1D5883"/>
    <w:rPr>
      <w:color w:val="008000"/>
      <w:sz w:val="24"/>
    </w:rPr>
  </w:style>
  <w:style w:type="paragraph" w:customStyle="1" w:styleId="indentpara">
    <w:name w:val="indentpara"/>
    <w:basedOn w:val="Normal"/>
    <w:rsid w:val="001D5883"/>
    <w:pPr>
      <w:ind w:firstLine="425"/>
    </w:pPr>
    <w:rPr>
      <w:rFonts w:ascii="Times New Roman" w:hAnsi="Times New Roman"/>
      <w:sz w:val="22"/>
    </w:rPr>
  </w:style>
  <w:style w:type="paragraph" w:customStyle="1" w:styleId="Style1">
    <w:name w:val="Style1"/>
    <w:basedOn w:val="Normal"/>
    <w:rsid w:val="001D5883"/>
    <w:pPr>
      <w:tabs>
        <w:tab w:val="decimal" w:pos="907"/>
        <w:tab w:val="left" w:pos="1077"/>
      </w:tabs>
    </w:pPr>
    <w:rPr>
      <w:szCs w:val="24"/>
      <w:lang w:eastAsia="ja-JP"/>
    </w:rPr>
  </w:style>
  <w:style w:type="paragraph" w:customStyle="1" w:styleId="inf61normal">
    <w:name w:val="inf_6_1_normal"/>
    <w:basedOn w:val="Normal"/>
    <w:link w:val="inf61normalChar"/>
    <w:rsid w:val="001D5883"/>
    <w:pPr>
      <w:tabs>
        <w:tab w:val="left" w:pos="426"/>
        <w:tab w:val="left" w:pos="992"/>
      </w:tabs>
    </w:pPr>
    <w:rPr>
      <w:rFonts w:ascii="Times New Roman" w:hAnsi="Times New Roman"/>
      <w:sz w:val="24"/>
    </w:rPr>
  </w:style>
  <w:style w:type="character" w:customStyle="1" w:styleId="inf61normalChar">
    <w:name w:val="inf_6_1_normal Char"/>
    <w:basedOn w:val="DefaultParagraphFont"/>
    <w:link w:val="inf61normal"/>
    <w:rsid w:val="001D5883"/>
    <w:rPr>
      <w:sz w:val="24"/>
    </w:rPr>
  </w:style>
  <w:style w:type="paragraph" w:customStyle="1" w:styleId="Inf61normalBold">
    <w:name w:val="Inf_6_1_normal + Bold"/>
    <w:basedOn w:val="inf61normal"/>
    <w:link w:val="Inf61normalBoldChar"/>
    <w:rsid w:val="001D5883"/>
    <w:rPr>
      <w:b/>
      <w:bCs/>
    </w:rPr>
  </w:style>
  <w:style w:type="character" w:customStyle="1" w:styleId="Inf61normalBoldChar">
    <w:name w:val="Inf_6_1_normal + Bold Char"/>
    <w:basedOn w:val="inf61normalChar"/>
    <w:link w:val="Inf61normalBold"/>
    <w:rsid w:val="001D5883"/>
    <w:rPr>
      <w:b/>
      <w:bCs/>
      <w:sz w:val="24"/>
    </w:rPr>
  </w:style>
  <w:style w:type="paragraph" w:customStyle="1" w:styleId="Inf6Enum-">
    <w:name w:val="Inf6_Enum_-"/>
    <w:basedOn w:val="Normal"/>
    <w:rsid w:val="001D5883"/>
    <w:pPr>
      <w:tabs>
        <w:tab w:val="right" w:pos="709"/>
      </w:tabs>
      <w:spacing w:before="120"/>
      <w:ind w:left="992" w:hanging="992"/>
    </w:pPr>
    <w:rPr>
      <w:rFonts w:cs="Arial"/>
    </w:rPr>
  </w:style>
  <w:style w:type="paragraph" w:customStyle="1" w:styleId="Inf6normal">
    <w:name w:val="Inf6_normal"/>
    <w:basedOn w:val="Normal"/>
    <w:link w:val="Inf6normalChar"/>
    <w:rsid w:val="001D5883"/>
    <w:pPr>
      <w:tabs>
        <w:tab w:val="left" w:pos="426"/>
        <w:tab w:val="left" w:pos="992"/>
      </w:tabs>
    </w:pPr>
    <w:rPr>
      <w:rFonts w:cs="Arial"/>
    </w:rPr>
  </w:style>
  <w:style w:type="character" w:customStyle="1" w:styleId="Inf6normalChar">
    <w:name w:val="Inf6_normal Char"/>
    <w:basedOn w:val="DefaultParagraphFont"/>
    <w:link w:val="Inf6normal"/>
    <w:rsid w:val="001D5883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5883"/>
  </w:style>
  <w:style w:type="paragraph" w:styleId="BodyText3">
    <w:name w:val="Body Text 3"/>
    <w:basedOn w:val="Normal"/>
    <w:link w:val="BodyText3Char"/>
    <w:rsid w:val="001D58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D5883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1D5883"/>
    <w:pPr>
      <w:ind w:firstLine="360"/>
    </w:pPr>
  </w:style>
  <w:style w:type="character" w:customStyle="1" w:styleId="BodyTextFirstIndentChar">
    <w:name w:val="Body Text First Indent Char"/>
    <w:basedOn w:val="BodyTextChar1"/>
    <w:link w:val="BodyTextFirstIndent"/>
    <w:rsid w:val="001D5883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rsid w:val="001D5883"/>
    <w:pPr>
      <w:ind w:left="360" w:firstLine="360"/>
    </w:pPr>
    <w:rPr>
      <w:lang w:val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1D5883"/>
    <w:rPr>
      <w:rFonts w:ascii="Arial" w:hAnsi="Arial"/>
      <w:lang w:val="es-ES_tradnl"/>
    </w:rPr>
  </w:style>
  <w:style w:type="paragraph" w:styleId="BodyTextIndent2">
    <w:name w:val="Body Text Indent 2"/>
    <w:basedOn w:val="Normal"/>
    <w:link w:val="BodyTextIndent2Char"/>
    <w:rsid w:val="001D588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D5883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1D588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D5883"/>
    <w:rPr>
      <w:rFonts w:ascii="Arial" w:hAnsi="Arial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1D5883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1D5883"/>
    <w:rPr>
      <w:rFonts w:ascii="Arial" w:hAnsi="Arial"/>
      <w:b/>
      <w:bCs/>
      <w:sz w:val="22"/>
      <w:lang w:val="es-ES_tradnl"/>
    </w:rPr>
  </w:style>
  <w:style w:type="paragraph" w:styleId="DocumentMap">
    <w:name w:val="Document Map"/>
    <w:basedOn w:val="Normal"/>
    <w:link w:val="DocumentMapChar"/>
    <w:rsid w:val="001D588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D5883"/>
    <w:rPr>
      <w:rFonts w:ascii="Tahoma" w:hAnsi="Tahoma" w:cs="Tahoma"/>
      <w:sz w:val="16"/>
      <w:szCs w:val="16"/>
    </w:rPr>
  </w:style>
  <w:style w:type="paragraph" w:styleId="Index4">
    <w:name w:val="index 4"/>
    <w:basedOn w:val="Normal"/>
    <w:next w:val="Normal"/>
    <w:autoRedefine/>
    <w:rsid w:val="001D5883"/>
    <w:pPr>
      <w:ind w:left="800" w:hanging="200"/>
    </w:pPr>
  </w:style>
  <w:style w:type="paragraph" w:styleId="Index5">
    <w:name w:val="index 5"/>
    <w:basedOn w:val="Normal"/>
    <w:next w:val="Normal"/>
    <w:autoRedefine/>
    <w:rsid w:val="001D5883"/>
    <w:pPr>
      <w:ind w:left="1000" w:hanging="200"/>
    </w:pPr>
  </w:style>
  <w:style w:type="paragraph" w:styleId="Index6">
    <w:name w:val="index 6"/>
    <w:basedOn w:val="Normal"/>
    <w:next w:val="Normal"/>
    <w:autoRedefine/>
    <w:rsid w:val="001D5883"/>
    <w:pPr>
      <w:ind w:left="1200" w:hanging="200"/>
    </w:pPr>
  </w:style>
  <w:style w:type="paragraph" w:styleId="Index7">
    <w:name w:val="index 7"/>
    <w:basedOn w:val="Normal"/>
    <w:next w:val="Normal"/>
    <w:autoRedefine/>
    <w:rsid w:val="001D5883"/>
    <w:pPr>
      <w:ind w:left="1400" w:hanging="200"/>
    </w:pPr>
  </w:style>
  <w:style w:type="paragraph" w:styleId="Index8">
    <w:name w:val="index 8"/>
    <w:basedOn w:val="Normal"/>
    <w:next w:val="Normal"/>
    <w:autoRedefine/>
    <w:rsid w:val="001D5883"/>
    <w:pPr>
      <w:ind w:left="1600" w:hanging="200"/>
    </w:pPr>
  </w:style>
  <w:style w:type="paragraph" w:styleId="Index9">
    <w:name w:val="index 9"/>
    <w:basedOn w:val="Normal"/>
    <w:next w:val="Normal"/>
    <w:autoRedefine/>
    <w:rsid w:val="001D5883"/>
    <w:pPr>
      <w:ind w:left="1800" w:hanging="200"/>
    </w:pPr>
  </w:style>
  <w:style w:type="paragraph" w:styleId="IndexHeading">
    <w:name w:val="index heading"/>
    <w:basedOn w:val="Normal"/>
    <w:next w:val="Index1"/>
    <w:rsid w:val="001D588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588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5883"/>
    <w:rPr>
      <w:rFonts w:ascii="Arial" w:hAnsi="Arial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1D5883"/>
    <w:pPr>
      <w:jc w:val="both"/>
    </w:pPr>
    <w:rPr>
      <w:rFonts w:ascii="Arial" w:hAnsi="Arial"/>
    </w:rPr>
  </w:style>
  <w:style w:type="paragraph" w:styleId="NormalIndent">
    <w:name w:val="Normal Indent"/>
    <w:basedOn w:val="Normal"/>
    <w:rsid w:val="001D5883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1D588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5883"/>
    <w:rPr>
      <w:rFonts w:ascii="Arial" w:hAnsi="Arial"/>
      <w:i/>
      <w:iCs/>
      <w:color w:val="000000" w:themeColor="text1"/>
    </w:rPr>
  </w:style>
  <w:style w:type="paragraph" w:styleId="TableofAuthorities">
    <w:name w:val="table of authorities"/>
    <w:basedOn w:val="Normal"/>
    <w:next w:val="Normal"/>
    <w:rsid w:val="001D5883"/>
    <w:pPr>
      <w:ind w:left="200" w:hanging="200"/>
    </w:pPr>
  </w:style>
  <w:style w:type="paragraph" w:styleId="TableofFigures">
    <w:name w:val="table of figures"/>
    <w:basedOn w:val="Normal"/>
    <w:next w:val="Normal"/>
    <w:rsid w:val="001D5883"/>
  </w:style>
  <w:style w:type="paragraph" w:styleId="TOAHeading">
    <w:name w:val="toa heading"/>
    <w:basedOn w:val="Normal"/>
    <w:next w:val="Normal"/>
    <w:rsid w:val="001D588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es/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ov.int/meetings/es/details.jsp?meeting_id=38922" TargetMode="External"/><Relationship Id="rId3" Type="http://schemas.openxmlformats.org/officeDocument/2006/relationships/hyperlink" Target="http://www.upov.int/meetings/es/details.jsp?meeting_id=8907" TargetMode="External"/><Relationship Id="rId7" Type="http://schemas.openxmlformats.org/officeDocument/2006/relationships/hyperlink" Target="http://www.upov.int/meetings/es/details.jsp?meeting_id=24137" TargetMode="External"/><Relationship Id="rId12" Type="http://schemas.openxmlformats.org/officeDocument/2006/relationships/hyperlink" Target="http://www.upov.int/meetings/es/details.jsp?meeting_id=44404" TargetMode="External"/><Relationship Id="rId2" Type="http://schemas.openxmlformats.org/officeDocument/2006/relationships/hyperlink" Target="http://www.upov.int/meetings/es/details.jsp?meeting_id=8907" TargetMode="External"/><Relationship Id="rId1" Type="http://schemas.openxmlformats.org/officeDocument/2006/relationships/hyperlink" Target="http://www.upov.int/meetings/es/details.jsp?meeting_id=8907" TargetMode="External"/><Relationship Id="rId6" Type="http://schemas.openxmlformats.org/officeDocument/2006/relationships/hyperlink" Target="http://www.upov.int/meetings/es/details.jsp?meeting_id=44404" TargetMode="External"/><Relationship Id="rId11" Type="http://schemas.openxmlformats.org/officeDocument/2006/relationships/hyperlink" Target="http://www.upov.int/meetings/es/details.jsp?meeting_id=44404" TargetMode="External"/><Relationship Id="rId5" Type="http://schemas.openxmlformats.org/officeDocument/2006/relationships/hyperlink" Target="http://www.upov.int/meetings/es/details.jsp?meeting_id=44404" TargetMode="External"/><Relationship Id="rId10" Type="http://schemas.openxmlformats.org/officeDocument/2006/relationships/hyperlink" Target="http://www.upov.int/meetings/es/details.jsp?meeting_id=29784" TargetMode="External"/><Relationship Id="rId4" Type="http://schemas.openxmlformats.org/officeDocument/2006/relationships/hyperlink" Target="http://www.upov.int/meetings/es/details.jsp?meeting_id=33387" TargetMode="External"/><Relationship Id="rId9" Type="http://schemas.openxmlformats.org/officeDocument/2006/relationships/hyperlink" Target="http://www.upov.int/meetings/es/details.jsp?meeting_id=400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434B1-B61A-4525-8C63-B6924455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2988</Words>
  <Characters>17033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CAJ/75</vt:lpstr>
    </vt:vector>
  </TitlesOfParts>
  <Company>UPOV</Company>
  <LinksUpToDate>false</LinksUpToDate>
  <CharactersWithSpaces>19982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CAJ/75</dc:title>
  <dc:creator>SANTOS Carla Marina</dc:creator>
  <cp:lastModifiedBy>SANTOS Carla Marina</cp:lastModifiedBy>
  <cp:revision>12</cp:revision>
  <cp:lastPrinted>2018-09-19T07:59:00Z</cp:lastPrinted>
  <dcterms:created xsi:type="dcterms:W3CDTF">2018-08-21T09:50:00Z</dcterms:created>
  <dcterms:modified xsi:type="dcterms:W3CDTF">2018-09-19T07:59:00Z</dcterms:modified>
</cp:coreProperties>
</file>