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2E5944" w:rsidP="00AC2883">
            <w:pPr>
              <w:pStyle w:val="Sessiontc"/>
              <w:spacing w:line="240" w:lineRule="auto"/>
            </w:pPr>
            <w:r>
              <w:t>Comité Administrativo y Jurídico</w:t>
            </w:r>
          </w:p>
          <w:p w:rsidR="00EB4E9C" w:rsidRPr="00DC3802" w:rsidRDefault="00943983" w:rsidP="00404329">
            <w:pPr>
              <w:pStyle w:val="Sessiontcplacedate"/>
              <w:rPr>
                <w:sz w:val="22"/>
              </w:rPr>
            </w:pPr>
            <w:r>
              <w:t>Septuagésima quinta sesión</w:t>
            </w:r>
            <w:r>
              <w:br/>
              <w:t>Ginebra, 31 de octubre de 2018</w:t>
            </w:r>
          </w:p>
        </w:tc>
        <w:tc>
          <w:tcPr>
            <w:tcW w:w="3127" w:type="dxa"/>
          </w:tcPr>
          <w:p w:rsidR="00EB4E9C" w:rsidRPr="009011B0" w:rsidRDefault="00404329" w:rsidP="003C7FBE">
            <w:pPr>
              <w:pStyle w:val="Doccode"/>
              <w:rPr>
                <w:lang w:val="es-ES_tradnl"/>
              </w:rPr>
            </w:pPr>
            <w:r w:rsidRPr="009011B0">
              <w:rPr>
                <w:lang w:val="es-ES_tradnl"/>
              </w:rPr>
              <w:t>CAJ/75/4</w:t>
            </w:r>
          </w:p>
          <w:p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Inglés</w:t>
            </w:r>
          </w:p>
          <w:p w:rsidR="00EB4E9C" w:rsidRPr="007C1D92" w:rsidRDefault="002E5944" w:rsidP="006B7A0F">
            <w:pPr>
              <w:pStyle w:val="Docoriginal"/>
            </w:pPr>
            <w:r>
              <w:t>Fecha:</w:t>
            </w:r>
            <w:r w:rsidR="00636F17"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</w:rPr>
              <w:t>11 de octubre de 2018</w:t>
            </w:r>
          </w:p>
        </w:tc>
      </w:tr>
    </w:tbl>
    <w:p w:rsidR="006B7A0F" w:rsidRPr="006B7A0F" w:rsidRDefault="006B7A0F" w:rsidP="006B7A0F">
      <w:pPr>
        <w:pStyle w:val="Titleofdoc0"/>
      </w:pPr>
      <w:bookmarkStart w:id="0" w:name="TitleOfDoc"/>
      <w:bookmarkStart w:id="1" w:name="Prepared"/>
      <w:bookmarkEnd w:id="0"/>
      <w:bookmarkEnd w:id="1"/>
      <w:r>
        <w:t>Ponencias sobre las condiciones y limitaciones relativas a la autorización del obtentor respecto del material de reproducción o de multiplicación vegetativa</w:t>
      </w:r>
    </w:p>
    <w:p w:rsidR="006A644A" w:rsidRPr="006A644A" w:rsidRDefault="000638A9" w:rsidP="006A644A">
      <w:pPr>
        <w:pStyle w:val="preparedby1"/>
        <w:jc w:val="left"/>
      </w:pPr>
      <w:r>
        <w:t>Documento preparado por la Oficina de la Unión</w:t>
      </w:r>
    </w:p>
    <w:p w:rsidR="00050E16" w:rsidRPr="006A644A" w:rsidRDefault="000638A9" w:rsidP="006A644A">
      <w:pPr>
        <w:pStyle w:val="Disclaimer"/>
      </w:pPr>
      <w:r>
        <w:t>Descargo de responsabilidad: el presente documento no constituye un documento de política u orientación de la UPOV</w:t>
      </w:r>
    </w:p>
    <w:p w:rsidR="006B7A0F" w:rsidRPr="009011B0" w:rsidRDefault="006B7A0F" w:rsidP="006B7A0F">
      <w:pPr>
        <w:pStyle w:val="Heading1"/>
        <w:rPr>
          <w:lang w:val="es-ES_tradnl"/>
        </w:rPr>
      </w:pPr>
      <w:bookmarkStart w:id="2" w:name="_Toc438649862"/>
      <w:bookmarkStart w:id="3" w:name="_Ref438649598"/>
      <w:bookmarkStart w:id="4" w:name="_Toc477358702"/>
      <w:bookmarkStart w:id="5" w:name="_Toc515611749"/>
      <w:r w:rsidRPr="009011B0">
        <w:rPr>
          <w:lang w:val="es-ES_tradnl"/>
        </w:rPr>
        <w:t>RESUMEN</w:t>
      </w:r>
      <w:bookmarkEnd w:id="2"/>
      <w:bookmarkEnd w:id="3"/>
      <w:bookmarkEnd w:id="4"/>
      <w:bookmarkEnd w:id="5"/>
    </w:p>
    <w:p w:rsidR="006B7A0F" w:rsidRPr="006B7A0F" w:rsidRDefault="006B7A0F" w:rsidP="006B7A0F">
      <w:pPr>
        <w:rPr>
          <w:rFonts w:eastAsia="MS Mincho"/>
        </w:rPr>
      </w:pPr>
    </w:p>
    <w:p w:rsidR="006B7A0F" w:rsidRPr="006B7A0F" w:rsidRDefault="00847304" w:rsidP="006B7A0F">
      <w:pPr>
        <w:rPr>
          <w:snapToGrid w:val="0"/>
        </w:rPr>
      </w:pPr>
      <w:r w:rsidRPr="007678AB">
        <w:rPr>
          <w:rFonts w:eastAsiaTheme="minorEastAsia" w:cs="Arial"/>
          <w:snapToGrid w:val="0"/>
        </w:rPr>
        <w:fldChar w:fldCharType="begin"/>
      </w:r>
      <w:r w:rsidR="006B7A0F" w:rsidRPr="006B7A0F">
        <w:rPr>
          <w:rFonts w:eastAsiaTheme="minorEastAsia" w:cs="Arial"/>
          <w:snapToGrid w:val="0"/>
        </w:rPr>
        <w:instrText xml:space="preserve"> AUTONUM  </w:instrText>
      </w:r>
      <w:r w:rsidRPr="007678AB">
        <w:rPr>
          <w:rFonts w:eastAsiaTheme="minorEastAsia" w:cs="Arial"/>
          <w:snapToGrid w:val="0"/>
        </w:rPr>
        <w:fldChar w:fldCharType="end"/>
      </w:r>
      <w:r w:rsidR="006B7A0F">
        <w:tab/>
        <w:t xml:space="preserve">La finalidad del presente documento es invitar al </w:t>
      </w:r>
      <w:r w:rsidR="006B7A0F">
        <w:rPr>
          <w:snapToGrid w:val="0"/>
          <w:color w:val="000000"/>
        </w:rPr>
        <w:t>Comité Administrativo y Jurídico (CAJ)</w:t>
      </w:r>
      <w:r w:rsidR="006B7A0F">
        <w:t xml:space="preserve"> a: </w:t>
      </w:r>
    </w:p>
    <w:p w:rsidR="006B7A0F" w:rsidRPr="006B7A0F" w:rsidRDefault="006B7A0F" w:rsidP="006B7A0F">
      <w:pPr>
        <w:rPr>
          <w:snapToGrid w:val="0"/>
        </w:rPr>
      </w:pPr>
    </w:p>
    <w:p w:rsidR="006B7A0F" w:rsidRPr="006B7A0F" w:rsidRDefault="006B7A0F" w:rsidP="006B7A0F">
      <w:pPr>
        <w:rPr>
          <w:snapToGrid w:val="0"/>
        </w:rPr>
      </w:pPr>
      <w:r>
        <w:tab/>
        <w:t>a)</w:t>
      </w:r>
      <w:r>
        <w:tab/>
        <w:t xml:space="preserve">examinar las ponencias de la </w:t>
      </w:r>
      <w:r w:rsidRPr="00CB4230">
        <w:rPr>
          <w:i/>
        </w:rPr>
        <w:t>European Seed Association</w:t>
      </w:r>
      <w:r>
        <w:t xml:space="preserve"> (ESA) y la </w:t>
      </w:r>
      <w:r>
        <w:rPr>
          <w:i/>
        </w:rPr>
        <w:t>International Seed Federation</w:t>
      </w:r>
      <w:r>
        <w:t xml:space="preserve"> (ISF) sobre las condiciones y limitaciones relativas a la autorización del obtentor respecto del material de reproducción o de multiplicación vegetativa, tal como se expone en el párrafo 5; </w:t>
      </w:r>
      <w:r w:rsidR="009011B0">
        <w:t xml:space="preserve"> </w:t>
      </w:r>
      <w:bookmarkStart w:id="6" w:name="_GoBack"/>
      <w:bookmarkEnd w:id="6"/>
      <w:r>
        <w:t>y</w:t>
      </w:r>
    </w:p>
    <w:p w:rsidR="006B7A0F" w:rsidRPr="006B7A0F" w:rsidRDefault="006B7A0F" w:rsidP="006B7A0F">
      <w:pPr>
        <w:rPr>
          <w:snapToGrid w:val="0"/>
        </w:rPr>
      </w:pPr>
    </w:p>
    <w:p w:rsidR="006B7A0F" w:rsidRPr="006B7A0F" w:rsidRDefault="006B7A0F" w:rsidP="006B7A0F">
      <w:pPr>
        <w:rPr>
          <w:snapToGrid w:val="0"/>
        </w:rPr>
      </w:pPr>
      <w:r>
        <w:tab/>
        <w:t>b)</w:t>
      </w:r>
      <w:r>
        <w:tab/>
        <w:t>considerar si es necesario revisar las orientaciones actuales sobre las condiciones y limitaciones relativas a la autorización del obtentor respecto del material de reproducción o de multiplicación vegetativa.</w:t>
      </w:r>
    </w:p>
    <w:p w:rsidR="006B7A0F" w:rsidRPr="006B7A0F" w:rsidRDefault="006B7A0F" w:rsidP="006B7A0F">
      <w:pPr>
        <w:rPr>
          <w:snapToGrid w:val="0"/>
        </w:rPr>
      </w:pPr>
    </w:p>
    <w:p w:rsidR="006B7A0F" w:rsidRPr="006B7A0F" w:rsidRDefault="006B7A0F" w:rsidP="006B7A0F">
      <w:pPr>
        <w:rPr>
          <w:snapToGrid w:val="0"/>
        </w:rPr>
      </w:pPr>
    </w:p>
    <w:p w:rsidR="006B7A0F" w:rsidRPr="006B7A0F" w:rsidRDefault="006B7A0F" w:rsidP="006B7A0F"/>
    <w:p w:rsidR="006B7A0F" w:rsidRPr="009011B0" w:rsidRDefault="006B7A0F" w:rsidP="006B7A0F">
      <w:pPr>
        <w:pStyle w:val="Heading1"/>
        <w:rPr>
          <w:lang w:val="es-ES_tradnl"/>
        </w:rPr>
      </w:pPr>
      <w:r w:rsidRPr="009011B0">
        <w:rPr>
          <w:lang w:val="es-ES_tradnl"/>
        </w:rPr>
        <w:t>ANTECEDENTES</w:t>
      </w:r>
    </w:p>
    <w:p w:rsidR="006B7A0F" w:rsidRPr="006B7A0F" w:rsidRDefault="006B7A0F" w:rsidP="006B7A0F">
      <w:pPr>
        <w:keepNext/>
        <w:rPr>
          <w:rFonts w:eastAsia="MS Mincho"/>
          <w:caps/>
        </w:rPr>
      </w:pPr>
    </w:p>
    <w:p w:rsidR="006B7A0F" w:rsidRPr="006B7A0F" w:rsidRDefault="00847304" w:rsidP="006B7A0F">
      <w:pPr>
        <w:keepNext/>
      </w:pPr>
      <w:r>
        <w:fldChar w:fldCharType="begin"/>
      </w:r>
      <w:r w:rsidR="006B7A0F" w:rsidRPr="006B7A0F">
        <w:instrText xml:space="preserve"> AUTONUM  </w:instrText>
      </w:r>
      <w:r>
        <w:fldChar w:fldCharType="end"/>
      </w:r>
      <w:r w:rsidR="006B7A0F">
        <w:tab/>
        <w:t xml:space="preserve">En su septuagésima cuarta sesión, celebrada en Ginebra el 23 y el 24 de octubre de 2017, tras debatir las observaciones recogidas en el documento CAJ/74/2 “Elaboración de material de información sobre el Convenio de la UPOV”, el Comité </w:t>
      </w:r>
      <w:r w:rsidR="00CB4230">
        <w:t>Administrativo y Jurídico (CAJ)</w:t>
      </w:r>
      <w:r w:rsidR="006B7A0F">
        <w:t xml:space="preserve"> convino en incluir los siguientes tres puntos en el programa de su septuagésima quinta sesión e invitar a los miembros y observadores a que presenten ponencias para referir sus puntos de vista sobre las cuestiones fundamentales indicadas:</w:t>
      </w:r>
    </w:p>
    <w:p w:rsidR="006B7A0F" w:rsidRPr="006B7A0F" w:rsidRDefault="006B7A0F" w:rsidP="006B7A0F"/>
    <w:p w:rsidR="006B7A0F" w:rsidRPr="006B7A0F" w:rsidRDefault="006B7A0F" w:rsidP="006B7A0F">
      <w:pPr>
        <w:keepLines/>
        <w:ind w:left="1134" w:right="567"/>
        <w:rPr>
          <w:sz w:val="18"/>
        </w:rPr>
      </w:pPr>
      <w:r>
        <w:rPr>
          <w:sz w:val="18"/>
        </w:rPr>
        <w:t>“</w:t>
      </w:r>
      <w:r>
        <w:t>a)</w:t>
      </w:r>
      <w:r>
        <w:tab/>
        <w:t>Variedades esencialmente derivadas</w:t>
      </w:r>
    </w:p>
    <w:p w:rsidR="006B7A0F" w:rsidRPr="006B7A0F" w:rsidRDefault="006B7A0F" w:rsidP="006B7A0F">
      <w:pPr>
        <w:keepLines/>
        <w:ind w:left="1134" w:right="567" w:firstLine="567"/>
        <w:rPr>
          <w:sz w:val="18"/>
        </w:rPr>
      </w:pPr>
    </w:p>
    <w:p w:rsidR="006B7A0F" w:rsidRPr="006B7A0F" w:rsidRDefault="006B7A0F" w:rsidP="006B7A0F">
      <w:pPr>
        <w:keepLines/>
        <w:ind w:left="1134" w:right="567" w:firstLine="567"/>
        <w:rPr>
          <w:sz w:val="18"/>
        </w:rPr>
      </w:pPr>
      <w:r>
        <w:t>i)</w:t>
      </w:r>
      <w:r>
        <w:tab/>
        <w:t>caracteres esenciales</w:t>
      </w:r>
      <w:r>
        <w:rPr>
          <w:sz w:val="18"/>
        </w:rPr>
        <w:t xml:space="preserve"> </w:t>
      </w:r>
    </w:p>
    <w:p w:rsidR="006B7A0F" w:rsidRPr="006B7A0F" w:rsidRDefault="006B7A0F" w:rsidP="006B7A0F">
      <w:pPr>
        <w:keepLines/>
        <w:ind w:left="1134" w:right="567" w:firstLine="567"/>
        <w:rPr>
          <w:sz w:val="18"/>
        </w:rPr>
      </w:pPr>
      <w:r>
        <w:t>ii)</w:t>
      </w:r>
      <w:r>
        <w:tab/>
        <w:t>derivadas principalmente</w:t>
      </w:r>
    </w:p>
    <w:p w:rsidR="006B7A0F" w:rsidRPr="006B7A0F" w:rsidRDefault="006B7A0F" w:rsidP="006B7A0F">
      <w:pPr>
        <w:keepLines/>
        <w:ind w:left="1134" w:right="567" w:firstLine="567"/>
        <w:rPr>
          <w:sz w:val="18"/>
        </w:rPr>
      </w:pPr>
      <w:r>
        <w:t>iii)</w:t>
      </w:r>
      <w:r>
        <w:tab/>
        <w:t>derivación indirecta, incluida la relación con híbridos y líneas parentales</w:t>
      </w:r>
      <w:r>
        <w:rPr>
          <w:sz w:val="18"/>
        </w:rPr>
        <w:t xml:space="preserve"> </w:t>
      </w:r>
    </w:p>
    <w:p w:rsidR="006B7A0F" w:rsidRPr="006B7A0F" w:rsidRDefault="006B7A0F" w:rsidP="006B7A0F">
      <w:pPr>
        <w:keepLines/>
        <w:ind w:left="1134" w:right="567" w:firstLine="567"/>
        <w:rPr>
          <w:sz w:val="18"/>
        </w:rPr>
      </w:pPr>
      <w:r>
        <w:t>iv)</w:t>
      </w:r>
      <w:r>
        <w:tab/>
        <w:t>examen de las variedades esencialmente derivadas</w:t>
      </w:r>
      <w:r>
        <w:rPr>
          <w:sz w:val="18"/>
        </w:rPr>
        <w:t xml:space="preserve"> </w:t>
      </w:r>
    </w:p>
    <w:p w:rsidR="006B7A0F" w:rsidRPr="006B7A0F" w:rsidRDefault="006B7A0F" w:rsidP="006B7A0F">
      <w:pPr>
        <w:keepLines/>
        <w:ind w:left="1134" w:right="567"/>
        <w:rPr>
          <w:sz w:val="18"/>
        </w:rPr>
      </w:pPr>
    </w:p>
    <w:p w:rsidR="006B7A0F" w:rsidRPr="006B7A0F" w:rsidRDefault="006B7A0F" w:rsidP="006B7A0F">
      <w:pPr>
        <w:keepLines/>
        <w:ind w:left="1134" w:right="567"/>
        <w:rPr>
          <w:sz w:val="18"/>
        </w:rPr>
      </w:pPr>
      <w:r>
        <w:t>b)</w:t>
      </w:r>
      <w:r>
        <w:tab/>
        <w:t>Condiciones y limitaciones relativas a la autorización del obtentor respecto del material de reproducción o de multiplicación vegetativa</w:t>
      </w:r>
    </w:p>
    <w:p w:rsidR="006B7A0F" w:rsidRPr="006B7A0F" w:rsidRDefault="006B7A0F" w:rsidP="006B7A0F">
      <w:pPr>
        <w:keepLines/>
        <w:ind w:left="1134" w:right="567"/>
        <w:rPr>
          <w:sz w:val="18"/>
        </w:rPr>
      </w:pPr>
    </w:p>
    <w:p w:rsidR="006B7A0F" w:rsidRPr="006B7A0F" w:rsidRDefault="006B7A0F" w:rsidP="006B7A0F">
      <w:pPr>
        <w:keepLines/>
        <w:ind w:left="1134" w:right="567"/>
        <w:rPr>
          <w:sz w:val="18"/>
        </w:rPr>
      </w:pPr>
      <w:r>
        <w:tab/>
      </w:r>
      <w:r>
        <w:rPr>
          <w:sz w:val="18"/>
        </w:rPr>
        <w:t>-</w:t>
      </w:r>
      <w:r>
        <w:tab/>
      </w:r>
      <w:r>
        <w:rPr>
          <w:sz w:val="18"/>
        </w:rPr>
        <w:t>ejemplos idóneos de las condiciones y limitaciones</w:t>
      </w:r>
    </w:p>
    <w:p w:rsidR="006B7A0F" w:rsidRPr="006B7A0F" w:rsidRDefault="006B7A0F" w:rsidP="006B7A0F">
      <w:pPr>
        <w:keepLines/>
        <w:ind w:left="1134" w:right="567"/>
        <w:rPr>
          <w:sz w:val="18"/>
        </w:rPr>
      </w:pPr>
    </w:p>
    <w:p w:rsidR="006B7A0F" w:rsidRPr="006B7A0F" w:rsidRDefault="006B7A0F" w:rsidP="006B7A0F">
      <w:pPr>
        <w:keepLines/>
        <w:ind w:left="1134" w:right="567"/>
        <w:rPr>
          <w:sz w:val="18"/>
        </w:rPr>
      </w:pPr>
      <w:r>
        <w:t>c)</w:t>
      </w:r>
      <w:r>
        <w:tab/>
        <w:t>Alcance de la protección provisional”</w:t>
      </w:r>
      <w:r>
        <w:rPr>
          <w:rStyle w:val="FootnoteReference"/>
        </w:rPr>
        <w:footnoteReference w:id="2"/>
      </w:r>
    </w:p>
    <w:p w:rsidR="006B7A0F" w:rsidRPr="006B7A0F" w:rsidRDefault="006B7A0F" w:rsidP="006B7A0F"/>
    <w:p w:rsidR="006B7A0F" w:rsidRPr="006B7A0F" w:rsidRDefault="00847304" w:rsidP="006B7A0F">
      <w:r>
        <w:fldChar w:fldCharType="begin"/>
      </w:r>
      <w:r w:rsidR="006B7A0F" w:rsidRPr="006B7A0F">
        <w:instrText xml:space="preserve"> AUTONUM  </w:instrText>
      </w:r>
      <w:r>
        <w:fldChar w:fldCharType="end"/>
      </w:r>
      <w:r w:rsidR="006B7A0F">
        <w:tab/>
        <w:t>Con arreglo a lo anterior, el CAJ estudiará la necesidad de revisar las orientaciones actuales.</w:t>
      </w:r>
    </w:p>
    <w:p w:rsidR="006B7A0F" w:rsidRPr="006B7A0F" w:rsidRDefault="006B7A0F" w:rsidP="006B7A0F"/>
    <w:p w:rsidR="006B7A0F" w:rsidRPr="006B7A0F" w:rsidRDefault="006B7A0F" w:rsidP="006B7A0F"/>
    <w:p w:rsidR="006B7A0F" w:rsidRPr="006B7A0F" w:rsidRDefault="006B7A0F" w:rsidP="006B7A0F"/>
    <w:p w:rsidR="006B7A0F" w:rsidRPr="009011B0" w:rsidRDefault="006B7A0F" w:rsidP="006B7A0F">
      <w:pPr>
        <w:pStyle w:val="Heading1"/>
        <w:rPr>
          <w:lang w:val="es-ES_tradnl"/>
        </w:rPr>
      </w:pPr>
      <w:r w:rsidRPr="009011B0">
        <w:rPr>
          <w:lang w:val="es-ES_tradnl"/>
        </w:rPr>
        <w:lastRenderedPageBreak/>
        <w:t>Ponencias sobre las condiciones y limitaciones relativas a la autorización del obtentor respecto del material de reproducción o de multiplicación vegetativa</w:t>
      </w:r>
    </w:p>
    <w:p w:rsidR="006B7A0F" w:rsidRPr="006B7A0F" w:rsidRDefault="006B7A0F" w:rsidP="006B7A0F">
      <w:pPr>
        <w:keepNext/>
        <w:keepLines/>
      </w:pPr>
    </w:p>
    <w:p w:rsidR="006B7A0F" w:rsidRPr="006B7A0F" w:rsidRDefault="00847304" w:rsidP="006B7A0F">
      <w:pPr>
        <w:keepNext/>
        <w:keepLines/>
      </w:pPr>
      <w:r w:rsidRPr="00361B6D">
        <w:fldChar w:fldCharType="begin"/>
      </w:r>
      <w:r w:rsidR="006B7A0F" w:rsidRPr="006B7A0F">
        <w:instrText xml:space="preserve"> AUTONUM  </w:instrText>
      </w:r>
      <w:r w:rsidRPr="00361B6D">
        <w:fldChar w:fldCharType="end"/>
      </w:r>
      <w:r w:rsidR="006B7A0F">
        <w:tab/>
        <w:t xml:space="preserve">El 30 de abril de 2018, por medio de la Circular-18/045 de la UPOV, se invitó a los miembros y observadores a presentar ponencias para referir sus puntos de vista sobre las cuestiones indicadas en el párrafo 2, </w:t>
      </w:r>
      <w:r w:rsidR="006B7A0F">
        <w:rPr>
          <w:i/>
        </w:rPr>
        <w:t>supra</w:t>
      </w:r>
      <w:r w:rsidR="006B7A0F">
        <w:t>:</w:t>
      </w:r>
    </w:p>
    <w:p w:rsidR="006B7A0F" w:rsidRPr="006B7A0F" w:rsidRDefault="006B7A0F" w:rsidP="006B7A0F"/>
    <w:p w:rsidR="006B7A0F" w:rsidRPr="006B7A0F" w:rsidRDefault="00847304" w:rsidP="006B7A0F">
      <w:pPr>
        <w:keepNext/>
        <w:keepLines/>
        <w:rPr>
          <w:snapToGrid w:val="0"/>
          <w:spacing w:val="-2"/>
        </w:rPr>
      </w:pPr>
      <w:r w:rsidRPr="006A373E">
        <w:rPr>
          <w:rFonts w:cs="Arial"/>
          <w:spacing w:val="-2"/>
        </w:rPr>
        <w:fldChar w:fldCharType="begin"/>
      </w:r>
      <w:r w:rsidR="006B7A0F" w:rsidRPr="006B7A0F">
        <w:rPr>
          <w:rFonts w:cs="Arial"/>
          <w:spacing w:val="-2"/>
        </w:rPr>
        <w:instrText xml:space="preserve"> AUTONUM  </w:instrText>
      </w:r>
      <w:r w:rsidRPr="006A373E">
        <w:rPr>
          <w:rFonts w:cs="Arial"/>
          <w:spacing w:val="-2"/>
        </w:rPr>
        <w:fldChar w:fldCharType="end"/>
      </w:r>
      <w:r w:rsidR="006B7A0F">
        <w:tab/>
        <w:t xml:space="preserve">En respuesta a dicha circular, la </w:t>
      </w:r>
      <w:r w:rsidR="006B7A0F">
        <w:rPr>
          <w:i/>
        </w:rPr>
        <w:t>European Seed Association</w:t>
      </w:r>
      <w:r w:rsidR="006B7A0F">
        <w:t xml:space="preserve"> (ESA) y la </w:t>
      </w:r>
      <w:r w:rsidR="006B7A0F">
        <w:rPr>
          <w:i/>
        </w:rPr>
        <w:t>International Seed Federation</w:t>
      </w:r>
      <w:r w:rsidR="006B7A0F">
        <w:t xml:space="preserve"> (ISF) confirmaron su intención de presentar ponencias sobre</w:t>
      </w:r>
      <w:r w:rsidR="00C15A30">
        <w:t xml:space="preserve"> </w:t>
      </w:r>
      <w:r w:rsidR="006B7A0F">
        <w:t>las condiciones y limitaciones relativas a la autorización del obtentor respecto del material de reproducción o de multiplicación vegetativa.</w:t>
      </w:r>
      <w:r w:rsidR="00C15A30">
        <w:t xml:space="preserve"> </w:t>
      </w:r>
      <w:r w:rsidR="009011B0">
        <w:t xml:space="preserve"> </w:t>
      </w:r>
      <w:r w:rsidR="006B7A0F">
        <w:t>Las ponencias se publicarán en la sección CAJ/75 del sitio web de la UPOV.</w:t>
      </w:r>
    </w:p>
    <w:p w:rsidR="006B7A0F" w:rsidRPr="006B7A0F" w:rsidRDefault="006B7A0F" w:rsidP="006B7A0F">
      <w:pPr>
        <w:rPr>
          <w:sz w:val="18"/>
        </w:rPr>
      </w:pPr>
    </w:p>
    <w:p w:rsidR="006B7A0F" w:rsidRPr="006B7A0F" w:rsidRDefault="00847304" w:rsidP="006B7A0F">
      <w:pPr>
        <w:pStyle w:val="DecisionParagraphs"/>
        <w:rPr>
          <w:snapToGrid w:val="0"/>
        </w:rPr>
      </w:pPr>
      <w:r w:rsidRPr="00F27C1E">
        <w:rPr>
          <w:snapToGrid w:val="0"/>
        </w:rPr>
        <w:fldChar w:fldCharType="begin"/>
      </w:r>
      <w:r w:rsidR="006B7A0F" w:rsidRPr="006B7A0F">
        <w:rPr>
          <w:snapToGrid w:val="0"/>
        </w:rPr>
        <w:instrText xml:space="preserve"> AUTONUM  </w:instrText>
      </w:r>
      <w:r w:rsidRPr="00F27C1E">
        <w:rPr>
          <w:snapToGrid w:val="0"/>
        </w:rPr>
        <w:fldChar w:fldCharType="end"/>
      </w:r>
      <w:r w:rsidR="006B7A0F">
        <w:tab/>
        <w:t>Se invita al CAJ a:</w:t>
      </w:r>
    </w:p>
    <w:p w:rsidR="006B7A0F" w:rsidRPr="006B7A0F" w:rsidRDefault="006B7A0F" w:rsidP="006B7A0F">
      <w:pPr>
        <w:pStyle w:val="DecisionParagraphs"/>
        <w:rPr>
          <w:snapToGrid w:val="0"/>
        </w:rPr>
      </w:pPr>
    </w:p>
    <w:p w:rsidR="006B7A0F" w:rsidRPr="009011B0" w:rsidRDefault="006B7A0F" w:rsidP="006B7A0F">
      <w:pPr>
        <w:pStyle w:val="DecisionParagraphs"/>
        <w:rPr>
          <w:snapToGrid w:val="0"/>
        </w:rPr>
      </w:pPr>
      <w:r>
        <w:tab/>
        <w:t>a)</w:t>
      </w:r>
      <w:r>
        <w:tab/>
        <w:t xml:space="preserve">examinar las ponencias de la </w:t>
      </w:r>
      <w:r w:rsidRPr="009011B0">
        <w:t>European Seed Association (ESA) y la International Seed Federation (ISF) sobre las condiciones y limitaciones relativas a la autorización del obtentor respecto del material de reproducción o de multiplicación vegetativa, tal como se expone en el párrafo 5;</w:t>
      </w:r>
      <w:r w:rsidR="009011B0">
        <w:t xml:space="preserve"> </w:t>
      </w:r>
      <w:r w:rsidRPr="009011B0">
        <w:t xml:space="preserve"> y</w:t>
      </w:r>
    </w:p>
    <w:p w:rsidR="006B7A0F" w:rsidRPr="006B7A0F" w:rsidRDefault="006B7A0F" w:rsidP="006B7A0F">
      <w:pPr>
        <w:pStyle w:val="DecisionParagraphs"/>
        <w:rPr>
          <w:highlight w:val="yellow"/>
        </w:rPr>
      </w:pPr>
    </w:p>
    <w:p w:rsidR="006B7A0F" w:rsidRPr="006B7A0F" w:rsidRDefault="006B7A0F" w:rsidP="006B7A0F">
      <w:pPr>
        <w:pStyle w:val="DecisionParagraphs"/>
        <w:rPr>
          <w:snapToGrid w:val="0"/>
          <w:highlight w:val="yellow"/>
        </w:rPr>
      </w:pPr>
      <w:r>
        <w:tab/>
        <w:t>b)</w:t>
      </w:r>
      <w:r>
        <w:tab/>
        <w:t xml:space="preserve">considerar si es necesario revisar las orientaciones actuales sobre las condiciones y limitaciones relativas a la autorización del obtentor respecto del material de reproducción o de multiplicación vegetativa. </w:t>
      </w:r>
    </w:p>
    <w:p w:rsidR="006B7A0F" w:rsidRPr="006B7A0F" w:rsidRDefault="006B7A0F" w:rsidP="006B7A0F">
      <w:pPr>
        <w:pStyle w:val="DecisionParagraphs"/>
        <w:rPr>
          <w:snapToGrid w:val="0"/>
        </w:rPr>
      </w:pPr>
    </w:p>
    <w:p w:rsidR="006B7A0F" w:rsidRPr="006B7A0F" w:rsidRDefault="006B7A0F" w:rsidP="006B7A0F">
      <w:pPr>
        <w:pStyle w:val="DecisionParagraphs"/>
        <w:rPr>
          <w:snapToGrid w:val="0"/>
        </w:rPr>
      </w:pPr>
    </w:p>
    <w:p w:rsidR="006B7A0F" w:rsidRPr="006B7A0F" w:rsidRDefault="006B7A0F" w:rsidP="006B7A0F">
      <w:pPr>
        <w:pStyle w:val="DecisionParagraphs"/>
        <w:rPr>
          <w:snapToGrid w:val="0"/>
        </w:rPr>
      </w:pPr>
    </w:p>
    <w:p w:rsidR="006B7A0F" w:rsidRDefault="006B7A0F" w:rsidP="006B7A0F">
      <w:pPr>
        <w:jc w:val="right"/>
      </w:pPr>
      <w:r>
        <w:t>[Fin del documento]</w:t>
      </w:r>
    </w:p>
    <w:p w:rsidR="006B7A0F" w:rsidRDefault="006B7A0F" w:rsidP="006B7A0F">
      <w:pPr>
        <w:jc w:val="righ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6B" w:rsidRDefault="00B94A6B" w:rsidP="006655D3">
      <w:r>
        <w:separator/>
      </w:r>
    </w:p>
    <w:p w:rsidR="00B94A6B" w:rsidRDefault="00B94A6B" w:rsidP="006655D3"/>
    <w:p w:rsidR="00B94A6B" w:rsidRDefault="00B94A6B" w:rsidP="006655D3"/>
  </w:endnote>
  <w:endnote w:type="continuationSeparator" w:id="0">
    <w:p w:rsidR="00B94A6B" w:rsidRDefault="00B94A6B" w:rsidP="006655D3">
      <w:r>
        <w:separator/>
      </w:r>
    </w:p>
    <w:p w:rsidR="00B94A6B" w:rsidRPr="00294751" w:rsidRDefault="00B94A6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94A6B" w:rsidRPr="00294751" w:rsidRDefault="00B94A6B" w:rsidP="006655D3">
      <w:pPr>
        <w:rPr>
          <w:lang w:val="fr-FR"/>
        </w:rPr>
      </w:pPr>
    </w:p>
    <w:p w:rsidR="00B94A6B" w:rsidRPr="00294751" w:rsidRDefault="00B94A6B" w:rsidP="006655D3">
      <w:pPr>
        <w:rPr>
          <w:lang w:val="fr-FR"/>
        </w:rPr>
      </w:pPr>
    </w:p>
  </w:endnote>
  <w:endnote w:type="continuationNotice" w:id="1">
    <w:p w:rsidR="00B94A6B" w:rsidRPr="00294751" w:rsidRDefault="00B94A6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94A6B" w:rsidRPr="00294751" w:rsidRDefault="00B94A6B" w:rsidP="006655D3">
      <w:pPr>
        <w:rPr>
          <w:lang w:val="fr-FR"/>
        </w:rPr>
      </w:pPr>
    </w:p>
    <w:p w:rsidR="00B94A6B" w:rsidRPr="00294751" w:rsidRDefault="00B94A6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6B" w:rsidRDefault="00B94A6B" w:rsidP="006655D3">
      <w:r>
        <w:separator/>
      </w:r>
    </w:p>
  </w:footnote>
  <w:footnote w:type="continuationSeparator" w:id="0">
    <w:p w:rsidR="00B94A6B" w:rsidRDefault="00B94A6B" w:rsidP="006655D3">
      <w:r>
        <w:separator/>
      </w:r>
    </w:p>
  </w:footnote>
  <w:footnote w:type="continuationNotice" w:id="1">
    <w:p w:rsidR="00B94A6B" w:rsidRPr="00AB530F" w:rsidRDefault="00B94A6B" w:rsidP="00AB530F">
      <w:pPr>
        <w:pStyle w:val="Footer"/>
      </w:pPr>
    </w:p>
  </w:footnote>
  <w:footnote w:id="2">
    <w:p w:rsidR="006B7A0F" w:rsidRPr="00916210" w:rsidRDefault="006B7A0F" w:rsidP="006B7A0F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>
        <w:tab/>
        <w:t xml:space="preserve">Véanse los párrafos 10 y 11 del documento </w:t>
      </w:r>
      <w:hyperlink r:id="rId1">
        <w:r>
          <w:rPr>
            <w:rStyle w:val="Hyperlink"/>
          </w:rPr>
          <w:t>CAJ/74/10</w:t>
        </w:r>
      </w:hyperlink>
      <w:r>
        <w:t xml:space="preserve"> “</w:t>
      </w:r>
      <w:r>
        <w:rPr>
          <w:i/>
        </w:rPr>
        <w:t>Report</w:t>
      </w:r>
      <w:r>
        <w:t>" (Informe)).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404329" w:rsidP="000A23DC">
    <w:pPr>
      <w:pStyle w:val="Header"/>
      <w:rPr>
        <w:rStyle w:val="PageNumber"/>
      </w:rPr>
    </w:pPr>
    <w:r>
      <w:rPr>
        <w:rStyle w:val="PageNumber"/>
      </w:rPr>
      <w:t>CAJ/75/4</w:t>
    </w:r>
  </w:p>
  <w:p w:rsidR="00182B99" w:rsidRPr="00202E38" w:rsidRDefault="008B3D8D" w:rsidP="008B3D8D">
    <w:pPr>
      <w:pStyle w:val="Header"/>
    </w:pPr>
    <w:r>
      <w:t xml:space="preserve">página </w:t>
    </w:r>
    <w:r w:rsidR="00847304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847304" w:rsidRPr="00202E38">
      <w:rPr>
        <w:rStyle w:val="PageNumber"/>
      </w:rPr>
      <w:fldChar w:fldCharType="separate"/>
    </w:r>
    <w:r w:rsidR="009011B0">
      <w:rPr>
        <w:rStyle w:val="PageNumber"/>
        <w:noProof/>
      </w:rPr>
      <w:t>2</w:t>
    </w:r>
    <w:r w:rsidR="00847304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1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6BBC"/>
    <w:rsid w:val="000D7780"/>
    <w:rsid w:val="000E3DF3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86708"/>
    <w:rsid w:val="001F64BF"/>
    <w:rsid w:val="00202E38"/>
    <w:rsid w:val="0021332C"/>
    <w:rsid w:val="00213982"/>
    <w:rsid w:val="0024416D"/>
    <w:rsid w:val="002464A3"/>
    <w:rsid w:val="00254B08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4329"/>
    <w:rsid w:val="0040557F"/>
    <w:rsid w:val="00444A88"/>
    <w:rsid w:val="00474DA4"/>
    <w:rsid w:val="00476B4D"/>
    <w:rsid w:val="004805FA"/>
    <w:rsid w:val="004935D2"/>
    <w:rsid w:val="004B1215"/>
    <w:rsid w:val="004D047D"/>
    <w:rsid w:val="004D2B1A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6C7E"/>
    <w:rsid w:val="00576BE4"/>
    <w:rsid w:val="005A400A"/>
    <w:rsid w:val="005F7B92"/>
    <w:rsid w:val="00612379"/>
    <w:rsid w:val="006153B6"/>
    <w:rsid w:val="0061555F"/>
    <w:rsid w:val="00636CA6"/>
    <w:rsid w:val="00636F17"/>
    <w:rsid w:val="00637EDD"/>
    <w:rsid w:val="00641200"/>
    <w:rsid w:val="00645CA8"/>
    <w:rsid w:val="006655D3"/>
    <w:rsid w:val="00667404"/>
    <w:rsid w:val="006818F4"/>
    <w:rsid w:val="00687EB4"/>
    <w:rsid w:val="00695C56"/>
    <w:rsid w:val="006A32E5"/>
    <w:rsid w:val="006A5CDE"/>
    <w:rsid w:val="006A644A"/>
    <w:rsid w:val="006B17D2"/>
    <w:rsid w:val="006B7A0F"/>
    <w:rsid w:val="006C224E"/>
    <w:rsid w:val="006D780A"/>
    <w:rsid w:val="0071271E"/>
    <w:rsid w:val="00732DEC"/>
    <w:rsid w:val="00735BD5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47304"/>
    <w:rsid w:val="008574A4"/>
    <w:rsid w:val="00864C55"/>
    <w:rsid w:val="00867AC1"/>
    <w:rsid w:val="00890DF8"/>
    <w:rsid w:val="008A743F"/>
    <w:rsid w:val="008B3D8D"/>
    <w:rsid w:val="008B5FE3"/>
    <w:rsid w:val="008C0970"/>
    <w:rsid w:val="008D0BC5"/>
    <w:rsid w:val="008D2CF7"/>
    <w:rsid w:val="00900C26"/>
    <w:rsid w:val="009011B0"/>
    <w:rsid w:val="0090197F"/>
    <w:rsid w:val="00906DDC"/>
    <w:rsid w:val="00916210"/>
    <w:rsid w:val="00934E09"/>
    <w:rsid w:val="00936253"/>
    <w:rsid w:val="00940D46"/>
    <w:rsid w:val="00943983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2C38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94A6B"/>
    <w:rsid w:val="00BA43FB"/>
    <w:rsid w:val="00BC0BD4"/>
    <w:rsid w:val="00BC127D"/>
    <w:rsid w:val="00BC1FE6"/>
    <w:rsid w:val="00C061B6"/>
    <w:rsid w:val="00C15A30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230"/>
    <w:rsid w:val="00CC11B0"/>
    <w:rsid w:val="00CC2841"/>
    <w:rsid w:val="00CF1330"/>
    <w:rsid w:val="00CF7E36"/>
    <w:rsid w:val="00D05F29"/>
    <w:rsid w:val="00D3708D"/>
    <w:rsid w:val="00D40426"/>
    <w:rsid w:val="00D57C96"/>
    <w:rsid w:val="00D57D18"/>
    <w:rsid w:val="00D91203"/>
    <w:rsid w:val="00D95174"/>
    <w:rsid w:val="00D95CA2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51F0"/>
    <w:rsid w:val="00FA49AB"/>
    <w:rsid w:val="00FD3F87"/>
    <w:rsid w:val="00FE381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7B7A814"/>
  <w15:docId w15:val="{48F55D2F-883D-4F04-AA86-3A0F665A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6B7A0F"/>
    <w:rPr>
      <w:rFonts w:ascii="Arial" w:hAnsi="Arial"/>
      <w:caps/>
    </w:rPr>
  </w:style>
  <w:style w:type="character" w:customStyle="1" w:styleId="FootnoteTextChar">
    <w:name w:val="Footnote Text Char"/>
    <w:basedOn w:val="DefaultParagraphFont"/>
    <w:link w:val="FootnoteText"/>
    <w:rsid w:val="006B7A0F"/>
    <w:rPr>
      <w:rFonts w:ascii="Arial" w:hAnsi="Arial"/>
      <w:sz w:val="16"/>
      <w:lang w:val="es-ES_tradnl"/>
    </w:rPr>
  </w:style>
  <w:style w:type="character" w:customStyle="1" w:styleId="DecisionParagraphsChar">
    <w:name w:val="DecisionParagraphs Char"/>
    <w:basedOn w:val="DefaultParagraphFont"/>
    <w:link w:val="DecisionParagraphs"/>
    <w:rsid w:val="006B7A0F"/>
    <w:rPr>
      <w:rFonts w:ascii="Arial" w:hAnsi="Arial"/>
      <w:i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ov.int/meetings/es/doc_details.jsp?meeting_id=44404&amp;doc_id=388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3059</Characters>
  <Application>Microsoft Office Word</Application>
  <DocSecurity>0</DocSecurity>
  <Lines>87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CAJ/74</vt:lpstr>
    </vt:vector>
  </TitlesOfParts>
  <Company>UPOV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</dc:title>
  <dc:creator>CEVALLOS DUQUE Nilo</dc:creator>
  <cp:lastModifiedBy>SANTOS Carla Marina</cp:lastModifiedBy>
  <cp:revision>4</cp:revision>
  <cp:lastPrinted>2016-11-22T15:41:00Z</cp:lastPrinted>
  <dcterms:created xsi:type="dcterms:W3CDTF">2018-10-18T10:09:00Z</dcterms:created>
  <dcterms:modified xsi:type="dcterms:W3CDTF">2018-10-18T14:39:00Z</dcterms:modified>
</cp:coreProperties>
</file>