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353446" w:rsidTr="00EB4E9C">
        <w:tc>
          <w:tcPr>
            <w:tcW w:w="6522" w:type="dxa"/>
          </w:tcPr>
          <w:p w:rsidR="00DC3802" w:rsidRPr="00353446" w:rsidRDefault="00DC3802" w:rsidP="00AC2883">
            <w:pPr>
              <w:rPr>
                <w:dstrike/>
                <w:lang w:val="es-ES"/>
              </w:rPr>
            </w:pPr>
            <w:r w:rsidRPr="00641D7D">
              <w:rPr>
                <w:noProof/>
                <w:lang w:val="en-US"/>
              </w:rPr>
              <w:drawing>
                <wp:inline distT="0" distB="0" distL="0" distR="0" wp14:anchorId="5C2DA474" wp14:editId="5E0AD479">
                  <wp:extent cx="952031" cy="244054"/>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557" cy="246752"/>
                          </a:xfrm>
                          <a:prstGeom prst="rect">
                            <a:avLst/>
                          </a:prstGeom>
                        </pic:spPr>
                      </pic:pic>
                    </a:graphicData>
                  </a:graphic>
                </wp:inline>
              </w:drawing>
            </w:r>
          </w:p>
        </w:tc>
        <w:tc>
          <w:tcPr>
            <w:tcW w:w="3117" w:type="dxa"/>
          </w:tcPr>
          <w:p w:rsidR="00DC3802" w:rsidRPr="00641D7D" w:rsidRDefault="002E5944" w:rsidP="00AC2883">
            <w:pPr>
              <w:pStyle w:val="Lettrine"/>
              <w:rPr>
                <w:lang w:val="es-ES"/>
              </w:rPr>
            </w:pPr>
            <w:r w:rsidRPr="00641D7D">
              <w:rPr>
                <w:lang w:val="es-ES"/>
              </w:rPr>
              <w:t>S</w:t>
            </w:r>
          </w:p>
        </w:tc>
      </w:tr>
      <w:tr w:rsidR="00DC3802" w:rsidRPr="00353446" w:rsidTr="00645CA8">
        <w:trPr>
          <w:trHeight w:val="219"/>
        </w:trPr>
        <w:tc>
          <w:tcPr>
            <w:tcW w:w="6522" w:type="dxa"/>
          </w:tcPr>
          <w:p w:rsidR="00DC3802" w:rsidRPr="00353446" w:rsidRDefault="002E5944" w:rsidP="00BC0BD4">
            <w:pPr>
              <w:pStyle w:val="upove"/>
              <w:rPr>
                <w:dstrike/>
                <w:lang w:val="es-ES"/>
              </w:rPr>
            </w:pPr>
            <w:r w:rsidRPr="00641D7D">
              <w:rPr>
                <w:lang w:val="es-ES"/>
              </w:rPr>
              <w:t>Unión Internacional para la Protección de las Obtenciones Vegetales</w:t>
            </w:r>
          </w:p>
        </w:tc>
        <w:tc>
          <w:tcPr>
            <w:tcW w:w="3117" w:type="dxa"/>
          </w:tcPr>
          <w:p w:rsidR="00DC3802" w:rsidRPr="00641D7D" w:rsidRDefault="00DC3802" w:rsidP="00DA4973">
            <w:pPr>
              <w:rPr>
                <w:lang w:val="es-ES"/>
              </w:rPr>
            </w:pPr>
          </w:p>
        </w:tc>
      </w:tr>
    </w:tbl>
    <w:p w:rsidR="00DC3802" w:rsidRPr="00641D7D" w:rsidRDefault="00DC3802" w:rsidP="00DC3802">
      <w:pPr>
        <w:rPr>
          <w:lang w:val="es-ES"/>
        </w:rPr>
      </w:pPr>
    </w:p>
    <w:p w:rsidR="00DA4973" w:rsidRPr="00641D7D" w:rsidRDefault="00DA4973" w:rsidP="00DC3802">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353446" w:rsidTr="00EB4E9C">
        <w:tc>
          <w:tcPr>
            <w:tcW w:w="6512" w:type="dxa"/>
          </w:tcPr>
          <w:p w:rsidR="00EB4E9C" w:rsidRPr="003D7C0C" w:rsidRDefault="002E5944" w:rsidP="00AC2883">
            <w:pPr>
              <w:pStyle w:val="Sessiontc"/>
              <w:spacing w:line="240" w:lineRule="auto"/>
              <w:rPr>
                <w:lang w:val="es-ES"/>
              </w:rPr>
            </w:pPr>
            <w:r w:rsidRPr="003D7C0C">
              <w:rPr>
                <w:lang w:val="es-ES"/>
              </w:rPr>
              <w:t xml:space="preserve">Comité </w:t>
            </w:r>
            <w:r w:rsidR="00752334" w:rsidRPr="003D7C0C">
              <w:rPr>
                <w:lang w:val="es-ES"/>
              </w:rPr>
              <w:t>Administrativo y Jurídico</w:t>
            </w:r>
          </w:p>
          <w:p w:rsidR="00EB4E9C" w:rsidRPr="003D7C0C" w:rsidRDefault="00943983" w:rsidP="00943983">
            <w:pPr>
              <w:pStyle w:val="Sessiontcplacedate"/>
              <w:rPr>
                <w:dstrike/>
                <w:sz w:val="22"/>
                <w:lang w:val="es-ES"/>
              </w:rPr>
            </w:pPr>
            <w:r w:rsidRPr="003D7C0C">
              <w:rPr>
                <w:lang w:val="es-ES"/>
              </w:rPr>
              <w:t>Septuagésima cuarta</w:t>
            </w:r>
            <w:r w:rsidR="002E5944" w:rsidRPr="003D7C0C">
              <w:rPr>
                <w:lang w:val="es-ES"/>
              </w:rPr>
              <w:t xml:space="preserve"> sesión</w:t>
            </w:r>
            <w:r w:rsidR="00EB4E9C" w:rsidRPr="003D7C0C">
              <w:rPr>
                <w:lang w:val="es-ES"/>
              </w:rPr>
              <w:br/>
            </w:r>
            <w:r w:rsidR="002E5944" w:rsidRPr="003D7C0C">
              <w:rPr>
                <w:lang w:val="es-ES"/>
              </w:rPr>
              <w:t>Ginebra</w:t>
            </w:r>
            <w:r w:rsidR="00BD5CA8" w:rsidRPr="003D7C0C">
              <w:rPr>
                <w:lang w:val="es-ES"/>
              </w:rPr>
              <w:t>, 2</w:t>
            </w:r>
            <w:r w:rsidR="00752334" w:rsidRPr="003D7C0C">
              <w:rPr>
                <w:lang w:val="es-ES"/>
              </w:rPr>
              <w:t>3 y</w:t>
            </w:r>
            <w:r w:rsidR="00BD5CA8" w:rsidRPr="003D7C0C">
              <w:rPr>
                <w:lang w:val="es-ES"/>
              </w:rPr>
              <w:t> 2</w:t>
            </w:r>
            <w:r w:rsidR="00752334" w:rsidRPr="003D7C0C">
              <w:rPr>
                <w:lang w:val="es-ES"/>
              </w:rPr>
              <w:t>4</w:t>
            </w:r>
            <w:r w:rsidR="00A706D3" w:rsidRPr="003D7C0C">
              <w:rPr>
                <w:lang w:val="es-ES"/>
              </w:rPr>
              <w:t xml:space="preserve"> </w:t>
            </w:r>
            <w:r w:rsidR="002E5944" w:rsidRPr="003D7C0C">
              <w:rPr>
                <w:lang w:val="es-ES"/>
              </w:rPr>
              <w:t xml:space="preserve">de </w:t>
            </w:r>
            <w:r w:rsidR="00752334" w:rsidRPr="003D7C0C">
              <w:rPr>
                <w:lang w:val="es-ES"/>
              </w:rPr>
              <w:t xml:space="preserve">octubre </w:t>
            </w:r>
            <w:r w:rsidR="002E5944" w:rsidRPr="003D7C0C">
              <w:rPr>
                <w:lang w:val="es-ES"/>
              </w:rPr>
              <w:t>de</w:t>
            </w:r>
            <w:r w:rsidR="00BD5CA8" w:rsidRPr="003D7C0C">
              <w:rPr>
                <w:lang w:val="es-ES"/>
              </w:rPr>
              <w:t> 2</w:t>
            </w:r>
            <w:r w:rsidR="00EB4E9C" w:rsidRPr="003D7C0C">
              <w:rPr>
                <w:lang w:val="es-ES"/>
              </w:rPr>
              <w:t>017</w:t>
            </w:r>
          </w:p>
        </w:tc>
        <w:tc>
          <w:tcPr>
            <w:tcW w:w="3127" w:type="dxa"/>
          </w:tcPr>
          <w:p w:rsidR="00EB4E9C" w:rsidRPr="003D7C0C" w:rsidRDefault="00752334" w:rsidP="003C7FBE">
            <w:pPr>
              <w:pStyle w:val="Doccode"/>
              <w:rPr>
                <w:lang w:val="es-ES"/>
              </w:rPr>
            </w:pPr>
            <w:r w:rsidRPr="003D7C0C">
              <w:rPr>
                <w:lang w:val="es-ES"/>
              </w:rPr>
              <w:t>CAJ/74</w:t>
            </w:r>
            <w:r w:rsidR="00EB4E9C" w:rsidRPr="003D7C0C">
              <w:rPr>
                <w:lang w:val="es-ES"/>
              </w:rPr>
              <w:t>/</w:t>
            </w:r>
            <w:r w:rsidR="00F17691" w:rsidRPr="003D7C0C">
              <w:rPr>
                <w:lang w:val="es-ES"/>
              </w:rPr>
              <w:t>7</w:t>
            </w:r>
          </w:p>
          <w:p w:rsidR="00EB4E9C" w:rsidRPr="003D7C0C" w:rsidRDefault="00EB4E9C" w:rsidP="003C7FBE">
            <w:pPr>
              <w:pStyle w:val="Docoriginal"/>
              <w:rPr>
                <w:lang w:val="es-ES"/>
              </w:rPr>
            </w:pPr>
            <w:r w:rsidRPr="003D7C0C">
              <w:rPr>
                <w:lang w:val="es-ES"/>
              </w:rPr>
              <w:t>Original</w:t>
            </w:r>
            <w:r w:rsidR="00BD5CA8" w:rsidRPr="003D7C0C">
              <w:rPr>
                <w:lang w:val="es-ES"/>
              </w:rPr>
              <w:t xml:space="preserve">:  </w:t>
            </w:r>
            <w:r w:rsidR="002E5944" w:rsidRPr="003D7C0C">
              <w:rPr>
                <w:b w:val="0"/>
                <w:spacing w:val="0"/>
                <w:lang w:val="es-ES"/>
              </w:rPr>
              <w:t>Inglés</w:t>
            </w:r>
          </w:p>
          <w:p w:rsidR="00EB4E9C" w:rsidRPr="003D7C0C" w:rsidRDefault="002E5944" w:rsidP="00F17691">
            <w:pPr>
              <w:pStyle w:val="Docoriginal"/>
              <w:rPr>
                <w:lang w:val="es-ES"/>
              </w:rPr>
            </w:pPr>
            <w:r w:rsidRPr="003D7C0C">
              <w:rPr>
                <w:lang w:val="es-ES"/>
              </w:rPr>
              <w:t>Fecha</w:t>
            </w:r>
            <w:r w:rsidR="00BD5CA8" w:rsidRPr="003D7C0C">
              <w:rPr>
                <w:lang w:val="es-ES"/>
              </w:rPr>
              <w:t xml:space="preserve">:  </w:t>
            </w:r>
            <w:r w:rsidR="00BD5CA8" w:rsidRPr="003D7C0C">
              <w:rPr>
                <w:b w:val="0"/>
                <w:spacing w:val="0"/>
                <w:lang w:val="es-ES"/>
              </w:rPr>
              <w:t>2</w:t>
            </w:r>
            <w:r w:rsidR="003D7C0C" w:rsidRPr="003D7C0C">
              <w:rPr>
                <w:b w:val="0"/>
                <w:spacing w:val="0"/>
                <w:lang w:val="es-ES"/>
              </w:rPr>
              <w:t>9</w:t>
            </w:r>
            <w:r w:rsidR="00F17691" w:rsidRPr="003D7C0C">
              <w:rPr>
                <w:b w:val="0"/>
                <w:spacing w:val="0"/>
                <w:lang w:val="es-ES"/>
              </w:rPr>
              <w:t xml:space="preserve"> de septiembre</w:t>
            </w:r>
            <w:r w:rsidR="00EB4E9C" w:rsidRPr="003D7C0C">
              <w:rPr>
                <w:b w:val="0"/>
                <w:spacing w:val="0"/>
                <w:lang w:val="es-ES"/>
              </w:rPr>
              <w:t xml:space="preserve"> </w:t>
            </w:r>
            <w:r w:rsidRPr="003D7C0C">
              <w:rPr>
                <w:b w:val="0"/>
                <w:spacing w:val="0"/>
                <w:lang w:val="es-ES"/>
              </w:rPr>
              <w:t>de</w:t>
            </w:r>
            <w:r w:rsidR="00BD5CA8" w:rsidRPr="003D7C0C">
              <w:rPr>
                <w:b w:val="0"/>
                <w:spacing w:val="0"/>
                <w:lang w:val="es-ES"/>
              </w:rPr>
              <w:t> 2</w:t>
            </w:r>
            <w:r w:rsidR="00EB4E9C" w:rsidRPr="003D7C0C">
              <w:rPr>
                <w:b w:val="0"/>
                <w:spacing w:val="0"/>
                <w:lang w:val="es-ES"/>
              </w:rPr>
              <w:t>017</w:t>
            </w:r>
          </w:p>
        </w:tc>
      </w:tr>
    </w:tbl>
    <w:p w:rsidR="000D7780" w:rsidRPr="0081006D" w:rsidRDefault="005F46DF" w:rsidP="00BD5CA8">
      <w:pPr>
        <w:pStyle w:val="Titleofdoc0"/>
        <w:rPr>
          <w:lang w:val="es-ES"/>
        </w:rPr>
      </w:pPr>
      <w:bookmarkStart w:id="0" w:name="TitleOfDoc"/>
      <w:bookmarkEnd w:id="0"/>
      <w:r w:rsidRPr="00BD5CA8">
        <w:t>DOCUMENTOS TGP</w:t>
      </w:r>
    </w:p>
    <w:p w:rsidR="006A644A" w:rsidRPr="00641D7D" w:rsidRDefault="000638A9" w:rsidP="006A644A">
      <w:pPr>
        <w:pStyle w:val="preparedby1"/>
        <w:jc w:val="left"/>
        <w:rPr>
          <w:lang w:val="es-ES"/>
        </w:rPr>
      </w:pPr>
      <w:bookmarkStart w:id="1" w:name="Prepared"/>
      <w:bookmarkEnd w:id="1"/>
      <w:r w:rsidRPr="00641D7D">
        <w:rPr>
          <w:lang w:val="es-ES"/>
        </w:rPr>
        <w:t>Documento preparado por la Oficina de la Unión</w:t>
      </w:r>
    </w:p>
    <w:p w:rsidR="00050E16" w:rsidRPr="00641D7D" w:rsidRDefault="000638A9" w:rsidP="006A644A">
      <w:pPr>
        <w:pStyle w:val="Disclaimer"/>
        <w:rPr>
          <w:lang w:val="es-ES"/>
        </w:rPr>
      </w:pPr>
      <w:r w:rsidRPr="00641D7D">
        <w:rPr>
          <w:lang w:val="es-ES"/>
        </w:rPr>
        <w:t>Descargo de responsabilidad: el presente documento no constituye un documento de política u orientación de la UPOV</w:t>
      </w:r>
    </w:p>
    <w:p w:rsidR="0081006D" w:rsidRPr="0081006D" w:rsidRDefault="005F46DF" w:rsidP="0081006D">
      <w:pPr>
        <w:keepNext/>
        <w:outlineLvl w:val="0"/>
        <w:rPr>
          <w:caps/>
          <w:lang w:val="es-ES"/>
        </w:rPr>
      </w:pPr>
      <w:bookmarkStart w:id="2" w:name="_Toc386185971"/>
      <w:bookmarkStart w:id="3" w:name="_Toc419124859"/>
      <w:r w:rsidRPr="00BD5CA8">
        <w:rPr>
          <w:caps/>
        </w:rPr>
        <w:t>ANTECEDENTES</w:t>
      </w:r>
    </w:p>
    <w:p w:rsidR="0081006D" w:rsidRPr="0081006D" w:rsidRDefault="0081006D" w:rsidP="0081006D">
      <w:pPr>
        <w:keepNext/>
        <w:rPr>
          <w:rFonts w:cs="Arial"/>
          <w:lang w:val="es-ES"/>
        </w:rPr>
      </w:pPr>
    </w:p>
    <w:p w:rsidR="0081006D" w:rsidRPr="0081006D" w:rsidRDefault="005C09E5" w:rsidP="0081006D">
      <w:pPr>
        <w:rPr>
          <w:lang w:val="es-ES"/>
        </w:rPr>
      </w:pPr>
      <w:r w:rsidRPr="0081006D">
        <w:rPr>
          <w:lang w:val="es-ES"/>
        </w:rPr>
        <w:fldChar w:fldCharType="begin"/>
      </w:r>
      <w:r w:rsidR="0081006D" w:rsidRPr="0081006D">
        <w:rPr>
          <w:lang w:val="es-ES"/>
        </w:rPr>
        <w:instrText xml:space="preserve"> AUTONUM  </w:instrText>
      </w:r>
      <w:r w:rsidRPr="0081006D">
        <w:rPr>
          <w:lang w:val="es-ES"/>
        </w:rPr>
        <w:fldChar w:fldCharType="end"/>
      </w:r>
      <w:r w:rsidR="0081006D" w:rsidRPr="0081006D">
        <w:rPr>
          <w:color w:val="000000"/>
          <w:lang w:val="es-ES"/>
        </w:rPr>
        <w:tab/>
      </w:r>
      <w:r w:rsidR="005F46DF" w:rsidRPr="00BD5CA8">
        <w:rPr>
          <w:spacing w:val="-2"/>
        </w:rPr>
        <w:t>Los documentos TGP aprobados están publicados en la siguiente dirección del sitio web de la UPOV:</w:t>
      </w:r>
      <w:r w:rsidR="0081006D" w:rsidRPr="0081006D">
        <w:rPr>
          <w:lang w:val="es-ES"/>
        </w:rPr>
        <w:t xml:space="preserve"> </w:t>
      </w:r>
      <w:r w:rsidR="005F46DF">
        <w:rPr>
          <w:lang w:val="es-ES"/>
        </w:rPr>
        <w:t xml:space="preserve"> </w:t>
      </w:r>
      <w:hyperlink r:id="rId9" w:history="1">
        <w:r w:rsidR="005F46DF">
          <w:rPr>
            <w:rStyle w:val="Hyperlink"/>
            <w:lang w:val="es-ES"/>
          </w:rPr>
          <w:t>http://www.upov.int/upov_collection/es/</w:t>
        </w:r>
      </w:hyperlink>
      <w:r w:rsidR="0081006D" w:rsidRPr="0081006D">
        <w:rPr>
          <w:lang w:val="es-ES"/>
        </w:rPr>
        <w:t>.</w:t>
      </w:r>
    </w:p>
    <w:p w:rsidR="0081006D" w:rsidRPr="0081006D" w:rsidRDefault="0081006D" w:rsidP="0081006D">
      <w:pPr>
        <w:rPr>
          <w:lang w:val="es-ES"/>
        </w:rPr>
      </w:pPr>
      <w:bookmarkStart w:id="4" w:name="_Toc386185983"/>
      <w:bookmarkStart w:id="5" w:name="_Toc419124871"/>
      <w:bookmarkStart w:id="6" w:name="_Toc378251517"/>
      <w:bookmarkStart w:id="7" w:name="_Toc381279978"/>
      <w:bookmarkEnd w:id="2"/>
      <w:bookmarkEnd w:id="3"/>
    </w:p>
    <w:p w:rsidR="0081006D" w:rsidRPr="0081006D" w:rsidRDefault="0081006D" w:rsidP="0081006D">
      <w:pPr>
        <w:rPr>
          <w:lang w:val="es-ES"/>
        </w:rPr>
      </w:pPr>
    </w:p>
    <w:p w:rsidR="0081006D" w:rsidRPr="0081006D" w:rsidRDefault="005F46DF" w:rsidP="0081006D">
      <w:pPr>
        <w:keepNext/>
        <w:outlineLvl w:val="0"/>
        <w:rPr>
          <w:caps/>
          <w:lang w:val="es-ES"/>
        </w:rPr>
      </w:pPr>
      <w:r w:rsidRPr="00BD5CA8">
        <w:rPr>
          <w:caps/>
        </w:rPr>
        <w:t>REVISIONES aprobadas POR EL COMITÉ TÉCNICO</w:t>
      </w:r>
    </w:p>
    <w:p w:rsidR="0081006D" w:rsidRPr="0081006D" w:rsidRDefault="0081006D" w:rsidP="0081006D">
      <w:pPr>
        <w:rPr>
          <w:lang w:val="es-ES"/>
        </w:rPr>
      </w:pPr>
    </w:p>
    <w:p w:rsidR="0081006D" w:rsidRPr="0081006D" w:rsidRDefault="005C09E5" w:rsidP="0081006D">
      <w:pPr>
        <w:rPr>
          <w:lang w:val="es-ES"/>
        </w:rPr>
      </w:pPr>
      <w:r w:rsidRPr="0081006D">
        <w:rPr>
          <w:lang w:val="es-ES"/>
        </w:rPr>
        <w:fldChar w:fldCharType="begin"/>
      </w:r>
      <w:r w:rsidR="0081006D" w:rsidRPr="0081006D">
        <w:rPr>
          <w:lang w:val="es-ES"/>
        </w:rPr>
        <w:instrText xml:space="preserve"> AUTONUM  </w:instrText>
      </w:r>
      <w:r w:rsidRPr="0081006D">
        <w:rPr>
          <w:lang w:val="es-ES"/>
        </w:rPr>
        <w:fldChar w:fldCharType="end"/>
      </w:r>
      <w:r w:rsidR="0081006D" w:rsidRPr="0081006D">
        <w:rPr>
          <w:lang w:val="es-ES"/>
        </w:rPr>
        <w:tab/>
      </w:r>
      <w:r w:rsidR="00D32142" w:rsidRPr="00BD5CA8">
        <w:t>En su quincuagésima tercera sesión</w:t>
      </w:r>
      <w:r w:rsidR="00BD5CA8" w:rsidRPr="00BD5CA8">
        <w:t xml:space="preserve">, </w:t>
      </w:r>
      <w:r w:rsidR="00D32142" w:rsidRPr="00BD5CA8">
        <w:t>celebrada en Ginebra del</w:t>
      </w:r>
      <w:r w:rsidR="00BD5CA8" w:rsidRPr="00BD5CA8">
        <w:t> 3</w:t>
      </w:r>
      <w:r w:rsidR="00D32142" w:rsidRPr="00BD5CA8">
        <w:t xml:space="preserve"> al</w:t>
      </w:r>
      <w:r w:rsidR="00BD5CA8" w:rsidRPr="00BD5CA8">
        <w:t> 5</w:t>
      </w:r>
      <w:r w:rsidR="00D32142" w:rsidRPr="00BD5CA8">
        <w:t xml:space="preserve"> de abril de</w:t>
      </w:r>
      <w:r w:rsidR="00BD5CA8" w:rsidRPr="00BD5CA8">
        <w:t> 2</w:t>
      </w:r>
      <w:r w:rsidR="00D32142" w:rsidRPr="00BD5CA8">
        <w:t>017</w:t>
      </w:r>
      <w:r w:rsidR="00BD5CA8" w:rsidRPr="00BD5CA8">
        <w:t xml:space="preserve">, </w:t>
      </w:r>
      <w:r w:rsidR="00D32142" w:rsidRPr="00BD5CA8">
        <w:t xml:space="preserve">el Comité Técnico (TC) examinó el documento TC/53/5 “Documentos TGP” y </w:t>
      </w:r>
      <w:r w:rsidR="000C2DAE" w:rsidRPr="00BD5CA8">
        <w:t>convino en que las</w:t>
      </w:r>
      <w:r w:rsidR="005F46DF" w:rsidRPr="00BD5CA8">
        <w:t xml:space="preserve"> prop</w:t>
      </w:r>
      <w:r w:rsidR="000C2DAE" w:rsidRPr="00BD5CA8">
        <w:t>uestas de</w:t>
      </w:r>
      <w:r w:rsidR="005F46DF" w:rsidRPr="00BD5CA8">
        <w:t xml:space="preserve"> </w:t>
      </w:r>
      <w:r w:rsidR="000C2DAE" w:rsidRPr="00BD5CA8">
        <w:t xml:space="preserve">revisión de los </w:t>
      </w:r>
      <w:r w:rsidR="005F46DF" w:rsidRPr="00BD5CA8">
        <w:t>documentos TGP/7 “</w:t>
      </w:r>
      <w:r w:rsidR="007F53F7" w:rsidRPr="00BD5CA8">
        <w:t>Elaboración de las directrices de examen</w:t>
      </w:r>
      <w:r w:rsidR="005F46DF" w:rsidRPr="00BD5CA8">
        <w:t>”</w:t>
      </w:r>
      <w:r w:rsidR="00BD5CA8" w:rsidRPr="00BD5CA8">
        <w:t xml:space="preserve">, </w:t>
      </w:r>
      <w:r w:rsidR="005F46DF" w:rsidRPr="00BD5CA8">
        <w:t>TGP/8 “</w:t>
      </w:r>
      <w:r w:rsidR="007F53F7" w:rsidRPr="00BD5CA8">
        <w:t>Diseño de ensayos y técnicas utilizados en el examen de la distinción</w:t>
      </w:r>
      <w:r w:rsidR="00BD5CA8" w:rsidRPr="00BD5CA8">
        <w:t xml:space="preserve">, </w:t>
      </w:r>
      <w:r w:rsidR="007F53F7" w:rsidRPr="00BD5CA8">
        <w:t>la homogeneidad y la estabilidad</w:t>
      </w:r>
      <w:r w:rsidR="005F46DF" w:rsidRPr="00BD5CA8">
        <w:t>” y TGP/14 “</w:t>
      </w:r>
      <w:r w:rsidR="00AB7934" w:rsidRPr="00BD5CA8">
        <w:t>Glosario de términos utilizados en los documentos de la UPOV</w:t>
      </w:r>
      <w:r w:rsidR="005F46DF" w:rsidRPr="00BD5CA8">
        <w:t xml:space="preserve">” </w:t>
      </w:r>
      <w:r w:rsidR="00AB7934" w:rsidRPr="00BD5CA8">
        <w:t xml:space="preserve">se sometan a la </w:t>
      </w:r>
      <w:r w:rsidR="005F46DF" w:rsidRPr="00BD5CA8">
        <w:t>aprobación</w:t>
      </w:r>
      <w:r w:rsidR="00AB7934" w:rsidRPr="00BD5CA8">
        <w:t xml:space="preserve"> d</w:t>
      </w:r>
      <w:r w:rsidR="005F46DF" w:rsidRPr="00BD5CA8">
        <w:t>el Consejo</w:t>
      </w:r>
      <w:bookmarkStart w:id="8" w:name="_GoBack"/>
      <w:bookmarkEnd w:id="8"/>
      <w:r w:rsidR="005F46DF" w:rsidRPr="00BD5CA8">
        <w:t xml:space="preserve"> </w:t>
      </w:r>
      <w:r w:rsidR="00AB7934" w:rsidRPr="00BD5CA8">
        <w:t>e</w:t>
      </w:r>
      <w:r w:rsidR="005F46DF" w:rsidRPr="00BD5CA8">
        <w:t>n</w:t>
      </w:r>
      <w:r w:rsidR="00BD5CA8" w:rsidRPr="00BD5CA8">
        <w:t> 2</w:t>
      </w:r>
      <w:r w:rsidR="005F46DF" w:rsidRPr="00BD5CA8">
        <w:t>018</w:t>
      </w:r>
      <w:r w:rsidR="00BD5CA8" w:rsidRPr="00BD5CA8">
        <w:t xml:space="preserve">, </w:t>
      </w:r>
      <w:r w:rsidR="00AD2912" w:rsidRPr="00BD5CA8">
        <w:t xml:space="preserve">a reserva de la aprobación del </w:t>
      </w:r>
      <w:r w:rsidR="00B16153" w:rsidRPr="00BD5CA8">
        <w:t xml:space="preserve">Comité Administrativo y Jurídico (CAJ) </w:t>
      </w:r>
      <w:r w:rsidR="005F46DF" w:rsidRPr="00BD5CA8">
        <w:t>en su septuagésima</w:t>
      </w:r>
      <w:r w:rsidR="00B16153" w:rsidRPr="00BD5CA8">
        <w:t xml:space="preserve"> </w:t>
      </w:r>
      <w:r w:rsidR="005F46DF" w:rsidRPr="00BD5CA8">
        <w:t>quinta sesión</w:t>
      </w:r>
      <w:r w:rsidR="00BD5CA8" w:rsidRPr="00BD5CA8">
        <w:t xml:space="preserve">, </w:t>
      </w:r>
      <w:r w:rsidR="005F46DF" w:rsidRPr="00BD5CA8">
        <w:t xml:space="preserve">que se celebrará en Ginebra </w:t>
      </w:r>
      <w:r w:rsidR="00B16153" w:rsidRPr="00BD5CA8">
        <w:t>e</w:t>
      </w:r>
      <w:r w:rsidR="005F46DF" w:rsidRPr="00BD5CA8">
        <w:t>n</w:t>
      </w:r>
      <w:r w:rsidR="00BD5CA8" w:rsidRPr="00BD5CA8">
        <w:t> 2</w:t>
      </w:r>
      <w:r w:rsidR="005F46DF" w:rsidRPr="00BD5CA8">
        <w:t>018.</w:t>
      </w:r>
    </w:p>
    <w:p w:rsidR="0081006D" w:rsidRPr="0081006D" w:rsidRDefault="0081006D" w:rsidP="0081006D">
      <w:pPr>
        <w:rPr>
          <w:lang w:val="es-ES"/>
        </w:rPr>
      </w:pPr>
      <w:bookmarkStart w:id="9" w:name="_Toc352678076"/>
      <w:bookmarkStart w:id="10" w:name="_Toc353797757"/>
      <w:bookmarkStart w:id="11" w:name="_Toc386185988"/>
      <w:bookmarkStart w:id="12" w:name="_Toc419124879"/>
      <w:bookmarkEnd w:id="4"/>
      <w:bookmarkEnd w:id="5"/>
      <w:bookmarkEnd w:id="6"/>
      <w:bookmarkEnd w:id="7"/>
    </w:p>
    <w:p w:rsidR="0081006D" w:rsidRPr="0081006D" w:rsidRDefault="0081006D" w:rsidP="0081006D">
      <w:pPr>
        <w:rPr>
          <w:lang w:val="es-ES"/>
        </w:rPr>
      </w:pPr>
    </w:p>
    <w:bookmarkEnd w:id="9"/>
    <w:bookmarkEnd w:id="10"/>
    <w:bookmarkEnd w:id="11"/>
    <w:bookmarkEnd w:id="12"/>
    <w:p w:rsidR="0081006D" w:rsidRPr="0081006D" w:rsidRDefault="00AD2912" w:rsidP="0081006D">
      <w:pPr>
        <w:keepNext/>
        <w:outlineLvl w:val="0"/>
        <w:rPr>
          <w:caps/>
          <w:lang w:val="es-ES"/>
        </w:rPr>
      </w:pPr>
      <w:r w:rsidRPr="00BD5CA8">
        <w:rPr>
          <w:caps/>
        </w:rPr>
        <w:t>PROGRAMA PARA LA ELABORACIÓN DE LOS DOCUMENTOS TGP</w:t>
      </w:r>
    </w:p>
    <w:p w:rsidR="0081006D" w:rsidRPr="0081006D" w:rsidRDefault="0081006D" w:rsidP="0081006D">
      <w:pPr>
        <w:keepNext/>
        <w:rPr>
          <w:rFonts w:cs="Arial"/>
          <w:color w:val="000000"/>
          <w:lang w:val="es-ES" w:eastAsia="ja-JP"/>
        </w:rPr>
      </w:pPr>
    </w:p>
    <w:p w:rsidR="0081006D" w:rsidRPr="0081006D" w:rsidRDefault="005C09E5" w:rsidP="0081006D">
      <w:pPr>
        <w:keepNext/>
        <w:keepLines/>
        <w:rPr>
          <w:rFonts w:cs="Arial"/>
          <w:color w:val="000000"/>
          <w:lang w:val="es-ES" w:eastAsia="ja-JP"/>
        </w:rPr>
      </w:pPr>
      <w:r w:rsidRPr="0081006D">
        <w:rPr>
          <w:rFonts w:cs="Arial"/>
          <w:lang w:val="es-ES"/>
        </w:rPr>
        <w:fldChar w:fldCharType="begin"/>
      </w:r>
      <w:r w:rsidR="0081006D" w:rsidRPr="0081006D">
        <w:rPr>
          <w:rFonts w:cs="Arial"/>
          <w:lang w:val="es-ES"/>
        </w:rPr>
        <w:instrText xml:space="preserve"> AUTONUM  </w:instrText>
      </w:r>
      <w:r w:rsidRPr="0081006D">
        <w:rPr>
          <w:rFonts w:cs="Arial"/>
          <w:lang w:val="es-ES"/>
        </w:rPr>
        <w:fldChar w:fldCharType="end"/>
      </w:r>
      <w:r w:rsidR="0081006D" w:rsidRPr="0081006D">
        <w:rPr>
          <w:rFonts w:cs="Arial"/>
          <w:lang w:val="es-ES"/>
        </w:rPr>
        <w:tab/>
      </w:r>
      <w:r w:rsidR="00AD2912" w:rsidRPr="00BD5CA8">
        <w:rPr>
          <w:rFonts w:cs="Arial"/>
        </w:rPr>
        <w:t>En el Anexo del presente documento se propone un programa para la elaboración de los documentos TGP que se basa en las conclusiones alcanzadas por el TC en su quincuagésima tercera sesión (véanse los párrafos</w:t>
      </w:r>
      <w:r w:rsidR="00BD5CA8" w:rsidRPr="00BD5CA8">
        <w:rPr>
          <w:rFonts w:cs="Arial"/>
        </w:rPr>
        <w:t> 1</w:t>
      </w:r>
      <w:r w:rsidR="00AD2912" w:rsidRPr="00BD5CA8">
        <w:rPr>
          <w:rFonts w:cs="Arial"/>
        </w:rPr>
        <w:t>07 a</w:t>
      </w:r>
      <w:r w:rsidR="00BD5CA8" w:rsidRPr="00BD5CA8">
        <w:rPr>
          <w:rFonts w:cs="Arial"/>
        </w:rPr>
        <w:t> 1</w:t>
      </w:r>
      <w:r w:rsidR="00AD2912" w:rsidRPr="00BD5CA8">
        <w:rPr>
          <w:rFonts w:cs="Arial"/>
        </w:rPr>
        <w:t>45 del documento TC/53/31 “Informe”).</w:t>
      </w:r>
    </w:p>
    <w:p w:rsidR="0081006D" w:rsidRPr="0081006D" w:rsidRDefault="0081006D" w:rsidP="0081006D">
      <w:pPr>
        <w:rPr>
          <w:lang w:val="es-ES"/>
        </w:rPr>
      </w:pPr>
    </w:p>
    <w:p w:rsidR="0081006D" w:rsidRPr="0081006D" w:rsidRDefault="005C09E5" w:rsidP="0081006D">
      <w:pPr>
        <w:tabs>
          <w:tab w:val="left" w:pos="5387"/>
        </w:tabs>
        <w:ind w:left="4820"/>
        <w:rPr>
          <w:i/>
          <w:lang w:val="es-ES"/>
        </w:rPr>
      </w:pPr>
      <w:r w:rsidRPr="0081006D">
        <w:rPr>
          <w:i/>
          <w:lang w:val="es-ES"/>
        </w:rPr>
        <w:fldChar w:fldCharType="begin"/>
      </w:r>
      <w:r w:rsidR="0081006D" w:rsidRPr="0081006D">
        <w:rPr>
          <w:i/>
          <w:lang w:val="es-ES"/>
        </w:rPr>
        <w:instrText xml:space="preserve"> AUTONUM  </w:instrText>
      </w:r>
      <w:r w:rsidRPr="0081006D">
        <w:rPr>
          <w:i/>
          <w:lang w:val="es-ES"/>
        </w:rPr>
        <w:fldChar w:fldCharType="end"/>
      </w:r>
      <w:r w:rsidR="0081006D" w:rsidRPr="0081006D">
        <w:rPr>
          <w:i/>
          <w:lang w:val="es-ES"/>
        </w:rPr>
        <w:tab/>
      </w:r>
      <w:r w:rsidR="00E45F12" w:rsidRPr="00BD5CA8">
        <w:rPr>
          <w:i/>
        </w:rPr>
        <w:t>Se invita al CAJ a:</w:t>
      </w:r>
    </w:p>
    <w:p w:rsidR="0081006D" w:rsidRPr="0081006D" w:rsidRDefault="0081006D" w:rsidP="0081006D">
      <w:pPr>
        <w:tabs>
          <w:tab w:val="left" w:pos="567"/>
          <w:tab w:val="left" w:pos="1134"/>
        </w:tabs>
        <w:ind w:left="4820"/>
        <w:jc w:val="left"/>
        <w:rPr>
          <w:i/>
          <w:snapToGrid w:val="0"/>
          <w:lang w:val="es-ES"/>
        </w:rPr>
      </w:pPr>
    </w:p>
    <w:p w:rsidR="0081006D" w:rsidRPr="0081006D" w:rsidRDefault="00E45F12" w:rsidP="0081006D">
      <w:pPr>
        <w:tabs>
          <w:tab w:val="left" w:pos="5387"/>
          <w:tab w:val="left" w:pos="5954"/>
        </w:tabs>
        <w:ind w:left="4820"/>
        <w:rPr>
          <w:rFonts w:eastAsiaTheme="minorEastAsia"/>
          <w:i/>
          <w:lang w:val="es-ES"/>
        </w:rPr>
      </w:pPr>
      <w:r w:rsidRPr="00641D7D">
        <w:rPr>
          <w:rFonts w:eastAsiaTheme="minorEastAsia"/>
          <w:i/>
          <w:lang w:val="es-ES"/>
        </w:rPr>
        <w:tab/>
      </w:r>
      <w:r w:rsidR="0081006D" w:rsidRPr="00641D7D">
        <w:rPr>
          <w:rFonts w:eastAsiaTheme="minorEastAsia"/>
          <w:i/>
          <w:lang w:val="es-ES"/>
        </w:rPr>
        <w:t>a)</w:t>
      </w:r>
      <w:r w:rsidR="0081006D" w:rsidRPr="00641D7D">
        <w:rPr>
          <w:rFonts w:eastAsiaTheme="minorEastAsia"/>
          <w:i/>
          <w:lang w:val="es-ES"/>
        </w:rPr>
        <w:tab/>
      </w:r>
      <w:r w:rsidR="00131780" w:rsidRPr="00BD5CA8">
        <w:rPr>
          <w:rFonts w:eastAsiaTheme="minorEastAsia"/>
          <w:i/>
        </w:rPr>
        <w:t xml:space="preserve">tomar nota de que el TC convino en que las propuestas de revisión de </w:t>
      </w:r>
      <w:r w:rsidR="006E6608" w:rsidRPr="00BD5CA8">
        <w:rPr>
          <w:rFonts w:eastAsiaTheme="minorEastAsia"/>
          <w:i/>
        </w:rPr>
        <w:t xml:space="preserve">los </w:t>
      </w:r>
      <w:r w:rsidR="00131780" w:rsidRPr="00BD5CA8">
        <w:rPr>
          <w:rFonts w:eastAsiaTheme="minorEastAsia"/>
          <w:i/>
        </w:rPr>
        <w:t>documentos TGP se sometan a la aprobación del Consejo en</w:t>
      </w:r>
      <w:r w:rsidR="00BD5CA8" w:rsidRPr="00BD5CA8">
        <w:rPr>
          <w:rFonts w:eastAsiaTheme="minorEastAsia"/>
          <w:i/>
        </w:rPr>
        <w:t> 2</w:t>
      </w:r>
      <w:r w:rsidR="00131780" w:rsidRPr="00BD5CA8">
        <w:rPr>
          <w:rFonts w:eastAsiaTheme="minorEastAsia"/>
          <w:i/>
        </w:rPr>
        <w:t>018</w:t>
      </w:r>
      <w:r w:rsidR="00BD5CA8" w:rsidRPr="00BD5CA8">
        <w:rPr>
          <w:rFonts w:eastAsiaTheme="minorEastAsia"/>
          <w:i/>
        </w:rPr>
        <w:t xml:space="preserve">, </w:t>
      </w:r>
      <w:r w:rsidR="00131780" w:rsidRPr="00BD5CA8">
        <w:rPr>
          <w:rFonts w:eastAsiaTheme="minorEastAsia"/>
          <w:i/>
        </w:rPr>
        <w:t>a reserva de la aprobación del CAJ en su septuagésima quinta sesión</w:t>
      </w:r>
      <w:r w:rsidR="006E6608" w:rsidRPr="00BD5CA8">
        <w:rPr>
          <w:rFonts w:eastAsiaTheme="minorEastAsia"/>
          <w:i/>
        </w:rPr>
        <w:t>;</w:t>
      </w:r>
      <w:r w:rsidR="0081006D" w:rsidRPr="00E45F12">
        <w:rPr>
          <w:rFonts w:eastAsiaTheme="minorEastAsia"/>
          <w:i/>
          <w:lang w:val="es-ES"/>
        </w:rPr>
        <w:t xml:space="preserve"> </w:t>
      </w:r>
      <w:r>
        <w:rPr>
          <w:rFonts w:eastAsiaTheme="minorEastAsia"/>
          <w:i/>
          <w:lang w:val="es-ES"/>
        </w:rPr>
        <w:t xml:space="preserve"> </w:t>
      </w:r>
      <w:r w:rsidR="006E6608" w:rsidRPr="00BD5CA8">
        <w:rPr>
          <w:rFonts w:eastAsiaTheme="minorEastAsia"/>
          <w:i/>
        </w:rPr>
        <w:t>y</w:t>
      </w:r>
    </w:p>
    <w:p w:rsidR="0081006D" w:rsidRPr="0081006D" w:rsidRDefault="0081006D" w:rsidP="0081006D">
      <w:pPr>
        <w:tabs>
          <w:tab w:val="left" w:pos="5387"/>
          <w:tab w:val="left" w:pos="5954"/>
        </w:tabs>
        <w:ind w:left="4820"/>
        <w:rPr>
          <w:rFonts w:eastAsiaTheme="minorEastAsia"/>
          <w:i/>
          <w:lang w:val="es-ES"/>
        </w:rPr>
      </w:pPr>
    </w:p>
    <w:p w:rsidR="0081006D" w:rsidRPr="0081006D" w:rsidRDefault="00E45F12" w:rsidP="0081006D">
      <w:pPr>
        <w:tabs>
          <w:tab w:val="left" w:pos="5387"/>
          <w:tab w:val="left" w:pos="5954"/>
        </w:tabs>
        <w:ind w:left="4820"/>
        <w:rPr>
          <w:rFonts w:eastAsiaTheme="minorEastAsia"/>
          <w:i/>
          <w:lang w:val="es-ES"/>
        </w:rPr>
      </w:pPr>
      <w:r w:rsidRPr="00641D7D">
        <w:rPr>
          <w:rFonts w:eastAsiaTheme="minorEastAsia"/>
          <w:i/>
          <w:lang w:val="es-ES"/>
        </w:rPr>
        <w:tab/>
      </w:r>
      <w:r w:rsidR="0081006D" w:rsidRPr="00641D7D">
        <w:rPr>
          <w:rFonts w:eastAsiaTheme="minorEastAsia"/>
          <w:i/>
          <w:lang w:val="es-ES"/>
        </w:rPr>
        <w:t>b)</w:t>
      </w:r>
      <w:r w:rsidR="0081006D" w:rsidRPr="00641D7D">
        <w:rPr>
          <w:rFonts w:eastAsiaTheme="minorEastAsia"/>
          <w:i/>
          <w:lang w:val="es-ES"/>
        </w:rPr>
        <w:tab/>
      </w:r>
      <w:r w:rsidR="006E6608" w:rsidRPr="00BD5CA8">
        <w:rPr>
          <w:rFonts w:eastAsiaTheme="minorEastAsia"/>
          <w:i/>
        </w:rPr>
        <w:t>examinar el programa para la elaboración de los documentos TGP</w:t>
      </w:r>
      <w:r w:rsidR="00BD5CA8" w:rsidRPr="00BD5CA8">
        <w:rPr>
          <w:rFonts w:eastAsiaTheme="minorEastAsia"/>
          <w:i/>
        </w:rPr>
        <w:t xml:space="preserve">, </w:t>
      </w:r>
      <w:r w:rsidR="006E6608" w:rsidRPr="00BD5CA8">
        <w:rPr>
          <w:rFonts w:eastAsiaTheme="minorEastAsia"/>
          <w:i/>
        </w:rPr>
        <w:t>según consta en el Anexo del presente documento.</w:t>
      </w:r>
    </w:p>
    <w:p w:rsidR="0081006D" w:rsidRPr="0081006D" w:rsidRDefault="0081006D" w:rsidP="0081006D">
      <w:pPr>
        <w:ind w:left="4820"/>
        <w:rPr>
          <w:i/>
          <w:lang w:val="es-ES"/>
        </w:rPr>
      </w:pPr>
    </w:p>
    <w:p w:rsidR="0081006D" w:rsidRPr="0081006D" w:rsidRDefault="0081006D" w:rsidP="0081006D">
      <w:pPr>
        <w:tabs>
          <w:tab w:val="left" w:pos="5387"/>
          <w:tab w:val="left" w:pos="5954"/>
        </w:tabs>
        <w:ind w:left="4820"/>
        <w:rPr>
          <w:i/>
          <w:lang w:val="es-ES"/>
        </w:rPr>
      </w:pPr>
    </w:p>
    <w:p w:rsidR="0081006D" w:rsidRPr="0081006D" w:rsidRDefault="0081006D" w:rsidP="0081006D">
      <w:pPr>
        <w:tabs>
          <w:tab w:val="left" w:pos="5387"/>
          <w:tab w:val="left" w:pos="5954"/>
        </w:tabs>
        <w:ind w:left="4820"/>
        <w:rPr>
          <w:i/>
          <w:lang w:val="es-ES"/>
        </w:rPr>
      </w:pPr>
    </w:p>
    <w:p w:rsidR="0081006D" w:rsidRPr="0081006D" w:rsidRDefault="006E6608" w:rsidP="0081006D">
      <w:pPr>
        <w:jc w:val="right"/>
        <w:rPr>
          <w:lang w:val="es-ES"/>
        </w:rPr>
      </w:pPr>
      <w:r w:rsidRPr="00BD5CA8">
        <w:rPr>
          <w:snapToGrid w:val="0"/>
        </w:rPr>
        <w:t>[Sigue el anexo]</w:t>
      </w:r>
    </w:p>
    <w:p w:rsidR="00050E16" w:rsidRPr="0081006D" w:rsidRDefault="00050E16" w:rsidP="0081006D">
      <w:pPr>
        <w:rPr>
          <w:lang w:val="es-ES"/>
        </w:rPr>
      </w:pPr>
    </w:p>
    <w:p w:rsidR="0081006D" w:rsidRPr="0081006D" w:rsidRDefault="0081006D" w:rsidP="0081006D">
      <w:pPr>
        <w:rPr>
          <w:lang w:val="es-ES"/>
        </w:rPr>
        <w:sectPr w:rsidR="0081006D" w:rsidRPr="0081006D" w:rsidSect="00C635F1">
          <w:footerReference w:type="first" r:id="rId10"/>
          <w:pgSz w:w="11907" w:h="16840" w:code="9"/>
          <w:pgMar w:top="510" w:right="1134" w:bottom="1134" w:left="1134" w:header="510" w:footer="680" w:gutter="0"/>
          <w:cols w:space="720"/>
          <w:docGrid w:linePitch="272"/>
        </w:sectPr>
      </w:pPr>
    </w:p>
    <w:p w:rsidR="0081006D" w:rsidRPr="0081006D" w:rsidRDefault="003D7C0C" w:rsidP="0081006D">
      <w:pPr>
        <w:rPr>
          <w:lang w:val="es-ES"/>
        </w:rPr>
      </w:pPr>
      <w:r w:rsidRPr="001A51F6">
        <w:rPr>
          <w:noProof/>
          <w:lang w:val="en-US"/>
        </w:rPr>
        <w:lastRenderedPageBreak/>
        <w:drawing>
          <wp:inline distT="0" distB="0" distL="0" distR="0" wp14:anchorId="3BFB2AFF" wp14:editId="2DAD4883">
            <wp:extent cx="9448800" cy="608701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9471479" cy="6101629"/>
                    </a:xfrm>
                    <a:prstGeom prst="rect">
                      <a:avLst/>
                    </a:prstGeom>
                    <a:noFill/>
                    <a:ln w="9525">
                      <a:noFill/>
                      <a:miter lim="800000"/>
                      <a:headEnd/>
                      <a:tailEnd/>
                    </a:ln>
                  </pic:spPr>
                </pic:pic>
              </a:graphicData>
            </a:graphic>
          </wp:inline>
        </w:drawing>
      </w:r>
    </w:p>
    <w:sectPr w:rsidR="0081006D" w:rsidRPr="0081006D" w:rsidSect="0081006D">
      <w:headerReference w:type="first" r:id="rId12"/>
      <w:pgSz w:w="16840" w:h="11907" w:orient="landscape" w:code="9"/>
      <w:pgMar w:top="1134" w:right="510" w:bottom="1134" w:left="1134" w:header="510" w:footer="68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6D" w:rsidRDefault="0081006D" w:rsidP="006655D3">
      <w:r>
        <w:separator/>
      </w:r>
    </w:p>
    <w:p w:rsidR="0081006D" w:rsidRDefault="0081006D" w:rsidP="006655D3"/>
    <w:p w:rsidR="0081006D" w:rsidRDefault="0081006D" w:rsidP="006655D3"/>
  </w:endnote>
  <w:endnote w:type="continuationSeparator" w:id="0">
    <w:p w:rsidR="0081006D" w:rsidRDefault="0081006D" w:rsidP="006655D3">
      <w:r>
        <w:separator/>
      </w:r>
    </w:p>
    <w:p w:rsidR="0081006D" w:rsidRPr="00294751" w:rsidRDefault="0081006D">
      <w:pPr>
        <w:pStyle w:val="Footer"/>
        <w:spacing w:after="60"/>
        <w:rPr>
          <w:sz w:val="18"/>
          <w:lang w:val="fr-FR"/>
        </w:rPr>
      </w:pPr>
      <w:r w:rsidRPr="00294751">
        <w:rPr>
          <w:sz w:val="18"/>
          <w:lang w:val="fr-FR"/>
        </w:rPr>
        <w:t>[Suite de la note de la page précédente]</w:t>
      </w:r>
    </w:p>
    <w:p w:rsidR="0081006D" w:rsidRPr="00294751" w:rsidRDefault="0081006D" w:rsidP="006655D3">
      <w:pPr>
        <w:rPr>
          <w:lang w:val="fr-FR"/>
        </w:rPr>
      </w:pPr>
    </w:p>
    <w:p w:rsidR="0081006D" w:rsidRPr="00294751" w:rsidRDefault="0081006D" w:rsidP="006655D3">
      <w:pPr>
        <w:rPr>
          <w:lang w:val="fr-FR"/>
        </w:rPr>
      </w:pPr>
    </w:p>
  </w:endnote>
  <w:endnote w:type="continuationNotice" w:id="1">
    <w:p w:rsidR="0081006D" w:rsidRPr="00294751" w:rsidRDefault="0081006D" w:rsidP="006655D3">
      <w:pPr>
        <w:rPr>
          <w:lang w:val="fr-FR"/>
        </w:rPr>
      </w:pPr>
      <w:r w:rsidRPr="00294751">
        <w:rPr>
          <w:lang w:val="fr-FR"/>
        </w:rPr>
        <w:t>[Suite de la note page suivante]</w:t>
      </w:r>
    </w:p>
    <w:p w:rsidR="0081006D" w:rsidRPr="00294751" w:rsidRDefault="0081006D" w:rsidP="006655D3">
      <w:pPr>
        <w:rPr>
          <w:lang w:val="fr-FR"/>
        </w:rPr>
      </w:pPr>
    </w:p>
    <w:p w:rsidR="0081006D" w:rsidRPr="00294751" w:rsidRDefault="0081006D"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C0C" w:rsidRPr="003D7C0C" w:rsidRDefault="003D7C0C" w:rsidP="003D7C0C">
    <w:pPr>
      <w:jc w:val="right"/>
    </w:pPr>
    <w:r w:rsidRPr="003D7C0C">
      <w:t>[Fin del anexo y del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6D" w:rsidRDefault="0081006D" w:rsidP="006655D3">
      <w:r>
        <w:separator/>
      </w:r>
    </w:p>
  </w:footnote>
  <w:footnote w:type="continuationSeparator" w:id="0">
    <w:p w:rsidR="0081006D" w:rsidRDefault="0081006D" w:rsidP="006655D3">
      <w:r>
        <w:separator/>
      </w:r>
    </w:p>
  </w:footnote>
  <w:footnote w:type="continuationNotice" w:id="1">
    <w:p w:rsidR="0081006D" w:rsidRPr="00AB530F" w:rsidRDefault="0081006D" w:rsidP="00AB530F">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06D" w:rsidRDefault="0081006D" w:rsidP="0081006D">
    <w:pPr>
      <w:jc w:val="center"/>
    </w:pPr>
    <w:r>
      <w:t>CAJ/74/7</w:t>
    </w:r>
  </w:p>
  <w:p w:rsidR="0081006D" w:rsidRPr="004A75CB" w:rsidRDefault="0081006D" w:rsidP="0081006D">
    <w:pPr>
      <w:jc w:val="center"/>
    </w:pPr>
    <w:r>
      <w:t xml:space="preserve">ANEXO – </w:t>
    </w:r>
    <w:r w:rsidR="009149E6" w:rsidRPr="00AD2912">
      <w:rPr>
        <w:caps/>
      </w:rPr>
      <w:t>PROGRAMA PARA LA ELABORACIÓN DE LOS DOCUMENTOS TGP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6D"/>
    <w:rsid w:val="00001153"/>
    <w:rsid w:val="00010CF3"/>
    <w:rsid w:val="00011E27"/>
    <w:rsid w:val="000148BC"/>
    <w:rsid w:val="00024AB8"/>
    <w:rsid w:val="00030854"/>
    <w:rsid w:val="00036028"/>
    <w:rsid w:val="00044642"/>
    <w:rsid w:val="000446B9"/>
    <w:rsid w:val="00047E21"/>
    <w:rsid w:val="00050E16"/>
    <w:rsid w:val="000638A9"/>
    <w:rsid w:val="00085505"/>
    <w:rsid w:val="000A23DC"/>
    <w:rsid w:val="000C2DAE"/>
    <w:rsid w:val="000C4E25"/>
    <w:rsid w:val="000C7021"/>
    <w:rsid w:val="000D6BBC"/>
    <w:rsid w:val="000D7780"/>
    <w:rsid w:val="000E636A"/>
    <w:rsid w:val="000F2F11"/>
    <w:rsid w:val="00102831"/>
    <w:rsid w:val="00105929"/>
    <w:rsid w:val="00110C36"/>
    <w:rsid w:val="001131D5"/>
    <w:rsid w:val="00131780"/>
    <w:rsid w:val="00141DB8"/>
    <w:rsid w:val="00172084"/>
    <w:rsid w:val="0017474A"/>
    <w:rsid w:val="001758C6"/>
    <w:rsid w:val="00182B99"/>
    <w:rsid w:val="001F64BF"/>
    <w:rsid w:val="00202E38"/>
    <w:rsid w:val="0021332C"/>
    <w:rsid w:val="00213982"/>
    <w:rsid w:val="00240D6E"/>
    <w:rsid w:val="0024416D"/>
    <w:rsid w:val="002464A3"/>
    <w:rsid w:val="00271911"/>
    <w:rsid w:val="0027285B"/>
    <w:rsid w:val="002800A0"/>
    <w:rsid w:val="002801B3"/>
    <w:rsid w:val="00281060"/>
    <w:rsid w:val="002940E8"/>
    <w:rsid w:val="00294751"/>
    <w:rsid w:val="002A6E50"/>
    <w:rsid w:val="002B4298"/>
    <w:rsid w:val="002C256A"/>
    <w:rsid w:val="002E5944"/>
    <w:rsid w:val="00305A7F"/>
    <w:rsid w:val="003152FE"/>
    <w:rsid w:val="00327436"/>
    <w:rsid w:val="00344BD6"/>
    <w:rsid w:val="00353446"/>
    <w:rsid w:val="0035528D"/>
    <w:rsid w:val="00361821"/>
    <w:rsid w:val="00361E9E"/>
    <w:rsid w:val="00397559"/>
    <w:rsid w:val="003B031A"/>
    <w:rsid w:val="003C7FBE"/>
    <w:rsid w:val="003D227C"/>
    <w:rsid w:val="003D2B4D"/>
    <w:rsid w:val="003D5DCC"/>
    <w:rsid w:val="003D7C0C"/>
    <w:rsid w:val="0040557F"/>
    <w:rsid w:val="00444A88"/>
    <w:rsid w:val="00474DA4"/>
    <w:rsid w:val="00476B4D"/>
    <w:rsid w:val="004805FA"/>
    <w:rsid w:val="004935D2"/>
    <w:rsid w:val="004B1215"/>
    <w:rsid w:val="004D047D"/>
    <w:rsid w:val="004D2B1A"/>
    <w:rsid w:val="004F1E9E"/>
    <w:rsid w:val="004F305A"/>
    <w:rsid w:val="00512164"/>
    <w:rsid w:val="00520297"/>
    <w:rsid w:val="005338F9"/>
    <w:rsid w:val="0054281C"/>
    <w:rsid w:val="00544581"/>
    <w:rsid w:val="00545E42"/>
    <w:rsid w:val="0055268D"/>
    <w:rsid w:val="00576BE4"/>
    <w:rsid w:val="00590BE1"/>
    <w:rsid w:val="005A400A"/>
    <w:rsid w:val="005C09E5"/>
    <w:rsid w:val="005E4DC1"/>
    <w:rsid w:val="005F46DF"/>
    <w:rsid w:val="005F7B92"/>
    <w:rsid w:val="00612379"/>
    <w:rsid w:val="006153B6"/>
    <w:rsid w:val="0061555F"/>
    <w:rsid w:val="00624907"/>
    <w:rsid w:val="00636CA6"/>
    <w:rsid w:val="00637EDD"/>
    <w:rsid w:val="00641200"/>
    <w:rsid w:val="00641D7D"/>
    <w:rsid w:val="00645CA8"/>
    <w:rsid w:val="00652ADA"/>
    <w:rsid w:val="006655D3"/>
    <w:rsid w:val="00666E0D"/>
    <w:rsid w:val="00667404"/>
    <w:rsid w:val="006818F4"/>
    <w:rsid w:val="00687EB4"/>
    <w:rsid w:val="00695C56"/>
    <w:rsid w:val="006A32E5"/>
    <w:rsid w:val="006A5CDE"/>
    <w:rsid w:val="006A644A"/>
    <w:rsid w:val="006B17D2"/>
    <w:rsid w:val="006C224E"/>
    <w:rsid w:val="006D780A"/>
    <w:rsid w:val="006E6608"/>
    <w:rsid w:val="0071271E"/>
    <w:rsid w:val="00732DEC"/>
    <w:rsid w:val="00735BD5"/>
    <w:rsid w:val="00750AA6"/>
    <w:rsid w:val="00751613"/>
    <w:rsid w:val="00752334"/>
    <w:rsid w:val="007556F6"/>
    <w:rsid w:val="00760EEF"/>
    <w:rsid w:val="00777EE5"/>
    <w:rsid w:val="00783722"/>
    <w:rsid w:val="00784836"/>
    <w:rsid w:val="0079023E"/>
    <w:rsid w:val="007A2854"/>
    <w:rsid w:val="007A2D44"/>
    <w:rsid w:val="007C1D92"/>
    <w:rsid w:val="007C4CB9"/>
    <w:rsid w:val="007D0B9D"/>
    <w:rsid w:val="007D19B0"/>
    <w:rsid w:val="007F498F"/>
    <w:rsid w:val="007F53F7"/>
    <w:rsid w:val="0080679D"/>
    <w:rsid w:val="0081006D"/>
    <w:rsid w:val="008108B0"/>
    <w:rsid w:val="00811B20"/>
    <w:rsid w:val="008211B5"/>
    <w:rsid w:val="0082296E"/>
    <w:rsid w:val="00824099"/>
    <w:rsid w:val="00846D7C"/>
    <w:rsid w:val="00855F17"/>
    <w:rsid w:val="008574A4"/>
    <w:rsid w:val="00864C55"/>
    <w:rsid w:val="00867AC1"/>
    <w:rsid w:val="00890DF8"/>
    <w:rsid w:val="008A743F"/>
    <w:rsid w:val="008B3D8D"/>
    <w:rsid w:val="008C0970"/>
    <w:rsid w:val="008D0BC5"/>
    <w:rsid w:val="008D2CF7"/>
    <w:rsid w:val="00900C26"/>
    <w:rsid w:val="0090197F"/>
    <w:rsid w:val="00906DDC"/>
    <w:rsid w:val="009149E6"/>
    <w:rsid w:val="00934E09"/>
    <w:rsid w:val="00936253"/>
    <w:rsid w:val="00940D46"/>
    <w:rsid w:val="00943983"/>
    <w:rsid w:val="00952DD4"/>
    <w:rsid w:val="0096175D"/>
    <w:rsid w:val="00965AE7"/>
    <w:rsid w:val="00970FED"/>
    <w:rsid w:val="00977AF2"/>
    <w:rsid w:val="00992D82"/>
    <w:rsid w:val="00997029"/>
    <w:rsid w:val="009A7339"/>
    <w:rsid w:val="009B440E"/>
    <w:rsid w:val="009D690D"/>
    <w:rsid w:val="009E65B6"/>
    <w:rsid w:val="00A24C10"/>
    <w:rsid w:val="00A42AC3"/>
    <w:rsid w:val="00A430CF"/>
    <w:rsid w:val="00A54309"/>
    <w:rsid w:val="00A706D3"/>
    <w:rsid w:val="00AB2B93"/>
    <w:rsid w:val="00AB530F"/>
    <w:rsid w:val="00AB7934"/>
    <w:rsid w:val="00AB7E5B"/>
    <w:rsid w:val="00AC2883"/>
    <w:rsid w:val="00AD2912"/>
    <w:rsid w:val="00AE0EF1"/>
    <w:rsid w:val="00AE2937"/>
    <w:rsid w:val="00AF1B93"/>
    <w:rsid w:val="00B07301"/>
    <w:rsid w:val="00B11F3E"/>
    <w:rsid w:val="00B16153"/>
    <w:rsid w:val="00B224DE"/>
    <w:rsid w:val="00B324D4"/>
    <w:rsid w:val="00B46575"/>
    <w:rsid w:val="00B61777"/>
    <w:rsid w:val="00B84BBD"/>
    <w:rsid w:val="00BA43FB"/>
    <w:rsid w:val="00BB1500"/>
    <w:rsid w:val="00BC0BD4"/>
    <w:rsid w:val="00BC127D"/>
    <w:rsid w:val="00BC1FE6"/>
    <w:rsid w:val="00BD5CA8"/>
    <w:rsid w:val="00C061B6"/>
    <w:rsid w:val="00C2446C"/>
    <w:rsid w:val="00C36AE5"/>
    <w:rsid w:val="00C41F17"/>
    <w:rsid w:val="00C527FA"/>
    <w:rsid w:val="00C5280D"/>
    <w:rsid w:val="00C53EB3"/>
    <w:rsid w:val="00C5791C"/>
    <w:rsid w:val="00C60668"/>
    <w:rsid w:val="00C635F1"/>
    <w:rsid w:val="00C66290"/>
    <w:rsid w:val="00C72B7A"/>
    <w:rsid w:val="00C973F2"/>
    <w:rsid w:val="00CA304C"/>
    <w:rsid w:val="00CA774A"/>
    <w:rsid w:val="00CC11B0"/>
    <w:rsid w:val="00CC2841"/>
    <w:rsid w:val="00CF1330"/>
    <w:rsid w:val="00CF7E36"/>
    <w:rsid w:val="00D32142"/>
    <w:rsid w:val="00D3708D"/>
    <w:rsid w:val="00D40426"/>
    <w:rsid w:val="00D57C96"/>
    <w:rsid w:val="00D57D18"/>
    <w:rsid w:val="00D91203"/>
    <w:rsid w:val="00D95174"/>
    <w:rsid w:val="00DA4973"/>
    <w:rsid w:val="00DA6F36"/>
    <w:rsid w:val="00DB596E"/>
    <w:rsid w:val="00DB7773"/>
    <w:rsid w:val="00DC00EA"/>
    <w:rsid w:val="00DC3802"/>
    <w:rsid w:val="00DD7014"/>
    <w:rsid w:val="00E07D87"/>
    <w:rsid w:val="00E14799"/>
    <w:rsid w:val="00E32F7E"/>
    <w:rsid w:val="00E45F12"/>
    <w:rsid w:val="00E5267B"/>
    <w:rsid w:val="00E554A4"/>
    <w:rsid w:val="00E63C0E"/>
    <w:rsid w:val="00E72D49"/>
    <w:rsid w:val="00E7593C"/>
    <w:rsid w:val="00E7678A"/>
    <w:rsid w:val="00E935F1"/>
    <w:rsid w:val="00E94A81"/>
    <w:rsid w:val="00E95168"/>
    <w:rsid w:val="00EA1FFB"/>
    <w:rsid w:val="00EB048E"/>
    <w:rsid w:val="00EB4E9C"/>
    <w:rsid w:val="00EB7224"/>
    <w:rsid w:val="00EC2265"/>
    <w:rsid w:val="00EE34DF"/>
    <w:rsid w:val="00EF2F89"/>
    <w:rsid w:val="00F03E98"/>
    <w:rsid w:val="00F1237A"/>
    <w:rsid w:val="00F17691"/>
    <w:rsid w:val="00F22CBD"/>
    <w:rsid w:val="00F272F1"/>
    <w:rsid w:val="00F45372"/>
    <w:rsid w:val="00F560F7"/>
    <w:rsid w:val="00F6334D"/>
    <w:rsid w:val="00F96B53"/>
    <w:rsid w:val="00FA49AB"/>
    <w:rsid w:val="00FD3F87"/>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944"/>
    <w:pPr>
      <w:jc w:val="both"/>
    </w:pPr>
    <w:rPr>
      <w:rFonts w:ascii="Arial" w:hAnsi="Arial"/>
      <w:lang w:val="es-ES_tradn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8B3D8D"/>
    <w:pPr>
      <w:jc w:val="center"/>
    </w:pPr>
    <w:rPr>
      <w:rFonts w:ascii="Arial" w:hAnsi="Arial"/>
      <w:lang w:val="es-ES_tradn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4D2B1A"/>
    <w:pPr>
      <w:tabs>
        <w:tab w:val="left" w:pos="5387"/>
        <w:tab w:val="left" w:pos="5954"/>
      </w:tabs>
      <w:ind w:left="4820"/>
    </w:pPr>
    <w:rPr>
      <w:i/>
    </w:rPr>
  </w:style>
  <w:style w:type="paragraph" w:styleId="FootnoteText">
    <w:name w:val="footnote text"/>
    <w:autoRedefine/>
    <w:rsid w:val="00783722"/>
    <w:pPr>
      <w:spacing w:before="60"/>
      <w:ind w:left="567" w:hanging="567"/>
      <w:jc w:val="both"/>
    </w:pPr>
    <w:rPr>
      <w:rFonts w:ascii="Arial" w:hAnsi="Arial"/>
      <w:sz w:val="16"/>
      <w:lang w:val="es-ES_tradnl"/>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6A32E5"/>
    <w:pPr>
      <w:spacing w:after="600"/>
    </w:pPr>
    <w:rPr>
      <w:rFonts w:ascii="Arial" w:hAnsi="Arial"/>
      <w:i/>
      <w:iCs/>
      <w:color w:val="A6A6A6" w:themeColor="background1" w:themeShade="A6"/>
      <w:lang w:val="es-ES_tradnl"/>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6A32E5"/>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6818F4"/>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6818F4"/>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6818F4"/>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6818F4"/>
    <w:pPr>
      <w:tabs>
        <w:tab w:val="right" w:leader="dot" w:pos="9639"/>
      </w:tabs>
      <w:spacing w:after="120"/>
      <w:jc w:val="center"/>
    </w:pPr>
    <w:rPr>
      <w:rFonts w:ascii="Arial" w:hAnsi="Arial"/>
      <w:caps/>
    </w:rPr>
  </w:style>
  <w:style w:type="paragraph" w:styleId="TOC5">
    <w:name w:val="toc 5"/>
    <w:next w:val="Normal"/>
    <w:autoRedefine/>
    <w:rsid w:val="006818F4"/>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styleId="FollowedHyperlink">
    <w:name w:val="FollowedHyperlink"/>
    <w:basedOn w:val="DefaultParagraphFont"/>
    <w:rsid w:val="005F46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944"/>
    <w:pPr>
      <w:jc w:val="both"/>
    </w:pPr>
    <w:rPr>
      <w:rFonts w:ascii="Arial" w:hAnsi="Arial"/>
      <w:lang w:val="es-ES_tradn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8B3D8D"/>
    <w:pPr>
      <w:jc w:val="center"/>
    </w:pPr>
    <w:rPr>
      <w:rFonts w:ascii="Arial" w:hAnsi="Arial"/>
      <w:lang w:val="es-ES_tradn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4D2B1A"/>
    <w:pPr>
      <w:tabs>
        <w:tab w:val="left" w:pos="5387"/>
        <w:tab w:val="left" w:pos="5954"/>
      </w:tabs>
      <w:ind w:left="4820"/>
    </w:pPr>
    <w:rPr>
      <w:i/>
    </w:rPr>
  </w:style>
  <w:style w:type="paragraph" w:styleId="FootnoteText">
    <w:name w:val="footnote text"/>
    <w:autoRedefine/>
    <w:rsid w:val="00783722"/>
    <w:pPr>
      <w:spacing w:before="60"/>
      <w:ind w:left="567" w:hanging="567"/>
      <w:jc w:val="both"/>
    </w:pPr>
    <w:rPr>
      <w:rFonts w:ascii="Arial" w:hAnsi="Arial"/>
      <w:sz w:val="16"/>
      <w:lang w:val="es-ES_tradnl"/>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6A32E5"/>
    <w:pPr>
      <w:spacing w:after="600"/>
    </w:pPr>
    <w:rPr>
      <w:rFonts w:ascii="Arial" w:hAnsi="Arial"/>
      <w:i/>
      <w:iCs/>
      <w:color w:val="A6A6A6" w:themeColor="background1" w:themeShade="A6"/>
      <w:lang w:val="es-ES_tradnl"/>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6A32E5"/>
    <w:pPr>
      <w:spacing w:before="600" w:after="240"/>
      <w:jc w:val="left"/>
    </w:pPr>
    <w:rPr>
      <w:b/>
    </w:rPr>
  </w:style>
  <w:style w:type="paragraph" w:customStyle="1" w:styleId="preparedby1">
    <w:name w:val="prepared_by"/>
    <w:basedOn w:val="preparedby0"/>
    <w:rsid w:val="00A706D3"/>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6818F4"/>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6818F4"/>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6818F4"/>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6818F4"/>
    <w:pPr>
      <w:tabs>
        <w:tab w:val="right" w:leader="dot" w:pos="9639"/>
      </w:tabs>
      <w:spacing w:after="120"/>
      <w:jc w:val="center"/>
    </w:pPr>
    <w:rPr>
      <w:rFonts w:ascii="Arial" w:hAnsi="Arial"/>
      <w:caps/>
    </w:rPr>
  </w:style>
  <w:style w:type="paragraph" w:styleId="TOC5">
    <w:name w:val="toc 5"/>
    <w:next w:val="Normal"/>
    <w:autoRedefine/>
    <w:rsid w:val="006818F4"/>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styleId="FollowedHyperlink">
    <w:name w:val="FollowedHyperlink"/>
    <w:basedOn w:val="DefaultParagraphFont"/>
    <w:rsid w:val="005F4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pov.int/upov_collectio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8C5C8-5CFB-4087-AC44-B1A83A3B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312</Words>
  <Characters>1731</Characters>
  <Application>Microsoft Office Word</Application>
  <DocSecurity>0</DocSecurity>
  <Lines>173</Lines>
  <Paragraphs>92</Paragraphs>
  <ScaleCrop>false</ScaleCrop>
  <HeadingPairs>
    <vt:vector size="2" baseType="variant">
      <vt:variant>
        <vt:lpstr>Title</vt:lpstr>
      </vt:variant>
      <vt:variant>
        <vt:i4>1</vt:i4>
      </vt:variant>
    </vt:vector>
  </HeadingPairs>
  <TitlesOfParts>
    <vt:vector size="1" baseType="lpstr">
      <vt:lpstr>CAJ/74</vt:lpstr>
    </vt:vector>
  </TitlesOfParts>
  <Company>UPOV</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CAJ/74/7</dc:title>
  <dc:creator>Toni Sanguino</dc:creator>
  <dc:description>AS (trad. ext.) - 27/9/2017</dc:description>
  <cp:lastModifiedBy>BESSE Ariane</cp:lastModifiedBy>
  <cp:revision>7</cp:revision>
  <cp:lastPrinted>2016-11-22T15:41:00Z</cp:lastPrinted>
  <dcterms:created xsi:type="dcterms:W3CDTF">2017-10-03T16:32:00Z</dcterms:created>
  <dcterms:modified xsi:type="dcterms:W3CDTF">2017-10-05T16:30:00Z</dcterms:modified>
</cp:coreProperties>
</file>