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E00E3">
        <w:trPr>
          <w:trHeight w:val="1760"/>
        </w:trPr>
        <w:tc>
          <w:tcPr>
            <w:tcW w:w="4243" w:type="dxa"/>
          </w:tcPr>
          <w:p w:rsidR="000D7780" w:rsidRPr="009E00E3" w:rsidRDefault="000D7780" w:rsidP="007D0B9D">
            <w:pPr>
              <w:rPr>
                <w:dstrike/>
              </w:rPr>
            </w:pPr>
            <w:bookmarkStart w:id="0" w:name="_GoBack"/>
            <w:bookmarkEnd w:id="0"/>
          </w:p>
        </w:tc>
        <w:tc>
          <w:tcPr>
            <w:tcW w:w="1646" w:type="dxa"/>
            <w:vAlign w:val="center"/>
          </w:tcPr>
          <w:p w:rsidR="000D7780" w:rsidRPr="009E00E3" w:rsidRDefault="002826C3" w:rsidP="00576BE4">
            <w:pPr>
              <w:pStyle w:val="LogoUPOV"/>
              <w:rPr>
                <w:dstrike/>
              </w:rPr>
            </w:pPr>
            <w:r>
              <w:rPr>
                <w:noProof/>
                <w:lang w:val="en-US"/>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0D7780" w:rsidRPr="003D101C" w:rsidRDefault="00105CCB" w:rsidP="00576BE4">
            <w:pPr>
              <w:pStyle w:val="Lettrine"/>
            </w:pPr>
            <w:r w:rsidRPr="003D101C">
              <w:t>S</w:t>
            </w:r>
          </w:p>
          <w:p w:rsidR="000D7780" w:rsidRPr="003D101C" w:rsidRDefault="00905F09" w:rsidP="00124936">
            <w:pPr>
              <w:pStyle w:val="Docoriginal"/>
              <w:ind w:left="1050"/>
              <w:jc w:val="left"/>
            </w:pPr>
            <w:r w:rsidRPr="003D101C">
              <w:t>CAJ/72</w:t>
            </w:r>
            <w:r w:rsidR="0017474A" w:rsidRPr="003D101C">
              <w:t>/</w:t>
            </w:r>
            <w:bookmarkStart w:id="1" w:name="Code"/>
            <w:bookmarkEnd w:id="1"/>
            <w:r w:rsidR="00E56DDB" w:rsidRPr="003D101C">
              <w:t>6</w:t>
            </w:r>
          </w:p>
          <w:p w:rsidR="000D7780" w:rsidRPr="003D101C" w:rsidRDefault="0061555F" w:rsidP="00124936">
            <w:pPr>
              <w:pStyle w:val="Docoriginal"/>
              <w:ind w:left="1050"/>
              <w:jc w:val="left"/>
            </w:pPr>
            <w:r w:rsidRPr="003D101C">
              <w:rPr>
                <w:rStyle w:val="StyleDoclangBold"/>
                <w:b/>
                <w:bCs/>
                <w:spacing w:val="0"/>
                <w:lang w:val="es-ES_tradnl"/>
              </w:rPr>
              <w:t>ORIGINAL</w:t>
            </w:r>
            <w:r w:rsidR="001511C4" w:rsidRPr="003D101C">
              <w:rPr>
                <w:rStyle w:val="StyleDoclangBold"/>
                <w:b/>
                <w:bCs/>
                <w:spacing w:val="0"/>
                <w:lang w:val="es-ES_tradnl"/>
              </w:rPr>
              <w:t xml:space="preserve">:  </w:t>
            </w:r>
            <w:bookmarkStart w:id="2" w:name="Original"/>
            <w:bookmarkEnd w:id="2"/>
            <w:r w:rsidR="00105CCB" w:rsidRPr="003D101C">
              <w:rPr>
                <w:b w:val="0"/>
                <w:spacing w:val="0"/>
              </w:rPr>
              <w:t>Inglés</w:t>
            </w:r>
          </w:p>
          <w:p w:rsidR="000D7780" w:rsidRPr="009E00E3" w:rsidRDefault="00124936" w:rsidP="003450D9">
            <w:pPr>
              <w:pStyle w:val="Docoriginal"/>
              <w:ind w:left="1050"/>
              <w:jc w:val="left"/>
              <w:rPr>
                <w:dstrike/>
              </w:rPr>
            </w:pPr>
            <w:r w:rsidRPr="003D101C">
              <w:rPr>
                <w:spacing w:val="0"/>
              </w:rPr>
              <w:t>FECHA</w:t>
            </w:r>
            <w:r w:rsidR="001511C4" w:rsidRPr="003D101C">
              <w:rPr>
                <w:spacing w:val="0"/>
              </w:rPr>
              <w:t xml:space="preserve">:  </w:t>
            </w:r>
            <w:r w:rsidR="003450D9">
              <w:rPr>
                <w:rStyle w:val="StyleDocoriginalNotBold1"/>
                <w:spacing w:val="0"/>
                <w:lang w:val="es-ES_tradnl"/>
              </w:rPr>
              <w:t xml:space="preserve">5 </w:t>
            </w:r>
            <w:r w:rsidR="00E56DDB" w:rsidRPr="003D101C">
              <w:rPr>
                <w:rStyle w:val="StyleDocoriginalNotBold1"/>
                <w:spacing w:val="0"/>
                <w:lang w:val="es-ES_tradnl"/>
              </w:rPr>
              <w:t xml:space="preserve">de </w:t>
            </w:r>
            <w:r w:rsidR="003450D9">
              <w:rPr>
                <w:rStyle w:val="StyleDocoriginalNotBold1"/>
                <w:spacing w:val="0"/>
                <w:lang w:val="es-ES_tradnl"/>
              </w:rPr>
              <w:t xml:space="preserve">octubre </w:t>
            </w:r>
            <w:r w:rsidR="00105CCB" w:rsidRPr="003D101C">
              <w:rPr>
                <w:rStyle w:val="StyleDocoriginalNotBold1"/>
                <w:spacing w:val="0"/>
                <w:lang w:val="es-ES_tradnl"/>
              </w:rPr>
              <w:t>de</w:t>
            </w:r>
            <w:r w:rsidR="001511C4" w:rsidRPr="003D101C">
              <w:rPr>
                <w:rStyle w:val="StyleDocoriginalNotBold1"/>
                <w:spacing w:val="0"/>
                <w:lang w:val="es-ES_tradnl"/>
              </w:rPr>
              <w:t> </w:t>
            </w:r>
            <w:r w:rsidR="001511C4" w:rsidRPr="003D101C">
              <w:rPr>
                <w:b w:val="0"/>
                <w:spacing w:val="0"/>
              </w:rPr>
              <w:t>2</w:t>
            </w:r>
            <w:r w:rsidR="001131D5" w:rsidRPr="003D101C">
              <w:rPr>
                <w:b w:val="0"/>
                <w:spacing w:val="0"/>
              </w:rPr>
              <w:t>01</w:t>
            </w:r>
            <w:r w:rsidR="007D523D" w:rsidRPr="003D101C">
              <w:rPr>
                <w:b w:val="0"/>
                <w:spacing w:val="0"/>
              </w:rPr>
              <w:t>5</w:t>
            </w:r>
          </w:p>
        </w:tc>
      </w:tr>
      <w:tr w:rsidR="000D7780" w:rsidRPr="009E00E3">
        <w:tc>
          <w:tcPr>
            <w:tcW w:w="10131" w:type="dxa"/>
            <w:gridSpan w:val="3"/>
          </w:tcPr>
          <w:p w:rsidR="000D7780" w:rsidRPr="009E00E3" w:rsidRDefault="00105CCB" w:rsidP="0080679D">
            <w:pPr>
              <w:pStyle w:val="upove"/>
              <w:rPr>
                <w:dstrike/>
                <w:spacing w:val="2"/>
                <w:sz w:val="28"/>
              </w:rPr>
            </w:pPr>
            <w:r w:rsidRPr="003D101C">
              <w:rPr>
                <w:spacing w:val="2"/>
              </w:rPr>
              <w:t>UNIÓN INTERNACIONAL PARA LA PROTECCIÓN DE LAS OBTENCIONES VEGETALES</w:t>
            </w:r>
          </w:p>
        </w:tc>
      </w:tr>
      <w:tr w:rsidR="000D7780" w:rsidRPr="003D101C">
        <w:tc>
          <w:tcPr>
            <w:tcW w:w="10131" w:type="dxa"/>
            <w:gridSpan w:val="3"/>
          </w:tcPr>
          <w:p w:rsidR="000D7780" w:rsidRPr="003D101C" w:rsidRDefault="00BE680E" w:rsidP="0080679D">
            <w:pPr>
              <w:pStyle w:val="Country"/>
            </w:pPr>
            <w:r w:rsidRPr="003D101C">
              <w:t>Ginebra</w:t>
            </w:r>
          </w:p>
        </w:tc>
      </w:tr>
    </w:tbl>
    <w:p w:rsidR="000D7780" w:rsidRPr="003D101C" w:rsidRDefault="00F1053E" w:rsidP="0080679D">
      <w:pPr>
        <w:pStyle w:val="Sessiontc"/>
      </w:pPr>
      <w:r w:rsidRPr="003D101C">
        <w:t>Comité Administrativo y Jurídico</w:t>
      </w:r>
    </w:p>
    <w:p w:rsidR="00361821" w:rsidRPr="003D101C" w:rsidRDefault="00F1053E" w:rsidP="0080679D">
      <w:pPr>
        <w:pStyle w:val="Sessiontcplacedate"/>
      </w:pPr>
      <w:r w:rsidRPr="003D101C">
        <w:t>Se</w:t>
      </w:r>
      <w:r w:rsidR="00586055" w:rsidRPr="003D101C">
        <w:t>ptua</w:t>
      </w:r>
      <w:r w:rsidRPr="003D101C">
        <w:t>gésima</w:t>
      </w:r>
      <w:r w:rsidR="009A0238" w:rsidRPr="003D101C">
        <w:t xml:space="preserve"> </w:t>
      </w:r>
      <w:r w:rsidR="00905F09" w:rsidRPr="003D101C">
        <w:t xml:space="preserve">segunda </w:t>
      </w:r>
      <w:r w:rsidR="0064104D" w:rsidRPr="003D101C">
        <w:t>sesión</w:t>
      </w:r>
      <w:r w:rsidR="0064104D" w:rsidRPr="003D101C">
        <w:br/>
        <w:t>Ginebra</w:t>
      </w:r>
      <w:r w:rsidR="001511C4" w:rsidRPr="003D101C">
        <w:t>, 2</w:t>
      </w:r>
      <w:r w:rsidR="007D523D" w:rsidRPr="003D101C">
        <w:t>6</w:t>
      </w:r>
      <w:r w:rsidR="00905F09" w:rsidRPr="003D101C">
        <w:t xml:space="preserve"> y</w:t>
      </w:r>
      <w:r w:rsidR="001511C4" w:rsidRPr="003D101C">
        <w:t> 2</w:t>
      </w:r>
      <w:r w:rsidR="00905F09" w:rsidRPr="003D101C">
        <w:t>7</w:t>
      </w:r>
      <w:r w:rsidR="007D523D" w:rsidRPr="003D101C">
        <w:t xml:space="preserve"> de </w:t>
      </w:r>
      <w:r w:rsidR="00905F09" w:rsidRPr="003D101C">
        <w:t xml:space="preserve">octubre </w:t>
      </w:r>
      <w:r w:rsidR="007D523D" w:rsidRPr="003D101C">
        <w:t>de</w:t>
      </w:r>
      <w:r w:rsidR="001511C4" w:rsidRPr="003D101C">
        <w:t> 2</w:t>
      </w:r>
      <w:r w:rsidR="007D523D" w:rsidRPr="003D101C">
        <w:t>015</w:t>
      </w:r>
    </w:p>
    <w:p w:rsidR="000D7780" w:rsidRPr="00E56DDB" w:rsidRDefault="00FB65AB" w:rsidP="00FB65AB">
      <w:pPr>
        <w:pStyle w:val="Titleofdoc0"/>
      </w:pPr>
      <w:bookmarkStart w:id="3" w:name="TitleOfDoc"/>
      <w:bookmarkEnd w:id="3"/>
      <w:r w:rsidRPr="003D101C">
        <w:rPr>
          <w:kern w:val="28"/>
        </w:rPr>
        <w:t>BASES DE DATOS DE INFORMACIÓN DE LA UPOV</w:t>
      </w:r>
    </w:p>
    <w:p w:rsidR="000D7780" w:rsidRPr="003D101C" w:rsidRDefault="00E33A05" w:rsidP="0080679D">
      <w:pPr>
        <w:pStyle w:val="preparedby1"/>
      </w:pPr>
      <w:bookmarkStart w:id="4" w:name="Prepared"/>
      <w:bookmarkEnd w:id="4"/>
      <w:r w:rsidRPr="003D101C">
        <w:t>Documento preparado por la Oficina de la Unión</w:t>
      </w:r>
      <w:r w:rsidR="000271A1" w:rsidRPr="003D101C">
        <w:br/>
      </w:r>
      <w:r w:rsidR="000271A1" w:rsidRPr="003D101C">
        <w:br/>
      </w:r>
      <w:r w:rsidR="004A3A5A" w:rsidRPr="003D101C">
        <w:rPr>
          <w:color w:val="A6A6A6"/>
        </w:rPr>
        <w:t>Descargo de responsabilidad</w:t>
      </w:r>
      <w:r w:rsidR="001511C4" w:rsidRPr="003D101C">
        <w:rPr>
          <w:color w:val="A6A6A6"/>
        </w:rPr>
        <w:t xml:space="preserve">:  </w:t>
      </w:r>
      <w:r w:rsidR="004A3A5A" w:rsidRPr="003D101C">
        <w:rPr>
          <w:color w:val="A6A6A6"/>
        </w:rPr>
        <w:t>el presente documento no constituye</w:t>
      </w:r>
      <w:r w:rsidR="004A3A5A" w:rsidRPr="003D101C">
        <w:rPr>
          <w:color w:val="A6A6A6"/>
        </w:rPr>
        <w:br/>
        <w:t>un documento de política u orientación de la UPOV</w:t>
      </w:r>
    </w:p>
    <w:p w:rsidR="00E56DDB" w:rsidRPr="002826C3" w:rsidRDefault="006D1DCB" w:rsidP="00E56DDB">
      <w:pPr>
        <w:pStyle w:val="Heading1"/>
        <w:rPr>
          <w:lang w:val="es-ES" w:eastAsia="ja-JP"/>
        </w:rPr>
      </w:pPr>
      <w:bookmarkStart w:id="5" w:name="_Toc432410650"/>
      <w:r w:rsidRPr="003D101C">
        <w:rPr>
          <w:lang w:val="es-ES_tradnl" w:eastAsia="ja-JP"/>
        </w:rPr>
        <w:t>RESUMEN</w:t>
      </w:r>
      <w:bookmarkEnd w:id="5"/>
    </w:p>
    <w:p w:rsidR="00E56DDB" w:rsidRPr="002826C3" w:rsidRDefault="00E56DDB" w:rsidP="00E56DDB">
      <w:pPr>
        <w:rPr>
          <w:lang w:val="es-ES" w:eastAsia="ja-JP"/>
        </w:rPr>
      </w:pPr>
    </w:p>
    <w:p w:rsidR="00E56DDB" w:rsidRPr="002826C3" w:rsidRDefault="00B01818" w:rsidP="00E56DDB">
      <w:pPr>
        <w:rPr>
          <w:rFonts w:cs="Arial"/>
          <w:lang w:val="es-ES"/>
        </w:rPr>
      </w:pPr>
      <w:r w:rsidRPr="001E700D">
        <w:fldChar w:fldCharType="begin"/>
      </w:r>
      <w:r w:rsidR="00E56DDB" w:rsidRPr="002826C3">
        <w:rPr>
          <w:lang w:val="es-ES"/>
        </w:rPr>
        <w:instrText xml:space="preserve"> AUTONUM  </w:instrText>
      </w:r>
      <w:r w:rsidRPr="001E700D">
        <w:fldChar w:fldCharType="end"/>
      </w:r>
      <w:r w:rsidR="00E56DDB" w:rsidRPr="002826C3">
        <w:rPr>
          <w:lang w:val="es-ES"/>
        </w:rPr>
        <w:tab/>
      </w:r>
      <w:r w:rsidR="006D1DCB" w:rsidRPr="00C319D7">
        <w:t xml:space="preserve">El presente documento tiene por </w:t>
      </w:r>
      <w:r w:rsidR="00D24AE5" w:rsidRPr="00C319D7">
        <w:t>finalidad</w:t>
      </w:r>
      <w:r w:rsidR="001511C4" w:rsidRPr="002826C3">
        <w:rPr>
          <w:lang w:val="es-ES"/>
        </w:rPr>
        <w:t xml:space="preserve"> </w:t>
      </w:r>
      <w:r w:rsidR="00997858" w:rsidRPr="00C319D7">
        <w:t>informar de las novedades que se han producido en relación con la bas</w:t>
      </w:r>
      <w:r w:rsidR="00C319D7" w:rsidRPr="00C319D7">
        <w:t>e de datos GENIE</w:t>
      </w:r>
      <w:r w:rsidR="001679D2" w:rsidRPr="002826C3">
        <w:rPr>
          <w:lang w:val="es-ES" w:eastAsia="ja-JP"/>
        </w:rPr>
        <w:t xml:space="preserve"> </w:t>
      </w:r>
      <w:r w:rsidR="00997858" w:rsidRPr="00C319D7">
        <w:rPr>
          <w:lang w:eastAsia="ja-JP"/>
        </w:rPr>
        <w:t>y</w:t>
      </w:r>
      <w:r w:rsidR="00997858" w:rsidRPr="00C319D7">
        <w:rPr>
          <w:rFonts w:hint="eastAsia"/>
          <w:lang w:eastAsia="ja-JP"/>
        </w:rPr>
        <w:t xml:space="preserve"> </w:t>
      </w:r>
      <w:r w:rsidR="00997858" w:rsidRPr="00C319D7">
        <w:rPr>
          <w:lang w:eastAsia="ja-JP"/>
        </w:rPr>
        <w:t xml:space="preserve">proporcionar información actualizada sobre la labor </w:t>
      </w:r>
      <w:r w:rsidR="00C070B3" w:rsidRPr="00C319D7">
        <w:rPr>
          <w:lang w:eastAsia="ja-JP"/>
        </w:rPr>
        <w:t xml:space="preserve">y las propuestas </w:t>
      </w:r>
      <w:r w:rsidR="00997858" w:rsidRPr="00C319D7">
        <w:rPr>
          <w:lang w:eastAsia="ja-JP"/>
        </w:rPr>
        <w:t>del Grupo de trabajo para la elaboración de un instrumento de la UPOV de búsqueda de denominaciones similares (WG</w:t>
      </w:r>
      <w:r w:rsidR="00997858" w:rsidRPr="00C319D7">
        <w:rPr>
          <w:lang w:eastAsia="ja-JP"/>
        </w:rPr>
        <w:noBreakHyphen/>
        <w:t xml:space="preserve">DST) </w:t>
      </w:r>
      <w:r w:rsidR="00C319D7" w:rsidRPr="00C319D7">
        <w:rPr>
          <w:rFonts w:cs="Arial"/>
        </w:rPr>
        <w:t xml:space="preserve">respecto de </w:t>
      </w:r>
      <w:r w:rsidR="00997858" w:rsidRPr="00C319D7">
        <w:t>la base de datos PLUTO</w:t>
      </w:r>
      <w:r w:rsidR="00997858" w:rsidRPr="00C319D7">
        <w:rPr>
          <w:rFonts w:cs="Arial"/>
        </w:rPr>
        <w:t>.</w:t>
      </w:r>
    </w:p>
    <w:p w:rsidR="00E56DDB" w:rsidRPr="002826C3" w:rsidRDefault="00E56DDB" w:rsidP="00E56DDB">
      <w:pPr>
        <w:rPr>
          <w:rFonts w:cs="Arial"/>
          <w:lang w:val="es-ES" w:eastAsia="ja-JP"/>
        </w:rPr>
      </w:pPr>
    </w:p>
    <w:p w:rsidR="00E56DDB" w:rsidRPr="002826C3" w:rsidRDefault="00B01818" w:rsidP="00E56DDB">
      <w:pPr>
        <w:rPr>
          <w:lang w:val="es-ES"/>
        </w:rPr>
      </w:pPr>
      <w:r>
        <w:fldChar w:fldCharType="begin"/>
      </w:r>
      <w:r w:rsidR="00E56DDB" w:rsidRPr="002826C3">
        <w:rPr>
          <w:lang w:val="es-ES"/>
        </w:rPr>
        <w:instrText xml:space="preserve"> AUTONUM  </w:instrText>
      </w:r>
      <w:r>
        <w:fldChar w:fldCharType="end"/>
      </w:r>
      <w:r w:rsidR="00E56DDB" w:rsidRPr="002826C3">
        <w:rPr>
          <w:lang w:val="es-ES"/>
        </w:rPr>
        <w:tab/>
      </w:r>
      <w:r w:rsidR="00997858" w:rsidRPr="007337F9">
        <w:t xml:space="preserve">Se invita al Comité Administrativo y Jurídico </w:t>
      </w:r>
      <w:r w:rsidR="00997858" w:rsidRPr="007337F9">
        <w:rPr>
          <w:rFonts w:hint="eastAsia"/>
          <w:lang w:eastAsia="ja-JP"/>
        </w:rPr>
        <w:t>(</w:t>
      </w:r>
      <w:r w:rsidR="00997858" w:rsidRPr="007337F9">
        <w:t>CAJ</w:t>
      </w:r>
      <w:r w:rsidR="00997858" w:rsidRPr="007337F9">
        <w:rPr>
          <w:rFonts w:hint="eastAsia"/>
          <w:lang w:eastAsia="ja-JP"/>
        </w:rPr>
        <w:t>)</w:t>
      </w:r>
      <w:r w:rsidR="00997858" w:rsidRPr="007337F9">
        <w:t xml:space="preserve"> a:</w:t>
      </w:r>
      <w:r w:rsidR="001511C4" w:rsidRPr="002826C3">
        <w:rPr>
          <w:lang w:val="es-ES"/>
        </w:rPr>
        <w:t xml:space="preserve">  </w:t>
      </w:r>
    </w:p>
    <w:p w:rsidR="00E56DDB" w:rsidRPr="002826C3" w:rsidRDefault="00E56DDB" w:rsidP="00E56DDB">
      <w:pPr>
        <w:rPr>
          <w:lang w:val="es-ES"/>
        </w:rPr>
      </w:pPr>
    </w:p>
    <w:p w:rsidR="00E56DDB" w:rsidRPr="002826C3" w:rsidRDefault="00C070B3" w:rsidP="00E56DDB">
      <w:pPr>
        <w:ind w:firstLine="567"/>
        <w:rPr>
          <w:lang w:val="es-ES"/>
        </w:rPr>
      </w:pPr>
      <w:r w:rsidRPr="003D101C">
        <w:t>a)</w:t>
      </w:r>
      <w:r w:rsidR="00E56DDB" w:rsidRPr="002826C3">
        <w:rPr>
          <w:lang w:val="es-ES"/>
        </w:rPr>
        <w:tab/>
      </w:r>
      <w:r w:rsidRPr="007337F9">
        <w:t xml:space="preserve">tomar nota de la información </w:t>
      </w:r>
      <w:r w:rsidR="00E77C07" w:rsidRPr="007337F9">
        <w:t>actualizada sobre</w:t>
      </w:r>
      <w:r w:rsidRPr="007337F9">
        <w:t xml:space="preserve"> las bases de datos GENIE y PLUTO que se </w:t>
      </w:r>
      <w:r w:rsidR="00E77C07" w:rsidRPr="007337F9">
        <w:t>expone</w:t>
      </w:r>
      <w:r w:rsidRPr="007337F9">
        <w:t xml:space="preserve"> en los párrafos 6 a 16;</w:t>
      </w:r>
    </w:p>
    <w:p w:rsidR="00E56DDB" w:rsidRPr="002826C3" w:rsidRDefault="00E56DDB" w:rsidP="00E56DDB">
      <w:pPr>
        <w:rPr>
          <w:lang w:val="es-ES"/>
        </w:rPr>
      </w:pPr>
    </w:p>
    <w:p w:rsidR="00E56DDB" w:rsidRPr="002826C3" w:rsidRDefault="00C070B3" w:rsidP="00E56DDB">
      <w:pPr>
        <w:ind w:firstLine="567"/>
        <w:rPr>
          <w:lang w:val="es-ES"/>
        </w:rPr>
      </w:pPr>
      <w:r w:rsidRPr="003D101C">
        <w:t>b)</w:t>
      </w:r>
      <w:r w:rsidR="00E56DDB" w:rsidRPr="002826C3">
        <w:rPr>
          <w:lang w:val="es-ES"/>
        </w:rPr>
        <w:tab/>
      </w:r>
      <w:r w:rsidRPr="007337F9">
        <w:t xml:space="preserve">considerar si </w:t>
      </w:r>
      <w:r w:rsidR="00DC66EA" w:rsidRPr="007337F9">
        <w:t xml:space="preserve">procede </w:t>
      </w:r>
      <w:r w:rsidR="00817151" w:rsidRPr="007337F9">
        <w:t>admitir</w:t>
      </w:r>
      <w:r w:rsidRPr="007337F9">
        <w:t xml:space="preserve"> acentos y caracteres especiales en las denominaciones </w:t>
      </w:r>
      <w:r w:rsidR="00DC66EA" w:rsidRPr="007337F9">
        <w:t>contenidas</w:t>
      </w:r>
      <w:r w:rsidRPr="007337F9">
        <w:t xml:space="preserve"> en la base de datos PLUTO, teniendo en cuenta que el instrumento de búsqueda de denominaciones de la base de datos PLUTO </w:t>
      </w:r>
      <w:r w:rsidR="00DC66EA" w:rsidRPr="007337F9">
        <w:t>solo admit</w:t>
      </w:r>
      <w:r w:rsidR="006F3ADB" w:rsidRPr="007337F9">
        <w:t>e</w:t>
      </w:r>
      <w:r w:rsidRPr="007337F9">
        <w:t xml:space="preserve"> </w:t>
      </w:r>
      <w:r w:rsidR="00E77C07" w:rsidRPr="007337F9">
        <w:t xml:space="preserve">la representación </w:t>
      </w:r>
      <w:r w:rsidR="00DC66EA" w:rsidRPr="007337F9">
        <w:t xml:space="preserve">en caracteres </w:t>
      </w:r>
      <w:r w:rsidR="00E77C07" w:rsidRPr="007337F9">
        <w:t>d</w:t>
      </w:r>
      <w:r w:rsidRPr="007337F9">
        <w:t>el conjunto ASCII [</w:t>
      </w:r>
      <w:r w:rsidRPr="002826C3">
        <w:rPr>
          <w:i/>
          <w:lang w:val="es-ES"/>
        </w:rPr>
        <w:t>American Standard Code for Information Interchange</w:t>
      </w:r>
      <w:r w:rsidRPr="007337F9">
        <w:t xml:space="preserve"> (código estándar estadounidense para el intercambio de información)</w:t>
      </w:r>
      <w:r w:rsidR="00D17704" w:rsidRPr="007337F9">
        <w:t>]</w:t>
      </w:r>
      <w:r w:rsidRPr="007337F9">
        <w:t>, de conformidad con la definición que figura en la Norma ISO [Organización Internacional de Normalización] 646</w:t>
      </w:r>
      <w:r w:rsidR="001C2A22" w:rsidRPr="007337F9">
        <w:t>,</w:t>
      </w:r>
      <w:r w:rsidRPr="007337F9">
        <w:t xml:space="preserve"> </w:t>
      </w:r>
      <w:r w:rsidR="001C2A22" w:rsidRPr="007337F9">
        <w:t>según consta en el párrafo 20;</w:t>
      </w:r>
    </w:p>
    <w:p w:rsidR="00E56DDB" w:rsidRPr="002826C3" w:rsidRDefault="00E56DDB" w:rsidP="00E56DDB">
      <w:pPr>
        <w:rPr>
          <w:lang w:val="es-ES"/>
        </w:rPr>
      </w:pPr>
    </w:p>
    <w:p w:rsidR="00E56DDB" w:rsidRPr="002826C3" w:rsidRDefault="001C2A22" w:rsidP="00E56DDB">
      <w:pPr>
        <w:ind w:firstLine="567"/>
        <w:rPr>
          <w:lang w:val="es-ES"/>
        </w:rPr>
      </w:pPr>
      <w:r w:rsidRPr="003D101C">
        <w:t>c)</w:t>
      </w:r>
      <w:r w:rsidR="00E56DDB" w:rsidRPr="002826C3">
        <w:rPr>
          <w:lang w:val="es-ES"/>
        </w:rPr>
        <w:tab/>
      </w:r>
      <w:r w:rsidR="002E3D66" w:rsidRPr="007337F9">
        <w:t xml:space="preserve">considerar si procede </w:t>
      </w:r>
      <w:r w:rsidR="00D24AE5" w:rsidRPr="007337F9">
        <w:t xml:space="preserve">revisar la </w:t>
      </w:r>
      <w:r w:rsidR="00E20F83" w:rsidRPr="007337F9">
        <w:t>Sección</w:t>
      </w:r>
      <w:r w:rsidR="00D24AE5" w:rsidRPr="007337F9">
        <w:t xml:space="preserve"> 3.1.3 del “Programa de mejoras de la Base de datos sobre variedades vegetales” como se indica en el párrafo 22, a fin de sustituir el conjunto </w:t>
      </w:r>
      <w:r w:rsidR="00817151" w:rsidRPr="007337F9">
        <w:t>válido</w:t>
      </w:r>
      <w:r w:rsidR="00D24AE5" w:rsidRPr="007337F9">
        <w:t xml:space="preserve"> de caracteres por el </w:t>
      </w:r>
      <w:r w:rsidR="00DC66EA" w:rsidRPr="007337F9">
        <w:t>de</w:t>
      </w:r>
      <w:r w:rsidR="00D24AE5" w:rsidRPr="007337F9">
        <w:t xml:space="preserve"> la Norma ISO/IEC 8859</w:t>
      </w:r>
      <w:r w:rsidR="00D31770" w:rsidRPr="007337F9">
        <w:noBreakHyphen/>
      </w:r>
      <w:r w:rsidR="00D24AE5" w:rsidRPr="007337F9">
        <w:t>1:1998;</w:t>
      </w:r>
    </w:p>
    <w:p w:rsidR="00E56DDB" w:rsidRPr="002826C3" w:rsidRDefault="00E56DDB" w:rsidP="00E56DDB">
      <w:pPr>
        <w:rPr>
          <w:lang w:val="es-ES"/>
        </w:rPr>
      </w:pPr>
    </w:p>
    <w:p w:rsidR="00E56DDB" w:rsidRPr="002826C3" w:rsidRDefault="00D24AE5" w:rsidP="00E56DDB">
      <w:pPr>
        <w:ind w:firstLine="567"/>
        <w:rPr>
          <w:lang w:val="es-ES"/>
        </w:rPr>
      </w:pPr>
      <w:r w:rsidRPr="003D101C">
        <w:t>d)</w:t>
      </w:r>
      <w:r w:rsidR="00E56DDB" w:rsidRPr="002826C3">
        <w:rPr>
          <w:lang w:val="es-ES"/>
        </w:rPr>
        <w:tab/>
      </w:r>
      <w:r w:rsidRPr="007337F9">
        <w:t xml:space="preserve">considerar si procede ampliar el contenido de la base de datos PLUTO de modo que </w:t>
      </w:r>
      <w:r w:rsidR="00DC66EA" w:rsidRPr="007337F9">
        <w:t>abarque</w:t>
      </w:r>
      <w:r w:rsidRPr="007337F9">
        <w:t xml:space="preserve"> todas las variedades reconocidas, incluidas las que no han </w:t>
      </w:r>
      <w:r w:rsidR="00DC66EA" w:rsidRPr="007337F9">
        <w:t>sido</w:t>
      </w:r>
      <w:r w:rsidRPr="007337F9">
        <w:t xml:space="preserve"> </w:t>
      </w:r>
      <w:r w:rsidR="00DC66EA" w:rsidRPr="007337F9">
        <w:t xml:space="preserve">registradas o protegidas </w:t>
      </w:r>
      <w:r w:rsidRPr="007337F9">
        <w:t xml:space="preserve">o ya no </w:t>
      </w:r>
      <w:r w:rsidR="00DC66EA" w:rsidRPr="007337F9">
        <w:t xml:space="preserve">lo </w:t>
      </w:r>
      <w:r w:rsidRPr="007337F9">
        <w:t>están, según consta en el párrafo 24;</w:t>
      </w:r>
      <w:r w:rsidR="001679D2" w:rsidRPr="002826C3">
        <w:rPr>
          <w:lang w:val="es-ES"/>
        </w:rPr>
        <w:t xml:space="preserve">  </w:t>
      </w:r>
      <w:r w:rsidRPr="003D101C">
        <w:t>y</w:t>
      </w:r>
    </w:p>
    <w:p w:rsidR="00E56DDB" w:rsidRPr="002826C3" w:rsidRDefault="00E56DDB" w:rsidP="00E56DDB">
      <w:pPr>
        <w:rPr>
          <w:lang w:val="es-ES"/>
        </w:rPr>
      </w:pPr>
    </w:p>
    <w:p w:rsidR="00E56DDB" w:rsidRPr="002826C3" w:rsidRDefault="00E56DDB" w:rsidP="00E56DDB">
      <w:pPr>
        <w:rPr>
          <w:rFonts w:cs="Arial"/>
          <w:lang w:val="es-ES" w:eastAsia="ja-JP"/>
        </w:rPr>
      </w:pPr>
      <w:r w:rsidRPr="002826C3">
        <w:rPr>
          <w:lang w:val="es-ES"/>
        </w:rPr>
        <w:tab/>
      </w:r>
      <w:r w:rsidR="00D24AE5" w:rsidRPr="003D101C">
        <w:t>e)</w:t>
      </w:r>
      <w:r w:rsidRPr="002826C3">
        <w:rPr>
          <w:lang w:val="es-ES"/>
        </w:rPr>
        <w:tab/>
      </w:r>
      <w:r w:rsidR="00D24AE5" w:rsidRPr="007337F9">
        <w:t xml:space="preserve">tomar nota de que </w:t>
      </w:r>
      <w:r w:rsidR="00BF2392" w:rsidRPr="007337F9">
        <w:t xml:space="preserve">en el documento CAJ/72/3 “Denominaciones de variedades” se informa de </w:t>
      </w:r>
      <w:r w:rsidR="00D24AE5" w:rsidRPr="007337F9">
        <w:t xml:space="preserve">las novedades </w:t>
      </w:r>
      <w:r w:rsidR="00BF2392" w:rsidRPr="007337F9">
        <w:t>relativas a</w:t>
      </w:r>
      <w:r w:rsidR="00D24AE5" w:rsidRPr="007337F9">
        <w:t xml:space="preserve"> los términos no válidos para l</w:t>
      </w:r>
      <w:r w:rsidR="00BF2392" w:rsidRPr="007337F9">
        <w:t>as denominaciones de variedades</w:t>
      </w:r>
      <w:r w:rsidR="00D24AE5" w:rsidRPr="007337F9">
        <w:t>.</w:t>
      </w:r>
    </w:p>
    <w:p w:rsidR="00E56DDB" w:rsidRPr="002826C3" w:rsidRDefault="00E56DDB" w:rsidP="00E56DDB">
      <w:pPr>
        <w:rPr>
          <w:rFonts w:cs="Arial"/>
          <w:lang w:val="es-ES" w:eastAsia="ja-JP"/>
        </w:rPr>
      </w:pPr>
    </w:p>
    <w:p w:rsidR="00E56DDB" w:rsidRPr="002826C3" w:rsidRDefault="00B01818" w:rsidP="00E56DDB">
      <w:pPr>
        <w:keepNext/>
        <w:rPr>
          <w:color w:val="000000"/>
          <w:lang w:val="es-ES"/>
        </w:rPr>
      </w:pPr>
      <w:r w:rsidRPr="002C2C18">
        <w:rPr>
          <w:color w:val="000000"/>
        </w:rPr>
        <w:lastRenderedPageBreak/>
        <w:fldChar w:fldCharType="begin"/>
      </w:r>
      <w:r w:rsidR="00E56DDB" w:rsidRPr="002826C3">
        <w:rPr>
          <w:color w:val="000000"/>
          <w:lang w:val="es-ES"/>
        </w:rPr>
        <w:instrText xml:space="preserve"> AUTONUM  </w:instrText>
      </w:r>
      <w:r w:rsidRPr="002C2C18">
        <w:rPr>
          <w:color w:val="000000"/>
        </w:rPr>
        <w:fldChar w:fldCharType="end"/>
      </w:r>
      <w:r w:rsidR="00E56DDB" w:rsidRPr="002826C3">
        <w:rPr>
          <w:color w:val="000000"/>
          <w:lang w:val="es-ES"/>
        </w:rPr>
        <w:tab/>
      </w:r>
      <w:r w:rsidR="00D24AE5" w:rsidRPr="003D101C">
        <w:t>En el presente documento se utilizan las abreviaturas siguientes:</w:t>
      </w:r>
      <w:r w:rsidR="001511C4" w:rsidRPr="002826C3">
        <w:rPr>
          <w:color w:val="000000"/>
          <w:lang w:val="es-ES"/>
        </w:rPr>
        <w:t xml:space="preserve">  </w:t>
      </w:r>
    </w:p>
    <w:p w:rsidR="00E56DDB" w:rsidRPr="002826C3" w:rsidRDefault="00E56DDB" w:rsidP="00E56DDB">
      <w:pPr>
        <w:keepNext/>
        <w:ind w:left="1692" w:hanging="1125"/>
        <w:jc w:val="left"/>
        <w:rPr>
          <w:color w:val="000000"/>
          <w:lang w:val="es-ES"/>
        </w:rPr>
      </w:pPr>
    </w:p>
    <w:p w:rsidR="00E56DDB" w:rsidRPr="002826C3" w:rsidRDefault="00E56DDB" w:rsidP="00E56DDB">
      <w:pPr>
        <w:keepNext/>
        <w:tabs>
          <w:tab w:val="left" w:pos="567"/>
          <w:tab w:val="left" w:pos="1701"/>
        </w:tabs>
        <w:rPr>
          <w:lang w:val="es-ES"/>
        </w:rPr>
      </w:pPr>
      <w:r w:rsidRPr="002826C3">
        <w:rPr>
          <w:lang w:val="es-ES"/>
        </w:rPr>
        <w:tab/>
      </w:r>
      <w:r w:rsidR="00D24AE5" w:rsidRPr="003D101C">
        <w:t>CAJ:</w:t>
      </w:r>
      <w:r w:rsidR="00F3072B" w:rsidRPr="002826C3">
        <w:rPr>
          <w:lang w:val="es-ES"/>
        </w:rPr>
        <w:tab/>
      </w:r>
      <w:r w:rsidR="00D24AE5" w:rsidRPr="003D101C">
        <w:t>Comité Administrativo y Jurídico</w:t>
      </w:r>
    </w:p>
    <w:p w:rsidR="00E56DDB" w:rsidRPr="002826C3" w:rsidRDefault="00E56DDB" w:rsidP="00E56DDB">
      <w:pPr>
        <w:keepNext/>
        <w:tabs>
          <w:tab w:val="left" w:pos="567"/>
          <w:tab w:val="left" w:pos="1701"/>
        </w:tabs>
        <w:rPr>
          <w:lang w:val="es-ES"/>
        </w:rPr>
      </w:pPr>
      <w:r w:rsidRPr="002826C3">
        <w:rPr>
          <w:lang w:val="es-ES"/>
        </w:rPr>
        <w:tab/>
      </w:r>
      <w:r w:rsidR="00D24AE5" w:rsidRPr="003D101C">
        <w:t>TC:</w:t>
      </w:r>
      <w:r w:rsidR="00F3072B" w:rsidRPr="002826C3">
        <w:rPr>
          <w:lang w:val="es-ES"/>
        </w:rPr>
        <w:tab/>
      </w:r>
      <w:r w:rsidR="00D24AE5" w:rsidRPr="003D101C">
        <w:t>Comité Técnico</w:t>
      </w:r>
    </w:p>
    <w:p w:rsidR="00E56DDB" w:rsidRPr="002826C3" w:rsidRDefault="00E56DDB" w:rsidP="00E56DDB">
      <w:pPr>
        <w:keepNext/>
        <w:tabs>
          <w:tab w:val="left" w:pos="567"/>
          <w:tab w:val="left" w:pos="1701"/>
        </w:tabs>
        <w:rPr>
          <w:rFonts w:eastAsia="PMingLiU"/>
          <w:szCs w:val="24"/>
          <w:lang w:val="es-ES"/>
        </w:rPr>
      </w:pPr>
      <w:r w:rsidRPr="002826C3">
        <w:rPr>
          <w:rFonts w:eastAsia="PMingLiU"/>
          <w:szCs w:val="24"/>
          <w:lang w:val="es-ES"/>
        </w:rPr>
        <w:tab/>
      </w:r>
      <w:r w:rsidR="00D24AE5" w:rsidRPr="003D101C">
        <w:rPr>
          <w:rFonts w:eastAsia="PMingLiU"/>
          <w:szCs w:val="24"/>
        </w:rPr>
        <w:t>TWA:</w:t>
      </w:r>
      <w:r w:rsidR="00F3072B" w:rsidRPr="002826C3">
        <w:rPr>
          <w:rFonts w:eastAsia="PMingLiU"/>
          <w:szCs w:val="24"/>
          <w:lang w:val="es-ES"/>
        </w:rPr>
        <w:tab/>
      </w:r>
      <w:r w:rsidR="00D24AE5" w:rsidRPr="003D101C">
        <w:rPr>
          <w:rFonts w:eastAsia="PMingLiU"/>
          <w:szCs w:val="24"/>
        </w:rPr>
        <w:t>Grupo de Trabajo Técnico sobre Plantas Agrícolas</w:t>
      </w:r>
    </w:p>
    <w:p w:rsidR="00E56DDB" w:rsidRPr="002826C3" w:rsidRDefault="00E56DDB" w:rsidP="00E56DDB">
      <w:pPr>
        <w:keepNext/>
        <w:tabs>
          <w:tab w:val="left" w:pos="567"/>
          <w:tab w:val="left" w:pos="1701"/>
        </w:tabs>
        <w:rPr>
          <w:rFonts w:eastAsia="PMingLiU"/>
          <w:szCs w:val="24"/>
          <w:lang w:val="es-ES"/>
        </w:rPr>
      </w:pPr>
      <w:r w:rsidRPr="002826C3">
        <w:rPr>
          <w:rFonts w:eastAsia="PMingLiU"/>
          <w:szCs w:val="24"/>
          <w:lang w:val="es-ES"/>
        </w:rPr>
        <w:tab/>
      </w:r>
      <w:r w:rsidR="00D24AE5" w:rsidRPr="003D101C">
        <w:rPr>
          <w:rFonts w:eastAsia="PMingLiU"/>
          <w:szCs w:val="24"/>
        </w:rPr>
        <w:t>TWC:</w:t>
      </w:r>
      <w:r w:rsidR="00F3072B" w:rsidRPr="002826C3">
        <w:rPr>
          <w:rFonts w:eastAsia="PMingLiU"/>
          <w:szCs w:val="24"/>
          <w:lang w:val="es-ES"/>
        </w:rPr>
        <w:tab/>
      </w:r>
      <w:r w:rsidR="00D24AE5" w:rsidRPr="003D101C">
        <w:rPr>
          <w:rFonts w:eastAsia="PMingLiU"/>
          <w:szCs w:val="24"/>
        </w:rPr>
        <w:t>Grupo de Trabajo Técnico sobre Automatización y Programas Informáticos</w:t>
      </w:r>
    </w:p>
    <w:p w:rsidR="00E56DDB" w:rsidRPr="002826C3" w:rsidRDefault="00E56DDB" w:rsidP="00E56DDB">
      <w:pPr>
        <w:keepNext/>
        <w:tabs>
          <w:tab w:val="left" w:pos="567"/>
          <w:tab w:val="left" w:pos="1701"/>
        </w:tabs>
        <w:rPr>
          <w:rFonts w:eastAsia="PMingLiU"/>
          <w:szCs w:val="24"/>
          <w:lang w:val="es-ES"/>
        </w:rPr>
      </w:pPr>
      <w:r w:rsidRPr="002826C3">
        <w:rPr>
          <w:rFonts w:eastAsia="PMingLiU"/>
          <w:szCs w:val="24"/>
          <w:lang w:val="es-ES"/>
        </w:rPr>
        <w:tab/>
      </w:r>
      <w:r w:rsidR="00D24AE5" w:rsidRPr="003D101C">
        <w:rPr>
          <w:rFonts w:eastAsia="PMingLiU"/>
          <w:szCs w:val="24"/>
        </w:rPr>
        <w:t>TWF:</w:t>
      </w:r>
      <w:r w:rsidR="00F3072B" w:rsidRPr="002826C3">
        <w:rPr>
          <w:rFonts w:eastAsia="PMingLiU"/>
          <w:szCs w:val="24"/>
          <w:lang w:val="es-ES"/>
        </w:rPr>
        <w:tab/>
      </w:r>
      <w:r w:rsidR="00D24AE5" w:rsidRPr="003D101C">
        <w:rPr>
          <w:rFonts w:eastAsia="PMingLiU"/>
          <w:szCs w:val="24"/>
        </w:rPr>
        <w:t>Grupo de Trabajo Técnico sobre Plantas Frutales</w:t>
      </w:r>
    </w:p>
    <w:p w:rsidR="00E56DDB" w:rsidRPr="002826C3" w:rsidRDefault="00E56DDB" w:rsidP="00E56DDB">
      <w:pPr>
        <w:keepNext/>
        <w:tabs>
          <w:tab w:val="left" w:pos="567"/>
          <w:tab w:val="left" w:pos="1701"/>
        </w:tabs>
        <w:rPr>
          <w:rFonts w:eastAsia="PMingLiU"/>
          <w:szCs w:val="24"/>
          <w:lang w:val="es-ES"/>
        </w:rPr>
      </w:pPr>
      <w:r w:rsidRPr="002826C3">
        <w:rPr>
          <w:rFonts w:eastAsia="PMingLiU"/>
          <w:szCs w:val="24"/>
          <w:lang w:val="es-ES"/>
        </w:rPr>
        <w:tab/>
      </w:r>
      <w:r w:rsidR="00D24AE5" w:rsidRPr="003D101C">
        <w:rPr>
          <w:rFonts w:eastAsia="PMingLiU"/>
          <w:szCs w:val="24"/>
        </w:rPr>
        <w:t>TWO:</w:t>
      </w:r>
      <w:r w:rsidR="00F3072B" w:rsidRPr="002826C3">
        <w:rPr>
          <w:rFonts w:eastAsia="PMingLiU"/>
          <w:szCs w:val="24"/>
          <w:lang w:val="es-ES"/>
        </w:rPr>
        <w:tab/>
      </w:r>
      <w:r w:rsidR="00D24AE5" w:rsidRPr="003D101C">
        <w:rPr>
          <w:rFonts w:eastAsia="PMingLiU"/>
          <w:szCs w:val="24"/>
        </w:rPr>
        <w:t>Grupo de Trabajo Técnico sobre Plantas Ornamentales y Árboles Forestales</w:t>
      </w:r>
    </w:p>
    <w:p w:rsidR="00E56DDB" w:rsidRPr="002826C3" w:rsidRDefault="00E56DDB" w:rsidP="00E56DDB">
      <w:pPr>
        <w:keepNext/>
        <w:tabs>
          <w:tab w:val="left" w:pos="567"/>
          <w:tab w:val="left" w:pos="1701"/>
        </w:tabs>
        <w:rPr>
          <w:rFonts w:eastAsia="PMingLiU"/>
          <w:szCs w:val="24"/>
          <w:lang w:val="es-ES"/>
        </w:rPr>
      </w:pPr>
      <w:r w:rsidRPr="002826C3">
        <w:rPr>
          <w:rFonts w:eastAsia="PMingLiU"/>
          <w:szCs w:val="24"/>
          <w:lang w:val="es-ES"/>
        </w:rPr>
        <w:tab/>
      </w:r>
      <w:r w:rsidR="00D24AE5" w:rsidRPr="007337F9">
        <w:rPr>
          <w:rFonts w:eastAsia="PMingLiU"/>
          <w:szCs w:val="24"/>
        </w:rPr>
        <w:t>TWP:</w:t>
      </w:r>
      <w:r w:rsidR="00F3072B" w:rsidRPr="002826C3">
        <w:rPr>
          <w:rFonts w:eastAsia="PMingLiU"/>
          <w:szCs w:val="24"/>
          <w:lang w:val="es-ES"/>
        </w:rPr>
        <w:tab/>
      </w:r>
      <w:r w:rsidR="00D24AE5" w:rsidRPr="003D101C">
        <w:rPr>
          <w:rFonts w:eastAsia="PMingLiU"/>
          <w:szCs w:val="24"/>
        </w:rPr>
        <w:t>Grupo o Grupos de Trabajo Técnico</w:t>
      </w:r>
    </w:p>
    <w:p w:rsidR="00E56DDB" w:rsidRPr="002826C3" w:rsidRDefault="00E56DDB" w:rsidP="00E56DDB">
      <w:pPr>
        <w:tabs>
          <w:tab w:val="left" w:pos="567"/>
          <w:tab w:val="left" w:pos="1701"/>
        </w:tabs>
        <w:rPr>
          <w:lang w:val="es-ES"/>
        </w:rPr>
      </w:pPr>
      <w:r w:rsidRPr="002826C3">
        <w:rPr>
          <w:lang w:val="es-ES"/>
        </w:rPr>
        <w:tab/>
      </w:r>
      <w:r w:rsidR="00D24AE5" w:rsidRPr="003D101C">
        <w:t>TWV:</w:t>
      </w:r>
      <w:r w:rsidR="00F3072B" w:rsidRPr="002826C3">
        <w:rPr>
          <w:lang w:val="es-ES"/>
        </w:rPr>
        <w:tab/>
      </w:r>
      <w:r w:rsidR="00D24AE5" w:rsidRPr="003D101C">
        <w:t>Grupo de Trabajo Técnico sobre Hortalizas</w:t>
      </w:r>
    </w:p>
    <w:p w:rsidR="00E56DDB" w:rsidRDefault="00E56DDB" w:rsidP="00E56DDB">
      <w:pPr>
        <w:tabs>
          <w:tab w:val="left" w:pos="567"/>
          <w:tab w:val="left" w:pos="1701"/>
        </w:tabs>
        <w:rPr>
          <w:rFonts w:cs="Arial"/>
        </w:rPr>
      </w:pPr>
      <w:r w:rsidRPr="002826C3">
        <w:rPr>
          <w:lang w:val="es-ES"/>
        </w:rPr>
        <w:tab/>
      </w:r>
      <w:r w:rsidR="00D24AE5" w:rsidRPr="007337F9">
        <w:rPr>
          <w:rFonts w:cs="Arial" w:hint="eastAsia"/>
          <w:lang w:eastAsia="ja-JP"/>
        </w:rPr>
        <w:t>WG</w:t>
      </w:r>
      <w:r w:rsidR="00D24AE5" w:rsidRPr="007337F9">
        <w:rPr>
          <w:rFonts w:cs="Arial"/>
          <w:lang w:eastAsia="ja-JP"/>
        </w:rPr>
        <w:noBreakHyphen/>
      </w:r>
      <w:r w:rsidR="00D24AE5" w:rsidRPr="007337F9">
        <w:rPr>
          <w:rFonts w:cs="Arial" w:hint="eastAsia"/>
          <w:lang w:eastAsia="ja-JP"/>
        </w:rPr>
        <w:t>DST</w:t>
      </w:r>
      <w:r w:rsidR="00D24AE5" w:rsidRPr="007337F9">
        <w:rPr>
          <w:rFonts w:cs="Arial"/>
          <w:lang w:eastAsia="ja-JP"/>
        </w:rPr>
        <w:t>:</w:t>
      </w:r>
      <w:r w:rsidRPr="002826C3">
        <w:rPr>
          <w:rFonts w:cs="Arial"/>
          <w:lang w:val="es-ES" w:eastAsia="ja-JP"/>
        </w:rPr>
        <w:tab/>
      </w:r>
      <w:r w:rsidR="00D24AE5" w:rsidRPr="007337F9">
        <w:rPr>
          <w:rFonts w:cs="Arial"/>
        </w:rPr>
        <w:t>Grupo de trabajo para la elaboración de un instrumento de la UPOV de búsqueda de denominaciones similares</w:t>
      </w:r>
    </w:p>
    <w:p w:rsidR="00F130BB" w:rsidRPr="002826C3" w:rsidRDefault="00F130BB" w:rsidP="00E56DDB">
      <w:pPr>
        <w:tabs>
          <w:tab w:val="left" w:pos="567"/>
          <w:tab w:val="left" w:pos="1701"/>
        </w:tabs>
        <w:rPr>
          <w:lang w:val="es-ES"/>
        </w:rPr>
      </w:pPr>
    </w:p>
    <w:p w:rsidR="00E56DDB" w:rsidRPr="002826C3" w:rsidRDefault="00B01818" w:rsidP="007337F9">
      <w:pPr>
        <w:keepNext/>
        <w:spacing w:after="240"/>
        <w:rPr>
          <w:color w:val="000000"/>
          <w:lang w:val="es-ES"/>
        </w:rPr>
      </w:pPr>
      <w:r w:rsidRPr="002C2C18">
        <w:rPr>
          <w:color w:val="000000"/>
        </w:rPr>
        <w:fldChar w:fldCharType="begin"/>
      </w:r>
      <w:r w:rsidR="00E56DDB" w:rsidRPr="002826C3">
        <w:rPr>
          <w:color w:val="000000"/>
          <w:lang w:val="es-ES"/>
        </w:rPr>
        <w:instrText xml:space="preserve"> AUTONUM  </w:instrText>
      </w:r>
      <w:r w:rsidRPr="002C2C18">
        <w:rPr>
          <w:color w:val="000000"/>
        </w:rPr>
        <w:fldChar w:fldCharType="end"/>
      </w:r>
      <w:r w:rsidR="00E56DDB" w:rsidRPr="002826C3">
        <w:rPr>
          <w:color w:val="000000"/>
          <w:lang w:val="es-ES"/>
        </w:rPr>
        <w:tab/>
      </w:r>
      <w:r w:rsidR="00D24AE5" w:rsidRPr="003D101C">
        <w:t>El presente documento se estructura del modo siguiente:</w:t>
      </w:r>
      <w:r w:rsidR="001511C4" w:rsidRPr="002826C3">
        <w:rPr>
          <w:color w:val="000000"/>
          <w:lang w:val="es-ES"/>
        </w:rPr>
        <w:t xml:space="preserve">  </w:t>
      </w:r>
    </w:p>
    <w:p w:rsidR="00FA18B2" w:rsidRDefault="00B01818" w:rsidP="00F130BB">
      <w:pPr>
        <w:pStyle w:val="TOC1"/>
        <w:rPr>
          <w:rFonts w:ascii="Times New Roman" w:hAnsi="Times New Roman"/>
          <w:sz w:val="24"/>
          <w:szCs w:val="24"/>
          <w:lang w:val="es-ES_tradnl" w:eastAsia="es-ES_tradnl"/>
        </w:rPr>
      </w:pPr>
      <w:r w:rsidRPr="00DD7287">
        <w:rPr>
          <w:rFonts w:cs="Arial"/>
          <w:sz w:val="18"/>
          <w:szCs w:val="18"/>
        </w:rPr>
        <w:fldChar w:fldCharType="begin"/>
      </w:r>
      <w:r w:rsidR="00E56DDB" w:rsidRPr="00805287">
        <w:rPr>
          <w:rFonts w:cs="Arial"/>
        </w:rPr>
        <w:instrText xml:space="preserve"> TOC \o "1-3" \u </w:instrText>
      </w:r>
      <w:r w:rsidRPr="00DD7287">
        <w:rPr>
          <w:rFonts w:cs="Arial"/>
          <w:sz w:val="18"/>
          <w:szCs w:val="18"/>
        </w:rPr>
        <w:fldChar w:fldCharType="separate"/>
      </w:r>
      <w:r w:rsidR="00FA18B2" w:rsidRPr="00482155">
        <w:rPr>
          <w:lang w:val="es-ES_tradnl" w:eastAsia="ja-JP"/>
        </w:rPr>
        <w:t>RESUMEN</w:t>
      </w:r>
      <w:r w:rsidR="00FA18B2" w:rsidRPr="00805287">
        <w:tab/>
      </w:r>
      <w:r w:rsidR="00FA18B2">
        <w:fldChar w:fldCharType="begin"/>
      </w:r>
      <w:r w:rsidR="00FA18B2" w:rsidRPr="00805287">
        <w:instrText xml:space="preserve"> PAGEREF _Toc432410650 \h </w:instrText>
      </w:r>
      <w:r w:rsidR="00FA18B2">
        <w:fldChar w:fldCharType="separate"/>
      </w:r>
      <w:r w:rsidR="00D52763">
        <w:t>1</w:t>
      </w:r>
      <w:r w:rsidR="00FA18B2">
        <w:fldChar w:fldCharType="end"/>
      </w:r>
    </w:p>
    <w:p w:rsidR="00FA18B2" w:rsidRDefault="00FA18B2" w:rsidP="00F130BB">
      <w:pPr>
        <w:pStyle w:val="TOC1"/>
        <w:rPr>
          <w:rFonts w:ascii="Times New Roman" w:hAnsi="Times New Roman"/>
          <w:sz w:val="24"/>
          <w:szCs w:val="24"/>
          <w:lang w:val="es-ES_tradnl" w:eastAsia="es-ES_tradnl"/>
        </w:rPr>
      </w:pPr>
      <w:r w:rsidRPr="00482155">
        <w:rPr>
          <w:lang w:val="es-ES_tradnl" w:eastAsia="ja-JP"/>
        </w:rPr>
        <w:t>Finalidad</w:t>
      </w:r>
      <w:r w:rsidRPr="00805287">
        <w:tab/>
      </w:r>
      <w:r>
        <w:fldChar w:fldCharType="begin"/>
      </w:r>
      <w:r w:rsidRPr="00805287">
        <w:instrText xml:space="preserve"> PAGEREF _Toc432410651 \h </w:instrText>
      </w:r>
      <w:r>
        <w:fldChar w:fldCharType="separate"/>
      </w:r>
      <w:r w:rsidR="00D52763">
        <w:t>2</w:t>
      </w:r>
      <w:r>
        <w:fldChar w:fldCharType="end"/>
      </w:r>
    </w:p>
    <w:p w:rsidR="00FA18B2" w:rsidRDefault="00FA18B2" w:rsidP="00F130BB">
      <w:pPr>
        <w:pStyle w:val="TOC1"/>
        <w:rPr>
          <w:rFonts w:ascii="Times New Roman" w:hAnsi="Times New Roman"/>
          <w:sz w:val="24"/>
          <w:szCs w:val="24"/>
          <w:lang w:val="es-ES_tradnl" w:eastAsia="es-ES_tradnl"/>
        </w:rPr>
      </w:pPr>
      <w:r w:rsidRPr="00482155">
        <w:rPr>
          <w:lang w:val="es-ES_tradnl"/>
        </w:rPr>
        <w:t>Base de datos GENIE</w:t>
      </w:r>
      <w:r w:rsidRPr="00805287">
        <w:tab/>
      </w:r>
      <w:r>
        <w:fldChar w:fldCharType="begin"/>
      </w:r>
      <w:r w:rsidRPr="00805287">
        <w:instrText xml:space="preserve"> PAGEREF _Toc432410652 \h </w:instrText>
      </w:r>
      <w:r>
        <w:fldChar w:fldCharType="separate"/>
      </w:r>
      <w:r w:rsidR="00D52763">
        <w:t>2</w:t>
      </w:r>
      <w:r>
        <w:fldChar w:fldCharType="end"/>
      </w:r>
    </w:p>
    <w:p w:rsidR="00FA18B2" w:rsidRDefault="00FA18B2" w:rsidP="00F130BB">
      <w:pPr>
        <w:pStyle w:val="TOC2"/>
        <w:rPr>
          <w:rFonts w:ascii="Times New Roman" w:hAnsi="Times New Roman"/>
          <w:sz w:val="24"/>
          <w:szCs w:val="24"/>
          <w:lang w:val="es-ES_tradnl" w:eastAsia="es-ES_tradnl"/>
        </w:rPr>
      </w:pPr>
      <w:r w:rsidRPr="00482155">
        <w:rPr>
          <w:snapToGrid w:val="0"/>
          <w:lang w:val="es-ES_tradnl" w:eastAsia="ja-JP"/>
        </w:rPr>
        <w:t>Información actualizada</w:t>
      </w:r>
      <w:r w:rsidRPr="00805287">
        <w:tab/>
      </w:r>
      <w:r>
        <w:fldChar w:fldCharType="begin"/>
      </w:r>
      <w:r w:rsidRPr="00805287">
        <w:instrText xml:space="preserve"> PAGEREF _Toc432410653 \h </w:instrText>
      </w:r>
      <w:r>
        <w:fldChar w:fldCharType="separate"/>
      </w:r>
      <w:r w:rsidR="00D52763">
        <w:t>2</w:t>
      </w:r>
      <w:r>
        <w:fldChar w:fldCharType="end"/>
      </w:r>
    </w:p>
    <w:p w:rsidR="00FA18B2" w:rsidRDefault="00FA18B2" w:rsidP="00F130BB">
      <w:pPr>
        <w:pStyle w:val="TOC1"/>
        <w:rPr>
          <w:rFonts w:ascii="Times New Roman" w:hAnsi="Times New Roman"/>
          <w:sz w:val="24"/>
          <w:szCs w:val="24"/>
          <w:lang w:val="es-ES_tradnl" w:eastAsia="es-ES_tradnl"/>
        </w:rPr>
      </w:pPr>
      <w:r w:rsidRPr="00482155">
        <w:rPr>
          <w:lang w:val="es-ES_tradnl"/>
        </w:rPr>
        <w:t>BASE DE DATOS PLUTO</w:t>
      </w:r>
      <w:r w:rsidRPr="00805287">
        <w:tab/>
      </w:r>
      <w:r>
        <w:fldChar w:fldCharType="begin"/>
      </w:r>
      <w:r w:rsidRPr="00805287">
        <w:instrText xml:space="preserve"> PAGEREF _Toc432410654 \h </w:instrText>
      </w:r>
      <w:r>
        <w:fldChar w:fldCharType="separate"/>
      </w:r>
      <w:r w:rsidR="00D52763">
        <w:t>3</w:t>
      </w:r>
      <w:r>
        <w:fldChar w:fldCharType="end"/>
      </w:r>
    </w:p>
    <w:p w:rsidR="00FA18B2" w:rsidRDefault="00FA18B2" w:rsidP="00F130BB">
      <w:pPr>
        <w:pStyle w:val="TOC2"/>
        <w:rPr>
          <w:rFonts w:ascii="Times New Roman" w:hAnsi="Times New Roman"/>
          <w:sz w:val="24"/>
          <w:szCs w:val="24"/>
          <w:lang w:val="es-ES_tradnl" w:eastAsia="es-ES_tradnl"/>
        </w:rPr>
      </w:pPr>
      <w:r w:rsidRPr="00482155">
        <w:rPr>
          <w:snapToGrid w:val="0"/>
          <w:lang w:val="es-ES_tradnl" w:eastAsia="ja-JP"/>
        </w:rPr>
        <w:t>Información actualizada</w:t>
      </w:r>
      <w:r w:rsidRPr="00805287">
        <w:tab/>
      </w:r>
      <w:r>
        <w:fldChar w:fldCharType="begin"/>
      </w:r>
      <w:r w:rsidRPr="00805287">
        <w:instrText xml:space="preserve"> PAGEREF _Toc432410655 \h </w:instrText>
      </w:r>
      <w:r>
        <w:fldChar w:fldCharType="separate"/>
      </w:r>
      <w:r w:rsidR="00D52763">
        <w:t>3</w:t>
      </w:r>
      <w:r>
        <w:fldChar w:fldCharType="end"/>
      </w:r>
    </w:p>
    <w:p w:rsidR="00FA18B2" w:rsidRDefault="00FA18B2" w:rsidP="00F130BB">
      <w:pPr>
        <w:pStyle w:val="TOC2"/>
        <w:rPr>
          <w:rFonts w:ascii="Times New Roman" w:hAnsi="Times New Roman"/>
          <w:sz w:val="24"/>
          <w:szCs w:val="24"/>
          <w:lang w:eastAsia="es-ES_tradnl"/>
        </w:rPr>
      </w:pPr>
      <w:r w:rsidRPr="00482155">
        <w:t>Curso de formación sobre las aportaciones a la base de datos PLUTO</w:t>
      </w:r>
      <w:r w:rsidRPr="00805287">
        <w:rPr>
          <w:lang w:val="es-ES"/>
        </w:rPr>
        <w:tab/>
      </w:r>
      <w:r>
        <w:fldChar w:fldCharType="begin"/>
      </w:r>
      <w:r w:rsidRPr="00805287">
        <w:rPr>
          <w:lang w:val="es-ES"/>
        </w:rPr>
        <w:instrText xml:space="preserve"> PAGEREF _Toc432410656 \h </w:instrText>
      </w:r>
      <w:r>
        <w:fldChar w:fldCharType="separate"/>
      </w:r>
      <w:r w:rsidR="00D52763">
        <w:rPr>
          <w:lang w:val="es-ES"/>
        </w:rPr>
        <w:t>3</w:t>
      </w:r>
      <w:r>
        <w:fldChar w:fldCharType="end"/>
      </w:r>
    </w:p>
    <w:p w:rsidR="00FA18B2" w:rsidRDefault="00FA18B2" w:rsidP="00F130BB">
      <w:pPr>
        <w:pStyle w:val="TOC2"/>
        <w:rPr>
          <w:rFonts w:ascii="Times New Roman" w:hAnsi="Times New Roman"/>
          <w:sz w:val="24"/>
          <w:szCs w:val="24"/>
          <w:lang w:val="es-ES_tradnl" w:eastAsia="es-ES_tradnl"/>
        </w:rPr>
      </w:pPr>
      <w:r w:rsidRPr="00482155">
        <w:rPr>
          <w:snapToGrid w:val="0"/>
          <w:lang w:val="es-ES_tradnl" w:eastAsia="ja-JP"/>
        </w:rPr>
        <w:t>Propuestas del WG</w:t>
      </w:r>
      <w:r w:rsidRPr="00482155">
        <w:rPr>
          <w:snapToGrid w:val="0"/>
          <w:lang w:val="es-ES_tradnl" w:eastAsia="ja-JP"/>
        </w:rPr>
        <w:noBreakHyphen/>
        <w:t>DST</w:t>
      </w:r>
      <w:r w:rsidRPr="00805287">
        <w:tab/>
      </w:r>
      <w:r>
        <w:fldChar w:fldCharType="begin"/>
      </w:r>
      <w:r w:rsidRPr="00805287">
        <w:instrText xml:space="preserve"> PAGEREF _Toc432410657 \h </w:instrText>
      </w:r>
      <w:r>
        <w:fldChar w:fldCharType="separate"/>
      </w:r>
      <w:r w:rsidR="00D52763">
        <w:t>4</w:t>
      </w:r>
      <w:r>
        <w:fldChar w:fldCharType="end"/>
      </w:r>
    </w:p>
    <w:p w:rsidR="00FA18B2" w:rsidRDefault="00FA18B2" w:rsidP="00F130BB">
      <w:pPr>
        <w:pStyle w:val="TOC3"/>
        <w:ind w:left="1134"/>
        <w:rPr>
          <w:rFonts w:ascii="Times New Roman" w:hAnsi="Times New Roman"/>
          <w:i w:val="0"/>
          <w:sz w:val="24"/>
          <w:szCs w:val="24"/>
          <w:lang w:val="es-ES_tradnl" w:eastAsia="es-ES_tradnl"/>
        </w:rPr>
      </w:pPr>
      <w:r w:rsidRPr="00482155">
        <w:rPr>
          <w:lang w:val="es-ES_tradnl" w:eastAsia="ja-JP"/>
        </w:rPr>
        <w:t>Acentos y caracteres especiales</w:t>
      </w:r>
      <w:r w:rsidRPr="00805287">
        <w:rPr>
          <w:lang w:val="es-ES"/>
        </w:rPr>
        <w:tab/>
      </w:r>
      <w:r>
        <w:fldChar w:fldCharType="begin"/>
      </w:r>
      <w:r w:rsidRPr="00805287">
        <w:rPr>
          <w:lang w:val="es-ES"/>
        </w:rPr>
        <w:instrText xml:space="preserve"> PAGEREF _Toc432410658 \h </w:instrText>
      </w:r>
      <w:r>
        <w:fldChar w:fldCharType="separate"/>
      </w:r>
      <w:r w:rsidR="00D52763">
        <w:rPr>
          <w:lang w:val="es-ES"/>
        </w:rPr>
        <w:t>4</w:t>
      </w:r>
      <w:r>
        <w:fldChar w:fldCharType="end"/>
      </w:r>
    </w:p>
    <w:p w:rsidR="00FA18B2" w:rsidRDefault="00FA18B2" w:rsidP="00F130BB">
      <w:pPr>
        <w:pStyle w:val="TOC3"/>
        <w:ind w:left="1134"/>
        <w:rPr>
          <w:rFonts w:ascii="Times New Roman" w:hAnsi="Times New Roman"/>
          <w:i w:val="0"/>
          <w:sz w:val="24"/>
          <w:szCs w:val="24"/>
          <w:lang w:val="es-ES_tradnl" w:eastAsia="es-ES_tradnl"/>
        </w:rPr>
      </w:pPr>
      <w:r w:rsidRPr="00482155">
        <w:rPr>
          <w:lang w:val="es-ES_tradnl" w:eastAsia="ja-JP"/>
        </w:rPr>
        <w:t>Contenido de la base de datos PLUTO</w:t>
      </w:r>
      <w:r w:rsidRPr="00805287">
        <w:rPr>
          <w:lang w:val="es-ES"/>
        </w:rPr>
        <w:tab/>
      </w:r>
      <w:r>
        <w:fldChar w:fldCharType="begin"/>
      </w:r>
      <w:r w:rsidRPr="00805287">
        <w:rPr>
          <w:lang w:val="es-ES"/>
        </w:rPr>
        <w:instrText xml:space="preserve"> PAGEREF _Toc432410659 \h </w:instrText>
      </w:r>
      <w:r>
        <w:fldChar w:fldCharType="separate"/>
      </w:r>
      <w:r w:rsidR="00D52763">
        <w:rPr>
          <w:lang w:val="es-ES"/>
        </w:rPr>
        <w:t>5</w:t>
      </w:r>
      <w:r>
        <w:fldChar w:fldCharType="end"/>
      </w:r>
    </w:p>
    <w:p w:rsidR="00FA18B2" w:rsidRDefault="00FA18B2" w:rsidP="00F130BB">
      <w:pPr>
        <w:pStyle w:val="TOC3"/>
        <w:ind w:left="1134"/>
        <w:rPr>
          <w:rFonts w:ascii="Times New Roman" w:hAnsi="Times New Roman"/>
          <w:i w:val="0"/>
          <w:sz w:val="24"/>
          <w:szCs w:val="24"/>
          <w:lang w:val="es-ES_tradnl" w:eastAsia="es-ES_tradnl"/>
        </w:rPr>
      </w:pPr>
      <w:r w:rsidRPr="00805287">
        <w:rPr>
          <w:lang w:val="es-ES" w:eastAsia="ja-JP"/>
        </w:rPr>
        <w:t>Términos no válidos para las denominaciones de variedades</w:t>
      </w:r>
      <w:r w:rsidRPr="00805287">
        <w:rPr>
          <w:lang w:val="es-ES"/>
        </w:rPr>
        <w:tab/>
      </w:r>
      <w:r>
        <w:fldChar w:fldCharType="begin"/>
      </w:r>
      <w:r w:rsidRPr="00805287">
        <w:rPr>
          <w:lang w:val="es-ES"/>
        </w:rPr>
        <w:instrText xml:space="preserve"> PAGEREF _Toc432410660 \h </w:instrText>
      </w:r>
      <w:r>
        <w:fldChar w:fldCharType="separate"/>
      </w:r>
      <w:r w:rsidR="00D52763">
        <w:rPr>
          <w:lang w:val="es-ES"/>
        </w:rPr>
        <w:t>5</w:t>
      </w:r>
      <w:r>
        <w:fldChar w:fldCharType="end"/>
      </w:r>
    </w:p>
    <w:p w:rsidR="00E56DDB" w:rsidRPr="00805287" w:rsidRDefault="00B01818" w:rsidP="00E56DDB">
      <w:pPr>
        <w:rPr>
          <w:lang w:val="es-ES"/>
        </w:rPr>
      </w:pPr>
      <w:r w:rsidRPr="00DD7287">
        <w:fldChar w:fldCharType="end"/>
      </w:r>
    </w:p>
    <w:p w:rsidR="00E56DDB" w:rsidRPr="00805287" w:rsidRDefault="00E56DDB" w:rsidP="00E56DDB">
      <w:pPr>
        <w:rPr>
          <w:lang w:val="es-ES"/>
        </w:rPr>
      </w:pPr>
    </w:p>
    <w:p w:rsidR="00E56DDB" w:rsidRPr="00805287" w:rsidRDefault="00E56DDB" w:rsidP="00E56DDB">
      <w:pPr>
        <w:jc w:val="left"/>
        <w:rPr>
          <w:caps/>
          <w:lang w:val="es-ES" w:eastAsia="ja-JP"/>
        </w:rPr>
      </w:pPr>
    </w:p>
    <w:p w:rsidR="00E56DDB" w:rsidRPr="002826C3" w:rsidRDefault="00D24AE5" w:rsidP="00E56DDB">
      <w:pPr>
        <w:pStyle w:val="Heading1"/>
        <w:rPr>
          <w:lang w:val="es-ES" w:eastAsia="ja-JP"/>
        </w:rPr>
      </w:pPr>
      <w:bookmarkStart w:id="6" w:name="_Toc432410651"/>
      <w:r w:rsidRPr="003D101C">
        <w:rPr>
          <w:lang w:val="es-ES_tradnl" w:eastAsia="ja-JP"/>
        </w:rPr>
        <w:t>Finalidad</w:t>
      </w:r>
      <w:bookmarkEnd w:id="6"/>
    </w:p>
    <w:p w:rsidR="00E56DDB" w:rsidRPr="002826C3" w:rsidRDefault="00E56DDB" w:rsidP="00E56DDB">
      <w:pPr>
        <w:rPr>
          <w:lang w:val="es-ES" w:eastAsia="ja-JP"/>
        </w:rPr>
      </w:pPr>
    </w:p>
    <w:p w:rsidR="00E56DDB" w:rsidRPr="002826C3" w:rsidRDefault="00B01818" w:rsidP="00E56DDB">
      <w:pPr>
        <w:rPr>
          <w:rFonts w:cs="Arial"/>
          <w:lang w:val="es-ES"/>
        </w:rPr>
      </w:pPr>
      <w:r w:rsidRPr="001E700D">
        <w:fldChar w:fldCharType="begin"/>
      </w:r>
      <w:r w:rsidR="00E56DDB" w:rsidRPr="002826C3">
        <w:rPr>
          <w:lang w:val="es-ES"/>
        </w:rPr>
        <w:instrText xml:space="preserve"> AUTONUM  </w:instrText>
      </w:r>
      <w:r w:rsidRPr="001E700D">
        <w:fldChar w:fldCharType="end"/>
      </w:r>
      <w:r w:rsidR="00E56DDB" w:rsidRPr="002826C3">
        <w:rPr>
          <w:lang w:val="es-ES"/>
        </w:rPr>
        <w:tab/>
      </w:r>
      <w:r w:rsidR="00D24AE5" w:rsidRPr="003D101C">
        <w:t>El presente documento tiene por finalidad</w:t>
      </w:r>
      <w:r w:rsidR="001511C4" w:rsidRPr="002826C3">
        <w:rPr>
          <w:lang w:val="es-ES"/>
        </w:rPr>
        <w:t xml:space="preserve"> </w:t>
      </w:r>
      <w:r w:rsidR="00D24AE5" w:rsidRPr="003D101C">
        <w:t>informar de las novedades que se han producido en relación con la base de datos GENIE</w:t>
      </w:r>
      <w:r w:rsidR="001679D2" w:rsidRPr="002826C3">
        <w:rPr>
          <w:lang w:val="es-ES"/>
        </w:rPr>
        <w:t xml:space="preserve"> </w:t>
      </w:r>
      <w:r w:rsidR="00B748AB" w:rsidRPr="007337F9">
        <w:t>y proporcionar información actualizada sobre la labor y las propuestas del Grupo de trabajo para la elaboración de un instrumento de la UPOV de búsqueda de denominaciones similares (</w:t>
      </w:r>
      <w:r w:rsidR="00B748AB" w:rsidRPr="007337F9">
        <w:rPr>
          <w:rFonts w:cs="Arial"/>
          <w:lang w:eastAsia="ja-JP"/>
        </w:rPr>
        <w:t>WG</w:t>
      </w:r>
      <w:r w:rsidR="00B748AB" w:rsidRPr="007337F9">
        <w:rPr>
          <w:rFonts w:cs="Arial"/>
          <w:lang w:eastAsia="ja-JP"/>
        </w:rPr>
        <w:noBreakHyphen/>
        <w:t>DST</w:t>
      </w:r>
      <w:r w:rsidR="00B748AB" w:rsidRPr="007337F9">
        <w:t xml:space="preserve">) </w:t>
      </w:r>
      <w:r w:rsidR="007337F9" w:rsidRPr="007337F9">
        <w:t xml:space="preserve">respecto de </w:t>
      </w:r>
      <w:r w:rsidR="00B748AB" w:rsidRPr="007337F9">
        <w:t>la base de datos PLUTO.</w:t>
      </w:r>
    </w:p>
    <w:p w:rsidR="00E56DDB" w:rsidRDefault="00E56DDB" w:rsidP="00E56DDB">
      <w:pPr>
        <w:rPr>
          <w:lang w:val="es-ES" w:eastAsia="ja-JP"/>
        </w:rPr>
      </w:pPr>
    </w:p>
    <w:p w:rsidR="00EF659E" w:rsidRPr="002826C3" w:rsidRDefault="00EF659E" w:rsidP="00E56DDB">
      <w:pPr>
        <w:rPr>
          <w:lang w:val="es-ES" w:eastAsia="ja-JP"/>
        </w:rPr>
      </w:pPr>
    </w:p>
    <w:p w:rsidR="00E56DDB" w:rsidRPr="002826C3" w:rsidRDefault="00E56DDB" w:rsidP="00E56DDB">
      <w:pPr>
        <w:jc w:val="left"/>
        <w:rPr>
          <w:caps/>
          <w:lang w:val="es-ES"/>
        </w:rPr>
      </w:pPr>
    </w:p>
    <w:p w:rsidR="00E56DDB" w:rsidRPr="002826C3" w:rsidRDefault="00D24AE5" w:rsidP="00E56DDB">
      <w:pPr>
        <w:pStyle w:val="Heading1"/>
        <w:rPr>
          <w:lang w:val="es-ES"/>
        </w:rPr>
      </w:pPr>
      <w:bookmarkStart w:id="7" w:name="_Toc432410652"/>
      <w:r w:rsidRPr="003D101C">
        <w:rPr>
          <w:lang w:val="es-ES_tradnl"/>
        </w:rPr>
        <w:t>Base de datos GENIE</w:t>
      </w:r>
      <w:bookmarkEnd w:id="7"/>
    </w:p>
    <w:p w:rsidR="00E56DDB" w:rsidRPr="002826C3" w:rsidRDefault="00E56DDB" w:rsidP="00E56DDB">
      <w:pPr>
        <w:keepNext/>
        <w:rPr>
          <w:lang w:val="es-ES" w:eastAsia="ja-JP"/>
        </w:rPr>
      </w:pPr>
    </w:p>
    <w:p w:rsidR="00E56DDB" w:rsidRPr="002826C3" w:rsidRDefault="008C1690" w:rsidP="00E56DDB">
      <w:pPr>
        <w:pStyle w:val="Heading2"/>
        <w:rPr>
          <w:snapToGrid w:val="0"/>
          <w:lang w:val="es-ES" w:eastAsia="ja-JP"/>
        </w:rPr>
      </w:pPr>
      <w:bookmarkStart w:id="8" w:name="_Toc432410653"/>
      <w:r w:rsidRPr="00F545B1">
        <w:rPr>
          <w:snapToGrid w:val="0"/>
          <w:lang w:val="es-ES_tradnl" w:eastAsia="ja-JP"/>
        </w:rPr>
        <w:t>Información actualizada</w:t>
      </w:r>
      <w:bookmarkEnd w:id="8"/>
    </w:p>
    <w:p w:rsidR="00E56DDB" w:rsidRPr="002826C3" w:rsidRDefault="00E56DDB" w:rsidP="00E56DDB">
      <w:pPr>
        <w:keepNext/>
        <w:rPr>
          <w:lang w:val="es-ES" w:eastAsia="ja-JP"/>
        </w:rPr>
      </w:pPr>
    </w:p>
    <w:p w:rsidR="00E56DDB" w:rsidRPr="002826C3" w:rsidRDefault="00B01818" w:rsidP="00E56DDB">
      <w:pPr>
        <w:rPr>
          <w:rFonts w:cs="Arial"/>
          <w:lang w:val="es-ES"/>
        </w:rPr>
      </w:pPr>
      <w:r w:rsidRPr="00FB2998">
        <w:rPr>
          <w:rFonts w:cs="Arial"/>
        </w:rPr>
        <w:fldChar w:fldCharType="begin"/>
      </w:r>
      <w:r w:rsidR="00E56DDB" w:rsidRPr="002826C3">
        <w:rPr>
          <w:rFonts w:cs="Arial"/>
          <w:lang w:val="es-ES"/>
        </w:rPr>
        <w:instrText xml:space="preserve"> AUTONUM  </w:instrText>
      </w:r>
      <w:r w:rsidRPr="00FB2998">
        <w:rPr>
          <w:rFonts w:cs="Arial"/>
        </w:rPr>
        <w:fldChar w:fldCharType="end"/>
      </w:r>
      <w:r w:rsidR="00E56DDB" w:rsidRPr="002826C3">
        <w:rPr>
          <w:rFonts w:cs="Arial"/>
          <w:lang w:val="es-ES"/>
        </w:rPr>
        <w:tab/>
      </w:r>
      <w:r w:rsidR="00D24AE5" w:rsidRPr="00F545B1">
        <w:rPr>
          <w:rFonts w:cs="Arial"/>
        </w:rPr>
        <w:t xml:space="preserve">En su </w:t>
      </w:r>
      <w:r w:rsidR="00D24AE5" w:rsidRPr="00F545B1">
        <w:rPr>
          <w:rFonts w:cs="Arial"/>
          <w:lang w:eastAsia="ja-JP"/>
        </w:rPr>
        <w:t>septuagésima</w:t>
      </w:r>
      <w:r w:rsidR="006B5767" w:rsidRPr="00F545B1">
        <w:rPr>
          <w:rFonts w:cs="Arial"/>
          <w:lang w:eastAsia="ja-JP"/>
        </w:rPr>
        <w:t xml:space="preserve"> primera</w:t>
      </w:r>
      <w:r w:rsidR="00D24AE5" w:rsidRPr="00F545B1">
        <w:rPr>
          <w:rFonts w:cs="Arial"/>
        </w:rPr>
        <w:t xml:space="preserve"> sesión,</w:t>
      </w:r>
      <w:r w:rsidR="00D24AE5" w:rsidRPr="00F545B1">
        <w:rPr>
          <w:rStyle w:val="FootnoteReference"/>
          <w:rFonts w:cs="Arial"/>
        </w:rPr>
        <w:footnoteReference w:id="2"/>
      </w:r>
      <w:r w:rsidR="00D24AE5" w:rsidRPr="00F545B1">
        <w:rPr>
          <w:rFonts w:cs="Arial"/>
        </w:rPr>
        <w:t xml:space="preserve"> </w:t>
      </w:r>
      <w:r w:rsidR="006B5767" w:rsidRPr="00F545B1">
        <w:rPr>
          <w:rFonts w:cs="Arial"/>
        </w:rPr>
        <w:t xml:space="preserve">el </w:t>
      </w:r>
      <w:r w:rsidR="00D24AE5" w:rsidRPr="00F545B1">
        <w:rPr>
          <w:rFonts w:cs="Arial"/>
        </w:rPr>
        <w:t xml:space="preserve">CAJ </w:t>
      </w:r>
      <w:r w:rsidR="006B5767" w:rsidRPr="00F545B1">
        <w:rPr>
          <w:rFonts w:cs="Arial"/>
        </w:rPr>
        <w:t>tomó nota</w:t>
      </w:r>
      <w:r w:rsidR="00D24AE5" w:rsidRPr="00F545B1">
        <w:rPr>
          <w:rFonts w:cs="Arial"/>
        </w:rPr>
        <w:t>:</w:t>
      </w:r>
      <w:r w:rsidR="001511C4" w:rsidRPr="002826C3">
        <w:rPr>
          <w:rFonts w:cs="Arial"/>
          <w:lang w:val="es-ES"/>
        </w:rPr>
        <w:t xml:space="preserve">  </w:t>
      </w:r>
    </w:p>
    <w:p w:rsidR="00E56DDB" w:rsidRPr="002826C3" w:rsidRDefault="00E56DDB" w:rsidP="00E56DDB">
      <w:pPr>
        <w:rPr>
          <w:rFonts w:cs="Arial"/>
          <w:lang w:val="es-ES"/>
        </w:rPr>
      </w:pPr>
    </w:p>
    <w:p w:rsidR="00E56DDB" w:rsidRPr="002826C3" w:rsidRDefault="009B159A" w:rsidP="00E56DDB">
      <w:pPr>
        <w:pStyle w:val="ListParagraph"/>
        <w:numPr>
          <w:ilvl w:val="0"/>
          <w:numId w:val="1"/>
        </w:numPr>
        <w:rPr>
          <w:rFonts w:cs="Arial"/>
          <w:lang w:val="es-ES"/>
        </w:rPr>
      </w:pPr>
      <w:r w:rsidRPr="00F545B1">
        <w:rPr>
          <w:rFonts w:cs="Arial"/>
          <w:lang w:val="es-ES_tradnl"/>
        </w:rPr>
        <w:t xml:space="preserve">de </w:t>
      </w:r>
      <w:r w:rsidR="00A6598D" w:rsidRPr="00F545B1">
        <w:rPr>
          <w:rFonts w:cs="Arial"/>
          <w:lang w:val="es-ES_tradnl"/>
        </w:rPr>
        <w:t>la información sobre el tipo o los tipos de cultivo asignados a los códigos UPOV empleados actualmente en la base de datos PLUTO, tal como se expone en los párrafos 10 y 11 del documento CAJ/71/5</w:t>
      </w:r>
      <w:r w:rsidR="00D56F8D" w:rsidRPr="00F545B1">
        <w:rPr>
          <w:rFonts w:cs="Arial"/>
          <w:lang w:val="es-ES_tradnl"/>
        </w:rPr>
        <w:t>;</w:t>
      </w:r>
      <w:r w:rsidR="00E56DDB">
        <w:rPr>
          <w:rStyle w:val="FootnoteReference"/>
          <w:rFonts w:cs="Arial"/>
        </w:rPr>
        <w:footnoteReference w:id="3"/>
      </w:r>
    </w:p>
    <w:p w:rsidR="00E56DDB" w:rsidRPr="002826C3" w:rsidRDefault="00E56DDB" w:rsidP="00E56DDB">
      <w:pPr>
        <w:rPr>
          <w:rFonts w:cs="Arial"/>
          <w:lang w:val="es-ES"/>
        </w:rPr>
      </w:pPr>
    </w:p>
    <w:p w:rsidR="00E56DDB" w:rsidRPr="002826C3" w:rsidRDefault="009B159A" w:rsidP="00E56DDB">
      <w:pPr>
        <w:pStyle w:val="ListParagraph"/>
        <w:numPr>
          <w:ilvl w:val="0"/>
          <w:numId w:val="1"/>
        </w:numPr>
        <w:rPr>
          <w:rFonts w:cs="Arial"/>
          <w:lang w:val="es-ES"/>
        </w:rPr>
      </w:pPr>
      <w:r w:rsidRPr="00F545B1">
        <w:rPr>
          <w:rFonts w:cs="Arial"/>
          <w:lang w:val="es-ES_tradnl"/>
        </w:rPr>
        <w:t>de que se introducir</w:t>
      </w:r>
      <w:r w:rsidR="00A211BE" w:rsidRPr="00F545B1">
        <w:rPr>
          <w:rFonts w:cs="Arial"/>
          <w:lang w:val="es-ES_tradnl"/>
        </w:rPr>
        <w:t>ía</w:t>
      </w:r>
      <w:r w:rsidRPr="00F545B1">
        <w:rPr>
          <w:rFonts w:cs="Arial"/>
          <w:lang w:val="es-ES_tradnl"/>
        </w:rPr>
        <w:t xml:space="preserve"> la información sobre el tipo o los tipos de cultivo en la base de datos GENIE y de que, antes de finales de marzo de 2015, se modificar</w:t>
      </w:r>
      <w:r w:rsidR="00A211BE" w:rsidRPr="00F545B1">
        <w:rPr>
          <w:rFonts w:cs="Arial"/>
          <w:lang w:val="es-ES_tradnl"/>
        </w:rPr>
        <w:t>ía</w:t>
      </w:r>
      <w:r w:rsidRPr="00F545B1">
        <w:rPr>
          <w:rFonts w:cs="Arial"/>
          <w:lang w:val="es-ES_tradnl"/>
        </w:rPr>
        <w:t xml:space="preserve"> esa base de datos a fin de mostrar el tipo o los tipos de cultivo para cada código UPOV;</w:t>
      </w:r>
      <w:r w:rsidR="00E56DDB">
        <w:rPr>
          <w:rStyle w:val="FootnoteReference"/>
          <w:rFonts w:cs="Arial"/>
        </w:rPr>
        <w:footnoteReference w:id="4"/>
      </w:r>
    </w:p>
    <w:p w:rsidR="00E56DDB" w:rsidRPr="002826C3" w:rsidRDefault="00E56DDB" w:rsidP="00E56DDB">
      <w:pPr>
        <w:rPr>
          <w:rFonts w:cs="Arial"/>
          <w:lang w:val="es-ES"/>
        </w:rPr>
      </w:pPr>
    </w:p>
    <w:p w:rsidR="00E56DDB" w:rsidRPr="002826C3" w:rsidRDefault="00350857" w:rsidP="00EF659E">
      <w:pPr>
        <w:pStyle w:val="ListParagraph"/>
        <w:keepNext/>
        <w:numPr>
          <w:ilvl w:val="0"/>
          <w:numId w:val="1"/>
        </w:numPr>
        <w:rPr>
          <w:rFonts w:cs="Arial"/>
          <w:lang w:val="es-ES"/>
        </w:rPr>
      </w:pPr>
      <w:r w:rsidRPr="00F545B1">
        <w:rPr>
          <w:rFonts w:cs="Arial"/>
          <w:lang w:val="es-ES_tradnl"/>
        </w:rPr>
        <w:lastRenderedPageBreak/>
        <w:t>de que, antes de finales de marzo de 2015, también se introducir</w:t>
      </w:r>
      <w:r w:rsidR="00A211BE" w:rsidRPr="00F545B1">
        <w:rPr>
          <w:rFonts w:cs="Arial"/>
          <w:lang w:val="es-ES_tradnl"/>
        </w:rPr>
        <w:t>ía</w:t>
      </w:r>
      <w:r w:rsidRPr="00F545B1">
        <w:rPr>
          <w:rFonts w:cs="Arial"/>
          <w:lang w:val="es-ES_tradnl"/>
        </w:rPr>
        <w:t xml:space="preserve"> en la página web de la base de datos GENIE un informe estándar que muestre las asignaciones de los TWP a los códigos UPOV;</w:t>
      </w:r>
      <w:r w:rsidR="00E56DDB">
        <w:rPr>
          <w:rStyle w:val="FootnoteReference"/>
          <w:rFonts w:cs="Arial"/>
        </w:rPr>
        <w:footnoteReference w:id="5"/>
      </w:r>
    </w:p>
    <w:p w:rsidR="00E56DDB" w:rsidRPr="002826C3" w:rsidRDefault="00E56DDB" w:rsidP="00E56DDB">
      <w:pPr>
        <w:rPr>
          <w:rFonts w:cs="Arial"/>
          <w:lang w:val="es-ES"/>
        </w:rPr>
      </w:pPr>
    </w:p>
    <w:p w:rsidR="00E56DDB" w:rsidRPr="002826C3" w:rsidRDefault="00350857" w:rsidP="00E56DDB">
      <w:pPr>
        <w:pStyle w:val="ListParagraph"/>
        <w:numPr>
          <w:ilvl w:val="0"/>
          <w:numId w:val="1"/>
        </w:numPr>
        <w:rPr>
          <w:rFonts w:cs="Arial"/>
          <w:lang w:val="es-ES"/>
        </w:rPr>
      </w:pPr>
      <w:r w:rsidRPr="00F545B1">
        <w:rPr>
          <w:rFonts w:cs="Arial"/>
          <w:lang w:val="es-ES_tradnl"/>
        </w:rPr>
        <w:t>de que la asignación del tipo o los tipos de cultivo a otros códigos UPOV se realizar</w:t>
      </w:r>
      <w:r w:rsidR="00A211BE" w:rsidRPr="00F545B1">
        <w:rPr>
          <w:rFonts w:cs="Arial"/>
          <w:lang w:val="es-ES_tradnl"/>
        </w:rPr>
        <w:t>á</w:t>
      </w:r>
      <w:r w:rsidRPr="00F545B1">
        <w:rPr>
          <w:rFonts w:cs="Arial"/>
          <w:lang w:val="es-ES_tradnl"/>
        </w:rPr>
        <w:t xml:space="preserve"> cuando esos códigos se utilicen en la base de datos PLUTO por primera vez;</w:t>
      </w:r>
      <w:r w:rsidR="00E56DDB">
        <w:rPr>
          <w:rStyle w:val="FootnoteReference"/>
          <w:rFonts w:cs="Arial"/>
        </w:rPr>
        <w:footnoteReference w:id="6"/>
      </w:r>
      <w:r w:rsidR="00E56DDB" w:rsidRPr="002826C3">
        <w:rPr>
          <w:rFonts w:cs="Arial"/>
          <w:lang w:val="es-ES"/>
        </w:rPr>
        <w:t xml:space="preserve">  </w:t>
      </w:r>
      <w:r w:rsidRPr="003D101C">
        <w:rPr>
          <w:rFonts w:cs="Arial"/>
          <w:lang w:val="es-ES_tradnl"/>
        </w:rPr>
        <w:t>y</w:t>
      </w:r>
    </w:p>
    <w:p w:rsidR="00E56DDB" w:rsidRPr="002826C3" w:rsidRDefault="00E56DDB" w:rsidP="00E56DDB">
      <w:pPr>
        <w:rPr>
          <w:rFonts w:cs="Arial"/>
          <w:lang w:val="es-ES"/>
        </w:rPr>
      </w:pPr>
    </w:p>
    <w:p w:rsidR="00E56DDB" w:rsidRPr="002826C3" w:rsidRDefault="00350857" w:rsidP="00E56DDB">
      <w:pPr>
        <w:pStyle w:val="ListParagraph"/>
        <w:numPr>
          <w:ilvl w:val="0"/>
          <w:numId w:val="1"/>
        </w:numPr>
        <w:rPr>
          <w:rFonts w:cs="Arial"/>
          <w:lang w:val="es-ES"/>
        </w:rPr>
      </w:pPr>
      <w:r w:rsidRPr="00F545B1">
        <w:rPr>
          <w:rFonts w:cs="Arial"/>
          <w:lang w:val="es-ES_tradnl"/>
        </w:rPr>
        <w:t>de que la Oficina de la Unión elaborar</w:t>
      </w:r>
      <w:r w:rsidR="00A211BE" w:rsidRPr="00F545B1">
        <w:rPr>
          <w:rFonts w:cs="Arial"/>
          <w:lang w:val="es-ES_tradnl"/>
        </w:rPr>
        <w:t>ía</w:t>
      </w:r>
      <w:r w:rsidRPr="00F545B1">
        <w:rPr>
          <w:rFonts w:cs="Arial"/>
          <w:lang w:val="es-ES_tradnl"/>
        </w:rPr>
        <w:t>, para cada una de las reuniones de los TWP que se celebr</w:t>
      </w:r>
      <w:r w:rsidR="00F545B1" w:rsidRPr="00F545B1">
        <w:rPr>
          <w:rFonts w:cs="Arial"/>
          <w:lang w:val="es-ES_tradnl"/>
        </w:rPr>
        <w:t>e</w:t>
      </w:r>
      <w:r w:rsidRPr="00F545B1">
        <w:rPr>
          <w:rFonts w:cs="Arial"/>
          <w:lang w:val="es-ES_tradnl"/>
        </w:rPr>
        <w:t>n en 2015, cuadros de asignación del tipo o los tipos de cultivo a los códigos UPOV utilizados en la base de datos PLUTO por primera vez, con el fin de que las autoridades competentes los verifiquen.</w:t>
      </w:r>
      <w:r w:rsidR="00E56DDB">
        <w:rPr>
          <w:rStyle w:val="FootnoteReference"/>
          <w:rFonts w:cs="Arial"/>
        </w:rPr>
        <w:footnoteReference w:id="7"/>
      </w:r>
    </w:p>
    <w:p w:rsidR="00E56DDB" w:rsidRPr="002826C3" w:rsidRDefault="00E56DDB" w:rsidP="00E56DDB">
      <w:pPr>
        <w:rPr>
          <w:rFonts w:eastAsia="SimSun"/>
          <w:snapToGrid w:val="0"/>
          <w:lang w:val="es-ES" w:eastAsia="ja-JP"/>
        </w:rPr>
      </w:pPr>
    </w:p>
    <w:p w:rsidR="00E56DDB" w:rsidRPr="002826C3" w:rsidRDefault="00B01818" w:rsidP="00E56DDB">
      <w:pPr>
        <w:rPr>
          <w:snapToGrid w:val="0"/>
          <w:lang w:val="es-ES" w:eastAsia="ja-JP"/>
        </w:rPr>
      </w:pPr>
      <w:r w:rsidRPr="007C0D12">
        <w:rPr>
          <w:rFonts w:eastAsia="SimSun"/>
          <w:snapToGrid w:val="0"/>
          <w:lang w:eastAsia="ja-JP"/>
        </w:rPr>
        <w:fldChar w:fldCharType="begin"/>
      </w:r>
      <w:r w:rsidR="00E56DDB" w:rsidRPr="002826C3">
        <w:rPr>
          <w:rFonts w:eastAsia="SimSun"/>
          <w:snapToGrid w:val="0"/>
          <w:lang w:val="es-ES" w:eastAsia="ja-JP"/>
        </w:rPr>
        <w:instrText xml:space="preserve"> AUTONUM  </w:instrText>
      </w:r>
      <w:r w:rsidRPr="007C0D12">
        <w:rPr>
          <w:rFonts w:eastAsia="SimSun"/>
          <w:snapToGrid w:val="0"/>
          <w:lang w:eastAsia="ja-JP"/>
        </w:rPr>
        <w:fldChar w:fldCharType="end"/>
      </w:r>
      <w:r w:rsidR="00E56DDB" w:rsidRPr="002826C3">
        <w:rPr>
          <w:rFonts w:eastAsia="SimSun"/>
          <w:snapToGrid w:val="0"/>
          <w:lang w:val="es-ES" w:eastAsia="ja-JP"/>
        </w:rPr>
        <w:tab/>
      </w:r>
      <w:r w:rsidR="00BD4E91" w:rsidRPr="00F545B1">
        <w:rPr>
          <w:rFonts w:eastAsia="SimSun"/>
          <w:snapToGrid w:val="0"/>
          <w:lang w:eastAsia="ja-JP"/>
        </w:rPr>
        <w:t>Se ha introducido la información sobre el tipo o los tipos de cultivo en la base de datos GENIE, que ha sido modificada a fin de mostrar el tipo o los tipos de cultivo para cada código UPOV.</w:t>
      </w:r>
      <w:r w:rsidR="00E56DDB" w:rsidRPr="007C0D12">
        <w:rPr>
          <w:rStyle w:val="FootnoteReference"/>
          <w:rFonts w:eastAsia="SimSun"/>
          <w:lang w:eastAsia="ja-JP"/>
        </w:rPr>
        <w:footnoteReference w:id="8"/>
      </w:r>
      <w:r w:rsidR="006B5767" w:rsidRPr="002826C3">
        <w:rPr>
          <w:rFonts w:eastAsia="SimSun"/>
          <w:lang w:val="es-ES" w:eastAsia="ja-JP"/>
        </w:rPr>
        <w:t xml:space="preserve">  </w:t>
      </w:r>
      <w:r w:rsidR="00F545B1" w:rsidRPr="00F545B1">
        <w:rPr>
          <w:rFonts w:eastAsia="SimSun"/>
          <w:snapToGrid w:val="0"/>
          <w:lang w:eastAsia="ja-JP"/>
        </w:rPr>
        <w:t xml:space="preserve">Asimismo, se </w:t>
      </w:r>
      <w:r w:rsidR="00156735" w:rsidRPr="00F545B1">
        <w:rPr>
          <w:rFonts w:eastAsia="SimSun"/>
          <w:snapToGrid w:val="0"/>
          <w:lang w:eastAsia="ja-JP"/>
        </w:rPr>
        <w:t xml:space="preserve">ha introducido </w:t>
      </w:r>
      <w:r w:rsidR="00156735" w:rsidRPr="00F545B1">
        <w:rPr>
          <w:snapToGrid w:val="0"/>
          <w:lang w:eastAsia="ja-JP"/>
        </w:rPr>
        <w:t>en la página web de la base de datos GENIE un informe estándar que muestra las asignaciones de los TWP a los códigos UPOV.</w:t>
      </w:r>
      <w:r w:rsidR="00E56DDB" w:rsidRPr="007C0D12">
        <w:rPr>
          <w:rStyle w:val="FootnoteReference"/>
          <w:snapToGrid w:val="0"/>
          <w:lang w:eastAsia="ja-JP"/>
        </w:rPr>
        <w:footnoteReference w:id="9"/>
      </w:r>
    </w:p>
    <w:p w:rsidR="00E56DDB" w:rsidRPr="002826C3" w:rsidRDefault="00E56DDB" w:rsidP="00E56DDB">
      <w:pPr>
        <w:rPr>
          <w:snapToGrid w:val="0"/>
          <w:lang w:val="es-ES" w:eastAsia="ja-JP"/>
        </w:rPr>
      </w:pPr>
    </w:p>
    <w:p w:rsidR="00E56DDB" w:rsidRPr="002826C3" w:rsidRDefault="00B01818" w:rsidP="00E56DDB">
      <w:pPr>
        <w:rPr>
          <w:lang w:val="es-ES" w:eastAsia="ja-JP"/>
        </w:rPr>
      </w:pPr>
      <w:r w:rsidRPr="007C0D12">
        <w:rPr>
          <w:snapToGrid w:val="0"/>
        </w:rPr>
        <w:fldChar w:fldCharType="begin"/>
      </w:r>
      <w:r w:rsidR="00E56DDB" w:rsidRPr="002826C3">
        <w:rPr>
          <w:snapToGrid w:val="0"/>
          <w:lang w:val="es-ES"/>
        </w:rPr>
        <w:instrText xml:space="preserve"> AUTONUM  </w:instrText>
      </w:r>
      <w:r w:rsidRPr="007C0D12">
        <w:rPr>
          <w:snapToGrid w:val="0"/>
        </w:rPr>
        <w:fldChar w:fldCharType="end"/>
      </w:r>
      <w:r w:rsidR="00E56DDB" w:rsidRPr="002826C3">
        <w:rPr>
          <w:snapToGrid w:val="0"/>
          <w:lang w:val="es-ES"/>
        </w:rPr>
        <w:tab/>
      </w:r>
      <w:r w:rsidR="00A211BE" w:rsidRPr="009062E9">
        <w:rPr>
          <w:snapToGrid w:val="0"/>
        </w:rPr>
        <w:t xml:space="preserve">Solo se ha asignado </w:t>
      </w:r>
      <w:r w:rsidR="00A211BE" w:rsidRPr="009062E9">
        <w:rPr>
          <w:rFonts w:eastAsia="SimSun"/>
          <w:snapToGrid w:val="0"/>
          <w:lang w:eastAsia="ja-JP"/>
        </w:rPr>
        <w:t xml:space="preserve">el tipo o los tipos de cultivo </w:t>
      </w:r>
      <w:r w:rsidR="00A211BE" w:rsidRPr="009062E9">
        <w:rPr>
          <w:snapToGrid w:val="0"/>
        </w:rPr>
        <w:t>a los 3.412 códigos de la UPOV empleados actualmente en la base de datos PLUTO.</w:t>
      </w:r>
      <w:r w:rsidR="00E56DDB" w:rsidRPr="007C0D12">
        <w:rPr>
          <w:rStyle w:val="FootnoteReference"/>
          <w:snapToGrid w:val="0"/>
        </w:rPr>
        <w:footnoteReference w:id="10"/>
      </w:r>
      <w:r w:rsidR="00E56DDB" w:rsidRPr="002826C3">
        <w:rPr>
          <w:snapToGrid w:val="0"/>
          <w:lang w:val="es-ES"/>
        </w:rPr>
        <w:t xml:space="preserve">  </w:t>
      </w:r>
      <w:r w:rsidR="00A211BE" w:rsidRPr="009062E9">
        <w:rPr>
          <w:snapToGrid w:val="0"/>
        </w:rPr>
        <w:t>La asignación del tipo o los tipos de cultivo a otros códigos UPOV se realizará cuando esos códigos se utilicen en la base de datos PLUTO por primera vez.</w:t>
      </w:r>
      <w:r w:rsidR="00E56DDB" w:rsidRPr="002826C3">
        <w:rPr>
          <w:snapToGrid w:val="0"/>
          <w:lang w:val="es-ES"/>
        </w:rPr>
        <w:t xml:space="preserve">  </w:t>
      </w:r>
      <w:r w:rsidR="00A211BE" w:rsidRPr="009062E9">
        <w:rPr>
          <w:snapToGrid w:val="0"/>
        </w:rPr>
        <w:t>La Oficina de la Unión ha elaborado, para cada una de las reuniones de los TWP que se celebren en 2015, cuadros de asignación del tipo o los tipos de cultivo a los códigos UPOV utilizados en la base de datos PLUTO por primera vez, con el fin de que las autoridades competentes los verifiquen.</w:t>
      </w:r>
      <w:r w:rsidR="00E56DDB" w:rsidRPr="007C0D12">
        <w:rPr>
          <w:rStyle w:val="FootnoteReference"/>
          <w:lang w:eastAsia="ja-JP"/>
        </w:rPr>
        <w:footnoteReference w:id="11"/>
      </w:r>
    </w:p>
    <w:p w:rsidR="00E56DDB" w:rsidRPr="002826C3" w:rsidRDefault="00E56DDB" w:rsidP="00E56DDB">
      <w:pPr>
        <w:rPr>
          <w:rFonts w:cs="Arial"/>
          <w:lang w:val="es-ES" w:eastAsia="ja-JP"/>
        </w:rPr>
      </w:pPr>
    </w:p>
    <w:p w:rsidR="00E56DDB" w:rsidRPr="002826C3" w:rsidRDefault="00E56DDB" w:rsidP="00E56DDB">
      <w:pPr>
        <w:rPr>
          <w:lang w:val="es-ES" w:eastAsia="ja-JP"/>
        </w:rPr>
      </w:pPr>
    </w:p>
    <w:p w:rsidR="00E56DDB" w:rsidRPr="002826C3" w:rsidRDefault="00EA2F35" w:rsidP="00E56DDB">
      <w:pPr>
        <w:pStyle w:val="Heading1"/>
        <w:rPr>
          <w:lang w:val="es-ES"/>
        </w:rPr>
      </w:pPr>
      <w:bookmarkStart w:id="9" w:name="_Toc432410654"/>
      <w:r w:rsidRPr="003D101C">
        <w:rPr>
          <w:lang w:val="es-ES_tradnl"/>
        </w:rPr>
        <w:t>BASE DE DATOS PLUTO</w:t>
      </w:r>
      <w:bookmarkEnd w:id="9"/>
    </w:p>
    <w:p w:rsidR="00E56DDB" w:rsidRPr="002826C3" w:rsidRDefault="00E56DDB" w:rsidP="00E56DDB">
      <w:pPr>
        <w:rPr>
          <w:snapToGrid w:val="0"/>
          <w:lang w:val="es-ES" w:eastAsia="ja-JP"/>
        </w:rPr>
      </w:pPr>
    </w:p>
    <w:p w:rsidR="00E56DDB" w:rsidRPr="002826C3" w:rsidRDefault="008C1690" w:rsidP="00E56DDB">
      <w:pPr>
        <w:pStyle w:val="Heading2"/>
        <w:rPr>
          <w:snapToGrid w:val="0"/>
          <w:lang w:val="es-ES" w:eastAsia="ja-JP"/>
        </w:rPr>
      </w:pPr>
      <w:bookmarkStart w:id="10" w:name="_Toc432410655"/>
      <w:r w:rsidRPr="009062E9">
        <w:rPr>
          <w:snapToGrid w:val="0"/>
          <w:lang w:val="es-ES_tradnl" w:eastAsia="ja-JP"/>
        </w:rPr>
        <w:t>Información actualizada</w:t>
      </w:r>
      <w:bookmarkEnd w:id="10"/>
    </w:p>
    <w:p w:rsidR="00E56DDB" w:rsidRPr="002826C3" w:rsidRDefault="00E56DDB" w:rsidP="00E56DDB">
      <w:pPr>
        <w:rPr>
          <w:snapToGrid w:val="0"/>
          <w:lang w:val="es-ES" w:eastAsia="ja-JP"/>
        </w:rPr>
      </w:pPr>
    </w:p>
    <w:p w:rsidR="00E56DDB" w:rsidRPr="002826C3" w:rsidRDefault="00B01818" w:rsidP="00E56DDB">
      <w:pPr>
        <w:rPr>
          <w:rFonts w:cs="Arial"/>
          <w:lang w:val="es-ES"/>
        </w:rPr>
      </w:pPr>
      <w:r w:rsidRPr="00FB2998">
        <w:rPr>
          <w:rFonts w:cs="Arial"/>
        </w:rPr>
        <w:fldChar w:fldCharType="begin"/>
      </w:r>
      <w:r w:rsidR="00E56DDB" w:rsidRPr="002826C3">
        <w:rPr>
          <w:rFonts w:cs="Arial"/>
          <w:lang w:val="es-ES"/>
        </w:rPr>
        <w:instrText xml:space="preserve"> AUTONUM  </w:instrText>
      </w:r>
      <w:r w:rsidRPr="00FB2998">
        <w:rPr>
          <w:rFonts w:cs="Arial"/>
        </w:rPr>
        <w:fldChar w:fldCharType="end"/>
      </w:r>
      <w:r w:rsidR="00E56DDB" w:rsidRPr="002826C3">
        <w:rPr>
          <w:rFonts w:cs="Arial"/>
          <w:lang w:val="es-ES"/>
        </w:rPr>
        <w:tab/>
      </w:r>
      <w:r w:rsidR="008C1690" w:rsidRPr="009062E9">
        <w:rPr>
          <w:rFonts w:cs="Arial"/>
        </w:rPr>
        <w:t>En su septuagésima primera sesión, el CAJ:</w:t>
      </w:r>
      <w:r w:rsidR="001511C4" w:rsidRPr="002826C3">
        <w:rPr>
          <w:rFonts w:cs="Arial"/>
          <w:lang w:val="es-ES"/>
        </w:rPr>
        <w:t xml:space="preserve">  </w:t>
      </w:r>
    </w:p>
    <w:p w:rsidR="00E56DDB" w:rsidRPr="002826C3" w:rsidRDefault="00E56DDB" w:rsidP="00E56DDB">
      <w:pPr>
        <w:rPr>
          <w:snapToGrid w:val="0"/>
          <w:lang w:val="es-ES" w:eastAsia="ja-JP"/>
        </w:rPr>
      </w:pPr>
    </w:p>
    <w:p w:rsidR="00E56DDB" w:rsidRPr="002826C3" w:rsidRDefault="008C1690" w:rsidP="00E56DDB">
      <w:pPr>
        <w:pStyle w:val="ListParagraph"/>
        <w:numPr>
          <w:ilvl w:val="0"/>
          <w:numId w:val="2"/>
        </w:numPr>
        <w:rPr>
          <w:snapToGrid w:val="0"/>
          <w:lang w:val="es-ES" w:eastAsia="ja-JP"/>
        </w:rPr>
      </w:pPr>
      <w:r w:rsidRPr="009062E9">
        <w:rPr>
          <w:snapToGrid w:val="0"/>
          <w:lang w:val="es-ES_tradnl" w:eastAsia="ja-JP"/>
        </w:rPr>
        <w:t>tomó nota de que, antes de finales de marzo de 2015, se introduciría una columna adicional en la pantalla de búsqueda de la base de datos PLUTO en la que se muestre la fecha en que se proporcionó la información;</w:t>
      </w:r>
      <w:r w:rsidR="00E56DDB">
        <w:rPr>
          <w:rStyle w:val="FootnoteReference"/>
          <w:snapToGrid w:val="0"/>
          <w:lang w:eastAsia="ja-JP"/>
        </w:rPr>
        <w:footnoteReference w:id="12"/>
      </w:r>
      <w:r w:rsidR="00E56DDB" w:rsidRPr="002826C3">
        <w:rPr>
          <w:snapToGrid w:val="0"/>
          <w:lang w:val="es-ES" w:eastAsia="ja-JP"/>
        </w:rPr>
        <w:t xml:space="preserve">  </w:t>
      </w:r>
      <w:r w:rsidRPr="003D101C">
        <w:rPr>
          <w:snapToGrid w:val="0"/>
          <w:lang w:val="es-ES_tradnl" w:eastAsia="ja-JP"/>
        </w:rPr>
        <w:t>y</w:t>
      </w:r>
    </w:p>
    <w:p w:rsidR="00E56DDB" w:rsidRPr="002826C3" w:rsidRDefault="00E56DDB" w:rsidP="00E56DDB">
      <w:pPr>
        <w:rPr>
          <w:snapToGrid w:val="0"/>
          <w:lang w:val="es-ES" w:eastAsia="ja-JP"/>
        </w:rPr>
      </w:pPr>
    </w:p>
    <w:p w:rsidR="00E56DDB" w:rsidRPr="002826C3" w:rsidRDefault="008C1690" w:rsidP="00E56DDB">
      <w:pPr>
        <w:pStyle w:val="ListParagraph"/>
        <w:numPr>
          <w:ilvl w:val="0"/>
          <w:numId w:val="2"/>
        </w:numPr>
        <w:rPr>
          <w:snapToGrid w:val="0"/>
          <w:lang w:val="es-ES" w:eastAsia="ja-JP"/>
        </w:rPr>
      </w:pPr>
      <w:r w:rsidRPr="009062E9">
        <w:rPr>
          <w:snapToGrid w:val="0"/>
          <w:lang w:val="es-ES_tradnl" w:eastAsia="ja-JP"/>
        </w:rPr>
        <w:t>acordó que los campos “Denominación” y “Referencia del obtentor” se</w:t>
      </w:r>
      <w:r w:rsidR="00567015" w:rsidRPr="009062E9">
        <w:rPr>
          <w:snapToGrid w:val="0"/>
          <w:lang w:val="es-ES_tradnl" w:eastAsia="ja-JP"/>
        </w:rPr>
        <w:t>a</w:t>
      </w:r>
      <w:r w:rsidRPr="009062E9">
        <w:rPr>
          <w:snapToGrid w:val="0"/>
          <w:lang w:val="es-ES_tradnl" w:eastAsia="ja-JP"/>
        </w:rPr>
        <w:t>n susceptibles de búsqueda, ya sea de manera individual o combinada, con los instrumentos de búsqueda de denominaciones de la página de “Búsqueda por denominación” de la base de datos PLUTO, tal como se expone en los párrafos 25 y 26 del documento CAJ/71/5.</w:t>
      </w:r>
      <w:r w:rsidR="00E56DDB">
        <w:rPr>
          <w:rStyle w:val="FootnoteReference"/>
          <w:snapToGrid w:val="0"/>
          <w:lang w:eastAsia="ja-JP"/>
        </w:rPr>
        <w:footnoteReference w:id="13"/>
      </w:r>
    </w:p>
    <w:p w:rsidR="00E56DDB" w:rsidRPr="002826C3" w:rsidRDefault="00E56DDB" w:rsidP="00E56DDB">
      <w:pPr>
        <w:rPr>
          <w:snapToGrid w:val="0"/>
          <w:lang w:val="es-ES" w:eastAsia="ja-JP"/>
        </w:rPr>
      </w:pPr>
    </w:p>
    <w:p w:rsidR="00E56DDB" w:rsidRPr="002826C3" w:rsidRDefault="00B01818" w:rsidP="00E56DDB">
      <w:pPr>
        <w:rPr>
          <w:rFonts w:eastAsia="SimSun"/>
          <w:snapToGrid w:val="0"/>
          <w:lang w:val="es-ES" w:eastAsia="ja-JP"/>
        </w:rPr>
      </w:pPr>
      <w:r w:rsidRPr="007C0D12">
        <w:rPr>
          <w:rFonts w:eastAsia="SimSun"/>
          <w:snapToGrid w:val="0"/>
          <w:lang w:eastAsia="ja-JP"/>
        </w:rPr>
        <w:fldChar w:fldCharType="begin"/>
      </w:r>
      <w:r w:rsidR="00E56DDB" w:rsidRPr="002826C3">
        <w:rPr>
          <w:rFonts w:eastAsia="SimSun"/>
          <w:snapToGrid w:val="0"/>
          <w:lang w:val="es-ES" w:eastAsia="ja-JP"/>
        </w:rPr>
        <w:instrText xml:space="preserve"> AUTONUM  </w:instrText>
      </w:r>
      <w:r w:rsidRPr="007C0D12">
        <w:rPr>
          <w:rFonts w:eastAsia="SimSun"/>
          <w:snapToGrid w:val="0"/>
          <w:lang w:eastAsia="ja-JP"/>
        </w:rPr>
        <w:fldChar w:fldCharType="end"/>
      </w:r>
      <w:r w:rsidR="00E56DDB" w:rsidRPr="002826C3">
        <w:rPr>
          <w:rFonts w:eastAsia="SimSun"/>
          <w:snapToGrid w:val="0"/>
          <w:lang w:val="es-ES" w:eastAsia="ja-JP"/>
        </w:rPr>
        <w:tab/>
      </w:r>
      <w:r w:rsidR="00567015" w:rsidRPr="009062E9">
        <w:rPr>
          <w:snapToGrid w:val="0"/>
          <w:lang w:eastAsia="ja-JP"/>
        </w:rPr>
        <w:t>Se ha introducido una columna adicional en la pantalla de búsqueda de la base de datos PLUTO en la que se muestra la fecha en que se proporcionó la información.</w:t>
      </w:r>
    </w:p>
    <w:p w:rsidR="00E56DDB" w:rsidRPr="002826C3" w:rsidRDefault="00E56DDB" w:rsidP="00E56DDB">
      <w:pPr>
        <w:rPr>
          <w:rFonts w:eastAsia="SimSun"/>
          <w:snapToGrid w:val="0"/>
          <w:lang w:val="es-ES" w:eastAsia="ja-JP"/>
        </w:rPr>
      </w:pPr>
    </w:p>
    <w:p w:rsidR="00E56DDB" w:rsidRPr="002826C3" w:rsidRDefault="00B01818" w:rsidP="00E56DDB">
      <w:pPr>
        <w:rPr>
          <w:rFonts w:eastAsia="SimSun"/>
          <w:snapToGrid w:val="0"/>
          <w:lang w:val="es-ES" w:eastAsia="ja-JP"/>
        </w:rPr>
      </w:pPr>
      <w:r w:rsidRPr="007C0D12">
        <w:rPr>
          <w:rFonts w:eastAsia="SimSun"/>
          <w:snapToGrid w:val="0"/>
          <w:lang w:eastAsia="ja-JP"/>
        </w:rPr>
        <w:fldChar w:fldCharType="begin"/>
      </w:r>
      <w:r w:rsidR="00E56DDB" w:rsidRPr="002826C3">
        <w:rPr>
          <w:rFonts w:eastAsia="SimSun"/>
          <w:snapToGrid w:val="0"/>
          <w:lang w:val="es-ES" w:eastAsia="ja-JP"/>
        </w:rPr>
        <w:instrText xml:space="preserve"> AUTONUM  </w:instrText>
      </w:r>
      <w:r w:rsidRPr="007C0D12">
        <w:rPr>
          <w:rFonts w:eastAsia="SimSun"/>
          <w:snapToGrid w:val="0"/>
          <w:lang w:eastAsia="ja-JP"/>
        </w:rPr>
        <w:fldChar w:fldCharType="end"/>
      </w:r>
      <w:r w:rsidR="00E56DDB" w:rsidRPr="002826C3">
        <w:rPr>
          <w:rFonts w:eastAsia="SimSun"/>
          <w:snapToGrid w:val="0"/>
          <w:lang w:val="es-ES" w:eastAsia="ja-JP"/>
        </w:rPr>
        <w:tab/>
      </w:r>
      <w:r w:rsidR="00567015" w:rsidRPr="009062E9">
        <w:rPr>
          <w:snapToGrid w:val="0"/>
          <w:lang w:eastAsia="ja-JP"/>
        </w:rPr>
        <w:t>Se ha introducido una nueva</w:t>
      </w:r>
      <w:r w:rsidR="00567015" w:rsidRPr="009062E9">
        <w:rPr>
          <w:rFonts w:hint="eastAsia"/>
          <w:snapToGrid w:val="0"/>
          <w:lang w:eastAsia="ja-JP"/>
        </w:rPr>
        <w:t xml:space="preserve"> </w:t>
      </w:r>
      <w:r w:rsidR="00567015" w:rsidRPr="009062E9">
        <w:rPr>
          <w:snapToGrid w:val="0"/>
          <w:lang w:eastAsia="ja-JP"/>
        </w:rPr>
        <w:t xml:space="preserve">función </w:t>
      </w:r>
      <w:r w:rsidR="006F3ADB" w:rsidRPr="009062E9">
        <w:rPr>
          <w:snapToGrid w:val="0"/>
          <w:lang w:eastAsia="ja-JP"/>
        </w:rPr>
        <w:t>que permite efectuar</w:t>
      </w:r>
      <w:r w:rsidR="00567015" w:rsidRPr="009062E9">
        <w:rPr>
          <w:snapToGrid w:val="0"/>
          <w:lang w:eastAsia="ja-JP"/>
        </w:rPr>
        <w:t xml:space="preserve"> búsqueda</w:t>
      </w:r>
      <w:r w:rsidR="006F3ADB" w:rsidRPr="009062E9">
        <w:rPr>
          <w:snapToGrid w:val="0"/>
          <w:lang w:eastAsia="ja-JP"/>
        </w:rPr>
        <w:t>s</w:t>
      </w:r>
      <w:r w:rsidR="00567015" w:rsidRPr="009062E9">
        <w:rPr>
          <w:snapToGrid w:val="0"/>
          <w:lang w:eastAsia="ja-JP"/>
        </w:rPr>
        <w:t xml:space="preserve"> </w:t>
      </w:r>
      <w:r w:rsidR="006F3ADB" w:rsidRPr="009062E9">
        <w:rPr>
          <w:snapToGrid w:val="0"/>
          <w:lang w:eastAsia="ja-JP"/>
        </w:rPr>
        <w:t xml:space="preserve">en </w:t>
      </w:r>
      <w:r w:rsidR="00567015" w:rsidRPr="009062E9">
        <w:rPr>
          <w:snapToGrid w:val="0"/>
          <w:lang w:eastAsia="ja-JP"/>
        </w:rPr>
        <w:t xml:space="preserve">los campos de datos “Denominación” y “Referencia del obtentor”, de manera individual o combinada, </w:t>
      </w:r>
      <w:r w:rsidR="006F3ADB" w:rsidRPr="009062E9">
        <w:rPr>
          <w:snapToGrid w:val="0"/>
          <w:lang w:eastAsia="ja-JP"/>
        </w:rPr>
        <w:t>con</w:t>
      </w:r>
      <w:r w:rsidR="00567015" w:rsidRPr="009062E9">
        <w:rPr>
          <w:snapToGrid w:val="0"/>
          <w:lang w:eastAsia="ja-JP"/>
        </w:rPr>
        <w:t xml:space="preserve"> los instrumentos de búsqueda de denominaciones de la página de “Búsqueda por denominación” de la base de datos PLUTO</w:t>
      </w:r>
      <w:r w:rsidR="00567015" w:rsidRPr="009062E9">
        <w:rPr>
          <w:rFonts w:eastAsia="SimSun"/>
          <w:snapToGrid w:val="0"/>
          <w:lang w:eastAsia="ja-JP"/>
        </w:rPr>
        <w:t>.</w:t>
      </w:r>
    </w:p>
    <w:p w:rsidR="00E56DDB" w:rsidRPr="002826C3" w:rsidRDefault="00E56DDB" w:rsidP="00E56DDB">
      <w:pPr>
        <w:rPr>
          <w:u w:val="single"/>
          <w:lang w:val="es-ES"/>
        </w:rPr>
      </w:pPr>
    </w:p>
    <w:p w:rsidR="00E56DDB" w:rsidRPr="002826C3" w:rsidRDefault="00E56DDB" w:rsidP="00E56DDB">
      <w:pPr>
        <w:rPr>
          <w:u w:val="single"/>
          <w:lang w:val="es-ES"/>
        </w:rPr>
      </w:pPr>
    </w:p>
    <w:p w:rsidR="00E56DDB" w:rsidRPr="002826C3" w:rsidRDefault="006303BD" w:rsidP="00E56DDB">
      <w:pPr>
        <w:pStyle w:val="Heading2"/>
        <w:rPr>
          <w:lang w:val="es-ES"/>
        </w:rPr>
      </w:pPr>
      <w:bookmarkStart w:id="11" w:name="_Toc432410656"/>
      <w:r w:rsidRPr="009062E9">
        <w:rPr>
          <w:lang w:val="es-ES_tradnl"/>
        </w:rPr>
        <w:t xml:space="preserve">Curso de formación </w:t>
      </w:r>
      <w:r w:rsidR="00AD12DB" w:rsidRPr="009062E9">
        <w:rPr>
          <w:lang w:val="es-ES_tradnl"/>
        </w:rPr>
        <w:t>sobre</w:t>
      </w:r>
      <w:r w:rsidR="00D1769D" w:rsidRPr="009062E9">
        <w:rPr>
          <w:lang w:val="es-ES_tradnl"/>
        </w:rPr>
        <w:t xml:space="preserve"> las </w:t>
      </w:r>
      <w:r w:rsidR="006F3ADB" w:rsidRPr="009062E9">
        <w:rPr>
          <w:lang w:val="es-ES_tradnl"/>
        </w:rPr>
        <w:t xml:space="preserve">aportaciones </w:t>
      </w:r>
      <w:r w:rsidR="00D1769D" w:rsidRPr="009062E9">
        <w:rPr>
          <w:lang w:val="es-ES_tradnl"/>
        </w:rPr>
        <w:t>a la base de datos PLUTO</w:t>
      </w:r>
      <w:bookmarkEnd w:id="11"/>
    </w:p>
    <w:p w:rsidR="00E56DDB" w:rsidRPr="002826C3" w:rsidRDefault="00E56DDB" w:rsidP="00E56DDB">
      <w:pPr>
        <w:rPr>
          <w:snapToGrid w:val="0"/>
          <w:lang w:val="es-ES" w:eastAsia="ja-JP"/>
        </w:rPr>
      </w:pPr>
    </w:p>
    <w:p w:rsidR="00E56DDB" w:rsidRPr="002826C3" w:rsidRDefault="00B01818" w:rsidP="00E56DDB">
      <w:pPr>
        <w:rPr>
          <w:rFonts w:cs="Arial"/>
          <w:lang w:val="es-ES"/>
        </w:rPr>
      </w:pPr>
      <w:r w:rsidRPr="007528A3">
        <w:rPr>
          <w:rFonts w:eastAsia="SimSun"/>
          <w:snapToGrid w:val="0"/>
          <w:lang w:eastAsia="ja-JP"/>
        </w:rPr>
        <w:fldChar w:fldCharType="begin"/>
      </w:r>
      <w:r w:rsidR="00E56DDB" w:rsidRPr="002826C3">
        <w:rPr>
          <w:rFonts w:eastAsia="SimSun"/>
          <w:snapToGrid w:val="0"/>
          <w:lang w:val="es-ES" w:eastAsia="ja-JP"/>
        </w:rPr>
        <w:instrText xml:space="preserve"> AUTONUM  </w:instrText>
      </w:r>
      <w:r w:rsidRPr="007528A3">
        <w:rPr>
          <w:rFonts w:eastAsia="SimSun"/>
          <w:snapToGrid w:val="0"/>
          <w:lang w:eastAsia="ja-JP"/>
        </w:rPr>
        <w:fldChar w:fldCharType="end"/>
      </w:r>
      <w:r w:rsidR="00E56DDB" w:rsidRPr="002826C3">
        <w:rPr>
          <w:rFonts w:eastAsia="SimSun"/>
          <w:snapToGrid w:val="0"/>
          <w:lang w:val="es-ES" w:eastAsia="ja-JP"/>
        </w:rPr>
        <w:tab/>
      </w:r>
      <w:r w:rsidR="00AD12DB" w:rsidRPr="00A23EAA">
        <w:rPr>
          <w:snapToGrid w:val="0"/>
          <w:lang w:eastAsia="ja-JP"/>
        </w:rPr>
        <w:t>El segundo</w:t>
      </w:r>
      <w:r w:rsidR="00AD12DB" w:rsidRPr="00A23EAA">
        <w:rPr>
          <w:rFonts w:eastAsia="SimSun"/>
          <w:snapToGrid w:val="0"/>
          <w:lang w:eastAsia="ja-JP"/>
        </w:rPr>
        <w:t xml:space="preserve"> curso de formación “Aportación de datos a la base de datos PLUTO” </w:t>
      </w:r>
      <w:r w:rsidR="00AD12DB" w:rsidRPr="00A23EAA">
        <w:rPr>
          <w:snapToGrid w:val="0"/>
          <w:lang w:eastAsia="ja-JP"/>
        </w:rPr>
        <w:t>se impartió</w:t>
      </w:r>
      <w:r w:rsidR="00AD12DB" w:rsidRPr="00A23EAA">
        <w:rPr>
          <w:rFonts w:hint="eastAsia"/>
          <w:snapToGrid w:val="0"/>
          <w:lang w:eastAsia="ja-JP"/>
        </w:rPr>
        <w:t xml:space="preserve"> </w:t>
      </w:r>
      <w:r w:rsidR="00AD12DB" w:rsidRPr="00A23EAA">
        <w:rPr>
          <w:snapToGrid w:val="0"/>
          <w:lang w:eastAsia="ja-JP"/>
        </w:rPr>
        <w:t>en Ginebra</w:t>
      </w:r>
      <w:r w:rsidR="00AD12DB" w:rsidRPr="00A23EAA">
        <w:rPr>
          <w:rFonts w:hint="eastAsia"/>
          <w:snapToGrid w:val="0"/>
          <w:lang w:eastAsia="ja-JP"/>
        </w:rPr>
        <w:t xml:space="preserve"> </w:t>
      </w:r>
      <w:r w:rsidR="00AD12DB" w:rsidRPr="00A23EAA">
        <w:rPr>
          <w:snapToGrid w:val="0"/>
          <w:lang w:eastAsia="ja-JP"/>
        </w:rPr>
        <w:t>del </w:t>
      </w:r>
      <w:r w:rsidR="00AD12DB" w:rsidRPr="00A23EAA">
        <w:rPr>
          <w:rFonts w:hint="eastAsia"/>
          <w:snapToGrid w:val="0"/>
          <w:lang w:eastAsia="ja-JP"/>
        </w:rPr>
        <w:t>7</w:t>
      </w:r>
      <w:r w:rsidR="00AD12DB" w:rsidRPr="00A23EAA">
        <w:rPr>
          <w:snapToGrid w:val="0"/>
          <w:lang w:eastAsia="ja-JP"/>
        </w:rPr>
        <w:t xml:space="preserve"> al </w:t>
      </w:r>
      <w:r w:rsidR="00AD12DB" w:rsidRPr="00A23EAA">
        <w:rPr>
          <w:rFonts w:hint="eastAsia"/>
          <w:snapToGrid w:val="0"/>
          <w:lang w:eastAsia="ja-JP"/>
        </w:rPr>
        <w:t>9</w:t>
      </w:r>
      <w:r w:rsidR="00AD12DB" w:rsidRPr="00A23EAA">
        <w:rPr>
          <w:snapToGrid w:val="0"/>
          <w:lang w:eastAsia="ja-JP"/>
        </w:rPr>
        <w:t xml:space="preserve"> de septiembre de 2015, en inglés</w:t>
      </w:r>
      <w:r w:rsidR="00AD12DB" w:rsidRPr="00A23EAA">
        <w:rPr>
          <w:rFonts w:hint="eastAsia"/>
          <w:snapToGrid w:val="0"/>
          <w:lang w:eastAsia="ja-JP"/>
        </w:rPr>
        <w:t>.</w:t>
      </w:r>
      <w:r w:rsidR="00E56DDB" w:rsidRPr="002826C3">
        <w:rPr>
          <w:rFonts w:hint="eastAsia"/>
          <w:snapToGrid w:val="0"/>
          <w:lang w:val="es-ES" w:eastAsia="ja-JP"/>
        </w:rPr>
        <w:t xml:space="preserve">  </w:t>
      </w:r>
      <w:r w:rsidR="00AD12DB" w:rsidRPr="00A23EAA">
        <w:rPr>
          <w:rFonts w:cs="Arial"/>
        </w:rPr>
        <w:t xml:space="preserve">El propósito del curso fue proporcionar asistencia a </w:t>
      </w:r>
      <w:r w:rsidR="00AD12DB" w:rsidRPr="00A23EAA">
        <w:rPr>
          <w:rFonts w:cs="Arial"/>
        </w:rPr>
        <w:lastRenderedPageBreak/>
        <w:t>miembros de la Unión que no aportaban datos a la base de datos PLUTO o que no lo hacían con regularidad, para que pudieran hacerlo periódicamente.</w:t>
      </w:r>
      <w:r w:rsidR="00E56DDB" w:rsidRPr="002826C3">
        <w:rPr>
          <w:rFonts w:cs="Arial"/>
          <w:lang w:val="es-ES"/>
        </w:rPr>
        <w:t xml:space="preserve"> </w:t>
      </w:r>
    </w:p>
    <w:p w:rsidR="00E56DDB" w:rsidRPr="002826C3" w:rsidRDefault="00E56DDB" w:rsidP="00E56DDB">
      <w:pPr>
        <w:rPr>
          <w:snapToGrid w:val="0"/>
          <w:lang w:val="es-ES" w:eastAsia="ja-JP"/>
        </w:rPr>
      </w:pPr>
    </w:p>
    <w:p w:rsidR="00E56DDB" w:rsidRPr="002826C3" w:rsidRDefault="00B01818" w:rsidP="00E56DDB">
      <w:pPr>
        <w:rPr>
          <w:rFonts w:cs="Arial"/>
          <w:lang w:val="es-ES" w:eastAsia="ja-JP"/>
        </w:rPr>
      </w:pPr>
      <w:r w:rsidRPr="007528A3">
        <w:rPr>
          <w:rFonts w:eastAsia="SimSun"/>
          <w:snapToGrid w:val="0"/>
          <w:lang w:eastAsia="ja-JP"/>
        </w:rPr>
        <w:fldChar w:fldCharType="begin"/>
      </w:r>
      <w:r w:rsidR="00E56DDB" w:rsidRPr="002826C3">
        <w:rPr>
          <w:rFonts w:eastAsia="SimSun"/>
          <w:snapToGrid w:val="0"/>
          <w:lang w:val="es-ES" w:eastAsia="ja-JP"/>
        </w:rPr>
        <w:instrText xml:space="preserve"> AUTONUM  </w:instrText>
      </w:r>
      <w:r w:rsidRPr="007528A3">
        <w:rPr>
          <w:rFonts w:eastAsia="SimSun"/>
          <w:snapToGrid w:val="0"/>
          <w:lang w:eastAsia="ja-JP"/>
        </w:rPr>
        <w:fldChar w:fldCharType="end"/>
      </w:r>
      <w:r w:rsidR="00E56DDB" w:rsidRPr="002826C3">
        <w:rPr>
          <w:rFonts w:eastAsia="SimSun"/>
          <w:snapToGrid w:val="0"/>
          <w:lang w:val="es-ES" w:eastAsia="ja-JP"/>
        </w:rPr>
        <w:tab/>
      </w:r>
      <w:r w:rsidR="00AD12DB" w:rsidRPr="00A23EAA">
        <w:rPr>
          <w:rFonts w:cs="Arial"/>
        </w:rPr>
        <w:t xml:space="preserve">Asistieron al curso de formación participantes de los </w:t>
      </w:r>
      <w:r w:rsidR="00AD12DB" w:rsidRPr="00A23EAA">
        <w:rPr>
          <w:rFonts w:cs="Arial"/>
          <w:lang w:eastAsia="ja-JP"/>
        </w:rPr>
        <w:t>tres</w:t>
      </w:r>
      <w:r w:rsidR="00AD12DB" w:rsidRPr="00A23EAA">
        <w:rPr>
          <w:rFonts w:cs="Arial"/>
        </w:rPr>
        <w:t xml:space="preserve"> </w:t>
      </w:r>
      <w:r w:rsidR="00AD12DB" w:rsidRPr="00A23EAA">
        <w:rPr>
          <w:rFonts w:cs="Arial"/>
          <w:lang w:eastAsia="ja-JP"/>
        </w:rPr>
        <w:t>siguientes</w:t>
      </w:r>
      <w:r w:rsidR="00AD12DB" w:rsidRPr="00A23EAA">
        <w:rPr>
          <w:rFonts w:cs="Arial"/>
        </w:rPr>
        <w:t xml:space="preserve"> miembros de la Unión:</w:t>
      </w:r>
      <w:r w:rsidR="001511C4" w:rsidRPr="002826C3">
        <w:rPr>
          <w:rFonts w:cs="Arial"/>
          <w:lang w:val="es-ES"/>
        </w:rPr>
        <w:t xml:space="preserve">  </w:t>
      </w:r>
      <w:r w:rsidR="00AD12DB" w:rsidRPr="00FA4A9B">
        <w:rPr>
          <w:rFonts w:cs="Arial"/>
          <w:lang w:eastAsia="ja-JP"/>
        </w:rPr>
        <w:t>la ex República Yugoslava de Macedonia, Omán y Sudáfrica.</w:t>
      </w:r>
    </w:p>
    <w:p w:rsidR="00E56DDB" w:rsidRPr="002826C3" w:rsidRDefault="00E56DDB" w:rsidP="00E56DDB">
      <w:pPr>
        <w:autoSpaceDE w:val="0"/>
        <w:autoSpaceDN w:val="0"/>
        <w:adjustRightInd w:val="0"/>
        <w:jc w:val="left"/>
        <w:rPr>
          <w:rFonts w:cs="Arial"/>
          <w:lang w:val="es-ES" w:eastAsia="ja-JP"/>
        </w:rPr>
      </w:pPr>
    </w:p>
    <w:p w:rsidR="00E56DDB" w:rsidRPr="002826C3" w:rsidRDefault="00B01818" w:rsidP="00E56DDB">
      <w:pPr>
        <w:autoSpaceDE w:val="0"/>
        <w:autoSpaceDN w:val="0"/>
        <w:adjustRightInd w:val="0"/>
        <w:rPr>
          <w:snapToGrid w:val="0"/>
          <w:lang w:val="es-ES" w:eastAsia="ja-JP"/>
        </w:rPr>
      </w:pPr>
      <w:r w:rsidRPr="007528A3">
        <w:rPr>
          <w:rFonts w:eastAsia="SimSun"/>
          <w:snapToGrid w:val="0"/>
          <w:lang w:eastAsia="ja-JP"/>
        </w:rPr>
        <w:fldChar w:fldCharType="begin"/>
      </w:r>
      <w:r w:rsidR="00E56DDB" w:rsidRPr="002826C3">
        <w:rPr>
          <w:rFonts w:eastAsia="SimSun"/>
          <w:snapToGrid w:val="0"/>
          <w:lang w:val="es-ES" w:eastAsia="ja-JP"/>
        </w:rPr>
        <w:instrText xml:space="preserve"> AUTONUM  </w:instrText>
      </w:r>
      <w:r w:rsidRPr="007528A3">
        <w:rPr>
          <w:rFonts w:eastAsia="SimSun"/>
          <w:snapToGrid w:val="0"/>
          <w:lang w:eastAsia="ja-JP"/>
        </w:rPr>
        <w:fldChar w:fldCharType="end"/>
      </w:r>
      <w:r w:rsidR="00E56DDB" w:rsidRPr="002826C3">
        <w:rPr>
          <w:rFonts w:eastAsia="SimSun"/>
          <w:snapToGrid w:val="0"/>
          <w:lang w:val="es-ES" w:eastAsia="ja-JP"/>
        </w:rPr>
        <w:tab/>
      </w:r>
      <w:r w:rsidR="00AD12DB" w:rsidRPr="00FA4A9B">
        <w:rPr>
          <w:snapToGrid w:val="0"/>
          <w:lang w:eastAsia="ja-JP"/>
        </w:rPr>
        <w:t xml:space="preserve">El </w:t>
      </w:r>
      <w:r w:rsidR="00AD12DB" w:rsidRPr="00FA4A9B">
        <w:rPr>
          <w:rFonts w:hint="eastAsia"/>
          <w:snapToGrid w:val="0"/>
          <w:lang w:eastAsia="ja-JP"/>
        </w:rPr>
        <w:t>participant</w:t>
      </w:r>
      <w:r w:rsidR="00AD12DB" w:rsidRPr="00FA4A9B">
        <w:rPr>
          <w:snapToGrid w:val="0"/>
          <w:lang w:eastAsia="ja-JP"/>
        </w:rPr>
        <w:t>e</w:t>
      </w:r>
      <w:r w:rsidR="00AD12DB" w:rsidRPr="00FA4A9B">
        <w:rPr>
          <w:rFonts w:hint="eastAsia"/>
          <w:snapToGrid w:val="0"/>
          <w:lang w:eastAsia="ja-JP"/>
        </w:rPr>
        <w:t xml:space="preserve"> </w:t>
      </w:r>
      <w:r w:rsidR="00AD12DB" w:rsidRPr="00FA4A9B">
        <w:rPr>
          <w:snapToGrid w:val="0"/>
          <w:lang w:eastAsia="ja-JP"/>
        </w:rPr>
        <w:t>de Sudáfrica</w:t>
      </w:r>
      <w:r w:rsidR="00AD12DB" w:rsidRPr="00FA4A9B">
        <w:rPr>
          <w:rFonts w:hint="eastAsia"/>
          <w:snapToGrid w:val="0"/>
          <w:lang w:eastAsia="ja-JP"/>
        </w:rPr>
        <w:t xml:space="preserve"> </w:t>
      </w:r>
      <w:r w:rsidR="00AD12DB" w:rsidRPr="00FA4A9B">
        <w:rPr>
          <w:snapToGrid w:val="0"/>
          <w:lang w:eastAsia="ja-JP"/>
        </w:rPr>
        <w:t xml:space="preserve">informó de que </w:t>
      </w:r>
      <w:r w:rsidR="006F3ADB" w:rsidRPr="00FA4A9B">
        <w:rPr>
          <w:snapToGrid w:val="0"/>
          <w:lang w:eastAsia="ja-JP"/>
        </w:rPr>
        <w:t>su país aportará</w:t>
      </w:r>
      <w:r w:rsidR="00AD12DB" w:rsidRPr="00FA4A9B">
        <w:rPr>
          <w:snapToGrid w:val="0"/>
          <w:lang w:eastAsia="ja-JP"/>
        </w:rPr>
        <w:t xml:space="preserve"> </w:t>
      </w:r>
      <w:r w:rsidR="00AD12DB" w:rsidRPr="00FA4A9B">
        <w:rPr>
          <w:rFonts w:cs="Arial"/>
        </w:rPr>
        <w:t xml:space="preserve">datos a la base de datos PLUTO </w:t>
      </w:r>
      <w:r w:rsidR="00AD12DB" w:rsidRPr="00FA4A9B">
        <w:rPr>
          <w:rFonts w:cs="Arial"/>
          <w:lang w:eastAsia="ja-JP"/>
        </w:rPr>
        <w:t>a partir de diciembre de </w:t>
      </w:r>
      <w:r w:rsidR="00AD12DB" w:rsidRPr="00FA4A9B">
        <w:rPr>
          <w:rFonts w:cs="Arial" w:hint="eastAsia"/>
          <w:lang w:eastAsia="ja-JP"/>
        </w:rPr>
        <w:t xml:space="preserve">2015, </w:t>
      </w:r>
      <w:r w:rsidR="006F3ADB" w:rsidRPr="00FA4A9B">
        <w:rPr>
          <w:rFonts w:cs="Arial"/>
          <w:lang w:eastAsia="ja-JP"/>
        </w:rPr>
        <w:t>tras</w:t>
      </w:r>
      <w:r w:rsidR="00AD12DB" w:rsidRPr="00FA4A9B">
        <w:rPr>
          <w:rFonts w:cs="Arial" w:hint="eastAsia"/>
          <w:lang w:eastAsia="ja-JP"/>
        </w:rPr>
        <w:t xml:space="preserve"> </w:t>
      </w:r>
      <w:r w:rsidR="00AD12DB" w:rsidRPr="00FA4A9B">
        <w:rPr>
          <w:rFonts w:cs="Arial"/>
          <w:lang w:eastAsia="ja-JP"/>
        </w:rPr>
        <w:t>la publicación</w:t>
      </w:r>
      <w:r w:rsidR="00AD12DB" w:rsidRPr="00FA4A9B">
        <w:rPr>
          <w:rFonts w:cs="Arial" w:hint="eastAsia"/>
          <w:lang w:eastAsia="ja-JP"/>
        </w:rPr>
        <w:t xml:space="preserve">, </w:t>
      </w:r>
      <w:r w:rsidR="00AD12DB" w:rsidRPr="00FA4A9B">
        <w:rPr>
          <w:rFonts w:cs="Arial"/>
          <w:lang w:eastAsia="ja-JP"/>
        </w:rPr>
        <w:t>cuatro</w:t>
      </w:r>
      <w:r w:rsidR="00AD12DB" w:rsidRPr="00FA4A9B">
        <w:rPr>
          <w:rFonts w:cs="Arial" w:hint="eastAsia"/>
          <w:lang w:eastAsia="ja-JP"/>
        </w:rPr>
        <w:t xml:space="preserve"> </w:t>
      </w:r>
      <w:r w:rsidR="00AD12DB" w:rsidRPr="00FA4A9B">
        <w:rPr>
          <w:rFonts w:cs="Arial"/>
          <w:lang w:eastAsia="ja-JP"/>
        </w:rPr>
        <w:t xml:space="preserve">veces </w:t>
      </w:r>
      <w:r w:rsidR="00AD12DB" w:rsidRPr="00FA4A9B">
        <w:rPr>
          <w:rFonts w:cs="Arial" w:hint="eastAsia"/>
          <w:lang w:eastAsia="ja-JP"/>
        </w:rPr>
        <w:t>a</w:t>
      </w:r>
      <w:r w:rsidR="00AD12DB" w:rsidRPr="00FA4A9B">
        <w:rPr>
          <w:rFonts w:cs="Arial"/>
          <w:lang w:eastAsia="ja-JP"/>
        </w:rPr>
        <w:t>l</w:t>
      </w:r>
      <w:r w:rsidR="00AD12DB" w:rsidRPr="00FA4A9B">
        <w:rPr>
          <w:rFonts w:cs="Arial" w:hint="eastAsia"/>
          <w:lang w:eastAsia="ja-JP"/>
        </w:rPr>
        <w:t xml:space="preserve"> </w:t>
      </w:r>
      <w:r w:rsidR="00AD12DB" w:rsidRPr="00FA4A9B">
        <w:rPr>
          <w:rFonts w:cs="Arial"/>
          <w:lang w:eastAsia="ja-JP"/>
        </w:rPr>
        <w:t>año</w:t>
      </w:r>
      <w:r w:rsidR="00AD12DB" w:rsidRPr="00FA4A9B">
        <w:rPr>
          <w:rFonts w:cs="Arial" w:hint="eastAsia"/>
          <w:lang w:eastAsia="ja-JP"/>
        </w:rPr>
        <w:t>.</w:t>
      </w:r>
    </w:p>
    <w:p w:rsidR="00E56DDB" w:rsidRPr="002826C3" w:rsidRDefault="00E56DDB" w:rsidP="00E56DDB">
      <w:pPr>
        <w:autoSpaceDE w:val="0"/>
        <w:autoSpaceDN w:val="0"/>
        <w:adjustRightInd w:val="0"/>
        <w:jc w:val="left"/>
        <w:rPr>
          <w:rFonts w:cs="Arial"/>
          <w:lang w:val="es-ES" w:eastAsia="ja-JP"/>
        </w:rPr>
      </w:pPr>
    </w:p>
    <w:p w:rsidR="00E56DDB" w:rsidRPr="002826C3" w:rsidRDefault="00B01818" w:rsidP="00E56DDB">
      <w:pPr>
        <w:autoSpaceDE w:val="0"/>
        <w:autoSpaceDN w:val="0"/>
        <w:adjustRightInd w:val="0"/>
        <w:rPr>
          <w:rFonts w:cs="Arial"/>
          <w:lang w:val="es-ES" w:eastAsia="ja-JP"/>
        </w:rPr>
      </w:pPr>
      <w:r w:rsidRPr="007528A3">
        <w:rPr>
          <w:rFonts w:eastAsia="SimSun"/>
          <w:snapToGrid w:val="0"/>
          <w:lang w:eastAsia="ja-JP"/>
        </w:rPr>
        <w:fldChar w:fldCharType="begin"/>
      </w:r>
      <w:r w:rsidR="00E56DDB" w:rsidRPr="002826C3">
        <w:rPr>
          <w:rFonts w:eastAsia="SimSun"/>
          <w:snapToGrid w:val="0"/>
          <w:lang w:val="es-ES" w:eastAsia="ja-JP"/>
        </w:rPr>
        <w:instrText xml:space="preserve"> AUTONUM  </w:instrText>
      </w:r>
      <w:r w:rsidRPr="007528A3">
        <w:rPr>
          <w:rFonts w:eastAsia="SimSun"/>
          <w:snapToGrid w:val="0"/>
          <w:lang w:eastAsia="ja-JP"/>
        </w:rPr>
        <w:fldChar w:fldCharType="end"/>
      </w:r>
      <w:r w:rsidR="00E56DDB" w:rsidRPr="002826C3">
        <w:rPr>
          <w:rFonts w:eastAsia="SimSun"/>
          <w:snapToGrid w:val="0"/>
          <w:lang w:val="es-ES" w:eastAsia="ja-JP"/>
        </w:rPr>
        <w:tab/>
      </w:r>
      <w:r w:rsidR="00AD12DB" w:rsidRPr="00FA4A9B">
        <w:rPr>
          <w:snapToGrid w:val="0"/>
          <w:lang w:eastAsia="ja-JP"/>
        </w:rPr>
        <w:t xml:space="preserve">Los </w:t>
      </w:r>
      <w:r w:rsidR="00AD12DB" w:rsidRPr="00FA4A9B">
        <w:rPr>
          <w:rFonts w:hint="eastAsia"/>
          <w:snapToGrid w:val="0"/>
          <w:lang w:eastAsia="ja-JP"/>
        </w:rPr>
        <w:t>participant</w:t>
      </w:r>
      <w:r w:rsidR="00AD12DB" w:rsidRPr="00FA4A9B">
        <w:rPr>
          <w:snapToGrid w:val="0"/>
          <w:lang w:eastAsia="ja-JP"/>
        </w:rPr>
        <w:t>e</w:t>
      </w:r>
      <w:r w:rsidR="00AD12DB" w:rsidRPr="00FA4A9B">
        <w:rPr>
          <w:rFonts w:hint="eastAsia"/>
          <w:snapToGrid w:val="0"/>
          <w:lang w:eastAsia="ja-JP"/>
        </w:rPr>
        <w:t xml:space="preserve">s </w:t>
      </w:r>
      <w:r w:rsidR="00AD12DB" w:rsidRPr="00FA4A9B">
        <w:rPr>
          <w:snapToGrid w:val="0"/>
          <w:lang w:eastAsia="ja-JP"/>
        </w:rPr>
        <w:t>de Omán</w:t>
      </w:r>
      <w:r w:rsidR="00AD12DB" w:rsidRPr="00FA4A9B">
        <w:rPr>
          <w:rFonts w:hint="eastAsia"/>
          <w:snapToGrid w:val="0"/>
          <w:lang w:eastAsia="ja-JP"/>
        </w:rPr>
        <w:t xml:space="preserve"> </w:t>
      </w:r>
      <w:r w:rsidR="00AD12DB" w:rsidRPr="00FA4A9B">
        <w:rPr>
          <w:snapToGrid w:val="0"/>
          <w:lang w:eastAsia="ja-JP"/>
        </w:rPr>
        <w:t>y</w:t>
      </w:r>
      <w:r w:rsidR="00AD12DB" w:rsidRPr="00FA4A9B">
        <w:rPr>
          <w:rFonts w:hint="eastAsia"/>
          <w:snapToGrid w:val="0"/>
          <w:lang w:eastAsia="ja-JP"/>
        </w:rPr>
        <w:t xml:space="preserve"> </w:t>
      </w:r>
      <w:r w:rsidR="00AD12DB" w:rsidRPr="00FA4A9B">
        <w:rPr>
          <w:snapToGrid w:val="0"/>
          <w:lang w:eastAsia="ja-JP"/>
        </w:rPr>
        <w:t xml:space="preserve">la </w:t>
      </w:r>
      <w:r w:rsidR="00AD12DB" w:rsidRPr="00FA4A9B">
        <w:rPr>
          <w:rFonts w:cs="Arial"/>
          <w:lang w:eastAsia="ja-JP"/>
        </w:rPr>
        <w:t>ex República Yugoslava de Macedonia</w:t>
      </w:r>
      <w:r w:rsidR="00AD12DB" w:rsidRPr="00FA4A9B">
        <w:rPr>
          <w:rFonts w:cs="Arial" w:hint="eastAsia"/>
          <w:lang w:eastAsia="ja-JP"/>
        </w:rPr>
        <w:t xml:space="preserve"> </w:t>
      </w:r>
      <w:r w:rsidR="006F3ADB" w:rsidRPr="00FA4A9B">
        <w:rPr>
          <w:rFonts w:cs="Arial"/>
          <w:lang w:eastAsia="ja-JP"/>
        </w:rPr>
        <w:t>indicaron</w:t>
      </w:r>
      <w:r w:rsidR="00AD12DB" w:rsidRPr="00FA4A9B">
        <w:rPr>
          <w:rFonts w:cs="Arial"/>
          <w:lang w:eastAsia="ja-JP"/>
        </w:rPr>
        <w:t xml:space="preserve"> que no </w:t>
      </w:r>
      <w:r w:rsidR="006F3ADB" w:rsidRPr="00FA4A9B">
        <w:rPr>
          <w:rFonts w:cs="Arial"/>
          <w:lang w:eastAsia="ja-JP"/>
        </w:rPr>
        <w:t xml:space="preserve">aún </w:t>
      </w:r>
      <w:r w:rsidR="00AD12DB" w:rsidRPr="00FA4A9B">
        <w:rPr>
          <w:rFonts w:cs="Arial"/>
          <w:lang w:eastAsia="ja-JP"/>
        </w:rPr>
        <w:t xml:space="preserve">han </w:t>
      </w:r>
      <w:r w:rsidR="00AD12DB" w:rsidRPr="00FA4A9B">
        <w:rPr>
          <w:rFonts w:cs="Arial" w:hint="eastAsia"/>
          <w:lang w:eastAsia="ja-JP"/>
        </w:rPr>
        <w:t>rec</w:t>
      </w:r>
      <w:r w:rsidR="00AD12DB" w:rsidRPr="00FA4A9B">
        <w:rPr>
          <w:rFonts w:cs="Arial"/>
          <w:lang w:eastAsia="ja-JP"/>
        </w:rPr>
        <w:t>ibido solicitudes</w:t>
      </w:r>
      <w:r w:rsidR="00AD12DB" w:rsidRPr="00FA4A9B">
        <w:rPr>
          <w:rFonts w:cs="Arial" w:hint="eastAsia"/>
          <w:lang w:eastAsia="ja-JP"/>
        </w:rPr>
        <w:t xml:space="preserve"> </w:t>
      </w:r>
      <w:r w:rsidR="00AD12DB" w:rsidRPr="00FA4A9B">
        <w:rPr>
          <w:rFonts w:cs="Arial"/>
          <w:lang w:eastAsia="ja-JP"/>
        </w:rPr>
        <w:t>y</w:t>
      </w:r>
      <w:r w:rsidR="00AD12DB" w:rsidRPr="00FA4A9B">
        <w:rPr>
          <w:rFonts w:cs="Arial" w:hint="eastAsia"/>
          <w:lang w:eastAsia="ja-JP"/>
        </w:rPr>
        <w:t xml:space="preserve"> </w:t>
      </w:r>
      <w:r w:rsidR="00AD12DB" w:rsidRPr="00FA4A9B">
        <w:rPr>
          <w:rFonts w:cs="Arial"/>
          <w:lang w:eastAsia="ja-JP"/>
        </w:rPr>
        <w:t>manifestaron su intención</w:t>
      </w:r>
      <w:r w:rsidR="00AD12DB" w:rsidRPr="00FA4A9B">
        <w:rPr>
          <w:rFonts w:cs="Arial" w:hint="eastAsia"/>
          <w:lang w:eastAsia="ja-JP"/>
        </w:rPr>
        <w:t xml:space="preserve"> </w:t>
      </w:r>
      <w:r w:rsidR="00AD12DB" w:rsidRPr="00FA4A9B">
        <w:rPr>
          <w:rFonts w:cs="Arial"/>
          <w:lang w:eastAsia="ja-JP"/>
        </w:rPr>
        <w:t>de enviar datos</w:t>
      </w:r>
      <w:r w:rsidR="00AD12DB" w:rsidRPr="00FA4A9B">
        <w:rPr>
          <w:rFonts w:cs="Arial" w:hint="eastAsia"/>
          <w:lang w:eastAsia="ja-JP"/>
        </w:rPr>
        <w:t xml:space="preserve"> </w:t>
      </w:r>
      <w:r w:rsidR="00AD12DB" w:rsidRPr="00FA4A9B">
        <w:rPr>
          <w:rFonts w:cs="Arial"/>
          <w:lang w:eastAsia="ja-JP"/>
        </w:rPr>
        <w:t>a la base de datos</w:t>
      </w:r>
      <w:r w:rsidR="00AD12DB" w:rsidRPr="00FA4A9B">
        <w:rPr>
          <w:rFonts w:cs="Arial" w:hint="eastAsia"/>
          <w:lang w:eastAsia="ja-JP"/>
        </w:rPr>
        <w:t xml:space="preserve"> PLUTO </w:t>
      </w:r>
      <w:r w:rsidR="00AD12DB" w:rsidRPr="00FA4A9B">
        <w:rPr>
          <w:rFonts w:cs="Arial"/>
          <w:lang w:eastAsia="ja-JP"/>
        </w:rPr>
        <w:t xml:space="preserve">cuando </w:t>
      </w:r>
      <w:r w:rsidR="006F3ADB" w:rsidRPr="00FA4A9B">
        <w:rPr>
          <w:rFonts w:cs="Arial"/>
          <w:lang w:eastAsia="ja-JP"/>
        </w:rPr>
        <w:t xml:space="preserve">las </w:t>
      </w:r>
      <w:r w:rsidR="00AD12DB" w:rsidRPr="00FA4A9B">
        <w:rPr>
          <w:rFonts w:cs="Arial"/>
          <w:lang w:eastAsia="ja-JP"/>
        </w:rPr>
        <w:t>reciban</w:t>
      </w:r>
      <w:r w:rsidR="00AD12DB" w:rsidRPr="00FA4A9B">
        <w:rPr>
          <w:rFonts w:cs="Arial" w:hint="eastAsia"/>
          <w:lang w:eastAsia="ja-JP"/>
        </w:rPr>
        <w:t>.</w:t>
      </w:r>
    </w:p>
    <w:p w:rsidR="00E56DDB" w:rsidRPr="002826C3" w:rsidRDefault="00E56DDB" w:rsidP="00E56DDB">
      <w:pPr>
        <w:autoSpaceDE w:val="0"/>
        <w:autoSpaceDN w:val="0"/>
        <w:adjustRightInd w:val="0"/>
        <w:jc w:val="left"/>
        <w:rPr>
          <w:rFonts w:cs="Arial"/>
          <w:lang w:val="es-ES" w:eastAsia="ja-JP"/>
        </w:rPr>
      </w:pPr>
    </w:p>
    <w:p w:rsidR="00E56DDB" w:rsidRPr="002826C3" w:rsidRDefault="00B01818" w:rsidP="00E56DDB">
      <w:pPr>
        <w:rPr>
          <w:snapToGrid w:val="0"/>
          <w:lang w:val="es-ES" w:eastAsia="ja-JP"/>
        </w:rPr>
      </w:pPr>
      <w:r w:rsidRPr="007528A3">
        <w:rPr>
          <w:rFonts w:eastAsia="SimSun"/>
          <w:snapToGrid w:val="0"/>
          <w:lang w:eastAsia="ja-JP"/>
        </w:rPr>
        <w:fldChar w:fldCharType="begin"/>
      </w:r>
      <w:r w:rsidR="00E56DDB" w:rsidRPr="002826C3">
        <w:rPr>
          <w:rFonts w:eastAsia="SimSun"/>
          <w:snapToGrid w:val="0"/>
          <w:lang w:val="es-ES" w:eastAsia="ja-JP"/>
        </w:rPr>
        <w:instrText xml:space="preserve"> AUTONUM  </w:instrText>
      </w:r>
      <w:r w:rsidRPr="007528A3">
        <w:rPr>
          <w:rFonts w:eastAsia="SimSun"/>
          <w:snapToGrid w:val="0"/>
          <w:lang w:eastAsia="ja-JP"/>
        </w:rPr>
        <w:fldChar w:fldCharType="end"/>
      </w:r>
      <w:r w:rsidR="00E56DDB" w:rsidRPr="002826C3">
        <w:rPr>
          <w:rFonts w:eastAsia="SimSun"/>
          <w:snapToGrid w:val="0"/>
          <w:lang w:val="es-ES" w:eastAsia="ja-JP"/>
        </w:rPr>
        <w:tab/>
      </w:r>
      <w:r w:rsidR="00AD12DB" w:rsidRPr="00FA4A9B">
        <w:rPr>
          <w:snapToGrid w:val="0"/>
          <w:lang w:eastAsia="ja-JP"/>
        </w:rPr>
        <w:t xml:space="preserve">Está previsto impartir el tercer </w:t>
      </w:r>
      <w:r w:rsidR="00AD12DB" w:rsidRPr="00FA4A9B">
        <w:rPr>
          <w:rFonts w:eastAsia="SimSun"/>
          <w:snapToGrid w:val="0"/>
          <w:lang w:eastAsia="ja-JP"/>
        </w:rPr>
        <w:t xml:space="preserve">curso de formación </w:t>
      </w:r>
      <w:r w:rsidR="00AD12DB" w:rsidRPr="00FA4A9B">
        <w:rPr>
          <w:snapToGrid w:val="0"/>
          <w:lang w:eastAsia="ja-JP"/>
        </w:rPr>
        <w:t>“Aportación de datos a la base de datos PLUTO” en</w:t>
      </w:r>
      <w:r w:rsidR="00AD12DB" w:rsidRPr="00FA4A9B">
        <w:rPr>
          <w:rFonts w:hint="eastAsia"/>
          <w:snapToGrid w:val="0"/>
          <w:lang w:eastAsia="ja-JP"/>
        </w:rPr>
        <w:t xml:space="preserve"> </w:t>
      </w:r>
      <w:r w:rsidR="00AD12DB" w:rsidRPr="00FA4A9B">
        <w:rPr>
          <w:snapToGrid w:val="0"/>
          <w:lang w:eastAsia="ja-JP"/>
        </w:rPr>
        <w:t>Ginebra del 12</w:t>
      </w:r>
      <w:r w:rsidR="00AD12DB" w:rsidRPr="00FA4A9B">
        <w:rPr>
          <w:rFonts w:hint="eastAsia"/>
          <w:snapToGrid w:val="0"/>
          <w:lang w:eastAsia="ja-JP"/>
        </w:rPr>
        <w:t xml:space="preserve"> </w:t>
      </w:r>
      <w:r w:rsidR="00AD12DB" w:rsidRPr="00FA4A9B">
        <w:rPr>
          <w:snapToGrid w:val="0"/>
          <w:lang w:eastAsia="ja-JP"/>
        </w:rPr>
        <w:t>al 14 de octubre de 2015</w:t>
      </w:r>
      <w:r w:rsidR="00AD12DB" w:rsidRPr="00FA4A9B">
        <w:rPr>
          <w:rFonts w:hint="eastAsia"/>
          <w:snapToGrid w:val="0"/>
          <w:lang w:eastAsia="ja-JP"/>
        </w:rPr>
        <w:t xml:space="preserve">, </w:t>
      </w:r>
      <w:r w:rsidR="00AD12DB" w:rsidRPr="00FA4A9B">
        <w:rPr>
          <w:snapToGrid w:val="0"/>
          <w:lang w:eastAsia="ja-JP"/>
        </w:rPr>
        <w:t>en español</w:t>
      </w:r>
      <w:r w:rsidR="00AD12DB" w:rsidRPr="00FA4A9B">
        <w:rPr>
          <w:rFonts w:hint="eastAsia"/>
          <w:snapToGrid w:val="0"/>
          <w:lang w:eastAsia="ja-JP"/>
        </w:rPr>
        <w:t>.</w:t>
      </w:r>
    </w:p>
    <w:p w:rsidR="00E56DDB" w:rsidRPr="002826C3" w:rsidRDefault="00E56DDB" w:rsidP="00E56DDB">
      <w:pPr>
        <w:rPr>
          <w:snapToGrid w:val="0"/>
          <w:lang w:val="es-ES" w:eastAsia="ja-JP"/>
        </w:rPr>
      </w:pPr>
    </w:p>
    <w:p w:rsidR="00E56DDB" w:rsidRPr="002826C3" w:rsidRDefault="00E56DDB" w:rsidP="00E56DDB">
      <w:pPr>
        <w:rPr>
          <w:snapToGrid w:val="0"/>
          <w:lang w:val="es-ES" w:eastAsia="ja-JP"/>
        </w:rPr>
      </w:pPr>
    </w:p>
    <w:p w:rsidR="00E56DDB" w:rsidRPr="002826C3" w:rsidRDefault="00AD12DB" w:rsidP="00E56DDB">
      <w:pPr>
        <w:pStyle w:val="Heading2"/>
        <w:rPr>
          <w:snapToGrid w:val="0"/>
          <w:lang w:val="es-ES" w:eastAsia="ja-JP"/>
        </w:rPr>
      </w:pPr>
      <w:bookmarkStart w:id="12" w:name="_Toc432410657"/>
      <w:r w:rsidRPr="00FA4A9B">
        <w:rPr>
          <w:snapToGrid w:val="0"/>
          <w:lang w:val="es-ES_tradnl" w:eastAsia="ja-JP"/>
        </w:rPr>
        <w:t>Propuestas</w:t>
      </w:r>
      <w:r w:rsidRPr="00FA4A9B">
        <w:rPr>
          <w:rFonts w:hint="eastAsia"/>
          <w:snapToGrid w:val="0"/>
          <w:lang w:val="es-ES_tradnl" w:eastAsia="ja-JP"/>
        </w:rPr>
        <w:t xml:space="preserve"> </w:t>
      </w:r>
      <w:r w:rsidRPr="00FA4A9B">
        <w:rPr>
          <w:snapToGrid w:val="0"/>
          <w:lang w:val="es-ES_tradnl" w:eastAsia="ja-JP"/>
        </w:rPr>
        <w:t xml:space="preserve">del </w:t>
      </w:r>
      <w:r w:rsidRPr="00FA4A9B">
        <w:rPr>
          <w:rFonts w:hint="eastAsia"/>
          <w:snapToGrid w:val="0"/>
          <w:lang w:val="es-ES_tradnl" w:eastAsia="ja-JP"/>
        </w:rPr>
        <w:t>WG</w:t>
      </w:r>
      <w:r w:rsidRPr="00FA4A9B">
        <w:rPr>
          <w:snapToGrid w:val="0"/>
          <w:lang w:val="es-ES_tradnl" w:eastAsia="ja-JP"/>
        </w:rPr>
        <w:noBreakHyphen/>
      </w:r>
      <w:r w:rsidRPr="00FA4A9B">
        <w:rPr>
          <w:rFonts w:hint="eastAsia"/>
          <w:snapToGrid w:val="0"/>
          <w:lang w:val="es-ES_tradnl" w:eastAsia="ja-JP"/>
        </w:rPr>
        <w:t>DST</w:t>
      </w:r>
      <w:bookmarkEnd w:id="12"/>
    </w:p>
    <w:p w:rsidR="00E56DDB" w:rsidRPr="002826C3" w:rsidRDefault="00E56DDB" w:rsidP="00E56DDB">
      <w:pPr>
        <w:keepNext/>
        <w:rPr>
          <w:lang w:val="es-ES" w:eastAsia="ja-JP"/>
        </w:rPr>
      </w:pPr>
    </w:p>
    <w:p w:rsidR="00E56DDB" w:rsidRPr="002826C3" w:rsidRDefault="00B01818" w:rsidP="00E56DDB">
      <w:pPr>
        <w:rPr>
          <w:lang w:val="es-ES" w:eastAsia="ja-JP"/>
        </w:rPr>
      </w:pPr>
      <w:r w:rsidRPr="007528A3">
        <w:rPr>
          <w:rFonts w:eastAsia="SimSun"/>
          <w:snapToGrid w:val="0"/>
          <w:lang w:eastAsia="ja-JP"/>
        </w:rPr>
        <w:fldChar w:fldCharType="begin"/>
      </w:r>
      <w:r w:rsidR="00E56DDB" w:rsidRPr="002826C3">
        <w:rPr>
          <w:rFonts w:eastAsia="SimSun"/>
          <w:snapToGrid w:val="0"/>
          <w:lang w:val="es-ES" w:eastAsia="ja-JP"/>
        </w:rPr>
        <w:instrText xml:space="preserve"> AUTONUM  </w:instrText>
      </w:r>
      <w:r w:rsidRPr="007528A3">
        <w:rPr>
          <w:rFonts w:eastAsia="SimSun"/>
          <w:snapToGrid w:val="0"/>
          <w:lang w:eastAsia="ja-JP"/>
        </w:rPr>
        <w:fldChar w:fldCharType="end"/>
      </w:r>
      <w:r w:rsidR="00E56DDB" w:rsidRPr="002826C3">
        <w:rPr>
          <w:rFonts w:eastAsia="SimSun"/>
          <w:snapToGrid w:val="0"/>
          <w:lang w:val="es-ES" w:eastAsia="ja-JP"/>
        </w:rPr>
        <w:tab/>
      </w:r>
      <w:r w:rsidR="00942DA4" w:rsidRPr="00FA4A9B">
        <w:rPr>
          <w:lang w:eastAsia="ja-JP"/>
        </w:rPr>
        <w:t>Los antecedentes de esta cuestión figuran en el documento CAJ/71/3 “Denominaciones de variedades”.</w:t>
      </w:r>
    </w:p>
    <w:p w:rsidR="00E56DDB" w:rsidRPr="002826C3" w:rsidRDefault="00E56DDB" w:rsidP="00E56DDB">
      <w:pPr>
        <w:spacing w:line="360" w:lineRule="auto"/>
        <w:rPr>
          <w:lang w:val="es-ES" w:eastAsia="ja-JP"/>
        </w:rPr>
      </w:pPr>
    </w:p>
    <w:p w:rsidR="00E56DDB" w:rsidRPr="002826C3" w:rsidRDefault="00942DA4" w:rsidP="00E56DDB">
      <w:pPr>
        <w:pStyle w:val="Heading3"/>
        <w:rPr>
          <w:lang w:val="es-ES" w:eastAsia="ja-JP"/>
        </w:rPr>
      </w:pPr>
      <w:bookmarkStart w:id="13" w:name="_Toc432410658"/>
      <w:r w:rsidRPr="00FA4A9B">
        <w:rPr>
          <w:lang w:val="es-ES_tradnl" w:eastAsia="ja-JP"/>
        </w:rPr>
        <w:t>Acentos</w:t>
      </w:r>
      <w:r w:rsidRPr="00FA4A9B">
        <w:rPr>
          <w:rFonts w:hint="eastAsia"/>
          <w:lang w:val="es-ES_tradnl" w:eastAsia="ja-JP"/>
        </w:rPr>
        <w:t xml:space="preserve"> </w:t>
      </w:r>
      <w:r w:rsidRPr="00FA4A9B">
        <w:rPr>
          <w:lang w:val="es-ES_tradnl" w:eastAsia="ja-JP"/>
        </w:rPr>
        <w:t>y</w:t>
      </w:r>
      <w:r w:rsidRPr="00FA4A9B">
        <w:rPr>
          <w:rFonts w:hint="eastAsia"/>
          <w:lang w:val="es-ES_tradnl" w:eastAsia="ja-JP"/>
        </w:rPr>
        <w:t xml:space="preserve"> </w:t>
      </w:r>
      <w:r w:rsidRPr="00FA4A9B">
        <w:rPr>
          <w:lang w:val="es-ES_tradnl" w:eastAsia="ja-JP"/>
        </w:rPr>
        <w:t>caracteres especiales</w:t>
      </w:r>
      <w:bookmarkEnd w:id="13"/>
    </w:p>
    <w:p w:rsidR="00E56DDB" w:rsidRPr="002826C3" w:rsidRDefault="00E56DDB" w:rsidP="00E56DDB">
      <w:pPr>
        <w:keepNext/>
        <w:rPr>
          <w:lang w:val="es-ES" w:eastAsia="ja-JP"/>
        </w:rPr>
      </w:pPr>
    </w:p>
    <w:p w:rsidR="00E56DDB" w:rsidRPr="002826C3" w:rsidRDefault="00B01818" w:rsidP="0073678B">
      <w:pPr>
        <w:spacing w:after="240"/>
        <w:rPr>
          <w:lang w:val="es-ES" w:eastAsia="ja-JP"/>
        </w:rPr>
      </w:pPr>
      <w:r w:rsidRPr="007528A3">
        <w:rPr>
          <w:rFonts w:eastAsia="SimSun"/>
          <w:snapToGrid w:val="0"/>
          <w:lang w:eastAsia="ja-JP"/>
        </w:rPr>
        <w:fldChar w:fldCharType="begin"/>
      </w:r>
      <w:r w:rsidR="00E56DDB" w:rsidRPr="002826C3">
        <w:rPr>
          <w:rFonts w:eastAsia="SimSun"/>
          <w:snapToGrid w:val="0"/>
          <w:lang w:val="es-ES" w:eastAsia="ja-JP"/>
        </w:rPr>
        <w:instrText xml:space="preserve"> AUTONUM  </w:instrText>
      </w:r>
      <w:r w:rsidRPr="007528A3">
        <w:rPr>
          <w:rFonts w:eastAsia="SimSun"/>
          <w:snapToGrid w:val="0"/>
          <w:lang w:eastAsia="ja-JP"/>
        </w:rPr>
        <w:fldChar w:fldCharType="end"/>
      </w:r>
      <w:r w:rsidR="00E56DDB" w:rsidRPr="002826C3">
        <w:rPr>
          <w:rFonts w:eastAsia="SimSun"/>
          <w:snapToGrid w:val="0"/>
          <w:lang w:val="es-ES" w:eastAsia="ja-JP"/>
        </w:rPr>
        <w:tab/>
      </w:r>
      <w:r w:rsidR="008A53E4" w:rsidRPr="0073678B">
        <w:rPr>
          <w:lang w:eastAsia="ja-JP"/>
        </w:rPr>
        <w:t>En su</w:t>
      </w:r>
      <w:r w:rsidR="008A53E4" w:rsidRPr="0073678B">
        <w:rPr>
          <w:rFonts w:hint="eastAsia"/>
          <w:lang w:eastAsia="ja-JP"/>
        </w:rPr>
        <w:t xml:space="preserve"> </w:t>
      </w:r>
      <w:r w:rsidR="008A53E4" w:rsidRPr="0073678B">
        <w:rPr>
          <w:lang w:eastAsia="ja-JP"/>
        </w:rPr>
        <w:t>segunda</w:t>
      </w:r>
      <w:r w:rsidR="008A53E4" w:rsidRPr="0073678B">
        <w:rPr>
          <w:rFonts w:hint="eastAsia"/>
          <w:lang w:eastAsia="ja-JP"/>
        </w:rPr>
        <w:t xml:space="preserve"> </w:t>
      </w:r>
      <w:r w:rsidR="008A53E4" w:rsidRPr="0073678B">
        <w:rPr>
          <w:lang w:eastAsia="ja-JP"/>
        </w:rPr>
        <w:t>reunión,</w:t>
      </w:r>
      <w:r w:rsidR="008A53E4" w:rsidRPr="0073678B">
        <w:rPr>
          <w:rStyle w:val="FootnoteReference"/>
          <w:lang w:eastAsia="ja-JP"/>
        </w:rPr>
        <w:footnoteReference w:id="14"/>
      </w:r>
      <w:r w:rsidR="008A53E4" w:rsidRPr="0073678B">
        <w:rPr>
          <w:rFonts w:hint="eastAsia"/>
          <w:lang w:eastAsia="ja-JP"/>
        </w:rPr>
        <w:t xml:space="preserve"> </w:t>
      </w:r>
      <w:r w:rsidR="008A53E4" w:rsidRPr="0073678B">
        <w:rPr>
          <w:lang w:eastAsia="ja-JP"/>
        </w:rPr>
        <w:t xml:space="preserve">el </w:t>
      </w:r>
      <w:r w:rsidR="008A53E4" w:rsidRPr="0073678B">
        <w:rPr>
          <w:rFonts w:hint="eastAsia"/>
          <w:lang w:eastAsia="ja-JP"/>
        </w:rPr>
        <w:t>WG</w:t>
      </w:r>
      <w:r w:rsidR="008A53E4" w:rsidRPr="0073678B">
        <w:rPr>
          <w:lang w:eastAsia="ja-JP"/>
        </w:rPr>
        <w:noBreakHyphen/>
      </w:r>
      <w:r w:rsidR="008A53E4" w:rsidRPr="0073678B">
        <w:rPr>
          <w:rFonts w:hint="eastAsia"/>
          <w:lang w:eastAsia="ja-JP"/>
        </w:rPr>
        <w:t>DST</w:t>
      </w:r>
      <w:r w:rsidR="009F289C" w:rsidRPr="0073678B">
        <w:rPr>
          <w:lang w:eastAsia="ja-JP"/>
        </w:rPr>
        <w:t xml:space="preserve"> </w:t>
      </w:r>
      <w:r w:rsidR="008A53E4" w:rsidRPr="0073678B">
        <w:rPr>
          <w:lang w:eastAsia="ja-JP"/>
        </w:rPr>
        <w:t>examinó el documento</w:t>
      </w:r>
      <w:r w:rsidR="008A53E4" w:rsidRPr="0073678B">
        <w:rPr>
          <w:rFonts w:hint="eastAsia"/>
          <w:lang w:eastAsia="ja-JP"/>
        </w:rPr>
        <w:t xml:space="preserve"> UPOV/WG</w:t>
      </w:r>
      <w:r w:rsidR="008A53E4" w:rsidRPr="0073678B">
        <w:rPr>
          <w:lang w:eastAsia="ja-JP"/>
        </w:rPr>
        <w:noBreakHyphen/>
      </w:r>
      <w:r w:rsidR="008A53E4" w:rsidRPr="0073678B">
        <w:rPr>
          <w:rFonts w:hint="eastAsia"/>
          <w:lang w:eastAsia="ja-JP"/>
        </w:rPr>
        <w:t>DST</w:t>
      </w:r>
      <w:r w:rsidR="008A53E4" w:rsidRPr="0073678B">
        <w:rPr>
          <w:lang w:eastAsia="ja-JP"/>
        </w:rPr>
        <w:t>/2/</w:t>
      </w:r>
      <w:r w:rsidR="008A53E4" w:rsidRPr="0073678B">
        <w:rPr>
          <w:rFonts w:hint="eastAsia"/>
          <w:lang w:eastAsia="ja-JP"/>
        </w:rPr>
        <w:t>5</w:t>
      </w:r>
      <w:r w:rsidR="008A53E4" w:rsidRPr="0073678B">
        <w:rPr>
          <w:lang w:eastAsia="ja-JP"/>
        </w:rPr>
        <w:t xml:space="preserve"> “</w:t>
      </w:r>
      <w:r w:rsidR="008A53E4" w:rsidRPr="002826C3">
        <w:rPr>
          <w:i/>
          <w:lang w:val="es-ES" w:eastAsia="ja-JP"/>
        </w:rPr>
        <w:t>Linguistic issues</w:t>
      </w:r>
      <w:r w:rsidR="008A53E4" w:rsidRPr="0073678B">
        <w:rPr>
          <w:lang w:eastAsia="ja-JP"/>
        </w:rPr>
        <w:t>” (</w:t>
      </w:r>
      <w:r w:rsidR="009F289C" w:rsidRPr="0073678B">
        <w:rPr>
          <w:lang w:eastAsia="ja-JP"/>
        </w:rPr>
        <w:t>Cuestiones lingüísticas</w:t>
      </w:r>
      <w:r w:rsidR="008A53E4" w:rsidRPr="0073678B">
        <w:rPr>
          <w:lang w:eastAsia="ja-JP"/>
        </w:rPr>
        <w:t>)</w:t>
      </w:r>
      <w:r w:rsidR="008A53E4" w:rsidRPr="0073678B">
        <w:rPr>
          <w:rFonts w:hint="eastAsia"/>
          <w:lang w:eastAsia="ja-JP"/>
        </w:rPr>
        <w:t>.</w:t>
      </w:r>
    </w:p>
    <w:p w:rsidR="00E56DDB" w:rsidRPr="002826C3" w:rsidRDefault="00B01818" w:rsidP="00E56DDB">
      <w:pPr>
        <w:rPr>
          <w:rFonts w:cs="Arial"/>
          <w:spacing w:val="-2"/>
          <w:lang w:val="es-ES" w:eastAsia="ja-JP"/>
        </w:rPr>
      </w:pPr>
      <w:r w:rsidRPr="00C60AFC">
        <w:rPr>
          <w:spacing w:val="-2"/>
        </w:rPr>
        <w:fldChar w:fldCharType="begin"/>
      </w:r>
      <w:r w:rsidR="00E56DDB" w:rsidRPr="002826C3">
        <w:rPr>
          <w:spacing w:val="-2"/>
          <w:lang w:val="es-ES"/>
        </w:rPr>
        <w:instrText xml:space="preserve"> AUTONUM  </w:instrText>
      </w:r>
      <w:r w:rsidRPr="00C60AFC">
        <w:rPr>
          <w:spacing w:val="-2"/>
        </w:rPr>
        <w:fldChar w:fldCharType="end"/>
      </w:r>
      <w:r w:rsidR="00E56DDB" w:rsidRPr="002826C3">
        <w:rPr>
          <w:spacing w:val="-2"/>
          <w:lang w:val="es-ES"/>
        </w:rPr>
        <w:tab/>
      </w:r>
      <w:r w:rsidR="00817151" w:rsidRPr="0073678B">
        <w:rPr>
          <w:spacing w:val="-2"/>
          <w:lang w:eastAsia="ja-JP"/>
        </w:rPr>
        <w:t xml:space="preserve">El </w:t>
      </w:r>
      <w:r w:rsidR="009F289C" w:rsidRPr="0073678B">
        <w:rPr>
          <w:rFonts w:hint="eastAsia"/>
          <w:spacing w:val="-2"/>
          <w:lang w:eastAsia="ja-JP"/>
        </w:rPr>
        <w:t>WG</w:t>
      </w:r>
      <w:r w:rsidR="00817151" w:rsidRPr="0073678B">
        <w:rPr>
          <w:spacing w:val="-2"/>
          <w:lang w:eastAsia="ja-JP"/>
        </w:rPr>
        <w:noBreakHyphen/>
      </w:r>
      <w:r w:rsidR="009F289C" w:rsidRPr="0073678B">
        <w:rPr>
          <w:rFonts w:hint="eastAsia"/>
          <w:spacing w:val="-2"/>
          <w:lang w:eastAsia="ja-JP"/>
        </w:rPr>
        <w:t xml:space="preserve">DST </w:t>
      </w:r>
      <w:r w:rsidR="006F3ADB" w:rsidRPr="0073678B">
        <w:rPr>
          <w:rFonts w:cs="Arial"/>
          <w:spacing w:val="-2"/>
          <w:lang w:eastAsia="ja-JP"/>
        </w:rPr>
        <w:t xml:space="preserve">acordó que convendría </w:t>
      </w:r>
      <w:r w:rsidR="00817151" w:rsidRPr="0073678B">
        <w:rPr>
          <w:rFonts w:cs="Arial"/>
          <w:spacing w:val="-2"/>
          <w:lang w:eastAsia="ja-JP"/>
        </w:rPr>
        <w:t xml:space="preserve">ofrecer la posibilidad de admitir </w:t>
      </w:r>
      <w:r w:rsidR="009F289C" w:rsidRPr="0073678B">
        <w:rPr>
          <w:rFonts w:cs="Arial"/>
          <w:spacing w:val="-2"/>
        </w:rPr>
        <w:t>acentos</w:t>
      </w:r>
      <w:r w:rsidR="009F289C" w:rsidRPr="0073678B">
        <w:rPr>
          <w:rFonts w:cs="Arial" w:hint="eastAsia"/>
          <w:spacing w:val="-2"/>
        </w:rPr>
        <w:t xml:space="preserve"> </w:t>
      </w:r>
      <w:r w:rsidR="009F289C" w:rsidRPr="0073678B">
        <w:rPr>
          <w:rFonts w:cs="Arial"/>
          <w:spacing w:val="-2"/>
        </w:rPr>
        <w:t>y</w:t>
      </w:r>
      <w:r w:rsidR="009F289C" w:rsidRPr="0073678B">
        <w:rPr>
          <w:rFonts w:cs="Arial" w:hint="eastAsia"/>
          <w:spacing w:val="-2"/>
        </w:rPr>
        <w:t xml:space="preserve"> </w:t>
      </w:r>
      <w:r w:rsidR="009F289C" w:rsidRPr="0073678B">
        <w:rPr>
          <w:rFonts w:cs="Arial"/>
          <w:spacing w:val="-2"/>
        </w:rPr>
        <w:t>caracteres especiales</w:t>
      </w:r>
      <w:r w:rsidR="009F289C" w:rsidRPr="0073678B">
        <w:rPr>
          <w:rFonts w:cs="Arial" w:hint="eastAsia"/>
          <w:spacing w:val="-2"/>
        </w:rPr>
        <w:t xml:space="preserve"> </w:t>
      </w:r>
      <w:r w:rsidR="00817151" w:rsidRPr="0073678B">
        <w:rPr>
          <w:rFonts w:cs="Arial"/>
          <w:spacing w:val="-2"/>
          <w:lang w:eastAsia="ja-JP"/>
        </w:rPr>
        <w:t>en las</w:t>
      </w:r>
      <w:r w:rsidR="009F289C" w:rsidRPr="0073678B">
        <w:rPr>
          <w:rFonts w:cs="Arial" w:hint="eastAsia"/>
          <w:spacing w:val="-2"/>
        </w:rPr>
        <w:t xml:space="preserve"> </w:t>
      </w:r>
      <w:r w:rsidR="009F289C" w:rsidRPr="0073678B">
        <w:rPr>
          <w:rFonts w:cs="Arial"/>
          <w:spacing w:val="-2"/>
        </w:rPr>
        <w:t>denominaciones</w:t>
      </w:r>
      <w:r w:rsidR="009F289C" w:rsidRPr="0073678B">
        <w:rPr>
          <w:rFonts w:cs="Arial" w:hint="eastAsia"/>
          <w:spacing w:val="-2"/>
          <w:lang w:eastAsia="ja-JP"/>
        </w:rPr>
        <w:t xml:space="preserve"> </w:t>
      </w:r>
      <w:r w:rsidR="006F3ADB" w:rsidRPr="0073678B">
        <w:rPr>
          <w:rFonts w:cs="Arial"/>
          <w:spacing w:val="-2"/>
          <w:lang w:eastAsia="ja-JP"/>
        </w:rPr>
        <w:t>que figuran</w:t>
      </w:r>
      <w:r w:rsidR="00817151" w:rsidRPr="0073678B">
        <w:rPr>
          <w:rFonts w:cs="Arial"/>
          <w:spacing w:val="-2"/>
          <w:lang w:eastAsia="ja-JP"/>
        </w:rPr>
        <w:t xml:space="preserve"> en la base de datos PLUTO</w:t>
      </w:r>
      <w:r w:rsidR="009F289C" w:rsidRPr="0073678B">
        <w:rPr>
          <w:rFonts w:cs="Arial" w:hint="eastAsia"/>
          <w:spacing w:val="-2"/>
          <w:lang w:eastAsia="ja-JP"/>
        </w:rPr>
        <w:t>.</w:t>
      </w:r>
      <w:r w:rsidR="00E56DDB" w:rsidRPr="002826C3">
        <w:rPr>
          <w:rFonts w:cs="Arial"/>
          <w:spacing w:val="-2"/>
          <w:lang w:val="es-ES" w:eastAsia="ja-JP"/>
        </w:rPr>
        <w:t xml:space="preserve">  </w:t>
      </w:r>
      <w:r w:rsidR="00CE2E6A" w:rsidRPr="0073678B">
        <w:rPr>
          <w:rFonts w:cs="Arial"/>
          <w:spacing w:val="-2"/>
          <w:lang w:eastAsia="ja-JP"/>
        </w:rPr>
        <w:t>Asimismo,</w:t>
      </w:r>
      <w:r w:rsidR="00817151" w:rsidRPr="0073678B">
        <w:rPr>
          <w:rFonts w:cs="Arial"/>
          <w:spacing w:val="-2"/>
          <w:lang w:eastAsia="ja-JP"/>
        </w:rPr>
        <w:t xml:space="preserve"> </w:t>
      </w:r>
      <w:r w:rsidR="00CE2E6A" w:rsidRPr="0073678B">
        <w:rPr>
          <w:rFonts w:cs="Arial"/>
          <w:spacing w:val="-2"/>
          <w:lang w:eastAsia="ja-JP"/>
        </w:rPr>
        <w:t>observó que</w:t>
      </w:r>
      <w:r w:rsidR="00817151" w:rsidRPr="0073678B">
        <w:rPr>
          <w:rFonts w:cs="Arial" w:hint="eastAsia"/>
          <w:spacing w:val="-2"/>
          <w:lang w:eastAsia="ja-JP"/>
        </w:rPr>
        <w:t xml:space="preserve">, </w:t>
      </w:r>
      <w:r w:rsidR="00817151" w:rsidRPr="0073678B">
        <w:rPr>
          <w:rFonts w:cs="Arial"/>
          <w:spacing w:val="-2"/>
          <w:lang w:eastAsia="ja-JP"/>
        </w:rPr>
        <w:t>aunque</w:t>
      </w:r>
      <w:r w:rsidR="00817151" w:rsidRPr="0073678B">
        <w:rPr>
          <w:rFonts w:cs="Arial" w:hint="eastAsia"/>
          <w:spacing w:val="-2"/>
          <w:lang w:eastAsia="ja-JP"/>
        </w:rPr>
        <w:t xml:space="preserve"> </w:t>
      </w:r>
      <w:r w:rsidR="00817151" w:rsidRPr="0073678B">
        <w:rPr>
          <w:rFonts w:cs="Arial"/>
          <w:spacing w:val="-2"/>
          <w:lang w:eastAsia="ja-JP"/>
        </w:rPr>
        <w:t>la base de datos PLUTO</w:t>
      </w:r>
      <w:r w:rsidR="00817151" w:rsidRPr="0073678B">
        <w:rPr>
          <w:rFonts w:cs="Arial" w:hint="eastAsia"/>
          <w:spacing w:val="-2"/>
        </w:rPr>
        <w:t xml:space="preserve"> </w:t>
      </w:r>
      <w:r w:rsidR="00817151" w:rsidRPr="0073678B">
        <w:rPr>
          <w:rFonts w:cs="Arial"/>
          <w:spacing w:val="-2"/>
        </w:rPr>
        <w:t>no</w:t>
      </w:r>
      <w:r w:rsidR="00817151" w:rsidRPr="0073678B">
        <w:rPr>
          <w:rFonts w:cs="Arial" w:hint="eastAsia"/>
          <w:spacing w:val="-2"/>
        </w:rPr>
        <w:t xml:space="preserve"> </w:t>
      </w:r>
      <w:r w:rsidR="00CE2E6A" w:rsidRPr="0073678B">
        <w:rPr>
          <w:rFonts w:cs="Arial" w:hint="eastAsia"/>
          <w:spacing w:val="-2"/>
        </w:rPr>
        <w:t>cont</w:t>
      </w:r>
      <w:r w:rsidR="00CE2E6A" w:rsidRPr="0073678B">
        <w:rPr>
          <w:rFonts w:cs="Arial"/>
          <w:spacing w:val="-2"/>
        </w:rPr>
        <w:t>iene</w:t>
      </w:r>
      <w:r w:rsidR="00CE2E6A" w:rsidRPr="0073678B">
        <w:rPr>
          <w:rFonts w:cs="Arial" w:hint="eastAsia"/>
          <w:spacing w:val="-2"/>
        </w:rPr>
        <w:t xml:space="preserve"> </w:t>
      </w:r>
      <w:r w:rsidR="00817151" w:rsidRPr="0073678B">
        <w:rPr>
          <w:rFonts w:cs="Arial"/>
          <w:spacing w:val="-2"/>
          <w:lang w:eastAsia="ja-JP"/>
        </w:rPr>
        <w:t>en la actualidad</w:t>
      </w:r>
      <w:r w:rsidR="00817151" w:rsidRPr="0073678B">
        <w:rPr>
          <w:rFonts w:cs="Arial" w:hint="eastAsia"/>
          <w:spacing w:val="-2"/>
          <w:lang w:eastAsia="ja-JP"/>
        </w:rPr>
        <w:t xml:space="preserve"> </w:t>
      </w:r>
      <w:r w:rsidR="00817151" w:rsidRPr="0073678B">
        <w:rPr>
          <w:rFonts w:cs="Arial"/>
          <w:spacing w:val="-2"/>
        </w:rPr>
        <w:t>acentos</w:t>
      </w:r>
      <w:r w:rsidR="00817151" w:rsidRPr="0073678B">
        <w:rPr>
          <w:rFonts w:cs="Arial" w:hint="eastAsia"/>
          <w:spacing w:val="-2"/>
          <w:lang w:eastAsia="ja-JP"/>
        </w:rPr>
        <w:t xml:space="preserve"> </w:t>
      </w:r>
      <w:r w:rsidR="00817151" w:rsidRPr="0073678B">
        <w:rPr>
          <w:rFonts w:cs="Arial"/>
          <w:spacing w:val="-2"/>
          <w:lang w:eastAsia="ja-JP"/>
        </w:rPr>
        <w:t>y</w:t>
      </w:r>
      <w:r w:rsidR="00CE2E6A" w:rsidRPr="0073678B">
        <w:rPr>
          <w:rFonts w:cs="Arial" w:hint="eastAsia"/>
          <w:spacing w:val="-2"/>
        </w:rPr>
        <w:t xml:space="preserve"> </w:t>
      </w:r>
      <w:r w:rsidR="00CE2E6A" w:rsidRPr="0073678B">
        <w:rPr>
          <w:rFonts w:cs="Arial"/>
          <w:spacing w:val="-2"/>
        </w:rPr>
        <w:t>caracteres</w:t>
      </w:r>
      <w:r w:rsidR="00817151" w:rsidRPr="0073678B">
        <w:rPr>
          <w:rFonts w:cs="Arial" w:hint="eastAsia"/>
          <w:spacing w:val="-2"/>
          <w:lang w:eastAsia="ja-JP"/>
        </w:rPr>
        <w:t xml:space="preserve"> </w:t>
      </w:r>
      <w:r w:rsidR="00CE2E6A" w:rsidRPr="0073678B">
        <w:rPr>
          <w:rFonts w:cs="Arial"/>
          <w:spacing w:val="-2"/>
          <w:lang w:eastAsia="ja-JP"/>
        </w:rPr>
        <w:t>e</w:t>
      </w:r>
      <w:r w:rsidR="00817151" w:rsidRPr="0073678B">
        <w:rPr>
          <w:rFonts w:cs="Arial" w:hint="eastAsia"/>
          <w:spacing w:val="-2"/>
        </w:rPr>
        <w:t>special</w:t>
      </w:r>
      <w:r w:rsidR="00CE2E6A" w:rsidRPr="0073678B">
        <w:rPr>
          <w:rFonts w:cs="Arial"/>
          <w:spacing w:val="-2"/>
        </w:rPr>
        <w:t>es</w:t>
      </w:r>
      <w:r w:rsidR="00817151" w:rsidRPr="0073678B">
        <w:rPr>
          <w:rFonts w:cs="Arial"/>
          <w:spacing w:val="-2"/>
        </w:rPr>
        <w:t>,</w:t>
      </w:r>
      <w:r w:rsidR="00817151" w:rsidRPr="0073678B">
        <w:rPr>
          <w:rStyle w:val="FootnoteReference"/>
          <w:rFonts w:cs="Arial"/>
          <w:spacing w:val="-2"/>
        </w:rPr>
        <w:footnoteReference w:id="15"/>
      </w:r>
      <w:r w:rsidR="00817151" w:rsidRPr="0073678B">
        <w:rPr>
          <w:rFonts w:cs="Arial"/>
          <w:spacing w:val="-2"/>
          <w:vertAlign w:val="superscript"/>
        </w:rPr>
        <w:t>,</w:t>
      </w:r>
      <w:r w:rsidR="00817151" w:rsidRPr="0073678B">
        <w:rPr>
          <w:rStyle w:val="FootnoteReference"/>
          <w:rFonts w:cs="Arial"/>
          <w:spacing w:val="-2"/>
        </w:rPr>
        <w:footnoteReference w:id="16"/>
      </w:r>
      <w:r w:rsidR="00817151" w:rsidRPr="0073678B">
        <w:rPr>
          <w:rFonts w:cs="Arial"/>
          <w:spacing w:val="-2"/>
        </w:rPr>
        <w:t xml:space="preserve"> </w:t>
      </w:r>
      <w:r w:rsidR="00CE2E6A" w:rsidRPr="0073678B">
        <w:rPr>
          <w:rFonts w:cs="Arial"/>
          <w:spacing w:val="-2"/>
        </w:rPr>
        <w:t>sería</w:t>
      </w:r>
      <w:r w:rsidR="00CE2E6A" w:rsidRPr="0073678B">
        <w:rPr>
          <w:rFonts w:cs="Arial" w:hint="eastAsia"/>
          <w:spacing w:val="-2"/>
          <w:lang w:eastAsia="ja-JP"/>
        </w:rPr>
        <w:t xml:space="preserve"> po</w:t>
      </w:r>
      <w:r w:rsidR="00817151" w:rsidRPr="0073678B">
        <w:rPr>
          <w:rFonts w:cs="Arial" w:hint="eastAsia"/>
          <w:spacing w:val="-2"/>
          <w:lang w:eastAsia="ja-JP"/>
        </w:rPr>
        <w:t xml:space="preserve">sible </w:t>
      </w:r>
      <w:r w:rsidR="00CE2E6A" w:rsidRPr="0073678B">
        <w:rPr>
          <w:rFonts w:cs="Arial" w:hint="eastAsia"/>
          <w:spacing w:val="-2"/>
          <w:lang w:eastAsia="ja-JP"/>
        </w:rPr>
        <w:t>inclu</w:t>
      </w:r>
      <w:r w:rsidR="00CE2E6A" w:rsidRPr="0073678B">
        <w:rPr>
          <w:rFonts w:cs="Arial"/>
          <w:spacing w:val="-2"/>
          <w:lang w:eastAsia="ja-JP"/>
        </w:rPr>
        <w:t xml:space="preserve">ir dichos </w:t>
      </w:r>
      <w:r w:rsidR="00817151" w:rsidRPr="0073678B">
        <w:rPr>
          <w:rFonts w:cs="Arial" w:hint="eastAsia"/>
          <w:spacing w:val="-2"/>
          <w:lang w:eastAsia="ja-JP"/>
        </w:rPr>
        <w:t>element</w:t>
      </w:r>
      <w:r w:rsidR="00CE2E6A" w:rsidRPr="0073678B">
        <w:rPr>
          <w:rFonts w:cs="Arial"/>
          <w:spacing w:val="-2"/>
          <w:lang w:eastAsia="ja-JP"/>
        </w:rPr>
        <w:t>o</w:t>
      </w:r>
      <w:r w:rsidR="00CE2E6A" w:rsidRPr="0073678B">
        <w:rPr>
          <w:rFonts w:cs="Arial" w:hint="eastAsia"/>
          <w:spacing w:val="-2"/>
          <w:lang w:eastAsia="ja-JP"/>
        </w:rPr>
        <w:t>s</w:t>
      </w:r>
      <w:r w:rsidR="00817151" w:rsidRPr="0073678B">
        <w:rPr>
          <w:rFonts w:cs="Arial"/>
          <w:spacing w:val="-2"/>
          <w:lang w:eastAsia="ja-JP"/>
        </w:rPr>
        <w:t>.</w:t>
      </w:r>
      <w:r w:rsidR="00E56DDB" w:rsidRPr="00C60AFC">
        <w:rPr>
          <w:rStyle w:val="FootnoteReference"/>
          <w:rFonts w:cs="Arial"/>
          <w:spacing w:val="-2"/>
          <w:lang w:eastAsia="ja-JP"/>
        </w:rPr>
        <w:footnoteReference w:id="17"/>
      </w:r>
    </w:p>
    <w:p w:rsidR="00E56DDB" w:rsidRPr="002826C3" w:rsidRDefault="00E56DDB" w:rsidP="00E56DDB">
      <w:pPr>
        <w:rPr>
          <w:rFonts w:cs="Arial"/>
          <w:lang w:val="es-ES" w:eastAsia="ja-JP"/>
        </w:rPr>
      </w:pPr>
    </w:p>
    <w:p w:rsidR="00E56DDB" w:rsidRPr="002826C3" w:rsidRDefault="00B01818" w:rsidP="00E56DDB">
      <w:pPr>
        <w:rPr>
          <w:rFonts w:cs="Arial"/>
          <w:lang w:val="es-ES" w:eastAsia="ja-JP"/>
        </w:rPr>
      </w:pPr>
      <w:r w:rsidRPr="00BD5B6E">
        <w:fldChar w:fldCharType="begin"/>
      </w:r>
      <w:r w:rsidR="00E56DDB" w:rsidRPr="002826C3">
        <w:rPr>
          <w:lang w:val="es-ES"/>
        </w:rPr>
        <w:instrText xml:space="preserve"> AUTONUM  </w:instrText>
      </w:r>
      <w:r w:rsidRPr="00BD5B6E">
        <w:fldChar w:fldCharType="end"/>
      </w:r>
      <w:r w:rsidR="00E56DDB" w:rsidRPr="002826C3">
        <w:rPr>
          <w:lang w:val="es-ES"/>
        </w:rPr>
        <w:tab/>
      </w:r>
      <w:r w:rsidR="003A06A0" w:rsidRPr="0073678B">
        <w:t xml:space="preserve">Al formular la propuesta de ofrecer la posibilidad de admitir acentos y caracteres especiales en las denominaciones que </w:t>
      </w:r>
      <w:r w:rsidR="006F3ADB" w:rsidRPr="0073678B">
        <w:t>figuran</w:t>
      </w:r>
      <w:r w:rsidR="003A06A0" w:rsidRPr="0073678B">
        <w:t xml:space="preserve"> en la base de datos PLUTO, </w:t>
      </w:r>
      <w:r w:rsidR="003A06A0" w:rsidRPr="0073678B">
        <w:rPr>
          <w:rFonts w:cs="Arial"/>
          <w:lang w:eastAsia="ja-JP"/>
        </w:rPr>
        <w:t>el WG</w:t>
      </w:r>
      <w:r w:rsidR="003A06A0" w:rsidRPr="0073678B">
        <w:rPr>
          <w:rFonts w:cs="Arial"/>
          <w:lang w:eastAsia="ja-JP"/>
        </w:rPr>
        <w:noBreakHyphen/>
        <w:t xml:space="preserve">DST </w:t>
      </w:r>
      <w:r w:rsidR="00075490" w:rsidRPr="0073678B">
        <w:rPr>
          <w:rFonts w:cs="Arial"/>
          <w:lang w:eastAsia="ja-JP"/>
        </w:rPr>
        <w:t>observ</w:t>
      </w:r>
      <w:r w:rsidR="003A06A0" w:rsidRPr="0073678B">
        <w:rPr>
          <w:rFonts w:cs="Arial"/>
          <w:lang w:eastAsia="ja-JP"/>
        </w:rPr>
        <w:t>ó que</w:t>
      </w:r>
      <w:r w:rsidR="00C95E00" w:rsidRPr="0073678B">
        <w:rPr>
          <w:rFonts w:cs="Arial"/>
          <w:lang w:eastAsia="ja-JP"/>
        </w:rPr>
        <w:t>, de momento,</w:t>
      </w:r>
      <w:r w:rsidR="003A06A0" w:rsidRPr="0073678B">
        <w:rPr>
          <w:rFonts w:cs="Arial"/>
          <w:lang w:eastAsia="ja-JP"/>
        </w:rPr>
        <w:t xml:space="preserve"> </w:t>
      </w:r>
      <w:r w:rsidR="004B2F92" w:rsidRPr="0073678B">
        <w:rPr>
          <w:rFonts w:cs="Arial"/>
          <w:lang w:eastAsia="ja-JP"/>
        </w:rPr>
        <w:t>el instrumento de búsqueda de denominaciones de la base de datos PLUTO</w:t>
      </w:r>
      <w:r w:rsidR="00C95E00" w:rsidRPr="0073678B">
        <w:rPr>
          <w:rFonts w:cs="Arial"/>
          <w:lang w:eastAsia="ja-JP"/>
        </w:rPr>
        <w:t xml:space="preserve"> </w:t>
      </w:r>
      <w:r w:rsidR="006F3ADB" w:rsidRPr="0073678B">
        <w:rPr>
          <w:rFonts w:cs="Arial"/>
          <w:lang w:eastAsia="ja-JP"/>
        </w:rPr>
        <w:t>solo admite</w:t>
      </w:r>
      <w:r w:rsidR="00C95E00" w:rsidRPr="0073678B">
        <w:rPr>
          <w:rFonts w:cs="Arial"/>
          <w:lang w:eastAsia="ja-JP"/>
        </w:rPr>
        <w:t xml:space="preserve"> </w:t>
      </w:r>
      <w:r w:rsidR="00D17704" w:rsidRPr="0073678B">
        <w:t>la representación en caracteres d</w:t>
      </w:r>
      <w:r w:rsidR="00C95E00" w:rsidRPr="0073678B">
        <w:t>el conjunto ASCII [</w:t>
      </w:r>
      <w:r w:rsidR="00C95E00" w:rsidRPr="002826C3">
        <w:rPr>
          <w:i/>
          <w:lang w:val="es-ES"/>
        </w:rPr>
        <w:t>American Standard Code for Information Interchange</w:t>
      </w:r>
      <w:r w:rsidR="00C95E00" w:rsidRPr="0073678B">
        <w:t xml:space="preserve"> (código estándar estadounidense para el intercambio de información)</w:t>
      </w:r>
      <w:r w:rsidR="00D17704" w:rsidRPr="0073678B">
        <w:t>]</w:t>
      </w:r>
      <w:r w:rsidR="00C95E00" w:rsidRPr="0073678B">
        <w:t xml:space="preserve">, </w:t>
      </w:r>
      <w:r w:rsidR="00D17704" w:rsidRPr="0073678B">
        <w:t>de conformidad con la definición que figura en la Norma ISO [Organización Internacional de Normalización]</w:t>
      </w:r>
      <w:r w:rsidR="00046739" w:rsidRPr="0073678B">
        <w:t> </w:t>
      </w:r>
      <w:r w:rsidR="00D17704" w:rsidRPr="0073678B">
        <w:t>646.</w:t>
      </w:r>
      <w:r w:rsidR="00E56DDB">
        <w:rPr>
          <w:rStyle w:val="FootnoteReference"/>
          <w:rFonts w:cs="Arial"/>
        </w:rPr>
        <w:footnoteReference w:id="18"/>
      </w:r>
    </w:p>
    <w:p w:rsidR="00E56DDB" w:rsidRPr="002826C3" w:rsidRDefault="00E56DDB" w:rsidP="00E56DDB">
      <w:pPr>
        <w:rPr>
          <w:rFonts w:cs="Arial"/>
          <w:lang w:val="es-ES" w:eastAsia="ja-JP"/>
        </w:rPr>
      </w:pPr>
    </w:p>
    <w:p w:rsidR="00E56DDB" w:rsidRPr="002826C3" w:rsidRDefault="00B01818" w:rsidP="00E56DDB">
      <w:pPr>
        <w:rPr>
          <w:rFonts w:cs="Arial"/>
          <w:lang w:val="es-ES" w:eastAsia="ja-JP"/>
        </w:rPr>
      </w:pPr>
      <w:r w:rsidRPr="00BD5B6E">
        <w:fldChar w:fldCharType="begin"/>
      </w:r>
      <w:r w:rsidR="00E56DDB" w:rsidRPr="002826C3">
        <w:rPr>
          <w:lang w:val="es-ES"/>
        </w:rPr>
        <w:instrText xml:space="preserve"> AUTONUM  </w:instrText>
      </w:r>
      <w:r w:rsidRPr="00BD5B6E">
        <w:fldChar w:fldCharType="end"/>
      </w:r>
      <w:r w:rsidR="00E56DDB" w:rsidRPr="002826C3">
        <w:rPr>
          <w:lang w:val="es-ES"/>
        </w:rPr>
        <w:tab/>
      </w:r>
      <w:r w:rsidR="00075490" w:rsidRPr="0073678B">
        <w:t xml:space="preserve">En lo que respecta a </w:t>
      </w:r>
      <w:r w:rsidR="0074224B" w:rsidRPr="0073678B">
        <w:t xml:space="preserve">acentos y caracteres especiales, </w:t>
      </w:r>
      <w:r w:rsidR="00075490" w:rsidRPr="0073678B">
        <w:t xml:space="preserve">cabe señalar </w:t>
      </w:r>
      <w:r w:rsidR="00204E1C" w:rsidRPr="0073678B">
        <w:t>que</w:t>
      </w:r>
      <w:r w:rsidR="0074224B" w:rsidRPr="0073678B">
        <w:t xml:space="preserve"> </w:t>
      </w:r>
      <w:r w:rsidR="004A539B" w:rsidRPr="0073678B">
        <w:rPr>
          <w:rFonts w:cs="Arial"/>
          <w:lang w:eastAsia="ja-JP"/>
        </w:rPr>
        <w:t xml:space="preserve">el conjunto de caracteres de </w:t>
      </w:r>
      <w:r w:rsidR="00204E1C" w:rsidRPr="0073678B">
        <w:t xml:space="preserve">la Norma </w:t>
      </w:r>
      <w:r w:rsidR="009B7CD6" w:rsidRPr="0073678B">
        <w:rPr>
          <w:rFonts w:cs="Arial"/>
          <w:lang w:eastAsia="ja-JP"/>
        </w:rPr>
        <w:t>ISO/</w:t>
      </w:r>
      <w:r w:rsidR="00204E1C" w:rsidRPr="0073678B">
        <w:rPr>
          <w:rFonts w:cs="Arial"/>
          <w:lang w:eastAsia="ja-JP"/>
        </w:rPr>
        <w:t>IEC [</w:t>
      </w:r>
      <w:r w:rsidR="00204E1C" w:rsidRPr="002826C3">
        <w:rPr>
          <w:rFonts w:cs="Arial"/>
          <w:i/>
          <w:lang w:val="es-ES" w:eastAsia="ja-JP"/>
        </w:rPr>
        <w:t>International Electrotechnical Commission</w:t>
      </w:r>
      <w:r w:rsidR="00204E1C" w:rsidRPr="0073678B">
        <w:rPr>
          <w:rFonts w:cs="Arial"/>
          <w:lang w:eastAsia="ja-JP"/>
        </w:rPr>
        <w:t xml:space="preserve"> (Comisión Electrotécnica Internacional)] </w:t>
      </w:r>
      <w:r w:rsidR="00D31770" w:rsidRPr="0073678B">
        <w:t>8859</w:t>
      </w:r>
      <w:r w:rsidR="00D31770" w:rsidRPr="0073678B">
        <w:noBreakHyphen/>
        <w:t xml:space="preserve">1:1998 </w:t>
      </w:r>
      <w:r w:rsidR="004A539B" w:rsidRPr="0073678B">
        <w:t>comprende</w:t>
      </w:r>
      <w:r w:rsidR="0074224B" w:rsidRPr="0073678B">
        <w:t xml:space="preserve"> </w:t>
      </w:r>
      <w:r w:rsidR="009B7CD6" w:rsidRPr="0073678B">
        <w:rPr>
          <w:rFonts w:cs="Arial"/>
          <w:lang w:eastAsia="ja-JP"/>
        </w:rPr>
        <w:t xml:space="preserve">el conjunto de caracteres ASCII </w:t>
      </w:r>
      <w:r w:rsidR="0074224B" w:rsidRPr="0073678B">
        <w:rPr>
          <w:lang w:eastAsia="ja-JP"/>
        </w:rPr>
        <w:t>y</w:t>
      </w:r>
      <w:r w:rsidR="0074224B" w:rsidRPr="0073678B">
        <w:rPr>
          <w:rFonts w:hint="eastAsia"/>
          <w:lang w:eastAsia="ja-JP"/>
        </w:rPr>
        <w:t xml:space="preserve"> </w:t>
      </w:r>
      <w:r w:rsidR="009B7CD6" w:rsidRPr="0073678B">
        <w:rPr>
          <w:lang w:eastAsia="ja-JP"/>
        </w:rPr>
        <w:t>un</w:t>
      </w:r>
      <w:r w:rsidR="0074224B" w:rsidRPr="0073678B">
        <w:rPr>
          <w:lang w:eastAsia="ja-JP"/>
        </w:rPr>
        <w:t xml:space="preserve">a </w:t>
      </w:r>
      <w:r w:rsidR="009B7CD6" w:rsidRPr="0073678B">
        <w:rPr>
          <w:lang w:eastAsia="ja-JP"/>
        </w:rPr>
        <w:t>gran diversidad de</w:t>
      </w:r>
      <w:r w:rsidR="0074224B" w:rsidRPr="0073678B">
        <w:rPr>
          <w:rFonts w:cs="Arial" w:hint="eastAsia"/>
        </w:rPr>
        <w:t xml:space="preserve"> </w:t>
      </w:r>
      <w:r w:rsidR="0074224B" w:rsidRPr="0073678B">
        <w:rPr>
          <w:rFonts w:cs="Arial"/>
        </w:rPr>
        <w:t>acentos</w:t>
      </w:r>
      <w:r w:rsidR="0074224B" w:rsidRPr="0073678B">
        <w:rPr>
          <w:rFonts w:cs="Arial" w:hint="eastAsia"/>
          <w:lang w:eastAsia="ja-JP"/>
        </w:rPr>
        <w:t xml:space="preserve"> </w:t>
      </w:r>
      <w:r w:rsidR="0074224B" w:rsidRPr="0073678B">
        <w:rPr>
          <w:rFonts w:cs="Arial"/>
          <w:lang w:eastAsia="ja-JP"/>
        </w:rPr>
        <w:t>y</w:t>
      </w:r>
      <w:r w:rsidR="0074224B" w:rsidRPr="0073678B">
        <w:rPr>
          <w:rFonts w:cs="Arial" w:hint="eastAsia"/>
          <w:lang w:eastAsia="ja-JP"/>
        </w:rPr>
        <w:t xml:space="preserve"> </w:t>
      </w:r>
      <w:r w:rsidR="0074224B" w:rsidRPr="0073678B">
        <w:rPr>
          <w:rFonts w:cs="Arial"/>
        </w:rPr>
        <w:t>caracteres especiales</w:t>
      </w:r>
      <w:r w:rsidR="0074224B" w:rsidRPr="0073678B">
        <w:rPr>
          <w:rFonts w:cs="Arial" w:hint="eastAsia"/>
          <w:lang w:eastAsia="ja-JP"/>
        </w:rPr>
        <w:t xml:space="preserve"> </w:t>
      </w:r>
      <w:r w:rsidR="009B7CD6" w:rsidRPr="0073678B">
        <w:rPr>
          <w:rFonts w:cs="Arial"/>
          <w:lang w:eastAsia="ja-JP"/>
        </w:rPr>
        <w:t>para el alfabeto latino</w:t>
      </w:r>
      <w:r w:rsidR="0074224B" w:rsidRPr="0073678B">
        <w:rPr>
          <w:rFonts w:cs="Arial" w:hint="eastAsia"/>
          <w:lang w:eastAsia="ja-JP"/>
        </w:rPr>
        <w:t>.</w:t>
      </w:r>
    </w:p>
    <w:p w:rsidR="00E56DDB" w:rsidRPr="002826C3" w:rsidRDefault="00E56DDB" w:rsidP="00E56DDB">
      <w:pPr>
        <w:rPr>
          <w:rFonts w:cs="Arial"/>
          <w:lang w:val="es-ES" w:eastAsia="ja-JP"/>
        </w:rPr>
      </w:pPr>
    </w:p>
    <w:p w:rsidR="00E56DDB" w:rsidRPr="002826C3" w:rsidRDefault="00B01818" w:rsidP="00E56DDB">
      <w:pPr>
        <w:rPr>
          <w:rFonts w:cs="Arial"/>
          <w:lang w:val="es-ES" w:eastAsia="ja-JP"/>
        </w:rPr>
      </w:pPr>
      <w:r w:rsidRPr="008C12CB">
        <w:fldChar w:fldCharType="begin"/>
      </w:r>
      <w:r w:rsidR="00E56DDB" w:rsidRPr="002826C3">
        <w:rPr>
          <w:lang w:val="es-ES"/>
        </w:rPr>
        <w:instrText xml:space="preserve"> AUTONUM  </w:instrText>
      </w:r>
      <w:r w:rsidRPr="008C12CB">
        <w:fldChar w:fldCharType="end"/>
      </w:r>
      <w:r w:rsidR="00E56DDB" w:rsidRPr="002826C3">
        <w:rPr>
          <w:lang w:val="es-ES"/>
        </w:rPr>
        <w:tab/>
      </w:r>
      <w:r w:rsidR="00A60799" w:rsidRPr="0073678B">
        <w:rPr>
          <w:rFonts w:cs="Arial"/>
          <w:lang w:eastAsia="ja-JP"/>
        </w:rPr>
        <w:t xml:space="preserve">En vista de ello, se sugiere al </w:t>
      </w:r>
      <w:r w:rsidR="009B7CD6" w:rsidRPr="0073678B">
        <w:rPr>
          <w:rFonts w:hint="eastAsia"/>
          <w:lang w:eastAsia="ja-JP"/>
        </w:rPr>
        <w:t xml:space="preserve">CAJ </w:t>
      </w:r>
      <w:r w:rsidR="00A60799" w:rsidRPr="0073678B">
        <w:rPr>
          <w:lang w:eastAsia="ja-JP"/>
        </w:rPr>
        <w:t>que</w:t>
      </w:r>
      <w:r w:rsidR="009B7CD6" w:rsidRPr="0073678B">
        <w:rPr>
          <w:rFonts w:hint="eastAsia"/>
          <w:lang w:eastAsia="ja-JP"/>
        </w:rPr>
        <w:t xml:space="preserve"> consider</w:t>
      </w:r>
      <w:r w:rsidR="00A60799" w:rsidRPr="0073678B">
        <w:rPr>
          <w:lang w:eastAsia="ja-JP"/>
        </w:rPr>
        <w:t>e</w:t>
      </w:r>
      <w:r w:rsidR="009B7CD6" w:rsidRPr="0073678B">
        <w:rPr>
          <w:rFonts w:hint="eastAsia"/>
          <w:lang w:eastAsia="ja-JP"/>
        </w:rPr>
        <w:t xml:space="preserve"> </w:t>
      </w:r>
      <w:r w:rsidR="00A60799" w:rsidRPr="0073678B">
        <w:rPr>
          <w:lang w:eastAsia="ja-JP"/>
        </w:rPr>
        <w:t xml:space="preserve">la </w:t>
      </w:r>
      <w:r w:rsidR="004A539B" w:rsidRPr="0073678B">
        <w:rPr>
          <w:rFonts w:cs="Arial"/>
          <w:lang w:eastAsia="ja-JP"/>
        </w:rPr>
        <w:t xml:space="preserve">siguiente </w:t>
      </w:r>
      <w:r w:rsidR="009B7CD6" w:rsidRPr="0073678B">
        <w:rPr>
          <w:lang w:eastAsia="ja-JP"/>
        </w:rPr>
        <w:t>revisión</w:t>
      </w:r>
      <w:r w:rsidR="009B7CD6" w:rsidRPr="0073678B">
        <w:rPr>
          <w:rFonts w:hint="eastAsia"/>
          <w:lang w:eastAsia="ja-JP"/>
        </w:rPr>
        <w:t xml:space="preserve"> </w:t>
      </w:r>
      <w:r w:rsidR="00A60799" w:rsidRPr="0073678B">
        <w:rPr>
          <w:lang w:eastAsia="ja-JP"/>
        </w:rPr>
        <w:t xml:space="preserve">de la </w:t>
      </w:r>
      <w:r w:rsidR="00E20F83" w:rsidRPr="0073678B">
        <w:rPr>
          <w:rFonts w:cs="Arial"/>
          <w:lang w:eastAsia="ja-JP"/>
        </w:rPr>
        <w:t>Sección </w:t>
      </w:r>
      <w:r w:rsidR="00A60799" w:rsidRPr="0073678B">
        <w:rPr>
          <w:rFonts w:cs="Arial"/>
          <w:lang w:eastAsia="ja-JP"/>
        </w:rPr>
        <w:t xml:space="preserve">3.1.3 </w:t>
      </w:r>
      <w:r w:rsidR="00A60799" w:rsidRPr="0073678B">
        <w:rPr>
          <w:lang w:eastAsia="ja-JP"/>
        </w:rPr>
        <w:t>del</w:t>
      </w:r>
      <w:r w:rsidR="009B7CD6" w:rsidRPr="0073678B">
        <w:rPr>
          <w:lang w:eastAsia="ja-JP"/>
        </w:rPr>
        <w:t xml:space="preserve"> </w:t>
      </w:r>
      <w:r w:rsidR="009B7CD6" w:rsidRPr="0073678B">
        <w:rPr>
          <w:rFonts w:cs="Arial"/>
          <w:lang w:eastAsia="ja-JP"/>
        </w:rPr>
        <w:t>“</w:t>
      </w:r>
      <w:r w:rsidR="009A390C" w:rsidRPr="0073678B">
        <w:rPr>
          <w:rFonts w:cs="Arial"/>
          <w:lang w:eastAsia="ja-JP"/>
        </w:rPr>
        <w:t>Programa de mejoras de la Base de datos sobre variedades vegetales</w:t>
      </w:r>
      <w:r w:rsidR="009B7CD6" w:rsidRPr="0073678B">
        <w:rPr>
          <w:rFonts w:cs="Arial"/>
          <w:lang w:eastAsia="ja-JP"/>
        </w:rPr>
        <w:t>”:</w:t>
      </w:r>
      <w:r w:rsidR="001511C4" w:rsidRPr="002826C3">
        <w:rPr>
          <w:rFonts w:cs="Arial"/>
          <w:lang w:val="es-ES" w:eastAsia="ja-JP"/>
        </w:rPr>
        <w:t xml:space="preserve">  </w:t>
      </w:r>
    </w:p>
    <w:p w:rsidR="00E56DDB" w:rsidRPr="002826C3" w:rsidRDefault="00E56DDB" w:rsidP="00E56DDB">
      <w:pPr>
        <w:rPr>
          <w:rFonts w:cs="Arial"/>
          <w:lang w:val="es-ES" w:eastAsia="ja-JP"/>
        </w:rPr>
      </w:pPr>
    </w:p>
    <w:p w:rsidR="00E56DDB" w:rsidRPr="002826C3" w:rsidRDefault="00E56DDB" w:rsidP="00E56DDB">
      <w:pPr>
        <w:tabs>
          <w:tab w:val="left" w:pos="1418"/>
        </w:tabs>
        <w:ind w:left="567" w:right="567"/>
        <w:rPr>
          <w:rFonts w:cs="Arial"/>
          <w:lang w:val="es-ES" w:eastAsia="ja-JP"/>
        </w:rPr>
      </w:pPr>
      <w:r w:rsidRPr="002826C3">
        <w:rPr>
          <w:rFonts w:cs="Arial"/>
          <w:lang w:val="es-ES" w:eastAsia="ja-JP"/>
        </w:rPr>
        <w:t>“3.1.3</w:t>
      </w:r>
      <w:r w:rsidRPr="002826C3">
        <w:rPr>
          <w:rFonts w:cs="Arial"/>
          <w:lang w:val="es-ES" w:eastAsia="ja-JP"/>
        </w:rPr>
        <w:tab/>
      </w:r>
      <w:r w:rsidR="00E20F83" w:rsidRPr="0073678B">
        <w:rPr>
          <w:rFonts w:cs="Arial"/>
          <w:lang w:eastAsia="ja-JP"/>
        </w:rPr>
        <w:t xml:space="preserve">A reserva </w:t>
      </w:r>
      <w:r w:rsidR="003E185D" w:rsidRPr="0073678B">
        <w:rPr>
          <w:rFonts w:cs="Arial"/>
          <w:lang w:eastAsia="ja-JP"/>
        </w:rPr>
        <w:t>de</w:t>
      </w:r>
      <w:r w:rsidR="00E20F83" w:rsidRPr="0073678B">
        <w:rPr>
          <w:rFonts w:cs="Arial"/>
          <w:lang w:eastAsia="ja-JP"/>
        </w:rPr>
        <w:t xml:space="preserve"> lo dispuesto en la Sección 3.1.4, el conjunto de caracteres que deberá usarse será </w:t>
      </w:r>
      <w:r w:rsidR="00E20F83" w:rsidRPr="0073678B">
        <w:rPr>
          <w:rFonts w:cs="Arial"/>
          <w:strike/>
          <w:shd w:val="pct15" w:color="auto" w:fill="FFFFFF"/>
          <w:lang w:eastAsia="ja-JP"/>
        </w:rPr>
        <w:t>la representación en caracteres ASCII [</w:t>
      </w:r>
      <w:r w:rsidR="00E20F83" w:rsidRPr="002826C3">
        <w:rPr>
          <w:rFonts w:cs="Arial"/>
          <w:i/>
          <w:strike/>
          <w:shd w:val="pct15" w:color="auto" w:fill="FFFFFF"/>
          <w:lang w:val="es-ES" w:eastAsia="ja-JP"/>
        </w:rPr>
        <w:t>American Standard Code for Information Interchange</w:t>
      </w:r>
      <w:r w:rsidR="00E20F83" w:rsidRPr="0073678B">
        <w:rPr>
          <w:rFonts w:cs="Arial"/>
          <w:strike/>
          <w:shd w:val="pct15" w:color="auto" w:fill="FFFFFF"/>
          <w:lang w:eastAsia="ja-JP"/>
        </w:rPr>
        <w:t>] (código estándar estadounidense para el intercambio de información)], de conformidad con la definición que figura en</w:t>
      </w:r>
      <w:r w:rsidR="00E20F83" w:rsidRPr="0073678B">
        <w:rPr>
          <w:rFonts w:cs="Arial"/>
          <w:lang w:eastAsia="ja-JP"/>
        </w:rPr>
        <w:t xml:space="preserve"> </w:t>
      </w:r>
      <w:r w:rsidR="003E185D" w:rsidRPr="0073678B">
        <w:rPr>
          <w:rFonts w:cs="Arial"/>
          <w:lang w:eastAsia="ja-JP"/>
        </w:rPr>
        <w:t xml:space="preserve">el de </w:t>
      </w:r>
      <w:r w:rsidR="00E20F83" w:rsidRPr="0073678B">
        <w:rPr>
          <w:rFonts w:cs="Arial"/>
          <w:lang w:eastAsia="ja-JP"/>
        </w:rPr>
        <w:t xml:space="preserve">la Norma ISO [Organización Internacional de </w:t>
      </w:r>
      <w:r w:rsidR="00E20F83" w:rsidRPr="0073678B">
        <w:rPr>
          <w:rFonts w:cs="Arial"/>
          <w:lang w:eastAsia="ja-JP"/>
        </w:rPr>
        <w:lastRenderedPageBreak/>
        <w:t>Normalización]</w:t>
      </w:r>
      <w:r w:rsidR="00555EA5" w:rsidRPr="0073678B">
        <w:rPr>
          <w:rFonts w:cs="Arial" w:hint="eastAsia"/>
          <w:lang w:eastAsia="ja-JP"/>
        </w:rPr>
        <w:t xml:space="preserve"> / IEC </w:t>
      </w:r>
      <w:r w:rsidR="00555EA5" w:rsidRPr="0073678B">
        <w:rPr>
          <w:rFonts w:cs="Arial"/>
          <w:lang w:eastAsia="ja-JP"/>
        </w:rPr>
        <w:t>[</w:t>
      </w:r>
      <w:r w:rsidR="00555EA5" w:rsidRPr="002826C3">
        <w:rPr>
          <w:rFonts w:cs="Arial"/>
          <w:i/>
          <w:lang w:val="es-ES" w:eastAsia="ja-JP"/>
        </w:rPr>
        <w:t>International Electrotechnical Commission</w:t>
      </w:r>
      <w:r w:rsidR="00555EA5" w:rsidRPr="0073678B">
        <w:rPr>
          <w:rFonts w:cs="Arial"/>
          <w:lang w:eastAsia="ja-JP"/>
        </w:rPr>
        <w:t xml:space="preserve"> (Comisión Electrotécnica Internacional)]</w:t>
      </w:r>
      <w:r w:rsidR="00E20F83" w:rsidRPr="0073678B">
        <w:rPr>
          <w:rFonts w:cs="Arial"/>
          <w:lang w:eastAsia="ja-JP"/>
        </w:rPr>
        <w:t xml:space="preserve"> 8859</w:t>
      </w:r>
      <w:r w:rsidR="00E20F83" w:rsidRPr="0073678B">
        <w:rPr>
          <w:rFonts w:cs="Arial"/>
          <w:lang w:eastAsia="ja-JP"/>
        </w:rPr>
        <w:noBreakHyphen/>
        <w:t>1</w:t>
      </w:r>
      <w:r w:rsidR="00E20F83" w:rsidRPr="0073678B">
        <w:rPr>
          <w:rFonts w:cs="Arial" w:hint="eastAsia"/>
          <w:lang w:eastAsia="ja-JP"/>
        </w:rPr>
        <w:t>:1998</w:t>
      </w:r>
      <w:r w:rsidR="00E20F83" w:rsidRPr="0073678B">
        <w:rPr>
          <w:rFonts w:cs="Arial"/>
          <w:spacing w:val="-200"/>
          <w:position w:val="2"/>
          <w:vertAlign w:val="superscript"/>
          <w:lang w:eastAsia="ja-JP"/>
        </w:rPr>
        <w:t>  </w:t>
      </w:r>
      <w:r w:rsidR="00E20F83" w:rsidRPr="0073678B">
        <w:rPr>
          <w:rStyle w:val="FootnoteReference"/>
          <w:rFonts w:cs="Arial"/>
          <w:lang w:eastAsia="ja-JP"/>
        </w:rPr>
        <w:footnoteReference w:id="19"/>
      </w:r>
      <w:r w:rsidR="00E20F83" w:rsidRPr="0073678B">
        <w:rPr>
          <w:rFonts w:cs="Arial"/>
          <w:strike/>
          <w:shd w:val="pct15" w:color="auto" w:fill="FFFFFF"/>
          <w:lang w:eastAsia="ja-JP"/>
        </w:rPr>
        <w:t>646.</w:t>
      </w:r>
      <w:r w:rsidR="00C0712D" w:rsidRPr="002826C3">
        <w:rPr>
          <w:rFonts w:cs="Arial"/>
          <w:strike/>
          <w:shd w:val="pct15" w:color="auto" w:fill="FFFFFF"/>
          <w:lang w:val="es-ES" w:eastAsia="ja-JP"/>
        </w:rPr>
        <w:t xml:space="preserve">  </w:t>
      </w:r>
      <w:r w:rsidR="008A53FE" w:rsidRPr="0073678B">
        <w:rPr>
          <w:rFonts w:eastAsia="MS Mincho" w:cs="Arial"/>
          <w:strike/>
          <w:highlight w:val="lightGray"/>
          <w:shd w:val="pct15" w:color="auto" w:fill="FFFFFF"/>
          <w:lang w:eastAsia="ja-JP"/>
        </w:rPr>
        <w:t>No</w:t>
      </w:r>
      <w:r w:rsidR="008A53FE" w:rsidRPr="0073678B">
        <w:rPr>
          <w:rFonts w:cs="Arial"/>
          <w:strike/>
          <w:shd w:val="pct15" w:color="auto" w:fill="FFFFFF"/>
          <w:lang w:eastAsia="ja-JP"/>
        </w:rPr>
        <w:t xml:space="preserve"> se pueden emplear caracteres especiales, símbolos o acentos (˜, ˆ, ¨, º, etc.)</w:t>
      </w:r>
      <w:r w:rsidR="001C6758" w:rsidRPr="0073678B">
        <w:rPr>
          <w:rFonts w:cs="Arial"/>
          <w:strike/>
          <w:shd w:val="pct15" w:color="auto" w:fill="FFFFFF"/>
          <w:lang w:eastAsia="ja-JP"/>
        </w:rPr>
        <w:t>.</w:t>
      </w:r>
      <w:r w:rsidRPr="002826C3">
        <w:rPr>
          <w:rFonts w:cs="Arial"/>
          <w:strike/>
          <w:shd w:val="pct15" w:color="auto" w:fill="FFFFFF"/>
          <w:lang w:val="es-ES" w:eastAsia="ja-JP"/>
        </w:rPr>
        <w:t xml:space="preserve">  </w:t>
      </w:r>
      <w:r w:rsidR="008A53FE" w:rsidRPr="003D101C">
        <w:rPr>
          <w:rFonts w:cs="Arial"/>
          <w:strike/>
          <w:highlight w:val="lightGray"/>
          <w:shd w:val="pct15" w:color="auto" w:fill="FFFFFF"/>
          <w:lang w:eastAsia="ja-JP"/>
        </w:rPr>
        <w:t>Solamente podrán utilizarse caracteres del alfabeto inglés.</w:t>
      </w:r>
      <w:r w:rsidRPr="002826C3">
        <w:rPr>
          <w:rFonts w:cs="Arial"/>
          <w:shd w:val="pct15" w:color="auto" w:fill="FFFFFF"/>
          <w:lang w:val="es-ES" w:eastAsia="ja-JP"/>
        </w:rPr>
        <w:t>”</w:t>
      </w:r>
    </w:p>
    <w:p w:rsidR="00E56DDB" w:rsidRPr="002826C3" w:rsidRDefault="00E56DDB" w:rsidP="00E56DDB">
      <w:pPr>
        <w:spacing w:line="360" w:lineRule="auto"/>
        <w:rPr>
          <w:lang w:val="es-ES" w:eastAsia="ja-JP"/>
        </w:rPr>
      </w:pPr>
    </w:p>
    <w:p w:rsidR="00E56DDB" w:rsidRPr="002826C3" w:rsidRDefault="008A53FE" w:rsidP="00E56DDB">
      <w:pPr>
        <w:pStyle w:val="Heading3"/>
        <w:rPr>
          <w:lang w:val="es-ES" w:eastAsia="ja-JP"/>
        </w:rPr>
      </w:pPr>
      <w:bookmarkStart w:id="14" w:name="_Toc432410659"/>
      <w:r w:rsidRPr="0073678B">
        <w:rPr>
          <w:lang w:val="es-ES_tradnl" w:eastAsia="ja-JP"/>
        </w:rPr>
        <w:t>Contenido</w:t>
      </w:r>
      <w:r w:rsidRPr="0073678B">
        <w:rPr>
          <w:rFonts w:hint="eastAsia"/>
          <w:lang w:val="es-ES_tradnl" w:eastAsia="ja-JP"/>
        </w:rPr>
        <w:t xml:space="preserve"> </w:t>
      </w:r>
      <w:r w:rsidRPr="0073678B">
        <w:rPr>
          <w:lang w:val="es-ES_tradnl" w:eastAsia="ja-JP"/>
        </w:rPr>
        <w:t>de la base de datos PLUTO</w:t>
      </w:r>
      <w:bookmarkEnd w:id="14"/>
    </w:p>
    <w:p w:rsidR="00E56DDB" w:rsidRPr="002826C3" w:rsidRDefault="00E56DDB" w:rsidP="00E56DDB">
      <w:pPr>
        <w:rPr>
          <w:lang w:val="es-ES" w:eastAsia="ja-JP"/>
        </w:rPr>
      </w:pPr>
    </w:p>
    <w:p w:rsidR="00E56DDB" w:rsidRPr="002826C3" w:rsidRDefault="00B01818" w:rsidP="00E56DDB">
      <w:pPr>
        <w:rPr>
          <w:lang w:val="es-ES" w:eastAsia="ja-JP"/>
        </w:rPr>
      </w:pPr>
      <w:r w:rsidRPr="00BD5B6E">
        <w:fldChar w:fldCharType="begin"/>
      </w:r>
      <w:r w:rsidR="00E56DDB" w:rsidRPr="002826C3">
        <w:rPr>
          <w:lang w:val="es-ES"/>
        </w:rPr>
        <w:instrText xml:space="preserve"> AUTONUM  </w:instrText>
      </w:r>
      <w:r w:rsidRPr="00BD5B6E">
        <w:fldChar w:fldCharType="end"/>
      </w:r>
      <w:r w:rsidR="00E56DDB" w:rsidRPr="002826C3">
        <w:rPr>
          <w:lang w:val="es-ES"/>
        </w:rPr>
        <w:tab/>
      </w:r>
      <w:r w:rsidR="008A53FE" w:rsidRPr="0073678B">
        <w:rPr>
          <w:lang w:eastAsia="ja-JP"/>
        </w:rPr>
        <w:t xml:space="preserve">En su segunda reunión, el </w:t>
      </w:r>
      <w:r w:rsidR="008A53FE" w:rsidRPr="0073678B">
        <w:rPr>
          <w:rFonts w:cs="Arial"/>
          <w:lang w:eastAsia="ja-JP"/>
        </w:rPr>
        <w:t>WG</w:t>
      </w:r>
      <w:r w:rsidR="008A53FE" w:rsidRPr="0073678B">
        <w:rPr>
          <w:rFonts w:cs="Arial"/>
          <w:lang w:eastAsia="ja-JP"/>
        </w:rPr>
        <w:noBreakHyphen/>
        <w:t>DST</w:t>
      </w:r>
      <w:r w:rsidR="008A53FE" w:rsidRPr="0073678B">
        <w:rPr>
          <w:lang w:eastAsia="ja-JP"/>
        </w:rPr>
        <w:t xml:space="preserve"> examinó el documento</w:t>
      </w:r>
      <w:r w:rsidR="008A53FE" w:rsidRPr="0073678B">
        <w:rPr>
          <w:rFonts w:hint="eastAsia"/>
          <w:lang w:eastAsia="ja-JP"/>
        </w:rPr>
        <w:t xml:space="preserve"> UPOV/</w:t>
      </w:r>
      <w:r w:rsidR="008A53FE" w:rsidRPr="0073678B">
        <w:rPr>
          <w:rFonts w:cs="Arial"/>
          <w:lang w:eastAsia="ja-JP"/>
        </w:rPr>
        <w:t>WG</w:t>
      </w:r>
      <w:r w:rsidR="008A53FE" w:rsidRPr="0073678B">
        <w:rPr>
          <w:rFonts w:cs="Arial"/>
          <w:lang w:eastAsia="ja-JP"/>
        </w:rPr>
        <w:noBreakHyphen/>
        <w:t>DST</w:t>
      </w:r>
      <w:r w:rsidR="008A53FE" w:rsidRPr="0073678B">
        <w:rPr>
          <w:rFonts w:hint="eastAsia"/>
          <w:lang w:eastAsia="ja-JP"/>
        </w:rPr>
        <w:t xml:space="preserve">/2/2 </w:t>
      </w:r>
      <w:r w:rsidR="008A53FE" w:rsidRPr="0073678B">
        <w:rPr>
          <w:lang w:eastAsia="ja-JP"/>
        </w:rPr>
        <w:t>“</w:t>
      </w:r>
      <w:r w:rsidR="008A53FE" w:rsidRPr="002826C3">
        <w:rPr>
          <w:i/>
          <w:lang w:val="es-ES" w:eastAsia="ja-JP"/>
        </w:rPr>
        <w:t>Revision of UPOV/INF/12 ‘Explanatory notes on variety denominations under the UPOV Convention’</w:t>
      </w:r>
      <w:r w:rsidR="008A53FE" w:rsidRPr="002826C3">
        <w:rPr>
          <w:lang w:val="es-ES" w:eastAsia="ja-JP"/>
        </w:rPr>
        <w:t>”</w:t>
      </w:r>
      <w:r w:rsidR="008A53FE" w:rsidRPr="0073678B">
        <w:rPr>
          <w:lang w:eastAsia="ja-JP"/>
        </w:rPr>
        <w:t xml:space="preserve"> (Revisión del documento UPOV/INF/12 “Notas explicativas sobre las denominaciones de variedades con arreglo al Convenio de la UPOV”)</w:t>
      </w:r>
      <w:r w:rsidR="008A53FE" w:rsidRPr="0073678B">
        <w:rPr>
          <w:rFonts w:hint="eastAsia"/>
          <w:lang w:eastAsia="ja-JP"/>
        </w:rPr>
        <w:t>.</w:t>
      </w:r>
    </w:p>
    <w:p w:rsidR="00E56DDB" w:rsidRPr="002826C3" w:rsidRDefault="00E56DDB" w:rsidP="00E56DDB">
      <w:pPr>
        <w:rPr>
          <w:rFonts w:cs="Arial"/>
          <w:lang w:val="es-ES" w:eastAsia="ja-JP"/>
        </w:rPr>
      </w:pPr>
    </w:p>
    <w:p w:rsidR="00E56DDB" w:rsidRPr="002826C3" w:rsidRDefault="00B01818" w:rsidP="00E56DDB">
      <w:pPr>
        <w:rPr>
          <w:lang w:val="es-ES"/>
        </w:rPr>
      </w:pPr>
      <w:r w:rsidRPr="00C273DF">
        <w:fldChar w:fldCharType="begin"/>
      </w:r>
      <w:r w:rsidR="00E56DDB" w:rsidRPr="002826C3">
        <w:rPr>
          <w:lang w:val="es-ES"/>
        </w:rPr>
        <w:instrText xml:space="preserve"> AUTONUM  </w:instrText>
      </w:r>
      <w:r w:rsidRPr="00C273DF">
        <w:fldChar w:fldCharType="end"/>
      </w:r>
      <w:r w:rsidR="00E56DDB" w:rsidRPr="002826C3">
        <w:rPr>
          <w:lang w:val="es-ES"/>
        </w:rPr>
        <w:tab/>
      </w:r>
      <w:r w:rsidR="001A7232" w:rsidRPr="0073678B">
        <w:t>El WG</w:t>
      </w:r>
      <w:r w:rsidR="001A7232" w:rsidRPr="0073678B">
        <w:noBreakHyphen/>
        <w:t>DST acordó recomendar que se consider</w:t>
      </w:r>
      <w:r w:rsidR="00715E0F" w:rsidRPr="0073678B">
        <w:t>e</w:t>
      </w:r>
      <w:r w:rsidR="001A7232" w:rsidRPr="0073678B">
        <w:t xml:space="preserve"> la </w:t>
      </w:r>
      <w:r w:rsidR="003E185D" w:rsidRPr="0073678B">
        <w:t>conveniencia</w:t>
      </w:r>
      <w:r w:rsidR="001A7232" w:rsidRPr="0073678B">
        <w:t xml:space="preserve"> de evitar la reutilización de denominaciones en todos los casos.</w:t>
      </w:r>
      <w:r w:rsidR="0081160D" w:rsidRPr="00C273DF">
        <w:t xml:space="preserve">  </w:t>
      </w:r>
      <w:r w:rsidR="00715E0F" w:rsidRPr="0073678B">
        <w:t>En este sentido, el WG</w:t>
      </w:r>
      <w:r w:rsidR="00715E0F" w:rsidRPr="0073678B">
        <w:noBreakHyphen/>
        <w:t xml:space="preserve">DST acordó invitar al CAJ a </w:t>
      </w:r>
      <w:r w:rsidR="003E185D" w:rsidRPr="0073678B">
        <w:t xml:space="preserve">que </w:t>
      </w:r>
      <w:r w:rsidR="00715E0F" w:rsidRPr="0073678B">
        <w:t>consider</w:t>
      </w:r>
      <w:r w:rsidR="003E185D" w:rsidRPr="0073678B">
        <w:t>e</w:t>
      </w:r>
      <w:r w:rsidR="00715E0F" w:rsidRPr="0073678B">
        <w:t xml:space="preserve"> si procede ampliar el contenido de la base de datos PLUTO </w:t>
      </w:r>
      <w:r w:rsidR="003E185D" w:rsidRPr="0073678B">
        <w:t>de modo que abarque todas las variedades reconocidas, incluidas las que no han sido registradas o protegidas o ya no lo están</w:t>
      </w:r>
      <w:r w:rsidR="00715E0F" w:rsidRPr="0073678B">
        <w:t>.</w:t>
      </w:r>
      <w:r w:rsidR="00E56DDB">
        <w:rPr>
          <w:rStyle w:val="FootnoteReference"/>
        </w:rPr>
        <w:footnoteReference w:id="20"/>
      </w:r>
    </w:p>
    <w:p w:rsidR="00E56DDB" w:rsidRPr="002826C3" w:rsidRDefault="00E56DDB" w:rsidP="00E56DDB">
      <w:pPr>
        <w:rPr>
          <w:lang w:val="es-ES"/>
        </w:rPr>
      </w:pPr>
    </w:p>
    <w:p w:rsidR="00E56DDB" w:rsidRPr="002826C3" w:rsidRDefault="00B01818" w:rsidP="00E56DDB">
      <w:pPr>
        <w:rPr>
          <w:lang w:val="es-ES"/>
        </w:rPr>
      </w:pPr>
      <w:r w:rsidRPr="00C273DF">
        <w:fldChar w:fldCharType="begin"/>
      </w:r>
      <w:r w:rsidR="00E56DDB" w:rsidRPr="002826C3">
        <w:rPr>
          <w:lang w:val="es-ES"/>
        </w:rPr>
        <w:instrText xml:space="preserve"> AUTONUM  </w:instrText>
      </w:r>
      <w:r w:rsidRPr="00C273DF">
        <w:fldChar w:fldCharType="end"/>
      </w:r>
      <w:r w:rsidR="00E56DDB" w:rsidRPr="002826C3">
        <w:rPr>
          <w:lang w:val="es-ES"/>
        </w:rPr>
        <w:tab/>
      </w:r>
      <w:r w:rsidR="00870231" w:rsidRPr="0073678B">
        <w:t xml:space="preserve">Esta cuestión se examinará con mayor detenimiento en la tercera reunión del </w:t>
      </w:r>
      <w:r w:rsidR="00870231" w:rsidRPr="0073678B">
        <w:rPr>
          <w:rFonts w:cs="Arial"/>
          <w:lang w:eastAsia="ja-JP"/>
        </w:rPr>
        <w:t>WG</w:t>
      </w:r>
      <w:r w:rsidR="00870231" w:rsidRPr="0073678B">
        <w:rPr>
          <w:rFonts w:cs="Arial"/>
          <w:lang w:eastAsia="ja-JP"/>
        </w:rPr>
        <w:noBreakHyphen/>
        <w:t>DST</w:t>
      </w:r>
      <w:r w:rsidR="00870231" w:rsidRPr="0073678B">
        <w:t>, que se celebrará en Ginebra el 2 de octubre de 2015.</w:t>
      </w:r>
      <w:r w:rsidR="00E56DDB" w:rsidRPr="002826C3">
        <w:rPr>
          <w:lang w:val="es-ES"/>
        </w:rPr>
        <w:t xml:space="preserve">  </w:t>
      </w:r>
      <w:r w:rsidR="00870231" w:rsidRPr="0073678B">
        <w:t>En la septuagésima segunda sesión del CAJ se presentará un informe sobre los debates mantenidos en la tercera reunión del WG</w:t>
      </w:r>
      <w:r w:rsidR="00870231" w:rsidRPr="0073678B">
        <w:noBreakHyphen/>
        <w:t>DST.</w:t>
      </w:r>
    </w:p>
    <w:p w:rsidR="00E56DDB" w:rsidRPr="002826C3" w:rsidRDefault="00E56DDB" w:rsidP="00E56DDB">
      <w:pPr>
        <w:spacing w:line="360" w:lineRule="auto"/>
        <w:rPr>
          <w:lang w:val="es-ES"/>
        </w:rPr>
      </w:pPr>
    </w:p>
    <w:p w:rsidR="00E56DDB" w:rsidRPr="002826C3" w:rsidRDefault="00870231" w:rsidP="00E56DDB">
      <w:pPr>
        <w:keepNext/>
        <w:outlineLvl w:val="2"/>
        <w:rPr>
          <w:i/>
          <w:lang w:val="es-ES" w:eastAsia="ja-JP"/>
        </w:rPr>
      </w:pPr>
      <w:bookmarkStart w:id="15" w:name="_Toc432410660"/>
      <w:r w:rsidRPr="0073678B">
        <w:rPr>
          <w:i/>
          <w:lang w:eastAsia="ja-JP"/>
        </w:rPr>
        <w:t>Términos no válidos para las</w:t>
      </w:r>
      <w:r w:rsidRPr="0073678B">
        <w:rPr>
          <w:rFonts w:hint="eastAsia"/>
          <w:i/>
          <w:lang w:eastAsia="ja-JP"/>
        </w:rPr>
        <w:t xml:space="preserve"> </w:t>
      </w:r>
      <w:r w:rsidRPr="0073678B">
        <w:rPr>
          <w:i/>
          <w:lang w:eastAsia="ja-JP"/>
        </w:rPr>
        <w:t>denominaciones de variedades</w:t>
      </w:r>
      <w:bookmarkEnd w:id="15"/>
    </w:p>
    <w:p w:rsidR="00E56DDB" w:rsidRPr="002826C3" w:rsidRDefault="00E56DDB" w:rsidP="00E56DDB">
      <w:pPr>
        <w:autoSpaceDE w:val="0"/>
        <w:autoSpaceDN w:val="0"/>
        <w:adjustRightInd w:val="0"/>
        <w:jc w:val="left"/>
        <w:rPr>
          <w:lang w:val="es-ES" w:eastAsia="ja-JP"/>
        </w:rPr>
      </w:pPr>
    </w:p>
    <w:p w:rsidR="00E56DDB" w:rsidRPr="002826C3" w:rsidRDefault="00B01818" w:rsidP="00E56DDB">
      <w:pPr>
        <w:autoSpaceDE w:val="0"/>
        <w:autoSpaceDN w:val="0"/>
        <w:adjustRightInd w:val="0"/>
        <w:rPr>
          <w:lang w:val="es-ES" w:eastAsia="ja-JP"/>
        </w:rPr>
      </w:pPr>
      <w:r w:rsidRPr="00014D5F">
        <w:fldChar w:fldCharType="begin"/>
      </w:r>
      <w:r w:rsidR="00E56DDB" w:rsidRPr="002826C3">
        <w:rPr>
          <w:lang w:val="es-ES"/>
        </w:rPr>
        <w:instrText xml:space="preserve"> AUTONUM  </w:instrText>
      </w:r>
      <w:r w:rsidRPr="00014D5F">
        <w:fldChar w:fldCharType="end"/>
      </w:r>
      <w:r w:rsidR="00E56DDB" w:rsidRPr="002826C3">
        <w:rPr>
          <w:lang w:val="es-ES"/>
        </w:rPr>
        <w:tab/>
      </w:r>
      <w:r w:rsidR="00870231" w:rsidRPr="0073678B">
        <w:rPr>
          <w:lang w:eastAsia="ja-JP"/>
        </w:rPr>
        <w:t xml:space="preserve">El </w:t>
      </w:r>
      <w:r w:rsidR="00870231" w:rsidRPr="0073678B">
        <w:rPr>
          <w:rFonts w:cs="Arial"/>
          <w:lang w:eastAsia="ja-JP"/>
        </w:rPr>
        <w:t>WG</w:t>
      </w:r>
      <w:r w:rsidR="00870231" w:rsidRPr="0073678B">
        <w:rPr>
          <w:rFonts w:cs="Arial"/>
          <w:lang w:eastAsia="ja-JP"/>
        </w:rPr>
        <w:noBreakHyphen/>
        <w:t>DST</w:t>
      </w:r>
      <w:r w:rsidR="00870231" w:rsidRPr="0073678B">
        <w:rPr>
          <w:rFonts w:hint="eastAsia"/>
          <w:lang w:eastAsia="ja-JP"/>
        </w:rPr>
        <w:t xml:space="preserve"> </w:t>
      </w:r>
      <w:r w:rsidR="00870231" w:rsidRPr="0073678B">
        <w:rPr>
          <w:lang w:eastAsia="ja-JP"/>
        </w:rPr>
        <w:t xml:space="preserve">acordó invitar al </w:t>
      </w:r>
      <w:r w:rsidR="00870231" w:rsidRPr="0073678B">
        <w:rPr>
          <w:rFonts w:hint="eastAsia"/>
          <w:lang w:eastAsia="ja-JP"/>
        </w:rPr>
        <w:t xml:space="preserve">CAJ </w:t>
      </w:r>
      <w:r w:rsidR="00870231" w:rsidRPr="0073678B">
        <w:rPr>
          <w:lang w:eastAsia="ja-JP"/>
        </w:rPr>
        <w:t>a</w:t>
      </w:r>
      <w:r w:rsidR="00870231" w:rsidRPr="0073678B">
        <w:rPr>
          <w:rFonts w:cs="Arial"/>
          <w:lang w:eastAsia="ja-JP"/>
        </w:rPr>
        <w:t xml:space="preserve"> </w:t>
      </w:r>
      <w:r w:rsidR="0073678B" w:rsidRPr="0073678B">
        <w:rPr>
          <w:rFonts w:cs="Arial"/>
          <w:lang w:eastAsia="ja-JP"/>
        </w:rPr>
        <w:t xml:space="preserve">que </w:t>
      </w:r>
      <w:r w:rsidR="00870231" w:rsidRPr="0073678B">
        <w:rPr>
          <w:rFonts w:cs="Arial"/>
          <w:lang w:eastAsia="ja-JP"/>
        </w:rPr>
        <w:t>consider</w:t>
      </w:r>
      <w:r w:rsidR="0073678B" w:rsidRPr="0073678B">
        <w:rPr>
          <w:rFonts w:cs="Arial"/>
          <w:lang w:eastAsia="ja-JP"/>
        </w:rPr>
        <w:t>e</w:t>
      </w:r>
      <w:r w:rsidR="00870231" w:rsidRPr="0073678B">
        <w:rPr>
          <w:rFonts w:cs="Arial" w:hint="eastAsia"/>
          <w:lang w:eastAsia="ja-JP"/>
        </w:rPr>
        <w:t xml:space="preserve"> </w:t>
      </w:r>
      <w:r w:rsidR="00870231" w:rsidRPr="0073678B">
        <w:rPr>
          <w:rFonts w:cs="Arial"/>
          <w:lang w:eastAsia="ja-JP"/>
        </w:rPr>
        <w:t>si</w:t>
      </w:r>
      <w:r w:rsidR="00870231" w:rsidRPr="0073678B">
        <w:rPr>
          <w:rFonts w:cs="Arial" w:hint="eastAsia"/>
          <w:lang w:eastAsia="ja-JP"/>
        </w:rPr>
        <w:t xml:space="preserve"> </w:t>
      </w:r>
      <w:r w:rsidR="00870231" w:rsidRPr="0073678B">
        <w:rPr>
          <w:rFonts w:cs="Arial"/>
          <w:lang w:eastAsia="ja-JP"/>
        </w:rPr>
        <w:t xml:space="preserve">procede confeccionar una </w:t>
      </w:r>
      <w:r w:rsidR="00870231" w:rsidRPr="0073678B">
        <w:rPr>
          <w:rFonts w:cs="Arial" w:hint="eastAsia"/>
          <w:lang w:eastAsia="ja-JP"/>
        </w:rPr>
        <w:t>list</w:t>
      </w:r>
      <w:r w:rsidR="00870231" w:rsidRPr="0073678B">
        <w:rPr>
          <w:rFonts w:cs="Arial"/>
          <w:lang w:eastAsia="ja-JP"/>
        </w:rPr>
        <w:t>a</w:t>
      </w:r>
      <w:r w:rsidR="00870231" w:rsidRPr="0073678B">
        <w:rPr>
          <w:rFonts w:cs="Arial" w:hint="eastAsia"/>
          <w:lang w:eastAsia="ja-JP"/>
        </w:rPr>
        <w:t xml:space="preserve"> </w:t>
      </w:r>
      <w:r w:rsidR="00870231" w:rsidRPr="0073678B">
        <w:rPr>
          <w:rFonts w:cs="Arial"/>
          <w:lang w:eastAsia="ja-JP"/>
        </w:rPr>
        <w:t xml:space="preserve">de </w:t>
      </w:r>
      <w:r w:rsidR="00870231" w:rsidRPr="0073678B">
        <w:rPr>
          <w:rFonts w:cs="Arial"/>
        </w:rPr>
        <w:t>términos</w:t>
      </w:r>
      <w:r w:rsidR="00870231" w:rsidRPr="0073678B">
        <w:rPr>
          <w:rFonts w:cs="Arial" w:hint="eastAsia"/>
          <w:lang w:eastAsia="ja-JP"/>
        </w:rPr>
        <w:t xml:space="preserve"> </w:t>
      </w:r>
      <w:r w:rsidR="00870231" w:rsidRPr="0073678B">
        <w:rPr>
          <w:rFonts w:cs="Arial"/>
          <w:lang w:eastAsia="ja-JP"/>
        </w:rPr>
        <w:t>no válidos para las denominaciones de variedades</w:t>
      </w:r>
      <w:r w:rsidR="00046739" w:rsidRPr="0073678B">
        <w:rPr>
          <w:rFonts w:cs="Arial"/>
          <w:lang w:eastAsia="ja-JP"/>
        </w:rPr>
        <w:t>,</w:t>
      </w:r>
      <w:r w:rsidR="00870231" w:rsidRPr="0073678B">
        <w:rPr>
          <w:rFonts w:cs="Arial" w:hint="eastAsia"/>
          <w:lang w:eastAsia="ja-JP"/>
        </w:rPr>
        <w:t xml:space="preserve"> </w:t>
      </w:r>
      <w:r w:rsidR="00870231" w:rsidRPr="0073678B">
        <w:rPr>
          <w:rFonts w:cs="Arial"/>
          <w:lang w:eastAsia="ja-JP"/>
        </w:rPr>
        <w:t>como función</w:t>
      </w:r>
      <w:r w:rsidR="00870231" w:rsidRPr="0073678B">
        <w:rPr>
          <w:rFonts w:cs="Arial" w:hint="eastAsia"/>
          <w:lang w:eastAsia="ja-JP"/>
        </w:rPr>
        <w:t xml:space="preserve"> </w:t>
      </w:r>
      <w:r w:rsidR="00870231" w:rsidRPr="0073678B">
        <w:rPr>
          <w:rFonts w:cs="Arial"/>
          <w:lang w:eastAsia="ja-JP"/>
        </w:rPr>
        <w:t>adicional</w:t>
      </w:r>
      <w:r w:rsidR="00870231" w:rsidRPr="0073678B">
        <w:rPr>
          <w:rFonts w:cs="Arial" w:hint="eastAsia"/>
          <w:lang w:eastAsia="ja-JP"/>
        </w:rPr>
        <w:t xml:space="preserve"> </w:t>
      </w:r>
      <w:r w:rsidR="00870231" w:rsidRPr="0073678B">
        <w:rPr>
          <w:rFonts w:cs="Arial"/>
          <w:lang w:eastAsia="ja-JP"/>
        </w:rPr>
        <w:t xml:space="preserve">del instrumento de búsqueda de denominaciones de la </w:t>
      </w:r>
      <w:r w:rsidR="00870231" w:rsidRPr="0073678B">
        <w:rPr>
          <w:rFonts w:cs="Arial" w:hint="eastAsia"/>
          <w:lang w:eastAsia="ja-JP"/>
        </w:rPr>
        <w:t>UPOV.</w:t>
      </w:r>
      <w:r w:rsidR="00E56DDB" w:rsidRPr="002826C3">
        <w:rPr>
          <w:rFonts w:cs="Arial"/>
          <w:lang w:val="es-ES" w:eastAsia="ja-JP"/>
        </w:rPr>
        <w:t xml:space="preserve">  </w:t>
      </w:r>
      <w:r w:rsidR="00AF1920" w:rsidRPr="0073678B">
        <w:rPr>
          <w:rFonts w:cs="Arial"/>
          <w:lang w:eastAsia="ja-JP"/>
        </w:rPr>
        <w:t xml:space="preserve">Las novedades acaecidas en relación con este asunto se recogen en el </w:t>
      </w:r>
      <w:r w:rsidR="00AF1920" w:rsidRPr="0073678B">
        <w:rPr>
          <w:lang w:eastAsia="ja-JP"/>
        </w:rPr>
        <w:t>documento</w:t>
      </w:r>
      <w:r w:rsidR="00AF1920" w:rsidRPr="0073678B">
        <w:rPr>
          <w:rFonts w:hint="eastAsia"/>
          <w:lang w:eastAsia="ja-JP"/>
        </w:rPr>
        <w:t xml:space="preserve"> CAJ/72/3 </w:t>
      </w:r>
      <w:r w:rsidR="00AF1920" w:rsidRPr="0073678B">
        <w:rPr>
          <w:lang w:eastAsia="ja-JP"/>
        </w:rPr>
        <w:t>“Denominaciones de variedades”.</w:t>
      </w:r>
      <w:r w:rsidR="00E56DDB">
        <w:rPr>
          <w:rStyle w:val="FootnoteReference"/>
          <w:lang w:eastAsia="ja-JP"/>
        </w:rPr>
        <w:footnoteReference w:id="21"/>
      </w:r>
    </w:p>
    <w:p w:rsidR="00E56DDB" w:rsidRPr="002826C3" w:rsidRDefault="00E56DDB" w:rsidP="00E56DDB">
      <w:pPr>
        <w:autoSpaceDE w:val="0"/>
        <w:autoSpaceDN w:val="0"/>
        <w:adjustRightInd w:val="0"/>
        <w:rPr>
          <w:lang w:val="es-ES" w:eastAsia="ja-JP"/>
        </w:rPr>
      </w:pPr>
    </w:p>
    <w:p w:rsidR="00E56DDB" w:rsidRPr="002826C3" w:rsidRDefault="00B01818" w:rsidP="00E56DDB">
      <w:pPr>
        <w:pStyle w:val="DecisionInvitingPara"/>
        <w:tabs>
          <w:tab w:val="left" w:pos="5387"/>
          <w:tab w:val="left" w:pos="5954"/>
        </w:tabs>
        <w:ind w:left="4820"/>
        <w:rPr>
          <w:lang w:val="es-ES"/>
        </w:rPr>
      </w:pPr>
      <w:r w:rsidRPr="001020DE">
        <w:rPr>
          <w:lang w:val="en-US"/>
        </w:rPr>
        <w:fldChar w:fldCharType="begin"/>
      </w:r>
      <w:r w:rsidR="00E56DDB" w:rsidRPr="002826C3">
        <w:rPr>
          <w:lang w:val="es-ES"/>
        </w:rPr>
        <w:instrText xml:space="preserve"> AUTONUM  </w:instrText>
      </w:r>
      <w:r w:rsidRPr="001020DE">
        <w:rPr>
          <w:lang w:val="en-US"/>
        </w:rPr>
        <w:fldChar w:fldCharType="end"/>
      </w:r>
      <w:r w:rsidR="00E56DDB" w:rsidRPr="002826C3">
        <w:rPr>
          <w:lang w:val="es-ES"/>
        </w:rPr>
        <w:tab/>
      </w:r>
      <w:r w:rsidR="00CE60E3" w:rsidRPr="003D101C">
        <w:t>Se invita al CAJ a:</w:t>
      </w:r>
      <w:r w:rsidR="001511C4" w:rsidRPr="002826C3">
        <w:rPr>
          <w:lang w:val="es-ES"/>
        </w:rPr>
        <w:t xml:space="preserve">  </w:t>
      </w:r>
    </w:p>
    <w:p w:rsidR="00E56DDB" w:rsidRPr="002826C3" w:rsidRDefault="00E56DDB" w:rsidP="00E56DDB">
      <w:pPr>
        <w:pStyle w:val="DecisionInvitingPara"/>
        <w:tabs>
          <w:tab w:val="left" w:pos="5387"/>
          <w:tab w:val="left" w:pos="5954"/>
        </w:tabs>
        <w:ind w:left="4820"/>
        <w:rPr>
          <w:lang w:val="es-ES" w:eastAsia="ja-JP"/>
        </w:rPr>
      </w:pPr>
    </w:p>
    <w:p w:rsidR="00E56DDB" w:rsidRPr="002826C3" w:rsidRDefault="00CE60E3" w:rsidP="00E56DDB">
      <w:pPr>
        <w:pStyle w:val="DecisionInvitingPara"/>
        <w:tabs>
          <w:tab w:val="left" w:pos="5387"/>
          <w:tab w:val="left" w:pos="5954"/>
        </w:tabs>
        <w:ind w:left="4820" w:firstLine="567"/>
        <w:rPr>
          <w:snapToGrid w:val="0"/>
          <w:lang w:val="es-ES" w:eastAsia="ja-JP"/>
        </w:rPr>
      </w:pPr>
      <w:r w:rsidRPr="003D101C">
        <w:rPr>
          <w:lang w:eastAsia="ja-JP"/>
        </w:rPr>
        <w:t>a)</w:t>
      </w:r>
      <w:r w:rsidR="00E56DDB" w:rsidRPr="002826C3">
        <w:rPr>
          <w:lang w:val="es-ES" w:eastAsia="ja-JP"/>
        </w:rPr>
        <w:tab/>
      </w:r>
      <w:r w:rsidRPr="0073678B">
        <w:rPr>
          <w:lang w:eastAsia="ja-JP"/>
        </w:rPr>
        <w:t>tomar nota de la</w:t>
      </w:r>
      <w:r w:rsidR="00046739" w:rsidRPr="0073678B">
        <w:rPr>
          <w:lang w:eastAsia="ja-JP"/>
        </w:rPr>
        <w:t xml:space="preserve"> </w:t>
      </w:r>
      <w:r w:rsidRPr="0073678B">
        <w:rPr>
          <w:lang w:eastAsia="ja-JP"/>
        </w:rPr>
        <w:t xml:space="preserve">información actualizada </w:t>
      </w:r>
      <w:r w:rsidR="00046739" w:rsidRPr="0073678B">
        <w:rPr>
          <w:lang w:eastAsia="ja-JP"/>
        </w:rPr>
        <w:t>sobre las bases de datos GENIE y PLUTO que se expone en los párrafos 6 a 16</w:t>
      </w:r>
      <w:r w:rsidRPr="0073678B">
        <w:rPr>
          <w:lang w:eastAsia="ja-JP"/>
        </w:rPr>
        <w:t>;</w:t>
      </w:r>
    </w:p>
    <w:p w:rsidR="00E56DDB" w:rsidRPr="002826C3" w:rsidRDefault="00E56DDB" w:rsidP="00E56DDB">
      <w:pPr>
        <w:pStyle w:val="DecisionInvitingPara"/>
        <w:tabs>
          <w:tab w:val="left" w:pos="5387"/>
          <w:tab w:val="left" w:pos="5954"/>
        </w:tabs>
        <w:ind w:left="4820" w:firstLine="567"/>
        <w:rPr>
          <w:snapToGrid w:val="0"/>
          <w:lang w:val="es-ES" w:eastAsia="ja-JP"/>
        </w:rPr>
      </w:pPr>
    </w:p>
    <w:p w:rsidR="00E56DDB" w:rsidRPr="002826C3" w:rsidRDefault="00CE60E3" w:rsidP="00E56DDB">
      <w:pPr>
        <w:pStyle w:val="DecisionInvitingPara"/>
        <w:tabs>
          <w:tab w:val="left" w:pos="5387"/>
          <w:tab w:val="left" w:pos="5954"/>
        </w:tabs>
        <w:ind w:left="4820" w:firstLine="567"/>
        <w:rPr>
          <w:snapToGrid w:val="0"/>
          <w:lang w:val="es-ES" w:eastAsia="ja-JP"/>
        </w:rPr>
      </w:pPr>
      <w:r w:rsidRPr="003D101C">
        <w:rPr>
          <w:snapToGrid w:val="0"/>
          <w:lang w:eastAsia="ja-JP"/>
        </w:rPr>
        <w:t>b)</w:t>
      </w:r>
      <w:r w:rsidR="00E56DDB" w:rsidRPr="002826C3">
        <w:rPr>
          <w:snapToGrid w:val="0"/>
          <w:lang w:val="es-ES" w:eastAsia="ja-JP"/>
        </w:rPr>
        <w:tab/>
      </w:r>
      <w:r w:rsidR="00A47815" w:rsidRPr="0073678B">
        <w:rPr>
          <w:snapToGrid w:val="0"/>
          <w:lang w:eastAsia="ja-JP"/>
        </w:rPr>
        <w:t xml:space="preserve">considerar si procede admitir acentos y caracteres especiales en las denominaciones contenidas en la base de datos PLUTO, teniendo en cuenta que el instrumento de búsqueda de denominaciones de la base de datos PLUTO solo </w:t>
      </w:r>
      <w:r w:rsidR="00A47815" w:rsidRPr="0073678B">
        <w:rPr>
          <w:snapToGrid w:val="0"/>
          <w:lang w:eastAsia="ja-JP"/>
        </w:rPr>
        <w:lastRenderedPageBreak/>
        <w:t>admite la representación en caracteres del conjunto ASCII [</w:t>
      </w:r>
      <w:r w:rsidR="00A47815" w:rsidRPr="002826C3">
        <w:rPr>
          <w:i w:val="0"/>
          <w:snapToGrid w:val="0"/>
          <w:lang w:val="es-ES" w:eastAsia="ja-JP"/>
        </w:rPr>
        <w:t>American Standard Code for Information Interchange</w:t>
      </w:r>
      <w:r w:rsidR="00A47815" w:rsidRPr="0073678B">
        <w:rPr>
          <w:snapToGrid w:val="0"/>
          <w:lang w:eastAsia="ja-JP"/>
        </w:rPr>
        <w:t xml:space="preserve"> (código estándar estadounidense para el intercambio de información)], de conformidad con la definición que figura en la Norma ISO [Organización Internacional de Normalización] 646, según consta en el párrafo 20</w:t>
      </w:r>
      <w:r w:rsidRPr="0073678B">
        <w:rPr>
          <w:snapToGrid w:val="0"/>
          <w:lang w:eastAsia="ja-JP"/>
        </w:rPr>
        <w:t>;</w:t>
      </w:r>
    </w:p>
    <w:p w:rsidR="00E56DDB" w:rsidRPr="002826C3" w:rsidRDefault="00E56DDB" w:rsidP="00E56DDB">
      <w:pPr>
        <w:pStyle w:val="DecisionInvitingPara"/>
        <w:tabs>
          <w:tab w:val="left" w:pos="5387"/>
          <w:tab w:val="left" w:pos="5954"/>
        </w:tabs>
        <w:ind w:left="4820" w:firstLine="567"/>
        <w:rPr>
          <w:lang w:val="es-ES" w:eastAsia="ja-JP"/>
        </w:rPr>
      </w:pPr>
    </w:p>
    <w:p w:rsidR="00E56DDB" w:rsidRPr="002826C3" w:rsidRDefault="006023D0" w:rsidP="00E56DDB">
      <w:pPr>
        <w:pStyle w:val="DecisionInvitingPara"/>
        <w:tabs>
          <w:tab w:val="left" w:pos="5387"/>
          <w:tab w:val="left" w:pos="5954"/>
        </w:tabs>
        <w:ind w:left="4820" w:firstLine="567"/>
        <w:rPr>
          <w:lang w:val="es-ES" w:eastAsia="ja-JP"/>
        </w:rPr>
      </w:pPr>
      <w:r w:rsidRPr="003D101C">
        <w:rPr>
          <w:lang w:eastAsia="ja-JP"/>
        </w:rPr>
        <w:t>c)</w:t>
      </w:r>
      <w:r w:rsidR="00E56DDB" w:rsidRPr="002826C3">
        <w:rPr>
          <w:lang w:val="es-ES" w:eastAsia="ja-JP"/>
        </w:rPr>
        <w:tab/>
      </w:r>
      <w:r w:rsidR="0065317E" w:rsidRPr="0073678B">
        <w:rPr>
          <w:lang w:eastAsia="ja-JP"/>
        </w:rPr>
        <w:t>considerar si procede revisar la Sección 3.1.3 del “Programa de mejoras de la Base de datos sobre variedades vegetales” como se indica en el párrafo 22, a fin de sustituir el conjunto válido de caracteres por el de la Norma ISO/IEC 8859</w:t>
      </w:r>
      <w:r w:rsidR="0065317E" w:rsidRPr="0073678B">
        <w:rPr>
          <w:lang w:eastAsia="ja-JP"/>
        </w:rPr>
        <w:noBreakHyphen/>
        <w:t>1:1998;</w:t>
      </w:r>
    </w:p>
    <w:p w:rsidR="00E56DDB" w:rsidRPr="002826C3" w:rsidRDefault="00E56DDB" w:rsidP="00E56DDB">
      <w:pPr>
        <w:pStyle w:val="DecisionInvitingPara"/>
        <w:tabs>
          <w:tab w:val="left" w:pos="5387"/>
          <w:tab w:val="left" w:pos="5954"/>
        </w:tabs>
        <w:ind w:left="4820" w:firstLine="567"/>
        <w:rPr>
          <w:rFonts w:eastAsia="MS Mincho"/>
          <w:lang w:val="es-ES" w:eastAsia="ja-JP"/>
        </w:rPr>
      </w:pPr>
    </w:p>
    <w:p w:rsidR="00E56DDB" w:rsidRPr="002826C3" w:rsidRDefault="006023D0" w:rsidP="00E56DDB">
      <w:pPr>
        <w:pStyle w:val="DecisionInvitingPara"/>
        <w:tabs>
          <w:tab w:val="left" w:pos="5387"/>
          <w:tab w:val="left" w:pos="5954"/>
        </w:tabs>
        <w:ind w:left="4820" w:firstLine="567"/>
        <w:rPr>
          <w:lang w:val="es-ES" w:eastAsia="ja-JP"/>
        </w:rPr>
      </w:pPr>
      <w:r w:rsidRPr="003D101C">
        <w:rPr>
          <w:lang w:eastAsia="ja-JP"/>
        </w:rPr>
        <w:t>d)</w:t>
      </w:r>
      <w:r w:rsidR="00E56DDB" w:rsidRPr="002826C3">
        <w:rPr>
          <w:rFonts w:hint="eastAsia"/>
          <w:lang w:val="es-ES" w:eastAsia="ja-JP"/>
        </w:rPr>
        <w:tab/>
      </w:r>
      <w:r w:rsidR="0065317E" w:rsidRPr="0073678B">
        <w:rPr>
          <w:lang w:eastAsia="ja-JP"/>
        </w:rPr>
        <w:t>considerar si procede ampliar el contenido de la base de datos PLUTO de modo que abarque todas las variedades reconocidas, incluidas las que no han sido registradas o protegidas o ya no lo están, según consta en el párrafo 24;</w:t>
      </w:r>
      <w:r w:rsidR="001679D2" w:rsidRPr="002826C3">
        <w:rPr>
          <w:lang w:val="es-ES" w:eastAsia="ja-JP"/>
        </w:rPr>
        <w:t xml:space="preserve">  </w:t>
      </w:r>
      <w:r w:rsidR="00B81BB2" w:rsidRPr="003D101C">
        <w:rPr>
          <w:lang w:eastAsia="ja-JP"/>
        </w:rPr>
        <w:t>y</w:t>
      </w:r>
    </w:p>
    <w:p w:rsidR="00E56DDB" w:rsidRPr="002826C3" w:rsidRDefault="00E56DDB" w:rsidP="00E56DDB">
      <w:pPr>
        <w:pStyle w:val="DecisionParagraphs"/>
        <w:tabs>
          <w:tab w:val="left" w:pos="5954"/>
        </w:tabs>
        <w:rPr>
          <w:lang w:val="es-ES" w:eastAsia="ja-JP"/>
        </w:rPr>
      </w:pPr>
    </w:p>
    <w:p w:rsidR="00E56DDB" w:rsidRPr="002826C3" w:rsidRDefault="00E56DDB" w:rsidP="00E56DDB">
      <w:pPr>
        <w:pStyle w:val="DecisionParagraphs"/>
        <w:tabs>
          <w:tab w:val="left" w:pos="5954"/>
        </w:tabs>
        <w:rPr>
          <w:rFonts w:cs="Arial"/>
          <w:lang w:val="es-ES"/>
        </w:rPr>
      </w:pPr>
      <w:r w:rsidRPr="002826C3">
        <w:rPr>
          <w:color w:val="000000"/>
          <w:lang w:val="es-ES" w:eastAsia="ja-JP"/>
        </w:rPr>
        <w:tab/>
      </w:r>
      <w:r w:rsidR="00B81BB2" w:rsidRPr="003D101C">
        <w:rPr>
          <w:lang w:eastAsia="ja-JP"/>
        </w:rPr>
        <w:t>e)</w:t>
      </w:r>
      <w:r w:rsidRPr="002826C3">
        <w:rPr>
          <w:color w:val="000000"/>
          <w:lang w:val="es-ES" w:eastAsia="ja-JP"/>
        </w:rPr>
        <w:tab/>
      </w:r>
      <w:r w:rsidR="00BF2392" w:rsidRPr="0073678B">
        <w:t>tomar nota de que en el documento CAJ/72/3 “Denominaciones de variedades” se informa de las novedades relativas a los términos no válidos para las denominaciones de variedades</w:t>
      </w:r>
      <w:r w:rsidR="00B81BB2" w:rsidRPr="0073678B">
        <w:rPr>
          <w:color w:val="000000"/>
          <w:lang w:eastAsia="ja-JP"/>
        </w:rPr>
        <w:t>.</w:t>
      </w:r>
    </w:p>
    <w:p w:rsidR="00E56DDB" w:rsidRPr="002826C3" w:rsidRDefault="00E56DDB" w:rsidP="00E56DDB">
      <w:pPr>
        <w:jc w:val="right"/>
        <w:rPr>
          <w:rFonts w:cs="Arial"/>
          <w:lang w:val="es-ES"/>
        </w:rPr>
      </w:pPr>
    </w:p>
    <w:p w:rsidR="00E56DDB" w:rsidRPr="002826C3" w:rsidRDefault="00E56DDB" w:rsidP="00E56DDB">
      <w:pPr>
        <w:jc w:val="right"/>
        <w:rPr>
          <w:rFonts w:cs="Arial"/>
          <w:lang w:val="es-ES"/>
        </w:rPr>
      </w:pPr>
    </w:p>
    <w:p w:rsidR="00E56DDB" w:rsidRPr="002826C3" w:rsidRDefault="00E56DDB" w:rsidP="00E56DDB">
      <w:pPr>
        <w:jc w:val="right"/>
        <w:rPr>
          <w:rFonts w:cs="Arial"/>
          <w:lang w:val="es-ES"/>
        </w:rPr>
      </w:pPr>
    </w:p>
    <w:p w:rsidR="00E56DDB" w:rsidRPr="00FB5EFB" w:rsidRDefault="00B81BB2" w:rsidP="00E56DDB">
      <w:pPr>
        <w:jc w:val="right"/>
        <w:rPr>
          <w:rFonts w:cs="Arial"/>
          <w:lang w:val="en-US" w:eastAsia="ja-JP"/>
        </w:rPr>
      </w:pPr>
      <w:r w:rsidRPr="003D101C">
        <w:rPr>
          <w:rFonts w:cs="Arial"/>
        </w:rPr>
        <w:t>[Fin del documento]</w:t>
      </w:r>
    </w:p>
    <w:p w:rsidR="00E56DDB" w:rsidRDefault="00E56DDB" w:rsidP="00E56DDB">
      <w:pPr>
        <w:jc w:val="left"/>
        <w:rPr>
          <w:snapToGrid w:val="0"/>
          <w:lang w:eastAsia="ja-JP"/>
        </w:rPr>
      </w:pPr>
    </w:p>
    <w:p w:rsidR="00893B73" w:rsidRPr="005B4836" w:rsidRDefault="00893B73" w:rsidP="00E56DDB">
      <w:pPr>
        <w:rPr>
          <w:snapToGrid w:val="0"/>
        </w:rPr>
      </w:pPr>
    </w:p>
    <w:sectPr w:rsidR="00893B73" w:rsidRPr="005B4836" w:rsidSect="00726590">
      <w:headerReference w:type="default" r:id="rId10"/>
      <w:pgSz w:w="11907" w:h="16840" w:code="9"/>
      <w:pgMar w:top="510" w:right="1134" w:bottom="1134" w:left="1134" w:header="510" w:footer="624"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8DB" w:rsidRDefault="00CB28DB">
      <w:r>
        <w:separator/>
      </w:r>
    </w:p>
    <w:p w:rsidR="00CB28DB" w:rsidRDefault="00CB28DB"/>
    <w:p w:rsidR="00CB28DB" w:rsidRDefault="00CB28DB"/>
  </w:endnote>
  <w:endnote w:type="continuationSeparator" w:id="0">
    <w:p w:rsidR="00CB28DB" w:rsidRDefault="00CB28DB">
      <w:r>
        <w:separator/>
      </w:r>
    </w:p>
    <w:p w:rsidR="00CB28DB" w:rsidRPr="00B8573C" w:rsidRDefault="00CB28DB">
      <w:pPr>
        <w:pStyle w:val="Footer"/>
        <w:spacing w:after="60"/>
        <w:rPr>
          <w:sz w:val="18"/>
          <w:lang w:val="fr-CH"/>
        </w:rPr>
      </w:pPr>
      <w:r w:rsidRPr="00B8573C">
        <w:rPr>
          <w:sz w:val="18"/>
          <w:lang w:val="fr-CH"/>
        </w:rPr>
        <w:t>[Suite de la note de la page précédente]</w:t>
      </w:r>
    </w:p>
    <w:p w:rsidR="00CB28DB" w:rsidRPr="00B8573C" w:rsidRDefault="00CB28DB">
      <w:pPr>
        <w:rPr>
          <w:lang w:val="fr-CH"/>
        </w:rPr>
      </w:pPr>
    </w:p>
    <w:p w:rsidR="00CB28DB" w:rsidRPr="00B8573C" w:rsidRDefault="00CB28DB">
      <w:pPr>
        <w:rPr>
          <w:lang w:val="fr-CH"/>
        </w:rPr>
      </w:pPr>
    </w:p>
  </w:endnote>
  <w:endnote w:type="continuationNotice" w:id="1">
    <w:p w:rsidR="00CB28DB" w:rsidRPr="00B8573C" w:rsidRDefault="00CB28DB">
      <w:pPr>
        <w:spacing w:before="60"/>
        <w:jc w:val="right"/>
        <w:rPr>
          <w:sz w:val="18"/>
          <w:lang w:val="fr-CH"/>
        </w:rPr>
      </w:pPr>
      <w:r w:rsidRPr="00B8573C">
        <w:rPr>
          <w:sz w:val="18"/>
          <w:lang w:val="fr-CH"/>
        </w:rPr>
        <w:t>[Suite de la note page suivante]</w:t>
      </w:r>
    </w:p>
    <w:p w:rsidR="00CB28DB" w:rsidRPr="00B8573C" w:rsidRDefault="00CB28DB">
      <w:pPr>
        <w:rPr>
          <w:lang w:val="fr-CH"/>
        </w:rPr>
      </w:pPr>
    </w:p>
    <w:p w:rsidR="00CB28DB" w:rsidRPr="00B8573C" w:rsidRDefault="00CB28DB">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8DB" w:rsidRDefault="00CB28DB" w:rsidP="009D690D">
      <w:pPr>
        <w:spacing w:before="120"/>
      </w:pPr>
      <w:r>
        <w:separator/>
      </w:r>
    </w:p>
  </w:footnote>
  <w:footnote w:type="continuationSeparator" w:id="0">
    <w:p w:rsidR="00CB28DB" w:rsidRDefault="00CB28DB" w:rsidP="00D5454B">
      <w:pPr>
        <w:spacing w:before="120"/>
        <w:jc w:val="left"/>
        <w:rPr>
          <w:sz w:val="18"/>
        </w:rPr>
      </w:pPr>
      <w:r>
        <w:separator/>
      </w:r>
    </w:p>
  </w:footnote>
  <w:footnote w:type="continuationNotice" w:id="1">
    <w:p w:rsidR="00CB28DB" w:rsidRPr="001610A0" w:rsidRDefault="00CB28DB" w:rsidP="001610A0">
      <w:pPr>
        <w:pStyle w:val="Footer"/>
      </w:pPr>
    </w:p>
  </w:footnote>
  <w:footnote w:id="2">
    <w:p w:rsidR="00F727F3" w:rsidRPr="002826C3" w:rsidRDefault="00F727F3" w:rsidP="006D3A84">
      <w:pPr>
        <w:pStyle w:val="FootnoteText"/>
        <w:rPr>
          <w:lang w:val="es-ES"/>
        </w:rPr>
      </w:pPr>
      <w:r w:rsidRPr="00654C33">
        <w:rPr>
          <w:rStyle w:val="FootnoteReference"/>
        </w:rPr>
        <w:footnoteRef/>
      </w:r>
      <w:r w:rsidRPr="002826C3">
        <w:rPr>
          <w:lang w:val="es-ES"/>
        </w:rPr>
        <w:tab/>
      </w:r>
      <w:r w:rsidRPr="00654C33">
        <w:rPr>
          <w:lang w:val="es-ES_tradnl"/>
        </w:rPr>
        <w:t>Celebrada en Ginebra el 26 de marzo de 2015.</w:t>
      </w:r>
    </w:p>
  </w:footnote>
  <w:footnote w:id="3">
    <w:p w:rsidR="00F727F3" w:rsidRPr="002826C3" w:rsidRDefault="00F727F3" w:rsidP="006D3A84">
      <w:pPr>
        <w:pStyle w:val="FootnoteText"/>
        <w:rPr>
          <w:lang w:val="es-ES" w:eastAsia="ja-JP"/>
        </w:rPr>
      </w:pPr>
      <w:r w:rsidRPr="00654C33">
        <w:rPr>
          <w:rStyle w:val="FootnoteReference"/>
        </w:rPr>
        <w:footnoteRef/>
      </w:r>
      <w:r w:rsidRPr="002826C3">
        <w:rPr>
          <w:rFonts w:hint="eastAsia"/>
          <w:lang w:val="es-ES" w:eastAsia="ja-JP"/>
        </w:rPr>
        <w:tab/>
      </w:r>
      <w:r w:rsidRPr="00654C33">
        <w:rPr>
          <w:lang w:val="es-ES_tradnl"/>
        </w:rPr>
        <w:t>Véase el párrafo 44 del documento CAJ/71/10 “Informe sobre las conclusiones”.</w:t>
      </w:r>
    </w:p>
  </w:footnote>
  <w:footnote w:id="4">
    <w:p w:rsidR="00F727F3" w:rsidRPr="002826C3" w:rsidRDefault="00F727F3" w:rsidP="006D3A84">
      <w:pPr>
        <w:pStyle w:val="FootnoteText"/>
        <w:rPr>
          <w:lang w:val="es-ES" w:eastAsia="ja-JP"/>
        </w:rPr>
      </w:pPr>
      <w:r w:rsidRPr="00654C33">
        <w:rPr>
          <w:rStyle w:val="FootnoteReference"/>
        </w:rPr>
        <w:footnoteRef/>
      </w:r>
      <w:r w:rsidRPr="002826C3">
        <w:rPr>
          <w:rFonts w:hint="eastAsia"/>
          <w:lang w:val="es-ES" w:eastAsia="ja-JP"/>
        </w:rPr>
        <w:tab/>
      </w:r>
      <w:r w:rsidRPr="00654C33">
        <w:rPr>
          <w:lang w:val="es-ES_tradnl"/>
        </w:rPr>
        <w:t>Véase el párrafo 45 del documento CAJ/71/10 “Informe sobre las conclusiones”.</w:t>
      </w:r>
    </w:p>
  </w:footnote>
  <w:footnote w:id="5">
    <w:p w:rsidR="00F727F3" w:rsidRPr="002826C3" w:rsidRDefault="00F727F3" w:rsidP="006D3A84">
      <w:pPr>
        <w:pStyle w:val="FootnoteText"/>
        <w:rPr>
          <w:lang w:val="es-ES" w:eastAsia="ja-JP"/>
        </w:rPr>
      </w:pPr>
      <w:r w:rsidRPr="00654C33">
        <w:rPr>
          <w:rStyle w:val="FootnoteReference"/>
        </w:rPr>
        <w:footnoteRef/>
      </w:r>
      <w:r w:rsidRPr="002826C3">
        <w:rPr>
          <w:rFonts w:hint="eastAsia"/>
          <w:lang w:val="es-ES" w:eastAsia="ja-JP"/>
        </w:rPr>
        <w:tab/>
      </w:r>
      <w:r w:rsidRPr="00654C33">
        <w:rPr>
          <w:lang w:val="es-ES_tradnl"/>
        </w:rPr>
        <w:t>Véase el párrafo 46 del documento CAJ/71/10 “Informe sobre las conclusiones”.</w:t>
      </w:r>
    </w:p>
  </w:footnote>
  <w:footnote w:id="6">
    <w:p w:rsidR="00F727F3" w:rsidRPr="002826C3" w:rsidRDefault="00F727F3" w:rsidP="006D3A84">
      <w:pPr>
        <w:pStyle w:val="FootnoteText"/>
        <w:rPr>
          <w:lang w:val="es-ES" w:eastAsia="ja-JP"/>
        </w:rPr>
      </w:pPr>
      <w:r w:rsidRPr="00654C33">
        <w:rPr>
          <w:rStyle w:val="FootnoteReference"/>
        </w:rPr>
        <w:footnoteRef/>
      </w:r>
      <w:r w:rsidRPr="002826C3">
        <w:rPr>
          <w:rFonts w:hint="eastAsia"/>
          <w:lang w:val="es-ES" w:eastAsia="ja-JP"/>
        </w:rPr>
        <w:tab/>
      </w:r>
      <w:r w:rsidRPr="00654C33">
        <w:rPr>
          <w:lang w:val="es-ES_tradnl"/>
        </w:rPr>
        <w:t>Véase el párrafo 47 del documento CAJ/71/10 “Informe sobre las conclusiones”.</w:t>
      </w:r>
    </w:p>
  </w:footnote>
  <w:footnote w:id="7">
    <w:p w:rsidR="00F727F3" w:rsidRPr="002826C3" w:rsidRDefault="00F727F3" w:rsidP="006D3A84">
      <w:pPr>
        <w:pStyle w:val="FootnoteText"/>
        <w:rPr>
          <w:lang w:val="es-ES"/>
        </w:rPr>
      </w:pPr>
      <w:r w:rsidRPr="00654C33">
        <w:rPr>
          <w:rStyle w:val="FootnoteReference"/>
        </w:rPr>
        <w:footnoteRef/>
      </w:r>
      <w:r w:rsidRPr="002826C3">
        <w:rPr>
          <w:lang w:val="es-ES"/>
        </w:rPr>
        <w:tab/>
      </w:r>
      <w:r w:rsidRPr="00654C33">
        <w:rPr>
          <w:lang w:val="es-ES_tradnl"/>
        </w:rPr>
        <w:t>Véase el párrafo 48 del documento CAJ/71/10 “Informe sobre las conclusiones”.</w:t>
      </w:r>
    </w:p>
  </w:footnote>
  <w:footnote w:id="8">
    <w:p w:rsidR="00F727F3" w:rsidRPr="002826C3" w:rsidRDefault="00F727F3" w:rsidP="006D3A84">
      <w:pPr>
        <w:pStyle w:val="FootnoteText"/>
        <w:rPr>
          <w:lang w:val="fr-FR"/>
        </w:rPr>
      </w:pPr>
      <w:r w:rsidRPr="00654C33">
        <w:rPr>
          <w:rStyle w:val="FootnoteReference"/>
        </w:rPr>
        <w:footnoteRef/>
      </w:r>
      <w:r w:rsidRPr="002826C3">
        <w:rPr>
          <w:lang w:val="fr-FR"/>
        </w:rPr>
        <w:tab/>
        <w:t xml:space="preserve">Véase </w:t>
      </w:r>
      <w:hyperlink r:id="rId1" w:history="1">
        <w:r w:rsidRPr="002826C3">
          <w:rPr>
            <w:rStyle w:val="Hyperlink"/>
            <w:lang w:val="fr-FR"/>
          </w:rPr>
          <w:t>http://www.upov.int/genie/es/species.jsp</w:t>
        </w:r>
      </w:hyperlink>
      <w:r w:rsidRPr="002826C3">
        <w:rPr>
          <w:lang w:val="fr-FR"/>
        </w:rPr>
        <w:t>.</w:t>
      </w:r>
    </w:p>
  </w:footnote>
  <w:footnote w:id="9">
    <w:p w:rsidR="00F727F3" w:rsidRPr="002826C3" w:rsidRDefault="00F727F3" w:rsidP="006D3A84">
      <w:pPr>
        <w:pStyle w:val="FootnoteText"/>
        <w:rPr>
          <w:lang w:val="fr-FR"/>
        </w:rPr>
      </w:pPr>
      <w:r w:rsidRPr="00654C33">
        <w:rPr>
          <w:rStyle w:val="FootnoteReference"/>
        </w:rPr>
        <w:footnoteRef/>
      </w:r>
      <w:r w:rsidRPr="002826C3">
        <w:rPr>
          <w:lang w:val="fr-FR"/>
        </w:rPr>
        <w:tab/>
        <w:t xml:space="preserve">Véase </w:t>
      </w:r>
      <w:hyperlink r:id="rId2" w:history="1">
        <w:r w:rsidRPr="002826C3">
          <w:rPr>
            <w:rStyle w:val="Hyperlink"/>
            <w:lang w:val="fr-FR"/>
          </w:rPr>
          <w:t>http://www.upov.int/genie/es/reports/</w:t>
        </w:r>
      </w:hyperlink>
      <w:r w:rsidRPr="002826C3">
        <w:rPr>
          <w:lang w:val="fr-FR"/>
        </w:rPr>
        <w:t>.</w:t>
      </w:r>
    </w:p>
  </w:footnote>
  <w:footnote w:id="10">
    <w:p w:rsidR="00F727F3" w:rsidRPr="002826C3" w:rsidRDefault="00F727F3" w:rsidP="006D3A84">
      <w:pPr>
        <w:pStyle w:val="FootnoteText"/>
        <w:rPr>
          <w:lang w:val="es-ES"/>
        </w:rPr>
      </w:pPr>
      <w:r w:rsidRPr="00654C33">
        <w:rPr>
          <w:rStyle w:val="FootnoteReference"/>
        </w:rPr>
        <w:footnoteRef/>
      </w:r>
      <w:r w:rsidRPr="002826C3">
        <w:rPr>
          <w:lang w:val="es-ES"/>
        </w:rPr>
        <w:tab/>
      </w:r>
      <w:r w:rsidRPr="00654C33">
        <w:rPr>
          <w:lang w:val="es-ES_tradnl"/>
        </w:rPr>
        <w:t>Véase el párrafo 11 del documento CAJ/71/5 Corr. “Bases de datos de información de la UPOV”.</w:t>
      </w:r>
    </w:p>
  </w:footnote>
  <w:footnote w:id="11">
    <w:p w:rsidR="00F727F3" w:rsidRPr="002826C3" w:rsidRDefault="00F727F3" w:rsidP="006D3A84">
      <w:pPr>
        <w:pStyle w:val="FootnoteText"/>
        <w:rPr>
          <w:lang w:val="es-ES"/>
        </w:rPr>
      </w:pPr>
      <w:r w:rsidRPr="00654C33">
        <w:rPr>
          <w:rStyle w:val="FootnoteReference"/>
        </w:rPr>
        <w:footnoteRef/>
      </w:r>
      <w:r w:rsidRPr="002826C3">
        <w:rPr>
          <w:lang w:val="es-ES"/>
        </w:rPr>
        <w:tab/>
      </w:r>
      <w:r w:rsidRPr="00654C33">
        <w:rPr>
          <w:lang w:val="es-ES_tradnl"/>
        </w:rPr>
        <w:t>Véase la Parte C del Anexo III de los documentos TWA/44/5, TWF/46/5, TWO/48/5 y TWV/49/5.</w:t>
      </w:r>
    </w:p>
  </w:footnote>
  <w:footnote w:id="12">
    <w:p w:rsidR="00F727F3" w:rsidRPr="002826C3" w:rsidRDefault="00F727F3" w:rsidP="006D3A84">
      <w:pPr>
        <w:pStyle w:val="FootnoteText"/>
        <w:rPr>
          <w:lang w:val="es-ES" w:eastAsia="ja-JP"/>
        </w:rPr>
      </w:pPr>
      <w:r w:rsidRPr="00654C33">
        <w:rPr>
          <w:rStyle w:val="FootnoteReference"/>
        </w:rPr>
        <w:footnoteRef/>
      </w:r>
      <w:r w:rsidRPr="002826C3">
        <w:rPr>
          <w:rFonts w:hint="eastAsia"/>
          <w:lang w:val="es-ES" w:eastAsia="ja-JP"/>
        </w:rPr>
        <w:tab/>
      </w:r>
      <w:r w:rsidRPr="00654C33">
        <w:rPr>
          <w:lang w:val="es-ES_tradnl"/>
        </w:rPr>
        <w:t>Véase el párrafo 52 del documento CAJ/71/10 “Informe sobre las conclusiones”.</w:t>
      </w:r>
    </w:p>
  </w:footnote>
  <w:footnote w:id="13">
    <w:p w:rsidR="00F727F3" w:rsidRPr="002826C3" w:rsidRDefault="00F727F3" w:rsidP="006D3A84">
      <w:pPr>
        <w:pStyle w:val="FootnoteText"/>
        <w:rPr>
          <w:lang w:val="es-ES"/>
        </w:rPr>
      </w:pPr>
      <w:r w:rsidRPr="00654C33">
        <w:rPr>
          <w:rStyle w:val="FootnoteReference"/>
        </w:rPr>
        <w:footnoteRef/>
      </w:r>
      <w:r w:rsidRPr="002826C3">
        <w:rPr>
          <w:lang w:val="es-ES"/>
        </w:rPr>
        <w:tab/>
      </w:r>
      <w:r w:rsidRPr="00654C33">
        <w:rPr>
          <w:lang w:val="es-ES_tradnl"/>
        </w:rPr>
        <w:t>Véase el párrafo 53 del documento CAJ/71/10 “Informe sobre las conclusiones”.</w:t>
      </w:r>
    </w:p>
  </w:footnote>
  <w:footnote w:id="14">
    <w:p w:rsidR="00F727F3" w:rsidRPr="002826C3" w:rsidRDefault="00F727F3" w:rsidP="006D3A84">
      <w:pPr>
        <w:pStyle w:val="FootnoteText"/>
        <w:rPr>
          <w:lang w:val="es-ES" w:eastAsia="ja-JP"/>
        </w:rPr>
      </w:pPr>
      <w:r w:rsidRPr="00654C33">
        <w:rPr>
          <w:rStyle w:val="FootnoteReference"/>
        </w:rPr>
        <w:footnoteRef/>
      </w:r>
      <w:r w:rsidRPr="002826C3">
        <w:rPr>
          <w:rFonts w:hint="eastAsia"/>
          <w:lang w:val="es-ES" w:eastAsia="ja-JP"/>
        </w:rPr>
        <w:tab/>
      </w:r>
      <w:r w:rsidRPr="00654C33">
        <w:rPr>
          <w:lang w:val="es-ES_tradnl" w:eastAsia="ja-JP"/>
        </w:rPr>
        <w:t>Celebrada en Ginebra el 9 de junio</w:t>
      </w:r>
      <w:r w:rsidRPr="00654C33">
        <w:rPr>
          <w:rFonts w:hint="eastAsia"/>
          <w:lang w:val="es-ES_tradnl" w:eastAsia="ja-JP"/>
        </w:rPr>
        <w:t xml:space="preserve"> </w:t>
      </w:r>
      <w:r w:rsidRPr="00654C33">
        <w:rPr>
          <w:lang w:val="es-ES_tradnl" w:eastAsia="ja-JP"/>
        </w:rPr>
        <w:t>de 2015.</w:t>
      </w:r>
    </w:p>
  </w:footnote>
  <w:footnote w:id="15">
    <w:p w:rsidR="00F727F3" w:rsidRPr="002826C3" w:rsidRDefault="00F727F3" w:rsidP="006D3A84">
      <w:pPr>
        <w:pStyle w:val="FootnoteText"/>
        <w:rPr>
          <w:lang w:val="es-ES"/>
        </w:rPr>
      </w:pPr>
      <w:r w:rsidRPr="00654C33">
        <w:rPr>
          <w:rStyle w:val="FootnoteReference"/>
        </w:rPr>
        <w:footnoteRef/>
      </w:r>
      <w:r w:rsidRPr="002826C3">
        <w:rPr>
          <w:lang w:val="es-ES"/>
        </w:rPr>
        <w:tab/>
      </w:r>
      <w:r w:rsidRPr="00654C33">
        <w:rPr>
          <w:lang w:val="es-ES_tradnl" w:eastAsia="ja-JP"/>
        </w:rPr>
        <w:t>Véase la Sección </w:t>
      </w:r>
      <w:r w:rsidRPr="00654C33">
        <w:rPr>
          <w:rFonts w:hint="eastAsia"/>
          <w:lang w:val="es-ES_tradnl" w:eastAsia="ja-JP"/>
        </w:rPr>
        <w:t>3.1.3</w:t>
      </w:r>
      <w:r w:rsidRPr="00654C33">
        <w:rPr>
          <w:lang w:val="es-ES_tradnl" w:eastAsia="ja-JP"/>
        </w:rPr>
        <w:t xml:space="preserve"> del Anexo </w:t>
      </w:r>
      <w:r w:rsidRPr="00654C33">
        <w:rPr>
          <w:rFonts w:hint="eastAsia"/>
          <w:lang w:val="es-ES_tradnl" w:eastAsia="ja-JP"/>
        </w:rPr>
        <w:t xml:space="preserve">I </w:t>
      </w:r>
      <w:r w:rsidRPr="00654C33">
        <w:rPr>
          <w:lang w:val="es-ES_tradnl" w:eastAsia="ja-JP"/>
        </w:rPr>
        <w:t>“Programa de mejoras de la Base de datos sobre variedades vegetales” del documento</w:t>
      </w:r>
      <w:r w:rsidRPr="00654C33">
        <w:rPr>
          <w:rFonts w:hint="eastAsia"/>
          <w:lang w:val="es-ES_tradnl" w:eastAsia="ja-JP"/>
        </w:rPr>
        <w:t xml:space="preserve"> CAJ/69/6 </w:t>
      </w:r>
      <w:r w:rsidRPr="00654C33">
        <w:rPr>
          <w:lang w:val="es-ES_tradnl" w:eastAsia="ja-JP"/>
        </w:rPr>
        <w:t>“Bases de datos de información de la UPOV”.</w:t>
      </w:r>
    </w:p>
  </w:footnote>
  <w:footnote w:id="16">
    <w:p w:rsidR="00F727F3" w:rsidRPr="002826C3" w:rsidRDefault="00F727F3" w:rsidP="006D3A84">
      <w:pPr>
        <w:pStyle w:val="FootnoteText"/>
        <w:rPr>
          <w:lang w:val="es-ES"/>
        </w:rPr>
      </w:pPr>
      <w:r w:rsidRPr="00654C33">
        <w:rPr>
          <w:rStyle w:val="FootnoteReference"/>
        </w:rPr>
        <w:footnoteRef/>
      </w:r>
      <w:r w:rsidRPr="002826C3">
        <w:rPr>
          <w:lang w:val="es-ES"/>
        </w:rPr>
        <w:tab/>
      </w:r>
      <w:r w:rsidRPr="002826C3">
        <w:rPr>
          <w:lang w:val="es-ES" w:eastAsia="ja-JP"/>
        </w:rPr>
        <w:t>“</w:t>
      </w:r>
      <w:r w:rsidRPr="002826C3">
        <w:rPr>
          <w:lang w:val="es-ES"/>
        </w:rPr>
        <w:t>3.1.3</w:t>
      </w:r>
      <w:r w:rsidRPr="002826C3">
        <w:rPr>
          <w:lang w:val="es-ES"/>
        </w:rPr>
        <w:tab/>
      </w:r>
      <w:r w:rsidRPr="00654C33">
        <w:rPr>
          <w:lang w:val="es-ES_tradnl"/>
        </w:rPr>
        <w:t>A reserva de lo dispuesto en la Sección 3.1.4, el conjunto de caracteres que deberá usarse será la representación en caracteres ASCII [</w:t>
      </w:r>
      <w:r w:rsidRPr="002826C3">
        <w:rPr>
          <w:i/>
          <w:lang w:val="es-ES"/>
        </w:rPr>
        <w:t>American Standard Code for Information Interchange</w:t>
      </w:r>
      <w:r w:rsidRPr="00654C33">
        <w:rPr>
          <w:lang w:val="es-ES_tradnl"/>
        </w:rPr>
        <w:t xml:space="preserve"> (código estándar estadounidense para el intercambio de información)], de conformidad con la definición que figura en la Norma ISO [Organización Internacional de Normalización] 646.</w:t>
      </w:r>
      <w:r w:rsidRPr="002826C3">
        <w:rPr>
          <w:lang w:val="es-ES"/>
        </w:rPr>
        <w:t xml:space="preserve">  </w:t>
      </w:r>
      <w:r w:rsidRPr="00654C33">
        <w:rPr>
          <w:lang w:val="es-ES_tradnl"/>
        </w:rPr>
        <w:t>No se pueden emplear caracteres especiales, símbolos o acentos (˜, ˆ, ¨, º, etc.).</w:t>
      </w:r>
      <w:r w:rsidRPr="002826C3">
        <w:rPr>
          <w:lang w:val="es-ES"/>
        </w:rPr>
        <w:t xml:space="preserve">  </w:t>
      </w:r>
      <w:r w:rsidRPr="00654C33">
        <w:rPr>
          <w:lang w:val="es-ES_tradnl"/>
        </w:rPr>
        <w:t>Solamente podrán utilizarse caracteres del alfabeto inglés.</w:t>
      </w:r>
      <w:r w:rsidRPr="002826C3">
        <w:rPr>
          <w:lang w:val="es-ES" w:eastAsia="ja-JP"/>
        </w:rPr>
        <w:t>”</w:t>
      </w:r>
    </w:p>
  </w:footnote>
  <w:footnote w:id="17">
    <w:p w:rsidR="00F727F3" w:rsidRPr="002826C3" w:rsidRDefault="00F727F3" w:rsidP="006D3A84">
      <w:pPr>
        <w:pStyle w:val="FootnoteText"/>
        <w:rPr>
          <w:lang w:val="es-ES" w:eastAsia="ja-JP"/>
        </w:rPr>
      </w:pPr>
      <w:r w:rsidRPr="00654C33">
        <w:rPr>
          <w:rStyle w:val="FootnoteReference"/>
        </w:rPr>
        <w:footnoteRef/>
      </w:r>
      <w:r w:rsidRPr="002826C3">
        <w:rPr>
          <w:rFonts w:hint="eastAsia"/>
          <w:lang w:val="es-ES" w:eastAsia="ja-JP"/>
        </w:rPr>
        <w:tab/>
      </w:r>
      <w:r w:rsidRPr="00654C33">
        <w:rPr>
          <w:lang w:val="es-ES_tradnl" w:eastAsia="ja-JP"/>
        </w:rPr>
        <w:t>Véanse los párrafos 17 y 18 del documento UPOV/</w:t>
      </w:r>
      <w:r w:rsidRPr="00654C33">
        <w:rPr>
          <w:rFonts w:cs="Arial"/>
          <w:lang w:val="es-ES_tradnl" w:eastAsia="ja-JP"/>
        </w:rPr>
        <w:t>WG</w:t>
      </w:r>
      <w:r w:rsidRPr="00654C33">
        <w:rPr>
          <w:rFonts w:cs="Arial"/>
          <w:lang w:val="es-ES_tradnl" w:eastAsia="ja-JP"/>
        </w:rPr>
        <w:noBreakHyphen/>
        <w:t>DST</w:t>
      </w:r>
      <w:r w:rsidRPr="00654C33">
        <w:rPr>
          <w:lang w:val="es-ES_tradnl" w:eastAsia="ja-JP"/>
        </w:rPr>
        <w:t>/2/6 “</w:t>
      </w:r>
      <w:r w:rsidRPr="002826C3">
        <w:rPr>
          <w:i/>
          <w:lang w:val="es-ES" w:eastAsia="ja-JP"/>
        </w:rPr>
        <w:t>Report</w:t>
      </w:r>
      <w:r w:rsidRPr="00654C33">
        <w:rPr>
          <w:lang w:val="es-ES_tradnl" w:eastAsia="ja-JP"/>
        </w:rPr>
        <w:t>” (Informe).</w:t>
      </w:r>
    </w:p>
  </w:footnote>
  <w:footnote w:id="18">
    <w:p w:rsidR="00F727F3" w:rsidRPr="002826C3" w:rsidRDefault="00F727F3" w:rsidP="006D3A84">
      <w:pPr>
        <w:pStyle w:val="FootnoteText"/>
        <w:rPr>
          <w:lang w:val="es-ES" w:eastAsia="ja-JP"/>
        </w:rPr>
      </w:pPr>
      <w:r w:rsidRPr="00654C33">
        <w:rPr>
          <w:rStyle w:val="FootnoteReference"/>
        </w:rPr>
        <w:footnoteRef/>
      </w:r>
      <w:r w:rsidRPr="002826C3">
        <w:rPr>
          <w:rFonts w:hint="eastAsia"/>
          <w:lang w:val="es-ES" w:eastAsia="ja-JP"/>
        </w:rPr>
        <w:tab/>
      </w:r>
      <w:r w:rsidRPr="00654C33">
        <w:rPr>
          <w:lang w:val="es-ES_tradnl" w:eastAsia="ja-JP"/>
        </w:rPr>
        <w:t>Véase el párrafo 19 del documento UPOV/WG</w:t>
      </w:r>
      <w:r w:rsidRPr="00654C33">
        <w:rPr>
          <w:lang w:val="es-ES_tradnl" w:eastAsia="ja-JP"/>
        </w:rPr>
        <w:noBreakHyphen/>
        <w:t>DST/2/6 “</w:t>
      </w:r>
      <w:r w:rsidRPr="002826C3">
        <w:rPr>
          <w:i/>
          <w:lang w:val="es-ES" w:eastAsia="ja-JP"/>
        </w:rPr>
        <w:t>Report</w:t>
      </w:r>
      <w:r w:rsidRPr="00654C33">
        <w:rPr>
          <w:lang w:val="es-ES_tradnl" w:eastAsia="ja-JP"/>
        </w:rPr>
        <w:t>” (Informe).</w:t>
      </w:r>
    </w:p>
  </w:footnote>
  <w:footnote w:id="19">
    <w:p w:rsidR="00F727F3" w:rsidRPr="002826C3" w:rsidRDefault="00F727F3" w:rsidP="00BE2167">
      <w:pPr>
        <w:pStyle w:val="FootnoteText"/>
        <w:jc w:val="left"/>
        <w:rPr>
          <w:lang w:val="es-ES"/>
        </w:rPr>
      </w:pPr>
      <w:r w:rsidRPr="00654C33">
        <w:rPr>
          <w:rStyle w:val="FootnoteReference"/>
        </w:rPr>
        <w:footnoteRef/>
      </w:r>
      <w:r w:rsidRPr="002826C3">
        <w:rPr>
          <w:lang w:val="es-ES"/>
        </w:rPr>
        <w:tab/>
      </w:r>
      <w:r w:rsidRPr="00654C33">
        <w:rPr>
          <w:lang w:val="es-ES_tradnl"/>
        </w:rPr>
        <w:t>ISO/IEC 8859</w:t>
      </w:r>
      <w:r w:rsidRPr="00654C33">
        <w:rPr>
          <w:lang w:val="es-ES_tradnl"/>
        </w:rPr>
        <w:noBreakHyphen/>
        <w:t>1:1998 “Tecnología de la información - Conjuntos de caracteres gráficos codificados con un solo byte de 8 bits - Parte 1:  Alfabeto latino n° 1”.</w:t>
      </w:r>
      <w:r w:rsidRPr="002826C3">
        <w:rPr>
          <w:lang w:val="es-ES"/>
        </w:rPr>
        <w:t xml:space="preserve">  </w:t>
      </w:r>
      <w:r w:rsidRPr="00654C33">
        <w:rPr>
          <w:lang w:val="es-ES_tradnl"/>
        </w:rPr>
        <w:t>Véase a continuación un extracto del sitio web de la ISO relativo a la Norma ISO/IEC</w:t>
      </w:r>
      <w:r>
        <w:rPr>
          <w:lang w:val="es-ES_tradnl"/>
        </w:rPr>
        <w:t> </w:t>
      </w:r>
      <w:r w:rsidRPr="00654C33">
        <w:rPr>
          <w:lang w:val="es-ES_tradnl"/>
        </w:rPr>
        <w:t>8859</w:t>
      </w:r>
      <w:r w:rsidRPr="00654C33">
        <w:rPr>
          <w:lang w:val="es-ES_tradnl"/>
        </w:rPr>
        <w:noBreakHyphen/>
        <w:t>1:1998 (puede consultarse también en</w:t>
      </w:r>
      <w:r w:rsidRPr="002826C3">
        <w:rPr>
          <w:lang w:val="es-ES"/>
        </w:rPr>
        <w:t xml:space="preserve"> </w:t>
      </w:r>
      <w:hyperlink r:id="rId3" w:history="1">
        <w:r w:rsidRPr="002826C3">
          <w:rPr>
            <w:rStyle w:val="Hyperlink"/>
            <w:lang w:val="es-ES"/>
          </w:rPr>
          <w:t>http://www.iso.org/iso/home/store/catalogue_tc/catalogue_detail.htm?csnumber=28245</w:t>
        </w:r>
      </w:hyperlink>
      <w:r w:rsidRPr="002826C3">
        <w:rPr>
          <w:lang w:val="es-ES"/>
        </w:rPr>
        <w:t>):</w:t>
      </w:r>
    </w:p>
    <w:p w:rsidR="00F727F3" w:rsidRPr="00654C33" w:rsidRDefault="00F727F3" w:rsidP="00A74AAE">
      <w:pPr>
        <w:pStyle w:val="FootnoteText"/>
        <w:ind w:firstLine="0"/>
        <w:rPr>
          <w:i/>
        </w:rPr>
      </w:pPr>
      <w:r w:rsidRPr="00654C33">
        <w:t>“</w:t>
      </w:r>
      <w:r w:rsidRPr="00654C33">
        <w:rPr>
          <w:i/>
        </w:rPr>
        <w:t>Foreword</w:t>
      </w:r>
    </w:p>
    <w:p w:rsidR="00F727F3" w:rsidRPr="00654C33" w:rsidRDefault="00F727F3" w:rsidP="00A74AAE">
      <w:pPr>
        <w:pStyle w:val="FootnoteText"/>
        <w:ind w:firstLine="0"/>
      </w:pPr>
      <w:r w:rsidRPr="00654C33">
        <w:rPr>
          <w:i/>
        </w:rPr>
        <w:t xml:space="preserve">ISO (the International Organization for Standardization) and IEC (the International Electrotechnical Commission) form the specialized system for worldwide standardization. </w:t>
      </w:r>
    </w:p>
    <w:p w:rsidR="00F727F3" w:rsidRPr="00654C33" w:rsidRDefault="00F727F3" w:rsidP="00A74AAE">
      <w:pPr>
        <w:pStyle w:val="FootnoteText"/>
        <w:ind w:firstLine="0"/>
      </w:pPr>
      <w:r w:rsidRPr="00654C33">
        <w:t>[…]</w:t>
      </w:r>
    </w:p>
    <w:p w:rsidR="00F727F3" w:rsidRPr="00654C33" w:rsidRDefault="00F727F3" w:rsidP="00A74AAE">
      <w:pPr>
        <w:pStyle w:val="FootnoteText"/>
        <w:ind w:firstLine="0"/>
        <w:rPr>
          <w:i/>
        </w:rPr>
      </w:pPr>
      <w:r w:rsidRPr="00654C33">
        <w:rPr>
          <w:i/>
        </w:rPr>
        <w:t>Introduction</w:t>
      </w:r>
    </w:p>
    <w:p w:rsidR="00F727F3" w:rsidRPr="00654C33" w:rsidRDefault="00F727F3" w:rsidP="00A74AAE">
      <w:pPr>
        <w:pStyle w:val="FootnoteText"/>
        <w:ind w:firstLine="0"/>
        <w:rPr>
          <w:i/>
        </w:rPr>
      </w:pPr>
      <w:r w:rsidRPr="00654C33">
        <w:rPr>
          <w:i/>
        </w:rPr>
        <w:t>ISO/IEC 8859 consists of several parts.  Each part specifies a set of up to 191 graphic characters and the coded representation of these characters by means of a single 8-bit byte.  Each set is intended for use for a particular group of languages.</w:t>
      </w:r>
    </w:p>
    <w:p w:rsidR="00F727F3" w:rsidRPr="00654C33" w:rsidRDefault="00F727F3" w:rsidP="00A74AAE">
      <w:pPr>
        <w:pStyle w:val="FootnoteText"/>
        <w:ind w:firstLine="0"/>
        <w:rPr>
          <w:i/>
        </w:rPr>
      </w:pPr>
      <w:r w:rsidRPr="00654C33">
        <w:rPr>
          <w:i/>
        </w:rPr>
        <w:t>1   Scope</w:t>
      </w:r>
    </w:p>
    <w:p w:rsidR="00F727F3" w:rsidRPr="00654C33" w:rsidRDefault="00F727F3" w:rsidP="00A74AAE">
      <w:pPr>
        <w:pStyle w:val="FootnoteText"/>
        <w:ind w:firstLine="0"/>
        <w:rPr>
          <w:i/>
        </w:rPr>
      </w:pPr>
      <w:r w:rsidRPr="00654C33">
        <w:rPr>
          <w:i/>
        </w:rPr>
        <w:t>This part of ISO/IEC 8859 specifies a set of 191 coded graphic characters identified as Latin alphabet No. 1.</w:t>
      </w:r>
    </w:p>
    <w:p w:rsidR="00F727F3" w:rsidRPr="00654C33" w:rsidRDefault="00F727F3" w:rsidP="00A74AAE">
      <w:pPr>
        <w:pStyle w:val="FootnoteText"/>
        <w:ind w:firstLine="0"/>
        <w:rPr>
          <w:i/>
        </w:rPr>
      </w:pPr>
      <w:r w:rsidRPr="00654C33">
        <w:rPr>
          <w:i/>
        </w:rPr>
        <w:t>This set of coded graphic characters is intended for use in data and text processing applications and also for information interchange.</w:t>
      </w:r>
    </w:p>
    <w:p w:rsidR="00F727F3" w:rsidRPr="00654C33" w:rsidRDefault="00F727F3" w:rsidP="00A74AAE">
      <w:pPr>
        <w:pStyle w:val="FootnoteText"/>
        <w:ind w:firstLine="0"/>
        <w:rPr>
          <w:i/>
        </w:rPr>
      </w:pPr>
      <w:r w:rsidRPr="00654C33">
        <w:rPr>
          <w:i/>
        </w:rPr>
        <w:t>The set contains graphic characters used for general purpose applications in typical office environments in at least the following languages:</w:t>
      </w:r>
    </w:p>
    <w:p w:rsidR="00F727F3" w:rsidRPr="002826C3" w:rsidRDefault="00F727F3" w:rsidP="00A74AAE">
      <w:pPr>
        <w:pStyle w:val="FootnoteText"/>
        <w:ind w:firstLine="0"/>
        <w:rPr>
          <w:lang w:val="es-ES"/>
        </w:rPr>
      </w:pPr>
      <w:r w:rsidRPr="00654C33">
        <w:rPr>
          <w:i/>
        </w:rPr>
        <w:t>Albanian, Basque, Breton, Catalan, Danish, Dutch, English, Faroese, Finnish, French (with restrictions, see Annex A.1, Notes), Frisian, Galician, German, Greenlandic, Icelandic, Irish Gaelic (new orthography), Italian, Latin, Luxemburgish, Norwegian, Portuguese, Rhaeto</w:t>
      </w:r>
      <w:r w:rsidRPr="00654C33">
        <w:rPr>
          <w:rFonts w:hint="eastAsia"/>
          <w:i/>
          <w:lang w:eastAsia="ja-JP"/>
        </w:rPr>
        <w:noBreakHyphen/>
      </w:r>
      <w:r w:rsidRPr="00654C33">
        <w:rPr>
          <w:i/>
        </w:rPr>
        <w:t>Romanic, Scottish Gaelic, Spanish and Swedish.</w:t>
      </w:r>
      <w:r w:rsidRPr="00654C33">
        <w:t xml:space="preserve"> </w:t>
      </w:r>
      <w:r w:rsidRPr="002826C3">
        <w:rPr>
          <w:lang w:val="es-ES"/>
        </w:rPr>
        <w:t>[…].”</w:t>
      </w:r>
    </w:p>
  </w:footnote>
  <w:footnote w:id="20">
    <w:p w:rsidR="00F727F3" w:rsidRPr="002826C3" w:rsidRDefault="00F727F3" w:rsidP="006D3A84">
      <w:pPr>
        <w:pStyle w:val="FootnoteText"/>
        <w:rPr>
          <w:lang w:val="es-ES" w:eastAsia="ja-JP"/>
        </w:rPr>
      </w:pPr>
      <w:r w:rsidRPr="00654C33">
        <w:rPr>
          <w:rStyle w:val="FootnoteReference"/>
        </w:rPr>
        <w:footnoteRef/>
      </w:r>
      <w:r w:rsidRPr="002826C3">
        <w:rPr>
          <w:rFonts w:hint="eastAsia"/>
          <w:lang w:val="es-ES" w:eastAsia="ja-JP"/>
        </w:rPr>
        <w:tab/>
      </w:r>
      <w:r w:rsidRPr="00654C33">
        <w:rPr>
          <w:lang w:val="es-ES_tradnl" w:eastAsia="ja-JP"/>
        </w:rPr>
        <w:t>Véase el párrafo 30 del documento UPOV/</w:t>
      </w:r>
      <w:r w:rsidRPr="00654C33">
        <w:rPr>
          <w:rFonts w:cs="Arial"/>
          <w:lang w:val="es-ES_tradnl" w:eastAsia="ja-JP"/>
        </w:rPr>
        <w:t>WG</w:t>
      </w:r>
      <w:r w:rsidRPr="00654C33">
        <w:rPr>
          <w:rFonts w:cs="Arial"/>
          <w:lang w:val="es-ES_tradnl" w:eastAsia="ja-JP"/>
        </w:rPr>
        <w:noBreakHyphen/>
        <w:t>DST</w:t>
      </w:r>
      <w:r w:rsidRPr="00654C33">
        <w:rPr>
          <w:lang w:val="es-ES_tradnl" w:eastAsia="ja-JP"/>
        </w:rPr>
        <w:t>/2/6 “</w:t>
      </w:r>
      <w:r w:rsidRPr="002826C3">
        <w:rPr>
          <w:i/>
          <w:lang w:val="es-ES" w:eastAsia="ja-JP"/>
        </w:rPr>
        <w:t>Report</w:t>
      </w:r>
      <w:r w:rsidRPr="00654C33">
        <w:rPr>
          <w:lang w:val="es-ES_tradnl" w:eastAsia="ja-JP"/>
        </w:rPr>
        <w:t>” (Informe).</w:t>
      </w:r>
    </w:p>
  </w:footnote>
  <w:footnote w:id="21">
    <w:p w:rsidR="00F727F3" w:rsidRPr="002826C3" w:rsidRDefault="00F727F3" w:rsidP="006D3A84">
      <w:pPr>
        <w:pStyle w:val="FootnoteText"/>
        <w:rPr>
          <w:lang w:val="es-ES" w:eastAsia="ja-JP"/>
        </w:rPr>
      </w:pPr>
      <w:r w:rsidRPr="00654C33">
        <w:rPr>
          <w:rStyle w:val="FootnoteReference"/>
        </w:rPr>
        <w:footnoteRef/>
      </w:r>
      <w:r w:rsidRPr="002826C3">
        <w:rPr>
          <w:rFonts w:hint="eastAsia"/>
          <w:lang w:val="es-ES" w:eastAsia="ja-JP"/>
        </w:rPr>
        <w:tab/>
      </w:r>
      <w:r w:rsidRPr="00654C33">
        <w:rPr>
          <w:lang w:val="es-ES_tradnl" w:eastAsia="ja-JP"/>
        </w:rPr>
        <w:t>Véase el párrafo 12 del documento UPOV/WG</w:t>
      </w:r>
      <w:r w:rsidRPr="00654C33">
        <w:rPr>
          <w:lang w:val="es-ES_tradnl" w:eastAsia="ja-JP"/>
        </w:rPr>
        <w:noBreakHyphen/>
        <w:t>DST/2/6 “</w:t>
      </w:r>
      <w:r w:rsidRPr="002826C3">
        <w:rPr>
          <w:i/>
          <w:lang w:val="es-ES" w:eastAsia="ja-JP"/>
        </w:rPr>
        <w:t>Report</w:t>
      </w:r>
      <w:r w:rsidRPr="00654C33">
        <w:rPr>
          <w:lang w:val="es-ES_tradnl" w:eastAsia="ja-JP"/>
        </w:rPr>
        <w:t>” (Informe).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7F3" w:rsidRPr="0064104D" w:rsidRDefault="00F727F3" w:rsidP="0064104D">
    <w:pPr>
      <w:jc w:val="center"/>
    </w:pPr>
    <w:r>
      <w:t>CAJ/72</w:t>
    </w:r>
    <w:r w:rsidRPr="0064104D">
      <w:t>/</w:t>
    </w:r>
    <w:r>
      <w:t>6</w:t>
    </w:r>
  </w:p>
  <w:p w:rsidR="00F727F3" w:rsidRPr="0064104D" w:rsidRDefault="00F727F3" w:rsidP="0064104D">
    <w:pPr>
      <w:jc w:val="center"/>
    </w:pPr>
    <w:r w:rsidRPr="0064104D">
      <w:t>página</w:t>
    </w:r>
    <w:r>
      <w:t> </w:t>
    </w:r>
    <w:r w:rsidR="00805287">
      <w:fldChar w:fldCharType="begin"/>
    </w:r>
    <w:r w:rsidR="00805287">
      <w:instrText xml:space="preserve"> PAGE </w:instrText>
    </w:r>
    <w:r w:rsidR="00805287">
      <w:fldChar w:fldCharType="separate"/>
    </w:r>
    <w:r w:rsidR="00D52763">
      <w:rPr>
        <w:noProof/>
      </w:rPr>
      <w:t>5</w:t>
    </w:r>
    <w:r w:rsidR="00805287">
      <w:rPr>
        <w:noProof/>
      </w:rPr>
      <w:fldChar w:fldCharType="end"/>
    </w:r>
  </w:p>
  <w:p w:rsidR="00F727F3" w:rsidRPr="0064104D" w:rsidRDefault="00F727F3" w:rsidP="0064104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B2C26"/>
    <w:multiLevelType w:val="hybridMultilevel"/>
    <w:tmpl w:val="D49E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7B7D7F"/>
    <w:multiLevelType w:val="hybridMultilevel"/>
    <w:tmpl w:val="0A78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7"/>
  </w:docVars>
  <w:rsids>
    <w:rsidRoot w:val="00126C00"/>
    <w:rsid w:val="00010CF3"/>
    <w:rsid w:val="00011E27"/>
    <w:rsid w:val="00013606"/>
    <w:rsid w:val="00014330"/>
    <w:rsid w:val="000148BC"/>
    <w:rsid w:val="00024AB8"/>
    <w:rsid w:val="000271A1"/>
    <w:rsid w:val="00036028"/>
    <w:rsid w:val="000446B9"/>
    <w:rsid w:val="00046739"/>
    <w:rsid w:val="00047E21"/>
    <w:rsid w:val="00075490"/>
    <w:rsid w:val="00085505"/>
    <w:rsid w:val="000C7021"/>
    <w:rsid w:val="000D6BBC"/>
    <w:rsid w:val="000D7780"/>
    <w:rsid w:val="000E1CC5"/>
    <w:rsid w:val="000F31C8"/>
    <w:rsid w:val="00104F74"/>
    <w:rsid w:val="00105929"/>
    <w:rsid w:val="00105CCB"/>
    <w:rsid w:val="001131D5"/>
    <w:rsid w:val="00121B3E"/>
    <w:rsid w:val="00124936"/>
    <w:rsid w:val="00126C00"/>
    <w:rsid w:val="00141DB8"/>
    <w:rsid w:val="001511C4"/>
    <w:rsid w:val="00153440"/>
    <w:rsid w:val="00156735"/>
    <w:rsid w:val="00157FC1"/>
    <w:rsid w:val="001610A0"/>
    <w:rsid w:val="001679D2"/>
    <w:rsid w:val="00174078"/>
    <w:rsid w:val="0017474A"/>
    <w:rsid w:val="00175815"/>
    <w:rsid w:val="001758C6"/>
    <w:rsid w:val="001A7232"/>
    <w:rsid w:val="001C2A22"/>
    <w:rsid w:val="001C6758"/>
    <w:rsid w:val="001D3AE6"/>
    <w:rsid w:val="001E7546"/>
    <w:rsid w:val="00204E1C"/>
    <w:rsid w:val="0021332C"/>
    <w:rsid w:val="00213982"/>
    <w:rsid w:val="00243884"/>
    <w:rsid w:val="00243E0C"/>
    <w:rsid w:val="0024416D"/>
    <w:rsid w:val="00273743"/>
    <w:rsid w:val="00276609"/>
    <w:rsid w:val="002800A0"/>
    <w:rsid w:val="00281060"/>
    <w:rsid w:val="002826C3"/>
    <w:rsid w:val="00293267"/>
    <w:rsid w:val="002A6E50"/>
    <w:rsid w:val="002C256A"/>
    <w:rsid w:val="002E3D66"/>
    <w:rsid w:val="002F5183"/>
    <w:rsid w:val="00305A7F"/>
    <w:rsid w:val="00310E83"/>
    <w:rsid w:val="003152FE"/>
    <w:rsid w:val="00327436"/>
    <w:rsid w:val="003450D9"/>
    <w:rsid w:val="00350857"/>
    <w:rsid w:val="0035528D"/>
    <w:rsid w:val="00361821"/>
    <w:rsid w:val="00361843"/>
    <w:rsid w:val="00395FA0"/>
    <w:rsid w:val="003A06A0"/>
    <w:rsid w:val="003B09E0"/>
    <w:rsid w:val="003C58D5"/>
    <w:rsid w:val="003D101C"/>
    <w:rsid w:val="003D227C"/>
    <w:rsid w:val="003D2B4D"/>
    <w:rsid w:val="003E185D"/>
    <w:rsid w:val="00406B08"/>
    <w:rsid w:val="0042019F"/>
    <w:rsid w:val="00444A88"/>
    <w:rsid w:val="00444D3D"/>
    <w:rsid w:val="00474DA4"/>
    <w:rsid w:val="004759DE"/>
    <w:rsid w:val="004A3A5A"/>
    <w:rsid w:val="004A539B"/>
    <w:rsid w:val="004B2F92"/>
    <w:rsid w:val="004D047D"/>
    <w:rsid w:val="004D4785"/>
    <w:rsid w:val="004E2A42"/>
    <w:rsid w:val="004F21A7"/>
    <w:rsid w:val="004F305A"/>
    <w:rsid w:val="00512164"/>
    <w:rsid w:val="00520297"/>
    <w:rsid w:val="005333B8"/>
    <w:rsid w:val="005338F9"/>
    <w:rsid w:val="0054281C"/>
    <w:rsid w:val="0055268D"/>
    <w:rsid w:val="00555EA5"/>
    <w:rsid w:val="00567015"/>
    <w:rsid w:val="00567588"/>
    <w:rsid w:val="00567E59"/>
    <w:rsid w:val="00576BE4"/>
    <w:rsid w:val="00577D74"/>
    <w:rsid w:val="00586055"/>
    <w:rsid w:val="005A400A"/>
    <w:rsid w:val="005B4836"/>
    <w:rsid w:val="005B6C32"/>
    <w:rsid w:val="005E77DD"/>
    <w:rsid w:val="005F133D"/>
    <w:rsid w:val="005F58F4"/>
    <w:rsid w:val="00600A90"/>
    <w:rsid w:val="006023D0"/>
    <w:rsid w:val="00612379"/>
    <w:rsid w:val="0061555F"/>
    <w:rsid w:val="006175F9"/>
    <w:rsid w:val="006303BD"/>
    <w:rsid w:val="00630D76"/>
    <w:rsid w:val="0064104D"/>
    <w:rsid w:val="00641200"/>
    <w:rsid w:val="0065317E"/>
    <w:rsid w:val="00654C33"/>
    <w:rsid w:val="006576FF"/>
    <w:rsid w:val="00666828"/>
    <w:rsid w:val="00666DE5"/>
    <w:rsid w:val="00684499"/>
    <w:rsid w:val="006B17D2"/>
    <w:rsid w:val="006B5767"/>
    <w:rsid w:val="006C224E"/>
    <w:rsid w:val="006D1DCB"/>
    <w:rsid w:val="006D3A84"/>
    <w:rsid w:val="006F3ADB"/>
    <w:rsid w:val="007136A6"/>
    <w:rsid w:val="00715E0F"/>
    <w:rsid w:val="00726590"/>
    <w:rsid w:val="00732DEC"/>
    <w:rsid w:val="007337F9"/>
    <w:rsid w:val="00735BD5"/>
    <w:rsid w:val="0073678B"/>
    <w:rsid w:val="0074224B"/>
    <w:rsid w:val="00747700"/>
    <w:rsid w:val="007546D5"/>
    <w:rsid w:val="007556F6"/>
    <w:rsid w:val="00760EEF"/>
    <w:rsid w:val="0076787D"/>
    <w:rsid w:val="00777EE5"/>
    <w:rsid w:val="00784836"/>
    <w:rsid w:val="0079023E"/>
    <w:rsid w:val="00797534"/>
    <w:rsid w:val="007D0B9D"/>
    <w:rsid w:val="007D19B0"/>
    <w:rsid w:val="007D46E0"/>
    <w:rsid w:val="007D523D"/>
    <w:rsid w:val="007F498F"/>
    <w:rsid w:val="007F764C"/>
    <w:rsid w:val="00805287"/>
    <w:rsid w:val="0080679D"/>
    <w:rsid w:val="008108B0"/>
    <w:rsid w:val="0081160D"/>
    <w:rsid w:val="00817151"/>
    <w:rsid w:val="0082296E"/>
    <w:rsid w:val="00824099"/>
    <w:rsid w:val="00831231"/>
    <w:rsid w:val="008355EC"/>
    <w:rsid w:val="00837F59"/>
    <w:rsid w:val="00867AC1"/>
    <w:rsid w:val="00870231"/>
    <w:rsid w:val="00893B73"/>
    <w:rsid w:val="0089540A"/>
    <w:rsid w:val="008A53E4"/>
    <w:rsid w:val="008A53FE"/>
    <w:rsid w:val="008A743F"/>
    <w:rsid w:val="008B02FF"/>
    <w:rsid w:val="008C0970"/>
    <w:rsid w:val="008C1690"/>
    <w:rsid w:val="008D2CF7"/>
    <w:rsid w:val="00900C26"/>
    <w:rsid w:val="0090197F"/>
    <w:rsid w:val="00905F09"/>
    <w:rsid w:val="009062E9"/>
    <w:rsid w:val="00906B50"/>
    <w:rsid w:val="00906DDC"/>
    <w:rsid w:val="0093013C"/>
    <w:rsid w:val="00934E09"/>
    <w:rsid w:val="00936253"/>
    <w:rsid w:val="00941B83"/>
    <w:rsid w:val="00942DA4"/>
    <w:rsid w:val="00957C1C"/>
    <w:rsid w:val="00970FED"/>
    <w:rsid w:val="00974E04"/>
    <w:rsid w:val="00997029"/>
    <w:rsid w:val="00997858"/>
    <w:rsid w:val="009A0238"/>
    <w:rsid w:val="009A390C"/>
    <w:rsid w:val="009B159A"/>
    <w:rsid w:val="009B7176"/>
    <w:rsid w:val="009B7CD6"/>
    <w:rsid w:val="009C7507"/>
    <w:rsid w:val="009D690D"/>
    <w:rsid w:val="009E00E3"/>
    <w:rsid w:val="009E65B6"/>
    <w:rsid w:val="009F0E61"/>
    <w:rsid w:val="009F289C"/>
    <w:rsid w:val="00A211BE"/>
    <w:rsid w:val="00A22BA2"/>
    <w:rsid w:val="00A23EAA"/>
    <w:rsid w:val="00A42AC3"/>
    <w:rsid w:val="00A430CF"/>
    <w:rsid w:val="00A47815"/>
    <w:rsid w:val="00A54309"/>
    <w:rsid w:val="00A60799"/>
    <w:rsid w:val="00A641FA"/>
    <w:rsid w:val="00A65092"/>
    <w:rsid w:val="00A6598D"/>
    <w:rsid w:val="00A74AAE"/>
    <w:rsid w:val="00AB2B93"/>
    <w:rsid w:val="00AB4244"/>
    <w:rsid w:val="00AB5FE9"/>
    <w:rsid w:val="00AD0BC7"/>
    <w:rsid w:val="00AD12DB"/>
    <w:rsid w:val="00AD18BB"/>
    <w:rsid w:val="00AE0EF1"/>
    <w:rsid w:val="00AE5E7B"/>
    <w:rsid w:val="00AF1920"/>
    <w:rsid w:val="00B01818"/>
    <w:rsid w:val="00B02377"/>
    <w:rsid w:val="00B07301"/>
    <w:rsid w:val="00B224DE"/>
    <w:rsid w:val="00B7359A"/>
    <w:rsid w:val="00B748AB"/>
    <w:rsid w:val="00B81BB2"/>
    <w:rsid w:val="00B84BBD"/>
    <w:rsid w:val="00B8573C"/>
    <w:rsid w:val="00BA43FB"/>
    <w:rsid w:val="00BB33B3"/>
    <w:rsid w:val="00BB6282"/>
    <w:rsid w:val="00BC127D"/>
    <w:rsid w:val="00BC1FE6"/>
    <w:rsid w:val="00BC758D"/>
    <w:rsid w:val="00BD4E91"/>
    <w:rsid w:val="00BE2167"/>
    <w:rsid w:val="00BE680E"/>
    <w:rsid w:val="00BF2392"/>
    <w:rsid w:val="00C061B6"/>
    <w:rsid w:val="00C070B3"/>
    <w:rsid w:val="00C0712D"/>
    <w:rsid w:val="00C14646"/>
    <w:rsid w:val="00C17594"/>
    <w:rsid w:val="00C2446C"/>
    <w:rsid w:val="00C305D0"/>
    <w:rsid w:val="00C319D7"/>
    <w:rsid w:val="00C36AE5"/>
    <w:rsid w:val="00C412AC"/>
    <w:rsid w:val="00C41F17"/>
    <w:rsid w:val="00C5791C"/>
    <w:rsid w:val="00C66290"/>
    <w:rsid w:val="00C677DB"/>
    <w:rsid w:val="00C72B7A"/>
    <w:rsid w:val="00C86EC9"/>
    <w:rsid w:val="00C95E00"/>
    <w:rsid w:val="00C973F2"/>
    <w:rsid w:val="00C97A0F"/>
    <w:rsid w:val="00CA774A"/>
    <w:rsid w:val="00CB28DB"/>
    <w:rsid w:val="00CC0F56"/>
    <w:rsid w:val="00CC11B0"/>
    <w:rsid w:val="00CD46DD"/>
    <w:rsid w:val="00CE2E6A"/>
    <w:rsid w:val="00CE60E3"/>
    <w:rsid w:val="00CF7E36"/>
    <w:rsid w:val="00D1769D"/>
    <w:rsid w:val="00D17704"/>
    <w:rsid w:val="00D24AE5"/>
    <w:rsid w:val="00D27299"/>
    <w:rsid w:val="00D31770"/>
    <w:rsid w:val="00D3324B"/>
    <w:rsid w:val="00D3708D"/>
    <w:rsid w:val="00D40426"/>
    <w:rsid w:val="00D52763"/>
    <w:rsid w:val="00D5454B"/>
    <w:rsid w:val="00D56F8D"/>
    <w:rsid w:val="00D57C96"/>
    <w:rsid w:val="00D91203"/>
    <w:rsid w:val="00D932EA"/>
    <w:rsid w:val="00D95174"/>
    <w:rsid w:val="00DA6F36"/>
    <w:rsid w:val="00DC00EA"/>
    <w:rsid w:val="00DC66EA"/>
    <w:rsid w:val="00DE556A"/>
    <w:rsid w:val="00E20F83"/>
    <w:rsid w:val="00E33A05"/>
    <w:rsid w:val="00E351B1"/>
    <w:rsid w:val="00E56DDB"/>
    <w:rsid w:val="00E671F7"/>
    <w:rsid w:val="00E72370"/>
    <w:rsid w:val="00E72D49"/>
    <w:rsid w:val="00E7593C"/>
    <w:rsid w:val="00E7678A"/>
    <w:rsid w:val="00E77C07"/>
    <w:rsid w:val="00E84ADA"/>
    <w:rsid w:val="00E935F1"/>
    <w:rsid w:val="00E93B31"/>
    <w:rsid w:val="00E94A81"/>
    <w:rsid w:val="00EA1FFB"/>
    <w:rsid w:val="00EA2F35"/>
    <w:rsid w:val="00EB048E"/>
    <w:rsid w:val="00EF2F89"/>
    <w:rsid w:val="00EF4168"/>
    <w:rsid w:val="00EF659E"/>
    <w:rsid w:val="00F1053E"/>
    <w:rsid w:val="00F1237A"/>
    <w:rsid w:val="00F130BB"/>
    <w:rsid w:val="00F22CBD"/>
    <w:rsid w:val="00F3072B"/>
    <w:rsid w:val="00F31F57"/>
    <w:rsid w:val="00F545B1"/>
    <w:rsid w:val="00F6334D"/>
    <w:rsid w:val="00F63516"/>
    <w:rsid w:val="00F727F3"/>
    <w:rsid w:val="00FA18B2"/>
    <w:rsid w:val="00FA49AB"/>
    <w:rsid w:val="00FA4A9B"/>
    <w:rsid w:val="00FB1477"/>
    <w:rsid w:val="00FB5EFB"/>
    <w:rsid w:val="00FB65AB"/>
    <w:rsid w:val="00FC1371"/>
    <w:rsid w:val="00FE39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eastAsia="en-US"/>
    </w:rPr>
  </w:style>
  <w:style w:type="paragraph" w:styleId="Heading1">
    <w:name w:val="heading 1"/>
    <w:next w:val="Normal"/>
    <w:autoRedefine/>
    <w:qFormat/>
    <w:rsid w:val="00893B73"/>
    <w:pPr>
      <w:keepNext/>
      <w:jc w:val="both"/>
      <w:outlineLvl w:val="0"/>
    </w:pPr>
    <w:rPr>
      <w:rFonts w:ascii="Arial" w:hAnsi="Arial"/>
      <w:caps/>
      <w:lang w:val="en-US" w:eastAsia="en-US"/>
    </w:rPr>
  </w:style>
  <w:style w:type="paragraph" w:styleId="Heading2">
    <w:name w:val="heading 2"/>
    <w:next w:val="Normal"/>
    <w:autoRedefine/>
    <w:qFormat/>
    <w:rsid w:val="00893B73"/>
    <w:pPr>
      <w:keepNext/>
      <w:jc w:val="both"/>
      <w:outlineLvl w:val="1"/>
    </w:pPr>
    <w:rPr>
      <w:rFonts w:ascii="Arial" w:hAnsi="Arial"/>
      <w:u w:val="single"/>
      <w:lang w:val="en-US" w:eastAsia="en-US"/>
    </w:rPr>
  </w:style>
  <w:style w:type="paragraph" w:styleId="Heading3">
    <w:name w:val="heading 3"/>
    <w:next w:val="Normal"/>
    <w:link w:val="Heading3Char"/>
    <w:autoRedefine/>
    <w:qFormat/>
    <w:rsid w:val="00893B73"/>
    <w:pPr>
      <w:keepNext/>
      <w:jc w:val="both"/>
      <w:outlineLvl w:val="2"/>
    </w:pPr>
    <w:rPr>
      <w:rFonts w:ascii="Arial" w:hAnsi="Arial"/>
      <w:i/>
      <w:lang w:val="en-US" w:eastAsia="en-US"/>
    </w:rPr>
  </w:style>
  <w:style w:type="paragraph" w:styleId="Heading4">
    <w:name w:val="heading 4"/>
    <w:next w:val="Normal"/>
    <w:autoRedefine/>
    <w:qFormat/>
    <w:rsid w:val="00893B73"/>
    <w:pPr>
      <w:keepNext/>
      <w:ind w:left="567"/>
      <w:jc w:val="both"/>
      <w:outlineLvl w:val="3"/>
    </w:pPr>
    <w:rPr>
      <w:rFonts w:ascii="Arial" w:hAnsi="Arial"/>
      <w:i/>
      <w:lang w:val="fr-FR" w:eastAsia="en-US"/>
    </w:rPr>
  </w:style>
  <w:style w:type="paragraph" w:styleId="Heading5">
    <w:name w:val="heading 5"/>
    <w:next w:val="Normal"/>
    <w:autoRedefine/>
    <w:qFormat/>
    <w:rsid w:val="00893B73"/>
    <w:pPr>
      <w:keepNext/>
      <w:ind w:left="1134" w:hanging="567"/>
      <w:jc w:val="both"/>
      <w:outlineLvl w:val="4"/>
    </w:pPr>
    <w:rPr>
      <w:rFonts w:ascii="Arial" w:hAnsi="Arial"/>
      <w:sz w:val="18"/>
      <w:szCs w:val="18"/>
      <w:lang w:val="en-US" w:eastAsia="en-US"/>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eastAsia="en-US"/>
    </w:rPr>
  </w:style>
  <w:style w:type="paragraph" w:styleId="Footer">
    <w:name w:val="footer"/>
    <w:aliases w:val="doc_path_name"/>
    <w:autoRedefine/>
    <w:rsid w:val="00893B73"/>
    <w:pPr>
      <w:jc w:val="both"/>
    </w:pPr>
    <w:rPr>
      <w:rFonts w:ascii="Arial" w:hAnsi="Arial"/>
      <w:sz w:val="14"/>
      <w:lang w:val="en-US" w:eastAsia="en-US"/>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link w:val="FootnoteTextChar"/>
    <w:autoRedefine/>
    <w:rsid w:val="00893B73"/>
    <w:pPr>
      <w:spacing w:before="60"/>
      <w:ind w:left="567" w:hanging="567"/>
      <w:jc w:val="both"/>
    </w:pPr>
    <w:rPr>
      <w:rFonts w:ascii="Arial" w:hAnsi="Arial"/>
      <w:sz w:val="16"/>
      <w:lang w:val="en-US" w:eastAsia="en-US"/>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lang w:val="en-US" w:eastAsia="en-US"/>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F130BB"/>
    <w:pPr>
      <w:tabs>
        <w:tab w:val="right" w:leader="dot" w:pos="9639"/>
      </w:tabs>
      <w:ind w:left="851" w:right="851" w:hanging="567"/>
    </w:pPr>
    <w:rPr>
      <w:rFonts w:ascii="Arial" w:hAnsi="Arial"/>
      <w:noProof/>
      <w:lang w:val="en-US" w:eastAsia="en-US"/>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eastAsia="en-US"/>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eastAsia="en-US"/>
    </w:rPr>
  </w:style>
  <w:style w:type="paragraph" w:styleId="TOC1">
    <w:name w:val="toc 1"/>
    <w:next w:val="Normal"/>
    <w:autoRedefine/>
    <w:semiHidden/>
    <w:rsid w:val="00F130BB"/>
    <w:pPr>
      <w:tabs>
        <w:tab w:val="right" w:leader="dot" w:pos="9639"/>
      </w:tabs>
      <w:spacing w:before="120" w:after="120"/>
      <w:ind w:left="284" w:right="284" w:hanging="284"/>
    </w:pPr>
    <w:rPr>
      <w:rFonts w:ascii="Arial" w:hAnsi="Arial"/>
      <w:caps/>
      <w:noProof/>
      <w:lang w:val="en-US" w:eastAsia="en-US"/>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eastAsia="en-US"/>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customStyle="1" w:styleId="DecisionInvitingPara">
    <w:name w:val="Decision Inviting Para."/>
    <w:basedOn w:val="Normal"/>
    <w:rsid w:val="00E56DDB"/>
    <w:pPr>
      <w:ind w:left="4536"/>
    </w:pPr>
    <w:rPr>
      <w:i/>
    </w:rPr>
  </w:style>
  <w:style w:type="paragraph" w:styleId="ListParagraph">
    <w:name w:val="List Paragraph"/>
    <w:basedOn w:val="Normal"/>
    <w:uiPriority w:val="34"/>
    <w:qFormat/>
    <w:rsid w:val="00E56DDB"/>
    <w:pPr>
      <w:ind w:left="720"/>
      <w:contextualSpacing/>
    </w:pPr>
    <w:rPr>
      <w:lang w:val="en-US"/>
    </w:rPr>
  </w:style>
  <w:style w:type="character" w:customStyle="1" w:styleId="FootnoteTextChar">
    <w:name w:val="Footnote Text Char"/>
    <w:basedOn w:val="DefaultParagraphFont"/>
    <w:link w:val="FootnoteText"/>
    <w:rsid w:val="00E56DDB"/>
    <w:rPr>
      <w:rFonts w:ascii="Arial" w:hAnsi="Arial"/>
      <w:sz w:val="16"/>
      <w:lang w:val="en-US" w:eastAsia="en-US" w:bidi="ar-SA"/>
    </w:rPr>
  </w:style>
  <w:style w:type="character" w:styleId="FollowedHyperlink">
    <w:name w:val="FollowedHyperlink"/>
    <w:basedOn w:val="DefaultParagraphFont"/>
    <w:rsid w:val="004F21A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eastAsia="en-US"/>
    </w:rPr>
  </w:style>
  <w:style w:type="paragraph" w:styleId="Heading1">
    <w:name w:val="heading 1"/>
    <w:next w:val="Normal"/>
    <w:autoRedefine/>
    <w:qFormat/>
    <w:rsid w:val="00893B73"/>
    <w:pPr>
      <w:keepNext/>
      <w:jc w:val="both"/>
      <w:outlineLvl w:val="0"/>
    </w:pPr>
    <w:rPr>
      <w:rFonts w:ascii="Arial" w:hAnsi="Arial"/>
      <w:caps/>
      <w:lang w:val="en-US" w:eastAsia="en-US"/>
    </w:rPr>
  </w:style>
  <w:style w:type="paragraph" w:styleId="Heading2">
    <w:name w:val="heading 2"/>
    <w:next w:val="Normal"/>
    <w:autoRedefine/>
    <w:qFormat/>
    <w:rsid w:val="00893B73"/>
    <w:pPr>
      <w:keepNext/>
      <w:jc w:val="both"/>
      <w:outlineLvl w:val="1"/>
    </w:pPr>
    <w:rPr>
      <w:rFonts w:ascii="Arial" w:hAnsi="Arial"/>
      <w:u w:val="single"/>
      <w:lang w:val="en-US" w:eastAsia="en-US"/>
    </w:rPr>
  </w:style>
  <w:style w:type="paragraph" w:styleId="Heading3">
    <w:name w:val="heading 3"/>
    <w:next w:val="Normal"/>
    <w:link w:val="Heading3Char"/>
    <w:autoRedefine/>
    <w:qFormat/>
    <w:rsid w:val="00893B73"/>
    <w:pPr>
      <w:keepNext/>
      <w:jc w:val="both"/>
      <w:outlineLvl w:val="2"/>
    </w:pPr>
    <w:rPr>
      <w:rFonts w:ascii="Arial" w:hAnsi="Arial"/>
      <w:i/>
      <w:lang w:val="en-US" w:eastAsia="en-US"/>
    </w:rPr>
  </w:style>
  <w:style w:type="paragraph" w:styleId="Heading4">
    <w:name w:val="heading 4"/>
    <w:next w:val="Normal"/>
    <w:autoRedefine/>
    <w:qFormat/>
    <w:rsid w:val="00893B73"/>
    <w:pPr>
      <w:keepNext/>
      <w:ind w:left="567"/>
      <w:jc w:val="both"/>
      <w:outlineLvl w:val="3"/>
    </w:pPr>
    <w:rPr>
      <w:rFonts w:ascii="Arial" w:hAnsi="Arial"/>
      <w:i/>
      <w:lang w:val="fr-FR" w:eastAsia="en-US"/>
    </w:rPr>
  </w:style>
  <w:style w:type="paragraph" w:styleId="Heading5">
    <w:name w:val="heading 5"/>
    <w:next w:val="Normal"/>
    <w:autoRedefine/>
    <w:qFormat/>
    <w:rsid w:val="00893B73"/>
    <w:pPr>
      <w:keepNext/>
      <w:ind w:left="1134" w:hanging="567"/>
      <w:jc w:val="both"/>
      <w:outlineLvl w:val="4"/>
    </w:pPr>
    <w:rPr>
      <w:rFonts w:ascii="Arial" w:hAnsi="Arial"/>
      <w:sz w:val="18"/>
      <w:szCs w:val="18"/>
      <w:lang w:val="en-US" w:eastAsia="en-US"/>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eastAsia="en-US"/>
    </w:rPr>
  </w:style>
  <w:style w:type="paragraph" w:styleId="Footer">
    <w:name w:val="footer"/>
    <w:aliases w:val="doc_path_name"/>
    <w:autoRedefine/>
    <w:rsid w:val="00893B73"/>
    <w:pPr>
      <w:jc w:val="both"/>
    </w:pPr>
    <w:rPr>
      <w:rFonts w:ascii="Arial" w:hAnsi="Arial"/>
      <w:sz w:val="14"/>
      <w:lang w:val="en-US" w:eastAsia="en-US"/>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link w:val="FootnoteTextChar"/>
    <w:autoRedefine/>
    <w:rsid w:val="00893B73"/>
    <w:pPr>
      <w:spacing w:before="60"/>
      <w:ind w:left="567" w:hanging="567"/>
      <w:jc w:val="both"/>
    </w:pPr>
    <w:rPr>
      <w:rFonts w:ascii="Arial" w:hAnsi="Arial"/>
      <w:sz w:val="16"/>
      <w:lang w:val="en-US" w:eastAsia="en-US"/>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lang w:val="en-US" w:eastAsia="en-US"/>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F130BB"/>
    <w:pPr>
      <w:tabs>
        <w:tab w:val="right" w:leader="dot" w:pos="9639"/>
      </w:tabs>
      <w:ind w:left="851" w:right="851" w:hanging="567"/>
    </w:pPr>
    <w:rPr>
      <w:rFonts w:ascii="Arial" w:hAnsi="Arial"/>
      <w:noProof/>
      <w:lang w:val="en-US" w:eastAsia="en-US"/>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eastAsia="en-US"/>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eastAsia="en-US"/>
    </w:rPr>
  </w:style>
  <w:style w:type="paragraph" w:styleId="TOC1">
    <w:name w:val="toc 1"/>
    <w:next w:val="Normal"/>
    <w:autoRedefine/>
    <w:semiHidden/>
    <w:rsid w:val="00F130BB"/>
    <w:pPr>
      <w:tabs>
        <w:tab w:val="right" w:leader="dot" w:pos="9639"/>
      </w:tabs>
      <w:spacing w:before="120" w:after="120"/>
      <w:ind w:left="284" w:right="284" w:hanging="284"/>
    </w:pPr>
    <w:rPr>
      <w:rFonts w:ascii="Arial" w:hAnsi="Arial"/>
      <w:caps/>
      <w:noProof/>
      <w:lang w:val="en-US" w:eastAsia="en-US"/>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eastAsia="en-US"/>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customStyle="1" w:styleId="DecisionInvitingPara">
    <w:name w:val="Decision Inviting Para."/>
    <w:basedOn w:val="Normal"/>
    <w:rsid w:val="00E56DDB"/>
    <w:pPr>
      <w:ind w:left="4536"/>
    </w:pPr>
    <w:rPr>
      <w:i/>
    </w:rPr>
  </w:style>
  <w:style w:type="paragraph" w:styleId="ListParagraph">
    <w:name w:val="List Paragraph"/>
    <w:basedOn w:val="Normal"/>
    <w:uiPriority w:val="34"/>
    <w:qFormat/>
    <w:rsid w:val="00E56DDB"/>
    <w:pPr>
      <w:ind w:left="720"/>
      <w:contextualSpacing/>
    </w:pPr>
    <w:rPr>
      <w:lang w:val="en-US"/>
    </w:rPr>
  </w:style>
  <w:style w:type="character" w:customStyle="1" w:styleId="FootnoteTextChar">
    <w:name w:val="Footnote Text Char"/>
    <w:basedOn w:val="DefaultParagraphFont"/>
    <w:link w:val="FootnoteText"/>
    <w:rsid w:val="00E56DDB"/>
    <w:rPr>
      <w:rFonts w:ascii="Arial" w:hAnsi="Arial"/>
      <w:sz w:val="16"/>
      <w:lang w:val="en-US" w:eastAsia="en-US" w:bidi="ar-SA"/>
    </w:rPr>
  </w:style>
  <w:style w:type="character" w:styleId="FollowedHyperlink">
    <w:name w:val="FollowedHyperlink"/>
    <w:basedOn w:val="DefaultParagraphFont"/>
    <w:rsid w:val="004F21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iso.org/iso/home/store/catalogue_tc/catalogue_detail.htm?csnumber=28245" TargetMode="External"/><Relationship Id="rId2" Type="http://schemas.openxmlformats.org/officeDocument/2006/relationships/hyperlink" Target="http://www.upov.int/genie/es/reports/" TargetMode="External"/><Relationship Id="rId1" Type="http://schemas.openxmlformats.org/officeDocument/2006/relationships/hyperlink" Target="http://www.upov.int/genie/es/speci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2133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13639</CharactersWithSpaces>
  <SharedDoc>false</SharedDoc>
  <HLinks>
    <vt:vector size="18" baseType="variant">
      <vt:variant>
        <vt:i4>4194369</vt:i4>
      </vt:variant>
      <vt:variant>
        <vt:i4>6</vt:i4>
      </vt:variant>
      <vt:variant>
        <vt:i4>0</vt:i4>
      </vt:variant>
      <vt:variant>
        <vt:i4>5</vt:i4>
      </vt:variant>
      <vt:variant>
        <vt:lpwstr>http://www.iso.org/iso/home/store/catalogue_tc/catalogue_detail.htm?csnumber=28245</vt:lpwstr>
      </vt:variant>
      <vt:variant>
        <vt:lpwstr/>
      </vt:variant>
      <vt:variant>
        <vt:i4>851987</vt:i4>
      </vt:variant>
      <vt:variant>
        <vt:i4>3</vt:i4>
      </vt:variant>
      <vt:variant>
        <vt:i4>0</vt:i4>
      </vt:variant>
      <vt:variant>
        <vt:i4>5</vt:i4>
      </vt:variant>
      <vt:variant>
        <vt:lpwstr>http://www.upov.int/genie/es/reports/</vt:lpwstr>
      </vt:variant>
      <vt:variant>
        <vt:lpwstr/>
      </vt:variant>
      <vt:variant>
        <vt:i4>1572934</vt:i4>
      </vt:variant>
      <vt:variant>
        <vt:i4>0</vt:i4>
      </vt:variant>
      <vt:variant>
        <vt:i4>0</vt:i4>
      </vt:variant>
      <vt:variant>
        <vt:i4>5</vt:i4>
      </vt:variant>
      <vt:variant>
        <vt:lpwstr>http://www.upov.int/genie/es/species.jsp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SanchezV</dc:creator>
  <cp:lastModifiedBy>BESSE Ariane</cp:lastModifiedBy>
  <cp:revision>10</cp:revision>
  <cp:lastPrinted>2015-10-14T10:07:00Z</cp:lastPrinted>
  <dcterms:created xsi:type="dcterms:W3CDTF">2015-10-12T09:45:00Z</dcterms:created>
  <dcterms:modified xsi:type="dcterms:W3CDTF">2015-10-14T10:07:00Z</dcterms:modified>
</cp:coreProperties>
</file>