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32374" w:rsidRPr="00CF7E58" w:rsidTr="00C13808">
        <w:trPr>
          <w:trHeight w:val="1760"/>
        </w:trPr>
        <w:tc>
          <w:tcPr>
            <w:tcW w:w="4243" w:type="dxa"/>
          </w:tcPr>
          <w:p w:rsidR="00E32374" w:rsidRPr="00CF7E58" w:rsidRDefault="00E32374" w:rsidP="00F45372">
            <w:pPr>
              <w:rPr>
                <w:lang w:val="es-ES_tradnl"/>
              </w:rPr>
            </w:pPr>
          </w:p>
        </w:tc>
        <w:tc>
          <w:tcPr>
            <w:tcW w:w="1646" w:type="dxa"/>
            <w:vAlign w:val="center"/>
          </w:tcPr>
          <w:p w:rsidR="00E32374" w:rsidRPr="00CF7E58" w:rsidRDefault="00E32374" w:rsidP="00F45372">
            <w:pPr>
              <w:pStyle w:val="LogoUPOV"/>
              <w:rPr>
                <w:lang w:val="es-ES_tradnl"/>
              </w:rPr>
            </w:pPr>
            <w:r w:rsidRPr="00CF7E58">
              <w:rPr>
                <w:noProof/>
              </w:rPr>
              <w:drawing>
                <wp:inline distT="0" distB="0" distL="0" distR="0" wp14:anchorId="6568F8B4" wp14:editId="0719F86C">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32374" w:rsidRPr="00CF7E58" w:rsidRDefault="00E32374" w:rsidP="00F45372">
            <w:pPr>
              <w:pStyle w:val="Lettrine"/>
              <w:rPr>
                <w:lang w:val="es-ES_tradnl"/>
              </w:rPr>
            </w:pPr>
            <w:r w:rsidRPr="00CF7E58">
              <w:rPr>
                <w:lang w:val="es-ES_tradnl"/>
              </w:rPr>
              <w:t>S</w:t>
            </w:r>
          </w:p>
          <w:p w:rsidR="00E32374" w:rsidRPr="00CF7E58" w:rsidRDefault="00E32374" w:rsidP="00373109">
            <w:pPr>
              <w:pStyle w:val="Docoriginal"/>
              <w:ind w:left="952"/>
              <w:rPr>
                <w:lang w:val="es-ES_tradnl"/>
              </w:rPr>
            </w:pPr>
            <w:bookmarkStart w:id="0" w:name="Code"/>
            <w:bookmarkEnd w:id="0"/>
            <w:r w:rsidRPr="00B04E45">
              <w:rPr>
                <w:rFonts w:cs="Arial"/>
              </w:rPr>
              <w:t>UPOV/EXN/PRP/2 Draft 3</w:t>
            </w:r>
          </w:p>
          <w:p w:rsidR="00E32374" w:rsidRPr="00CF7E58" w:rsidRDefault="00E32374" w:rsidP="00373109">
            <w:pPr>
              <w:pStyle w:val="Docoriginal"/>
              <w:ind w:left="952"/>
              <w:rPr>
                <w:b w:val="0"/>
                <w:spacing w:val="0"/>
                <w:lang w:val="es-ES_tradnl"/>
              </w:rPr>
            </w:pPr>
            <w:r w:rsidRPr="00E32374">
              <w:rPr>
                <w:rStyle w:val="StyleDoclangBold"/>
                <w:b/>
                <w:spacing w:val="0"/>
                <w:lang w:val="es-ES_tradnl"/>
              </w:rPr>
              <w:t>ORIGINAL</w:t>
            </w:r>
            <w:r w:rsidRPr="00CF7E58">
              <w:rPr>
                <w:rStyle w:val="StyleDoclangBold"/>
                <w:spacing w:val="0"/>
                <w:lang w:val="es-ES_tradnl"/>
              </w:rPr>
              <w:t>:</w:t>
            </w:r>
            <w:r w:rsidRPr="00CF7E58">
              <w:rPr>
                <w:rStyle w:val="StyleDocoriginalNotBold1"/>
                <w:spacing w:val="0"/>
                <w:lang w:val="es-ES_tradnl"/>
              </w:rPr>
              <w:t xml:space="preserve">  </w:t>
            </w:r>
            <w:bookmarkStart w:id="1" w:name="Original"/>
            <w:bookmarkEnd w:id="1"/>
            <w:r w:rsidRPr="00CF7E58">
              <w:rPr>
                <w:b w:val="0"/>
                <w:spacing w:val="0"/>
                <w:lang w:val="es-ES_tradnl"/>
              </w:rPr>
              <w:t>Inglés</w:t>
            </w:r>
          </w:p>
          <w:p w:rsidR="00E32374" w:rsidRPr="001B11A1" w:rsidRDefault="00E32374" w:rsidP="00922929">
            <w:pPr>
              <w:pStyle w:val="Docoriginal"/>
              <w:ind w:left="952"/>
              <w:rPr>
                <w:spacing w:val="0"/>
                <w:lang w:val="es-ES_tradnl"/>
              </w:rPr>
            </w:pPr>
            <w:r w:rsidRPr="001B11A1">
              <w:rPr>
                <w:spacing w:val="0"/>
                <w:lang w:val="es-ES_tradnl"/>
              </w:rPr>
              <w:t>FECHA:</w:t>
            </w:r>
            <w:r w:rsidRPr="001B11A1">
              <w:rPr>
                <w:b w:val="0"/>
                <w:spacing w:val="0"/>
                <w:lang w:val="es-ES_tradnl"/>
              </w:rPr>
              <w:t xml:space="preserve">  </w:t>
            </w:r>
            <w:r w:rsidR="00922929">
              <w:rPr>
                <w:rFonts w:cs="Arial"/>
                <w:b w:val="0"/>
                <w:spacing w:val="0"/>
                <w:lang w:val="es-ES_tradnl"/>
              </w:rPr>
              <w:t>2</w:t>
            </w:r>
            <w:r w:rsidR="00E549F9">
              <w:rPr>
                <w:rFonts w:cs="Arial"/>
                <w:b w:val="0"/>
                <w:spacing w:val="0"/>
                <w:lang w:val="es-ES_tradnl"/>
              </w:rPr>
              <w:t xml:space="preserve"> de </w:t>
            </w:r>
            <w:r w:rsidR="00922929">
              <w:rPr>
                <w:rFonts w:cs="Arial"/>
                <w:b w:val="0"/>
                <w:spacing w:val="0"/>
                <w:lang w:val="es-ES_tradnl"/>
              </w:rPr>
              <w:t xml:space="preserve">marzo </w:t>
            </w:r>
            <w:r w:rsidR="00E549F9">
              <w:rPr>
                <w:rFonts w:cs="Arial"/>
                <w:b w:val="0"/>
                <w:spacing w:val="0"/>
                <w:lang w:val="es-ES_tradnl"/>
              </w:rPr>
              <w:t>de 2015</w:t>
            </w:r>
          </w:p>
        </w:tc>
      </w:tr>
      <w:tr w:rsidR="00E32374" w:rsidRPr="00CF7E58" w:rsidTr="00C13808">
        <w:tc>
          <w:tcPr>
            <w:tcW w:w="10131" w:type="dxa"/>
            <w:gridSpan w:val="3"/>
          </w:tcPr>
          <w:p w:rsidR="00E32374" w:rsidRPr="00CF7E58" w:rsidRDefault="00E32374" w:rsidP="00F45372">
            <w:pPr>
              <w:pStyle w:val="upove"/>
              <w:rPr>
                <w:sz w:val="28"/>
                <w:lang w:val="es-ES_tradnl"/>
              </w:rPr>
            </w:pPr>
            <w:r w:rsidRPr="00CF7E58">
              <w:rPr>
                <w:spacing w:val="2"/>
                <w:lang w:val="es-ES_tradnl"/>
              </w:rPr>
              <w:t>UNIÓN INTERNACIONAL PARA LA PROTECCIÓN DE LAS OBTENCIONES VEGETALES</w:t>
            </w:r>
          </w:p>
        </w:tc>
      </w:tr>
      <w:tr w:rsidR="00E32374" w:rsidRPr="00CF7E58" w:rsidTr="00C13808">
        <w:tc>
          <w:tcPr>
            <w:tcW w:w="10131" w:type="dxa"/>
            <w:gridSpan w:val="3"/>
          </w:tcPr>
          <w:p w:rsidR="00E32374" w:rsidRPr="00CF7E58" w:rsidRDefault="00E32374" w:rsidP="00F45372">
            <w:pPr>
              <w:pStyle w:val="Country"/>
              <w:rPr>
                <w:lang w:val="es-ES_tradnl"/>
              </w:rPr>
            </w:pPr>
            <w:r w:rsidRPr="00CF7E58">
              <w:rPr>
                <w:lang w:val="es-ES_tradnl"/>
              </w:rPr>
              <w:t>Ginebra</w:t>
            </w:r>
          </w:p>
        </w:tc>
      </w:tr>
    </w:tbl>
    <w:p w:rsidR="00E32374" w:rsidRPr="00CF7E58" w:rsidRDefault="00E32374" w:rsidP="00F45372">
      <w:pPr>
        <w:rPr>
          <w:snapToGrid w:val="0"/>
          <w:lang w:val="es-ES_tradnl"/>
        </w:rPr>
      </w:pPr>
    </w:p>
    <w:p w:rsidR="00E32374" w:rsidRPr="00CF7E58"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es-ES_tradnl"/>
        </w:rPr>
      </w:pPr>
    </w:p>
    <w:p w:rsidR="00E32374" w:rsidRPr="00E32374"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es-ES_tradnl"/>
        </w:rPr>
      </w:pPr>
      <w:r w:rsidRPr="00E32374">
        <w:rPr>
          <w:lang w:val="es-ES_tradnl"/>
        </w:rPr>
        <w:t>PROYECTO</w:t>
      </w:r>
    </w:p>
    <w:p w:rsidR="00E32374"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es-ES_tradnl"/>
        </w:rPr>
      </w:pPr>
      <w:r w:rsidRPr="00E32374">
        <w:rPr>
          <w:lang w:val="es-ES_tradnl"/>
        </w:rPr>
        <w:t>(REVISIÓN)</w:t>
      </w:r>
    </w:p>
    <w:p w:rsidR="00E32374" w:rsidRPr="00CF7E58"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lang w:val="es-ES_tradnl"/>
        </w:rPr>
      </w:pPr>
    </w:p>
    <w:p w:rsidR="00E32374" w:rsidRPr="00CF7E58" w:rsidRDefault="00E32374" w:rsidP="001C06B1">
      <w:pPr>
        <w:spacing w:before="1200" w:after="240"/>
        <w:jc w:val="center"/>
        <w:rPr>
          <w:caps/>
          <w:lang w:val="es-ES_tradnl"/>
        </w:rPr>
      </w:pPr>
      <w:r w:rsidRPr="00531F67">
        <w:rPr>
          <w:caps/>
          <w:lang w:val="es-ES_tradnl"/>
        </w:rPr>
        <w:t>NOTAS EXPLICATIVAS SOBRE</w:t>
      </w:r>
      <w:r w:rsidRPr="00531F67">
        <w:rPr>
          <w:caps/>
          <w:lang w:val="es-ES_tradnl"/>
        </w:rPr>
        <w:br/>
      </w:r>
      <w:r w:rsidRPr="00531F67">
        <w:rPr>
          <w:caps/>
          <w:lang w:val="es-ES_tradnl"/>
        </w:rPr>
        <w:br/>
        <w:t>LA PROTECCIÓN PROVISIONAL</w:t>
      </w:r>
      <w:r w:rsidRPr="00531F67">
        <w:rPr>
          <w:caps/>
          <w:lang w:val="es-ES_tradnl"/>
        </w:rPr>
        <w:br/>
      </w:r>
      <w:r w:rsidRPr="00531F67">
        <w:rPr>
          <w:caps/>
          <w:lang w:val="es-ES_tradnl"/>
        </w:rPr>
        <w:br/>
        <w:t>CON ARREGLO AL CONVENIO DE LA UPO</w:t>
      </w:r>
    </w:p>
    <w:p w:rsidR="00E32374" w:rsidRPr="00CF7E58" w:rsidRDefault="00E32374" w:rsidP="001C06B1">
      <w:pPr>
        <w:pStyle w:val="preparedby0"/>
        <w:widowControl w:val="0"/>
        <w:spacing w:after="960"/>
        <w:rPr>
          <w:rFonts w:cs="Arial"/>
          <w:i w:val="0"/>
          <w:lang w:val="es-ES_tradnl"/>
        </w:rPr>
      </w:pPr>
      <w:r w:rsidRPr="00531F67">
        <w:rPr>
          <w:rFonts w:cs="Arial"/>
          <w:lang w:val="es-ES_tradnl"/>
        </w:rPr>
        <w:t>Documento preparado por la Oficina de la Unión</w:t>
      </w:r>
      <w:r w:rsidRPr="00531F67">
        <w:rPr>
          <w:rFonts w:cs="Arial"/>
          <w:lang w:val="es-ES_tradnl"/>
        </w:rPr>
        <w:br/>
      </w:r>
      <w:r w:rsidRPr="00531F67">
        <w:rPr>
          <w:rFonts w:cs="Arial"/>
          <w:lang w:val="es-ES_tradnl"/>
        </w:rPr>
        <w:br/>
        <w:t>para su examen por el Comité Administrativo y Jurídico</w:t>
      </w:r>
      <w:r w:rsidRPr="00531F67">
        <w:rPr>
          <w:rFonts w:cs="Arial"/>
          <w:lang w:val="es-ES_tradnl"/>
        </w:rPr>
        <w:br/>
        <w:t>en su septuagésima primera sesión que se celebrará en Ginebra el 26 de marzo de 2015</w:t>
      </w:r>
      <w:r w:rsidRPr="00CF7E58">
        <w:rPr>
          <w:lang w:val="es-ES_tradnl"/>
        </w:rPr>
        <w:br/>
      </w:r>
      <w:r w:rsidRPr="00CF7E58">
        <w:rPr>
          <w:lang w:val="es-ES_tradnl"/>
        </w:rPr>
        <w:br/>
      </w:r>
      <w:r w:rsidRPr="00CF7E58">
        <w:rPr>
          <w:color w:val="A6A6A6"/>
          <w:lang w:val="es-ES_tradnl"/>
        </w:rPr>
        <w:t>Descargo de responsabilidad:  el presente documento no constituye</w:t>
      </w:r>
      <w:r w:rsidRPr="00CF7E58">
        <w:rPr>
          <w:color w:val="A6A6A6"/>
          <w:lang w:val="es-ES_tradnl"/>
        </w:rPr>
        <w:br/>
        <w:t>un documento de política u orientación de la UPOV</w:t>
      </w:r>
    </w:p>
    <w:p w:rsidR="00E32374" w:rsidRPr="00CF7E58" w:rsidRDefault="00E32374" w:rsidP="001C06B1">
      <w:pPr>
        <w:jc w:val="center"/>
        <w:rPr>
          <w:b/>
          <w:lang w:val="es-ES_tradnl"/>
        </w:rPr>
      </w:pPr>
    </w:p>
    <w:p w:rsidR="00E32374" w:rsidRPr="00CF7E58" w:rsidRDefault="00E32374" w:rsidP="001C06B1">
      <w:pPr>
        <w:jc w:val="center"/>
        <w:rPr>
          <w:b/>
          <w:lang w:val="es-ES_tradnl"/>
        </w:rPr>
      </w:pPr>
    </w:p>
    <w:p w:rsidR="00E32374" w:rsidRPr="00CF7E58" w:rsidRDefault="00E32374" w:rsidP="001C06B1">
      <w:pPr>
        <w:jc w:val="center"/>
        <w:rPr>
          <w:b/>
          <w:lang w:val="es-ES_tradn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E32374" w:rsidRPr="00CF7E58" w:rsidTr="00671038">
        <w:trPr>
          <w:cantSplit/>
          <w:jc w:val="center"/>
        </w:trPr>
        <w:tc>
          <w:tcPr>
            <w:tcW w:w="6664" w:type="dxa"/>
            <w:shd w:val="clear" w:color="auto" w:fill="E6E6E6"/>
          </w:tcPr>
          <w:p w:rsidR="00E32374" w:rsidRPr="00531F67" w:rsidRDefault="00E32374" w:rsidP="00E32374">
            <w:pPr>
              <w:jc w:val="center"/>
              <w:rPr>
                <w:sz w:val="18"/>
                <w:szCs w:val="18"/>
                <w:lang w:val="es-ES_tradnl"/>
              </w:rPr>
            </w:pPr>
            <w:r w:rsidRPr="00531F67">
              <w:rPr>
                <w:sz w:val="18"/>
                <w:szCs w:val="18"/>
                <w:lang w:val="es-ES_tradnl"/>
              </w:rPr>
              <w:t xml:space="preserve">Nota sobre la versión del proyecto </w:t>
            </w:r>
          </w:p>
          <w:p w:rsidR="00E32374" w:rsidRPr="00531F67" w:rsidRDefault="00E32374" w:rsidP="00E32374">
            <w:pPr>
              <w:jc w:val="center"/>
              <w:rPr>
                <w:sz w:val="18"/>
                <w:szCs w:val="18"/>
                <w:lang w:val="es-ES_tradnl"/>
              </w:rPr>
            </w:pPr>
          </w:p>
          <w:p w:rsidR="00E32374" w:rsidRPr="00531F67" w:rsidRDefault="00E32374" w:rsidP="00E32374">
            <w:pPr>
              <w:rPr>
                <w:sz w:val="18"/>
                <w:szCs w:val="18"/>
                <w:lang w:val="es-ES_tradnl"/>
              </w:rPr>
            </w:pPr>
            <w:r w:rsidRPr="00531F67">
              <w:rPr>
                <w:sz w:val="18"/>
                <w:szCs w:val="18"/>
                <w:lang w:val="es-ES_tradnl"/>
              </w:rPr>
              <w:t xml:space="preserve">El </w:t>
            </w:r>
            <w:r w:rsidRPr="00531F67">
              <w:rPr>
                <w:b/>
                <w:strike/>
                <w:sz w:val="18"/>
                <w:szCs w:val="18"/>
                <w:lang w:val="es-ES_tradnl"/>
              </w:rPr>
              <w:t>texto tachado</w:t>
            </w:r>
            <w:r w:rsidRPr="00531F67">
              <w:rPr>
                <w:b/>
                <w:sz w:val="18"/>
                <w:szCs w:val="18"/>
                <w:lang w:val="es-ES_tradnl"/>
              </w:rPr>
              <w:t xml:space="preserve"> (y sombreado)</w:t>
            </w:r>
            <w:r w:rsidRPr="00531F67">
              <w:rPr>
                <w:sz w:val="18"/>
                <w:szCs w:val="18"/>
                <w:lang w:val="es-ES_tradnl"/>
              </w:rPr>
              <w:t xml:space="preserve"> indica lo que </w:t>
            </w:r>
            <w:r w:rsidRPr="000D138B">
              <w:rPr>
                <w:sz w:val="18"/>
                <w:szCs w:val="18"/>
                <w:lang w:val="es-ES_tradnl"/>
              </w:rPr>
              <w:t xml:space="preserve">el Grupo Asesor del Comité Administrativo y Jurídico (CAJ-AG) ha acordado suprimir de la versión </w:t>
            </w:r>
            <w:r>
              <w:rPr>
                <w:sz w:val="18"/>
                <w:szCs w:val="18"/>
                <w:lang w:val="es-ES_tradnl"/>
              </w:rPr>
              <w:t>anterior (documento UPOV/EXN/PRP</w:t>
            </w:r>
            <w:r w:rsidRPr="000D138B">
              <w:rPr>
                <w:sz w:val="18"/>
                <w:szCs w:val="18"/>
                <w:lang w:val="es-ES_tradnl"/>
              </w:rPr>
              <w:t>/1).</w:t>
            </w:r>
          </w:p>
          <w:p w:rsidR="00E32374" w:rsidRPr="00531F67" w:rsidRDefault="00E32374" w:rsidP="00E32374">
            <w:pPr>
              <w:rPr>
                <w:sz w:val="18"/>
                <w:szCs w:val="18"/>
                <w:lang w:val="es-ES_tradnl"/>
              </w:rPr>
            </w:pPr>
          </w:p>
          <w:p w:rsidR="00E32374" w:rsidRPr="00531F67" w:rsidRDefault="00E32374" w:rsidP="00E32374">
            <w:pPr>
              <w:rPr>
                <w:sz w:val="18"/>
                <w:szCs w:val="18"/>
                <w:lang w:val="es-ES_tradnl"/>
              </w:rPr>
            </w:pPr>
            <w:r w:rsidRPr="00531F67">
              <w:rPr>
                <w:rFonts w:eastAsia="SimSun"/>
                <w:lang w:val="es-ES_tradnl" w:eastAsia="es-ES"/>
              </w:rPr>
              <w:t xml:space="preserve">El </w:t>
            </w:r>
            <w:r w:rsidRPr="00531F67">
              <w:rPr>
                <w:rFonts w:eastAsia="SimSun"/>
                <w:b/>
                <w:sz w:val="18"/>
                <w:u w:val="single"/>
                <w:lang w:val="es-ES_tradnl" w:eastAsia="es-ES"/>
              </w:rPr>
              <w:t>texto subrayado</w:t>
            </w:r>
            <w:r w:rsidRPr="00531F67">
              <w:rPr>
                <w:rFonts w:eastAsia="SimSun"/>
                <w:b/>
                <w:sz w:val="18"/>
                <w:lang w:val="es-ES_tradnl" w:eastAsia="es-ES"/>
              </w:rPr>
              <w:t xml:space="preserve"> (y sombreado)</w:t>
            </w:r>
            <w:r w:rsidRPr="00531F67">
              <w:rPr>
                <w:rFonts w:eastAsia="SimSun"/>
                <w:sz w:val="18"/>
                <w:lang w:val="es-ES_tradnl" w:eastAsia="es-ES"/>
              </w:rPr>
              <w:t xml:space="preserve"> indica lo que </w:t>
            </w:r>
            <w:r w:rsidRPr="000D138B">
              <w:rPr>
                <w:rFonts w:eastAsia="SimSun"/>
                <w:sz w:val="18"/>
                <w:lang w:val="es-ES_tradnl" w:eastAsia="es-ES"/>
              </w:rPr>
              <w:t>el CAJ-AG ha acordado insertar en la versión anterior (documento UPOV/EXN/</w:t>
            </w:r>
            <w:r>
              <w:rPr>
                <w:rFonts w:eastAsia="SimSun"/>
                <w:sz w:val="18"/>
                <w:lang w:val="es-ES_tradnl" w:eastAsia="es-ES"/>
              </w:rPr>
              <w:t>PRP</w:t>
            </w:r>
            <w:r w:rsidRPr="000D138B">
              <w:rPr>
                <w:rFonts w:eastAsia="SimSun"/>
                <w:sz w:val="18"/>
                <w:lang w:val="es-ES_tradnl" w:eastAsia="es-ES"/>
              </w:rPr>
              <w:t>/1).</w:t>
            </w:r>
            <w:r>
              <w:rPr>
                <w:rFonts w:eastAsia="SimSun"/>
                <w:sz w:val="18"/>
                <w:lang w:val="es-ES_tradnl" w:eastAsia="es-ES"/>
              </w:rPr>
              <w:t xml:space="preserve"> </w:t>
            </w:r>
          </w:p>
          <w:p w:rsidR="00E32374" w:rsidRPr="00531F67" w:rsidRDefault="00E32374" w:rsidP="00E32374">
            <w:pPr>
              <w:rPr>
                <w:sz w:val="18"/>
                <w:szCs w:val="18"/>
                <w:lang w:val="es-ES_tradnl"/>
              </w:rPr>
            </w:pPr>
          </w:p>
          <w:p w:rsidR="00E32374" w:rsidRPr="00CF7E58" w:rsidRDefault="00E32374" w:rsidP="00E32374">
            <w:pPr>
              <w:rPr>
                <w:szCs w:val="22"/>
                <w:lang w:val="es-ES_tradnl"/>
              </w:rPr>
            </w:pPr>
            <w:r w:rsidRPr="00531F67">
              <w:rPr>
                <w:sz w:val="18"/>
                <w:szCs w:val="18"/>
                <w:lang w:val="es-ES_tradnl"/>
              </w:rPr>
              <w:t xml:space="preserve">Las </w:t>
            </w:r>
            <w:r w:rsidRPr="00531F67">
              <w:rPr>
                <w:b/>
                <w:sz w:val="18"/>
                <w:szCs w:val="18"/>
                <w:lang w:val="es-ES_tradnl"/>
              </w:rPr>
              <w:t>notas a pie de página</w:t>
            </w:r>
            <w:r w:rsidRPr="00531F67">
              <w:rPr>
                <w:sz w:val="18"/>
                <w:szCs w:val="18"/>
                <w:lang w:val="es-ES_tradnl"/>
              </w:rPr>
              <w:t xml:space="preserve"> se conservarán en la versión del documento que se haga pública.</w:t>
            </w:r>
          </w:p>
        </w:tc>
      </w:tr>
    </w:tbl>
    <w:p w:rsidR="00E32374" w:rsidRPr="00CF7E58" w:rsidRDefault="00E32374" w:rsidP="001C06B1">
      <w:pPr>
        <w:rPr>
          <w:lang w:val="es-ES_tradnl"/>
        </w:rPr>
      </w:pPr>
    </w:p>
    <w:p w:rsidR="00E32374" w:rsidRPr="00CF7E58" w:rsidRDefault="00E32374" w:rsidP="00B74118">
      <w:pPr>
        <w:rPr>
          <w:lang w:val="es-ES_tradnl"/>
        </w:rPr>
      </w:pPr>
    </w:p>
    <w:p w:rsidR="00E32374" w:rsidRPr="00CF7E58" w:rsidRDefault="00E32374" w:rsidP="001C06B1">
      <w:pPr>
        <w:rPr>
          <w:lang w:val="es-ES_tradnl"/>
        </w:rPr>
      </w:pPr>
    </w:p>
    <w:p w:rsidR="00E32374" w:rsidRPr="00CF7E58" w:rsidRDefault="00E32374" w:rsidP="001C06B1">
      <w:pPr>
        <w:pStyle w:val="TOC1"/>
        <w:rPr>
          <w:snapToGrid w:val="0"/>
          <w:lang w:val="es-ES_tradnl"/>
        </w:rPr>
      </w:pPr>
      <w:r w:rsidRPr="00CF7E58">
        <w:rPr>
          <w:lang w:val="es-ES_tradnl"/>
        </w:rPr>
        <w:br w:type="page"/>
      </w:r>
    </w:p>
    <w:p w:rsidR="00E32374" w:rsidRDefault="00E32374" w:rsidP="00DB1B5F">
      <w:pPr>
        <w:rPr>
          <w:lang w:val="es-ES_tradnl"/>
        </w:rPr>
      </w:pPr>
    </w:p>
    <w:p w:rsidR="00E32374" w:rsidRPr="002D78A8" w:rsidRDefault="00E32374" w:rsidP="002D78A8">
      <w:pPr>
        <w:jc w:val="center"/>
        <w:rPr>
          <w:u w:val="single"/>
          <w:lang w:val="es-ES_tradnl"/>
        </w:rPr>
      </w:pPr>
      <w:r w:rsidRPr="002D78A8">
        <w:rPr>
          <w:u w:val="single"/>
          <w:lang w:val="es-ES_tradnl"/>
        </w:rPr>
        <w:t>ÍNDICE</w:t>
      </w:r>
    </w:p>
    <w:p w:rsidR="00E32374" w:rsidRPr="00531F67" w:rsidRDefault="00E32374" w:rsidP="002D78A8">
      <w:pPr>
        <w:jc w:val="center"/>
        <w:rPr>
          <w:lang w:val="es-ES_tradnl"/>
        </w:rPr>
      </w:pPr>
    </w:p>
    <w:p w:rsidR="0032045B" w:rsidRDefault="00E32374">
      <w:pPr>
        <w:pStyle w:val="TOC2"/>
        <w:rPr>
          <w:rFonts w:asciiTheme="minorHAnsi" w:eastAsiaTheme="minorEastAsia" w:hAnsiTheme="minorHAnsi" w:cstheme="minorBidi"/>
          <w:sz w:val="22"/>
          <w:szCs w:val="22"/>
        </w:rPr>
      </w:pPr>
      <w:r w:rsidRPr="0085752E">
        <w:rPr>
          <w:caps/>
          <w:szCs w:val="18"/>
        </w:rPr>
        <w:fldChar w:fldCharType="begin"/>
      </w:r>
      <w:r w:rsidRPr="0085752E">
        <w:rPr>
          <w:szCs w:val="18"/>
        </w:rPr>
        <w:instrText xml:space="preserve"> TOC \o "1-3" \h \z \u </w:instrText>
      </w:r>
      <w:r w:rsidRPr="0085752E">
        <w:rPr>
          <w:caps/>
          <w:szCs w:val="18"/>
        </w:rPr>
        <w:fldChar w:fldCharType="separate"/>
      </w:r>
      <w:hyperlink w:anchor="_Toc412823463" w:history="1">
        <w:r w:rsidR="0032045B" w:rsidRPr="00D07C40">
          <w:rPr>
            <w:rStyle w:val="Hyperlink"/>
            <w:lang w:val="es-ES_tradnl"/>
          </w:rPr>
          <w:t>PREÁMBULO</w:t>
        </w:r>
        <w:r w:rsidR="0032045B">
          <w:rPr>
            <w:webHidden/>
          </w:rPr>
          <w:tab/>
        </w:r>
        <w:r w:rsidR="0032045B">
          <w:rPr>
            <w:webHidden/>
          </w:rPr>
          <w:fldChar w:fldCharType="begin"/>
        </w:r>
        <w:r w:rsidR="0032045B">
          <w:rPr>
            <w:webHidden/>
          </w:rPr>
          <w:instrText xml:space="preserve"> PAGEREF _Toc412823463 \h </w:instrText>
        </w:r>
        <w:r w:rsidR="0032045B">
          <w:rPr>
            <w:webHidden/>
          </w:rPr>
        </w:r>
        <w:r w:rsidR="0032045B">
          <w:rPr>
            <w:webHidden/>
          </w:rPr>
          <w:fldChar w:fldCharType="separate"/>
        </w:r>
        <w:r w:rsidR="00491F9B">
          <w:rPr>
            <w:webHidden/>
          </w:rPr>
          <w:t>4</w:t>
        </w:r>
        <w:r w:rsidR="0032045B">
          <w:rPr>
            <w:webHidden/>
          </w:rPr>
          <w:fldChar w:fldCharType="end"/>
        </w:r>
      </w:hyperlink>
    </w:p>
    <w:p w:rsidR="0032045B" w:rsidRDefault="00491F9B">
      <w:pPr>
        <w:pStyle w:val="TOC2"/>
        <w:rPr>
          <w:rFonts w:asciiTheme="minorHAnsi" w:eastAsiaTheme="minorEastAsia" w:hAnsiTheme="minorHAnsi" w:cstheme="minorBidi"/>
          <w:sz w:val="22"/>
          <w:szCs w:val="22"/>
        </w:rPr>
      </w:pPr>
      <w:hyperlink w:anchor="_Toc412823464" w:history="1">
        <w:r w:rsidR="0032045B" w:rsidRPr="00D07C40">
          <w:rPr>
            <w:rStyle w:val="Hyperlink"/>
            <w:lang w:val="es-ES_tradnl"/>
          </w:rPr>
          <w:t>SECCIÓN I:  DISPOSICIONES SOBRE LA PROTECCIÓN PROVISIONAL</w:t>
        </w:r>
        <w:r w:rsidR="0032045B">
          <w:rPr>
            <w:webHidden/>
          </w:rPr>
          <w:tab/>
        </w:r>
        <w:r w:rsidR="0032045B">
          <w:rPr>
            <w:webHidden/>
          </w:rPr>
          <w:fldChar w:fldCharType="begin"/>
        </w:r>
        <w:r w:rsidR="0032045B">
          <w:rPr>
            <w:webHidden/>
          </w:rPr>
          <w:instrText xml:space="preserve"> PAGEREF _Toc412823464 \h </w:instrText>
        </w:r>
        <w:r w:rsidR="0032045B">
          <w:rPr>
            <w:webHidden/>
          </w:rPr>
        </w:r>
        <w:r w:rsidR="0032045B">
          <w:rPr>
            <w:webHidden/>
          </w:rPr>
          <w:fldChar w:fldCharType="separate"/>
        </w:r>
        <w:r>
          <w:rPr>
            <w:webHidden/>
          </w:rPr>
          <w:t>5</w:t>
        </w:r>
        <w:r w:rsidR="0032045B">
          <w:rPr>
            <w:webHidden/>
          </w:rPr>
          <w:fldChar w:fldCharType="end"/>
        </w:r>
      </w:hyperlink>
    </w:p>
    <w:p w:rsidR="0032045B" w:rsidRDefault="00491F9B">
      <w:pPr>
        <w:pStyle w:val="TOC2"/>
        <w:rPr>
          <w:rFonts w:asciiTheme="minorHAnsi" w:eastAsiaTheme="minorEastAsia" w:hAnsiTheme="minorHAnsi" w:cstheme="minorBidi"/>
          <w:sz w:val="22"/>
          <w:szCs w:val="22"/>
        </w:rPr>
      </w:pPr>
      <w:hyperlink w:anchor="_Toc412823465" w:history="1">
        <w:r w:rsidR="0032045B" w:rsidRPr="00D07C40">
          <w:rPr>
            <w:rStyle w:val="Hyperlink"/>
            <w:lang w:val="es-ES_tradnl"/>
          </w:rPr>
          <w:t>SECCIÓN II:  CIERTOS ASPECTOS DE LAS DISPOSICIONES SOBRE LA PROTECCIÓN PROVISIONAL</w:t>
        </w:r>
        <w:r w:rsidR="0032045B">
          <w:rPr>
            <w:webHidden/>
          </w:rPr>
          <w:tab/>
        </w:r>
        <w:r w:rsidR="0032045B">
          <w:rPr>
            <w:webHidden/>
          </w:rPr>
          <w:fldChar w:fldCharType="begin"/>
        </w:r>
        <w:r w:rsidR="0032045B">
          <w:rPr>
            <w:webHidden/>
          </w:rPr>
          <w:instrText xml:space="preserve"> PAGEREF _Toc412823465 \h </w:instrText>
        </w:r>
        <w:r w:rsidR="0032045B">
          <w:rPr>
            <w:webHidden/>
          </w:rPr>
        </w:r>
        <w:r w:rsidR="0032045B">
          <w:rPr>
            <w:webHidden/>
          </w:rPr>
          <w:fldChar w:fldCharType="separate"/>
        </w:r>
        <w:r>
          <w:rPr>
            <w:webHidden/>
          </w:rPr>
          <w:t>6</w:t>
        </w:r>
        <w:r w:rsidR="0032045B">
          <w:rPr>
            <w:webHidden/>
          </w:rPr>
          <w:fldChar w:fldCharType="end"/>
        </w:r>
      </w:hyperlink>
    </w:p>
    <w:p w:rsidR="00E32374" w:rsidRPr="00E32374" w:rsidRDefault="00E32374" w:rsidP="00E32374">
      <w:pPr>
        <w:tabs>
          <w:tab w:val="right" w:leader="dot" w:pos="9072"/>
        </w:tabs>
        <w:ind w:right="991"/>
        <w:rPr>
          <w:sz w:val="18"/>
          <w:szCs w:val="18"/>
          <w:lang w:val="es-ES_tradnl"/>
        </w:rPr>
      </w:pPr>
      <w:r w:rsidRPr="0085752E">
        <w:rPr>
          <w:b/>
          <w:bCs/>
          <w:sz w:val="18"/>
          <w:szCs w:val="18"/>
          <w:lang w:val="es-ES_tradnl"/>
        </w:rPr>
        <w:fldChar w:fldCharType="end"/>
      </w:r>
    </w:p>
    <w:p w:rsidR="00E32374" w:rsidRPr="00531F67" w:rsidRDefault="00E32374" w:rsidP="00387E30">
      <w:pPr>
        <w:pStyle w:val="Heading1"/>
        <w:jc w:val="center"/>
        <w:rPr>
          <w:lang w:val="es-ES_tradnl"/>
        </w:rPr>
      </w:pPr>
      <w:r w:rsidRPr="00531F67">
        <w:rPr>
          <w:lang w:val="es-ES_tradnl"/>
        </w:rPr>
        <w:br w:type="page"/>
      </w:r>
    </w:p>
    <w:p w:rsidR="00E32374" w:rsidRPr="00714DFA" w:rsidRDefault="00E32374" w:rsidP="00E32374">
      <w:pPr>
        <w:jc w:val="center"/>
        <w:rPr>
          <w:lang w:val="es-ES_tradnl"/>
        </w:rPr>
      </w:pPr>
      <w:bookmarkStart w:id="2" w:name="_Toc242872664"/>
      <w:r w:rsidRPr="00714DFA">
        <w:rPr>
          <w:lang w:val="es-ES_tradnl"/>
        </w:rPr>
        <w:lastRenderedPageBreak/>
        <w:t>NOTAS EXPLICATIVAS SOBRE LA PROTECCIÓN PROVISIONAL</w:t>
      </w:r>
      <w:r w:rsidRPr="00714DFA">
        <w:rPr>
          <w:lang w:val="es-ES_tradnl"/>
        </w:rPr>
        <w:br/>
        <w:t>CON ARREGLO AL cONVENIO DE LA UPOV</w:t>
      </w:r>
      <w:bookmarkEnd w:id="2"/>
    </w:p>
    <w:p w:rsidR="00E32374" w:rsidRPr="00714DFA" w:rsidRDefault="00E32374" w:rsidP="00714DFA">
      <w:pPr>
        <w:rPr>
          <w:lang w:val="es-ES_tradnl"/>
        </w:rPr>
      </w:pPr>
    </w:p>
    <w:p w:rsidR="00E32374" w:rsidRPr="00714DFA" w:rsidRDefault="00E32374" w:rsidP="00E32374">
      <w:pPr>
        <w:pStyle w:val="Heading2"/>
        <w:rPr>
          <w:lang w:val="es-ES_tradnl"/>
        </w:rPr>
      </w:pPr>
      <w:bookmarkStart w:id="3" w:name="_Toc229906622"/>
      <w:bookmarkStart w:id="4" w:name="_Toc242872665"/>
      <w:bookmarkStart w:id="5" w:name="_Toc412823463"/>
      <w:r w:rsidRPr="00714DFA">
        <w:rPr>
          <w:lang w:val="es-ES_tradnl"/>
        </w:rPr>
        <w:t>PREÁMBULO</w:t>
      </w:r>
      <w:bookmarkEnd w:id="3"/>
      <w:bookmarkEnd w:id="4"/>
      <w:bookmarkEnd w:id="5"/>
    </w:p>
    <w:p w:rsidR="00E32374" w:rsidRPr="00714DFA" w:rsidRDefault="00E32374" w:rsidP="00714DFA">
      <w:pPr>
        <w:rPr>
          <w:lang w:val="es-ES_tradnl"/>
        </w:rPr>
      </w:pPr>
    </w:p>
    <w:p w:rsidR="00E32374" w:rsidRPr="00714DFA" w:rsidRDefault="00E32374" w:rsidP="00714DFA">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14DFA">
        <w:rPr>
          <w:lang w:val="es-ES_tradnl"/>
        </w:rPr>
        <w:t xml:space="preserve">El objetivo de las presentes notas explicativas es proporcionar algunas orientaciones sobre la protección provisional con arreglo al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E32374" w:rsidRPr="00714DFA" w:rsidRDefault="00E32374" w:rsidP="00714DFA">
      <w:pPr>
        <w:rPr>
          <w:lang w:val="es-ES_tradnl"/>
        </w:rPr>
      </w:pPr>
    </w:p>
    <w:p w:rsidR="00E32374" w:rsidRPr="00714DFA" w:rsidRDefault="00E32374" w:rsidP="00714DFA">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14DFA">
        <w:rPr>
          <w:lang w:val="es-ES_tradnl"/>
        </w:rPr>
        <w:t xml:space="preserve">Las presentes notas explicativas contienen orientaciones respecto de algunos aspectos de las disposiciones sobre la protección provisional previstas en el Artículo 13 del Acta de 1991 del Convenio de la UPOV y en el Artículo 7.3) del Acta de 1978 del Convenio de la UPOV.  </w:t>
      </w:r>
    </w:p>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keepNext/>
        <w:jc w:val="center"/>
        <w:outlineLvl w:val="0"/>
        <w:rPr>
          <w:caps/>
          <w:lang w:val="es-ES_tradnl"/>
        </w:rPr>
      </w:pPr>
      <w:r w:rsidRPr="00714DFA">
        <w:rPr>
          <w:caps/>
          <w:lang w:val="es-ES_tradnl"/>
        </w:rPr>
        <w:br w:type="page"/>
      </w:r>
      <w:bookmarkStart w:id="6" w:name="_Toc229906623"/>
    </w:p>
    <w:p w:rsidR="00E32374" w:rsidRPr="00714DFA" w:rsidRDefault="00E32374" w:rsidP="00E32374">
      <w:pPr>
        <w:pStyle w:val="Heading2"/>
        <w:rPr>
          <w:lang w:val="es-ES_tradnl"/>
        </w:rPr>
      </w:pPr>
      <w:bookmarkStart w:id="7" w:name="_Toc242872666"/>
      <w:bookmarkStart w:id="8" w:name="_Toc412823464"/>
      <w:r w:rsidRPr="00714DFA">
        <w:rPr>
          <w:lang w:val="es-ES_tradnl"/>
        </w:rPr>
        <w:lastRenderedPageBreak/>
        <w:t xml:space="preserve">SECCIÓN I:  DISPOSICIONES SOBRE </w:t>
      </w:r>
      <w:bookmarkEnd w:id="6"/>
      <w:r w:rsidRPr="00714DFA">
        <w:rPr>
          <w:lang w:val="es-ES_tradnl"/>
        </w:rPr>
        <w:t>LA PROTECCIÓN PROVISIONAL</w:t>
      </w:r>
      <w:bookmarkEnd w:id="7"/>
      <w:bookmarkEnd w:id="8"/>
    </w:p>
    <w:p w:rsidR="00E32374" w:rsidRPr="00714DFA" w:rsidRDefault="00E32374" w:rsidP="00714DFA">
      <w:pPr>
        <w:keepNext/>
        <w:jc w:val="center"/>
        <w:outlineLvl w:val="1"/>
        <w:rPr>
          <w:lang w:val="es-ES_tradnl"/>
        </w:rPr>
      </w:pPr>
    </w:p>
    <w:p w:rsidR="00E32374" w:rsidRPr="00714DFA" w:rsidRDefault="00E32374" w:rsidP="00714DFA">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14DFA">
        <w:rPr>
          <w:lang w:val="es-ES_tradnl"/>
        </w:rPr>
        <w:t>Las disposiciones relativas a la protección provisional que figuran en el Artículo 13 del Acta de 1991 del Convenio de la UPOV y en el Artículo 7.3) del Acta de 1978 del Convenio de la UPOV se reproducen a continuación:</w:t>
      </w:r>
    </w:p>
    <w:p w:rsidR="00E32374" w:rsidRPr="00714DFA" w:rsidRDefault="00E32374" w:rsidP="00714DFA">
      <w:pPr>
        <w:rPr>
          <w:lang w:val="es-ES_tradn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106"/>
      </w:tblGrid>
      <w:tr w:rsidR="00E32374" w:rsidRPr="00714DFA" w:rsidTr="00504DCD">
        <w:trPr>
          <w:jc w:val="center"/>
        </w:trPr>
        <w:tc>
          <w:tcPr>
            <w:tcW w:w="8106" w:type="dxa"/>
            <w:tcBorders>
              <w:bottom w:val="single" w:sz="8" w:space="0" w:color="auto"/>
            </w:tcBorders>
          </w:tcPr>
          <w:p w:rsidR="00E32374" w:rsidRPr="00714DFA" w:rsidRDefault="00E32374" w:rsidP="00B04E45">
            <w:pPr>
              <w:jc w:val="center"/>
              <w:rPr>
                <w:sz w:val="18"/>
                <w:szCs w:val="18"/>
                <w:lang w:val="es-ES_tradnl"/>
              </w:rPr>
            </w:pPr>
            <w:r w:rsidRPr="00714DFA">
              <w:rPr>
                <w:b/>
                <w:sz w:val="18"/>
                <w:szCs w:val="18"/>
                <w:lang w:val="es-ES_tradnl"/>
              </w:rPr>
              <w:t xml:space="preserve">Acta de 1991 </w:t>
            </w:r>
            <w:r w:rsidRPr="00714DFA">
              <w:rPr>
                <w:sz w:val="18"/>
                <w:szCs w:val="18"/>
                <w:lang w:val="es-ES_tradnl"/>
              </w:rPr>
              <w:t>del Convenio de la UPOV</w:t>
            </w:r>
          </w:p>
          <w:p w:rsidR="00E32374" w:rsidRPr="00714DFA" w:rsidRDefault="00E32374" w:rsidP="00B04E45">
            <w:pPr>
              <w:tabs>
                <w:tab w:val="left" w:pos="2277"/>
              </w:tabs>
              <w:jc w:val="center"/>
              <w:rPr>
                <w:sz w:val="18"/>
                <w:szCs w:val="18"/>
                <w:lang w:val="es-ES_tradnl"/>
              </w:rPr>
            </w:pPr>
          </w:p>
          <w:p w:rsidR="00E32374" w:rsidRPr="00714DFA" w:rsidRDefault="00E32374" w:rsidP="00B04E45">
            <w:pPr>
              <w:jc w:val="center"/>
              <w:rPr>
                <w:b/>
                <w:sz w:val="18"/>
                <w:szCs w:val="18"/>
                <w:lang w:val="es-ES_tradnl"/>
              </w:rPr>
            </w:pPr>
            <w:r w:rsidRPr="00714DFA">
              <w:rPr>
                <w:b/>
                <w:sz w:val="18"/>
                <w:szCs w:val="18"/>
                <w:lang w:val="es-ES_tradnl"/>
              </w:rPr>
              <w:t>Artículo 13</w:t>
            </w:r>
          </w:p>
          <w:p w:rsidR="00E32374" w:rsidRPr="00714DFA" w:rsidRDefault="00E32374" w:rsidP="00B04E45">
            <w:pPr>
              <w:jc w:val="center"/>
              <w:rPr>
                <w:b/>
                <w:sz w:val="18"/>
                <w:szCs w:val="18"/>
                <w:lang w:val="es-ES_tradnl"/>
              </w:rPr>
            </w:pPr>
          </w:p>
          <w:p w:rsidR="00E32374" w:rsidRPr="00714DFA" w:rsidRDefault="00E32374" w:rsidP="00B04E45">
            <w:pPr>
              <w:jc w:val="center"/>
              <w:rPr>
                <w:b/>
                <w:sz w:val="18"/>
                <w:szCs w:val="18"/>
                <w:lang w:val="es-ES_tradnl"/>
              </w:rPr>
            </w:pPr>
            <w:r w:rsidRPr="00714DFA">
              <w:rPr>
                <w:b/>
                <w:sz w:val="18"/>
                <w:szCs w:val="18"/>
                <w:lang w:val="es-ES_tradnl"/>
              </w:rPr>
              <w:t>Protección provisional</w:t>
            </w:r>
          </w:p>
          <w:p w:rsidR="00E32374" w:rsidRPr="00714DFA" w:rsidRDefault="00E32374" w:rsidP="00B04E45">
            <w:pPr>
              <w:rPr>
                <w:sz w:val="18"/>
                <w:szCs w:val="18"/>
                <w:lang w:val="es-ES_tradnl"/>
              </w:rPr>
            </w:pPr>
          </w:p>
          <w:p w:rsidR="00E32374" w:rsidRPr="00714DFA" w:rsidRDefault="00E32374" w:rsidP="00B04E45">
            <w:pPr>
              <w:rPr>
                <w:sz w:val="18"/>
                <w:szCs w:val="18"/>
                <w:lang w:val="es-ES_tradnl"/>
              </w:rPr>
            </w:pPr>
            <w:r w:rsidRPr="00714DFA">
              <w:rPr>
                <w:sz w:val="18"/>
                <w:szCs w:val="18"/>
                <w:lang w:val="es-ES_tradnl"/>
              </w:rPr>
              <w:t>Cada Parte Contratante adoptará medidas destinadas a salvaguardar los intereses del obtentor durante el período comprendido entre la presentación de la solicitud de concesión de un derecho de obtentor o su publicación y la concesión del derecho. 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 14. Una Parte Contratante podrá prever que dichas medidas sólo surtirán efecto respecto de las personas a las que el obtentor haya notificado la presentación de la solicitud.</w:t>
            </w:r>
          </w:p>
          <w:p w:rsidR="00E32374" w:rsidRPr="00714DFA" w:rsidRDefault="00E32374" w:rsidP="00714DFA">
            <w:pPr>
              <w:rPr>
                <w:lang w:val="es-ES_tradnl"/>
              </w:rPr>
            </w:pPr>
          </w:p>
        </w:tc>
      </w:tr>
    </w:tbl>
    <w:p w:rsidR="00E32374" w:rsidRPr="00714DFA" w:rsidRDefault="00E32374" w:rsidP="00714DFA">
      <w:pPr>
        <w:rPr>
          <w:lang w:val="es-ES_tradnl"/>
        </w:rPr>
      </w:pPr>
    </w:p>
    <w:p w:rsidR="00E32374" w:rsidRPr="00714DFA" w:rsidRDefault="00E32374" w:rsidP="00714DFA">
      <w:pPr>
        <w:rPr>
          <w:lang w:val="es-ES_tradn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106"/>
      </w:tblGrid>
      <w:tr w:rsidR="00E32374" w:rsidRPr="00714DFA" w:rsidTr="00504DCD">
        <w:trPr>
          <w:jc w:val="center"/>
        </w:trPr>
        <w:tc>
          <w:tcPr>
            <w:tcW w:w="8106" w:type="dxa"/>
            <w:tcBorders>
              <w:bottom w:val="single" w:sz="8" w:space="0" w:color="auto"/>
            </w:tcBorders>
          </w:tcPr>
          <w:p w:rsidR="00E32374" w:rsidRPr="00714DFA" w:rsidRDefault="00E32374" w:rsidP="00B04E45">
            <w:pPr>
              <w:jc w:val="center"/>
              <w:rPr>
                <w:sz w:val="18"/>
                <w:szCs w:val="18"/>
                <w:lang w:val="es-ES_tradnl"/>
              </w:rPr>
            </w:pPr>
            <w:r w:rsidRPr="00714DFA">
              <w:rPr>
                <w:b/>
                <w:sz w:val="18"/>
                <w:szCs w:val="18"/>
                <w:lang w:val="es-ES_tradnl"/>
              </w:rPr>
              <w:t xml:space="preserve">Acta de 1978 </w:t>
            </w:r>
            <w:r w:rsidRPr="00714DFA">
              <w:rPr>
                <w:sz w:val="18"/>
                <w:szCs w:val="18"/>
                <w:lang w:val="es-ES_tradnl"/>
              </w:rPr>
              <w:t>del Convenio de la UPOV</w:t>
            </w:r>
          </w:p>
          <w:p w:rsidR="00E32374" w:rsidRPr="00714DFA" w:rsidRDefault="00E32374" w:rsidP="00B04E45">
            <w:pPr>
              <w:tabs>
                <w:tab w:val="left" w:pos="2277"/>
              </w:tabs>
              <w:rPr>
                <w:sz w:val="18"/>
                <w:szCs w:val="18"/>
                <w:lang w:val="es-ES_tradnl"/>
              </w:rPr>
            </w:pPr>
          </w:p>
          <w:p w:rsidR="00E32374" w:rsidRPr="00714DFA" w:rsidRDefault="00E32374" w:rsidP="00B04E45">
            <w:pPr>
              <w:jc w:val="center"/>
              <w:rPr>
                <w:b/>
                <w:sz w:val="18"/>
                <w:szCs w:val="18"/>
                <w:lang w:val="es-ES_tradnl"/>
              </w:rPr>
            </w:pPr>
            <w:r w:rsidRPr="00714DFA">
              <w:rPr>
                <w:b/>
                <w:sz w:val="18"/>
                <w:szCs w:val="18"/>
                <w:lang w:val="es-ES_tradnl"/>
              </w:rPr>
              <w:t>Artículo 7.3)</w:t>
            </w:r>
          </w:p>
          <w:p w:rsidR="00E32374" w:rsidRPr="00714DFA" w:rsidRDefault="00E32374" w:rsidP="00B04E45">
            <w:pPr>
              <w:jc w:val="center"/>
              <w:rPr>
                <w:b/>
                <w:sz w:val="18"/>
                <w:szCs w:val="18"/>
                <w:lang w:val="es-ES_tradnl"/>
              </w:rPr>
            </w:pPr>
          </w:p>
          <w:p w:rsidR="00E32374" w:rsidRPr="00714DFA" w:rsidRDefault="00E32374" w:rsidP="00B04E45">
            <w:pPr>
              <w:jc w:val="center"/>
              <w:rPr>
                <w:b/>
                <w:sz w:val="18"/>
                <w:szCs w:val="18"/>
                <w:lang w:val="es-ES_tradnl"/>
              </w:rPr>
            </w:pPr>
            <w:r w:rsidRPr="00714DFA">
              <w:rPr>
                <w:b/>
                <w:sz w:val="18"/>
                <w:szCs w:val="18"/>
                <w:lang w:val="es-ES_tradnl"/>
              </w:rPr>
              <w:t>Protección provisional</w:t>
            </w:r>
          </w:p>
          <w:p w:rsidR="00E32374" w:rsidRPr="00714DFA" w:rsidRDefault="00E32374" w:rsidP="00B04E45">
            <w:pPr>
              <w:rPr>
                <w:sz w:val="18"/>
                <w:szCs w:val="18"/>
                <w:lang w:val="es-ES_tradnl"/>
              </w:rPr>
            </w:pPr>
          </w:p>
          <w:p w:rsidR="00E32374" w:rsidRPr="00714DFA" w:rsidRDefault="00E32374" w:rsidP="00B04E45">
            <w:pPr>
              <w:rPr>
                <w:sz w:val="18"/>
                <w:szCs w:val="18"/>
                <w:lang w:val="es-ES_tradnl"/>
              </w:rPr>
            </w:pPr>
            <w:r w:rsidRPr="00714DFA">
              <w:rPr>
                <w:sz w:val="18"/>
                <w:szCs w:val="18"/>
                <w:lang w:val="es-ES_tradnl"/>
              </w:rPr>
              <w:t>[…]</w:t>
            </w:r>
          </w:p>
          <w:p w:rsidR="00E32374" w:rsidRPr="00714DFA" w:rsidRDefault="00E32374" w:rsidP="00B04E45">
            <w:pPr>
              <w:rPr>
                <w:sz w:val="18"/>
                <w:szCs w:val="18"/>
                <w:lang w:val="es-ES_tradnl"/>
              </w:rPr>
            </w:pPr>
          </w:p>
          <w:p w:rsidR="00E32374" w:rsidRDefault="00E32374" w:rsidP="0022232E">
            <w:pPr>
              <w:tabs>
                <w:tab w:val="left" w:pos="686"/>
              </w:tabs>
              <w:rPr>
                <w:sz w:val="18"/>
                <w:szCs w:val="18"/>
                <w:lang w:val="es-ES_tradnl"/>
              </w:rPr>
            </w:pPr>
            <w:r>
              <w:rPr>
                <w:sz w:val="18"/>
                <w:szCs w:val="18"/>
                <w:lang w:val="es-ES_tradnl"/>
              </w:rPr>
              <w:tab/>
              <w:t>3)</w:t>
            </w:r>
            <w:r>
              <w:rPr>
                <w:sz w:val="18"/>
                <w:szCs w:val="18"/>
                <w:lang w:val="es-ES_tradnl"/>
              </w:rPr>
              <w:tab/>
            </w:r>
            <w:r w:rsidRPr="00714DFA">
              <w:rPr>
                <w:sz w:val="18"/>
                <w:szCs w:val="18"/>
                <w:lang w:val="es-ES_tradnl"/>
              </w:rPr>
              <w:t>Cualquier Estado de la Unión podrá adoptar medidas destinadas a defender al obtentor contra maniobras abusivas de terceros, que pudieran producirse durante el periodo comprendido entre la presentación de la solicitud de protección y la decisión correspondiente.</w:t>
            </w:r>
          </w:p>
          <w:p w:rsidR="00E32374" w:rsidRPr="00714DFA" w:rsidRDefault="00E32374" w:rsidP="0022232E">
            <w:pPr>
              <w:tabs>
                <w:tab w:val="left" w:pos="686"/>
              </w:tabs>
              <w:rPr>
                <w:lang w:val="es-ES_tradnl"/>
              </w:rPr>
            </w:pPr>
          </w:p>
        </w:tc>
      </w:tr>
    </w:tbl>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keepNext/>
        <w:jc w:val="center"/>
        <w:outlineLvl w:val="0"/>
        <w:rPr>
          <w:caps/>
          <w:u w:val="single"/>
          <w:lang w:val="es-ES_tradnl"/>
        </w:rPr>
      </w:pPr>
      <w:r w:rsidRPr="00714DFA">
        <w:rPr>
          <w:caps/>
          <w:u w:val="single"/>
          <w:lang w:val="es-ES_tradnl"/>
        </w:rPr>
        <w:br w:type="page"/>
      </w:r>
      <w:bookmarkStart w:id="9" w:name="_Toc229906624"/>
    </w:p>
    <w:p w:rsidR="00E32374" w:rsidRDefault="00E32374" w:rsidP="00E32374">
      <w:pPr>
        <w:pStyle w:val="Heading2"/>
        <w:rPr>
          <w:lang w:val="es-ES_tradnl"/>
        </w:rPr>
      </w:pPr>
      <w:bookmarkStart w:id="10" w:name="_Toc242872667"/>
      <w:bookmarkStart w:id="11" w:name="_Toc412823465"/>
      <w:r w:rsidRPr="00714DFA">
        <w:rPr>
          <w:lang w:val="es-ES_tradnl"/>
        </w:rPr>
        <w:lastRenderedPageBreak/>
        <w:t xml:space="preserve">SECCIÓN II:  CIERTOS ASPECTOS DE LAS DISPOSICIONES SOBRE </w:t>
      </w:r>
      <w:bookmarkEnd w:id="9"/>
      <w:r w:rsidRPr="00714DFA">
        <w:rPr>
          <w:lang w:val="es-ES_tradnl"/>
        </w:rPr>
        <w:t>LA PROTECCIÓN PROVISIONAL</w:t>
      </w:r>
      <w:bookmarkEnd w:id="10"/>
      <w:bookmarkEnd w:id="11"/>
    </w:p>
    <w:p w:rsidR="00E32374" w:rsidRPr="00E32374" w:rsidRDefault="00E32374" w:rsidP="00E32374">
      <w:pPr>
        <w:rPr>
          <w:lang w:val="es-ES_tradnl"/>
        </w:rPr>
      </w:pPr>
    </w:p>
    <w:p w:rsidR="00E32374" w:rsidRPr="00714DFA" w:rsidRDefault="00E32374" w:rsidP="00714DFA">
      <w:pPr>
        <w:rPr>
          <w:lang w:val="es-ES_tradnl"/>
        </w:rPr>
      </w:pPr>
      <w:r w:rsidRPr="00531F67">
        <w:rPr>
          <w:lang w:val="es-ES_tradnl"/>
        </w:rPr>
        <w:t>4.</w:t>
      </w:r>
      <w:r w:rsidRPr="00714DFA">
        <w:rPr>
          <w:lang w:val="es-ES_tradnl"/>
        </w:rPr>
        <w:tab/>
        <w:t>Las presentes notas explicativas contienen orientaciones respecto de algunos aspectos de las disposiciones sobre la protección provisional</w:t>
      </w:r>
      <w:r w:rsidRPr="00714DFA">
        <w:rPr>
          <w:b/>
          <w:lang w:val="es-ES_tradnl"/>
        </w:rPr>
        <w:t xml:space="preserve"> </w:t>
      </w:r>
      <w:r w:rsidRPr="00714DFA">
        <w:rPr>
          <w:lang w:val="es-ES_tradnl"/>
        </w:rPr>
        <w:t xml:space="preserve">previstas en el Artículo 13 del Acta de 1991 del Convenio de la UPOV.  </w:t>
      </w:r>
    </w:p>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rPr>
          <w:i/>
          <w:lang w:val="es-ES_tradnl"/>
        </w:rPr>
      </w:pPr>
      <w:r w:rsidRPr="00714DFA">
        <w:rPr>
          <w:i/>
          <w:lang w:val="es-ES_tradnl"/>
        </w:rPr>
        <w:t>Plazo de protección</w:t>
      </w:r>
      <w:r w:rsidRPr="00531F67">
        <w:rPr>
          <w:i/>
          <w:lang w:val="es-ES_tradnl"/>
        </w:rPr>
        <w:t xml:space="preserve"> </w:t>
      </w:r>
      <w:r w:rsidRPr="00531F67">
        <w:rPr>
          <w:i/>
          <w:highlight w:val="lightGray"/>
          <w:u w:val="single"/>
          <w:lang w:val="es-ES_tradnl"/>
        </w:rPr>
        <w:t>y notificación</w:t>
      </w:r>
    </w:p>
    <w:p w:rsidR="00E32374" w:rsidRPr="00714DFA" w:rsidRDefault="00E32374" w:rsidP="00714DFA">
      <w:pPr>
        <w:rPr>
          <w:i/>
          <w:lang w:val="es-ES_tradnl"/>
        </w:rPr>
      </w:pPr>
    </w:p>
    <w:p w:rsidR="00E32374" w:rsidRPr="00714DFA" w:rsidRDefault="00E32374" w:rsidP="00714DFA">
      <w:pPr>
        <w:pBdr>
          <w:top w:val="single" w:sz="4" w:space="6" w:color="auto"/>
          <w:left w:val="single" w:sz="4" w:space="4" w:color="auto"/>
          <w:bottom w:val="single" w:sz="4" w:space="5" w:color="auto"/>
          <w:right w:val="single" w:sz="4" w:space="4" w:color="auto"/>
        </w:pBdr>
        <w:shd w:val="clear" w:color="auto" w:fill="E6E6E6"/>
        <w:tabs>
          <w:tab w:val="left" w:pos="426"/>
          <w:tab w:val="left" w:pos="992"/>
        </w:tabs>
        <w:jc w:val="left"/>
        <w:rPr>
          <w:b/>
          <w:bCs/>
          <w:lang w:val="es-ES_tradnl"/>
        </w:rPr>
      </w:pPr>
      <w:r w:rsidRPr="00714DFA">
        <w:rPr>
          <w:b/>
          <w:bCs/>
          <w:lang w:val="es-ES_tradnl"/>
        </w:rPr>
        <w:t>Cada Parte Contratante adoptará medidas destinadas a salvaguardar los intereses del obtentor durante el período comprendido entre la presentación de la solicitud de concesión de un derecho de obtentor o su publicación y la concesión del derecho.  […] Una Parte Contratante podrá prever que dichas medidas sólo surtirán efecto respecto de las personas a las que el obtentor haya notificado la presentación de la solicitud.</w:t>
      </w:r>
    </w:p>
    <w:p w:rsidR="00E32374" w:rsidRPr="00714DFA" w:rsidRDefault="00E32374" w:rsidP="00714DFA">
      <w:pPr>
        <w:rPr>
          <w:lang w:val="es-ES_tradnl"/>
        </w:rPr>
      </w:pPr>
    </w:p>
    <w:p w:rsidR="00E32374" w:rsidRPr="00714DFA" w:rsidRDefault="00E32374" w:rsidP="00714DFA">
      <w:pPr>
        <w:rPr>
          <w:lang w:val="es-ES_tradnl"/>
        </w:rPr>
      </w:pPr>
      <w:r w:rsidRPr="00531F67">
        <w:rPr>
          <w:lang w:val="es-ES_tradnl"/>
        </w:rPr>
        <w:t>5.</w:t>
      </w:r>
      <w:r w:rsidRPr="00714DFA">
        <w:rPr>
          <w:lang w:val="es-ES_tradnl"/>
        </w:rPr>
        <w:tab/>
        <w:t>En el Convenio de la UPOV se estipula que el plazo de protección (Artículo 19 del Acta de 1991 y Artículo 8 del Acta de 1978) se calcula a partir de la fecha de concesión del derecho de obtentor.  En el Acta de 1991 del Convenio de la UPOV se estipula que el obtentor gozará de protección provisional en el período</w:t>
      </w:r>
      <w:r w:rsidRPr="00531F67">
        <w:rPr>
          <w:vertAlign w:val="superscript"/>
          <w:lang w:val="es-ES_tradnl"/>
        </w:rPr>
        <w:footnoteReference w:id="1"/>
      </w:r>
      <w:r w:rsidRPr="00714DFA">
        <w:rPr>
          <w:lang w:val="es-ES_tradnl"/>
        </w:rPr>
        <w:t xml:space="preserve"> comprendido entre la presentación de la solicitud de concesión de un derecho de obtentor o su publicación y la concesión del derecho</w:t>
      </w:r>
      <w:r w:rsidRPr="00531F67">
        <w:rPr>
          <w:vertAlign w:val="superscript"/>
          <w:lang w:val="es-ES_tradnl"/>
        </w:rPr>
        <w:footnoteReference w:id="2"/>
      </w:r>
      <w:r w:rsidRPr="00714DFA">
        <w:rPr>
          <w:lang w:val="es-ES_tradnl"/>
        </w:rPr>
        <w:t>.</w:t>
      </w:r>
    </w:p>
    <w:p w:rsidR="00E32374" w:rsidRPr="00714DFA" w:rsidRDefault="00E32374" w:rsidP="00714DFA">
      <w:pPr>
        <w:rPr>
          <w:lang w:val="es-ES_tradnl"/>
        </w:rPr>
      </w:pPr>
    </w:p>
    <w:p w:rsidR="00E32374" w:rsidRPr="00714DFA" w:rsidRDefault="00E32374" w:rsidP="00714DFA">
      <w:pPr>
        <w:rPr>
          <w:lang w:val="es-ES_tradnl"/>
        </w:rPr>
      </w:pPr>
      <w:r w:rsidRPr="00531F67">
        <w:rPr>
          <w:lang w:val="es-ES_tradnl"/>
        </w:rPr>
        <w:t>6.</w:t>
      </w:r>
      <w:r w:rsidRPr="00714DFA">
        <w:rPr>
          <w:lang w:val="es-ES_tradnl"/>
        </w:rPr>
        <w:tab/>
        <w:t xml:space="preserve">Los miembros de la Unión tiene la facultad de estipular en su legislación que las medidas de protección provisional (véase, </w:t>
      </w:r>
      <w:r w:rsidRPr="00714DFA">
        <w:rPr>
          <w:i/>
          <w:lang w:val="es-ES_tradnl"/>
        </w:rPr>
        <w:t>infra</w:t>
      </w:r>
      <w:r w:rsidRPr="00714DFA">
        <w:rPr>
          <w:lang w:val="es-ES_tradnl"/>
        </w:rPr>
        <w:t>, las notas en materia de medidas) sólo surtan efecto respecto de las personas a las que el obtentor haya notificado la presentación de la solicitud.  Cabe considerar que el requisito de notificación ha sido cumplido en relación con todas las personas en los casos en los que en la legislación se estipule que la fecha de protección provisional comenzará en el momento de la publicación, por cuanto por lo general se considera que la publicación equivale a notificación de terceros.</w:t>
      </w:r>
    </w:p>
    <w:p w:rsidR="00E32374" w:rsidRPr="00714DFA" w:rsidRDefault="00E32374" w:rsidP="00714DFA">
      <w:pPr>
        <w:rPr>
          <w:lang w:val="es-ES_tradnl"/>
        </w:rPr>
      </w:pPr>
    </w:p>
    <w:p w:rsidR="00E32374" w:rsidRPr="00714DFA" w:rsidRDefault="00E32374" w:rsidP="00714DFA">
      <w:pPr>
        <w:rPr>
          <w:lang w:val="es-ES_tradnl"/>
        </w:rPr>
      </w:pPr>
    </w:p>
    <w:p w:rsidR="00E32374" w:rsidRPr="00714DFA" w:rsidRDefault="00E32374" w:rsidP="00714DFA">
      <w:pPr>
        <w:rPr>
          <w:i/>
          <w:lang w:val="es-ES_tradnl"/>
        </w:rPr>
      </w:pPr>
      <w:r w:rsidRPr="00714DFA">
        <w:rPr>
          <w:i/>
          <w:lang w:val="es-ES_tradnl"/>
        </w:rPr>
        <w:t>Medidas</w:t>
      </w:r>
    </w:p>
    <w:p w:rsidR="00E32374" w:rsidRPr="00714DFA" w:rsidRDefault="00E32374" w:rsidP="00714DFA">
      <w:pPr>
        <w:rPr>
          <w:lang w:val="es-ES_tradnl"/>
        </w:rPr>
      </w:pPr>
    </w:p>
    <w:p w:rsidR="00E32374" w:rsidRPr="00714DFA" w:rsidRDefault="00E32374" w:rsidP="00714DFA">
      <w:pPr>
        <w:pBdr>
          <w:top w:val="single" w:sz="4" w:space="6" w:color="auto"/>
          <w:left w:val="single" w:sz="4" w:space="4" w:color="auto"/>
          <w:bottom w:val="single" w:sz="4" w:space="6" w:color="auto"/>
          <w:right w:val="single" w:sz="4" w:space="4" w:color="auto"/>
        </w:pBdr>
        <w:shd w:val="clear" w:color="auto" w:fill="E6E6E6"/>
        <w:rPr>
          <w:b/>
          <w:lang w:val="es-ES_tradnl"/>
        </w:rPr>
      </w:pPr>
      <w:r w:rsidRPr="00714DFA">
        <w:rPr>
          <w:b/>
          <w:lang w:val="es-ES_tradnl"/>
        </w:rPr>
        <w:t xml:space="preserve">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 14.  </w:t>
      </w:r>
    </w:p>
    <w:p w:rsidR="00E32374" w:rsidRPr="00714DFA" w:rsidRDefault="00E32374" w:rsidP="00714DFA">
      <w:pPr>
        <w:rPr>
          <w:lang w:val="es-ES_tradnl"/>
        </w:rPr>
      </w:pPr>
    </w:p>
    <w:p w:rsidR="00E32374" w:rsidRPr="00714DFA" w:rsidRDefault="00E32374" w:rsidP="00714DFA">
      <w:pPr>
        <w:rPr>
          <w:spacing w:val="-2"/>
          <w:lang w:val="es-ES_tradnl"/>
        </w:rPr>
      </w:pPr>
      <w:r w:rsidRPr="00531F67">
        <w:rPr>
          <w:spacing w:val="-2"/>
          <w:lang w:val="es-ES_tradnl"/>
        </w:rPr>
        <w:t>7.</w:t>
      </w:r>
      <w:r w:rsidRPr="00714DFA">
        <w:rPr>
          <w:spacing w:val="-2"/>
          <w:lang w:val="es-ES_tradnl"/>
        </w:rPr>
        <w:tab/>
        <w:t xml:space="preserve">En el Artículo 13 del Acta de 1991 del Convenio de la UPOV se estipula que los miembros de la </w:t>
      </w:r>
      <w:r w:rsidRPr="0022232E">
        <w:rPr>
          <w:strike/>
          <w:spacing w:val="-2"/>
          <w:highlight w:val="lightGray"/>
          <w:lang w:val="es-ES_tradnl"/>
        </w:rPr>
        <w:t>UPOV</w:t>
      </w:r>
      <w:r w:rsidRPr="0022232E">
        <w:rPr>
          <w:spacing w:val="-2"/>
          <w:highlight w:val="lightGray"/>
          <w:u w:val="single"/>
          <w:lang w:val="es-ES_tradnl"/>
        </w:rPr>
        <w:t xml:space="preserve"> Unión</w:t>
      </w:r>
      <w:r w:rsidRPr="00714DFA">
        <w:rPr>
          <w:spacing w:val="-2"/>
          <w:lang w:val="es-ES_tradnl"/>
        </w:rPr>
        <w:t xml:space="preserve"> vinculados por el Acta de 1991 adoptarán medidas destinadas a salvaguardar los intereses del obtentor durante el período comprendido entre la presentación de la solicitud de concesión de un derecho de obtentor o su publicación y la concesión del derecho.  “Como mínimo” esas medidas tienen por efecto que el titular del derecho de obtentor tenga derecho a una remuneración equitativa percibida de quien, durante el intervalo mencionado, realice actos que, después de la concesión del derecho, requieran la autorización del obtentor de conformidad con lo dispuesto en el Artículo 14 del Acta de 1991 del Convenio de la UPOV.</w:t>
      </w:r>
    </w:p>
    <w:p w:rsidR="00E32374" w:rsidRPr="00714DFA" w:rsidRDefault="00E32374" w:rsidP="00714DFA">
      <w:pPr>
        <w:rPr>
          <w:lang w:val="es-ES_tradnl"/>
        </w:rPr>
      </w:pPr>
    </w:p>
    <w:p w:rsidR="00E32374" w:rsidRPr="00531F67" w:rsidRDefault="00E32374" w:rsidP="00714DFA">
      <w:pPr>
        <w:rPr>
          <w:lang w:val="es-ES_tradnl"/>
        </w:rPr>
      </w:pPr>
      <w:r w:rsidRPr="00531F67">
        <w:rPr>
          <w:lang w:val="es-ES_tradnl"/>
        </w:rPr>
        <w:t>8.</w:t>
      </w:r>
      <w:r w:rsidRPr="00714DFA">
        <w:rPr>
          <w:lang w:val="es-ES_tradnl"/>
        </w:rPr>
        <w:tab/>
        <w:t>Con la utilización de la locución “como mínimo” se aclara que es posible, por ejemplo, que en las disposiciones sobre protección provisional de la ley sobre el derecho de obtentor se otorgue al titular del derecho de obtentor todo el alcance del derecho de obtentor.</w:t>
      </w:r>
    </w:p>
    <w:p w:rsidR="00E32374" w:rsidRPr="00714DFA" w:rsidRDefault="00E32374" w:rsidP="00714DFA">
      <w:pPr>
        <w:rPr>
          <w:lang w:val="es-ES_tradnl"/>
        </w:rPr>
      </w:pPr>
    </w:p>
    <w:p w:rsidR="00E32374" w:rsidRPr="00531F67" w:rsidRDefault="00E32374" w:rsidP="00714DFA">
      <w:pPr>
        <w:rPr>
          <w:lang w:val="es-ES_tradnl"/>
        </w:rPr>
      </w:pPr>
      <w:r w:rsidRPr="00531F67">
        <w:rPr>
          <w:lang w:val="es-ES_tradnl"/>
        </w:rPr>
        <w:t>9.</w:t>
      </w:r>
      <w:r w:rsidRPr="00714DFA">
        <w:rPr>
          <w:lang w:val="es-ES_tradnl"/>
        </w:rPr>
        <w:tab/>
        <w:t>La protección provisional sólo es válida en relación con los actos que exigirían autorización del obtentor “después de la concesión del derecho”</w:t>
      </w:r>
      <w:r w:rsidRPr="00531F67">
        <w:rPr>
          <w:highlight w:val="lightGray"/>
          <w:u w:val="single"/>
          <w:lang w:val="es-ES_tradnl"/>
        </w:rPr>
        <w:t>.</w:t>
      </w:r>
      <w:r w:rsidRPr="00714DFA">
        <w:rPr>
          <w:strike/>
          <w:highlight w:val="lightGray"/>
          <w:lang w:val="es-ES_tradnl"/>
        </w:rPr>
        <w:t>, es decir, que</w:t>
      </w:r>
      <w:r w:rsidRPr="00531F67">
        <w:rPr>
          <w:highlight w:val="lightGray"/>
          <w:lang w:val="es-ES_tradnl"/>
        </w:rPr>
        <w:t xml:space="preserve"> </w:t>
      </w:r>
      <w:r w:rsidRPr="00531F67">
        <w:rPr>
          <w:highlight w:val="lightGray"/>
          <w:u w:val="single"/>
          <w:lang w:val="es-ES_tradnl"/>
        </w:rPr>
        <w:t>Por lo tanto,</w:t>
      </w:r>
      <w:r w:rsidRPr="00714DFA">
        <w:rPr>
          <w:lang w:val="es-ES_tradnl"/>
        </w:rPr>
        <w:t xml:space="preserve"> si no se concede el derecho de obtentor, la protección provisional no será aplicable.</w:t>
      </w:r>
      <w:r w:rsidRPr="00531F67">
        <w:rPr>
          <w:lang w:val="es-ES_tradnl"/>
        </w:rPr>
        <w:t xml:space="preserve">  </w:t>
      </w:r>
      <w:r w:rsidRPr="00531F67">
        <w:rPr>
          <w:highlight w:val="lightGray"/>
          <w:u w:val="single"/>
          <w:lang w:val="es-ES_tradnl"/>
        </w:rPr>
        <w:t>El  Convenio de la</w:t>
      </w:r>
      <w:r w:rsidR="00922929">
        <w:rPr>
          <w:highlight w:val="lightGray"/>
          <w:u w:val="single"/>
          <w:lang w:val="es-ES_tradnl"/>
        </w:rPr>
        <w:t xml:space="preserve"> UPOV exige (véanse el artículo </w:t>
      </w:r>
      <w:bookmarkStart w:id="12" w:name="_GoBack"/>
      <w:bookmarkEnd w:id="12"/>
      <w:r w:rsidRPr="00531F67">
        <w:rPr>
          <w:highlight w:val="lightGray"/>
          <w:u w:val="single"/>
          <w:lang w:val="es-ES_tradnl"/>
        </w:rPr>
        <w:t>30.1)iii)) del Acta de 1991 y el artículo 30.1)c) del Acta de 1978) que se informe al público por medio de la publicación regular de información relativa a las solicitudes de derechos de obtentor y a la concesión de dichos derechos, lo que comprende las retiradas y rechazos de solicitudes</w:t>
      </w:r>
      <w:r w:rsidRPr="00531F67">
        <w:rPr>
          <w:highlight w:val="lightGray"/>
          <w:lang w:val="es-ES_tradnl"/>
        </w:rPr>
        <w:t>.</w:t>
      </w:r>
    </w:p>
    <w:p w:rsidR="00E32374" w:rsidRPr="00531F67" w:rsidRDefault="00E32374" w:rsidP="00714DFA">
      <w:pPr>
        <w:rPr>
          <w:lang w:val="es-ES_tradnl"/>
        </w:rPr>
      </w:pPr>
    </w:p>
    <w:p w:rsidR="00E32374" w:rsidRPr="00531F67" w:rsidRDefault="00E32374" w:rsidP="00714DFA">
      <w:pPr>
        <w:rPr>
          <w:u w:val="single"/>
          <w:lang w:val="es-ES_tradnl"/>
        </w:rPr>
      </w:pPr>
      <w:r w:rsidRPr="00531F67">
        <w:rPr>
          <w:highlight w:val="lightGray"/>
          <w:u w:val="single"/>
          <w:lang w:val="es-ES_tradnl"/>
        </w:rPr>
        <w:lastRenderedPageBreak/>
        <w:t>10.</w:t>
      </w:r>
      <w:r w:rsidRPr="00531F67">
        <w:rPr>
          <w:highlight w:val="lightGray"/>
          <w:u w:val="single"/>
          <w:lang w:val="es-ES_tradnl"/>
        </w:rPr>
        <w:tab/>
        <w:t xml:space="preserve">La posibilidad de suscribir acuerdos de licencia teniendo como fundamento las solicitudes de derechos de obtentor o la de emprender acciones judiciales antes de la concesión de derechos de obtentor estará determinada por la legislación pertinente del miembro de la Unión en cuestión.  </w:t>
      </w:r>
      <w:r>
        <w:rPr>
          <w:highlight w:val="lightGray"/>
          <w:u w:val="single"/>
          <w:lang w:val="es-ES_tradnl"/>
        </w:rPr>
        <w:t xml:space="preserve">La </w:t>
      </w:r>
      <w:r w:rsidRPr="00531F67">
        <w:rPr>
          <w:highlight w:val="lightGray"/>
          <w:u w:val="single"/>
          <w:lang w:val="es-ES_tradnl"/>
        </w:rPr>
        <w:t>legislación pertinente podrá</w:t>
      </w:r>
      <w:r>
        <w:rPr>
          <w:highlight w:val="lightGray"/>
          <w:u w:val="single"/>
          <w:lang w:val="es-ES_tradnl"/>
        </w:rPr>
        <w:t xml:space="preserve"> contener</w:t>
      </w:r>
      <w:r w:rsidRPr="00531F67">
        <w:rPr>
          <w:highlight w:val="lightGray"/>
          <w:u w:val="single"/>
          <w:lang w:val="es-ES_tradnl"/>
        </w:rPr>
        <w:t>, además de la legislación que rige los derechos de obtentor, otra legislación sobre asuntos sustantivos y de procedimiento (por ejemplo, la legislación civil, la legislación penal).</w:t>
      </w:r>
      <w:r w:rsidRPr="00531F67">
        <w:rPr>
          <w:u w:val="single"/>
          <w:lang w:val="es-ES_tradnl"/>
        </w:rPr>
        <w:t xml:space="preserve"> </w:t>
      </w:r>
    </w:p>
    <w:p w:rsidR="00E32374" w:rsidRPr="00714DFA" w:rsidRDefault="00E32374" w:rsidP="00714DFA">
      <w:pPr>
        <w:rPr>
          <w:u w:val="single"/>
          <w:lang w:val="es-ES_tradnl"/>
        </w:rPr>
      </w:pPr>
    </w:p>
    <w:p w:rsidR="00E32374" w:rsidRPr="00531F67" w:rsidRDefault="00E32374" w:rsidP="00714DFA">
      <w:pPr>
        <w:rPr>
          <w:u w:val="single"/>
          <w:lang w:val="es-ES_tradnl"/>
        </w:rPr>
      </w:pPr>
      <w:r w:rsidRPr="00531F67">
        <w:rPr>
          <w:highlight w:val="lightGray"/>
          <w:u w:val="single"/>
          <w:lang w:val="es-ES_tradnl"/>
        </w:rPr>
        <w:t>11.</w:t>
      </w:r>
      <w:r w:rsidRPr="00531F67">
        <w:rPr>
          <w:highlight w:val="lightGray"/>
          <w:u w:val="single"/>
          <w:lang w:val="es-ES_tradnl"/>
        </w:rPr>
        <w:tab/>
        <w:t>En los casos en que sea posible suscribir un acuerdo de licencia antes de la concesión de derechos de obtentor, los efectos que se producirán en las regalías abonadas si no se concede el derecho (por ejemplo, si el licenciatario ha de reembolsar o no las regalías pagadas anteriormente) podrán estar previstos en la legislación pertinente o ser acordados entre las partes de conformidad con el sistema legislativo.</w:t>
      </w:r>
    </w:p>
    <w:p w:rsidR="00E32374" w:rsidRPr="00531F67" w:rsidRDefault="00E32374" w:rsidP="00714DFA">
      <w:pPr>
        <w:rPr>
          <w:u w:val="single"/>
          <w:lang w:val="es-ES_tradnl"/>
        </w:rPr>
      </w:pPr>
    </w:p>
    <w:p w:rsidR="00E32374" w:rsidRPr="00531F67" w:rsidRDefault="00E32374" w:rsidP="00714DFA">
      <w:pPr>
        <w:rPr>
          <w:u w:val="single"/>
          <w:lang w:val="es-ES_tradnl"/>
        </w:rPr>
      </w:pPr>
      <w:r w:rsidRPr="00531F67">
        <w:rPr>
          <w:highlight w:val="lightGray"/>
          <w:u w:val="single"/>
          <w:lang w:val="es-ES_tradnl"/>
        </w:rPr>
        <w:t>12.</w:t>
      </w:r>
      <w:r w:rsidRPr="00531F67">
        <w:rPr>
          <w:highlight w:val="lightGray"/>
          <w:u w:val="single"/>
          <w:lang w:val="es-ES_tradnl"/>
        </w:rPr>
        <w:tab/>
        <w:t>En los casos en que sea posible emprender acciones judiciales antes de la concesión de derechos de obtentor, la autoridad judicial competente podrá decidir que la compensación por daños y perjuicios solo podrá hacerse valer una vez que se haya concedido el derecho.  En dichos casos, la autoridad judicial podrá, por ejemplo, pedir a un tercero que transfiera el importe de la compensación por daños y perjuicios a una cuenta de depósito en custodia para efectuar el pago al obtentor cuando se conceda el derecho.</w:t>
      </w:r>
    </w:p>
    <w:p w:rsidR="00E32374" w:rsidRDefault="00E32374" w:rsidP="00714DFA">
      <w:pPr>
        <w:rPr>
          <w:lang w:val="es-ES_tradnl"/>
        </w:rPr>
      </w:pPr>
    </w:p>
    <w:p w:rsidR="00E32374" w:rsidRPr="00714DFA" w:rsidRDefault="00E32374" w:rsidP="00714DFA">
      <w:pPr>
        <w:rPr>
          <w:lang w:val="es-ES_tradnl"/>
        </w:rPr>
      </w:pPr>
    </w:p>
    <w:p w:rsidR="00E32374" w:rsidRPr="00E13A37" w:rsidRDefault="00E32374" w:rsidP="00714DFA">
      <w:pPr>
        <w:tabs>
          <w:tab w:val="left" w:pos="0"/>
        </w:tabs>
        <w:rPr>
          <w:i/>
          <w:snapToGrid w:val="0"/>
          <w:u w:val="single"/>
          <w:lang w:val="es-ES_tradnl"/>
        </w:rPr>
      </w:pPr>
      <w:r w:rsidRPr="00E13A37">
        <w:rPr>
          <w:i/>
          <w:snapToGrid w:val="0"/>
          <w:highlight w:val="lightGray"/>
          <w:u w:val="single"/>
          <w:lang w:val="es-ES_tradnl"/>
        </w:rPr>
        <w:t>Ejemplo de texto de disposición</w:t>
      </w:r>
    </w:p>
    <w:p w:rsidR="00E32374" w:rsidRPr="00531F67" w:rsidRDefault="00E32374" w:rsidP="00714DFA">
      <w:pPr>
        <w:tabs>
          <w:tab w:val="left" w:pos="0"/>
        </w:tabs>
        <w:rPr>
          <w:snapToGrid w:val="0"/>
          <w:lang w:val="es-ES_tradnl"/>
        </w:rPr>
      </w:pPr>
    </w:p>
    <w:p w:rsidR="00E32374" w:rsidRPr="00714DFA" w:rsidRDefault="00E32374" w:rsidP="00714DFA">
      <w:pPr>
        <w:tabs>
          <w:tab w:val="left" w:pos="0"/>
        </w:tabs>
        <w:rPr>
          <w:lang w:val="es-ES_tradnl"/>
        </w:rPr>
      </w:pPr>
      <w:r w:rsidRPr="0022232E">
        <w:rPr>
          <w:snapToGrid w:val="0"/>
          <w:highlight w:val="lightGray"/>
          <w:u w:val="single"/>
          <w:lang w:val="es-ES_tradnl"/>
        </w:rPr>
        <w:t>13.</w:t>
      </w:r>
      <w:r w:rsidRPr="0022232E">
        <w:rPr>
          <w:snapToGrid w:val="0"/>
          <w:highlight w:val="lightGray"/>
          <w:lang w:val="es-ES_tradnl"/>
        </w:rPr>
        <w:t xml:space="preserve"> </w:t>
      </w:r>
      <w:r w:rsidRPr="0022232E">
        <w:rPr>
          <w:strike/>
          <w:snapToGrid w:val="0"/>
          <w:highlight w:val="lightGray"/>
          <w:lang w:val="es-ES_tradnl"/>
        </w:rPr>
        <w:t>10.</w:t>
      </w:r>
      <w:r w:rsidRPr="00714DFA">
        <w:rPr>
          <w:snapToGrid w:val="0"/>
          <w:lang w:val="es-ES_tradnl"/>
        </w:rPr>
        <w:tab/>
        <w:t>El siguiente ejemplo de texto de disposición tiene por finalidad prestar asistencia a los Estados/las organizaciones intergubernamentales que deseen incorporar a la respectiva legislación la disposición relativa a la protección provisional en sintonía con el Acta de 1991 del Convenio de la UPOV</w:t>
      </w:r>
      <w:r w:rsidRPr="00714DFA">
        <w:rPr>
          <w:lang w:val="es-ES_tradnl"/>
        </w:rPr>
        <w:t>.</w:t>
      </w:r>
    </w:p>
    <w:p w:rsidR="00E32374" w:rsidRPr="00714DFA" w:rsidRDefault="00E32374" w:rsidP="00714DFA">
      <w:pPr>
        <w:tabs>
          <w:tab w:val="decimal" w:pos="907"/>
          <w:tab w:val="left" w:pos="1077"/>
        </w:tabs>
        <w:rPr>
          <w:lang w:val="es-ES_tradnl"/>
        </w:rPr>
      </w:pPr>
    </w:p>
    <w:p w:rsidR="00E32374" w:rsidRPr="00714DFA" w:rsidRDefault="00E32374" w:rsidP="00714DFA">
      <w:pPr>
        <w:suppressAutoHyphens/>
        <w:jc w:val="center"/>
        <w:rPr>
          <w:b/>
          <w:sz w:val="18"/>
          <w:szCs w:val="18"/>
          <w:lang w:val="es-ES_tradnl"/>
        </w:rPr>
      </w:pPr>
      <w:bookmarkStart w:id="13" w:name="_Toc208198314"/>
      <w:bookmarkStart w:id="14" w:name="_Toc221094612"/>
      <w:bookmarkStart w:id="15" w:name="_Toc225138767"/>
      <w:r w:rsidRPr="00714DFA">
        <w:rPr>
          <w:b/>
          <w:sz w:val="18"/>
          <w:szCs w:val="18"/>
          <w:lang w:val="es-ES_tradnl"/>
        </w:rPr>
        <w:t xml:space="preserve">Artículo </w:t>
      </w:r>
      <w:r w:rsidRPr="00714DFA">
        <w:rPr>
          <w:b/>
          <w:sz w:val="18"/>
          <w:szCs w:val="18"/>
          <w:highlight w:val="yellow"/>
          <w:lang w:val="es-ES_tradnl"/>
        </w:rPr>
        <w:t>[13]</w:t>
      </w:r>
      <w:r w:rsidRPr="00531F67">
        <w:rPr>
          <w:b/>
          <w:sz w:val="18"/>
          <w:szCs w:val="18"/>
          <w:highlight w:val="yellow"/>
          <w:vertAlign w:val="superscript"/>
          <w:lang w:val="es-ES_tradnl"/>
        </w:rPr>
        <w:footnoteReference w:id="3"/>
      </w:r>
    </w:p>
    <w:p w:rsidR="00E32374" w:rsidRPr="00714DFA" w:rsidRDefault="00E32374" w:rsidP="00714DFA">
      <w:pPr>
        <w:suppressAutoHyphens/>
        <w:jc w:val="center"/>
        <w:rPr>
          <w:b/>
          <w:sz w:val="18"/>
          <w:szCs w:val="18"/>
          <w:lang w:val="es-ES_tradnl"/>
        </w:rPr>
      </w:pPr>
    </w:p>
    <w:p w:rsidR="00E32374" w:rsidRPr="00714DFA" w:rsidRDefault="00E32374" w:rsidP="00714DFA">
      <w:pPr>
        <w:jc w:val="center"/>
        <w:rPr>
          <w:b/>
          <w:sz w:val="18"/>
          <w:szCs w:val="18"/>
          <w:lang w:val="es-ES_tradnl"/>
        </w:rPr>
      </w:pPr>
      <w:r w:rsidRPr="00714DFA">
        <w:rPr>
          <w:b/>
          <w:sz w:val="18"/>
          <w:szCs w:val="18"/>
          <w:lang w:val="es-ES_tradnl"/>
        </w:rPr>
        <w:t>Protección provisional</w:t>
      </w:r>
      <w:bookmarkEnd w:id="13"/>
      <w:bookmarkEnd w:id="14"/>
      <w:bookmarkEnd w:id="15"/>
    </w:p>
    <w:p w:rsidR="00E32374" w:rsidRPr="00714DFA" w:rsidRDefault="00E32374" w:rsidP="00714DFA">
      <w:pPr>
        <w:tabs>
          <w:tab w:val="left" w:pos="426"/>
          <w:tab w:val="left" w:pos="992"/>
        </w:tabs>
        <w:rPr>
          <w:sz w:val="18"/>
          <w:szCs w:val="18"/>
          <w:lang w:val="es-ES_tradnl"/>
        </w:rPr>
      </w:pPr>
    </w:p>
    <w:p w:rsidR="00E32374" w:rsidRPr="00714DFA" w:rsidRDefault="00E32374" w:rsidP="00714DFA">
      <w:pPr>
        <w:ind w:left="567" w:right="566"/>
        <w:rPr>
          <w:sz w:val="18"/>
          <w:szCs w:val="18"/>
          <w:lang w:val="es-ES_tradnl"/>
        </w:rPr>
      </w:pPr>
      <w:r w:rsidRPr="00714DFA">
        <w:rPr>
          <w:sz w:val="18"/>
          <w:szCs w:val="18"/>
          <w:lang w:val="es-ES_tradnl"/>
        </w:rPr>
        <w:tab/>
      </w:r>
      <w:r w:rsidRPr="00714DFA">
        <w:rPr>
          <w:sz w:val="18"/>
          <w:szCs w:val="18"/>
          <w:highlight w:val="yellow"/>
          <w:lang w:val="es-ES_tradnl"/>
        </w:rPr>
        <w:t>[1)]</w:t>
      </w:r>
      <w:r w:rsidRPr="00714DFA">
        <w:rPr>
          <w:sz w:val="18"/>
          <w:szCs w:val="18"/>
          <w:lang w:val="es-ES_tradnl"/>
        </w:rPr>
        <w:tab/>
        <w:t xml:space="preserve">La protección provisional se otorga con objeto de salvaguardar los intereses del obtentor durante el período comprendido entre </w:t>
      </w:r>
      <w:r w:rsidRPr="00714DFA">
        <w:rPr>
          <w:sz w:val="18"/>
          <w:szCs w:val="18"/>
          <w:highlight w:val="yellow"/>
          <w:lang w:val="es-ES_tradnl"/>
        </w:rPr>
        <w:t>[la presentación]</w:t>
      </w:r>
      <w:r w:rsidRPr="00714DFA">
        <w:rPr>
          <w:sz w:val="18"/>
          <w:szCs w:val="18"/>
          <w:lang w:val="es-ES_tradnl"/>
        </w:rPr>
        <w:t xml:space="preserve"> / </w:t>
      </w:r>
      <w:r w:rsidRPr="00714DFA">
        <w:rPr>
          <w:sz w:val="18"/>
          <w:szCs w:val="18"/>
          <w:highlight w:val="yellow"/>
          <w:lang w:val="es-ES_tradnl"/>
        </w:rPr>
        <w:t>[la publicación]</w:t>
      </w:r>
      <w:r w:rsidRPr="00714DFA">
        <w:rPr>
          <w:sz w:val="18"/>
          <w:szCs w:val="18"/>
          <w:lang w:val="es-ES_tradnl"/>
        </w:rPr>
        <w:t xml:space="preserve"> de la solicitud de concesión de un derecho de obtentor y la concesión del derecho. </w:t>
      </w:r>
    </w:p>
    <w:p w:rsidR="00E32374" w:rsidRPr="00714DFA" w:rsidRDefault="00E32374" w:rsidP="00714DFA">
      <w:pPr>
        <w:tabs>
          <w:tab w:val="left" w:pos="426"/>
          <w:tab w:val="left" w:pos="992"/>
        </w:tabs>
        <w:ind w:left="567" w:right="566"/>
        <w:rPr>
          <w:i/>
          <w:sz w:val="18"/>
          <w:szCs w:val="18"/>
          <w:lang w:val="es-ES_tradnl"/>
        </w:rPr>
      </w:pPr>
    </w:p>
    <w:p w:rsidR="00E32374" w:rsidRPr="00714DFA" w:rsidRDefault="00E32374" w:rsidP="00714DFA">
      <w:pPr>
        <w:tabs>
          <w:tab w:val="left" w:pos="426"/>
          <w:tab w:val="left" w:pos="992"/>
        </w:tabs>
        <w:ind w:left="567" w:right="566"/>
        <w:rPr>
          <w:i/>
          <w:sz w:val="18"/>
          <w:szCs w:val="18"/>
          <w:lang w:val="es-ES_tradnl"/>
        </w:rPr>
      </w:pPr>
      <w:r w:rsidRPr="00714DFA">
        <w:rPr>
          <w:i/>
          <w:sz w:val="18"/>
          <w:szCs w:val="18"/>
          <w:lang w:val="es-ES_tradnl"/>
        </w:rPr>
        <w:t>--------------------</w:t>
      </w:r>
    </w:p>
    <w:p w:rsidR="00E32374" w:rsidRPr="00714DFA" w:rsidRDefault="00E32374" w:rsidP="00714DFA">
      <w:pPr>
        <w:tabs>
          <w:tab w:val="left" w:pos="426"/>
          <w:tab w:val="left" w:pos="992"/>
        </w:tabs>
        <w:ind w:left="567" w:right="566"/>
        <w:rPr>
          <w:i/>
          <w:sz w:val="18"/>
          <w:szCs w:val="18"/>
          <w:lang w:val="es-ES_tradnl"/>
        </w:rPr>
      </w:pPr>
      <w:r w:rsidRPr="00714DFA">
        <w:rPr>
          <w:i/>
          <w:sz w:val="18"/>
          <w:szCs w:val="18"/>
          <w:lang w:val="es-ES_tradnl"/>
        </w:rPr>
        <w:t>Ejemplo A</w:t>
      </w:r>
    </w:p>
    <w:p w:rsidR="00E32374" w:rsidRPr="00714DFA" w:rsidRDefault="00E32374" w:rsidP="00714DFA">
      <w:pPr>
        <w:tabs>
          <w:tab w:val="left" w:pos="426"/>
          <w:tab w:val="left" w:pos="992"/>
        </w:tabs>
        <w:ind w:left="567" w:right="566"/>
        <w:rPr>
          <w:i/>
          <w:sz w:val="18"/>
          <w:szCs w:val="18"/>
          <w:highlight w:val="yellow"/>
          <w:lang w:val="es-ES_tradnl"/>
        </w:rPr>
      </w:pPr>
    </w:p>
    <w:p w:rsidR="00E32374" w:rsidRPr="00714DFA" w:rsidRDefault="00E32374" w:rsidP="00714DFA">
      <w:pPr>
        <w:ind w:left="567" w:right="566"/>
        <w:rPr>
          <w:sz w:val="18"/>
          <w:szCs w:val="18"/>
          <w:lang w:val="es-ES_tradnl"/>
        </w:rPr>
      </w:pPr>
      <w:r w:rsidRPr="00714DFA">
        <w:rPr>
          <w:sz w:val="18"/>
          <w:szCs w:val="18"/>
          <w:lang w:val="es-ES_tradnl"/>
        </w:rPr>
        <w:tab/>
      </w:r>
      <w:r w:rsidRPr="00714DFA">
        <w:rPr>
          <w:sz w:val="18"/>
          <w:szCs w:val="18"/>
          <w:highlight w:val="yellow"/>
          <w:lang w:val="es-ES_tradnl"/>
        </w:rPr>
        <w:t>[2)]</w:t>
      </w:r>
      <w:r w:rsidRPr="00714DFA">
        <w:rPr>
          <w:sz w:val="18"/>
          <w:szCs w:val="18"/>
          <w:lang w:val="es-ES_tradnl"/>
        </w:rPr>
        <w:tab/>
        <w:t xml:space="preserve">El titular de un derecho de obtentor </w:t>
      </w:r>
      <w:r w:rsidRPr="00714DFA">
        <w:rPr>
          <w:sz w:val="18"/>
          <w:szCs w:val="18"/>
          <w:highlight w:val="yellow"/>
          <w:lang w:val="es-ES_tradnl"/>
        </w:rPr>
        <w:t>[tendrá derecho como mínimo a una remuneración equitativa]</w:t>
      </w:r>
      <w:r w:rsidRPr="00714DFA">
        <w:rPr>
          <w:sz w:val="18"/>
          <w:szCs w:val="18"/>
          <w:lang w:val="es-ES_tradnl"/>
        </w:rPr>
        <w:t xml:space="preserve"> percibida de quien, en el intervalo previsto en el párrafo </w:t>
      </w:r>
      <w:r w:rsidRPr="00714DFA">
        <w:rPr>
          <w:sz w:val="18"/>
          <w:szCs w:val="18"/>
          <w:highlight w:val="yellow"/>
          <w:lang w:val="es-ES_tradnl"/>
        </w:rPr>
        <w:t>[1)]</w:t>
      </w:r>
      <w:r w:rsidRPr="00714DFA">
        <w:rPr>
          <w:sz w:val="18"/>
          <w:szCs w:val="18"/>
          <w:lang w:val="es-ES_tradnl"/>
        </w:rPr>
        <w:t>, haya realizado actos que, después de la concesión del derecho, requieran la autorización del obtentor de conformidad con lo dispuesto en el Artículo </w:t>
      </w:r>
      <w:r w:rsidRPr="00714DFA">
        <w:rPr>
          <w:sz w:val="18"/>
          <w:szCs w:val="18"/>
          <w:highlight w:val="yellow"/>
          <w:lang w:val="es-ES_tradnl"/>
        </w:rPr>
        <w:t>[14]</w:t>
      </w:r>
      <w:r w:rsidRPr="00714DFA">
        <w:rPr>
          <w:sz w:val="18"/>
          <w:szCs w:val="18"/>
          <w:lang w:val="es-ES_tradnl"/>
        </w:rPr>
        <w:t xml:space="preserve">.  </w:t>
      </w:r>
    </w:p>
    <w:p w:rsidR="00E32374" w:rsidRPr="00714DFA" w:rsidRDefault="00E32374" w:rsidP="00714DFA">
      <w:pPr>
        <w:autoSpaceDE w:val="0"/>
        <w:autoSpaceDN w:val="0"/>
        <w:adjustRightInd w:val="0"/>
        <w:ind w:left="567" w:right="566"/>
        <w:rPr>
          <w:sz w:val="18"/>
          <w:szCs w:val="18"/>
          <w:lang w:val="es-ES_tradnl"/>
        </w:rPr>
      </w:pPr>
    </w:p>
    <w:p w:rsidR="00E32374" w:rsidRPr="00714DFA" w:rsidRDefault="00E32374" w:rsidP="00714DFA">
      <w:pPr>
        <w:autoSpaceDE w:val="0"/>
        <w:autoSpaceDN w:val="0"/>
        <w:adjustRightInd w:val="0"/>
        <w:ind w:left="567" w:right="566"/>
        <w:jc w:val="left"/>
        <w:rPr>
          <w:i/>
          <w:sz w:val="18"/>
          <w:szCs w:val="18"/>
          <w:lang w:val="es-ES_tradnl"/>
        </w:rPr>
      </w:pPr>
      <w:r w:rsidRPr="00714DFA">
        <w:rPr>
          <w:i/>
          <w:sz w:val="18"/>
          <w:szCs w:val="18"/>
          <w:lang w:val="es-ES_tradnl"/>
        </w:rPr>
        <w:t>Ejemplo B</w:t>
      </w:r>
    </w:p>
    <w:p w:rsidR="00E32374" w:rsidRPr="00714DFA" w:rsidRDefault="00E32374" w:rsidP="00714DFA">
      <w:pPr>
        <w:autoSpaceDE w:val="0"/>
        <w:autoSpaceDN w:val="0"/>
        <w:adjustRightInd w:val="0"/>
        <w:ind w:left="567" w:right="566"/>
        <w:jc w:val="left"/>
        <w:rPr>
          <w:sz w:val="18"/>
          <w:szCs w:val="18"/>
          <w:lang w:val="es-ES_tradnl"/>
        </w:rPr>
      </w:pPr>
    </w:p>
    <w:p w:rsidR="00E32374" w:rsidRPr="00714DFA" w:rsidRDefault="00E32374" w:rsidP="00714DFA">
      <w:pPr>
        <w:autoSpaceDE w:val="0"/>
        <w:autoSpaceDN w:val="0"/>
        <w:adjustRightInd w:val="0"/>
        <w:ind w:left="567" w:right="566"/>
        <w:rPr>
          <w:sz w:val="18"/>
          <w:szCs w:val="18"/>
          <w:lang w:val="es-ES_tradnl"/>
        </w:rPr>
      </w:pPr>
      <w:r w:rsidRPr="00714DFA">
        <w:rPr>
          <w:sz w:val="18"/>
          <w:szCs w:val="18"/>
          <w:lang w:val="es-ES_tradnl"/>
        </w:rPr>
        <w:tab/>
      </w:r>
      <w:r w:rsidRPr="00714DFA">
        <w:rPr>
          <w:sz w:val="18"/>
          <w:szCs w:val="18"/>
          <w:highlight w:val="yellow"/>
          <w:lang w:val="es-ES_tradnl"/>
        </w:rPr>
        <w:t>[2)]</w:t>
      </w:r>
      <w:r w:rsidRPr="00714DFA">
        <w:rPr>
          <w:sz w:val="18"/>
          <w:szCs w:val="18"/>
          <w:lang w:val="es-ES_tradnl"/>
        </w:rPr>
        <w:tab/>
        <w:t xml:space="preserve">Se considerará que el solicitante es el titular del derecho de obtentor respecto de cualquier persona que, en el intervalo previsto en el párrafo </w:t>
      </w:r>
      <w:r w:rsidRPr="00714DFA">
        <w:rPr>
          <w:sz w:val="18"/>
          <w:szCs w:val="18"/>
          <w:highlight w:val="yellow"/>
          <w:lang w:val="es-ES_tradnl"/>
        </w:rPr>
        <w:t>[1)]</w:t>
      </w:r>
      <w:r w:rsidRPr="00714DFA">
        <w:rPr>
          <w:sz w:val="18"/>
          <w:szCs w:val="18"/>
          <w:lang w:val="es-ES_tradnl"/>
        </w:rPr>
        <w:t xml:space="preserve">, haya realizado actos que, después de la concesión del derecho, requieran la autorización del obtentor de conformidad con lo dispuesto en el Artículo  </w:t>
      </w:r>
      <w:r w:rsidRPr="00714DFA">
        <w:rPr>
          <w:sz w:val="18"/>
          <w:szCs w:val="18"/>
          <w:highlight w:val="yellow"/>
          <w:lang w:val="es-ES_tradnl"/>
        </w:rPr>
        <w:t>[14]</w:t>
      </w:r>
      <w:r w:rsidRPr="00714DFA">
        <w:rPr>
          <w:sz w:val="18"/>
          <w:szCs w:val="18"/>
          <w:lang w:val="es-ES_tradnl"/>
        </w:rPr>
        <w:t xml:space="preserve">.  </w:t>
      </w:r>
      <w:r w:rsidRPr="00714DFA">
        <w:rPr>
          <w:strike/>
          <w:sz w:val="18"/>
          <w:szCs w:val="18"/>
          <w:highlight w:val="lightGray"/>
          <w:lang w:val="es-ES_tradnl"/>
        </w:rPr>
        <w:t>Sólo podrá entablarse una acción judicial respecto de la protección provisional después de que se haya concedido el derecho.</w:t>
      </w:r>
      <w:r w:rsidRPr="00531F67">
        <w:rPr>
          <w:sz w:val="18"/>
          <w:szCs w:val="18"/>
          <w:lang w:val="es-ES_tradnl"/>
        </w:rPr>
        <w:t xml:space="preserve"> </w:t>
      </w:r>
      <w:r w:rsidRPr="00531F67">
        <w:rPr>
          <w:sz w:val="18"/>
          <w:szCs w:val="18"/>
          <w:highlight w:val="lightGray"/>
          <w:u w:val="single"/>
          <w:lang w:val="es-ES_tradnl"/>
        </w:rPr>
        <w:t xml:space="preserve">El solicitante tendrá los mismos derechos para suscribir acuerdos de licencia y emprender acciones judiciales que los que tendría si en la fecha de </w:t>
      </w:r>
      <w:r w:rsidRPr="00531F67">
        <w:rPr>
          <w:sz w:val="18"/>
          <w:szCs w:val="18"/>
          <w:highlight w:val="yellow"/>
          <w:u w:val="single"/>
          <w:lang w:val="es-ES_tradnl"/>
        </w:rPr>
        <w:t>[presentación] / [publicación]</w:t>
      </w:r>
      <w:r w:rsidRPr="00531F67">
        <w:rPr>
          <w:sz w:val="18"/>
          <w:szCs w:val="18"/>
          <w:highlight w:val="lightGray"/>
          <w:u w:val="single"/>
          <w:lang w:val="es-ES_tradnl"/>
        </w:rPr>
        <w:t xml:space="preserve"> se</w:t>
      </w:r>
      <w:r>
        <w:rPr>
          <w:sz w:val="18"/>
          <w:szCs w:val="18"/>
          <w:highlight w:val="lightGray"/>
          <w:u w:val="single"/>
          <w:lang w:val="es-ES_tradnl"/>
        </w:rPr>
        <w:t xml:space="preserve"> le</w:t>
      </w:r>
      <w:r w:rsidRPr="00531F67">
        <w:rPr>
          <w:sz w:val="18"/>
          <w:szCs w:val="18"/>
          <w:highlight w:val="lightGray"/>
          <w:u w:val="single"/>
          <w:lang w:val="es-ES_tradnl"/>
        </w:rPr>
        <w:t xml:space="preserve"> hubiera concedido el derecho de obtentor con respecto a la variedad en cuestión.  Si no se concede el derecho, se considerará </w:t>
      </w:r>
      <w:r>
        <w:rPr>
          <w:sz w:val="18"/>
          <w:szCs w:val="18"/>
          <w:highlight w:val="lightGray"/>
          <w:u w:val="single"/>
          <w:lang w:val="es-ES_tradnl"/>
        </w:rPr>
        <w:t xml:space="preserve">que </w:t>
      </w:r>
      <w:r w:rsidRPr="00531F67">
        <w:rPr>
          <w:sz w:val="18"/>
          <w:szCs w:val="18"/>
          <w:highlight w:val="lightGray"/>
          <w:u w:val="single"/>
          <w:lang w:val="es-ES_tradnl"/>
        </w:rPr>
        <w:t>nunca se han otorgado los derechos conferidos en virtud del presente párrafo.</w:t>
      </w:r>
    </w:p>
    <w:p w:rsidR="00E32374" w:rsidRPr="00E32374" w:rsidRDefault="00E32374" w:rsidP="00714DFA">
      <w:pPr>
        <w:autoSpaceDE w:val="0"/>
        <w:autoSpaceDN w:val="0"/>
        <w:adjustRightInd w:val="0"/>
        <w:ind w:left="567" w:right="566"/>
        <w:rPr>
          <w:sz w:val="18"/>
          <w:szCs w:val="22"/>
          <w:lang w:val="es-ES_tradnl"/>
        </w:rPr>
      </w:pPr>
    </w:p>
    <w:p w:rsidR="00E32374" w:rsidRPr="00714DFA" w:rsidRDefault="00E32374" w:rsidP="00714DFA">
      <w:pPr>
        <w:autoSpaceDE w:val="0"/>
        <w:autoSpaceDN w:val="0"/>
        <w:adjustRightInd w:val="0"/>
        <w:ind w:left="567" w:right="566"/>
        <w:jc w:val="left"/>
        <w:rPr>
          <w:sz w:val="22"/>
          <w:szCs w:val="22"/>
          <w:lang w:val="es-ES_tradnl"/>
        </w:rPr>
      </w:pPr>
      <w:r w:rsidRPr="00714DFA">
        <w:rPr>
          <w:sz w:val="22"/>
          <w:szCs w:val="22"/>
          <w:lang w:val="es-ES_tradnl"/>
        </w:rPr>
        <w:t>---------------------</w:t>
      </w:r>
    </w:p>
    <w:p w:rsidR="00E32374" w:rsidRPr="00E32374" w:rsidRDefault="00E32374" w:rsidP="00714DFA">
      <w:pPr>
        <w:autoSpaceDE w:val="0"/>
        <w:autoSpaceDN w:val="0"/>
        <w:adjustRightInd w:val="0"/>
        <w:ind w:left="567" w:right="566"/>
        <w:jc w:val="left"/>
        <w:rPr>
          <w:sz w:val="18"/>
          <w:szCs w:val="22"/>
          <w:highlight w:val="yellow"/>
          <w:lang w:val="es-ES_tradnl"/>
        </w:rPr>
      </w:pPr>
    </w:p>
    <w:p w:rsidR="00E32374" w:rsidRPr="00714DFA" w:rsidRDefault="00E32374" w:rsidP="00714DFA">
      <w:pPr>
        <w:autoSpaceDE w:val="0"/>
        <w:autoSpaceDN w:val="0"/>
        <w:adjustRightInd w:val="0"/>
        <w:ind w:left="567" w:right="566"/>
        <w:rPr>
          <w:sz w:val="18"/>
          <w:szCs w:val="18"/>
          <w:lang w:val="es-ES_tradnl"/>
        </w:rPr>
      </w:pPr>
      <w:r w:rsidRPr="00714DFA">
        <w:rPr>
          <w:sz w:val="22"/>
          <w:szCs w:val="22"/>
          <w:lang w:val="es-ES_tradnl"/>
        </w:rPr>
        <w:tab/>
      </w:r>
      <w:r w:rsidRPr="00714DFA">
        <w:rPr>
          <w:sz w:val="18"/>
          <w:szCs w:val="18"/>
          <w:highlight w:val="yellow"/>
          <w:lang w:val="es-ES_tradnl"/>
        </w:rPr>
        <w:t>[3)]</w:t>
      </w:r>
      <w:r w:rsidRPr="00714DFA">
        <w:rPr>
          <w:sz w:val="18"/>
          <w:szCs w:val="18"/>
          <w:highlight w:val="yellow"/>
          <w:lang w:val="es-ES_tradnl"/>
        </w:rPr>
        <w:tab/>
        <w:t>[La protección provisional sólo surtirá efecto respecto de las personas a las que el obtentor haya notificado la presentación de la solicitud.]</w:t>
      </w:r>
      <w:r w:rsidRPr="00714DFA">
        <w:rPr>
          <w:sz w:val="18"/>
          <w:szCs w:val="18"/>
          <w:lang w:val="es-ES_tradnl"/>
        </w:rPr>
        <w:t xml:space="preserve"> </w:t>
      </w:r>
    </w:p>
    <w:p w:rsidR="00E32374" w:rsidRPr="00714DFA" w:rsidRDefault="00E32374" w:rsidP="00714DFA">
      <w:pPr>
        <w:autoSpaceDE w:val="0"/>
        <w:autoSpaceDN w:val="0"/>
        <w:adjustRightInd w:val="0"/>
        <w:rPr>
          <w:lang w:val="es-ES_tradnl"/>
        </w:rPr>
      </w:pPr>
    </w:p>
    <w:p w:rsidR="00E32374" w:rsidRPr="00714DFA" w:rsidRDefault="00E32374" w:rsidP="00E32374">
      <w:pPr>
        <w:autoSpaceDE w:val="0"/>
        <w:autoSpaceDN w:val="0"/>
        <w:adjustRightInd w:val="0"/>
        <w:rPr>
          <w:lang w:val="es-ES_tradnl"/>
        </w:rPr>
      </w:pPr>
      <w:r w:rsidRPr="00714DFA">
        <w:rPr>
          <w:lang w:val="es-ES_tradnl"/>
        </w:rPr>
        <w:t xml:space="preserve">El párrafo 3) del ejemplo de texto de disposición </w:t>
      </w:r>
      <w:r w:rsidRPr="00714DFA">
        <w:rPr>
          <w:i/>
          <w:lang w:val="es-ES_tradnl"/>
        </w:rPr>
        <w:t>supra</w:t>
      </w:r>
      <w:r w:rsidRPr="00714DFA">
        <w:rPr>
          <w:lang w:val="es-ES_tradnl"/>
        </w:rPr>
        <w:t xml:space="preserve"> no será necesario cuando, en el párrafo 1), se estipule que la fecha para el inicio de la protección provisional será la fecha de publicación (véase el párrafo 6 del presente documento).</w:t>
      </w:r>
    </w:p>
    <w:p w:rsidR="00E32374" w:rsidRPr="00714DFA" w:rsidRDefault="00E32374" w:rsidP="00E32374">
      <w:pPr>
        <w:autoSpaceDE w:val="0"/>
        <w:autoSpaceDN w:val="0"/>
        <w:adjustRightInd w:val="0"/>
        <w:rPr>
          <w:lang w:val="es-ES_tradnl"/>
        </w:rPr>
      </w:pPr>
    </w:p>
    <w:p w:rsidR="00F15E56" w:rsidRPr="00E32374" w:rsidRDefault="00E32374" w:rsidP="00E32374">
      <w:pPr>
        <w:autoSpaceDE w:val="0"/>
        <w:autoSpaceDN w:val="0"/>
        <w:adjustRightInd w:val="0"/>
        <w:rPr>
          <w:lang w:val="es-ES_tradnl"/>
        </w:rPr>
      </w:pPr>
      <w:r w:rsidRPr="00E32374">
        <w:rPr>
          <w:noProof/>
        </w:rPr>
        <mc:AlternateContent>
          <mc:Choice Requires="wps">
            <w:drawing>
              <wp:anchor distT="0" distB="0" distL="114300" distR="114300" simplePos="0" relativeHeight="251659264" behindDoc="0" locked="0" layoutInCell="0" allowOverlap="1" wp14:anchorId="4C3502A0" wp14:editId="28B28E91">
                <wp:simplePos x="0" y="0"/>
                <wp:positionH relativeFrom="column">
                  <wp:posOffset>4294505</wp:posOffset>
                </wp:positionH>
                <wp:positionV relativeFrom="paragraph">
                  <wp:posOffset>139700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374" w:rsidRPr="009929A5" w:rsidRDefault="00E32374">
                            <w:pPr>
                              <w:ind w:right="53"/>
                              <w:jc w:val="right"/>
                            </w:pPr>
                            <w:r w:rsidRPr="009929A5">
                              <w:t>[</w:t>
                            </w:r>
                            <w:r w:rsidRPr="00714DFA">
                              <w:rPr>
                                <w:lang w:val="es-ES_tradnl"/>
                              </w:rPr>
                              <w:t>Fin del documento</w:t>
                            </w:r>
                            <w:r w:rsidRPr="009929A5">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1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" o:allowincell="f" filled="f" stroked="f">
                <v:textbox inset="0,0,0,0">
                  <w:txbxContent>
                    <w:p w:rsidR="00E32374" w:rsidRPr="009929A5" w:rsidRDefault="00E32374">
                      <w:pPr>
                        <w:ind w:right="53"/>
                        <w:jc w:val="right"/>
                      </w:pPr>
                      <w:r w:rsidRPr="009929A5">
                        <w:t>[</w:t>
                      </w:r>
                      <w:r w:rsidRPr="00714DFA">
                        <w:rPr>
                          <w:lang w:val="es-ES_tradnl"/>
                        </w:rPr>
                        <w:t>Fin del documento</w:t>
                      </w:r>
                      <w:r w:rsidRPr="009929A5">
                        <w:t>]</w:t>
                      </w:r>
                    </w:p>
                  </w:txbxContent>
                </v:textbox>
              </v:shape>
            </w:pict>
          </mc:Fallback>
        </mc:AlternateContent>
      </w:r>
    </w:p>
    <w:sectPr w:rsidR="00F15E56" w:rsidRPr="00E32374" w:rsidSect="00CC0DAE">
      <w:headerReference w:type="default" r:id="rId9"/>
      <w:headerReference w:type="first" r:id="rId10"/>
      <w:endnotePr>
        <w:numFmt w:val="lowerLetter"/>
      </w:endnotePr>
      <w:pgSz w:w="11907" w:h="16840" w:code="9"/>
      <w:pgMar w:top="510" w:right="1134" w:bottom="1134" w:left="1134" w:header="510" w:footer="73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74" w:rsidRDefault="00E32374" w:rsidP="00E32374">
      <w:r>
        <w:separator/>
      </w:r>
    </w:p>
  </w:endnote>
  <w:endnote w:type="continuationSeparator" w:id="0">
    <w:p w:rsidR="00E32374" w:rsidRDefault="00E32374" w:rsidP="00E3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74" w:rsidRDefault="00E32374" w:rsidP="00E32374">
      <w:r>
        <w:separator/>
      </w:r>
    </w:p>
  </w:footnote>
  <w:footnote w:type="continuationSeparator" w:id="0">
    <w:p w:rsidR="00E32374" w:rsidRDefault="00E32374" w:rsidP="00E32374">
      <w:r>
        <w:continuationSeparator/>
      </w:r>
    </w:p>
  </w:footnote>
  <w:footnote w:id="1">
    <w:p w:rsidR="00E32374" w:rsidRPr="00B04E45" w:rsidRDefault="00E32374" w:rsidP="00714DFA">
      <w:pPr>
        <w:pStyle w:val="FootnoteText"/>
        <w:rPr>
          <w:szCs w:val="16"/>
        </w:rPr>
      </w:pPr>
      <w:r w:rsidRPr="00E3755D">
        <w:rPr>
          <w:rStyle w:val="FootnoteReference"/>
          <w:szCs w:val="16"/>
        </w:rPr>
        <w:footnoteRef/>
      </w:r>
      <w:r w:rsidRPr="00E3755D">
        <w:rPr>
          <w:szCs w:val="16"/>
        </w:rPr>
        <w:tab/>
      </w:r>
      <w:r w:rsidRPr="00E3755D">
        <w:rPr>
          <w:spacing w:val="-2"/>
          <w:szCs w:val="16"/>
          <w:lang w:val="es-ES_tradnl"/>
        </w:rPr>
        <w:t xml:space="preserve">El </w:t>
      </w:r>
      <w:r w:rsidRPr="00E3755D">
        <w:rPr>
          <w:szCs w:val="16"/>
        </w:rPr>
        <w:t>Artículo</w:t>
      </w:r>
      <w:r w:rsidRPr="00E3755D">
        <w:rPr>
          <w:spacing w:val="-2"/>
          <w:szCs w:val="16"/>
          <w:lang w:val="es-ES_tradnl"/>
        </w:rPr>
        <w:t xml:space="preserve"> 7.3) del Acta de 1978 sólo se refiere al </w:t>
      </w:r>
      <w:r w:rsidRPr="00E3755D">
        <w:rPr>
          <w:szCs w:val="16"/>
        </w:rPr>
        <w:t>“periodo comprendido entre la presentación de la solicitud de protección y la decisión correspondiente”.</w:t>
      </w:r>
    </w:p>
  </w:footnote>
  <w:footnote w:id="2">
    <w:p w:rsidR="00E32374" w:rsidRPr="00E3755D" w:rsidRDefault="00E32374" w:rsidP="00714DFA">
      <w:pPr>
        <w:pStyle w:val="FootnoteText"/>
        <w:rPr>
          <w:szCs w:val="16"/>
        </w:rPr>
      </w:pPr>
      <w:r w:rsidRPr="00E3755D">
        <w:rPr>
          <w:rStyle w:val="FootnoteReference"/>
          <w:szCs w:val="16"/>
        </w:rPr>
        <w:footnoteRef/>
      </w:r>
      <w:r w:rsidRPr="00E3755D">
        <w:rPr>
          <w:szCs w:val="16"/>
        </w:rPr>
        <w:tab/>
        <w:t xml:space="preserve">En el </w:t>
      </w:r>
      <w:r w:rsidRPr="00E3755D">
        <w:rPr>
          <w:spacing w:val="-2"/>
          <w:szCs w:val="16"/>
          <w:lang w:val="es-ES_tradnl"/>
        </w:rPr>
        <w:t xml:space="preserve">Artículo 7.3) del Acta de 1978, </w:t>
      </w:r>
      <w:r w:rsidRPr="00E3755D">
        <w:rPr>
          <w:szCs w:val="16"/>
        </w:rPr>
        <w:t>la protección provisional</w:t>
      </w:r>
      <w:r w:rsidRPr="00E3755D">
        <w:rPr>
          <w:b/>
          <w:szCs w:val="16"/>
        </w:rPr>
        <w:t xml:space="preserve"> </w:t>
      </w:r>
      <w:r w:rsidRPr="00E3755D">
        <w:rPr>
          <w:szCs w:val="16"/>
        </w:rPr>
        <w:t>es una disposición facultativa.</w:t>
      </w:r>
    </w:p>
  </w:footnote>
  <w:footnote w:id="3">
    <w:p w:rsidR="00E32374" w:rsidRPr="00B04E45" w:rsidRDefault="00E32374" w:rsidP="00714DFA">
      <w:pPr>
        <w:pStyle w:val="FootnoteText"/>
        <w:rPr>
          <w:szCs w:val="16"/>
        </w:rPr>
      </w:pPr>
      <w:r w:rsidRPr="00E3755D">
        <w:rPr>
          <w:rStyle w:val="FootnoteReference"/>
          <w:szCs w:val="16"/>
        </w:rPr>
        <w:footnoteRef/>
      </w:r>
      <w:r w:rsidRPr="00E3755D">
        <w:rPr>
          <w:szCs w:val="16"/>
        </w:rPr>
        <w:tab/>
        <w:t>El texto destacado entre corchetes está destinado a los encargados de la redacción de las leyes y constituye una indicación de, según proceda, texto que ha de completarse, numeración de disposiciones que puede ser necesario modificar, o disposiciones del Acta de 1991 del Convenio de la UPOV en las que se estipula una opción.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6" w:rsidRPr="00C01563" w:rsidRDefault="00E32374" w:rsidP="00E5557C">
    <w:pPr>
      <w:pStyle w:val="Header"/>
      <w:rPr>
        <w:lang w:val="es-ES"/>
      </w:rPr>
    </w:pPr>
    <w:r w:rsidRPr="00C01563">
      <w:t>UPOV/EXN/PRP/2 Draft 3</w:t>
    </w:r>
  </w:p>
  <w:p w:rsidR="007B1ED6" w:rsidRPr="00C01563" w:rsidRDefault="00E32374">
    <w:pPr>
      <w:jc w:val="center"/>
    </w:pPr>
    <w:r w:rsidRPr="00C01563">
      <w:t xml:space="preserve">página </w:t>
    </w:r>
    <w:r w:rsidRPr="00C01563">
      <w:fldChar w:fldCharType="begin"/>
    </w:r>
    <w:r w:rsidRPr="00C01563">
      <w:instrText xml:space="preserve"> PAGE  \* MERGEFORMAT </w:instrText>
    </w:r>
    <w:r w:rsidRPr="00C01563">
      <w:fldChar w:fldCharType="separate"/>
    </w:r>
    <w:r w:rsidR="00491F9B">
      <w:rPr>
        <w:noProof/>
      </w:rPr>
      <w:t>3</w:t>
    </w:r>
    <w:r w:rsidRPr="00C01563">
      <w:fldChar w:fldCharType="end"/>
    </w:r>
  </w:p>
  <w:p w:rsidR="007B1ED6" w:rsidRPr="00C01563" w:rsidRDefault="00491F9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6" w:rsidRDefault="00491F9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74"/>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0D7"/>
    <w:rsid w:val="00091F9C"/>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35F"/>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2F6C"/>
    <w:rsid w:val="001237F6"/>
    <w:rsid w:val="001270DA"/>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11A1"/>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68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2E9"/>
    <w:rsid w:val="002B5EB6"/>
    <w:rsid w:val="002B6038"/>
    <w:rsid w:val="002C1827"/>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15942"/>
    <w:rsid w:val="0032045B"/>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EC2"/>
    <w:rsid w:val="00343605"/>
    <w:rsid w:val="003458C7"/>
    <w:rsid w:val="00345907"/>
    <w:rsid w:val="00347FC6"/>
    <w:rsid w:val="00350544"/>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4E"/>
    <w:rsid w:val="003C0AC2"/>
    <w:rsid w:val="003C0C8B"/>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CE0"/>
    <w:rsid w:val="004338B2"/>
    <w:rsid w:val="00434FEF"/>
    <w:rsid w:val="004401FC"/>
    <w:rsid w:val="00441B83"/>
    <w:rsid w:val="0044274A"/>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1F9B"/>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418A"/>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6467"/>
    <w:rsid w:val="006C7C62"/>
    <w:rsid w:val="006D026B"/>
    <w:rsid w:val="006D05D3"/>
    <w:rsid w:val="006D08C3"/>
    <w:rsid w:val="006D1CCA"/>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69AE"/>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66E"/>
    <w:rsid w:val="00744567"/>
    <w:rsid w:val="00744A8F"/>
    <w:rsid w:val="00744F57"/>
    <w:rsid w:val="007465E7"/>
    <w:rsid w:val="0074690D"/>
    <w:rsid w:val="00746A78"/>
    <w:rsid w:val="00747C42"/>
    <w:rsid w:val="00750637"/>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2475"/>
    <w:rsid w:val="00782E26"/>
    <w:rsid w:val="00782F3D"/>
    <w:rsid w:val="0078367A"/>
    <w:rsid w:val="007840C6"/>
    <w:rsid w:val="0078581E"/>
    <w:rsid w:val="00787C20"/>
    <w:rsid w:val="00791384"/>
    <w:rsid w:val="00793503"/>
    <w:rsid w:val="00793C46"/>
    <w:rsid w:val="00793DE5"/>
    <w:rsid w:val="00795B36"/>
    <w:rsid w:val="00795BDE"/>
    <w:rsid w:val="00795E44"/>
    <w:rsid w:val="00796002"/>
    <w:rsid w:val="007975E8"/>
    <w:rsid w:val="007A0033"/>
    <w:rsid w:val="007A004A"/>
    <w:rsid w:val="007A2A81"/>
    <w:rsid w:val="007A5B13"/>
    <w:rsid w:val="007A5B1D"/>
    <w:rsid w:val="007A720D"/>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265"/>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0CF"/>
    <w:rsid w:val="0085422B"/>
    <w:rsid w:val="00854CB9"/>
    <w:rsid w:val="00854CD1"/>
    <w:rsid w:val="00855817"/>
    <w:rsid w:val="00855E67"/>
    <w:rsid w:val="0085752E"/>
    <w:rsid w:val="00857E82"/>
    <w:rsid w:val="00861845"/>
    <w:rsid w:val="00861D61"/>
    <w:rsid w:val="00862436"/>
    <w:rsid w:val="00862B0D"/>
    <w:rsid w:val="00862E91"/>
    <w:rsid w:val="0086389C"/>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3F6F"/>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514"/>
    <w:rsid w:val="008C7833"/>
    <w:rsid w:val="008C7AE6"/>
    <w:rsid w:val="008D0254"/>
    <w:rsid w:val="008D09CC"/>
    <w:rsid w:val="008D1291"/>
    <w:rsid w:val="008D1BC4"/>
    <w:rsid w:val="008D4B4B"/>
    <w:rsid w:val="008D4BA5"/>
    <w:rsid w:val="008D5A54"/>
    <w:rsid w:val="008D7A68"/>
    <w:rsid w:val="008D7E42"/>
    <w:rsid w:val="008D7F3E"/>
    <w:rsid w:val="008E345E"/>
    <w:rsid w:val="008E3A89"/>
    <w:rsid w:val="008E4317"/>
    <w:rsid w:val="008E47A0"/>
    <w:rsid w:val="008E4F36"/>
    <w:rsid w:val="008E52A1"/>
    <w:rsid w:val="008E563B"/>
    <w:rsid w:val="008F0CAB"/>
    <w:rsid w:val="008F0D91"/>
    <w:rsid w:val="008F12D4"/>
    <w:rsid w:val="008F1618"/>
    <w:rsid w:val="008F1B15"/>
    <w:rsid w:val="008F1F41"/>
    <w:rsid w:val="008F202C"/>
    <w:rsid w:val="008F2B52"/>
    <w:rsid w:val="008F2D43"/>
    <w:rsid w:val="008F3258"/>
    <w:rsid w:val="008F3C3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2929"/>
    <w:rsid w:val="00923BDF"/>
    <w:rsid w:val="00924180"/>
    <w:rsid w:val="0092431D"/>
    <w:rsid w:val="00924CB7"/>
    <w:rsid w:val="0092588D"/>
    <w:rsid w:val="0092698E"/>
    <w:rsid w:val="00926AB1"/>
    <w:rsid w:val="00927687"/>
    <w:rsid w:val="00930C2D"/>
    <w:rsid w:val="009320D7"/>
    <w:rsid w:val="00932824"/>
    <w:rsid w:val="009331B8"/>
    <w:rsid w:val="009332B6"/>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7FA"/>
    <w:rsid w:val="009E3B8B"/>
    <w:rsid w:val="009E58B1"/>
    <w:rsid w:val="009E691A"/>
    <w:rsid w:val="009E7723"/>
    <w:rsid w:val="009E7FCD"/>
    <w:rsid w:val="009F1503"/>
    <w:rsid w:val="009F16FE"/>
    <w:rsid w:val="009F3068"/>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1312"/>
    <w:rsid w:val="00A92C23"/>
    <w:rsid w:val="00A9313D"/>
    <w:rsid w:val="00A94A1A"/>
    <w:rsid w:val="00A94C29"/>
    <w:rsid w:val="00A94F4E"/>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8C7"/>
    <w:rsid w:val="00AE3A6D"/>
    <w:rsid w:val="00AE3B1A"/>
    <w:rsid w:val="00AE4264"/>
    <w:rsid w:val="00AE4476"/>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2D22"/>
    <w:rsid w:val="00B03319"/>
    <w:rsid w:val="00B06A49"/>
    <w:rsid w:val="00B0742F"/>
    <w:rsid w:val="00B074DF"/>
    <w:rsid w:val="00B10805"/>
    <w:rsid w:val="00B10F67"/>
    <w:rsid w:val="00B11044"/>
    <w:rsid w:val="00B11198"/>
    <w:rsid w:val="00B118C5"/>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52B"/>
    <w:rsid w:val="00B31E30"/>
    <w:rsid w:val="00B32406"/>
    <w:rsid w:val="00B32FE5"/>
    <w:rsid w:val="00B33046"/>
    <w:rsid w:val="00B3405A"/>
    <w:rsid w:val="00B34E39"/>
    <w:rsid w:val="00B3636D"/>
    <w:rsid w:val="00B36CDD"/>
    <w:rsid w:val="00B37C2B"/>
    <w:rsid w:val="00B41020"/>
    <w:rsid w:val="00B41EEA"/>
    <w:rsid w:val="00B426C8"/>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316"/>
    <w:rsid w:val="00C00AB1"/>
    <w:rsid w:val="00C03163"/>
    <w:rsid w:val="00C0391B"/>
    <w:rsid w:val="00C03CAC"/>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926"/>
    <w:rsid w:val="00C66C59"/>
    <w:rsid w:val="00C66C92"/>
    <w:rsid w:val="00C66F0A"/>
    <w:rsid w:val="00C67EA7"/>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DAE"/>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5718"/>
    <w:rsid w:val="00D57A32"/>
    <w:rsid w:val="00D6291D"/>
    <w:rsid w:val="00D6384D"/>
    <w:rsid w:val="00D65283"/>
    <w:rsid w:val="00D66E61"/>
    <w:rsid w:val="00D66EC3"/>
    <w:rsid w:val="00D67921"/>
    <w:rsid w:val="00D701C8"/>
    <w:rsid w:val="00D73E3E"/>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2374"/>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5F5"/>
    <w:rsid w:val="00E529F3"/>
    <w:rsid w:val="00E5347E"/>
    <w:rsid w:val="00E534F0"/>
    <w:rsid w:val="00E549F9"/>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4B2B"/>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BF1AB0"/>
    <w:pPr>
      <w:keepNext/>
      <w:jc w:val="both"/>
      <w:outlineLvl w:val="0"/>
    </w:pPr>
    <w:rPr>
      <w:caps/>
    </w:rPr>
  </w:style>
  <w:style w:type="paragraph" w:styleId="Heading2">
    <w:name w:val="heading 2"/>
    <w:next w:val="Normal"/>
    <w:autoRedefine/>
    <w:qFormat/>
    <w:rsid w:val="00BF1AB0"/>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85752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E32374"/>
    <w:pPr>
      <w:spacing w:line="280" w:lineRule="exact"/>
      <w:ind w:left="1361"/>
    </w:pPr>
    <w:rPr>
      <w:rFonts w:cs="Times New Roman"/>
      <w:b/>
      <w:bCs/>
      <w:spacing w:val="10"/>
    </w:rPr>
  </w:style>
  <w:style w:type="paragraph" w:customStyle="1" w:styleId="upove">
    <w:name w:val="upov_e"/>
    <w:basedOn w:val="Normal"/>
    <w:rsid w:val="00E32374"/>
    <w:pPr>
      <w:spacing w:before="60"/>
      <w:jc w:val="center"/>
    </w:pPr>
    <w:rPr>
      <w:rFonts w:cs="Times New Roman"/>
      <w:b/>
      <w:bCs/>
      <w:spacing w:val="8"/>
      <w:sz w:val="24"/>
    </w:rPr>
  </w:style>
  <w:style w:type="paragraph" w:customStyle="1" w:styleId="preparedby0">
    <w:name w:val="prepared by"/>
    <w:basedOn w:val="Normal"/>
    <w:rsid w:val="00E32374"/>
    <w:pPr>
      <w:spacing w:before="600" w:after="600"/>
      <w:jc w:val="center"/>
    </w:pPr>
    <w:rPr>
      <w:rFonts w:cs="Times New Roman"/>
      <w:i/>
    </w:rPr>
  </w:style>
  <w:style w:type="paragraph" w:customStyle="1" w:styleId="Country">
    <w:name w:val="Country"/>
    <w:basedOn w:val="Normal"/>
    <w:semiHidden/>
    <w:rsid w:val="00E32374"/>
    <w:pPr>
      <w:spacing w:before="60" w:after="480"/>
      <w:jc w:val="center"/>
    </w:pPr>
    <w:rPr>
      <w:rFonts w:cs="Times New Roman"/>
    </w:rPr>
  </w:style>
  <w:style w:type="paragraph" w:customStyle="1" w:styleId="Lettrine">
    <w:name w:val="Lettrine"/>
    <w:basedOn w:val="Normal"/>
    <w:rsid w:val="00E32374"/>
    <w:pPr>
      <w:spacing w:after="120" w:line="340" w:lineRule="atLeast"/>
      <w:jc w:val="right"/>
    </w:pPr>
    <w:rPr>
      <w:rFonts w:cs="Times New Roman"/>
      <w:b/>
      <w:bCs/>
      <w:sz w:val="56"/>
    </w:rPr>
  </w:style>
  <w:style w:type="paragraph" w:customStyle="1" w:styleId="LogoUPOV">
    <w:name w:val="LogoUPOV"/>
    <w:basedOn w:val="Normal"/>
    <w:rsid w:val="00E32374"/>
    <w:pPr>
      <w:spacing w:before="720"/>
      <w:jc w:val="center"/>
    </w:pPr>
    <w:rPr>
      <w:rFonts w:cs="Times New Roman"/>
    </w:rPr>
  </w:style>
  <w:style w:type="paragraph" w:customStyle="1" w:styleId="endofdoc">
    <w:name w:val="end_of_doc"/>
    <w:autoRedefine/>
    <w:rsid w:val="00E32374"/>
    <w:pPr>
      <w:ind w:left="567" w:hanging="567"/>
      <w:jc w:val="right"/>
    </w:pPr>
    <w:rPr>
      <w:rFonts w:cs="Times New Roman"/>
    </w:rPr>
  </w:style>
  <w:style w:type="character" w:customStyle="1" w:styleId="DocoriginalChar">
    <w:name w:val="Doc_original Char"/>
    <w:basedOn w:val="DefaultParagraphFont"/>
    <w:link w:val="Docoriginal"/>
    <w:rsid w:val="00E32374"/>
    <w:rPr>
      <w:rFonts w:cs="Times New Roman"/>
      <w:b/>
      <w:bCs/>
      <w:spacing w:val="10"/>
    </w:rPr>
  </w:style>
  <w:style w:type="character" w:customStyle="1" w:styleId="StyleDocoriginalNotBold1">
    <w:name w:val="Style Doc_original + Not Bold1"/>
    <w:basedOn w:val="DefaultParagraphFont"/>
    <w:rsid w:val="00E32374"/>
    <w:rPr>
      <w:rFonts w:ascii="Arial" w:hAnsi="Arial"/>
      <w:b/>
      <w:bCs/>
      <w:spacing w:val="10"/>
      <w:lang w:val="en-US" w:eastAsia="en-US" w:bidi="ar-SA"/>
    </w:rPr>
  </w:style>
  <w:style w:type="character" w:customStyle="1" w:styleId="StyleDoclangBold">
    <w:name w:val="Style Doc_lang + Bold"/>
    <w:basedOn w:val="DefaultParagraphFont"/>
    <w:rsid w:val="00E32374"/>
    <w:rPr>
      <w:rFonts w:ascii="Arial" w:hAnsi="Arial"/>
      <w:b/>
      <w:bCs/>
      <w:sz w:val="20"/>
      <w:lang w:val="en-US"/>
    </w:rPr>
  </w:style>
  <w:style w:type="character" w:customStyle="1" w:styleId="BodyTextChar">
    <w:name w:val="Body Text Char"/>
    <w:basedOn w:val="DefaultParagraphFont"/>
    <w:link w:val="BodyText"/>
    <w:rsid w:val="0085752E"/>
  </w:style>
  <w:style w:type="character" w:customStyle="1" w:styleId="BodyTextIndentChar">
    <w:name w:val="Body Text Indent Char"/>
    <w:basedOn w:val="DefaultParagraphFont"/>
    <w:link w:val="BodyTextIndent"/>
    <w:rsid w:val="0085752E"/>
    <w:rPr>
      <w:lang w:val="es-ES_tradnl"/>
    </w:rPr>
  </w:style>
  <w:style w:type="character" w:customStyle="1" w:styleId="CommentTextChar">
    <w:name w:val="Comment Text Char"/>
    <w:basedOn w:val="DefaultParagraphFont"/>
    <w:link w:val="CommentText"/>
    <w:semiHidden/>
    <w:rsid w:val="0085752E"/>
    <w:rPr>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BF1AB0"/>
    <w:pPr>
      <w:keepNext/>
      <w:jc w:val="both"/>
      <w:outlineLvl w:val="0"/>
    </w:pPr>
    <w:rPr>
      <w:caps/>
    </w:rPr>
  </w:style>
  <w:style w:type="paragraph" w:styleId="Heading2">
    <w:name w:val="heading 2"/>
    <w:next w:val="Normal"/>
    <w:autoRedefine/>
    <w:qFormat/>
    <w:rsid w:val="00BF1AB0"/>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85752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E32374"/>
    <w:pPr>
      <w:spacing w:line="280" w:lineRule="exact"/>
      <w:ind w:left="1361"/>
    </w:pPr>
    <w:rPr>
      <w:rFonts w:cs="Times New Roman"/>
      <w:b/>
      <w:bCs/>
      <w:spacing w:val="10"/>
    </w:rPr>
  </w:style>
  <w:style w:type="paragraph" w:customStyle="1" w:styleId="upove">
    <w:name w:val="upov_e"/>
    <w:basedOn w:val="Normal"/>
    <w:rsid w:val="00E32374"/>
    <w:pPr>
      <w:spacing w:before="60"/>
      <w:jc w:val="center"/>
    </w:pPr>
    <w:rPr>
      <w:rFonts w:cs="Times New Roman"/>
      <w:b/>
      <w:bCs/>
      <w:spacing w:val="8"/>
      <w:sz w:val="24"/>
    </w:rPr>
  </w:style>
  <w:style w:type="paragraph" w:customStyle="1" w:styleId="preparedby0">
    <w:name w:val="prepared by"/>
    <w:basedOn w:val="Normal"/>
    <w:rsid w:val="00E32374"/>
    <w:pPr>
      <w:spacing w:before="600" w:after="600"/>
      <w:jc w:val="center"/>
    </w:pPr>
    <w:rPr>
      <w:rFonts w:cs="Times New Roman"/>
      <w:i/>
    </w:rPr>
  </w:style>
  <w:style w:type="paragraph" w:customStyle="1" w:styleId="Country">
    <w:name w:val="Country"/>
    <w:basedOn w:val="Normal"/>
    <w:semiHidden/>
    <w:rsid w:val="00E32374"/>
    <w:pPr>
      <w:spacing w:before="60" w:after="480"/>
      <w:jc w:val="center"/>
    </w:pPr>
    <w:rPr>
      <w:rFonts w:cs="Times New Roman"/>
    </w:rPr>
  </w:style>
  <w:style w:type="paragraph" w:customStyle="1" w:styleId="Lettrine">
    <w:name w:val="Lettrine"/>
    <w:basedOn w:val="Normal"/>
    <w:rsid w:val="00E32374"/>
    <w:pPr>
      <w:spacing w:after="120" w:line="340" w:lineRule="atLeast"/>
      <w:jc w:val="right"/>
    </w:pPr>
    <w:rPr>
      <w:rFonts w:cs="Times New Roman"/>
      <w:b/>
      <w:bCs/>
      <w:sz w:val="56"/>
    </w:rPr>
  </w:style>
  <w:style w:type="paragraph" w:customStyle="1" w:styleId="LogoUPOV">
    <w:name w:val="LogoUPOV"/>
    <w:basedOn w:val="Normal"/>
    <w:rsid w:val="00E32374"/>
    <w:pPr>
      <w:spacing w:before="720"/>
      <w:jc w:val="center"/>
    </w:pPr>
    <w:rPr>
      <w:rFonts w:cs="Times New Roman"/>
    </w:rPr>
  </w:style>
  <w:style w:type="paragraph" w:customStyle="1" w:styleId="endofdoc">
    <w:name w:val="end_of_doc"/>
    <w:autoRedefine/>
    <w:rsid w:val="00E32374"/>
    <w:pPr>
      <w:ind w:left="567" w:hanging="567"/>
      <w:jc w:val="right"/>
    </w:pPr>
    <w:rPr>
      <w:rFonts w:cs="Times New Roman"/>
    </w:rPr>
  </w:style>
  <w:style w:type="character" w:customStyle="1" w:styleId="DocoriginalChar">
    <w:name w:val="Doc_original Char"/>
    <w:basedOn w:val="DefaultParagraphFont"/>
    <w:link w:val="Docoriginal"/>
    <w:rsid w:val="00E32374"/>
    <w:rPr>
      <w:rFonts w:cs="Times New Roman"/>
      <w:b/>
      <w:bCs/>
      <w:spacing w:val="10"/>
    </w:rPr>
  </w:style>
  <w:style w:type="character" w:customStyle="1" w:styleId="StyleDocoriginalNotBold1">
    <w:name w:val="Style Doc_original + Not Bold1"/>
    <w:basedOn w:val="DefaultParagraphFont"/>
    <w:rsid w:val="00E32374"/>
    <w:rPr>
      <w:rFonts w:ascii="Arial" w:hAnsi="Arial"/>
      <w:b/>
      <w:bCs/>
      <w:spacing w:val="10"/>
      <w:lang w:val="en-US" w:eastAsia="en-US" w:bidi="ar-SA"/>
    </w:rPr>
  </w:style>
  <w:style w:type="character" w:customStyle="1" w:styleId="StyleDoclangBold">
    <w:name w:val="Style Doc_lang + Bold"/>
    <w:basedOn w:val="DefaultParagraphFont"/>
    <w:rsid w:val="00E32374"/>
    <w:rPr>
      <w:rFonts w:ascii="Arial" w:hAnsi="Arial"/>
      <w:b/>
      <w:bCs/>
      <w:sz w:val="20"/>
      <w:lang w:val="en-US"/>
    </w:rPr>
  </w:style>
  <w:style w:type="character" w:customStyle="1" w:styleId="BodyTextChar">
    <w:name w:val="Body Text Char"/>
    <w:basedOn w:val="DefaultParagraphFont"/>
    <w:link w:val="BodyText"/>
    <w:rsid w:val="0085752E"/>
  </w:style>
  <w:style w:type="character" w:customStyle="1" w:styleId="BodyTextIndentChar">
    <w:name w:val="Body Text Indent Char"/>
    <w:basedOn w:val="DefaultParagraphFont"/>
    <w:link w:val="BodyTextIndent"/>
    <w:rsid w:val="0085752E"/>
    <w:rPr>
      <w:lang w:val="es-ES_tradnl"/>
    </w:rPr>
  </w:style>
  <w:style w:type="character" w:customStyle="1" w:styleId="CommentTextChar">
    <w:name w:val="Comment Text Char"/>
    <w:basedOn w:val="DefaultParagraphFont"/>
    <w:link w:val="CommentText"/>
    <w:semiHidden/>
    <w:rsid w:val="0085752E"/>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1745</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8</cp:revision>
  <cp:lastPrinted>2015-03-02T17:19:00Z</cp:lastPrinted>
  <dcterms:created xsi:type="dcterms:W3CDTF">2014-12-18T13:39:00Z</dcterms:created>
  <dcterms:modified xsi:type="dcterms:W3CDTF">2015-03-02T17:19:00Z</dcterms:modified>
</cp:coreProperties>
</file>