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F7E58" w:rsidTr="00C13808">
        <w:trPr>
          <w:trHeight w:val="1760"/>
        </w:trPr>
        <w:tc>
          <w:tcPr>
            <w:tcW w:w="4243" w:type="dxa"/>
          </w:tcPr>
          <w:p w:rsidR="000D7780" w:rsidRPr="00CF7E58" w:rsidRDefault="000D7780" w:rsidP="00F45372">
            <w:pPr>
              <w:rPr>
                <w:lang w:val="es-ES_tradnl"/>
              </w:rPr>
            </w:pPr>
          </w:p>
        </w:tc>
        <w:tc>
          <w:tcPr>
            <w:tcW w:w="1646" w:type="dxa"/>
            <w:vAlign w:val="center"/>
          </w:tcPr>
          <w:p w:rsidR="000D7780" w:rsidRPr="00CF7E58" w:rsidRDefault="00745D66" w:rsidP="00F45372">
            <w:pPr>
              <w:pStyle w:val="LogoUPOV"/>
              <w:rPr>
                <w:lang w:val="es-ES_tradnl"/>
              </w:rPr>
            </w:pPr>
            <w:r w:rsidRPr="00CF7E58">
              <w:rPr>
                <w:noProof/>
              </w:rPr>
              <w:drawing>
                <wp:inline distT="0" distB="0" distL="0" distR="0" wp14:anchorId="6568F8B4" wp14:editId="0719F86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F7E58" w:rsidRDefault="00A47CDB" w:rsidP="00F45372">
            <w:pPr>
              <w:pStyle w:val="Lettrine"/>
              <w:rPr>
                <w:lang w:val="es-ES_tradnl"/>
              </w:rPr>
            </w:pPr>
            <w:r w:rsidRPr="00CF7E58">
              <w:rPr>
                <w:lang w:val="es-ES_tradnl"/>
              </w:rPr>
              <w:t>S</w:t>
            </w:r>
          </w:p>
          <w:p w:rsidR="0097728B" w:rsidRDefault="0097728B" w:rsidP="00373109">
            <w:pPr>
              <w:pStyle w:val="Docoriginal"/>
              <w:ind w:left="952"/>
              <w:rPr>
                <w:rFonts w:cs="Arial"/>
              </w:rPr>
            </w:pPr>
            <w:bookmarkStart w:id="0" w:name="Code"/>
            <w:bookmarkEnd w:id="0"/>
            <w:r w:rsidRPr="00DE0A03">
              <w:rPr>
                <w:rFonts w:cs="Arial"/>
              </w:rPr>
              <w:t>UPOV/EXN/NUL/2 Draft 3</w:t>
            </w:r>
          </w:p>
          <w:p w:rsidR="000D7780" w:rsidRPr="00CF7E58" w:rsidRDefault="0061555F" w:rsidP="00373109">
            <w:pPr>
              <w:pStyle w:val="Docoriginal"/>
              <w:ind w:left="952"/>
              <w:rPr>
                <w:b w:val="0"/>
                <w:spacing w:val="0"/>
                <w:lang w:val="es-ES_tradnl"/>
              </w:rPr>
            </w:pPr>
            <w:r w:rsidRPr="00CF7E58">
              <w:rPr>
                <w:rStyle w:val="StyleDoclangBold"/>
                <w:b/>
                <w:bCs/>
                <w:spacing w:val="0"/>
                <w:lang w:val="es-ES_tradnl"/>
              </w:rPr>
              <w:t>ORIGINAL</w:t>
            </w:r>
            <w:r w:rsidR="000D7780" w:rsidRPr="00CF7E58">
              <w:rPr>
                <w:rStyle w:val="StyleDoclangBold"/>
                <w:b/>
                <w:bCs/>
                <w:spacing w:val="0"/>
                <w:lang w:val="es-ES_tradnl"/>
              </w:rPr>
              <w:t>:</w:t>
            </w:r>
            <w:r w:rsidRPr="00CF7E58">
              <w:rPr>
                <w:rStyle w:val="StyleDocoriginalNotBold1"/>
                <w:spacing w:val="0"/>
                <w:lang w:val="es-ES_tradnl"/>
              </w:rPr>
              <w:t xml:space="preserve"> </w:t>
            </w:r>
            <w:r w:rsidR="000D7780" w:rsidRPr="00CF7E58">
              <w:rPr>
                <w:rStyle w:val="StyleDocoriginalNotBold1"/>
                <w:spacing w:val="0"/>
                <w:lang w:val="es-ES_tradnl"/>
              </w:rPr>
              <w:t xml:space="preserve"> </w:t>
            </w:r>
            <w:bookmarkStart w:id="1" w:name="Original"/>
            <w:bookmarkEnd w:id="1"/>
            <w:r w:rsidR="00A47CDB" w:rsidRPr="00CF7E58">
              <w:rPr>
                <w:b w:val="0"/>
                <w:spacing w:val="0"/>
                <w:lang w:val="es-ES_tradnl"/>
              </w:rPr>
              <w:t>Inglés</w:t>
            </w:r>
          </w:p>
          <w:p w:rsidR="000D7780" w:rsidRPr="00CF7E58" w:rsidRDefault="00A47CDB" w:rsidP="00AC79B3">
            <w:pPr>
              <w:pStyle w:val="Docoriginal"/>
              <w:ind w:left="952"/>
              <w:rPr>
                <w:lang w:val="es-ES_tradnl"/>
              </w:rPr>
            </w:pPr>
            <w:r w:rsidRPr="00CF7E58">
              <w:rPr>
                <w:spacing w:val="0"/>
                <w:lang w:val="es-ES_tradnl"/>
              </w:rPr>
              <w:t>FECHA</w:t>
            </w:r>
            <w:r w:rsidR="000D7780" w:rsidRPr="00CF7E58">
              <w:rPr>
                <w:spacing w:val="0"/>
                <w:lang w:val="es-ES_tradnl"/>
              </w:rPr>
              <w:t>:</w:t>
            </w:r>
            <w:r w:rsidR="0061555F" w:rsidRPr="00CF7E58">
              <w:rPr>
                <w:b w:val="0"/>
                <w:spacing w:val="0"/>
                <w:lang w:val="es-ES_tradnl"/>
              </w:rPr>
              <w:t xml:space="preserve"> </w:t>
            </w:r>
            <w:r w:rsidR="000D7780" w:rsidRPr="00CF7E58">
              <w:rPr>
                <w:rStyle w:val="StyleDocoriginalNotBold1"/>
                <w:spacing w:val="0"/>
                <w:lang w:val="es-ES_tradnl"/>
              </w:rPr>
              <w:t xml:space="preserve"> </w:t>
            </w:r>
            <w:bookmarkStart w:id="2" w:name="Date"/>
            <w:bookmarkEnd w:id="2"/>
            <w:r w:rsidR="00AC79B3">
              <w:rPr>
                <w:b w:val="0"/>
                <w:spacing w:val="0"/>
                <w:lang w:val="es-ES_tradnl"/>
              </w:rPr>
              <w:t>2</w:t>
            </w:r>
            <w:r w:rsidR="00A21A30">
              <w:rPr>
                <w:b w:val="0"/>
                <w:spacing w:val="0"/>
                <w:lang w:val="es-ES_tradnl"/>
              </w:rPr>
              <w:t xml:space="preserve"> de </w:t>
            </w:r>
            <w:r w:rsidR="00AC79B3">
              <w:rPr>
                <w:b w:val="0"/>
                <w:spacing w:val="0"/>
                <w:lang w:val="es-ES_tradnl"/>
              </w:rPr>
              <w:t xml:space="preserve">marzo </w:t>
            </w:r>
            <w:r w:rsidR="00A21A30">
              <w:rPr>
                <w:b w:val="0"/>
                <w:spacing w:val="0"/>
                <w:lang w:val="es-ES_tradnl"/>
              </w:rPr>
              <w:t>de 2015</w:t>
            </w:r>
          </w:p>
        </w:tc>
      </w:tr>
      <w:tr w:rsidR="000D7780" w:rsidRPr="00CF7E58" w:rsidTr="00C13808">
        <w:tc>
          <w:tcPr>
            <w:tcW w:w="10131" w:type="dxa"/>
            <w:gridSpan w:val="3"/>
          </w:tcPr>
          <w:p w:rsidR="000D7780" w:rsidRPr="00CF7E58" w:rsidRDefault="00A47CDB" w:rsidP="00F45372">
            <w:pPr>
              <w:pStyle w:val="upove"/>
              <w:rPr>
                <w:sz w:val="28"/>
                <w:lang w:val="es-ES_tradnl"/>
              </w:rPr>
            </w:pPr>
            <w:r w:rsidRPr="00CF7E58">
              <w:rPr>
                <w:spacing w:val="2"/>
                <w:lang w:val="es-ES_tradnl"/>
              </w:rPr>
              <w:t>UNIÓN INTERNACIONAL PARA LA PROTECCIÓN DE LAS OBTENCIONES VEGETALES</w:t>
            </w:r>
          </w:p>
        </w:tc>
      </w:tr>
      <w:tr w:rsidR="000D7780" w:rsidRPr="00CF7E58" w:rsidTr="00C13808">
        <w:tc>
          <w:tcPr>
            <w:tcW w:w="10131" w:type="dxa"/>
            <w:gridSpan w:val="3"/>
          </w:tcPr>
          <w:p w:rsidR="000D7780" w:rsidRPr="00CF7E58" w:rsidRDefault="00A47CDB" w:rsidP="00F45372">
            <w:pPr>
              <w:pStyle w:val="Country"/>
              <w:rPr>
                <w:lang w:val="es-ES_tradnl"/>
              </w:rPr>
            </w:pPr>
            <w:r w:rsidRPr="00CF7E58">
              <w:rPr>
                <w:lang w:val="es-ES_tradnl"/>
              </w:rPr>
              <w:t>Ginebra</w:t>
            </w:r>
          </w:p>
        </w:tc>
      </w:tr>
    </w:tbl>
    <w:p w:rsidR="00085505" w:rsidRPr="00CF7E58" w:rsidRDefault="00085505" w:rsidP="00F45372">
      <w:pPr>
        <w:rPr>
          <w:snapToGrid w:val="0"/>
          <w:lang w:val="es-ES_tradnl"/>
        </w:rPr>
      </w:pPr>
    </w:p>
    <w:p w:rsidR="001C06B1" w:rsidRPr="00CF7E58"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p>
    <w:p w:rsidR="001C06B1" w:rsidRPr="00053C44"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r w:rsidRPr="00053C44">
        <w:rPr>
          <w:rFonts w:cs="Arial"/>
          <w:lang w:val="es-ES_tradnl"/>
        </w:rPr>
        <w:t>PROYECTO</w:t>
      </w:r>
    </w:p>
    <w:p w:rsidR="001C06B1" w:rsidRPr="00CF7E58"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r w:rsidRPr="00053C44">
        <w:rPr>
          <w:rFonts w:cs="Arial"/>
          <w:lang w:val="es-ES_tradnl"/>
        </w:rPr>
        <w:t>(REVISIÓN)</w:t>
      </w:r>
      <w:r w:rsidR="0097728B">
        <w:rPr>
          <w:rFonts w:cs="Arial"/>
          <w:lang w:val="es-ES_tradnl"/>
        </w:rPr>
        <w:br/>
      </w:r>
    </w:p>
    <w:p w:rsidR="001C06B1" w:rsidRPr="00CF7E58" w:rsidRDefault="0097728B" w:rsidP="001C06B1">
      <w:pPr>
        <w:spacing w:before="1200" w:after="240"/>
        <w:jc w:val="center"/>
        <w:rPr>
          <w:rFonts w:cs="Arial"/>
          <w:caps/>
          <w:lang w:val="es-ES_tradnl"/>
        </w:rPr>
      </w:pPr>
      <w:r w:rsidRPr="004B1EC1">
        <w:rPr>
          <w:rFonts w:cs="Arial"/>
          <w:caps/>
          <w:lang w:val="es-ES_tradnl"/>
        </w:rPr>
        <w:t>NOTAS EXPLICATIVAS SOBRE</w:t>
      </w:r>
      <w:r w:rsidRPr="004B1EC1">
        <w:rPr>
          <w:rFonts w:cs="Arial"/>
          <w:caps/>
          <w:lang w:val="es-ES_tradnl"/>
        </w:rPr>
        <w:br/>
      </w:r>
      <w:r w:rsidRPr="004B1EC1">
        <w:rPr>
          <w:rFonts w:cs="Arial"/>
          <w:caps/>
          <w:lang w:val="es-ES_tradnl"/>
        </w:rPr>
        <w:br/>
        <w:t xml:space="preserve">LA </w:t>
      </w:r>
      <w:r>
        <w:rPr>
          <w:rFonts w:cs="Arial"/>
          <w:caps/>
          <w:lang w:val="es-ES_tradnl"/>
        </w:rPr>
        <w:t>nulidad</w:t>
      </w:r>
      <w:r w:rsidRPr="004B1EC1">
        <w:rPr>
          <w:rFonts w:cs="Arial"/>
          <w:caps/>
          <w:lang w:val="es-ES_tradnl"/>
        </w:rPr>
        <w:t xml:space="preserve"> DEL DERECHO DE OBTENTOR</w:t>
      </w:r>
      <w:r w:rsidRPr="004B1EC1">
        <w:rPr>
          <w:rFonts w:cs="Arial"/>
          <w:caps/>
          <w:lang w:val="es-ES_tradnl"/>
        </w:rPr>
        <w:br/>
      </w:r>
      <w:r w:rsidRPr="004B1EC1">
        <w:rPr>
          <w:rFonts w:cs="Arial"/>
          <w:caps/>
          <w:lang w:val="es-ES_tradnl"/>
        </w:rPr>
        <w:br/>
        <w:t>CON ARREGLO AL CONVENIO DE LA UPOV</w:t>
      </w:r>
    </w:p>
    <w:p w:rsidR="001C06B1" w:rsidRPr="00CF7E58" w:rsidRDefault="001C06B1" w:rsidP="001C06B1">
      <w:pPr>
        <w:pStyle w:val="preparedby0"/>
        <w:widowControl w:val="0"/>
        <w:spacing w:after="960"/>
        <w:rPr>
          <w:rFonts w:cs="Arial"/>
          <w:i w:val="0"/>
          <w:lang w:val="es-ES_tradnl"/>
        </w:rPr>
      </w:pPr>
      <w:r w:rsidRPr="00CF7E58">
        <w:rPr>
          <w:rFonts w:cs="Arial"/>
          <w:lang w:val="es-ES_tradnl"/>
        </w:rPr>
        <w:br/>
      </w:r>
      <w:r w:rsidR="0097728B" w:rsidRPr="004B1EC1">
        <w:rPr>
          <w:rFonts w:cs="Arial"/>
          <w:lang w:val="es-ES_tradnl"/>
        </w:rPr>
        <w:t>Documento preparado por la Oficina de la Unión</w:t>
      </w:r>
      <w:r w:rsidR="0097728B" w:rsidRPr="004B1EC1">
        <w:rPr>
          <w:rFonts w:cs="Arial"/>
          <w:lang w:val="es-ES_tradnl"/>
        </w:rPr>
        <w:br/>
      </w:r>
      <w:r w:rsidR="0097728B" w:rsidRPr="004B1EC1">
        <w:rPr>
          <w:rFonts w:cs="Arial"/>
          <w:lang w:val="es-ES_tradnl"/>
        </w:rPr>
        <w:br/>
      </w:r>
      <w:r w:rsidR="0097728B" w:rsidRPr="004B1EC1">
        <w:rPr>
          <w:rFonts w:cs="Arial"/>
        </w:rPr>
        <w:t>para su examen por el Comité Administrativo y Jurídico</w:t>
      </w:r>
      <w:r w:rsidR="0097728B" w:rsidRPr="004B1EC1">
        <w:rPr>
          <w:rFonts w:cs="Arial"/>
        </w:rPr>
        <w:br/>
        <w:t xml:space="preserve">en su septuagésima </w:t>
      </w:r>
      <w:r w:rsidR="0097728B">
        <w:rPr>
          <w:rFonts w:cs="Arial"/>
        </w:rPr>
        <w:t xml:space="preserve">primera </w:t>
      </w:r>
      <w:r w:rsidR="0097728B" w:rsidRPr="004B1EC1">
        <w:rPr>
          <w:rFonts w:cs="Arial"/>
        </w:rPr>
        <w:t xml:space="preserve">sesión que se celebrará en Ginebra el </w:t>
      </w:r>
      <w:r w:rsidR="0097728B">
        <w:rPr>
          <w:rFonts w:cs="Arial"/>
        </w:rPr>
        <w:t xml:space="preserve">26 </w:t>
      </w:r>
      <w:r w:rsidR="0097728B" w:rsidRPr="004B1EC1">
        <w:rPr>
          <w:rFonts w:cs="Arial"/>
        </w:rPr>
        <w:t xml:space="preserve">de </w:t>
      </w:r>
      <w:r w:rsidR="0097728B">
        <w:rPr>
          <w:rFonts w:cs="Arial"/>
        </w:rPr>
        <w:t xml:space="preserve">marzo </w:t>
      </w:r>
      <w:r w:rsidR="0097728B" w:rsidRPr="004B1EC1">
        <w:rPr>
          <w:rFonts w:cs="Arial"/>
        </w:rPr>
        <w:t>de 201</w:t>
      </w:r>
      <w:r w:rsidR="0097728B">
        <w:rPr>
          <w:rFonts w:cs="Arial"/>
        </w:rPr>
        <w:t>5</w:t>
      </w:r>
      <w:r w:rsidRPr="00CF7E58">
        <w:rPr>
          <w:lang w:val="es-ES_tradnl"/>
        </w:rPr>
        <w:br/>
      </w:r>
      <w:r w:rsidRPr="00CF7E58">
        <w:rPr>
          <w:lang w:val="es-ES_tradnl"/>
        </w:rPr>
        <w:br/>
      </w:r>
      <w:r w:rsidRPr="00CF7E58">
        <w:rPr>
          <w:color w:val="A6A6A6"/>
          <w:lang w:val="es-ES_tradnl"/>
        </w:rPr>
        <w:t>Descargo de responsabilidad:  el presente documento no constituye</w:t>
      </w:r>
      <w:r w:rsidRPr="00CF7E58">
        <w:rPr>
          <w:color w:val="A6A6A6"/>
          <w:lang w:val="es-ES_tradnl"/>
        </w:rPr>
        <w:br/>
        <w:t>un documento de política u orientación de la UPOV</w:t>
      </w:r>
    </w:p>
    <w:p w:rsidR="001C06B1" w:rsidRPr="00CF7E58" w:rsidRDefault="001C06B1" w:rsidP="001C06B1">
      <w:pPr>
        <w:jc w:val="center"/>
        <w:rPr>
          <w:rFonts w:cs="Arial"/>
          <w:b/>
          <w:lang w:val="es-ES_tradnl"/>
        </w:rPr>
      </w:pPr>
    </w:p>
    <w:p w:rsidR="00D902A1" w:rsidRPr="00CF7E58" w:rsidRDefault="00D902A1" w:rsidP="001C06B1">
      <w:pPr>
        <w:jc w:val="center"/>
        <w:rPr>
          <w:rFonts w:cs="Arial"/>
          <w:b/>
          <w:lang w:val="es-ES_tradnl"/>
        </w:rPr>
      </w:pPr>
    </w:p>
    <w:p w:rsidR="00D902A1" w:rsidRPr="00CF7E58" w:rsidRDefault="00D902A1" w:rsidP="001C06B1">
      <w:pPr>
        <w:jc w:val="center"/>
        <w:rPr>
          <w:rFonts w:cs="Arial"/>
          <w:b/>
          <w:lang w:val="es-ES_tradn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97728B" w:rsidRPr="004B1EC1" w:rsidTr="001669AF">
        <w:trPr>
          <w:cantSplit/>
          <w:jc w:val="center"/>
        </w:trPr>
        <w:tc>
          <w:tcPr>
            <w:tcW w:w="6664" w:type="dxa"/>
            <w:shd w:val="clear" w:color="auto" w:fill="E6E6E6"/>
          </w:tcPr>
          <w:p w:rsidR="0097728B" w:rsidRPr="004B1EC1" w:rsidRDefault="0097728B" w:rsidP="001669AF">
            <w:pPr>
              <w:jc w:val="center"/>
              <w:rPr>
                <w:sz w:val="18"/>
                <w:szCs w:val="18"/>
                <w:lang w:val="es-ES_tradnl"/>
              </w:rPr>
            </w:pPr>
            <w:r>
              <w:rPr>
                <w:sz w:val="18"/>
                <w:szCs w:val="18"/>
                <w:lang w:val="es-ES_tradnl"/>
              </w:rPr>
              <w:t>Nota sobre la versión del proyecto</w:t>
            </w:r>
            <w:r w:rsidRPr="004B1EC1">
              <w:rPr>
                <w:sz w:val="18"/>
                <w:szCs w:val="18"/>
                <w:lang w:val="es-ES_tradnl"/>
              </w:rPr>
              <w:t xml:space="preserve"> </w:t>
            </w:r>
          </w:p>
          <w:p w:rsidR="0097728B" w:rsidRPr="004B1EC1" w:rsidRDefault="0097728B" w:rsidP="001669AF">
            <w:pPr>
              <w:jc w:val="center"/>
              <w:rPr>
                <w:sz w:val="18"/>
                <w:szCs w:val="18"/>
                <w:lang w:val="es-ES_tradnl"/>
              </w:rPr>
            </w:pPr>
          </w:p>
          <w:p w:rsidR="0097728B" w:rsidRPr="00DA6AAE" w:rsidRDefault="0097728B" w:rsidP="001669AF">
            <w:pPr>
              <w:rPr>
                <w:rFonts w:cs="Arial"/>
                <w:sz w:val="18"/>
                <w:szCs w:val="18"/>
                <w:lang w:val="es-ES_tradnl"/>
              </w:rPr>
            </w:pPr>
            <w:r w:rsidRPr="00DA6AAE">
              <w:rPr>
                <w:rFonts w:cs="Arial"/>
                <w:sz w:val="18"/>
                <w:szCs w:val="18"/>
              </w:rPr>
              <w:t xml:space="preserve">El </w:t>
            </w:r>
            <w:r w:rsidRPr="00DA6AAE">
              <w:rPr>
                <w:rFonts w:cs="Arial"/>
                <w:b/>
                <w:strike/>
                <w:sz w:val="18"/>
                <w:szCs w:val="18"/>
              </w:rPr>
              <w:t>texto tachado</w:t>
            </w:r>
            <w:r w:rsidRPr="00DA6AAE">
              <w:rPr>
                <w:rFonts w:cs="Arial"/>
                <w:b/>
                <w:sz w:val="18"/>
                <w:szCs w:val="18"/>
              </w:rPr>
              <w:t xml:space="preserve"> (y sombreado)</w:t>
            </w:r>
            <w:r w:rsidRPr="00DA6AAE">
              <w:rPr>
                <w:rFonts w:cs="Arial"/>
                <w:sz w:val="18"/>
                <w:szCs w:val="18"/>
              </w:rPr>
              <w:t xml:space="preserve"> indica lo que</w:t>
            </w:r>
            <w:r>
              <w:rPr>
                <w:rFonts w:cs="Arial"/>
                <w:sz w:val="18"/>
                <w:szCs w:val="18"/>
                <w:lang w:val="es-ES_tradnl"/>
              </w:rPr>
              <w:t xml:space="preserve"> </w:t>
            </w:r>
            <w:r w:rsidRPr="001D3C8D">
              <w:rPr>
                <w:rFonts w:cs="Arial"/>
                <w:sz w:val="18"/>
                <w:szCs w:val="18"/>
                <w:lang w:val="es-ES_tradnl"/>
              </w:rPr>
              <w:t>el Grupo Asesor del Comité Administrativo y Jurídico (CAJ-AG) ha acordado suprimir de la versión anterior (documento UPOV/E</w:t>
            </w:r>
            <w:r>
              <w:rPr>
                <w:rFonts w:cs="Arial"/>
                <w:sz w:val="18"/>
                <w:szCs w:val="18"/>
                <w:lang w:val="es-ES_tradnl"/>
              </w:rPr>
              <w:t>XN/NUL</w:t>
            </w:r>
            <w:r w:rsidRPr="001D3C8D">
              <w:rPr>
                <w:rFonts w:cs="Arial"/>
                <w:sz w:val="18"/>
                <w:szCs w:val="18"/>
                <w:lang w:val="es-ES_tradnl"/>
              </w:rPr>
              <w:t>/1).</w:t>
            </w:r>
          </w:p>
          <w:p w:rsidR="0097728B" w:rsidRPr="004B1EC1" w:rsidRDefault="0097728B" w:rsidP="001669AF">
            <w:pPr>
              <w:rPr>
                <w:rFonts w:cs="Arial"/>
                <w:sz w:val="18"/>
                <w:szCs w:val="18"/>
                <w:lang w:val="es-ES_tradnl"/>
              </w:rPr>
            </w:pPr>
          </w:p>
          <w:p w:rsidR="0097728B" w:rsidRPr="004B1EC1" w:rsidRDefault="0097728B" w:rsidP="001669AF">
            <w:pPr>
              <w:rPr>
                <w:rFonts w:cs="Arial"/>
                <w:sz w:val="18"/>
                <w:szCs w:val="18"/>
                <w:lang w:val="es-ES_tradnl"/>
              </w:rPr>
            </w:pPr>
            <w:r w:rsidRPr="00DA6AAE">
              <w:rPr>
                <w:rFonts w:eastAsia="SimSun"/>
                <w:lang w:eastAsia="es-ES"/>
              </w:rPr>
              <w:t xml:space="preserve">El </w:t>
            </w:r>
            <w:r w:rsidRPr="00DA6AAE">
              <w:rPr>
                <w:rFonts w:eastAsia="SimSun"/>
                <w:b/>
                <w:sz w:val="18"/>
                <w:u w:val="single"/>
                <w:lang w:eastAsia="es-ES"/>
              </w:rPr>
              <w:t>texto subrayado</w:t>
            </w:r>
            <w:r w:rsidRPr="00DA6AAE">
              <w:rPr>
                <w:rFonts w:eastAsia="SimSun"/>
                <w:b/>
                <w:sz w:val="18"/>
                <w:lang w:eastAsia="es-ES"/>
              </w:rPr>
              <w:t xml:space="preserve"> (y sombreado)</w:t>
            </w:r>
            <w:r>
              <w:rPr>
                <w:rFonts w:eastAsia="SimSun"/>
                <w:sz w:val="18"/>
                <w:lang w:eastAsia="es-ES"/>
              </w:rPr>
              <w:t xml:space="preserve"> indica lo que </w:t>
            </w:r>
            <w:r w:rsidRPr="001D3C8D">
              <w:rPr>
                <w:rFonts w:eastAsia="SimSun"/>
                <w:sz w:val="18"/>
                <w:lang w:eastAsia="es-ES"/>
              </w:rPr>
              <w:t>el CAJ-AG ha acordado insertar en la versión a</w:t>
            </w:r>
            <w:r>
              <w:rPr>
                <w:rFonts w:eastAsia="SimSun"/>
                <w:sz w:val="18"/>
                <w:lang w:eastAsia="es-ES"/>
              </w:rPr>
              <w:t>nterior (documento UPOV/EXN/NUL/</w:t>
            </w:r>
            <w:r w:rsidRPr="001D3C8D">
              <w:rPr>
                <w:rFonts w:eastAsia="SimSun"/>
                <w:sz w:val="18"/>
                <w:lang w:eastAsia="es-ES"/>
              </w:rPr>
              <w:t>1).</w:t>
            </w:r>
          </w:p>
          <w:p w:rsidR="0097728B" w:rsidRDefault="0097728B" w:rsidP="001669AF">
            <w:pPr>
              <w:rPr>
                <w:rFonts w:cs="Arial"/>
                <w:sz w:val="18"/>
                <w:szCs w:val="18"/>
                <w:lang w:val="es-ES_tradnl"/>
              </w:rPr>
            </w:pPr>
          </w:p>
          <w:p w:rsidR="0097728B" w:rsidRPr="00DA6AAE" w:rsidRDefault="0097728B" w:rsidP="001669AF">
            <w:pPr>
              <w:rPr>
                <w:szCs w:val="22"/>
                <w:lang w:val="es-ES_tradnl"/>
              </w:rPr>
            </w:pPr>
            <w:r>
              <w:rPr>
                <w:rFonts w:cs="Arial"/>
                <w:sz w:val="18"/>
                <w:szCs w:val="18"/>
                <w:lang w:val="es-ES_tradnl"/>
              </w:rPr>
              <w:t>Las</w:t>
            </w:r>
            <w:r w:rsidRPr="00DA6AAE">
              <w:rPr>
                <w:sz w:val="18"/>
                <w:szCs w:val="18"/>
                <w:lang w:val="es-ES_tradnl"/>
              </w:rPr>
              <w:t xml:space="preserve"> </w:t>
            </w:r>
            <w:r w:rsidRPr="00DA6AAE">
              <w:rPr>
                <w:b/>
                <w:sz w:val="18"/>
                <w:szCs w:val="18"/>
                <w:lang w:val="es-ES_tradnl"/>
              </w:rPr>
              <w:t>notas a pie de página</w:t>
            </w:r>
            <w:r w:rsidRPr="00DA6AAE">
              <w:rPr>
                <w:sz w:val="18"/>
                <w:szCs w:val="18"/>
                <w:lang w:val="es-ES_tradnl"/>
              </w:rPr>
              <w:t xml:space="preserve"> se conservará</w:t>
            </w:r>
            <w:r>
              <w:rPr>
                <w:sz w:val="18"/>
                <w:szCs w:val="18"/>
                <w:lang w:val="es-ES_tradnl"/>
              </w:rPr>
              <w:t xml:space="preserve">n </w:t>
            </w:r>
            <w:r w:rsidRPr="00DA6AAE">
              <w:rPr>
                <w:sz w:val="18"/>
                <w:szCs w:val="18"/>
                <w:lang w:val="es-ES_tradnl"/>
              </w:rPr>
              <w:t>en la versión del documento</w:t>
            </w:r>
            <w:r>
              <w:rPr>
                <w:sz w:val="18"/>
                <w:szCs w:val="18"/>
                <w:lang w:val="es-ES_tradnl"/>
              </w:rPr>
              <w:t xml:space="preserve"> que se haga pública</w:t>
            </w:r>
            <w:r w:rsidRPr="00DA6AAE">
              <w:rPr>
                <w:sz w:val="18"/>
                <w:szCs w:val="18"/>
                <w:lang w:val="es-ES_tradnl"/>
              </w:rPr>
              <w:t>.</w:t>
            </w:r>
          </w:p>
        </w:tc>
      </w:tr>
    </w:tbl>
    <w:p w:rsidR="001C06B1" w:rsidRPr="00CF7E58" w:rsidRDefault="001C06B1" w:rsidP="001C06B1">
      <w:pPr>
        <w:rPr>
          <w:rFonts w:cs="Arial"/>
          <w:lang w:val="es-ES_tradnl"/>
        </w:rPr>
      </w:pPr>
    </w:p>
    <w:p w:rsidR="00B74118" w:rsidRPr="00CF7E58" w:rsidRDefault="00B74118" w:rsidP="00B74118">
      <w:pPr>
        <w:rPr>
          <w:lang w:val="es-ES_tradnl"/>
        </w:rPr>
      </w:pPr>
    </w:p>
    <w:p w:rsidR="00B74118" w:rsidRPr="00CF7E58" w:rsidRDefault="00B74118" w:rsidP="001C06B1">
      <w:pPr>
        <w:rPr>
          <w:rFonts w:cs="Arial"/>
          <w:lang w:val="es-ES_tradnl"/>
        </w:rPr>
      </w:pPr>
    </w:p>
    <w:p w:rsidR="0097728B" w:rsidRDefault="0097728B">
      <w:pPr>
        <w:jc w:val="left"/>
        <w:rPr>
          <w:rFonts w:cs="Arial"/>
          <w:b/>
          <w:caps/>
          <w:noProof/>
          <w:lang w:val="es-ES_tradnl"/>
        </w:rPr>
      </w:pPr>
      <w:r>
        <w:rPr>
          <w:rFonts w:cs="Arial"/>
          <w:b/>
          <w:lang w:val="es-ES_tradnl"/>
        </w:rPr>
        <w:br w:type="page"/>
      </w:r>
    </w:p>
    <w:p w:rsidR="006461A2" w:rsidRPr="000937F7" w:rsidRDefault="000937F7" w:rsidP="00A21A30">
      <w:pPr>
        <w:pStyle w:val="TOC1"/>
      </w:pPr>
      <w:r>
        <w:lastRenderedPageBreak/>
        <w:t>ÍNDICE</w:t>
      </w:r>
    </w:p>
    <w:p w:rsidR="006461A2" w:rsidRDefault="006461A2" w:rsidP="00A21A30">
      <w:pPr>
        <w:pStyle w:val="TOC1"/>
      </w:pPr>
    </w:p>
    <w:p w:rsidR="00A21A30" w:rsidRDefault="0097728B">
      <w:pPr>
        <w:pStyle w:val="TOC2"/>
        <w:rPr>
          <w:rFonts w:asciiTheme="minorHAnsi" w:eastAsiaTheme="minorEastAsia" w:hAnsiTheme="minorHAnsi" w:cstheme="minorBidi"/>
          <w:i w:val="0"/>
          <w:sz w:val="22"/>
          <w:szCs w:val="22"/>
        </w:rPr>
      </w:pPr>
      <w:r w:rsidRPr="000937F7">
        <w:rPr>
          <w:b/>
          <w:caps/>
          <w:sz w:val="18"/>
          <w:szCs w:val="18"/>
          <w:lang w:val="es-ES_tradnl"/>
        </w:rPr>
        <w:fldChar w:fldCharType="begin"/>
      </w:r>
      <w:r w:rsidRPr="000937F7">
        <w:rPr>
          <w:sz w:val="18"/>
          <w:szCs w:val="18"/>
          <w:lang w:val="es-ES_tradnl"/>
        </w:rPr>
        <w:instrText xml:space="preserve"> TOC \o "1-3" \h \z \u </w:instrText>
      </w:r>
      <w:r w:rsidRPr="000937F7">
        <w:rPr>
          <w:b/>
          <w:caps/>
          <w:sz w:val="18"/>
          <w:szCs w:val="18"/>
          <w:lang w:val="es-ES_tradnl"/>
        </w:rPr>
        <w:fldChar w:fldCharType="separate"/>
      </w:r>
      <w:hyperlink w:anchor="_Toc412823168" w:history="1">
        <w:r w:rsidR="00A21A30" w:rsidRPr="000F1E10">
          <w:rPr>
            <w:rStyle w:val="Hyperlink"/>
          </w:rPr>
          <w:t>PREÁMBULO</w:t>
        </w:r>
        <w:r w:rsidR="00A21A30">
          <w:rPr>
            <w:webHidden/>
          </w:rPr>
          <w:tab/>
        </w:r>
        <w:r w:rsidR="00A21A30">
          <w:rPr>
            <w:webHidden/>
          </w:rPr>
          <w:fldChar w:fldCharType="begin"/>
        </w:r>
        <w:r w:rsidR="00A21A30">
          <w:rPr>
            <w:webHidden/>
          </w:rPr>
          <w:instrText xml:space="preserve"> PAGEREF _Toc412823168 \h </w:instrText>
        </w:r>
        <w:r w:rsidR="00A21A30">
          <w:rPr>
            <w:webHidden/>
          </w:rPr>
        </w:r>
        <w:r w:rsidR="00A21A30">
          <w:rPr>
            <w:webHidden/>
          </w:rPr>
          <w:fldChar w:fldCharType="separate"/>
        </w:r>
        <w:r w:rsidR="00493DB4">
          <w:rPr>
            <w:webHidden/>
          </w:rPr>
          <w:t>3</w:t>
        </w:r>
        <w:r w:rsidR="00A21A30">
          <w:rPr>
            <w:webHidden/>
          </w:rPr>
          <w:fldChar w:fldCharType="end"/>
        </w:r>
      </w:hyperlink>
    </w:p>
    <w:p w:rsidR="00A21A30" w:rsidRDefault="00493DB4">
      <w:pPr>
        <w:pStyle w:val="TOC2"/>
        <w:rPr>
          <w:rFonts w:asciiTheme="minorHAnsi" w:eastAsiaTheme="minorEastAsia" w:hAnsiTheme="minorHAnsi" w:cstheme="minorBidi"/>
          <w:i w:val="0"/>
          <w:sz w:val="22"/>
          <w:szCs w:val="22"/>
        </w:rPr>
      </w:pPr>
      <w:hyperlink w:anchor="_Toc412823169" w:history="1">
        <w:r w:rsidR="00A21A30" w:rsidRPr="000F1E10">
          <w:rPr>
            <w:rStyle w:val="Hyperlink"/>
          </w:rPr>
          <w:t xml:space="preserve">SECCIÓN I:  DISPOSICIONES SOBRE LA </w:t>
        </w:r>
        <w:r w:rsidR="00A21A30" w:rsidRPr="000F1E10">
          <w:rPr>
            <w:rStyle w:val="Hyperlink"/>
            <w:lang w:val="es-ES_tradnl"/>
          </w:rPr>
          <w:t>NULIDAD DEL DERECHO DE OBTENTOR</w:t>
        </w:r>
        <w:r w:rsidR="00A21A30">
          <w:rPr>
            <w:webHidden/>
          </w:rPr>
          <w:tab/>
        </w:r>
        <w:r w:rsidR="00A21A30">
          <w:rPr>
            <w:webHidden/>
          </w:rPr>
          <w:fldChar w:fldCharType="begin"/>
        </w:r>
        <w:r w:rsidR="00A21A30">
          <w:rPr>
            <w:webHidden/>
          </w:rPr>
          <w:instrText xml:space="preserve"> PAGEREF _Toc412823169 \h </w:instrText>
        </w:r>
        <w:r w:rsidR="00A21A30">
          <w:rPr>
            <w:webHidden/>
          </w:rPr>
        </w:r>
        <w:r w:rsidR="00A21A30">
          <w:rPr>
            <w:webHidden/>
          </w:rPr>
          <w:fldChar w:fldCharType="separate"/>
        </w:r>
        <w:r>
          <w:rPr>
            <w:webHidden/>
          </w:rPr>
          <w:t>4</w:t>
        </w:r>
        <w:r w:rsidR="00A21A30">
          <w:rPr>
            <w:webHidden/>
          </w:rPr>
          <w:fldChar w:fldCharType="end"/>
        </w:r>
      </w:hyperlink>
    </w:p>
    <w:p w:rsidR="00A21A30" w:rsidRDefault="00493DB4">
      <w:pPr>
        <w:pStyle w:val="TOC2"/>
        <w:rPr>
          <w:rFonts w:asciiTheme="minorHAnsi" w:eastAsiaTheme="minorEastAsia" w:hAnsiTheme="minorHAnsi" w:cstheme="minorBidi"/>
          <w:i w:val="0"/>
          <w:sz w:val="22"/>
          <w:szCs w:val="22"/>
        </w:rPr>
      </w:pPr>
      <w:hyperlink w:anchor="_Toc412823170" w:history="1">
        <w:r w:rsidR="00A21A30" w:rsidRPr="000F1E10">
          <w:rPr>
            <w:rStyle w:val="Hyperlink"/>
          </w:rPr>
          <w:t xml:space="preserve">SECCIÓN II:  CIERTOS ASPECTOS DE LAS DISPOSICIONES SOBRE LA </w:t>
        </w:r>
        <w:r w:rsidR="00A21A30" w:rsidRPr="000F1E10">
          <w:rPr>
            <w:rStyle w:val="Hyperlink"/>
            <w:lang w:val="es-ES_tradnl"/>
          </w:rPr>
          <w:t>NULIDAD DEL DERECHO DE OBTENTOR</w:t>
        </w:r>
        <w:r w:rsidR="00A21A30">
          <w:rPr>
            <w:webHidden/>
          </w:rPr>
          <w:tab/>
        </w:r>
        <w:r w:rsidR="00A21A30">
          <w:rPr>
            <w:webHidden/>
          </w:rPr>
          <w:fldChar w:fldCharType="begin"/>
        </w:r>
        <w:r w:rsidR="00A21A30">
          <w:rPr>
            <w:webHidden/>
          </w:rPr>
          <w:instrText xml:space="preserve"> PAGEREF _Toc412823170 \h </w:instrText>
        </w:r>
        <w:r w:rsidR="00A21A30">
          <w:rPr>
            <w:webHidden/>
          </w:rPr>
        </w:r>
        <w:r w:rsidR="00A21A30">
          <w:rPr>
            <w:webHidden/>
          </w:rPr>
          <w:fldChar w:fldCharType="separate"/>
        </w:r>
        <w:r>
          <w:rPr>
            <w:webHidden/>
          </w:rPr>
          <w:t>5</w:t>
        </w:r>
        <w:r w:rsidR="00A21A30">
          <w:rPr>
            <w:webHidden/>
          </w:rPr>
          <w:fldChar w:fldCharType="end"/>
        </w:r>
      </w:hyperlink>
    </w:p>
    <w:p w:rsidR="0097728B" w:rsidRPr="000937F7" w:rsidRDefault="0097728B" w:rsidP="00DB1B5F">
      <w:pPr>
        <w:tabs>
          <w:tab w:val="right" w:leader="dot" w:pos="9072"/>
        </w:tabs>
        <w:ind w:right="991"/>
        <w:rPr>
          <w:sz w:val="18"/>
          <w:szCs w:val="18"/>
          <w:lang w:val="es-ES_tradnl"/>
        </w:rPr>
      </w:pPr>
      <w:r w:rsidRPr="000937F7">
        <w:rPr>
          <w:rFonts w:cs="Arial"/>
          <w:bCs/>
          <w:sz w:val="18"/>
          <w:szCs w:val="18"/>
          <w:lang w:val="es-ES_tradnl"/>
        </w:rPr>
        <w:fldChar w:fldCharType="end"/>
      </w:r>
    </w:p>
    <w:p w:rsidR="0097728B" w:rsidRPr="004B1EC1" w:rsidRDefault="0097728B" w:rsidP="00387E30">
      <w:pPr>
        <w:pStyle w:val="Heading1"/>
        <w:jc w:val="center"/>
        <w:rPr>
          <w:lang w:val="es-ES_tradnl"/>
        </w:rPr>
      </w:pPr>
      <w:r w:rsidRPr="004B1EC1">
        <w:rPr>
          <w:lang w:val="es-ES_tradnl"/>
        </w:rPr>
        <w:br w:type="page"/>
      </w:r>
    </w:p>
    <w:p w:rsidR="00024109" w:rsidRDefault="00024109" w:rsidP="000B4351">
      <w:pPr>
        <w:pStyle w:val="Heading1"/>
        <w:jc w:val="center"/>
        <w:rPr>
          <w:rFonts w:cs="Arial"/>
        </w:rPr>
      </w:pPr>
      <w:bookmarkStart w:id="3" w:name="_Toc240702135"/>
    </w:p>
    <w:p w:rsidR="0097728B" w:rsidRPr="00BF455D" w:rsidRDefault="0097728B" w:rsidP="000937F7">
      <w:pPr>
        <w:jc w:val="center"/>
      </w:pPr>
      <w:r w:rsidRPr="00BF455D">
        <w:t xml:space="preserve">NOTAS EXPLICATIVAS SOBRE la </w:t>
      </w:r>
      <w:r w:rsidRPr="00BF455D">
        <w:rPr>
          <w:noProof/>
          <w:lang w:val="es-ES_tradnl"/>
        </w:rPr>
        <w:t>Nulidad del derecho de obtentor</w:t>
      </w:r>
      <w:r w:rsidRPr="00BF455D">
        <w:br/>
        <w:t>CON ARREGLO AL cONVENIO DE LA UPOV</w:t>
      </w:r>
      <w:bookmarkEnd w:id="3"/>
    </w:p>
    <w:p w:rsidR="0097728B" w:rsidRPr="00BF455D" w:rsidRDefault="0097728B" w:rsidP="000B4351">
      <w:pPr>
        <w:rPr>
          <w:rFonts w:cs="Arial"/>
        </w:rPr>
      </w:pPr>
    </w:p>
    <w:p w:rsidR="0097728B" w:rsidRPr="00BF455D" w:rsidRDefault="0097728B" w:rsidP="000937F7">
      <w:pPr>
        <w:pStyle w:val="Heading2"/>
      </w:pPr>
      <w:bookmarkStart w:id="4" w:name="_Toc229906622"/>
      <w:bookmarkStart w:id="5" w:name="_Toc240702136"/>
      <w:bookmarkStart w:id="6" w:name="_Toc412823168"/>
      <w:r w:rsidRPr="00BF455D">
        <w:t>PREÁMBULO</w:t>
      </w:r>
      <w:bookmarkEnd w:id="4"/>
      <w:bookmarkEnd w:id="5"/>
      <w:bookmarkEnd w:id="6"/>
    </w:p>
    <w:p w:rsidR="0097728B" w:rsidRPr="00BF455D" w:rsidRDefault="0097728B" w:rsidP="000B4351">
      <w:pPr>
        <w:rPr>
          <w:rFonts w:cs="Arial"/>
        </w:rPr>
      </w:pPr>
    </w:p>
    <w:p w:rsidR="0097728B" w:rsidRPr="00BF455D" w:rsidRDefault="0097728B" w:rsidP="000B4351">
      <w:pPr>
        <w:rPr>
          <w:rFonts w:cs="Arial"/>
        </w:rPr>
      </w:pPr>
      <w:r w:rsidRPr="00BF455D">
        <w:rPr>
          <w:rFonts w:cs="Arial"/>
        </w:rPr>
        <w:t>1.</w:t>
      </w:r>
      <w:r w:rsidRPr="00BF455D">
        <w:rPr>
          <w:rFonts w:cs="Arial"/>
        </w:rPr>
        <w:tab/>
        <w:t xml:space="preserve">El objetivo de las presentes notas explicativas es proporcionar algunas orientaciones respecto de la </w:t>
      </w:r>
      <w:r w:rsidRPr="00BF455D">
        <w:rPr>
          <w:rFonts w:cs="Arial"/>
          <w:noProof/>
          <w:lang w:val="es-ES_tradnl"/>
        </w:rPr>
        <w:t>nulidad del derecho de obtentor</w:t>
      </w:r>
      <w:r w:rsidRPr="00BF455D">
        <w:rPr>
          <w:rFonts w:cs="Arial"/>
        </w:rPr>
        <w:t xml:space="preserve"> con arreglo al Acta de 1991 del Convenio Internacional para la Protección de las Obtenciones Vegetales (en adelante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rsidR="0097728B" w:rsidRPr="00BF455D" w:rsidRDefault="0097728B" w:rsidP="000B4351">
      <w:pPr>
        <w:rPr>
          <w:rFonts w:cs="Arial"/>
        </w:rPr>
      </w:pPr>
    </w:p>
    <w:p w:rsidR="0097728B" w:rsidRPr="00BF455D" w:rsidRDefault="0097728B" w:rsidP="000B4351">
      <w:pPr>
        <w:rPr>
          <w:rFonts w:cs="Arial"/>
        </w:rPr>
      </w:pPr>
      <w:r w:rsidRPr="00BF455D">
        <w:rPr>
          <w:rFonts w:cs="Arial"/>
        </w:rPr>
        <w:t>2.</w:t>
      </w:r>
      <w:r w:rsidRPr="00BF455D">
        <w:rPr>
          <w:rFonts w:cs="Arial"/>
        </w:rPr>
        <w:tab/>
        <w:t>Las notas explicativas en la S</w:t>
      </w:r>
      <w:r w:rsidRPr="00BF455D">
        <w:rPr>
          <w:rFonts w:cs="Arial"/>
          <w:lang w:val="es-ES_tradnl"/>
        </w:rPr>
        <w:t>ección II</w:t>
      </w:r>
      <w:r w:rsidRPr="00BF455D">
        <w:rPr>
          <w:rFonts w:cs="Arial"/>
        </w:rPr>
        <w:t xml:space="preserve"> contienen orientaciones respecto de algunos aspectos de las disposiciones sobre de la </w:t>
      </w:r>
      <w:r w:rsidRPr="00BF455D">
        <w:rPr>
          <w:rFonts w:cs="Arial"/>
          <w:noProof/>
          <w:lang w:val="es-ES_tradnl"/>
        </w:rPr>
        <w:t>nulidad del derecho de obtentor</w:t>
      </w:r>
      <w:r w:rsidRPr="00BF455D">
        <w:rPr>
          <w:rFonts w:cs="Arial"/>
        </w:rPr>
        <w:t xml:space="preserve"> previstas en el artículo 21 del Acta de 1991 del Convenio de la UPOV y en el artículo 10.1) y 4) del Acta de 1978 del Convenio de la UPOV.  </w:t>
      </w:r>
    </w:p>
    <w:p w:rsidR="0097728B" w:rsidRPr="00BF455D" w:rsidRDefault="0097728B" w:rsidP="000B4351">
      <w:pPr>
        <w:rPr>
          <w:rFonts w:cs="Arial"/>
        </w:rPr>
      </w:pPr>
    </w:p>
    <w:p w:rsidR="0097728B" w:rsidRPr="00BF455D" w:rsidRDefault="0097728B" w:rsidP="000B4351">
      <w:pPr>
        <w:rPr>
          <w:rFonts w:cs="Arial"/>
        </w:rPr>
      </w:pPr>
    </w:p>
    <w:p w:rsidR="0097728B" w:rsidRPr="00DE0A03" w:rsidRDefault="0097728B" w:rsidP="000B4351">
      <w:pPr>
        <w:rPr>
          <w:rFonts w:cs="Arial"/>
        </w:rPr>
      </w:pPr>
    </w:p>
    <w:p w:rsidR="0097728B" w:rsidRPr="00DE0A03" w:rsidRDefault="0097728B" w:rsidP="000B4351">
      <w:pPr>
        <w:rPr>
          <w:rFonts w:cs="Arial"/>
        </w:rPr>
      </w:pPr>
    </w:p>
    <w:p w:rsidR="0097728B" w:rsidRPr="00BF455D" w:rsidRDefault="0097728B" w:rsidP="000B4351">
      <w:pPr>
        <w:pStyle w:val="Heading1"/>
        <w:jc w:val="center"/>
        <w:rPr>
          <w:rFonts w:cs="Arial"/>
        </w:rPr>
      </w:pPr>
      <w:r w:rsidRPr="00BF455D">
        <w:rPr>
          <w:rFonts w:cs="Arial"/>
        </w:rPr>
        <w:br w:type="page"/>
      </w:r>
      <w:bookmarkStart w:id="7" w:name="_Toc229906623"/>
    </w:p>
    <w:p w:rsidR="0097728B" w:rsidRPr="00BF455D" w:rsidRDefault="0097728B" w:rsidP="000937F7">
      <w:pPr>
        <w:pStyle w:val="Heading2"/>
      </w:pPr>
      <w:bookmarkStart w:id="8" w:name="_Toc240702137"/>
      <w:bookmarkStart w:id="9" w:name="_Toc412823169"/>
      <w:r w:rsidRPr="00BF455D">
        <w:lastRenderedPageBreak/>
        <w:t xml:space="preserve">SECCIÓN I:  DISPOSICIONES SOBRE </w:t>
      </w:r>
      <w:bookmarkEnd w:id="7"/>
      <w:r w:rsidRPr="00BF455D">
        <w:t xml:space="preserve">LA </w:t>
      </w:r>
      <w:r w:rsidRPr="00BF455D">
        <w:rPr>
          <w:noProof/>
          <w:lang w:val="es-ES_tradnl"/>
        </w:rPr>
        <w:t>NULIDAD DEL DERECHO DE OBTENTOR</w:t>
      </w:r>
      <w:bookmarkEnd w:id="8"/>
      <w:bookmarkEnd w:id="9"/>
    </w:p>
    <w:p w:rsidR="0097728B" w:rsidRPr="00BF455D" w:rsidRDefault="0097728B" w:rsidP="00024109">
      <w:pPr>
        <w:pStyle w:val="Heading2"/>
      </w:pPr>
    </w:p>
    <w:p w:rsidR="0097728B" w:rsidRPr="00BF455D" w:rsidRDefault="0097728B" w:rsidP="000B4351">
      <w:pPr>
        <w:rPr>
          <w:rFonts w:cs="Arial"/>
        </w:rPr>
      </w:pPr>
      <w:r w:rsidRPr="00DE0A03">
        <w:rPr>
          <w:rFonts w:cs="Arial"/>
        </w:rPr>
        <w:t>3.</w:t>
      </w:r>
      <w:r w:rsidRPr="00BF455D">
        <w:rPr>
          <w:rFonts w:cs="Arial"/>
        </w:rPr>
        <w:tab/>
        <w:t xml:space="preserve">Las disposiciones relativas a la </w:t>
      </w:r>
      <w:r w:rsidRPr="00BF455D">
        <w:rPr>
          <w:rFonts w:cs="Arial"/>
          <w:noProof/>
          <w:lang w:val="es-ES_tradnl"/>
        </w:rPr>
        <w:t>nulidad del derecho de obtentor</w:t>
      </w:r>
      <w:r w:rsidRPr="00BF455D">
        <w:rPr>
          <w:rFonts w:cs="Arial"/>
        </w:rPr>
        <w:t xml:space="preserve"> que figuran en el artículo 21 del Acta de 1991 del Convenio de la UPOV y en el artículo 10.1) y 4) del Acta de 1978 del Convenio de la UPOV se reproducen a continuación:</w:t>
      </w:r>
    </w:p>
    <w:p w:rsidR="0097728B" w:rsidRPr="00BF455D" w:rsidRDefault="0097728B" w:rsidP="000B4351">
      <w:pPr>
        <w:rPr>
          <w:rFonts w:cs="Arial"/>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left w:w="142" w:type="dxa"/>
          <w:bottom w:w="113" w:type="dxa"/>
          <w:right w:w="142" w:type="dxa"/>
        </w:tblCellMar>
        <w:tblLook w:val="0000" w:firstRow="0" w:lastRow="0" w:firstColumn="0" w:lastColumn="0" w:noHBand="0" w:noVBand="0"/>
      </w:tblPr>
      <w:tblGrid>
        <w:gridCol w:w="8193"/>
      </w:tblGrid>
      <w:tr w:rsidR="0097728B" w:rsidRPr="00BF455D" w:rsidTr="00E3130E">
        <w:trPr>
          <w:jc w:val="center"/>
        </w:trPr>
        <w:tc>
          <w:tcPr>
            <w:tcW w:w="8193" w:type="dxa"/>
          </w:tcPr>
          <w:p w:rsidR="0097728B" w:rsidRPr="00BF455D" w:rsidRDefault="0097728B" w:rsidP="00504DCD">
            <w:pPr>
              <w:jc w:val="center"/>
              <w:rPr>
                <w:rFonts w:cs="Arial"/>
              </w:rPr>
            </w:pPr>
            <w:r w:rsidRPr="00BF455D">
              <w:rPr>
                <w:rFonts w:cs="Arial"/>
              </w:rPr>
              <w:t>Artículo 21 del</w:t>
            </w:r>
            <w:r w:rsidRPr="00BF455D">
              <w:rPr>
                <w:rFonts w:cs="Arial"/>
                <w:b/>
              </w:rPr>
              <w:t xml:space="preserve"> Acta de 1991 </w:t>
            </w:r>
            <w:r w:rsidRPr="00BF455D">
              <w:rPr>
                <w:rFonts w:cs="Arial"/>
              </w:rPr>
              <w:t>del Convenio de la UPOV</w:t>
            </w:r>
          </w:p>
          <w:p w:rsidR="0097728B" w:rsidRPr="00BF455D" w:rsidRDefault="0097728B" w:rsidP="00504DCD">
            <w:pPr>
              <w:spacing w:line="360" w:lineRule="auto"/>
              <w:jc w:val="center"/>
              <w:rPr>
                <w:rFonts w:cs="Arial"/>
              </w:rPr>
            </w:pPr>
          </w:p>
          <w:p w:rsidR="0097728B" w:rsidRPr="00DE0A03" w:rsidRDefault="0097728B" w:rsidP="00504DCD">
            <w:pPr>
              <w:jc w:val="center"/>
              <w:rPr>
                <w:rFonts w:cs="Arial"/>
                <w:b/>
              </w:rPr>
            </w:pPr>
            <w:r w:rsidRPr="00DE0A03">
              <w:rPr>
                <w:rFonts w:cs="Arial"/>
                <w:b/>
              </w:rPr>
              <w:t>Artículo 21</w:t>
            </w:r>
          </w:p>
          <w:p w:rsidR="0097728B" w:rsidRPr="00DE0A03" w:rsidRDefault="0097728B" w:rsidP="00504DCD">
            <w:pPr>
              <w:jc w:val="center"/>
              <w:rPr>
                <w:rFonts w:cs="Arial"/>
                <w:b/>
              </w:rPr>
            </w:pPr>
          </w:p>
          <w:p w:rsidR="0097728B" w:rsidRPr="00DE0A03" w:rsidRDefault="0097728B" w:rsidP="00504DCD">
            <w:pPr>
              <w:jc w:val="center"/>
              <w:rPr>
                <w:rFonts w:cs="Arial"/>
                <w:b/>
              </w:rPr>
            </w:pPr>
            <w:r w:rsidRPr="00BF455D">
              <w:rPr>
                <w:rFonts w:cs="Arial"/>
                <w:b/>
                <w:noProof/>
                <w:lang w:val="es-ES_tradnl"/>
              </w:rPr>
              <w:t>Nulidad del derecho de obtentor</w:t>
            </w:r>
          </w:p>
          <w:p w:rsidR="0097728B" w:rsidRPr="00DE0A03" w:rsidRDefault="0097728B" w:rsidP="00504DCD">
            <w:pPr>
              <w:jc w:val="center"/>
              <w:rPr>
                <w:rFonts w:cs="Arial"/>
                <w:b/>
              </w:rPr>
            </w:pPr>
          </w:p>
          <w:p w:rsidR="0097728B" w:rsidRDefault="0097728B" w:rsidP="00504DCD">
            <w:pPr>
              <w:rPr>
                <w:rFonts w:cs="Arial"/>
              </w:rPr>
            </w:pPr>
            <w:r w:rsidRPr="00BF455D">
              <w:rPr>
                <w:rFonts w:cs="Arial"/>
              </w:rPr>
              <w:t>1)</w:t>
            </w:r>
            <w:r w:rsidRPr="00BF455D">
              <w:rPr>
                <w:rFonts w:cs="Arial"/>
              </w:rPr>
              <w:tab/>
              <w:t>[</w:t>
            </w:r>
            <w:r w:rsidRPr="00BF455D">
              <w:rPr>
                <w:rFonts w:cs="Arial"/>
                <w:i/>
              </w:rPr>
              <w:t>Causas de nulidad</w:t>
            </w:r>
            <w:r w:rsidRPr="00BF455D">
              <w:rPr>
                <w:rFonts w:cs="Arial"/>
              </w:rPr>
              <w:t>]  Cada Parte Contratante declarará nulo un derecho de obtentor que hubiera concedido, si se comprueba que</w:t>
            </w:r>
          </w:p>
          <w:p w:rsidR="0097728B" w:rsidRPr="00BF455D" w:rsidRDefault="0097728B" w:rsidP="00504DCD">
            <w:pPr>
              <w:rPr>
                <w:rFonts w:cs="Arial"/>
              </w:rPr>
            </w:pPr>
          </w:p>
          <w:p w:rsidR="0097728B" w:rsidRDefault="0097728B" w:rsidP="00504DCD">
            <w:pPr>
              <w:rPr>
                <w:rFonts w:cs="Arial"/>
              </w:rPr>
            </w:pPr>
            <w:r w:rsidRPr="00BF455D">
              <w:rPr>
                <w:rFonts w:cs="Arial"/>
              </w:rPr>
              <w:tab/>
              <w:t>i)</w:t>
            </w:r>
            <w:r w:rsidRPr="00BF455D">
              <w:rPr>
                <w:rFonts w:cs="Arial"/>
              </w:rPr>
              <w:tab/>
              <w:t>en el momento de la concesión del derecho de obtentor las condiciones establecidas en los Artículos 6 y 7 no fueron efectivamente cumplidas,</w:t>
            </w:r>
          </w:p>
          <w:p w:rsidR="0097728B" w:rsidRPr="00BF455D" w:rsidRDefault="0097728B" w:rsidP="00504DCD">
            <w:pPr>
              <w:rPr>
                <w:rFonts w:cs="Arial"/>
              </w:rPr>
            </w:pPr>
          </w:p>
          <w:p w:rsidR="0097728B" w:rsidRDefault="0097728B" w:rsidP="00504DCD">
            <w:pPr>
              <w:rPr>
                <w:rFonts w:cs="Arial"/>
              </w:rPr>
            </w:pPr>
            <w:r w:rsidRPr="00BF455D">
              <w:rPr>
                <w:rFonts w:cs="Arial"/>
              </w:rPr>
              <w:tab/>
              <w:t>ii)</w:t>
            </w:r>
            <w:r w:rsidRPr="00BF455D">
              <w:rPr>
                <w:rFonts w:cs="Arial"/>
              </w:rPr>
              <w:tab/>
              <w:t>cuando la concesión del derecho de obtentor se fundó esencialmente en las informaciones y documentos proporcionados por el obtentor, las condiciones fijadas en los Artículos 8 y 9 no fueron efectivamente cumplidas en el momento de concesión del derecho de obtentor</w:t>
            </w:r>
            <w:r w:rsidRPr="00BF455D">
              <w:rPr>
                <w:rFonts w:cs="Arial"/>
                <w:vertAlign w:val="superscript"/>
              </w:rPr>
              <w:t>[</w:t>
            </w:r>
            <w:r w:rsidRPr="00BF455D">
              <w:rPr>
                <w:rStyle w:val="FootnoteReference"/>
                <w:rFonts w:cs="Arial"/>
              </w:rPr>
              <w:footnoteReference w:id="2"/>
            </w:r>
            <w:r w:rsidRPr="00BF455D">
              <w:rPr>
                <w:rFonts w:cs="Arial"/>
                <w:vertAlign w:val="superscript"/>
              </w:rPr>
              <w:t>]</w:t>
            </w:r>
            <w:r w:rsidRPr="00BF455D">
              <w:rPr>
                <w:rFonts w:cs="Arial"/>
              </w:rPr>
              <w:t>, o</w:t>
            </w:r>
          </w:p>
          <w:p w:rsidR="0097728B" w:rsidRPr="00BF455D" w:rsidRDefault="0097728B" w:rsidP="00504DCD">
            <w:pPr>
              <w:rPr>
                <w:rFonts w:cs="Arial"/>
              </w:rPr>
            </w:pPr>
          </w:p>
          <w:p w:rsidR="0097728B" w:rsidRPr="00BF455D" w:rsidRDefault="0097728B" w:rsidP="00504DCD">
            <w:pPr>
              <w:rPr>
                <w:rFonts w:cs="Arial"/>
              </w:rPr>
            </w:pPr>
            <w:r w:rsidRPr="00BF455D">
              <w:rPr>
                <w:rFonts w:cs="Arial"/>
              </w:rPr>
              <w:tab/>
              <w:t>iii)</w:t>
            </w:r>
            <w:r w:rsidRPr="00BF455D">
              <w:rPr>
                <w:rFonts w:cs="Arial"/>
              </w:rPr>
              <w:tab/>
              <w:t>el derecho de obtentor fue concedido a una persona que no tenía derecho al mismo, a menos que se haya transferido a la persona a quien corresponde el derecho.</w:t>
            </w:r>
            <w:r w:rsidRPr="00BF455D">
              <w:rPr>
                <w:rFonts w:cs="Arial"/>
                <w:vertAlign w:val="superscript"/>
              </w:rPr>
              <w:t>[</w:t>
            </w:r>
            <w:r w:rsidRPr="00BF455D">
              <w:rPr>
                <w:rFonts w:cs="Arial"/>
                <w:vertAlign w:val="superscript"/>
              </w:rPr>
              <w:footnoteReference w:id="3"/>
            </w:r>
            <w:r w:rsidRPr="00BF455D">
              <w:rPr>
                <w:rFonts w:cs="Arial"/>
                <w:vertAlign w:val="superscript"/>
              </w:rPr>
              <w:t>]</w:t>
            </w:r>
          </w:p>
          <w:p w:rsidR="0097728B" w:rsidRPr="00BF455D" w:rsidRDefault="0097728B" w:rsidP="00504DCD">
            <w:pPr>
              <w:rPr>
                <w:rFonts w:cs="Arial"/>
              </w:rPr>
            </w:pPr>
          </w:p>
          <w:p w:rsidR="0097728B" w:rsidRPr="00BF455D" w:rsidRDefault="0097728B" w:rsidP="00504DCD">
            <w:pPr>
              <w:rPr>
                <w:rFonts w:cs="Arial"/>
              </w:rPr>
            </w:pPr>
            <w:r w:rsidRPr="00BF455D">
              <w:rPr>
                <w:rFonts w:cs="Arial"/>
              </w:rPr>
              <w:tab/>
              <w:t>2)</w:t>
            </w:r>
            <w:r w:rsidRPr="00BF455D">
              <w:rPr>
                <w:rFonts w:cs="Arial"/>
              </w:rPr>
              <w:tab/>
              <w:t>[</w:t>
            </w:r>
            <w:r w:rsidRPr="00BF455D">
              <w:rPr>
                <w:rFonts w:cs="Arial"/>
                <w:i/>
              </w:rPr>
              <w:t>Exclusión de cualquier otra causa</w:t>
            </w:r>
            <w:r w:rsidRPr="00BF455D">
              <w:rPr>
                <w:rFonts w:cs="Arial"/>
              </w:rPr>
              <w:t>]  Ningún derecho de obtentor podrá ser anulado por causas distintas de las mencionadas en el párrafo 1).</w:t>
            </w:r>
          </w:p>
          <w:p w:rsidR="0097728B" w:rsidRPr="00BF455D" w:rsidRDefault="0097728B" w:rsidP="00504DCD">
            <w:pPr>
              <w:rPr>
                <w:rFonts w:cs="Arial"/>
              </w:rPr>
            </w:pPr>
          </w:p>
        </w:tc>
      </w:tr>
    </w:tbl>
    <w:p w:rsidR="00024109" w:rsidRDefault="00024109"/>
    <w:p w:rsidR="00024109" w:rsidRDefault="00024109"/>
    <w:tbl>
      <w:tblPr>
        <w:tblW w:w="0" w:type="auto"/>
        <w:jc w:val="center"/>
        <w:tblBorders>
          <w:top w:val="single" w:sz="8" w:space="0" w:color="auto"/>
          <w:left w:val="single" w:sz="8" w:space="0" w:color="auto"/>
          <w:bottom w:val="single" w:sz="8" w:space="0" w:color="auto"/>
          <w:right w:val="single" w:sz="8" w:space="0" w:color="auto"/>
        </w:tblBorders>
        <w:tblCellMar>
          <w:top w:w="170" w:type="dxa"/>
          <w:left w:w="142" w:type="dxa"/>
          <w:bottom w:w="113" w:type="dxa"/>
          <w:right w:w="142" w:type="dxa"/>
        </w:tblCellMar>
        <w:tblLook w:val="0000" w:firstRow="0" w:lastRow="0" w:firstColumn="0" w:lastColumn="0" w:noHBand="0" w:noVBand="0"/>
      </w:tblPr>
      <w:tblGrid>
        <w:gridCol w:w="8193"/>
      </w:tblGrid>
      <w:tr w:rsidR="00024109" w:rsidRPr="00BF455D" w:rsidTr="00E3130E">
        <w:trPr>
          <w:jc w:val="center"/>
        </w:trPr>
        <w:tc>
          <w:tcPr>
            <w:tcW w:w="8193" w:type="dxa"/>
            <w:tcBorders>
              <w:bottom w:val="single" w:sz="8" w:space="0" w:color="auto"/>
            </w:tcBorders>
          </w:tcPr>
          <w:p w:rsidR="00024109" w:rsidRPr="00BF455D" w:rsidRDefault="00024109" w:rsidP="00024109">
            <w:pPr>
              <w:ind w:left="20"/>
              <w:jc w:val="center"/>
              <w:rPr>
                <w:rFonts w:cs="Arial"/>
              </w:rPr>
            </w:pPr>
            <w:r w:rsidRPr="00BF455D">
              <w:rPr>
                <w:rFonts w:cs="Arial"/>
              </w:rPr>
              <w:t>Artículo 10 del</w:t>
            </w:r>
            <w:r w:rsidRPr="00BF455D">
              <w:rPr>
                <w:rFonts w:cs="Arial"/>
                <w:b/>
              </w:rPr>
              <w:t xml:space="preserve"> Acta de 1978 </w:t>
            </w:r>
            <w:r w:rsidRPr="00BF455D">
              <w:rPr>
                <w:rFonts w:cs="Arial"/>
              </w:rPr>
              <w:t>del Convenio de la UPOV</w:t>
            </w:r>
          </w:p>
          <w:p w:rsidR="00024109" w:rsidRPr="00BF455D" w:rsidRDefault="00024109" w:rsidP="00024109">
            <w:pPr>
              <w:spacing w:line="360" w:lineRule="auto"/>
              <w:ind w:left="20"/>
              <w:jc w:val="center"/>
              <w:rPr>
                <w:rFonts w:cs="Arial"/>
              </w:rPr>
            </w:pPr>
          </w:p>
          <w:p w:rsidR="00024109" w:rsidRPr="00BF455D" w:rsidRDefault="00024109" w:rsidP="00024109">
            <w:pPr>
              <w:ind w:left="20"/>
              <w:jc w:val="center"/>
              <w:rPr>
                <w:rFonts w:cs="Arial"/>
                <w:b/>
              </w:rPr>
            </w:pPr>
            <w:r w:rsidRPr="00BF455D">
              <w:rPr>
                <w:rFonts w:cs="Arial"/>
                <w:b/>
              </w:rPr>
              <w:t>Artículo 10</w:t>
            </w:r>
          </w:p>
          <w:p w:rsidR="00024109" w:rsidRPr="00BF455D" w:rsidRDefault="00024109" w:rsidP="00024109">
            <w:pPr>
              <w:ind w:left="20"/>
              <w:rPr>
                <w:rFonts w:cs="Arial"/>
                <w:b/>
              </w:rPr>
            </w:pPr>
          </w:p>
          <w:p w:rsidR="00024109" w:rsidRPr="00BF455D" w:rsidRDefault="00024109" w:rsidP="00024109">
            <w:pPr>
              <w:autoSpaceDE w:val="0"/>
              <w:autoSpaceDN w:val="0"/>
              <w:adjustRightInd w:val="0"/>
              <w:ind w:left="20"/>
              <w:jc w:val="center"/>
              <w:rPr>
                <w:rFonts w:cs="Arial"/>
                <w:b/>
                <w:bCs/>
              </w:rPr>
            </w:pPr>
            <w:r w:rsidRPr="00BF455D">
              <w:rPr>
                <w:rFonts w:cs="Arial"/>
                <w:b/>
                <w:bCs/>
              </w:rPr>
              <w:t>Nulidad [y caducidad] de los derechos protegidos</w:t>
            </w:r>
          </w:p>
          <w:p w:rsidR="00024109" w:rsidRPr="00BF455D" w:rsidRDefault="00024109" w:rsidP="00024109">
            <w:pPr>
              <w:autoSpaceDE w:val="0"/>
              <w:autoSpaceDN w:val="0"/>
              <w:adjustRightInd w:val="0"/>
              <w:ind w:left="20"/>
              <w:jc w:val="left"/>
              <w:rPr>
                <w:rFonts w:cs="Arial"/>
                <w:b/>
                <w:bCs/>
              </w:rPr>
            </w:pPr>
          </w:p>
          <w:p w:rsidR="00024109" w:rsidRPr="00BF455D" w:rsidRDefault="00024109" w:rsidP="00024109">
            <w:pPr>
              <w:autoSpaceDE w:val="0"/>
              <w:autoSpaceDN w:val="0"/>
              <w:adjustRightInd w:val="0"/>
              <w:ind w:left="20" w:firstLine="567"/>
              <w:rPr>
                <w:rFonts w:cs="Arial"/>
              </w:rPr>
            </w:pPr>
            <w:r>
              <w:rPr>
                <w:rFonts w:cs="Arial"/>
              </w:rPr>
              <w:t>1)</w:t>
            </w:r>
            <w:r>
              <w:rPr>
                <w:rFonts w:cs="Arial"/>
              </w:rPr>
              <w:tab/>
            </w:r>
            <w:r w:rsidRPr="00BF455D">
              <w:rPr>
                <w:rFonts w:cs="Arial"/>
              </w:rPr>
              <w:t>Será declarado nulo el derecho del obtentor, de conformidad con las disposiciones de la legislación nacional de cada Estado de la Unión, si se comprueba que las condiciones fijadas en el Artículo 6.1)</w:t>
            </w:r>
            <w:r w:rsidRPr="00BF455D">
              <w:rPr>
                <w:rFonts w:cs="Arial"/>
                <w:i/>
                <w:iCs/>
              </w:rPr>
              <w:t xml:space="preserve">a) </w:t>
            </w:r>
            <w:r w:rsidRPr="00BF455D">
              <w:rPr>
                <w:rFonts w:cs="Arial"/>
              </w:rPr>
              <w:t xml:space="preserve">y </w:t>
            </w:r>
            <w:r w:rsidRPr="00BF455D">
              <w:rPr>
                <w:rFonts w:cs="Arial"/>
                <w:i/>
                <w:iCs/>
              </w:rPr>
              <w:t xml:space="preserve">b) </w:t>
            </w:r>
            <w:r w:rsidRPr="00BF455D">
              <w:rPr>
                <w:rFonts w:cs="Arial"/>
              </w:rPr>
              <w:t>no fueron efectivamente cumplidas en el momento de la concesión del título de protección.</w:t>
            </w:r>
          </w:p>
          <w:p w:rsidR="00024109" w:rsidRPr="00BF455D" w:rsidRDefault="00024109" w:rsidP="00024109">
            <w:pPr>
              <w:autoSpaceDE w:val="0"/>
              <w:autoSpaceDN w:val="0"/>
              <w:adjustRightInd w:val="0"/>
              <w:ind w:left="20"/>
              <w:rPr>
                <w:rFonts w:cs="Arial"/>
              </w:rPr>
            </w:pPr>
          </w:p>
          <w:p w:rsidR="00024109" w:rsidRDefault="00024109" w:rsidP="00024109">
            <w:pPr>
              <w:autoSpaceDE w:val="0"/>
              <w:autoSpaceDN w:val="0"/>
              <w:adjustRightInd w:val="0"/>
              <w:ind w:left="20"/>
              <w:rPr>
                <w:rFonts w:cs="Arial"/>
                <w:vertAlign w:val="superscript"/>
              </w:rPr>
            </w:pPr>
            <w:r w:rsidRPr="00BF455D">
              <w:rPr>
                <w:rFonts w:cs="Arial"/>
              </w:rPr>
              <w:tab/>
              <w:t>[…]</w:t>
            </w:r>
            <w:r w:rsidRPr="00BF455D">
              <w:rPr>
                <w:rFonts w:cs="Arial"/>
                <w:vertAlign w:val="superscript"/>
              </w:rPr>
              <w:t>[</w:t>
            </w:r>
            <w:r w:rsidRPr="00BF455D">
              <w:rPr>
                <w:rStyle w:val="FootnoteReference"/>
                <w:rFonts w:cs="Arial"/>
              </w:rPr>
              <w:footnoteReference w:id="4"/>
            </w:r>
            <w:r w:rsidRPr="00BF455D">
              <w:rPr>
                <w:rFonts w:cs="Arial"/>
                <w:vertAlign w:val="superscript"/>
              </w:rPr>
              <w:t>]</w:t>
            </w:r>
          </w:p>
          <w:p w:rsidR="00024109" w:rsidRPr="00BF455D" w:rsidRDefault="00024109" w:rsidP="00024109">
            <w:pPr>
              <w:autoSpaceDE w:val="0"/>
              <w:autoSpaceDN w:val="0"/>
              <w:adjustRightInd w:val="0"/>
              <w:ind w:left="20"/>
              <w:rPr>
                <w:rFonts w:cs="Arial"/>
              </w:rPr>
            </w:pPr>
          </w:p>
          <w:p w:rsidR="00024109" w:rsidRPr="00BF455D" w:rsidRDefault="00024109" w:rsidP="00024109">
            <w:pPr>
              <w:ind w:left="20"/>
              <w:jc w:val="center"/>
              <w:rPr>
                <w:rFonts w:cs="Arial"/>
              </w:rPr>
            </w:pPr>
            <w:r>
              <w:rPr>
                <w:rFonts w:cs="Arial"/>
              </w:rPr>
              <w:tab/>
              <w:t>4)</w:t>
            </w:r>
            <w:r>
              <w:rPr>
                <w:rFonts w:cs="Arial"/>
              </w:rPr>
              <w:tab/>
            </w:r>
            <w:r w:rsidRPr="00BF455D">
              <w:rPr>
                <w:rFonts w:cs="Arial"/>
              </w:rPr>
              <w:t>No podrá anularse el derecho del obtentor ni podrá ser desprovisto de su derecho por motivos distintos de los mencionados en el presente artículo.</w:t>
            </w:r>
          </w:p>
        </w:tc>
      </w:tr>
    </w:tbl>
    <w:p w:rsidR="00024109" w:rsidRPr="00BF455D" w:rsidRDefault="00024109" w:rsidP="000B4351">
      <w:pPr>
        <w:rPr>
          <w:rFonts w:cs="Arial"/>
        </w:rPr>
      </w:pPr>
    </w:p>
    <w:p w:rsidR="0097728B" w:rsidRPr="00BF455D" w:rsidRDefault="0097728B" w:rsidP="00024109">
      <w:bookmarkStart w:id="10" w:name="_Toc229906624"/>
    </w:p>
    <w:p w:rsidR="0097728B" w:rsidRDefault="0097728B" w:rsidP="000937F7">
      <w:pPr>
        <w:pStyle w:val="Heading2"/>
        <w:rPr>
          <w:noProof/>
          <w:lang w:val="es-ES_tradnl"/>
        </w:rPr>
      </w:pPr>
      <w:bookmarkStart w:id="11" w:name="_Toc240702138"/>
      <w:bookmarkStart w:id="12" w:name="_Toc412823170"/>
      <w:r w:rsidRPr="00BF455D">
        <w:lastRenderedPageBreak/>
        <w:t xml:space="preserve">SECCIÓN II:  CIERTOS ASPECTOS DE LAS DISPOSICIONES SOBRE </w:t>
      </w:r>
      <w:bookmarkEnd w:id="10"/>
      <w:r w:rsidRPr="00BF455D">
        <w:t xml:space="preserve">LA </w:t>
      </w:r>
      <w:r w:rsidRPr="00BF455D">
        <w:rPr>
          <w:noProof/>
          <w:lang w:val="es-ES_tradnl"/>
        </w:rPr>
        <w:t>NULIDAD DEL DERECHO DE OBTENTOR</w:t>
      </w:r>
      <w:bookmarkEnd w:id="11"/>
      <w:bookmarkEnd w:id="12"/>
    </w:p>
    <w:p w:rsidR="00024109" w:rsidRPr="00024109" w:rsidRDefault="00024109" w:rsidP="00024109">
      <w:pPr>
        <w:keepNext/>
        <w:rPr>
          <w:lang w:val="es-ES_tradnl"/>
        </w:rPr>
      </w:pPr>
    </w:p>
    <w:p w:rsidR="0097728B" w:rsidRPr="00BF455D" w:rsidRDefault="0097728B" w:rsidP="002E4B38">
      <w:pPr>
        <w:rPr>
          <w:rFonts w:cs="Arial"/>
          <w:lang w:val="es-ES_tradnl"/>
        </w:rPr>
      </w:pPr>
      <w:r w:rsidRPr="00FE3D0A">
        <w:rPr>
          <w:rFonts w:cs="Arial"/>
          <w:strike/>
          <w:highlight w:val="lightGray"/>
          <w:lang w:val="es-ES_tradnl"/>
        </w:rPr>
        <w:t>5.</w:t>
      </w:r>
      <w:r w:rsidRPr="00FE3D0A">
        <w:rPr>
          <w:rFonts w:cs="Arial"/>
          <w:highlight w:val="lightGray"/>
          <w:u w:val="single"/>
          <w:lang w:val="es-ES_tradnl"/>
        </w:rPr>
        <w:t>4.</w:t>
      </w:r>
      <w:r w:rsidRPr="00BF455D">
        <w:rPr>
          <w:rFonts w:cs="Arial"/>
          <w:u w:val="single"/>
          <w:lang w:val="es-ES_tradnl"/>
        </w:rPr>
        <w:tab/>
      </w:r>
      <w:r w:rsidRPr="00BF455D">
        <w:rPr>
          <w:rFonts w:cs="Arial"/>
          <w:lang w:val="es-ES_tradnl"/>
        </w:rPr>
        <w:t xml:space="preserve">El uso de la palabra “declarará” deja claro que la autoridad competente deberá declarar nulo el derecho de obtentor si se cumplen los criterios estipulados en el Artículo 21.1) del Acta de 1991 del Convenio de la </w:t>
      </w:r>
      <w:r w:rsidRPr="00BF455D">
        <w:rPr>
          <w:rFonts w:cs="Arial"/>
          <w:snapToGrid w:val="0"/>
          <w:lang w:val="es-ES_tradnl"/>
        </w:rPr>
        <w:t>UPOV</w:t>
      </w:r>
      <w:r w:rsidRPr="00BF455D">
        <w:rPr>
          <w:rFonts w:cs="Arial"/>
          <w:lang w:val="es-ES_tradnl"/>
        </w:rPr>
        <w:t>.</w:t>
      </w:r>
    </w:p>
    <w:p w:rsidR="0097728B" w:rsidRPr="00BF455D" w:rsidRDefault="0097728B" w:rsidP="000B4351">
      <w:pPr>
        <w:rPr>
          <w:rFonts w:cs="Arial"/>
          <w:lang w:val="es-ES_tradnl"/>
        </w:rPr>
      </w:pPr>
    </w:p>
    <w:p w:rsidR="0097728B" w:rsidRPr="00BF455D" w:rsidRDefault="0097728B" w:rsidP="000B4351">
      <w:pPr>
        <w:rPr>
          <w:rFonts w:cs="Arial"/>
          <w:lang w:val="es-ES_tradnl"/>
        </w:rPr>
      </w:pPr>
      <w:r w:rsidRPr="00FE3D0A">
        <w:rPr>
          <w:rFonts w:cs="Arial"/>
          <w:strike/>
          <w:highlight w:val="lightGray"/>
          <w:lang w:val="es-ES_tradnl"/>
        </w:rPr>
        <w:t>4.</w:t>
      </w:r>
      <w:r w:rsidRPr="00FE3D0A">
        <w:rPr>
          <w:rFonts w:cs="Arial"/>
          <w:highlight w:val="lightGray"/>
          <w:u w:val="single"/>
          <w:lang w:val="es-ES_tradnl"/>
        </w:rPr>
        <w:t>5.</w:t>
      </w:r>
      <w:r w:rsidRPr="00BF455D">
        <w:rPr>
          <w:rFonts w:cs="Arial"/>
          <w:u w:val="single"/>
          <w:lang w:val="es-ES_tradnl"/>
        </w:rPr>
        <w:tab/>
      </w:r>
      <w:r w:rsidRPr="00BF455D">
        <w:rPr>
          <w:rFonts w:cs="Arial"/>
          <w:lang w:val="es-ES_tradnl"/>
        </w:rPr>
        <w:t xml:space="preserve">La declaración de nulidad de un derecho de obtentor equivale a pronunciar que se trataba de un derecho sin validez y que no debería haber sido otorgado en primer lugar.  En cambio, cuando se declara la caducidad de un derecho de obtentor, este último habrá tenido validez hasta la fecha de caducidad y, en particular, en el momento de la concesión (véanse las Notas explicativas sobre la caducidad del derecho de obtentor con arreglo al Convenio de la </w:t>
      </w:r>
      <w:r w:rsidRPr="00BF455D">
        <w:rPr>
          <w:rFonts w:cs="Arial"/>
          <w:snapToGrid w:val="0"/>
          <w:lang w:val="es-ES_tradnl"/>
        </w:rPr>
        <w:t>UPOV (documento</w:t>
      </w:r>
      <w:r w:rsidRPr="00BF455D">
        <w:rPr>
          <w:rFonts w:cs="Arial"/>
          <w:lang w:val="es-ES_tradnl"/>
        </w:rPr>
        <w:t xml:space="preserve"> </w:t>
      </w:r>
      <w:hyperlink r:id="rId8" w:history="1">
        <w:r w:rsidR="004F3B6A" w:rsidRPr="004F3B6A">
          <w:rPr>
            <w:rStyle w:val="Hyperlink"/>
            <w:rFonts w:cs="Times New Roman"/>
            <w:sz w:val="20"/>
          </w:rPr>
          <w:t>UPOV/EXN/CAN</w:t>
        </w:r>
      </w:hyperlink>
      <w:r w:rsidRPr="00DE0A03">
        <w:rPr>
          <w:rFonts w:cs="Arial"/>
          <w:strike/>
          <w:noProof/>
          <w:highlight w:val="lightGray"/>
        </w:rPr>
        <w:t>/1</w:t>
      </w:r>
      <w:r w:rsidRPr="00BF455D">
        <w:rPr>
          <w:rFonts w:cs="Arial"/>
          <w:lang w:val="es-ES_tradnl"/>
        </w:rPr>
        <w:t>)).</w:t>
      </w:r>
    </w:p>
    <w:p w:rsidR="0097728B" w:rsidRDefault="0097728B" w:rsidP="000B4351">
      <w:pPr>
        <w:rPr>
          <w:rFonts w:cs="Arial"/>
          <w:lang w:val="es-ES_tradnl"/>
        </w:rPr>
      </w:pPr>
    </w:p>
    <w:p w:rsidR="0097728B" w:rsidRPr="00BF455D" w:rsidRDefault="0097728B" w:rsidP="000B4351">
      <w:pPr>
        <w:rPr>
          <w:rFonts w:cs="Arial"/>
          <w:lang w:val="es-ES_tradnl"/>
        </w:rPr>
      </w:pPr>
    </w:p>
    <w:p w:rsidR="0097728B" w:rsidRPr="006A160A" w:rsidRDefault="0097728B" w:rsidP="00365204">
      <w:pPr>
        <w:rPr>
          <w:rFonts w:cs="Arial"/>
          <w:i/>
          <w:highlight w:val="lightGray"/>
          <w:u w:val="single"/>
          <w:lang w:val="es-ES_tradnl"/>
        </w:rPr>
      </w:pPr>
      <w:r w:rsidRPr="006A160A">
        <w:rPr>
          <w:rFonts w:cs="Arial"/>
          <w:i/>
          <w:highlight w:val="lightGray"/>
          <w:u w:val="single"/>
          <w:lang w:val="es-ES_tradnl"/>
        </w:rPr>
        <w:t xml:space="preserve">Procedimientos y decisiones de nulidad </w:t>
      </w:r>
    </w:p>
    <w:p w:rsidR="0097728B" w:rsidRPr="006A160A" w:rsidRDefault="0097728B" w:rsidP="00365204">
      <w:pPr>
        <w:rPr>
          <w:rFonts w:cs="Arial"/>
          <w:highlight w:val="lightGray"/>
          <w:u w:val="single"/>
          <w:lang w:val="es-ES_tradnl"/>
        </w:rPr>
      </w:pPr>
    </w:p>
    <w:p w:rsidR="0097728B" w:rsidRPr="006A160A" w:rsidRDefault="0097728B" w:rsidP="00365204">
      <w:pPr>
        <w:rPr>
          <w:rFonts w:cs="Arial"/>
          <w:highlight w:val="lightGray"/>
          <w:u w:val="single"/>
          <w:lang w:val="es-ES_tradnl"/>
        </w:rPr>
      </w:pPr>
      <w:r w:rsidRPr="006A160A">
        <w:rPr>
          <w:rFonts w:cs="Arial"/>
          <w:highlight w:val="lightGray"/>
          <w:u w:val="single"/>
          <w:lang w:val="es-ES_tradnl"/>
        </w:rPr>
        <w:t>6.</w:t>
      </w:r>
      <w:r w:rsidRPr="006A160A">
        <w:rPr>
          <w:rFonts w:cs="Arial"/>
          <w:highlight w:val="lightGray"/>
          <w:u w:val="single"/>
          <w:lang w:val="es-ES_tradnl"/>
        </w:rPr>
        <w:tab/>
        <w:t xml:space="preserve">Los procedimientos de </w:t>
      </w:r>
      <w:r w:rsidR="00AC79B3">
        <w:rPr>
          <w:rFonts w:cs="Arial"/>
          <w:highlight w:val="lightGray"/>
          <w:u w:val="single"/>
          <w:lang w:val="es-ES_tradnl"/>
        </w:rPr>
        <w:t xml:space="preserve">nulidad </w:t>
      </w:r>
      <w:r w:rsidRPr="006A160A">
        <w:rPr>
          <w:rFonts w:cs="Arial"/>
          <w:highlight w:val="lightGray"/>
          <w:u w:val="single"/>
          <w:lang w:val="es-ES_tradnl"/>
        </w:rPr>
        <w:t>podrán ser iniciados a petición de un tercero o de oficio por la autoridad competente del miembro de la UPOV de que se trate.</w:t>
      </w:r>
    </w:p>
    <w:p w:rsidR="0097728B" w:rsidRPr="006A160A" w:rsidRDefault="0097728B" w:rsidP="00365204">
      <w:pPr>
        <w:rPr>
          <w:rFonts w:cs="Arial"/>
          <w:highlight w:val="lightGray"/>
          <w:u w:val="single"/>
          <w:lang w:val="es-ES_tradnl"/>
        </w:rPr>
      </w:pPr>
    </w:p>
    <w:p w:rsidR="0097728B" w:rsidRPr="006A160A" w:rsidRDefault="0097728B" w:rsidP="00365204">
      <w:pPr>
        <w:rPr>
          <w:rFonts w:cs="Arial"/>
          <w:highlight w:val="lightGray"/>
          <w:u w:val="single"/>
          <w:lang w:val="es-ES_tradnl"/>
        </w:rPr>
      </w:pPr>
      <w:r w:rsidRPr="006A160A">
        <w:rPr>
          <w:rFonts w:cs="Arial"/>
          <w:highlight w:val="lightGray"/>
          <w:u w:val="single"/>
          <w:lang w:val="es-ES_tradnl"/>
        </w:rPr>
        <w:t>7.</w:t>
      </w:r>
      <w:r w:rsidRPr="006A160A">
        <w:rPr>
          <w:rFonts w:cs="Arial"/>
          <w:highlight w:val="lightGray"/>
          <w:u w:val="single"/>
          <w:lang w:val="es-ES_tradnl"/>
        </w:rPr>
        <w:tab/>
        <w:t xml:space="preserve">En la legislación pertinente del miembro de la Unión en cuestión se determinará cuál es la autoridad o autoridades competentes para decidir sobre cuestiones relativas a la </w:t>
      </w:r>
      <w:r w:rsidR="00AC79B3">
        <w:rPr>
          <w:rFonts w:cs="Arial"/>
          <w:highlight w:val="lightGray"/>
          <w:u w:val="single"/>
          <w:lang w:val="es-ES_tradnl"/>
        </w:rPr>
        <w:t>nulidad</w:t>
      </w:r>
      <w:r w:rsidRPr="006A160A">
        <w:rPr>
          <w:rFonts w:cs="Arial"/>
          <w:highlight w:val="lightGray"/>
          <w:u w:val="single"/>
          <w:lang w:val="es-ES_tradnl"/>
        </w:rPr>
        <w:t xml:space="preserve"> del derecho de obtentor (por ejemplo, las autoridades que conceden derechos de obtentor, las autoridades judiciales).  La legislación pertinente podrá contener, además de la legislación que rige los derechos de obtentor, otra legislación sobre asuntos sustantivos y de procedimiento (por ejemplo, la legislación civil, la legislación penal).</w:t>
      </w:r>
    </w:p>
    <w:p w:rsidR="0097728B" w:rsidRPr="006A160A" w:rsidRDefault="0097728B" w:rsidP="000B4351">
      <w:pPr>
        <w:rPr>
          <w:rFonts w:cs="Arial"/>
          <w:highlight w:val="lightGray"/>
          <w:u w:val="single"/>
          <w:lang w:val="es-ES_tradnl"/>
        </w:rPr>
      </w:pPr>
    </w:p>
    <w:p w:rsidR="0097728B" w:rsidRPr="006A160A" w:rsidRDefault="0097728B" w:rsidP="000B4351">
      <w:pPr>
        <w:rPr>
          <w:rFonts w:cs="Arial"/>
          <w:highlight w:val="lightGray"/>
          <w:u w:val="single"/>
          <w:lang w:val="es-ES_tradnl"/>
        </w:rPr>
      </w:pPr>
      <w:r w:rsidRPr="006A160A">
        <w:rPr>
          <w:rFonts w:cs="Arial"/>
          <w:highlight w:val="lightGray"/>
          <w:u w:val="single"/>
          <w:lang w:val="es-ES_tradnl"/>
        </w:rPr>
        <w:t>8.</w:t>
      </w:r>
      <w:r w:rsidRPr="006A160A">
        <w:rPr>
          <w:rFonts w:cs="Arial"/>
          <w:highlight w:val="lightGray"/>
          <w:u w:val="single"/>
          <w:lang w:val="es-ES_tradnl"/>
        </w:rPr>
        <w:tab/>
        <w:t>El Convenio de la UPOV exige que se publiquen las decisiones relativas a la nulidad del derecho de obtentor (véanse el artículo 30.1)iii) del Acta de 1991 y el artículo 30.1)c) del Acta de 1978).</w:t>
      </w:r>
    </w:p>
    <w:p w:rsidR="0097728B" w:rsidRPr="006A160A" w:rsidRDefault="0097728B" w:rsidP="000B4351">
      <w:pPr>
        <w:rPr>
          <w:rFonts w:cs="Arial"/>
          <w:highlight w:val="lightGray"/>
          <w:u w:val="single"/>
          <w:lang w:val="es-ES_tradnl"/>
        </w:rPr>
      </w:pPr>
    </w:p>
    <w:p w:rsidR="0097728B" w:rsidRPr="006A160A" w:rsidRDefault="0097728B" w:rsidP="000B4351">
      <w:pPr>
        <w:rPr>
          <w:rFonts w:cs="Arial"/>
          <w:highlight w:val="lightGray"/>
          <w:u w:val="single"/>
          <w:lang w:val="es-ES_tradnl"/>
        </w:rPr>
      </w:pPr>
    </w:p>
    <w:p w:rsidR="0097728B" w:rsidRPr="006A160A" w:rsidRDefault="0097728B" w:rsidP="000B4351">
      <w:pPr>
        <w:rPr>
          <w:rFonts w:cs="Arial"/>
          <w:i/>
          <w:highlight w:val="lightGray"/>
          <w:u w:val="single"/>
          <w:lang w:val="es-ES_tradnl"/>
        </w:rPr>
      </w:pPr>
      <w:r w:rsidRPr="006A160A">
        <w:rPr>
          <w:rFonts w:cs="Arial"/>
          <w:i/>
          <w:highlight w:val="lightGray"/>
          <w:u w:val="single"/>
          <w:lang w:val="es-ES_tradnl"/>
        </w:rPr>
        <w:t>Efectos retroactivos</w:t>
      </w:r>
    </w:p>
    <w:p w:rsidR="0097728B" w:rsidRPr="006A160A" w:rsidRDefault="0097728B" w:rsidP="000B4351">
      <w:pPr>
        <w:rPr>
          <w:rFonts w:cs="Arial"/>
          <w:highlight w:val="lightGray"/>
          <w:u w:val="single"/>
          <w:lang w:val="es-ES_tradnl"/>
        </w:rPr>
      </w:pPr>
    </w:p>
    <w:p w:rsidR="0097728B" w:rsidRPr="00BF455D" w:rsidRDefault="0097728B" w:rsidP="00723A32">
      <w:pPr>
        <w:rPr>
          <w:rFonts w:cs="Arial"/>
          <w:lang w:val="es-ES_tradnl"/>
        </w:rPr>
      </w:pPr>
      <w:r w:rsidRPr="006A160A">
        <w:rPr>
          <w:rFonts w:cs="Arial"/>
          <w:highlight w:val="lightGray"/>
          <w:u w:val="single"/>
          <w:lang w:val="es-ES_tradnl"/>
        </w:rPr>
        <w:t>9.</w:t>
      </w:r>
      <w:r w:rsidRPr="006A160A">
        <w:rPr>
          <w:rFonts w:cs="Arial"/>
          <w:highlight w:val="lightGray"/>
          <w:u w:val="single"/>
          <w:lang w:val="es-ES_tradnl"/>
        </w:rPr>
        <w:tab/>
        <w:t>La decisión de declarar un derecho de obtentor nulo y sin efecto invalida el derecho desde la fecha de concesión, si bien la decisión de la autoridad competente respecto de la nulidad se tomará en una fecha posterior.  Por consiguiente, la nulidad tiene, en principio, carácter retroactivo.  Los efectos retroactivos de la nulidad podrán variar en la práctica.  Los recursos relativos a los efectos retroactivos de la nulidad dependerán de la legislación aplicable del miembro de la Unión en cuestión y podrán depender también de acuer</w:t>
      </w:r>
      <w:r w:rsidR="00AC79B3">
        <w:rPr>
          <w:rFonts w:cs="Arial"/>
          <w:highlight w:val="lightGray"/>
          <w:u w:val="single"/>
          <w:lang w:val="es-ES_tradnl"/>
        </w:rPr>
        <w:t xml:space="preserve">dos contractuales.  </w:t>
      </w:r>
      <w:r w:rsidRPr="006A160A">
        <w:rPr>
          <w:rFonts w:cs="Arial"/>
          <w:highlight w:val="lightGray"/>
          <w:u w:val="single"/>
          <w:lang w:val="es-ES_tradnl"/>
        </w:rPr>
        <w:t xml:space="preserve">En algunos casos, como en casos en los que el titular del derecho de obtentor cometa fraude o </w:t>
      </w:r>
      <w:r w:rsidR="00AC79B3">
        <w:rPr>
          <w:rFonts w:cs="Arial"/>
          <w:highlight w:val="lightGray"/>
          <w:u w:val="single"/>
          <w:lang w:val="es-ES_tradnl"/>
        </w:rPr>
        <w:t>actos abusivos intencionado</w:t>
      </w:r>
      <w:bookmarkStart w:id="13" w:name="_GoBack"/>
      <w:bookmarkEnd w:id="13"/>
      <w:r w:rsidRPr="006A160A">
        <w:rPr>
          <w:rFonts w:cs="Arial"/>
          <w:highlight w:val="lightGray"/>
          <w:u w:val="single"/>
          <w:lang w:val="es-ES_tradnl"/>
        </w:rPr>
        <w:t>s, podrá ser preceptivo el reintegro de las regalías abonadas u otros recursos.  En otros casos, puede que no sea aplicable el reintegro de las regalías percibidas por el titular del derecho de obtentor.</w:t>
      </w:r>
    </w:p>
    <w:p w:rsidR="0097728B" w:rsidRDefault="0097728B" w:rsidP="000B4351">
      <w:pPr>
        <w:rPr>
          <w:rFonts w:cs="Arial"/>
          <w:lang w:val="es-ES_tradnl"/>
        </w:rPr>
      </w:pPr>
    </w:p>
    <w:p w:rsidR="0097728B" w:rsidRDefault="0097728B" w:rsidP="000B4351">
      <w:pPr>
        <w:rPr>
          <w:rFonts w:cs="Arial"/>
          <w:lang w:val="es-ES_tradnl"/>
        </w:rPr>
      </w:pPr>
    </w:p>
    <w:p w:rsidR="0097728B" w:rsidRPr="00BF455D" w:rsidRDefault="0097728B" w:rsidP="000B4351">
      <w:pPr>
        <w:rPr>
          <w:rFonts w:cs="Arial"/>
          <w:lang w:val="es-ES_tradnl"/>
        </w:rPr>
      </w:pPr>
    </w:p>
    <w:p w:rsidR="0097728B" w:rsidRPr="00BF455D" w:rsidRDefault="0097728B" w:rsidP="000B4351">
      <w:pPr>
        <w:jc w:val="right"/>
        <w:rPr>
          <w:rFonts w:cs="Arial"/>
          <w:lang w:val="es-ES_tradnl"/>
        </w:rPr>
      </w:pPr>
      <w:r w:rsidRPr="00BF455D">
        <w:rPr>
          <w:rFonts w:cs="Arial"/>
          <w:lang w:val="es-ES_tradnl"/>
        </w:rPr>
        <w:t>[Fin del documento]</w:t>
      </w:r>
    </w:p>
    <w:p w:rsidR="0097728B" w:rsidRPr="00BF455D" w:rsidRDefault="0097728B" w:rsidP="000B4351">
      <w:pPr>
        <w:pStyle w:val="Heading1"/>
        <w:jc w:val="center"/>
        <w:rPr>
          <w:rFonts w:cs="Arial"/>
          <w:lang w:val="es-ES_tradnl"/>
        </w:rPr>
      </w:pPr>
    </w:p>
    <w:p w:rsidR="00A929D4" w:rsidRPr="00CF7E58" w:rsidRDefault="00A929D4" w:rsidP="00A929D4">
      <w:pPr>
        <w:rPr>
          <w:lang w:val="es-ES_tradnl"/>
        </w:rPr>
      </w:pPr>
    </w:p>
    <w:sectPr w:rsidR="00A929D4" w:rsidRPr="00CF7E58"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8B" w:rsidRDefault="0097728B" w:rsidP="00F45372">
      <w:r>
        <w:separator/>
      </w:r>
    </w:p>
    <w:p w:rsidR="0097728B" w:rsidRDefault="0097728B" w:rsidP="00F45372"/>
    <w:p w:rsidR="0097728B" w:rsidRDefault="0097728B" w:rsidP="00F45372"/>
  </w:endnote>
  <w:endnote w:type="continuationSeparator" w:id="0">
    <w:p w:rsidR="0097728B" w:rsidRDefault="0097728B" w:rsidP="00F45372">
      <w:r>
        <w:separator/>
      </w:r>
    </w:p>
    <w:p w:rsidR="0097728B" w:rsidRPr="00B108A6" w:rsidRDefault="0097728B">
      <w:pPr>
        <w:pStyle w:val="Footer"/>
        <w:spacing w:after="60"/>
        <w:rPr>
          <w:sz w:val="18"/>
          <w:lang w:val="fr-FR"/>
        </w:rPr>
      </w:pPr>
      <w:r w:rsidRPr="00B108A6">
        <w:rPr>
          <w:sz w:val="18"/>
          <w:lang w:val="fr-FR"/>
        </w:rPr>
        <w:t>[Suite de la note de la page précédente]</w:t>
      </w:r>
    </w:p>
    <w:p w:rsidR="0097728B" w:rsidRPr="00B108A6" w:rsidRDefault="0097728B" w:rsidP="00F45372">
      <w:pPr>
        <w:rPr>
          <w:lang w:val="fr-FR"/>
        </w:rPr>
      </w:pPr>
    </w:p>
    <w:p w:rsidR="0097728B" w:rsidRPr="00B108A6" w:rsidRDefault="0097728B" w:rsidP="00F45372">
      <w:pPr>
        <w:rPr>
          <w:lang w:val="fr-FR"/>
        </w:rPr>
      </w:pPr>
    </w:p>
  </w:endnote>
  <w:endnote w:type="continuationNotice" w:id="1">
    <w:p w:rsidR="0097728B" w:rsidRPr="00B108A6" w:rsidRDefault="0097728B" w:rsidP="00F45372">
      <w:pPr>
        <w:rPr>
          <w:lang w:val="fr-FR"/>
        </w:rPr>
      </w:pPr>
      <w:r w:rsidRPr="00B108A6">
        <w:rPr>
          <w:lang w:val="fr-FR"/>
        </w:rPr>
        <w:t>[Suite de la note page suivante]</w:t>
      </w:r>
    </w:p>
    <w:p w:rsidR="0097728B" w:rsidRPr="00B108A6" w:rsidRDefault="0097728B" w:rsidP="00F45372">
      <w:pPr>
        <w:rPr>
          <w:lang w:val="fr-FR"/>
        </w:rPr>
      </w:pPr>
    </w:p>
    <w:p w:rsidR="0097728B" w:rsidRPr="00B108A6" w:rsidRDefault="0097728B"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8B" w:rsidRDefault="0097728B" w:rsidP="006A59FA">
      <w:pPr>
        <w:spacing w:before="120"/>
      </w:pPr>
      <w:r>
        <w:separator/>
      </w:r>
    </w:p>
  </w:footnote>
  <w:footnote w:type="continuationSeparator" w:id="0">
    <w:p w:rsidR="0097728B" w:rsidRDefault="0097728B" w:rsidP="00F45372">
      <w:r>
        <w:separator/>
      </w:r>
    </w:p>
  </w:footnote>
  <w:footnote w:type="continuationNotice" w:id="1">
    <w:p w:rsidR="0097728B" w:rsidRPr="00721353" w:rsidRDefault="0097728B" w:rsidP="00721353">
      <w:pPr>
        <w:pStyle w:val="Footer"/>
      </w:pPr>
    </w:p>
  </w:footnote>
  <w:footnote w:id="2">
    <w:p w:rsidR="0097728B" w:rsidRPr="00DE0A03" w:rsidRDefault="0097728B" w:rsidP="000B4351">
      <w:pPr>
        <w:pStyle w:val="FootnoteText"/>
        <w:rPr>
          <w:rFonts w:cs="Arial"/>
          <w:szCs w:val="16"/>
        </w:rPr>
      </w:pPr>
      <w:r w:rsidRPr="00DB6F67">
        <w:rPr>
          <w:rStyle w:val="FootnoteReference"/>
          <w:rFonts w:cs="Arial"/>
          <w:szCs w:val="16"/>
        </w:rPr>
        <w:footnoteRef/>
      </w:r>
      <w:r w:rsidRPr="00DB6F67">
        <w:rPr>
          <w:rFonts w:cs="Arial"/>
          <w:szCs w:val="16"/>
        </w:rPr>
        <w:tab/>
      </w:r>
      <w:r w:rsidRPr="00DE0A03">
        <w:rPr>
          <w:rFonts w:cs="Arial"/>
          <w:szCs w:val="16"/>
        </w:rPr>
        <w:t>En el Acta de 1978 no hay disposiciones que corresponden al artículo 21.1)ii) del Acta de 1991.</w:t>
      </w:r>
    </w:p>
  </w:footnote>
  <w:footnote w:id="3">
    <w:p w:rsidR="0097728B" w:rsidRPr="00DE0A03" w:rsidRDefault="0097728B" w:rsidP="000B4351">
      <w:pPr>
        <w:pStyle w:val="FootnoteText"/>
        <w:rPr>
          <w:rFonts w:cs="Arial"/>
          <w:szCs w:val="16"/>
        </w:rPr>
      </w:pPr>
      <w:r w:rsidRPr="00DB6F67">
        <w:rPr>
          <w:rStyle w:val="FootnoteReference"/>
          <w:rFonts w:cs="Arial"/>
          <w:szCs w:val="16"/>
        </w:rPr>
        <w:footnoteRef/>
      </w:r>
      <w:r w:rsidRPr="00DE0A03">
        <w:rPr>
          <w:rFonts w:cs="Arial"/>
          <w:szCs w:val="16"/>
        </w:rPr>
        <w:tab/>
        <w:t>En el Acta de 1978 no hay disposiciones que corresponden al artículo 21.1)iii) del Acta de 1991.</w:t>
      </w:r>
    </w:p>
  </w:footnote>
  <w:footnote w:id="4">
    <w:p w:rsidR="00024109" w:rsidRPr="00DB6F67" w:rsidRDefault="00024109" w:rsidP="00024109">
      <w:pPr>
        <w:pStyle w:val="FootnoteText"/>
        <w:rPr>
          <w:rFonts w:cs="Arial"/>
          <w:szCs w:val="16"/>
        </w:rPr>
      </w:pPr>
      <w:r w:rsidRPr="00DB6F67">
        <w:rPr>
          <w:rStyle w:val="FootnoteReference"/>
          <w:rFonts w:cs="Arial"/>
          <w:szCs w:val="16"/>
        </w:rPr>
        <w:footnoteRef/>
      </w:r>
      <w:r w:rsidRPr="00DB6F67">
        <w:rPr>
          <w:rFonts w:cs="Arial"/>
          <w:szCs w:val="16"/>
        </w:rPr>
        <w:t xml:space="preserve"> </w:t>
      </w:r>
      <w:r w:rsidRPr="00DB6F67">
        <w:rPr>
          <w:rFonts w:cs="Arial"/>
          <w:szCs w:val="16"/>
        </w:rPr>
        <w:tab/>
        <w:t xml:space="preserve">Las disposiciones de los párrafos 2 y 3 del artículo 10 del Acta de 1978 tratan de la </w:t>
      </w:r>
      <w:r w:rsidRPr="00DB6F67">
        <w:rPr>
          <w:rFonts w:cs="Arial"/>
          <w:bCs/>
          <w:szCs w:val="16"/>
        </w:rPr>
        <w:t>caducidad</w:t>
      </w:r>
      <w:r w:rsidRPr="00DB6F67">
        <w:rPr>
          <w:rFonts w:cs="Arial"/>
          <w:szCs w:val="16"/>
        </w:rPr>
        <w:t xml:space="preserve"> de </w:t>
      </w:r>
      <w:r w:rsidRPr="00DB6F67">
        <w:rPr>
          <w:rFonts w:cs="Arial"/>
          <w:bCs/>
          <w:szCs w:val="16"/>
        </w:rPr>
        <w:t>los derechos protegidos</w:t>
      </w:r>
      <w:r w:rsidRPr="00DB6F67">
        <w:rPr>
          <w:rFonts w:cs="Arial"/>
          <w:szCs w:val="16"/>
        </w:rPr>
        <w:t xml:space="preserve"> (véanse las Notas explicativas sobre la </w:t>
      </w:r>
      <w:r w:rsidRPr="00DB6F67">
        <w:rPr>
          <w:rFonts w:cs="Arial"/>
          <w:bCs/>
          <w:szCs w:val="16"/>
        </w:rPr>
        <w:t>caducidad</w:t>
      </w:r>
      <w:r w:rsidRPr="00DB6F67">
        <w:rPr>
          <w:rFonts w:cs="Arial"/>
          <w:szCs w:val="16"/>
        </w:rPr>
        <w:t xml:space="preserve"> de </w:t>
      </w:r>
      <w:r w:rsidRPr="00DB6F67">
        <w:rPr>
          <w:rFonts w:cs="Arial"/>
          <w:bCs/>
          <w:szCs w:val="16"/>
        </w:rPr>
        <w:t>los derechos protegidos</w:t>
      </w:r>
      <w:r w:rsidRPr="00DB6F67">
        <w:rPr>
          <w:rFonts w:cs="Arial"/>
          <w:szCs w:val="16"/>
        </w:rPr>
        <w:t xml:space="preserve"> con arreglo al Convenio de la</w:t>
      </w:r>
      <w:r w:rsidRPr="00DB6F67">
        <w:rPr>
          <w:rFonts w:cs="Arial"/>
          <w:iCs/>
          <w:szCs w:val="16"/>
        </w:rPr>
        <w:t xml:space="preserve"> UPOV (documento </w:t>
      </w:r>
      <w:hyperlink r:id="rId1" w:history="1">
        <w:r w:rsidRPr="004F3B6A">
          <w:rPr>
            <w:rStyle w:val="Hyperlink"/>
            <w:noProof/>
            <w:sz w:val="16"/>
            <w:szCs w:val="16"/>
          </w:rPr>
          <w:t>UPOV/EXN/CAN</w:t>
        </w:r>
      </w:hyperlink>
      <w:r w:rsidRPr="00DE0A03">
        <w:rPr>
          <w:rFonts w:cs="Arial"/>
          <w:strike/>
          <w:noProof/>
          <w:szCs w:val="16"/>
          <w:highlight w:val="lightGray"/>
        </w:rPr>
        <w:t>/1</w:t>
      </w:r>
      <w:r w:rsidRPr="00DB6F67">
        <w:rPr>
          <w:rFonts w:cs="Arial"/>
          <w:iCs/>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6461A2" w:rsidP="00EB048E">
    <w:pPr>
      <w:pStyle w:val="Header"/>
      <w:rPr>
        <w:rStyle w:val="PageNumber"/>
        <w:lang w:val="es-ES_tradnl"/>
      </w:rPr>
    </w:pPr>
    <w:r w:rsidRPr="006461A2">
      <w:rPr>
        <w:rStyle w:val="PageNumber"/>
        <w:lang w:val="es-ES_tradnl"/>
      </w:rPr>
      <w:t>UPOV/EXN/NUL/2 Draft 3</w:t>
    </w:r>
  </w:p>
  <w:p w:rsidR="00721353" w:rsidRPr="008D3729" w:rsidRDefault="00721353"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493DB4">
      <w:rPr>
        <w:rStyle w:val="PageNumber"/>
        <w:noProof/>
        <w:lang w:val="es-ES_tradnl"/>
      </w:rPr>
      <w:t>5</w:t>
    </w:r>
    <w:r w:rsidRPr="008D3729">
      <w:rPr>
        <w:rStyle w:val="PageNumber"/>
        <w:lang w:val="es-ES_tradnl"/>
      </w:rPr>
      <w:fldChar w:fldCharType="end"/>
    </w:r>
  </w:p>
  <w:p w:rsidR="00721353" w:rsidRPr="008D3729" w:rsidRDefault="00721353" w:rsidP="00F45372">
    <w:pP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8B"/>
    <w:rsid w:val="0000571E"/>
    <w:rsid w:val="00010CF3"/>
    <w:rsid w:val="00011E27"/>
    <w:rsid w:val="000148BC"/>
    <w:rsid w:val="00024109"/>
    <w:rsid w:val="00024AB8"/>
    <w:rsid w:val="00030854"/>
    <w:rsid w:val="00036028"/>
    <w:rsid w:val="00044642"/>
    <w:rsid w:val="000446B9"/>
    <w:rsid w:val="00047E21"/>
    <w:rsid w:val="00053C44"/>
    <w:rsid w:val="000811CD"/>
    <w:rsid w:val="00085505"/>
    <w:rsid w:val="000937F7"/>
    <w:rsid w:val="000C244A"/>
    <w:rsid w:val="000C3D8D"/>
    <w:rsid w:val="000C7021"/>
    <w:rsid w:val="000D6BBC"/>
    <w:rsid w:val="000D7780"/>
    <w:rsid w:val="00105929"/>
    <w:rsid w:val="001131D5"/>
    <w:rsid w:val="00141DB8"/>
    <w:rsid w:val="00142198"/>
    <w:rsid w:val="0017474A"/>
    <w:rsid w:val="001758C6"/>
    <w:rsid w:val="001C06B1"/>
    <w:rsid w:val="001C5971"/>
    <w:rsid w:val="001F5EFB"/>
    <w:rsid w:val="001F7DBD"/>
    <w:rsid w:val="0021332C"/>
    <w:rsid w:val="00213982"/>
    <w:rsid w:val="00235267"/>
    <w:rsid w:val="0024416D"/>
    <w:rsid w:val="00264A36"/>
    <w:rsid w:val="00266E18"/>
    <w:rsid w:val="002800A0"/>
    <w:rsid w:val="002801B3"/>
    <w:rsid w:val="00281060"/>
    <w:rsid w:val="002940E8"/>
    <w:rsid w:val="002A6E50"/>
    <w:rsid w:val="002C256A"/>
    <w:rsid w:val="00305A7F"/>
    <w:rsid w:val="003152FE"/>
    <w:rsid w:val="00320AE8"/>
    <w:rsid w:val="00327436"/>
    <w:rsid w:val="00344BD6"/>
    <w:rsid w:val="00352228"/>
    <w:rsid w:val="0035528D"/>
    <w:rsid w:val="00361821"/>
    <w:rsid w:val="00370631"/>
    <w:rsid w:val="00373109"/>
    <w:rsid w:val="003D227C"/>
    <w:rsid w:val="003D2B4D"/>
    <w:rsid w:val="003D7E71"/>
    <w:rsid w:val="00444A88"/>
    <w:rsid w:val="00474DA4"/>
    <w:rsid w:val="00493DB4"/>
    <w:rsid w:val="004D047D"/>
    <w:rsid w:val="004F305A"/>
    <w:rsid w:val="004F3B6A"/>
    <w:rsid w:val="00512164"/>
    <w:rsid w:val="00520297"/>
    <w:rsid w:val="005338F9"/>
    <w:rsid w:val="0054281C"/>
    <w:rsid w:val="0055268D"/>
    <w:rsid w:val="00576BE4"/>
    <w:rsid w:val="00576BF0"/>
    <w:rsid w:val="005906CC"/>
    <w:rsid w:val="005A400A"/>
    <w:rsid w:val="00612379"/>
    <w:rsid w:val="0061555F"/>
    <w:rsid w:val="00641200"/>
    <w:rsid w:val="006461A2"/>
    <w:rsid w:val="00687EB4"/>
    <w:rsid w:val="006A59FA"/>
    <w:rsid w:val="006B17D2"/>
    <w:rsid w:val="006C224E"/>
    <w:rsid w:val="006D780A"/>
    <w:rsid w:val="00721353"/>
    <w:rsid w:val="00732DEC"/>
    <w:rsid w:val="00735BD5"/>
    <w:rsid w:val="00745438"/>
    <w:rsid w:val="00745D66"/>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911B5"/>
    <w:rsid w:val="008A743F"/>
    <w:rsid w:val="008C0970"/>
    <w:rsid w:val="008D2CF7"/>
    <w:rsid w:val="008D3729"/>
    <w:rsid w:val="00900C26"/>
    <w:rsid w:val="0090197F"/>
    <w:rsid w:val="00906DDC"/>
    <w:rsid w:val="00934E09"/>
    <w:rsid w:val="00936253"/>
    <w:rsid w:val="00952DD4"/>
    <w:rsid w:val="00970FED"/>
    <w:rsid w:val="0097728B"/>
    <w:rsid w:val="00997029"/>
    <w:rsid w:val="009D690D"/>
    <w:rsid w:val="009E65B6"/>
    <w:rsid w:val="00A21A30"/>
    <w:rsid w:val="00A42AC3"/>
    <w:rsid w:val="00A430CF"/>
    <w:rsid w:val="00A47CDB"/>
    <w:rsid w:val="00A54309"/>
    <w:rsid w:val="00A929D4"/>
    <w:rsid w:val="00AB2B93"/>
    <w:rsid w:val="00AB7E5B"/>
    <w:rsid w:val="00AC79B3"/>
    <w:rsid w:val="00AE0EF1"/>
    <w:rsid w:val="00B07301"/>
    <w:rsid w:val="00B108A6"/>
    <w:rsid w:val="00B224DE"/>
    <w:rsid w:val="00B72907"/>
    <w:rsid w:val="00B74118"/>
    <w:rsid w:val="00B84BBD"/>
    <w:rsid w:val="00BA43FB"/>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F7E36"/>
    <w:rsid w:val="00CF7E58"/>
    <w:rsid w:val="00D261C5"/>
    <w:rsid w:val="00D3708D"/>
    <w:rsid w:val="00D40426"/>
    <w:rsid w:val="00D57C96"/>
    <w:rsid w:val="00D902A1"/>
    <w:rsid w:val="00D91203"/>
    <w:rsid w:val="00D95174"/>
    <w:rsid w:val="00DA4685"/>
    <w:rsid w:val="00DA6F36"/>
    <w:rsid w:val="00DB596E"/>
    <w:rsid w:val="00DC00EA"/>
    <w:rsid w:val="00E3130E"/>
    <w:rsid w:val="00E72D49"/>
    <w:rsid w:val="00E7593C"/>
    <w:rsid w:val="00E7678A"/>
    <w:rsid w:val="00E80F31"/>
    <w:rsid w:val="00E935F1"/>
    <w:rsid w:val="00E94A81"/>
    <w:rsid w:val="00EA1FFB"/>
    <w:rsid w:val="00EA5245"/>
    <w:rsid w:val="00EB048E"/>
    <w:rsid w:val="00EE34DF"/>
    <w:rsid w:val="00EF2F89"/>
    <w:rsid w:val="00F00A88"/>
    <w:rsid w:val="00F1237A"/>
    <w:rsid w:val="00F22CBD"/>
    <w:rsid w:val="00F45372"/>
    <w:rsid w:val="00F560F7"/>
    <w:rsid w:val="00F6334D"/>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28B"/>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qFormat/>
    <w:rsid w:val="0002410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8911B5"/>
    <w:pPr>
      <w:tabs>
        <w:tab w:val="right" w:leader="dot" w:pos="9639"/>
      </w:tabs>
      <w:spacing w:before="120" w:after="120"/>
      <w:ind w:left="284" w:right="851"/>
    </w:pPr>
    <w:rPr>
      <w:rFonts w:ascii="Arial" w:hAnsi="Arial"/>
      <w:i/>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97728B"/>
    <w:rPr>
      <w:rFonts w:cs="Arial"/>
      <w:color w:val="0000FF"/>
      <w:sz w:val="18"/>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21A30"/>
    <w:pPr>
      <w:tabs>
        <w:tab w:val="right" w:leader="dot" w:pos="9639"/>
      </w:tabs>
      <w:contextualSpacing/>
      <w:jc w:val="center"/>
    </w:pPr>
    <w:rPr>
      <w:rFonts w:ascii="Arial" w:hAnsi="Arial"/>
      <w:caps/>
      <w:noProof/>
      <w:u w:val="single"/>
      <w:lang w:val="es-ES_tradnl"/>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table" w:styleId="TableGrid">
    <w:name w:val="Table Grid"/>
    <w:basedOn w:val="TableNormal"/>
    <w:rsid w:val="001C06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rsid w:val="001C06B1"/>
    <w:pPr>
      <w:spacing w:after="120"/>
      <w:ind w:left="720"/>
    </w:pPr>
  </w:style>
  <w:style w:type="paragraph" w:customStyle="1" w:styleId="TitleofSection">
    <w:name w:val="Title of Section"/>
    <w:basedOn w:val="TitleofDoc"/>
    <w:rsid w:val="001C06B1"/>
    <w:pPr>
      <w:spacing w:before="120" w:after="120"/>
    </w:pPr>
    <w:rPr>
      <w:b/>
      <w:caps w:val="0"/>
      <w:lang w:eastAsia="de-DE"/>
    </w:rPr>
  </w:style>
  <w:style w:type="paragraph" w:styleId="NormalWeb">
    <w:name w:val="Normal (Web)"/>
    <w:basedOn w:val="Normal"/>
    <w:rsid w:val="00B74118"/>
    <w:pPr>
      <w:spacing w:before="100" w:beforeAutospacing="1" w:after="100" w:afterAutospacing="1"/>
      <w:jc w:val="left"/>
    </w:pPr>
    <w:rPr>
      <w:rFonts w:ascii="Times New Roman" w:hAnsi="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28B"/>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qFormat/>
    <w:rsid w:val="0002410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8911B5"/>
    <w:pPr>
      <w:tabs>
        <w:tab w:val="right" w:leader="dot" w:pos="9639"/>
      </w:tabs>
      <w:spacing w:before="120" w:after="120"/>
      <w:ind w:left="284" w:right="851"/>
    </w:pPr>
    <w:rPr>
      <w:rFonts w:ascii="Arial" w:hAnsi="Arial"/>
      <w:i/>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97728B"/>
    <w:rPr>
      <w:rFonts w:cs="Arial"/>
      <w:color w:val="0000FF"/>
      <w:sz w:val="18"/>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21A30"/>
    <w:pPr>
      <w:tabs>
        <w:tab w:val="right" w:leader="dot" w:pos="9639"/>
      </w:tabs>
      <w:contextualSpacing/>
      <w:jc w:val="center"/>
    </w:pPr>
    <w:rPr>
      <w:rFonts w:ascii="Arial" w:hAnsi="Arial"/>
      <w:caps/>
      <w:noProof/>
      <w:u w:val="single"/>
      <w:lang w:val="es-ES_tradnl"/>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table" w:styleId="TableGrid">
    <w:name w:val="Table Grid"/>
    <w:basedOn w:val="TableNormal"/>
    <w:rsid w:val="001C06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rsid w:val="001C06B1"/>
    <w:pPr>
      <w:spacing w:after="120"/>
      <w:ind w:left="720"/>
    </w:pPr>
  </w:style>
  <w:style w:type="paragraph" w:customStyle="1" w:styleId="TitleofSection">
    <w:name w:val="Title of Section"/>
    <w:basedOn w:val="TitleofDoc"/>
    <w:rsid w:val="001C06B1"/>
    <w:pPr>
      <w:spacing w:before="120" w:after="120"/>
    </w:pPr>
    <w:rPr>
      <w:b/>
      <w:caps w:val="0"/>
      <w:lang w:eastAsia="de-DE"/>
    </w:rPr>
  </w:style>
  <w:style w:type="paragraph" w:styleId="NormalWeb">
    <w:name w:val="Normal (Web)"/>
    <w:basedOn w:val="Normal"/>
    <w:rsid w:val="00B74118"/>
    <w:pPr>
      <w:spacing w:before="100" w:beforeAutospacing="1" w:after="100" w:afterAutospacing="1"/>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explanatory_notes/es/"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xplanatory_note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template_INF_ES.dotx</Template>
  <TotalTime>30</TotalTime>
  <Pages>5</Pages>
  <Words>1088</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15</cp:revision>
  <cp:lastPrinted>2015-03-02T17:15:00Z</cp:lastPrinted>
  <dcterms:created xsi:type="dcterms:W3CDTF">2014-12-18T09:32:00Z</dcterms:created>
  <dcterms:modified xsi:type="dcterms:W3CDTF">2015-03-02T17:16:00Z</dcterms:modified>
</cp:coreProperties>
</file>