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C71A1" w:rsidRPr="00D4570A" w:rsidTr="00037788">
        <w:trPr>
          <w:trHeight w:val="1800"/>
        </w:trPr>
        <w:tc>
          <w:tcPr>
            <w:tcW w:w="4243" w:type="dxa"/>
          </w:tcPr>
          <w:p w:rsidR="009C71A1" w:rsidRPr="009169D1" w:rsidRDefault="009C71A1" w:rsidP="00D673EE">
            <w:pPr>
              <w:rPr>
                <w:color w:val="808080"/>
              </w:rPr>
            </w:pPr>
            <w:bookmarkStart w:id="0" w:name="_Toc374716168"/>
            <w:bookmarkStart w:id="1" w:name="_GoBack"/>
            <w:bookmarkEnd w:id="1"/>
          </w:p>
        </w:tc>
        <w:tc>
          <w:tcPr>
            <w:tcW w:w="1646" w:type="dxa"/>
            <w:vAlign w:val="center"/>
          </w:tcPr>
          <w:p w:rsidR="009C71A1" w:rsidRPr="009169D1" w:rsidRDefault="00D4570A" w:rsidP="00D673EE">
            <w:pPr>
              <w:pStyle w:val="LogoUPOV"/>
              <w:rPr>
                <w:color w:val="808080"/>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9C71A1" w:rsidRPr="00F96DDA" w:rsidRDefault="009C71A1" w:rsidP="00D673EE">
            <w:pPr>
              <w:pStyle w:val="Lettrine"/>
              <w:rPr>
                <w:lang w:val="es-ES"/>
              </w:rPr>
            </w:pPr>
            <w:r w:rsidRPr="00F96DDA">
              <w:rPr>
                <w:lang w:val="es-ES"/>
              </w:rPr>
              <w:t>S</w:t>
            </w:r>
          </w:p>
          <w:p w:rsidR="009C71A1" w:rsidRPr="00F96DDA" w:rsidRDefault="009C71A1" w:rsidP="00D673EE">
            <w:pPr>
              <w:pStyle w:val="Docoriginal"/>
              <w:ind w:left="1050"/>
              <w:jc w:val="left"/>
              <w:rPr>
                <w:lang w:val="es-ES"/>
              </w:rPr>
            </w:pPr>
            <w:r w:rsidRPr="00F96DDA">
              <w:rPr>
                <w:lang w:val="es-ES"/>
              </w:rPr>
              <w:t>CAJ/71/</w:t>
            </w:r>
            <w:bookmarkStart w:id="2" w:name="Code"/>
            <w:bookmarkEnd w:id="2"/>
            <w:r w:rsidRPr="00F96DDA">
              <w:rPr>
                <w:lang w:val="es-ES"/>
              </w:rPr>
              <w:t>8</w:t>
            </w:r>
          </w:p>
          <w:p w:rsidR="009C71A1" w:rsidRPr="00F96DDA" w:rsidRDefault="009C71A1" w:rsidP="00D673EE">
            <w:pPr>
              <w:pStyle w:val="Docoriginal"/>
              <w:ind w:left="1050"/>
              <w:jc w:val="left"/>
              <w:rPr>
                <w:lang w:val="es-ES"/>
              </w:rPr>
            </w:pPr>
            <w:r w:rsidRPr="00F96DDA">
              <w:rPr>
                <w:rStyle w:val="StyleDoclangBold"/>
                <w:b/>
                <w:bCs/>
                <w:spacing w:val="0"/>
                <w:lang w:val="es-ES_tradnl"/>
              </w:rPr>
              <w:t>ORIGINAL:</w:t>
            </w:r>
            <w:r w:rsidRPr="00F96DDA">
              <w:rPr>
                <w:rStyle w:val="StyleDocoriginalNotBold1"/>
                <w:spacing w:val="0"/>
                <w:lang w:val="es-ES_tradnl"/>
              </w:rPr>
              <w:t xml:space="preserve">  </w:t>
            </w:r>
            <w:bookmarkStart w:id="3" w:name="Original"/>
            <w:bookmarkEnd w:id="3"/>
            <w:r w:rsidRPr="00F96DDA">
              <w:rPr>
                <w:b w:val="0"/>
                <w:spacing w:val="0"/>
                <w:lang w:val="es-ES"/>
              </w:rPr>
              <w:t>Inglés</w:t>
            </w:r>
          </w:p>
          <w:p w:rsidR="009C71A1" w:rsidRPr="00F96DDA" w:rsidRDefault="009C71A1" w:rsidP="005A4E02">
            <w:pPr>
              <w:pStyle w:val="Docoriginal"/>
              <w:ind w:left="1050"/>
              <w:jc w:val="left"/>
              <w:rPr>
                <w:lang w:val="es-ES"/>
              </w:rPr>
            </w:pPr>
            <w:r w:rsidRPr="00F96DDA">
              <w:rPr>
                <w:spacing w:val="0"/>
                <w:lang w:val="es-ES"/>
              </w:rPr>
              <w:t>FECHA:</w:t>
            </w:r>
            <w:r w:rsidRPr="00F96DDA">
              <w:rPr>
                <w:b w:val="0"/>
                <w:spacing w:val="0"/>
                <w:lang w:val="es-ES"/>
              </w:rPr>
              <w:t xml:space="preserve"> </w:t>
            </w:r>
            <w:r w:rsidRPr="00F96DDA">
              <w:rPr>
                <w:rStyle w:val="StyleDocoriginalNotBold1"/>
                <w:spacing w:val="0"/>
                <w:lang w:val="es-ES_tradnl"/>
              </w:rPr>
              <w:t> 2</w:t>
            </w:r>
            <w:r w:rsidR="005A4E02">
              <w:rPr>
                <w:rStyle w:val="StyleDocoriginalNotBold1"/>
                <w:spacing w:val="0"/>
                <w:lang w:val="es-ES_tradnl"/>
              </w:rPr>
              <w:t>6</w:t>
            </w:r>
            <w:r w:rsidRPr="00F96DDA">
              <w:rPr>
                <w:rStyle w:val="StyleDocoriginalNotBold1"/>
                <w:spacing w:val="0"/>
                <w:lang w:val="es-ES_tradnl"/>
              </w:rPr>
              <w:t xml:space="preserve"> de febrero de </w:t>
            </w:r>
            <w:r w:rsidRPr="00F96DDA">
              <w:rPr>
                <w:b w:val="0"/>
                <w:spacing w:val="0"/>
                <w:lang w:val="es-ES"/>
              </w:rPr>
              <w:t>2015</w:t>
            </w:r>
          </w:p>
        </w:tc>
      </w:tr>
      <w:tr w:rsidR="009C71A1" w:rsidRPr="00D4570A" w:rsidTr="00D673EE">
        <w:tc>
          <w:tcPr>
            <w:tcW w:w="10131" w:type="dxa"/>
            <w:gridSpan w:val="3"/>
          </w:tcPr>
          <w:p w:rsidR="009C71A1" w:rsidRPr="00F96DDA" w:rsidRDefault="009C71A1" w:rsidP="00D673EE">
            <w:pPr>
              <w:pStyle w:val="upove"/>
              <w:rPr>
                <w:spacing w:val="2"/>
                <w:sz w:val="28"/>
                <w:lang w:val="es-ES"/>
              </w:rPr>
            </w:pPr>
            <w:r w:rsidRPr="00F96DDA">
              <w:rPr>
                <w:spacing w:val="2"/>
                <w:lang w:val="es-ES"/>
              </w:rPr>
              <w:t>UNIÓN INTERNACIONAL PARA LA PROTECCIÓN DE LAS OBTENCIONES VEGETALES</w:t>
            </w:r>
          </w:p>
        </w:tc>
      </w:tr>
      <w:tr w:rsidR="009C71A1" w:rsidRPr="009169D1" w:rsidTr="00D673EE">
        <w:tc>
          <w:tcPr>
            <w:tcW w:w="10131" w:type="dxa"/>
            <w:gridSpan w:val="3"/>
          </w:tcPr>
          <w:p w:rsidR="009C71A1" w:rsidRPr="00F96DDA" w:rsidRDefault="009C71A1" w:rsidP="00D673EE">
            <w:pPr>
              <w:pStyle w:val="Country"/>
              <w:rPr>
                <w:lang w:val="es-ES_tradnl"/>
              </w:rPr>
            </w:pPr>
            <w:r w:rsidRPr="00F96DDA">
              <w:rPr>
                <w:lang w:val="es-ES_tradnl"/>
              </w:rPr>
              <w:t>Ginebra</w:t>
            </w:r>
          </w:p>
        </w:tc>
      </w:tr>
    </w:tbl>
    <w:p w:rsidR="009C71A1" w:rsidRPr="00F96DDA" w:rsidRDefault="009C71A1" w:rsidP="00091B88">
      <w:pPr>
        <w:pStyle w:val="Sessiontc"/>
        <w:rPr>
          <w:lang w:val="es-ES_tradnl"/>
        </w:rPr>
      </w:pPr>
      <w:r w:rsidRPr="00F96DDA">
        <w:rPr>
          <w:lang w:val="es-ES_tradnl"/>
        </w:rPr>
        <w:t>Comité Administrativo y Jurídico</w:t>
      </w:r>
    </w:p>
    <w:p w:rsidR="009C71A1" w:rsidRPr="00F96DDA" w:rsidRDefault="009C71A1" w:rsidP="00091B88">
      <w:pPr>
        <w:pStyle w:val="Sessiontcplacedate"/>
        <w:rPr>
          <w:lang w:val="es-ES_tradnl"/>
        </w:rPr>
      </w:pPr>
      <w:r w:rsidRPr="00F96DDA">
        <w:rPr>
          <w:lang w:val="es-ES_tradnl"/>
        </w:rPr>
        <w:t>Septuagésima primera sesión</w:t>
      </w:r>
      <w:r w:rsidRPr="00F96DDA">
        <w:rPr>
          <w:lang w:val="es-ES_tradnl"/>
        </w:rPr>
        <w:br/>
        <w:t>Ginebra, 26 de marzo de 2015</w:t>
      </w:r>
    </w:p>
    <w:p w:rsidR="009C71A1" w:rsidRPr="00F96DDA" w:rsidRDefault="009C71A1" w:rsidP="00091B88">
      <w:pPr>
        <w:pStyle w:val="Titleofdoc0"/>
        <w:rPr>
          <w:lang w:val="es-ES_tradnl"/>
        </w:rPr>
      </w:pPr>
      <w:bookmarkStart w:id="4" w:name="TitleOfDoc"/>
      <w:bookmarkEnd w:id="4"/>
      <w:r w:rsidRPr="00F96DDA">
        <w:rPr>
          <w:lang w:val="es-ES_tradnl"/>
        </w:rPr>
        <w:t>TÉCNICAS MOLECULARES</w:t>
      </w:r>
    </w:p>
    <w:p w:rsidR="009C71A1" w:rsidRPr="00F96DDA" w:rsidRDefault="009C71A1" w:rsidP="00091B88">
      <w:pPr>
        <w:pStyle w:val="preparedby1"/>
        <w:rPr>
          <w:lang w:val="es-ES_tradnl"/>
        </w:rPr>
      </w:pPr>
      <w:bookmarkStart w:id="5" w:name="Prepared"/>
      <w:bookmarkEnd w:id="5"/>
      <w:r w:rsidRPr="00F96DDA">
        <w:rPr>
          <w:lang w:val="es-ES_tradnl"/>
        </w:rPr>
        <w:t>Documento preparado por la Oficina de la Unión</w:t>
      </w:r>
      <w:r w:rsidRPr="00F96DDA">
        <w:rPr>
          <w:lang w:val="es-ES_tradnl"/>
        </w:rPr>
        <w:br/>
      </w:r>
      <w:r w:rsidRPr="00804548">
        <w:rPr>
          <w:lang w:val="es-ES_tradnl"/>
        </w:rPr>
        <w:br/>
      </w:r>
      <w:r w:rsidRPr="00F96DDA">
        <w:rPr>
          <w:color w:val="A6A6A6"/>
          <w:lang w:val="es-ES_tradnl"/>
        </w:rPr>
        <w:t>Descargo de responsabilidad</w:t>
      </w:r>
      <w:proofErr w:type="gramStart"/>
      <w:r w:rsidRPr="00F96DDA">
        <w:rPr>
          <w:color w:val="A6A6A6"/>
          <w:lang w:val="es-ES_tradnl"/>
        </w:rPr>
        <w:t>:  el</w:t>
      </w:r>
      <w:proofErr w:type="gramEnd"/>
      <w:r w:rsidRPr="00F96DDA">
        <w:rPr>
          <w:color w:val="A6A6A6"/>
          <w:lang w:val="es-ES_tradnl"/>
        </w:rPr>
        <w:t xml:space="preserve"> presente documento no constituye</w:t>
      </w:r>
      <w:r w:rsidRPr="00F96DDA">
        <w:rPr>
          <w:color w:val="A6A6A6"/>
          <w:lang w:val="es-ES_tradnl"/>
        </w:rPr>
        <w:br/>
        <w:t>un documento de política u orientación de la UPOV</w:t>
      </w:r>
    </w:p>
    <w:p w:rsidR="009C71A1" w:rsidRPr="00804548" w:rsidRDefault="009C71A1" w:rsidP="000710BF">
      <w:pPr>
        <w:pStyle w:val="Heading1"/>
        <w:rPr>
          <w:color w:val="auto"/>
        </w:rPr>
      </w:pPr>
      <w:bookmarkStart w:id="6" w:name="_Toc413751702"/>
      <w:r w:rsidRPr="00F96DDA">
        <w:rPr>
          <w:color w:val="auto"/>
        </w:rPr>
        <w:t>RESUMEN</w:t>
      </w:r>
      <w:bookmarkEnd w:id="6"/>
    </w:p>
    <w:p w:rsidR="009C71A1" w:rsidRPr="00804548" w:rsidRDefault="009C71A1" w:rsidP="00312C2A">
      <w:pPr>
        <w:rPr>
          <w:lang w:val="es-ES_tradnl"/>
        </w:rPr>
      </w:pPr>
    </w:p>
    <w:p w:rsidR="009C71A1" w:rsidRPr="00804548" w:rsidRDefault="009C71A1" w:rsidP="00312C2A">
      <w:pPr>
        <w:rPr>
          <w:lang w:val="es-ES_tradnl" w:eastAsia="ja-JP"/>
        </w:rPr>
      </w:pPr>
      <w:r w:rsidRPr="00804548">
        <w:rPr>
          <w:lang w:val="es-ES_tradnl"/>
        </w:rPr>
        <w:fldChar w:fldCharType="begin"/>
      </w:r>
      <w:r w:rsidRPr="00804548">
        <w:rPr>
          <w:lang w:val="es-ES_tradnl"/>
        </w:rPr>
        <w:instrText xml:space="preserve"> AUTONUM  </w:instrText>
      </w:r>
      <w:r w:rsidRPr="00804548">
        <w:rPr>
          <w:lang w:val="es-ES_tradnl"/>
        </w:rPr>
        <w:fldChar w:fldCharType="end"/>
      </w:r>
      <w:r w:rsidRPr="00804548">
        <w:rPr>
          <w:lang w:val="es-ES_tradnl"/>
        </w:rPr>
        <w:tab/>
        <w:t>El presente documento tiene por finalidad informar acerca de las novedades que se han producido en el ámbito de las técnicas moleculares desde la septuagésima sesión del Comité Administrativo y Jurídico (CAJ) en relación con:</w:t>
      </w:r>
    </w:p>
    <w:p w:rsidR="009C71A1" w:rsidRPr="00804548" w:rsidRDefault="009C71A1" w:rsidP="00312C2A">
      <w:pPr>
        <w:rPr>
          <w:lang w:val="es-ES_tradnl" w:eastAsia="ja-JP"/>
        </w:rPr>
      </w:pPr>
    </w:p>
    <w:p w:rsidR="009C71A1" w:rsidRPr="00F96DDA" w:rsidRDefault="009C71A1" w:rsidP="003502DA">
      <w:pPr>
        <w:ind w:left="1170" w:hanging="603"/>
        <w:rPr>
          <w:lang w:val="es-ES_tradnl" w:eastAsia="ja-JP"/>
        </w:rPr>
      </w:pPr>
      <w:r w:rsidRPr="00F96DDA">
        <w:rPr>
          <w:lang w:val="es-ES_tradnl" w:eastAsia="ja-JP"/>
        </w:rPr>
        <w:t>a)</w:t>
      </w:r>
      <w:r w:rsidRPr="00F96DDA">
        <w:rPr>
          <w:lang w:val="es-ES_tradnl" w:eastAsia="ja-JP"/>
        </w:rPr>
        <w:tab/>
        <w:t>el Grupo de Trabajo sobre Técnicas Bioquímicas y Moleculares, y Perfiles de ADN en particular (BMT)</w:t>
      </w:r>
    </w:p>
    <w:p w:rsidR="009C71A1" w:rsidRPr="00F96DDA" w:rsidRDefault="009C71A1" w:rsidP="003502DA">
      <w:pPr>
        <w:ind w:left="1170" w:hanging="603"/>
        <w:rPr>
          <w:lang w:val="es-ES_tradnl" w:eastAsia="ja-JP"/>
        </w:rPr>
      </w:pPr>
      <w:r w:rsidRPr="00F96DDA">
        <w:rPr>
          <w:lang w:val="es-ES_tradnl" w:eastAsia="ja-JP"/>
        </w:rPr>
        <w:t>b)</w:t>
      </w:r>
      <w:r w:rsidRPr="00F96DDA">
        <w:rPr>
          <w:lang w:val="es-ES_tradnl" w:eastAsia="ja-JP"/>
        </w:rPr>
        <w:tab/>
        <w:t>el Taller conjunto OCDE-UPOV-ISTA sobre técnicas moleculares</w:t>
      </w:r>
    </w:p>
    <w:p w:rsidR="009C71A1" w:rsidRPr="00F96DDA" w:rsidRDefault="009C71A1" w:rsidP="00312C2A">
      <w:pPr>
        <w:ind w:left="1170" w:hanging="603"/>
        <w:rPr>
          <w:lang w:val="es-ES_tradnl" w:eastAsia="ja-JP"/>
        </w:rPr>
      </w:pPr>
      <w:r w:rsidRPr="00F96DDA">
        <w:rPr>
          <w:lang w:val="es-ES_tradnl" w:eastAsia="ja-JP"/>
        </w:rPr>
        <w:t>c)</w:t>
      </w:r>
      <w:r w:rsidRPr="00F96DDA">
        <w:rPr>
          <w:lang w:val="es-ES_tradnl" w:eastAsia="ja-JP"/>
        </w:rPr>
        <w:tab/>
        <w:t>el debate sobre técnicas moleculares mantenido por el Comité Técnico (TC) en su quincuagésima sesión</w:t>
      </w:r>
    </w:p>
    <w:p w:rsidR="009C71A1" w:rsidRPr="00F96DDA" w:rsidRDefault="009C71A1" w:rsidP="00312C2A">
      <w:pPr>
        <w:ind w:left="1170" w:hanging="603"/>
        <w:rPr>
          <w:lang w:val="es-ES_tradnl" w:eastAsia="ja-JP"/>
        </w:rPr>
      </w:pPr>
      <w:r w:rsidRPr="00F96DDA">
        <w:rPr>
          <w:lang w:val="es-ES_tradnl" w:eastAsia="ja-JP"/>
        </w:rPr>
        <w:t>d)</w:t>
      </w:r>
      <w:r w:rsidRPr="00F96DDA">
        <w:rPr>
          <w:lang w:val="es-ES_tradnl" w:eastAsia="ja-JP"/>
        </w:rPr>
        <w:tab/>
        <w:t>la presentación de información sobre la situación en la UPOV en lo que respecta al uso de técnicas moleculares</w:t>
      </w:r>
    </w:p>
    <w:p w:rsidR="009C71A1" w:rsidRPr="00804548" w:rsidRDefault="009C71A1" w:rsidP="00312C2A">
      <w:pPr>
        <w:jc w:val="left"/>
        <w:rPr>
          <w:lang w:val="es-ES_tradnl" w:eastAsia="ja-JP"/>
        </w:rPr>
      </w:pPr>
    </w:p>
    <w:p w:rsidR="009C71A1" w:rsidRPr="00804548" w:rsidRDefault="009C71A1" w:rsidP="00EB5683">
      <w:pPr>
        <w:pStyle w:val="DecisionParagraphs"/>
        <w:tabs>
          <w:tab w:val="clear" w:pos="5387"/>
          <w:tab w:val="left" w:pos="540"/>
        </w:tabs>
        <w:ind w:left="0"/>
        <w:rPr>
          <w:i w:val="0"/>
          <w:lang w:val="es-ES_tradnl"/>
        </w:rPr>
      </w:pPr>
      <w:r w:rsidRPr="00804548">
        <w:rPr>
          <w:i w:val="0"/>
          <w:lang w:val="es-ES_tradnl"/>
        </w:rPr>
        <w:fldChar w:fldCharType="begin"/>
      </w:r>
      <w:r w:rsidRPr="00804548">
        <w:rPr>
          <w:i w:val="0"/>
          <w:lang w:val="es-ES_tradnl"/>
        </w:rPr>
        <w:instrText xml:space="preserve"> AUTONUM  </w:instrText>
      </w:r>
      <w:r w:rsidRPr="00804548">
        <w:rPr>
          <w:i w:val="0"/>
          <w:lang w:val="es-ES_tradnl"/>
        </w:rPr>
        <w:fldChar w:fldCharType="end"/>
      </w:r>
      <w:r w:rsidRPr="00804548">
        <w:rPr>
          <w:i w:val="0"/>
          <w:lang w:val="es-ES_tradnl"/>
        </w:rPr>
        <w:tab/>
      </w:r>
      <w:r w:rsidRPr="00F96DDA">
        <w:rPr>
          <w:i w:val="0"/>
          <w:lang w:val="es-ES_tradnl"/>
        </w:rPr>
        <w:t>Se invita al CAJ a:</w:t>
      </w:r>
    </w:p>
    <w:p w:rsidR="009C71A1" w:rsidRPr="00804548" w:rsidRDefault="009C71A1" w:rsidP="00EB5683">
      <w:pPr>
        <w:rPr>
          <w:lang w:val="es-ES_tradnl" w:eastAsia="ja-JP"/>
        </w:rPr>
      </w:pPr>
    </w:p>
    <w:p w:rsidR="009C71A1" w:rsidRPr="00804548" w:rsidRDefault="009C71A1" w:rsidP="00EB5683">
      <w:pPr>
        <w:rPr>
          <w:lang w:val="es-ES_tradnl"/>
        </w:rPr>
      </w:pPr>
      <w:r w:rsidRPr="00804548">
        <w:rPr>
          <w:lang w:val="es-ES_tradnl"/>
        </w:rPr>
        <w:tab/>
      </w:r>
      <w:r w:rsidRPr="00F96DDA">
        <w:rPr>
          <w:lang w:val="es-ES_tradnl"/>
        </w:rPr>
        <w:t>a)</w:t>
      </w:r>
      <w:r w:rsidRPr="00804548">
        <w:rPr>
          <w:lang w:val="es-ES_tradnl"/>
        </w:rPr>
        <w:tab/>
        <w:t>tomar nota del informe sobre las novedades acaecidas en el BMT,</w:t>
      </w:r>
      <w:r w:rsidRPr="00804548">
        <w:rPr>
          <w:rStyle w:val="FootnoteReference"/>
          <w:lang w:val="es-ES_tradnl"/>
        </w:rPr>
        <w:footnoteReference w:id="2"/>
      </w:r>
      <w:r w:rsidRPr="00804548">
        <w:rPr>
          <w:lang w:val="es-ES_tradnl"/>
        </w:rPr>
        <w:t xml:space="preserve"> según consta en los párrafos 6 a 9 del presente documento;</w:t>
      </w:r>
    </w:p>
    <w:p w:rsidR="009C71A1" w:rsidRPr="00804548" w:rsidRDefault="009C71A1" w:rsidP="00EB5683">
      <w:pPr>
        <w:rPr>
          <w:lang w:val="es-ES_tradnl"/>
        </w:rPr>
      </w:pPr>
    </w:p>
    <w:p w:rsidR="009C71A1" w:rsidRPr="00804548" w:rsidRDefault="009C71A1" w:rsidP="00EB5683">
      <w:pPr>
        <w:rPr>
          <w:lang w:val="es-ES_tradnl"/>
        </w:rPr>
      </w:pPr>
      <w:r w:rsidRPr="00804548">
        <w:rPr>
          <w:lang w:val="es-ES_tradnl"/>
        </w:rPr>
        <w:tab/>
      </w:r>
      <w:r w:rsidRPr="00F96DDA">
        <w:rPr>
          <w:lang w:val="es-ES_tradnl"/>
        </w:rPr>
        <w:t>b)</w:t>
      </w:r>
      <w:r w:rsidRPr="00804548">
        <w:rPr>
          <w:lang w:val="es-ES_tradnl"/>
        </w:rPr>
        <w:tab/>
        <w:t>tomar nota de que el Taller conjunto OCDE-UPOV-ISTA sobre técnicas moleculares</w:t>
      </w:r>
      <w:r w:rsidRPr="00804548">
        <w:rPr>
          <w:rStyle w:val="FootnoteReference"/>
          <w:lang w:val="es-ES_tradnl" w:eastAsia="ja-JP"/>
        </w:rPr>
        <w:footnoteReference w:id="3"/>
      </w:r>
      <w:r w:rsidRPr="00804548">
        <w:rPr>
          <w:lang w:val="es-ES_tradnl"/>
        </w:rPr>
        <w:t xml:space="preserve"> convino en que sería útil repetir el taller conjunto en las reuniones pertinentes de la OCDE y la ISTA y, a este </w:t>
      </w:r>
      <w:proofErr w:type="gramStart"/>
      <w:r w:rsidRPr="00804548">
        <w:rPr>
          <w:lang w:val="es-ES_tradnl"/>
        </w:rPr>
        <w:t>respecto</w:t>
      </w:r>
      <w:proofErr w:type="gramEnd"/>
      <w:r w:rsidRPr="00804548">
        <w:rPr>
          <w:lang w:val="es-ES_tradnl"/>
        </w:rPr>
        <w:t>, que la reunión del Grupo de trabajo técnico de los Sistemas de semillas de la OCDE acordó que debía organizarse otro Taller conjunto OCDE-UPOV-ISTA sobre técnicas moleculares, ya sea de manera consecutiva con la reunión anual de los Sistemas de semillas de la OCDE, prevista en París en junio de 2015, o junto con la reunión del Grupo de trabajo técnico, prevista en enero de 2016;</w:t>
      </w:r>
    </w:p>
    <w:p w:rsidR="009C71A1" w:rsidRPr="00804548" w:rsidRDefault="009C71A1" w:rsidP="00EB5683">
      <w:pPr>
        <w:rPr>
          <w:lang w:val="es-ES_tradnl"/>
        </w:rPr>
      </w:pPr>
    </w:p>
    <w:p w:rsidR="009C71A1" w:rsidRPr="00804548" w:rsidRDefault="009C71A1" w:rsidP="00EB5683">
      <w:pPr>
        <w:rPr>
          <w:lang w:val="es-ES_tradnl"/>
        </w:rPr>
      </w:pPr>
      <w:r w:rsidRPr="00804548">
        <w:rPr>
          <w:lang w:val="es-ES_tradnl"/>
        </w:rPr>
        <w:tab/>
      </w:r>
      <w:r w:rsidRPr="00F96DDA">
        <w:rPr>
          <w:lang w:val="es-ES_tradnl"/>
        </w:rPr>
        <w:t>c)</w:t>
      </w:r>
      <w:r w:rsidRPr="00804548">
        <w:rPr>
          <w:lang w:val="es-ES_tradnl"/>
        </w:rPr>
        <w:tab/>
        <w:t xml:space="preserve">tomar nota de que el TC, en su quincuagésima tercera sesión, que se celebrará en 2017: </w:t>
      </w:r>
    </w:p>
    <w:p w:rsidR="009C71A1" w:rsidRPr="00804548" w:rsidRDefault="009C71A1" w:rsidP="00EB5683">
      <w:pPr>
        <w:rPr>
          <w:lang w:val="es-ES_tradnl"/>
        </w:rPr>
      </w:pPr>
    </w:p>
    <w:p w:rsidR="009C71A1" w:rsidRPr="00804548" w:rsidRDefault="009C71A1" w:rsidP="00EB5683">
      <w:pPr>
        <w:rPr>
          <w:lang w:val="es-ES_tradnl"/>
        </w:rPr>
      </w:pPr>
      <w:r w:rsidRPr="00804548">
        <w:rPr>
          <w:lang w:val="es-ES_tradnl"/>
        </w:rPr>
        <w:tab/>
      </w:r>
      <w:r w:rsidRPr="00804548">
        <w:rPr>
          <w:lang w:val="es-ES_tradnl"/>
        </w:rPr>
        <w:tab/>
      </w:r>
      <w:r w:rsidRPr="00F96DDA">
        <w:rPr>
          <w:lang w:val="es-ES_tradnl"/>
        </w:rPr>
        <w:t>i)</w:t>
      </w:r>
      <w:r w:rsidRPr="00804548">
        <w:rPr>
          <w:lang w:val="es-ES_tradnl"/>
        </w:rPr>
        <w:tab/>
        <w:t xml:space="preserve">será invitado a aprobar el programa de la decimoquinta </w:t>
      </w:r>
      <w:r w:rsidR="00B6391A">
        <w:rPr>
          <w:lang w:val="es-ES_tradnl"/>
        </w:rPr>
        <w:t>sesión</w:t>
      </w:r>
      <w:r w:rsidRPr="00804548">
        <w:rPr>
          <w:lang w:val="es-ES_tradnl"/>
        </w:rPr>
        <w:t xml:space="preserve"> del BMT, prevista en 2016, así como la dedicación de una fecha concreta (“Día del obtentor”) a los puntos que tratan del uso de técnicas moleculares en el examen de las variedades esencialmente derivadas y en la identificación de variedades;</w:t>
      </w:r>
    </w:p>
    <w:p w:rsidR="009C71A1" w:rsidRPr="00804548" w:rsidRDefault="009C71A1" w:rsidP="00EB5683">
      <w:pPr>
        <w:rPr>
          <w:lang w:val="es-ES_tradnl"/>
        </w:rPr>
      </w:pPr>
      <w:r w:rsidRPr="00804548">
        <w:rPr>
          <w:lang w:val="es-ES_tradnl"/>
        </w:rPr>
        <w:lastRenderedPageBreak/>
        <w:tab/>
      </w:r>
      <w:r w:rsidRPr="00804548">
        <w:rPr>
          <w:lang w:val="es-ES_tradnl"/>
        </w:rPr>
        <w:tab/>
      </w:r>
      <w:r w:rsidRPr="00F96DDA">
        <w:rPr>
          <w:lang w:val="es-ES_tradnl"/>
        </w:rPr>
        <w:t>ii)</w:t>
      </w:r>
      <w:r w:rsidRPr="00804548">
        <w:rPr>
          <w:lang w:val="es-ES_tradnl"/>
        </w:rPr>
        <w:tab/>
        <w:t>considerará si procede elaborar un documento conjunto en el que se expliquen las características principales de los sistemas de la OCDE, la UPOV y la ISTA;</w:t>
      </w:r>
    </w:p>
    <w:p w:rsidR="009C71A1" w:rsidRPr="00804548" w:rsidRDefault="009C71A1" w:rsidP="00EB5683">
      <w:pPr>
        <w:rPr>
          <w:lang w:val="es-ES_tradnl"/>
        </w:rPr>
      </w:pPr>
    </w:p>
    <w:p w:rsidR="009C71A1" w:rsidRPr="00804548" w:rsidRDefault="009C71A1" w:rsidP="00EB5683">
      <w:pPr>
        <w:rPr>
          <w:lang w:val="es-ES_tradnl"/>
        </w:rPr>
      </w:pPr>
      <w:r w:rsidRPr="00804548">
        <w:rPr>
          <w:lang w:val="es-ES_tradnl"/>
        </w:rPr>
        <w:tab/>
      </w:r>
      <w:r w:rsidRPr="00804548">
        <w:rPr>
          <w:lang w:val="es-ES_tradnl"/>
        </w:rPr>
        <w:tab/>
      </w:r>
      <w:r w:rsidRPr="00F96DDA">
        <w:rPr>
          <w:lang w:val="es-ES_tradnl"/>
        </w:rPr>
        <w:t>iii)</w:t>
      </w:r>
      <w:r w:rsidRPr="00804548">
        <w:rPr>
          <w:lang w:val="es-ES_tradnl"/>
        </w:rPr>
        <w:tab/>
        <w:t>considerará si procede 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w:t>
      </w:r>
    </w:p>
    <w:p w:rsidR="009C71A1" w:rsidRPr="00804548" w:rsidRDefault="009C71A1" w:rsidP="00EB5683">
      <w:pPr>
        <w:rPr>
          <w:lang w:val="es-ES_tradnl"/>
        </w:rPr>
      </w:pPr>
    </w:p>
    <w:p w:rsidR="009C71A1" w:rsidRPr="00804548" w:rsidRDefault="009C71A1" w:rsidP="00EB5683">
      <w:pPr>
        <w:rPr>
          <w:lang w:val="es-ES_tradnl"/>
        </w:rPr>
      </w:pPr>
      <w:r w:rsidRPr="00804548">
        <w:rPr>
          <w:lang w:val="es-ES_tradnl"/>
        </w:rPr>
        <w:tab/>
      </w:r>
      <w:r w:rsidRPr="00804548">
        <w:rPr>
          <w:lang w:val="es-ES_tradnl"/>
        </w:rPr>
        <w:tab/>
      </w:r>
      <w:r w:rsidRPr="00F96DDA">
        <w:rPr>
          <w:lang w:val="es-ES_tradnl"/>
        </w:rPr>
        <w:t>iv)</w:t>
      </w:r>
      <w:r w:rsidRPr="00804548">
        <w:rPr>
          <w:lang w:val="es-ES_tradnl"/>
        </w:rPr>
        <w:tab/>
        <w:t xml:space="preserve">considerará la propuesta de que el BMT, en su decimoquinta </w:t>
      </w:r>
      <w:r w:rsidR="00B6391A">
        <w:rPr>
          <w:lang w:val="es-ES_tradnl"/>
        </w:rPr>
        <w:t>sesión</w:t>
      </w:r>
      <w:r w:rsidRPr="00804548">
        <w:rPr>
          <w:lang w:val="es-ES_tradnl"/>
        </w:rPr>
        <w:t xml:space="preserve">, elabore listas de posibles iniciativas conjuntas con la OCDE y la ISTA relacionadas con las técnicas moleculares; </w:t>
      </w:r>
    </w:p>
    <w:p w:rsidR="009C71A1" w:rsidRPr="00804548" w:rsidRDefault="009C71A1" w:rsidP="00EB5683">
      <w:pPr>
        <w:rPr>
          <w:lang w:val="es-ES_tradnl"/>
        </w:rPr>
      </w:pPr>
    </w:p>
    <w:p w:rsidR="009C71A1" w:rsidRPr="00804548" w:rsidRDefault="009C71A1" w:rsidP="00EB5683">
      <w:pPr>
        <w:rPr>
          <w:lang w:val="es-ES_tradnl"/>
        </w:rPr>
      </w:pPr>
      <w:r w:rsidRPr="00804548">
        <w:rPr>
          <w:lang w:val="es-ES_tradnl"/>
        </w:rPr>
        <w:tab/>
      </w:r>
      <w:r w:rsidRPr="00804548">
        <w:rPr>
          <w:lang w:val="es-ES_tradnl"/>
        </w:rPr>
        <w:tab/>
      </w:r>
      <w:r w:rsidRPr="00F96DDA">
        <w:rPr>
          <w:lang w:val="es-ES_tradnl"/>
        </w:rPr>
        <w:t>v)</w:t>
      </w:r>
      <w:r w:rsidRPr="00804548">
        <w:rPr>
          <w:lang w:val="es-ES_tradnl"/>
        </w:rPr>
        <w:tab/>
        <w:t xml:space="preserve">considerará si procede basar el debate sobre técnicas moleculares en la presentación de los aspectos más destacados de la decimocuarta </w:t>
      </w:r>
      <w:r w:rsidR="00B6391A">
        <w:rPr>
          <w:lang w:val="es-ES_tradnl"/>
        </w:rPr>
        <w:t>sesión</w:t>
      </w:r>
      <w:r w:rsidRPr="00804548">
        <w:rPr>
          <w:lang w:val="es-ES_tradnl"/>
        </w:rPr>
        <w:t xml:space="preserve"> del BMT, celebrada en Seúl (República de Corea) del 10 al 13 de noviembre de 2014, y del Taller conjunto OCDE-UPOV-ISTA sobre técnicas moleculares, celebrado en Seúl (República de Corea) el 12 de noviembre de 2014;  </w:t>
      </w:r>
      <w:r w:rsidRPr="00F96DDA">
        <w:rPr>
          <w:lang w:val="es-ES_tradnl"/>
        </w:rPr>
        <w:t>y</w:t>
      </w:r>
    </w:p>
    <w:p w:rsidR="009C71A1" w:rsidRPr="00804548" w:rsidRDefault="009C71A1" w:rsidP="00EB5683">
      <w:pPr>
        <w:rPr>
          <w:lang w:val="es-ES_tradnl"/>
        </w:rPr>
      </w:pPr>
    </w:p>
    <w:p w:rsidR="009C71A1" w:rsidRPr="00804548" w:rsidRDefault="009C71A1" w:rsidP="00EB5683">
      <w:pPr>
        <w:rPr>
          <w:lang w:val="es-ES_tradnl"/>
        </w:rPr>
      </w:pPr>
      <w:r w:rsidRPr="00804548">
        <w:rPr>
          <w:lang w:val="es-ES_tradnl"/>
        </w:rPr>
        <w:tab/>
      </w:r>
      <w:r w:rsidRPr="00804548">
        <w:rPr>
          <w:lang w:val="es-ES_tradnl"/>
        </w:rPr>
        <w:tab/>
      </w:r>
      <w:proofErr w:type="gramStart"/>
      <w:r w:rsidRPr="00F96DDA">
        <w:rPr>
          <w:lang w:val="es-ES_tradnl"/>
        </w:rPr>
        <w:t>vi</w:t>
      </w:r>
      <w:proofErr w:type="gramEnd"/>
      <w:r w:rsidRPr="00F96DDA">
        <w:rPr>
          <w:lang w:val="es-ES_tradnl"/>
        </w:rPr>
        <w:t>)</w:t>
      </w:r>
      <w:r w:rsidRPr="00804548">
        <w:rPr>
          <w:lang w:val="es-ES_tradnl"/>
        </w:rPr>
        <w:tab/>
        <w:t>elaborará una propuesta de pregunta y respuesta relativa a la información sobre la situación en la UPOV en lo que respecta al uso de técnicas moleculares, para un público más amplio, que incluya al público en general.</w:t>
      </w:r>
    </w:p>
    <w:p w:rsidR="009C71A1" w:rsidRPr="00804548" w:rsidRDefault="009C71A1" w:rsidP="00312C2A">
      <w:pPr>
        <w:ind w:left="1170" w:hanging="603"/>
        <w:rPr>
          <w:lang w:val="es-ES_tradnl" w:eastAsia="ja-JP"/>
        </w:rPr>
      </w:pPr>
    </w:p>
    <w:bookmarkEnd w:id="0"/>
    <w:p w:rsidR="009C71A1" w:rsidRPr="00F96DDA" w:rsidRDefault="009C71A1" w:rsidP="003502DA">
      <w:pPr>
        <w:keepNext/>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En el presente documento se utilizan las abreviaturas siguientes:</w:t>
      </w:r>
    </w:p>
    <w:p w:rsidR="009C71A1" w:rsidRPr="00F96DDA" w:rsidRDefault="009C71A1" w:rsidP="00312C2A">
      <w:pPr>
        <w:keepNext/>
        <w:ind w:left="1692" w:hanging="1125"/>
        <w:jc w:val="left"/>
        <w:rPr>
          <w:lang w:val="es-ES_tradnl"/>
        </w:rPr>
      </w:pPr>
    </w:p>
    <w:p w:rsidR="009C71A1" w:rsidRPr="00F96DDA" w:rsidRDefault="009C71A1" w:rsidP="003502DA">
      <w:pPr>
        <w:keepNext/>
        <w:tabs>
          <w:tab w:val="left" w:pos="567"/>
          <w:tab w:val="left" w:pos="1701"/>
        </w:tabs>
        <w:ind w:left="1701" w:hanging="1134"/>
        <w:rPr>
          <w:lang w:val="es-ES_tradnl"/>
        </w:rPr>
      </w:pPr>
      <w:r w:rsidRPr="00F96DDA">
        <w:rPr>
          <w:lang w:val="es-ES_tradnl"/>
        </w:rPr>
        <w:t>BMT:</w:t>
      </w:r>
      <w:r w:rsidRPr="00F96DDA">
        <w:rPr>
          <w:lang w:val="es-ES_tradnl"/>
        </w:rPr>
        <w:tab/>
        <w:t xml:space="preserve">Grupo de Trabajo sobre Técnicas Bioquímicas y Moleculares, y Perfiles de ADN en particular </w:t>
      </w:r>
    </w:p>
    <w:p w:rsidR="009C71A1" w:rsidRPr="00F96DDA" w:rsidRDefault="009C71A1" w:rsidP="003502DA">
      <w:pPr>
        <w:keepNext/>
        <w:tabs>
          <w:tab w:val="left" w:pos="567"/>
          <w:tab w:val="left" w:pos="1701"/>
        </w:tabs>
        <w:ind w:firstLine="567"/>
        <w:rPr>
          <w:lang w:val="es-ES_tradnl"/>
        </w:rPr>
      </w:pPr>
      <w:r w:rsidRPr="00F96DDA">
        <w:rPr>
          <w:lang w:val="es-ES_tradnl"/>
        </w:rPr>
        <w:t>CAJ:</w:t>
      </w:r>
      <w:r w:rsidRPr="00F96DDA">
        <w:rPr>
          <w:lang w:val="es-ES_tradnl"/>
        </w:rPr>
        <w:tab/>
        <w:t>Comité Administrativo y Jurídico</w:t>
      </w:r>
    </w:p>
    <w:p w:rsidR="009C71A1" w:rsidRPr="00F96DDA" w:rsidRDefault="009C71A1" w:rsidP="003502DA">
      <w:pPr>
        <w:keepNext/>
        <w:tabs>
          <w:tab w:val="left" w:pos="567"/>
          <w:tab w:val="left" w:pos="1701"/>
        </w:tabs>
        <w:ind w:firstLine="567"/>
        <w:rPr>
          <w:lang w:val="es-ES_tradnl"/>
        </w:rPr>
      </w:pPr>
      <w:r w:rsidRPr="00F96DDA">
        <w:rPr>
          <w:lang w:val="es-ES_tradnl"/>
        </w:rPr>
        <w:t>TC:</w:t>
      </w:r>
      <w:r w:rsidRPr="00F96DDA">
        <w:rPr>
          <w:lang w:val="es-ES_tradnl"/>
        </w:rPr>
        <w:tab/>
        <w:t>Comité Técnico</w:t>
      </w:r>
    </w:p>
    <w:p w:rsidR="009C71A1" w:rsidRPr="00F96DDA" w:rsidRDefault="009C71A1" w:rsidP="003502DA">
      <w:pPr>
        <w:keepNext/>
        <w:tabs>
          <w:tab w:val="left" w:pos="567"/>
          <w:tab w:val="left" w:pos="1701"/>
        </w:tabs>
        <w:ind w:firstLine="567"/>
        <w:rPr>
          <w:rFonts w:eastAsia="PMingLiU" w:cs="Arial"/>
          <w:szCs w:val="24"/>
          <w:lang w:val="es-ES_tradnl"/>
        </w:rPr>
      </w:pPr>
      <w:r w:rsidRPr="00F96DDA">
        <w:rPr>
          <w:rFonts w:eastAsia="PMingLiU" w:cs="Arial"/>
          <w:szCs w:val="24"/>
          <w:lang w:val="es-ES_tradnl"/>
        </w:rPr>
        <w:t>TC-EDC:</w:t>
      </w:r>
      <w:r w:rsidRPr="00F96DDA">
        <w:rPr>
          <w:rFonts w:eastAsia="PMingLiU" w:cs="Arial"/>
          <w:szCs w:val="24"/>
          <w:lang w:val="es-ES_tradnl"/>
        </w:rPr>
        <w:tab/>
        <w:t>Comité de Redacción Ampliado</w:t>
      </w:r>
    </w:p>
    <w:p w:rsidR="009C71A1" w:rsidRPr="00F96DDA" w:rsidRDefault="009C71A1" w:rsidP="00F803A3">
      <w:pPr>
        <w:tabs>
          <w:tab w:val="left" w:pos="567"/>
          <w:tab w:val="left" w:pos="1701"/>
        </w:tabs>
        <w:rPr>
          <w:rFonts w:eastAsia="PMingLiU" w:cs="Arial"/>
          <w:szCs w:val="24"/>
          <w:lang w:val="es-ES_tradnl"/>
        </w:rPr>
      </w:pPr>
      <w:r w:rsidRPr="00F96DDA">
        <w:rPr>
          <w:rFonts w:eastAsia="PMingLiU" w:cs="Arial"/>
          <w:szCs w:val="24"/>
          <w:lang w:val="es-ES_tradnl"/>
        </w:rPr>
        <w:tab/>
        <w:t>TWA:</w:t>
      </w:r>
      <w:r w:rsidRPr="00F96DDA">
        <w:rPr>
          <w:rFonts w:eastAsia="PMingLiU" w:cs="Arial"/>
          <w:szCs w:val="24"/>
          <w:lang w:val="es-ES_tradnl"/>
        </w:rPr>
        <w:tab/>
        <w:t>Grupo de Trabajo Técnico sobre Plantas Agrícolas</w:t>
      </w:r>
    </w:p>
    <w:p w:rsidR="009C71A1" w:rsidRPr="00F96DDA" w:rsidRDefault="009C71A1" w:rsidP="00F803A3">
      <w:pPr>
        <w:tabs>
          <w:tab w:val="left" w:pos="567"/>
          <w:tab w:val="left" w:pos="1701"/>
        </w:tabs>
        <w:rPr>
          <w:rFonts w:eastAsia="PMingLiU" w:cs="Arial"/>
          <w:szCs w:val="24"/>
          <w:lang w:val="es-ES_tradnl"/>
        </w:rPr>
      </w:pPr>
      <w:r w:rsidRPr="00F96DDA">
        <w:rPr>
          <w:rFonts w:eastAsia="PMingLiU" w:cs="Arial"/>
          <w:szCs w:val="24"/>
          <w:lang w:val="es-ES_tradnl"/>
        </w:rPr>
        <w:tab/>
        <w:t>TWC:</w:t>
      </w:r>
      <w:r w:rsidRPr="00F96DDA">
        <w:rPr>
          <w:rFonts w:eastAsia="PMingLiU" w:cs="Arial"/>
          <w:szCs w:val="24"/>
          <w:lang w:val="es-ES_tradnl"/>
        </w:rPr>
        <w:tab/>
        <w:t>Grupo de Trabajo Técnico sobre Automatización y Programas Informáticos</w:t>
      </w:r>
    </w:p>
    <w:p w:rsidR="009C71A1" w:rsidRPr="00F96DDA" w:rsidRDefault="009C71A1" w:rsidP="00F803A3">
      <w:pPr>
        <w:tabs>
          <w:tab w:val="left" w:pos="567"/>
          <w:tab w:val="left" w:pos="1701"/>
        </w:tabs>
        <w:rPr>
          <w:rFonts w:eastAsia="PMingLiU" w:cs="Arial"/>
          <w:szCs w:val="24"/>
          <w:lang w:val="es-ES_tradnl"/>
        </w:rPr>
      </w:pPr>
      <w:r w:rsidRPr="00F96DDA">
        <w:rPr>
          <w:rFonts w:eastAsia="PMingLiU" w:cs="Arial"/>
          <w:szCs w:val="24"/>
          <w:lang w:val="es-ES_tradnl"/>
        </w:rPr>
        <w:tab/>
        <w:t>TWF:</w:t>
      </w:r>
      <w:r w:rsidRPr="00F96DDA">
        <w:rPr>
          <w:rFonts w:eastAsia="PMingLiU" w:cs="Arial"/>
          <w:szCs w:val="24"/>
          <w:lang w:val="es-ES_tradnl"/>
        </w:rPr>
        <w:tab/>
        <w:t>Grupo de Trabajo Técnico sobre Plantas Frutales</w:t>
      </w:r>
    </w:p>
    <w:p w:rsidR="009C71A1" w:rsidRPr="00F96DDA" w:rsidRDefault="009C71A1" w:rsidP="00F803A3">
      <w:pPr>
        <w:tabs>
          <w:tab w:val="left" w:pos="567"/>
          <w:tab w:val="left" w:pos="1701"/>
        </w:tabs>
        <w:rPr>
          <w:rFonts w:eastAsia="PMingLiU" w:cs="Arial"/>
          <w:szCs w:val="24"/>
          <w:lang w:val="es-ES_tradnl"/>
        </w:rPr>
      </w:pPr>
      <w:r w:rsidRPr="00F96DDA">
        <w:rPr>
          <w:rFonts w:eastAsia="PMingLiU" w:cs="Arial"/>
          <w:szCs w:val="24"/>
          <w:lang w:val="es-ES_tradnl"/>
        </w:rPr>
        <w:tab/>
        <w:t>TWO:</w:t>
      </w:r>
      <w:r w:rsidRPr="00F96DDA">
        <w:rPr>
          <w:rFonts w:eastAsia="PMingLiU" w:cs="Arial"/>
          <w:szCs w:val="24"/>
          <w:lang w:val="es-ES_tradnl"/>
        </w:rPr>
        <w:tab/>
        <w:t>Grupo de Trabajo Técnico sobre Plantas Ornamentales y Árboles Forestales</w:t>
      </w:r>
    </w:p>
    <w:p w:rsidR="009C71A1" w:rsidRPr="00F96DDA" w:rsidRDefault="009C71A1" w:rsidP="00F803A3">
      <w:pPr>
        <w:tabs>
          <w:tab w:val="left" w:pos="567"/>
          <w:tab w:val="left" w:pos="1701"/>
        </w:tabs>
        <w:rPr>
          <w:rFonts w:eastAsia="PMingLiU" w:cs="Arial"/>
          <w:szCs w:val="24"/>
          <w:lang w:val="es-ES_tradnl"/>
        </w:rPr>
      </w:pPr>
      <w:r w:rsidRPr="00F96DDA">
        <w:rPr>
          <w:rFonts w:eastAsia="PMingLiU" w:cs="Arial"/>
          <w:szCs w:val="24"/>
          <w:lang w:val="es-ES_tradnl"/>
        </w:rPr>
        <w:tab/>
        <w:t>TWP:</w:t>
      </w:r>
      <w:r w:rsidRPr="00F96DDA">
        <w:rPr>
          <w:rFonts w:eastAsia="PMingLiU" w:cs="Arial"/>
          <w:szCs w:val="24"/>
          <w:lang w:val="es-ES_tradnl"/>
        </w:rPr>
        <w:tab/>
        <w:t>Grupos de Trabajo Técnico</w:t>
      </w:r>
    </w:p>
    <w:p w:rsidR="009C71A1" w:rsidRPr="00F96DDA" w:rsidRDefault="009C71A1" w:rsidP="00F803A3">
      <w:pPr>
        <w:tabs>
          <w:tab w:val="left" w:pos="567"/>
          <w:tab w:val="left" w:pos="1701"/>
        </w:tabs>
        <w:rPr>
          <w:rFonts w:eastAsia="PMingLiU" w:cs="Arial"/>
          <w:szCs w:val="24"/>
          <w:lang w:val="es-ES_tradnl"/>
        </w:rPr>
      </w:pPr>
      <w:r w:rsidRPr="00F96DDA">
        <w:rPr>
          <w:rFonts w:eastAsia="PMingLiU" w:cs="Arial"/>
          <w:szCs w:val="24"/>
          <w:lang w:val="es-ES_tradnl"/>
        </w:rPr>
        <w:tab/>
        <w:t>TWV:</w:t>
      </w:r>
      <w:r w:rsidRPr="00F96DDA">
        <w:rPr>
          <w:rFonts w:eastAsia="PMingLiU" w:cs="Arial"/>
          <w:szCs w:val="24"/>
          <w:lang w:val="es-ES_tradnl"/>
        </w:rPr>
        <w:tab/>
        <w:t>Grupo de Trabajo Técnico sobre Hortalizas</w:t>
      </w:r>
    </w:p>
    <w:p w:rsidR="009C71A1" w:rsidRPr="00804548" w:rsidRDefault="009C71A1" w:rsidP="00EB5683">
      <w:pPr>
        <w:tabs>
          <w:tab w:val="left" w:pos="567"/>
          <w:tab w:val="left" w:pos="1701"/>
        </w:tabs>
        <w:rPr>
          <w:rFonts w:eastAsia="PMingLiU" w:cs="Arial"/>
          <w:szCs w:val="24"/>
          <w:lang w:val="es-ES_tradnl"/>
        </w:rPr>
      </w:pPr>
      <w:r w:rsidRPr="00804548">
        <w:rPr>
          <w:rFonts w:eastAsia="PMingLiU" w:cs="Arial"/>
          <w:szCs w:val="24"/>
          <w:lang w:val="es-ES_tradnl"/>
        </w:rPr>
        <w:tab/>
        <w:t>OCDE:</w:t>
      </w:r>
      <w:r w:rsidRPr="00804548">
        <w:rPr>
          <w:rFonts w:eastAsia="PMingLiU" w:cs="Arial"/>
          <w:szCs w:val="24"/>
          <w:lang w:val="es-ES_tradnl"/>
        </w:rPr>
        <w:tab/>
        <w:t>Organización de Cooperación y Desarrollo Económicos</w:t>
      </w:r>
    </w:p>
    <w:p w:rsidR="009C71A1" w:rsidRPr="00804548" w:rsidRDefault="009C71A1" w:rsidP="00EB5683">
      <w:pPr>
        <w:tabs>
          <w:tab w:val="left" w:pos="567"/>
          <w:tab w:val="left" w:pos="1701"/>
        </w:tabs>
        <w:rPr>
          <w:rFonts w:eastAsia="PMingLiU" w:cs="Arial"/>
          <w:szCs w:val="24"/>
          <w:lang w:val="es-ES_tradnl"/>
        </w:rPr>
      </w:pPr>
      <w:r w:rsidRPr="00804548">
        <w:rPr>
          <w:rFonts w:eastAsia="PMingLiU" w:cs="Arial"/>
          <w:szCs w:val="24"/>
          <w:lang w:val="es-ES_tradnl"/>
        </w:rPr>
        <w:tab/>
        <w:t>ISTA:</w:t>
      </w:r>
      <w:r w:rsidRPr="00804548">
        <w:rPr>
          <w:rFonts w:eastAsia="PMingLiU" w:cs="Arial"/>
          <w:szCs w:val="24"/>
          <w:lang w:val="es-ES_tradnl"/>
        </w:rPr>
        <w:tab/>
        <w:t>Asociación Internacional para el Ensayo de Semillas</w:t>
      </w:r>
    </w:p>
    <w:p w:rsidR="009C71A1" w:rsidRPr="00804548" w:rsidRDefault="009C71A1" w:rsidP="00F803A3">
      <w:pPr>
        <w:tabs>
          <w:tab w:val="left" w:pos="567"/>
          <w:tab w:val="left" w:pos="1701"/>
        </w:tabs>
        <w:rPr>
          <w:rFonts w:eastAsia="PMingLiU" w:cs="Arial"/>
          <w:szCs w:val="24"/>
          <w:lang w:val="es-ES_tradnl"/>
        </w:rPr>
      </w:pPr>
    </w:p>
    <w:p w:rsidR="009C71A1" w:rsidRPr="00F96DDA" w:rsidRDefault="009C71A1" w:rsidP="00F803A3">
      <w:pPr>
        <w:tabs>
          <w:tab w:val="left" w:pos="1701"/>
        </w:tabs>
        <w:rPr>
          <w:lang w:val="es-ES_tradnl"/>
        </w:rPr>
      </w:pPr>
    </w:p>
    <w:p w:rsidR="009C71A1" w:rsidRPr="00F96DDA" w:rsidRDefault="009C71A1" w:rsidP="003502DA">
      <w:pPr>
        <w:keepNext/>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La estructura del presente documento es la siguiente:</w:t>
      </w:r>
    </w:p>
    <w:p w:rsidR="009C71A1" w:rsidRPr="00F96DDA" w:rsidRDefault="009C71A1" w:rsidP="00312C2A">
      <w:pPr>
        <w:keepNext/>
        <w:rPr>
          <w:rFonts w:cs="Arial"/>
          <w:lang w:val="es-ES"/>
        </w:rPr>
      </w:pPr>
    </w:p>
    <w:p w:rsidR="00B6391A" w:rsidRDefault="009C71A1" w:rsidP="00B6391A">
      <w:pPr>
        <w:pStyle w:val="TOC1"/>
        <w:rPr>
          <w:rFonts w:asciiTheme="minorHAnsi" w:eastAsiaTheme="minorEastAsia" w:hAnsiTheme="minorHAnsi" w:cstheme="minorBidi"/>
          <w:noProof/>
          <w:sz w:val="22"/>
          <w:szCs w:val="22"/>
        </w:rPr>
      </w:pPr>
      <w:r w:rsidRPr="00F96DDA">
        <w:rPr>
          <w:lang w:val="es-ES"/>
        </w:rPr>
        <w:fldChar w:fldCharType="begin"/>
      </w:r>
      <w:r w:rsidRPr="00F96DDA">
        <w:rPr>
          <w:lang w:val="es-ES"/>
        </w:rPr>
        <w:instrText xml:space="preserve"> TOC \o "1-3" \h \z \u </w:instrText>
      </w:r>
      <w:r w:rsidRPr="00F96DDA">
        <w:rPr>
          <w:lang w:val="es-ES"/>
        </w:rPr>
        <w:fldChar w:fldCharType="separate"/>
      </w:r>
      <w:hyperlink w:anchor="_Toc413751702" w:history="1">
        <w:r w:rsidR="00B6391A" w:rsidRPr="00971115">
          <w:rPr>
            <w:rStyle w:val="Hyperlink"/>
            <w:noProof/>
          </w:rPr>
          <w:t>RESUMEN</w:t>
        </w:r>
        <w:r w:rsidR="00B6391A">
          <w:rPr>
            <w:noProof/>
            <w:webHidden/>
          </w:rPr>
          <w:tab/>
        </w:r>
        <w:r w:rsidR="00B6391A">
          <w:rPr>
            <w:noProof/>
            <w:webHidden/>
          </w:rPr>
          <w:fldChar w:fldCharType="begin"/>
        </w:r>
        <w:r w:rsidR="00B6391A">
          <w:rPr>
            <w:noProof/>
            <w:webHidden/>
          </w:rPr>
          <w:instrText xml:space="preserve"> PAGEREF _Toc413751702 \h </w:instrText>
        </w:r>
        <w:r w:rsidR="00B6391A">
          <w:rPr>
            <w:noProof/>
            <w:webHidden/>
          </w:rPr>
        </w:r>
        <w:r w:rsidR="00B6391A">
          <w:rPr>
            <w:noProof/>
            <w:webHidden/>
          </w:rPr>
          <w:fldChar w:fldCharType="separate"/>
        </w:r>
        <w:r w:rsidR="001A6180">
          <w:rPr>
            <w:noProof/>
            <w:webHidden/>
          </w:rPr>
          <w:t>1</w:t>
        </w:r>
        <w:r w:rsidR="00B6391A">
          <w:rPr>
            <w:noProof/>
            <w:webHidden/>
          </w:rPr>
          <w:fldChar w:fldCharType="end"/>
        </w:r>
      </w:hyperlink>
    </w:p>
    <w:p w:rsidR="00B6391A" w:rsidRDefault="001A6180" w:rsidP="00B6391A">
      <w:pPr>
        <w:pStyle w:val="TOC1"/>
        <w:rPr>
          <w:rFonts w:asciiTheme="minorHAnsi" w:eastAsiaTheme="minorEastAsia" w:hAnsiTheme="minorHAnsi" w:cstheme="minorBidi"/>
          <w:noProof/>
          <w:sz w:val="22"/>
          <w:szCs w:val="22"/>
        </w:rPr>
      </w:pPr>
      <w:hyperlink w:anchor="_Toc413751703" w:history="1">
        <w:r w:rsidR="00B6391A" w:rsidRPr="00971115">
          <w:rPr>
            <w:rStyle w:val="Hyperlink"/>
            <w:noProof/>
          </w:rPr>
          <w:t>Finalidad</w:t>
        </w:r>
        <w:r w:rsidR="00B6391A">
          <w:rPr>
            <w:noProof/>
            <w:webHidden/>
          </w:rPr>
          <w:tab/>
        </w:r>
        <w:r w:rsidR="00B6391A">
          <w:rPr>
            <w:noProof/>
            <w:webHidden/>
          </w:rPr>
          <w:fldChar w:fldCharType="begin"/>
        </w:r>
        <w:r w:rsidR="00B6391A">
          <w:rPr>
            <w:noProof/>
            <w:webHidden/>
          </w:rPr>
          <w:instrText xml:space="preserve"> PAGEREF _Toc413751703 \h </w:instrText>
        </w:r>
        <w:r w:rsidR="00B6391A">
          <w:rPr>
            <w:noProof/>
            <w:webHidden/>
          </w:rPr>
        </w:r>
        <w:r w:rsidR="00B6391A">
          <w:rPr>
            <w:noProof/>
            <w:webHidden/>
          </w:rPr>
          <w:fldChar w:fldCharType="separate"/>
        </w:r>
        <w:r>
          <w:rPr>
            <w:noProof/>
            <w:webHidden/>
          </w:rPr>
          <w:t>3</w:t>
        </w:r>
        <w:r w:rsidR="00B6391A">
          <w:rPr>
            <w:noProof/>
            <w:webHidden/>
          </w:rPr>
          <w:fldChar w:fldCharType="end"/>
        </w:r>
      </w:hyperlink>
    </w:p>
    <w:p w:rsidR="00B6391A" w:rsidRDefault="001A6180" w:rsidP="00B6391A">
      <w:pPr>
        <w:pStyle w:val="TOC1"/>
        <w:rPr>
          <w:rFonts w:asciiTheme="minorHAnsi" w:eastAsiaTheme="minorEastAsia" w:hAnsiTheme="minorHAnsi" w:cstheme="minorBidi"/>
          <w:noProof/>
          <w:sz w:val="22"/>
          <w:szCs w:val="22"/>
        </w:rPr>
      </w:pPr>
      <w:hyperlink w:anchor="_Toc413751704" w:history="1">
        <w:r w:rsidR="00B6391A" w:rsidRPr="00971115">
          <w:rPr>
            <w:rStyle w:val="Hyperlink"/>
            <w:noProof/>
          </w:rPr>
          <w:t>decimocuarta sesión DEL GRUPO DE TRABAJO SOBRE TÉCNICAS BIOQUÍMICAS Y MOLECULARES, Y PERFILES DE ADN EN PARTICULAR (BMT)</w:t>
        </w:r>
        <w:r w:rsidR="00B6391A">
          <w:rPr>
            <w:noProof/>
            <w:webHidden/>
          </w:rPr>
          <w:tab/>
        </w:r>
        <w:r w:rsidR="00B6391A">
          <w:rPr>
            <w:noProof/>
            <w:webHidden/>
          </w:rPr>
          <w:fldChar w:fldCharType="begin"/>
        </w:r>
        <w:r w:rsidR="00B6391A">
          <w:rPr>
            <w:noProof/>
            <w:webHidden/>
          </w:rPr>
          <w:instrText xml:space="preserve"> PAGEREF _Toc413751704 \h </w:instrText>
        </w:r>
        <w:r w:rsidR="00B6391A">
          <w:rPr>
            <w:noProof/>
            <w:webHidden/>
          </w:rPr>
        </w:r>
        <w:r w:rsidR="00B6391A">
          <w:rPr>
            <w:noProof/>
            <w:webHidden/>
          </w:rPr>
          <w:fldChar w:fldCharType="separate"/>
        </w:r>
        <w:r>
          <w:rPr>
            <w:noProof/>
            <w:webHidden/>
          </w:rPr>
          <w:t>3</w:t>
        </w:r>
        <w:r w:rsidR="00B6391A">
          <w:rPr>
            <w:noProof/>
            <w:webHidden/>
          </w:rPr>
          <w:fldChar w:fldCharType="end"/>
        </w:r>
      </w:hyperlink>
    </w:p>
    <w:p w:rsidR="00B6391A" w:rsidRDefault="001A6180" w:rsidP="00B6391A">
      <w:pPr>
        <w:pStyle w:val="TOC1"/>
        <w:rPr>
          <w:rFonts w:asciiTheme="minorHAnsi" w:eastAsiaTheme="minorEastAsia" w:hAnsiTheme="minorHAnsi" w:cstheme="minorBidi"/>
          <w:noProof/>
          <w:sz w:val="22"/>
          <w:szCs w:val="22"/>
        </w:rPr>
      </w:pPr>
      <w:hyperlink w:anchor="_Toc413751705" w:history="1">
        <w:r w:rsidR="00B6391A" w:rsidRPr="00971115">
          <w:rPr>
            <w:rStyle w:val="Hyperlink"/>
            <w:noProof/>
          </w:rPr>
          <w:t>TALLER CONJUNTO OCDE-UPOV-ISTA SOBRE TÉCNICAS MOLECULARES</w:t>
        </w:r>
        <w:r w:rsidR="00B6391A">
          <w:rPr>
            <w:noProof/>
            <w:webHidden/>
          </w:rPr>
          <w:tab/>
        </w:r>
        <w:r w:rsidR="00B6391A">
          <w:rPr>
            <w:noProof/>
            <w:webHidden/>
          </w:rPr>
          <w:fldChar w:fldCharType="begin"/>
        </w:r>
        <w:r w:rsidR="00B6391A">
          <w:rPr>
            <w:noProof/>
            <w:webHidden/>
          </w:rPr>
          <w:instrText xml:space="preserve"> PAGEREF _Toc413751705 \h </w:instrText>
        </w:r>
        <w:r w:rsidR="00B6391A">
          <w:rPr>
            <w:noProof/>
            <w:webHidden/>
          </w:rPr>
        </w:r>
        <w:r w:rsidR="00B6391A">
          <w:rPr>
            <w:noProof/>
            <w:webHidden/>
          </w:rPr>
          <w:fldChar w:fldCharType="separate"/>
        </w:r>
        <w:r>
          <w:rPr>
            <w:noProof/>
            <w:webHidden/>
          </w:rPr>
          <w:t>5</w:t>
        </w:r>
        <w:r w:rsidR="00B6391A">
          <w:rPr>
            <w:noProof/>
            <w:webHidden/>
          </w:rPr>
          <w:fldChar w:fldCharType="end"/>
        </w:r>
      </w:hyperlink>
    </w:p>
    <w:p w:rsidR="00B6391A" w:rsidRDefault="001A6180" w:rsidP="00B6391A">
      <w:pPr>
        <w:pStyle w:val="TOC1"/>
        <w:rPr>
          <w:rFonts w:asciiTheme="minorHAnsi" w:eastAsiaTheme="minorEastAsia" w:hAnsiTheme="minorHAnsi" w:cstheme="minorBidi"/>
          <w:noProof/>
          <w:sz w:val="22"/>
          <w:szCs w:val="22"/>
        </w:rPr>
      </w:pPr>
      <w:hyperlink w:anchor="_Toc413751706" w:history="1">
        <w:r w:rsidR="00B6391A" w:rsidRPr="00971115">
          <w:rPr>
            <w:rStyle w:val="Hyperlink"/>
            <w:noProof/>
          </w:rPr>
          <w:t>DEBATE SOBRE TÉCNICAS MOLECULARes MANTENIDO POR EL Comité Técnico EN SU QUINCUAGÉSIMA SESIÓN</w:t>
        </w:r>
        <w:r w:rsidR="00B6391A">
          <w:rPr>
            <w:noProof/>
            <w:webHidden/>
          </w:rPr>
          <w:tab/>
        </w:r>
        <w:r w:rsidR="00B6391A">
          <w:rPr>
            <w:noProof/>
            <w:webHidden/>
          </w:rPr>
          <w:fldChar w:fldCharType="begin"/>
        </w:r>
        <w:r w:rsidR="00B6391A">
          <w:rPr>
            <w:noProof/>
            <w:webHidden/>
          </w:rPr>
          <w:instrText xml:space="preserve"> PAGEREF _Toc413751706 \h </w:instrText>
        </w:r>
        <w:r w:rsidR="00B6391A">
          <w:rPr>
            <w:noProof/>
            <w:webHidden/>
          </w:rPr>
        </w:r>
        <w:r w:rsidR="00B6391A">
          <w:rPr>
            <w:noProof/>
            <w:webHidden/>
          </w:rPr>
          <w:fldChar w:fldCharType="separate"/>
        </w:r>
        <w:r>
          <w:rPr>
            <w:noProof/>
            <w:webHidden/>
          </w:rPr>
          <w:t>6</w:t>
        </w:r>
        <w:r w:rsidR="00B6391A">
          <w:rPr>
            <w:noProof/>
            <w:webHidden/>
          </w:rPr>
          <w:fldChar w:fldCharType="end"/>
        </w:r>
      </w:hyperlink>
    </w:p>
    <w:p w:rsidR="00B6391A" w:rsidRDefault="001A6180" w:rsidP="00B6391A">
      <w:pPr>
        <w:pStyle w:val="TOC1"/>
        <w:rPr>
          <w:rFonts w:asciiTheme="minorHAnsi" w:eastAsiaTheme="minorEastAsia" w:hAnsiTheme="minorHAnsi" w:cstheme="minorBidi"/>
          <w:noProof/>
          <w:sz w:val="22"/>
          <w:szCs w:val="22"/>
        </w:rPr>
      </w:pPr>
      <w:hyperlink w:anchor="_Toc413751707" w:history="1">
        <w:r w:rsidR="00B6391A" w:rsidRPr="00971115">
          <w:rPr>
            <w:rStyle w:val="Hyperlink"/>
            <w:noProof/>
          </w:rPr>
          <w:t>LA PRESENTACIÓN DE INFORMACIÓN SOBRE LA SITUACIÓN EN LA UPOV EN LO QUE RESPECTA AL USO DE TÉCNICAS MOLECULARES</w:t>
        </w:r>
        <w:r w:rsidR="00B6391A">
          <w:rPr>
            <w:noProof/>
            <w:webHidden/>
          </w:rPr>
          <w:tab/>
        </w:r>
        <w:r w:rsidR="00B6391A">
          <w:rPr>
            <w:noProof/>
            <w:webHidden/>
          </w:rPr>
          <w:fldChar w:fldCharType="begin"/>
        </w:r>
        <w:r w:rsidR="00B6391A">
          <w:rPr>
            <w:noProof/>
            <w:webHidden/>
          </w:rPr>
          <w:instrText xml:space="preserve"> PAGEREF _Toc413751707 \h </w:instrText>
        </w:r>
        <w:r w:rsidR="00B6391A">
          <w:rPr>
            <w:noProof/>
            <w:webHidden/>
          </w:rPr>
        </w:r>
        <w:r w:rsidR="00B6391A">
          <w:rPr>
            <w:noProof/>
            <w:webHidden/>
          </w:rPr>
          <w:fldChar w:fldCharType="separate"/>
        </w:r>
        <w:r>
          <w:rPr>
            <w:noProof/>
            <w:webHidden/>
          </w:rPr>
          <w:t>6</w:t>
        </w:r>
        <w:r w:rsidR="00B6391A">
          <w:rPr>
            <w:noProof/>
            <w:webHidden/>
          </w:rPr>
          <w:fldChar w:fldCharType="end"/>
        </w:r>
      </w:hyperlink>
    </w:p>
    <w:p w:rsidR="009C71A1" w:rsidRPr="00F96DDA" w:rsidRDefault="009C71A1" w:rsidP="00312C2A">
      <w:pPr>
        <w:keepNext/>
      </w:pPr>
      <w:r w:rsidRPr="00F96DDA">
        <w:rPr>
          <w:lang w:val="es-ES"/>
        </w:rPr>
        <w:fldChar w:fldCharType="end"/>
      </w:r>
    </w:p>
    <w:p w:rsidR="009C71A1" w:rsidRPr="00F96DDA" w:rsidRDefault="009C71A1" w:rsidP="00312C2A">
      <w:pPr>
        <w:jc w:val="left"/>
        <w:rPr>
          <w:rFonts w:eastAsia="PMingLiU" w:cs="Arial"/>
          <w:szCs w:val="24"/>
        </w:rPr>
      </w:pPr>
      <w:r w:rsidRPr="00F96DDA">
        <w:rPr>
          <w:rFonts w:eastAsia="PMingLiU" w:cs="Arial"/>
          <w:szCs w:val="24"/>
        </w:rPr>
        <w:br w:type="page"/>
      </w:r>
    </w:p>
    <w:p w:rsidR="009C71A1" w:rsidRPr="00F33D64" w:rsidRDefault="009C71A1" w:rsidP="00312C2A">
      <w:pPr>
        <w:jc w:val="left"/>
        <w:rPr>
          <w:rFonts w:eastAsia="PMingLiU" w:cs="Arial"/>
          <w:szCs w:val="24"/>
        </w:rPr>
      </w:pPr>
    </w:p>
    <w:p w:rsidR="009C71A1" w:rsidRPr="00804548" w:rsidRDefault="009C71A1" w:rsidP="00BD6B3F">
      <w:pPr>
        <w:pStyle w:val="Heading1"/>
        <w:rPr>
          <w:color w:val="auto"/>
        </w:rPr>
      </w:pPr>
      <w:bookmarkStart w:id="7" w:name="_Toc413751703"/>
      <w:r w:rsidRPr="00F96DDA">
        <w:rPr>
          <w:color w:val="auto"/>
        </w:rPr>
        <w:t>Finalidad</w:t>
      </w:r>
      <w:bookmarkEnd w:id="7"/>
    </w:p>
    <w:p w:rsidR="009C71A1" w:rsidRPr="00804548" w:rsidRDefault="009C71A1" w:rsidP="00312C2A">
      <w:pPr>
        <w:rPr>
          <w:lang w:val="es-ES_tradnl" w:eastAsia="ja-JP"/>
        </w:rPr>
      </w:pPr>
    </w:p>
    <w:p w:rsidR="009C71A1" w:rsidRPr="00804548" w:rsidRDefault="009C71A1" w:rsidP="00977AE1">
      <w:pPr>
        <w:tabs>
          <w:tab w:val="left" w:pos="567"/>
        </w:tabs>
        <w:rPr>
          <w:lang w:val="es-ES_tradnl" w:eastAsia="ja-JP"/>
        </w:rPr>
      </w:pPr>
      <w:r w:rsidRPr="00804548">
        <w:rPr>
          <w:lang w:val="es-ES_tradnl"/>
        </w:rPr>
        <w:fldChar w:fldCharType="begin"/>
      </w:r>
      <w:r w:rsidRPr="00804548">
        <w:rPr>
          <w:lang w:val="es-ES_tradnl"/>
        </w:rPr>
        <w:instrText xml:space="preserve"> AUTONUM  </w:instrText>
      </w:r>
      <w:r w:rsidRPr="00804548">
        <w:rPr>
          <w:lang w:val="es-ES_tradnl"/>
        </w:rPr>
        <w:fldChar w:fldCharType="end"/>
      </w:r>
      <w:r w:rsidRPr="00804548">
        <w:rPr>
          <w:lang w:val="es-ES_tradnl"/>
        </w:rPr>
        <w:tab/>
        <w:t>El presente documento tiene por finalidad informar acerca de las novedades que se han producido en el ámbito de las técnicas moleculares desde la septuagésima sesión del CAJ en relación con:</w:t>
      </w:r>
    </w:p>
    <w:p w:rsidR="009C71A1" w:rsidRPr="00804548" w:rsidRDefault="009C71A1" w:rsidP="00312C2A">
      <w:pPr>
        <w:rPr>
          <w:lang w:val="es-ES_tradnl" w:eastAsia="ja-JP"/>
        </w:rPr>
      </w:pPr>
    </w:p>
    <w:p w:rsidR="009C71A1" w:rsidRPr="00F96DDA" w:rsidRDefault="009C71A1" w:rsidP="003E2D7F">
      <w:pPr>
        <w:ind w:left="1134" w:hanging="567"/>
        <w:rPr>
          <w:lang w:val="es-ES_tradnl"/>
        </w:rPr>
      </w:pPr>
      <w:r w:rsidRPr="00F96DDA">
        <w:rPr>
          <w:lang w:val="es-ES_tradnl"/>
        </w:rPr>
        <w:t>a)</w:t>
      </w:r>
      <w:r w:rsidRPr="00F96DDA">
        <w:rPr>
          <w:lang w:val="es-ES_tradnl"/>
        </w:rPr>
        <w:tab/>
        <w:t>el Grupo de Trabajo sobre Técnicas Bioquímicas y Moleculares y Perfiles de ADN en particular</w:t>
      </w:r>
    </w:p>
    <w:p w:rsidR="009C71A1" w:rsidRPr="00804548" w:rsidRDefault="009C71A1" w:rsidP="003E2D7F">
      <w:pPr>
        <w:ind w:left="1170" w:hanging="603"/>
        <w:rPr>
          <w:lang w:val="es-ES_tradnl" w:eastAsia="ja-JP"/>
        </w:rPr>
      </w:pPr>
      <w:r w:rsidRPr="00F96DDA">
        <w:rPr>
          <w:lang w:val="es-ES_tradnl" w:eastAsia="ja-JP"/>
        </w:rPr>
        <w:t>b)</w:t>
      </w:r>
      <w:r w:rsidRPr="00804548">
        <w:rPr>
          <w:lang w:val="es-ES_tradnl" w:eastAsia="ja-JP"/>
        </w:rPr>
        <w:tab/>
        <w:t>el Taller conjunto OCDE-UPOV-ISTA sobre técnicas moleculares</w:t>
      </w:r>
    </w:p>
    <w:p w:rsidR="009C71A1" w:rsidRPr="00804548" w:rsidRDefault="009C71A1" w:rsidP="003E2D7F">
      <w:pPr>
        <w:ind w:left="1170" w:hanging="603"/>
        <w:rPr>
          <w:lang w:val="es-ES_tradnl" w:eastAsia="ja-JP"/>
        </w:rPr>
      </w:pPr>
      <w:r w:rsidRPr="00F96DDA">
        <w:rPr>
          <w:lang w:val="es-ES_tradnl" w:eastAsia="ja-JP"/>
        </w:rPr>
        <w:t>c)</w:t>
      </w:r>
      <w:r w:rsidRPr="00804548">
        <w:rPr>
          <w:lang w:val="es-ES_tradnl" w:eastAsia="ja-JP"/>
        </w:rPr>
        <w:tab/>
        <w:t>el debate sobre técnicas moleculares mantenido por el TC en su quincuagésima sesión</w:t>
      </w:r>
    </w:p>
    <w:p w:rsidR="009C71A1" w:rsidRDefault="00B6391A" w:rsidP="00B6391A">
      <w:pPr>
        <w:ind w:left="1134" w:hanging="567"/>
        <w:rPr>
          <w:lang w:val="es-ES_tradnl"/>
        </w:rPr>
      </w:pPr>
      <w:r>
        <w:rPr>
          <w:lang w:val="es-ES_tradnl"/>
        </w:rPr>
        <w:t>d</w:t>
      </w:r>
      <w:r w:rsidR="009C71A1" w:rsidRPr="00F96DDA">
        <w:rPr>
          <w:lang w:val="es-ES_tradnl"/>
        </w:rPr>
        <w:t>)</w:t>
      </w:r>
      <w:r w:rsidR="009C71A1" w:rsidRPr="00F96DDA">
        <w:rPr>
          <w:lang w:val="es-ES_tradnl"/>
        </w:rPr>
        <w:tab/>
        <w:t>la presentación de información sobre la situación en la UPOV en lo que respecta al uso de técnicas moleculares.</w:t>
      </w:r>
    </w:p>
    <w:p w:rsidR="00B6391A" w:rsidRDefault="00B6391A" w:rsidP="00B6391A"/>
    <w:p w:rsidR="00B6391A" w:rsidRPr="00B6391A" w:rsidRDefault="00B6391A" w:rsidP="00B6391A"/>
    <w:p w:rsidR="009C71A1" w:rsidRPr="00F96DDA" w:rsidRDefault="009C71A1" w:rsidP="00BD6B3F">
      <w:pPr>
        <w:pStyle w:val="Heading1"/>
        <w:rPr>
          <w:color w:val="auto"/>
        </w:rPr>
      </w:pPr>
      <w:bookmarkStart w:id="8" w:name="_Toc413751704"/>
      <w:r w:rsidRPr="00F96DDA">
        <w:rPr>
          <w:color w:val="auto"/>
        </w:rPr>
        <w:t xml:space="preserve">decimocuarta </w:t>
      </w:r>
      <w:r w:rsidR="00B6391A">
        <w:rPr>
          <w:color w:val="auto"/>
        </w:rPr>
        <w:t>sesión</w:t>
      </w:r>
      <w:r w:rsidRPr="00F96DDA">
        <w:rPr>
          <w:color w:val="auto"/>
        </w:rPr>
        <w:t xml:space="preserve"> DEL GRUPO DE TRABAJO SOBRE TÉCNICAS BIOQUÍMICAS Y MOLECULARES, Y PERFILES DE ADN EN PARTICULAR (BMT)</w:t>
      </w:r>
      <w:bookmarkEnd w:id="8"/>
    </w:p>
    <w:p w:rsidR="009C71A1" w:rsidRPr="00804548" w:rsidRDefault="009C71A1" w:rsidP="00312C2A">
      <w:pPr>
        <w:rPr>
          <w:lang w:val="es-ES_tradnl" w:eastAsia="ja-JP"/>
        </w:rPr>
      </w:pPr>
    </w:p>
    <w:p w:rsidR="009C71A1" w:rsidRPr="00F96DDA" w:rsidRDefault="009C71A1" w:rsidP="00B6391A">
      <w:pPr>
        <w:rPr>
          <w:lang w:val="es-ES_tradnl" w:eastAsia="ja-JP"/>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La función del BMT se reproduce en el Anexo I del presente documento.</w:t>
      </w:r>
    </w:p>
    <w:p w:rsidR="009C71A1" w:rsidRPr="00804548" w:rsidRDefault="009C71A1" w:rsidP="00312C2A">
      <w:pPr>
        <w:rPr>
          <w:lang w:val="es-ES_tradnl" w:eastAsia="ja-JP"/>
        </w:rPr>
      </w:pPr>
    </w:p>
    <w:p w:rsidR="009C71A1" w:rsidRPr="00F96DDA" w:rsidRDefault="009C71A1" w:rsidP="00312C2A">
      <w:pPr>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 xml:space="preserve">La </w:t>
      </w:r>
      <w:r w:rsidRPr="00F96DDA">
        <w:rPr>
          <w:lang w:val="es-ES_tradnl" w:eastAsia="ja-JP"/>
        </w:rPr>
        <w:t>decimocuarta</w:t>
      </w:r>
      <w:r w:rsidRPr="00F96DDA">
        <w:rPr>
          <w:lang w:val="es-ES_tradnl"/>
        </w:rPr>
        <w:t xml:space="preserve"> </w:t>
      </w:r>
      <w:r w:rsidR="00B6391A">
        <w:rPr>
          <w:lang w:val="es-ES_tradnl"/>
        </w:rPr>
        <w:t>sesión</w:t>
      </w:r>
      <w:r w:rsidRPr="00F96DDA">
        <w:rPr>
          <w:lang w:val="es-ES_tradnl"/>
        </w:rPr>
        <w:t xml:space="preserve"> del BMT se celebró en </w:t>
      </w:r>
      <w:r w:rsidRPr="00F96DDA">
        <w:rPr>
          <w:lang w:val="es-ES_tradnl" w:eastAsia="ja-JP"/>
        </w:rPr>
        <w:t>Seúl (República de Corea)</w:t>
      </w:r>
      <w:r w:rsidRPr="00F96DDA">
        <w:rPr>
          <w:lang w:val="es-ES_tradnl"/>
        </w:rPr>
        <w:t xml:space="preserve"> del </w:t>
      </w:r>
      <w:r w:rsidRPr="00F96DDA">
        <w:rPr>
          <w:lang w:val="es-ES_tradnl" w:eastAsia="ja-JP"/>
        </w:rPr>
        <w:t>10</w:t>
      </w:r>
      <w:r w:rsidRPr="00F96DDA">
        <w:rPr>
          <w:lang w:val="es-ES_tradnl"/>
        </w:rPr>
        <w:t xml:space="preserve"> al </w:t>
      </w:r>
      <w:r w:rsidRPr="00F96DDA">
        <w:rPr>
          <w:lang w:val="es-ES_tradnl" w:eastAsia="ja-JP"/>
        </w:rPr>
        <w:t>13</w:t>
      </w:r>
      <w:r w:rsidRPr="00F96DDA">
        <w:rPr>
          <w:lang w:val="es-ES_tradnl"/>
        </w:rPr>
        <w:t xml:space="preserve"> de noviembre de 201</w:t>
      </w:r>
      <w:r w:rsidRPr="00F96DDA">
        <w:rPr>
          <w:lang w:val="es-ES_tradnl" w:eastAsia="ja-JP"/>
        </w:rPr>
        <w:t>4; e</w:t>
      </w:r>
      <w:r w:rsidRPr="00F96DDA">
        <w:rPr>
          <w:lang w:val="es-ES_tradnl"/>
        </w:rPr>
        <w:t>l </w:t>
      </w:r>
      <w:r w:rsidRPr="00F96DDA">
        <w:rPr>
          <w:lang w:val="es-ES_tradnl" w:eastAsia="ja-JP"/>
        </w:rPr>
        <w:t>9</w:t>
      </w:r>
      <w:r w:rsidRPr="00F96DDA">
        <w:rPr>
          <w:lang w:val="es-ES_tradnl"/>
        </w:rPr>
        <w:t xml:space="preserve"> de noviembre de 201</w:t>
      </w:r>
      <w:r w:rsidRPr="00F96DDA">
        <w:rPr>
          <w:lang w:val="es-ES_tradnl" w:eastAsia="ja-JP"/>
        </w:rPr>
        <w:t xml:space="preserve">4 se celebró el </w:t>
      </w:r>
      <w:r w:rsidRPr="00F96DDA">
        <w:rPr>
          <w:lang w:val="es-ES_tradnl"/>
        </w:rPr>
        <w:t xml:space="preserve">taller preparatorio, </w:t>
      </w:r>
      <w:r w:rsidRPr="00F96DDA">
        <w:rPr>
          <w:lang w:val="es-ES_tradnl" w:eastAsia="ja-JP"/>
        </w:rPr>
        <w:t>y el 12 de noviembre de 2014 se celebró el Taller conjunto OCDE-UPOV-ISTA sobre técnicas moleculares</w:t>
      </w:r>
      <w:r w:rsidRPr="00F96DDA">
        <w:rPr>
          <w:lang w:val="es-ES_tradnl"/>
        </w:rPr>
        <w:t xml:space="preserve">. El día específico dedicado a los puntos del orden del día “Informe sobre la labor relativa a las técnicas moleculares en relación con el examen DHE” y “La utilización de técnicas moleculares en la identificación de variedades” (el “Día del obtentor”) </w:t>
      </w:r>
      <w:r w:rsidRPr="00F96DDA">
        <w:rPr>
          <w:lang w:val="es-ES_tradnl" w:eastAsia="ja-JP"/>
        </w:rPr>
        <w:t>fue</w:t>
      </w:r>
      <w:r w:rsidRPr="00F96DDA">
        <w:rPr>
          <w:lang w:val="es-ES_tradnl"/>
        </w:rPr>
        <w:t xml:space="preserve"> el </w:t>
      </w:r>
      <w:r w:rsidRPr="00F96DDA">
        <w:rPr>
          <w:lang w:val="es-ES_tradnl" w:eastAsia="ja-JP"/>
        </w:rPr>
        <w:t>1</w:t>
      </w:r>
      <w:r w:rsidRPr="00F96DDA">
        <w:rPr>
          <w:lang w:val="es-ES_tradnl"/>
        </w:rPr>
        <w:t>2 de noviembre de 201</w:t>
      </w:r>
      <w:r w:rsidRPr="00F96DDA">
        <w:rPr>
          <w:lang w:val="es-ES_tradnl" w:eastAsia="ja-JP"/>
        </w:rPr>
        <w:t>4</w:t>
      </w:r>
      <w:r w:rsidRPr="00F96DDA">
        <w:rPr>
          <w:lang w:val="es-ES_tradnl"/>
        </w:rPr>
        <w:t>.</w:t>
      </w:r>
    </w:p>
    <w:p w:rsidR="009C71A1" w:rsidRPr="00F96DDA" w:rsidRDefault="009C71A1" w:rsidP="00312C2A">
      <w:pPr>
        <w:rPr>
          <w:lang w:val="es-ES_tradnl"/>
        </w:rPr>
      </w:pPr>
    </w:p>
    <w:p w:rsidR="009C71A1" w:rsidRPr="00F96DDA" w:rsidRDefault="009C71A1" w:rsidP="00312C2A">
      <w:pPr>
        <w:autoSpaceDE w:val="0"/>
        <w:autoSpaceDN w:val="0"/>
        <w:adjustRightInd w:val="0"/>
        <w:rPr>
          <w:rFonts w:cs="Arial"/>
          <w:lang w:val="es-ES_tradnl" w:eastAsia="ja-JP"/>
        </w:rPr>
      </w:pPr>
      <w:r w:rsidRPr="00F96DDA">
        <w:rPr>
          <w:rFonts w:cs="Arial"/>
          <w:lang w:val="es-ES_tradnl" w:eastAsia="ja-JP"/>
        </w:rPr>
        <w:fldChar w:fldCharType="begin"/>
      </w:r>
      <w:r w:rsidRPr="00F96DDA">
        <w:rPr>
          <w:rFonts w:cs="Arial"/>
          <w:lang w:val="es-ES_tradnl" w:eastAsia="ja-JP"/>
        </w:rPr>
        <w:instrText xml:space="preserve"> AUTONUM  </w:instrText>
      </w:r>
      <w:r w:rsidRPr="00F96DDA">
        <w:rPr>
          <w:rFonts w:cs="Arial"/>
          <w:lang w:val="es-ES_tradnl" w:eastAsia="ja-JP"/>
        </w:rPr>
        <w:fldChar w:fldCharType="end"/>
      </w:r>
      <w:r w:rsidRPr="00F96DDA">
        <w:rPr>
          <w:rFonts w:cs="Arial"/>
          <w:lang w:val="es-ES_tradnl" w:eastAsia="ja-JP"/>
        </w:rPr>
        <w:tab/>
        <w:t xml:space="preserve">A continuación figuran los documentos presentados en cada uno de los puntos del orden del día de la decimocuarta </w:t>
      </w:r>
      <w:r w:rsidR="00B6391A">
        <w:rPr>
          <w:rFonts w:cs="Arial"/>
          <w:lang w:val="es-ES_tradnl" w:eastAsia="ja-JP"/>
        </w:rPr>
        <w:t>sesión</w:t>
      </w:r>
      <w:r w:rsidRPr="00F96DDA">
        <w:rPr>
          <w:rFonts w:cs="Arial"/>
          <w:lang w:val="es-ES_tradnl" w:eastAsia="ja-JP"/>
        </w:rPr>
        <w:t xml:space="preserve"> del BMT:</w:t>
      </w:r>
    </w:p>
    <w:p w:rsidR="009C71A1" w:rsidRPr="00F96DDA" w:rsidRDefault="009C71A1" w:rsidP="00312C2A">
      <w:pPr>
        <w:autoSpaceDE w:val="0"/>
        <w:autoSpaceDN w:val="0"/>
        <w:adjustRightInd w:val="0"/>
        <w:rPr>
          <w:rFonts w:cs="Arial"/>
          <w:lang w:val="es-ES_tradnl" w:eastAsia="ja-JP"/>
        </w:rPr>
      </w:pPr>
    </w:p>
    <w:p w:rsidR="009C71A1" w:rsidRPr="00F96DDA" w:rsidRDefault="009C71A1" w:rsidP="00312C2A">
      <w:pPr>
        <w:ind w:left="567"/>
        <w:rPr>
          <w:rFonts w:cs="Arial"/>
          <w:i/>
          <w:lang w:val="es-ES_tradnl" w:eastAsia="ja-JP"/>
        </w:rPr>
      </w:pPr>
      <w:r w:rsidRPr="00F96DDA">
        <w:rPr>
          <w:rFonts w:cs="Arial"/>
          <w:i/>
          <w:lang w:val="es-ES_tradnl"/>
        </w:rPr>
        <w:t xml:space="preserve">Informe sobre las novedades acaecidas en la UPOV en relación con las técnicas bioquímicas y moleculares </w:t>
      </w:r>
      <w:bookmarkStart w:id="9" w:name="_Toc410822405"/>
      <w:r w:rsidRPr="00F96DDA">
        <w:rPr>
          <w:rFonts w:cs="Arial"/>
          <w:i/>
          <w:lang w:val="es-ES_tradnl"/>
        </w:rPr>
        <w:t>(documento BMT/14/2</w:t>
      </w:r>
      <w:r w:rsidRPr="00F96DDA">
        <w:rPr>
          <w:rFonts w:cs="Arial"/>
          <w:i/>
          <w:lang w:val="es-ES_tradnl" w:eastAsia="ja-JP"/>
        </w:rPr>
        <w:t> Rev</w:t>
      </w:r>
      <w:r w:rsidRPr="00F96DDA">
        <w:rPr>
          <w:rFonts w:cs="Arial"/>
          <w:i/>
          <w:lang w:val="es-ES_tradnl"/>
        </w:rPr>
        <w:t>.)</w:t>
      </w:r>
      <w:bookmarkEnd w:id="9"/>
    </w:p>
    <w:p w:rsidR="009C71A1" w:rsidRPr="00F96DDA" w:rsidRDefault="009C71A1" w:rsidP="00312C2A">
      <w:pPr>
        <w:rPr>
          <w:rFonts w:cs="Arial"/>
          <w:i/>
          <w:lang w:val="es-ES_tradnl" w:eastAsia="ja-JP"/>
        </w:rPr>
      </w:pPr>
    </w:p>
    <w:p w:rsidR="009C71A1" w:rsidRPr="00F96DDA" w:rsidRDefault="009C71A1" w:rsidP="00312C2A">
      <w:pPr>
        <w:ind w:left="540"/>
        <w:rPr>
          <w:rFonts w:cs="Arial"/>
          <w:i/>
          <w:lang w:val="es-ES_tradnl"/>
        </w:rPr>
      </w:pPr>
      <w:r w:rsidRPr="00F96DDA">
        <w:rPr>
          <w:rFonts w:cs="Arial"/>
          <w:i/>
          <w:lang w:val="es-ES_tradnl"/>
        </w:rPr>
        <w:t>Breves ponencias sobre los avances en las técnicas bioquímicas y moleculares a cargo de expertos en el examen DHE, especialistas en técnicas bioquímicas y moleculares, y obtentores y organizaciones internacionales pertinentes (documento BMT/14/15 Anexo I: Francia, Anexo II: Estados Unidos de América, Anexo III: Irán (República Islámica del)</w:t>
      </w:r>
    </w:p>
    <w:p w:rsidR="009C71A1" w:rsidRPr="00F96DDA" w:rsidRDefault="009C71A1" w:rsidP="00312C2A">
      <w:pPr>
        <w:rPr>
          <w:rFonts w:cs="Arial"/>
          <w:i/>
          <w:lang w:val="es-ES_tradnl" w:eastAsia="ja-JP"/>
        </w:rPr>
      </w:pPr>
    </w:p>
    <w:p w:rsidR="009C71A1" w:rsidRPr="00F96DDA" w:rsidRDefault="009C71A1" w:rsidP="00312C2A">
      <w:pPr>
        <w:keepNext/>
        <w:ind w:firstLine="567"/>
        <w:rPr>
          <w:rFonts w:cs="Arial"/>
          <w:i/>
          <w:lang w:val="es-ES_tradnl" w:eastAsia="ja-JP"/>
        </w:rPr>
      </w:pPr>
      <w:r w:rsidRPr="00F96DDA">
        <w:rPr>
          <w:rFonts w:cs="Arial"/>
          <w:i/>
          <w:lang w:val="es-ES_tradnl"/>
        </w:rPr>
        <w:t xml:space="preserve">Informe sobre la labor relativa a las técnicas moleculares en relación con el examen DHE </w:t>
      </w:r>
    </w:p>
    <w:p w:rsidR="009C71A1" w:rsidRPr="00F96DDA" w:rsidRDefault="009C71A1" w:rsidP="00312C2A">
      <w:pPr>
        <w:keepNext/>
        <w:rPr>
          <w:rFonts w:cs="Arial"/>
          <w:i/>
          <w:lang w:val="es-ES_tradnl" w:eastAsia="ja-JP"/>
        </w:rPr>
      </w:pPr>
    </w:p>
    <w:p w:rsidR="009C71A1" w:rsidRPr="00F96DDA" w:rsidRDefault="009C71A1" w:rsidP="00312C2A">
      <w:pPr>
        <w:keepNext/>
        <w:ind w:left="540"/>
        <w:rPr>
          <w:rFonts w:cs="Arial"/>
          <w:i/>
          <w:iCs/>
          <w:lang w:val="es-ES_tradnl"/>
        </w:rPr>
      </w:pPr>
      <w:r w:rsidRPr="00F96DDA">
        <w:rPr>
          <w:rFonts w:cs="Arial"/>
          <w:i/>
          <w:iCs/>
          <w:lang w:val="es-ES_tradnl"/>
        </w:rPr>
        <w:t>Utilización de variedades de referencia en la distinción de variedades: un método en investigación en los Estados Unidos de América para su posible aplicación en la protección de las obtenciones vegetales</w:t>
      </w:r>
      <w:r w:rsidR="00B6391A">
        <w:rPr>
          <w:rFonts w:cs="Arial"/>
          <w:i/>
          <w:iCs/>
          <w:lang w:val="es-ES_tradnl"/>
        </w:rPr>
        <w:t xml:space="preserve"> </w:t>
      </w:r>
      <w:r w:rsidRPr="00F96DDA">
        <w:rPr>
          <w:rFonts w:cs="Arial"/>
          <w:i/>
          <w:iCs/>
          <w:lang w:val="es-ES_tradnl" w:eastAsia="ja-JP"/>
        </w:rPr>
        <w:t>(</w:t>
      </w:r>
      <w:r w:rsidRPr="00F96DDA">
        <w:rPr>
          <w:rFonts w:cs="Arial"/>
          <w:i/>
          <w:iCs/>
          <w:lang w:val="es-ES_tradnl"/>
        </w:rPr>
        <w:t>documento BMT/14/5</w:t>
      </w:r>
      <w:r w:rsidRPr="00F96DDA">
        <w:rPr>
          <w:rFonts w:cs="Arial"/>
          <w:i/>
          <w:iCs/>
          <w:lang w:val="es-ES_tradnl" w:eastAsia="ja-JP"/>
        </w:rPr>
        <w:t xml:space="preserve"> y BMT/14/5 </w:t>
      </w:r>
      <w:proofErr w:type="spellStart"/>
      <w:r w:rsidRPr="00F96DDA">
        <w:rPr>
          <w:rFonts w:cs="Arial"/>
          <w:i/>
          <w:iCs/>
          <w:lang w:val="es-ES_tradnl" w:eastAsia="ja-JP"/>
        </w:rPr>
        <w:t>Add</w:t>
      </w:r>
      <w:proofErr w:type="spellEnd"/>
      <w:r w:rsidRPr="00F96DDA">
        <w:rPr>
          <w:rFonts w:cs="Arial"/>
          <w:i/>
          <w:iCs/>
          <w:lang w:val="es-ES_tradnl" w:eastAsia="ja-JP"/>
        </w:rPr>
        <w:t>.</w:t>
      </w:r>
      <w:r w:rsidRPr="00F96DDA">
        <w:rPr>
          <w:rFonts w:cs="Arial"/>
          <w:i/>
          <w:iCs/>
          <w:lang w:val="es-ES_tradnl"/>
        </w:rPr>
        <w:t>)</w:t>
      </w:r>
    </w:p>
    <w:p w:rsidR="009C71A1" w:rsidRPr="00F96DDA" w:rsidRDefault="009C71A1" w:rsidP="00312C2A">
      <w:pPr>
        <w:rPr>
          <w:rFonts w:cs="Arial"/>
          <w:i/>
          <w:iCs/>
          <w:lang w:val="es-ES_tradnl" w:eastAsia="ja-JP"/>
        </w:rPr>
      </w:pPr>
    </w:p>
    <w:p w:rsidR="009C71A1" w:rsidRPr="00F96DDA" w:rsidRDefault="009C71A1" w:rsidP="00312C2A">
      <w:pPr>
        <w:ind w:left="540"/>
        <w:rPr>
          <w:rFonts w:cs="Arial"/>
          <w:i/>
          <w:iCs/>
          <w:lang w:val="es-ES_tradnl"/>
        </w:rPr>
      </w:pPr>
      <w:r w:rsidRPr="00F96DDA">
        <w:rPr>
          <w:rFonts w:cs="Arial"/>
          <w:i/>
          <w:iCs/>
          <w:lang w:val="es-ES_tradnl"/>
        </w:rPr>
        <w:t>Identificación de variedades de arroz usando marcadores génicos para tres caracteres del examen DHE</w:t>
      </w:r>
      <w:r w:rsidRPr="00F96DDA">
        <w:rPr>
          <w:rFonts w:cs="Arial"/>
          <w:i/>
          <w:iCs/>
          <w:lang w:val="es-ES_tradnl" w:eastAsia="ja-JP"/>
        </w:rPr>
        <w:t xml:space="preserve"> </w:t>
      </w:r>
      <w:r w:rsidRPr="00F96DDA">
        <w:rPr>
          <w:rFonts w:cs="Arial"/>
          <w:i/>
          <w:iCs/>
          <w:lang w:val="es-ES_tradnl"/>
        </w:rPr>
        <w:t>(documento BMT/14/8</w:t>
      </w:r>
      <w:r w:rsidRPr="00F96DDA">
        <w:rPr>
          <w:rFonts w:cs="Arial"/>
          <w:i/>
          <w:iCs/>
          <w:lang w:val="es-ES_tradnl" w:eastAsia="ja-JP"/>
        </w:rPr>
        <w:t xml:space="preserve"> y BMT/14/8 </w:t>
      </w:r>
      <w:proofErr w:type="spellStart"/>
      <w:r w:rsidRPr="00F96DDA">
        <w:rPr>
          <w:rFonts w:cs="Arial"/>
          <w:i/>
          <w:iCs/>
          <w:lang w:val="es-ES_tradnl" w:eastAsia="ja-JP"/>
        </w:rPr>
        <w:t>Add</w:t>
      </w:r>
      <w:proofErr w:type="spellEnd"/>
      <w:r w:rsidRPr="00F96DDA">
        <w:rPr>
          <w:rFonts w:cs="Arial"/>
          <w:i/>
          <w:iCs/>
          <w:lang w:val="es-ES_tradnl" w:eastAsia="ja-JP"/>
        </w:rPr>
        <w:t>.</w:t>
      </w:r>
      <w:r w:rsidRPr="00F96DDA">
        <w:rPr>
          <w:rFonts w:cs="Arial"/>
          <w:i/>
          <w:iCs/>
          <w:lang w:val="es-ES_tradnl"/>
        </w:rPr>
        <w:t>)</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iCs/>
          <w:lang w:val="es-ES_tradnl" w:eastAsia="ja-JP"/>
        </w:rPr>
      </w:pPr>
      <w:r w:rsidRPr="00F96DDA">
        <w:rPr>
          <w:rFonts w:cs="Arial"/>
          <w:i/>
          <w:iCs/>
          <w:lang w:val="es-ES_tradnl"/>
        </w:rPr>
        <w:t xml:space="preserve">Utilización de marcadores moleculares (SNP) para el examen DHE del maíz </w:t>
      </w:r>
    </w:p>
    <w:p w:rsidR="009C71A1" w:rsidRPr="00F96DDA" w:rsidRDefault="009C71A1" w:rsidP="00312C2A">
      <w:pPr>
        <w:ind w:left="540"/>
        <w:rPr>
          <w:rFonts w:cs="Arial"/>
          <w:i/>
          <w:iCs/>
          <w:lang w:val="es-ES_tradnl"/>
        </w:rPr>
      </w:pPr>
      <w:r w:rsidRPr="00F96DDA">
        <w:rPr>
          <w:rFonts w:cs="Arial"/>
          <w:i/>
          <w:iCs/>
          <w:lang w:val="es-ES_tradnl"/>
        </w:rPr>
        <w:t>(</w:t>
      </w:r>
      <w:proofErr w:type="gramStart"/>
      <w:r w:rsidRPr="00F96DDA">
        <w:rPr>
          <w:rFonts w:cs="Arial"/>
          <w:i/>
          <w:iCs/>
          <w:lang w:val="es-ES_tradnl"/>
        </w:rPr>
        <w:t>documento</w:t>
      </w:r>
      <w:proofErr w:type="gramEnd"/>
      <w:r w:rsidRPr="00F96DDA">
        <w:rPr>
          <w:rFonts w:cs="Arial"/>
          <w:i/>
          <w:iCs/>
          <w:lang w:val="es-ES_tradnl"/>
        </w:rPr>
        <w:t xml:space="preserve"> BMT/14/10</w:t>
      </w:r>
      <w:r w:rsidRPr="00F96DDA">
        <w:rPr>
          <w:rFonts w:cs="Arial"/>
          <w:i/>
          <w:iCs/>
          <w:lang w:val="es-ES_tradnl" w:eastAsia="ja-JP"/>
        </w:rPr>
        <w:t xml:space="preserve"> y BMT/14/10 </w:t>
      </w:r>
      <w:proofErr w:type="spellStart"/>
      <w:r w:rsidRPr="00F96DDA">
        <w:rPr>
          <w:rFonts w:cs="Arial"/>
          <w:i/>
          <w:iCs/>
          <w:lang w:val="es-ES_tradnl" w:eastAsia="ja-JP"/>
        </w:rPr>
        <w:t>Add</w:t>
      </w:r>
      <w:proofErr w:type="spellEnd"/>
      <w:r w:rsidRPr="00F96DDA">
        <w:rPr>
          <w:rFonts w:cs="Arial"/>
          <w:i/>
          <w:iCs/>
          <w:lang w:val="es-ES_tradnl" w:eastAsia="ja-JP"/>
        </w:rPr>
        <w:t>.</w:t>
      </w:r>
      <w:r w:rsidRPr="00F96DDA">
        <w:rPr>
          <w:rFonts w:cs="Arial"/>
          <w:i/>
          <w:iCs/>
          <w:lang w:val="es-ES_tradnl"/>
        </w:rPr>
        <w:t>)</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iCs/>
          <w:lang w:val="es-ES_tradnl"/>
        </w:rPr>
      </w:pPr>
      <w:r w:rsidRPr="00F96DDA">
        <w:rPr>
          <w:rFonts w:cs="Arial"/>
          <w:i/>
          <w:iCs/>
          <w:lang w:val="es-ES_tradnl"/>
        </w:rPr>
        <w:t>Posibles usos de los marcadores moleculares en la gestión de variedades de rosa para el sistema de protección de las obtenciones vegetales</w:t>
      </w:r>
      <w:r w:rsidR="00B6391A">
        <w:rPr>
          <w:rFonts w:cs="Arial"/>
          <w:i/>
          <w:iCs/>
          <w:lang w:val="es-ES_tradnl"/>
        </w:rPr>
        <w:t xml:space="preserve"> </w:t>
      </w:r>
      <w:r w:rsidRPr="00F96DDA">
        <w:rPr>
          <w:rFonts w:cs="Arial"/>
          <w:i/>
          <w:iCs/>
          <w:lang w:val="es-ES_tradnl"/>
        </w:rPr>
        <w:t>(documento BMT/14/12</w:t>
      </w:r>
      <w:r w:rsidRPr="00F96DDA">
        <w:rPr>
          <w:rFonts w:cs="Arial"/>
          <w:i/>
          <w:iCs/>
          <w:lang w:val="es-ES_tradnl" w:eastAsia="ja-JP"/>
        </w:rPr>
        <w:t xml:space="preserve"> y BMT/14/12 </w:t>
      </w:r>
      <w:proofErr w:type="spellStart"/>
      <w:r w:rsidRPr="00F96DDA">
        <w:rPr>
          <w:rFonts w:cs="Arial"/>
          <w:i/>
          <w:iCs/>
          <w:lang w:val="es-ES_tradnl" w:eastAsia="ja-JP"/>
        </w:rPr>
        <w:t>Add</w:t>
      </w:r>
      <w:proofErr w:type="spellEnd"/>
      <w:r w:rsidRPr="00F96DDA">
        <w:rPr>
          <w:rFonts w:cs="Arial"/>
          <w:i/>
          <w:iCs/>
          <w:lang w:val="es-ES_tradnl" w:eastAsia="ja-JP"/>
        </w:rPr>
        <w:t>.</w:t>
      </w:r>
      <w:r w:rsidRPr="00F96DDA">
        <w:rPr>
          <w:rFonts w:cs="Arial"/>
          <w:i/>
          <w:iCs/>
          <w:lang w:val="es-ES_tradnl"/>
        </w:rPr>
        <w:t>)</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iCs/>
          <w:lang w:val="es-ES_tradnl"/>
        </w:rPr>
      </w:pPr>
      <w:r w:rsidRPr="00F96DDA">
        <w:rPr>
          <w:rFonts w:cs="Arial"/>
          <w:i/>
          <w:iCs/>
          <w:lang w:val="es-ES_tradnl"/>
        </w:rPr>
        <w:t>Desarrollo de marcadores EST-SSR de la lechuga e identificación de variedades mediante marcadores EST-SSR</w:t>
      </w:r>
      <w:r w:rsidR="00B6391A">
        <w:rPr>
          <w:rFonts w:cs="Arial"/>
          <w:i/>
          <w:iCs/>
          <w:lang w:val="es-ES_tradnl"/>
        </w:rPr>
        <w:t xml:space="preserve"> </w:t>
      </w:r>
      <w:r w:rsidRPr="00F96DDA">
        <w:rPr>
          <w:rFonts w:cs="Arial"/>
          <w:i/>
          <w:iCs/>
          <w:lang w:val="es-ES_tradnl"/>
        </w:rPr>
        <w:t>(documento BMT/14/13</w:t>
      </w:r>
      <w:r w:rsidRPr="00F96DDA">
        <w:rPr>
          <w:rFonts w:cs="Arial"/>
          <w:i/>
          <w:iCs/>
          <w:lang w:val="es-ES_tradnl" w:eastAsia="ja-JP"/>
        </w:rPr>
        <w:t xml:space="preserve"> Rev.</w:t>
      </w:r>
      <w:r w:rsidRPr="00F96DDA">
        <w:rPr>
          <w:rFonts w:cs="Arial"/>
          <w:i/>
          <w:iCs/>
          <w:lang w:val="es-ES_tradnl"/>
        </w:rPr>
        <w:t>)</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iCs/>
          <w:lang w:val="es-ES_tradnl"/>
        </w:rPr>
      </w:pPr>
      <w:r w:rsidRPr="00F96DDA">
        <w:rPr>
          <w:rFonts w:cs="Arial"/>
          <w:i/>
          <w:iCs/>
          <w:lang w:val="es-ES_tradnl"/>
        </w:rPr>
        <w:t>Elaboración de una base de datos de perfiles de ADN de variedades de fresa usando marcadores SSR</w:t>
      </w:r>
      <w:r w:rsidRPr="00F96DDA">
        <w:rPr>
          <w:rFonts w:cs="Arial"/>
          <w:i/>
          <w:iCs/>
          <w:lang w:val="es-ES_tradnl" w:eastAsia="ja-JP"/>
        </w:rPr>
        <w:t xml:space="preserve"> </w:t>
      </w:r>
      <w:r w:rsidRPr="00F96DDA">
        <w:rPr>
          <w:rFonts w:cs="Arial"/>
          <w:i/>
          <w:iCs/>
          <w:lang w:val="es-ES_tradnl"/>
        </w:rPr>
        <w:t>(documento BMT/14/14</w:t>
      </w:r>
      <w:r w:rsidRPr="00F96DDA">
        <w:rPr>
          <w:rFonts w:cs="Arial"/>
          <w:i/>
          <w:iCs/>
          <w:lang w:val="es-ES_tradnl" w:eastAsia="ja-JP"/>
        </w:rPr>
        <w:t xml:space="preserve"> Rev.</w:t>
      </w:r>
      <w:r w:rsidRPr="00F96DDA">
        <w:rPr>
          <w:rFonts w:cs="Arial"/>
          <w:i/>
          <w:iCs/>
          <w:lang w:val="es-ES_tradnl"/>
        </w:rPr>
        <w:t>)</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lang w:val="es-ES_tradnl" w:eastAsia="ja-JP"/>
        </w:rPr>
      </w:pPr>
      <w:r w:rsidRPr="00F96DDA">
        <w:rPr>
          <w:rFonts w:cs="Arial"/>
          <w:i/>
          <w:iCs/>
          <w:lang w:val="es-ES_tradnl"/>
        </w:rPr>
        <w:t>Uso de técnicas basadas en marcadores moleculares para la selección de "variedades similares" a una "variedad candidata"</w:t>
      </w:r>
      <w:r w:rsidR="00B6391A">
        <w:rPr>
          <w:rFonts w:cs="Arial"/>
          <w:i/>
          <w:iCs/>
          <w:lang w:val="es-ES_tradnl"/>
        </w:rPr>
        <w:t xml:space="preserve"> </w:t>
      </w:r>
      <w:r w:rsidRPr="00F96DDA">
        <w:rPr>
          <w:rFonts w:cs="Arial"/>
          <w:i/>
          <w:iCs/>
          <w:lang w:val="es-ES_tradnl"/>
        </w:rPr>
        <w:t>(documento BMT/14/16</w:t>
      </w:r>
      <w:r w:rsidRPr="00F96DDA">
        <w:rPr>
          <w:rFonts w:cs="Arial"/>
          <w:i/>
          <w:iCs/>
          <w:lang w:val="es-ES_tradnl" w:eastAsia="ja-JP"/>
        </w:rPr>
        <w:t xml:space="preserve"> Rev2.</w:t>
      </w:r>
      <w:r w:rsidRPr="00F96DDA">
        <w:rPr>
          <w:rFonts w:cs="Arial"/>
          <w:i/>
          <w:iCs/>
          <w:lang w:val="es-ES_tradnl"/>
        </w:rPr>
        <w:t>)</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iCs/>
          <w:lang w:val="es-ES_tradnl"/>
        </w:rPr>
      </w:pPr>
      <w:r w:rsidRPr="00F96DDA">
        <w:rPr>
          <w:rFonts w:cs="Arial"/>
          <w:i/>
          <w:iCs/>
          <w:lang w:val="es-ES_tradnl"/>
        </w:rPr>
        <w:t>Mejora de la eficiencia del examen DHE del ballico perenne combinando las distancias morfológicas y moleculares entre variedades (documento BMT/14/17</w:t>
      </w:r>
      <w:r w:rsidRPr="00F96DDA">
        <w:rPr>
          <w:rFonts w:cs="Arial"/>
          <w:i/>
          <w:iCs/>
          <w:lang w:val="es-ES_tradnl" w:eastAsia="ja-JP"/>
        </w:rPr>
        <w:t xml:space="preserve"> y BMT/14/17 </w:t>
      </w:r>
      <w:proofErr w:type="spellStart"/>
      <w:r w:rsidRPr="00F96DDA">
        <w:rPr>
          <w:rFonts w:cs="Arial"/>
          <w:i/>
          <w:iCs/>
          <w:lang w:val="es-ES_tradnl" w:eastAsia="ja-JP"/>
        </w:rPr>
        <w:t>Add</w:t>
      </w:r>
      <w:proofErr w:type="spellEnd"/>
      <w:r w:rsidRPr="00F96DDA">
        <w:rPr>
          <w:rFonts w:cs="Arial"/>
          <w:i/>
          <w:iCs/>
          <w:lang w:val="es-ES_tradnl" w:eastAsia="ja-JP"/>
        </w:rPr>
        <w:t>.</w:t>
      </w:r>
      <w:r w:rsidRPr="00F96DDA">
        <w:rPr>
          <w:rFonts w:cs="Arial"/>
          <w:i/>
          <w:iCs/>
          <w:lang w:val="es-ES_tradnl"/>
        </w:rPr>
        <w:t>)</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iCs/>
          <w:lang w:val="es-ES_tradnl"/>
        </w:rPr>
      </w:pPr>
      <w:r w:rsidRPr="00F96DDA">
        <w:rPr>
          <w:rFonts w:cs="Arial"/>
          <w:i/>
          <w:iCs/>
          <w:lang w:val="es-ES_tradnl" w:eastAsia="ja-JP"/>
        </w:rPr>
        <w:t xml:space="preserve">Base de datos europea de la papa/patata como compilación centralizada de variedades notoriamente conocidas </w:t>
      </w:r>
      <w:r w:rsidRPr="00F96DDA">
        <w:rPr>
          <w:rFonts w:cs="Arial"/>
          <w:i/>
          <w:iCs/>
          <w:lang w:val="es-ES_tradnl"/>
        </w:rPr>
        <w:t>(documento BMT/14/18</w:t>
      </w:r>
      <w:r w:rsidRPr="00F96DDA">
        <w:rPr>
          <w:rFonts w:cs="Arial"/>
          <w:i/>
          <w:iCs/>
          <w:lang w:val="es-ES_tradnl" w:eastAsia="ja-JP"/>
        </w:rPr>
        <w:t xml:space="preserve"> y BMT/14/18 </w:t>
      </w:r>
      <w:proofErr w:type="spellStart"/>
      <w:r w:rsidRPr="00F96DDA">
        <w:rPr>
          <w:rFonts w:cs="Arial"/>
          <w:i/>
          <w:iCs/>
          <w:lang w:val="es-ES_tradnl" w:eastAsia="ja-JP"/>
        </w:rPr>
        <w:t>Add</w:t>
      </w:r>
      <w:proofErr w:type="spellEnd"/>
      <w:r w:rsidRPr="00F96DDA">
        <w:rPr>
          <w:rFonts w:cs="Arial"/>
          <w:i/>
          <w:iCs/>
          <w:lang w:val="es-ES_tradnl" w:eastAsia="ja-JP"/>
        </w:rPr>
        <w:t>.</w:t>
      </w:r>
      <w:r w:rsidRPr="00F96DDA">
        <w:rPr>
          <w:rFonts w:cs="Arial"/>
          <w:i/>
          <w:iCs/>
          <w:lang w:val="es-ES_tradnl"/>
        </w:rPr>
        <w:t>)</w:t>
      </w:r>
    </w:p>
    <w:p w:rsidR="009C71A1" w:rsidRPr="00F96DDA" w:rsidRDefault="009C71A1" w:rsidP="00312C2A">
      <w:pPr>
        <w:ind w:left="567"/>
        <w:rPr>
          <w:rFonts w:cs="Arial"/>
          <w:i/>
          <w:iCs/>
          <w:lang w:val="es-ES_tradnl" w:eastAsia="ja-JP"/>
        </w:rPr>
      </w:pPr>
    </w:p>
    <w:p w:rsidR="00B6391A" w:rsidRDefault="009C71A1" w:rsidP="00312C2A">
      <w:pPr>
        <w:ind w:left="540"/>
        <w:rPr>
          <w:rFonts w:cs="Arial"/>
          <w:i/>
          <w:iCs/>
          <w:lang w:val="es-ES_tradnl"/>
        </w:rPr>
      </w:pPr>
      <w:r w:rsidRPr="00F96DDA">
        <w:rPr>
          <w:rFonts w:cs="Arial"/>
          <w:i/>
          <w:iCs/>
          <w:lang w:val="es-ES_tradnl"/>
        </w:rPr>
        <w:t xml:space="preserve">Los marcadores moleculares como predictores de caracteres </w:t>
      </w:r>
      <w:r w:rsidRPr="00F96DDA">
        <w:rPr>
          <w:lang w:val="es-ES_tradnl"/>
        </w:rPr>
        <w:t>“</w:t>
      </w:r>
      <w:r w:rsidRPr="00F96DDA">
        <w:rPr>
          <w:rFonts w:cs="Arial"/>
          <w:i/>
          <w:iCs/>
          <w:lang w:val="es-ES_tradnl"/>
        </w:rPr>
        <w:t>tradicionales</w:t>
      </w:r>
      <w:r w:rsidRPr="00F96DDA">
        <w:rPr>
          <w:lang w:val="es-ES_tradnl"/>
        </w:rPr>
        <w:t>”</w:t>
      </w:r>
      <w:r w:rsidRPr="00F96DDA">
        <w:rPr>
          <w:rFonts w:cs="Arial"/>
          <w:i/>
          <w:iCs/>
          <w:lang w:val="es-ES_tradnl"/>
        </w:rPr>
        <w:t xml:space="preserve"> </w:t>
      </w:r>
    </w:p>
    <w:p w:rsidR="009C71A1" w:rsidRPr="00F96DDA" w:rsidRDefault="009C71A1" w:rsidP="00312C2A">
      <w:pPr>
        <w:ind w:left="540"/>
        <w:rPr>
          <w:rFonts w:cs="Arial"/>
          <w:i/>
          <w:lang w:val="es-ES_tradnl" w:eastAsia="ja-JP"/>
        </w:rPr>
      </w:pPr>
      <w:r w:rsidRPr="00F96DDA">
        <w:rPr>
          <w:rFonts w:cs="Arial"/>
          <w:i/>
          <w:iCs/>
          <w:lang w:val="es-ES_tradnl"/>
        </w:rPr>
        <w:t>(</w:t>
      </w:r>
      <w:proofErr w:type="gramStart"/>
      <w:r w:rsidRPr="00F96DDA">
        <w:rPr>
          <w:rFonts w:cs="Arial"/>
          <w:i/>
          <w:iCs/>
          <w:lang w:val="es-ES_tradnl"/>
        </w:rPr>
        <w:t>documento</w:t>
      </w:r>
      <w:proofErr w:type="gramEnd"/>
      <w:r w:rsidRPr="00F96DDA">
        <w:rPr>
          <w:rFonts w:cs="Arial"/>
          <w:i/>
          <w:iCs/>
          <w:lang w:val="es-ES_tradnl"/>
        </w:rPr>
        <w:t xml:space="preserve"> BMT/14/19</w:t>
      </w:r>
      <w:r w:rsidRPr="00F96DDA">
        <w:rPr>
          <w:rFonts w:cs="Arial"/>
          <w:i/>
          <w:iCs/>
          <w:lang w:val="es-ES_tradnl" w:eastAsia="ja-JP"/>
        </w:rPr>
        <w:t xml:space="preserve"> Rev.</w:t>
      </w:r>
      <w:r w:rsidRPr="00F96DDA">
        <w:rPr>
          <w:rFonts w:cs="Arial"/>
          <w:i/>
          <w:iCs/>
          <w:lang w:val="es-ES_tradnl"/>
        </w:rPr>
        <w:t>)</w:t>
      </w:r>
    </w:p>
    <w:p w:rsidR="009C71A1" w:rsidRPr="00F96DDA" w:rsidRDefault="009C71A1" w:rsidP="00312C2A">
      <w:pPr>
        <w:ind w:left="567"/>
        <w:rPr>
          <w:rFonts w:cs="Arial"/>
          <w:i/>
          <w:lang w:val="es-ES_tradnl" w:eastAsia="ja-JP"/>
        </w:rPr>
      </w:pPr>
    </w:p>
    <w:p w:rsidR="009C71A1" w:rsidRPr="00F96DDA" w:rsidRDefault="009C71A1" w:rsidP="00312C2A">
      <w:pPr>
        <w:ind w:left="567"/>
        <w:rPr>
          <w:rFonts w:cs="Arial"/>
          <w:i/>
          <w:lang w:val="es-ES_tradnl" w:eastAsia="ja-JP"/>
        </w:rPr>
      </w:pPr>
      <w:bookmarkStart w:id="10" w:name="_Toc410822408"/>
      <w:r w:rsidRPr="00F96DDA">
        <w:rPr>
          <w:rFonts w:cs="Arial"/>
          <w:i/>
          <w:lang w:val="es-ES_tradnl"/>
        </w:rPr>
        <w:t>Directrices internacionales sobre metodologías moleculares (documento BMT/14/3)</w:t>
      </w:r>
      <w:bookmarkEnd w:id="10"/>
    </w:p>
    <w:p w:rsidR="009C71A1" w:rsidRPr="00F96DDA" w:rsidRDefault="009C71A1" w:rsidP="00312C2A">
      <w:pPr>
        <w:ind w:left="567"/>
        <w:rPr>
          <w:rFonts w:cs="Arial"/>
          <w:i/>
          <w:lang w:val="es-ES_tradnl" w:eastAsia="ja-JP"/>
        </w:rPr>
      </w:pPr>
    </w:p>
    <w:p w:rsidR="009C71A1" w:rsidRPr="00F96DDA" w:rsidRDefault="009C71A1" w:rsidP="003502DA">
      <w:pPr>
        <w:ind w:left="567"/>
        <w:rPr>
          <w:rFonts w:cs="Arial"/>
          <w:i/>
          <w:lang w:val="es-ES_tradnl"/>
        </w:rPr>
      </w:pPr>
      <w:r w:rsidRPr="00F96DDA">
        <w:rPr>
          <w:rFonts w:cs="Arial"/>
          <w:i/>
          <w:lang w:val="es-ES_tradnl"/>
        </w:rPr>
        <w:t>Bases de datos de descripciones de variedades (documento TC/14/4)</w:t>
      </w:r>
    </w:p>
    <w:p w:rsidR="009C71A1" w:rsidRPr="00F96DDA" w:rsidRDefault="009C71A1" w:rsidP="00312C2A">
      <w:pPr>
        <w:ind w:left="567"/>
        <w:rPr>
          <w:rFonts w:cs="Arial"/>
          <w:i/>
          <w:iCs/>
          <w:lang w:val="es-ES_tradnl" w:eastAsia="ja-JP"/>
        </w:rPr>
      </w:pPr>
    </w:p>
    <w:p w:rsidR="009C71A1" w:rsidRPr="00F96DDA" w:rsidRDefault="009C71A1" w:rsidP="00312C2A">
      <w:pPr>
        <w:ind w:left="540"/>
        <w:rPr>
          <w:rFonts w:cs="Arial"/>
          <w:i/>
          <w:iCs/>
          <w:lang w:val="es-ES_tradnl" w:eastAsia="ja-JP"/>
        </w:rPr>
      </w:pPr>
      <w:r w:rsidRPr="00F96DDA">
        <w:rPr>
          <w:rFonts w:cs="Arial"/>
          <w:i/>
          <w:iCs/>
          <w:lang w:val="es-ES_tradnl"/>
        </w:rPr>
        <w:t>Propiedad y uso de las muestras del examen DHE y del ADN y los datos sobre el ADN durante los exámenes DHE y posteriormente</w:t>
      </w:r>
      <w:r w:rsidRPr="00F96DDA">
        <w:rPr>
          <w:rFonts w:cs="Arial"/>
          <w:i/>
          <w:iCs/>
          <w:lang w:val="es-ES_tradnl" w:eastAsia="ja-JP"/>
        </w:rPr>
        <w:t xml:space="preserve"> </w:t>
      </w:r>
      <w:r w:rsidRPr="00F96DDA">
        <w:rPr>
          <w:rFonts w:cs="Arial"/>
          <w:i/>
          <w:iCs/>
          <w:lang w:val="es-ES_tradnl"/>
        </w:rPr>
        <w:t>(documento BMT/14/11)</w:t>
      </w:r>
    </w:p>
    <w:p w:rsidR="009C71A1" w:rsidRPr="00F96DDA" w:rsidRDefault="009C71A1" w:rsidP="00312C2A">
      <w:pPr>
        <w:ind w:left="567"/>
        <w:rPr>
          <w:rFonts w:cs="Arial"/>
          <w:i/>
          <w:iCs/>
          <w:lang w:val="es-ES_tradnl" w:eastAsia="ja-JP"/>
        </w:rPr>
      </w:pPr>
    </w:p>
    <w:p w:rsidR="009C71A1" w:rsidRPr="00F96DDA" w:rsidRDefault="009C71A1" w:rsidP="003502DA">
      <w:pPr>
        <w:ind w:firstLine="567"/>
        <w:rPr>
          <w:rFonts w:cs="Arial"/>
          <w:i/>
          <w:lang w:val="es-ES_tradnl"/>
        </w:rPr>
      </w:pPr>
      <w:r w:rsidRPr="00F96DDA">
        <w:rPr>
          <w:rFonts w:cs="Arial"/>
          <w:i/>
          <w:lang w:val="es-ES_tradnl"/>
        </w:rPr>
        <w:t>La utilización de técnicas moleculares en el examen de las variedades esencialmente derivadas</w:t>
      </w:r>
      <w:r w:rsidRPr="00F96DDA">
        <w:rPr>
          <w:rStyle w:val="FootnoteReference"/>
          <w:rFonts w:cs="Arial"/>
          <w:i/>
          <w:u w:val="single"/>
          <w:lang w:val="es-ES_tradnl"/>
        </w:rPr>
        <w:footnoteReference w:id="4"/>
      </w:r>
    </w:p>
    <w:p w:rsidR="009C71A1" w:rsidRPr="00F96DDA" w:rsidRDefault="009C71A1" w:rsidP="00312C2A">
      <w:pPr>
        <w:rPr>
          <w:rFonts w:cs="Arial"/>
          <w:i/>
          <w:iCs/>
          <w:lang w:val="es-ES_tradnl" w:eastAsia="ja-JP"/>
        </w:rPr>
      </w:pPr>
    </w:p>
    <w:p w:rsidR="009C71A1" w:rsidRPr="00F96DDA" w:rsidRDefault="009C71A1" w:rsidP="00312C2A">
      <w:pPr>
        <w:ind w:left="540"/>
        <w:rPr>
          <w:rFonts w:cs="Arial"/>
          <w:i/>
          <w:iCs/>
          <w:lang w:val="es-ES_tradnl"/>
        </w:rPr>
      </w:pPr>
      <w:r w:rsidRPr="00F96DDA">
        <w:rPr>
          <w:rFonts w:cs="Arial"/>
          <w:i/>
          <w:iCs/>
          <w:lang w:val="es-ES_tradnl"/>
        </w:rPr>
        <w:t>Identificación de marcadores SNP para facilitar la evaluación de variedades esencialmente derivadas en el maíz</w:t>
      </w:r>
      <w:r w:rsidR="00B6391A">
        <w:rPr>
          <w:rFonts w:cs="Arial"/>
          <w:i/>
          <w:iCs/>
          <w:lang w:val="es-ES_tradnl"/>
        </w:rPr>
        <w:t xml:space="preserve"> </w:t>
      </w:r>
      <w:r w:rsidRPr="00F96DDA">
        <w:rPr>
          <w:rFonts w:cs="Arial"/>
          <w:i/>
          <w:iCs/>
          <w:lang w:val="es-ES_tradnl"/>
        </w:rPr>
        <w:t>(documento BMT/14/7 Rev.)</w:t>
      </w:r>
    </w:p>
    <w:p w:rsidR="009C71A1" w:rsidRPr="00F96DDA" w:rsidRDefault="009C71A1" w:rsidP="00312C2A">
      <w:pPr>
        <w:rPr>
          <w:rFonts w:cs="Arial"/>
          <w:i/>
          <w:lang w:val="es-ES_tradnl" w:eastAsia="ja-JP"/>
        </w:rPr>
      </w:pPr>
    </w:p>
    <w:p w:rsidR="009C71A1" w:rsidRPr="00F96DDA" w:rsidRDefault="009C71A1" w:rsidP="003502DA">
      <w:pPr>
        <w:ind w:firstLine="567"/>
        <w:rPr>
          <w:rFonts w:cs="Arial"/>
          <w:i/>
          <w:lang w:val="es-ES_tradnl" w:eastAsia="ja-JP"/>
        </w:rPr>
      </w:pPr>
      <w:r w:rsidRPr="00F96DDA">
        <w:rPr>
          <w:rFonts w:cs="Arial"/>
          <w:i/>
          <w:lang w:val="es-ES_tradnl" w:eastAsia="ja-JP"/>
        </w:rPr>
        <w:t>La utilización de técnicas moleculares en la identificación de variedades</w:t>
      </w:r>
      <w:r w:rsidRPr="00F96DDA">
        <w:rPr>
          <w:rFonts w:cs="Arial"/>
          <w:i/>
          <w:vertAlign w:val="superscript"/>
          <w:lang w:val="es-ES_tradnl" w:eastAsia="ja-JP"/>
        </w:rPr>
        <w:t>1</w:t>
      </w:r>
    </w:p>
    <w:p w:rsidR="009C71A1" w:rsidRPr="00F96DDA" w:rsidRDefault="009C71A1" w:rsidP="00312C2A">
      <w:pPr>
        <w:rPr>
          <w:rFonts w:cs="Arial"/>
          <w:i/>
          <w:iCs/>
          <w:lang w:val="es-ES_tradnl" w:eastAsia="ja-JP"/>
        </w:rPr>
      </w:pPr>
    </w:p>
    <w:p w:rsidR="009C71A1" w:rsidRPr="00F96DDA" w:rsidRDefault="009C71A1" w:rsidP="00312C2A">
      <w:pPr>
        <w:tabs>
          <w:tab w:val="left" w:pos="540"/>
        </w:tabs>
        <w:ind w:left="540" w:firstLine="27"/>
        <w:rPr>
          <w:rFonts w:cs="Arial"/>
          <w:i/>
          <w:iCs/>
          <w:lang w:val="es-ES_tradnl"/>
        </w:rPr>
      </w:pPr>
      <w:r w:rsidRPr="00F96DDA">
        <w:rPr>
          <w:rFonts w:cs="Arial"/>
          <w:i/>
          <w:iCs/>
          <w:lang w:val="es-ES_tradnl"/>
        </w:rPr>
        <w:t xml:space="preserve">Aplicación de la técnica de identificación de variedades mediante el ADN en la lucha contra la infracción de los derechos de obtentor en el Japón (documento BMT/14/6 y BMT/14/6 </w:t>
      </w:r>
      <w:proofErr w:type="spellStart"/>
      <w:r w:rsidRPr="00F96DDA">
        <w:rPr>
          <w:rFonts w:cs="Arial"/>
          <w:i/>
          <w:iCs/>
          <w:lang w:val="es-ES_tradnl"/>
        </w:rPr>
        <w:t>Add</w:t>
      </w:r>
      <w:proofErr w:type="spellEnd"/>
      <w:r w:rsidRPr="00F96DDA">
        <w:rPr>
          <w:rFonts w:cs="Arial"/>
          <w:i/>
          <w:iCs/>
          <w:lang w:val="es-ES_tradnl"/>
        </w:rPr>
        <w:t>.</w:t>
      </w:r>
      <w:r w:rsidRPr="00F96DDA">
        <w:rPr>
          <w:rFonts w:cs="Arial"/>
          <w:i/>
          <w:iCs/>
          <w:lang w:val="es-ES_tradnl" w:eastAsia="ja-JP"/>
        </w:rPr>
        <w:t xml:space="preserve"> Rev.</w:t>
      </w:r>
      <w:r w:rsidRPr="00F96DDA">
        <w:rPr>
          <w:rFonts w:cs="Arial"/>
          <w:i/>
          <w:iCs/>
          <w:lang w:val="es-ES_tradnl"/>
        </w:rPr>
        <w:t>)</w:t>
      </w:r>
    </w:p>
    <w:p w:rsidR="009C71A1" w:rsidRPr="00F96DDA" w:rsidRDefault="009C71A1" w:rsidP="00312C2A">
      <w:pPr>
        <w:rPr>
          <w:rFonts w:cs="Arial"/>
          <w:i/>
          <w:iCs/>
          <w:lang w:val="es-ES_tradnl" w:eastAsia="ja-JP"/>
        </w:rPr>
      </w:pPr>
    </w:p>
    <w:p w:rsidR="009C71A1" w:rsidRPr="00F96DDA" w:rsidRDefault="009C71A1" w:rsidP="00312C2A">
      <w:pPr>
        <w:ind w:firstLine="540"/>
        <w:rPr>
          <w:rFonts w:cs="Arial"/>
          <w:i/>
          <w:iCs/>
          <w:lang w:val="es-ES_tradnl" w:eastAsia="ja-JP"/>
        </w:rPr>
      </w:pPr>
      <w:r w:rsidRPr="00F96DDA">
        <w:rPr>
          <w:rFonts w:cs="Arial"/>
          <w:i/>
          <w:iCs/>
          <w:lang w:val="es-ES_tradnl"/>
        </w:rPr>
        <w:t xml:space="preserve">Determinación de un umbral de conformidad genética en plántulas de patata </w:t>
      </w:r>
    </w:p>
    <w:p w:rsidR="009C71A1" w:rsidRPr="00F96DDA" w:rsidRDefault="009C71A1" w:rsidP="00312C2A">
      <w:pPr>
        <w:ind w:firstLine="540"/>
        <w:rPr>
          <w:rFonts w:cs="Arial"/>
          <w:i/>
          <w:lang w:val="es-ES_tradnl" w:eastAsia="ja-JP"/>
        </w:rPr>
      </w:pPr>
      <w:r w:rsidRPr="00F96DDA">
        <w:rPr>
          <w:rFonts w:cs="Arial"/>
          <w:i/>
          <w:iCs/>
          <w:lang w:val="es-ES_tradnl"/>
        </w:rPr>
        <w:t>(</w:t>
      </w:r>
      <w:proofErr w:type="gramStart"/>
      <w:r w:rsidRPr="00F96DDA">
        <w:rPr>
          <w:rFonts w:cs="Arial"/>
          <w:i/>
          <w:iCs/>
          <w:lang w:val="es-ES_tradnl"/>
        </w:rPr>
        <w:t>documento</w:t>
      </w:r>
      <w:proofErr w:type="gramEnd"/>
      <w:r w:rsidRPr="00F96DDA">
        <w:rPr>
          <w:rFonts w:cs="Arial"/>
          <w:i/>
          <w:iCs/>
          <w:lang w:val="es-ES_tradnl"/>
        </w:rPr>
        <w:t xml:space="preserve"> BMT/14/9</w:t>
      </w:r>
      <w:r w:rsidRPr="00F96DDA">
        <w:rPr>
          <w:rFonts w:cs="Arial"/>
          <w:i/>
          <w:iCs/>
          <w:lang w:val="es-ES_tradnl" w:eastAsia="ja-JP"/>
        </w:rPr>
        <w:t xml:space="preserve"> y BMT/14/9 </w:t>
      </w:r>
      <w:proofErr w:type="spellStart"/>
      <w:r w:rsidRPr="00F96DDA">
        <w:rPr>
          <w:rFonts w:cs="Arial"/>
          <w:i/>
          <w:iCs/>
          <w:lang w:val="es-ES_tradnl" w:eastAsia="ja-JP"/>
        </w:rPr>
        <w:t>Add</w:t>
      </w:r>
      <w:proofErr w:type="spellEnd"/>
      <w:r w:rsidRPr="00F96DDA">
        <w:rPr>
          <w:rFonts w:cs="Arial"/>
          <w:i/>
          <w:iCs/>
          <w:lang w:val="es-ES_tradnl" w:eastAsia="ja-JP"/>
        </w:rPr>
        <w:t>.</w:t>
      </w:r>
      <w:r w:rsidRPr="00F96DDA">
        <w:rPr>
          <w:rFonts w:cs="Arial"/>
          <w:i/>
          <w:iCs/>
          <w:lang w:val="es-ES_tradnl"/>
        </w:rPr>
        <w:t>)</w:t>
      </w:r>
    </w:p>
    <w:p w:rsidR="009C71A1" w:rsidRPr="00F96DDA" w:rsidRDefault="009C71A1" w:rsidP="00312C2A">
      <w:pPr>
        <w:rPr>
          <w:rFonts w:cs="Arial"/>
          <w:lang w:val="es-ES_tradnl" w:eastAsia="ja-JP"/>
        </w:rPr>
      </w:pPr>
    </w:p>
    <w:p w:rsidR="009C71A1" w:rsidRPr="00F96DDA" w:rsidRDefault="009C71A1" w:rsidP="009F2CA5">
      <w:pPr>
        <w:rPr>
          <w:rFonts w:cs="Arial"/>
          <w:lang w:val="es-ES_tradnl"/>
        </w:rPr>
      </w:pPr>
      <w:r w:rsidRPr="00F96DDA">
        <w:rPr>
          <w:rFonts w:cs="Arial"/>
          <w:iCs/>
          <w:snapToGrid w:val="0"/>
          <w:lang w:val="es-ES_tradnl"/>
        </w:rPr>
        <w:fldChar w:fldCharType="begin"/>
      </w:r>
      <w:r w:rsidRPr="00F96DDA">
        <w:rPr>
          <w:rFonts w:cs="Arial"/>
          <w:iCs/>
          <w:snapToGrid w:val="0"/>
          <w:lang w:val="es-ES_tradnl"/>
        </w:rPr>
        <w:instrText xml:space="preserve"> AUTONUM  </w:instrText>
      </w:r>
      <w:r w:rsidRPr="00F96DDA">
        <w:rPr>
          <w:rFonts w:cs="Arial"/>
          <w:iCs/>
          <w:snapToGrid w:val="0"/>
          <w:lang w:val="es-ES_tradnl"/>
        </w:rPr>
        <w:fldChar w:fldCharType="end"/>
      </w:r>
      <w:r w:rsidRPr="00F96DDA">
        <w:rPr>
          <w:rFonts w:cs="Arial"/>
          <w:iCs/>
          <w:snapToGrid w:val="0"/>
          <w:lang w:val="es-ES_tradnl"/>
        </w:rPr>
        <w:tab/>
        <w:t xml:space="preserve">El BMT aceptó una invitación de la Federación de Rusia para celebrar su decimoquinta </w:t>
      </w:r>
      <w:r w:rsidR="00B6391A">
        <w:rPr>
          <w:rFonts w:cs="Arial"/>
          <w:iCs/>
          <w:snapToGrid w:val="0"/>
          <w:lang w:val="es-ES_tradnl"/>
        </w:rPr>
        <w:t>sesión</w:t>
      </w:r>
      <w:r w:rsidRPr="00F96DDA">
        <w:rPr>
          <w:rFonts w:cs="Arial"/>
          <w:iCs/>
          <w:snapToGrid w:val="0"/>
          <w:lang w:val="es-ES_tradnl"/>
        </w:rPr>
        <w:t xml:space="preserve"> en Moscú en mayo de 2016, con un taller preparatorio en mayo de 2016.  El </w:t>
      </w:r>
      <w:r w:rsidRPr="00F96DDA">
        <w:rPr>
          <w:rFonts w:cs="Arial"/>
          <w:lang w:val="es-ES_tradnl"/>
        </w:rPr>
        <w:t>BMT tenía previsto debatir los puntos siguientes:</w:t>
      </w:r>
    </w:p>
    <w:p w:rsidR="009C71A1" w:rsidRPr="00F96DDA" w:rsidRDefault="009C71A1" w:rsidP="009F2CA5">
      <w:pPr>
        <w:rPr>
          <w:rFonts w:cs="Arial"/>
          <w:lang w:val="es-ES_tradnl"/>
        </w:rPr>
      </w:pP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1.</w:t>
      </w:r>
      <w:r w:rsidRPr="00F96DDA">
        <w:rPr>
          <w:rFonts w:cs="Arial"/>
          <w:lang w:val="es-ES_tradnl"/>
        </w:rPr>
        <w:tab/>
        <w:t>Apertura de la sesión</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2.</w:t>
      </w:r>
      <w:r w:rsidRPr="00F96DDA">
        <w:rPr>
          <w:rFonts w:cs="Arial"/>
          <w:lang w:val="es-ES_tradnl"/>
        </w:rPr>
        <w:tab/>
        <w:t>Aprobación del orden del día</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3.</w:t>
      </w:r>
      <w:r w:rsidRPr="00F96DDA">
        <w:rPr>
          <w:rFonts w:cs="Arial"/>
          <w:lang w:val="es-ES_tradnl"/>
        </w:rPr>
        <w:tab/>
        <w:t>Informe sobre las novedades acaecidas en la UPOV en relación con las técnicas bioquímicas y moleculares</w:t>
      </w:r>
    </w:p>
    <w:p w:rsidR="009C71A1" w:rsidRPr="00F96DDA" w:rsidRDefault="009C71A1" w:rsidP="009F2CA5">
      <w:pPr>
        <w:pStyle w:val="BodyTextIndent"/>
        <w:spacing w:after="240"/>
        <w:ind w:left="1170" w:hanging="603"/>
        <w:rPr>
          <w:rFonts w:cs="Arial"/>
          <w:lang w:val="es-ES_tradnl"/>
        </w:rPr>
      </w:pPr>
      <w:r w:rsidRPr="00F96DDA">
        <w:rPr>
          <w:rFonts w:cs="Arial"/>
          <w:lang w:val="es-ES_tradnl"/>
        </w:rPr>
        <w:t>4.</w:t>
      </w:r>
      <w:r w:rsidRPr="00F96DDA">
        <w:rPr>
          <w:rFonts w:cs="Arial"/>
          <w:lang w:val="es-ES_tradnl"/>
        </w:rPr>
        <w:tab/>
        <w:t xml:space="preserve">Breves ponencias sobre los avances en las técnicas bioquímicas y moleculares a cargo de expertos en el examen DHE, especialistas en técnicas bioquímicas y moleculares, y obtentores y organizaciones internacionales pertinentes </w:t>
      </w:r>
    </w:p>
    <w:p w:rsidR="009C71A1" w:rsidRPr="00F96DDA" w:rsidRDefault="009C71A1" w:rsidP="009F2CA5">
      <w:pPr>
        <w:pStyle w:val="BodyTextIndent"/>
        <w:spacing w:after="240"/>
        <w:ind w:left="1134" w:hanging="567"/>
        <w:rPr>
          <w:rFonts w:cs="Arial"/>
          <w:lang w:val="es-ES_tradnl"/>
        </w:rPr>
      </w:pPr>
      <w:r w:rsidRPr="00F96DDA">
        <w:rPr>
          <w:rFonts w:cs="Arial"/>
          <w:lang w:val="es-ES_tradnl" w:eastAsia="ja-JP"/>
        </w:rPr>
        <w:t>5</w:t>
      </w:r>
      <w:r w:rsidRPr="00F96DDA">
        <w:rPr>
          <w:rFonts w:cs="Arial"/>
          <w:lang w:val="es-ES_tradnl"/>
        </w:rPr>
        <w:t>.</w:t>
      </w:r>
      <w:r w:rsidRPr="00F96DDA">
        <w:rPr>
          <w:rFonts w:cs="Arial"/>
          <w:lang w:val="es-ES_tradnl"/>
        </w:rPr>
        <w:tab/>
      </w:r>
      <w:r w:rsidRPr="00F96DDA">
        <w:rPr>
          <w:lang w:val="es-ES_tradnl"/>
        </w:rPr>
        <w:t>Informe sobre la labor relativa a las técnicas moleculares en relación con el examen DHE</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6.</w:t>
      </w:r>
      <w:r w:rsidRPr="00F96DDA">
        <w:rPr>
          <w:rFonts w:cs="Arial"/>
          <w:lang w:val="es-ES_tradnl"/>
        </w:rPr>
        <w:tab/>
        <w:t>Directrices internacionales sobre metodologías moleculares</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7.</w:t>
      </w:r>
      <w:r w:rsidRPr="00F96DDA">
        <w:rPr>
          <w:rFonts w:cs="Arial"/>
          <w:lang w:val="es-ES_tradnl"/>
        </w:rPr>
        <w:tab/>
        <w:t>Bases de datos de descripciones de variedades</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8.</w:t>
      </w:r>
      <w:r w:rsidRPr="00F96DDA">
        <w:rPr>
          <w:rFonts w:cs="Arial"/>
          <w:lang w:val="es-ES_tradnl"/>
        </w:rPr>
        <w:tab/>
        <w:t xml:space="preserve">Métodos de análisis de datos moleculares  </w:t>
      </w:r>
    </w:p>
    <w:p w:rsidR="009C71A1" w:rsidRPr="00F96DDA" w:rsidRDefault="009C71A1" w:rsidP="009F2CA5">
      <w:pPr>
        <w:pStyle w:val="BodyTextIndent"/>
        <w:spacing w:after="240"/>
        <w:ind w:left="1134" w:hanging="567"/>
        <w:rPr>
          <w:rFonts w:cs="Arial"/>
          <w:lang w:val="es-ES_tradnl" w:eastAsia="ja-JP"/>
        </w:rPr>
      </w:pPr>
      <w:r w:rsidRPr="00F96DDA">
        <w:rPr>
          <w:rFonts w:cs="Arial"/>
          <w:lang w:val="es-ES_tradnl"/>
        </w:rPr>
        <w:t>9.</w:t>
      </w:r>
      <w:r w:rsidRPr="00F96DDA">
        <w:rPr>
          <w:rFonts w:cs="Arial"/>
          <w:lang w:val="es-ES_tradnl"/>
        </w:rPr>
        <w:tab/>
        <w:t>La utilización de técnicas moleculares en el examen de las variedades esencialmente derivadas</w:t>
      </w:r>
      <w:bookmarkStart w:id="11" w:name="_Ref403641224"/>
      <w:r w:rsidRPr="00F96DDA">
        <w:rPr>
          <w:rStyle w:val="FootnoteReference"/>
          <w:rFonts w:cs="Arial"/>
          <w:lang w:val="es-ES_tradnl"/>
        </w:rPr>
        <w:footnoteReference w:id="5"/>
      </w:r>
      <w:bookmarkEnd w:id="11"/>
    </w:p>
    <w:p w:rsidR="009C71A1" w:rsidRPr="00F96DDA" w:rsidRDefault="009C71A1" w:rsidP="009F2CA5">
      <w:pPr>
        <w:pStyle w:val="BodyTextIndent"/>
        <w:spacing w:after="240"/>
        <w:ind w:left="1134" w:hanging="567"/>
        <w:rPr>
          <w:rFonts w:cs="Arial"/>
          <w:lang w:val="es-ES_tradnl" w:eastAsia="ja-JP"/>
        </w:rPr>
      </w:pPr>
      <w:r w:rsidRPr="00F96DDA">
        <w:rPr>
          <w:rFonts w:cs="Arial"/>
          <w:lang w:val="es-ES_tradnl" w:eastAsia="ja-JP"/>
        </w:rPr>
        <w:t>10.</w:t>
      </w:r>
      <w:r w:rsidRPr="00F96DDA">
        <w:rPr>
          <w:rFonts w:cs="Arial"/>
          <w:lang w:val="es-ES_tradnl" w:eastAsia="ja-JP"/>
        </w:rPr>
        <w:tab/>
        <w:t>La utilización de técnicas moleculares en la identificación de variedades</w:t>
      </w:r>
    </w:p>
    <w:p w:rsidR="009C71A1" w:rsidRPr="00F96DDA" w:rsidRDefault="009C71A1" w:rsidP="009F2CA5">
      <w:pPr>
        <w:pStyle w:val="BodyTextIndent"/>
        <w:spacing w:after="240"/>
        <w:ind w:left="1134" w:hanging="567"/>
        <w:rPr>
          <w:rFonts w:cs="Arial"/>
          <w:lang w:val="es-ES_tradnl" w:eastAsia="ja-JP"/>
        </w:rPr>
      </w:pPr>
      <w:r w:rsidRPr="00F96DDA">
        <w:rPr>
          <w:rFonts w:cs="Arial"/>
          <w:lang w:val="es-ES_tradnl" w:eastAsia="ja-JP"/>
        </w:rPr>
        <w:t>11.</w:t>
      </w:r>
      <w:r w:rsidRPr="00F96DDA">
        <w:rPr>
          <w:rFonts w:cs="Arial"/>
          <w:lang w:val="es-ES_tradnl" w:eastAsia="ja-JP"/>
        </w:rPr>
        <w:tab/>
        <w:t>La cooperación entre la OCDE, la UPOV, la ISTA y la ISO</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12.</w:t>
      </w:r>
      <w:r w:rsidRPr="00F96DDA">
        <w:rPr>
          <w:rFonts w:cs="Arial"/>
          <w:lang w:val="es-ES_tradnl"/>
        </w:rPr>
        <w:tab/>
        <w:t xml:space="preserve">Fecha y lugar </w:t>
      </w:r>
      <w:r w:rsidRPr="00F96DDA">
        <w:rPr>
          <w:rFonts w:cs="Arial"/>
          <w:lang w:val="es-ES_tradnl" w:eastAsia="ja-JP"/>
        </w:rPr>
        <w:t>de</w:t>
      </w:r>
      <w:r w:rsidRPr="00F96DDA">
        <w:rPr>
          <w:rFonts w:cs="Arial"/>
          <w:lang w:val="es-ES_tradnl"/>
        </w:rPr>
        <w:t xml:space="preserve"> la siguiente </w:t>
      </w:r>
      <w:r w:rsidR="00B6391A">
        <w:rPr>
          <w:rFonts w:cs="Arial"/>
          <w:lang w:val="es-ES_tradnl"/>
        </w:rPr>
        <w:t>sesión</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13.</w:t>
      </w:r>
      <w:r w:rsidRPr="00F96DDA">
        <w:rPr>
          <w:rFonts w:cs="Arial"/>
          <w:lang w:val="es-ES_tradnl"/>
        </w:rPr>
        <w:tab/>
        <w:t>Futuro programa</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14.</w:t>
      </w:r>
      <w:r w:rsidRPr="00F96DDA">
        <w:rPr>
          <w:rFonts w:cs="Arial"/>
          <w:lang w:val="es-ES_tradnl"/>
        </w:rPr>
        <w:tab/>
        <w:t xml:space="preserve">Informe de la </w:t>
      </w:r>
      <w:r w:rsidR="00B6391A">
        <w:rPr>
          <w:rFonts w:cs="Arial"/>
          <w:lang w:val="es-ES_tradnl"/>
        </w:rPr>
        <w:t>sesión</w:t>
      </w:r>
      <w:r w:rsidRPr="00F96DDA">
        <w:rPr>
          <w:rFonts w:cs="Arial"/>
          <w:lang w:val="es-ES_tradnl"/>
        </w:rPr>
        <w:t xml:space="preserve"> (si se dispone de tiempo)</w:t>
      </w:r>
    </w:p>
    <w:p w:rsidR="009C71A1" w:rsidRPr="00F96DDA" w:rsidRDefault="009C71A1" w:rsidP="009F2CA5">
      <w:pPr>
        <w:pStyle w:val="BodyTextIndent"/>
        <w:spacing w:after="240"/>
        <w:ind w:left="1134" w:hanging="567"/>
        <w:rPr>
          <w:rFonts w:cs="Arial"/>
          <w:lang w:val="es-ES_tradnl"/>
        </w:rPr>
      </w:pPr>
      <w:r w:rsidRPr="00F96DDA">
        <w:rPr>
          <w:rFonts w:cs="Arial"/>
          <w:lang w:val="es-ES_tradnl"/>
        </w:rPr>
        <w:t>15.</w:t>
      </w:r>
      <w:r w:rsidRPr="00F96DDA">
        <w:rPr>
          <w:rFonts w:cs="Arial"/>
          <w:lang w:val="es-ES_tradnl"/>
        </w:rPr>
        <w:tab/>
        <w:t xml:space="preserve">Clausura de la </w:t>
      </w:r>
      <w:r w:rsidR="00B6391A">
        <w:rPr>
          <w:rFonts w:cs="Arial"/>
          <w:lang w:val="es-ES_tradnl"/>
        </w:rPr>
        <w:t>sesión</w:t>
      </w:r>
    </w:p>
    <w:p w:rsidR="009C71A1" w:rsidRDefault="009C71A1" w:rsidP="009F2CA5"/>
    <w:p w:rsidR="009F2CA5" w:rsidRPr="009F2CA5" w:rsidRDefault="009F2CA5" w:rsidP="009F2CA5"/>
    <w:p w:rsidR="009C71A1" w:rsidRPr="00F96DDA" w:rsidRDefault="009C71A1" w:rsidP="00BD6B3F">
      <w:pPr>
        <w:pStyle w:val="Heading1"/>
        <w:rPr>
          <w:color w:val="auto"/>
        </w:rPr>
      </w:pPr>
      <w:bookmarkStart w:id="12" w:name="_Toc413751705"/>
      <w:r w:rsidRPr="00F96DDA">
        <w:rPr>
          <w:color w:val="auto"/>
        </w:rPr>
        <w:t>TALLER CONJUNTO OCDE-UPOV-ISTA SOBRE TÉCNICAS MOLECULARES</w:t>
      </w:r>
      <w:bookmarkEnd w:id="12"/>
    </w:p>
    <w:p w:rsidR="009C71A1" w:rsidRPr="00804548" w:rsidRDefault="009C71A1" w:rsidP="00312C2A">
      <w:pPr>
        <w:autoSpaceDE w:val="0"/>
        <w:autoSpaceDN w:val="0"/>
        <w:adjustRightInd w:val="0"/>
        <w:rPr>
          <w:rFonts w:cs="Arial"/>
          <w:lang w:val="es-ES_tradnl" w:eastAsia="ja-JP"/>
        </w:rPr>
      </w:pPr>
    </w:p>
    <w:p w:rsidR="009C71A1" w:rsidRPr="00804548" w:rsidRDefault="009C71A1" w:rsidP="00312C2A">
      <w:pPr>
        <w:autoSpaceDE w:val="0"/>
        <w:autoSpaceDN w:val="0"/>
        <w:adjustRightInd w:val="0"/>
        <w:rPr>
          <w:rFonts w:cs="Arial"/>
          <w:lang w:val="es-ES_tradnl" w:eastAsia="ja-JP"/>
        </w:rPr>
      </w:pPr>
      <w:r w:rsidRPr="00F96DDA">
        <w:rPr>
          <w:rFonts w:cs="Arial"/>
          <w:lang w:val="es-ES_tradnl" w:eastAsia="ja-JP"/>
        </w:rPr>
        <w:fldChar w:fldCharType="begin"/>
      </w:r>
      <w:r w:rsidRPr="00F96DDA">
        <w:rPr>
          <w:rFonts w:cs="Arial"/>
          <w:lang w:val="es-ES_tradnl" w:eastAsia="ja-JP"/>
        </w:rPr>
        <w:instrText xml:space="preserve"> AUTONUM  </w:instrText>
      </w:r>
      <w:r w:rsidRPr="00F96DDA">
        <w:rPr>
          <w:rFonts w:cs="Arial"/>
          <w:lang w:val="es-ES_tradnl" w:eastAsia="ja-JP"/>
        </w:rPr>
        <w:fldChar w:fldCharType="end"/>
      </w:r>
      <w:r w:rsidRPr="00804548">
        <w:rPr>
          <w:rFonts w:cs="Arial"/>
          <w:lang w:val="es-ES_tradnl" w:eastAsia="ja-JP"/>
        </w:rPr>
        <w:tab/>
      </w:r>
      <w:r w:rsidRPr="00F96DDA">
        <w:rPr>
          <w:lang w:val="es-ES_tradnl"/>
        </w:rPr>
        <w:t xml:space="preserve">El </w:t>
      </w:r>
      <w:r w:rsidRPr="00F96DDA">
        <w:rPr>
          <w:lang w:val="es-ES_tradnl" w:eastAsia="ja-JP"/>
        </w:rPr>
        <w:t>Taller conjunto OCDE-UPOV-ISTA sobre técnicas moleculares se celebró en</w:t>
      </w:r>
      <w:r w:rsidRPr="00F96DDA">
        <w:rPr>
          <w:lang w:val="es-ES_tradnl"/>
        </w:rPr>
        <w:t xml:space="preserve"> </w:t>
      </w:r>
      <w:r w:rsidRPr="00F96DDA">
        <w:rPr>
          <w:lang w:val="es-ES_tradnl" w:eastAsia="ja-JP"/>
        </w:rPr>
        <w:t>Seúl (República de Corea),</w:t>
      </w:r>
      <w:r w:rsidRPr="00804548">
        <w:rPr>
          <w:rStyle w:val="FootnoteReference"/>
          <w:lang w:val="es-ES_tradnl" w:eastAsia="ja-JP"/>
        </w:rPr>
        <w:footnoteReference w:id="6"/>
      </w:r>
      <w:r w:rsidRPr="00804548">
        <w:rPr>
          <w:lang w:val="es-ES_tradnl" w:eastAsia="ja-JP"/>
        </w:rPr>
        <w:t xml:space="preserve"> </w:t>
      </w:r>
      <w:r w:rsidRPr="00F96DDA">
        <w:rPr>
          <w:lang w:val="es-ES_tradnl" w:eastAsia="ja-JP"/>
        </w:rPr>
        <w:t xml:space="preserve">junto con la decimocuarta </w:t>
      </w:r>
      <w:r w:rsidR="00B6391A">
        <w:rPr>
          <w:lang w:val="es-ES_tradnl" w:eastAsia="ja-JP"/>
        </w:rPr>
        <w:t>sesión</w:t>
      </w:r>
      <w:r w:rsidRPr="00F96DDA">
        <w:rPr>
          <w:lang w:val="es-ES_tradnl" w:eastAsia="ja-JP"/>
        </w:rPr>
        <w:t xml:space="preserve"> del BMT, celebrada en Seúl (República de Corea).</w:t>
      </w:r>
      <w:r w:rsidRPr="00804548">
        <w:rPr>
          <w:rStyle w:val="FootnoteReference"/>
          <w:lang w:val="es-ES_tradnl" w:eastAsia="ja-JP"/>
        </w:rPr>
        <w:footnoteReference w:id="7"/>
      </w:r>
    </w:p>
    <w:p w:rsidR="009C71A1" w:rsidRPr="00804548" w:rsidRDefault="009C71A1" w:rsidP="00312C2A">
      <w:pPr>
        <w:autoSpaceDE w:val="0"/>
        <w:autoSpaceDN w:val="0"/>
        <w:adjustRightInd w:val="0"/>
        <w:rPr>
          <w:rFonts w:cs="Arial"/>
          <w:lang w:val="es-ES_tradnl" w:eastAsia="ja-JP"/>
        </w:rPr>
      </w:pPr>
    </w:p>
    <w:p w:rsidR="009C71A1" w:rsidRPr="00F96DDA" w:rsidRDefault="009C71A1" w:rsidP="00312C2A">
      <w:pPr>
        <w:autoSpaceDE w:val="0"/>
        <w:autoSpaceDN w:val="0"/>
        <w:adjustRightInd w:val="0"/>
        <w:rPr>
          <w:rFonts w:cs="Arial"/>
          <w:lang w:val="es-ES_tradnl" w:eastAsia="ja-JP"/>
        </w:rPr>
      </w:pPr>
      <w:r w:rsidRPr="00F96DDA">
        <w:rPr>
          <w:rFonts w:cs="Arial"/>
          <w:lang w:val="es-ES_tradnl" w:eastAsia="ja-JP"/>
        </w:rPr>
        <w:fldChar w:fldCharType="begin"/>
      </w:r>
      <w:r w:rsidRPr="00F96DDA">
        <w:rPr>
          <w:rFonts w:cs="Arial"/>
          <w:lang w:val="es-ES_tradnl" w:eastAsia="ja-JP"/>
        </w:rPr>
        <w:instrText xml:space="preserve"> AUTONUM  </w:instrText>
      </w:r>
      <w:r w:rsidRPr="00F96DDA">
        <w:rPr>
          <w:rFonts w:cs="Arial"/>
          <w:lang w:val="es-ES_tradnl" w:eastAsia="ja-JP"/>
        </w:rPr>
        <w:fldChar w:fldCharType="end"/>
      </w:r>
      <w:r w:rsidRPr="00F96DDA">
        <w:rPr>
          <w:rFonts w:cs="Arial"/>
          <w:lang w:val="es-ES_tradnl" w:eastAsia="ja-JP"/>
        </w:rPr>
        <w:tab/>
        <w:t xml:space="preserve">A continuación figuran los documentos presentados en cada uno de los puntos del orden del día del </w:t>
      </w:r>
      <w:r w:rsidRPr="00F96DDA">
        <w:rPr>
          <w:lang w:val="es-ES_tradnl" w:eastAsia="ja-JP"/>
        </w:rPr>
        <w:t>Taller conjunto OCDE-UPOV-ISTA</w:t>
      </w:r>
      <w:r w:rsidRPr="00F96DDA">
        <w:rPr>
          <w:rFonts w:cs="Arial"/>
          <w:lang w:val="es-ES_tradnl" w:eastAsia="ja-JP"/>
        </w:rPr>
        <w:t>:</w:t>
      </w:r>
    </w:p>
    <w:p w:rsidR="009C71A1" w:rsidRPr="00F96DDA" w:rsidRDefault="009C71A1" w:rsidP="00312C2A">
      <w:pPr>
        <w:rPr>
          <w:lang w:val="es-ES_tradnl" w:eastAsia="ja-JP"/>
        </w:rPr>
      </w:pPr>
    </w:p>
    <w:p w:rsidR="009C71A1" w:rsidRPr="00F96DDA" w:rsidRDefault="009C71A1" w:rsidP="003502DA">
      <w:pPr>
        <w:ind w:left="567"/>
        <w:rPr>
          <w:i/>
          <w:lang w:val="es-ES_tradnl"/>
        </w:rPr>
      </w:pPr>
      <w:r w:rsidRPr="00F96DDA">
        <w:rPr>
          <w:i/>
          <w:lang w:val="es-ES_tradnl"/>
        </w:rPr>
        <w:t xml:space="preserve">Introducción a los sistemas de semillas de la OCDE y situación respecto de las técnicas moleculares </w:t>
      </w:r>
    </w:p>
    <w:p w:rsidR="009C71A1" w:rsidRPr="00F96DDA" w:rsidRDefault="009C71A1" w:rsidP="00312C2A">
      <w:pPr>
        <w:ind w:left="567"/>
        <w:rPr>
          <w:i/>
          <w:lang w:val="es-ES_tradnl"/>
        </w:rPr>
      </w:pPr>
      <w:bookmarkStart w:id="13" w:name="_Toc410822414"/>
      <w:bookmarkStart w:id="14" w:name="_Toc410822810"/>
      <w:bookmarkStart w:id="15" w:name="_Toc410823317"/>
      <w:r w:rsidRPr="00F96DDA">
        <w:rPr>
          <w:i/>
          <w:lang w:val="es-ES_tradnl"/>
        </w:rPr>
        <w:t>(</w:t>
      </w:r>
      <w:proofErr w:type="gramStart"/>
      <w:r w:rsidRPr="00F96DDA">
        <w:rPr>
          <w:i/>
          <w:lang w:val="es-ES_tradnl"/>
        </w:rPr>
        <w:t>documento</w:t>
      </w:r>
      <w:proofErr w:type="gramEnd"/>
      <w:r w:rsidRPr="00F96DDA">
        <w:rPr>
          <w:i/>
          <w:lang w:val="es-ES_tradnl"/>
        </w:rPr>
        <w:t> BMT/14/</w:t>
      </w:r>
      <w:proofErr w:type="spellStart"/>
      <w:r w:rsidRPr="00F96DDA">
        <w:rPr>
          <w:i/>
          <w:lang w:val="es-ES_tradnl"/>
        </w:rPr>
        <w:t>Joint</w:t>
      </w:r>
      <w:proofErr w:type="spellEnd"/>
      <w:r w:rsidRPr="00F96DDA">
        <w:rPr>
          <w:i/>
          <w:lang w:val="es-ES_tradnl"/>
        </w:rPr>
        <w:t>/6)</w:t>
      </w:r>
      <w:bookmarkEnd w:id="13"/>
      <w:bookmarkEnd w:id="14"/>
      <w:bookmarkEnd w:id="15"/>
    </w:p>
    <w:p w:rsidR="009C71A1" w:rsidRPr="00F96DDA" w:rsidRDefault="009C71A1" w:rsidP="00312C2A">
      <w:pPr>
        <w:ind w:left="567"/>
        <w:rPr>
          <w:i/>
          <w:lang w:val="es-ES_tradnl"/>
        </w:rPr>
      </w:pPr>
    </w:p>
    <w:p w:rsidR="009C71A1" w:rsidRPr="00F96DDA" w:rsidRDefault="009C71A1" w:rsidP="003502DA">
      <w:pPr>
        <w:ind w:left="567"/>
        <w:rPr>
          <w:i/>
          <w:lang w:val="es-ES_tradnl"/>
        </w:rPr>
      </w:pPr>
      <w:r w:rsidRPr="00F96DDA">
        <w:rPr>
          <w:i/>
          <w:lang w:val="es-ES_tradnl"/>
        </w:rPr>
        <w:t xml:space="preserve">Introducción a la UPOV y situación respecto de las técnicas moleculares </w:t>
      </w:r>
    </w:p>
    <w:p w:rsidR="009C71A1" w:rsidRPr="00F96DDA" w:rsidRDefault="009C71A1" w:rsidP="00312C2A">
      <w:pPr>
        <w:ind w:left="567"/>
        <w:rPr>
          <w:i/>
          <w:lang w:val="es-ES_tradnl"/>
        </w:rPr>
      </w:pPr>
      <w:bookmarkStart w:id="16" w:name="_Toc410822416"/>
      <w:bookmarkStart w:id="17" w:name="_Toc410822812"/>
      <w:bookmarkStart w:id="18" w:name="_Toc410823319"/>
      <w:r w:rsidRPr="00F96DDA">
        <w:rPr>
          <w:i/>
          <w:lang w:val="es-ES_tradnl"/>
        </w:rPr>
        <w:t>(</w:t>
      </w:r>
      <w:proofErr w:type="gramStart"/>
      <w:r w:rsidRPr="00F96DDA">
        <w:rPr>
          <w:i/>
          <w:lang w:val="es-ES_tradnl"/>
        </w:rPr>
        <w:t>documento</w:t>
      </w:r>
      <w:proofErr w:type="gramEnd"/>
      <w:r w:rsidRPr="00F96DDA">
        <w:rPr>
          <w:i/>
          <w:lang w:val="es-ES_tradnl"/>
        </w:rPr>
        <w:t> BMT/14/</w:t>
      </w:r>
      <w:proofErr w:type="spellStart"/>
      <w:r w:rsidRPr="00F96DDA">
        <w:rPr>
          <w:i/>
          <w:lang w:val="es-ES_tradnl"/>
        </w:rPr>
        <w:t>Joint</w:t>
      </w:r>
      <w:proofErr w:type="spellEnd"/>
      <w:r w:rsidRPr="00F96DDA">
        <w:rPr>
          <w:i/>
          <w:lang w:val="es-ES_tradnl"/>
        </w:rPr>
        <w:t>/4 Rev.)</w:t>
      </w:r>
      <w:bookmarkEnd w:id="16"/>
      <w:bookmarkEnd w:id="17"/>
      <w:bookmarkEnd w:id="18"/>
    </w:p>
    <w:p w:rsidR="009C71A1" w:rsidRPr="00F96DDA" w:rsidRDefault="009C71A1" w:rsidP="00312C2A">
      <w:pPr>
        <w:ind w:left="567"/>
        <w:rPr>
          <w:i/>
          <w:lang w:val="es-ES_tradnl"/>
        </w:rPr>
      </w:pPr>
    </w:p>
    <w:p w:rsidR="009C71A1" w:rsidRPr="00F96DDA" w:rsidRDefault="009C71A1" w:rsidP="003502DA">
      <w:pPr>
        <w:ind w:left="567"/>
        <w:rPr>
          <w:i/>
          <w:lang w:val="es-ES_tradnl"/>
        </w:rPr>
      </w:pPr>
      <w:bookmarkStart w:id="19" w:name="_Toc410822417"/>
      <w:bookmarkStart w:id="20" w:name="_Toc410822813"/>
      <w:bookmarkStart w:id="21" w:name="_Toc410823320"/>
      <w:r w:rsidRPr="00F96DDA">
        <w:rPr>
          <w:i/>
          <w:lang w:val="es-ES_tradnl"/>
        </w:rPr>
        <w:t xml:space="preserve">Introducción a la ISTA y situación respecto de las técnicas moleculares </w:t>
      </w:r>
    </w:p>
    <w:p w:rsidR="009C71A1" w:rsidRPr="00F96DDA" w:rsidRDefault="009C71A1" w:rsidP="00312C2A">
      <w:pPr>
        <w:ind w:left="567"/>
        <w:rPr>
          <w:i/>
          <w:lang w:val="es-ES_tradnl"/>
        </w:rPr>
      </w:pPr>
      <w:r w:rsidRPr="00F96DDA">
        <w:rPr>
          <w:i/>
          <w:lang w:val="es-ES_tradnl"/>
        </w:rPr>
        <w:t>(</w:t>
      </w:r>
      <w:proofErr w:type="gramStart"/>
      <w:r w:rsidRPr="00F96DDA">
        <w:rPr>
          <w:i/>
          <w:lang w:val="es-ES_tradnl"/>
        </w:rPr>
        <w:t>documento</w:t>
      </w:r>
      <w:proofErr w:type="gramEnd"/>
      <w:r w:rsidRPr="00F96DDA">
        <w:rPr>
          <w:i/>
          <w:lang w:val="es-ES_tradnl"/>
        </w:rPr>
        <w:t xml:space="preserve"> BMT/14/</w:t>
      </w:r>
      <w:proofErr w:type="spellStart"/>
      <w:r w:rsidRPr="00F96DDA">
        <w:rPr>
          <w:i/>
          <w:lang w:val="es-ES_tradnl"/>
        </w:rPr>
        <w:t>Joint</w:t>
      </w:r>
      <w:proofErr w:type="spellEnd"/>
      <w:r w:rsidRPr="00F96DDA">
        <w:rPr>
          <w:i/>
          <w:lang w:val="es-ES_tradnl"/>
        </w:rPr>
        <w:t>/3 Rev.)</w:t>
      </w:r>
      <w:bookmarkEnd w:id="19"/>
      <w:bookmarkEnd w:id="20"/>
      <w:bookmarkEnd w:id="21"/>
    </w:p>
    <w:p w:rsidR="009C71A1" w:rsidRPr="00F96DDA" w:rsidRDefault="009C71A1" w:rsidP="00312C2A">
      <w:pPr>
        <w:ind w:left="567"/>
        <w:rPr>
          <w:i/>
          <w:lang w:val="es-ES_tradnl"/>
        </w:rPr>
      </w:pPr>
    </w:p>
    <w:p w:rsidR="009C71A1" w:rsidRPr="00F96DDA" w:rsidRDefault="009C71A1" w:rsidP="00312C2A">
      <w:pPr>
        <w:ind w:left="567"/>
        <w:rPr>
          <w:i/>
          <w:lang w:val="es-ES_tradnl"/>
        </w:rPr>
      </w:pPr>
      <w:bookmarkStart w:id="22" w:name="_Toc410822418"/>
      <w:bookmarkStart w:id="23" w:name="_Toc410822814"/>
      <w:bookmarkStart w:id="24" w:name="_Toc410823321"/>
      <w:r w:rsidRPr="00F96DDA">
        <w:rPr>
          <w:i/>
          <w:lang w:val="es-ES_tradnl"/>
        </w:rPr>
        <w:t>Introducción a la ISO y situación respecto de las técnicas moleculares (documento BMT/14/</w:t>
      </w:r>
      <w:proofErr w:type="spellStart"/>
      <w:r w:rsidRPr="00F96DDA">
        <w:rPr>
          <w:i/>
          <w:lang w:val="es-ES_tradnl"/>
        </w:rPr>
        <w:t>Joint</w:t>
      </w:r>
      <w:proofErr w:type="spellEnd"/>
      <w:r w:rsidRPr="00F96DDA">
        <w:rPr>
          <w:i/>
          <w:lang w:val="es-ES_tradnl"/>
        </w:rPr>
        <w:t>/2)</w:t>
      </w:r>
      <w:bookmarkEnd w:id="22"/>
      <w:bookmarkEnd w:id="23"/>
      <w:bookmarkEnd w:id="24"/>
    </w:p>
    <w:p w:rsidR="009C71A1" w:rsidRPr="00F96DDA" w:rsidRDefault="009C71A1" w:rsidP="00312C2A">
      <w:pPr>
        <w:ind w:left="567"/>
        <w:rPr>
          <w:i/>
          <w:lang w:val="es-ES_tradnl"/>
        </w:rPr>
      </w:pPr>
    </w:p>
    <w:p w:rsidR="009F2CA5" w:rsidRDefault="009C71A1" w:rsidP="00312C2A">
      <w:pPr>
        <w:ind w:left="567"/>
        <w:rPr>
          <w:i/>
          <w:lang w:val="es-ES_tradnl"/>
        </w:rPr>
      </w:pPr>
      <w:bookmarkStart w:id="25" w:name="_Toc410822419"/>
      <w:bookmarkStart w:id="26" w:name="_Toc410822815"/>
      <w:bookmarkStart w:id="27" w:name="_Toc410823322"/>
      <w:r w:rsidRPr="00F96DDA">
        <w:rPr>
          <w:i/>
          <w:lang w:val="es-ES_tradnl"/>
        </w:rPr>
        <w:t xml:space="preserve">Ámbitos de cooperación entre la OCDE, la UPOV y la ISTA en la actualidad </w:t>
      </w:r>
    </w:p>
    <w:p w:rsidR="009C71A1" w:rsidRPr="00F96DDA" w:rsidRDefault="009C71A1" w:rsidP="00312C2A">
      <w:pPr>
        <w:ind w:left="567"/>
        <w:rPr>
          <w:i/>
          <w:lang w:val="es-ES_tradnl"/>
        </w:rPr>
      </w:pPr>
      <w:r w:rsidRPr="00F96DDA">
        <w:rPr>
          <w:i/>
          <w:lang w:val="es-ES_tradnl"/>
        </w:rPr>
        <w:t>(</w:t>
      </w:r>
      <w:proofErr w:type="gramStart"/>
      <w:r w:rsidRPr="00F96DDA">
        <w:rPr>
          <w:i/>
          <w:lang w:val="es-ES_tradnl"/>
        </w:rPr>
        <w:t>documento</w:t>
      </w:r>
      <w:proofErr w:type="gramEnd"/>
      <w:r w:rsidRPr="00F96DDA">
        <w:rPr>
          <w:i/>
          <w:lang w:val="es-ES_tradnl"/>
        </w:rPr>
        <w:t xml:space="preserve"> BMT/14/</w:t>
      </w:r>
      <w:proofErr w:type="spellStart"/>
      <w:r w:rsidRPr="00F96DDA">
        <w:rPr>
          <w:i/>
          <w:lang w:val="es-ES_tradnl"/>
        </w:rPr>
        <w:t>Joint</w:t>
      </w:r>
      <w:proofErr w:type="spellEnd"/>
      <w:r w:rsidRPr="00F96DDA">
        <w:rPr>
          <w:i/>
          <w:lang w:val="es-ES_tradnl"/>
        </w:rPr>
        <w:t>/5)</w:t>
      </w:r>
      <w:bookmarkEnd w:id="25"/>
      <w:bookmarkEnd w:id="26"/>
      <w:bookmarkEnd w:id="27"/>
    </w:p>
    <w:p w:rsidR="009C71A1" w:rsidRPr="00F96DDA" w:rsidRDefault="009C71A1" w:rsidP="00312C2A">
      <w:pPr>
        <w:rPr>
          <w:lang w:val="es-ES_tradnl" w:eastAsia="ja-JP"/>
        </w:rPr>
      </w:pPr>
    </w:p>
    <w:p w:rsidR="009C71A1" w:rsidRPr="00F96DDA" w:rsidRDefault="009C71A1" w:rsidP="00312C2A">
      <w:pPr>
        <w:rPr>
          <w:rFonts w:cs="Arial"/>
          <w:lang w:val="es-ES_tradnl" w:eastAsia="ja-JP"/>
        </w:rPr>
      </w:pPr>
      <w:r w:rsidRPr="00F96DDA">
        <w:rPr>
          <w:rFonts w:cs="Arial"/>
          <w:lang w:val="es-ES_tradnl"/>
        </w:rPr>
        <w:fldChar w:fldCharType="begin"/>
      </w:r>
      <w:r w:rsidRPr="00F96DDA">
        <w:rPr>
          <w:rFonts w:cs="Arial"/>
          <w:lang w:val="es-ES_tradnl"/>
        </w:rPr>
        <w:instrText xml:space="preserve"> AUTONUM  </w:instrText>
      </w:r>
      <w:r w:rsidRPr="00F96DDA">
        <w:rPr>
          <w:rFonts w:cs="Arial"/>
          <w:lang w:val="es-ES_tradnl"/>
        </w:rPr>
        <w:fldChar w:fldCharType="end"/>
      </w:r>
      <w:r w:rsidRPr="00F96DDA">
        <w:rPr>
          <w:rFonts w:cs="Arial"/>
          <w:lang w:val="es-ES_tradnl"/>
        </w:rPr>
        <w:tab/>
      </w:r>
      <w:r w:rsidRPr="00F96DDA">
        <w:rPr>
          <w:rFonts w:cs="Arial"/>
          <w:lang w:val="es-ES_tradnl" w:eastAsia="ja-JP"/>
        </w:rPr>
        <w:t>En el taller se convino en que sería útil elaborar un documento conjunto en el que se expliquen las características principales de los sistemas de la OCDE, la UPOV y la ISTA (como, por ejemplo, la DHE, la identificación de variedades, la pureza de las variedades, etc.).  Se convino asimismo que sería útil para la comprensión mutua repetir el taller conjunto en las reuniones pertinentes de la OCDE y la ISTA (véase el párrafo 54 del documento BMT/14/20 “</w:t>
      </w:r>
      <w:proofErr w:type="spellStart"/>
      <w:r w:rsidRPr="00F96DDA">
        <w:rPr>
          <w:rFonts w:cs="Arial"/>
          <w:i/>
          <w:lang w:val="es-ES_tradnl" w:eastAsia="ja-JP"/>
        </w:rPr>
        <w:t>Report</w:t>
      </w:r>
      <w:proofErr w:type="spellEnd"/>
      <w:r w:rsidRPr="00F96DDA">
        <w:rPr>
          <w:rFonts w:cs="Arial"/>
          <w:lang w:val="es-ES_tradnl" w:eastAsia="ja-JP"/>
        </w:rPr>
        <w:t>”).</w:t>
      </w:r>
    </w:p>
    <w:p w:rsidR="009C71A1" w:rsidRPr="00F96DDA" w:rsidRDefault="009C71A1" w:rsidP="00312C2A">
      <w:pPr>
        <w:rPr>
          <w:rFonts w:cs="Arial"/>
          <w:lang w:val="es-ES_tradnl" w:eastAsia="ja-JP"/>
        </w:rPr>
      </w:pPr>
    </w:p>
    <w:p w:rsidR="009C71A1" w:rsidRPr="00F96DDA" w:rsidRDefault="009C71A1" w:rsidP="009F2CA5">
      <w:pPr>
        <w:keepLines/>
        <w:rPr>
          <w:rFonts w:cs="Arial"/>
          <w:lang w:val="es-ES_tradnl" w:eastAsia="ja-JP"/>
        </w:rPr>
      </w:pPr>
      <w:r w:rsidRPr="00F96DDA">
        <w:rPr>
          <w:rFonts w:cs="Arial"/>
          <w:lang w:val="es-ES_tradnl"/>
        </w:rPr>
        <w:fldChar w:fldCharType="begin"/>
      </w:r>
      <w:r w:rsidRPr="00F96DDA">
        <w:rPr>
          <w:rFonts w:cs="Arial"/>
          <w:lang w:val="es-ES_tradnl"/>
        </w:rPr>
        <w:instrText xml:space="preserve"> AUTONUM  </w:instrText>
      </w:r>
      <w:r w:rsidRPr="00F96DDA">
        <w:rPr>
          <w:rFonts w:cs="Arial"/>
          <w:lang w:val="es-ES_tradnl"/>
        </w:rPr>
        <w:fldChar w:fldCharType="end"/>
      </w:r>
      <w:r w:rsidRPr="00F96DDA">
        <w:rPr>
          <w:rFonts w:cs="Arial"/>
          <w:lang w:val="es-ES_tradnl"/>
        </w:rPr>
        <w:tab/>
      </w:r>
      <w:r w:rsidRPr="00F96DDA">
        <w:rPr>
          <w:rFonts w:cs="Arial"/>
          <w:lang w:val="es-ES_tradnl" w:eastAsia="ja-JP"/>
        </w:rPr>
        <w:t>Se convino en el taller proponer un inventario de la UPOV, la OCDE y la ISTA sobre la utilización de técnicas basadas en marcadores moleculares, por cultivos, con objeto de elaborar un documento en el que figure dicha información en un formato similar al del documento UPOV/INF/16 “Programas informáticos para intercambio”.  Se señaló que la OCDE ya había reunido cierta información acerca del uso de técnicas moleculares por sus autoridades designadas (véase el párrafo 55 del documento BMT/14/20 “</w:t>
      </w:r>
      <w:proofErr w:type="spellStart"/>
      <w:r w:rsidRPr="00F96DDA">
        <w:rPr>
          <w:rFonts w:cs="Arial"/>
          <w:i/>
          <w:lang w:val="es-ES_tradnl" w:eastAsia="ja-JP"/>
        </w:rPr>
        <w:t>Report</w:t>
      </w:r>
      <w:proofErr w:type="spellEnd"/>
      <w:r w:rsidRPr="00F96DDA">
        <w:rPr>
          <w:rFonts w:cs="Arial"/>
          <w:lang w:val="es-ES_tradnl" w:eastAsia="ja-JP"/>
        </w:rPr>
        <w:t>”).</w:t>
      </w:r>
    </w:p>
    <w:p w:rsidR="009C71A1" w:rsidRPr="00F96DDA" w:rsidRDefault="009C71A1" w:rsidP="009F2CA5">
      <w:pPr>
        <w:keepLines/>
        <w:rPr>
          <w:rFonts w:cs="Arial"/>
          <w:lang w:val="es-ES_tradnl" w:eastAsia="ja-JP"/>
        </w:rPr>
      </w:pPr>
    </w:p>
    <w:p w:rsidR="009C71A1" w:rsidRPr="00F96DDA" w:rsidRDefault="009C71A1" w:rsidP="009F2CA5">
      <w:pPr>
        <w:rPr>
          <w:rFonts w:cs="Arial"/>
          <w:lang w:val="es-ES_tradnl" w:eastAsia="ja-JP"/>
        </w:rPr>
      </w:pPr>
      <w:r w:rsidRPr="00F96DDA">
        <w:rPr>
          <w:rFonts w:cs="Arial"/>
          <w:lang w:val="es-ES_tradnl"/>
        </w:rPr>
        <w:fldChar w:fldCharType="begin"/>
      </w:r>
      <w:r w:rsidRPr="00F96DDA">
        <w:rPr>
          <w:rFonts w:cs="Arial"/>
          <w:lang w:val="es-ES_tradnl"/>
        </w:rPr>
        <w:instrText xml:space="preserve"> AUTONUM  </w:instrText>
      </w:r>
      <w:r w:rsidRPr="00F96DDA">
        <w:rPr>
          <w:rFonts w:cs="Arial"/>
          <w:lang w:val="es-ES_tradnl"/>
        </w:rPr>
        <w:fldChar w:fldCharType="end"/>
      </w:r>
      <w:r w:rsidRPr="00F96DDA">
        <w:rPr>
          <w:rFonts w:cs="Arial"/>
          <w:lang w:val="es-ES_tradnl"/>
        </w:rPr>
        <w:tab/>
      </w:r>
      <w:r w:rsidRPr="00F96DDA">
        <w:rPr>
          <w:rFonts w:cs="Arial"/>
          <w:lang w:val="es-ES_tradnl" w:eastAsia="ja-JP"/>
        </w:rPr>
        <w:t xml:space="preserve">Se acordó asimismo en el taller proponer que se invite a la UPOV, la OCDE y el ISTA a que elaboren listas de posibles iniciativas conjuntas relacionadas con las técnicas moleculares.  Se señaló que, en el caso de la UPOV, la lista podría redactarla el BMT en su decimoquinta </w:t>
      </w:r>
      <w:r w:rsidR="00B6391A">
        <w:rPr>
          <w:rFonts w:cs="Arial"/>
          <w:lang w:val="es-ES_tradnl" w:eastAsia="ja-JP"/>
        </w:rPr>
        <w:t>sesión</w:t>
      </w:r>
      <w:r w:rsidRPr="00F96DDA">
        <w:rPr>
          <w:rFonts w:cs="Arial"/>
          <w:lang w:val="es-ES_tradnl" w:eastAsia="ja-JP"/>
        </w:rPr>
        <w:t>, sujeto a la aprobación del Comité Técnico (véase el párrafo 56 del documento BMT/14/20 “</w:t>
      </w:r>
      <w:proofErr w:type="spellStart"/>
      <w:r w:rsidRPr="00F96DDA">
        <w:rPr>
          <w:rFonts w:cs="Arial"/>
          <w:i/>
          <w:lang w:val="es-ES_tradnl" w:eastAsia="ja-JP"/>
        </w:rPr>
        <w:t>Report</w:t>
      </w:r>
      <w:proofErr w:type="spellEnd"/>
      <w:r w:rsidRPr="00F96DDA">
        <w:rPr>
          <w:rFonts w:cs="Arial"/>
          <w:lang w:val="es-ES_tradnl" w:eastAsia="ja-JP"/>
        </w:rPr>
        <w:t>”).</w:t>
      </w:r>
    </w:p>
    <w:p w:rsidR="009C71A1" w:rsidRPr="00F96DDA" w:rsidRDefault="009C71A1" w:rsidP="009F2CA5">
      <w:pPr>
        <w:rPr>
          <w:rFonts w:cs="Arial"/>
          <w:lang w:val="es-ES_tradnl" w:eastAsia="ja-JP"/>
        </w:rPr>
      </w:pPr>
    </w:p>
    <w:p w:rsidR="009C71A1" w:rsidRPr="00F96DDA" w:rsidRDefault="009C71A1" w:rsidP="009F2CA5">
      <w:pPr>
        <w:rPr>
          <w:snapToGrid w:val="0"/>
          <w:lang w:val="es-ES_tradnl"/>
        </w:rPr>
      </w:pPr>
      <w:r w:rsidRPr="00F96DDA">
        <w:rPr>
          <w:snapToGrid w:val="0"/>
          <w:lang w:val="es-ES_tradnl"/>
        </w:rPr>
        <w:fldChar w:fldCharType="begin"/>
      </w:r>
      <w:r w:rsidRPr="00F96DDA">
        <w:rPr>
          <w:snapToGrid w:val="0"/>
          <w:lang w:val="es-ES_tradnl"/>
        </w:rPr>
        <w:instrText xml:space="preserve"> AUTONUM  </w:instrText>
      </w:r>
      <w:r w:rsidRPr="00F96DDA">
        <w:rPr>
          <w:snapToGrid w:val="0"/>
          <w:lang w:val="es-ES_tradnl"/>
        </w:rPr>
        <w:fldChar w:fldCharType="end"/>
      </w:r>
      <w:r w:rsidRPr="00F96DDA">
        <w:rPr>
          <w:snapToGrid w:val="0"/>
          <w:lang w:val="es-ES_tradnl"/>
        </w:rPr>
        <w:tab/>
        <w:t>En la reunión del Grupo de trabajo técnico de los Sistemas de semillas de la OCDE, celebrada en</w:t>
      </w:r>
      <w:r w:rsidRPr="00F96DDA">
        <w:rPr>
          <w:snapToGrid w:val="0"/>
          <w:lang w:val="es-ES_tradnl" w:eastAsia="ja-JP"/>
        </w:rPr>
        <w:t xml:space="preserve"> París (Francia) los días </w:t>
      </w:r>
      <w:r w:rsidRPr="00F96DDA">
        <w:rPr>
          <w:snapToGrid w:val="0"/>
          <w:lang w:val="es-ES_tradnl"/>
        </w:rPr>
        <w:t>28 y 29 de enero de 2015, el Sr. </w:t>
      </w:r>
      <w:proofErr w:type="spellStart"/>
      <w:r w:rsidRPr="00F96DDA">
        <w:rPr>
          <w:snapToGrid w:val="0"/>
          <w:lang w:val="es-ES_tradnl"/>
        </w:rPr>
        <w:t>Gerry</w:t>
      </w:r>
      <w:proofErr w:type="spellEnd"/>
      <w:r w:rsidRPr="00F96DDA">
        <w:rPr>
          <w:snapToGrid w:val="0"/>
          <w:lang w:val="es-ES_tradnl"/>
        </w:rPr>
        <w:t xml:space="preserve"> Hall (Reino Unido), Presidente del Grupo especial de trabajo sobre técnicas bioquímicas y moleculares (AHWG) de los Sistemas de semillas de la OCDE, presentó un informe verbal relativo al Taller conjunto OCDE-UPOV-ISTA sobre técnicas moleculares, celebrado el 13 de noviembre de 2014 durante la decimocuarta </w:t>
      </w:r>
      <w:r w:rsidR="00B6391A">
        <w:rPr>
          <w:snapToGrid w:val="0"/>
          <w:lang w:val="es-ES_tradnl"/>
        </w:rPr>
        <w:t>sesión</w:t>
      </w:r>
      <w:r w:rsidRPr="00F96DDA">
        <w:rPr>
          <w:snapToGrid w:val="0"/>
          <w:lang w:val="es-ES_tradnl"/>
        </w:rPr>
        <w:t xml:space="preserve"> del BMT.</w:t>
      </w:r>
    </w:p>
    <w:p w:rsidR="009C71A1" w:rsidRPr="00F96DDA" w:rsidRDefault="009C71A1" w:rsidP="00312C2A">
      <w:pPr>
        <w:rPr>
          <w:snapToGrid w:val="0"/>
          <w:lang w:val="es-ES_tradnl"/>
        </w:rPr>
      </w:pPr>
    </w:p>
    <w:p w:rsidR="009C71A1" w:rsidRPr="00F96DDA" w:rsidRDefault="009C71A1" w:rsidP="00312C2A">
      <w:pPr>
        <w:rPr>
          <w:snapToGrid w:val="0"/>
          <w:lang w:val="es-ES_tradnl"/>
        </w:rPr>
      </w:pPr>
      <w:r w:rsidRPr="00F96DDA">
        <w:rPr>
          <w:snapToGrid w:val="0"/>
          <w:lang w:val="es-ES_tradnl"/>
        </w:rPr>
        <w:fldChar w:fldCharType="begin"/>
      </w:r>
      <w:r w:rsidRPr="00F96DDA">
        <w:rPr>
          <w:snapToGrid w:val="0"/>
          <w:lang w:val="es-ES_tradnl"/>
        </w:rPr>
        <w:instrText xml:space="preserve"> AUTONUM  </w:instrText>
      </w:r>
      <w:r w:rsidRPr="00F96DDA">
        <w:rPr>
          <w:snapToGrid w:val="0"/>
          <w:lang w:val="es-ES_tradnl"/>
        </w:rPr>
        <w:fldChar w:fldCharType="end"/>
      </w:r>
      <w:r w:rsidRPr="00F96DDA">
        <w:rPr>
          <w:snapToGrid w:val="0"/>
          <w:lang w:val="es-ES_tradnl"/>
        </w:rPr>
        <w:tab/>
        <w:t>El Grupo de trabajo técnico convino en que debía organizarse otro Taller conjunto OCDE-UPOV-ISTA sobre técnicas moleculares, ya sea de manera consecutiva con la reunión anual de los Sistemas de semillas de la OCDE, prevista en París en junio de 2015, o junto con la reunión del Grupo de trabajo técnico, prevista en enero de 2016.</w:t>
      </w:r>
    </w:p>
    <w:p w:rsidR="009C71A1" w:rsidRPr="00F96DDA" w:rsidRDefault="009C71A1" w:rsidP="00312C2A">
      <w:pPr>
        <w:rPr>
          <w:lang w:val="es-ES_tradnl" w:eastAsia="ja-JP"/>
        </w:rPr>
      </w:pPr>
    </w:p>
    <w:p w:rsidR="009C71A1" w:rsidRPr="00F96DDA" w:rsidRDefault="009C71A1" w:rsidP="00BD6B3F">
      <w:pPr>
        <w:pStyle w:val="Heading1"/>
        <w:rPr>
          <w:color w:val="auto"/>
        </w:rPr>
      </w:pPr>
      <w:bookmarkStart w:id="28" w:name="_Toc413751706"/>
      <w:bookmarkStart w:id="29" w:name="_Toc410822422"/>
      <w:bookmarkStart w:id="30" w:name="_Toc410822818"/>
      <w:bookmarkStart w:id="31" w:name="_Toc410823325"/>
      <w:bookmarkStart w:id="32" w:name="_Toc410899586"/>
      <w:r w:rsidRPr="00F96DDA">
        <w:rPr>
          <w:color w:val="auto"/>
        </w:rPr>
        <w:t>DEBATE SOBRE TÉCNICAS MOLECULARes MANTENIDO POR EL Comité Técnico EN SU QUINCUAGÉSIMA SESIÓN</w:t>
      </w:r>
      <w:bookmarkEnd w:id="28"/>
    </w:p>
    <w:p w:rsidR="009C71A1" w:rsidRPr="00804548" w:rsidRDefault="009C71A1" w:rsidP="00312C2A">
      <w:pPr>
        <w:keepNext/>
        <w:rPr>
          <w:lang w:val="es-ES_tradnl" w:eastAsia="ja-JP"/>
        </w:rPr>
      </w:pPr>
    </w:p>
    <w:p w:rsidR="009C71A1" w:rsidRPr="00F96DDA" w:rsidRDefault="009C71A1" w:rsidP="00312C2A">
      <w:pPr>
        <w:keepNext/>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En su quincuagésima sesión, celebrada en Ginebra,</w:t>
      </w:r>
      <w:r w:rsidRPr="00804548">
        <w:rPr>
          <w:rStyle w:val="FootnoteReference"/>
          <w:lang w:val="es-ES_tradnl"/>
        </w:rPr>
        <w:footnoteReference w:id="8"/>
      </w:r>
      <w:r w:rsidRPr="00F96DDA">
        <w:rPr>
          <w:lang w:val="es-ES_tradnl"/>
        </w:rPr>
        <w:t xml:space="preserve"> el TC convino en que el proyecto de orden del día para la quincuagésima primera sesión del TC debía incluir un punto relativo a un debate sobre técnicas moleculares (véase el párrafo 164 del documento TC/50/36 “Informe sobre las conclusiones”).</w:t>
      </w:r>
    </w:p>
    <w:p w:rsidR="009C71A1" w:rsidRPr="00F96DDA" w:rsidRDefault="009C71A1" w:rsidP="00312C2A">
      <w:pPr>
        <w:rPr>
          <w:lang w:val="es-ES_tradnl"/>
        </w:rPr>
      </w:pPr>
    </w:p>
    <w:p w:rsidR="009C71A1" w:rsidRPr="00F96DDA" w:rsidRDefault="009C71A1" w:rsidP="00312C2A">
      <w:pPr>
        <w:rPr>
          <w:rFonts w:cs="Arial"/>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 xml:space="preserve">En su reunión celebrada en Ginebra el 9 de enero de 2015, los presidentes de los TWP y el TC propusieron que el debate se basara en la presentación de los aspectos más destacados de la decimocuarta </w:t>
      </w:r>
      <w:r w:rsidR="00B6391A">
        <w:rPr>
          <w:lang w:val="es-ES_tradnl"/>
        </w:rPr>
        <w:t>sesión</w:t>
      </w:r>
      <w:r w:rsidRPr="00F96DDA">
        <w:rPr>
          <w:lang w:val="es-ES_tradnl"/>
        </w:rPr>
        <w:t xml:space="preserve"> del BMT, celebrada en Seúl (República de Corea) del 10 al 13 de noviembre de 2014, y del </w:t>
      </w:r>
      <w:r w:rsidRPr="00F96DDA">
        <w:rPr>
          <w:rFonts w:cs="Arial"/>
          <w:lang w:val="es-ES_tradnl"/>
        </w:rPr>
        <w:t xml:space="preserve">Taller conjunto OCDE-UPOV-ISTA sobre técnicas moleculares, </w:t>
      </w:r>
      <w:r w:rsidRPr="00F96DDA">
        <w:rPr>
          <w:lang w:val="es-ES_tradnl"/>
        </w:rPr>
        <w:t>celebrado en Seúl (República de Corea) el 12 de noviembre de 2014</w:t>
      </w:r>
      <w:r w:rsidRPr="00F96DDA">
        <w:rPr>
          <w:rFonts w:cs="Arial"/>
          <w:lang w:val="es-ES_tradnl"/>
        </w:rPr>
        <w:t>.</w:t>
      </w:r>
    </w:p>
    <w:p w:rsidR="009C71A1" w:rsidRPr="00F96DDA" w:rsidRDefault="009C71A1" w:rsidP="00312C2A">
      <w:pPr>
        <w:rPr>
          <w:rFonts w:cs="Arial"/>
          <w:lang w:val="es-ES_tradnl"/>
        </w:rPr>
      </w:pPr>
    </w:p>
    <w:p w:rsidR="009C71A1" w:rsidRPr="00F96DDA" w:rsidRDefault="009C71A1" w:rsidP="00312C2A">
      <w:pPr>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A este respecto, se propuso organizar ponencias sobre los siguientes puntos a efectos del debate sobre técnicas moleculares en la quincuagésima primera sesión del TC:</w:t>
      </w:r>
    </w:p>
    <w:p w:rsidR="009C71A1" w:rsidRPr="00F96DDA" w:rsidRDefault="009C71A1" w:rsidP="00312C2A">
      <w:pPr>
        <w:rPr>
          <w:lang w:val="es-ES_tradnl"/>
        </w:rPr>
      </w:pPr>
    </w:p>
    <w:p w:rsidR="009C71A1" w:rsidRPr="00F96DDA" w:rsidRDefault="009C71A1" w:rsidP="00312C2A">
      <w:pPr>
        <w:ind w:left="567"/>
        <w:rPr>
          <w:i/>
          <w:lang w:val="es-ES_tradnl"/>
        </w:rPr>
      </w:pPr>
      <w:r w:rsidRPr="00F96DDA">
        <w:rPr>
          <w:i/>
          <w:lang w:val="es-ES_tradnl"/>
        </w:rPr>
        <w:t>Informe sobre las novedades acaecidas en la UPOV en relación con las técnicas bioquímicas y moleculares (véase también el documento BMT/14/2 Rev2.)</w:t>
      </w:r>
    </w:p>
    <w:p w:rsidR="009C71A1" w:rsidRPr="00F96DDA" w:rsidRDefault="009C71A1" w:rsidP="00312C2A">
      <w:pPr>
        <w:ind w:left="567"/>
        <w:rPr>
          <w:i/>
          <w:lang w:val="es-ES_tradnl"/>
        </w:rPr>
      </w:pPr>
    </w:p>
    <w:p w:rsidR="009C71A1" w:rsidRPr="00F96DDA" w:rsidRDefault="009C71A1" w:rsidP="00312C2A">
      <w:pPr>
        <w:ind w:left="540" w:firstLine="27"/>
        <w:rPr>
          <w:i/>
          <w:lang w:val="es-ES_tradnl"/>
        </w:rPr>
      </w:pPr>
      <w:r w:rsidRPr="00F96DDA">
        <w:rPr>
          <w:i/>
          <w:lang w:val="es-ES_tradnl"/>
        </w:rPr>
        <w:t>Uso de técnicas basadas en marcadores moleculares para la selección de “variedades similares” a una “variedad candidata” (véase también el documento BMT/14/16 Rev2.)</w:t>
      </w:r>
    </w:p>
    <w:p w:rsidR="009C71A1" w:rsidRPr="00F96DDA" w:rsidRDefault="009C71A1" w:rsidP="00312C2A">
      <w:pPr>
        <w:ind w:left="540" w:firstLine="27"/>
        <w:rPr>
          <w:i/>
          <w:lang w:val="es-ES_tradnl"/>
        </w:rPr>
      </w:pPr>
    </w:p>
    <w:p w:rsidR="009C71A1" w:rsidRPr="00F96DDA" w:rsidRDefault="009C71A1" w:rsidP="00312C2A">
      <w:pPr>
        <w:ind w:left="540" w:firstLine="27"/>
        <w:rPr>
          <w:rFonts w:cs="Arial"/>
          <w:i/>
          <w:lang w:val="es-ES_tradnl"/>
        </w:rPr>
      </w:pPr>
      <w:r w:rsidRPr="00F96DDA">
        <w:rPr>
          <w:i/>
          <w:lang w:val="es-ES_tradnl"/>
        </w:rPr>
        <w:t xml:space="preserve">Utilización de variedades de referencia en la distinción de variedades: un método en investigación en los Estados Unidos de América para su posible aplicación en la protección de las obtenciones vegetales </w:t>
      </w:r>
      <w:r w:rsidRPr="00F96DDA">
        <w:rPr>
          <w:rFonts w:cs="Arial"/>
          <w:i/>
          <w:lang w:val="es-ES_tradnl"/>
        </w:rPr>
        <w:t>(véanse también los documentos BMT/14/5 y BMT/14/5 </w:t>
      </w:r>
      <w:proofErr w:type="spellStart"/>
      <w:r w:rsidRPr="00F96DDA">
        <w:rPr>
          <w:rFonts w:cs="Arial"/>
          <w:i/>
          <w:lang w:val="es-ES_tradnl"/>
        </w:rPr>
        <w:t>Add</w:t>
      </w:r>
      <w:proofErr w:type="spellEnd"/>
      <w:r w:rsidRPr="00F96DDA">
        <w:rPr>
          <w:rFonts w:cs="Arial"/>
          <w:i/>
          <w:lang w:val="es-ES_tradnl"/>
        </w:rPr>
        <w:t>.)</w:t>
      </w:r>
    </w:p>
    <w:p w:rsidR="009C71A1" w:rsidRPr="00F96DDA" w:rsidRDefault="009C71A1" w:rsidP="00312C2A">
      <w:pPr>
        <w:rPr>
          <w:i/>
          <w:lang w:val="es-ES_tradnl"/>
        </w:rPr>
      </w:pPr>
    </w:p>
    <w:p w:rsidR="009C71A1" w:rsidRPr="00F96DDA" w:rsidRDefault="009C71A1" w:rsidP="00312C2A">
      <w:pPr>
        <w:ind w:left="540" w:firstLine="27"/>
        <w:rPr>
          <w:i/>
          <w:lang w:val="es-ES_tradnl"/>
        </w:rPr>
      </w:pPr>
      <w:r w:rsidRPr="00F96DDA">
        <w:rPr>
          <w:i/>
          <w:lang w:val="es-ES_tradnl"/>
        </w:rPr>
        <w:t xml:space="preserve">Una base de datos europea de la patata como colección centralizada de variedades notoriamente conocidas </w:t>
      </w:r>
      <w:r w:rsidRPr="00F96DDA">
        <w:rPr>
          <w:rFonts w:cs="Arial"/>
          <w:i/>
          <w:lang w:val="es-ES_tradnl"/>
        </w:rPr>
        <w:t>(véanse también los documentos BMT/14/18 y BMT/14/18 </w:t>
      </w:r>
      <w:proofErr w:type="spellStart"/>
      <w:r w:rsidRPr="00F96DDA">
        <w:rPr>
          <w:rFonts w:cs="Arial"/>
          <w:i/>
          <w:lang w:val="es-ES_tradnl"/>
        </w:rPr>
        <w:t>Add</w:t>
      </w:r>
      <w:proofErr w:type="spellEnd"/>
      <w:r w:rsidRPr="00F96DDA">
        <w:rPr>
          <w:rFonts w:cs="Arial"/>
          <w:i/>
          <w:lang w:val="es-ES_tradnl"/>
        </w:rPr>
        <w:t>)</w:t>
      </w:r>
    </w:p>
    <w:p w:rsidR="009C71A1" w:rsidRPr="00F96DDA" w:rsidRDefault="009C71A1" w:rsidP="00312C2A">
      <w:pPr>
        <w:rPr>
          <w:i/>
          <w:lang w:val="es-ES_tradnl"/>
        </w:rPr>
      </w:pPr>
    </w:p>
    <w:p w:rsidR="009C71A1" w:rsidRPr="00F96DDA" w:rsidRDefault="009C71A1" w:rsidP="00312C2A">
      <w:pPr>
        <w:ind w:left="540" w:firstLine="27"/>
        <w:rPr>
          <w:i/>
          <w:lang w:val="es-ES_tradnl"/>
        </w:rPr>
      </w:pPr>
      <w:r w:rsidRPr="00F96DDA">
        <w:rPr>
          <w:i/>
          <w:lang w:val="es-ES_tradnl"/>
        </w:rPr>
        <w:t>Desarrollo de marcadores EST-SSR de la lechuga e identificación de variedades mediante marcadores EST-SSR (véase también el documento BMT/14/13 Rev.)</w:t>
      </w:r>
    </w:p>
    <w:p w:rsidR="009C71A1" w:rsidRPr="00F96DDA" w:rsidRDefault="009C71A1" w:rsidP="00312C2A">
      <w:pPr>
        <w:rPr>
          <w:i/>
          <w:lang w:val="es-ES_tradnl"/>
        </w:rPr>
      </w:pPr>
    </w:p>
    <w:p w:rsidR="009C71A1" w:rsidRPr="00F96DDA" w:rsidRDefault="009C71A1" w:rsidP="00312C2A">
      <w:pPr>
        <w:ind w:left="540"/>
        <w:rPr>
          <w:i/>
          <w:lang w:val="es-ES_tradnl"/>
        </w:rPr>
      </w:pPr>
      <w:r w:rsidRPr="00F96DDA">
        <w:rPr>
          <w:i/>
          <w:lang w:val="es-ES_tradnl"/>
        </w:rPr>
        <w:t>Propiedad y uso de las muestras del examen DHE y del ADN y los datos sobre el ADN durante los exámenes DHE y posteriormente (véase también el documento BMT/14/11 Rev.)</w:t>
      </w:r>
    </w:p>
    <w:p w:rsidR="009C71A1" w:rsidRPr="00F96DDA" w:rsidRDefault="009C71A1" w:rsidP="00312C2A">
      <w:pPr>
        <w:rPr>
          <w:rFonts w:cs="Arial"/>
          <w:i/>
          <w:lang w:val="es-ES_tradnl"/>
        </w:rPr>
      </w:pPr>
    </w:p>
    <w:p w:rsidR="009C71A1" w:rsidRPr="00F96DDA" w:rsidRDefault="009C71A1" w:rsidP="00312C2A">
      <w:pPr>
        <w:ind w:left="540" w:firstLine="27"/>
        <w:rPr>
          <w:i/>
          <w:lang w:val="es-ES_tradnl"/>
        </w:rPr>
      </w:pPr>
      <w:r w:rsidRPr="00F96DDA">
        <w:rPr>
          <w:i/>
          <w:lang w:val="es-ES_tradnl"/>
        </w:rPr>
        <w:t>Oportunidades para la cooperación entre la OCDE, la UPOV, la ISTA y la ISO en el ámbito de las técnicas moleculares (véase también el documento BMT/14/</w:t>
      </w:r>
      <w:proofErr w:type="spellStart"/>
      <w:r w:rsidRPr="00F96DDA">
        <w:rPr>
          <w:i/>
          <w:lang w:val="es-ES_tradnl"/>
        </w:rPr>
        <w:t>Joint</w:t>
      </w:r>
      <w:proofErr w:type="spellEnd"/>
      <w:r w:rsidRPr="00F96DDA">
        <w:rPr>
          <w:i/>
          <w:lang w:val="es-ES_tradnl"/>
        </w:rPr>
        <w:t>/5)</w:t>
      </w:r>
    </w:p>
    <w:p w:rsidR="009C71A1" w:rsidRPr="00F96DDA" w:rsidRDefault="009C71A1" w:rsidP="00312C2A">
      <w:pPr>
        <w:rPr>
          <w:lang w:val="es-ES_tradnl"/>
        </w:rPr>
      </w:pPr>
    </w:p>
    <w:p w:rsidR="009C71A1" w:rsidRPr="00F96DDA" w:rsidRDefault="009C71A1" w:rsidP="00312C2A">
      <w:pPr>
        <w:rPr>
          <w:lang w:val="es-ES_tradnl" w:eastAsia="ja-JP"/>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Se adjunta, como Anexo II del presente documento, un proyecto de programa para el debate, sujeto a la aprobación del TC, en el que se incluye una indicación del modo en que se coordinaría este debate con el punto del orden del día “Técnicas moleculares”.</w:t>
      </w:r>
    </w:p>
    <w:p w:rsidR="009C71A1" w:rsidRDefault="009C71A1" w:rsidP="00312C2A">
      <w:pPr>
        <w:rPr>
          <w:rFonts w:cs="Arial"/>
          <w:lang w:val="es-ES_tradnl" w:eastAsia="ja-JP"/>
        </w:rPr>
      </w:pPr>
    </w:p>
    <w:p w:rsidR="009F2CA5" w:rsidRPr="00F96DDA" w:rsidRDefault="009F2CA5" w:rsidP="00312C2A">
      <w:pPr>
        <w:rPr>
          <w:rFonts w:cs="Arial"/>
          <w:lang w:val="es-ES_tradnl" w:eastAsia="ja-JP"/>
        </w:rPr>
      </w:pPr>
    </w:p>
    <w:p w:rsidR="009C71A1" w:rsidRPr="00F96DDA" w:rsidRDefault="009C71A1" w:rsidP="00312C2A">
      <w:pPr>
        <w:rPr>
          <w:lang w:val="es-ES_tradnl" w:eastAsia="ja-JP"/>
        </w:rPr>
      </w:pPr>
    </w:p>
    <w:p w:rsidR="009C71A1" w:rsidRPr="00F96DDA" w:rsidRDefault="009C71A1" w:rsidP="00BD6B3F">
      <w:pPr>
        <w:pStyle w:val="Heading1"/>
        <w:rPr>
          <w:color w:val="auto"/>
        </w:rPr>
      </w:pPr>
      <w:bookmarkStart w:id="33" w:name="_Toc413751707"/>
      <w:bookmarkEnd w:id="29"/>
      <w:bookmarkEnd w:id="30"/>
      <w:bookmarkEnd w:id="31"/>
      <w:bookmarkEnd w:id="32"/>
      <w:r w:rsidRPr="00F96DDA">
        <w:rPr>
          <w:color w:val="auto"/>
        </w:rPr>
        <w:t>LA PRESENTACIÓN DE INFORMACIÓN SOBRE LA SITUACIÓN EN LA UPOV EN LO QUE RESPECTA AL USO DE TÉCNICAS MOLECULARES</w:t>
      </w:r>
      <w:bookmarkEnd w:id="33"/>
    </w:p>
    <w:p w:rsidR="009C71A1" w:rsidRPr="00804548" w:rsidRDefault="009C71A1" w:rsidP="00312C2A">
      <w:pPr>
        <w:rPr>
          <w:lang w:val="es-ES_tradnl"/>
        </w:rPr>
      </w:pPr>
    </w:p>
    <w:p w:rsidR="009C71A1" w:rsidRPr="00F96DDA" w:rsidRDefault="009C71A1" w:rsidP="003502DA">
      <w:pPr>
        <w:autoSpaceDE w:val="0"/>
        <w:autoSpaceDN w:val="0"/>
        <w:adjustRightInd w:val="0"/>
        <w:rPr>
          <w:rFonts w:cs="Arial"/>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En su cuadragésima novena sesión, celebrada en Ginebra,</w:t>
      </w:r>
      <w:r w:rsidRPr="00804548">
        <w:rPr>
          <w:rStyle w:val="FootnoteReference"/>
          <w:rFonts w:cs="Arial"/>
          <w:lang w:val="es-ES_tradnl"/>
        </w:rPr>
        <w:footnoteReference w:id="9"/>
      </w:r>
      <w:r w:rsidRPr="00F96DDA">
        <w:rPr>
          <w:lang w:val="es-ES_tradnl"/>
        </w:rPr>
        <w:t xml:space="preserve"> el TC convino en que era necesario proporcionar información adecuada sobre la situación en la UPOV en lo que respectaba al uso de técnicas moleculares, para un público más amplio, que incluyera a los obtentores y el público en general (véase el párrafo 136 del documento TC/49/41, “Informe sobre las conclusiones”).</w:t>
      </w:r>
    </w:p>
    <w:p w:rsidR="009C71A1" w:rsidRPr="00804548" w:rsidRDefault="009C71A1" w:rsidP="00312C2A">
      <w:pPr>
        <w:autoSpaceDE w:val="0"/>
        <w:autoSpaceDN w:val="0"/>
        <w:adjustRightInd w:val="0"/>
        <w:jc w:val="left"/>
        <w:rPr>
          <w:rFonts w:cs="Arial"/>
          <w:lang w:val="es-ES_tradnl"/>
        </w:rPr>
      </w:pPr>
    </w:p>
    <w:p w:rsidR="009C71A1" w:rsidRPr="00F96DDA" w:rsidRDefault="009C71A1" w:rsidP="003502DA">
      <w:pPr>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804548">
        <w:rPr>
          <w:lang w:val="es-ES_tradnl"/>
        </w:rPr>
        <w:tab/>
      </w:r>
      <w:r w:rsidRPr="00F96DDA">
        <w:rPr>
          <w:rFonts w:eastAsia="MS Mincho" w:cs="Arial"/>
          <w:snapToGrid w:val="0"/>
          <w:lang w:val="es-ES_tradnl"/>
        </w:rPr>
        <w:t>El TC, en su quincuagésima sesión,</w:t>
      </w:r>
      <w:r w:rsidRPr="00804548">
        <w:rPr>
          <w:rStyle w:val="FootnoteReference"/>
          <w:rFonts w:cs="Arial"/>
          <w:snapToGrid w:val="0"/>
          <w:lang w:val="es-ES_tradnl"/>
        </w:rPr>
        <w:footnoteReference w:id="10"/>
      </w:r>
      <w:r w:rsidRPr="00F96DDA">
        <w:rPr>
          <w:rFonts w:eastAsia="MS Mincho" w:cs="Arial"/>
          <w:snapToGrid w:val="0"/>
          <w:lang w:val="es-ES_tradnl"/>
        </w:rPr>
        <w:t xml:space="preserve"> y el CAJ, en su sexagésima novena sesión,</w:t>
      </w:r>
      <w:r w:rsidRPr="00804548">
        <w:rPr>
          <w:rStyle w:val="FootnoteReference"/>
          <w:rFonts w:cs="Arial"/>
          <w:snapToGrid w:val="0"/>
          <w:lang w:val="es-ES_tradnl"/>
        </w:rPr>
        <w:footnoteReference w:id="11"/>
      </w:r>
      <w:r w:rsidRPr="00804548">
        <w:rPr>
          <w:rFonts w:eastAsia="MS Mincho" w:cs="Arial"/>
          <w:snapToGrid w:val="0"/>
          <w:lang w:val="es-ES_tradnl"/>
        </w:rPr>
        <w:t xml:space="preserve"> </w:t>
      </w:r>
      <w:r w:rsidRPr="00F96DDA">
        <w:rPr>
          <w:rFonts w:eastAsia="MS Mincho" w:cs="Arial"/>
          <w:snapToGrid w:val="0"/>
          <w:lang w:val="es-ES_tradnl"/>
        </w:rPr>
        <w:t xml:space="preserve">se mostraron de acuerdo con </w:t>
      </w:r>
      <w:r w:rsidRPr="00F96DDA">
        <w:rPr>
          <w:lang w:val="es-ES_tradnl"/>
        </w:rPr>
        <w:t>la propuesta de explicación de la situación en la UPOV en lo que respectaba al uso de técnicas moleculares</w:t>
      </w:r>
      <w:r w:rsidRPr="00F96DDA">
        <w:rPr>
          <w:rFonts w:cs="Arial"/>
          <w:lang w:val="es-ES_tradnl"/>
        </w:rPr>
        <w:t xml:space="preserve"> para los obtentores y personas con conocimientos sobre el examen DHE</w:t>
      </w:r>
      <w:r w:rsidRPr="00F96DDA">
        <w:rPr>
          <w:rFonts w:cs="Arial"/>
          <w:lang w:val="es-ES_tradnl" w:eastAsia="ja-JP"/>
        </w:rPr>
        <w:t xml:space="preserve">.  </w:t>
      </w:r>
      <w:r w:rsidRPr="00F96DDA">
        <w:rPr>
          <w:lang w:val="es-ES_tradnl"/>
        </w:rPr>
        <w:tab/>
        <w:t xml:space="preserve">Con respecto a un público más amplio, el TC convino en que la pregunta no estaba correctamente formulada y que, por lo tanto, no era adecuada para tratar de hallar una respuesta a la misma (véase el párrafo 72 del documento </w:t>
      </w:r>
      <w:r w:rsidRPr="00F96DDA">
        <w:rPr>
          <w:lang w:val="es-ES_tradnl" w:eastAsia="ja-JP"/>
        </w:rPr>
        <w:t xml:space="preserve">CAJ/69/13 </w:t>
      </w:r>
      <w:r w:rsidRPr="00F96DDA">
        <w:rPr>
          <w:lang w:val="es-ES_tradnl"/>
        </w:rPr>
        <w:t>“Informe sobre las Conclusiones”).</w:t>
      </w:r>
    </w:p>
    <w:p w:rsidR="009C71A1" w:rsidRPr="00804548" w:rsidRDefault="009C71A1" w:rsidP="00312C2A">
      <w:pPr>
        <w:rPr>
          <w:lang w:val="es-ES_tradnl"/>
        </w:rPr>
      </w:pPr>
    </w:p>
    <w:p w:rsidR="009C71A1" w:rsidRPr="00F96DDA" w:rsidRDefault="009C71A1" w:rsidP="00312C2A">
      <w:pPr>
        <w:rPr>
          <w:lang w:val="es-ES_tradnl" w:eastAsia="ja-JP"/>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804548">
        <w:rPr>
          <w:lang w:val="es-ES_tradnl"/>
        </w:rPr>
        <w:tab/>
      </w:r>
      <w:r w:rsidRPr="00F96DDA">
        <w:rPr>
          <w:lang w:val="es-ES_tradnl"/>
        </w:rPr>
        <w:t>El Consejo, en su trigésima primera sesión extraordinaria,</w:t>
      </w:r>
      <w:r w:rsidRPr="00804548">
        <w:rPr>
          <w:rStyle w:val="FootnoteReference"/>
          <w:lang w:val="es-ES_tradnl"/>
        </w:rPr>
        <w:footnoteReference w:id="12"/>
      </w:r>
      <w:r w:rsidRPr="00804548">
        <w:rPr>
          <w:lang w:val="es-ES_tradnl"/>
        </w:rPr>
        <w:t xml:space="preserve"> </w:t>
      </w:r>
      <w:r w:rsidRPr="00F96DDA">
        <w:rPr>
          <w:lang w:val="es-ES_tradnl"/>
        </w:rPr>
        <w:t>aprobó las respuestas a las preguntas frecuentes, incluida la pregunta</w:t>
      </w:r>
      <w:r w:rsidRPr="00F96DDA">
        <w:rPr>
          <w:lang w:val="es-ES_tradnl" w:eastAsia="ja-JP"/>
        </w:rPr>
        <w:t xml:space="preserve"> “</w:t>
      </w:r>
      <w:r w:rsidRPr="00F96DDA">
        <w:rPr>
          <w:rFonts w:cs="Arial"/>
          <w:lang w:val="es-ES_tradnl"/>
        </w:rPr>
        <w:t>¿Permite la UPOV la utilización de técnicas moleculares (perfiles de ADN) en el examen de la distinción, la homogeneidad y la estabilidad (“DHE”)?</w:t>
      </w:r>
      <w:r w:rsidRPr="00F96DDA">
        <w:rPr>
          <w:rFonts w:cs="Arial"/>
          <w:lang w:val="es-ES_tradnl" w:eastAsia="ja-JP"/>
        </w:rPr>
        <w:t>”</w:t>
      </w:r>
      <w:r w:rsidRPr="00F96DDA">
        <w:rPr>
          <w:lang w:val="es-ES_tradnl" w:eastAsia="ja-JP"/>
        </w:rPr>
        <w:t xml:space="preserve"> </w:t>
      </w:r>
      <w:r w:rsidRPr="00F96DDA">
        <w:rPr>
          <w:lang w:val="es-ES_tradnl"/>
        </w:rPr>
        <w:t>(</w:t>
      </w:r>
      <w:proofErr w:type="gramStart"/>
      <w:r w:rsidRPr="00F96DDA">
        <w:rPr>
          <w:lang w:val="es-ES_tradnl"/>
        </w:rPr>
        <w:t>véase</w:t>
      </w:r>
      <w:proofErr w:type="gramEnd"/>
      <w:r w:rsidRPr="00F96DDA">
        <w:rPr>
          <w:lang w:val="es-ES_tradnl"/>
        </w:rPr>
        <w:t xml:space="preserve"> el párrafo 15 del documento C(</w:t>
      </w:r>
      <w:proofErr w:type="spellStart"/>
      <w:r w:rsidRPr="00F96DDA">
        <w:rPr>
          <w:lang w:val="es-ES_tradnl"/>
        </w:rPr>
        <w:t>Extr</w:t>
      </w:r>
      <w:proofErr w:type="spellEnd"/>
      <w:r w:rsidRPr="00F96DDA">
        <w:rPr>
          <w:lang w:val="es-ES_tradnl"/>
        </w:rPr>
        <w:t>.)/31/5 “Informe sobre las decisiones”</w:t>
      </w:r>
      <w:r w:rsidRPr="00F96DDA">
        <w:rPr>
          <w:lang w:val="es-ES_tradnl" w:eastAsia="ja-JP"/>
        </w:rPr>
        <w:t>).</w:t>
      </w:r>
    </w:p>
    <w:p w:rsidR="009C71A1" w:rsidRPr="00804548" w:rsidRDefault="009C71A1" w:rsidP="00312C2A">
      <w:pPr>
        <w:rPr>
          <w:snapToGrid w:val="0"/>
          <w:lang w:val="es-ES_tradnl" w:eastAsia="ja-JP"/>
        </w:rPr>
      </w:pPr>
    </w:p>
    <w:p w:rsidR="009C71A1" w:rsidRPr="00F96DDA" w:rsidRDefault="009C71A1" w:rsidP="003502DA">
      <w:pPr>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 xml:space="preserve">Las respuestas a las preguntas frecuentes se han publicado en el sitio web de la UPOV, en la dirección </w:t>
      </w:r>
      <w:hyperlink r:id="rId9" w:history="1">
        <w:r w:rsidRPr="00F96DDA">
          <w:rPr>
            <w:rStyle w:val="Hyperlink"/>
            <w:lang w:val="es-ES_tradnl"/>
          </w:rPr>
          <w:t>http://www.upov.int/about/es/faq.html</w:t>
        </w:r>
      </w:hyperlink>
      <w:r w:rsidRPr="00F96DDA">
        <w:rPr>
          <w:lang w:val="es-ES_tradnl"/>
        </w:rPr>
        <w:t>.</w:t>
      </w:r>
    </w:p>
    <w:p w:rsidR="009C71A1" w:rsidRPr="00F96DDA" w:rsidRDefault="009C71A1" w:rsidP="00312C2A">
      <w:pPr>
        <w:rPr>
          <w:lang w:val="es-ES_tradnl" w:eastAsia="ja-JP"/>
        </w:rPr>
      </w:pPr>
    </w:p>
    <w:p w:rsidR="009C71A1" w:rsidRPr="00F96DDA" w:rsidRDefault="009C71A1" w:rsidP="00312C2A">
      <w:pPr>
        <w:rPr>
          <w:snapToGrid w:val="0"/>
          <w:lang w:val="es-ES_tradnl"/>
        </w:rPr>
      </w:pPr>
      <w:r w:rsidRPr="00F96DDA">
        <w:rPr>
          <w:snapToGrid w:val="0"/>
          <w:lang w:val="es-ES_tradnl"/>
        </w:rPr>
        <w:fldChar w:fldCharType="begin"/>
      </w:r>
      <w:r w:rsidRPr="00F96DDA">
        <w:rPr>
          <w:snapToGrid w:val="0"/>
          <w:lang w:val="es-ES_tradnl"/>
        </w:rPr>
        <w:instrText xml:space="preserve"> AUTONUM  </w:instrText>
      </w:r>
      <w:r w:rsidRPr="00F96DDA">
        <w:rPr>
          <w:snapToGrid w:val="0"/>
          <w:lang w:val="es-ES_tradnl"/>
        </w:rPr>
        <w:fldChar w:fldCharType="end"/>
      </w:r>
      <w:r w:rsidRPr="00F96DDA">
        <w:rPr>
          <w:snapToGrid w:val="0"/>
          <w:lang w:val="es-ES_tradnl"/>
        </w:rPr>
        <w:tab/>
        <w:t>El Comité Consultivo, en su octogésima octava sesión, celebrada en Ginebra el 15 de octubre de 2014, convino en que las preguntas frecuentes propuestas relativas a la información sobre la situación en la UPOV en lo que respectaba al uso de técnicas moleculares, para un público más amplio, que incluyera al público en general, debían someterse a consideración del Comité Técnico (véase el párrafo 48 del documento C/48/19 “Informe de la Presidenta sobre los trabajos de la octogésima sexta sesión del Comité Consultivo;  aprobación, si procede, de las recomendaciones preparadas por dicho Comité”).</w:t>
      </w:r>
    </w:p>
    <w:p w:rsidR="009C71A1" w:rsidRPr="00F96DDA" w:rsidRDefault="009C71A1" w:rsidP="00312C2A">
      <w:pPr>
        <w:rPr>
          <w:snapToGrid w:val="0"/>
          <w:lang w:val="es-ES_tradnl"/>
        </w:rPr>
      </w:pPr>
    </w:p>
    <w:p w:rsidR="009C71A1" w:rsidRPr="00F96DDA" w:rsidRDefault="009C71A1" w:rsidP="003502DA">
      <w:pPr>
        <w:pStyle w:val="DecisionParagraphs"/>
        <w:tabs>
          <w:tab w:val="clear" w:pos="5387"/>
          <w:tab w:val="left" w:pos="5103"/>
        </w:tabs>
        <w:ind w:left="4536"/>
        <w:rPr>
          <w:lang w:val="es-ES_tradnl"/>
        </w:rPr>
      </w:pPr>
      <w:r w:rsidRPr="00F96DDA">
        <w:rPr>
          <w:lang w:val="es-ES_tradnl"/>
        </w:rPr>
        <w:fldChar w:fldCharType="begin"/>
      </w:r>
      <w:r w:rsidRPr="00F96DDA">
        <w:rPr>
          <w:lang w:val="es-ES_tradnl"/>
        </w:rPr>
        <w:instrText xml:space="preserve"> AUTONUM  </w:instrText>
      </w:r>
      <w:r w:rsidRPr="00F96DDA">
        <w:rPr>
          <w:lang w:val="es-ES_tradnl"/>
        </w:rPr>
        <w:fldChar w:fldCharType="end"/>
      </w:r>
      <w:r w:rsidRPr="00F96DDA">
        <w:rPr>
          <w:lang w:val="es-ES_tradnl"/>
        </w:rPr>
        <w:tab/>
        <w:t>Se invita al CAJ a:</w:t>
      </w:r>
    </w:p>
    <w:p w:rsidR="009C71A1" w:rsidRPr="00F96DDA" w:rsidRDefault="009C71A1" w:rsidP="00312C2A">
      <w:pPr>
        <w:pStyle w:val="DecisionParagraphs"/>
        <w:ind w:left="4536"/>
        <w:rPr>
          <w:lang w:val="es-ES_tradnl"/>
        </w:rPr>
      </w:pPr>
    </w:p>
    <w:p w:rsidR="009C71A1" w:rsidRPr="00F96DDA" w:rsidRDefault="009C71A1" w:rsidP="00312C2A">
      <w:pPr>
        <w:pStyle w:val="DecisionParagraphs"/>
        <w:tabs>
          <w:tab w:val="clear" w:pos="5387"/>
          <w:tab w:val="left" w:pos="5103"/>
          <w:tab w:val="left" w:pos="5670"/>
        </w:tabs>
        <w:ind w:left="4536" w:firstLine="567"/>
        <w:rPr>
          <w:lang w:val="es-ES_tradnl"/>
        </w:rPr>
      </w:pPr>
      <w:r w:rsidRPr="00F96DDA">
        <w:rPr>
          <w:snapToGrid w:val="0"/>
          <w:lang w:val="es-ES_tradnl"/>
        </w:rPr>
        <w:t>a)</w:t>
      </w:r>
      <w:r w:rsidRPr="00F96DDA">
        <w:rPr>
          <w:snapToGrid w:val="0"/>
          <w:lang w:val="es-ES_tradnl"/>
        </w:rPr>
        <w:tab/>
      </w:r>
      <w:r w:rsidRPr="00F96DDA">
        <w:rPr>
          <w:lang w:val="es-ES_tradnl"/>
        </w:rPr>
        <w:t>tomar nota del informe sobre las novedades que se han producido en el BMT, según se expone en los párrafos </w:t>
      </w:r>
      <w:r w:rsidRPr="00F96DDA">
        <w:rPr>
          <w:lang w:val="es-ES_tradnl" w:eastAsia="ja-JP"/>
        </w:rPr>
        <w:t>6</w:t>
      </w:r>
      <w:r w:rsidRPr="00F96DDA">
        <w:rPr>
          <w:lang w:val="es-ES_tradnl"/>
        </w:rPr>
        <w:t xml:space="preserve"> al 9 del presente documento;</w:t>
      </w:r>
    </w:p>
    <w:p w:rsidR="009C71A1" w:rsidRPr="00F96DDA" w:rsidRDefault="009C71A1" w:rsidP="009C2862">
      <w:pPr>
        <w:pStyle w:val="DecisionParagraphs"/>
        <w:ind w:left="4536"/>
        <w:rPr>
          <w:lang w:val="es-ES_tradnl"/>
        </w:rPr>
      </w:pPr>
    </w:p>
    <w:p w:rsidR="009C71A1" w:rsidRPr="00804548" w:rsidRDefault="009C71A1" w:rsidP="00312C2A">
      <w:pPr>
        <w:pStyle w:val="DecisionParagraphs"/>
        <w:tabs>
          <w:tab w:val="clear" w:pos="5387"/>
          <w:tab w:val="left" w:pos="5670"/>
        </w:tabs>
        <w:ind w:left="4536" w:firstLine="567"/>
        <w:rPr>
          <w:lang w:val="es-ES_tradnl" w:eastAsia="ja-JP"/>
        </w:rPr>
      </w:pPr>
      <w:r w:rsidRPr="00F96DDA">
        <w:rPr>
          <w:lang w:val="es-ES_tradnl" w:eastAsia="ja-JP"/>
        </w:rPr>
        <w:t>b)</w:t>
      </w:r>
      <w:r w:rsidRPr="00804548">
        <w:rPr>
          <w:lang w:val="es-ES_tradnl" w:eastAsia="ja-JP"/>
        </w:rPr>
        <w:tab/>
      </w:r>
      <w:r w:rsidRPr="00804548">
        <w:rPr>
          <w:lang w:val="es-ES_tradnl"/>
        </w:rPr>
        <w:t>tomar nota de que el Taller conjunto OCDE-UPOV-ISTA sobre técnicas moleculares</w:t>
      </w:r>
      <w:r w:rsidRPr="00804548">
        <w:rPr>
          <w:rStyle w:val="FootnoteReference"/>
          <w:lang w:val="es-ES_tradnl" w:eastAsia="ja-JP"/>
        </w:rPr>
        <w:footnoteReference w:id="13"/>
      </w:r>
      <w:r w:rsidRPr="00804548">
        <w:rPr>
          <w:lang w:val="es-ES_tradnl"/>
        </w:rPr>
        <w:t xml:space="preserve"> convino en que sería útil repetir el taller conjunto en las reuniones pertinentes de la OCDE y la ISTA y, a este respecto, que la reunión del Grupo de trabajo técnico de los Sistemas de semillas de la OCDE acordó que debía organizarse otro Taller conjunto OCDE-UPOV-ISTA sobre técnicas moleculares, ya sea de manera consecutiva con la reunión anual de los Sistemas de semillas de la OCDE, prevista en París en junio de 2015, o junto con la reunión del Grupo de trabajo técnico, prevista en enero de 2016;</w:t>
      </w:r>
    </w:p>
    <w:p w:rsidR="009C71A1" w:rsidRPr="00804548" w:rsidRDefault="009C71A1" w:rsidP="00312C2A">
      <w:pPr>
        <w:pStyle w:val="DecisionParagraphs"/>
        <w:tabs>
          <w:tab w:val="clear" w:pos="5387"/>
          <w:tab w:val="left" w:pos="5670"/>
        </w:tabs>
        <w:ind w:left="4536" w:firstLine="567"/>
        <w:rPr>
          <w:lang w:val="es-ES_tradnl" w:eastAsia="ja-JP"/>
        </w:rPr>
      </w:pPr>
    </w:p>
    <w:p w:rsidR="009C71A1" w:rsidRPr="00804548" w:rsidRDefault="009C71A1" w:rsidP="00EA346C">
      <w:pPr>
        <w:pStyle w:val="DecisionParagraphs"/>
        <w:tabs>
          <w:tab w:val="clear" w:pos="5387"/>
          <w:tab w:val="left" w:pos="5670"/>
        </w:tabs>
        <w:ind w:left="4536" w:firstLine="567"/>
        <w:rPr>
          <w:lang w:val="es-ES_tradnl"/>
        </w:rPr>
      </w:pPr>
      <w:r w:rsidRPr="00F96DDA">
        <w:rPr>
          <w:lang w:val="es-ES_tradnl"/>
        </w:rPr>
        <w:t>c)</w:t>
      </w:r>
      <w:r w:rsidRPr="00804548">
        <w:rPr>
          <w:lang w:val="es-ES_tradnl"/>
        </w:rPr>
        <w:tab/>
      </w:r>
      <w:r w:rsidRPr="00F96DDA">
        <w:rPr>
          <w:lang w:val="es-ES_tradnl"/>
        </w:rPr>
        <w:t>tomar nota de que el TC, en su quincuagésima tercera sesión, que se celebrará en 2017:</w:t>
      </w:r>
    </w:p>
    <w:p w:rsidR="009C71A1" w:rsidRPr="00804548" w:rsidRDefault="009C71A1" w:rsidP="000C379A">
      <w:pPr>
        <w:pStyle w:val="DecisionInvitingPara"/>
      </w:pPr>
    </w:p>
    <w:p w:rsidR="009C71A1" w:rsidRPr="00804548" w:rsidRDefault="009C71A1" w:rsidP="000C379A">
      <w:pPr>
        <w:pStyle w:val="DecisionInvitingPara"/>
      </w:pPr>
      <w:r w:rsidRPr="00804548">
        <w:tab/>
      </w:r>
      <w:r w:rsidRPr="00804548">
        <w:tab/>
      </w:r>
      <w:r w:rsidR="009F2CA5">
        <w:tab/>
      </w:r>
      <w:r w:rsidRPr="00F96DDA">
        <w:t>i)</w:t>
      </w:r>
      <w:r w:rsidRPr="00804548">
        <w:tab/>
      </w:r>
      <w:r w:rsidRPr="00F96DDA">
        <w:t xml:space="preserve">será invitado a aprobar el programa de la decimoquinta </w:t>
      </w:r>
      <w:r w:rsidR="00B6391A">
        <w:t>sesión</w:t>
      </w:r>
      <w:r w:rsidRPr="00F96DDA">
        <w:t xml:space="preserve"> del BMT, prevista en 2016, así como la dedicación de una fecha concreta (“Día del obtentor”) a los puntos que tratan del uso de técnicas moleculares en el examen de las variedades esencialmente derivadas y en la identificación de variedades;</w:t>
      </w:r>
    </w:p>
    <w:p w:rsidR="009C71A1" w:rsidRPr="00804548" w:rsidRDefault="009C71A1" w:rsidP="000C379A">
      <w:pPr>
        <w:pStyle w:val="DecisionInvitingPara"/>
      </w:pPr>
    </w:p>
    <w:p w:rsidR="009C71A1" w:rsidRPr="00804548" w:rsidRDefault="009C71A1" w:rsidP="000C379A">
      <w:pPr>
        <w:pStyle w:val="DecisionInvitingPara"/>
      </w:pPr>
      <w:r w:rsidRPr="00804548">
        <w:tab/>
      </w:r>
      <w:r w:rsidRPr="00804548">
        <w:tab/>
      </w:r>
      <w:r w:rsidR="009F2CA5">
        <w:tab/>
      </w:r>
      <w:r w:rsidRPr="00F96DDA">
        <w:t>ii)</w:t>
      </w:r>
      <w:r w:rsidRPr="00804548">
        <w:tab/>
      </w:r>
      <w:r w:rsidRPr="00F96DDA">
        <w:t>considerará si procede elaborar un documento conjunto en el que se expliquen las características principales de los sistemas de la OCDE, la UPOV y la ISTA;</w:t>
      </w:r>
    </w:p>
    <w:p w:rsidR="009C71A1" w:rsidRPr="00804548" w:rsidRDefault="009C71A1" w:rsidP="000C379A">
      <w:pPr>
        <w:pStyle w:val="DecisionInvitingPara"/>
      </w:pPr>
    </w:p>
    <w:p w:rsidR="009C71A1" w:rsidRPr="00F96DDA" w:rsidRDefault="009C71A1" w:rsidP="00312C2A">
      <w:pPr>
        <w:pStyle w:val="DecisionParagraphs"/>
        <w:tabs>
          <w:tab w:val="clear" w:pos="5387"/>
          <w:tab w:val="left" w:pos="5670"/>
        </w:tabs>
        <w:ind w:left="4536" w:firstLine="567"/>
        <w:rPr>
          <w:lang w:val="es-ES_tradnl"/>
        </w:rPr>
      </w:pPr>
      <w:r w:rsidRPr="00F96DDA">
        <w:rPr>
          <w:lang w:val="es-ES_tradnl"/>
        </w:rPr>
        <w:tab/>
      </w:r>
      <w:r w:rsidRPr="00F96DDA">
        <w:rPr>
          <w:lang w:val="es-ES_tradnl"/>
        </w:rPr>
        <w:tab/>
        <w:t>iii)</w:t>
      </w:r>
      <w:r w:rsidRPr="00F96DDA">
        <w:rPr>
          <w:lang w:val="es-ES_tradnl"/>
        </w:rPr>
        <w:tab/>
      </w:r>
      <w:r w:rsidRPr="00F96DDA">
        <w:rPr>
          <w:rFonts w:cs="Arial"/>
          <w:lang w:val="es-ES_tradnl" w:eastAsia="ja-JP"/>
        </w:rPr>
        <w:t>considerará si procede 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w:t>
      </w:r>
    </w:p>
    <w:p w:rsidR="009C71A1" w:rsidRPr="00F96DDA" w:rsidRDefault="009C71A1" w:rsidP="00312C2A">
      <w:pPr>
        <w:pStyle w:val="DecisionParagraphs"/>
        <w:ind w:left="4536"/>
        <w:rPr>
          <w:lang w:val="es-ES_tradnl"/>
        </w:rPr>
      </w:pPr>
    </w:p>
    <w:p w:rsidR="009C71A1" w:rsidRPr="00F96DDA" w:rsidRDefault="009C71A1" w:rsidP="00312C2A">
      <w:pPr>
        <w:pStyle w:val="DecisionParagraphs"/>
        <w:tabs>
          <w:tab w:val="clear" w:pos="5387"/>
          <w:tab w:val="left" w:pos="5670"/>
        </w:tabs>
        <w:ind w:left="4536" w:firstLine="567"/>
        <w:rPr>
          <w:rFonts w:cs="Arial"/>
          <w:lang w:val="es-ES_tradnl" w:eastAsia="ja-JP"/>
        </w:rPr>
      </w:pPr>
      <w:r w:rsidRPr="00F96DDA">
        <w:rPr>
          <w:lang w:val="es-ES_tradnl" w:eastAsia="ja-JP"/>
        </w:rPr>
        <w:tab/>
        <w:t>iv)</w:t>
      </w:r>
      <w:r w:rsidRPr="00F96DDA">
        <w:rPr>
          <w:lang w:val="es-ES_tradnl" w:eastAsia="ja-JP"/>
        </w:rPr>
        <w:tab/>
      </w:r>
      <w:r w:rsidRPr="00F96DDA">
        <w:rPr>
          <w:rFonts w:cs="Arial"/>
          <w:lang w:val="es-ES_tradnl" w:eastAsia="ja-JP"/>
        </w:rPr>
        <w:t xml:space="preserve">considerará la propuesta de que el BMT, en su decimoquinta </w:t>
      </w:r>
      <w:r w:rsidR="00B6391A">
        <w:rPr>
          <w:lang w:val="es-ES_tradnl"/>
        </w:rPr>
        <w:t>sesión</w:t>
      </w:r>
      <w:r w:rsidRPr="00F96DDA">
        <w:rPr>
          <w:rFonts w:cs="Arial"/>
          <w:lang w:val="es-ES_tradnl" w:eastAsia="ja-JP"/>
        </w:rPr>
        <w:t xml:space="preserve">, elabore listas de posibles iniciativas conjuntas con la OCDE y la ISTA relacionadas con las técnicas moleculares; </w:t>
      </w:r>
    </w:p>
    <w:p w:rsidR="009C71A1" w:rsidRPr="00F96DDA" w:rsidRDefault="009C71A1" w:rsidP="00312C2A">
      <w:pPr>
        <w:pStyle w:val="DecisionParagraphs"/>
        <w:tabs>
          <w:tab w:val="clear" w:pos="5387"/>
          <w:tab w:val="left" w:pos="5670"/>
        </w:tabs>
        <w:ind w:left="4536" w:firstLine="567"/>
        <w:rPr>
          <w:rFonts w:cs="Arial"/>
          <w:lang w:val="es-ES_tradnl" w:eastAsia="ja-JP"/>
        </w:rPr>
      </w:pPr>
    </w:p>
    <w:p w:rsidR="009C71A1" w:rsidRPr="00F96DDA" w:rsidRDefault="009C71A1" w:rsidP="00312C2A">
      <w:pPr>
        <w:pStyle w:val="DecisionParagraphs"/>
        <w:tabs>
          <w:tab w:val="clear" w:pos="5387"/>
          <w:tab w:val="left" w:pos="5670"/>
        </w:tabs>
        <w:ind w:left="4536" w:firstLine="567"/>
        <w:rPr>
          <w:lang w:val="es-ES_tradnl"/>
        </w:rPr>
      </w:pPr>
      <w:r w:rsidRPr="00F96DDA">
        <w:rPr>
          <w:lang w:val="es-ES_tradnl"/>
        </w:rPr>
        <w:tab/>
        <w:t>v)</w:t>
      </w:r>
      <w:r w:rsidRPr="00F96DDA">
        <w:rPr>
          <w:lang w:val="es-ES_tradnl"/>
        </w:rPr>
        <w:tab/>
        <w:t xml:space="preserve">considerará si procede basar el debate sobre técnicas moleculares en la presentación de los aspectos más destacados de la decimocuarta </w:t>
      </w:r>
      <w:r w:rsidR="00B6391A">
        <w:rPr>
          <w:lang w:val="es-ES_tradnl"/>
        </w:rPr>
        <w:t>sesión</w:t>
      </w:r>
      <w:r w:rsidRPr="00F96DDA">
        <w:rPr>
          <w:lang w:val="es-ES_tradnl"/>
        </w:rPr>
        <w:t xml:space="preserve"> del BMT, celebrada en Seúl (República de Corea) del 10 al 13 de noviembre de 2014, y del Taller conjunto OCDE-UPOV-ISTA sobre técnicas moleculares, celebrado en Seúl (República de Corea) el 12 de noviembre de 2014;  y</w:t>
      </w:r>
    </w:p>
    <w:p w:rsidR="009C71A1" w:rsidRPr="00F96DDA" w:rsidRDefault="009C71A1" w:rsidP="00312C2A">
      <w:pPr>
        <w:pStyle w:val="DecisionParagraphs"/>
        <w:tabs>
          <w:tab w:val="clear" w:pos="5387"/>
          <w:tab w:val="left" w:pos="5670"/>
        </w:tabs>
        <w:ind w:left="4536" w:firstLine="567"/>
        <w:rPr>
          <w:lang w:val="es-ES_tradnl"/>
        </w:rPr>
      </w:pPr>
    </w:p>
    <w:p w:rsidR="009C71A1" w:rsidRPr="00F96DDA" w:rsidRDefault="009C71A1" w:rsidP="00312C2A">
      <w:pPr>
        <w:pStyle w:val="DecisionParagraphs"/>
        <w:tabs>
          <w:tab w:val="clear" w:pos="5387"/>
          <w:tab w:val="left" w:pos="5670"/>
        </w:tabs>
        <w:ind w:left="4536" w:firstLine="567"/>
        <w:rPr>
          <w:lang w:val="es-ES_tradnl"/>
        </w:rPr>
      </w:pPr>
      <w:r w:rsidRPr="00F96DDA">
        <w:rPr>
          <w:lang w:val="es-ES_tradnl"/>
        </w:rPr>
        <w:tab/>
      </w:r>
      <w:proofErr w:type="gramStart"/>
      <w:r w:rsidRPr="00F96DDA">
        <w:rPr>
          <w:lang w:val="es-ES_tradnl"/>
        </w:rPr>
        <w:t>vi</w:t>
      </w:r>
      <w:proofErr w:type="gramEnd"/>
      <w:r w:rsidRPr="00F96DDA">
        <w:rPr>
          <w:lang w:val="es-ES_tradnl"/>
        </w:rPr>
        <w:t>)</w:t>
      </w:r>
      <w:r w:rsidRPr="00F96DDA">
        <w:rPr>
          <w:lang w:val="es-ES_tradnl"/>
        </w:rPr>
        <w:tab/>
        <w:t>elaborará una propuesta de pregunta y respuesta relativa a la información sobre la situación en la UPOV en lo que respecta al uso de técnicas moleculares, para un público más amplio, que incluya al público en general.</w:t>
      </w:r>
    </w:p>
    <w:p w:rsidR="009C71A1" w:rsidRPr="00804548" w:rsidRDefault="009C71A1" w:rsidP="00312C2A">
      <w:pPr>
        <w:pStyle w:val="DecisionInvitingPara"/>
        <w:ind w:left="0"/>
        <w:jc w:val="left"/>
        <w:rPr>
          <w:i w:val="0"/>
          <w:lang w:eastAsia="ja-JP"/>
        </w:rPr>
      </w:pPr>
    </w:p>
    <w:p w:rsidR="009C71A1" w:rsidRPr="00F96DDA" w:rsidRDefault="009C71A1" w:rsidP="00C45EAC">
      <w:pPr>
        <w:pStyle w:val="endofdoc"/>
        <w:rPr>
          <w:color w:val="auto"/>
        </w:rPr>
      </w:pPr>
      <w:r w:rsidRPr="00F96DDA">
        <w:rPr>
          <w:color w:val="auto"/>
        </w:rPr>
        <w:t>[Siguen los Anexos]</w:t>
      </w:r>
    </w:p>
    <w:p w:rsidR="009C71A1" w:rsidRPr="00804548" w:rsidRDefault="009C71A1" w:rsidP="00312C2A">
      <w:pPr>
        <w:pStyle w:val="Header"/>
        <w:rPr>
          <w:lang w:val="es-ES_tradnl"/>
        </w:rPr>
      </w:pPr>
    </w:p>
    <w:p w:rsidR="009C71A1" w:rsidRPr="00804548" w:rsidRDefault="009C71A1" w:rsidP="00312C2A">
      <w:pPr>
        <w:pStyle w:val="Header"/>
        <w:jc w:val="left"/>
        <w:rPr>
          <w:lang w:val="es-ES_tradnl"/>
        </w:rPr>
        <w:sectPr w:rsidR="009C71A1" w:rsidRPr="00804548" w:rsidSect="000208DC">
          <w:headerReference w:type="default" r:id="rId10"/>
          <w:pgSz w:w="11907" w:h="16840" w:code="9"/>
          <w:pgMar w:top="510" w:right="1134" w:bottom="1134" w:left="1134" w:header="510" w:footer="680" w:gutter="0"/>
          <w:cols w:space="720"/>
          <w:titlePg/>
        </w:sectPr>
      </w:pPr>
    </w:p>
    <w:p w:rsidR="009C71A1" w:rsidRPr="00F96DDA" w:rsidRDefault="009C71A1" w:rsidP="00312C2A">
      <w:pPr>
        <w:pStyle w:val="Header"/>
        <w:jc w:val="left"/>
        <w:rPr>
          <w:lang w:val="es-ES_tradnl"/>
        </w:rPr>
      </w:pPr>
    </w:p>
    <w:p w:rsidR="009C71A1" w:rsidRPr="00F96DDA" w:rsidRDefault="009C71A1" w:rsidP="003502DA">
      <w:pPr>
        <w:spacing w:before="60" w:after="120"/>
        <w:jc w:val="center"/>
        <w:rPr>
          <w:lang w:val="es-ES_tradnl"/>
        </w:rPr>
      </w:pPr>
      <w:r w:rsidRPr="00F96DDA">
        <w:rPr>
          <w:lang w:val="es-ES_tradnl"/>
        </w:rPr>
        <w:t>FUNCIÓN DEL GRUPO DE TRABAJO SOBRE TÉCNICAS BIOQUÍMICAS Y MOLECULARES, Y PERFILES DE ADN EN PARTICULAR (BMT)</w:t>
      </w:r>
    </w:p>
    <w:p w:rsidR="009C71A1" w:rsidRPr="00F96DDA" w:rsidRDefault="009C71A1" w:rsidP="003502DA">
      <w:pPr>
        <w:spacing w:before="60" w:after="120"/>
        <w:jc w:val="center"/>
        <w:rPr>
          <w:i/>
          <w:lang w:val="es-ES_tradnl"/>
        </w:rPr>
      </w:pPr>
      <w:r w:rsidRPr="00F96DDA">
        <w:rPr>
          <w:i/>
          <w:lang w:val="es-ES_tradnl"/>
        </w:rPr>
        <w:t>(Tal como acordó el Comité Técnico en su trigésima octava sesión, celebrada en Ginebra  del 15 al 17 de abril de 2002 (véase el documento TC/38/16, párrafo 204))</w:t>
      </w:r>
    </w:p>
    <w:p w:rsidR="009C71A1" w:rsidRPr="00F96DDA" w:rsidRDefault="009C71A1" w:rsidP="00312C2A">
      <w:pPr>
        <w:spacing w:before="60" w:after="60"/>
        <w:rPr>
          <w:lang w:val="es-ES_tradnl"/>
        </w:rPr>
      </w:pPr>
    </w:p>
    <w:p w:rsidR="009C71A1" w:rsidRPr="00F96DDA" w:rsidRDefault="009C71A1" w:rsidP="003502DA">
      <w:pPr>
        <w:spacing w:before="60" w:after="60"/>
        <w:rPr>
          <w:lang w:val="es-ES_tradnl"/>
        </w:rPr>
      </w:pPr>
      <w:r w:rsidRPr="00F96DDA">
        <w:rPr>
          <w:lang w:val="es-ES_tradnl"/>
        </w:rPr>
        <w:t>El BMT es un grupo compuesto por expertos en el examen DHE, especialistas en técnicas bioquímicas y moleculares y obtentores cuya función consiste en:</w:t>
      </w:r>
    </w:p>
    <w:p w:rsidR="009C71A1" w:rsidRPr="00F96DDA" w:rsidRDefault="009C71A1" w:rsidP="00312C2A">
      <w:pPr>
        <w:spacing w:before="60" w:after="60"/>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examinar la evolución general de las técnicas bioquímicas y moleculares;</w:t>
      </w:r>
    </w:p>
    <w:p w:rsidR="009C71A1" w:rsidRPr="00F96DDA" w:rsidRDefault="009C71A1" w:rsidP="00312C2A">
      <w:pPr>
        <w:pStyle w:val="ListParagraph"/>
        <w:tabs>
          <w:tab w:val="left" w:pos="1134"/>
        </w:tabs>
        <w:spacing w:before="60" w:after="60"/>
        <w:ind w:left="1134" w:hanging="708"/>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 xml:space="preserve">informar acerca de las aplicaciones pertinentes de las técnicas bioquímicas y moleculares al fitomejoramiento; </w:t>
      </w:r>
    </w:p>
    <w:p w:rsidR="009C71A1" w:rsidRPr="00F96DDA" w:rsidRDefault="009C71A1" w:rsidP="00312C2A">
      <w:pPr>
        <w:pStyle w:val="ListParagraph"/>
        <w:tabs>
          <w:tab w:val="left" w:pos="1134"/>
        </w:tabs>
        <w:ind w:left="1134" w:hanging="708"/>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estudiar la posible aplicación de técnicas bioquímicas y moleculares al examen DHE e informar sobre sus conclusiones al TC;</w:t>
      </w:r>
    </w:p>
    <w:p w:rsidR="009C71A1" w:rsidRPr="00F96DDA" w:rsidRDefault="009C71A1" w:rsidP="00312C2A">
      <w:pPr>
        <w:pStyle w:val="ListParagraph"/>
        <w:tabs>
          <w:tab w:val="left" w:pos="1134"/>
        </w:tabs>
        <w:spacing w:before="60" w:after="60"/>
        <w:ind w:left="1134" w:hanging="708"/>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 xml:space="preserve">si procede, elaborar directrices para metodologías bioquímicas y moleculares y su armonización y, en particular, contribuir a la elaboración del documento TGP/15, “Nuevos tipos de caracteres.”  Estas directrices se elaborarán en colaboración con los Grupos de Trabajo Técnico; </w:t>
      </w:r>
    </w:p>
    <w:p w:rsidR="009C71A1" w:rsidRPr="00F96DDA" w:rsidRDefault="009C71A1" w:rsidP="00312C2A">
      <w:pPr>
        <w:tabs>
          <w:tab w:val="left" w:pos="1134"/>
        </w:tabs>
        <w:spacing w:before="60" w:after="60"/>
        <w:ind w:left="1134" w:hanging="708"/>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examinar las iniciativas de los TWP sobre el establecimiento de subgrupos sobre cultivos específicos, tomando en consideración la información disponible y la necesidad de métodos bioquímicos y moleculares;</w:t>
      </w:r>
    </w:p>
    <w:p w:rsidR="009C71A1" w:rsidRPr="00F96DDA" w:rsidRDefault="009C71A1" w:rsidP="00312C2A">
      <w:pPr>
        <w:pStyle w:val="ListParagraph"/>
        <w:tabs>
          <w:tab w:val="left" w:pos="1134"/>
        </w:tabs>
        <w:ind w:left="1134" w:hanging="708"/>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elaborar directrices en relación con la gestión y la armonización de bases de datos sobre información bioquímica y molecular, en colaboración con el TWC;</w:t>
      </w:r>
    </w:p>
    <w:p w:rsidR="009C71A1" w:rsidRPr="00F96DDA" w:rsidRDefault="009C71A1" w:rsidP="00312C2A">
      <w:pPr>
        <w:pStyle w:val="ListParagraph"/>
        <w:tabs>
          <w:tab w:val="left" w:pos="1134"/>
        </w:tabs>
        <w:spacing w:before="60" w:after="60"/>
        <w:ind w:left="1134" w:hanging="708"/>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recibir informes de los Subgrupos sobre Cultivos y del Grupo de Consulta del BMT;</w:t>
      </w:r>
    </w:p>
    <w:p w:rsidR="009C71A1" w:rsidRPr="00F96DDA" w:rsidRDefault="009C71A1" w:rsidP="00312C2A">
      <w:pPr>
        <w:tabs>
          <w:tab w:val="left" w:pos="1134"/>
        </w:tabs>
        <w:spacing w:before="60" w:after="60"/>
        <w:ind w:left="1134" w:hanging="708"/>
        <w:rPr>
          <w:lang w:val="es-ES_tradnl"/>
        </w:rPr>
      </w:pPr>
    </w:p>
    <w:p w:rsidR="009C71A1" w:rsidRPr="00F96DDA" w:rsidRDefault="009C71A1" w:rsidP="003502DA">
      <w:pPr>
        <w:pStyle w:val="ListParagraph"/>
        <w:numPr>
          <w:ilvl w:val="0"/>
          <w:numId w:val="2"/>
        </w:numPr>
        <w:tabs>
          <w:tab w:val="left" w:pos="1134"/>
        </w:tabs>
        <w:spacing w:before="60" w:after="60"/>
        <w:ind w:left="1134" w:hanging="708"/>
        <w:rPr>
          <w:lang w:val="es-ES_tradnl"/>
        </w:rPr>
      </w:pPr>
      <w:r w:rsidRPr="00F96DDA">
        <w:rPr>
          <w:lang w:val="es-ES_tradnl"/>
        </w:rPr>
        <w:t>constituir un foro para debatir la utilización de técnicas bioquímicas y moleculares en las consideraciones de las variedades esencialmente derivadas y la identificación de variedades.</w:t>
      </w:r>
    </w:p>
    <w:p w:rsidR="009C71A1" w:rsidRPr="00F96DDA" w:rsidRDefault="009C71A1" w:rsidP="00312C2A">
      <w:pPr>
        <w:rPr>
          <w:lang w:val="es-ES_tradnl"/>
        </w:rPr>
      </w:pPr>
    </w:p>
    <w:p w:rsidR="009C71A1" w:rsidRPr="00F96DDA" w:rsidRDefault="009C71A1" w:rsidP="00312C2A">
      <w:pPr>
        <w:ind w:right="-1"/>
        <w:rPr>
          <w:lang w:val="es-ES_tradnl"/>
        </w:rPr>
      </w:pPr>
    </w:p>
    <w:p w:rsidR="009C71A1" w:rsidRPr="00F96DDA" w:rsidRDefault="009C71A1" w:rsidP="00312C2A">
      <w:pPr>
        <w:ind w:right="-1"/>
        <w:rPr>
          <w:lang w:val="es-ES_tradnl"/>
        </w:rPr>
      </w:pPr>
    </w:p>
    <w:p w:rsidR="009C71A1" w:rsidRPr="00F96DDA" w:rsidRDefault="009C71A1" w:rsidP="007922B3">
      <w:pPr>
        <w:jc w:val="right"/>
        <w:rPr>
          <w:lang w:val="es-ES_tradnl"/>
        </w:rPr>
      </w:pPr>
      <w:r w:rsidRPr="00F96DDA">
        <w:rPr>
          <w:lang w:val="es-ES_tradnl"/>
        </w:rPr>
        <w:t>[Sigue el Anexo II]</w:t>
      </w:r>
    </w:p>
    <w:p w:rsidR="009C71A1" w:rsidRPr="00F96DDA" w:rsidRDefault="009C71A1" w:rsidP="00312C2A">
      <w:pPr>
        <w:ind w:right="369"/>
        <w:jc w:val="right"/>
        <w:rPr>
          <w:lang w:val="es-ES_tradnl"/>
        </w:rPr>
        <w:sectPr w:rsidR="009C71A1" w:rsidRPr="00F96DDA" w:rsidSect="000208DC">
          <w:headerReference w:type="first" r:id="rId11"/>
          <w:pgSz w:w="11907" w:h="16840" w:code="9"/>
          <w:pgMar w:top="510" w:right="1134" w:bottom="1134" w:left="1134" w:header="510" w:footer="680" w:gutter="0"/>
          <w:cols w:space="720"/>
          <w:titlePg/>
          <w:docGrid w:linePitch="272"/>
        </w:sectPr>
      </w:pPr>
    </w:p>
    <w:p w:rsidR="009C71A1" w:rsidRPr="00F96DDA" w:rsidRDefault="009C71A1" w:rsidP="00312C2A">
      <w:pPr>
        <w:ind w:right="369"/>
        <w:jc w:val="left"/>
        <w:rPr>
          <w:lang w:val="es-ES_tradnl"/>
        </w:rPr>
      </w:pPr>
    </w:p>
    <w:p w:rsidR="009C71A1" w:rsidRPr="00F96DDA" w:rsidRDefault="009C71A1" w:rsidP="00312C2A">
      <w:pPr>
        <w:jc w:val="center"/>
        <w:rPr>
          <w:lang w:val="es-ES_tradnl" w:eastAsia="ja-JP"/>
        </w:rPr>
      </w:pPr>
      <w:r w:rsidRPr="00F96DDA">
        <w:rPr>
          <w:lang w:val="es-ES_tradnl" w:eastAsia="ja-JP"/>
        </w:rPr>
        <w:t xml:space="preserve">DEBATE SOBRE TÉCNICAS MOLECULARES </w:t>
      </w:r>
      <w:r w:rsidRPr="00F96DDA">
        <w:rPr>
          <w:highlight w:val="yellow"/>
          <w:lang w:val="es-ES_tradnl" w:eastAsia="ja-JP"/>
        </w:rPr>
        <w:br/>
      </w:r>
      <w:r w:rsidRPr="00F96DDA">
        <w:rPr>
          <w:lang w:val="es-ES_tradnl" w:eastAsia="ja-JP"/>
        </w:rPr>
        <w:t xml:space="preserve">POR EL COMITÉ TÉCNICO EN SU QUINCUAGÉSIMA </w:t>
      </w:r>
      <w:r w:rsidR="007922B3">
        <w:rPr>
          <w:lang w:val="es-ES_tradnl" w:eastAsia="ja-JP"/>
        </w:rPr>
        <w:t xml:space="preserve">PRIMERA </w:t>
      </w:r>
      <w:r w:rsidRPr="00F96DDA">
        <w:rPr>
          <w:lang w:val="es-ES_tradnl" w:eastAsia="ja-JP"/>
        </w:rPr>
        <w:t>SESIÓN (24 DE MARZO)</w:t>
      </w:r>
    </w:p>
    <w:p w:rsidR="009C71A1" w:rsidRPr="00F96DDA" w:rsidRDefault="009C71A1" w:rsidP="00312C2A">
      <w:pPr>
        <w:jc w:val="center"/>
        <w:rPr>
          <w:lang w:val="es-ES_tradnl" w:eastAsia="ja-JP"/>
        </w:rPr>
      </w:pPr>
    </w:p>
    <w:p w:rsidR="009C71A1" w:rsidRPr="00F96DDA" w:rsidRDefault="009C71A1" w:rsidP="00312C2A">
      <w:pPr>
        <w:jc w:val="center"/>
        <w:rPr>
          <w:lang w:val="es-ES_tradnl"/>
        </w:rPr>
      </w:pPr>
      <w:r w:rsidRPr="00F96DDA">
        <w:rPr>
          <w:lang w:val="es-ES_tradnl"/>
        </w:rPr>
        <w:t>PROYECTO DE PROGRAMA</w:t>
      </w:r>
    </w:p>
    <w:p w:rsidR="009C71A1" w:rsidRPr="00F96DDA" w:rsidRDefault="009C71A1" w:rsidP="00312C2A">
      <w:pPr>
        <w:ind w:right="369"/>
        <w:jc w:val="left"/>
        <w:rPr>
          <w:lang w:val="es-ES_tradnl"/>
        </w:rPr>
      </w:pPr>
    </w:p>
    <w:p w:rsidR="009C71A1" w:rsidRPr="00F96DDA" w:rsidRDefault="009C71A1" w:rsidP="00312C2A">
      <w:pPr>
        <w:ind w:right="369"/>
        <w:jc w:val="left"/>
        <w:rPr>
          <w:u w:val="single"/>
          <w:lang w:val="es-ES_tradnl"/>
        </w:rPr>
      </w:pPr>
      <w:r w:rsidRPr="00F96DDA">
        <w:rPr>
          <w:u w:val="single"/>
          <w:lang w:val="es-ES_tradnl"/>
        </w:rPr>
        <w:t xml:space="preserve">Aspectos más destacados de la decimocuarta </w:t>
      </w:r>
      <w:r w:rsidR="00B6391A">
        <w:rPr>
          <w:u w:val="single"/>
          <w:lang w:val="es-ES_tradnl"/>
        </w:rPr>
        <w:t>sesión</w:t>
      </w:r>
      <w:r w:rsidRPr="00F96DDA">
        <w:rPr>
          <w:u w:val="single"/>
          <w:lang w:val="es-ES_tradnl"/>
        </w:rPr>
        <w:t xml:space="preserve"> del BMT</w:t>
      </w:r>
    </w:p>
    <w:p w:rsidR="009C71A1" w:rsidRPr="00F96DDA" w:rsidRDefault="009C71A1" w:rsidP="00312C2A">
      <w:pPr>
        <w:ind w:right="369"/>
        <w:jc w:val="left"/>
        <w:rPr>
          <w:lang w:val="es-ES_tradnl"/>
        </w:rPr>
      </w:pPr>
    </w:p>
    <w:p w:rsidR="009C71A1" w:rsidRPr="00F96DDA" w:rsidRDefault="009C71A1" w:rsidP="00312C2A">
      <w:pPr>
        <w:ind w:left="810" w:hanging="810"/>
        <w:rPr>
          <w:lang w:val="es-ES_tradnl"/>
        </w:rPr>
      </w:pPr>
      <w:r w:rsidRPr="00F96DDA">
        <w:rPr>
          <w:lang w:val="es-ES_tradnl"/>
        </w:rPr>
        <w:t>11.15</w:t>
      </w:r>
      <w:r w:rsidRPr="00F96DDA">
        <w:rPr>
          <w:lang w:val="es-ES_tradnl"/>
        </w:rPr>
        <w:tab/>
        <w:t>Informe sobre las novedades acaecidas en la UPOV en relación con las técnicas bioquímicas y moleculares (Oficina de la Unión; véase también el documento BMT/14/2 Rev2.)</w:t>
      </w:r>
    </w:p>
    <w:p w:rsidR="009C71A1" w:rsidRPr="00F96DDA" w:rsidRDefault="009C71A1" w:rsidP="00312C2A">
      <w:pPr>
        <w:ind w:left="810" w:hanging="810"/>
        <w:rPr>
          <w:lang w:val="es-ES_tradnl"/>
        </w:rPr>
      </w:pPr>
    </w:p>
    <w:p w:rsidR="009C71A1" w:rsidRPr="00F96DDA" w:rsidRDefault="009C71A1" w:rsidP="00312C2A">
      <w:pPr>
        <w:ind w:left="810" w:hanging="810"/>
        <w:rPr>
          <w:lang w:val="es-ES_tradnl"/>
        </w:rPr>
      </w:pPr>
      <w:r w:rsidRPr="00F96DDA">
        <w:rPr>
          <w:lang w:val="es-ES_tradnl"/>
        </w:rPr>
        <w:t>11.30</w:t>
      </w:r>
      <w:r w:rsidRPr="00F96DDA">
        <w:rPr>
          <w:lang w:val="es-ES_tradnl"/>
        </w:rPr>
        <w:tab/>
        <w:t xml:space="preserve">Los marcadores moleculares como predictores de caracteres “tradicionales” </w:t>
      </w:r>
    </w:p>
    <w:p w:rsidR="009C71A1" w:rsidRPr="00F96DDA" w:rsidRDefault="009C71A1" w:rsidP="00312C2A">
      <w:pPr>
        <w:ind w:left="810" w:hanging="810"/>
        <w:rPr>
          <w:lang w:val="es-ES_tradnl"/>
        </w:rPr>
      </w:pPr>
    </w:p>
    <w:p w:rsidR="009C71A1" w:rsidRPr="00F96DDA" w:rsidRDefault="009C71A1" w:rsidP="00312C2A">
      <w:pPr>
        <w:ind w:left="810" w:hanging="810"/>
        <w:rPr>
          <w:lang w:val="es-ES_tradnl"/>
        </w:rPr>
      </w:pPr>
      <w:r w:rsidRPr="00F96DDA">
        <w:rPr>
          <w:lang w:val="es-ES_tradnl"/>
        </w:rPr>
        <w:t>11.50</w:t>
      </w:r>
      <w:r w:rsidRPr="00F96DDA">
        <w:rPr>
          <w:lang w:val="es-ES_tradnl"/>
        </w:rPr>
        <w:tab/>
        <w:t>Uso de técnicas basadas en marcadores moleculares para la selección de “variedades similares” a una “variedad candidata”</w:t>
      </w:r>
    </w:p>
    <w:p w:rsidR="009C71A1" w:rsidRPr="00F96DDA" w:rsidRDefault="009C71A1" w:rsidP="00312C2A">
      <w:pPr>
        <w:ind w:left="810" w:hanging="810"/>
        <w:rPr>
          <w:lang w:val="es-ES_tradnl"/>
        </w:rPr>
      </w:pPr>
    </w:p>
    <w:p w:rsidR="009C71A1" w:rsidRPr="00F96DDA" w:rsidRDefault="009C71A1" w:rsidP="00312C2A">
      <w:pPr>
        <w:ind w:left="810" w:hanging="810"/>
        <w:rPr>
          <w:rFonts w:cs="Arial"/>
          <w:lang w:val="es-ES_tradnl"/>
        </w:rPr>
      </w:pPr>
      <w:r w:rsidRPr="00F96DDA">
        <w:rPr>
          <w:lang w:val="es-ES_tradnl"/>
        </w:rPr>
        <w:t>12.10</w:t>
      </w:r>
      <w:r w:rsidRPr="00F96DDA">
        <w:rPr>
          <w:lang w:val="es-ES_tradnl"/>
        </w:rPr>
        <w:tab/>
        <w:t xml:space="preserve">Utilización de variedades de referencia en la distinción de variedades: un método en investigación en los Estados Unidos de América para su posible aplicación en la protección de las obtenciones vegetales </w:t>
      </w:r>
    </w:p>
    <w:p w:rsidR="009C71A1" w:rsidRPr="00F96DDA" w:rsidRDefault="009C71A1" w:rsidP="00312C2A">
      <w:pPr>
        <w:ind w:left="810" w:hanging="810"/>
        <w:rPr>
          <w:lang w:val="es-ES_tradnl"/>
        </w:rPr>
      </w:pPr>
    </w:p>
    <w:p w:rsidR="009C71A1" w:rsidRPr="00F96DDA" w:rsidRDefault="009C71A1" w:rsidP="003502DA">
      <w:pPr>
        <w:ind w:left="810" w:hanging="810"/>
        <w:rPr>
          <w:i/>
          <w:lang w:val="es-ES_tradnl"/>
        </w:rPr>
      </w:pPr>
      <w:r w:rsidRPr="00F96DDA">
        <w:rPr>
          <w:i/>
          <w:lang w:val="es-ES_tradnl"/>
        </w:rPr>
        <w:t xml:space="preserve">12:30 </w:t>
      </w:r>
      <w:r w:rsidRPr="00F96DDA">
        <w:rPr>
          <w:i/>
          <w:lang w:val="es-ES_tradnl"/>
        </w:rPr>
        <w:tab/>
        <w:t>Almuerzo</w:t>
      </w:r>
    </w:p>
    <w:p w:rsidR="009C71A1" w:rsidRPr="00F96DDA" w:rsidRDefault="009C71A1" w:rsidP="00312C2A">
      <w:pPr>
        <w:ind w:left="810" w:hanging="810"/>
        <w:rPr>
          <w:lang w:val="es-ES_tradnl"/>
        </w:rPr>
      </w:pPr>
    </w:p>
    <w:p w:rsidR="009C71A1" w:rsidRPr="00F96DDA" w:rsidRDefault="009C71A1" w:rsidP="003502DA">
      <w:pPr>
        <w:ind w:left="810" w:hanging="810"/>
        <w:rPr>
          <w:lang w:val="es-ES_tradnl"/>
        </w:rPr>
      </w:pPr>
      <w:r w:rsidRPr="00F96DDA">
        <w:rPr>
          <w:lang w:val="es-ES_tradnl"/>
        </w:rPr>
        <w:t>14:30</w:t>
      </w:r>
      <w:r w:rsidRPr="00F96DDA">
        <w:rPr>
          <w:lang w:val="es-ES_tradnl"/>
        </w:rPr>
        <w:tab/>
        <w:t>Base de datos europea de la papa/patata como compilación centralizada de variedades notoriamente conocidas</w:t>
      </w:r>
    </w:p>
    <w:p w:rsidR="009C71A1" w:rsidRPr="00F96DDA" w:rsidRDefault="009C71A1" w:rsidP="00312C2A">
      <w:pPr>
        <w:ind w:left="810" w:hanging="810"/>
        <w:rPr>
          <w:lang w:val="es-ES_tradnl"/>
        </w:rPr>
      </w:pPr>
    </w:p>
    <w:p w:rsidR="009C71A1" w:rsidRPr="00F96DDA" w:rsidRDefault="009C71A1" w:rsidP="00312C2A">
      <w:pPr>
        <w:ind w:left="810" w:hanging="810"/>
        <w:rPr>
          <w:lang w:val="es-ES_tradnl"/>
        </w:rPr>
      </w:pPr>
      <w:r w:rsidRPr="00F96DDA">
        <w:rPr>
          <w:lang w:val="es-ES_tradnl"/>
        </w:rPr>
        <w:t>14.50</w:t>
      </w:r>
      <w:r w:rsidRPr="00F96DDA">
        <w:rPr>
          <w:lang w:val="es-ES_tradnl"/>
        </w:rPr>
        <w:tab/>
        <w:t>Desarrollo de marcadores EST-SSR de la lechuga e identificación de variedades mediante marcadores EST-SSR</w:t>
      </w:r>
    </w:p>
    <w:p w:rsidR="009C71A1" w:rsidRPr="00F96DDA" w:rsidRDefault="009C71A1" w:rsidP="00312C2A">
      <w:pPr>
        <w:ind w:left="810" w:hanging="810"/>
        <w:rPr>
          <w:lang w:val="es-ES_tradnl"/>
        </w:rPr>
      </w:pPr>
    </w:p>
    <w:p w:rsidR="009C71A1" w:rsidRPr="00F96DDA" w:rsidRDefault="009C71A1" w:rsidP="00312C2A">
      <w:pPr>
        <w:ind w:left="810" w:hanging="810"/>
        <w:rPr>
          <w:lang w:val="es-ES_tradnl"/>
        </w:rPr>
      </w:pPr>
      <w:r w:rsidRPr="00F96DDA">
        <w:rPr>
          <w:lang w:val="es-ES_tradnl"/>
        </w:rPr>
        <w:t>15.10</w:t>
      </w:r>
      <w:r w:rsidRPr="00F96DDA">
        <w:rPr>
          <w:lang w:val="es-ES_tradnl"/>
        </w:rPr>
        <w:tab/>
        <w:t xml:space="preserve">Propiedad y uso de las muestras del examen DHE y del ADN y los datos sobre el ADN durante los exámenes DHE y posteriormente </w:t>
      </w:r>
    </w:p>
    <w:p w:rsidR="009C71A1" w:rsidRPr="00F96DDA" w:rsidRDefault="009C71A1" w:rsidP="00312C2A">
      <w:pPr>
        <w:ind w:left="810" w:hanging="810"/>
        <w:rPr>
          <w:rFonts w:cs="Arial"/>
          <w:lang w:val="es-ES_tradnl"/>
        </w:rPr>
      </w:pPr>
    </w:p>
    <w:p w:rsidR="009C71A1" w:rsidRPr="00F96DDA" w:rsidRDefault="009C71A1" w:rsidP="00312C2A">
      <w:pPr>
        <w:ind w:left="810" w:hanging="810"/>
        <w:rPr>
          <w:rFonts w:cs="Arial"/>
          <w:lang w:val="es-ES_tradnl"/>
        </w:rPr>
      </w:pPr>
    </w:p>
    <w:p w:rsidR="009C71A1" w:rsidRPr="00F96DDA" w:rsidRDefault="009C71A1" w:rsidP="003502DA">
      <w:pPr>
        <w:ind w:left="810" w:hanging="810"/>
        <w:rPr>
          <w:rFonts w:cs="Arial"/>
          <w:u w:val="single"/>
          <w:lang w:val="es-ES_tradnl"/>
        </w:rPr>
      </w:pPr>
      <w:r w:rsidRPr="00F96DDA">
        <w:rPr>
          <w:rFonts w:cs="Arial"/>
          <w:u w:val="single"/>
          <w:lang w:val="es-ES_tradnl"/>
        </w:rPr>
        <w:t>Taller conjunto OCDE-UPOV-ISTA sobre técnicas moleculares</w:t>
      </w:r>
    </w:p>
    <w:p w:rsidR="009C71A1" w:rsidRPr="00F96DDA" w:rsidRDefault="009C71A1" w:rsidP="00312C2A">
      <w:pPr>
        <w:ind w:left="810" w:hanging="810"/>
        <w:rPr>
          <w:rFonts w:cs="Arial"/>
          <w:lang w:val="es-ES_tradnl"/>
        </w:rPr>
      </w:pPr>
    </w:p>
    <w:p w:rsidR="009C71A1" w:rsidRPr="00F96DDA" w:rsidRDefault="009C71A1" w:rsidP="003502DA">
      <w:pPr>
        <w:ind w:left="810" w:hanging="810"/>
        <w:rPr>
          <w:lang w:val="es-ES_tradnl"/>
        </w:rPr>
      </w:pPr>
      <w:r w:rsidRPr="00F96DDA">
        <w:rPr>
          <w:lang w:val="es-ES_tradnl"/>
        </w:rPr>
        <w:t>15.30</w:t>
      </w:r>
      <w:r w:rsidRPr="00F96DDA">
        <w:rPr>
          <w:lang w:val="es-ES_tradnl"/>
        </w:rPr>
        <w:tab/>
        <w:t>Posibilidades de cooperación entre la OCDE, la UPOV y la ISTA en materia de técnicas moleculares (debate)</w:t>
      </w:r>
    </w:p>
    <w:p w:rsidR="009C71A1" w:rsidRPr="00F96DDA" w:rsidRDefault="009C71A1" w:rsidP="00312C2A">
      <w:pPr>
        <w:ind w:left="810" w:right="369" w:hanging="810"/>
        <w:jc w:val="left"/>
        <w:rPr>
          <w:lang w:val="es-ES_tradnl"/>
        </w:rPr>
      </w:pPr>
    </w:p>
    <w:p w:rsidR="009C71A1" w:rsidRPr="00F96DDA" w:rsidRDefault="009C71A1" w:rsidP="00312C2A">
      <w:pPr>
        <w:ind w:left="810" w:right="369" w:hanging="810"/>
        <w:jc w:val="left"/>
        <w:rPr>
          <w:lang w:val="es-ES_tradnl"/>
        </w:rPr>
      </w:pPr>
      <w:r w:rsidRPr="00F96DDA">
        <w:rPr>
          <w:lang w:val="es-ES_tradnl"/>
        </w:rPr>
        <w:t xml:space="preserve">15.50 </w:t>
      </w:r>
      <w:r w:rsidRPr="00F96DDA">
        <w:rPr>
          <w:lang w:val="es-ES_tradnl"/>
        </w:rPr>
        <w:tab/>
        <w:t>Debate general (25 minutos)</w:t>
      </w:r>
    </w:p>
    <w:p w:rsidR="009C71A1" w:rsidRPr="00F96DDA" w:rsidRDefault="009C71A1" w:rsidP="00312C2A">
      <w:pPr>
        <w:ind w:left="810" w:right="369" w:hanging="810"/>
        <w:jc w:val="left"/>
        <w:rPr>
          <w:lang w:val="es-ES_tradnl"/>
        </w:rPr>
      </w:pPr>
    </w:p>
    <w:p w:rsidR="009C71A1" w:rsidRPr="00F96DDA" w:rsidRDefault="009C71A1" w:rsidP="00312C2A">
      <w:pPr>
        <w:ind w:left="810" w:right="369" w:hanging="810"/>
        <w:jc w:val="left"/>
        <w:rPr>
          <w:lang w:val="es-ES_tradnl"/>
        </w:rPr>
      </w:pPr>
    </w:p>
    <w:p w:rsidR="009C71A1" w:rsidRPr="00F96DDA" w:rsidRDefault="009C71A1" w:rsidP="00312C2A">
      <w:pPr>
        <w:ind w:left="810" w:right="369" w:hanging="810"/>
        <w:jc w:val="left"/>
        <w:rPr>
          <w:u w:val="single"/>
          <w:lang w:val="es-ES_tradnl"/>
        </w:rPr>
      </w:pPr>
      <w:r w:rsidRPr="00F96DDA">
        <w:rPr>
          <w:u w:val="single"/>
          <w:lang w:val="es-ES_tradnl"/>
        </w:rPr>
        <w:t>Punto 8 “Técnicas moleculares” del orden del día del Comité Técnico</w:t>
      </w:r>
    </w:p>
    <w:p w:rsidR="009C71A1" w:rsidRPr="00F96DDA" w:rsidRDefault="009C71A1" w:rsidP="00312C2A">
      <w:pPr>
        <w:ind w:left="810" w:right="369" w:hanging="810"/>
        <w:jc w:val="left"/>
        <w:rPr>
          <w:lang w:val="es-ES_tradnl"/>
        </w:rPr>
      </w:pPr>
    </w:p>
    <w:p w:rsidR="009C71A1" w:rsidRPr="00F96DDA" w:rsidRDefault="009C71A1" w:rsidP="00312C2A">
      <w:pPr>
        <w:ind w:left="810" w:right="369" w:hanging="810"/>
        <w:jc w:val="left"/>
        <w:rPr>
          <w:lang w:val="es-ES_tradnl"/>
        </w:rPr>
      </w:pPr>
      <w:r w:rsidRPr="00F96DDA">
        <w:rPr>
          <w:lang w:val="es-ES_tradnl"/>
        </w:rPr>
        <w:t>16.15</w:t>
      </w:r>
      <w:r w:rsidRPr="00F96DDA">
        <w:rPr>
          <w:lang w:val="es-ES_tradnl"/>
        </w:rPr>
        <w:tab/>
        <w:t>Punto 8 “Técnicas moleculares” del orden del día</w:t>
      </w:r>
    </w:p>
    <w:p w:rsidR="009C71A1" w:rsidRPr="00F96DDA" w:rsidRDefault="009C71A1" w:rsidP="00312C2A">
      <w:pPr>
        <w:ind w:right="369"/>
        <w:jc w:val="left"/>
        <w:rPr>
          <w:lang w:val="es-ES_tradnl"/>
        </w:rPr>
      </w:pPr>
    </w:p>
    <w:p w:rsidR="009C71A1" w:rsidRPr="00F96DDA" w:rsidRDefault="009C71A1" w:rsidP="00312C2A">
      <w:pPr>
        <w:ind w:right="369"/>
        <w:jc w:val="left"/>
        <w:rPr>
          <w:lang w:val="es-ES_tradnl"/>
        </w:rPr>
      </w:pPr>
    </w:p>
    <w:p w:rsidR="009C71A1" w:rsidRPr="00F96DDA" w:rsidRDefault="009C71A1" w:rsidP="00312C2A">
      <w:pPr>
        <w:ind w:right="369"/>
        <w:jc w:val="left"/>
        <w:rPr>
          <w:lang w:val="es-ES_tradnl"/>
        </w:rPr>
      </w:pPr>
    </w:p>
    <w:p w:rsidR="009C71A1" w:rsidRPr="00F96DDA" w:rsidRDefault="009C71A1" w:rsidP="007F4BB2">
      <w:pPr>
        <w:jc w:val="right"/>
        <w:rPr>
          <w:snapToGrid w:val="0"/>
          <w:lang w:val="es-ES_tradnl"/>
        </w:rPr>
      </w:pPr>
    </w:p>
    <w:p w:rsidR="009C71A1" w:rsidRPr="00F96DDA" w:rsidRDefault="009C71A1" w:rsidP="007F4BB2">
      <w:pPr>
        <w:jc w:val="right"/>
        <w:rPr>
          <w:snapToGrid w:val="0"/>
          <w:lang w:val="es-ES_tradnl"/>
        </w:rPr>
      </w:pPr>
      <w:r w:rsidRPr="00F96DDA">
        <w:rPr>
          <w:snapToGrid w:val="0"/>
          <w:lang w:val="es-ES_tradnl"/>
        </w:rPr>
        <w:t>[Fin del Anexo</w:t>
      </w:r>
      <w:r>
        <w:rPr>
          <w:snapToGrid w:val="0"/>
          <w:lang w:val="es-ES_tradnl"/>
        </w:rPr>
        <w:t> </w:t>
      </w:r>
      <w:r w:rsidRPr="00F96DDA">
        <w:rPr>
          <w:snapToGrid w:val="0"/>
          <w:lang w:val="es-ES_tradnl"/>
        </w:rPr>
        <w:t>II y del documento]</w:t>
      </w:r>
    </w:p>
    <w:p w:rsidR="009C71A1" w:rsidRPr="00F96DDA" w:rsidRDefault="009C71A1" w:rsidP="007F4BB2">
      <w:pPr>
        <w:jc w:val="right"/>
        <w:rPr>
          <w:snapToGrid w:val="0"/>
          <w:lang w:val="es-ES_tradnl"/>
        </w:rPr>
      </w:pPr>
    </w:p>
    <w:sectPr w:rsidR="009C71A1" w:rsidRPr="00F96DDA" w:rsidSect="00906DDC">
      <w:headerReference w:type="default" r:id="rId12"/>
      <w:headerReference w:type="first" r:id="rId13"/>
      <w:footerReference w:type="first" r:id="rId14"/>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1A1" w:rsidRDefault="009C71A1" w:rsidP="00F45372">
      <w:r>
        <w:separator/>
      </w:r>
    </w:p>
    <w:p w:rsidR="009C71A1" w:rsidRDefault="009C71A1" w:rsidP="00F45372"/>
    <w:p w:rsidR="009C71A1" w:rsidRDefault="009C71A1" w:rsidP="00F45372"/>
  </w:endnote>
  <w:endnote w:type="continuationSeparator" w:id="0">
    <w:p w:rsidR="009C71A1" w:rsidRDefault="009C71A1" w:rsidP="00F45372">
      <w:r>
        <w:separator/>
      </w:r>
    </w:p>
    <w:p w:rsidR="009C71A1" w:rsidRPr="00970020" w:rsidRDefault="009C71A1">
      <w:pPr>
        <w:pStyle w:val="Footer"/>
        <w:spacing w:after="60"/>
        <w:rPr>
          <w:sz w:val="18"/>
          <w:lang w:val="fr-CH"/>
        </w:rPr>
      </w:pPr>
      <w:r w:rsidRPr="00970020">
        <w:rPr>
          <w:sz w:val="18"/>
          <w:lang w:val="fr-CH"/>
        </w:rPr>
        <w:t>[Suite de la note de la page précédente]</w:t>
      </w:r>
    </w:p>
    <w:p w:rsidR="009C71A1" w:rsidRPr="00970020" w:rsidRDefault="009C71A1" w:rsidP="00F45372">
      <w:pPr>
        <w:rPr>
          <w:lang w:val="fr-CH"/>
        </w:rPr>
      </w:pPr>
    </w:p>
    <w:p w:rsidR="009C71A1" w:rsidRPr="00970020" w:rsidRDefault="009C71A1" w:rsidP="00F45372">
      <w:pPr>
        <w:rPr>
          <w:lang w:val="fr-CH"/>
        </w:rPr>
      </w:pPr>
    </w:p>
  </w:endnote>
  <w:endnote w:type="continuationNotice" w:id="1">
    <w:p w:rsidR="009C71A1" w:rsidRPr="00970020" w:rsidRDefault="009C71A1" w:rsidP="00F45372">
      <w:pPr>
        <w:rPr>
          <w:lang w:val="fr-CH"/>
        </w:rPr>
      </w:pPr>
      <w:r w:rsidRPr="00970020">
        <w:rPr>
          <w:lang w:val="fr-CH"/>
        </w:rPr>
        <w:t>[Suite de la note page suivante]</w:t>
      </w:r>
    </w:p>
    <w:p w:rsidR="009C71A1" w:rsidRPr="00970020" w:rsidRDefault="009C71A1" w:rsidP="00F45372">
      <w:pPr>
        <w:rPr>
          <w:lang w:val="fr-CH"/>
        </w:rPr>
      </w:pPr>
    </w:p>
    <w:p w:rsidR="009C71A1" w:rsidRPr="00970020" w:rsidRDefault="009C71A1"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A1" w:rsidRPr="0031586E" w:rsidRDefault="009C71A1" w:rsidP="00315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1A1" w:rsidRDefault="009C71A1" w:rsidP="00F45372">
      <w:r>
        <w:separator/>
      </w:r>
    </w:p>
  </w:footnote>
  <w:footnote w:type="continuationSeparator" w:id="0">
    <w:p w:rsidR="009C71A1" w:rsidRDefault="009C71A1" w:rsidP="00F45372">
      <w:r>
        <w:separator/>
      </w:r>
    </w:p>
  </w:footnote>
  <w:footnote w:type="continuationNotice" w:id="1">
    <w:p w:rsidR="009C71A1" w:rsidRPr="00905020" w:rsidRDefault="009C71A1" w:rsidP="00905020">
      <w:pPr>
        <w:pStyle w:val="Footer"/>
      </w:pPr>
    </w:p>
  </w:footnote>
  <w:footnote w:id="2">
    <w:p w:rsidR="009C71A1" w:rsidRPr="00D4570A" w:rsidRDefault="009C71A1" w:rsidP="00C36064">
      <w:pPr>
        <w:pStyle w:val="FootnoteText"/>
        <w:rPr>
          <w:lang w:val="es-ES"/>
        </w:rPr>
      </w:pPr>
      <w:r>
        <w:rPr>
          <w:rStyle w:val="FootnoteReference"/>
        </w:rPr>
        <w:footnoteRef/>
      </w:r>
      <w:r w:rsidRPr="00D4570A">
        <w:rPr>
          <w:lang w:val="es-ES"/>
        </w:rPr>
        <w:tab/>
      </w:r>
      <w:r w:rsidRPr="00C36064">
        <w:rPr>
          <w:lang w:val="es-ES_tradnl"/>
        </w:rPr>
        <w:t xml:space="preserve">En la </w:t>
      </w:r>
      <w:r w:rsidR="00B6391A">
        <w:rPr>
          <w:lang w:val="es-ES_tradnl"/>
        </w:rPr>
        <w:t>sesión</w:t>
      </w:r>
      <w:r w:rsidRPr="00C36064">
        <w:rPr>
          <w:lang w:val="es-ES_tradnl"/>
        </w:rPr>
        <w:t xml:space="preserve"> celebrada en Seúl (República de Corea) del 10 al 13 de noviembre.</w:t>
      </w:r>
    </w:p>
  </w:footnote>
  <w:footnote w:id="3">
    <w:p w:rsidR="009C71A1" w:rsidRPr="00D4570A" w:rsidRDefault="009C71A1" w:rsidP="00C36064">
      <w:pPr>
        <w:pStyle w:val="FootnoteText"/>
        <w:rPr>
          <w:lang w:val="es-ES"/>
        </w:rPr>
      </w:pPr>
      <w:r>
        <w:rPr>
          <w:rStyle w:val="FootnoteReference"/>
        </w:rPr>
        <w:footnoteRef/>
      </w:r>
      <w:r w:rsidRPr="00D4570A">
        <w:rPr>
          <w:lang w:val="es-ES"/>
        </w:rPr>
        <w:tab/>
      </w:r>
      <w:r w:rsidRPr="00C36064">
        <w:rPr>
          <w:lang w:val="es-ES_tradnl" w:eastAsia="ja-JP"/>
        </w:rPr>
        <w:t>Celebrado en Seúl (República de Corea) el 12 de noviembre de 2014.</w:t>
      </w:r>
    </w:p>
  </w:footnote>
  <w:footnote w:id="4">
    <w:p w:rsidR="009C71A1" w:rsidRPr="00D4570A" w:rsidRDefault="009C71A1" w:rsidP="002B052F">
      <w:pPr>
        <w:pStyle w:val="FootnoteText"/>
        <w:rPr>
          <w:lang w:val="es-ES"/>
        </w:rPr>
      </w:pPr>
      <w:r w:rsidRPr="00804548">
        <w:rPr>
          <w:rStyle w:val="FootnoteReference"/>
          <w:lang w:val="es-ES_tradnl"/>
        </w:rPr>
        <w:footnoteRef/>
      </w:r>
      <w:r w:rsidRPr="008370A7">
        <w:rPr>
          <w:lang w:val="es-ES_tradnl"/>
        </w:rPr>
        <w:t xml:space="preserve"> </w:t>
      </w:r>
      <w:r w:rsidRPr="008370A7">
        <w:rPr>
          <w:lang w:val="es-ES_tradnl"/>
        </w:rPr>
        <w:tab/>
        <w:t>Estos puntos del orden del día se debatieron el miércoles </w:t>
      </w:r>
      <w:r w:rsidRPr="008370A7">
        <w:rPr>
          <w:lang w:val="es-ES_tradnl" w:eastAsia="ja-JP"/>
        </w:rPr>
        <w:t>1</w:t>
      </w:r>
      <w:r w:rsidRPr="008370A7">
        <w:rPr>
          <w:lang w:val="es-ES_tradnl"/>
        </w:rPr>
        <w:t>2 de noviembre de 201</w:t>
      </w:r>
      <w:r w:rsidRPr="008370A7">
        <w:rPr>
          <w:lang w:val="es-ES_tradnl" w:eastAsia="ja-JP"/>
        </w:rPr>
        <w:t>4</w:t>
      </w:r>
      <w:r w:rsidRPr="008370A7">
        <w:rPr>
          <w:lang w:val="es-ES_tradnl"/>
        </w:rPr>
        <w:t xml:space="preserve"> (“Día del obtentor”).</w:t>
      </w:r>
    </w:p>
  </w:footnote>
  <w:footnote w:id="5">
    <w:p w:rsidR="009C71A1" w:rsidRPr="00D4570A" w:rsidRDefault="009C71A1" w:rsidP="002B052F">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rPr>
        <w:tab/>
      </w:r>
      <w:r w:rsidRPr="008370A7">
        <w:rPr>
          <w:szCs w:val="16"/>
          <w:lang w:val="es-ES_tradnl" w:eastAsia="ja-JP"/>
        </w:rPr>
        <w:t>Día del obtentor</w:t>
      </w:r>
    </w:p>
  </w:footnote>
  <w:footnote w:id="6">
    <w:p w:rsidR="009C71A1" w:rsidRPr="00D4570A" w:rsidRDefault="009C71A1" w:rsidP="005E4588">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eastAsia="ja-JP"/>
        </w:rPr>
        <w:tab/>
        <w:t>Celebrado el 12 de noviembre de 2014.</w:t>
      </w:r>
    </w:p>
  </w:footnote>
  <w:footnote w:id="7">
    <w:p w:rsidR="009C71A1" w:rsidRPr="00D4570A" w:rsidRDefault="009C71A1" w:rsidP="005E4588">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eastAsia="ja-JP"/>
        </w:rPr>
        <w:tab/>
        <w:t>Celebrada del 10 al 13 de noviembre de 2014.</w:t>
      </w:r>
    </w:p>
  </w:footnote>
  <w:footnote w:id="8">
    <w:p w:rsidR="009C71A1" w:rsidRPr="00D4570A" w:rsidRDefault="009C71A1" w:rsidP="005E4588">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eastAsia="ja-JP"/>
        </w:rPr>
        <w:tab/>
        <w:t>Celebrada del 7 al 9 de abril de 2014.</w:t>
      </w:r>
    </w:p>
  </w:footnote>
  <w:footnote w:id="9">
    <w:p w:rsidR="009C71A1" w:rsidRPr="00D4570A" w:rsidRDefault="009C71A1" w:rsidP="005E4588">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eastAsia="ja-JP"/>
        </w:rPr>
        <w:tab/>
        <w:t>Celebrada del 18 al 20 de marzo de 2013.</w:t>
      </w:r>
    </w:p>
  </w:footnote>
  <w:footnote w:id="10">
    <w:p w:rsidR="009C71A1" w:rsidRPr="00D4570A" w:rsidRDefault="009C71A1" w:rsidP="005E4588">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eastAsia="ja-JP"/>
        </w:rPr>
        <w:tab/>
      </w:r>
      <w:r w:rsidRPr="00804548">
        <w:rPr>
          <w:snapToGrid w:val="0"/>
          <w:lang w:val="es-ES_tradnl" w:eastAsia="ja-JP"/>
        </w:rPr>
        <w:t>Celebrada en Ginebra del 7 al 9 de abril de 2014.</w:t>
      </w:r>
    </w:p>
  </w:footnote>
  <w:footnote w:id="11">
    <w:p w:rsidR="009C71A1" w:rsidRPr="00D4570A" w:rsidRDefault="009C71A1" w:rsidP="005E4588">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eastAsia="ja-JP"/>
        </w:rPr>
        <w:tab/>
      </w:r>
      <w:r w:rsidRPr="00804548">
        <w:rPr>
          <w:snapToGrid w:val="0"/>
          <w:lang w:val="es-ES_tradnl" w:eastAsia="ja-JP"/>
        </w:rPr>
        <w:t>Celebrada en Ginebra el 10 de abril de 2014.</w:t>
      </w:r>
    </w:p>
  </w:footnote>
  <w:footnote w:id="12">
    <w:p w:rsidR="009C71A1" w:rsidRPr="00D4570A" w:rsidRDefault="009C71A1" w:rsidP="005E13C6">
      <w:pPr>
        <w:pStyle w:val="FootnoteText"/>
        <w:rPr>
          <w:lang w:val="es-ES"/>
        </w:rPr>
      </w:pPr>
      <w:r w:rsidRPr="00804548">
        <w:rPr>
          <w:rStyle w:val="FootnoteReference"/>
          <w:lang w:val="es-ES_tradnl"/>
        </w:rPr>
        <w:footnoteRef/>
      </w:r>
      <w:r w:rsidRPr="00804548">
        <w:rPr>
          <w:lang w:val="es-ES_tradnl"/>
        </w:rPr>
        <w:t xml:space="preserve"> </w:t>
      </w:r>
      <w:r w:rsidRPr="00804548">
        <w:rPr>
          <w:lang w:val="es-ES_tradnl" w:eastAsia="ja-JP"/>
        </w:rPr>
        <w:tab/>
      </w:r>
      <w:r w:rsidRPr="008370A7">
        <w:rPr>
          <w:lang w:val="es-ES_tradnl" w:eastAsia="ja-JP"/>
        </w:rPr>
        <w:t>Celebrada en Ginebra el 12 de abril de 2014.</w:t>
      </w:r>
    </w:p>
  </w:footnote>
  <w:footnote w:id="13">
    <w:p w:rsidR="009C71A1" w:rsidRPr="00804548" w:rsidRDefault="009C71A1" w:rsidP="005E13C6">
      <w:pPr>
        <w:pStyle w:val="FootnoteText"/>
        <w:rPr>
          <w:lang w:val="es-ES_tradnl" w:eastAsia="ja-JP"/>
        </w:rPr>
      </w:pPr>
      <w:r w:rsidRPr="00804548">
        <w:rPr>
          <w:rStyle w:val="FootnoteReference"/>
          <w:lang w:val="es-ES_tradnl"/>
        </w:rPr>
        <w:footnoteRef/>
      </w:r>
      <w:r w:rsidRPr="00804548">
        <w:rPr>
          <w:lang w:val="es-ES_tradnl"/>
        </w:rPr>
        <w:tab/>
      </w:r>
      <w:r w:rsidRPr="008370A7">
        <w:rPr>
          <w:lang w:val="es-ES_tradnl" w:eastAsia="ja-JP"/>
        </w:rPr>
        <w:t>Celebrado en Seúl (República de Corea) el 12 de noviembre de 2014.</w:t>
      </w:r>
    </w:p>
    <w:p w:rsidR="009C71A1" w:rsidRPr="00D4570A" w:rsidRDefault="009C71A1" w:rsidP="005E13C6">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A1" w:rsidRPr="00032F84" w:rsidRDefault="009C71A1" w:rsidP="00EB048E">
    <w:pPr>
      <w:pStyle w:val="Header"/>
      <w:rPr>
        <w:rStyle w:val="PageNumber"/>
        <w:lang w:val="es-ES_tradnl" w:eastAsia="ja-JP"/>
      </w:rPr>
    </w:pPr>
    <w:r>
      <w:rPr>
        <w:rStyle w:val="PageNumber"/>
        <w:lang w:val="es-ES_tradnl"/>
      </w:rPr>
      <w:t>CAJ/71/8</w:t>
    </w:r>
  </w:p>
  <w:p w:rsidR="009C71A1" w:rsidRPr="00032F84" w:rsidRDefault="009C71A1" w:rsidP="00EB048E">
    <w:pPr>
      <w:pStyle w:val="Header"/>
      <w:rPr>
        <w:lang w:val="es-ES_tradnl"/>
      </w:rPr>
    </w:pPr>
    <w:proofErr w:type="gramStart"/>
    <w:r w:rsidRPr="00032F84">
      <w:rPr>
        <w:lang w:val="es-ES_tradnl"/>
      </w:rPr>
      <w:t>página</w:t>
    </w:r>
    <w:proofErr w:type="gramEnd"/>
    <w:r w:rsidRPr="00032F84">
      <w:rPr>
        <w:lang w:val="es-ES_tradnl"/>
      </w:rPr>
      <w:t xml:space="preserve"> </w:t>
    </w:r>
    <w:r w:rsidRPr="00032F84">
      <w:rPr>
        <w:rStyle w:val="PageNumber"/>
        <w:lang w:val="es-ES_tradnl"/>
      </w:rPr>
      <w:fldChar w:fldCharType="begin"/>
    </w:r>
    <w:r w:rsidRPr="00032F84">
      <w:rPr>
        <w:rStyle w:val="PageNumber"/>
        <w:lang w:val="es-ES_tradnl"/>
      </w:rPr>
      <w:instrText xml:space="preserve"> PAGE </w:instrText>
    </w:r>
    <w:r w:rsidRPr="00032F84">
      <w:rPr>
        <w:rStyle w:val="PageNumber"/>
        <w:lang w:val="es-ES_tradnl"/>
      </w:rPr>
      <w:fldChar w:fldCharType="separate"/>
    </w:r>
    <w:r w:rsidR="001A6180">
      <w:rPr>
        <w:rStyle w:val="PageNumber"/>
        <w:noProof/>
        <w:lang w:val="es-ES_tradnl"/>
      </w:rPr>
      <w:t>8</w:t>
    </w:r>
    <w:r w:rsidRPr="00032F84">
      <w:rPr>
        <w:rStyle w:val="PageNumber"/>
        <w:lang w:val="es-ES_tradnl"/>
      </w:rPr>
      <w:fldChar w:fldCharType="end"/>
    </w:r>
    <w:bookmarkStart w:id="34" w:name="_Toc410822398"/>
    <w:bookmarkStart w:id="35" w:name="_Toc410822802"/>
  </w:p>
  <w:bookmarkEnd w:id="34"/>
  <w:bookmarkEnd w:id="35"/>
  <w:p w:rsidR="009C71A1" w:rsidRPr="00032F84" w:rsidRDefault="009C71A1" w:rsidP="000208DC">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A1" w:rsidRDefault="009C71A1">
    <w:pPr>
      <w:pStyle w:val="Header"/>
      <w:rPr>
        <w:lang w:val="en-US" w:eastAsia="ja-JP"/>
      </w:rPr>
    </w:pPr>
    <w:r>
      <w:rPr>
        <w:lang w:val="en-US"/>
      </w:rPr>
      <w:t>CAJ/71/8</w:t>
    </w:r>
  </w:p>
  <w:p w:rsidR="009C71A1" w:rsidRDefault="009C71A1">
    <w:pPr>
      <w:pStyle w:val="Header"/>
      <w:rPr>
        <w:lang w:val="en-US"/>
      </w:rPr>
    </w:pPr>
  </w:p>
  <w:p w:rsidR="009C71A1" w:rsidRPr="00804548" w:rsidRDefault="009C71A1">
    <w:pPr>
      <w:pStyle w:val="Header"/>
      <w:rPr>
        <w:lang w:val="es-ES_tradnl" w:eastAsia="ja-JP"/>
      </w:rPr>
    </w:pPr>
    <w:r w:rsidRPr="00804548">
      <w:rPr>
        <w:lang w:val="es-ES_tradnl"/>
      </w:rPr>
      <w:t>ANEXO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A1" w:rsidRPr="008D3729" w:rsidRDefault="009C71A1" w:rsidP="00EB048E">
    <w:pPr>
      <w:pStyle w:val="Header"/>
      <w:rPr>
        <w:rStyle w:val="PageNumber"/>
        <w:lang w:val="es-ES_tradnl"/>
      </w:rPr>
    </w:pPr>
    <w:r>
      <w:rPr>
        <w:rStyle w:val="PageNumber"/>
        <w:lang w:val="es-ES_tradnl"/>
      </w:rPr>
      <w:t>TC/51/</w:t>
    </w:r>
  </w:p>
  <w:p w:rsidR="009C71A1" w:rsidRPr="008D3729" w:rsidRDefault="009C71A1"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1A6180">
      <w:rPr>
        <w:rStyle w:val="PageNumber"/>
        <w:noProof/>
        <w:lang w:val="es-ES_tradnl"/>
      </w:rPr>
      <w:t>10</w:t>
    </w:r>
    <w:r w:rsidRPr="008D3729">
      <w:rPr>
        <w:rStyle w:val="PageNumber"/>
        <w:lang w:val="es-ES_tradnl"/>
      </w:rPr>
      <w:fldChar w:fldCharType="end"/>
    </w:r>
  </w:p>
  <w:p w:rsidR="009C71A1" w:rsidRPr="008D3729" w:rsidRDefault="009C71A1" w:rsidP="00F45372">
    <w:pP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1A1" w:rsidRDefault="009C71A1">
    <w:pPr>
      <w:pStyle w:val="Header"/>
      <w:rPr>
        <w:lang w:val="en-US" w:eastAsia="ja-JP"/>
      </w:rPr>
    </w:pPr>
    <w:r>
      <w:rPr>
        <w:lang w:val="en-US"/>
      </w:rPr>
      <w:t>CAJ/71/8</w:t>
    </w:r>
  </w:p>
  <w:p w:rsidR="009C71A1" w:rsidRDefault="009C71A1">
    <w:pPr>
      <w:pStyle w:val="Header"/>
      <w:rPr>
        <w:lang w:val="en-US"/>
      </w:rPr>
    </w:pPr>
  </w:p>
  <w:p w:rsidR="009C71A1" w:rsidRPr="00804548" w:rsidRDefault="009C71A1">
    <w:pPr>
      <w:pStyle w:val="Header"/>
      <w:rPr>
        <w:lang w:val="es-ES_tradnl" w:eastAsia="ja-JP"/>
      </w:rPr>
    </w:pPr>
    <w:r w:rsidRPr="00804548">
      <w:rPr>
        <w:lang w:val="es-ES_tradnl"/>
      </w:rPr>
      <w:t>ANEXO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BFB0472"/>
    <w:multiLevelType w:val="hybridMultilevel"/>
    <w:tmpl w:val="3F2E5AAA"/>
    <w:lvl w:ilvl="0" w:tplc="FBC4352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CD23DA3"/>
    <w:multiLevelType w:val="hybridMultilevel"/>
    <w:tmpl w:val="23CA7B36"/>
    <w:lvl w:ilvl="0" w:tplc="3ACE795C">
      <w:start w:val="1"/>
      <w:numFmt w:val="lowerRoman"/>
      <w:lvlText w:val="%1)"/>
      <w:lvlJc w:val="left"/>
      <w:pPr>
        <w:ind w:left="1410" w:hanging="72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3">
    <w:nsid w:val="301E1F87"/>
    <w:multiLevelType w:val="hybridMultilevel"/>
    <w:tmpl w:val="47864E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1D140B4"/>
    <w:multiLevelType w:val="hybridMultilevel"/>
    <w:tmpl w:val="93467F4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84D744B"/>
    <w:multiLevelType w:val="hybridMultilevel"/>
    <w:tmpl w:val="85DCA81E"/>
    <w:lvl w:ilvl="0" w:tplc="3920EB18">
      <w:start w:val="1"/>
      <w:numFmt w:val="lowerLetter"/>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86D3DA0"/>
    <w:multiLevelType w:val="hybridMultilevel"/>
    <w:tmpl w:val="21C26D8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ED84FA6"/>
    <w:multiLevelType w:val="hybridMultilevel"/>
    <w:tmpl w:val="1A08E8AC"/>
    <w:lvl w:ilvl="0" w:tplc="9CF86C16">
      <w:start w:val="1"/>
      <w:numFmt w:val="decimal"/>
      <w:lvlText w:val="%1."/>
      <w:lvlJc w:val="left"/>
      <w:pPr>
        <w:ind w:left="1144" w:hanging="435"/>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0">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1">
    <w:nsid w:val="673E0B56"/>
    <w:multiLevelType w:val="hybridMultilevel"/>
    <w:tmpl w:val="91144E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6"/>
  </w:num>
  <w:num w:numId="2">
    <w:abstractNumId w:val="2"/>
  </w:num>
  <w:num w:numId="3">
    <w:abstractNumId w:val="13"/>
  </w:num>
  <w:num w:numId="4">
    <w:abstractNumId w:val="9"/>
  </w:num>
  <w:num w:numId="5">
    <w:abstractNumId w:val="4"/>
  </w:num>
  <w:num w:numId="6">
    <w:abstractNumId w:va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 w:name="WfColors" w:val="1"/>
  </w:docVars>
  <w:rsids>
    <w:rsidRoot w:val="00997029"/>
    <w:rsid w:val="00010CF3"/>
    <w:rsid w:val="00011E27"/>
    <w:rsid w:val="00012B5F"/>
    <w:rsid w:val="000135C9"/>
    <w:rsid w:val="000148BC"/>
    <w:rsid w:val="000208DC"/>
    <w:rsid w:val="00023615"/>
    <w:rsid w:val="00024AB8"/>
    <w:rsid w:val="00030854"/>
    <w:rsid w:val="00031DA3"/>
    <w:rsid w:val="00032F84"/>
    <w:rsid w:val="00036028"/>
    <w:rsid w:val="00037788"/>
    <w:rsid w:val="0004011F"/>
    <w:rsid w:val="00044642"/>
    <w:rsid w:val="000446B9"/>
    <w:rsid w:val="00047E21"/>
    <w:rsid w:val="000710BF"/>
    <w:rsid w:val="00085505"/>
    <w:rsid w:val="00091B88"/>
    <w:rsid w:val="000B2F74"/>
    <w:rsid w:val="000B4EA1"/>
    <w:rsid w:val="000C379A"/>
    <w:rsid w:val="000C7021"/>
    <w:rsid w:val="000D6BBC"/>
    <w:rsid w:val="000D7780"/>
    <w:rsid w:val="000E2880"/>
    <w:rsid w:val="000F4CAC"/>
    <w:rsid w:val="00101C21"/>
    <w:rsid w:val="00105929"/>
    <w:rsid w:val="0011036A"/>
    <w:rsid w:val="001131D5"/>
    <w:rsid w:val="001138C4"/>
    <w:rsid w:val="00122C97"/>
    <w:rsid w:val="00122EAF"/>
    <w:rsid w:val="001312AA"/>
    <w:rsid w:val="0014188F"/>
    <w:rsid w:val="00141DB8"/>
    <w:rsid w:val="00147536"/>
    <w:rsid w:val="001479AA"/>
    <w:rsid w:val="0015055C"/>
    <w:rsid w:val="001716A8"/>
    <w:rsid w:val="00172B30"/>
    <w:rsid w:val="0017474A"/>
    <w:rsid w:val="001758C6"/>
    <w:rsid w:val="00184D5D"/>
    <w:rsid w:val="00185C25"/>
    <w:rsid w:val="00195490"/>
    <w:rsid w:val="001A489B"/>
    <w:rsid w:val="001A6180"/>
    <w:rsid w:val="001D1E27"/>
    <w:rsid w:val="001E4A01"/>
    <w:rsid w:val="001E574E"/>
    <w:rsid w:val="001F6F47"/>
    <w:rsid w:val="00200229"/>
    <w:rsid w:val="0021306B"/>
    <w:rsid w:val="0021332C"/>
    <w:rsid w:val="00213982"/>
    <w:rsid w:val="00224656"/>
    <w:rsid w:val="00235267"/>
    <w:rsid w:val="0024416D"/>
    <w:rsid w:val="00256BCA"/>
    <w:rsid w:val="00266E18"/>
    <w:rsid w:val="00276465"/>
    <w:rsid w:val="002800A0"/>
    <w:rsid w:val="002801B3"/>
    <w:rsid w:val="00281060"/>
    <w:rsid w:val="002940E8"/>
    <w:rsid w:val="0029429B"/>
    <w:rsid w:val="002A3736"/>
    <w:rsid w:val="002A6E50"/>
    <w:rsid w:val="002A7996"/>
    <w:rsid w:val="002B052F"/>
    <w:rsid w:val="002C256A"/>
    <w:rsid w:val="002C3B3E"/>
    <w:rsid w:val="002C6560"/>
    <w:rsid w:val="002D5A40"/>
    <w:rsid w:val="002E4065"/>
    <w:rsid w:val="002E5B61"/>
    <w:rsid w:val="00305A7F"/>
    <w:rsid w:val="00312C2A"/>
    <w:rsid w:val="003152FE"/>
    <w:rsid w:val="0031586E"/>
    <w:rsid w:val="00320AE8"/>
    <w:rsid w:val="00325918"/>
    <w:rsid w:val="00327436"/>
    <w:rsid w:val="00331054"/>
    <w:rsid w:val="00343C53"/>
    <w:rsid w:val="003442E7"/>
    <w:rsid w:val="00344BD6"/>
    <w:rsid w:val="003502DA"/>
    <w:rsid w:val="0035528D"/>
    <w:rsid w:val="00361821"/>
    <w:rsid w:val="00366D8A"/>
    <w:rsid w:val="00370631"/>
    <w:rsid w:val="003735B8"/>
    <w:rsid w:val="003A30A2"/>
    <w:rsid w:val="003A5E9A"/>
    <w:rsid w:val="003B02FC"/>
    <w:rsid w:val="003C7012"/>
    <w:rsid w:val="003D227C"/>
    <w:rsid w:val="003D2B4D"/>
    <w:rsid w:val="003D7E71"/>
    <w:rsid w:val="003E2D7F"/>
    <w:rsid w:val="003E405F"/>
    <w:rsid w:val="003F3A9A"/>
    <w:rsid w:val="00401228"/>
    <w:rsid w:val="00415181"/>
    <w:rsid w:val="00444A88"/>
    <w:rsid w:val="00450D0E"/>
    <w:rsid w:val="00453471"/>
    <w:rsid w:val="0047355C"/>
    <w:rsid w:val="00474DA4"/>
    <w:rsid w:val="00493C13"/>
    <w:rsid w:val="00494F44"/>
    <w:rsid w:val="004A391D"/>
    <w:rsid w:val="004A5A8A"/>
    <w:rsid w:val="004A7CE5"/>
    <w:rsid w:val="004B0BB0"/>
    <w:rsid w:val="004C67FB"/>
    <w:rsid w:val="004C6ABB"/>
    <w:rsid w:val="004D047D"/>
    <w:rsid w:val="004D4D11"/>
    <w:rsid w:val="004F1D89"/>
    <w:rsid w:val="004F305A"/>
    <w:rsid w:val="00512164"/>
    <w:rsid w:val="00512AC1"/>
    <w:rsid w:val="00520297"/>
    <w:rsid w:val="005239B5"/>
    <w:rsid w:val="00526819"/>
    <w:rsid w:val="00532E08"/>
    <w:rsid w:val="005338F9"/>
    <w:rsid w:val="00534E67"/>
    <w:rsid w:val="0054281C"/>
    <w:rsid w:val="005460AE"/>
    <w:rsid w:val="005505C2"/>
    <w:rsid w:val="0055268D"/>
    <w:rsid w:val="00571B5B"/>
    <w:rsid w:val="00572703"/>
    <w:rsid w:val="00574825"/>
    <w:rsid w:val="00576BE4"/>
    <w:rsid w:val="00576BF0"/>
    <w:rsid w:val="00585112"/>
    <w:rsid w:val="00591C5D"/>
    <w:rsid w:val="00592AAA"/>
    <w:rsid w:val="005A400A"/>
    <w:rsid w:val="005A4439"/>
    <w:rsid w:val="005A4E02"/>
    <w:rsid w:val="005A6670"/>
    <w:rsid w:val="005B7E35"/>
    <w:rsid w:val="005C1C7D"/>
    <w:rsid w:val="005C2C2D"/>
    <w:rsid w:val="005C5A25"/>
    <w:rsid w:val="005D089B"/>
    <w:rsid w:val="005D700A"/>
    <w:rsid w:val="005E13C6"/>
    <w:rsid w:val="005E4588"/>
    <w:rsid w:val="00600DCF"/>
    <w:rsid w:val="00604F46"/>
    <w:rsid w:val="0060578E"/>
    <w:rsid w:val="00612379"/>
    <w:rsid w:val="0061555F"/>
    <w:rsid w:val="00625523"/>
    <w:rsid w:val="00637449"/>
    <w:rsid w:val="006405CC"/>
    <w:rsid w:val="00641200"/>
    <w:rsid w:val="006505F5"/>
    <w:rsid w:val="00661D07"/>
    <w:rsid w:val="0067034A"/>
    <w:rsid w:val="006712D2"/>
    <w:rsid w:val="00682C6D"/>
    <w:rsid w:val="00687EB4"/>
    <w:rsid w:val="006A1ECF"/>
    <w:rsid w:val="006A3E7B"/>
    <w:rsid w:val="006B17D2"/>
    <w:rsid w:val="006C224E"/>
    <w:rsid w:val="006D780A"/>
    <w:rsid w:val="006E7737"/>
    <w:rsid w:val="00706A6C"/>
    <w:rsid w:val="007218FA"/>
    <w:rsid w:val="007315BF"/>
    <w:rsid w:val="0073209A"/>
    <w:rsid w:val="007320A0"/>
    <w:rsid w:val="00732DEC"/>
    <w:rsid w:val="00735BD5"/>
    <w:rsid w:val="00744B85"/>
    <w:rsid w:val="007465A3"/>
    <w:rsid w:val="00753A37"/>
    <w:rsid w:val="007556F6"/>
    <w:rsid w:val="007606A8"/>
    <w:rsid w:val="00760EEF"/>
    <w:rsid w:val="00761620"/>
    <w:rsid w:val="00764395"/>
    <w:rsid w:val="007743B0"/>
    <w:rsid w:val="00777EE5"/>
    <w:rsid w:val="00784529"/>
    <w:rsid w:val="00784836"/>
    <w:rsid w:val="0079023E"/>
    <w:rsid w:val="007922B3"/>
    <w:rsid w:val="007A2854"/>
    <w:rsid w:val="007A50AD"/>
    <w:rsid w:val="007C1830"/>
    <w:rsid w:val="007C253C"/>
    <w:rsid w:val="007C25BD"/>
    <w:rsid w:val="007D0B9D"/>
    <w:rsid w:val="007D19B0"/>
    <w:rsid w:val="007E26E8"/>
    <w:rsid w:val="007F434B"/>
    <w:rsid w:val="007F498F"/>
    <w:rsid w:val="007F4BB2"/>
    <w:rsid w:val="00804548"/>
    <w:rsid w:val="00804E56"/>
    <w:rsid w:val="0080679D"/>
    <w:rsid w:val="008108B0"/>
    <w:rsid w:val="00811B20"/>
    <w:rsid w:val="00822606"/>
    <w:rsid w:val="0082296E"/>
    <w:rsid w:val="00824099"/>
    <w:rsid w:val="008370A7"/>
    <w:rsid w:val="00852B8A"/>
    <w:rsid w:val="00852E78"/>
    <w:rsid w:val="00854F92"/>
    <w:rsid w:val="0086076B"/>
    <w:rsid w:val="008628B2"/>
    <w:rsid w:val="008656D0"/>
    <w:rsid w:val="00867AC1"/>
    <w:rsid w:val="00883F50"/>
    <w:rsid w:val="008A1693"/>
    <w:rsid w:val="008A3A4D"/>
    <w:rsid w:val="008A743F"/>
    <w:rsid w:val="008B199E"/>
    <w:rsid w:val="008B320E"/>
    <w:rsid w:val="008B73CE"/>
    <w:rsid w:val="008C0970"/>
    <w:rsid w:val="008C2B06"/>
    <w:rsid w:val="008D2CF7"/>
    <w:rsid w:val="008D3729"/>
    <w:rsid w:val="008E42FD"/>
    <w:rsid w:val="008F5D36"/>
    <w:rsid w:val="00900C26"/>
    <w:rsid w:val="0090197F"/>
    <w:rsid w:val="00905020"/>
    <w:rsid w:val="00906DDC"/>
    <w:rsid w:val="00910FEE"/>
    <w:rsid w:val="009169D1"/>
    <w:rsid w:val="00930D3B"/>
    <w:rsid w:val="00934E09"/>
    <w:rsid w:val="00935C38"/>
    <w:rsid w:val="00936253"/>
    <w:rsid w:val="0094075E"/>
    <w:rsid w:val="009407A8"/>
    <w:rsid w:val="00946F1E"/>
    <w:rsid w:val="00952DD4"/>
    <w:rsid w:val="00954973"/>
    <w:rsid w:val="00963348"/>
    <w:rsid w:val="00970020"/>
    <w:rsid w:val="00970FED"/>
    <w:rsid w:val="0097523F"/>
    <w:rsid w:val="00977AE1"/>
    <w:rsid w:val="00997029"/>
    <w:rsid w:val="009A20A5"/>
    <w:rsid w:val="009A3215"/>
    <w:rsid w:val="009B22CE"/>
    <w:rsid w:val="009B53C7"/>
    <w:rsid w:val="009B5EF6"/>
    <w:rsid w:val="009C2862"/>
    <w:rsid w:val="009C71A1"/>
    <w:rsid w:val="009C7A14"/>
    <w:rsid w:val="009D1714"/>
    <w:rsid w:val="009D690D"/>
    <w:rsid w:val="009E65B6"/>
    <w:rsid w:val="009F2CA5"/>
    <w:rsid w:val="00A02C24"/>
    <w:rsid w:val="00A13C6F"/>
    <w:rsid w:val="00A24126"/>
    <w:rsid w:val="00A27FC3"/>
    <w:rsid w:val="00A37B04"/>
    <w:rsid w:val="00A402A5"/>
    <w:rsid w:val="00A40A88"/>
    <w:rsid w:val="00A41999"/>
    <w:rsid w:val="00A42AC3"/>
    <w:rsid w:val="00A430CF"/>
    <w:rsid w:val="00A47CDB"/>
    <w:rsid w:val="00A54309"/>
    <w:rsid w:val="00A61C39"/>
    <w:rsid w:val="00A71E72"/>
    <w:rsid w:val="00A83650"/>
    <w:rsid w:val="00AA65E7"/>
    <w:rsid w:val="00AB2B93"/>
    <w:rsid w:val="00AB54CC"/>
    <w:rsid w:val="00AB78ED"/>
    <w:rsid w:val="00AB7E5B"/>
    <w:rsid w:val="00AE00A1"/>
    <w:rsid w:val="00AE0EF1"/>
    <w:rsid w:val="00AE2CC5"/>
    <w:rsid w:val="00B07301"/>
    <w:rsid w:val="00B076BF"/>
    <w:rsid w:val="00B16AA9"/>
    <w:rsid w:val="00B224DE"/>
    <w:rsid w:val="00B450C2"/>
    <w:rsid w:val="00B60A98"/>
    <w:rsid w:val="00B6391A"/>
    <w:rsid w:val="00B82446"/>
    <w:rsid w:val="00B84BBD"/>
    <w:rsid w:val="00B97020"/>
    <w:rsid w:val="00BA43FB"/>
    <w:rsid w:val="00BB3EBD"/>
    <w:rsid w:val="00BC127D"/>
    <w:rsid w:val="00BC1FE6"/>
    <w:rsid w:val="00BD1BF9"/>
    <w:rsid w:val="00BD54F9"/>
    <w:rsid w:val="00BD6B3F"/>
    <w:rsid w:val="00BE11FD"/>
    <w:rsid w:val="00BE5108"/>
    <w:rsid w:val="00BE5974"/>
    <w:rsid w:val="00C061B6"/>
    <w:rsid w:val="00C13808"/>
    <w:rsid w:val="00C2446C"/>
    <w:rsid w:val="00C36064"/>
    <w:rsid w:val="00C36AE5"/>
    <w:rsid w:val="00C41F17"/>
    <w:rsid w:val="00C45EAC"/>
    <w:rsid w:val="00C51EF0"/>
    <w:rsid w:val="00C5493D"/>
    <w:rsid w:val="00C5791C"/>
    <w:rsid w:val="00C66290"/>
    <w:rsid w:val="00C72B7A"/>
    <w:rsid w:val="00C75A1E"/>
    <w:rsid w:val="00C84AE7"/>
    <w:rsid w:val="00C973F2"/>
    <w:rsid w:val="00CA774A"/>
    <w:rsid w:val="00CB0C20"/>
    <w:rsid w:val="00CC11B0"/>
    <w:rsid w:val="00CC169D"/>
    <w:rsid w:val="00CD5775"/>
    <w:rsid w:val="00CE023E"/>
    <w:rsid w:val="00CF5DB9"/>
    <w:rsid w:val="00CF7E36"/>
    <w:rsid w:val="00D022F1"/>
    <w:rsid w:val="00D10C03"/>
    <w:rsid w:val="00D176CC"/>
    <w:rsid w:val="00D2026D"/>
    <w:rsid w:val="00D261C5"/>
    <w:rsid w:val="00D3708D"/>
    <w:rsid w:val="00D37D47"/>
    <w:rsid w:val="00D40426"/>
    <w:rsid w:val="00D4570A"/>
    <w:rsid w:val="00D57C96"/>
    <w:rsid w:val="00D61290"/>
    <w:rsid w:val="00D673EE"/>
    <w:rsid w:val="00D91203"/>
    <w:rsid w:val="00D95174"/>
    <w:rsid w:val="00DA4685"/>
    <w:rsid w:val="00DA6F36"/>
    <w:rsid w:val="00DB596E"/>
    <w:rsid w:val="00DC00EA"/>
    <w:rsid w:val="00DC7D2E"/>
    <w:rsid w:val="00DD5A71"/>
    <w:rsid w:val="00DE1547"/>
    <w:rsid w:val="00DF3E12"/>
    <w:rsid w:val="00DF48BE"/>
    <w:rsid w:val="00E041DE"/>
    <w:rsid w:val="00E50918"/>
    <w:rsid w:val="00E72D49"/>
    <w:rsid w:val="00E7593C"/>
    <w:rsid w:val="00E7678A"/>
    <w:rsid w:val="00E81EB3"/>
    <w:rsid w:val="00E935F1"/>
    <w:rsid w:val="00E94A81"/>
    <w:rsid w:val="00E97C9A"/>
    <w:rsid w:val="00EA1FFB"/>
    <w:rsid w:val="00EA346C"/>
    <w:rsid w:val="00EA3E64"/>
    <w:rsid w:val="00EA5245"/>
    <w:rsid w:val="00EA7A9A"/>
    <w:rsid w:val="00EB048E"/>
    <w:rsid w:val="00EB5683"/>
    <w:rsid w:val="00ED042E"/>
    <w:rsid w:val="00EE0193"/>
    <w:rsid w:val="00EE20AD"/>
    <w:rsid w:val="00EE34DF"/>
    <w:rsid w:val="00EF2F89"/>
    <w:rsid w:val="00F1237A"/>
    <w:rsid w:val="00F22CBD"/>
    <w:rsid w:val="00F2684F"/>
    <w:rsid w:val="00F306DA"/>
    <w:rsid w:val="00F33D64"/>
    <w:rsid w:val="00F45372"/>
    <w:rsid w:val="00F52335"/>
    <w:rsid w:val="00F560F7"/>
    <w:rsid w:val="00F6334D"/>
    <w:rsid w:val="00F66AE9"/>
    <w:rsid w:val="00F70222"/>
    <w:rsid w:val="00F77B84"/>
    <w:rsid w:val="00F803A3"/>
    <w:rsid w:val="00F83B19"/>
    <w:rsid w:val="00F91482"/>
    <w:rsid w:val="00F91697"/>
    <w:rsid w:val="00F96DDA"/>
    <w:rsid w:val="00FA49AB"/>
    <w:rsid w:val="00FC104E"/>
    <w:rsid w:val="00FE39C7"/>
    <w:rsid w:val="00FE3AE4"/>
    <w:rsid w:val="00FF45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BD6B3F"/>
    <w:pPr>
      <w:keepNext/>
      <w:outlineLvl w:val="0"/>
    </w:pPr>
    <w:rPr>
      <w:caps/>
      <w:color w:val="808080"/>
      <w:lang w:val="es-ES_tradnl" w:eastAsia="ja-JP"/>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6B3F"/>
    <w:rPr>
      <w:rFonts w:ascii="Arial" w:hAnsi="Arial" w:cs="Times New Roman"/>
      <w:caps/>
      <w:color w:val="808080"/>
      <w:lang w:val="es-ES_tradnl" w:eastAsia="ja-JP"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312C2A"/>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locked/>
    <w:rsid w:val="00312C2A"/>
    <w:rPr>
      <w:rFonts w:ascii="Arial" w:hAnsi="Arial" w:cs="Times New Roman"/>
      <w:sz w:val="16"/>
      <w:lang w:val="en-US" w:eastAsia="en-US" w:bidi="ar-SA"/>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C45EAC"/>
    <w:pPr>
      <w:spacing w:before="480"/>
      <w:ind w:left="567" w:hanging="567"/>
      <w:jc w:val="right"/>
    </w:pPr>
    <w:rPr>
      <w:rFonts w:ascii="Arial" w:hAnsi="Arial" w:cs="Arial"/>
      <w:color w:val="808080"/>
      <w:sz w:val="20"/>
      <w:szCs w:val="20"/>
      <w:lang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B6391A"/>
    <w:pPr>
      <w:tabs>
        <w:tab w:val="right" w:leader="dot" w:pos="9639"/>
      </w:tabs>
      <w:spacing w:after="240"/>
      <w:jc w:val="left"/>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styleId="Emphasis">
    <w:name w:val="Emphasis"/>
    <w:basedOn w:val="DefaultParagraphFont"/>
    <w:uiPriority w:val="99"/>
    <w:qFormat/>
    <w:rsid w:val="00312C2A"/>
    <w:rPr>
      <w:rFonts w:cs="Times New Roman"/>
      <w:i/>
      <w:iCs/>
    </w:rPr>
  </w:style>
  <w:style w:type="paragraph" w:styleId="BodyTextIndent3">
    <w:name w:val="Body Text Indent 3"/>
    <w:basedOn w:val="Normal"/>
    <w:link w:val="BodyTextIndent3Char"/>
    <w:uiPriority w:val="99"/>
    <w:rsid w:val="00312C2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uiPriority w:val="99"/>
    <w:locked/>
    <w:rsid w:val="00312C2A"/>
    <w:rPr>
      <w:rFonts w:eastAsia="Times New Roman" w:cs="Angsana New"/>
      <w:color w:val="000000"/>
      <w:sz w:val="24"/>
      <w:szCs w:val="24"/>
      <w:lang w:eastAsia="ja-JP" w:bidi="th-TH"/>
    </w:rPr>
  </w:style>
  <w:style w:type="paragraph" w:styleId="ListParagraph">
    <w:name w:val="List Paragraph"/>
    <w:basedOn w:val="Normal"/>
    <w:uiPriority w:val="99"/>
    <w:qFormat/>
    <w:rsid w:val="00312C2A"/>
    <w:pPr>
      <w:ind w:left="720"/>
      <w:contextualSpacing/>
    </w:pPr>
  </w:style>
  <w:style w:type="table" w:styleId="TableGrid">
    <w:name w:val="Table Grid"/>
    <w:basedOn w:val="TableNormal"/>
    <w:uiPriority w:val="99"/>
    <w:rsid w:val="00312C2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12C2A"/>
    <w:pPr>
      <w:spacing w:after="120"/>
      <w:ind w:left="283"/>
    </w:pPr>
  </w:style>
  <w:style w:type="character" w:customStyle="1" w:styleId="BodyTextIndentChar">
    <w:name w:val="Body Text Indent Char"/>
    <w:basedOn w:val="DefaultParagraphFont"/>
    <w:link w:val="BodyTextIndent"/>
    <w:uiPriority w:val="99"/>
    <w:locked/>
    <w:rsid w:val="00312C2A"/>
    <w:rPr>
      <w:rFonts w:ascii="Arial" w:hAnsi="Arial" w:cs="Times New Roman"/>
    </w:rPr>
  </w:style>
  <w:style w:type="paragraph" w:customStyle="1" w:styleId="DecisionInvitingPara">
    <w:name w:val="Decision Inviting Para."/>
    <w:basedOn w:val="Normal"/>
    <w:uiPriority w:val="99"/>
    <w:rsid w:val="00312C2A"/>
    <w:pPr>
      <w:ind w:left="4536"/>
    </w:pPr>
    <w:rPr>
      <w:i/>
      <w:lang w:val="es-ES_tradnl"/>
    </w:rPr>
  </w:style>
  <w:style w:type="paragraph" w:customStyle="1" w:styleId="Style1">
    <w:name w:val="Style1"/>
    <w:basedOn w:val="Normal"/>
    <w:uiPriority w:val="99"/>
    <w:rsid w:val="00312C2A"/>
    <w:pPr>
      <w:tabs>
        <w:tab w:val="decimal" w:pos="907"/>
        <w:tab w:val="left" w:pos="1077"/>
      </w:tabs>
    </w:pPr>
    <w:rPr>
      <w:rFonts w:ascii="Times New Roman" w:hAnsi="Times New Roman"/>
      <w:sz w:val="24"/>
      <w:szCs w:val="24"/>
      <w:lang w:eastAsia="ja-JP"/>
    </w:rPr>
  </w:style>
  <w:style w:type="paragraph" w:styleId="TOCHeading">
    <w:name w:val="TOC Heading"/>
    <w:basedOn w:val="Heading1"/>
    <w:next w:val="Normal"/>
    <w:uiPriority w:val="99"/>
    <w:qFormat/>
    <w:rsid w:val="00312C2A"/>
    <w:pPr>
      <w:keepLines/>
      <w:spacing w:before="480" w:line="276" w:lineRule="auto"/>
      <w:jc w:val="left"/>
      <w:outlineLvl w:val="9"/>
    </w:pPr>
    <w:rPr>
      <w:rFonts w:ascii="Cambria" w:hAnsi="Cambria"/>
      <w:b/>
      <w:bCs/>
      <w:caps w:val="0"/>
      <w:color w:val="365F91"/>
      <w:sz w:val="28"/>
      <w:szCs w:val="28"/>
    </w:rPr>
  </w:style>
  <w:style w:type="character" w:styleId="CommentReference">
    <w:name w:val="annotation reference"/>
    <w:basedOn w:val="DefaultParagraphFont"/>
    <w:uiPriority w:val="99"/>
    <w:rsid w:val="00BE5108"/>
    <w:rPr>
      <w:rFonts w:cs="Times New Roman"/>
      <w:sz w:val="16"/>
      <w:szCs w:val="16"/>
    </w:rPr>
  </w:style>
  <w:style w:type="paragraph" w:styleId="CommentText">
    <w:name w:val="annotation text"/>
    <w:basedOn w:val="Normal"/>
    <w:link w:val="CommentTextChar"/>
    <w:uiPriority w:val="99"/>
    <w:rsid w:val="00BE5108"/>
  </w:style>
  <w:style w:type="character" w:customStyle="1" w:styleId="CommentTextChar">
    <w:name w:val="Comment Text Char"/>
    <w:basedOn w:val="DefaultParagraphFont"/>
    <w:link w:val="CommentText"/>
    <w:uiPriority w:val="99"/>
    <w:locked/>
    <w:rsid w:val="00BE5108"/>
    <w:rPr>
      <w:rFonts w:ascii="Arial" w:hAnsi="Arial" w:cs="Times New Roman"/>
    </w:rPr>
  </w:style>
  <w:style w:type="paragraph" w:styleId="CommentSubject">
    <w:name w:val="annotation subject"/>
    <w:basedOn w:val="CommentText"/>
    <w:next w:val="CommentText"/>
    <w:link w:val="CommentSubjectChar"/>
    <w:uiPriority w:val="99"/>
    <w:rsid w:val="00BE5108"/>
    <w:rPr>
      <w:b/>
      <w:bCs/>
    </w:rPr>
  </w:style>
  <w:style w:type="character" w:customStyle="1" w:styleId="CommentSubjectChar">
    <w:name w:val="Comment Subject Char"/>
    <w:basedOn w:val="CommentTextChar"/>
    <w:link w:val="CommentSubject"/>
    <w:uiPriority w:val="99"/>
    <w:locked/>
    <w:rsid w:val="00BE5108"/>
    <w:rPr>
      <w:rFonts w:ascii="Arial" w:hAnsi="Arial" w:cs="Times New Roman"/>
      <w:b/>
      <w:bCs/>
    </w:rPr>
  </w:style>
  <w:style w:type="paragraph" w:styleId="Revision">
    <w:name w:val="Revision"/>
    <w:hidden/>
    <w:uiPriority w:val="99"/>
    <w:semiHidden/>
    <w:rsid w:val="00BE5108"/>
    <w:rPr>
      <w:rFonts w:ascii="Arial" w:hAnsi="Arial"/>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BD6B3F"/>
    <w:pPr>
      <w:keepNext/>
      <w:outlineLvl w:val="0"/>
    </w:pPr>
    <w:rPr>
      <w:caps/>
      <w:color w:val="808080"/>
      <w:lang w:val="es-ES_tradnl" w:eastAsia="ja-JP"/>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6B3F"/>
    <w:rPr>
      <w:rFonts w:ascii="Arial" w:hAnsi="Arial" w:cs="Times New Roman"/>
      <w:caps/>
      <w:color w:val="808080"/>
      <w:lang w:val="es-ES_tradnl" w:eastAsia="ja-JP"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312C2A"/>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locked/>
    <w:rsid w:val="00312C2A"/>
    <w:rPr>
      <w:rFonts w:ascii="Arial" w:hAnsi="Arial" w:cs="Times New Roman"/>
      <w:sz w:val="16"/>
      <w:lang w:val="en-US" w:eastAsia="en-US" w:bidi="ar-SA"/>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C45EAC"/>
    <w:pPr>
      <w:spacing w:before="480"/>
      <w:ind w:left="567" w:hanging="567"/>
      <w:jc w:val="right"/>
    </w:pPr>
    <w:rPr>
      <w:rFonts w:ascii="Arial" w:hAnsi="Arial" w:cs="Arial"/>
      <w:color w:val="808080"/>
      <w:sz w:val="20"/>
      <w:szCs w:val="20"/>
      <w:lang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B6391A"/>
    <w:pPr>
      <w:tabs>
        <w:tab w:val="right" w:leader="dot" w:pos="9639"/>
      </w:tabs>
      <w:spacing w:after="240"/>
      <w:jc w:val="left"/>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styleId="Emphasis">
    <w:name w:val="Emphasis"/>
    <w:basedOn w:val="DefaultParagraphFont"/>
    <w:uiPriority w:val="99"/>
    <w:qFormat/>
    <w:rsid w:val="00312C2A"/>
    <w:rPr>
      <w:rFonts w:cs="Times New Roman"/>
      <w:i/>
      <w:iCs/>
    </w:rPr>
  </w:style>
  <w:style w:type="paragraph" w:styleId="BodyTextIndent3">
    <w:name w:val="Body Text Indent 3"/>
    <w:basedOn w:val="Normal"/>
    <w:link w:val="BodyTextIndent3Char"/>
    <w:uiPriority w:val="99"/>
    <w:rsid w:val="00312C2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uiPriority w:val="99"/>
    <w:locked/>
    <w:rsid w:val="00312C2A"/>
    <w:rPr>
      <w:rFonts w:eastAsia="Times New Roman" w:cs="Angsana New"/>
      <w:color w:val="000000"/>
      <w:sz w:val="24"/>
      <w:szCs w:val="24"/>
      <w:lang w:eastAsia="ja-JP" w:bidi="th-TH"/>
    </w:rPr>
  </w:style>
  <w:style w:type="paragraph" w:styleId="ListParagraph">
    <w:name w:val="List Paragraph"/>
    <w:basedOn w:val="Normal"/>
    <w:uiPriority w:val="99"/>
    <w:qFormat/>
    <w:rsid w:val="00312C2A"/>
    <w:pPr>
      <w:ind w:left="720"/>
      <w:contextualSpacing/>
    </w:pPr>
  </w:style>
  <w:style w:type="table" w:styleId="TableGrid">
    <w:name w:val="Table Grid"/>
    <w:basedOn w:val="TableNormal"/>
    <w:uiPriority w:val="99"/>
    <w:rsid w:val="00312C2A"/>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312C2A"/>
    <w:pPr>
      <w:spacing w:after="120"/>
      <w:ind w:left="283"/>
    </w:pPr>
  </w:style>
  <w:style w:type="character" w:customStyle="1" w:styleId="BodyTextIndentChar">
    <w:name w:val="Body Text Indent Char"/>
    <w:basedOn w:val="DefaultParagraphFont"/>
    <w:link w:val="BodyTextIndent"/>
    <w:uiPriority w:val="99"/>
    <w:locked/>
    <w:rsid w:val="00312C2A"/>
    <w:rPr>
      <w:rFonts w:ascii="Arial" w:hAnsi="Arial" w:cs="Times New Roman"/>
    </w:rPr>
  </w:style>
  <w:style w:type="paragraph" w:customStyle="1" w:styleId="DecisionInvitingPara">
    <w:name w:val="Decision Inviting Para."/>
    <w:basedOn w:val="Normal"/>
    <w:uiPriority w:val="99"/>
    <w:rsid w:val="00312C2A"/>
    <w:pPr>
      <w:ind w:left="4536"/>
    </w:pPr>
    <w:rPr>
      <w:i/>
      <w:lang w:val="es-ES_tradnl"/>
    </w:rPr>
  </w:style>
  <w:style w:type="paragraph" w:customStyle="1" w:styleId="Style1">
    <w:name w:val="Style1"/>
    <w:basedOn w:val="Normal"/>
    <w:uiPriority w:val="99"/>
    <w:rsid w:val="00312C2A"/>
    <w:pPr>
      <w:tabs>
        <w:tab w:val="decimal" w:pos="907"/>
        <w:tab w:val="left" w:pos="1077"/>
      </w:tabs>
    </w:pPr>
    <w:rPr>
      <w:rFonts w:ascii="Times New Roman" w:hAnsi="Times New Roman"/>
      <w:sz w:val="24"/>
      <w:szCs w:val="24"/>
      <w:lang w:eastAsia="ja-JP"/>
    </w:rPr>
  </w:style>
  <w:style w:type="paragraph" w:styleId="TOCHeading">
    <w:name w:val="TOC Heading"/>
    <w:basedOn w:val="Heading1"/>
    <w:next w:val="Normal"/>
    <w:uiPriority w:val="99"/>
    <w:qFormat/>
    <w:rsid w:val="00312C2A"/>
    <w:pPr>
      <w:keepLines/>
      <w:spacing w:before="480" w:line="276" w:lineRule="auto"/>
      <w:jc w:val="left"/>
      <w:outlineLvl w:val="9"/>
    </w:pPr>
    <w:rPr>
      <w:rFonts w:ascii="Cambria" w:hAnsi="Cambria"/>
      <w:b/>
      <w:bCs/>
      <w:caps w:val="0"/>
      <w:color w:val="365F91"/>
      <w:sz w:val="28"/>
      <w:szCs w:val="28"/>
    </w:rPr>
  </w:style>
  <w:style w:type="character" w:styleId="CommentReference">
    <w:name w:val="annotation reference"/>
    <w:basedOn w:val="DefaultParagraphFont"/>
    <w:uiPriority w:val="99"/>
    <w:rsid w:val="00BE5108"/>
    <w:rPr>
      <w:rFonts w:cs="Times New Roman"/>
      <w:sz w:val="16"/>
      <w:szCs w:val="16"/>
    </w:rPr>
  </w:style>
  <w:style w:type="paragraph" w:styleId="CommentText">
    <w:name w:val="annotation text"/>
    <w:basedOn w:val="Normal"/>
    <w:link w:val="CommentTextChar"/>
    <w:uiPriority w:val="99"/>
    <w:rsid w:val="00BE5108"/>
  </w:style>
  <w:style w:type="character" w:customStyle="1" w:styleId="CommentTextChar">
    <w:name w:val="Comment Text Char"/>
    <w:basedOn w:val="DefaultParagraphFont"/>
    <w:link w:val="CommentText"/>
    <w:uiPriority w:val="99"/>
    <w:locked/>
    <w:rsid w:val="00BE5108"/>
    <w:rPr>
      <w:rFonts w:ascii="Arial" w:hAnsi="Arial" w:cs="Times New Roman"/>
    </w:rPr>
  </w:style>
  <w:style w:type="paragraph" w:styleId="CommentSubject">
    <w:name w:val="annotation subject"/>
    <w:basedOn w:val="CommentText"/>
    <w:next w:val="CommentText"/>
    <w:link w:val="CommentSubjectChar"/>
    <w:uiPriority w:val="99"/>
    <w:rsid w:val="00BE5108"/>
    <w:rPr>
      <w:b/>
      <w:bCs/>
    </w:rPr>
  </w:style>
  <w:style w:type="character" w:customStyle="1" w:styleId="CommentSubjectChar">
    <w:name w:val="Comment Subject Char"/>
    <w:basedOn w:val="CommentTextChar"/>
    <w:link w:val="CommentSubject"/>
    <w:uiPriority w:val="99"/>
    <w:locked/>
    <w:rsid w:val="00BE5108"/>
    <w:rPr>
      <w:rFonts w:ascii="Arial" w:hAnsi="Arial" w:cs="Times New Roman"/>
      <w:b/>
      <w:bCs/>
    </w:rPr>
  </w:style>
  <w:style w:type="paragraph" w:styleId="Revision">
    <w:name w:val="Revision"/>
    <w:hidden/>
    <w:uiPriority w:val="99"/>
    <w:semiHidden/>
    <w:rsid w:val="00BE5108"/>
    <w:rPr>
      <w:rFonts w:ascii="Arial" w:hAnsi="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about/es/faq.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3713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BOU LLORET Amparo</dc:creator>
  <cp:lastModifiedBy>SANCHEZ-VIZCAINO GOMEZ Rosa Maria</cp:lastModifiedBy>
  <cp:revision>14</cp:revision>
  <cp:lastPrinted>2015-03-10T11:43:00Z</cp:lastPrinted>
  <dcterms:created xsi:type="dcterms:W3CDTF">2015-03-06T11:37:00Z</dcterms:created>
  <dcterms:modified xsi:type="dcterms:W3CDTF">2015-03-10T11:43:00Z</dcterms:modified>
</cp:coreProperties>
</file>