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C87B83" w:rsidRPr="00126344" w:rsidTr="00126344">
        <w:trPr>
          <w:trHeight w:val="1760"/>
        </w:trPr>
        <w:tc>
          <w:tcPr>
            <w:tcW w:w="4243" w:type="dxa"/>
          </w:tcPr>
          <w:p w:rsidR="00C87B83" w:rsidRPr="005B4836" w:rsidRDefault="00C87B83" w:rsidP="00126344"/>
        </w:tc>
        <w:tc>
          <w:tcPr>
            <w:tcW w:w="1646" w:type="dxa"/>
            <w:vAlign w:val="center"/>
          </w:tcPr>
          <w:p w:rsidR="00C87B83" w:rsidRPr="00C87B83" w:rsidRDefault="00C87B83" w:rsidP="00126344">
            <w:pPr>
              <w:pStyle w:val="LogoUPOV"/>
            </w:pPr>
            <w:r w:rsidRPr="00C87B83">
              <w:rPr>
                <w:noProof/>
              </w:rPr>
              <w:drawing>
                <wp:inline distT="0" distB="0" distL="0" distR="0" wp14:anchorId="57C15B35" wp14:editId="2FD4F1D9">
                  <wp:extent cx="981710" cy="481330"/>
                  <wp:effectExtent l="0" t="0" r="8890"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C87B83" w:rsidRPr="00126344" w:rsidRDefault="00C87B83" w:rsidP="00126344">
            <w:pPr>
              <w:pStyle w:val="Lettrine"/>
              <w:rPr>
                <w:lang w:val="es-ES"/>
              </w:rPr>
            </w:pPr>
            <w:r w:rsidRPr="00126344">
              <w:rPr>
                <w:lang w:val="es-ES"/>
              </w:rPr>
              <w:t>S</w:t>
            </w:r>
          </w:p>
          <w:p w:rsidR="00C87B83" w:rsidRPr="00126344" w:rsidRDefault="00C87B83" w:rsidP="00126344">
            <w:pPr>
              <w:pStyle w:val="Docoriginal"/>
              <w:ind w:left="1050"/>
              <w:jc w:val="left"/>
              <w:rPr>
                <w:lang w:val="es-ES"/>
              </w:rPr>
            </w:pPr>
            <w:r w:rsidRPr="00126344">
              <w:rPr>
                <w:lang w:val="es-ES"/>
              </w:rPr>
              <w:t>CAJ/69/10</w:t>
            </w:r>
          </w:p>
          <w:p w:rsidR="00C87B83" w:rsidRPr="00126344" w:rsidRDefault="00C87B83" w:rsidP="00126344">
            <w:pPr>
              <w:pStyle w:val="Docoriginal"/>
              <w:ind w:left="1050"/>
              <w:jc w:val="left"/>
              <w:rPr>
                <w:lang w:val="es-ES"/>
              </w:rPr>
            </w:pPr>
            <w:r w:rsidRPr="00C87B83">
              <w:rPr>
                <w:rStyle w:val="StyleDoclangBold"/>
                <w:b/>
                <w:spacing w:val="0"/>
                <w:lang w:val="es-ES_tradnl"/>
              </w:rPr>
              <w:t>ORIGINAL</w:t>
            </w:r>
            <w:r w:rsidRPr="00C87B83">
              <w:rPr>
                <w:rStyle w:val="StyleDoclangBold"/>
                <w:spacing w:val="0"/>
                <w:lang w:val="es-ES_tradnl"/>
              </w:rPr>
              <w:t>:</w:t>
            </w:r>
            <w:r w:rsidRPr="00C87B83">
              <w:rPr>
                <w:rStyle w:val="StyleDocoriginalNotBold1"/>
                <w:spacing w:val="0"/>
                <w:lang w:val="es-ES_tradnl"/>
              </w:rPr>
              <w:t xml:space="preserve">  </w:t>
            </w:r>
            <w:r w:rsidRPr="00126344">
              <w:rPr>
                <w:b w:val="0"/>
                <w:spacing w:val="0"/>
                <w:lang w:val="es-ES"/>
              </w:rPr>
              <w:t>Inglés</w:t>
            </w:r>
          </w:p>
          <w:p w:rsidR="00C87B83" w:rsidRPr="00126344" w:rsidRDefault="00C87B83" w:rsidP="00E142CD">
            <w:pPr>
              <w:pStyle w:val="Docoriginal"/>
              <w:ind w:left="1050"/>
              <w:jc w:val="left"/>
              <w:rPr>
                <w:lang w:val="es-ES"/>
              </w:rPr>
            </w:pPr>
            <w:r w:rsidRPr="00126344">
              <w:rPr>
                <w:spacing w:val="0"/>
                <w:lang w:val="es-ES"/>
              </w:rPr>
              <w:t>FECHA:</w:t>
            </w:r>
            <w:r w:rsidRPr="00126344">
              <w:rPr>
                <w:b w:val="0"/>
                <w:spacing w:val="0"/>
                <w:lang w:val="es-ES"/>
              </w:rPr>
              <w:t xml:space="preserve"> </w:t>
            </w:r>
            <w:r w:rsidRPr="00C87B83">
              <w:rPr>
                <w:rStyle w:val="StyleDocoriginalNotBold1"/>
                <w:spacing w:val="0"/>
                <w:lang w:val="es-ES_tradnl"/>
              </w:rPr>
              <w:t xml:space="preserve"> </w:t>
            </w:r>
            <w:bookmarkStart w:id="0" w:name="Date"/>
            <w:bookmarkEnd w:id="0"/>
            <w:r w:rsidRPr="00C87B83">
              <w:rPr>
                <w:rStyle w:val="StyleDocoriginalNotBold1"/>
                <w:spacing w:val="0"/>
                <w:lang w:val="es-ES_tradnl"/>
              </w:rPr>
              <w:t>2</w:t>
            </w:r>
            <w:r w:rsidR="00E142CD">
              <w:rPr>
                <w:rStyle w:val="StyleDocoriginalNotBold1"/>
                <w:spacing w:val="0"/>
                <w:lang w:val="es-ES_tradnl"/>
              </w:rPr>
              <w:t xml:space="preserve">7 </w:t>
            </w:r>
            <w:r w:rsidRPr="00C87B83">
              <w:rPr>
                <w:rStyle w:val="StyleDocoriginalNotBold1"/>
                <w:spacing w:val="0"/>
                <w:lang w:val="es-ES_tradnl"/>
              </w:rPr>
              <w:t xml:space="preserve">de febrero de </w:t>
            </w:r>
            <w:r w:rsidRPr="00126344">
              <w:rPr>
                <w:b w:val="0"/>
                <w:spacing w:val="0"/>
                <w:lang w:val="es-ES"/>
              </w:rPr>
              <w:t>2014</w:t>
            </w:r>
          </w:p>
        </w:tc>
      </w:tr>
      <w:tr w:rsidR="00C87B83" w:rsidRPr="00126344" w:rsidTr="00126344">
        <w:tc>
          <w:tcPr>
            <w:tcW w:w="10131" w:type="dxa"/>
            <w:gridSpan w:val="3"/>
          </w:tcPr>
          <w:p w:rsidR="00C87B83" w:rsidRPr="00126344" w:rsidRDefault="00C87B83" w:rsidP="00126344">
            <w:pPr>
              <w:pStyle w:val="upove"/>
              <w:rPr>
                <w:spacing w:val="2"/>
                <w:sz w:val="28"/>
                <w:lang w:val="es-ES"/>
              </w:rPr>
            </w:pPr>
            <w:r w:rsidRPr="00126344">
              <w:rPr>
                <w:spacing w:val="2"/>
                <w:lang w:val="es-ES"/>
              </w:rPr>
              <w:t>UNIÓN INTERNACIONAL PARA LA PROTECCIÓN DE LAS OBTENCIONES VEGETALES</w:t>
            </w:r>
          </w:p>
        </w:tc>
      </w:tr>
      <w:tr w:rsidR="00C87B83" w:rsidRPr="005B4836" w:rsidTr="00126344">
        <w:tc>
          <w:tcPr>
            <w:tcW w:w="10131" w:type="dxa"/>
            <w:gridSpan w:val="3"/>
          </w:tcPr>
          <w:p w:rsidR="00C87B83" w:rsidRPr="005B4836" w:rsidRDefault="00C87B83" w:rsidP="00126344">
            <w:pPr>
              <w:pStyle w:val="Country"/>
            </w:pPr>
            <w:proofErr w:type="spellStart"/>
            <w:r w:rsidRPr="005B4836">
              <w:t>Ginebra</w:t>
            </w:r>
            <w:proofErr w:type="spellEnd"/>
          </w:p>
        </w:tc>
      </w:tr>
    </w:tbl>
    <w:p w:rsidR="00B9396E" w:rsidRPr="00FA5F3D" w:rsidRDefault="00B9396E" w:rsidP="00457603">
      <w:pPr>
        <w:pStyle w:val="Sessiontc"/>
        <w:rPr>
          <w:lang w:val="es-ES_tradnl"/>
        </w:rPr>
      </w:pPr>
      <w:bookmarkStart w:id="1" w:name="TitleOfDoc"/>
      <w:bookmarkEnd w:id="1"/>
      <w:r w:rsidRPr="00FA5F3D">
        <w:rPr>
          <w:lang w:val="es-ES_tradnl"/>
        </w:rPr>
        <w:t>Comité Administrativo y Jurídico</w:t>
      </w:r>
    </w:p>
    <w:p w:rsidR="00B9396E" w:rsidRPr="006E5110" w:rsidRDefault="00B9396E" w:rsidP="00457603">
      <w:pPr>
        <w:pStyle w:val="Sessiontcplacedate"/>
        <w:rPr>
          <w:lang w:val="es-ES_tradnl"/>
        </w:rPr>
      </w:pPr>
      <w:r w:rsidRPr="00FA5F3D">
        <w:rPr>
          <w:lang w:val="es-ES_tradnl"/>
        </w:rPr>
        <w:t>Sexagésima novena sesión</w:t>
      </w:r>
      <w:r w:rsidRPr="00FA5F3D">
        <w:rPr>
          <w:lang w:val="es-ES_tradnl"/>
        </w:rPr>
        <w:br/>
        <w:t>Ginebra, 10 de abril de 2014</w:t>
      </w:r>
    </w:p>
    <w:p w:rsidR="00B9396E" w:rsidRPr="006E5110" w:rsidRDefault="00B9396E" w:rsidP="00DE70FB">
      <w:pPr>
        <w:pStyle w:val="Titleofdoc0"/>
        <w:rPr>
          <w:lang w:val="es-ES_tradnl"/>
        </w:rPr>
      </w:pPr>
      <w:r w:rsidRPr="00FA5F3D">
        <w:rPr>
          <w:kern w:val="28"/>
          <w:lang w:val="es-ES_tradnl"/>
        </w:rPr>
        <w:t xml:space="preserve">CUESTIONES PLANTEADAS POR LA </w:t>
      </w:r>
      <w:r w:rsidRPr="006E5110">
        <w:rPr>
          <w:i/>
          <w:kern w:val="28"/>
          <w:lang w:val="es-ES_tradnl"/>
        </w:rPr>
        <w:t>INTERNATIONAL SEED FEDERATION</w:t>
      </w:r>
      <w:r w:rsidRPr="00FA5F3D">
        <w:rPr>
          <w:kern w:val="28"/>
          <w:lang w:val="es-ES_tradnl"/>
        </w:rPr>
        <w:t xml:space="preserve"> (ISF)</w:t>
      </w:r>
    </w:p>
    <w:p w:rsidR="00B9396E" w:rsidRPr="00FA5F3D" w:rsidRDefault="00B9396E" w:rsidP="00457603">
      <w:pPr>
        <w:pStyle w:val="preparedby1"/>
        <w:rPr>
          <w:lang w:val="es-ES_tradnl"/>
        </w:rPr>
      </w:pPr>
      <w:bookmarkStart w:id="2" w:name="Prepared"/>
      <w:bookmarkEnd w:id="2"/>
      <w:r w:rsidRPr="00FA5F3D">
        <w:rPr>
          <w:lang w:val="es-ES_tradnl"/>
        </w:rPr>
        <w:t>Documento preparado por la Oficina de la Unión</w:t>
      </w:r>
      <w:r w:rsidRPr="00FA5F3D">
        <w:rPr>
          <w:lang w:val="es-ES_tradnl"/>
        </w:rPr>
        <w:br/>
      </w:r>
      <w:r w:rsidRPr="00FA5F3D">
        <w:rPr>
          <w:lang w:val="es-ES_tradnl"/>
        </w:rPr>
        <w:br/>
      </w:r>
      <w:r w:rsidRPr="00FA5F3D">
        <w:rPr>
          <w:color w:val="A6A6A6"/>
          <w:lang w:val="es-ES_tradnl"/>
        </w:rPr>
        <w:t>Descargo de responsabilidad</w:t>
      </w:r>
      <w:proofErr w:type="gramStart"/>
      <w:r w:rsidRPr="00FA5F3D">
        <w:rPr>
          <w:color w:val="A6A6A6"/>
          <w:lang w:val="es-ES_tradnl"/>
        </w:rPr>
        <w:t>:  el</w:t>
      </w:r>
      <w:proofErr w:type="gramEnd"/>
      <w:r w:rsidRPr="00FA5F3D">
        <w:rPr>
          <w:color w:val="A6A6A6"/>
          <w:lang w:val="es-ES_tradnl"/>
        </w:rPr>
        <w:t xml:space="preserve"> presente documento no constituye</w:t>
      </w:r>
      <w:r w:rsidRPr="00FA5F3D">
        <w:rPr>
          <w:color w:val="A6A6A6"/>
          <w:lang w:val="es-ES_tradnl"/>
        </w:rPr>
        <w:br/>
        <w:t>un documento de política u orientación de la UPOV</w:t>
      </w:r>
    </w:p>
    <w:p w:rsidR="00B9396E" w:rsidRPr="006E5110" w:rsidRDefault="00B9396E" w:rsidP="006C0E37">
      <w:pPr>
        <w:rPr>
          <w:lang w:val="es-ES_tradnl"/>
        </w:rPr>
      </w:pPr>
      <w:r w:rsidRPr="00987226">
        <w:fldChar w:fldCharType="begin"/>
      </w:r>
      <w:r w:rsidRPr="006E5110">
        <w:rPr>
          <w:lang w:val="es-ES_tradnl"/>
        </w:rPr>
        <w:instrText xml:space="preserve"> AUTONUM  </w:instrText>
      </w:r>
      <w:r w:rsidRPr="00987226">
        <w:fldChar w:fldCharType="end"/>
      </w:r>
      <w:r w:rsidRPr="006E5110">
        <w:rPr>
          <w:lang w:val="es-ES_tradnl"/>
        </w:rPr>
        <w:tab/>
      </w:r>
      <w:r w:rsidRPr="00DE70FB">
        <w:rPr>
          <w:lang w:val="es-ES_tradnl"/>
        </w:rPr>
        <w:t>El presente documento tiene por finalidades:</w:t>
      </w:r>
    </w:p>
    <w:p w:rsidR="00B9396E" w:rsidRPr="006E5110" w:rsidRDefault="00B9396E" w:rsidP="006C0E37">
      <w:pPr>
        <w:rPr>
          <w:lang w:val="es-ES_tradnl"/>
        </w:rPr>
      </w:pPr>
    </w:p>
    <w:p w:rsidR="00B9396E" w:rsidRPr="006E5110" w:rsidRDefault="00B9396E" w:rsidP="00B60F56">
      <w:pPr>
        <w:ind w:firstLine="567"/>
        <w:rPr>
          <w:rFonts w:cs="Arial"/>
          <w:lang w:val="es-ES_tradnl"/>
        </w:rPr>
      </w:pPr>
      <w:r w:rsidRPr="00FA5F3D">
        <w:rPr>
          <w:lang w:val="es-ES_tradnl"/>
        </w:rPr>
        <w:t>a)</w:t>
      </w:r>
      <w:r w:rsidRPr="006E5110">
        <w:rPr>
          <w:lang w:val="es-ES_tradnl"/>
        </w:rPr>
        <w:tab/>
      </w:r>
      <w:r w:rsidRPr="00A02170">
        <w:rPr>
          <w:lang w:val="es-ES_tradnl"/>
        </w:rPr>
        <w:t xml:space="preserve">exponer las cuestiones señaladas por el </w:t>
      </w:r>
      <w:r w:rsidRPr="00A02170">
        <w:rPr>
          <w:rFonts w:cs="Arial"/>
          <w:lang w:val="es-ES_tradnl"/>
        </w:rPr>
        <w:t xml:space="preserve">Comité Consultivo </w:t>
      </w:r>
      <w:r w:rsidRPr="00A02170">
        <w:rPr>
          <w:lang w:val="es-ES_tradnl"/>
        </w:rPr>
        <w:t xml:space="preserve">en su octogésima sexta sesión, celebrada en Ginebra los días 23 y 24 de octubre de 2013, en relación con </w:t>
      </w:r>
      <w:r w:rsidR="00541C24">
        <w:rPr>
          <w:lang w:val="es-ES_tradnl"/>
        </w:rPr>
        <w:t xml:space="preserve">la </w:t>
      </w:r>
      <w:r w:rsidR="00541C24" w:rsidRPr="008212EE">
        <w:rPr>
          <w:rFonts w:cs="Arial"/>
          <w:lang w:val="es-ES_tradnl"/>
        </w:rPr>
        <w:t xml:space="preserve">carta enviada por la </w:t>
      </w:r>
      <w:r w:rsidR="00541C24" w:rsidRPr="006E5110">
        <w:rPr>
          <w:rFonts w:cs="Arial"/>
          <w:i/>
          <w:lang w:val="es-ES_tradnl"/>
        </w:rPr>
        <w:t xml:space="preserve">International </w:t>
      </w:r>
      <w:proofErr w:type="spellStart"/>
      <w:r w:rsidR="00541C24" w:rsidRPr="006E5110">
        <w:rPr>
          <w:rFonts w:cs="Arial"/>
          <w:i/>
          <w:lang w:val="es-ES_tradnl"/>
        </w:rPr>
        <w:t>Seed</w:t>
      </w:r>
      <w:proofErr w:type="spellEnd"/>
      <w:r w:rsidR="00541C24" w:rsidRPr="006E5110">
        <w:rPr>
          <w:rFonts w:cs="Arial"/>
          <w:i/>
          <w:lang w:val="es-ES_tradnl"/>
        </w:rPr>
        <w:t xml:space="preserve"> </w:t>
      </w:r>
      <w:proofErr w:type="spellStart"/>
      <w:r w:rsidR="00541C24" w:rsidRPr="006E5110">
        <w:rPr>
          <w:rFonts w:cs="Arial"/>
          <w:i/>
          <w:lang w:val="es-ES_tradnl"/>
        </w:rPr>
        <w:t>Federation</w:t>
      </w:r>
      <w:proofErr w:type="spellEnd"/>
      <w:r w:rsidR="00541C24" w:rsidRPr="008212EE">
        <w:rPr>
          <w:rFonts w:cs="Arial"/>
          <w:lang w:val="es-ES_tradnl"/>
        </w:rPr>
        <w:t xml:space="preserve"> (ISF) sobre el asunto “Aspectos </w:t>
      </w:r>
      <w:r w:rsidR="00541C24">
        <w:rPr>
          <w:rFonts w:cs="Arial"/>
          <w:lang w:val="es-ES_tradnl"/>
        </w:rPr>
        <w:t>de la solicitud</w:t>
      </w:r>
      <w:r w:rsidR="00541C24" w:rsidRPr="008212EE">
        <w:rPr>
          <w:rFonts w:cs="Arial"/>
          <w:lang w:val="es-ES_tradnl"/>
        </w:rPr>
        <w:t xml:space="preserve">, el examen y la concesión de las solicitudes de derechos de obtentor” </w:t>
      </w:r>
      <w:r w:rsidR="00541C24" w:rsidRPr="008212EE">
        <w:rPr>
          <w:lang w:val="es-ES_tradnl"/>
        </w:rPr>
        <w:t>(véanse los párrafos 62 a 66 del documento C/47/15</w:t>
      </w:r>
      <w:r w:rsidR="00126344">
        <w:rPr>
          <w:lang w:val="es-ES_tradnl"/>
        </w:rPr>
        <w:t> Rev. “Informe de la Presidenta</w:t>
      </w:r>
      <w:r w:rsidR="00541C24" w:rsidRPr="008212EE">
        <w:rPr>
          <w:lang w:val="es-ES_tradnl"/>
        </w:rPr>
        <w:t xml:space="preserve"> sobre los trabajos de la octogésima sexta sesión del Comité Consultivo;  aprobación, si procede, de las recomendaciones preparadas por dicho Comité”</w:t>
      </w:r>
      <w:r w:rsidR="00541C24" w:rsidRPr="008212EE">
        <w:rPr>
          <w:rFonts w:cs="Arial"/>
          <w:lang w:val="es-ES_tradnl"/>
        </w:rPr>
        <w:t>)</w:t>
      </w:r>
      <w:r w:rsidR="00205687">
        <w:rPr>
          <w:rFonts w:cs="Arial"/>
          <w:lang w:val="es-ES_tradnl"/>
        </w:rPr>
        <w:t>,</w:t>
      </w:r>
      <w:r w:rsidRPr="00A02170">
        <w:rPr>
          <w:lang w:val="es-ES_tradnl"/>
        </w:rPr>
        <w:t xml:space="preserve"> e </w:t>
      </w:r>
      <w:r w:rsidRPr="00A02170">
        <w:rPr>
          <w:rFonts w:cs="Arial"/>
          <w:lang w:val="es-ES_tradnl"/>
        </w:rPr>
        <w:t xml:space="preserve">invitar al </w:t>
      </w:r>
      <w:r w:rsidRPr="00A02170">
        <w:rPr>
          <w:lang w:val="es-ES_tradnl"/>
        </w:rPr>
        <w:t xml:space="preserve">Comité Administrativo y Jurídico (CAJ) a que examine las </w:t>
      </w:r>
      <w:r w:rsidRPr="00A02170">
        <w:rPr>
          <w:rFonts w:cs="Arial"/>
          <w:lang w:val="es-ES_tradnl"/>
        </w:rPr>
        <w:t>propuestas de abordar dichas cuestiones mediante el material de información que facilita o que podría facilitar la UPOV;</w:t>
      </w:r>
      <w:r w:rsidRPr="006E5110">
        <w:rPr>
          <w:rFonts w:cs="Arial"/>
          <w:lang w:val="es-ES_tradnl"/>
        </w:rPr>
        <w:t xml:space="preserve">  </w:t>
      </w:r>
      <w:r w:rsidRPr="00FA5F3D">
        <w:rPr>
          <w:rFonts w:cs="Arial"/>
          <w:lang w:val="es-ES_tradnl"/>
        </w:rPr>
        <w:t>e</w:t>
      </w:r>
    </w:p>
    <w:p w:rsidR="00B9396E" w:rsidRPr="006E5110" w:rsidRDefault="00B9396E" w:rsidP="00B60F56">
      <w:pPr>
        <w:ind w:firstLine="567"/>
        <w:rPr>
          <w:rFonts w:cs="Arial"/>
          <w:lang w:val="es-ES_tradnl"/>
        </w:rPr>
      </w:pPr>
    </w:p>
    <w:p w:rsidR="00B9396E" w:rsidRPr="006E5110" w:rsidRDefault="00B9396E" w:rsidP="00B60F56">
      <w:pPr>
        <w:ind w:firstLine="567"/>
        <w:rPr>
          <w:lang w:val="es-ES_tradnl"/>
        </w:rPr>
      </w:pPr>
      <w:r w:rsidRPr="00FA5F3D">
        <w:rPr>
          <w:rFonts w:cs="Arial"/>
          <w:lang w:val="es-ES_tradnl"/>
        </w:rPr>
        <w:t>b)</w:t>
      </w:r>
      <w:r w:rsidRPr="006E5110">
        <w:rPr>
          <w:rFonts w:cs="Arial"/>
          <w:lang w:val="es-ES_tradnl"/>
        </w:rPr>
        <w:tab/>
      </w:r>
      <w:r w:rsidRPr="008212EE">
        <w:rPr>
          <w:rFonts w:cs="Arial"/>
          <w:lang w:val="es-ES_tradnl"/>
        </w:rPr>
        <w:t>invitar al CAJ a considerar la posibilidad de transformar el documento UPOV/INF/15, “Orientación para los miembros de la UPOV sobre las obligaciones actuales y las notificaciones conexas y sobre el suministro de información para facilitar la cooperación”, en un documento marco en el que se determinen los elementos esenciales para el funcionamiento de un sistema de protección de las variedades vegetales y se proporcionen enlaces a materiales de información detallados.</w:t>
      </w:r>
    </w:p>
    <w:p w:rsidR="00B9396E" w:rsidRDefault="00B9396E">
      <w:pPr>
        <w:jc w:val="left"/>
        <w:rPr>
          <w:lang w:val="es-ES_tradnl"/>
        </w:rPr>
      </w:pPr>
    </w:p>
    <w:p w:rsidR="007432A0" w:rsidRPr="006E5110" w:rsidRDefault="007432A0">
      <w:pPr>
        <w:jc w:val="left"/>
        <w:rPr>
          <w:lang w:val="es-ES_tradnl"/>
        </w:rPr>
      </w:pPr>
    </w:p>
    <w:p w:rsidR="00B9396E" w:rsidRDefault="00B9396E" w:rsidP="003E42A5">
      <w:r w:rsidRPr="00FA5F3D">
        <w:rPr>
          <w:lang w:val="es-ES_tradnl"/>
        </w:rPr>
        <w:t>ÍNDICE</w:t>
      </w:r>
      <w:r>
        <w:t xml:space="preserve"> </w:t>
      </w:r>
    </w:p>
    <w:p w:rsidR="00B9396E" w:rsidRPr="00987226" w:rsidRDefault="00B9396E" w:rsidP="00037D15">
      <w:pPr>
        <w:rPr>
          <w:kern w:val="28"/>
        </w:rPr>
      </w:pPr>
    </w:p>
    <w:p w:rsidR="00A07E27" w:rsidRDefault="00B9396E">
      <w:pPr>
        <w:pStyle w:val="TOC1"/>
        <w:rPr>
          <w:rFonts w:asciiTheme="minorHAnsi" w:eastAsiaTheme="minorEastAsia" w:hAnsiTheme="minorHAnsi" w:cstheme="minorBidi"/>
          <w:caps w:val="0"/>
          <w:sz w:val="22"/>
          <w:szCs w:val="22"/>
        </w:rPr>
      </w:pPr>
      <w:r w:rsidRPr="00987226">
        <w:rPr>
          <w:kern w:val="28"/>
        </w:rPr>
        <w:fldChar w:fldCharType="begin"/>
      </w:r>
      <w:r w:rsidRPr="00987226">
        <w:rPr>
          <w:kern w:val="28"/>
        </w:rPr>
        <w:instrText xml:space="preserve"> TOC \o "1-3" \h \z \u </w:instrText>
      </w:r>
      <w:r w:rsidRPr="00987226">
        <w:rPr>
          <w:kern w:val="28"/>
        </w:rPr>
        <w:fldChar w:fldCharType="separate"/>
      </w:r>
      <w:hyperlink w:anchor="_Toc382404374" w:history="1">
        <w:r w:rsidR="00A07E27" w:rsidRPr="000B588B">
          <w:rPr>
            <w:rStyle w:val="Hyperlink"/>
            <w:lang w:val="es-ES_tradnl"/>
          </w:rPr>
          <w:t>Antecedentes</w:t>
        </w:r>
        <w:r w:rsidR="00A07E27">
          <w:rPr>
            <w:webHidden/>
          </w:rPr>
          <w:tab/>
        </w:r>
        <w:r w:rsidR="00A07E27">
          <w:rPr>
            <w:webHidden/>
          </w:rPr>
          <w:fldChar w:fldCharType="begin"/>
        </w:r>
        <w:r w:rsidR="00A07E27">
          <w:rPr>
            <w:webHidden/>
          </w:rPr>
          <w:instrText xml:space="preserve"> PAGEREF _Toc382404374 \h </w:instrText>
        </w:r>
        <w:r w:rsidR="00A07E27">
          <w:rPr>
            <w:webHidden/>
          </w:rPr>
        </w:r>
        <w:r w:rsidR="00A07E27">
          <w:rPr>
            <w:webHidden/>
          </w:rPr>
          <w:fldChar w:fldCharType="separate"/>
        </w:r>
        <w:r w:rsidR="005442F6">
          <w:rPr>
            <w:webHidden/>
          </w:rPr>
          <w:t>2</w:t>
        </w:r>
        <w:r w:rsidR="00A07E27">
          <w:rPr>
            <w:webHidden/>
          </w:rPr>
          <w:fldChar w:fldCharType="end"/>
        </w:r>
      </w:hyperlink>
    </w:p>
    <w:p w:rsidR="00A07E27" w:rsidRDefault="00126344">
      <w:pPr>
        <w:pStyle w:val="TOC1"/>
        <w:rPr>
          <w:rFonts w:asciiTheme="minorHAnsi" w:eastAsiaTheme="minorEastAsia" w:hAnsiTheme="minorHAnsi" w:cstheme="minorBidi"/>
          <w:caps w:val="0"/>
          <w:sz w:val="22"/>
          <w:szCs w:val="22"/>
        </w:rPr>
      </w:pPr>
      <w:hyperlink w:anchor="_Toc382404375" w:history="1">
        <w:r w:rsidR="00A07E27" w:rsidRPr="000B588B">
          <w:rPr>
            <w:rStyle w:val="Hyperlink"/>
            <w:lang w:val="es-ES_tradnl"/>
          </w:rPr>
          <w:t>I.</w:t>
        </w:r>
        <w:r w:rsidR="00A07E27">
          <w:rPr>
            <w:rFonts w:asciiTheme="minorHAnsi" w:eastAsiaTheme="minorEastAsia" w:hAnsiTheme="minorHAnsi" w:cstheme="minorBidi"/>
            <w:caps w:val="0"/>
            <w:sz w:val="22"/>
            <w:szCs w:val="22"/>
          </w:rPr>
          <w:tab/>
        </w:r>
        <w:r w:rsidR="00A07E27" w:rsidRPr="000B588B">
          <w:rPr>
            <w:rStyle w:val="Hyperlink"/>
            <w:lang w:val="es-ES_tradnl"/>
          </w:rPr>
          <w:t>cuestiones particulares PRESENTAdas al CAJ PARA SU EXAMEN</w:t>
        </w:r>
        <w:r w:rsidR="00A07E27">
          <w:rPr>
            <w:webHidden/>
          </w:rPr>
          <w:tab/>
        </w:r>
        <w:r w:rsidR="00A07E27">
          <w:rPr>
            <w:webHidden/>
          </w:rPr>
          <w:fldChar w:fldCharType="begin"/>
        </w:r>
        <w:r w:rsidR="00A07E27">
          <w:rPr>
            <w:webHidden/>
          </w:rPr>
          <w:instrText xml:space="preserve"> PAGEREF _Toc382404375 \h </w:instrText>
        </w:r>
        <w:r w:rsidR="00A07E27">
          <w:rPr>
            <w:webHidden/>
          </w:rPr>
        </w:r>
        <w:r w:rsidR="00A07E27">
          <w:rPr>
            <w:webHidden/>
          </w:rPr>
          <w:fldChar w:fldCharType="separate"/>
        </w:r>
        <w:r w:rsidR="005442F6">
          <w:rPr>
            <w:webHidden/>
          </w:rPr>
          <w:t>2</w:t>
        </w:r>
        <w:r w:rsidR="00A07E27">
          <w:rPr>
            <w:webHidden/>
          </w:rPr>
          <w:fldChar w:fldCharType="end"/>
        </w:r>
      </w:hyperlink>
    </w:p>
    <w:p w:rsidR="00A07E27" w:rsidRDefault="00126344">
      <w:pPr>
        <w:pStyle w:val="TOC2"/>
        <w:rPr>
          <w:rFonts w:asciiTheme="minorHAnsi" w:eastAsiaTheme="minorEastAsia" w:hAnsiTheme="minorHAnsi" w:cstheme="minorBidi"/>
          <w:sz w:val="22"/>
          <w:szCs w:val="22"/>
        </w:rPr>
      </w:pPr>
      <w:hyperlink w:anchor="_Toc382404376" w:history="1">
        <w:r w:rsidR="00A07E27" w:rsidRPr="000B588B">
          <w:rPr>
            <w:rStyle w:val="Hyperlink"/>
          </w:rPr>
          <w:t>Período para presentar la solicitud</w:t>
        </w:r>
        <w:r w:rsidR="00A07E27">
          <w:rPr>
            <w:webHidden/>
          </w:rPr>
          <w:tab/>
        </w:r>
        <w:r w:rsidR="00A07E27">
          <w:rPr>
            <w:webHidden/>
          </w:rPr>
          <w:fldChar w:fldCharType="begin"/>
        </w:r>
        <w:r w:rsidR="00A07E27">
          <w:rPr>
            <w:webHidden/>
          </w:rPr>
          <w:instrText xml:space="preserve"> PAGEREF _Toc382404376 \h </w:instrText>
        </w:r>
        <w:r w:rsidR="00A07E27">
          <w:rPr>
            <w:webHidden/>
          </w:rPr>
        </w:r>
        <w:r w:rsidR="00A07E27">
          <w:rPr>
            <w:webHidden/>
          </w:rPr>
          <w:fldChar w:fldCharType="separate"/>
        </w:r>
        <w:r w:rsidR="005442F6">
          <w:rPr>
            <w:webHidden/>
          </w:rPr>
          <w:t>2</w:t>
        </w:r>
        <w:r w:rsidR="00A07E27">
          <w:rPr>
            <w:webHidden/>
          </w:rPr>
          <w:fldChar w:fldCharType="end"/>
        </w:r>
      </w:hyperlink>
    </w:p>
    <w:p w:rsidR="00A07E27" w:rsidRDefault="00126344">
      <w:pPr>
        <w:pStyle w:val="TOC2"/>
        <w:rPr>
          <w:rFonts w:asciiTheme="minorHAnsi" w:eastAsiaTheme="minorEastAsia" w:hAnsiTheme="minorHAnsi" w:cstheme="minorBidi"/>
          <w:sz w:val="22"/>
          <w:szCs w:val="22"/>
        </w:rPr>
      </w:pPr>
      <w:hyperlink w:anchor="_Toc382404377" w:history="1">
        <w:r w:rsidR="00A07E27" w:rsidRPr="000B588B">
          <w:rPr>
            <w:rStyle w:val="Hyperlink"/>
          </w:rPr>
          <w:t>Información genealógica</w:t>
        </w:r>
        <w:r w:rsidR="00A07E27">
          <w:rPr>
            <w:webHidden/>
          </w:rPr>
          <w:tab/>
        </w:r>
        <w:r w:rsidR="00A07E27">
          <w:rPr>
            <w:webHidden/>
          </w:rPr>
          <w:fldChar w:fldCharType="begin"/>
        </w:r>
        <w:r w:rsidR="00A07E27">
          <w:rPr>
            <w:webHidden/>
          </w:rPr>
          <w:instrText xml:space="preserve"> PAGEREF _Toc382404377 \h </w:instrText>
        </w:r>
        <w:r w:rsidR="00A07E27">
          <w:rPr>
            <w:webHidden/>
          </w:rPr>
        </w:r>
        <w:r w:rsidR="00A07E27">
          <w:rPr>
            <w:webHidden/>
          </w:rPr>
          <w:fldChar w:fldCharType="separate"/>
        </w:r>
        <w:r w:rsidR="005442F6">
          <w:rPr>
            <w:webHidden/>
          </w:rPr>
          <w:t>3</w:t>
        </w:r>
        <w:r w:rsidR="00A07E27">
          <w:rPr>
            <w:webHidden/>
          </w:rPr>
          <w:fldChar w:fldCharType="end"/>
        </w:r>
      </w:hyperlink>
    </w:p>
    <w:p w:rsidR="00A07E27" w:rsidRDefault="00126344">
      <w:pPr>
        <w:pStyle w:val="TOC2"/>
        <w:rPr>
          <w:rFonts w:asciiTheme="minorHAnsi" w:eastAsiaTheme="minorEastAsia" w:hAnsiTheme="minorHAnsi" w:cstheme="minorBidi"/>
          <w:sz w:val="22"/>
          <w:szCs w:val="22"/>
        </w:rPr>
      </w:pPr>
      <w:hyperlink w:anchor="_Toc382404378" w:history="1">
        <w:r w:rsidR="00A07E27" w:rsidRPr="000B588B">
          <w:rPr>
            <w:rStyle w:val="Hyperlink"/>
          </w:rPr>
          <w:t>Solicitud electrónica</w:t>
        </w:r>
        <w:r w:rsidR="00A07E27">
          <w:rPr>
            <w:webHidden/>
          </w:rPr>
          <w:tab/>
        </w:r>
        <w:r w:rsidR="00A07E27">
          <w:rPr>
            <w:webHidden/>
          </w:rPr>
          <w:fldChar w:fldCharType="begin"/>
        </w:r>
        <w:r w:rsidR="00A07E27">
          <w:rPr>
            <w:webHidden/>
          </w:rPr>
          <w:instrText xml:space="preserve"> PAGEREF _Toc382404378 \h </w:instrText>
        </w:r>
        <w:r w:rsidR="00A07E27">
          <w:rPr>
            <w:webHidden/>
          </w:rPr>
        </w:r>
        <w:r w:rsidR="00A07E27">
          <w:rPr>
            <w:webHidden/>
          </w:rPr>
          <w:fldChar w:fldCharType="separate"/>
        </w:r>
        <w:r w:rsidR="005442F6">
          <w:rPr>
            <w:webHidden/>
          </w:rPr>
          <w:t>3</w:t>
        </w:r>
        <w:r w:rsidR="00A07E27">
          <w:rPr>
            <w:webHidden/>
          </w:rPr>
          <w:fldChar w:fldCharType="end"/>
        </w:r>
      </w:hyperlink>
    </w:p>
    <w:p w:rsidR="00A07E27" w:rsidRDefault="00126344">
      <w:pPr>
        <w:pStyle w:val="TOC2"/>
        <w:rPr>
          <w:rFonts w:asciiTheme="minorHAnsi" w:eastAsiaTheme="minorEastAsia" w:hAnsiTheme="minorHAnsi" w:cstheme="minorBidi"/>
          <w:sz w:val="22"/>
          <w:szCs w:val="22"/>
        </w:rPr>
      </w:pPr>
      <w:hyperlink w:anchor="_Toc382404379" w:history="1">
        <w:r w:rsidR="00A07E27" w:rsidRPr="000B588B">
          <w:rPr>
            <w:rStyle w:val="Hyperlink"/>
          </w:rPr>
          <w:t>Correspondencia</w:t>
        </w:r>
        <w:r w:rsidR="00A07E27">
          <w:rPr>
            <w:webHidden/>
          </w:rPr>
          <w:tab/>
        </w:r>
        <w:r w:rsidR="00A07E27">
          <w:rPr>
            <w:webHidden/>
          </w:rPr>
          <w:fldChar w:fldCharType="begin"/>
        </w:r>
        <w:r w:rsidR="00A07E27">
          <w:rPr>
            <w:webHidden/>
          </w:rPr>
          <w:instrText xml:space="preserve"> PAGEREF _Toc382404379 \h </w:instrText>
        </w:r>
        <w:r w:rsidR="00A07E27">
          <w:rPr>
            <w:webHidden/>
          </w:rPr>
        </w:r>
        <w:r w:rsidR="00A07E27">
          <w:rPr>
            <w:webHidden/>
          </w:rPr>
          <w:fldChar w:fldCharType="separate"/>
        </w:r>
        <w:r w:rsidR="005442F6">
          <w:rPr>
            <w:webHidden/>
          </w:rPr>
          <w:t>4</w:t>
        </w:r>
        <w:r w:rsidR="00A07E27">
          <w:rPr>
            <w:webHidden/>
          </w:rPr>
          <w:fldChar w:fldCharType="end"/>
        </w:r>
      </w:hyperlink>
    </w:p>
    <w:p w:rsidR="00A07E27" w:rsidRDefault="00126344">
      <w:pPr>
        <w:pStyle w:val="TOC2"/>
        <w:rPr>
          <w:rFonts w:asciiTheme="minorHAnsi" w:eastAsiaTheme="minorEastAsia" w:hAnsiTheme="minorHAnsi" w:cstheme="minorBidi"/>
          <w:sz w:val="22"/>
          <w:szCs w:val="22"/>
        </w:rPr>
      </w:pPr>
      <w:hyperlink w:anchor="_Toc382404380" w:history="1">
        <w:r w:rsidR="00A07E27" w:rsidRPr="000B588B">
          <w:rPr>
            <w:rStyle w:val="Hyperlink"/>
          </w:rPr>
          <w:t>Material</w:t>
        </w:r>
        <w:r w:rsidR="00A07E27">
          <w:rPr>
            <w:webHidden/>
          </w:rPr>
          <w:tab/>
        </w:r>
        <w:r w:rsidR="00A07E27">
          <w:rPr>
            <w:webHidden/>
          </w:rPr>
          <w:fldChar w:fldCharType="begin"/>
        </w:r>
        <w:r w:rsidR="00A07E27">
          <w:rPr>
            <w:webHidden/>
          </w:rPr>
          <w:instrText xml:space="preserve"> PAGEREF _Toc382404380 \h </w:instrText>
        </w:r>
        <w:r w:rsidR="00A07E27">
          <w:rPr>
            <w:webHidden/>
          </w:rPr>
        </w:r>
        <w:r w:rsidR="00A07E27">
          <w:rPr>
            <w:webHidden/>
          </w:rPr>
          <w:fldChar w:fldCharType="separate"/>
        </w:r>
        <w:r w:rsidR="005442F6">
          <w:rPr>
            <w:webHidden/>
          </w:rPr>
          <w:t>5</w:t>
        </w:r>
        <w:r w:rsidR="00A07E27">
          <w:rPr>
            <w:webHidden/>
          </w:rPr>
          <w:fldChar w:fldCharType="end"/>
        </w:r>
      </w:hyperlink>
    </w:p>
    <w:p w:rsidR="00A07E27" w:rsidRDefault="00126344">
      <w:pPr>
        <w:pStyle w:val="TOC3"/>
        <w:rPr>
          <w:rFonts w:asciiTheme="minorHAnsi" w:eastAsiaTheme="minorEastAsia" w:hAnsiTheme="minorHAnsi" w:cstheme="minorBidi"/>
          <w:i w:val="0"/>
          <w:sz w:val="22"/>
          <w:szCs w:val="22"/>
          <w:lang w:val="en-US"/>
        </w:rPr>
      </w:pPr>
      <w:hyperlink w:anchor="_Toc382404381" w:history="1">
        <w:r w:rsidR="00A07E27" w:rsidRPr="000B588B">
          <w:rPr>
            <w:rStyle w:val="Hyperlink"/>
            <w:lang w:val="es-ES_tradnl"/>
          </w:rPr>
          <w:t>a)</w:t>
        </w:r>
        <w:r w:rsidR="00A07E27">
          <w:rPr>
            <w:rFonts w:asciiTheme="minorHAnsi" w:eastAsiaTheme="minorEastAsia" w:hAnsiTheme="minorHAnsi" w:cstheme="minorBidi"/>
            <w:i w:val="0"/>
            <w:sz w:val="22"/>
            <w:szCs w:val="22"/>
            <w:lang w:val="en-US"/>
          </w:rPr>
          <w:tab/>
        </w:r>
        <w:r w:rsidR="00A07E27" w:rsidRPr="000B588B">
          <w:rPr>
            <w:rStyle w:val="Hyperlink"/>
            <w:lang w:val="es-ES_tradnl"/>
          </w:rPr>
          <w:t>Suministro de líneas parentales para solicitudes correspondientes a variedades híbridas</w:t>
        </w:r>
        <w:r w:rsidR="00A07E27">
          <w:rPr>
            <w:webHidden/>
          </w:rPr>
          <w:tab/>
        </w:r>
        <w:r w:rsidR="00A07E27">
          <w:rPr>
            <w:webHidden/>
          </w:rPr>
          <w:fldChar w:fldCharType="begin"/>
        </w:r>
        <w:r w:rsidR="00A07E27">
          <w:rPr>
            <w:webHidden/>
          </w:rPr>
          <w:instrText xml:space="preserve"> PAGEREF _Toc382404381 \h </w:instrText>
        </w:r>
        <w:r w:rsidR="00A07E27">
          <w:rPr>
            <w:webHidden/>
          </w:rPr>
        </w:r>
        <w:r w:rsidR="00A07E27">
          <w:rPr>
            <w:webHidden/>
          </w:rPr>
          <w:fldChar w:fldCharType="separate"/>
        </w:r>
        <w:r w:rsidR="005442F6">
          <w:rPr>
            <w:webHidden/>
          </w:rPr>
          <w:t>6</w:t>
        </w:r>
        <w:r w:rsidR="00A07E27">
          <w:rPr>
            <w:webHidden/>
          </w:rPr>
          <w:fldChar w:fldCharType="end"/>
        </w:r>
      </w:hyperlink>
    </w:p>
    <w:p w:rsidR="00A07E27" w:rsidRDefault="00126344">
      <w:pPr>
        <w:pStyle w:val="TOC3"/>
        <w:rPr>
          <w:rFonts w:asciiTheme="minorHAnsi" w:eastAsiaTheme="minorEastAsia" w:hAnsiTheme="minorHAnsi" w:cstheme="minorBidi"/>
          <w:i w:val="0"/>
          <w:sz w:val="22"/>
          <w:szCs w:val="22"/>
          <w:lang w:val="en-US"/>
        </w:rPr>
      </w:pPr>
      <w:hyperlink w:anchor="_Toc382404382" w:history="1">
        <w:r w:rsidR="00A07E27" w:rsidRPr="000B588B">
          <w:rPr>
            <w:rStyle w:val="Hyperlink"/>
            <w:lang w:val="es-ES_tradnl"/>
          </w:rPr>
          <w:t>b)</w:t>
        </w:r>
        <w:r w:rsidR="00A07E27">
          <w:rPr>
            <w:rFonts w:asciiTheme="minorHAnsi" w:eastAsiaTheme="minorEastAsia" w:hAnsiTheme="minorHAnsi" w:cstheme="minorBidi"/>
            <w:i w:val="0"/>
            <w:sz w:val="22"/>
            <w:szCs w:val="22"/>
            <w:lang w:val="en-US"/>
          </w:rPr>
          <w:tab/>
        </w:r>
        <w:r w:rsidR="00A07E27" w:rsidRPr="000B588B">
          <w:rPr>
            <w:rStyle w:val="Hyperlink"/>
            <w:lang w:val="es-ES_tradnl"/>
          </w:rPr>
          <w:t>Disponibilidad e intercambio del material</w:t>
        </w:r>
        <w:r w:rsidR="00A07E27">
          <w:rPr>
            <w:webHidden/>
          </w:rPr>
          <w:tab/>
        </w:r>
        <w:r w:rsidR="00A07E27">
          <w:rPr>
            <w:webHidden/>
          </w:rPr>
          <w:fldChar w:fldCharType="begin"/>
        </w:r>
        <w:r w:rsidR="00A07E27">
          <w:rPr>
            <w:webHidden/>
          </w:rPr>
          <w:instrText xml:space="preserve"> PAGEREF _Toc382404382 \h </w:instrText>
        </w:r>
        <w:r w:rsidR="00A07E27">
          <w:rPr>
            <w:webHidden/>
          </w:rPr>
        </w:r>
        <w:r w:rsidR="00A07E27">
          <w:rPr>
            <w:webHidden/>
          </w:rPr>
          <w:fldChar w:fldCharType="separate"/>
        </w:r>
        <w:r w:rsidR="005442F6">
          <w:rPr>
            <w:webHidden/>
          </w:rPr>
          <w:t>7</w:t>
        </w:r>
        <w:r w:rsidR="00A07E27">
          <w:rPr>
            <w:webHidden/>
          </w:rPr>
          <w:fldChar w:fldCharType="end"/>
        </w:r>
      </w:hyperlink>
    </w:p>
    <w:p w:rsidR="00A07E27" w:rsidRDefault="00126344">
      <w:pPr>
        <w:pStyle w:val="TOC3"/>
        <w:rPr>
          <w:rFonts w:asciiTheme="minorHAnsi" w:eastAsiaTheme="minorEastAsia" w:hAnsiTheme="minorHAnsi" w:cstheme="minorBidi"/>
          <w:i w:val="0"/>
          <w:sz w:val="22"/>
          <w:szCs w:val="22"/>
          <w:lang w:val="en-US"/>
        </w:rPr>
      </w:pPr>
      <w:hyperlink w:anchor="_Toc382404383" w:history="1">
        <w:r w:rsidR="00A07E27" w:rsidRPr="000B588B">
          <w:rPr>
            <w:rStyle w:val="Hyperlink"/>
            <w:lang w:val="es-ES_tradnl"/>
          </w:rPr>
          <w:t>c)</w:t>
        </w:r>
        <w:r w:rsidR="00A07E27">
          <w:rPr>
            <w:rFonts w:asciiTheme="minorHAnsi" w:eastAsiaTheme="minorEastAsia" w:hAnsiTheme="minorHAnsi" w:cstheme="minorBidi"/>
            <w:i w:val="0"/>
            <w:sz w:val="22"/>
            <w:szCs w:val="22"/>
            <w:lang w:val="en-US"/>
          </w:rPr>
          <w:tab/>
        </w:r>
        <w:r w:rsidR="00A07E27" w:rsidRPr="000B588B">
          <w:rPr>
            <w:rStyle w:val="Hyperlink"/>
            <w:lang w:val="es-ES_tradnl"/>
          </w:rPr>
          <w:t xml:space="preserve">Confidencialidad del material del solicitante </w:t>
        </w:r>
        <w:r w:rsidR="00A07E27" w:rsidRPr="000B588B">
          <w:rPr>
            <w:rStyle w:val="Hyperlink"/>
            <w:w w:val="103"/>
            <w:lang w:val="es-ES_tradnl"/>
          </w:rPr>
          <w:t xml:space="preserve">cuando los centros encargados del </w:t>
        </w:r>
        <w:r w:rsidR="00A07E27" w:rsidRPr="000B588B">
          <w:rPr>
            <w:rStyle w:val="Hyperlink"/>
            <w:lang w:val="es-ES_tradnl"/>
          </w:rPr>
          <w:t>examen realicen actividades de fitomejoramiento de variedades de</w:t>
        </w:r>
        <w:r w:rsidR="00A07E27" w:rsidRPr="000B588B">
          <w:rPr>
            <w:rStyle w:val="Hyperlink"/>
            <w:spacing w:val="36"/>
            <w:lang w:val="es-ES_tradnl"/>
          </w:rPr>
          <w:t xml:space="preserve"> </w:t>
        </w:r>
        <w:r w:rsidR="00A07E27" w:rsidRPr="000B588B">
          <w:rPr>
            <w:rStyle w:val="Hyperlink"/>
            <w:lang w:val="es-ES_tradnl"/>
          </w:rPr>
          <w:t>la</w:t>
        </w:r>
        <w:r w:rsidR="00A07E27" w:rsidRPr="000B588B">
          <w:rPr>
            <w:rStyle w:val="Hyperlink"/>
            <w:spacing w:val="50"/>
            <w:lang w:val="es-ES_tradnl"/>
          </w:rPr>
          <w:t xml:space="preserve"> </w:t>
        </w:r>
        <w:r w:rsidR="00A07E27" w:rsidRPr="000B588B">
          <w:rPr>
            <w:rStyle w:val="Hyperlink"/>
            <w:lang w:val="es-ES_tradnl"/>
          </w:rPr>
          <w:t>misma</w:t>
        </w:r>
        <w:r w:rsidR="00A07E27" w:rsidRPr="000B588B">
          <w:rPr>
            <w:rStyle w:val="Hyperlink"/>
            <w:spacing w:val="55"/>
            <w:lang w:val="es-ES_tradnl"/>
          </w:rPr>
          <w:t xml:space="preserve"> </w:t>
        </w:r>
        <w:r w:rsidR="00A07E27" w:rsidRPr="000B588B">
          <w:rPr>
            <w:rStyle w:val="Hyperlink"/>
            <w:lang w:val="es-ES_tradnl"/>
          </w:rPr>
          <w:t>especie</w:t>
        </w:r>
        <w:r w:rsidR="00A07E27">
          <w:rPr>
            <w:webHidden/>
          </w:rPr>
          <w:tab/>
        </w:r>
        <w:r w:rsidR="00A07E27">
          <w:rPr>
            <w:webHidden/>
          </w:rPr>
          <w:fldChar w:fldCharType="begin"/>
        </w:r>
        <w:r w:rsidR="00A07E27">
          <w:rPr>
            <w:webHidden/>
          </w:rPr>
          <w:instrText xml:space="preserve"> PAGEREF _Toc382404383 \h </w:instrText>
        </w:r>
        <w:r w:rsidR="00A07E27">
          <w:rPr>
            <w:webHidden/>
          </w:rPr>
        </w:r>
        <w:r w:rsidR="00A07E27">
          <w:rPr>
            <w:webHidden/>
          </w:rPr>
          <w:fldChar w:fldCharType="separate"/>
        </w:r>
        <w:r w:rsidR="005442F6">
          <w:rPr>
            <w:webHidden/>
          </w:rPr>
          <w:t>8</w:t>
        </w:r>
        <w:r w:rsidR="00A07E27">
          <w:rPr>
            <w:webHidden/>
          </w:rPr>
          <w:fldChar w:fldCharType="end"/>
        </w:r>
      </w:hyperlink>
    </w:p>
    <w:p w:rsidR="00A07E27" w:rsidRDefault="00126344">
      <w:pPr>
        <w:pStyle w:val="TOC2"/>
        <w:rPr>
          <w:rFonts w:asciiTheme="minorHAnsi" w:eastAsiaTheme="minorEastAsia" w:hAnsiTheme="minorHAnsi" w:cstheme="minorBidi"/>
          <w:sz w:val="22"/>
          <w:szCs w:val="22"/>
        </w:rPr>
      </w:pPr>
      <w:hyperlink w:anchor="_Toc382404384" w:history="1">
        <w:r w:rsidR="00A07E27" w:rsidRPr="000B588B">
          <w:rPr>
            <w:rStyle w:val="Hyperlink"/>
          </w:rPr>
          <w:t>Frecuencia de la presentación de datos y exhaustividad de las bases de datos</w:t>
        </w:r>
        <w:r w:rsidR="00A07E27">
          <w:rPr>
            <w:webHidden/>
          </w:rPr>
          <w:tab/>
        </w:r>
        <w:r w:rsidR="00A07E27">
          <w:rPr>
            <w:webHidden/>
          </w:rPr>
          <w:fldChar w:fldCharType="begin"/>
        </w:r>
        <w:r w:rsidR="00A07E27">
          <w:rPr>
            <w:webHidden/>
          </w:rPr>
          <w:instrText xml:space="preserve"> PAGEREF _Toc382404384 \h </w:instrText>
        </w:r>
        <w:r w:rsidR="00A07E27">
          <w:rPr>
            <w:webHidden/>
          </w:rPr>
        </w:r>
        <w:r w:rsidR="00A07E27">
          <w:rPr>
            <w:webHidden/>
          </w:rPr>
          <w:fldChar w:fldCharType="separate"/>
        </w:r>
        <w:r w:rsidR="005442F6">
          <w:rPr>
            <w:webHidden/>
          </w:rPr>
          <w:t>9</w:t>
        </w:r>
        <w:r w:rsidR="00A07E27">
          <w:rPr>
            <w:webHidden/>
          </w:rPr>
          <w:fldChar w:fldCharType="end"/>
        </w:r>
      </w:hyperlink>
    </w:p>
    <w:p w:rsidR="00A07E27" w:rsidRDefault="00126344">
      <w:pPr>
        <w:pStyle w:val="TOC2"/>
        <w:rPr>
          <w:rFonts w:asciiTheme="minorHAnsi" w:eastAsiaTheme="minorEastAsia" w:hAnsiTheme="minorHAnsi" w:cstheme="minorBidi"/>
          <w:sz w:val="22"/>
          <w:szCs w:val="22"/>
        </w:rPr>
      </w:pPr>
      <w:hyperlink w:anchor="_Toc382404385" w:history="1">
        <w:r w:rsidR="00A07E27" w:rsidRPr="000B588B">
          <w:rPr>
            <w:rStyle w:val="Hyperlink"/>
            <w:spacing w:val="2"/>
          </w:rPr>
          <w:t>Normas de denominación</w:t>
        </w:r>
        <w:r w:rsidR="00A07E27">
          <w:rPr>
            <w:webHidden/>
          </w:rPr>
          <w:tab/>
        </w:r>
        <w:r w:rsidR="00A07E27">
          <w:rPr>
            <w:webHidden/>
          </w:rPr>
          <w:fldChar w:fldCharType="begin"/>
        </w:r>
        <w:r w:rsidR="00A07E27">
          <w:rPr>
            <w:webHidden/>
          </w:rPr>
          <w:instrText xml:space="preserve"> PAGEREF _Toc382404385 \h </w:instrText>
        </w:r>
        <w:r w:rsidR="00A07E27">
          <w:rPr>
            <w:webHidden/>
          </w:rPr>
        </w:r>
        <w:r w:rsidR="00A07E27">
          <w:rPr>
            <w:webHidden/>
          </w:rPr>
          <w:fldChar w:fldCharType="separate"/>
        </w:r>
        <w:r w:rsidR="005442F6">
          <w:rPr>
            <w:webHidden/>
          </w:rPr>
          <w:t>10</w:t>
        </w:r>
        <w:r w:rsidR="00A07E27">
          <w:rPr>
            <w:webHidden/>
          </w:rPr>
          <w:fldChar w:fldCharType="end"/>
        </w:r>
      </w:hyperlink>
    </w:p>
    <w:p w:rsidR="00A07E27" w:rsidRDefault="00126344">
      <w:pPr>
        <w:pStyle w:val="TOC1"/>
        <w:rPr>
          <w:rFonts w:asciiTheme="minorHAnsi" w:eastAsiaTheme="minorEastAsia" w:hAnsiTheme="minorHAnsi" w:cstheme="minorBidi"/>
          <w:caps w:val="0"/>
          <w:sz w:val="22"/>
          <w:szCs w:val="22"/>
        </w:rPr>
      </w:pPr>
      <w:hyperlink w:anchor="_Toc382404386" w:history="1">
        <w:r w:rsidR="00A07E27" w:rsidRPr="000B588B">
          <w:rPr>
            <w:rStyle w:val="Hyperlink"/>
            <w:lang w:val="es-ES_tradnl"/>
          </w:rPr>
          <w:t>II.</w:t>
        </w:r>
        <w:r w:rsidR="00A07E27">
          <w:rPr>
            <w:rFonts w:asciiTheme="minorHAnsi" w:eastAsiaTheme="minorEastAsia" w:hAnsiTheme="minorHAnsi" w:cstheme="minorBidi"/>
            <w:caps w:val="0"/>
            <w:sz w:val="22"/>
            <w:szCs w:val="22"/>
          </w:rPr>
          <w:tab/>
        </w:r>
        <w:r w:rsidR="00A07E27" w:rsidRPr="000B588B">
          <w:rPr>
            <w:rStyle w:val="Hyperlink"/>
            <w:lang w:val="es-ES_tradnl"/>
          </w:rPr>
          <w:t>documento marco UPOV/inf/15 “Orientación para los miembros de la UPOV sobre las obligaciones actuales y las notificaciones conexas y sobre el suministro de información para facilitar la cooperación”</w:t>
        </w:r>
        <w:r w:rsidR="00A07E27">
          <w:rPr>
            <w:webHidden/>
          </w:rPr>
          <w:tab/>
        </w:r>
        <w:r w:rsidR="00A07E27">
          <w:rPr>
            <w:webHidden/>
          </w:rPr>
          <w:fldChar w:fldCharType="begin"/>
        </w:r>
        <w:r w:rsidR="00A07E27">
          <w:rPr>
            <w:webHidden/>
          </w:rPr>
          <w:instrText xml:space="preserve"> PAGEREF _Toc382404386 \h </w:instrText>
        </w:r>
        <w:r w:rsidR="00A07E27">
          <w:rPr>
            <w:webHidden/>
          </w:rPr>
        </w:r>
        <w:r w:rsidR="00A07E27">
          <w:rPr>
            <w:webHidden/>
          </w:rPr>
          <w:fldChar w:fldCharType="separate"/>
        </w:r>
        <w:r w:rsidR="005442F6">
          <w:rPr>
            <w:webHidden/>
          </w:rPr>
          <w:t>10</w:t>
        </w:r>
        <w:r w:rsidR="00A07E27">
          <w:rPr>
            <w:webHidden/>
          </w:rPr>
          <w:fldChar w:fldCharType="end"/>
        </w:r>
      </w:hyperlink>
    </w:p>
    <w:p w:rsidR="00B9396E" w:rsidRPr="006E5110" w:rsidRDefault="00B9396E" w:rsidP="00541C24">
      <w:pPr>
        <w:rPr>
          <w:lang w:val="es-ES_tradnl"/>
        </w:rPr>
      </w:pPr>
      <w:r w:rsidRPr="00987226">
        <w:rPr>
          <w:kern w:val="28"/>
        </w:rPr>
        <w:fldChar w:fldCharType="end"/>
      </w:r>
      <w:r w:rsidRPr="00FA5F3D">
        <w:rPr>
          <w:kern w:val="28"/>
          <w:lang w:val="es-ES_tradnl"/>
        </w:rPr>
        <w:t>ANEXO:</w:t>
      </w:r>
      <w:r w:rsidRPr="006E5110">
        <w:rPr>
          <w:kern w:val="28"/>
          <w:lang w:val="es-ES_tradnl"/>
        </w:rPr>
        <w:t xml:space="preserve">  </w:t>
      </w:r>
      <w:r w:rsidRPr="006E5110">
        <w:rPr>
          <w:kern w:val="28"/>
          <w:lang w:val="es-ES_tradnl"/>
        </w:rPr>
        <w:tab/>
      </w:r>
      <w:r w:rsidRPr="008212EE">
        <w:rPr>
          <w:lang w:val="es-ES_tradnl"/>
        </w:rPr>
        <w:t>Programa de enseñanza a distancia de la UPOV “Examen de solicitudes de derechos de obtentor” (DL</w:t>
      </w:r>
      <w:r w:rsidRPr="008212EE">
        <w:rPr>
          <w:lang w:val="es-ES_tradnl"/>
        </w:rPr>
        <w:noBreakHyphen/>
        <w:t>305)</w:t>
      </w:r>
    </w:p>
    <w:p w:rsidR="00B9396E" w:rsidRPr="006E5110" w:rsidRDefault="00B9396E" w:rsidP="001618CD">
      <w:pPr>
        <w:ind w:left="1134"/>
        <w:rPr>
          <w:lang w:val="es-ES_tradnl"/>
        </w:rPr>
      </w:pPr>
    </w:p>
    <w:p w:rsidR="00B9396E" w:rsidRPr="006E5110" w:rsidRDefault="00B9396E" w:rsidP="001618CD">
      <w:pPr>
        <w:ind w:left="1134"/>
        <w:rPr>
          <w:lang w:val="es-ES_tradnl"/>
        </w:rPr>
      </w:pPr>
      <w:r w:rsidRPr="006E5110">
        <w:rPr>
          <w:lang w:val="es-ES_tradnl"/>
        </w:rPr>
        <w:t xml:space="preserve">-  </w:t>
      </w:r>
      <w:r w:rsidRPr="008212EE">
        <w:rPr>
          <w:lang w:val="es-ES_tradnl"/>
        </w:rPr>
        <w:t>Módulo 1</w:t>
      </w:r>
      <w:proofErr w:type="gramStart"/>
      <w:r w:rsidRPr="008212EE">
        <w:rPr>
          <w:lang w:val="es-ES_tradnl"/>
        </w:rPr>
        <w:t>:  La</w:t>
      </w:r>
      <w:proofErr w:type="gramEnd"/>
      <w:r w:rsidRPr="008212EE">
        <w:rPr>
          <w:lang w:val="es-ES_tradnl"/>
        </w:rPr>
        <w:t xml:space="preserve"> Oficina de Derechos de Obtentor</w:t>
      </w:r>
    </w:p>
    <w:p w:rsidR="00B9396E" w:rsidRPr="006E5110" w:rsidRDefault="00B9396E" w:rsidP="001618CD">
      <w:pPr>
        <w:ind w:left="1134"/>
        <w:rPr>
          <w:kern w:val="28"/>
          <w:lang w:val="es-ES_tradnl"/>
        </w:rPr>
      </w:pPr>
      <w:r w:rsidRPr="006E5110">
        <w:rPr>
          <w:lang w:val="es-ES_tradnl"/>
        </w:rPr>
        <w:t xml:space="preserve">-  </w:t>
      </w:r>
      <w:r w:rsidRPr="008212EE">
        <w:rPr>
          <w:lang w:val="es-ES_tradnl"/>
        </w:rPr>
        <w:t>Módulo 2</w:t>
      </w:r>
      <w:proofErr w:type="gramStart"/>
      <w:r w:rsidRPr="008212EE">
        <w:rPr>
          <w:lang w:val="es-ES_tradnl"/>
        </w:rPr>
        <w:t>:  Administración</w:t>
      </w:r>
      <w:proofErr w:type="gramEnd"/>
      <w:r w:rsidRPr="008212EE">
        <w:rPr>
          <w:lang w:val="es-ES_tradnl"/>
        </w:rPr>
        <w:t xml:space="preserve"> de las solicitudes</w:t>
      </w:r>
      <w:r w:rsidRPr="006E5110">
        <w:rPr>
          <w:lang w:val="es-ES_tradnl"/>
        </w:rPr>
        <w:t xml:space="preserve"> </w:t>
      </w:r>
    </w:p>
    <w:p w:rsidR="00B9396E" w:rsidRDefault="00B9396E" w:rsidP="00037D15">
      <w:pPr>
        <w:rPr>
          <w:kern w:val="28"/>
          <w:lang w:val="es-ES_tradnl"/>
        </w:rPr>
      </w:pPr>
    </w:p>
    <w:p w:rsidR="00541C24" w:rsidRDefault="00541C24" w:rsidP="00037D15">
      <w:pPr>
        <w:rPr>
          <w:kern w:val="28"/>
          <w:lang w:val="es-ES_tradnl"/>
        </w:rPr>
      </w:pPr>
    </w:p>
    <w:p w:rsidR="00541C24" w:rsidRPr="006E5110" w:rsidRDefault="00541C24" w:rsidP="00037D15">
      <w:pPr>
        <w:rPr>
          <w:kern w:val="28"/>
          <w:lang w:val="es-ES_tradnl"/>
        </w:rPr>
      </w:pPr>
    </w:p>
    <w:p w:rsidR="00B9396E" w:rsidRPr="006E5110" w:rsidRDefault="00B9396E" w:rsidP="006B4C1A">
      <w:pPr>
        <w:pStyle w:val="Heading1"/>
        <w:rPr>
          <w:lang w:val="es-ES_tradnl"/>
        </w:rPr>
      </w:pPr>
      <w:bookmarkStart w:id="3" w:name="_Toc382404374"/>
      <w:r w:rsidRPr="00FA5F3D">
        <w:rPr>
          <w:lang w:val="es-ES_tradnl"/>
        </w:rPr>
        <w:t>Antecedentes</w:t>
      </w:r>
      <w:bookmarkEnd w:id="3"/>
    </w:p>
    <w:p w:rsidR="00B9396E" w:rsidRPr="006E5110" w:rsidRDefault="00B9396E" w:rsidP="006B4C1A">
      <w:pPr>
        <w:pStyle w:val="Heading1"/>
        <w:rPr>
          <w:snapToGrid w:val="0"/>
          <w:lang w:val="es-ES_tradnl"/>
        </w:rPr>
      </w:pPr>
    </w:p>
    <w:p w:rsidR="00B9396E" w:rsidRPr="006E5110" w:rsidRDefault="00B9396E" w:rsidP="003F0EE1">
      <w:pPr>
        <w:rPr>
          <w:lang w:val="es-ES_tradnl"/>
        </w:rPr>
      </w:pPr>
      <w:r w:rsidRPr="00987226">
        <w:rPr>
          <w:rFonts w:cs="Arial"/>
        </w:rPr>
        <w:fldChar w:fldCharType="begin"/>
      </w:r>
      <w:r w:rsidRPr="006E5110">
        <w:rPr>
          <w:rFonts w:cs="Arial"/>
          <w:lang w:val="es-ES_tradnl"/>
        </w:rPr>
        <w:instrText xml:space="preserve"> AUTONUM  </w:instrText>
      </w:r>
      <w:r w:rsidRPr="00987226">
        <w:rPr>
          <w:rFonts w:cs="Arial"/>
        </w:rPr>
        <w:fldChar w:fldCharType="end"/>
      </w:r>
      <w:r w:rsidRPr="006E5110">
        <w:rPr>
          <w:rFonts w:cs="Arial"/>
          <w:lang w:val="es-ES_tradnl"/>
        </w:rPr>
        <w:tab/>
      </w:r>
      <w:r w:rsidRPr="008212EE">
        <w:rPr>
          <w:rFonts w:cs="Arial"/>
          <w:lang w:val="es-ES_tradnl"/>
        </w:rPr>
        <w:t xml:space="preserve">En su cuadragésima séptima sesión ordinaria, celebrada en Ginebra el 24 de octubre de 2013, el Consejo recibió un informe del Comité Consultivo respecto a la carta enviada por la </w:t>
      </w:r>
      <w:r w:rsidRPr="006E5110">
        <w:rPr>
          <w:rFonts w:cs="Arial"/>
          <w:i/>
          <w:lang w:val="es-ES_tradnl"/>
        </w:rPr>
        <w:t xml:space="preserve">International </w:t>
      </w:r>
      <w:proofErr w:type="spellStart"/>
      <w:r w:rsidRPr="006E5110">
        <w:rPr>
          <w:rFonts w:cs="Arial"/>
          <w:i/>
          <w:lang w:val="es-ES_tradnl"/>
        </w:rPr>
        <w:t>Seed</w:t>
      </w:r>
      <w:proofErr w:type="spellEnd"/>
      <w:r w:rsidRPr="006E5110">
        <w:rPr>
          <w:rFonts w:cs="Arial"/>
          <w:i/>
          <w:lang w:val="es-ES_tradnl"/>
        </w:rPr>
        <w:t xml:space="preserve"> </w:t>
      </w:r>
      <w:proofErr w:type="spellStart"/>
      <w:r w:rsidRPr="006E5110">
        <w:rPr>
          <w:rFonts w:cs="Arial"/>
          <w:i/>
          <w:lang w:val="es-ES_tradnl"/>
        </w:rPr>
        <w:t>Federation</w:t>
      </w:r>
      <w:proofErr w:type="spellEnd"/>
      <w:r w:rsidRPr="008212EE">
        <w:rPr>
          <w:rFonts w:cs="Arial"/>
          <w:lang w:val="es-ES_tradnl"/>
        </w:rPr>
        <w:t xml:space="preserve"> (ISF) sobre el asunto “Aspectos </w:t>
      </w:r>
      <w:r w:rsidR="00541C24">
        <w:rPr>
          <w:rFonts w:cs="Arial"/>
          <w:lang w:val="es-ES_tradnl"/>
        </w:rPr>
        <w:t>de la solicitud</w:t>
      </w:r>
      <w:r w:rsidRPr="008212EE">
        <w:rPr>
          <w:rFonts w:cs="Arial"/>
          <w:lang w:val="es-ES_tradnl"/>
        </w:rPr>
        <w:t xml:space="preserve">, el examen y la concesión de las solicitudes de derechos de obtentor” </w:t>
      </w:r>
      <w:r w:rsidRPr="008212EE">
        <w:rPr>
          <w:lang w:val="es-ES_tradnl"/>
        </w:rPr>
        <w:t>(véanse los párrafos 62 a 66 del documento C/47/15</w:t>
      </w:r>
      <w:r w:rsidR="00126344">
        <w:rPr>
          <w:lang w:val="es-ES_tradnl"/>
        </w:rPr>
        <w:t> Rev. “Informe de la Presidenta</w:t>
      </w:r>
      <w:r w:rsidRPr="008212EE">
        <w:rPr>
          <w:lang w:val="es-ES_tradnl"/>
        </w:rPr>
        <w:t xml:space="preserve"> sobre los trabajos de la octogésima sexta sesión del Comité Consultivo;  aprobación, si procede, de las recomendaciones preparadas por dicho Comité”</w:t>
      </w:r>
      <w:r w:rsidRPr="008212EE">
        <w:rPr>
          <w:rFonts w:cs="Arial"/>
          <w:lang w:val="es-ES_tradnl"/>
        </w:rPr>
        <w:t>).</w:t>
      </w:r>
      <w:r w:rsidRPr="006E5110">
        <w:rPr>
          <w:rFonts w:cs="Arial"/>
          <w:lang w:val="es-ES_tradnl"/>
        </w:rPr>
        <w:t xml:space="preserve"> </w:t>
      </w:r>
    </w:p>
    <w:p w:rsidR="00B9396E" w:rsidRPr="006E5110" w:rsidRDefault="00B9396E" w:rsidP="003F0EE1">
      <w:pPr>
        <w:rPr>
          <w:rFonts w:cs="Arial"/>
          <w:lang w:val="es-ES_tradnl"/>
        </w:rPr>
      </w:pPr>
    </w:p>
    <w:p w:rsidR="00B9396E" w:rsidRPr="006E5110" w:rsidRDefault="00B9396E" w:rsidP="003F0EE1">
      <w:pPr>
        <w:rPr>
          <w:lang w:val="es-ES_tradnl"/>
        </w:rPr>
      </w:pPr>
      <w:r>
        <w:rPr>
          <w:rFonts w:cs="Arial"/>
        </w:rPr>
        <w:fldChar w:fldCharType="begin"/>
      </w:r>
      <w:r w:rsidRPr="006E5110">
        <w:rPr>
          <w:rFonts w:cs="Arial"/>
          <w:lang w:val="es-ES_tradnl"/>
        </w:rPr>
        <w:instrText xml:space="preserve"> AUTONUM  </w:instrText>
      </w:r>
      <w:r>
        <w:rPr>
          <w:rFonts w:cs="Arial"/>
        </w:rPr>
        <w:fldChar w:fldCharType="end"/>
      </w:r>
      <w:r w:rsidRPr="006E5110">
        <w:rPr>
          <w:rFonts w:cs="Arial"/>
          <w:lang w:val="es-ES_tradnl"/>
        </w:rPr>
        <w:tab/>
      </w:r>
      <w:r w:rsidRPr="008212EE">
        <w:rPr>
          <w:rFonts w:cs="Arial"/>
          <w:lang w:val="es-ES_tradnl"/>
        </w:rPr>
        <w:t>En el informe se indica que el Comité Consultivo había llegado a la conclusión de que el material de información que facilita o que podría facilitar la UPOV aborda muchas de las cuestiones planteadas.</w:t>
      </w:r>
      <w:r w:rsidRPr="006E5110">
        <w:rPr>
          <w:rFonts w:cs="Arial"/>
          <w:lang w:val="es-ES_tradnl"/>
        </w:rPr>
        <w:t xml:space="preserve">  </w:t>
      </w:r>
      <w:r w:rsidRPr="008212EE">
        <w:rPr>
          <w:rFonts w:cs="Arial"/>
          <w:lang w:val="es-ES_tradnl"/>
        </w:rPr>
        <w:t>Los órganos pertinentes de la UPOV, en particular el CAJ y el Comité Técnico (TC), estudiarían dichas cuestiones.</w:t>
      </w:r>
      <w:r w:rsidRPr="006E5110">
        <w:rPr>
          <w:rFonts w:cs="Arial"/>
          <w:lang w:val="es-ES_tradnl"/>
        </w:rPr>
        <w:t xml:space="preserve">  </w:t>
      </w:r>
      <w:r w:rsidRPr="008212EE">
        <w:rPr>
          <w:rFonts w:cs="Arial"/>
          <w:lang w:val="es-ES_tradnl"/>
        </w:rPr>
        <w:t xml:space="preserve">Con respecto a las propuestas acerca de un sistema internacional de presentación de solicitudes, un programa de garantía de la calidad de la UPOV y un sistema central de examen de las denominaciones de variedades, en el informe se indica que el Comité Consultivo había solicitado a la Oficina de la Unión y a la ISF </w:t>
      </w:r>
      <w:r w:rsidR="00126344" w:rsidRPr="004E33BB">
        <w:rPr>
          <w:lang w:val="es-ES_tradnl"/>
        </w:rPr>
        <w:t>que den detalles sobre los problemas que se plantean y sus posibles soluciones en relación con las ideas de la ISF</w:t>
      </w:r>
      <w:r w:rsidRPr="008212EE">
        <w:rPr>
          <w:rFonts w:cs="Arial"/>
          <w:lang w:val="es-ES_tradnl"/>
        </w:rPr>
        <w:t xml:space="preserve">, para su examen en la siguiente sesión del </w:t>
      </w:r>
      <w:r w:rsidR="00126344" w:rsidRPr="008212EE">
        <w:rPr>
          <w:rFonts w:cs="Arial"/>
          <w:lang w:val="es-ES_tradnl"/>
        </w:rPr>
        <w:t>Comité Consultivo</w:t>
      </w:r>
      <w:r w:rsidRPr="008212EE">
        <w:rPr>
          <w:rFonts w:cs="Arial"/>
          <w:lang w:val="es-ES_tradnl"/>
        </w:rPr>
        <w:t xml:space="preserve"> (véase el Anexo II del documento C/47/19 “Informe sobre las decisiones”).</w:t>
      </w:r>
      <w:r w:rsidRPr="006E5110">
        <w:rPr>
          <w:rFonts w:cs="Arial"/>
          <w:lang w:val="es-ES_tradnl"/>
        </w:rPr>
        <w:t xml:space="preserve">  </w:t>
      </w:r>
    </w:p>
    <w:p w:rsidR="00B9396E" w:rsidRPr="006E5110" w:rsidRDefault="00B9396E" w:rsidP="003F0EE1">
      <w:pPr>
        <w:rPr>
          <w:snapToGrid w:val="0"/>
          <w:lang w:val="es-ES_tradnl"/>
        </w:rPr>
      </w:pPr>
    </w:p>
    <w:p w:rsidR="00B9396E" w:rsidRPr="006E5110" w:rsidRDefault="00B9396E" w:rsidP="005C4485">
      <w:pPr>
        <w:rPr>
          <w:kern w:val="28"/>
          <w:lang w:val="es-ES_tradnl"/>
        </w:rPr>
      </w:pPr>
    </w:p>
    <w:p w:rsidR="00B9396E" w:rsidRPr="006E5110" w:rsidRDefault="00B9396E" w:rsidP="005C4485">
      <w:pPr>
        <w:rPr>
          <w:kern w:val="28"/>
          <w:lang w:val="es-ES_tradnl"/>
        </w:rPr>
      </w:pPr>
    </w:p>
    <w:p w:rsidR="00B9396E" w:rsidRPr="006E5110" w:rsidRDefault="00B9396E" w:rsidP="006B4C1A">
      <w:pPr>
        <w:pStyle w:val="Heading1"/>
        <w:rPr>
          <w:lang w:val="es-ES_tradnl"/>
        </w:rPr>
      </w:pPr>
      <w:bookmarkStart w:id="4" w:name="_Toc379530097"/>
      <w:bookmarkStart w:id="5" w:name="_Toc381102829"/>
      <w:bookmarkStart w:id="6" w:name="_Toc381102857"/>
      <w:bookmarkStart w:id="7" w:name="_Toc382404375"/>
      <w:r w:rsidRPr="00FA5F3D">
        <w:rPr>
          <w:lang w:val="es-ES_tradnl"/>
        </w:rPr>
        <w:t>I.</w:t>
      </w:r>
      <w:r w:rsidRPr="006E5110">
        <w:rPr>
          <w:lang w:val="es-ES_tradnl"/>
        </w:rPr>
        <w:tab/>
      </w:r>
      <w:bookmarkEnd w:id="4"/>
      <w:bookmarkEnd w:id="5"/>
      <w:bookmarkEnd w:id="6"/>
      <w:r w:rsidRPr="008212EE">
        <w:rPr>
          <w:lang w:val="es-ES_tradnl"/>
        </w:rPr>
        <w:t>cuestiones particulares PRESENTAdas al CAJ PARA SU EXAMEN</w:t>
      </w:r>
      <w:bookmarkEnd w:id="7"/>
    </w:p>
    <w:p w:rsidR="00B9396E" w:rsidRPr="006E5110" w:rsidRDefault="00B9396E" w:rsidP="0055760B">
      <w:pPr>
        <w:keepNext/>
        <w:rPr>
          <w:snapToGrid w:val="0"/>
          <w:lang w:val="es-ES_tradnl"/>
        </w:rPr>
      </w:pPr>
    </w:p>
    <w:p w:rsidR="00B9396E" w:rsidRPr="006E5110" w:rsidRDefault="00B9396E" w:rsidP="007D6C5B">
      <w:pPr>
        <w:rPr>
          <w:lang w:val="es-ES_tradnl"/>
        </w:rPr>
      </w:pPr>
      <w:r w:rsidRPr="00987226">
        <w:fldChar w:fldCharType="begin"/>
      </w:r>
      <w:r w:rsidRPr="006E5110">
        <w:rPr>
          <w:lang w:val="es-ES_tradnl"/>
        </w:rPr>
        <w:instrText xml:space="preserve"> AUTONUM  </w:instrText>
      </w:r>
      <w:r w:rsidRPr="00987226">
        <w:fldChar w:fldCharType="end"/>
      </w:r>
      <w:r w:rsidRPr="006E5110">
        <w:rPr>
          <w:lang w:val="es-ES_tradnl"/>
        </w:rPr>
        <w:tab/>
      </w:r>
      <w:r w:rsidRPr="008212EE">
        <w:rPr>
          <w:lang w:val="es-ES_tradnl"/>
        </w:rPr>
        <w:t xml:space="preserve">En su octogésima sexta sesión, el Comité Consultivo examinó la carta enviada por la </w:t>
      </w:r>
      <w:r w:rsidRPr="008212EE">
        <w:rPr>
          <w:rFonts w:cs="Arial"/>
          <w:lang w:val="es-ES_tradnl"/>
        </w:rPr>
        <w:t xml:space="preserve">ISF </w:t>
      </w:r>
      <w:r w:rsidRPr="008212EE">
        <w:rPr>
          <w:lang w:val="es-ES_tradnl"/>
        </w:rPr>
        <w:t>sobre el asunto “Aspectos relativos a la aplicación, el examen y la concesión de las solicitudes de derechos de obtentor” (véanse los párrafos 62 a 66 del documento C/47/15</w:t>
      </w:r>
      <w:r w:rsidR="00126344">
        <w:rPr>
          <w:lang w:val="es-ES_tradnl"/>
        </w:rPr>
        <w:t> Rev. “Informe de la Presidenta</w:t>
      </w:r>
      <w:r w:rsidRPr="008212EE">
        <w:rPr>
          <w:lang w:val="es-ES_tradnl"/>
        </w:rPr>
        <w:t xml:space="preserve"> sobre los trabajos de la octogésima sexta sesión del Comité Consultivo;  aprobación, si procede, de las recomendaciones preparadas por dicho Comité”).  El Comité Consultivo acordó invitar al CAJ y al TC a examinar las recomendaciones de la ISF en relación con los materiales de información existentes y los posibles nuevos materiales, paralelamente a la transformación del documento UPOV/INF/15 en un documento marco.</w:t>
      </w:r>
      <w:r w:rsidRPr="006E5110">
        <w:rPr>
          <w:lang w:val="es-ES_tradnl"/>
        </w:rPr>
        <w:t xml:space="preserve">  </w:t>
      </w:r>
      <w:r w:rsidRPr="008212EE">
        <w:rPr>
          <w:lang w:val="es-ES_tradnl"/>
        </w:rPr>
        <w:t>Las cuestiones particulares planteadas por la ISF se analizan en ese contexto.</w:t>
      </w:r>
    </w:p>
    <w:p w:rsidR="00B9396E" w:rsidRPr="006E5110" w:rsidRDefault="00B9396E" w:rsidP="007D6C5B">
      <w:pPr>
        <w:rPr>
          <w:snapToGrid w:val="0"/>
          <w:lang w:val="es-ES_tradnl"/>
        </w:rPr>
      </w:pPr>
    </w:p>
    <w:p w:rsidR="00B9396E" w:rsidRPr="006E5110" w:rsidRDefault="00B9396E" w:rsidP="007D6C5B">
      <w:pPr>
        <w:rPr>
          <w:snapToGrid w:val="0"/>
          <w:lang w:val="es-ES_tradnl"/>
        </w:rPr>
      </w:pPr>
    </w:p>
    <w:p w:rsidR="00B9396E" w:rsidRPr="005735BF" w:rsidRDefault="00B9396E" w:rsidP="005735BF">
      <w:pPr>
        <w:pStyle w:val="Heading2"/>
      </w:pPr>
      <w:bookmarkStart w:id="8" w:name="_Toc382404376"/>
      <w:r w:rsidRPr="008212EE">
        <w:t>Período para presentar la solicitud</w:t>
      </w:r>
      <w:bookmarkEnd w:id="8"/>
    </w:p>
    <w:p w:rsidR="00B9396E" w:rsidRPr="00987226" w:rsidRDefault="00B9396E" w:rsidP="007F5CF8">
      <w:pPr>
        <w:keepNext/>
        <w:rPr>
          <w:snapToGrid w:val="0"/>
        </w:rPr>
      </w:pPr>
    </w:p>
    <w:tbl>
      <w:tblPr>
        <w:tblW w:w="0" w:type="auto"/>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57" w:type="dxa"/>
          <w:left w:w="85" w:type="dxa"/>
          <w:bottom w:w="28" w:type="dxa"/>
          <w:right w:w="85" w:type="dxa"/>
        </w:tblCellMar>
        <w:tblLook w:val="00A0" w:firstRow="1" w:lastRow="0" w:firstColumn="1" w:lastColumn="0" w:noHBand="0" w:noVBand="0"/>
      </w:tblPr>
      <w:tblGrid>
        <w:gridCol w:w="8788"/>
      </w:tblGrid>
      <w:tr w:rsidR="00B9396E" w:rsidRPr="00126344" w:rsidTr="009D791D">
        <w:tc>
          <w:tcPr>
            <w:tcW w:w="8788" w:type="dxa"/>
          </w:tcPr>
          <w:p w:rsidR="00B9396E" w:rsidRPr="006E5110" w:rsidRDefault="00B9396E" w:rsidP="009D791D">
            <w:pPr>
              <w:ind w:right="567"/>
              <w:rPr>
                <w:sz w:val="18"/>
                <w:szCs w:val="18"/>
                <w:lang w:val="es-ES_tradnl"/>
              </w:rPr>
            </w:pPr>
            <w:r w:rsidRPr="008212EE">
              <w:rPr>
                <w:sz w:val="18"/>
                <w:szCs w:val="18"/>
                <w:lang w:val="es-ES_tradnl"/>
              </w:rPr>
              <w:t>[Extracto de la carta de la ISF (texto original en inglés)]</w:t>
            </w:r>
          </w:p>
          <w:p w:rsidR="00B9396E" w:rsidRPr="006E5110" w:rsidRDefault="00B9396E" w:rsidP="002E224A">
            <w:pPr>
              <w:rPr>
                <w:sz w:val="18"/>
                <w:szCs w:val="18"/>
                <w:lang w:val="es-ES_tradnl"/>
              </w:rPr>
            </w:pPr>
            <w:r w:rsidRPr="008212EE">
              <w:rPr>
                <w:sz w:val="18"/>
                <w:szCs w:val="18"/>
                <w:u w:val="single"/>
                <w:lang w:val="es-ES_tradnl"/>
              </w:rPr>
              <w:t>Período para presentar la solicitud</w:t>
            </w:r>
            <w:proofErr w:type="gramStart"/>
            <w:r w:rsidRPr="008212EE">
              <w:rPr>
                <w:sz w:val="18"/>
                <w:szCs w:val="18"/>
                <w:lang w:val="es-ES_tradnl"/>
              </w:rPr>
              <w:t>:</w:t>
            </w:r>
            <w:r w:rsidRPr="006E5110">
              <w:rPr>
                <w:sz w:val="18"/>
                <w:szCs w:val="18"/>
                <w:lang w:val="es-ES_tradnl"/>
              </w:rPr>
              <w:t xml:space="preserve">  </w:t>
            </w:r>
            <w:r w:rsidRPr="008212EE">
              <w:rPr>
                <w:sz w:val="18"/>
                <w:szCs w:val="18"/>
                <w:lang w:val="es-ES_tradnl"/>
              </w:rPr>
              <w:t>En</w:t>
            </w:r>
            <w:proofErr w:type="gramEnd"/>
            <w:r w:rsidRPr="008212EE">
              <w:rPr>
                <w:sz w:val="18"/>
                <w:szCs w:val="18"/>
                <w:lang w:val="es-ES_tradnl"/>
              </w:rPr>
              <w:t xml:space="preserve"> determinados países, el período durante el cual puede presentarse una solicitud es limitado.</w:t>
            </w:r>
            <w:r w:rsidRPr="006E5110">
              <w:rPr>
                <w:sz w:val="18"/>
                <w:szCs w:val="18"/>
                <w:lang w:val="es-ES_tradnl"/>
              </w:rPr>
              <w:t xml:space="preserve">  </w:t>
            </w:r>
            <w:r w:rsidRPr="008212EE">
              <w:rPr>
                <w:sz w:val="18"/>
                <w:szCs w:val="18"/>
                <w:lang w:val="es-ES_tradnl"/>
              </w:rPr>
              <w:t xml:space="preserve">Por ejemplo, en relación con un cultivo específico, sólo pueden presentarse solicitudes durante un período concreto de 1 </w:t>
            </w:r>
            <w:proofErr w:type="spellStart"/>
            <w:r w:rsidRPr="008212EE">
              <w:rPr>
                <w:sz w:val="18"/>
                <w:szCs w:val="18"/>
                <w:lang w:val="es-ES_tradnl"/>
              </w:rPr>
              <w:t>ó</w:t>
            </w:r>
            <w:proofErr w:type="spellEnd"/>
            <w:r w:rsidRPr="008212EE">
              <w:rPr>
                <w:sz w:val="18"/>
                <w:szCs w:val="18"/>
                <w:lang w:val="es-ES_tradnl"/>
              </w:rPr>
              <w:t> 2 meses por año.</w:t>
            </w:r>
            <w:r w:rsidRPr="006E5110">
              <w:rPr>
                <w:sz w:val="18"/>
                <w:szCs w:val="18"/>
                <w:lang w:val="es-ES_tradnl"/>
              </w:rPr>
              <w:t xml:space="preserve">  </w:t>
            </w:r>
            <w:r w:rsidRPr="008212EE">
              <w:rPr>
                <w:sz w:val="18"/>
                <w:szCs w:val="18"/>
                <w:lang w:val="es-ES_tradnl"/>
              </w:rPr>
              <w:t>Los miembros de la ISF consideran problemática esa duración específica y limitada, en particular, cuando el plazo que se otorga para el registro de la obtención difiere del plazo para presentar solicitudes de derechos de obtentor.</w:t>
            </w:r>
            <w:r w:rsidRPr="006E5110">
              <w:rPr>
                <w:sz w:val="18"/>
                <w:szCs w:val="18"/>
                <w:lang w:val="es-ES_tradnl"/>
              </w:rPr>
              <w:t xml:space="preserve">  </w:t>
            </w:r>
            <w:r w:rsidRPr="008212EE">
              <w:rPr>
                <w:sz w:val="18"/>
                <w:szCs w:val="18"/>
                <w:lang w:val="es-ES_tradnl"/>
              </w:rPr>
              <w:t>Encontrar el buen momento para solicitar la prioridad de la solicitud es esencial e imponer un período de tiempo limitado puede suponer un obstáculo.</w:t>
            </w:r>
            <w:r w:rsidRPr="006E5110">
              <w:rPr>
                <w:sz w:val="18"/>
                <w:szCs w:val="18"/>
                <w:lang w:val="es-ES_tradnl"/>
              </w:rPr>
              <w:t xml:space="preserve">  </w:t>
            </w:r>
            <w:r w:rsidRPr="008212EE">
              <w:rPr>
                <w:sz w:val="18"/>
                <w:szCs w:val="18"/>
                <w:lang w:val="es-ES_tradnl"/>
              </w:rPr>
              <w:t>Tendría que ser posible presentar solicitudes todo el año;  y las limitaciones que a ese respecto se impongan deben ser lógicas y realistas.</w:t>
            </w:r>
            <w:r w:rsidRPr="006E5110">
              <w:rPr>
                <w:sz w:val="18"/>
                <w:szCs w:val="18"/>
                <w:lang w:val="es-ES_tradnl"/>
              </w:rPr>
              <w:t xml:space="preserve">  </w:t>
            </w:r>
          </w:p>
        </w:tc>
      </w:tr>
    </w:tbl>
    <w:p w:rsidR="00B9396E" w:rsidRPr="006E5110" w:rsidRDefault="00B9396E" w:rsidP="00F4207E">
      <w:pPr>
        <w:rPr>
          <w:snapToGrid w:val="0"/>
          <w:lang w:val="es-ES_tradnl"/>
        </w:rPr>
      </w:pPr>
    </w:p>
    <w:p w:rsidR="00B9396E" w:rsidRPr="006E5110" w:rsidRDefault="00B9396E" w:rsidP="00697024">
      <w:pPr>
        <w:rPr>
          <w:snapToGrid w:val="0"/>
          <w:lang w:val="es-ES_tradnl"/>
        </w:rPr>
      </w:pPr>
      <w:r>
        <w:rPr>
          <w:snapToGrid w:val="0"/>
        </w:rPr>
        <w:fldChar w:fldCharType="begin"/>
      </w:r>
      <w:r w:rsidRPr="006E5110">
        <w:rPr>
          <w:snapToGrid w:val="0"/>
          <w:lang w:val="es-ES_tradnl"/>
        </w:rPr>
        <w:instrText xml:space="preserve"> AUTONUM  </w:instrText>
      </w:r>
      <w:r>
        <w:rPr>
          <w:snapToGrid w:val="0"/>
        </w:rPr>
        <w:fldChar w:fldCharType="end"/>
      </w:r>
      <w:r w:rsidRPr="006E5110">
        <w:rPr>
          <w:snapToGrid w:val="0"/>
          <w:lang w:val="es-ES_tradnl"/>
        </w:rPr>
        <w:tab/>
      </w:r>
      <w:r w:rsidRPr="008212EE">
        <w:rPr>
          <w:snapToGrid w:val="0"/>
          <w:lang w:val="es-ES_tradnl"/>
        </w:rPr>
        <w:t>Se sugiere al CAJ que considere si procede ofrecer, en el documento UPOV/INF/15, orientación sobre la posibilidad de presentar solicitudes todo el año o la aplicación de períodos de tiempo limitados para la presentación de solicitudes.</w:t>
      </w:r>
    </w:p>
    <w:p w:rsidR="00B9396E" w:rsidRPr="006E5110" w:rsidRDefault="00B9396E" w:rsidP="00697024">
      <w:pPr>
        <w:rPr>
          <w:snapToGrid w:val="0"/>
          <w:lang w:val="es-ES_tradnl"/>
        </w:rPr>
      </w:pPr>
    </w:p>
    <w:p w:rsidR="00B9396E" w:rsidRPr="006E5110" w:rsidRDefault="00B9396E" w:rsidP="00064085">
      <w:pPr>
        <w:pStyle w:val="DecisionParagraphs"/>
        <w:rPr>
          <w:snapToGrid w:val="0"/>
          <w:lang w:val="es-ES_tradnl"/>
        </w:rPr>
      </w:pPr>
      <w:r w:rsidRPr="00987226">
        <w:rPr>
          <w:iCs/>
        </w:rPr>
        <w:fldChar w:fldCharType="begin"/>
      </w:r>
      <w:r w:rsidRPr="006E5110">
        <w:rPr>
          <w:iCs/>
          <w:lang w:val="es-ES_tradnl"/>
        </w:rPr>
        <w:instrText xml:space="preserve"> AUTONUM  </w:instrText>
      </w:r>
      <w:r w:rsidRPr="00987226">
        <w:rPr>
          <w:iCs/>
        </w:rPr>
        <w:fldChar w:fldCharType="end"/>
      </w:r>
      <w:r w:rsidRPr="006E5110">
        <w:rPr>
          <w:rFonts w:eastAsia="SimSun"/>
          <w:iCs/>
          <w:lang w:val="es-ES_tradnl"/>
        </w:rPr>
        <w:tab/>
      </w:r>
      <w:r w:rsidRPr="008212EE">
        <w:rPr>
          <w:rFonts w:eastAsia="SimSun"/>
          <w:lang w:val="es-ES_tradnl"/>
        </w:rPr>
        <w:t xml:space="preserve">Se invita al CAJ a </w:t>
      </w:r>
      <w:r w:rsidRPr="008212EE">
        <w:rPr>
          <w:snapToGrid w:val="0"/>
          <w:lang w:val="es-ES_tradnl"/>
        </w:rPr>
        <w:t xml:space="preserve">considerar </w:t>
      </w:r>
      <w:r w:rsidRPr="008212EE">
        <w:rPr>
          <w:rFonts w:eastAsia="SimSun"/>
          <w:lang w:val="es-ES_tradnl"/>
        </w:rPr>
        <w:t xml:space="preserve">si procede ofrecer, en el documento UPOV/INF/15, orientación </w:t>
      </w:r>
      <w:r w:rsidRPr="008212EE">
        <w:rPr>
          <w:rFonts w:eastAsia="SimSun"/>
          <w:lang w:val="es-ES_tradnl"/>
        </w:rPr>
        <w:lastRenderedPageBreak/>
        <w:t>sobre la posibilidad de presentar solicitudes todo el año o la aplicación de períodos de tiempo limitados para la presentación de solicitudes.</w:t>
      </w:r>
    </w:p>
    <w:p w:rsidR="00B9396E" w:rsidRPr="006E5110" w:rsidRDefault="00B9396E" w:rsidP="00615C58">
      <w:pPr>
        <w:rPr>
          <w:snapToGrid w:val="0"/>
          <w:lang w:val="es-ES_tradnl"/>
        </w:rPr>
      </w:pPr>
    </w:p>
    <w:p w:rsidR="00B9396E" w:rsidRPr="006E5110" w:rsidRDefault="00B9396E" w:rsidP="00697024">
      <w:pPr>
        <w:rPr>
          <w:snapToGrid w:val="0"/>
          <w:lang w:val="es-ES_tradnl"/>
        </w:rPr>
      </w:pPr>
    </w:p>
    <w:p w:rsidR="00B9396E" w:rsidRPr="00641FEB" w:rsidRDefault="00B9396E" w:rsidP="005735BF">
      <w:pPr>
        <w:pStyle w:val="Heading2"/>
      </w:pPr>
      <w:bookmarkStart w:id="9" w:name="_Toc382404377"/>
      <w:r w:rsidRPr="008212EE">
        <w:t>Información genealógica</w:t>
      </w:r>
      <w:bookmarkEnd w:id="9"/>
    </w:p>
    <w:p w:rsidR="00B9396E" w:rsidRPr="00987226" w:rsidRDefault="00B9396E" w:rsidP="005735BF">
      <w:pPr>
        <w:pStyle w:val="Heading2"/>
      </w:pPr>
    </w:p>
    <w:tbl>
      <w:tblPr>
        <w:tblW w:w="0" w:type="auto"/>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57" w:type="dxa"/>
          <w:left w:w="85" w:type="dxa"/>
          <w:bottom w:w="28" w:type="dxa"/>
          <w:right w:w="85" w:type="dxa"/>
        </w:tblCellMar>
        <w:tblLook w:val="00A0" w:firstRow="1" w:lastRow="0" w:firstColumn="1" w:lastColumn="0" w:noHBand="0" w:noVBand="0"/>
      </w:tblPr>
      <w:tblGrid>
        <w:gridCol w:w="8788"/>
      </w:tblGrid>
      <w:tr w:rsidR="00B9396E" w:rsidRPr="00126344" w:rsidTr="009D791D">
        <w:tc>
          <w:tcPr>
            <w:tcW w:w="8788" w:type="dxa"/>
          </w:tcPr>
          <w:p w:rsidR="00B9396E" w:rsidRPr="006E5110" w:rsidRDefault="00B9396E" w:rsidP="00765D83">
            <w:pPr>
              <w:keepNext/>
              <w:ind w:right="567"/>
              <w:rPr>
                <w:sz w:val="18"/>
                <w:szCs w:val="18"/>
                <w:lang w:val="es-ES_tradnl"/>
              </w:rPr>
            </w:pPr>
            <w:r w:rsidRPr="00FA5F3D">
              <w:rPr>
                <w:sz w:val="18"/>
                <w:szCs w:val="18"/>
                <w:lang w:val="es-ES_tradnl"/>
              </w:rPr>
              <w:t>[Extracto de la carta de la ISF (texto original en inglés)]</w:t>
            </w:r>
          </w:p>
          <w:p w:rsidR="00B9396E" w:rsidRPr="006E5110" w:rsidRDefault="00B9396E" w:rsidP="00765D83">
            <w:pPr>
              <w:keepNext/>
              <w:rPr>
                <w:sz w:val="18"/>
                <w:szCs w:val="18"/>
                <w:u w:val="single"/>
                <w:lang w:val="es-ES_tradnl"/>
              </w:rPr>
            </w:pPr>
          </w:p>
          <w:p w:rsidR="00B9396E" w:rsidRPr="006E5110" w:rsidRDefault="00B9396E" w:rsidP="004B0E07">
            <w:pPr>
              <w:rPr>
                <w:sz w:val="18"/>
                <w:szCs w:val="18"/>
                <w:lang w:val="es-ES_tradnl"/>
              </w:rPr>
            </w:pPr>
            <w:r w:rsidRPr="008212EE">
              <w:rPr>
                <w:sz w:val="18"/>
                <w:szCs w:val="18"/>
                <w:u w:val="single"/>
                <w:lang w:val="es-ES_tradnl"/>
              </w:rPr>
              <w:t>Información genealógica</w:t>
            </w:r>
            <w:proofErr w:type="gramStart"/>
            <w:r w:rsidRPr="008212EE">
              <w:rPr>
                <w:sz w:val="18"/>
                <w:szCs w:val="18"/>
                <w:lang w:val="es-ES_tradnl"/>
              </w:rPr>
              <w:t>:</w:t>
            </w:r>
            <w:r w:rsidRPr="006E5110">
              <w:rPr>
                <w:sz w:val="18"/>
                <w:szCs w:val="18"/>
                <w:lang w:val="es-ES_tradnl"/>
              </w:rPr>
              <w:t xml:space="preserve">  </w:t>
            </w:r>
            <w:r w:rsidRPr="008212EE">
              <w:rPr>
                <w:sz w:val="18"/>
                <w:szCs w:val="18"/>
                <w:lang w:val="es-ES_tradnl"/>
              </w:rPr>
              <w:t>Los</w:t>
            </w:r>
            <w:proofErr w:type="gramEnd"/>
            <w:r w:rsidRPr="008212EE">
              <w:rPr>
                <w:sz w:val="18"/>
                <w:szCs w:val="18"/>
                <w:lang w:val="es-ES_tradnl"/>
              </w:rPr>
              <w:t xml:space="preserve"> miembros de la ISF consideran que no debe solicitarse información genealógica y en los países en los que se decida solicitar esa información, esta última no debe ponerse en conocimiento del público.</w:t>
            </w:r>
            <w:r w:rsidRPr="006E5110">
              <w:rPr>
                <w:sz w:val="18"/>
                <w:szCs w:val="18"/>
                <w:lang w:val="es-ES_tradnl"/>
              </w:rPr>
              <w:t xml:space="preserve">  </w:t>
            </w:r>
            <w:r w:rsidRPr="008212EE">
              <w:rPr>
                <w:sz w:val="18"/>
                <w:szCs w:val="18"/>
                <w:lang w:val="es-ES_tradnl"/>
              </w:rPr>
              <w:t>Además, debe darse al obtentor la posibilidad de indicar si desea que determinada información que figura en la solicitud se trate de forma confidencial.</w:t>
            </w:r>
          </w:p>
        </w:tc>
      </w:tr>
    </w:tbl>
    <w:p w:rsidR="00B9396E" w:rsidRPr="006E5110" w:rsidRDefault="00B9396E" w:rsidP="009C51FE">
      <w:pPr>
        <w:rPr>
          <w:snapToGrid w:val="0"/>
          <w:lang w:val="es-ES_tradnl"/>
        </w:rPr>
      </w:pPr>
    </w:p>
    <w:p w:rsidR="00B9396E" w:rsidRPr="006E5110" w:rsidRDefault="00B9396E" w:rsidP="00737D0E">
      <w:pPr>
        <w:rPr>
          <w:lang w:val="es-ES_tradnl"/>
        </w:rPr>
      </w:pPr>
      <w:r>
        <w:rPr>
          <w:snapToGrid w:val="0"/>
        </w:rPr>
        <w:fldChar w:fldCharType="begin"/>
      </w:r>
      <w:r w:rsidRPr="006E5110">
        <w:rPr>
          <w:snapToGrid w:val="0"/>
          <w:lang w:val="es-ES_tradnl"/>
        </w:rPr>
        <w:instrText xml:space="preserve"> AUTONUM  </w:instrText>
      </w:r>
      <w:r>
        <w:rPr>
          <w:snapToGrid w:val="0"/>
        </w:rPr>
        <w:fldChar w:fldCharType="end"/>
      </w:r>
      <w:r w:rsidRPr="006E5110">
        <w:rPr>
          <w:snapToGrid w:val="0"/>
          <w:lang w:val="es-ES_tradnl"/>
        </w:rPr>
        <w:tab/>
      </w:r>
      <w:r w:rsidRPr="008212EE">
        <w:rPr>
          <w:snapToGrid w:val="0"/>
          <w:lang w:val="es-ES_tradnl"/>
        </w:rPr>
        <w:t xml:space="preserve">Se sugiere al CAJ que considere si las orientaciones que figuran en el documento TGP/7 “Elaboración de las directrices de examen”, Anexo 1:  Plantilla de los documentos TG, Sección 4 “Información sobre el método de obtención y la reproducción de la variedad” y en su nota de pie de página </w:t>
      </w:r>
      <w:r w:rsidRPr="008212EE">
        <w:rPr>
          <w:lang w:val="es-ES_tradnl"/>
        </w:rPr>
        <w:t xml:space="preserve">(véase </w:t>
      </w:r>
      <w:hyperlink r:id="rId9" w:history="1">
        <w:r w:rsidRPr="008212EE">
          <w:rPr>
            <w:rStyle w:val="Hyperlink"/>
            <w:lang w:val="es-ES_tradnl"/>
          </w:rPr>
          <w:t>http://www.upov.int/edocs/tgpdocs/es/tgp_7.pdf</w:t>
        </w:r>
      </w:hyperlink>
      <w:r w:rsidRPr="008212EE">
        <w:rPr>
          <w:lang w:val="es-ES_tradnl"/>
        </w:rPr>
        <w:t xml:space="preserve">) </w:t>
      </w:r>
      <w:r w:rsidRPr="008212EE">
        <w:rPr>
          <w:snapToGrid w:val="0"/>
          <w:lang w:val="es-ES_tradnl"/>
        </w:rPr>
        <w:t xml:space="preserve">constituyen un enfoque adecuado para abordar la </w:t>
      </w:r>
      <w:r w:rsidRPr="008212EE">
        <w:rPr>
          <w:lang w:val="es-ES_tradnl"/>
        </w:rPr>
        <w:t>situación de las solicitudes de información genealógica (la Sección 4 se reproduce a continuación) o si sería conveniente elaborar orientaciones adicionales.</w:t>
      </w:r>
    </w:p>
    <w:p w:rsidR="00B9396E" w:rsidRPr="006E5110" w:rsidRDefault="00B9396E" w:rsidP="00737D0E">
      <w:pPr>
        <w:rPr>
          <w:lang w:val="es-ES_tradnl"/>
        </w:rPr>
      </w:pPr>
    </w:p>
    <w:tbl>
      <w:tblPr>
        <w:tblW w:w="847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28" w:type="dxa"/>
          <w:right w:w="85" w:type="dxa"/>
        </w:tblCellMar>
        <w:tblLook w:val="00A0" w:firstRow="1" w:lastRow="0" w:firstColumn="1" w:lastColumn="0" w:noHBand="0" w:noVBand="0"/>
      </w:tblPr>
      <w:tblGrid>
        <w:gridCol w:w="8472"/>
      </w:tblGrid>
      <w:tr w:rsidR="00B9396E" w:rsidRPr="00126344" w:rsidTr="009D791D">
        <w:trPr>
          <w:cantSplit/>
        </w:trPr>
        <w:tc>
          <w:tcPr>
            <w:tcW w:w="8472" w:type="dxa"/>
          </w:tcPr>
          <w:p w:rsidR="00B9396E" w:rsidRPr="006E5110" w:rsidRDefault="00B9396E" w:rsidP="009D791D">
            <w:pPr>
              <w:tabs>
                <w:tab w:val="left" w:pos="567"/>
                <w:tab w:val="left" w:pos="1106"/>
                <w:tab w:val="left" w:pos="2976"/>
                <w:tab w:val="left" w:pos="5856"/>
                <w:tab w:val="left" w:pos="7296"/>
                <w:tab w:val="left" w:pos="7910"/>
              </w:tabs>
              <w:ind w:left="113" w:right="255"/>
              <w:jc w:val="left"/>
              <w:rPr>
                <w:sz w:val="18"/>
                <w:lang w:val="es-ES_tradnl"/>
              </w:rPr>
            </w:pPr>
            <w:r w:rsidRPr="006E5110">
              <w:rPr>
                <w:sz w:val="18"/>
                <w:vertAlign w:val="superscript"/>
                <w:lang w:val="es-ES_tradnl"/>
              </w:rPr>
              <w:t>#</w:t>
            </w:r>
            <w:r w:rsidRPr="006E5110">
              <w:rPr>
                <w:sz w:val="18"/>
                <w:lang w:val="es-ES_tradnl"/>
              </w:rPr>
              <w:t>4.</w:t>
            </w:r>
            <w:r w:rsidRPr="006E5110">
              <w:rPr>
                <w:sz w:val="18"/>
                <w:lang w:val="es-ES_tradnl"/>
              </w:rPr>
              <w:tab/>
            </w:r>
            <w:r w:rsidRPr="00FA5F3D">
              <w:rPr>
                <w:sz w:val="18"/>
                <w:lang w:val="es-ES_tradnl"/>
              </w:rPr>
              <w:t>Información sobre el método de obtención y la reproducción de la variedad</w:t>
            </w:r>
            <w:r w:rsidRPr="006E5110">
              <w:rPr>
                <w:sz w:val="18"/>
                <w:lang w:val="es-ES_tradnl"/>
              </w:rPr>
              <w:t xml:space="preserve"> </w:t>
            </w:r>
          </w:p>
          <w:p w:rsidR="00B9396E" w:rsidRPr="006E5110" w:rsidRDefault="00B9396E" w:rsidP="009D791D">
            <w:pPr>
              <w:tabs>
                <w:tab w:val="left" w:pos="567"/>
                <w:tab w:val="left" w:pos="1106"/>
                <w:tab w:val="left" w:pos="2976"/>
                <w:tab w:val="left" w:pos="5856"/>
                <w:tab w:val="left" w:pos="7296"/>
                <w:tab w:val="left" w:pos="7910"/>
              </w:tabs>
              <w:ind w:left="113" w:right="255"/>
              <w:jc w:val="left"/>
              <w:rPr>
                <w:sz w:val="18"/>
                <w:lang w:val="es-ES_tradnl"/>
              </w:rPr>
            </w:pPr>
          </w:p>
          <w:p w:rsidR="00B9396E" w:rsidRPr="006E5110" w:rsidRDefault="00B9396E" w:rsidP="009D791D">
            <w:pPr>
              <w:tabs>
                <w:tab w:val="left" w:pos="567"/>
                <w:tab w:val="left" w:pos="1106"/>
                <w:tab w:val="left" w:pos="2976"/>
                <w:tab w:val="left" w:pos="5856"/>
                <w:tab w:val="left" w:pos="7296"/>
                <w:tab w:val="left" w:pos="7910"/>
              </w:tabs>
              <w:ind w:left="113" w:right="255"/>
              <w:jc w:val="left"/>
              <w:rPr>
                <w:sz w:val="18"/>
                <w:lang w:val="es-ES_tradnl"/>
              </w:rPr>
            </w:pPr>
            <w:r w:rsidRPr="006E5110">
              <w:rPr>
                <w:sz w:val="18"/>
                <w:lang w:val="es-ES_tradnl"/>
              </w:rPr>
              <w:tab/>
              <w:t>4.1</w:t>
            </w:r>
            <w:r w:rsidRPr="006E5110">
              <w:rPr>
                <w:sz w:val="18"/>
                <w:lang w:val="es-ES_tradnl"/>
              </w:rPr>
              <w:tab/>
            </w:r>
            <w:r w:rsidRPr="00FA5F3D">
              <w:rPr>
                <w:sz w:val="18"/>
                <w:lang w:val="es-ES_tradnl"/>
              </w:rPr>
              <w:t>Método de obtención</w:t>
            </w:r>
          </w:p>
          <w:p w:rsidR="00B9396E" w:rsidRPr="006E5110" w:rsidRDefault="00B9396E" w:rsidP="009D791D">
            <w:pPr>
              <w:tabs>
                <w:tab w:val="left" w:pos="567"/>
                <w:tab w:val="left" w:pos="1106"/>
                <w:tab w:val="left" w:pos="2976"/>
                <w:tab w:val="left" w:pos="5856"/>
                <w:tab w:val="left" w:pos="7296"/>
                <w:tab w:val="left" w:pos="7910"/>
              </w:tabs>
              <w:ind w:left="113" w:right="255"/>
              <w:jc w:val="left"/>
              <w:rPr>
                <w:sz w:val="18"/>
                <w:lang w:val="es-ES_tradnl"/>
              </w:rPr>
            </w:pPr>
          </w:p>
          <w:p w:rsidR="00B9396E" w:rsidRPr="006E5110" w:rsidRDefault="00B9396E" w:rsidP="009D791D">
            <w:pPr>
              <w:tabs>
                <w:tab w:val="left" w:pos="567"/>
                <w:tab w:val="left" w:pos="1106"/>
                <w:tab w:val="left" w:pos="1673"/>
                <w:tab w:val="left" w:pos="1815"/>
                <w:tab w:val="left" w:pos="7296"/>
                <w:tab w:val="left" w:pos="7910"/>
              </w:tabs>
              <w:ind w:left="113" w:right="255"/>
              <w:jc w:val="left"/>
              <w:rPr>
                <w:sz w:val="18"/>
                <w:lang w:val="es-ES_tradnl"/>
              </w:rPr>
            </w:pPr>
            <w:r w:rsidRPr="006E5110">
              <w:rPr>
                <w:sz w:val="18"/>
                <w:lang w:val="es-ES_tradnl"/>
              </w:rPr>
              <w:tab/>
              <w:t>{</w:t>
            </w:r>
            <w:bookmarkStart w:id="10" w:name="_Toc15713651"/>
            <w:r w:rsidRPr="006E5110">
              <w:rPr>
                <w:sz w:val="18"/>
                <w:lang w:val="es-ES_tradnl"/>
              </w:rPr>
              <w:t xml:space="preserve"> </w:t>
            </w:r>
            <w:r w:rsidRPr="006E5110">
              <w:rPr>
                <w:b/>
                <w:sz w:val="18"/>
                <w:bdr w:val="single" w:sz="12" w:space="0" w:color="auto"/>
                <w:shd w:val="pct12" w:color="auto" w:fill="auto"/>
                <w:lang w:val="es-ES_tradnl"/>
              </w:rPr>
              <w:t>ASW</w:t>
            </w:r>
            <w:r w:rsidRPr="006E5110">
              <w:rPr>
                <w:b/>
                <w:sz w:val="18"/>
                <w:bdr w:val="single" w:sz="12" w:space="0" w:color="auto"/>
                <w:lang w:val="es-ES_tradnl"/>
              </w:rPr>
              <w:t> 15</w:t>
            </w:r>
            <w:r w:rsidRPr="006E5110">
              <w:rPr>
                <w:sz w:val="18"/>
                <w:bdr w:val="single" w:sz="12" w:space="0" w:color="auto"/>
                <w:lang w:val="es-ES_tradnl"/>
              </w:rPr>
              <w:t xml:space="preserve"> </w:t>
            </w:r>
            <w:r w:rsidRPr="006E5110">
              <w:rPr>
                <w:sz w:val="18"/>
                <w:lang w:val="es-ES_tradnl"/>
              </w:rPr>
              <w:t xml:space="preserve"> (</w:t>
            </w:r>
            <w:r w:rsidRPr="00FA5F3D">
              <w:rPr>
                <w:sz w:val="18"/>
                <w:lang w:val="es-ES_tradnl"/>
              </w:rPr>
              <w:t>Capítulo 10</w:t>
            </w:r>
            <w:r w:rsidRPr="006E5110">
              <w:rPr>
                <w:sz w:val="18"/>
                <w:lang w:val="es-ES_tradnl"/>
              </w:rPr>
              <w:t xml:space="preserve">:  TQ 4.1) – </w:t>
            </w:r>
            <w:bookmarkEnd w:id="10"/>
            <w:r w:rsidRPr="008212EE">
              <w:rPr>
                <w:sz w:val="18"/>
                <w:lang w:val="es-ES_tradnl"/>
              </w:rPr>
              <w:t>Información sobre el método de obtención</w:t>
            </w:r>
            <w:r w:rsidRPr="006E5110">
              <w:rPr>
                <w:sz w:val="18"/>
                <w:lang w:val="es-ES_tradnl"/>
              </w:rPr>
              <w:t xml:space="preserve"> }</w:t>
            </w:r>
          </w:p>
          <w:p w:rsidR="00B9396E" w:rsidRPr="006E5110" w:rsidRDefault="00B9396E" w:rsidP="009D791D">
            <w:pPr>
              <w:tabs>
                <w:tab w:val="left" w:pos="567"/>
                <w:tab w:val="left" w:pos="1106"/>
                <w:tab w:val="left" w:pos="1956"/>
                <w:tab w:val="left" w:pos="5856"/>
                <w:tab w:val="left" w:pos="7296"/>
                <w:tab w:val="left" w:pos="7910"/>
              </w:tabs>
              <w:ind w:left="113" w:right="255"/>
              <w:jc w:val="left"/>
              <w:rPr>
                <w:sz w:val="18"/>
                <w:lang w:val="es-ES_tradnl"/>
              </w:rPr>
            </w:pPr>
          </w:p>
          <w:p w:rsidR="00B9396E" w:rsidRPr="006E5110" w:rsidRDefault="00B9396E" w:rsidP="009D791D">
            <w:pPr>
              <w:tabs>
                <w:tab w:val="left" w:pos="567"/>
                <w:tab w:val="left" w:pos="1106"/>
                <w:tab w:val="left" w:pos="2976"/>
                <w:tab w:val="left" w:pos="5856"/>
                <w:tab w:val="left" w:pos="7296"/>
                <w:tab w:val="left" w:pos="7910"/>
              </w:tabs>
              <w:ind w:left="113" w:right="255"/>
              <w:jc w:val="left"/>
              <w:rPr>
                <w:sz w:val="18"/>
                <w:lang w:val="es-ES_tradnl"/>
              </w:rPr>
            </w:pPr>
            <w:r w:rsidRPr="006E5110">
              <w:rPr>
                <w:sz w:val="18"/>
                <w:lang w:val="es-ES_tradnl"/>
              </w:rPr>
              <w:tab/>
              <w:t>4.2</w:t>
            </w:r>
            <w:r w:rsidRPr="006E5110">
              <w:rPr>
                <w:sz w:val="18"/>
                <w:lang w:val="es-ES_tradnl"/>
              </w:rPr>
              <w:tab/>
            </w:r>
            <w:r w:rsidRPr="00FA5F3D">
              <w:rPr>
                <w:sz w:val="18"/>
                <w:lang w:val="es-ES_tradnl"/>
              </w:rPr>
              <w:t>Método de reproducción de la variedad</w:t>
            </w:r>
          </w:p>
          <w:p w:rsidR="00B9396E" w:rsidRPr="006E5110" w:rsidRDefault="00B9396E" w:rsidP="009D791D">
            <w:pPr>
              <w:tabs>
                <w:tab w:val="left" w:pos="6705"/>
              </w:tabs>
              <w:ind w:left="113" w:right="255"/>
              <w:jc w:val="left"/>
              <w:rPr>
                <w:sz w:val="18"/>
                <w:lang w:val="es-ES_tradnl"/>
              </w:rPr>
            </w:pPr>
          </w:p>
          <w:p w:rsidR="00B9396E" w:rsidRPr="006E5110" w:rsidRDefault="00B9396E" w:rsidP="009D791D">
            <w:pPr>
              <w:tabs>
                <w:tab w:val="left" w:pos="567"/>
                <w:tab w:val="left" w:pos="1106"/>
                <w:tab w:val="left" w:pos="1673"/>
                <w:tab w:val="left" w:pos="3941"/>
                <w:tab w:val="left" w:pos="5856"/>
                <w:tab w:val="left" w:pos="7296"/>
                <w:tab w:val="left" w:pos="7910"/>
              </w:tabs>
              <w:ind w:left="3941" w:right="255" w:hanging="3828"/>
              <w:jc w:val="left"/>
              <w:rPr>
                <w:sz w:val="18"/>
                <w:lang w:val="es-ES_tradnl"/>
              </w:rPr>
            </w:pPr>
            <w:r w:rsidRPr="006E5110">
              <w:rPr>
                <w:sz w:val="18"/>
                <w:lang w:val="es-ES_tradnl"/>
              </w:rPr>
              <w:tab/>
              <w:t>{</w:t>
            </w:r>
            <w:bookmarkStart w:id="11" w:name="_Toc15713652"/>
            <w:r w:rsidRPr="006E5110">
              <w:rPr>
                <w:sz w:val="18"/>
                <w:lang w:val="es-ES_tradnl"/>
              </w:rPr>
              <w:t xml:space="preserve"> </w:t>
            </w:r>
            <w:r w:rsidRPr="006E5110">
              <w:rPr>
                <w:sz w:val="18"/>
                <w:highlight w:val="lightGray"/>
                <w:bdr w:val="single" w:sz="12" w:space="0" w:color="auto"/>
                <w:lang w:val="es-ES_tradnl"/>
              </w:rPr>
              <w:t>GN</w:t>
            </w:r>
            <w:r w:rsidRPr="006E5110">
              <w:rPr>
                <w:sz w:val="18"/>
                <w:bdr w:val="single" w:sz="12" w:space="0" w:color="auto"/>
                <w:lang w:val="es-ES_tradnl"/>
              </w:rPr>
              <w:t> 31</w:t>
            </w:r>
            <w:r w:rsidRPr="006E5110">
              <w:rPr>
                <w:sz w:val="18"/>
                <w:lang w:val="es-ES_tradnl"/>
              </w:rPr>
              <w:t xml:space="preserve"> (</w:t>
            </w:r>
            <w:r w:rsidRPr="00FA5F3D">
              <w:rPr>
                <w:sz w:val="18"/>
                <w:lang w:val="es-ES_tradnl"/>
              </w:rPr>
              <w:t>Capítulo 10</w:t>
            </w:r>
            <w:r w:rsidRPr="006E5110">
              <w:rPr>
                <w:sz w:val="18"/>
                <w:lang w:val="es-ES_tradnl"/>
              </w:rPr>
              <w:t xml:space="preserve">:  TQ 4.2) – </w:t>
            </w:r>
            <w:bookmarkEnd w:id="11"/>
            <w:r w:rsidRPr="008212EE">
              <w:rPr>
                <w:sz w:val="18"/>
                <w:lang w:val="es-ES_tradnl"/>
              </w:rPr>
              <w:t>Información sobre el método de reproducción de la variedad</w:t>
            </w:r>
            <w:r w:rsidRPr="006E5110">
              <w:rPr>
                <w:sz w:val="18"/>
                <w:lang w:val="es-ES_tradnl"/>
              </w:rPr>
              <w:t xml:space="preserve"> }</w:t>
            </w:r>
          </w:p>
          <w:p w:rsidR="00B9396E" w:rsidRPr="006E5110" w:rsidRDefault="00B9396E" w:rsidP="009D791D">
            <w:pPr>
              <w:tabs>
                <w:tab w:val="left" w:pos="1106"/>
                <w:tab w:val="left" w:pos="1673"/>
                <w:tab w:val="left" w:pos="3941"/>
                <w:tab w:val="left" w:pos="5856"/>
                <w:tab w:val="left" w:pos="7296"/>
                <w:tab w:val="left" w:pos="7910"/>
              </w:tabs>
              <w:ind w:left="3941" w:right="255" w:hanging="3374"/>
              <w:jc w:val="left"/>
              <w:rPr>
                <w:sz w:val="18"/>
                <w:lang w:val="es-ES_tradnl"/>
              </w:rPr>
            </w:pPr>
            <w:r w:rsidRPr="006E5110">
              <w:rPr>
                <w:sz w:val="18"/>
                <w:lang w:val="es-ES_tradnl"/>
              </w:rPr>
              <w:t>{</w:t>
            </w:r>
            <w:bookmarkStart w:id="12" w:name="_Toc15713653"/>
            <w:r w:rsidRPr="006E5110">
              <w:rPr>
                <w:sz w:val="18"/>
                <w:lang w:val="es-ES_tradnl"/>
              </w:rPr>
              <w:t xml:space="preserve"> </w:t>
            </w:r>
            <w:r w:rsidRPr="006E5110">
              <w:rPr>
                <w:sz w:val="18"/>
                <w:highlight w:val="lightGray"/>
                <w:bdr w:val="single" w:sz="12" w:space="0" w:color="auto"/>
                <w:lang w:val="es-ES_tradnl"/>
              </w:rPr>
              <w:t>GN</w:t>
            </w:r>
            <w:r w:rsidRPr="006E5110">
              <w:rPr>
                <w:sz w:val="18"/>
                <w:bdr w:val="single" w:sz="12" w:space="0" w:color="auto"/>
                <w:lang w:val="es-ES_tradnl"/>
              </w:rPr>
              <w:t> 32</w:t>
            </w:r>
            <w:r w:rsidRPr="006E5110">
              <w:rPr>
                <w:sz w:val="18"/>
                <w:lang w:val="es-ES_tradnl"/>
              </w:rPr>
              <w:t xml:space="preserve"> (</w:t>
            </w:r>
            <w:r w:rsidRPr="00FA5F3D">
              <w:rPr>
                <w:sz w:val="18"/>
                <w:lang w:val="es-ES_tradnl"/>
              </w:rPr>
              <w:t>Capítulo 10</w:t>
            </w:r>
            <w:r w:rsidRPr="006E5110">
              <w:rPr>
                <w:sz w:val="18"/>
                <w:lang w:val="es-ES_tradnl"/>
              </w:rPr>
              <w:t xml:space="preserve">:  TQ 4.2) – </w:t>
            </w:r>
            <w:bookmarkEnd w:id="12"/>
            <w:r w:rsidRPr="008212EE">
              <w:rPr>
                <w:sz w:val="18"/>
                <w:lang w:val="es-ES_tradnl"/>
              </w:rPr>
              <w:t>Información sobre el método de reproducción de las variedades híbridas</w:t>
            </w:r>
            <w:r w:rsidRPr="006E5110">
              <w:rPr>
                <w:sz w:val="18"/>
                <w:lang w:val="es-ES_tradnl"/>
              </w:rPr>
              <w:t xml:space="preserve"> } </w:t>
            </w:r>
          </w:p>
          <w:p w:rsidR="00B9396E" w:rsidRPr="006E5110" w:rsidRDefault="00B9396E" w:rsidP="009D791D">
            <w:pPr>
              <w:tabs>
                <w:tab w:val="left" w:pos="1106"/>
                <w:tab w:val="left" w:pos="1673"/>
                <w:tab w:val="left" w:pos="3941"/>
                <w:tab w:val="left" w:pos="5856"/>
                <w:tab w:val="left" w:pos="7296"/>
                <w:tab w:val="left" w:pos="7910"/>
              </w:tabs>
              <w:ind w:left="3941" w:right="255" w:hanging="3374"/>
              <w:jc w:val="left"/>
              <w:rPr>
                <w:sz w:val="18"/>
                <w:lang w:val="es-ES_tradnl"/>
              </w:rPr>
            </w:pPr>
          </w:p>
          <w:p w:rsidR="00B9396E" w:rsidRPr="006E5110" w:rsidRDefault="00B9396E" w:rsidP="009D791D">
            <w:pPr>
              <w:tabs>
                <w:tab w:val="left" w:pos="1106"/>
                <w:tab w:val="left" w:pos="1673"/>
                <w:tab w:val="left" w:pos="3941"/>
                <w:tab w:val="left" w:pos="5856"/>
                <w:tab w:val="left" w:pos="7296"/>
                <w:tab w:val="left" w:pos="7910"/>
              </w:tabs>
              <w:ind w:left="3941" w:right="255" w:hanging="3374"/>
              <w:jc w:val="left"/>
              <w:rPr>
                <w:sz w:val="18"/>
                <w:lang w:val="es-ES_tradnl"/>
              </w:rPr>
            </w:pPr>
          </w:p>
          <w:p w:rsidR="00B9396E" w:rsidRPr="006E5110" w:rsidRDefault="00B9396E" w:rsidP="009D791D">
            <w:pPr>
              <w:ind w:left="567" w:hanging="567"/>
              <w:rPr>
                <w:sz w:val="18"/>
                <w:lang w:val="es-ES_tradnl"/>
              </w:rPr>
            </w:pPr>
            <w:r w:rsidRPr="006E5110">
              <w:rPr>
                <w:rStyle w:val="FootnoteReference"/>
                <w:sz w:val="18"/>
                <w:lang w:val="es-ES_tradnl"/>
              </w:rPr>
              <w:t>#</w:t>
            </w:r>
            <w:r w:rsidRPr="006E5110">
              <w:rPr>
                <w:sz w:val="18"/>
                <w:lang w:val="es-ES_tradnl"/>
              </w:rPr>
              <w:tab/>
            </w:r>
            <w:r w:rsidRPr="00FA5F3D">
              <w:rPr>
                <w:sz w:val="18"/>
                <w:lang w:val="es-ES_tradnl"/>
              </w:rPr>
              <w:t>Las autoridades podrán disponer que parte de esta información se suministre en una sección confidencial del Cuestionario Técnico.</w:t>
            </w:r>
          </w:p>
        </w:tc>
      </w:tr>
    </w:tbl>
    <w:p w:rsidR="00B9396E" w:rsidRPr="006E5110" w:rsidRDefault="00B9396E" w:rsidP="002E224A">
      <w:pPr>
        <w:rPr>
          <w:snapToGrid w:val="0"/>
          <w:lang w:val="es-ES_tradnl"/>
        </w:rPr>
      </w:pPr>
    </w:p>
    <w:p w:rsidR="00B9396E" w:rsidRPr="006E5110" w:rsidRDefault="00B9396E" w:rsidP="00064085">
      <w:pPr>
        <w:pStyle w:val="DecisionParagraphs"/>
        <w:rPr>
          <w:lang w:val="es-ES_tradnl"/>
        </w:rPr>
      </w:pPr>
      <w:r w:rsidRPr="00987226">
        <w:rPr>
          <w:iCs/>
        </w:rPr>
        <w:fldChar w:fldCharType="begin"/>
      </w:r>
      <w:r w:rsidRPr="006E5110">
        <w:rPr>
          <w:iCs/>
          <w:lang w:val="es-ES_tradnl"/>
        </w:rPr>
        <w:instrText xml:space="preserve"> AUTONUM  </w:instrText>
      </w:r>
      <w:r w:rsidRPr="00987226">
        <w:rPr>
          <w:iCs/>
        </w:rPr>
        <w:fldChar w:fldCharType="end"/>
      </w:r>
      <w:r w:rsidRPr="006E5110">
        <w:rPr>
          <w:rFonts w:eastAsia="SimSun"/>
          <w:iCs/>
          <w:lang w:val="es-ES_tradnl"/>
        </w:rPr>
        <w:tab/>
      </w:r>
      <w:r w:rsidRPr="008212EE">
        <w:rPr>
          <w:snapToGrid w:val="0"/>
          <w:lang w:val="es-ES_tradnl"/>
        </w:rPr>
        <w:t>Se invita al CAJ a considerar si las orientaciones que figuran en el documento TGP/7 “Elaboración de las directrices de examen”, Anexo 1</w:t>
      </w:r>
      <w:proofErr w:type="gramStart"/>
      <w:r w:rsidRPr="008212EE">
        <w:rPr>
          <w:snapToGrid w:val="0"/>
          <w:lang w:val="es-ES_tradnl"/>
        </w:rPr>
        <w:t>:  Plantilla</w:t>
      </w:r>
      <w:proofErr w:type="gramEnd"/>
      <w:r w:rsidRPr="008212EE">
        <w:rPr>
          <w:snapToGrid w:val="0"/>
          <w:lang w:val="es-ES_tradnl"/>
        </w:rPr>
        <w:t xml:space="preserve"> de los documentos TG, Sección 4 “Información sobre el método de obtención y la reproducción de la variedad” y en su nota de pie de página constituyen un enfoque adecuado para abordar la situación de las solicitudes de información genealógica o si sería conveniente elaborar orientaciones adicionales.</w:t>
      </w:r>
    </w:p>
    <w:p w:rsidR="00B9396E" w:rsidRPr="006E5110" w:rsidRDefault="00B9396E" w:rsidP="00AB3724">
      <w:pPr>
        <w:rPr>
          <w:lang w:val="es-ES_tradnl"/>
        </w:rPr>
      </w:pPr>
    </w:p>
    <w:p w:rsidR="00B9396E" w:rsidRPr="006E5110" w:rsidRDefault="00B9396E" w:rsidP="009D070E">
      <w:pPr>
        <w:rPr>
          <w:strike/>
          <w:snapToGrid w:val="0"/>
          <w:lang w:val="es-ES_tradnl"/>
        </w:rPr>
      </w:pPr>
    </w:p>
    <w:p w:rsidR="00B9396E" w:rsidRPr="00987226" w:rsidRDefault="00B9396E" w:rsidP="00C669D2">
      <w:pPr>
        <w:pStyle w:val="Heading2"/>
      </w:pPr>
      <w:bookmarkStart w:id="13" w:name="_Toc382404378"/>
      <w:r w:rsidRPr="008212EE">
        <w:t>Solicitud electrónica</w:t>
      </w:r>
      <w:bookmarkEnd w:id="13"/>
    </w:p>
    <w:p w:rsidR="00B9396E" w:rsidRPr="00987226" w:rsidRDefault="00B9396E" w:rsidP="006608AB">
      <w:pPr>
        <w:keepNext/>
        <w:rPr>
          <w:snapToGrid w:val="0"/>
          <w:u w:val="single"/>
        </w:rPr>
      </w:pPr>
    </w:p>
    <w:tbl>
      <w:tblPr>
        <w:tblW w:w="0" w:type="auto"/>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57" w:type="dxa"/>
          <w:left w:w="85" w:type="dxa"/>
          <w:bottom w:w="28" w:type="dxa"/>
          <w:right w:w="85" w:type="dxa"/>
        </w:tblCellMar>
        <w:tblLook w:val="00A0" w:firstRow="1" w:lastRow="0" w:firstColumn="1" w:lastColumn="0" w:noHBand="0" w:noVBand="0"/>
      </w:tblPr>
      <w:tblGrid>
        <w:gridCol w:w="8788"/>
      </w:tblGrid>
      <w:tr w:rsidR="00B9396E" w:rsidRPr="00126344" w:rsidTr="009D791D">
        <w:tc>
          <w:tcPr>
            <w:tcW w:w="8788" w:type="dxa"/>
          </w:tcPr>
          <w:p w:rsidR="00B9396E" w:rsidRPr="006E5110" w:rsidRDefault="00B9396E" w:rsidP="009D791D">
            <w:pPr>
              <w:ind w:right="567"/>
              <w:rPr>
                <w:sz w:val="18"/>
                <w:szCs w:val="18"/>
                <w:lang w:val="es-ES_tradnl"/>
              </w:rPr>
            </w:pPr>
            <w:r w:rsidRPr="00FA5F3D">
              <w:rPr>
                <w:sz w:val="18"/>
                <w:szCs w:val="18"/>
                <w:lang w:val="es-ES_tradnl"/>
              </w:rPr>
              <w:t>[Extracto de la carta de la ISF (texto original en inglés)]</w:t>
            </w:r>
          </w:p>
          <w:p w:rsidR="00B9396E" w:rsidRPr="006E5110" w:rsidRDefault="00B9396E" w:rsidP="004B0E07">
            <w:pPr>
              <w:rPr>
                <w:sz w:val="18"/>
                <w:szCs w:val="18"/>
                <w:lang w:val="es-ES_tradnl"/>
              </w:rPr>
            </w:pPr>
            <w:r w:rsidRPr="008212EE">
              <w:rPr>
                <w:rFonts w:cs="Arial"/>
                <w:color w:val="0D0D0D"/>
                <w:sz w:val="18"/>
                <w:szCs w:val="18"/>
                <w:u w:val="single"/>
                <w:lang w:val="es-ES_tradnl"/>
              </w:rPr>
              <w:t>Solicitud electrónica</w:t>
            </w:r>
            <w:proofErr w:type="gramStart"/>
            <w:r w:rsidRPr="008212EE">
              <w:rPr>
                <w:rFonts w:cs="Arial"/>
                <w:color w:val="0D0D0D"/>
                <w:sz w:val="18"/>
                <w:szCs w:val="18"/>
                <w:lang w:val="es-ES_tradnl"/>
              </w:rPr>
              <w:t>:</w:t>
            </w:r>
            <w:r w:rsidRPr="006E5110">
              <w:rPr>
                <w:rFonts w:cs="Arial"/>
                <w:color w:val="363636"/>
                <w:sz w:val="18"/>
                <w:szCs w:val="18"/>
                <w:lang w:val="es-ES_tradnl"/>
              </w:rPr>
              <w:t xml:space="preserve">  </w:t>
            </w:r>
            <w:r w:rsidRPr="008212EE">
              <w:rPr>
                <w:rFonts w:cs="Arial"/>
                <w:color w:val="0D0D0D"/>
                <w:sz w:val="18"/>
                <w:szCs w:val="18"/>
                <w:lang w:val="es-ES_tradnl"/>
              </w:rPr>
              <w:t>En</w:t>
            </w:r>
            <w:proofErr w:type="gramEnd"/>
            <w:r w:rsidRPr="008212EE">
              <w:rPr>
                <w:rFonts w:cs="Arial"/>
                <w:color w:val="0D0D0D"/>
                <w:sz w:val="18"/>
                <w:szCs w:val="18"/>
                <w:lang w:val="es-ES_tradnl"/>
              </w:rPr>
              <w:t xml:space="preserve"> determinados países y regiones se acepta la presentación electrónica de solicitudes, es decir, por correo electrónico, mientras que en otros países, sólo se admite la presentación de solicitudes en papel.</w:t>
            </w:r>
            <w:r w:rsidRPr="006E5110">
              <w:rPr>
                <w:rFonts w:cs="Arial"/>
                <w:color w:val="0D0D0D"/>
                <w:sz w:val="18"/>
                <w:szCs w:val="18"/>
                <w:lang w:val="es-ES_tradnl"/>
              </w:rPr>
              <w:t xml:space="preserve">  </w:t>
            </w:r>
            <w:r w:rsidRPr="008212EE">
              <w:rPr>
                <w:rFonts w:cs="Arial"/>
                <w:color w:val="0D0D0D"/>
                <w:sz w:val="18"/>
                <w:szCs w:val="18"/>
                <w:lang w:val="es-ES_tradnl"/>
              </w:rPr>
              <w:t>Los miembros de la ISF han indicado su preferencia en relación con la posibilidad de presentar solicitudes por correo electrónico u otros medios electrónicos y consideran que hay que fomentar dichos sistemas en todos los países miembros de la UPOV.</w:t>
            </w:r>
          </w:p>
        </w:tc>
      </w:tr>
    </w:tbl>
    <w:p w:rsidR="00B9396E" w:rsidRPr="006E5110" w:rsidRDefault="00B9396E" w:rsidP="005A3D0C">
      <w:pPr>
        <w:rPr>
          <w:snapToGrid w:val="0"/>
          <w:lang w:val="es-ES_tradnl"/>
        </w:rPr>
      </w:pPr>
    </w:p>
    <w:p w:rsidR="00B9396E" w:rsidRPr="006E5110" w:rsidRDefault="00B9396E" w:rsidP="00BE38A2">
      <w:pPr>
        <w:rPr>
          <w:snapToGrid w:val="0"/>
          <w:lang w:val="es-ES_tradnl"/>
        </w:rPr>
      </w:pPr>
      <w:r w:rsidRPr="00295010">
        <w:rPr>
          <w:snapToGrid w:val="0"/>
        </w:rPr>
        <w:fldChar w:fldCharType="begin"/>
      </w:r>
      <w:r w:rsidRPr="006E5110">
        <w:rPr>
          <w:snapToGrid w:val="0"/>
          <w:lang w:val="es-ES_tradnl"/>
        </w:rPr>
        <w:instrText xml:space="preserve"> AUTONUM  </w:instrText>
      </w:r>
      <w:r w:rsidRPr="00295010">
        <w:rPr>
          <w:snapToGrid w:val="0"/>
        </w:rPr>
        <w:fldChar w:fldCharType="end"/>
      </w:r>
      <w:r w:rsidRPr="006E5110">
        <w:rPr>
          <w:snapToGrid w:val="0"/>
          <w:lang w:val="es-ES_tradnl"/>
        </w:rPr>
        <w:tab/>
      </w:r>
      <w:r w:rsidRPr="008212EE">
        <w:rPr>
          <w:snapToGrid w:val="0"/>
          <w:lang w:val="es-ES_tradnl"/>
        </w:rPr>
        <w:t>Se sugiere al CAJ que tome nota de las siguientes iniciativas relativas a las solicitudes electrónicas:</w:t>
      </w:r>
    </w:p>
    <w:p w:rsidR="00B9396E" w:rsidRPr="006E5110" w:rsidRDefault="00B9396E" w:rsidP="00BE38A2">
      <w:pPr>
        <w:rPr>
          <w:snapToGrid w:val="0"/>
          <w:lang w:val="es-ES_tradnl"/>
        </w:rPr>
      </w:pPr>
    </w:p>
    <w:p w:rsidR="00B9396E" w:rsidRPr="006E5110" w:rsidRDefault="00B9396E" w:rsidP="006C6ECB">
      <w:pPr>
        <w:spacing w:after="240"/>
        <w:ind w:firstLine="567"/>
        <w:rPr>
          <w:lang w:val="es-ES_tradnl"/>
        </w:rPr>
      </w:pPr>
      <w:r w:rsidRPr="00FA5F3D">
        <w:rPr>
          <w:snapToGrid w:val="0"/>
          <w:lang w:val="es-ES_tradnl"/>
        </w:rPr>
        <w:t>a)</w:t>
      </w:r>
      <w:r w:rsidRPr="006E5110">
        <w:rPr>
          <w:snapToGrid w:val="0"/>
          <w:lang w:val="es-ES_tradnl"/>
        </w:rPr>
        <w:tab/>
      </w:r>
      <w:r w:rsidRPr="008212EE">
        <w:rPr>
          <w:kern w:val="28"/>
          <w:lang w:val="es-ES_tradnl"/>
        </w:rPr>
        <w:t xml:space="preserve">el proyecto de elaboración de un prototipo de formulario electrónico </w:t>
      </w:r>
      <w:r w:rsidRPr="008212EE">
        <w:rPr>
          <w:lang w:val="es-ES_tradnl"/>
        </w:rPr>
        <w:t>(véase el documento</w:t>
      </w:r>
      <w:r w:rsidRPr="008212EE">
        <w:rPr>
          <w:kern w:val="28"/>
          <w:lang w:val="es-ES_tradnl"/>
        </w:rPr>
        <w:t xml:space="preserve"> CAJ/69/8 “Sistemas de presentación electrónica de solicitudes”)</w:t>
      </w:r>
      <w:r w:rsidRPr="008212EE">
        <w:rPr>
          <w:lang w:val="es-ES_tradnl"/>
        </w:rPr>
        <w:t>;</w:t>
      </w:r>
      <w:r w:rsidRPr="006E5110">
        <w:rPr>
          <w:lang w:val="es-ES_tradnl"/>
        </w:rPr>
        <w:t xml:space="preserve">  </w:t>
      </w:r>
      <w:r w:rsidRPr="00FA5F3D">
        <w:rPr>
          <w:lang w:val="es-ES_tradnl"/>
        </w:rPr>
        <w:t>y</w:t>
      </w:r>
    </w:p>
    <w:p w:rsidR="00B9396E" w:rsidRPr="006E5110" w:rsidRDefault="00B9396E" w:rsidP="00064085">
      <w:pPr>
        <w:ind w:firstLine="567"/>
        <w:rPr>
          <w:kern w:val="28"/>
          <w:lang w:val="es-ES_tradnl"/>
        </w:rPr>
      </w:pPr>
      <w:r w:rsidRPr="00FA5F3D">
        <w:rPr>
          <w:lang w:val="es-ES_tradnl"/>
        </w:rPr>
        <w:lastRenderedPageBreak/>
        <w:t>b)</w:t>
      </w:r>
      <w:r w:rsidRPr="006E5110">
        <w:rPr>
          <w:lang w:val="es-ES_tradnl"/>
        </w:rPr>
        <w:tab/>
      </w:r>
      <w:r w:rsidRPr="008212EE">
        <w:rPr>
          <w:lang w:val="es-ES_tradnl"/>
        </w:rPr>
        <w:t xml:space="preserve">el sondeo entre los miembros de la Unión sobre su utilización de las bases de datos con fines de protección de las variedades vegetales, y también de los sistemas de presentación electrónica de solicitudes (véase el documento </w:t>
      </w:r>
      <w:r w:rsidRPr="008212EE">
        <w:rPr>
          <w:kern w:val="28"/>
          <w:lang w:val="es-ES_tradnl"/>
        </w:rPr>
        <w:t>CAJ/69/6 “Bases de datos de información de la UPOV”).</w:t>
      </w:r>
    </w:p>
    <w:p w:rsidR="00B9396E" w:rsidRPr="006E5110" w:rsidRDefault="00B9396E" w:rsidP="00064085">
      <w:pPr>
        <w:rPr>
          <w:snapToGrid w:val="0"/>
          <w:lang w:val="es-ES_tradnl"/>
        </w:rPr>
      </w:pPr>
    </w:p>
    <w:p w:rsidR="00B9396E" w:rsidRPr="006E5110" w:rsidRDefault="00B9396E" w:rsidP="00881DF5">
      <w:pPr>
        <w:rPr>
          <w:lang w:val="es-ES_tradnl"/>
        </w:rPr>
      </w:pPr>
      <w:r>
        <w:fldChar w:fldCharType="begin"/>
      </w:r>
      <w:r w:rsidRPr="006E5110">
        <w:rPr>
          <w:lang w:val="es-ES_tradnl"/>
        </w:rPr>
        <w:instrText xml:space="preserve"> AUTONUM  </w:instrText>
      </w:r>
      <w:r>
        <w:fldChar w:fldCharType="end"/>
      </w:r>
      <w:r w:rsidRPr="006E5110">
        <w:rPr>
          <w:lang w:val="es-ES_tradnl"/>
        </w:rPr>
        <w:tab/>
      </w:r>
      <w:r w:rsidRPr="008212EE">
        <w:rPr>
          <w:lang w:val="es-ES_tradnl"/>
        </w:rPr>
        <w:t xml:space="preserve">Se sugiere al CAJ que </w:t>
      </w:r>
      <w:r w:rsidRPr="008212EE">
        <w:rPr>
          <w:snapToGrid w:val="0"/>
          <w:lang w:val="es-ES_tradnl"/>
        </w:rPr>
        <w:t xml:space="preserve">considere </w:t>
      </w:r>
      <w:r w:rsidRPr="008212EE">
        <w:rPr>
          <w:lang w:val="es-ES_tradnl"/>
        </w:rPr>
        <w:t>si procede ofrecer, en el documento UPOV/INF/15, orientación sobre la posibilidad de presentar solicitudes por medios electrónicos.</w:t>
      </w:r>
    </w:p>
    <w:p w:rsidR="00B9396E" w:rsidRPr="006E5110" w:rsidRDefault="00B9396E" w:rsidP="009D070E">
      <w:pPr>
        <w:rPr>
          <w:snapToGrid w:val="0"/>
          <w:highlight w:val="yellow"/>
          <w:u w:val="single"/>
          <w:lang w:val="es-ES_tradnl"/>
        </w:rPr>
      </w:pPr>
    </w:p>
    <w:p w:rsidR="00B9396E" w:rsidRPr="006E5110" w:rsidRDefault="00B9396E" w:rsidP="00064085">
      <w:pPr>
        <w:pStyle w:val="DecisionParagraphs"/>
        <w:rPr>
          <w:snapToGrid w:val="0"/>
          <w:lang w:val="es-ES_tradnl"/>
        </w:rPr>
      </w:pPr>
      <w:r w:rsidRPr="00881DF5">
        <w:rPr>
          <w:iCs/>
        </w:rPr>
        <w:fldChar w:fldCharType="begin"/>
      </w:r>
      <w:r w:rsidRPr="006E5110">
        <w:rPr>
          <w:iCs/>
          <w:lang w:val="es-ES_tradnl"/>
        </w:rPr>
        <w:instrText xml:space="preserve"> AUTONUM  </w:instrText>
      </w:r>
      <w:r w:rsidRPr="00881DF5">
        <w:rPr>
          <w:iCs/>
        </w:rPr>
        <w:fldChar w:fldCharType="end"/>
      </w:r>
      <w:r w:rsidRPr="006E5110">
        <w:rPr>
          <w:rFonts w:eastAsia="SimSun"/>
          <w:iCs/>
          <w:lang w:val="es-ES_tradnl"/>
        </w:rPr>
        <w:tab/>
      </w:r>
      <w:r w:rsidRPr="00FA5F3D">
        <w:rPr>
          <w:snapToGrid w:val="0"/>
          <w:lang w:val="es-ES_tradnl"/>
        </w:rPr>
        <w:t>Se invita al CAJ a:</w:t>
      </w:r>
    </w:p>
    <w:p w:rsidR="00B9396E" w:rsidRPr="006E5110" w:rsidRDefault="00B9396E" w:rsidP="00064085">
      <w:pPr>
        <w:pStyle w:val="DecisionParagraphs"/>
        <w:rPr>
          <w:snapToGrid w:val="0"/>
          <w:lang w:val="es-ES_tradnl"/>
        </w:rPr>
      </w:pPr>
    </w:p>
    <w:p w:rsidR="00B9396E" w:rsidRPr="006E5110" w:rsidRDefault="00B9396E" w:rsidP="00AB3724">
      <w:pPr>
        <w:pStyle w:val="DecisionParagraphs"/>
        <w:tabs>
          <w:tab w:val="left" w:pos="5954"/>
        </w:tabs>
        <w:rPr>
          <w:rFonts w:eastAsia="SimSun"/>
          <w:spacing w:val="-2"/>
          <w:lang w:val="es-ES_tradnl"/>
        </w:rPr>
      </w:pPr>
      <w:r w:rsidRPr="006E5110">
        <w:rPr>
          <w:snapToGrid w:val="0"/>
          <w:spacing w:val="-2"/>
          <w:lang w:val="es-ES_tradnl"/>
        </w:rPr>
        <w:tab/>
      </w:r>
      <w:r w:rsidRPr="00FA5F3D">
        <w:rPr>
          <w:snapToGrid w:val="0"/>
          <w:spacing w:val="-2"/>
          <w:lang w:val="es-ES_tradnl"/>
        </w:rPr>
        <w:t>a)</w:t>
      </w:r>
      <w:r w:rsidRPr="006E5110">
        <w:rPr>
          <w:snapToGrid w:val="0"/>
          <w:spacing w:val="-2"/>
          <w:lang w:val="es-ES_tradnl"/>
        </w:rPr>
        <w:tab/>
      </w:r>
      <w:r w:rsidRPr="008212EE">
        <w:rPr>
          <w:snapToGrid w:val="0"/>
          <w:spacing w:val="-2"/>
          <w:lang w:val="es-ES_tradnl"/>
        </w:rPr>
        <w:t>tomar nota</w:t>
      </w:r>
      <w:r w:rsidRPr="008212EE">
        <w:rPr>
          <w:rFonts w:eastAsia="SimSun"/>
          <w:spacing w:val="-2"/>
          <w:lang w:val="es-ES_tradnl"/>
        </w:rPr>
        <w:t xml:space="preserve"> de las iniciativas existentes en relación con las solicitudes electrónicas, que se exponen en el párrafo 9 del presente documento;</w:t>
      </w:r>
      <w:r w:rsidRPr="006E5110">
        <w:rPr>
          <w:rFonts w:eastAsia="SimSun"/>
          <w:spacing w:val="-2"/>
          <w:lang w:val="es-ES_tradnl"/>
        </w:rPr>
        <w:t xml:space="preserve">  </w:t>
      </w:r>
      <w:r w:rsidRPr="00FA5F3D">
        <w:rPr>
          <w:rFonts w:eastAsia="SimSun"/>
          <w:spacing w:val="-2"/>
          <w:lang w:val="es-ES_tradnl"/>
        </w:rPr>
        <w:t>y</w:t>
      </w:r>
    </w:p>
    <w:p w:rsidR="00B9396E" w:rsidRPr="006E5110" w:rsidRDefault="00B9396E" w:rsidP="00AB3724">
      <w:pPr>
        <w:pStyle w:val="DecisionParagraphs"/>
        <w:tabs>
          <w:tab w:val="left" w:pos="5954"/>
        </w:tabs>
        <w:rPr>
          <w:rFonts w:eastAsia="SimSun"/>
          <w:lang w:val="es-ES_tradnl"/>
        </w:rPr>
      </w:pPr>
    </w:p>
    <w:p w:rsidR="00B9396E" w:rsidRPr="006E5110" w:rsidRDefault="00B9396E" w:rsidP="00AB3724">
      <w:pPr>
        <w:pStyle w:val="DecisionParagraphs"/>
        <w:tabs>
          <w:tab w:val="left" w:pos="5954"/>
        </w:tabs>
        <w:rPr>
          <w:lang w:val="es-ES_tradnl"/>
        </w:rPr>
      </w:pPr>
      <w:r w:rsidRPr="006E5110">
        <w:rPr>
          <w:rFonts w:eastAsia="SimSun"/>
          <w:lang w:val="es-ES_tradnl"/>
        </w:rPr>
        <w:tab/>
      </w:r>
      <w:r w:rsidRPr="00FA5F3D">
        <w:rPr>
          <w:rFonts w:eastAsia="SimSun"/>
          <w:lang w:val="es-ES_tradnl"/>
        </w:rPr>
        <w:t>b)</w:t>
      </w:r>
      <w:r w:rsidRPr="006E5110">
        <w:rPr>
          <w:rFonts w:eastAsia="SimSun"/>
          <w:lang w:val="es-ES_tradnl"/>
        </w:rPr>
        <w:tab/>
      </w:r>
      <w:r w:rsidRPr="008212EE">
        <w:rPr>
          <w:snapToGrid w:val="0"/>
          <w:lang w:val="es-ES_tradnl"/>
        </w:rPr>
        <w:t xml:space="preserve">considerar </w:t>
      </w:r>
      <w:r w:rsidRPr="008212EE">
        <w:rPr>
          <w:rFonts w:eastAsia="SimSun"/>
          <w:lang w:val="es-ES_tradnl"/>
        </w:rPr>
        <w:t>si procede ofrecer, en el documento UPOV/INF/15, orientación sobre la posibilidad de presentar solicitudes por medios electrónicos</w:t>
      </w:r>
      <w:r w:rsidRPr="008212EE">
        <w:rPr>
          <w:lang w:val="es-ES_tradnl"/>
        </w:rPr>
        <w:t>.</w:t>
      </w:r>
    </w:p>
    <w:p w:rsidR="00B9396E" w:rsidRDefault="00B9396E" w:rsidP="00064085">
      <w:pPr>
        <w:pStyle w:val="DecisionParagraphs"/>
        <w:rPr>
          <w:snapToGrid w:val="0"/>
          <w:highlight w:val="yellow"/>
          <w:u w:val="single"/>
          <w:lang w:val="es-ES_tradnl"/>
        </w:rPr>
      </w:pPr>
    </w:p>
    <w:p w:rsidR="006C6ECB" w:rsidRPr="006E5110" w:rsidRDefault="006C6ECB" w:rsidP="00064085">
      <w:pPr>
        <w:pStyle w:val="DecisionParagraphs"/>
        <w:rPr>
          <w:snapToGrid w:val="0"/>
          <w:highlight w:val="yellow"/>
          <w:u w:val="single"/>
          <w:lang w:val="es-ES_tradnl"/>
        </w:rPr>
      </w:pPr>
    </w:p>
    <w:p w:rsidR="00B9396E" w:rsidRPr="00987226" w:rsidRDefault="00B9396E" w:rsidP="00C669D2">
      <w:pPr>
        <w:pStyle w:val="Heading2"/>
      </w:pPr>
      <w:bookmarkStart w:id="14" w:name="_Toc382404379"/>
      <w:r w:rsidRPr="008212EE">
        <w:t>Correspondencia</w:t>
      </w:r>
      <w:bookmarkEnd w:id="14"/>
      <w:r>
        <w:t xml:space="preserve"> </w:t>
      </w:r>
    </w:p>
    <w:p w:rsidR="00B9396E" w:rsidRPr="00987226" w:rsidRDefault="00B9396E" w:rsidP="00987226">
      <w:pPr>
        <w:keepNext/>
        <w:rPr>
          <w:snapToGrid w:val="0"/>
        </w:rPr>
      </w:pPr>
    </w:p>
    <w:tbl>
      <w:tblPr>
        <w:tblW w:w="0" w:type="auto"/>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57" w:type="dxa"/>
          <w:left w:w="85" w:type="dxa"/>
          <w:bottom w:w="28" w:type="dxa"/>
          <w:right w:w="85" w:type="dxa"/>
        </w:tblCellMar>
        <w:tblLook w:val="00A0" w:firstRow="1" w:lastRow="0" w:firstColumn="1" w:lastColumn="0" w:noHBand="0" w:noVBand="0"/>
      </w:tblPr>
      <w:tblGrid>
        <w:gridCol w:w="8788"/>
      </w:tblGrid>
      <w:tr w:rsidR="00B9396E" w:rsidRPr="00126344" w:rsidTr="009D791D">
        <w:trPr>
          <w:cantSplit/>
        </w:trPr>
        <w:tc>
          <w:tcPr>
            <w:tcW w:w="8788" w:type="dxa"/>
          </w:tcPr>
          <w:p w:rsidR="00B9396E" w:rsidRPr="006E5110" w:rsidRDefault="00B9396E" w:rsidP="009D791D">
            <w:pPr>
              <w:ind w:right="567"/>
              <w:rPr>
                <w:sz w:val="18"/>
                <w:szCs w:val="18"/>
                <w:lang w:val="es-ES_tradnl"/>
              </w:rPr>
            </w:pPr>
            <w:r w:rsidRPr="00FA5F3D">
              <w:rPr>
                <w:sz w:val="18"/>
                <w:szCs w:val="18"/>
                <w:lang w:val="es-ES_tradnl"/>
              </w:rPr>
              <w:t>[Extracto de la carta de la ISF (texto original en inglés)]</w:t>
            </w:r>
          </w:p>
          <w:p w:rsidR="00B9396E" w:rsidRPr="006E5110" w:rsidRDefault="00B9396E" w:rsidP="004B0E07">
            <w:pPr>
              <w:rPr>
                <w:sz w:val="18"/>
                <w:szCs w:val="18"/>
                <w:lang w:val="es-ES_tradnl"/>
              </w:rPr>
            </w:pPr>
            <w:r w:rsidRPr="008212EE">
              <w:rPr>
                <w:rFonts w:cs="Arial"/>
                <w:color w:val="0D0D0D"/>
                <w:sz w:val="18"/>
                <w:szCs w:val="18"/>
                <w:u w:val="single"/>
                <w:lang w:val="es-ES_tradnl"/>
              </w:rPr>
              <w:t>Correspondencia</w:t>
            </w:r>
            <w:proofErr w:type="gramStart"/>
            <w:r w:rsidRPr="008212EE">
              <w:rPr>
                <w:rFonts w:cs="Arial"/>
                <w:color w:val="0D0D0D"/>
                <w:sz w:val="18"/>
                <w:szCs w:val="18"/>
                <w:lang w:val="es-ES_tradnl"/>
              </w:rPr>
              <w:t>:</w:t>
            </w:r>
            <w:r w:rsidRPr="006E5110">
              <w:rPr>
                <w:rFonts w:cs="Arial"/>
                <w:color w:val="0D0D0D"/>
                <w:sz w:val="18"/>
                <w:szCs w:val="18"/>
                <w:lang w:val="es-ES_tradnl"/>
              </w:rPr>
              <w:t xml:space="preserve">  </w:t>
            </w:r>
            <w:r w:rsidRPr="008212EE">
              <w:rPr>
                <w:rFonts w:cs="Arial"/>
                <w:color w:val="0D0D0D"/>
                <w:sz w:val="18"/>
                <w:szCs w:val="18"/>
                <w:lang w:val="es-ES_tradnl"/>
              </w:rPr>
              <w:t>En</w:t>
            </w:r>
            <w:proofErr w:type="gramEnd"/>
            <w:r w:rsidRPr="008212EE">
              <w:rPr>
                <w:rFonts w:cs="Arial"/>
                <w:color w:val="0D0D0D"/>
                <w:sz w:val="18"/>
                <w:szCs w:val="18"/>
                <w:lang w:val="es-ES_tradnl"/>
              </w:rPr>
              <w:t xml:space="preserve"> determinados países, la oficina de derechos de obtentor sólo envía correspondencia al agente local y no al solicitante, que puede residir en otro país.</w:t>
            </w:r>
            <w:r w:rsidRPr="006E5110">
              <w:rPr>
                <w:rFonts w:cs="Arial"/>
                <w:color w:val="0D0D0D"/>
                <w:sz w:val="18"/>
                <w:szCs w:val="18"/>
                <w:lang w:val="es-ES_tradnl"/>
              </w:rPr>
              <w:t xml:space="preserve">  </w:t>
            </w:r>
            <w:r w:rsidRPr="008212EE">
              <w:rPr>
                <w:rFonts w:cs="Arial"/>
                <w:color w:val="0D0D0D"/>
                <w:sz w:val="18"/>
                <w:szCs w:val="18"/>
                <w:lang w:val="es-ES_tradnl"/>
              </w:rPr>
              <w:t>Eso puede generar retrasos no deseados y arriesgados en los casos en los que se necesita una respuesta del solicitante dentro de un plazo determinado.</w:t>
            </w:r>
            <w:r w:rsidRPr="006E5110">
              <w:rPr>
                <w:rFonts w:cs="Arial"/>
                <w:color w:val="0D0D0D"/>
                <w:sz w:val="18"/>
                <w:szCs w:val="18"/>
                <w:lang w:val="es-ES_tradnl"/>
              </w:rPr>
              <w:t xml:space="preserve">  </w:t>
            </w:r>
            <w:r w:rsidRPr="008212EE">
              <w:rPr>
                <w:rFonts w:cs="Arial"/>
                <w:color w:val="0D0D0D"/>
                <w:sz w:val="18"/>
                <w:szCs w:val="18"/>
                <w:lang w:val="es-ES_tradnl"/>
              </w:rPr>
              <w:t>Los miembros de la ISF consideran que esa correspondencia debería enviarse a la dirección indicada por el solicitante y, de preferencia, por correo electrónico.</w:t>
            </w:r>
            <w:r w:rsidRPr="006E5110">
              <w:rPr>
                <w:rFonts w:cs="Arial"/>
                <w:color w:val="0D0D0D"/>
                <w:sz w:val="18"/>
                <w:szCs w:val="18"/>
                <w:lang w:val="es-ES_tradnl"/>
              </w:rPr>
              <w:t xml:space="preserve">  </w:t>
            </w:r>
            <w:r w:rsidRPr="008212EE">
              <w:rPr>
                <w:rFonts w:cs="Arial"/>
                <w:color w:val="0D0D0D"/>
                <w:sz w:val="18"/>
                <w:szCs w:val="18"/>
                <w:lang w:val="es-ES_tradnl"/>
              </w:rPr>
              <w:t>Además, con frecuencia es difícil dar con un agente local que esté al tanto de la normativa local en materia de derechos de obtentor.</w:t>
            </w:r>
            <w:r w:rsidRPr="006E5110">
              <w:rPr>
                <w:rFonts w:cs="Arial"/>
                <w:color w:val="0D0D0D"/>
                <w:sz w:val="18"/>
                <w:szCs w:val="18"/>
                <w:lang w:val="es-ES_tradnl"/>
              </w:rPr>
              <w:t xml:space="preserve">  </w:t>
            </w:r>
            <w:r w:rsidRPr="008212EE">
              <w:rPr>
                <w:rFonts w:cs="Arial"/>
                <w:color w:val="0D0D0D"/>
                <w:sz w:val="18"/>
                <w:szCs w:val="18"/>
                <w:lang w:val="es-ES_tradnl"/>
              </w:rPr>
              <w:t>En cualquier caso, debe informarse tanto al agente local como al solicitante.</w:t>
            </w:r>
            <w:r w:rsidRPr="006E5110">
              <w:rPr>
                <w:rFonts w:cs="Arial"/>
                <w:color w:val="0D0D0D"/>
                <w:sz w:val="18"/>
                <w:szCs w:val="18"/>
                <w:lang w:val="es-ES_tradnl"/>
              </w:rPr>
              <w:t xml:space="preserve">  </w:t>
            </w:r>
            <w:r w:rsidRPr="008212EE">
              <w:rPr>
                <w:rFonts w:cs="Arial"/>
                <w:color w:val="0D0D0D"/>
                <w:sz w:val="18"/>
                <w:szCs w:val="18"/>
                <w:lang w:val="es-ES_tradnl"/>
              </w:rPr>
              <w:t>En los países en los que el inglés no es el idioma nacional debe ofrecerse la posibilidad</w:t>
            </w:r>
            <w:r w:rsidRPr="008212EE">
              <w:rPr>
                <w:lang w:val="es-ES_tradnl"/>
              </w:rPr>
              <w:t xml:space="preserve"> </w:t>
            </w:r>
            <w:r w:rsidRPr="008212EE">
              <w:rPr>
                <w:rFonts w:cs="Arial"/>
                <w:color w:val="0D0D0D"/>
                <w:sz w:val="18"/>
                <w:szCs w:val="18"/>
                <w:lang w:val="es-ES_tradnl"/>
              </w:rPr>
              <w:t>de corresponder en inglés.</w:t>
            </w:r>
          </w:p>
        </w:tc>
      </w:tr>
    </w:tbl>
    <w:p w:rsidR="00B9396E" w:rsidRPr="006E5110" w:rsidRDefault="00B9396E" w:rsidP="009D070E">
      <w:pPr>
        <w:rPr>
          <w:snapToGrid w:val="0"/>
          <w:lang w:val="es-ES_tradnl"/>
        </w:rPr>
      </w:pPr>
    </w:p>
    <w:p w:rsidR="00B9396E" w:rsidRPr="006E5110" w:rsidRDefault="00B9396E" w:rsidP="008E2023">
      <w:pPr>
        <w:rPr>
          <w:snapToGrid w:val="0"/>
          <w:lang w:val="es-ES_tradnl"/>
        </w:rPr>
      </w:pPr>
      <w:r w:rsidRPr="008E2023">
        <w:rPr>
          <w:snapToGrid w:val="0"/>
        </w:rPr>
        <w:fldChar w:fldCharType="begin"/>
      </w:r>
      <w:r w:rsidRPr="006E5110">
        <w:rPr>
          <w:snapToGrid w:val="0"/>
          <w:lang w:val="es-ES_tradnl"/>
        </w:rPr>
        <w:instrText xml:space="preserve"> AUTONUM  </w:instrText>
      </w:r>
      <w:r w:rsidRPr="008E2023">
        <w:rPr>
          <w:snapToGrid w:val="0"/>
        </w:rPr>
        <w:fldChar w:fldCharType="end"/>
      </w:r>
      <w:r w:rsidRPr="006E5110">
        <w:rPr>
          <w:snapToGrid w:val="0"/>
          <w:lang w:val="es-ES_tradnl"/>
        </w:rPr>
        <w:tab/>
      </w:r>
      <w:r w:rsidRPr="008212EE">
        <w:rPr>
          <w:snapToGrid w:val="0"/>
          <w:lang w:val="es-ES_tradnl"/>
        </w:rPr>
        <w:t>En el documento TGP/5, Sección 2 “Formulario tipo de la UPOV para la solicitud de derecho de obtentor” se establece lo siguiente respecto de la correspondencia (véanse los puntos</w:t>
      </w:r>
      <w:r w:rsidRPr="008212EE">
        <w:rPr>
          <w:lang w:val="es-ES_tradnl"/>
        </w:rPr>
        <w:t xml:space="preserve"> 1 y 2 de la </w:t>
      </w:r>
      <w:r w:rsidRPr="008212EE">
        <w:rPr>
          <w:snapToGrid w:val="0"/>
          <w:lang w:val="es-ES_tradnl"/>
        </w:rPr>
        <w:t>Sección 2 del documento TGP/5, que se reproducen a continuación):</w:t>
      </w:r>
    </w:p>
    <w:p w:rsidR="00B9396E" w:rsidRPr="006E5110" w:rsidRDefault="00B9396E" w:rsidP="009D070E">
      <w:pPr>
        <w:rPr>
          <w:noProof/>
          <w:lang w:val="es-ES_tradnl"/>
        </w:rPr>
      </w:pPr>
    </w:p>
    <w:p w:rsidR="00B9396E" w:rsidRDefault="006E5110" w:rsidP="00A20855">
      <w:r>
        <w:rPr>
          <w:noProof/>
        </w:rPr>
        <w:drawing>
          <wp:inline distT="0" distB="0" distL="0" distR="0" wp14:anchorId="2325B04E" wp14:editId="77E972FB">
            <wp:extent cx="6185140" cy="3467692"/>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85216" cy="3467735"/>
                    </a:xfrm>
                    <a:prstGeom prst="rect">
                      <a:avLst/>
                    </a:prstGeom>
                    <a:noFill/>
                    <a:ln>
                      <a:noFill/>
                    </a:ln>
                  </pic:spPr>
                </pic:pic>
              </a:graphicData>
            </a:graphic>
          </wp:inline>
        </w:drawing>
      </w:r>
    </w:p>
    <w:p w:rsidR="00B9396E" w:rsidRPr="00956D42" w:rsidRDefault="00B9396E" w:rsidP="00A20855"/>
    <w:p w:rsidR="00B9396E" w:rsidRPr="006E5110" w:rsidRDefault="00B9396E" w:rsidP="006C6ECB">
      <w:pPr>
        <w:spacing w:after="240"/>
        <w:rPr>
          <w:lang w:val="es-ES_tradnl"/>
        </w:rPr>
      </w:pPr>
      <w:r>
        <w:rPr>
          <w:snapToGrid w:val="0"/>
        </w:rPr>
        <w:fldChar w:fldCharType="begin"/>
      </w:r>
      <w:r w:rsidRPr="006E5110">
        <w:rPr>
          <w:snapToGrid w:val="0"/>
          <w:lang w:val="es-ES_tradnl"/>
        </w:rPr>
        <w:instrText xml:space="preserve"> AUTONUM  </w:instrText>
      </w:r>
      <w:r>
        <w:rPr>
          <w:snapToGrid w:val="0"/>
        </w:rPr>
        <w:fldChar w:fldCharType="end"/>
      </w:r>
      <w:r w:rsidRPr="006E5110">
        <w:rPr>
          <w:snapToGrid w:val="0"/>
          <w:lang w:val="es-ES_tradnl"/>
        </w:rPr>
        <w:tab/>
      </w:r>
      <w:r w:rsidRPr="008212EE">
        <w:rPr>
          <w:lang w:val="es-ES_tradnl"/>
        </w:rPr>
        <w:t xml:space="preserve">Se sugiere al CAJ que considere si sería conveniente ofrecer, en </w:t>
      </w:r>
      <w:r w:rsidRPr="008212EE">
        <w:rPr>
          <w:snapToGrid w:val="0"/>
          <w:lang w:val="es-ES_tradnl"/>
        </w:rPr>
        <w:t xml:space="preserve">la Sección 2 del documento TGP/5 o en el documento UPOV/INF/15, </w:t>
      </w:r>
      <w:r w:rsidRPr="008212EE">
        <w:rPr>
          <w:lang w:val="es-ES_tradnl"/>
        </w:rPr>
        <w:t xml:space="preserve">orientaciones adicionales en relación con las cuestiones planteadas por la ISF </w:t>
      </w:r>
      <w:r w:rsidRPr="008212EE">
        <w:rPr>
          <w:snapToGrid w:val="0"/>
          <w:lang w:val="es-ES_tradnl"/>
        </w:rPr>
        <w:t>respecto de la correspondencia</w:t>
      </w:r>
      <w:r w:rsidRPr="008212EE">
        <w:rPr>
          <w:lang w:val="es-ES_tradnl"/>
        </w:rPr>
        <w:t>.</w:t>
      </w:r>
    </w:p>
    <w:p w:rsidR="00B9396E" w:rsidRPr="006E5110" w:rsidRDefault="00B9396E" w:rsidP="00EE0680">
      <w:pPr>
        <w:pStyle w:val="DecisionParagraphs"/>
        <w:rPr>
          <w:snapToGrid w:val="0"/>
          <w:lang w:val="es-ES_tradnl"/>
        </w:rPr>
      </w:pPr>
      <w:r>
        <w:rPr>
          <w:snapToGrid w:val="0"/>
        </w:rPr>
        <w:lastRenderedPageBreak/>
        <w:fldChar w:fldCharType="begin"/>
      </w:r>
      <w:r w:rsidRPr="006E5110">
        <w:rPr>
          <w:snapToGrid w:val="0"/>
          <w:lang w:val="es-ES_tradnl"/>
        </w:rPr>
        <w:instrText xml:space="preserve"> AUTONUM  </w:instrText>
      </w:r>
      <w:r>
        <w:rPr>
          <w:snapToGrid w:val="0"/>
        </w:rPr>
        <w:fldChar w:fldCharType="end"/>
      </w:r>
      <w:r w:rsidRPr="006E5110">
        <w:rPr>
          <w:snapToGrid w:val="0"/>
          <w:lang w:val="es-ES_tradnl"/>
        </w:rPr>
        <w:tab/>
      </w:r>
      <w:r w:rsidRPr="00FA5F3D">
        <w:rPr>
          <w:snapToGrid w:val="0"/>
          <w:lang w:val="es-ES_tradnl"/>
        </w:rPr>
        <w:t>Se invita al CAJ a:</w:t>
      </w:r>
    </w:p>
    <w:p w:rsidR="00B9396E" w:rsidRPr="006E5110" w:rsidRDefault="00B9396E" w:rsidP="00EE0680">
      <w:pPr>
        <w:pStyle w:val="DecisionParagraphs"/>
        <w:rPr>
          <w:snapToGrid w:val="0"/>
          <w:lang w:val="es-ES_tradnl"/>
        </w:rPr>
      </w:pPr>
    </w:p>
    <w:p w:rsidR="00B9396E" w:rsidRPr="006E5110" w:rsidRDefault="00B9396E" w:rsidP="00C0469A">
      <w:pPr>
        <w:pStyle w:val="DecisionParagraphs"/>
        <w:tabs>
          <w:tab w:val="left" w:pos="5954"/>
        </w:tabs>
        <w:rPr>
          <w:rFonts w:cs="Arial"/>
          <w:color w:val="0D0D0D"/>
          <w:lang w:val="es-ES_tradnl"/>
        </w:rPr>
      </w:pPr>
      <w:r w:rsidRPr="006E5110">
        <w:rPr>
          <w:snapToGrid w:val="0"/>
          <w:lang w:val="es-ES_tradnl"/>
        </w:rPr>
        <w:tab/>
      </w:r>
      <w:r w:rsidRPr="00FA5F3D">
        <w:rPr>
          <w:snapToGrid w:val="0"/>
          <w:lang w:val="es-ES_tradnl"/>
        </w:rPr>
        <w:t>a)</w:t>
      </w:r>
      <w:r w:rsidRPr="006E5110">
        <w:rPr>
          <w:snapToGrid w:val="0"/>
          <w:lang w:val="es-ES_tradnl"/>
        </w:rPr>
        <w:tab/>
      </w:r>
      <w:r w:rsidRPr="008212EE">
        <w:rPr>
          <w:snapToGrid w:val="0"/>
          <w:lang w:val="es-ES_tradnl"/>
        </w:rPr>
        <w:t>tomar nota de las orientaciones relativas a la correspondencia que figuran en el documento TGP/5, Sección 2 “Formulario tipo de la UPOV para la solicitud de derecho de obtentor”;  y</w:t>
      </w:r>
    </w:p>
    <w:p w:rsidR="00B9396E" w:rsidRPr="006E5110" w:rsidRDefault="00B9396E" w:rsidP="00C0469A">
      <w:pPr>
        <w:pStyle w:val="DecisionParagraphs"/>
        <w:tabs>
          <w:tab w:val="left" w:pos="5954"/>
        </w:tabs>
        <w:rPr>
          <w:rFonts w:cs="Arial"/>
          <w:color w:val="0D0D0D"/>
          <w:lang w:val="es-ES_tradnl"/>
        </w:rPr>
      </w:pPr>
    </w:p>
    <w:p w:rsidR="00B9396E" w:rsidRPr="006E5110" w:rsidRDefault="00B9396E" w:rsidP="00C0469A">
      <w:pPr>
        <w:pStyle w:val="DecisionParagraphs"/>
        <w:tabs>
          <w:tab w:val="left" w:pos="5954"/>
        </w:tabs>
        <w:rPr>
          <w:lang w:val="es-ES_tradnl"/>
        </w:rPr>
      </w:pPr>
      <w:r w:rsidRPr="006E5110">
        <w:rPr>
          <w:lang w:val="es-ES_tradnl"/>
        </w:rPr>
        <w:tab/>
      </w:r>
      <w:r w:rsidRPr="00FA5F3D">
        <w:rPr>
          <w:lang w:val="es-ES_tradnl"/>
        </w:rPr>
        <w:t>b)</w:t>
      </w:r>
      <w:r w:rsidRPr="006E5110">
        <w:rPr>
          <w:lang w:val="es-ES_tradnl"/>
        </w:rPr>
        <w:tab/>
      </w:r>
      <w:bookmarkStart w:id="15" w:name="_Toc381102834"/>
      <w:bookmarkStart w:id="16" w:name="_Toc381102862"/>
      <w:r w:rsidRPr="008212EE">
        <w:rPr>
          <w:lang w:val="es-ES_tradnl"/>
        </w:rPr>
        <w:t>considerar si sería conveniente ofrecer, en la Sección 2 del documento TGP/5 o en el documento UPOV/INF/15, orientaciones adicionales respecto de la correspondencia.</w:t>
      </w:r>
    </w:p>
    <w:p w:rsidR="00B9396E" w:rsidRPr="006E5110" w:rsidRDefault="00B9396E" w:rsidP="00EE0680">
      <w:pPr>
        <w:pStyle w:val="DecisionParagraphs"/>
        <w:rPr>
          <w:lang w:val="es-ES_tradnl"/>
        </w:rPr>
      </w:pPr>
    </w:p>
    <w:p w:rsidR="00B9396E" w:rsidRPr="006E5110" w:rsidRDefault="00B9396E" w:rsidP="00EE0680">
      <w:pPr>
        <w:pStyle w:val="DecisionParagraphs"/>
        <w:rPr>
          <w:lang w:val="es-ES_tradnl"/>
        </w:rPr>
      </w:pPr>
    </w:p>
    <w:p w:rsidR="00B9396E" w:rsidRPr="0099105A" w:rsidRDefault="00B9396E" w:rsidP="00EE0680">
      <w:pPr>
        <w:pStyle w:val="Heading2"/>
      </w:pPr>
      <w:bookmarkStart w:id="17" w:name="_Toc382404380"/>
      <w:r w:rsidRPr="008212EE">
        <w:t>Material</w:t>
      </w:r>
      <w:bookmarkEnd w:id="17"/>
      <w:r>
        <w:t xml:space="preserve"> </w:t>
      </w:r>
      <w:bookmarkEnd w:id="15"/>
      <w:bookmarkEnd w:id="16"/>
      <w:r>
        <w:t xml:space="preserve"> </w:t>
      </w:r>
    </w:p>
    <w:p w:rsidR="00B9396E" w:rsidRDefault="00B9396E" w:rsidP="00C66028">
      <w:pPr>
        <w:pStyle w:val="Heading3"/>
      </w:pPr>
    </w:p>
    <w:tbl>
      <w:tblPr>
        <w:tblW w:w="0" w:type="auto"/>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57" w:type="dxa"/>
          <w:left w:w="85" w:type="dxa"/>
          <w:bottom w:w="28" w:type="dxa"/>
          <w:right w:w="85" w:type="dxa"/>
        </w:tblCellMar>
        <w:tblLook w:val="00A0" w:firstRow="1" w:lastRow="0" w:firstColumn="1" w:lastColumn="0" w:noHBand="0" w:noVBand="0"/>
      </w:tblPr>
      <w:tblGrid>
        <w:gridCol w:w="8788"/>
      </w:tblGrid>
      <w:tr w:rsidR="00B9396E" w:rsidRPr="00126344" w:rsidTr="009D791D">
        <w:trPr>
          <w:cantSplit/>
        </w:trPr>
        <w:tc>
          <w:tcPr>
            <w:tcW w:w="8788" w:type="dxa"/>
          </w:tcPr>
          <w:p w:rsidR="00B9396E" w:rsidRPr="006E5110" w:rsidRDefault="00B9396E" w:rsidP="009D791D">
            <w:pPr>
              <w:ind w:right="567"/>
              <w:rPr>
                <w:sz w:val="18"/>
                <w:szCs w:val="18"/>
                <w:lang w:val="es-ES_tradnl"/>
              </w:rPr>
            </w:pPr>
            <w:r w:rsidRPr="00FA5F3D">
              <w:rPr>
                <w:sz w:val="18"/>
                <w:szCs w:val="18"/>
                <w:lang w:val="es-ES_tradnl"/>
              </w:rPr>
              <w:t>[Extracto de la carta de la ISF (texto original en inglés)]</w:t>
            </w:r>
          </w:p>
          <w:p w:rsidR="00B9396E" w:rsidRPr="006E5110" w:rsidRDefault="00B9396E" w:rsidP="0054760F">
            <w:pPr>
              <w:rPr>
                <w:rFonts w:cs="Arial"/>
                <w:color w:val="0D0D0D"/>
                <w:sz w:val="18"/>
                <w:szCs w:val="18"/>
                <w:lang w:val="es-ES_tradnl"/>
              </w:rPr>
            </w:pPr>
            <w:r w:rsidRPr="008212EE">
              <w:rPr>
                <w:rFonts w:cs="Arial"/>
                <w:color w:val="0D0D0D"/>
                <w:sz w:val="18"/>
                <w:szCs w:val="18"/>
                <w:u w:val="single"/>
                <w:lang w:val="es-ES_tradnl"/>
              </w:rPr>
              <w:t>Confidencialidad del material</w:t>
            </w:r>
            <w:proofErr w:type="gramStart"/>
            <w:r w:rsidRPr="008212EE">
              <w:rPr>
                <w:rFonts w:cs="Arial"/>
                <w:color w:val="0D0D0D"/>
                <w:sz w:val="18"/>
                <w:szCs w:val="18"/>
                <w:lang w:val="es-ES_tradnl"/>
              </w:rPr>
              <w:t>:</w:t>
            </w:r>
            <w:r w:rsidRPr="006E5110">
              <w:rPr>
                <w:rFonts w:cs="Arial"/>
                <w:color w:val="0D0D0D"/>
                <w:sz w:val="18"/>
                <w:szCs w:val="18"/>
                <w:lang w:val="es-ES_tradnl"/>
              </w:rPr>
              <w:t xml:space="preserve">  </w:t>
            </w:r>
            <w:r w:rsidRPr="008212EE">
              <w:rPr>
                <w:rFonts w:cs="Arial"/>
                <w:color w:val="0D0D0D"/>
                <w:sz w:val="18"/>
                <w:szCs w:val="18"/>
                <w:lang w:val="es-ES_tradnl"/>
              </w:rPr>
              <w:t>En</w:t>
            </w:r>
            <w:proofErr w:type="gramEnd"/>
            <w:r w:rsidRPr="008212EE">
              <w:rPr>
                <w:rFonts w:cs="Arial"/>
                <w:color w:val="0D0D0D"/>
                <w:sz w:val="18"/>
                <w:szCs w:val="18"/>
                <w:lang w:val="es-ES_tradnl"/>
              </w:rPr>
              <w:t xml:space="preserve"> determinados países, al presentar una solicitud de derechos de obtentor en relación con una especie híbrida, las oficinas exigen que el solicitante suministre semillas (o, si procede, material de multiplicación vegetativa) de las líneas parentales también aun cuando ese material no se utilice en el examen de la variedad.</w:t>
            </w:r>
            <w:r w:rsidRPr="006E5110">
              <w:rPr>
                <w:rFonts w:cs="Arial"/>
                <w:color w:val="0D0D0D"/>
                <w:sz w:val="18"/>
                <w:szCs w:val="18"/>
                <w:lang w:val="es-ES_tradnl"/>
              </w:rPr>
              <w:t xml:space="preserve">  </w:t>
            </w:r>
            <w:r w:rsidRPr="008212EE">
              <w:rPr>
                <w:rFonts w:cs="Arial"/>
                <w:color w:val="0D0D0D"/>
                <w:sz w:val="18"/>
                <w:szCs w:val="18"/>
                <w:lang w:val="es-ES_tradnl"/>
              </w:rPr>
              <w:t>Los miembros de la ISF son rotundos y opinan que no debe imponerse obligación alguna de suministrar líneas parentales al presentar solicitudes relativas a variedades híbridas.</w:t>
            </w:r>
          </w:p>
          <w:p w:rsidR="00B9396E" w:rsidRPr="006E5110" w:rsidRDefault="00B9396E" w:rsidP="0054760F">
            <w:pPr>
              <w:rPr>
                <w:rFonts w:cs="Arial"/>
                <w:color w:val="0D0D0D"/>
                <w:sz w:val="18"/>
                <w:szCs w:val="18"/>
                <w:lang w:val="es-ES_tradnl"/>
              </w:rPr>
            </w:pPr>
          </w:p>
          <w:p w:rsidR="00B9396E" w:rsidRPr="006E5110" w:rsidRDefault="00B9396E" w:rsidP="0054760F">
            <w:pPr>
              <w:rPr>
                <w:rFonts w:cs="Arial"/>
                <w:color w:val="0D0D0D"/>
                <w:sz w:val="18"/>
                <w:szCs w:val="18"/>
                <w:lang w:val="es-ES_tradnl"/>
              </w:rPr>
            </w:pPr>
            <w:r w:rsidRPr="008212EE">
              <w:rPr>
                <w:rFonts w:cs="Arial"/>
                <w:color w:val="0D0D0D"/>
                <w:sz w:val="18"/>
                <w:szCs w:val="18"/>
                <w:lang w:val="es-ES_tradnl"/>
              </w:rPr>
              <w:t>En determinados países, las oficinas de derechos de obtentor no garantizan la confidencialidad de la información o acerca de las semillas suministradas.</w:t>
            </w:r>
            <w:r w:rsidRPr="006E5110">
              <w:rPr>
                <w:rFonts w:cs="Arial"/>
                <w:color w:val="0D0D0D"/>
                <w:sz w:val="18"/>
                <w:szCs w:val="18"/>
                <w:lang w:val="es-ES_tradnl"/>
              </w:rPr>
              <w:t xml:space="preserve">  </w:t>
            </w:r>
            <w:r w:rsidRPr="008212EE">
              <w:rPr>
                <w:rFonts w:cs="Arial"/>
                <w:color w:val="0D0D0D"/>
                <w:sz w:val="18"/>
                <w:szCs w:val="18"/>
                <w:lang w:val="es-ES_tradnl"/>
              </w:rPr>
              <w:t>Aumenta así el riesgo de que las líneas parentales pasen a estar a disposición del público.</w:t>
            </w:r>
            <w:r w:rsidRPr="006E5110">
              <w:rPr>
                <w:rFonts w:cs="Arial"/>
                <w:color w:val="0D0D0D"/>
                <w:sz w:val="18"/>
                <w:szCs w:val="18"/>
                <w:lang w:val="es-ES_tradnl"/>
              </w:rPr>
              <w:t xml:space="preserve">  </w:t>
            </w:r>
            <w:r w:rsidRPr="008212EE">
              <w:rPr>
                <w:rFonts w:cs="Arial"/>
                <w:color w:val="0D0D0D"/>
                <w:sz w:val="18"/>
                <w:szCs w:val="18"/>
                <w:lang w:val="es-ES_tradnl"/>
              </w:rPr>
              <w:t>El requisito de suministrar semillas de líneas parentales constituye una razón de peso por las que las compañías pueden optar por no presentar solicitudes en los países que imponen ese requisito.</w:t>
            </w:r>
          </w:p>
          <w:p w:rsidR="00B9396E" w:rsidRPr="006E5110" w:rsidRDefault="00B9396E" w:rsidP="0054760F">
            <w:pPr>
              <w:rPr>
                <w:rFonts w:cs="Arial"/>
                <w:color w:val="0D0D0D"/>
                <w:sz w:val="18"/>
                <w:szCs w:val="18"/>
                <w:lang w:val="es-ES_tradnl"/>
              </w:rPr>
            </w:pPr>
          </w:p>
          <w:p w:rsidR="00B9396E" w:rsidRPr="006E5110" w:rsidRDefault="00B9396E" w:rsidP="0054760F">
            <w:pPr>
              <w:rPr>
                <w:rFonts w:cs="Arial"/>
                <w:sz w:val="18"/>
                <w:szCs w:val="18"/>
                <w:lang w:val="es-ES_tradnl"/>
              </w:rPr>
            </w:pPr>
            <w:r w:rsidRPr="008212EE">
              <w:rPr>
                <w:rFonts w:cs="Arial"/>
                <w:color w:val="0C0C0C"/>
                <w:sz w:val="18"/>
                <w:szCs w:val="18"/>
                <w:lang w:val="es-ES_tradnl"/>
              </w:rPr>
              <w:t>Conforme al documento TGP/4/1, las oficinas de derechos de obtentor deben tomar todas las medidas necesarias para salvaguardar los derechos del solicitante.</w:t>
            </w:r>
            <w:r w:rsidRPr="006E5110">
              <w:rPr>
                <w:rFonts w:cs="Arial"/>
                <w:color w:val="0C0C0C"/>
                <w:sz w:val="18"/>
                <w:szCs w:val="18"/>
                <w:lang w:val="es-ES_tradnl"/>
              </w:rPr>
              <w:t xml:space="preserve">  </w:t>
            </w:r>
            <w:r w:rsidRPr="008212EE">
              <w:rPr>
                <w:rFonts w:cs="Arial"/>
                <w:color w:val="0C0C0C"/>
                <w:sz w:val="18"/>
                <w:szCs w:val="18"/>
                <w:lang w:val="es-ES_tradnl"/>
              </w:rPr>
              <w:t>La ISF considera que parte de esa responsabilidad consiste en tratar el material con la mayor confidencialidad posible y establecer un acuerdo de transferencia de material entre la oficina de derechos de obtentor y el solicitante, en el que garantice el tratamiento confidencial de dicho material.</w:t>
            </w:r>
            <w:r w:rsidRPr="006E5110">
              <w:rPr>
                <w:rFonts w:cs="Arial"/>
                <w:color w:val="0C0C0C"/>
                <w:sz w:val="18"/>
                <w:szCs w:val="18"/>
                <w:lang w:val="es-ES_tradnl"/>
              </w:rPr>
              <w:t xml:space="preserve">  </w:t>
            </w:r>
            <w:r w:rsidRPr="008212EE">
              <w:rPr>
                <w:rFonts w:cs="Arial"/>
                <w:color w:val="0C0C0C"/>
                <w:sz w:val="18"/>
                <w:szCs w:val="18"/>
                <w:lang w:val="es-ES_tradnl"/>
              </w:rPr>
              <w:t>No obstante, una vez se haya garantizado el tratamiento confidencial, debe seguir velándose por que el tamaño de muestra de las semillas sea razonable.</w:t>
            </w:r>
            <w:r w:rsidRPr="006E5110">
              <w:rPr>
                <w:rFonts w:cs="Arial"/>
                <w:color w:val="262626"/>
                <w:sz w:val="18"/>
                <w:szCs w:val="18"/>
                <w:lang w:val="es-ES_tradnl"/>
              </w:rPr>
              <w:t xml:space="preserve">  </w:t>
            </w:r>
            <w:r w:rsidRPr="008212EE">
              <w:rPr>
                <w:rFonts w:cs="Arial"/>
                <w:color w:val="0C0C0C"/>
                <w:sz w:val="18"/>
                <w:szCs w:val="18"/>
                <w:lang w:val="es-ES_tradnl"/>
              </w:rPr>
              <w:t>Los países en los que se exige un tamaño de muestra demasiado elevado se exponen a que las compañías de semillas se abstengan de presentar solicitudes.</w:t>
            </w:r>
          </w:p>
          <w:p w:rsidR="00B9396E" w:rsidRPr="006E5110" w:rsidRDefault="00B9396E" w:rsidP="0054760F">
            <w:pPr>
              <w:rPr>
                <w:sz w:val="18"/>
                <w:szCs w:val="18"/>
                <w:lang w:val="es-ES_tradnl"/>
              </w:rPr>
            </w:pPr>
          </w:p>
          <w:p w:rsidR="00B9396E" w:rsidRPr="006E5110" w:rsidRDefault="00B9396E" w:rsidP="0054760F">
            <w:pPr>
              <w:rPr>
                <w:rFonts w:cs="Arial"/>
                <w:color w:val="0D0D0D"/>
                <w:sz w:val="18"/>
                <w:szCs w:val="18"/>
                <w:u w:val="single"/>
                <w:lang w:val="es-ES_tradnl"/>
              </w:rPr>
            </w:pPr>
            <w:r w:rsidRPr="008212EE">
              <w:rPr>
                <w:rFonts w:cs="Arial"/>
                <w:color w:val="0C0C0C"/>
                <w:sz w:val="18"/>
                <w:szCs w:val="18"/>
                <w:lang w:val="es-ES_tradnl"/>
              </w:rPr>
              <w:t xml:space="preserve">En los casos en los que las organizaciones encargadas del proceso de examen para la concesión de derechos de obtentor se dediquen también al </w:t>
            </w:r>
            <w:proofErr w:type="spellStart"/>
            <w:r w:rsidRPr="008212EE">
              <w:rPr>
                <w:rFonts w:cs="Arial"/>
                <w:color w:val="0C0C0C"/>
                <w:sz w:val="18"/>
                <w:szCs w:val="18"/>
                <w:lang w:val="es-ES_tradnl"/>
              </w:rPr>
              <w:t>fitomejoramiento</w:t>
            </w:r>
            <w:proofErr w:type="spellEnd"/>
            <w:r w:rsidRPr="008212EE">
              <w:rPr>
                <w:rFonts w:cs="Arial"/>
                <w:color w:val="0C0C0C"/>
                <w:sz w:val="18"/>
                <w:szCs w:val="18"/>
                <w:lang w:val="es-ES_tradnl"/>
              </w:rPr>
              <w:t xml:space="preserve"> y creen variedades de la misma especie que las de otros solicitantes, habrán de tomarse medidas claras y estrictas para garantizar la confidencialidad del material del solicitante.</w:t>
            </w:r>
          </w:p>
        </w:tc>
      </w:tr>
    </w:tbl>
    <w:p w:rsidR="00B9396E" w:rsidRPr="006E5110" w:rsidRDefault="00B9396E" w:rsidP="004A7127">
      <w:pPr>
        <w:pStyle w:val="Heading4"/>
        <w:ind w:firstLine="0"/>
        <w:rPr>
          <w:kern w:val="28"/>
          <w:lang w:val="es-ES_tradnl"/>
        </w:rPr>
      </w:pPr>
    </w:p>
    <w:tbl>
      <w:tblPr>
        <w:tblW w:w="0" w:type="auto"/>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57" w:type="dxa"/>
          <w:left w:w="85" w:type="dxa"/>
          <w:bottom w:w="28" w:type="dxa"/>
          <w:right w:w="85" w:type="dxa"/>
        </w:tblCellMar>
        <w:tblLook w:val="00A0" w:firstRow="1" w:lastRow="0" w:firstColumn="1" w:lastColumn="0" w:noHBand="0" w:noVBand="0"/>
      </w:tblPr>
      <w:tblGrid>
        <w:gridCol w:w="8788"/>
      </w:tblGrid>
      <w:tr w:rsidR="00B9396E" w:rsidRPr="00126344" w:rsidTr="009D791D">
        <w:trPr>
          <w:cantSplit/>
        </w:trPr>
        <w:tc>
          <w:tcPr>
            <w:tcW w:w="8788" w:type="dxa"/>
          </w:tcPr>
          <w:p w:rsidR="00B9396E" w:rsidRPr="006E5110" w:rsidRDefault="00B9396E" w:rsidP="009D791D">
            <w:pPr>
              <w:ind w:right="567"/>
              <w:rPr>
                <w:sz w:val="18"/>
                <w:szCs w:val="18"/>
                <w:lang w:val="es-ES_tradnl"/>
              </w:rPr>
            </w:pPr>
            <w:r w:rsidRPr="00FA5F3D">
              <w:rPr>
                <w:sz w:val="18"/>
                <w:szCs w:val="18"/>
                <w:lang w:val="es-ES_tradnl"/>
              </w:rPr>
              <w:t>[Extracto de la carta de la ISF (texto original en inglés)]</w:t>
            </w:r>
          </w:p>
          <w:p w:rsidR="00B9396E" w:rsidRPr="006E5110" w:rsidRDefault="00B9396E" w:rsidP="00140E1A">
            <w:pPr>
              <w:rPr>
                <w:rFonts w:cs="Arial"/>
                <w:color w:val="0D0D0D"/>
                <w:sz w:val="18"/>
                <w:szCs w:val="18"/>
                <w:u w:val="single"/>
                <w:lang w:val="es-ES_tradnl"/>
              </w:rPr>
            </w:pPr>
            <w:r w:rsidRPr="008212EE">
              <w:rPr>
                <w:rFonts w:cs="Arial"/>
                <w:color w:val="0D0D0D"/>
                <w:sz w:val="18"/>
                <w:szCs w:val="18"/>
                <w:u w:val="single"/>
                <w:lang w:val="es-ES_tradnl"/>
              </w:rPr>
              <w:t>Normas para el intercambio de material</w:t>
            </w:r>
            <w:proofErr w:type="gramStart"/>
            <w:r w:rsidRPr="008212EE">
              <w:rPr>
                <w:rFonts w:cs="Arial"/>
                <w:color w:val="0D0D0D"/>
                <w:sz w:val="18"/>
                <w:szCs w:val="18"/>
                <w:lang w:val="es-ES_tradnl"/>
              </w:rPr>
              <w:t>:</w:t>
            </w:r>
            <w:r w:rsidRPr="006E5110">
              <w:rPr>
                <w:rFonts w:cs="Arial"/>
                <w:color w:val="0D0D0D"/>
                <w:sz w:val="18"/>
                <w:szCs w:val="18"/>
                <w:lang w:val="es-ES_tradnl"/>
              </w:rPr>
              <w:t xml:space="preserve">  </w:t>
            </w:r>
            <w:r w:rsidRPr="008212EE">
              <w:rPr>
                <w:rFonts w:cs="Arial"/>
                <w:color w:val="0D0D0D"/>
                <w:sz w:val="18"/>
                <w:szCs w:val="18"/>
                <w:lang w:val="es-ES_tradnl"/>
              </w:rPr>
              <w:t>En</w:t>
            </w:r>
            <w:proofErr w:type="gramEnd"/>
            <w:r w:rsidRPr="008212EE">
              <w:rPr>
                <w:rFonts w:cs="Arial"/>
                <w:color w:val="0D0D0D"/>
                <w:sz w:val="18"/>
                <w:szCs w:val="18"/>
                <w:lang w:val="es-ES_tradnl"/>
              </w:rPr>
              <w:t xml:space="preserve"> muchos países no existen normas oficiales ni directrices para el intercambio de material vegetal o de semillas entre oficinas de examen.</w:t>
            </w:r>
            <w:r w:rsidRPr="006E5110">
              <w:rPr>
                <w:rFonts w:cs="Arial"/>
                <w:color w:val="0D0D0D"/>
                <w:sz w:val="18"/>
                <w:szCs w:val="18"/>
                <w:lang w:val="es-ES_tradnl"/>
              </w:rPr>
              <w:t xml:space="preserve">  </w:t>
            </w:r>
            <w:r w:rsidRPr="008212EE">
              <w:rPr>
                <w:rFonts w:cs="Arial"/>
                <w:color w:val="0D0D0D"/>
                <w:sz w:val="18"/>
                <w:szCs w:val="18"/>
                <w:lang w:val="es-ES_tradnl"/>
              </w:rPr>
              <w:t>Los miembros de la ISF consideran muy importante velar por un alto nivel de rastreabilidad.</w:t>
            </w:r>
            <w:r w:rsidRPr="006E5110">
              <w:rPr>
                <w:rFonts w:cs="Arial"/>
                <w:color w:val="0D0D0D"/>
                <w:sz w:val="18"/>
                <w:szCs w:val="18"/>
                <w:lang w:val="es-ES_tradnl"/>
              </w:rPr>
              <w:t xml:space="preserve">  </w:t>
            </w:r>
            <w:r w:rsidRPr="008212EE">
              <w:rPr>
                <w:rFonts w:cs="Arial"/>
                <w:color w:val="0D0D0D"/>
                <w:sz w:val="18"/>
                <w:szCs w:val="18"/>
                <w:lang w:val="es-ES_tradnl"/>
              </w:rPr>
              <w:t>Con frecuencia, los obtentores no están al tanto de lo que se hace con su material una vez finalizado el proceso de presentación de la solicitud.</w:t>
            </w:r>
            <w:r w:rsidRPr="006E5110">
              <w:rPr>
                <w:rFonts w:cs="Arial"/>
                <w:color w:val="0D0D0D"/>
                <w:sz w:val="18"/>
                <w:szCs w:val="18"/>
                <w:lang w:val="es-ES_tradnl"/>
              </w:rPr>
              <w:t xml:space="preserve">  </w:t>
            </w:r>
            <w:r w:rsidRPr="008212EE">
              <w:rPr>
                <w:rFonts w:cs="Arial"/>
                <w:color w:val="0D0D0D"/>
                <w:sz w:val="18"/>
                <w:szCs w:val="18"/>
                <w:lang w:val="es-ES_tradnl"/>
              </w:rPr>
              <w:t>A ese respecto, como mínimo habría de enviarse una notificación al obtentor, y lo ideal sería que este último conceda autorización antes de que se envíe material de su variedad a otras oficinas.</w:t>
            </w:r>
            <w:r w:rsidRPr="006E5110">
              <w:rPr>
                <w:rFonts w:cs="Arial"/>
                <w:color w:val="0D0D0D"/>
                <w:sz w:val="18"/>
                <w:szCs w:val="18"/>
                <w:lang w:val="es-ES_tradnl"/>
              </w:rPr>
              <w:t xml:space="preserve">  </w:t>
            </w:r>
            <w:r w:rsidRPr="008212EE">
              <w:rPr>
                <w:rFonts w:cs="Arial"/>
                <w:color w:val="0D0D0D"/>
                <w:sz w:val="18"/>
                <w:szCs w:val="18"/>
                <w:lang w:val="es-ES_tradnl"/>
              </w:rPr>
              <w:t>Esas normas de intercambio son particularmente fundamentales en lo que respecta a las líneas parentales.</w:t>
            </w:r>
            <w:r w:rsidRPr="006E5110">
              <w:rPr>
                <w:rFonts w:cs="Arial"/>
                <w:color w:val="0D0D0D"/>
                <w:sz w:val="18"/>
                <w:szCs w:val="18"/>
                <w:lang w:val="es-ES_tradnl"/>
              </w:rPr>
              <w:t xml:space="preserve">  </w:t>
            </w:r>
            <w:r w:rsidRPr="008212EE">
              <w:rPr>
                <w:rFonts w:cs="Arial"/>
                <w:color w:val="0D0D0D"/>
                <w:sz w:val="18"/>
                <w:szCs w:val="18"/>
                <w:lang w:val="es-ES_tradnl"/>
              </w:rPr>
              <w:t>Establecer normas claras y uniformes en relación con el acuerdo previo sería útil para preservar la integridad y la seguridad del material vegetal y de semillas.</w:t>
            </w:r>
            <w:r w:rsidRPr="006E5110">
              <w:rPr>
                <w:rFonts w:cs="Arial"/>
                <w:color w:val="0D0D0D"/>
                <w:sz w:val="18"/>
                <w:szCs w:val="18"/>
                <w:lang w:val="es-ES_tradnl"/>
              </w:rPr>
              <w:t xml:space="preserve">  </w:t>
            </w:r>
            <w:r w:rsidRPr="008212EE">
              <w:rPr>
                <w:rFonts w:cs="Arial"/>
                <w:color w:val="0D0D0D"/>
                <w:sz w:val="18"/>
                <w:szCs w:val="18"/>
                <w:lang w:val="es-ES_tradnl"/>
              </w:rPr>
              <w:t>No contar con normas oficiales para el intercambio de material constituye un desincentivo para algunas empresas a la hora de presentar solicitudes de derecho de obtentor.</w:t>
            </w:r>
            <w:r w:rsidRPr="006E5110">
              <w:rPr>
                <w:rFonts w:cs="Arial"/>
                <w:color w:val="0D0D0D"/>
                <w:sz w:val="18"/>
                <w:szCs w:val="18"/>
                <w:u w:val="single"/>
                <w:lang w:val="es-ES_tradnl"/>
              </w:rPr>
              <w:t xml:space="preserve"> </w:t>
            </w:r>
          </w:p>
        </w:tc>
      </w:tr>
    </w:tbl>
    <w:p w:rsidR="00B9396E" w:rsidRPr="006E5110" w:rsidRDefault="00B9396E" w:rsidP="006C6ECB">
      <w:pPr>
        <w:rPr>
          <w:snapToGrid w:val="0"/>
          <w:lang w:val="es-ES_tradnl"/>
        </w:rPr>
      </w:pPr>
    </w:p>
    <w:tbl>
      <w:tblPr>
        <w:tblW w:w="0" w:type="auto"/>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57" w:type="dxa"/>
          <w:left w:w="85" w:type="dxa"/>
          <w:bottom w:w="28" w:type="dxa"/>
          <w:right w:w="85" w:type="dxa"/>
        </w:tblCellMar>
        <w:tblLook w:val="00A0" w:firstRow="1" w:lastRow="0" w:firstColumn="1" w:lastColumn="0" w:noHBand="0" w:noVBand="0"/>
      </w:tblPr>
      <w:tblGrid>
        <w:gridCol w:w="8788"/>
      </w:tblGrid>
      <w:tr w:rsidR="00B9396E" w:rsidRPr="00126344" w:rsidTr="009D791D">
        <w:trPr>
          <w:cantSplit/>
        </w:trPr>
        <w:tc>
          <w:tcPr>
            <w:tcW w:w="8788" w:type="dxa"/>
          </w:tcPr>
          <w:p w:rsidR="00B9396E" w:rsidRPr="006E5110" w:rsidRDefault="00B9396E" w:rsidP="009D791D">
            <w:pPr>
              <w:ind w:right="567"/>
              <w:rPr>
                <w:sz w:val="18"/>
                <w:szCs w:val="18"/>
                <w:lang w:val="es-ES_tradnl"/>
              </w:rPr>
            </w:pPr>
            <w:r w:rsidRPr="00FA5F3D">
              <w:rPr>
                <w:sz w:val="18"/>
                <w:szCs w:val="18"/>
                <w:lang w:val="es-ES_tradnl"/>
              </w:rPr>
              <w:t>[Extracto de la carta de la ISF (texto original en inglés)]</w:t>
            </w:r>
          </w:p>
          <w:p w:rsidR="00B9396E" w:rsidRPr="006E5110" w:rsidRDefault="00B9396E" w:rsidP="00140E1A">
            <w:pPr>
              <w:rPr>
                <w:rFonts w:cs="Arial"/>
                <w:color w:val="424242"/>
                <w:w w:val="90"/>
                <w:sz w:val="18"/>
                <w:szCs w:val="18"/>
                <w:lang w:val="es-ES_tradnl"/>
              </w:rPr>
            </w:pPr>
            <w:r w:rsidRPr="008212EE">
              <w:rPr>
                <w:rFonts w:cs="Arial"/>
                <w:color w:val="0C0C0C"/>
                <w:sz w:val="18"/>
                <w:szCs w:val="18"/>
                <w:u w:val="single" w:color="000000"/>
                <w:lang w:val="es-ES_tradnl"/>
              </w:rPr>
              <w:t>Disponibilidad del material</w:t>
            </w:r>
            <w:proofErr w:type="gramStart"/>
            <w:r w:rsidRPr="008212EE">
              <w:rPr>
                <w:rFonts w:cs="Arial"/>
                <w:color w:val="0C0C0C"/>
                <w:sz w:val="18"/>
                <w:szCs w:val="18"/>
                <w:u w:color="000000"/>
                <w:lang w:val="es-ES_tradnl"/>
              </w:rPr>
              <w:t>:</w:t>
            </w:r>
            <w:r w:rsidRPr="006E5110">
              <w:rPr>
                <w:rFonts w:cs="Arial"/>
                <w:color w:val="424242"/>
                <w:spacing w:val="21"/>
                <w:sz w:val="18"/>
                <w:szCs w:val="18"/>
                <w:lang w:val="es-ES_tradnl"/>
              </w:rPr>
              <w:t xml:space="preserve">  </w:t>
            </w:r>
            <w:r w:rsidRPr="008212EE">
              <w:rPr>
                <w:rFonts w:cs="Arial"/>
                <w:color w:val="0C0C0C"/>
                <w:sz w:val="18"/>
                <w:szCs w:val="18"/>
                <w:lang w:val="es-ES_tradnl"/>
              </w:rPr>
              <w:t>En</w:t>
            </w:r>
            <w:proofErr w:type="gramEnd"/>
            <w:r w:rsidRPr="008212EE">
              <w:rPr>
                <w:rFonts w:cs="Arial"/>
                <w:color w:val="0C0C0C"/>
                <w:sz w:val="18"/>
                <w:szCs w:val="18"/>
                <w:lang w:val="es-ES_tradnl"/>
              </w:rPr>
              <w:t xml:space="preserve"> algunos países se exige que el solicitante ponga a disposición del público material de la variedad protegida.</w:t>
            </w:r>
            <w:r w:rsidRPr="006E5110">
              <w:rPr>
                <w:rFonts w:cs="Arial"/>
                <w:color w:val="2A2A2B"/>
                <w:sz w:val="18"/>
                <w:szCs w:val="18"/>
                <w:lang w:val="es-ES_tradnl"/>
              </w:rPr>
              <w:t xml:space="preserve">  </w:t>
            </w:r>
            <w:r w:rsidRPr="008212EE">
              <w:rPr>
                <w:rFonts w:cs="Arial"/>
                <w:color w:val="0C0C0C"/>
                <w:sz w:val="18"/>
                <w:szCs w:val="18"/>
                <w:lang w:val="es-ES_tradnl"/>
              </w:rPr>
              <w:t>Eso puede plantear problemas si un competidor solicita material de la línea parental protegida.</w:t>
            </w:r>
            <w:r w:rsidRPr="006E5110">
              <w:rPr>
                <w:rFonts w:cs="Arial"/>
                <w:color w:val="2A2A2B"/>
                <w:sz w:val="18"/>
                <w:szCs w:val="18"/>
                <w:lang w:val="es-ES_tradnl"/>
              </w:rPr>
              <w:t xml:space="preserve">  </w:t>
            </w:r>
            <w:r w:rsidRPr="008212EE">
              <w:rPr>
                <w:rFonts w:cs="Arial"/>
                <w:color w:val="0C0C0C"/>
                <w:sz w:val="18"/>
                <w:szCs w:val="18"/>
                <w:lang w:val="es-ES_tradnl"/>
              </w:rPr>
              <w:t xml:space="preserve">Conforme a las encuestas, las empresas </w:t>
            </w:r>
            <w:proofErr w:type="spellStart"/>
            <w:r w:rsidRPr="008212EE">
              <w:rPr>
                <w:rFonts w:cs="Arial"/>
                <w:color w:val="0C0C0C"/>
                <w:sz w:val="18"/>
                <w:szCs w:val="18"/>
                <w:lang w:val="es-ES_tradnl"/>
              </w:rPr>
              <w:t>semilleras</w:t>
            </w:r>
            <w:proofErr w:type="spellEnd"/>
            <w:r w:rsidRPr="008212EE">
              <w:rPr>
                <w:rFonts w:cs="Arial"/>
                <w:color w:val="0C0C0C"/>
                <w:sz w:val="18"/>
                <w:szCs w:val="18"/>
                <w:lang w:val="es-ES_tradnl"/>
              </w:rPr>
              <w:t xml:space="preserve"> son muy reacias o no accederían a peticiones de proporcionar su material derivado de líneas parentales a terceros.</w:t>
            </w:r>
            <w:r w:rsidRPr="006E5110">
              <w:rPr>
                <w:rFonts w:cs="Arial"/>
                <w:color w:val="424242"/>
                <w:sz w:val="18"/>
                <w:szCs w:val="18"/>
                <w:lang w:val="es-ES_tradnl"/>
              </w:rPr>
              <w:t xml:space="preserve">  </w:t>
            </w:r>
            <w:r w:rsidRPr="008212EE">
              <w:rPr>
                <w:rFonts w:cs="Arial"/>
                <w:color w:val="0C0C0C"/>
                <w:w w:val="103"/>
                <w:sz w:val="18"/>
                <w:szCs w:val="18"/>
                <w:lang w:val="es-ES_tradnl"/>
              </w:rPr>
              <w:t>No se debe poner a disposición del público el material sin contar con el consentimiento del obtentor interesado.</w:t>
            </w:r>
            <w:r w:rsidRPr="006E5110">
              <w:rPr>
                <w:rFonts w:cs="Arial"/>
                <w:color w:val="0C0C0C"/>
                <w:sz w:val="18"/>
                <w:szCs w:val="18"/>
                <w:lang w:val="es-ES_tradnl"/>
              </w:rPr>
              <w:t xml:space="preserve">  </w:t>
            </w:r>
            <w:r w:rsidRPr="008212EE">
              <w:rPr>
                <w:rFonts w:cs="Arial"/>
                <w:color w:val="0C0C0C"/>
                <w:sz w:val="18"/>
                <w:szCs w:val="18"/>
                <w:lang w:val="es-ES_tradnl"/>
              </w:rPr>
              <w:t>Y en el Convenio de la UPOV no se estipula en parte alguna que el material protegido deba ponerse a disposición del público.</w:t>
            </w:r>
            <w:r w:rsidRPr="006E5110">
              <w:rPr>
                <w:rFonts w:cs="Arial"/>
                <w:color w:val="2A2A2B"/>
                <w:sz w:val="18"/>
                <w:szCs w:val="18"/>
                <w:lang w:val="es-ES_tradnl"/>
              </w:rPr>
              <w:t xml:space="preserve">  </w:t>
            </w:r>
            <w:r w:rsidRPr="008212EE">
              <w:rPr>
                <w:rFonts w:cs="Arial"/>
                <w:color w:val="0C0C0C"/>
                <w:sz w:val="18"/>
                <w:szCs w:val="18"/>
                <w:lang w:val="es-ES_tradnl"/>
              </w:rPr>
              <w:t>Hay compañías para las que ese requisito constituye una razón para no presentar solicitudes de derechos de obtentor.</w:t>
            </w:r>
          </w:p>
          <w:p w:rsidR="00B9396E" w:rsidRPr="006E5110" w:rsidRDefault="00B9396E" w:rsidP="00140E1A">
            <w:pPr>
              <w:rPr>
                <w:rFonts w:cs="Arial"/>
                <w:color w:val="424242"/>
                <w:w w:val="90"/>
                <w:sz w:val="18"/>
                <w:szCs w:val="18"/>
                <w:lang w:val="es-ES_tradnl"/>
              </w:rPr>
            </w:pPr>
          </w:p>
          <w:p w:rsidR="00B9396E" w:rsidRPr="006E5110" w:rsidRDefault="00B9396E" w:rsidP="00140E1A">
            <w:pPr>
              <w:rPr>
                <w:rFonts w:cs="Arial"/>
                <w:color w:val="0D0D0D"/>
                <w:sz w:val="18"/>
                <w:szCs w:val="18"/>
                <w:u w:val="single"/>
                <w:lang w:val="es-ES_tradnl"/>
              </w:rPr>
            </w:pPr>
            <w:r w:rsidRPr="008212EE">
              <w:rPr>
                <w:rFonts w:cs="Arial"/>
                <w:color w:val="0C0C0C"/>
                <w:sz w:val="18"/>
                <w:szCs w:val="18"/>
                <w:lang w:val="es-ES_tradnl"/>
              </w:rPr>
              <w:t>Sólo debe ponerse a disposición del público material que ya esté disponible en el mercado.</w:t>
            </w:r>
          </w:p>
        </w:tc>
      </w:tr>
    </w:tbl>
    <w:p w:rsidR="00B9396E" w:rsidRPr="006E5110" w:rsidRDefault="00B9396E" w:rsidP="0099105A">
      <w:pPr>
        <w:rPr>
          <w:lang w:val="es-ES_tradnl"/>
        </w:rPr>
      </w:pPr>
      <w:r w:rsidRPr="00224367">
        <w:lastRenderedPageBreak/>
        <w:fldChar w:fldCharType="begin"/>
      </w:r>
      <w:r w:rsidRPr="006E5110">
        <w:rPr>
          <w:lang w:val="es-ES_tradnl"/>
        </w:rPr>
        <w:instrText xml:space="preserve"> AUTONUM  </w:instrText>
      </w:r>
      <w:r w:rsidRPr="00224367">
        <w:fldChar w:fldCharType="end"/>
      </w:r>
      <w:r w:rsidRPr="006E5110">
        <w:rPr>
          <w:lang w:val="es-ES_tradnl"/>
        </w:rPr>
        <w:tab/>
      </w:r>
      <w:r w:rsidRPr="008212EE">
        <w:rPr>
          <w:lang w:val="es-ES_tradnl"/>
        </w:rPr>
        <w:t>En los párrafos siguientes se presentan las orientaciones existentes y los posibles enfoques respecto de los requisitos materiales.</w:t>
      </w:r>
    </w:p>
    <w:p w:rsidR="00B9396E" w:rsidRPr="006E5110" w:rsidRDefault="00B9396E" w:rsidP="006F2B56">
      <w:pPr>
        <w:spacing w:line="360" w:lineRule="auto"/>
        <w:rPr>
          <w:lang w:val="es-ES_tradnl"/>
        </w:rPr>
      </w:pPr>
    </w:p>
    <w:p w:rsidR="00B9396E" w:rsidRPr="006E5110" w:rsidRDefault="00B9396E" w:rsidP="006F2B56">
      <w:pPr>
        <w:pStyle w:val="Heading3"/>
        <w:rPr>
          <w:lang w:val="es-ES_tradnl"/>
        </w:rPr>
      </w:pPr>
      <w:bookmarkStart w:id="18" w:name="_Toc382404381"/>
      <w:r w:rsidRPr="00FA5F3D">
        <w:rPr>
          <w:lang w:val="es-ES_tradnl"/>
        </w:rPr>
        <w:t>a)</w:t>
      </w:r>
      <w:r w:rsidRPr="006E5110">
        <w:rPr>
          <w:lang w:val="es-ES_tradnl"/>
        </w:rPr>
        <w:tab/>
      </w:r>
      <w:r w:rsidRPr="008212EE">
        <w:rPr>
          <w:lang w:val="es-ES_tradnl"/>
        </w:rPr>
        <w:t>Suministro de líneas parentales para solicitudes correspondientes a variedades híbridas</w:t>
      </w:r>
      <w:bookmarkEnd w:id="18"/>
    </w:p>
    <w:p w:rsidR="00B9396E" w:rsidRPr="00CA090C" w:rsidRDefault="00B9396E" w:rsidP="00EA2439">
      <w:pPr>
        <w:ind w:firstLine="567"/>
        <w:rPr>
          <w:rFonts w:cs="Arial"/>
          <w:i/>
          <w:color w:val="0D0D0D"/>
          <w:sz w:val="18"/>
          <w:lang w:val="es-ES_tradnl"/>
        </w:rPr>
      </w:pPr>
    </w:p>
    <w:p w:rsidR="00B9396E" w:rsidRPr="006E5110" w:rsidRDefault="00B9396E" w:rsidP="00B76373">
      <w:pPr>
        <w:rPr>
          <w:rFonts w:cs="Arial"/>
          <w:color w:val="0D0D0D"/>
          <w:lang w:val="es-ES_tradnl"/>
        </w:rPr>
      </w:pPr>
      <w:r w:rsidRPr="00295010">
        <w:rPr>
          <w:rFonts w:cs="Arial"/>
          <w:color w:val="0D0D0D"/>
        </w:rPr>
        <w:fldChar w:fldCharType="begin"/>
      </w:r>
      <w:r w:rsidRPr="006E5110">
        <w:rPr>
          <w:rFonts w:cs="Arial"/>
          <w:color w:val="0D0D0D"/>
          <w:lang w:val="es-ES_tradnl"/>
        </w:rPr>
        <w:instrText xml:space="preserve"> AUTONUM  </w:instrText>
      </w:r>
      <w:r w:rsidRPr="00295010">
        <w:rPr>
          <w:rFonts w:cs="Arial"/>
          <w:color w:val="0D0D0D"/>
        </w:rPr>
        <w:fldChar w:fldCharType="end"/>
      </w:r>
      <w:r w:rsidRPr="006E5110">
        <w:rPr>
          <w:rFonts w:cs="Arial"/>
          <w:color w:val="0D0D0D"/>
          <w:lang w:val="es-ES_tradnl"/>
        </w:rPr>
        <w:tab/>
      </w:r>
      <w:r w:rsidRPr="008212EE">
        <w:rPr>
          <w:rFonts w:cs="Arial"/>
          <w:color w:val="0D0D0D"/>
          <w:lang w:val="es-ES_tradnl"/>
        </w:rPr>
        <w:t>En el documento TG/1/3 “Introducción general al examen de la distinción, la homogeneidad y la estabilidad y a la elaboración de descripciones armonizadas de las obtenciones vegetales” y en el documento TGP/7/3 “Elaboración de las directrices de examen” se ofrece orientación sobre líneas parentales en relación con las solicitudes correspondientes a variedades híbridas (véase</w:t>
      </w:r>
      <w:r w:rsidRPr="006E5110">
        <w:rPr>
          <w:rFonts w:cs="Arial"/>
          <w:color w:val="0D0D0D"/>
          <w:lang w:val="es-ES_tradnl"/>
        </w:rPr>
        <w:t xml:space="preserve"> </w:t>
      </w:r>
      <w:hyperlink r:id="rId11" w:history="1">
        <w:r w:rsidRPr="006E5110">
          <w:rPr>
            <w:rStyle w:val="Hyperlink"/>
            <w:rFonts w:cs="Arial"/>
            <w:lang w:val="es-ES_tradnl"/>
          </w:rPr>
          <w:t>http://www.upov.int/resource/es/dus_guidance.html</w:t>
        </w:r>
      </w:hyperlink>
      <w:r w:rsidRPr="006E5110">
        <w:rPr>
          <w:rFonts w:cs="Arial"/>
          <w:color w:val="0D0D0D"/>
          <w:lang w:val="es-ES_tradnl"/>
        </w:rPr>
        <w:t>).</w:t>
      </w:r>
    </w:p>
    <w:p w:rsidR="00B9396E" w:rsidRPr="006E5110" w:rsidRDefault="00B9396E" w:rsidP="00B76373">
      <w:pPr>
        <w:rPr>
          <w:rFonts w:cs="Arial"/>
          <w:color w:val="0D0D0D"/>
          <w:u w:val="single"/>
          <w:lang w:val="es-ES_tradnl"/>
        </w:rPr>
      </w:pPr>
    </w:p>
    <w:p w:rsidR="00B9396E" w:rsidRPr="006E5110" w:rsidRDefault="00B9396E" w:rsidP="00B76373">
      <w:pPr>
        <w:rPr>
          <w:rFonts w:cs="Arial"/>
          <w:color w:val="0D0D0D"/>
          <w:lang w:val="es-ES_tradnl"/>
        </w:rPr>
      </w:pPr>
      <w:r w:rsidRPr="008212EE">
        <w:rPr>
          <w:rFonts w:cs="Arial"/>
          <w:color w:val="0D0D0D"/>
          <w:lang w:val="es-ES_tradnl"/>
        </w:rPr>
        <w:t>[Extracto de la Introducción general]</w:t>
      </w:r>
    </w:p>
    <w:p w:rsidR="00B9396E" w:rsidRPr="006E5110" w:rsidRDefault="00B9396E" w:rsidP="00B76373">
      <w:pPr>
        <w:rPr>
          <w:rFonts w:cs="Arial"/>
          <w:color w:val="0D0D0D"/>
          <w:u w:val="single"/>
          <w:lang w:val="es-ES_tradnl"/>
        </w:rPr>
      </w:pPr>
    </w:p>
    <w:p w:rsidR="00B9396E" w:rsidRPr="006E5110" w:rsidRDefault="00B9396E" w:rsidP="00A86F1B">
      <w:pPr>
        <w:ind w:left="567"/>
        <w:rPr>
          <w:sz w:val="18"/>
          <w:u w:val="single"/>
          <w:lang w:val="es-ES_tradnl"/>
        </w:rPr>
      </w:pPr>
      <w:bookmarkStart w:id="19" w:name="_Toc498511374"/>
      <w:bookmarkStart w:id="20" w:name="_Toc7923422"/>
      <w:r w:rsidRPr="006E5110">
        <w:rPr>
          <w:lang w:val="es-ES_tradnl"/>
        </w:rPr>
        <w:t>“</w:t>
      </w:r>
      <w:r w:rsidRPr="006E5110">
        <w:rPr>
          <w:sz w:val="18"/>
          <w:u w:val="single"/>
          <w:lang w:val="es-ES_tradnl"/>
        </w:rPr>
        <w:t>7.3.2</w:t>
      </w:r>
      <w:r w:rsidRPr="006E5110">
        <w:rPr>
          <w:sz w:val="18"/>
          <w:u w:val="single"/>
          <w:lang w:val="es-ES_tradnl"/>
        </w:rPr>
        <w:tab/>
      </w:r>
      <w:bookmarkEnd w:id="19"/>
      <w:bookmarkEnd w:id="20"/>
      <w:r w:rsidRPr="008212EE">
        <w:rPr>
          <w:sz w:val="18"/>
          <w:u w:val="single"/>
          <w:lang w:val="es-ES_tradnl"/>
        </w:rPr>
        <w:t>Variedades híbridas</w:t>
      </w:r>
    </w:p>
    <w:p w:rsidR="00B9396E" w:rsidRPr="00CA090C" w:rsidRDefault="00B9396E" w:rsidP="004723F6">
      <w:pPr>
        <w:rPr>
          <w:sz w:val="16"/>
          <w:lang w:val="es-ES_tradnl"/>
        </w:rPr>
      </w:pPr>
    </w:p>
    <w:p w:rsidR="00B9396E" w:rsidRPr="006E5110" w:rsidRDefault="00B9396E" w:rsidP="004723F6">
      <w:pPr>
        <w:ind w:left="567" w:right="567"/>
        <w:rPr>
          <w:sz w:val="18"/>
          <w:szCs w:val="18"/>
          <w:lang w:val="es-ES_tradnl"/>
        </w:rPr>
      </w:pPr>
      <w:r w:rsidRPr="008212EE">
        <w:rPr>
          <w:sz w:val="18"/>
          <w:szCs w:val="18"/>
          <w:lang w:val="es-ES_tradnl"/>
        </w:rPr>
        <w:t>La estabilidad de una variedad híbrida podrá examinarse mediante un examen de la propia variedad híbrida y mediante un examen de la homogeneidad y la estabilidad de sus líneas parentales.</w:t>
      </w:r>
      <w:r w:rsidRPr="006E5110">
        <w:rPr>
          <w:sz w:val="18"/>
          <w:szCs w:val="18"/>
          <w:lang w:val="es-ES_tradnl"/>
        </w:rPr>
        <w:t>”</w:t>
      </w:r>
    </w:p>
    <w:p w:rsidR="00B9396E" w:rsidRPr="00CA090C" w:rsidRDefault="00B9396E" w:rsidP="00B76373">
      <w:pPr>
        <w:rPr>
          <w:rFonts w:cs="Arial"/>
          <w:color w:val="0D0D0D"/>
          <w:sz w:val="16"/>
          <w:u w:val="single"/>
          <w:lang w:val="es-ES_tradnl"/>
        </w:rPr>
      </w:pPr>
    </w:p>
    <w:p w:rsidR="00B9396E" w:rsidRPr="006E5110" w:rsidRDefault="00B9396E" w:rsidP="00B76373">
      <w:pPr>
        <w:rPr>
          <w:rFonts w:cs="Arial"/>
          <w:color w:val="0D0D0D"/>
          <w:lang w:val="es-ES_tradnl"/>
        </w:rPr>
      </w:pPr>
      <w:r w:rsidRPr="008212EE">
        <w:rPr>
          <w:rFonts w:cs="Arial"/>
          <w:color w:val="0D0D0D"/>
          <w:lang w:val="es-ES_tradnl"/>
        </w:rPr>
        <w:t>[Extractos del documento TGP/7/3]</w:t>
      </w:r>
    </w:p>
    <w:p w:rsidR="00B9396E" w:rsidRPr="006E5110" w:rsidRDefault="00B9396E" w:rsidP="00B76373">
      <w:pPr>
        <w:rPr>
          <w:rFonts w:cs="Arial"/>
          <w:color w:val="0D0D0D"/>
          <w:u w:val="single"/>
          <w:lang w:val="es-ES_tradnl"/>
        </w:rPr>
      </w:pPr>
    </w:p>
    <w:p w:rsidR="00B9396E" w:rsidRPr="006E5110" w:rsidRDefault="00B9396E" w:rsidP="00A86F1B">
      <w:pPr>
        <w:ind w:left="567"/>
        <w:rPr>
          <w:i/>
          <w:sz w:val="18"/>
          <w:u w:val="single"/>
          <w:lang w:val="es-ES_tradnl"/>
        </w:rPr>
      </w:pPr>
      <w:bookmarkStart w:id="21" w:name="_Toc309114863"/>
      <w:r w:rsidRPr="006E5110">
        <w:rPr>
          <w:lang w:val="es-ES_tradnl"/>
        </w:rPr>
        <w:t>“</w:t>
      </w:r>
      <w:r w:rsidRPr="008212EE">
        <w:rPr>
          <w:sz w:val="18"/>
          <w:u w:val="single"/>
          <w:lang w:val="es-ES_tradnl"/>
        </w:rPr>
        <w:t>ASW 7(a)  (Capítulo 4.1.1) – Distinción</w:t>
      </w:r>
      <w:proofErr w:type="gramStart"/>
      <w:r w:rsidRPr="008212EE">
        <w:rPr>
          <w:sz w:val="18"/>
          <w:u w:val="single"/>
          <w:lang w:val="es-ES_tradnl"/>
        </w:rPr>
        <w:t>:</w:t>
      </w:r>
      <w:r w:rsidRPr="006E5110">
        <w:rPr>
          <w:sz w:val="18"/>
          <w:u w:val="single"/>
          <w:lang w:val="es-ES_tradnl"/>
        </w:rPr>
        <w:t xml:space="preserve">  </w:t>
      </w:r>
      <w:bookmarkEnd w:id="21"/>
      <w:r w:rsidRPr="008212EE">
        <w:rPr>
          <w:sz w:val="18"/>
          <w:u w:val="single"/>
          <w:lang w:val="es-ES_tradnl"/>
        </w:rPr>
        <w:t>fórmula</w:t>
      </w:r>
      <w:proofErr w:type="gramEnd"/>
      <w:r w:rsidRPr="008212EE">
        <w:rPr>
          <w:sz w:val="18"/>
          <w:u w:val="single"/>
          <w:lang w:val="es-ES_tradnl"/>
        </w:rPr>
        <w:t xml:space="preserve"> parental</w:t>
      </w:r>
    </w:p>
    <w:p w:rsidR="00B9396E" w:rsidRPr="00CA090C" w:rsidRDefault="00B9396E" w:rsidP="001613B4">
      <w:pPr>
        <w:rPr>
          <w:sz w:val="16"/>
          <w:lang w:val="es-ES_tradnl"/>
        </w:rPr>
      </w:pPr>
    </w:p>
    <w:p w:rsidR="00B9396E" w:rsidRPr="006E5110" w:rsidRDefault="00B9396E" w:rsidP="001613B4">
      <w:pPr>
        <w:ind w:left="567" w:right="708"/>
        <w:rPr>
          <w:color w:val="000000"/>
          <w:sz w:val="18"/>
          <w:szCs w:val="18"/>
          <w:lang w:val="es-ES_tradnl"/>
        </w:rPr>
      </w:pPr>
      <w:r w:rsidRPr="008212EE">
        <w:rPr>
          <w:color w:val="000000"/>
          <w:sz w:val="18"/>
          <w:szCs w:val="18"/>
          <w:lang w:val="es-ES_tradnl"/>
        </w:rPr>
        <w:t>Para evaluar la distinción de los híbridos, se puede utilizar las líneas parentales y la fórmula, con arreglo a las siguientes recomendaciones:</w:t>
      </w:r>
    </w:p>
    <w:p w:rsidR="00B9396E" w:rsidRPr="00CA090C" w:rsidRDefault="00B9396E" w:rsidP="001613B4">
      <w:pPr>
        <w:ind w:left="567" w:right="708"/>
        <w:rPr>
          <w:color w:val="000000"/>
          <w:sz w:val="14"/>
          <w:szCs w:val="18"/>
          <w:lang w:val="es-ES_tradnl"/>
        </w:rPr>
      </w:pPr>
    </w:p>
    <w:p w:rsidR="00B9396E" w:rsidRPr="006E5110" w:rsidRDefault="00484DF9" w:rsidP="00484DF9">
      <w:pPr>
        <w:ind w:left="567" w:right="708"/>
        <w:rPr>
          <w:color w:val="000000"/>
          <w:sz w:val="18"/>
          <w:szCs w:val="18"/>
          <w:lang w:val="es-ES_tradnl"/>
        </w:rPr>
      </w:pPr>
      <w:r>
        <w:rPr>
          <w:color w:val="000000"/>
          <w:sz w:val="18"/>
          <w:szCs w:val="18"/>
          <w:lang w:val="es-ES_tradnl"/>
        </w:rPr>
        <w:t>i)</w:t>
      </w:r>
      <w:r>
        <w:rPr>
          <w:color w:val="000000"/>
          <w:sz w:val="18"/>
          <w:szCs w:val="18"/>
          <w:lang w:val="es-ES_tradnl"/>
        </w:rPr>
        <w:tab/>
      </w:r>
      <w:r w:rsidR="00B9396E" w:rsidRPr="008212EE">
        <w:rPr>
          <w:color w:val="000000"/>
          <w:sz w:val="18"/>
          <w:szCs w:val="18"/>
          <w:lang w:val="es-ES_tradnl"/>
        </w:rPr>
        <w:t>descripción de las líneas parentales con arreglo a las Directrices de examen;</w:t>
      </w:r>
    </w:p>
    <w:p w:rsidR="00B9396E" w:rsidRPr="00CA090C" w:rsidRDefault="00B9396E" w:rsidP="001613B4">
      <w:pPr>
        <w:ind w:left="567" w:right="708"/>
        <w:rPr>
          <w:color w:val="000000"/>
          <w:sz w:val="14"/>
          <w:szCs w:val="18"/>
          <w:lang w:val="es-ES_tradnl"/>
        </w:rPr>
      </w:pPr>
    </w:p>
    <w:p w:rsidR="00B9396E" w:rsidRPr="006E5110" w:rsidRDefault="00484DF9" w:rsidP="00484DF9">
      <w:pPr>
        <w:ind w:left="567" w:right="708"/>
        <w:rPr>
          <w:color w:val="000000"/>
          <w:sz w:val="18"/>
          <w:szCs w:val="18"/>
          <w:lang w:val="es-ES_tradnl"/>
        </w:rPr>
      </w:pPr>
      <w:r>
        <w:rPr>
          <w:color w:val="000000"/>
          <w:sz w:val="18"/>
          <w:szCs w:val="18"/>
          <w:lang w:val="es-ES_tradnl"/>
        </w:rPr>
        <w:t>ii)</w:t>
      </w:r>
      <w:r>
        <w:rPr>
          <w:color w:val="000000"/>
          <w:sz w:val="18"/>
          <w:szCs w:val="18"/>
          <w:lang w:val="es-ES_tradnl"/>
        </w:rPr>
        <w:tab/>
      </w:r>
      <w:r w:rsidR="00B9396E" w:rsidRPr="008212EE">
        <w:rPr>
          <w:color w:val="000000"/>
          <w:sz w:val="18"/>
          <w:szCs w:val="18"/>
          <w:lang w:val="es-ES_tradnl"/>
        </w:rPr>
        <w:t xml:space="preserve">comprobación de la originalidad de las líneas parentales por comparación con la colección de referencia, sobre la base de los caracteres indicados en el capítulo 7, con el fin de seleccionar las líneas </w:t>
      </w:r>
      <w:proofErr w:type="spellStart"/>
      <w:r w:rsidR="00B9396E" w:rsidRPr="008212EE">
        <w:rPr>
          <w:color w:val="000000"/>
          <w:sz w:val="18"/>
          <w:szCs w:val="18"/>
          <w:lang w:val="es-ES_tradnl"/>
        </w:rPr>
        <w:t>endógamas</w:t>
      </w:r>
      <w:proofErr w:type="spellEnd"/>
      <w:r w:rsidR="00B9396E" w:rsidRPr="008212EE">
        <w:rPr>
          <w:color w:val="000000"/>
          <w:sz w:val="18"/>
          <w:szCs w:val="18"/>
          <w:lang w:val="es-ES_tradnl"/>
        </w:rPr>
        <w:t xml:space="preserve"> más próximas;</w:t>
      </w:r>
    </w:p>
    <w:p w:rsidR="00B9396E" w:rsidRPr="00CA090C" w:rsidRDefault="00B9396E" w:rsidP="001613B4">
      <w:pPr>
        <w:ind w:left="567" w:right="708"/>
        <w:rPr>
          <w:color w:val="000000"/>
          <w:sz w:val="14"/>
          <w:szCs w:val="18"/>
          <w:lang w:val="es-ES_tradnl"/>
        </w:rPr>
      </w:pPr>
    </w:p>
    <w:p w:rsidR="00B9396E" w:rsidRPr="006E5110" w:rsidRDefault="00484DF9" w:rsidP="00484DF9">
      <w:pPr>
        <w:ind w:left="567" w:right="708"/>
        <w:rPr>
          <w:color w:val="000000"/>
          <w:sz w:val="18"/>
          <w:szCs w:val="18"/>
          <w:lang w:val="es-ES_tradnl"/>
        </w:rPr>
      </w:pPr>
      <w:r>
        <w:rPr>
          <w:color w:val="000000"/>
          <w:sz w:val="18"/>
          <w:szCs w:val="18"/>
          <w:lang w:val="es-ES_tradnl"/>
        </w:rPr>
        <w:t>iii)</w:t>
      </w:r>
      <w:r>
        <w:rPr>
          <w:color w:val="000000"/>
          <w:sz w:val="18"/>
          <w:szCs w:val="18"/>
          <w:lang w:val="es-ES_tradnl"/>
        </w:rPr>
        <w:tab/>
      </w:r>
      <w:r w:rsidR="00B9396E" w:rsidRPr="008212EE">
        <w:rPr>
          <w:color w:val="000000"/>
          <w:sz w:val="18"/>
          <w:szCs w:val="18"/>
          <w:lang w:val="es-ES_tradnl"/>
        </w:rPr>
        <w:t xml:space="preserve">comprobación de la originalidad de la fórmula de los híbridos por comparación con la de los híbridos notoriamente conocidos, teniendo en cuenta las líneas </w:t>
      </w:r>
      <w:proofErr w:type="spellStart"/>
      <w:r w:rsidR="00B9396E" w:rsidRPr="008212EE">
        <w:rPr>
          <w:color w:val="000000"/>
          <w:sz w:val="18"/>
          <w:szCs w:val="18"/>
          <w:lang w:val="es-ES_tradnl"/>
        </w:rPr>
        <w:t>endógamas</w:t>
      </w:r>
      <w:proofErr w:type="spellEnd"/>
      <w:r w:rsidR="00B9396E" w:rsidRPr="008212EE">
        <w:rPr>
          <w:color w:val="000000"/>
          <w:sz w:val="18"/>
          <w:szCs w:val="18"/>
          <w:lang w:val="es-ES_tradnl"/>
        </w:rPr>
        <w:t xml:space="preserve"> más próximas;</w:t>
      </w:r>
      <w:r w:rsidR="00B9396E" w:rsidRPr="006E5110">
        <w:rPr>
          <w:color w:val="000000"/>
          <w:sz w:val="18"/>
          <w:szCs w:val="18"/>
          <w:lang w:val="es-ES_tradnl"/>
        </w:rPr>
        <w:t xml:space="preserve">  </w:t>
      </w:r>
      <w:r w:rsidR="00B9396E" w:rsidRPr="00FA5F3D">
        <w:rPr>
          <w:sz w:val="18"/>
          <w:szCs w:val="18"/>
          <w:lang w:val="es-ES_tradnl"/>
        </w:rPr>
        <w:t>y</w:t>
      </w:r>
    </w:p>
    <w:p w:rsidR="00B9396E" w:rsidRPr="00CA090C" w:rsidRDefault="00B9396E" w:rsidP="001613B4">
      <w:pPr>
        <w:ind w:left="567" w:right="708"/>
        <w:rPr>
          <w:color w:val="000000"/>
          <w:sz w:val="14"/>
          <w:szCs w:val="18"/>
          <w:lang w:val="es-ES_tradnl"/>
        </w:rPr>
      </w:pPr>
    </w:p>
    <w:p w:rsidR="00B9396E" w:rsidRPr="006E5110" w:rsidRDefault="00484DF9" w:rsidP="00484DF9">
      <w:pPr>
        <w:ind w:left="567" w:right="708"/>
        <w:rPr>
          <w:color w:val="000000"/>
          <w:sz w:val="18"/>
          <w:szCs w:val="18"/>
          <w:lang w:val="es-ES_tradnl"/>
        </w:rPr>
      </w:pPr>
      <w:r>
        <w:rPr>
          <w:color w:val="000000"/>
          <w:sz w:val="18"/>
          <w:szCs w:val="18"/>
          <w:lang w:val="es-ES_tradnl"/>
        </w:rPr>
        <w:t>iv)</w:t>
      </w:r>
      <w:r>
        <w:rPr>
          <w:color w:val="000000"/>
          <w:sz w:val="18"/>
          <w:szCs w:val="18"/>
          <w:lang w:val="es-ES_tradnl"/>
        </w:rPr>
        <w:tab/>
      </w:r>
      <w:r w:rsidR="00B9396E" w:rsidRPr="008212EE">
        <w:rPr>
          <w:color w:val="000000"/>
          <w:sz w:val="18"/>
          <w:szCs w:val="18"/>
          <w:lang w:val="es-ES_tradnl"/>
        </w:rPr>
        <w:t>evaluación de la distinción en el nivel del híbrido en las variedades con una fórmula similar.</w:t>
      </w:r>
    </w:p>
    <w:p w:rsidR="00B9396E" w:rsidRPr="00CA090C" w:rsidRDefault="00B9396E" w:rsidP="001613B4">
      <w:pPr>
        <w:ind w:left="567" w:right="708"/>
        <w:rPr>
          <w:sz w:val="14"/>
          <w:szCs w:val="18"/>
          <w:lang w:val="es-ES_tradnl"/>
        </w:rPr>
      </w:pPr>
    </w:p>
    <w:p w:rsidR="00B9396E" w:rsidRPr="006E5110" w:rsidRDefault="00B9396E" w:rsidP="001613B4">
      <w:pPr>
        <w:ind w:left="567" w:right="708"/>
        <w:rPr>
          <w:color w:val="000000"/>
          <w:sz w:val="18"/>
          <w:szCs w:val="18"/>
          <w:lang w:val="es-ES_tradnl"/>
        </w:rPr>
      </w:pPr>
      <w:r w:rsidRPr="008212EE">
        <w:rPr>
          <w:sz w:val="18"/>
          <w:szCs w:val="18"/>
          <w:lang w:val="es-ES_tradnl"/>
        </w:rPr>
        <w:t>En los documentos TGP/9 “Examen de la distinción” y TGP/8 “Diseño de ensayos y técnicas utilizadas en el examen de la distinción, la homogeneidad y la estabilidad” se ofrecen más orientaciones.</w:t>
      </w:r>
      <w:r>
        <w:rPr>
          <w:sz w:val="18"/>
          <w:szCs w:val="18"/>
          <w:lang w:val="es-ES_tradnl"/>
        </w:rPr>
        <w:t>”</w:t>
      </w:r>
    </w:p>
    <w:p w:rsidR="00B9396E" w:rsidRPr="00CA090C" w:rsidRDefault="00B9396E" w:rsidP="001613B4">
      <w:pPr>
        <w:ind w:right="708"/>
        <w:rPr>
          <w:sz w:val="14"/>
          <w:szCs w:val="18"/>
          <w:lang w:val="es-ES_tradnl"/>
        </w:rPr>
      </w:pPr>
    </w:p>
    <w:p w:rsidR="00B9396E" w:rsidRPr="006E5110" w:rsidRDefault="00B9396E" w:rsidP="001613B4">
      <w:pPr>
        <w:ind w:right="708" w:firstLine="567"/>
        <w:rPr>
          <w:sz w:val="18"/>
          <w:szCs w:val="18"/>
          <w:lang w:val="es-ES_tradnl"/>
        </w:rPr>
      </w:pPr>
      <w:r w:rsidRPr="006E5110">
        <w:rPr>
          <w:sz w:val="18"/>
          <w:szCs w:val="18"/>
          <w:lang w:val="es-ES_tradnl"/>
        </w:rPr>
        <w:t>[…]</w:t>
      </w:r>
    </w:p>
    <w:p w:rsidR="00B9396E" w:rsidRPr="00CA090C" w:rsidRDefault="00B9396E" w:rsidP="001613B4">
      <w:pPr>
        <w:ind w:right="708"/>
        <w:rPr>
          <w:sz w:val="14"/>
          <w:szCs w:val="18"/>
          <w:lang w:val="es-ES_tradnl"/>
        </w:rPr>
      </w:pPr>
    </w:p>
    <w:p w:rsidR="00B9396E" w:rsidRPr="006E5110" w:rsidRDefault="00B9396E" w:rsidP="00A86F1B">
      <w:pPr>
        <w:ind w:left="567"/>
        <w:rPr>
          <w:i/>
          <w:sz w:val="18"/>
          <w:lang w:val="es-ES_tradnl"/>
        </w:rPr>
      </w:pPr>
      <w:bookmarkStart w:id="22" w:name="_Toc309114877"/>
      <w:r w:rsidRPr="006E5110">
        <w:rPr>
          <w:lang w:val="es-ES_tradnl"/>
        </w:rPr>
        <w:t>“</w:t>
      </w:r>
      <w:r w:rsidRPr="006E5110">
        <w:rPr>
          <w:i/>
          <w:sz w:val="18"/>
          <w:lang w:val="es-ES_tradnl"/>
        </w:rPr>
        <w:t>e)</w:t>
      </w:r>
      <w:r w:rsidRPr="006E5110">
        <w:rPr>
          <w:i/>
          <w:sz w:val="18"/>
          <w:lang w:val="es-ES_tradnl"/>
        </w:rPr>
        <w:tab/>
      </w:r>
      <w:bookmarkEnd w:id="22"/>
      <w:r w:rsidRPr="008212EE">
        <w:rPr>
          <w:i/>
          <w:sz w:val="18"/>
          <w:lang w:val="es-ES_tradnl"/>
        </w:rPr>
        <w:t>Evaluación de la homogeneidad cuando se aplica la fórmula parental</w:t>
      </w:r>
      <w:r w:rsidRPr="006E5110">
        <w:rPr>
          <w:i/>
          <w:sz w:val="18"/>
          <w:lang w:val="es-ES_tradnl"/>
        </w:rPr>
        <w:t xml:space="preserve"> </w:t>
      </w:r>
    </w:p>
    <w:p w:rsidR="00B9396E" w:rsidRPr="00CA090C" w:rsidRDefault="00B9396E" w:rsidP="001613B4">
      <w:pPr>
        <w:ind w:left="567" w:right="567"/>
        <w:rPr>
          <w:sz w:val="14"/>
          <w:szCs w:val="18"/>
          <w:lang w:val="es-ES_tradnl"/>
        </w:rPr>
      </w:pPr>
    </w:p>
    <w:p w:rsidR="00B9396E" w:rsidRPr="006E5110" w:rsidRDefault="00B9396E" w:rsidP="001613B4">
      <w:pPr>
        <w:ind w:left="567" w:right="567"/>
        <w:rPr>
          <w:sz w:val="18"/>
          <w:szCs w:val="18"/>
          <w:lang w:val="es-ES_tradnl"/>
        </w:rPr>
      </w:pPr>
      <w:r w:rsidRPr="008212EE">
        <w:rPr>
          <w:sz w:val="18"/>
          <w:szCs w:val="18"/>
          <w:lang w:val="es-ES_tradnl"/>
        </w:rPr>
        <w:t>Cuando en la evaluación se emplean las líneas parentales, la homogeneidad de un híbrido debe evaluarse mediante el examen de la homogeneidad de sus líneas parentales, además del examen del híbrido en sí.</w:t>
      </w:r>
      <w:r w:rsidRPr="006E5110">
        <w:rPr>
          <w:lang w:val="es-ES_tradnl"/>
        </w:rPr>
        <w:t>”</w:t>
      </w:r>
    </w:p>
    <w:p w:rsidR="00B9396E" w:rsidRPr="00CA090C" w:rsidRDefault="00B9396E" w:rsidP="001613B4">
      <w:pPr>
        <w:jc w:val="left"/>
        <w:rPr>
          <w:sz w:val="16"/>
          <w:lang w:val="es-ES_tradnl"/>
        </w:rPr>
      </w:pPr>
    </w:p>
    <w:p w:rsidR="00B9396E" w:rsidRPr="006E5110" w:rsidRDefault="00B9396E" w:rsidP="001613B4">
      <w:pPr>
        <w:ind w:right="708" w:firstLine="567"/>
        <w:rPr>
          <w:sz w:val="18"/>
          <w:szCs w:val="18"/>
          <w:lang w:val="es-ES_tradnl"/>
        </w:rPr>
      </w:pPr>
      <w:r w:rsidRPr="006E5110">
        <w:rPr>
          <w:sz w:val="18"/>
          <w:szCs w:val="18"/>
          <w:lang w:val="es-ES_tradnl"/>
        </w:rPr>
        <w:t>[…]</w:t>
      </w:r>
    </w:p>
    <w:p w:rsidR="00B9396E" w:rsidRPr="00CA090C" w:rsidRDefault="00B9396E" w:rsidP="001613B4">
      <w:pPr>
        <w:ind w:right="708"/>
        <w:rPr>
          <w:color w:val="000000"/>
          <w:sz w:val="14"/>
          <w:szCs w:val="18"/>
          <w:lang w:val="es-ES_tradnl"/>
        </w:rPr>
      </w:pPr>
    </w:p>
    <w:p w:rsidR="00B9396E" w:rsidRPr="006E5110" w:rsidRDefault="00B9396E" w:rsidP="00CA090C">
      <w:pPr>
        <w:keepNext/>
        <w:ind w:left="567" w:right="567"/>
        <w:rPr>
          <w:sz w:val="18"/>
          <w:u w:val="single"/>
          <w:lang w:val="es-ES_tradnl"/>
        </w:rPr>
      </w:pPr>
      <w:bookmarkStart w:id="23" w:name="_Toc309114882"/>
      <w:r w:rsidRPr="006E5110">
        <w:rPr>
          <w:lang w:val="es-ES_tradnl"/>
        </w:rPr>
        <w:t>“</w:t>
      </w:r>
      <w:r w:rsidRPr="00FA5F3D">
        <w:rPr>
          <w:sz w:val="18"/>
          <w:u w:val="single"/>
          <w:lang w:val="es-ES_tradnl"/>
        </w:rPr>
        <w:t>ASW 10 (Plantilla de los documentos TG</w:t>
      </w:r>
      <w:proofErr w:type="gramStart"/>
      <w:r w:rsidRPr="00FA5F3D">
        <w:rPr>
          <w:sz w:val="18"/>
          <w:u w:val="single"/>
          <w:lang w:val="es-ES_tradnl"/>
        </w:rPr>
        <w:t>:</w:t>
      </w:r>
      <w:r w:rsidRPr="006E5110">
        <w:rPr>
          <w:sz w:val="18"/>
          <w:u w:val="single"/>
          <w:lang w:val="es-ES_tradnl"/>
        </w:rPr>
        <w:t xml:space="preserve">  </w:t>
      </w:r>
      <w:r w:rsidRPr="008212EE">
        <w:rPr>
          <w:sz w:val="18"/>
          <w:u w:val="single"/>
          <w:lang w:val="es-ES_tradnl"/>
        </w:rPr>
        <w:t>Capítulo</w:t>
      </w:r>
      <w:proofErr w:type="gramEnd"/>
      <w:r w:rsidRPr="008212EE">
        <w:rPr>
          <w:sz w:val="18"/>
          <w:u w:val="single"/>
          <w:lang w:val="es-ES_tradnl"/>
        </w:rPr>
        <w:t> 4.3.3) – Evaluación de la estabilidad:</w:t>
      </w:r>
      <w:r w:rsidRPr="006E5110">
        <w:rPr>
          <w:sz w:val="18"/>
          <w:u w:val="single"/>
          <w:lang w:val="es-ES_tradnl"/>
        </w:rPr>
        <w:t xml:space="preserve">  </w:t>
      </w:r>
      <w:bookmarkEnd w:id="23"/>
      <w:r w:rsidRPr="00FA5F3D">
        <w:rPr>
          <w:sz w:val="18"/>
          <w:u w:val="single"/>
          <w:lang w:val="es-ES_tradnl"/>
        </w:rPr>
        <w:t>variedades híbridas</w:t>
      </w:r>
    </w:p>
    <w:p w:rsidR="00B9396E" w:rsidRPr="00CA090C" w:rsidRDefault="00B9396E" w:rsidP="00CA090C">
      <w:pPr>
        <w:keepNext/>
        <w:ind w:left="567" w:right="567"/>
        <w:rPr>
          <w:sz w:val="14"/>
          <w:szCs w:val="18"/>
          <w:lang w:val="es-ES_tradnl"/>
        </w:rPr>
      </w:pPr>
    </w:p>
    <w:p w:rsidR="00B9396E" w:rsidRPr="006E5110" w:rsidRDefault="00B9396E" w:rsidP="00CA090C">
      <w:pPr>
        <w:ind w:left="567" w:right="567"/>
        <w:rPr>
          <w:sz w:val="18"/>
          <w:szCs w:val="18"/>
          <w:lang w:val="es-ES_tradnl"/>
        </w:rPr>
      </w:pPr>
      <w:r w:rsidRPr="00FA5F3D">
        <w:rPr>
          <w:sz w:val="18"/>
          <w:szCs w:val="18"/>
          <w:lang w:val="es-ES_tradnl"/>
        </w:rPr>
        <w:t>Cuando corresponda, o en caso de duda, la estabilidad de una variedad híbrida podrá, además de evaluarse mediante un examen de la propia variedad híbrida, asimismo evaluarse mediante un examen de la homogeneidad y la estabilidad de sus líneas parentales.</w:t>
      </w:r>
      <w:r w:rsidRPr="006E5110">
        <w:rPr>
          <w:sz w:val="18"/>
          <w:szCs w:val="18"/>
          <w:lang w:val="es-ES_tradnl"/>
        </w:rPr>
        <w:t>”</w:t>
      </w:r>
    </w:p>
    <w:p w:rsidR="00B9396E" w:rsidRPr="00CA090C" w:rsidRDefault="00B9396E" w:rsidP="00CA090C">
      <w:pPr>
        <w:ind w:right="567"/>
        <w:rPr>
          <w:sz w:val="14"/>
          <w:szCs w:val="18"/>
          <w:lang w:val="es-ES_tradnl"/>
        </w:rPr>
      </w:pPr>
    </w:p>
    <w:p w:rsidR="00B9396E" w:rsidRPr="006E5110" w:rsidRDefault="00B9396E" w:rsidP="00CA090C">
      <w:pPr>
        <w:ind w:left="567" w:right="567"/>
        <w:rPr>
          <w:sz w:val="18"/>
          <w:szCs w:val="18"/>
          <w:lang w:val="es-ES_tradnl"/>
        </w:rPr>
      </w:pPr>
      <w:r w:rsidRPr="006E5110">
        <w:rPr>
          <w:sz w:val="18"/>
          <w:szCs w:val="18"/>
          <w:lang w:val="es-ES_tradnl"/>
        </w:rPr>
        <w:t>[…]</w:t>
      </w:r>
    </w:p>
    <w:p w:rsidR="00B9396E" w:rsidRPr="006E5110" w:rsidRDefault="00B9396E" w:rsidP="00CA090C">
      <w:pPr>
        <w:ind w:left="567" w:right="567"/>
        <w:rPr>
          <w:sz w:val="18"/>
          <w:szCs w:val="18"/>
          <w:lang w:val="es-ES_tradnl"/>
        </w:rPr>
      </w:pPr>
    </w:p>
    <w:p w:rsidR="00B9396E" w:rsidRPr="006E5110" w:rsidRDefault="00B9396E" w:rsidP="00CA090C">
      <w:pPr>
        <w:ind w:left="567" w:right="567"/>
        <w:rPr>
          <w:sz w:val="18"/>
          <w:u w:val="single"/>
          <w:lang w:val="es-ES_tradnl"/>
        </w:rPr>
      </w:pPr>
      <w:bookmarkStart w:id="24" w:name="_Toc27819153"/>
      <w:bookmarkStart w:id="25" w:name="_Toc27819334"/>
      <w:bookmarkStart w:id="26" w:name="_Toc27819515"/>
      <w:bookmarkStart w:id="27" w:name="_Toc309114888"/>
      <w:r w:rsidRPr="006E5110">
        <w:rPr>
          <w:lang w:val="es-ES_tradnl"/>
        </w:rPr>
        <w:t>“</w:t>
      </w:r>
      <w:r w:rsidRPr="00FA5F3D">
        <w:rPr>
          <w:sz w:val="18"/>
          <w:u w:val="single"/>
          <w:lang w:val="es-ES_tradnl"/>
        </w:rPr>
        <w:t>ASW 13 (Plantilla de los documentos TG</w:t>
      </w:r>
      <w:proofErr w:type="gramStart"/>
      <w:r w:rsidRPr="00FA5F3D">
        <w:rPr>
          <w:sz w:val="18"/>
          <w:u w:val="single"/>
          <w:lang w:val="es-ES_tradnl"/>
        </w:rPr>
        <w:t>:</w:t>
      </w:r>
      <w:r w:rsidRPr="006E5110">
        <w:rPr>
          <w:sz w:val="18"/>
          <w:u w:val="single"/>
          <w:lang w:val="es-ES_tradnl"/>
        </w:rPr>
        <w:t xml:space="preserve">  </w:t>
      </w:r>
      <w:r w:rsidRPr="00FA5F3D">
        <w:rPr>
          <w:sz w:val="18"/>
          <w:u w:val="single"/>
          <w:lang w:val="es-ES_tradnl"/>
        </w:rPr>
        <w:t>Capítulo</w:t>
      </w:r>
      <w:proofErr w:type="gramEnd"/>
      <w:r w:rsidRPr="00FA5F3D">
        <w:rPr>
          <w:sz w:val="18"/>
          <w:u w:val="single"/>
          <w:lang w:val="es-ES_tradnl"/>
        </w:rPr>
        <w:t> 10:</w:t>
      </w:r>
      <w:r w:rsidRPr="006E5110">
        <w:rPr>
          <w:sz w:val="18"/>
          <w:u w:val="single"/>
          <w:lang w:val="es-ES_tradnl"/>
        </w:rPr>
        <w:t xml:space="preserve">  </w:t>
      </w:r>
      <w:bookmarkEnd w:id="24"/>
      <w:bookmarkEnd w:id="25"/>
      <w:bookmarkEnd w:id="26"/>
      <w:bookmarkEnd w:id="27"/>
      <w:r w:rsidRPr="008212EE">
        <w:rPr>
          <w:sz w:val="18"/>
          <w:u w:val="single"/>
          <w:lang w:val="es-ES_tradnl"/>
        </w:rPr>
        <w:t>Título del Cuestionario Técnico (TQ)) – TQ para variedades híbridas</w:t>
      </w:r>
      <w:r w:rsidRPr="006E5110">
        <w:rPr>
          <w:sz w:val="18"/>
          <w:u w:val="single"/>
          <w:lang w:val="es-ES_tradnl"/>
        </w:rPr>
        <w:t xml:space="preserve"> </w:t>
      </w:r>
    </w:p>
    <w:p w:rsidR="00B9396E" w:rsidRPr="00CA090C" w:rsidRDefault="00B9396E" w:rsidP="00CA090C">
      <w:pPr>
        <w:ind w:left="567" w:right="567"/>
        <w:rPr>
          <w:sz w:val="14"/>
          <w:lang w:val="es-ES_tradnl"/>
        </w:rPr>
      </w:pPr>
    </w:p>
    <w:p w:rsidR="00B9396E" w:rsidRPr="006E5110" w:rsidRDefault="00B9396E" w:rsidP="00CA090C">
      <w:pPr>
        <w:ind w:left="567" w:right="567"/>
        <w:rPr>
          <w:sz w:val="18"/>
          <w:szCs w:val="18"/>
          <w:lang w:val="es-ES_tradnl"/>
        </w:rPr>
      </w:pPr>
      <w:r w:rsidRPr="008212EE">
        <w:rPr>
          <w:sz w:val="18"/>
          <w:szCs w:val="18"/>
          <w:lang w:val="es-ES_tradnl"/>
        </w:rPr>
        <w:t>En los casos en que puede aplicarse la fórmula parental para evaluar la distinción (véase ASW 7(a) (Capítulo 4.1.1)) – Distinción</w:t>
      </w:r>
      <w:proofErr w:type="gramStart"/>
      <w:r w:rsidRPr="008212EE">
        <w:rPr>
          <w:sz w:val="18"/>
          <w:szCs w:val="18"/>
          <w:lang w:val="es-ES_tradnl"/>
        </w:rPr>
        <w:t>:  fórmula</w:t>
      </w:r>
      <w:proofErr w:type="gramEnd"/>
      <w:r w:rsidRPr="008212EE">
        <w:rPr>
          <w:sz w:val="18"/>
          <w:szCs w:val="18"/>
          <w:lang w:val="es-ES_tradnl"/>
        </w:rPr>
        <w:t xml:space="preserve"> parental), puede añadirse la siguiente formulación:</w:t>
      </w:r>
    </w:p>
    <w:p w:rsidR="00B9396E" w:rsidRPr="00CA090C" w:rsidRDefault="00B9396E" w:rsidP="00CA090C">
      <w:pPr>
        <w:ind w:left="567" w:right="567"/>
        <w:rPr>
          <w:sz w:val="14"/>
          <w:szCs w:val="18"/>
          <w:lang w:val="es-ES_tradnl"/>
        </w:rPr>
      </w:pPr>
    </w:p>
    <w:p w:rsidR="00B9396E" w:rsidRPr="00CA090C" w:rsidRDefault="00B9396E" w:rsidP="00CA090C">
      <w:pPr>
        <w:ind w:left="567" w:right="567"/>
        <w:rPr>
          <w:spacing w:val="-2"/>
          <w:sz w:val="18"/>
          <w:szCs w:val="18"/>
          <w:lang w:val="es-ES_tradnl"/>
        </w:rPr>
      </w:pPr>
      <w:r w:rsidRPr="00CA090C">
        <w:rPr>
          <w:spacing w:val="-2"/>
          <w:lang w:val="es-ES_tradnl"/>
        </w:rPr>
        <w:t>“</w:t>
      </w:r>
      <w:r w:rsidRPr="00CA090C">
        <w:rPr>
          <w:spacing w:val="-2"/>
          <w:sz w:val="18"/>
          <w:szCs w:val="18"/>
          <w:lang w:val="es-ES_tradnl"/>
        </w:rPr>
        <w:t>En el caso de variedades híbridas que sean objeto de una solicitud de derechos de obtentor, y cuando las líneas parentales deban presentarse como parte del examen de dicha variedad, este Cuestionario Técnico deberá rellenarse para cada una de las líneas parentales, además de rellenarse para la variedad híbrida.”</w:t>
      </w:r>
    </w:p>
    <w:p w:rsidR="00B9396E" w:rsidRPr="006E5110" w:rsidRDefault="00B9396E" w:rsidP="00B76373">
      <w:pPr>
        <w:rPr>
          <w:rFonts w:cs="Arial"/>
          <w:color w:val="0D0D0D"/>
          <w:lang w:val="es-ES_tradnl"/>
        </w:rPr>
      </w:pPr>
    </w:p>
    <w:p w:rsidR="00B9396E" w:rsidRPr="006E5110" w:rsidRDefault="00B9396E" w:rsidP="00B76373">
      <w:pPr>
        <w:rPr>
          <w:rFonts w:cs="Arial"/>
          <w:color w:val="0D0D0D"/>
          <w:lang w:val="es-ES_tradnl"/>
        </w:rPr>
      </w:pPr>
      <w:r>
        <w:rPr>
          <w:rFonts w:cs="Arial"/>
          <w:color w:val="0D0D0D"/>
        </w:rPr>
        <w:lastRenderedPageBreak/>
        <w:fldChar w:fldCharType="begin"/>
      </w:r>
      <w:r w:rsidRPr="006E5110">
        <w:rPr>
          <w:rFonts w:cs="Arial"/>
          <w:color w:val="0D0D0D"/>
          <w:lang w:val="es-ES_tradnl"/>
        </w:rPr>
        <w:instrText xml:space="preserve"> AUTONUM  </w:instrText>
      </w:r>
      <w:r>
        <w:rPr>
          <w:rFonts w:cs="Arial"/>
          <w:color w:val="0D0D0D"/>
        </w:rPr>
        <w:fldChar w:fldCharType="end"/>
      </w:r>
      <w:r w:rsidRPr="006E5110">
        <w:rPr>
          <w:rFonts w:cs="Arial"/>
          <w:color w:val="0D0D0D"/>
          <w:lang w:val="es-ES_tradnl"/>
        </w:rPr>
        <w:tab/>
      </w:r>
      <w:r w:rsidRPr="008212EE">
        <w:rPr>
          <w:rFonts w:cs="Arial"/>
          <w:color w:val="0D0D0D"/>
          <w:lang w:val="es-ES_tradnl"/>
        </w:rPr>
        <w:t>Se sugiere al CAJ que considere si sería conveniente elaborar orientación adicional sobre líneas parentales en relación con las solicitudes correspondientes a variedades híbridas o incluir en el documento UPOV/INF/15 una referencia a la orientación existente sobre líneas parentales.</w:t>
      </w:r>
    </w:p>
    <w:p w:rsidR="00B9396E" w:rsidRPr="006E5110" w:rsidRDefault="00B9396E" w:rsidP="00B76373">
      <w:pPr>
        <w:rPr>
          <w:rFonts w:cs="Arial"/>
          <w:color w:val="0D0D0D"/>
          <w:lang w:val="es-ES_tradnl"/>
        </w:rPr>
      </w:pPr>
    </w:p>
    <w:p w:rsidR="00B9396E" w:rsidRPr="006E5110" w:rsidRDefault="00B9396E" w:rsidP="00C4212E">
      <w:pPr>
        <w:pStyle w:val="DecisionParagraphs"/>
        <w:keepNext/>
        <w:rPr>
          <w:snapToGrid w:val="0"/>
          <w:lang w:val="es-ES_tradnl"/>
        </w:rPr>
      </w:pPr>
      <w:r>
        <w:rPr>
          <w:snapToGrid w:val="0"/>
        </w:rPr>
        <w:fldChar w:fldCharType="begin"/>
      </w:r>
      <w:r w:rsidRPr="006E5110">
        <w:rPr>
          <w:snapToGrid w:val="0"/>
          <w:lang w:val="es-ES_tradnl"/>
        </w:rPr>
        <w:instrText xml:space="preserve"> AUTONUM  </w:instrText>
      </w:r>
      <w:r>
        <w:rPr>
          <w:snapToGrid w:val="0"/>
        </w:rPr>
        <w:fldChar w:fldCharType="end"/>
      </w:r>
      <w:r w:rsidRPr="006E5110">
        <w:rPr>
          <w:snapToGrid w:val="0"/>
          <w:lang w:val="es-ES_tradnl"/>
        </w:rPr>
        <w:tab/>
      </w:r>
      <w:r w:rsidRPr="00FA5F3D">
        <w:rPr>
          <w:snapToGrid w:val="0"/>
          <w:lang w:val="es-ES_tradnl"/>
        </w:rPr>
        <w:t>Se invita al CAJ a:</w:t>
      </w:r>
    </w:p>
    <w:p w:rsidR="00B9396E" w:rsidRPr="006E5110" w:rsidRDefault="00B9396E" w:rsidP="00C4212E">
      <w:pPr>
        <w:pStyle w:val="DecisionParagraphs"/>
        <w:keepNext/>
        <w:rPr>
          <w:snapToGrid w:val="0"/>
          <w:lang w:val="es-ES_tradnl"/>
        </w:rPr>
      </w:pPr>
    </w:p>
    <w:p w:rsidR="00B9396E" w:rsidRPr="006E5110" w:rsidRDefault="00B9396E" w:rsidP="00A20855">
      <w:pPr>
        <w:pStyle w:val="DecisionParagraphs"/>
        <w:tabs>
          <w:tab w:val="left" w:pos="5954"/>
        </w:tabs>
        <w:rPr>
          <w:rFonts w:cs="Arial"/>
          <w:color w:val="0D0D0D"/>
          <w:lang w:val="es-ES_tradnl"/>
        </w:rPr>
      </w:pPr>
      <w:r w:rsidRPr="006E5110">
        <w:rPr>
          <w:snapToGrid w:val="0"/>
          <w:lang w:val="es-ES_tradnl"/>
        </w:rPr>
        <w:tab/>
      </w:r>
      <w:r w:rsidRPr="00FA5F3D">
        <w:rPr>
          <w:snapToGrid w:val="0"/>
          <w:lang w:val="es-ES_tradnl"/>
        </w:rPr>
        <w:t>a)</w:t>
      </w:r>
      <w:r w:rsidRPr="006E5110">
        <w:rPr>
          <w:snapToGrid w:val="0"/>
          <w:lang w:val="es-ES_tradnl"/>
        </w:rPr>
        <w:tab/>
      </w:r>
      <w:r w:rsidRPr="008212EE">
        <w:rPr>
          <w:snapToGrid w:val="0"/>
          <w:lang w:val="es-ES_tradnl"/>
        </w:rPr>
        <w:t xml:space="preserve">tomar nota de la orientación </w:t>
      </w:r>
      <w:r w:rsidRPr="008212EE">
        <w:rPr>
          <w:rFonts w:cs="Arial"/>
          <w:color w:val="0D0D0D"/>
          <w:lang w:val="es-ES_tradnl"/>
        </w:rPr>
        <w:t xml:space="preserve">existente </w:t>
      </w:r>
      <w:r w:rsidRPr="008212EE">
        <w:rPr>
          <w:snapToGrid w:val="0"/>
          <w:lang w:val="es-ES_tradnl"/>
        </w:rPr>
        <w:t xml:space="preserve">sobre líneas parentales en relación con las solicitudes correspondientes a variedades híbridas, según consta en el </w:t>
      </w:r>
      <w:r w:rsidRPr="008212EE">
        <w:rPr>
          <w:rFonts w:cs="Arial"/>
          <w:color w:val="0D0D0D"/>
          <w:lang w:val="es-ES_tradnl"/>
        </w:rPr>
        <w:t>párrafo 16 del presente documento;</w:t>
      </w:r>
      <w:r w:rsidRPr="006E5110">
        <w:rPr>
          <w:rFonts w:cs="Arial"/>
          <w:color w:val="0D0D0D"/>
          <w:lang w:val="es-ES_tradnl"/>
        </w:rPr>
        <w:t xml:space="preserve">  </w:t>
      </w:r>
      <w:r w:rsidRPr="00FA5F3D">
        <w:rPr>
          <w:rFonts w:cs="Arial"/>
          <w:lang w:val="es-ES_tradnl"/>
        </w:rPr>
        <w:t>y</w:t>
      </w:r>
    </w:p>
    <w:p w:rsidR="00B9396E" w:rsidRPr="006E5110" w:rsidRDefault="00B9396E" w:rsidP="00A20855">
      <w:pPr>
        <w:pStyle w:val="DecisionParagraphs"/>
        <w:tabs>
          <w:tab w:val="left" w:pos="5954"/>
        </w:tabs>
        <w:ind w:left="0"/>
        <w:rPr>
          <w:rFonts w:cs="Arial"/>
          <w:color w:val="0D0D0D"/>
          <w:lang w:val="es-ES_tradnl"/>
        </w:rPr>
      </w:pPr>
    </w:p>
    <w:p w:rsidR="00B9396E" w:rsidRPr="006E5110" w:rsidRDefault="00B9396E" w:rsidP="00A20855">
      <w:pPr>
        <w:pStyle w:val="DecisionParagraphs"/>
        <w:tabs>
          <w:tab w:val="left" w:pos="5954"/>
        </w:tabs>
        <w:rPr>
          <w:rFonts w:cs="Arial"/>
          <w:color w:val="0D0D0D"/>
          <w:lang w:val="es-ES_tradnl"/>
        </w:rPr>
      </w:pPr>
      <w:r w:rsidRPr="006E5110">
        <w:rPr>
          <w:lang w:val="es-ES_tradnl"/>
        </w:rPr>
        <w:tab/>
      </w:r>
      <w:r w:rsidRPr="00FA5F3D">
        <w:rPr>
          <w:lang w:val="es-ES_tradnl"/>
        </w:rPr>
        <w:t>b)</w:t>
      </w:r>
      <w:r w:rsidRPr="006E5110">
        <w:rPr>
          <w:lang w:val="es-ES_tradnl"/>
        </w:rPr>
        <w:tab/>
      </w:r>
      <w:r w:rsidRPr="008212EE">
        <w:rPr>
          <w:lang w:val="es-ES_tradnl"/>
        </w:rPr>
        <w:t>considerar si sería conveniente elaborar orientación adicional sobre líneas parentales en relación con las solicitudes correspondientes a variedades híbridas o incluir en el documento UPOV/INF/15 una referencia a la orientación existente sobre líneas parentales.</w:t>
      </w:r>
    </w:p>
    <w:p w:rsidR="00B9396E" w:rsidRPr="006E5110" w:rsidRDefault="00B9396E" w:rsidP="006359A2">
      <w:pPr>
        <w:spacing w:line="360" w:lineRule="auto"/>
        <w:rPr>
          <w:lang w:val="es-ES_tradnl"/>
        </w:rPr>
      </w:pPr>
    </w:p>
    <w:p w:rsidR="00B9396E" w:rsidRPr="006E5110" w:rsidRDefault="00B9396E" w:rsidP="00C66028">
      <w:pPr>
        <w:pStyle w:val="Heading3"/>
        <w:rPr>
          <w:lang w:val="es-ES_tradnl"/>
        </w:rPr>
      </w:pPr>
      <w:bookmarkStart w:id="28" w:name="_Toc381102835"/>
      <w:bookmarkStart w:id="29" w:name="_Toc381102863"/>
      <w:bookmarkStart w:id="30" w:name="_Toc382404382"/>
      <w:r w:rsidRPr="00FA5F3D">
        <w:rPr>
          <w:lang w:val="es-ES_tradnl"/>
        </w:rPr>
        <w:t>b)</w:t>
      </w:r>
      <w:r w:rsidRPr="006E5110">
        <w:rPr>
          <w:lang w:val="es-ES_tradnl"/>
        </w:rPr>
        <w:tab/>
      </w:r>
      <w:bookmarkEnd w:id="28"/>
      <w:bookmarkEnd w:id="29"/>
      <w:r w:rsidRPr="008212EE">
        <w:rPr>
          <w:lang w:val="es-ES_tradnl"/>
        </w:rPr>
        <w:t>Disponibilidad e intercambio del material</w:t>
      </w:r>
      <w:bookmarkEnd w:id="30"/>
    </w:p>
    <w:p w:rsidR="00B9396E" w:rsidRPr="006E5110" w:rsidRDefault="00B9396E" w:rsidP="003B69A1">
      <w:pPr>
        <w:keepNext/>
        <w:rPr>
          <w:lang w:val="es-ES_tradnl"/>
        </w:rPr>
      </w:pPr>
    </w:p>
    <w:p w:rsidR="00B9396E" w:rsidRPr="006E5110" w:rsidRDefault="00B9396E" w:rsidP="00B76373">
      <w:pPr>
        <w:rPr>
          <w:rFonts w:cs="Arial"/>
          <w:i/>
          <w:color w:val="0C0C0C"/>
          <w:lang w:val="es-ES_tradnl"/>
        </w:rPr>
      </w:pPr>
      <w:r>
        <w:fldChar w:fldCharType="begin"/>
      </w:r>
      <w:r w:rsidRPr="006E5110">
        <w:rPr>
          <w:lang w:val="es-ES_tradnl"/>
        </w:rPr>
        <w:instrText xml:space="preserve"> AUTONUM  </w:instrText>
      </w:r>
      <w:r>
        <w:fldChar w:fldCharType="end"/>
      </w:r>
      <w:r w:rsidRPr="006E5110">
        <w:rPr>
          <w:lang w:val="es-ES_tradnl"/>
        </w:rPr>
        <w:tab/>
      </w:r>
      <w:r w:rsidRPr="008212EE">
        <w:rPr>
          <w:lang w:val="es-ES_tradnl"/>
        </w:rPr>
        <w:t>Los documentos siguientes contienen orientaciones acerca del material proporcionado por el obtentor a los fines del examen:</w:t>
      </w:r>
    </w:p>
    <w:p w:rsidR="00B9396E" w:rsidRPr="006E5110" w:rsidRDefault="00B9396E" w:rsidP="00EA2439">
      <w:pPr>
        <w:ind w:firstLine="567"/>
        <w:rPr>
          <w:rFonts w:cs="Arial"/>
          <w:i/>
          <w:color w:val="0C0C0C"/>
          <w:lang w:val="es-ES_tradnl"/>
        </w:rPr>
      </w:pPr>
    </w:p>
    <w:p w:rsidR="00B9396E" w:rsidRPr="006E5110" w:rsidRDefault="00B9396E" w:rsidP="00B76373">
      <w:pPr>
        <w:ind w:firstLine="567"/>
        <w:rPr>
          <w:snapToGrid w:val="0"/>
          <w:lang w:val="es-ES_tradnl"/>
        </w:rPr>
      </w:pPr>
      <w:r w:rsidRPr="00FA5F3D">
        <w:rPr>
          <w:snapToGrid w:val="0"/>
          <w:lang w:val="es-ES_tradnl"/>
        </w:rPr>
        <w:t>i)</w:t>
      </w:r>
      <w:r w:rsidRPr="006E5110">
        <w:rPr>
          <w:snapToGrid w:val="0"/>
          <w:lang w:val="es-ES_tradnl"/>
        </w:rPr>
        <w:tab/>
      </w:r>
      <w:r w:rsidRPr="008212EE">
        <w:rPr>
          <w:snapToGrid w:val="0"/>
          <w:lang w:val="es-ES_tradnl"/>
        </w:rPr>
        <w:t>TGP/5 “Experiencia y cooperación en el examen DHE”, Sección 11 “Ejemplos de políticas y contratos sobre el material presentado por el obtentor” (véanse a continuación los extractos pertinentes, que pueden consultarse también en</w:t>
      </w:r>
      <w:r w:rsidRPr="006E5110">
        <w:rPr>
          <w:snapToGrid w:val="0"/>
          <w:lang w:val="es-ES_tradnl"/>
        </w:rPr>
        <w:t xml:space="preserve"> </w:t>
      </w:r>
      <w:hyperlink r:id="rId12" w:history="1">
        <w:r w:rsidRPr="006E5110">
          <w:rPr>
            <w:rStyle w:val="Hyperlink"/>
            <w:snapToGrid w:val="0"/>
            <w:lang w:val="es-ES_tradnl"/>
          </w:rPr>
          <w:t>http://www.upov.int/tgp/es/</w:t>
        </w:r>
      </w:hyperlink>
      <w:r w:rsidRPr="006E5110">
        <w:rPr>
          <w:snapToGrid w:val="0"/>
          <w:lang w:val="es-ES_tradnl"/>
        </w:rPr>
        <w:t>).</w:t>
      </w:r>
    </w:p>
    <w:p w:rsidR="00B9396E" w:rsidRPr="006E5110" w:rsidRDefault="00B9396E" w:rsidP="00A80B59">
      <w:pPr>
        <w:ind w:left="567" w:right="567"/>
        <w:rPr>
          <w:snapToGrid w:val="0"/>
          <w:sz w:val="18"/>
          <w:szCs w:val="18"/>
          <w:lang w:val="es-ES_tradnl"/>
        </w:rPr>
      </w:pPr>
    </w:p>
    <w:p w:rsidR="00B9396E" w:rsidRPr="006E5110" w:rsidRDefault="00B9396E" w:rsidP="00A80B59">
      <w:pPr>
        <w:ind w:left="567" w:right="567"/>
        <w:rPr>
          <w:snapToGrid w:val="0"/>
          <w:sz w:val="18"/>
          <w:szCs w:val="18"/>
          <w:lang w:val="es-ES_tradnl"/>
        </w:rPr>
      </w:pPr>
      <w:r w:rsidRPr="006E5110">
        <w:rPr>
          <w:snapToGrid w:val="0"/>
          <w:sz w:val="18"/>
          <w:szCs w:val="18"/>
          <w:lang w:val="es-ES_tradnl"/>
        </w:rPr>
        <w:t>“1.3</w:t>
      </w:r>
      <w:r w:rsidRPr="006E5110">
        <w:rPr>
          <w:snapToGrid w:val="0"/>
          <w:sz w:val="18"/>
          <w:szCs w:val="18"/>
          <w:lang w:val="es-ES_tradnl"/>
        </w:rPr>
        <w:tab/>
      </w:r>
      <w:r w:rsidRPr="008212EE">
        <w:rPr>
          <w:snapToGrid w:val="0"/>
          <w:sz w:val="18"/>
          <w:szCs w:val="18"/>
          <w:lang w:val="es-ES_tradnl"/>
        </w:rPr>
        <w:t>En el presente documento [documento TGP/5, Sección 11] se ofrecen algunos modelos de políticas que aplican las autoridades para garantizar la protección de los intereses legítimos del obtentor.</w:t>
      </w:r>
      <w:r w:rsidRPr="006E5110">
        <w:rPr>
          <w:snapToGrid w:val="0"/>
          <w:sz w:val="18"/>
          <w:szCs w:val="18"/>
          <w:lang w:val="es-ES_tradnl"/>
        </w:rPr>
        <w:t>”</w:t>
      </w:r>
    </w:p>
    <w:p w:rsidR="00B9396E" w:rsidRPr="006E5110" w:rsidRDefault="00B9396E" w:rsidP="00A80B59">
      <w:pPr>
        <w:ind w:left="567" w:right="567"/>
        <w:rPr>
          <w:snapToGrid w:val="0"/>
          <w:sz w:val="18"/>
          <w:szCs w:val="18"/>
          <w:lang w:val="es-ES_tradnl"/>
        </w:rPr>
      </w:pPr>
      <w:r w:rsidRPr="006E5110">
        <w:rPr>
          <w:snapToGrid w:val="0"/>
          <w:sz w:val="18"/>
          <w:szCs w:val="18"/>
          <w:lang w:val="es-ES_tradnl"/>
        </w:rPr>
        <w:t xml:space="preserve"> […]</w:t>
      </w:r>
    </w:p>
    <w:p w:rsidR="00B9396E" w:rsidRPr="006E5110" w:rsidRDefault="00B9396E" w:rsidP="00A80B59">
      <w:pPr>
        <w:ind w:left="567" w:right="567"/>
        <w:rPr>
          <w:snapToGrid w:val="0"/>
          <w:sz w:val="18"/>
          <w:szCs w:val="18"/>
          <w:lang w:val="es-ES_tradnl"/>
        </w:rPr>
      </w:pPr>
    </w:p>
    <w:p w:rsidR="00B9396E" w:rsidRPr="006E5110" w:rsidRDefault="00B9396E" w:rsidP="00A80B59">
      <w:pPr>
        <w:ind w:left="567" w:right="567"/>
        <w:rPr>
          <w:snapToGrid w:val="0"/>
          <w:sz w:val="18"/>
          <w:szCs w:val="18"/>
          <w:lang w:val="es-ES_tradnl"/>
        </w:rPr>
      </w:pPr>
      <w:r w:rsidRPr="006E5110">
        <w:rPr>
          <w:snapToGrid w:val="0"/>
          <w:sz w:val="18"/>
          <w:szCs w:val="18"/>
          <w:lang w:val="es-ES_tradnl"/>
        </w:rPr>
        <w:t>“</w:t>
      </w:r>
      <w:r w:rsidRPr="008212EE">
        <w:rPr>
          <w:snapToGrid w:val="0"/>
          <w:sz w:val="18"/>
          <w:szCs w:val="18"/>
          <w:lang w:val="es-ES_tradnl"/>
        </w:rPr>
        <w:t xml:space="preserve">En el Anexo I al presente documento [documento TGP/5, Sección 11] se ofrece como modelo un contrato entre </w:t>
      </w:r>
      <w:proofErr w:type="spellStart"/>
      <w:r w:rsidRPr="008212EE">
        <w:rPr>
          <w:snapToGrid w:val="0"/>
          <w:sz w:val="18"/>
          <w:szCs w:val="18"/>
          <w:lang w:val="es-ES_tradnl"/>
        </w:rPr>
        <w:t>Seminis</w:t>
      </w:r>
      <w:proofErr w:type="spellEnd"/>
      <w:r w:rsidRPr="008212EE">
        <w:rPr>
          <w:snapToGrid w:val="0"/>
          <w:sz w:val="18"/>
          <w:szCs w:val="18"/>
          <w:lang w:val="es-ES_tradnl"/>
        </w:rPr>
        <w:t xml:space="preserve"> </w:t>
      </w:r>
      <w:r w:rsidRPr="006E5110">
        <w:rPr>
          <w:snapToGrid w:val="0"/>
          <w:sz w:val="18"/>
          <w:szCs w:val="18"/>
          <w:lang w:val="es-ES_tradnl"/>
        </w:rPr>
        <w:t xml:space="preserve">Vegetable </w:t>
      </w:r>
      <w:proofErr w:type="spellStart"/>
      <w:r w:rsidRPr="006E5110">
        <w:rPr>
          <w:snapToGrid w:val="0"/>
          <w:sz w:val="18"/>
          <w:szCs w:val="18"/>
          <w:lang w:val="es-ES_tradnl"/>
        </w:rPr>
        <w:t>Seeds</w:t>
      </w:r>
      <w:proofErr w:type="spellEnd"/>
      <w:r w:rsidRPr="008212EE">
        <w:rPr>
          <w:snapToGrid w:val="0"/>
          <w:sz w:val="18"/>
          <w:szCs w:val="18"/>
          <w:lang w:val="es-ES_tradnl"/>
        </w:rPr>
        <w:t>, Inc. y IP Australia.</w:t>
      </w:r>
      <w:r w:rsidRPr="006E5110">
        <w:rPr>
          <w:snapToGrid w:val="0"/>
          <w:sz w:val="18"/>
          <w:szCs w:val="18"/>
          <w:lang w:val="es-ES_tradnl"/>
        </w:rPr>
        <w:t>”</w:t>
      </w:r>
    </w:p>
    <w:p w:rsidR="00B9396E" w:rsidRPr="006E5110" w:rsidRDefault="00B9396E" w:rsidP="00A80B59">
      <w:pPr>
        <w:ind w:left="567" w:right="567"/>
        <w:rPr>
          <w:snapToGrid w:val="0"/>
          <w:sz w:val="18"/>
          <w:szCs w:val="18"/>
          <w:lang w:val="es-ES_tradnl"/>
        </w:rPr>
      </w:pPr>
    </w:p>
    <w:p w:rsidR="00B9396E" w:rsidRPr="006E5110" w:rsidRDefault="00B9396E" w:rsidP="00A80B59">
      <w:pPr>
        <w:ind w:left="567" w:right="567"/>
        <w:rPr>
          <w:snapToGrid w:val="0"/>
          <w:sz w:val="18"/>
          <w:szCs w:val="18"/>
          <w:lang w:val="es-ES_tradnl"/>
        </w:rPr>
      </w:pPr>
      <w:r w:rsidRPr="006E5110">
        <w:rPr>
          <w:snapToGrid w:val="0"/>
          <w:sz w:val="18"/>
          <w:szCs w:val="18"/>
          <w:lang w:val="es-ES_tradnl"/>
        </w:rPr>
        <w:t>“</w:t>
      </w:r>
      <w:r w:rsidRPr="008212EE">
        <w:rPr>
          <w:snapToGrid w:val="0"/>
          <w:sz w:val="18"/>
          <w:szCs w:val="18"/>
          <w:lang w:val="es-ES_tradnl"/>
        </w:rPr>
        <w:t>En el Anexo II al presente documento se expone la política de la Oficina Comunitaria de Variedades Vegetales (OCVV) de la Unión Europea sobre el material vegetal que se presenta a los efectos del examen DHE en el marco de las solicitudes de protección comunitaria de obtención vegetal.</w:t>
      </w:r>
      <w:r w:rsidRPr="006E5110">
        <w:rPr>
          <w:snapToGrid w:val="0"/>
          <w:sz w:val="18"/>
          <w:szCs w:val="18"/>
          <w:lang w:val="es-ES_tradnl"/>
        </w:rPr>
        <w:t>”</w:t>
      </w:r>
    </w:p>
    <w:p w:rsidR="00B9396E" w:rsidRPr="006E5110" w:rsidRDefault="00B9396E" w:rsidP="00A80B59">
      <w:pPr>
        <w:ind w:left="567" w:right="567"/>
        <w:rPr>
          <w:snapToGrid w:val="0"/>
          <w:sz w:val="18"/>
          <w:szCs w:val="18"/>
          <w:lang w:val="es-ES_tradnl"/>
        </w:rPr>
      </w:pPr>
    </w:p>
    <w:p w:rsidR="00B9396E" w:rsidRPr="006E5110" w:rsidRDefault="00B9396E" w:rsidP="008A2480">
      <w:pPr>
        <w:ind w:firstLine="567"/>
        <w:rPr>
          <w:snapToGrid w:val="0"/>
          <w:lang w:val="es-ES_tradnl"/>
        </w:rPr>
      </w:pPr>
      <w:r w:rsidRPr="00FA5F3D">
        <w:rPr>
          <w:snapToGrid w:val="0"/>
          <w:lang w:val="es-ES_tradnl"/>
        </w:rPr>
        <w:t>ii)</w:t>
      </w:r>
      <w:r w:rsidRPr="006E5110">
        <w:rPr>
          <w:snapToGrid w:val="0"/>
          <w:lang w:val="es-ES_tradnl"/>
        </w:rPr>
        <w:tab/>
      </w:r>
      <w:r w:rsidRPr="008212EE">
        <w:rPr>
          <w:snapToGrid w:val="0"/>
          <w:lang w:val="es-ES_tradnl"/>
        </w:rPr>
        <w:t>TGP/4 “</w:t>
      </w:r>
      <w:r w:rsidRPr="008212EE">
        <w:rPr>
          <w:lang w:val="es-ES_tradnl"/>
        </w:rPr>
        <w:t>Constitución y mantenimiento de las colecciones de variedades</w:t>
      </w:r>
      <w:r w:rsidRPr="008212EE">
        <w:rPr>
          <w:snapToGrid w:val="0"/>
          <w:lang w:val="es-ES_tradnl"/>
        </w:rPr>
        <w:t>”, Sección 3.1.2 “Material vegetal vivo”.</w:t>
      </w:r>
      <w:r w:rsidRPr="006E5110">
        <w:rPr>
          <w:snapToGrid w:val="0"/>
          <w:lang w:val="es-ES_tradnl"/>
        </w:rPr>
        <w:t xml:space="preserve"> </w:t>
      </w:r>
    </w:p>
    <w:p w:rsidR="00B9396E" w:rsidRPr="006E5110" w:rsidRDefault="00B9396E" w:rsidP="003B69A1">
      <w:pPr>
        <w:ind w:firstLine="567"/>
        <w:rPr>
          <w:snapToGrid w:val="0"/>
          <w:lang w:val="es-ES_tradnl"/>
        </w:rPr>
      </w:pPr>
    </w:p>
    <w:p w:rsidR="00B9396E" w:rsidRPr="006E5110" w:rsidRDefault="00B9396E" w:rsidP="003B69A1">
      <w:pPr>
        <w:ind w:left="567" w:right="567"/>
        <w:rPr>
          <w:snapToGrid w:val="0"/>
          <w:sz w:val="18"/>
          <w:szCs w:val="18"/>
          <w:lang w:val="es-ES_tradnl"/>
        </w:rPr>
      </w:pPr>
      <w:r w:rsidRPr="006E5110">
        <w:rPr>
          <w:snapToGrid w:val="0"/>
          <w:sz w:val="18"/>
          <w:szCs w:val="18"/>
          <w:lang w:val="es-ES_tradnl"/>
        </w:rPr>
        <w:t xml:space="preserve">“3.1.2.2.2 </w:t>
      </w:r>
      <w:r w:rsidRPr="008212EE">
        <w:rPr>
          <w:snapToGrid w:val="0"/>
          <w:sz w:val="18"/>
          <w:szCs w:val="18"/>
          <w:lang w:val="es-ES_tradnl"/>
        </w:rPr>
        <w:t>A efectos del examen DHE, la UPOV promueve la cooperación entre los colectores de variedades (véase la sección 3.2), en particular, el intercambio de información y de material vegetal vivo para el examen de la distinción.</w:t>
      </w:r>
      <w:r w:rsidRPr="006E5110">
        <w:rPr>
          <w:snapToGrid w:val="0"/>
          <w:sz w:val="18"/>
          <w:szCs w:val="18"/>
          <w:lang w:val="es-ES_tradnl"/>
        </w:rPr>
        <w:t xml:space="preserve">  </w:t>
      </w:r>
      <w:r w:rsidRPr="008212EE">
        <w:rPr>
          <w:snapToGrid w:val="0"/>
          <w:sz w:val="18"/>
          <w:szCs w:val="18"/>
          <w:lang w:val="es-ES_tradnl"/>
        </w:rPr>
        <w:t>No obstante, en el caso particular de las líneas parentales presentadas como parte del examen de una variedad híbrida candidata, el material vegetal vivo se pondrá a disposición de otros colectores de variedades únicamente de forma que se protejan los intereses legítimos del obtentor.</w:t>
      </w:r>
      <w:r w:rsidRPr="006E5110">
        <w:rPr>
          <w:snapToGrid w:val="0"/>
          <w:sz w:val="18"/>
          <w:szCs w:val="18"/>
          <w:lang w:val="es-ES_tradnl"/>
        </w:rPr>
        <w:t xml:space="preserve">  </w:t>
      </w:r>
      <w:r w:rsidRPr="008212EE">
        <w:rPr>
          <w:snapToGrid w:val="0"/>
          <w:sz w:val="18"/>
          <w:szCs w:val="18"/>
          <w:lang w:val="es-ES_tradnl"/>
        </w:rPr>
        <w:t>En el documento TGP/5, “Experiencia y cooperación en el examen DHE”, figuran ejemplos de políticas y contratos sobre el material presentado por el obtentor.</w:t>
      </w:r>
      <w:r w:rsidRPr="006E5110">
        <w:rPr>
          <w:snapToGrid w:val="0"/>
          <w:sz w:val="18"/>
          <w:szCs w:val="18"/>
          <w:lang w:val="es-ES_tradnl"/>
        </w:rPr>
        <w:t>”</w:t>
      </w:r>
    </w:p>
    <w:p w:rsidR="00B9396E" w:rsidRPr="006E5110" w:rsidRDefault="00B9396E" w:rsidP="003B69A1">
      <w:pPr>
        <w:rPr>
          <w:snapToGrid w:val="0"/>
          <w:lang w:val="es-ES_tradnl"/>
        </w:rPr>
      </w:pPr>
    </w:p>
    <w:p w:rsidR="00B9396E" w:rsidRPr="006E5110" w:rsidRDefault="00B9396E" w:rsidP="003B69A1">
      <w:pPr>
        <w:ind w:firstLine="567"/>
        <w:rPr>
          <w:snapToGrid w:val="0"/>
          <w:lang w:val="es-ES_tradnl"/>
        </w:rPr>
      </w:pPr>
      <w:r w:rsidRPr="00FA5F3D">
        <w:rPr>
          <w:snapToGrid w:val="0"/>
          <w:lang w:val="es-ES_tradnl"/>
        </w:rPr>
        <w:t>iii)</w:t>
      </w:r>
      <w:r w:rsidRPr="006E5110">
        <w:rPr>
          <w:snapToGrid w:val="0"/>
          <w:lang w:val="es-ES_tradnl"/>
        </w:rPr>
        <w:tab/>
      </w:r>
      <w:r w:rsidRPr="008212EE">
        <w:rPr>
          <w:snapToGrid w:val="0"/>
          <w:lang w:val="es-ES_tradnl"/>
        </w:rPr>
        <w:t>TGP/5 “Experiencia y cooperación en el examen DHE”, Sección 1 “Acuerdo administrativo tipo de cooperación internacional en el examen de las obtenciones vegetales”, Artículo 4.</w:t>
      </w:r>
    </w:p>
    <w:p w:rsidR="00B9396E" w:rsidRPr="006E5110" w:rsidRDefault="00B9396E" w:rsidP="003B69A1">
      <w:pPr>
        <w:rPr>
          <w:snapToGrid w:val="0"/>
          <w:lang w:val="es-ES_tradnl"/>
        </w:rPr>
      </w:pPr>
    </w:p>
    <w:p w:rsidR="00B9396E" w:rsidRPr="006E5110" w:rsidRDefault="00B9396E" w:rsidP="00A80B59">
      <w:pPr>
        <w:ind w:left="567" w:right="567"/>
        <w:rPr>
          <w:sz w:val="18"/>
          <w:szCs w:val="18"/>
          <w:lang w:val="es-ES_tradnl"/>
        </w:rPr>
      </w:pPr>
      <w:r w:rsidRPr="006E5110">
        <w:rPr>
          <w:sz w:val="18"/>
          <w:szCs w:val="18"/>
          <w:lang w:val="es-ES_tradnl"/>
        </w:rPr>
        <w:t>“</w:t>
      </w:r>
      <w:r w:rsidRPr="00FA5F3D">
        <w:rPr>
          <w:sz w:val="18"/>
          <w:szCs w:val="18"/>
          <w:u w:val="single"/>
          <w:lang w:val="es-ES_tradnl"/>
        </w:rPr>
        <w:t>Artículo 4</w:t>
      </w:r>
    </w:p>
    <w:p w:rsidR="00B9396E" w:rsidRPr="006E5110" w:rsidRDefault="00B9396E" w:rsidP="00A80B59">
      <w:pPr>
        <w:ind w:left="567" w:right="567"/>
        <w:rPr>
          <w:sz w:val="18"/>
          <w:szCs w:val="18"/>
          <w:lang w:val="es-ES_tradnl"/>
        </w:rPr>
      </w:pPr>
    </w:p>
    <w:p w:rsidR="00B9396E" w:rsidRPr="006E5110" w:rsidRDefault="00B9396E" w:rsidP="00A80B59">
      <w:pPr>
        <w:ind w:left="567" w:right="707"/>
        <w:rPr>
          <w:sz w:val="18"/>
          <w:szCs w:val="18"/>
          <w:lang w:val="es-ES_tradnl"/>
        </w:rPr>
      </w:pPr>
      <w:r w:rsidRPr="006E5110">
        <w:rPr>
          <w:sz w:val="18"/>
          <w:szCs w:val="18"/>
          <w:lang w:val="es-ES_tradnl"/>
        </w:rPr>
        <w:t>1)</w:t>
      </w:r>
      <w:r w:rsidRPr="006E5110">
        <w:rPr>
          <w:sz w:val="18"/>
          <w:szCs w:val="18"/>
          <w:lang w:val="es-ES_tradnl"/>
        </w:rPr>
        <w:tab/>
      </w:r>
      <w:r w:rsidRPr="008212EE">
        <w:rPr>
          <w:sz w:val="18"/>
          <w:szCs w:val="18"/>
          <w:lang w:val="es-ES_tradnl"/>
        </w:rPr>
        <w:t>Las autoridades deberán adoptar todas las medidas necesarias para salvaguardar los derechos del solicitante.</w:t>
      </w:r>
    </w:p>
    <w:p w:rsidR="00B9396E" w:rsidRPr="006E5110" w:rsidRDefault="00B9396E" w:rsidP="00A80B59">
      <w:pPr>
        <w:ind w:left="567" w:right="707"/>
        <w:rPr>
          <w:sz w:val="18"/>
          <w:szCs w:val="18"/>
          <w:lang w:val="es-ES_tradnl"/>
        </w:rPr>
      </w:pPr>
    </w:p>
    <w:p w:rsidR="00B9396E" w:rsidRPr="006E5110" w:rsidRDefault="00B9396E" w:rsidP="00A80B59">
      <w:pPr>
        <w:ind w:left="567" w:right="707"/>
        <w:rPr>
          <w:sz w:val="18"/>
          <w:szCs w:val="18"/>
          <w:lang w:val="es-ES_tradnl"/>
        </w:rPr>
      </w:pPr>
      <w:r w:rsidRPr="006E5110">
        <w:rPr>
          <w:sz w:val="18"/>
          <w:szCs w:val="18"/>
          <w:lang w:val="es-ES_tradnl"/>
        </w:rPr>
        <w:t>2)</w:t>
      </w:r>
      <w:r w:rsidRPr="006E5110">
        <w:rPr>
          <w:sz w:val="18"/>
          <w:szCs w:val="18"/>
          <w:lang w:val="es-ES_tradnl"/>
        </w:rPr>
        <w:tab/>
      </w:r>
      <w:r w:rsidRPr="008212EE">
        <w:rPr>
          <w:sz w:val="18"/>
          <w:szCs w:val="18"/>
          <w:lang w:val="es-ES_tradnl"/>
        </w:rPr>
        <w:t>Salvo autorización expresa de la autoridad receptora y del solicitante, la autoridad prestataria se abstendrá de transmitir a terceros cualquier material relacionado con variedades vegetales cuyo examen se haya solicitado.</w:t>
      </w:r>
    </w:p>
    <w:p w:rsidR="00B9396E" w:rsidRPr="006E5110" w:rsidRDefault="00B9396E" w:rsidP="00A80B59">
      <w:pPr>
        <w:ind w:left="567" w:right="707"/>
        <w:rPr>
          <w:sz w:val="18"/>
          <w:szCs w:val="18"/>
          <w:lang w:val="es-ES_tradnl"/>
        </w:rPr>
      </w:pPr>
    </w:p>
    <w:p w:rsidR="00B9396E" w:rsidRPr="006E5110" w:rsidRDefault="00B9396E" w:rsidP="00A80B59">
      <w:pPr>
        <w:ind w:left="567" w:right="707"/>
        <w:rPr>
          <w:sz w:val="18"/>
          <w:szCs w:val="18"/>
          <w:lang w:val="es-ES_tradnl"/>
        </w:rPr>
      </w:pPr>
      <w:r w:rsidRPr="006E5110">
        <w:rPr>
          <w:sz w:val="18"/>
          <w:szCs w:val="18"/>
          <w:lang w:val="es-ES_tradnl"/>
        </w:rPr>
        <w:t>3)</w:t>
      </w:r>
      <w:r w:rsidRPr="006E5110">
        <w:rPr>
          <w:sz w:val="18"/>
          <w:szCs w:val="18"/>
          <w:lang w:val="es-ES_tradnl"/>
        </w:rPr>
        <w:tab/>
      </w:r>
      <w:r w:rsidRPr="008212EE">
        <w:rPr>
          <w:sz w:val="18"/>
          <w:szCs w:val="18"/>
          <w:lang w:val="es-ES_tradnl"/>
        </w:rPr>
        <w:t>El acceso a los documentos y a las parcelas de prueba sólo estará permitido a:</w:t>
      </w:r>
    </w:p>
    <w:p w:rsidR="00B9396E" w:rsidRPr="006E5110" w:rsidRDefault="00B9396E" w:rsidP="00A80B59">
      <w:pPr>
        <w:ind w:left="567" w:right="707"/>
        <w:rPr>
          <w:sz w:val="18"/>
          <w:szCs w:val="18"/>
          <w:lang w:val="es-ES_tradnl"/>
        </w:rPr>
      </w:pPr>
    </w:p>
    <w:p w:rsidR="00B9396E" w:rsidRPr="006E5110" w:rsidRDefault="00B9396E" w:rsidP="00A80B59">
      <w:pPr>
        <w:ind w:left="567" w:right="707" w:firstLine="567"/>
        <w:rPr>
          <w:sz w:val="18"/>
          <w:szCs w:val="18"/>
          <w:lang w:val="es-ES_tradnl"/>
        </w:rPr>
      </w:pPr>
      <w:r w:rsidRPr="00FA5F3D">
        <w:rPr>
          <w:sz w:val="18"/>
          <w:szCs w:val="18"/>
          <w:lang w:val="es-ES_tradnl"/>
        </w:rPr>
        <w:t>i)</w:t>
      </w:r>
      <w:r w:rsidRPr="006E5110">
        <w:rPr>
          <w:sz w:val="18"/>
          <w:szCs w:val="18"/>
          <w:lang w:val="es-ES_tradnl"/>
        </w:rPr>
        <w:tab/>
      </w:r>
      <w:r w:rsidRPr="008212EE">
        <w:rPr>
          <w:sz w:val="18"/>
          <w:szCs w:val="18"/>
          <w:lang w:val="es-ES_tradnl"/>
        </w:rPr>
        <w:t>la autoridad receptora, el solicitante y cualquier otra persona debidamente autorizada;</w:t>
      </w:r>
    </w:p>
    <w:p w:rsidR="00B9396E" w:rsidRPr="006E5110" w:rsidRDefault="00B9396E" w:rsidP="00A80B59">
      <w:pPr>
        <w:numPr>
          <w:ilvl w:val="12"/>
          <w:numId w:val="0"/>
        </w:numPr>
        <w:ind w:left="567" w:right="707"/>
        <w:rPr>
          <w:sz w:val="14"/>
          <w:szCs w:val="18"/>
          <w:lang w:val="es-ES_tradnl"/>
        </w:rPr>
      </w:pPr>
    </w:p>
    <w:p w:rsidR="00B9396E" w:rsidRPr="006E5110" w:rsidRDefault="00B9396E" w:rsidP="00A80B59">
      <w:pPr>
        <w:ind w:left="567" w:right="707" w:firstLine="567"/>
        <w:rPr>
          <w:sz w:val="18"/>
          <w:szCs w:val="18"/>
          <w:lang w:val="es-ES_tradnl"/>
        </w:rPr>
      </w:pPr>
      <w:r w:rsidRPr="00FA5F3D">
        <w:rPr>
          <w:sz w:val="18"/>
          <w:szCs w:val="18"/>
          <w:lang w:val="es-ES_tradnl"/>
        </w:rPr>
        <w:lastRenderedPageBreak/>
        <w:t>ii)</w:t>
      </w:r>
      <w:r w:rsidRPr="006E5110">
        <w:rPr>
          <w:sz w:val="18"/>
          <w:szCs w:val="18"/>
          <w:lang w:val="es-ES_tradnl"/>
        </w:rPr>
        <w:tab/>
      </w:r>
      <w:r w:rsidRPr="008212EE">
        <w:rPr>
          <w:sz w:val="18"/>
          <w:szCs w:val="18"/>
          <w:lang w:val="es-ES_tradnl"/>
        </w:rPr>
        <w:t>el personal de la institución encargada del examen y los expertos especialmente designados, obligados al secreto profesional en el desempeño de sus funciones públicas.</w:t>
      </w:r>
      <w:r w:rsidRPr="006E5110">
        <w:rPr>
          <w:sz w:val="18"/>
          <w:szCs w:val="18"/>
          <w:lang w:val="es-ES_tradnl"/>
        </w:rPr>
        <w:t xml:space="preserve">  </w:t>
      </w:r>
      <w:r w:rsidRPr="008212EE">
        <w:rPr>
          <w:sz w:val="18"/>
          <w:szCs w:val="18"/>
          <w:lang w:val="es-ES_tradnl"/>
        </w:rPr>
        <w:t>Dichos expertos tendrán acceso a las fórmulas de las variedades híbridas únicamente si es estrictamente indispensable y si el solicitante no formula ninguna objeción al respecto.</w:t>
      </w:r>
    </w:p>
    <w:p w:rsidR="00B9396E" w:rsidRPr="006E5110" w:rsidRDefault="00B9396E" w:rsidP="00A80B59">
      <w:pPr>
        <w:ind w:left="567" w:right="707"/>
        <w:rPr>
          <w:sz w:val="18"/>
          <w:szCs w:val="18"/>
          <w:lang w:val="es-ES_tradnl"/>
        </w:rPr>
      </w:pPr>
    </w:p>
    <w:p w:rsidR="00B9396E" w:rsidRPr="006E5110" w:rsidRDefault="00B9396E" w:rsidP="00A80B59">
      <w:pPr>
        <w:ind w:left="567" w:right="707"/>
        <w:rPr>
          <w:sz w:val="18"/>
          <w:szCs w:val="18"/>
          <w:lang w:val="es-ES_tradnl"/>
        </w:rPr>
      </w:pPr>
      <w:r w:rsidRPr="008212EE">
        <w:rPr>
          <w:sz w:val="18"/>
          <w:szCs w:val="18"/>
          <w:lang w:val="es-ES_tradnl"/>
        </w:rPr>
        <w:t xml:space="preserve">El presente párrafo no excluye el acceso general de los visitantes a las parcelas de prueba, siempre que se respeten las cláusulas del párrafo 1) </w:t>
      </w:r>
      <w:r w:rsidRPr="008212EE">
        <w:rPr>
          <w:i/>
          <w:sz w:val="18"/>
          <w:szCs w:val="18"/>
          <w:lang w:val="es-ES_tradnl"/>
        </w:rPr>
        <w:t>supra</w:t>
      </w:r>
      <w:r w:rsidRPr="008212EE">
        <w:rPr>
          <w:sz w:val="18"/>
          <w:szCs w:val="18"/>
          <w:lang w:val="es-ES_tradnl"/>
        </w:rPr>
        <w:t>.</w:t>
      </w:r>
    </w:p>
    <w:p w:rsidR="00B9396E" w:rsidRPr="006E5110" w:rsidRDefault="00B9396E" w:rsidP="00A80B59">
      <w:pPr>
        <w:ind w:left="567" w:right="707"/>
        <w:rPr>
          <w:sz w:val="18"/>
          <w:szCs w:val="18"/>
          <w:lang w:val="es-ES_tradnl"/>
        </w:rPr>
      </w:pPr>
    </w:p>
    <w:p w:rsidR="00B9396E" w:rsidRPr="006E5110" w:rsidRDefault="00B9396E" w:rsidP="00A80B59">
      <w:pPr>
        <w:ind w:left="567" w:right="707"/>
        <w:rPr>
          <w:sz w:val="18"/>
          <w:szCs w:val="18"/>
          <w:lang w:val="es-ES_tradnl"/>
        </w:rPr>
      </w:pPr>
      <w:r w:rsidRPr="006E5110">
        <w:rPr>
          <w:sz w:val="18"/>
          <w:szCs w:val="18"/>
          <w:lang w:val="es-ES_tradnl"/>
        </w:rPr>
        <w:t>4)</w:t>
      </w:r>
      <w:r w:rsidRPr="006E5110">
        <w:rPr>
          <w:sz w:val="18"/>
          <w:szCs w:val="18"/>
          <w:lang w:val="es-ES_tradnl"/>
        </w:rPr>
        <w:tab/>
      </w:r>
      <w:r w:rsidRPr="008212EE">
        <w:rPr>
          <w:sz w:val="18"/>
          <w:szCs w:val="18"/>
          <w:lang w:val="es-ES_tradnl"/>
        </w:rPr>
        <w:t>Si otra autoridad actúa en calidad de autoridad receptora en virtud de un acuerdo similar, se le podrá también permitir el acceso de conformidad con las reglas aplicables en virtud de ese acuerdo.</w:t>
      </w:r>
      <w:r w:rsidRPr="006E5110">
        <w:rPr>
          <w:sz w:val="18"/>
          <w:szCs w:val="18"/>
          <w:lang w:val="es-ES_tradnl"/>
        </w:rPr>
        <w:t>”</w:t>
      </w:r>
    </w:p>
    <w:p w:rsidR="00B9396E" w:rsidRPr="006E5110" w:rsidRDefault="00B9396E" w:rsidP="00B76373">
      <w:pPr>
        <w:rPr>
          <w:snapToGrid w:val="0"/>
          <w:lang w:val="es-ES_tradnl"/>
        </w:rPr>
      </w:pPr>
    </w:p>
    <w:p w:rsidR="00B9396E" w:rsidRPr="006E5110" w:rsidRDefault="00B9396E" w:rsidP="00C93A10">
      <w:pPr>
        <w:rPr>
          <w:snapToGrid w:val="0"/>
          <w:lang w:val="es-ES_tradnl"/>
        </w:rPr>
      </w:pPr>
      <w:r>
        <w:rPr>
          <w:snapToGrid w:val="0"/>
        </w:rPr>
        <w:fldChar w:fldCharType="begin"/>
      </w:r>
      <w:r w:rsidRPr="006E5110">
        <w:rPr>
          <w:snapToGrid w:val="0"/>
          <w:lang w:val="es-ES_tradnl"/>
        </w:rPr>
        <w:instrText xml:space="preserve"> AUTONUM  </w:instrText>
      </w:r>
      <w:r>
        <w:rPr>
          <w:snapToGrid w:val="0"/>
        </w:rPr>
        <w:fldChar w:fldCharType="end"/>
      </w:r>
      <w:r w:rsidRPr="006E5110">
        <w:rPr>
          <w:snapToGrid w:val="0"/>
          <w:lang w:val="es-ES_tradnl"/>
        </w:rPr>
        <w:tab/>
      </w:r>
      <w:r w:rsidRPr="00AC7DBA">
        <w:rPr>
          <w:snapToGrid w:val="0"/>
          <w:lang w:val="es-ES_tradnl"/>
        </w:rPr>
        <w:t>Se sugiere al CAJ que considere si sería conveniente elaborar orientación adicional sobre el material proporcionado por el obtentor a los fines del examen o incluir en el documento UPOV/INF/15 una referencia a la orientación existente sobre líneas parentales.</w:t>
      </w:r>
    </w:p>
    <w:p w:rsidR="00B9396E" w:rsidRPr="006E5110" w:rsidRDefault="00B9396E" w:rsidP="00C93A10">
      <w:pPr>
        <w:rPr>
          <w:lang w:val="es-ES_tradnl"/>
        </w:rPr>
      </w:pPr>
    </w:p>
    <w:p w:rsidR="00B9396E" w:rsidRPr="006E5110" w:rsidRDefault="00B9396E" w:rsidP="00C07562">
      <w:pPr>
        <w:pStyle w:val="DecisionParagraphs"/>
        <w:rPr>
          <w:snapToGrid w:val="0"/>
          <w:lang w:val="es-ES_tradnl"/>
        </w:rPr>
      </w:pPr>
      <w:r w:rsidRPr="008E408A">
        <w:rPr>
          <w:snapToGrid w:val="0"/>
        </w:rPr>
        <w:fldChar w:fldCharType="begin"/>
      </w:r>
      <w:r w:rsidRPr="006E5110">
        <w:rPr>
          <w:snapToGrid w:val="0"/>
          <w:lang w:val="es-ES_tradnl"/>
        </w:rPr>
        <w:instrText xml:space="preserve"> AUTONUM  </w:instrText>
      </w:r>
      <w:r w:rsidRPr="008E408A">
        <w:rPr>
          <w:snapToGrid w:val="0"/>
        </w:rPr>
        <w:fldChar w:fldCharType="end"/>
      </w:r>
      <w:r w:rsidRPr="006E5110">
        <w:rPr>
          <w:snapToGrid w:val="0"/>
          <w:lang w:val="es-ES_tradnl"/>
        </w:rPr>
        <w:tab/>
      </w:r>
      <w:r w:rsidRPr="00FA5F3D">
        <w:rPr>
          <w:snapToGrid w:val="0"/>
          <w:lang w:val="es-ES_tradnl"/>
        </w:rPr>
        <w:t>Se invita al CAJ a:</w:t>
      </w:r>
    </w:p>
    <w:p w:rsidR="00B9396E" w:rsidRPr="006E5110" w:rsidRDefault="00B9396E" w:rsidP="00C07562">
      <w:pPr>
        <w:pStyle w:val="DecisionParagraphs"/>
        <w:rPr>
          <w:snapToGrid w:val="0"/>
          <w:lang w:val="es-ES_tradnl"/>
        </w:rPr>
      </w:pPr>
    </w:p>
    <w:p w:rsidR="00B9396E" w:rsidRPr="006E5110" w:rsidRDefault="00B9396E" w:rsidP="00C93A10">
      <w:pPr>
        <w:pStyle w:val="DecisionParagraphs"/>
        <w:tabs>
          <w:tab w:val="left" w:pos="5954"/>
        </w:tabs>
        <w:rPr>
          <w:rFonts w:cs="Arial"/>
          <w:color w:val="0D0D0D"/>
          <w:lang w:val="es-ES_tradnl"/>
        </w:rPr>
      </w:pPr>
      <w:r w:rsidRPr="006E5110">
        <w:rPr>
          <w:snapToGrid w:val="0"/>
          <w:lang w:val="es-ES_tradnl"/>
        </w:rPr>
        <w:tab/>
      </w:r>
      <w:r w:rsidRPr="00FA5F3D">
        <w:rPr>
          <w:snapToGrid w:val="0"/>
          <w:lang w:val="es-ES_tradnl"/>
        </w:rPr>
        <w:t>a)</w:t>
      </w:r>
      <w:r w:rsidRPr="006E5110">
        <w:rPr>
          <w:snapToGrid w:val="0"/>
          <w:lang w:val="es-ES_tradnl"/>
        </w:rPr>
        <w:tab/>
        <w:t xml:space="preserve"> </w:t>
      </w:r>
      <w:r w:rsidRPr="00AC7DBA">
        <w:rPr>
          <w:snapToGrid w:val="0"/>
          <w:lang w:val="es-ES_tradnl"/>
        </w:rPr>
        <w:t xml:space="preserve">tomar nota de la orientación existente en relación con la </w:t>
      </w:r>
      <w:r w:rsidRPr="00AC7DBA">
        <w:rPr>
          <w:rFonts w:cs="Arial"/>
          <w:color w:val="0D0D0D"/>
          <w:lang w:val="es-ES_tradnl"/>
        </w:rPr>
        <w:t>disponibilidad y el intercambio del material</w:t>
      </w:r>
      <w:r w:rsidRPr="00AC7DBA">
        <w:rPr>
          <w:snapToGrid w:val="0"/>
          <w:lang w:val="es-ES_tradnl"/>
        </w:rPr>
        <w:t>,</w:t>
      </w:r>
      <w:r w:rsidRPr="00AC7DBA">
        <w:rPr>
          <w:rFonts w:cs="Arial"/>
          <w:color w:val="0D0D0D"/>
          <w:lang w:val="es-ES_tradnl"/>
        </w:rPr>
        <w:t xml:space="preserve"> según se expone en el párrafo 19 del presente documento;</w:t>
      </w:r>
      <w:r w:rsidRPr="006E5110">
        <w:rPr>
          <w:rFonts w:cs="Arial"/>
          <w:color w:val="0D0D0D"/>
          <w:lang w:val="es-ES_tradnl"/>
        </w:rPr>
        <w:t xml:space="preserve">  </w:t>
      </w:r>
      <w:r w:rsidRPr="00FA5F3D">
        <w:rPr>
          <w:rFonts w:cs="Arial"/>
          <w:lang w:val="es-ES_tradnl"/>
        </w:rPr>
        <w:t>y</w:t>
      </w:r>
    </w:p>
    <w:p w:rsidR="00B9396E" w:rsidRPr="006E5110" w:rsidRDefault="00B9396E" w:rsidP="00C93A10">
      <w:pPr>
        <w:pStyle w:val="DecisionParagraphs"/>
        <w:tabs>
          <w:tab w:val="left" w:pos="5954"/>
        </w:tabs>
        <w:rPr>
          <w:rFonts w:cs="Arial"/>
          <w:color w:val="0D0D0D"/>
          <w:lang w:val="es-ES_tradnl"/>
        </w:rPr>
      </w:pPr>
    </w:p>
    <w:p w:rsidR="00B9396E" w:rsidRPr="006E5110" w:rsidRDefault="00B9396E" w:rsidP="00C93A10">
      <w:pPr>
        <w:pStyle w:val="DecisionParagraphs"/>
        <w:tabs>
          <w:tab w:val="left" w:pos="5954"/>
        </w:tabs>
        <w:rPr>
          <w:rFonts w:cs="Arial"/>
          <w:color w:val="0C0C0C"/>
          <w:lang w:val="es-ES_tradnl"/>
        </w:rPr>
      </w:pPr>
      <w:r w:rsidRPr="006E5110">
        <w:rPr>
          <w:lang w:val="es-ES_tradnl"/>
        </w:rPr>
        <w:tab/>
      </w:r>
      <w:r w:rsidRPr="00FA5F3D">
        <w:rPr>
          <w:lang w:val="es-ES_tradnl"/>
        </w:rPr>
        <w:t>b)</w:t>
      </w:r>
      <w:r w:rsidRPr="006E5110">
        <w:rPr>
          <w:lang w:val="es-ES_tradnl"/>
        </w:rPr>
        <w:tab/>
      </w:r>
      <w:r w:rsidRPr="00AC7DBA">
        <w:rPr>
          <w:snapToGrid w:val="0"/>
          <w:lang w:val="es-ES_tradnl"/>
        </w:rPr>
        <w:t>considerar si sería conveniente elaborar orientación adicional sobre el material proporcionado por el obtentor a los fines del examen o incluir en el documento UPOV/INF/15 una referencia a la orientación existente.</w:t>
      </w:r>
    </w:p>
    <w:p w:rsidR="00B9396E" w:rsidRPr="006E5110" w:rsidRDefault="00B9396E" w:rsidP="006359A2">
      <w:pPr>
        <w:spacing w:line="360" w:lineRule="auto"/>
        <w:rPr>
          <w:lang w:val="es-ES_tradnl"/>
        </w:rPr>
      </w:pPr>
    </w:p>
    <w:p w:rsidR="00B9396E" w:rsidRPr="006E5110" w:rsidRDefault="00B9396E" w:rsidP="00055FE7">
      <w:pPr>
        <w:pStyle w:val="Heading3"/>
        <w:ind w:left="567" w:hanging="567"/>
        <w:rPr>
          <w:lang w:val="es-ES_tradnl"/>
        </w:rPr>
      </w:pPr>
      <w:bookmarkStart w:id="31" w:name="_Toc382404383"/>
      <w:r w:rsidRPr="00FA5F3D">
        <w:rPr>
          <w:lang w:val="es-ES_tradnl"/>
        </w:rPr>
        <w:t>c)</w:t>
      </w:r>
      <w:r w:rsidRPr="006E5110">
        <w:rPr>
          <w:lang w:val="es-ES_tradnl"/>
        </w:rPr>
        <w:tab/>
      </w:r>
      <w:r w:rsidRPr="00AC7DBA">
        <w:rPr>
          <w:lang w:val="es-ES_tradnl"/>
        </w:rPr>
        <w:t xml:space="preserve">Confidencialidad del material del solicitante </w:t>
      </w:r>
      <w:r w:rsidRPr="00AC7DBA">
        <w:rPr>
          <w:w w:val="103"/>
          <w:lang w:val="es-ES_tradnl"/>
        </w:rPr>
        <w:t xml:space="preserve">cuando los centros encargados del </w:t>
      </w:r>
      <w:r w:rsidRPr="00AC7DBA">
        <w:rPr>
          <w:lang w:val="es-ES_tradnl"/>
        </w:rPr>
        <w:t xml:space="preserve">examen realicen actividades de </w:t>
      </w:r>
      <w:proofErr w:type="spellStart"/>
      <w:r w:rsidRPr="00AC7DBA">
        <w:rPr>
          <w:lang w:val="es-ES_tradnl"/>
        </w:rPr>
        <w:t>fitomejoramiento</w:t>
      </w:r>
      <w:proofErr w:type="spellEnd"/>
      <w:r w:rsidRPr="00AC7DBA">
        <w:rPr>
          <w:lang w:val="es-ES_tradnl"/>
        </w:rPr>
        <w:t xml:space="preserve"> de variedades de</w:t>
      </w:r>
      <w:r w:rsidRPr="00AC7DBA">
        <w:rPr>
          <w:spacing w:val="36"/>
          <w:lang w:val="es-ES_tradnl"/>
        </w:rPr>
        <w:t xml:space="preserve"> </w:t>
      </w:r>
      <w:r w:rsidRPr="00AC7DBA">
        <w:rPr>
          <w:lang w:val="es-ES_tradnl"/>
        </w:rPr>
        <w:t>la</w:t>
      </w:r>
      <w:r w:rsidRPr="00AC7DBA">
        <w:rPr>
          <w:spacing w:val="50"/>
          <w:lang w:val="es-ES_tradnl"/>
        </w:rPr>
        <w:t xml:space="preserve"> </w:t>
      </w:r>
      <w:r w:rsidRPr="00AC7DBA">
        <w:rPr>
          <w:lang w:val="es-ES_tradnl"/>
        </w:rPr>
        <w:t>misma</w:t>
      </w:r>
      <w:r w:rsidRPr="00AC7DBA">
        <w:rPr>
          <w:spacing w:val="55"/>
          <w:lang w:val="es-ES_tradnl"/>
        </w:rPr>
        <w:t xml:space="preserve"> </w:t>
      </w:r>
      <w:r w:rsidRPr="00AC7DBA">
        <w:rPr>
          <w:lang w:val="es-ES_tradnl"/>
        </w:rPr>
        <w:t>especie</w:t>
      </w:r>
      <w:bookmarkEnd w:id="31"/>
    </w:p>
    <w:p w:rsidR="00B9396E" w:rsidRPr="006E5110" w:rsidRDefault="00B9396E" w:rsidP="00C4212E">
      <w:pPr>
        <w:keepNext/>
        <w:ind w:firstLine="567"/>
        <w:rPr>
          <w:rFonts w:cs="Arial"/>
          <w:color w:val="0C0C0C"/>
          <w:lang w:val="es-ES_tradnl"/>
        </w:rPr>
      </w:pPr>
    </w:p>
    <w:p w:rsidR="00B9396E" w:rsidRPr="006E5110" w:rsidRDefault="00B9396E" w:rsidP="005735BF">
      <w:pPr>
        <w:rPr>
          <w:snapToGrid w:val="0"/>
          <w:lang w:val="es-ES_tradnl"/>
        </w:rPr>
      </w:pPr>
      <w:r>
        <w:rPr>
          <w:snapToGrid w:val="0"/>
        </w:rPr>
        <w:fldChar w:fldCharType="begin"/>
      </w:r>
      <w:r w:rsidRPr="006E5110">
        <w:rPr>
          <w:snapToGrid w:val="0"/>
          <w:lang w:val="es-ES_tradnl"/>
        </w:rPr>
        <w:instrText xml:space="preserve"> AUTONUM  </w:instrText>
      </w:r>
      <w:r>
        <w:rPr>
          <w:snapToGrid w:val="0"/>
        </w:rPr>
        <w:fldChar w:fldCharType="end"/>
      </w:r>
      <w:r w:rsidRPr="006E5110">
        <w:rPr>
          <w:snapToGrid w:val="0"/>
          <w:lang w:val="es-ES_tradnl"/>
        </w:rPr>
        <w:tab/>
      </w:r>
      <w:r w:rsidRPr="00AC7DBA">
        <w:rPr>
          <w:snapToGrid w:val="0"/>
          <w:lang w:val="es-ES_tradnl"/>
        </w:rPr>
        <w:t>Se sugiere al CAJ que tome nota de los debates mantenidos en el CAJ, de 2002 a 2005, en relación con las “</w:t>
      </w:r>
      <w:r w:rsidRPr="00AC7DBA">
        <w:rPr>
          <w:lang w:val="es-ES_tradnl"/>
        </w:rPr>
        <w:t xml:space="preserve">Recomendaciones para garantizar la independencia de los centros encargados del examen DHE que realicen actividades de </w:t>
      </w:r>
      <w:proofErr w:type="spellStart"/>
      <w:r w:rsidRPr="00AC7DBA">
        <w:rPr>
          <w:lang w:val="es-ES_tradnl"/>
        </w:rPr>
        <w:t>fitomejoramiento</w:t>
      </w:r>
      <w:proofErr w:type="spellEnd"/>
      <w:r w:rsidRPr="00AC7DBA">
        <w:rPr>
          <w:lang w:val="es-ES_tradnl"/>
        </w:rPr>
        <w:t xml:space="preserve"> o actividades relacionadas con estas últimas</w:t>
      </w:r>
      <w:r w:rsidRPr="00AC7DBA">
        <w:rPr>
          <w:snapToGrid w:val="0"/>
          <w:lang w:val="es-ES_tradnl"/>
        </w:rPr>
        <w:t>” (véanse el documento CAJ/49/5 “</w:t>
      </w:r>
      <w:r w:rsidRPr="00AC7DBA">
        <w:rPr>
          <w:lang w:val="es-ES_tradnl"/>
        </w:rPr>
        <w:t>Informe</w:t>
      </w:r>
      <w:r w:rsidRPr="00AC7DBA">
        <w:rPr>
          <w:snapToGrid w:val="0"/>
          <w:lang w:val="es-ES_tradnl"/>
        </w:rPr>
        <w:t>”</w:t>
      </w:r>
      <w:r>
        <w:rPr>
          <w:snapToGrid w:val="0"/>
          <w:lang w:val="es-ES_tradnl"/>
        </w:rPr>
        <w:t>,</w:t>
      </w:r>
      <w:r w:rsidRPr="00AC7DBA">
        <w:rPr>
          <w:snapToGrid w:val="0"/>
          <w:lang w:val="es-ES_tradnl"/>
        </w:rPr>
        <w:t xml:space="preserve"> párrafo 69</w:t>
      </w:r>
      <w:r>
        <w:rPr>
          <w:snapToGrid w:val="0"/>
          <w:lang w:val="es-ES_tradnl"/>
        </w:rPr>
        <w:t>,</w:t>
      </w:r>
      <w:r w:rsidRPr="00AC7DBA">
        <w:rPr>
          <w:snapToGrid w:val="0"/>
          <w:lang w:val="es-ES_tradnl"/>
        </w:rPr>
        <w:t xml:space="preserve"> y el documento CAJ/49/3 “</w:t>
      </w:r>
      <w:r w:rsidRPr="00AC7DBA">
        <w:rPr>
          <w:lang w:val="es-ES_tradnl"/>
        </w:rPr>
        <w:t xml:space="preserve">Recomendaciones para garantizar la independencia de los centros encargados del examen DHE que realicen actividades de </w:t>
      </w:r>
      <w:proofErr w:type="spellStart"/>
      <w:r w:rsidRPr="00AC7DBA">
        <w:rPr>
          <w:lang w:val="es-ES_tradnl"/>
        </w:rPr>
        <w:t>fitomejoramiento</w:t>
      </w:r>
      <w:proofErr w:type="spellEnd"/>
      <w:r w:rsidRPr="00AC7DBA">
        <w:rPr>
          <w:lang w:val="es-ES_tradnl"/>
        </w:rPr>
        <w:t xml:space="preserve"> o actividades relacionadas con estas últimas</w:t>
      </w:r>
      <w:r w:rsidRPr="00AC7DBA">
        <w:rPr>
          <w:snapToGrid w:val="0"/>
          <w:lang w:val="es-ES_tradnl"/>
        </w:rPr>
        <w:t xml:space="preserve">”, </w:t>
      </w:r>
      <w:r>
        <w:rPr>
          <w:snapToGrid w:val="0"/>
          <w:lang w:val="es-ES_tradnl"/>
        </w:rPr>
        <w:t xml:space="preserve">ambos </w:t>
      </w:r>
      <w:r w:rsidRPr="00AC7DBA">
        <w:rPr>
          <w:snapToGrid w:val="0"/>
          <w:lang w:val="es-ES_tradnl"/>
        </w:rPr>
        <w:t xml:space="preserve">disponibles en </w:t>
      </w:r>
      <w:hyperlink r:id="rId13" w:history="1">
        <w:r w:rsidRPr="00AC7DBA">
          <w:rPr>
            <w:rStyle w:val="Hyperlink"/>
            <w:snapToGrid w:val="0"/>
            <w:lang w:val="es-ES_tradnl"/>
          </w:rPr>
          <w:t>http://www.upov.int/meetings/es/topic.jsp?group_id=252</w:t>
        </w:r>
      </w:hyperlink>
      <w:r w:rsidRPr="00AC7DBA">
        <w:rPr>
          <w:snapToGrid w:val="0"/>
          <w:lang w:val="es-ES_tradnl"/>
        </w:rPr>
        <w:t xml:space="preserve">) y </w:t>
      </w:r>
      <w:r w:rsidRPr="00AC7DBA">
        <w:rPr>
          <w:lang w:val="es-ES_tradnl"/>
        </w:rPr>
        <w:t>considere si sería conveniente ofrecer orientaciones a este respecto en el documento UPOV/INF/15.</w:t>
      </w:r>
    </w:p>
    <w:p w:rsidR="00B9396E" w:rsidRPr="006E5110" w:rsidRDefault="00B9396E" w:rsidP="005735BF">
      <w:pPr>
        <w:rPr>
          <w:snapToGrid w:val="0"/>
          <w:lang w:val="es-ES_tradnl"/>
        </w:rPr>
      </w:pPr>
    </w:p>
    <w:p w:rsidR="00B9396E" w:rsidRPr="006E5110" w:rsidRDefault="00B9396E" w:rsidP="008F3179">
      <w:pPr>
        <w:pStyle w:val="DecisionParagraphs"/>
        <w:rPr>
          <w:snapToGrid w:val="0"/>
          <w:lang w:val="es-ES_tradnl"/>
        </w:rPr>
      </w:pPr>
      <w:r>
        <w:rPr>
          <w:snapToGrid w:val="0"/>
        </w:rPr>
        <w:fldChar w:fldCharType="begin"/>
      </w:r>
      <w:r w:rsidRPr="006E5110">
        <w:rPr>
          <w:snapToGrid w:val="0"/>
          <w:lang w:val="es-ES_tradnl"/>
        </w:rPr>
        <w:instrText xml:space="preserve"> AUTONUM  </w:instrText>
      </w:r>
      <w:r>
        <w:rPr>
          <w:snapToGrid w:val="0"/>
        </w:rPr>
        <w:fldChar w:fldCharType="end"/>
      </w:r>
      <w:r w:rsidRPr="006E5110">
        <w:rPr>
          <w:snapToGrid w:val="0"/>
          <w:lang w:val="es-ES_tradnl"/>
        </w:rPr>
        <w:tab/>
      </w:r>
      <w:r w:rsidRPr="00FA5F3D">
        <w:rPr>
          <w:snapToGrid w:val="0"/>
          <w:lang w:val="es-ES_tradnl"/>
        </w:rPr>
        <w:t>Se invita al CAJ a:</w:t>
      </w:r>
    </w:p>
    <w:p w:rsidR="00B9396E" w:rsidRPr="006E5110" w:rsidRDefault="00B9396E" w:rsidP="008F3179">
      <w:pPr>
        <w:pStyle w:val="DecisionParagraphs"/>
        <w:rPr>
          <w:snapToGrid w:val="0"/>
          <w:lang w:val="es-ES_tradnl"/>
        </w:rPr>
      </w:pPr>
    </w:p>
    <w:p w:rsidR="00B9396E" w:rsidRPr="006E5110" w:rsidRDefault="00B9396E" w:rsidP="00CA090C">
      <w:pPr>
        <w:pStyle w:val="DecisionParagraphs"/>
        <w:tabs>
          <w:tab w:val="left" w:pos="5954"/>
        </w:tabs>
        <w:rPr>
          <w:snapToGrid w:val="0"/>
          <w:lang w:val="es-ES_tradnl"/>
        </w:rPr>
      </w:pPr>
      <w:r w:rsidRPr="006E5110">
        <w:rPr>
          <w:snapToGrid w:val="0"/>
          <w:lang w:val="es-ES_tradnl"/>
        </w:rPr>
        <w:tab/>
      </w:r>
      <w:r w:rsidR="00CA090C">
        <w:rPr>
          <w:snapToGrid w:val="0"/>
          <w:lang w:val="es-ES_tradnl"/>
        </w:rPr>
        <w:t>a)</w:t>
      </w:r>
      <w:r w:rsidR="00CA090C">
        <w:rPr>
          <w:snapToGrid w:val="0"/>
          <w:lang w:val="es-ES_tradnl"/>
        </w:rPr>
        <w:tab/>
      </w:r>
      <w:r w:rsidRPr="00AC7DBA">
        <w:rPr>
          <w:snapToGrid w:val="0"/>
          <w:lang w:val="es-ES_tradnl"/>
        </w:rPr>
        <w:t xml:space="preserve">tomar nota de los debates mantenidos en el CAJ en relación con las “Recomendaciones para garantizar la independencia de los centros encargados del examen DHE que realicen actividades de </w:t>
      </w:r>
      <w:proofErr w:type="spellStart"/>
      <w:r w:rsidRPr="00AC7DBA">
        <w:rPr>
          <w:snapToGrid w:val="0"/>
          <w:lang w:val="es-ES_tradnl"/>
        </w:rPr>
        <w:t>fitomejoramiento</w:t>
      </w:r>
      <w:proofErr w:type="spellEnd"/>
      <w:r w:rsidRPr="00AC7DBA">
        <w:rPr>
          <w:snapToGrid w:val="0"/>
          <w:lang w:val="es-ES_tradnl"/>
        </w:rPr>
        <w:t xml:space="preserve"> o actividades relacionadas con estas últimas”, según consta en el párrafo 22 del presente documento;</w:t>
      </w:r>
      <w:r w:rsidRPr="006E5110">
        <w:rPr>
          <w:rFonts w:cs="Arial"/>
          <w:color w:val="0D0D0D"/>
          <w:lang w:val="es-ES_tradnl"/>
        </w:rPr>
        <w:t xml:space="preserve">  </w:t>
      </w:r>
      <w:r w:rsidRPr="00FA5F3D">
        <w:rPr>
          <w:rFonts w:cs="Arial"/>
          <w:lang w:val="es-ES_tradnl"/>
        </w:rPr>
        <w:t>y</w:t>
      </w:r>
    </w:p>
    <w:p w:rsidR="00B9396E" w:rsidRPr="006E5110" w:rsidRDefault="00B9396E" w:rsidP="00CA090C">
      <w:pPr>
        <w:pStyle w:val="DecisionParagraphs"/>
        <w:tabs>
          <w:tab w:val="left" w:pos="5954"/>
        </w:tabs>
        <w:rPr>
          <w:snapToGrid w:val="0"/>
          <w:lang w:val="es-ES_tradnl"/>
        </w:rPr>
      </w:pPr>
    </w:p>
    <w:p w:rsidR="00B9396E" w:rsidRPr="006E5110" w:rsidRDefault="00B9396E" w:rsidP="00CA090C">
      <w:pPr>
        <w:pStyle w:val="DecisionParagraphs"/>
        <w:tabs>
          <w:tab w:val="left" w:pos="5954"/>
        </w:tabs>
        <w:rPr>
          <w:snapToGrid w:val="0"/>
          <w:lang w:val="es-ES_tradnl"/>
        </w:rPr>
      </w:pPr>
      <w:r w:rsidRPr="006E5110">
        <w:rPr>
          <w:snapToGrid w:val="0"/>
          <w:lang w:val="es-ES_tradnl"/>
        </w:rPr>
        <w:tab/>
      </w:r>
      <w:r w:rsidRPr="00AC7DBA">
        <w:rPr>
          <w:snapToGrid w:val="0"/>
          <w:lang w:val="es-ES_tradnl"/>
        </w:rPr>
        <w:t>b)</w:t>
      </w:r>
      <w:r w:rsidR="00CA090C">
        <w:rPr>
          <w:snapToGrid w:val="0"/>
          <w:lang w:val="es-ES_tradnl"/>
        </w:rPr>
        <w:tab/>
      </w:r>
      <w:r w:rsidRPr="00AC7DBA">
        <w:rPr>
          <w:snapToGrid w:val="0"/>
          <w:lang w:val="es-ES_tradnl"/>
        </w:rPr>
        <w:t xml:space="preserve">considerar si sería conveniente ofrecer orientaciones en el documento UPOV/INF/15 sobre la </w:t>
      </w:r>
      <w:r w:rsidR="00CA090C">
        <w:rPr>
          <w:lang w:val="es-ES_tradnl"/>
        </w:rPr>
        <w:t xml:space="preserve">confidencialidad del material del solicitante cuando </w:t>
      </w:r>
      <w:r w:rsidRPr="00AC7DBA">
        <w:rPr>
          <w:lang w:val="es-ES_tradnl"/>
        </w:rPr>
        <w:t xml:space="preserve">los centros encargados del examen DHE </w:t>
      </w:r>
      <w:r w:rsidR="00CA090C">
        <w:rPr>
          <w:lang w:val="es-ES_tradnl"/>
        </w:rPr>
        <w:t>realiza</w:t>
      </w:r>
      <w:r w:rsidRPr="00AC7DBA">
        <w:rPr>
          <w:lang w:val="es-ES_tradnl"/>
        </w:rPr>
        <w:t xml:space="preserve">n actividades de </w:t>
      </w:r>
      <w:proofErr w:type="spellStart"/>
      <w:r w:rsidRPr="00AC7DBA">
        <w:rPr>
          <w:lang w:val="es-ES_tradnl"/>
        </w:rPr>
        <w:t>fitomejoramiento</w:t>
      </w:r>
      <w:proofErr w:type="spellEnd"/>
      <w:r w:rsidRPr="00AC7DBA">
        <w:rPr>
          <w:lang w:val="es-ES_tradnl"/>
        </w:rPr>
        <w:t xml:space="preserve"> o </w:t>
      </w:r>
      <w:r w:rsidR="00CA090C">
        <w:rPr>
          <w:lang w:val="es-ES_tradnl"/>
        </w:rPr>
        <w:t>están relacionado</w:t>
      </w:r>
      <w:r w:rsidRPr="00AC7DBA">
        <w:rPr>
          <w:lang w:val="es-ES_tradnl"/>
        </w:rPr>
        <w:t>s con estas últimas.</w:t>
      </w:r>
    </w:p>
    <w:p w:rsidR="00B9396E" w:rsidRPr="006E5110" w:rsidRDefault="00B9396E" w:rsidP="00CA090C">
      <w:pPr>
        <w:tabs>
          <w:tab w:val="left" w:pos="5954"/>
        </w:tabs>
        <w:rPr>
          <w:snapToGrid w:val="0"/>
          <w:lang w:val="es-ES_tradnl"/>
        </w:rPr>
      </w:pPr>
    </w:p>
    <w:p w:rsidR="00B9396E" w:rsidRPr="006E5110" w:rsidRDefault="00B9396E" w:rsidP="00CA090C">
      <w:pPr>
        <w:tabs>
          <w:tab w:val="left" w:pos="5954"/>
        </w:tabs>
        <w:rPr>
          <w:snapToGrid w:val="0"/>
          <w:lang w:val="es-ES_tradnl"/>
        </w:rPr>
      </w:pPr>
    </w:p>
    <w:p w:rsidR="00B9396E" w:rsidRPr="00987226" w:rsidRDefault="00B9396E" w:rsidP="005735BF">
      <w:pPr>
        <w:pStyle w:val="Heading2"/>
      </w:pPr>
      <w:bookmarkStart w:id="32" w:name="_Toc382404384"/>
      <w:r w:rsidRPr="00AC7DBA">
        <w:lastRenderedPageBreak/>
        <w:t>Frecuencia de la presentación de datos y exhaustividad de las bases de datos</w:t>
      </w:r>
      <w:bookmarkEnd w:id="32"/>
    </w:p>
    <w:p w:rsidR="00B9396E" w:rsidRPr="006E5110" w:rsidRDefault="00B9396E" w:rsidP="0047169D">
      <w:pPr>
        <w:keepNext/>
        <w:rPr>
          <w:snapToGrid w:val="0"/>
          <w:lang w:val="es-ES_tradnl"/>
        </w:rPr>
      </w:pPr>
    </w:p>
    <w:p w:rsidR="00B9396E" w:rsidRPr="00046731" w:rsidRDefault="00B9396E" w:rsidP="00046731">
      <w:pPr>
        <w:pStyle w:val="Heading4"/>
      </w:pPr>
      <w:r w:rsidRPr="00AC7DBA">
        <w:rPr>
          <w:lang w:val="es-ES_tradnl"/>
        </w:rPr>
        <w:t>Frecuencia de actualización</w:t>
      </w:r>
    </w:p>
    <w:p w:rsidR="00B9396E" w:rsidRDefault="00B9396E" w:rsidP="00AB28D5">
      <w:pPr>
        <w:keepNext/>
      </w:pPr>
    </w:p>
    <w:tbl>
      <w:tblPr>
        <w:tblW w:w="0" w:type="auto"/>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57" w:type="dxa"/>
          <w:left w:w="85" w:type="dxa"/>
          <w:bottom w:w="28" w:type="dxa"/>
          <w:right w:w="85" w:type="dxa"/>
        </w:tblCellMar>
        <w:tblLook w:val="00A0" w:firstRow="1" w:lastRow="0" w:firstColumn="1" w:lastColumn="0" w:noHBand="0" w:noVBand="0"/>
      </w:tblPr>
      <w:tblGrid>
        <w:gridCol w:w="8788"/>
      </w:tblGrid>
      <w:tr w:rsidR="00B9396E" w:rsidRPr="00126344" w:rsidTr="009D791D">
        <w:trPr>
          <w:cantSplit/>
        </w:trPr>
        <w:tc>
          <w:tcPr>
            <w:tcW w:w="8788" w:type="dxa"/>
          </w:tcPr>
          <w:p w:rsidR="00B9396E" w:rsidRPr="006E5110" w:rsidRDefault="00B9396E" w:rsidP="009D791D">
            <w:pPr>
              <w:ind w:right="567"/>
              <w:rPr>
                <w:sz w:val="18"/>
                <w:szCs w:val="18"/>
                <w:lang w:val="es-ES_tradnl"/>
              </w:rPr>
            </w:pPr>
            <w:r w:rsidRPr="00FA5F3D">
              <w:rPr>
                <w:sz w:val="18"/>
                <w:szCs w:val="18"/>
                <w:lang w:val="es-ES_tradnl"/>
              </w:rPr>
              <w:t>[Extracto de la carta de la ISF (texto original en inglés)]</w:t>
            </w:r>
          </w:p>
          <w:p w:rsidR="00B9396E" w:rsidRPr="006E5110" w:rsidRDefault="00B9396E" w:rsidP="00AB28D5">
            <w:pPr>
              <w:rPr>
                <w:rFonts w:cs="Arial"/>
                <w:color w:val="0D0D0D"/>
                <w:sz w:val="18"/>
                <w:szCs w:val="18"/>
                <w:u w:val="single"/>
                <w:lang w:val="es-ES_tradnl"/>
              </w:rPr>
            </w:pPr>
            <w:r w:rsidRPr="00AC7DBA">
              <w:rPr>
                <w:kern w:val="28"/>
                <w:sz w:val="18"/>
                <w:szCs w:val="18"/>
                <w:u w:val="single"/>
                <w:lang w:val="es-ES_tradnl"/>
              </w:rPr>
              <w:t>Frecuencia de actualización</w:t>
            </w:r>
            <w:proofErr w:type="gramStart"/>
            <w:r w:rsidRPr="00AC7DBA">
              <w:rPr>
                <w:kern w:val="28"/>
                <w:sz w:val="18"/>
                <w:szCs w:val="18"/>
                <w:lang w:val="es-ES_tradnl"/>
              </w:rPr>
              <w:t>:</w:t>
            </w:r>
            <w:r w:rsidRPr="006E5110">
              <w:rPr>
                <w:kern w:val="28"/>
                <w:sz w:val="18"/>
                <w:szCs w:val="18"/>
                <w:lang w:val="es-ES_tradnl"/>
              </w:rPr>
              <w:t xml:space="preserve">  </w:t>
            </w:r>
            <w:r w:rsidRPr="00AC7DBA">
              <w:rPr>
                <w:kern w:val="28"/>
                <w:sz w:val="18"/>
                <w:szCs w:val="18"/>
                <w:lang w:val="es-ES_tradnl"/>
              </w:rPr>
              <w:t>En</w:t>
            </w:r>
            <w:proofErr w:type="gramEnd"/>
            <w:r w:rsidRPr="00AC7DBA">
              <w:rPr>
                <w:kern w:val="28"/>
                <w:sz w:val="18"/>
                <w:szCs w:val="18"/>
                <w:lang w:val="es-ES_tradnl"/>
              </w:rPr>
              <w:t xml:space="preserve"> algunos países, el sitio web en el que se ofrece información relacionada con los derechos de obtentor no es objeto de actualización regular, a veces sólo es actualizada cada dos años o más.</w:t>
            </w:r>
            <w:r w:rsidRPr="006E5110">
              <w:rPr>
                <w:kern w:val="28"/>
                <w:sz w:val="18"/>
                <w:szCs w:val="18"/>
                <w:lang w:val="es-ES_tradnl"/>
              </w:rPr>
              <w:t xml:space="preserve">  </w:t>
            </w:r>
            <w:r w:rsidRPr="00AC7DBA">
              <w:rPr>
                <w:kern w:val="28"/>
                <w:sz w:val="18"/>
                <w:szCs w:val="18"/>
                <w:lang w:val="es-ES_tradnl"/>
              </w:rPr>
              <w:t>Los miembros de la ISF consideran que debería ser obligatorio que cada oficina de derechos de obtentor mantenga su sitio web constantemente actualizado.</w:t>
            </w:r>
            <w:r w:rsidRPr="006E5110">
              <w:rPr>
                <w:kern w:val="28"/>
                <w:sz w:val="18"/>
                <w:szCs w:val="18"/>
                <w:lang w:val="es-ES_tradnl"/>
              </w:rPr>
              <w:t xml:space="preserve">  </w:t>
            </w:r>
            <w:r w:rsidRPr="00AC7DBA">
              <w:rPr>
                <w:kern w:val="28"/>
                <w:sz w:val="18"/>
                <w:szCs w:val="18"/>
                <w:lang w:val="es-ES_tradnl"/>
              </w:rPr>
              <w:t>Análogamente, la Oficina de la UPOV debería recibir formación actualizada regularmente y revisar también regularmente las bases de datos de información (como mínimo, cada dos meses).</w:t>
            </w:r>
            <w:r w:rsidRPr="006E5110">
              <w:rPr>
                <w:kern w:val="28"/>
                <w:sz w:val="18"/>
                <w:szCs w:val="18"/>
                <w:lang w:val="es-ES_tradnl"/>
              </w:rPr>
              <w:t xml:space="preserve">  </w:t>
            </w:r>
            <w:r w:rsidRPr="00AC7DBA">
              <w:rPr>
                <w:kern w:val="28"/>
                <w:sz w:val="18"/>
                <w:szCs w:val="18"/>
                <w:lang w:val="es-ES_tradnl"/>
              </w:rPr>
              <w:t>Sería sumamente útil que las oficinas de derechos de obtentor publicaran la información relacionada con los derechos de obtentor que figura en su sitio web también en inglés, además de en el idioma nacional.</w:t>
            </w:r>
          </w:p>
        </w:tc>
      </w:tr>
    </w:tbl>
    <w:p w:rsidR="00B9396E" w:rsidRPr="006E5110" w:rsidRDefault="00B9396E" w:rsidP="00AB28D5">
      <w:pPr>
        <w:rPr>
          <w:lang w:val="es-ES_tradnl"/>
        </w:rPr>
      </w:pPr>
    </w:p>
    <w:p w:rsidR="00B9396E" w:rsidRPr="006E5110" w:rsidRDefault="00B9396E" w:rsidP="00C0136B">
      <w:pPr>
        <w:ind w:right="9"/>
        <w:rPr>
          <w:lang w:val="es-ES_tradnl"/>
        </w:rPr>
      </w:pPr>
      <w:r>
        <w:rPr>
          <w:snapToGrid w:val="0"/>
        </w:rPr>
        <w:fldChar w:fldCharType="begin"/>
      </w:r>
      <w:r w:rsidRPr="006E5110">
        <w:rPr>
          <w:snapToGrid w:val="0"/>
          <w:lang w:val="es-ES_tradnl"/>
        </w:rPr>
        <w:instrText xml:space="preserve"> AUTONUM  </w:instrText>
      </w:r>
      <w:r>
        <w:rPr>
          <w:snapToGrid w:val="0"/>
        </w:rPr>
        <w:fldChar w:fldCharType="end"/>
      </w:r>
      <w:r w:rsidRPr="006E5110">
        <w:rPr>
          <w:snapToGrid w:val="0"/>
          <w:lang w:val="es-ES_tradnl"/>
        </w:rPr>
        <w:tab/>
      </w:r>
      <w:r w:rsidRPr="00AC7DBA">
        <w:rPr>
          <w:snapToGrid w:val="0"/>
          <w:lang w:val="es-ES_tradnl"/>
        </w:rPr>
        <w:t>En el documento</w:t>
      </w:r>
      <w:r w:rsidRPr="00AC7DBA">
        <w:rPr>
          <w:kern w:val="28"/>
          <w:lang w:val="es-ES_tradnl"/>
        </w:rPr>
        <w:t xml:space="preserve"> CAJ/69/6 “Bases de datos de información de la UPOV” se indica que </w:t>
      </w:r>
      <w:r w:rsidRPr="00AC7DBA">
        <w:rPr>
          <w:snapToGrid w:val="0"/>
          <w:lang w:val="es-ES_tradnl"/>
        </w:rPr>
        <w:t xml:space="preserve">el CAJ, </w:t>
      </w:r>
      <w:r w:rsidRPr="00AC7DBA">
        <w:rPr>
          <w:lang w:val="es-ES_tradnl"/>
        </w:rPr>
        <w:t xml:space="preserve">en su sexagésima octava sesión, celebrada </w:t>
      </w:r>
      <w:r w:rsidRPr="00AC7DBA">
        <w:rPr>
          <w:snapToGrid w:val="0"/>
          <w:lang w:val="es-ES_tradnl"/>
        </w:rPr>
        <w:t xml:space="preserve">en Ginebra </w:t>
      </w:r>
      <w:r w:rsidRPr="00AC7DBA">
        <w:rPr>
          <w:kern w:val="28"/>
          <w:lang w:val="es-ES_tradnl"/>
        </w:rPr>
        <w:t>el 21 de octubre de 2013, se manifestó a favor de la propuesta para incrementar la frecuencia de actualización de la base de datos PLUTO</w:t>
      </w:r>
      <w:r w:rsidRPr="00AC7DBA">
        <w:rPr>
          <w:snapToGrid w:val="0"/>
          <w:lang w:val="es-ES_tradnl"/>
        </w:rPr>
        <w:t>.</w:t>
      </w:r>
      <w:r w:rsidRPr="006E5110">
        <w:rPr>
          <w:lang w:val="es-ES_tradnl"/>
        </w:rPr>
        <w:t xml:space="preserve">  </w:t>
      </w:r>
      <w:r w:rsidRPr="00AC7DBA">
        <w:rPr>
          <w:rFonts w:cs="Arial"/>
          <w:bCs/>
          <w:color w:val="000000"/>
          <w:spacing w:val="-2"/>
          <w:lang w:val="es-ES_tradnl"/>
        </w:rPr>
        <w:t>En la Sección 4 del Programa, modificada por el CAJ en su sexagésima octava sesión, se dispone lo siguiente:</w:t>
      </w:r>
    </w:p>
    <w:p w:rsidR="00B9396E" w:rsidRPr="006E5110" w:rsidRDefault="00B9396E" w:rsidP="0003562F">
      <w:pPr>
        <w:rPr>
          <w:rFonts w:cs="Arial"/>
          <w:bCs/>
          <w:color w:val="000000"/>
          <w:spacing w:val="-2"/>
          <w:lang w:val="es-ES_tradnl"/>
        </w:rPr>
      </w:pPr>
    </w:p>
    <w:p w:rsidR="00B9396E" w:rsidRPr="006E5110" w:rsidRDefault="00B9396E" w:rsidP="0003562F">
      <w:pPr>
        <w:ind w:left="567" w:right="567"/>
        <w:rPr>
          <w:bCs/>
          <w:i/>
          <w:iCs/>
          <w:sz w:val="18"/>
          <w:szCs w:val="16"/>
          <w:lang w:val="es-ES_tradnl"/>
        </w:rPr>
      </w:pPr>
      <w:r w:rsidRPr="006E5110">
        <w:rPr>
          <w:bCs/>
          <w:i/>
          <w:iCs/>
          <w:sz w:val="18"/>
          <w:szCs w:val="16"/>
          <w:lang w:val="es-ES_tradnl"/>
        </w:rPr>
        <w:t>“4.</w:t>
      </w:r>
      <w:r w:rsidRPr="006E5110">
        <w:rPr>
          <w:bCs/>
          <w:i/>
          <w:iCs/>
          <w:sz w:val="18"/>
          <w:szCs w:val="16"/>
          <w:lang w:val="es-ES_tradnl"/>
        </w:rPr>
        <w:tab/>
      </w:r>
      <w:r w:rsidRPr="00FA5F3D">
        <w:rPr>
          <w:bCs/>
          <w:i/>
          <w:iCs/>
          <w:sz w:val="18"/>
          <w:szCs w:val="16"/>
          <w:lang w:val="es-ES_tradnl"/>
        </w:rPr>
        <w:t>Frecuencia de la presentación de datos</w:t>
      </w:r>
    </w:p>
    <w:p w:rsidR="00B9396E" w:rsidRPr="006E5110" w:rsidRDefault="00B9396E" w:rsidP="0003562F">
      <w:pPr>
        <w:ind w:left="567"/>
        <w:rPr>
          <w:sz w:val="18"/>
          <w:szCs w:val="16"/>
          <w:lang w:val="es-ES_tradnl"/>
        </w:rPr>
      </w:pPr>
    </w:p>
    <w:p w:rsidR="00B9396E" w:rsidRPr="006E5110" w:rsidRDefault="00B9396E" w:rsidP="008A2480">
      <w:pPr>
        <w:ind w:left="567" w:right="567"/>
        <w:rPr>
          <w:sz w:val="18"/>
          <w:szCs w:val="16"/>
          <w:lang w:val="es-ES_tradnl"/>
        </w:rPr>
      </w:pPr>
      <w:r w:rsidRPr="00AC7DBA">
        <w:rPr>
          <w:bCs/>
          <w:sz w:val="18"/>
          <w:szCs w:val="16"/>
          <w:lang w:val="es-ES_tradnl"/>
        </w:rPr>
        <w:t>Se instará a los contribuyentes a que remitan los datos cuanto antes tras su publicación por la autoridad correspondiente.</w:t>
      </w:r>
      <w:r w:rsidRPr="006E5110">
        <w:rPr>
          <w:bCs/>
          <w:sz w:val="18"/>
          <w:szCs w:val="16"/>
          <w:lang w:val="es-ES_tradnl"/>
        </w:rPr>
        <w:t xml:space="preserve">  </w:t>
      </w:r>
      <w:r w:rsidRPr="00FA5F3D">
        <w:rPr>
          <w:bCs/>
          <w:sz w:val="18"/>
          <w:szCs w:val="16"/>
          <w:lang w:val="es-ES_tradnl"/>
        </w:rPr>
        <w:t>La base de datos PLUTO se actualizará con los nuevos datos a la mayor brevedad posible tras la recepción de estos, conforme al procedimiento de introducción de datos.</w:t>
      </w:r>
      <w:r w:rsidRPr="006E5110">
        <w:rPr>
          <w:bCs/>
          <w:sz w:val="18"/>
          <w:szCs w:val="16"/>
          <w:lang w:val="es-ES_tradnl"/>
        </w:rPr>
        <w:t xml:space="preserve">  </w:t>
      </w:r>
      <w:r w:rsidRPr="00FA5F3D">
        <w:rPr>
          <w:bCs/>
          <w:sz w:val="18"/>
          <w:szCs w:val="16"/>
          <w:lang w:val="es-ES_tradnl"/>
        </w:rPr>
        <w:t>Cuando sea necesario, la base de datos PLUTO podrá actualizarse con datos corregidos, conforme al procedimiento de introducción de datos.</w:t>
      </w:r>
      <w:r w:rsidRPr="006E5110">
        <w:rPr>
          <w:bCs/>
          <w:sz w:val="18"/>
          <w:szCs w:val="16"/>
          <w:lang w:val="es-ES_tradnl"/>
        </w:rPr>
        <w:t>”</w:t>
      </w:r>
    </w:p>
    <w:p w:rsidR="00B9396E" w:rsidRPr="006E5110" w:rsidRDefault="00B9396E" w:rsidP="008A2480">
      <w:pPr>
        <w:spacing w:line="360" w:lineRule="auto"/>
        <w:ind w:right="9"/>
        <w:rPr>
          <w:lang w:val="es-ES_tradnl"/>
        </w:rPr>
      </w:pPr>
    </w:p>
    <w:p w:rsidR="00B9396E" w:rsidRPr="006E5110" w:rsidRDefault="00B9396E" w:rsidP="00046731">
      <w:pPr>
        <w:pStyle w:val="Heading4"/>
        <w:rPr>
          <w:snapToGrid w:val="0"/>
          <w:lang w:val="es-ES_tradnl"/>
        </w:rPr>
      </w:pPr>
      <w:r w:rsidRPr="00AC7DBA">
        <w:rPr>
          <w:lang w:val="es-ES_tradnl"/>
        </w:rPr>
        <w:t>Alcance de la base de datos</w:t>
      </w:r>
    </w:p>
    <w:p w:rsidR="00B9396E" w:rsidRPr="006E5110" w:rsidRDefault="00B9396E" w:rsidP="000B3257">
      <w:pPr>
        <w:keepNext/>
        <w:rPr>
          <w:lang w:val="es-ES_tradnl"/>
        </w:rPr>
      </w:pPr>
    </w:p>
    <w:tbl>
      <w:tblPr>
        <w:tblW w:w="0" w:type="auto"/>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57" w:type="dxa"/>
          <w:left w:w="85" w:type="dxa"/>
          <w:bottom w:w="28" w:type="dxa"/>
          <w:right w:w="85" w:type="dxa"/>
        </w:tblCellMar>
        <w:tblLook w:val="00A0" w:firstRow="1" w:lastRow="0" w:firstColumn="1" w:lastColumn="0" w:noHBand="0" w:noVBand="0"/>
      </w:tblPr>
      <w:tblGrid>
        <w:gridCol w:w="8788"/>
      </w:tblGrid>
      <w:tr w:rsidR="00B9396E" w:rsidRPr="00126344" w:rsidTr="009D791D">
        <w:trPr>
          <w:cantSplit/>
        </w:trPr>
        <w:tc>
          <w:tcPr>
            <w:tcW w:w="8788" w:type="dxa"/>
          </w:tcPr>
          <w:p w:rsidR="00B9396E" w:rsidRPr="006E5110" w:rsidRDefault="00B9396E" w:rsidP="009D791D">
            <w:pPr>
              <w:ind w:right="567"/>
              <w:rPr>
                <w:sz w:val="18"/>
                <w:szCs w:val="18"/>
                <w:lang w:val="es-ES_tradnl"/>
              </w:rPr>
            </w:pPr>
            <w:r w:rsidRPr="00FA5F3D">
              <w:rPr>
                <w:sz w:val="18"/>
                <w:szCs w:val="18"/>
                <w:lang w:val="es-ES_tradnl"/>
              </w:rPr>
              <w:t>[Extracto de la carta de la ISF (texto original en inglés)]</w:t>
            </w:r>
          </w:p>
          <w:p w:rsidR="00B9396E" w:rsidRPr="006E5110" w:rsidRDefault="00B9396E" w:rsidP="00F706CD">
            <w:pPr>
              <w:rPr>
                <w:rFonts w:cs="Arial"/>
                <w:color w:val="0D0D0D"/>
                <w:sz w:val="18"/>
                <w:szCs w:val="18"/>
                <w:u w:val="single"/>
                <w:lang w:val="es-ES_tradnl"/>
              </w:rPr>
            </w:pPr>
            <w:r w:rsidRPr="00AC7DBA">
              <w:rPr>
                <w:rFonts w:cs="Arial"/>
                <w:color w:val="0C0C0C"/>
                <w:sz w:val="18"/>
                <w:szCs w:val="18"/>
                <w:u w:val="single" w:color="000000"/>
                <w:lang w:val="es-ES_tradnl"/>
              </w:rPr>
              <w:t>Alcance de la base de datos</w:t>
            </w:r>
            <w:proofErr w:type="gramStart"/>
            <w:r w:rsidRPr="00AC7DBA">
              <w:rPr>
                <w:rFonts w:cs="Arial"/>
                <w:color w:val="0C0C0C"/>
                <w:sz w:val="18"/>
                <w:szCs w:val="18"/>
                <w:u w:color="000000"/>
                <w:lang w:val="es-ES_tradnl"/>
              </w:rPr>
              <w:t>:</w:t>
            </w:r>
            <w:r w:rsidRPr="006E5110">
              <w:rPr>
                <w:rFonts w:cs="Arial"/>
                <w:color w:val="383838"/>
                <w:sz w:val="18"/>
                <w:szCs w:val="18"/>
                <w:lang w:val="es-ES_tradnl"/>
              </w:rPr>
              <w:t xml:space="preserve">  </w:t>
            </w:r>
            <w:r w:rsidRPr="00AC7DBA">
              <w:rPr>
                <w:rFonts w:cs="Arial"/>
                <w:color w:val="0C0C0C"/>
                <w:sz w:val="18"/>
                <w:szCs w:val="18"/>
                <w:lang w:val="es-ES_tradnl"/>
              </w:rPr>
              <w:t>En</w:t>
            </w:r>
            <w:proofErr w:type="gramEnd"/>
            <w:r w:rsidRPr="00AC7DBA">
              <w:rPr>
                <w:rFonts w:cs="Arial"/>
                <w:color w:val="0C0C0C"/>
                <w:sz w:val="18"/>
                <w:szCs w:val="18"/>
                <w:lang w:val="es-ES_tradnl"/>
              </w:rPr>
              <w:t xml:space="preserve"> el sitio web de determinados países sólo se enumeran los derechos de obtentor concedidos y se pasan por alto los que están pendientes de ser concedidos.</w:t>
            </w:r>
            <w:r w:rsidRPr="006E5110">
              <w:rPr>
                <w:rFonts w:cs="Arial"/>
                <w:color w:val="383838"/>
                <w:sz w:val="18"/>
                <w:szCs w:val="18"/>
                <w:lang w:val="es-ES_tradnl"/>
              </w:rPr>
              <w:t xml:space="preserve">  </w:t>
            </w:r>
            <w:r w:rsidRPr="00AC7DBA">
              <w:rPr>
                <w:rFonts w:cs="Arial"/>
                <w:color w:val="0C0C0C"/>
                <w:sz w:val="18"/>
                <w:szCs w:val="18"/>
                <w:lang w:val="es-ES_tradnl"/>
              </w:rPr>
              <w:t>Los miembros de la ISF consideran que sería útil publicar también en los sitios web oficiales información sobre las solicitudes pendientes.</w:t>
            </w:r>
            <w:r w:rsidRPr="006E5110">
              <w:rPr>
                <w:rFonts w:cs="Arial"/>
                <w:color w:val="525252"/>
                <w:sz w:val="18"/>
                <w:szCs w:val="18"/>
                <w:lang w:val="es-ES_tradnl"/>
              </w:rPr>
              <w:t xml:space="preserve">  </w:t>
            </w:r>
            <w:r w:rsidRPr="00AC7DBA">
              <w:rPr>
                <w:rFonts w:cs="Arial"/>
                <w:color w:val="0C0C0C"/>
                <w:sz w:val="18"/>
                <w:szCs w:val="18"/>
                <w:lang w:val="es-ES_tradnl"/>
              </w:rPr>
              <w:t>Con esa notificación, el nivel de información será más completo y adecuado, y las empresas podrían consultar y verificar la situación de sus propias solicitudes pendientes y las de la competencia.</w:t>
            </w:r>
            <w:r w:rsidRPr="006E5110">
              <w:rPr>
                <w:rFonts w:cs="Arial"/>
                <w:color w:val="0C0C0C"/>
                <w:sz w:val="18"/>
                <w:szCs w:val="18"/>
                <w:lang w:val="es-ES_tradnl"/>
              </w:rPr>
              <w:t xml:space="preserve">  </w:t>
            </w:r>
            <w:r w:rsidRPr="00AC7DBA">
              <w:rPr>
                <w:rFonts w:cs="Arial"/>
                <w:color w:val="0C0C0C"/>
                <w:sz w:val="18"/>
                <w:szCs w:val="18"/>
                <w:lang w:val="es-ES_tradnl"/>
              </w:rPr>
              <w:t>Esa información contribuiría al seguimiento del proceso de solicitud y al respeto de los derechos de P.I.</w:t>
            </w:r>
          </w:p>
        </w:tc>
      </w:tr>
    </w:tbl>
    <w:p w:rsidR="00B9396E" w:rsidRPr="006E5110" w:rsidRDefault="00B9396E" w:rsidP="000B3257">
      <w:pPr>
        <w:rPr>
          <w:lang w:val="es-ES_tradnl"/>
        </w:rPr>
      </w:pPr>
    </w:p>
    <w:p w:rsidR="00B9396E" w:rsidRPr="006E5110" w:rsidRDefault="00B9396E" w:rsidP="00AC7DBA">
      <w:pPr>
        <w:spacing w:after="240"/>
        <w:rPr>
          <w:kern w:val="28"/>
          <w:lang w:val="es-ES_tradnl"/>
        </w:rPr>
      </w:pPr>
      <w:r>
        <w:rPr>
          <w:snapToGrid w:val="0"/>
        </w:rPr>
        <w:fldChar w:fldCharType="begin"/>
      </w:r>
      <w:r w:rsidRPr="006E5110">
        <w:rPr>
          <w:snapToGrid w:val="0"/>
          <w:lang w:val="es-ES_tradnl"/>
        </w:rPr>
        <w:instrText xml:space="preserve"> AUTONUM  </w:instrText>
      </w:r>
      <w:r>
        <w:rPr>
          <w:snapToGrid w:val="0"/>
        </w:rPr>
        <w:fldChar w:fldCharType="end"/>
      </w:r>
      <w:r w:rsidRPr="006E5110">
        <w:rPr>
          <w:snapToGrid w:val="0"/>
          <w:lang w:val="es-ES_tradnl"/>
        </w:rPr>
        <w:tab/>
      </w:r>
      <w:r w:rsidRPr="00AC7DBA">
        <w:rPr>
          <w:kern w:val="28"/>
          <w:lang w:val="es-ES_tradnl"/>
        </w:rPr>
        <w:t>En el documento CAJ/69/6 “Bases de datos de información de la UPOV” figuran las respuestas a un sondeo entre los miembros de la Unión sobre su utilización de las bases de datos con fines de protección de las variedades vegetales, y también de los sistemas de presentación electrónica de solicitudes.</w:t>
      </w:r>
    </w:p>
    <w:p w:rsidR="00B9396E" w:rsidRPr="006E5110" w:rsidRDefault="00B9396E" w:rsidP="00372992">
      <w:pPr>
        <w:rPr>
          <w:lang w:val="es-ES_tradnl"/>
        </w:rPr>
      </w:pPr>
      <w:r w:rsidRPr="00C0136B">
        <w:fldChar w:fldCharType="begin"/>
      </w:r>
      <w:r w:rsidRPr="006E5110">
        <w:rPr>
          <w:lang w:val="es-ES_tradnl"/>
        </w:rPr>
        <w:instrText xml:space="preserve"> AUTONUM  </w:instrText>
      </w:r>
      <w:r w:rsidRPr="00C0136B">
        <w:fldChar w:fldCharType="end"/>
      </w:r>
      <w:r w:rsidRPr="006E5110">
        <w:rPr>
          <w:lang w:val="es-ES_tradnl"/>
        </w:rPr>
        <w:tab/>
      </w:r>
      <w:r w:rsidRPr="00AC7DBA">
        <w:rPr>
          <w:lang w:val="es-ES_tradnl"/>
        </w:rPr>
        <w:t xml:space="preserve">En su sexagésima octava sesión, celebrada en Ginebra el 21 de octubre de 2013, el CAJ convino en incluir en el programa de su septuagésima sesión, que se celebrará en octubre de 2014, un punto para la actualización del documento UPOV/INF/5 “Boletín tipo de la UPOV sobre la protección de las obtenciones vegetales” </w:t>
      </w:r>
      <w:r w:rsidRPr="00AC7DBA">
        <w:rPr>
          <w:snapToGrid w:val="0"/>
          <w:lang w:val="es-ES_tradnl"/>
        </w:rPr>
        <w:t>(véase el párrafo </w:t>
      </w:r>
      <w:r w:rsidRPr="00AC7DBA">
        <w:rPr>
          <w:lang w:val="es-ES_tradnl"/>
        </w:rPr>
        <w:t>17</w:t>
      </w:r>
      <w:r w:rsidRPr="00AC7DBA">
        <w:rPr>
          <w:snapToGrid w:val="0"/>
          <w:lang w:val="es-ES_tradnl"/>
        </w:rPr>
        <w:t xml:space="preserve"> del documento </w:t>
      </w:r>
      <w:r w:rsidRPr="00AC7DBA">
        <w:rPr>
          <w:lang w:val="es-ES_tradnl"/>
        </w:rPr>
        <w:t>CAJ/68/10 “Informe sobre las conclusiones”</w:t>
      </w:r>
      <w:r w:rsidRPr="00AC7DBA">
        <w:rPr>
          <w:snapToGrid w:val="0"/>
          <w:lang w:val="es-ES_tradnl"/>
        </w:rPr>
        <w:t>).</w:t>
      </w:r>
      <w:r w:rsidRPr="006E5110">
        <w:rPr>
          <w:lang w:val="es-ES_tradnl"/>
        </w:rPr>
        <w:t xml:space="preserve">  </w:t>
      </w:r>
      <w:r w:rsidRPr="00AC7DBA">
        <w:rPr>
          <w:lang w:val="es-ES_tradnl"/>
        </w:rPr>
        <w:t xml:space="preserve">Se sugiere al CAJ que, </w:t>
      </w:r>
      <w:r w:rsidR="008E6841">
        <w:rPr>
          <w:lang w:val="es-ES_tradnl"/>
        </w:rPr>
        <w:t>paralelamente a</w:t>
      </w:r>
      <w:r w:rsidRPr="00AC7DBA">
        <w:rPr>
          <w:lang w:val="es-ES_tradnl"/>
        </w:rPr>
        <w:t xml:space="preserve"> la actualización del documento UPOV/INF/5 “Boletín tipo de la UPOV sobre la protección de las obtenciones vegetales”, examine las cuestiones referentes a la frecuencia y la exhaustividad de los datos que han de publicarse.</w:t>
      </w:r>
    </w:p>
    <w:p w:rsidR="00B9396E" w:rsidRPr="006E5110" w:rsidRDefault="00B9396E" w:rsidP="000B3257">
      <w:pPr>
        <w:rPr>
          <w:snapToGrid w:val="0"/>
          <w:lang w:val="es-ES_tradnl"/>
        </w:rPr>
      </w:pPr>
    </w:p>
    <w:p w:rsidR="00B9396E" w:rsidRPr="006E5110" w:rsidRDefault="00B9396E" w:rsidP="00A141E7">
      <w:pPr>
        <w:pStyle w:val="DecisionParagraphs"/>
        <w:keepNext/>
        <w:rPr>
          <w:snapToGrid w:val="0"/>
          <w:lang w:val="es-ES_tradnl"/>
        </w:rPr>
      </w:pPr>
      <w:r>
        <w:rPr>
          <w:snapToGrid w:val="0"/>
        </w:rPr>
        <w:fldChar w:fldCharType="begin"/>
      </w:r>
      <w:r w:rsidRPr="006E5110">
        <w:rPr>
          <w:snapToGrid w:val="0"/>
          <w:lang w:val="es-ES_tradnl"/>
        </w:rPr>
        <w:instrText xml:space="preserve"> AUTONUM  </w:instrText>
      </w:r>
      <w:r>
        <w:rPr>
          <w:snapToGrid w:val="0"/>
        </w:rPr>
        <w:fldChar w:fldCharType="end"/>
      </w:r>
      <w:r w:rsidRPr="006E5110">
        <w:rPr>
          <w:snapToGrid w:val="0"/>
          <w:lang w:val="es-ES_tradnl"/>
        </w:rPr>
        <w:tab/>
      </w:r>
      <w:r w:rsidRPr="00FA5F3D">
        <w:rPr>
          <w:snapToGrid w:val="0"/>
          <w:lang w:val="es-ES_tradnl"/>
        </w:rPr>
        <w:t>Se invita al CAJ a:</w:t>
      </w:r>
    </w:p>
    <w:p w:rsidR="00B9396E" w:rsidRPr="006E5110" w:rsidRDefault="00B9396E" w:rsidP="00A141E7">
      <w:pPr>
        <w:pStyle w:val="DecisionParagraphs"/>
        <w:keepNext/>
        <w:rPr>
          <w:snapToGrid w:val="0"/>
          <w:lang w:val="es-ES_tradnl"/>
        </w:rPr>
      </w:pPr>
    </w:p>
    <w:p w:rsidR="00B9396E" w:rsidRPr="006E5110" w:rsidRDefault="00B9396E" w:rsidP="00A141E7">
      <w:pPr>
        <w:pStyle w:val="DecisionParagraphs"/>
        <w:tabs>
          <w:tab w:val="left" w:pos="5954"/>
        </w:tabs>
        <w:rPr>
          <w:lang w:val="es-ES_tradnl"/>
        </w:rPr>
      </w:pPr>
      <w:r w:rsidRPr="006E5110">
        <w:rPr>
          <w:snapToGrid w:val="0"/>
          <w:lang w:val="es-ES_tradnl"/>
        </w:rPr>
        <w:tab/>
      </w:r>
      <w:r w:rsidRPr="00FA5F3D">
        <w:rPr>
          <w:snapToGrid w:val="0"/>
          <w:lang w:val="es-ES_tradnl"/>
        </w:rPr>
        <w:t>a)</w:t>
      </w:r>
      <w:r w:rsidRPr="006E5110">
        <w:rPr>
          <w:snapToGrid w:val="0"/>
          <w:lang w:val="es-ES_tradnl"/>
        </w:rPr>
        <w:tab/>
      </w:r>
      <w:r w:rsidRPr="00AC7DBA">
        <w:rPr>
          <w:snapToGrid w:val="0"/>
          <w:lang w:val="es-ES_tradnl"/>
        </w:rPr>
        <w:t xml:space="preserve">tomar nota de que en el </w:t>
      </w:r>
      <w:r w:rsidRPr="00AC7DBA">
        <w:rPr>
          <w:kern w:val="28"/>
          <w:lang w:val="es-ES_tradnl"/>
        </w:rPr>
        <w:t>documento CAJ/69/6 “</w:t>
      </w:r>
      <w:r w:rsidRPr="00AC7DBA">
        <w:rPr>
          <w:lang w:val="es-ES_tradnl"/>
        </w:rPr>
        <w:t>Bases de datos de información de la UPOV</w:t>
      </w:r>
      <w:r w:rsidRPr="00AC7DBA">
        <w:rPr>
          <w:kern w:val="28"/>
          <w:lang w:val="es-ES_tradnl"/>
        </w:rPr>
        <w:t xml:space="preserve">” se exponen cuestiones pertinentes en relación con el </w:t>
      </w:r>
      <w:r w:rsidRPr="00AC7DBA">
        <w:rPr>
          <w:lang w:val="es-ES_tradnl"/>
        </w:rPr>
        <w:t>suministro periódico de información a la Base de datos sobre variedades vegetales (PLUTO);</w:t>
      </w:r>
      <w:r w:rsidRPr="006E5110">
        <w:rPr>
          <w:lang w:val="es-ES_tradnl"/>
        </w:rPr>
        <w:t xml:space="preserve"> </w:t>
      </w:r>
    </w:p>
    <w:p w:rsidR="00B9396E" w:rsidRPr="006E5110" w:rsidRDefault="00B9396E" w:rsidP="00A141E7">
      <w:pPr>
        <w:pStyle w:val="DecisionParagraphs"/>
        <w:tabs>
          <w:tab w:val="left" w:pos="5954"/>
        </w:tabs>
        <w:rPr>
          <w:lang w:val="es-ES_tradnl"/>
        </w:rPr>
      </w:pPr>
    </w:p>
    <w:p w:rsidR="00B9396E" w:rsidRPr="006E5110" w:rsidRDefault="00B9396E" w:rsidP="009D1CE1">
      <w:pPr>
        <w:pStyle w:val="DecisionParagraphs"/>
        <w:tabs>
          <w:tab w:val="left" w:pos="5954"/>
        </w:tabs>
        <w:spacing w:after="240"/>
        <w:rPr>
          <w:lang w:val="es-ES_tradnl"/>
        </w:rPr>
      </w:pPr>
      <w:r w:rsidRPr="006E5110">
        <w:rPr>
          <w:lang w:val="es-ES_tradnl"/>
        </w:rPr>
        <w:tab/>
      </w:r>
      <w:r w:rsidRPr="00FA5F3D">
        <w:rPr>
          <w:lang w:val="es-ES_tradnl"/>
        </w:rPr>
        <w:t>b)</w:t>
      </w:r>
      <w:r w:rsidRPr="006E5110">
        <w:rPr>
          <w:lang w:val="es-ES_tradnl"/>
        </w:rPr>
        <w:tab/>
      </w:r>
      <w:r w:rsidRPr="00AC7DBA">
        <w:rPr>
          <w:lang w:val="es-ES_tradnl"/>
        </w:rPr>
        <w:t>tomar nota de que en el documento CAJ/69/6 figuran las respuestas a un sondeo entre los miembros de la Unión sobre su utilización de las bases de datos con fines de protección de las variedades vegetales, y también de los sistemas de presenta</w:t>
      </w:r>
      <w:r w:rsidR="00904C01">
        <w:rPr>
          <w:lang w:val="es-ES_tradnl"/>
        </w:rPr>
        <w:t xml:space="preserve">ción electrónica de solicitudes;  y </w:t>
      </w:r>
    </w:p>
    <w:p w:rsidR="00B9396E" w:rsidRPr="006E5110" w:rsidRDefault="00B9396E" w:rsidP="00A141E7">
      <w:pPr>
        <w:pStyle w:val="DecisionParagraphs"/>
        <w:tabs>
          <w:tab w:val="left" w:pos="5954"/>
        </w:tabs>
        <w:rPr>
          <w:lang w:val="es-ES_tradnl"/>
        </w:rPr>
      </w:pPr>
      <w:r w:rsidRPr="006E5110">
        <w:rPr>
          <w:lang w:val="es-ES_tradnl"/>
        </w:rPr>
        <w:lastRenderedPageBreak/>
        <w:tab/>
      </w:r>
      <w:r w:rsidR="00904C01">
        <w:rPr>
          <w:lang w:val="es-ES_tradnl"/>
        </w:rPr>
        <w:t>c</w:t>
      </w:r>
      <w:r w:rsidRPr="00FA5F3D">
        <w:rPr>
          <w:lang w:val="es-ES_tradnl"/>
        </w:rPr>
        <w:t>)</w:t>
      </w:r>
      <w:r w:rsidRPr="006E5110">
        <w:rPr>
          <w:lang w:val="es-ES_tradnl"/>
        </w:rPr>
        <w:tab/>
      </w:r>
      <w:r w:rsidRPr="00AC7DBA">
        <w:rPr>
          <w:lang w:val="es-ES_tradnl"/>
        </w:rPr>
        <w:t xml:space="preserve">considerar si, </w:t>
      </w:r>
      <w:r w:rsidR="008E6841">
        <w:rPr>
          <w:lang w:val="es-ES_tradnl"/>
        </w:rPr>
        <w:t>paralelamente a</w:t>
      </w:r>
      <w:r w:rsidRPr="00AC7DBA">
        <w:rPr>
          <w:lang w:val="es-ES_tradnl"/>
        </w:rPr>
        <w:t xml:space="preserve"> la actualización del documento UPOV/INF/5 “Boletín tipo de la UPOV sobre la protección de las obtenciones vegetales”, procede elaborar orientaciones sobre la frecuencia de la presentación de datos y la exhaustividad de las bases de datos, según se indica en el párrafo 26 del presente documento.</w:t>
      </w:r>
    </w:p>
    <w:p w:rsidR="00B9396E" w:rsidRPr="006E5110" w:rsidRDefault="00B9396E" w:rsidP="000B3257">
      <w:pPr>
        <w:rPr>
          <w:snapToGrid w:val="0"/>
          <w:lang w:val="es-ES_tradnl"/>
        </w:rPr>
      </w:pPr>
    </w:p>
    <w:p w:rsidR="00B9396E" w:rsidRPr="006E5110" w:rsidRDefault="00B9396E" w:rsidP="000B3257">
      <w:pPr>
        <w:rPr>
          <w:snapToGrid w:val="0"/>
          <w:lang w:val="es-ES_tradnl"/>
        </w:rPr>
      </w:pPr>
    </w:p>
    <w:p w:rsidR="00B9396E" w:rsidRDefault="00B9396E" w:rsidP="005735BF">
      <w:pPr>
        <w:pStyle w:val="Heading2"/>
        <w:rPr>
          <w:spacing w:val="2"/>
        </w:rPr>
      </w:pPr>
      <w:bookmarkStart w:id="33" w:name="_Toc382404385"/>
      <w:r w:rsidRPr="00AC7DBA">
        <w:rPr>
          <w:spacing w:val="2"/>
        </w:rPr>
        <w:t>Normas de denominación</w:t>
      </w:r>
      <w:bookmarkEnd w:id="33"/>
    </w:p>
    <w:p w:rsidR="00B9396E" w:rsidRPr="00AF5046" w:rsidRDefault="00B9396E" w:rsidP="00AF5046">
      <w:pPr>
        <w:keepNext/>
      </w:pPr>
    </w:p>
    <w:tbl>
      <w:tblPr>
        <w:tblW w:w="0" w:type="auto"/>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57" w:type="dxa"/>
          <w:left w:w="85" w:type="dxa"/>
          <w:bottom w:w="28" w:type="dxa"/>
          <w:right w:w="85" w:type="dxa"/>
        </w:tblCellMar>
        <w:tblLook w:val="00A0" w:firstRow="1" w:lastRow="0" w:firstColumn="1" w:lastColumn="0" w:noHBand="0" w:noVBand="0"/>
      </w:tblPr>
      <w:tblGrid>
        <w:gridCol w:w="8788"/>
      </w:tblGrid>
      <w:tr w:rsidR="00B9396E" w:rsidRPr="00126344" w:rsidTr="009D791D">
        <w:trPr>
          <w:cantSplit/>
        </w:trPr>
        <w:tc>
          <w:tcPr>
            <w:tcW w:w="8788" w:type="dxa"/>
          </w:tcPr>
          <w:p w:rsidR="00B9396E" w:rsidRPr="006E5110" w:rsidRDefault="00B9396E" w:rsidP="009D791D">
            <w:pPr>
              <w:ind w:right="567"/>
              <w:rPr>
                <w:sz w:val="18"/>
                <w:szCs w:val="18"/>
                <w:lang w:val="es-ES_tradnl"/>
              </w:rPr>
            </w:pPr>
            <w:r w:rsidRPr="00FA5F3D">
              <w:rPr>
                <w:sz w:val="18"/>
                <w:szCs w:val="18"/>
                <w:lang w:val="es-ES_tradnl"/>
              </w:rPr>
              <w:t>[Extracto de la carta de la ISF (texto original en inglés)]</w:t>
            </w:r>
          </w:p>
          <w:p w:rsidR="00B9396E" w:rsidRPr="006E5110" w:rsidRDefault="00B9396E" w:rsidP="00AF5046">
            <w:pPr>
              <w:rPr>
                <w:rFonts w:cs="Arial"/>
                <w:sz w:val="18"/>
                <w:szCs w:val="18"/>
                <w:lang w:val="es-ES_tradnl"/>
              </w:rPr>
            </w:pPr>
            <w:r w:rsidRPr="00AC7DBA">
              <w:rPr>
                <w:rFonts w:cs="Arial"/>
                <w:color w:val="0C0C0C"/>
                <w:sz w:val="18"/>
                <w:szCs w:val="18"/>
                <w:u w:val="single" w:color="000000"/>
                <w:lang w:val="es-ES_tradnl"/>
              </w:rPr>
              <w:t>Diferencias en las normas de denominación</w:t>
            </w:r>
            <w:proofErr w:type="gramStart"/>
            <w:r w:rsidRPr="00AC7DBA">
              <w:rPr>
                <w:rFonts w:cs="Arial"/>
                <w:color w:val="0C0C0C"/>
                <w:sz w:val="18"/>
                <w:szCs w:val="18"/>
                <w:u w:color="000000"/>
                <w:lang w:val="es-ES_tradnl"/>
              </w:rPr>
              <w:t>:</w:t>
            </w:r>
            <w:r w:rsidRPr="006E5110">
              <w:rPr>
                <w:rFonts w:cs="Arial"/>
                <w:color w:val="424242"/>
                <w:spacing w:val="32"/>
                <w:sz w:val="18"/>
                <w:szCs w:val="18"/>
                <w:lang w:val="es-ES_tradnl"/>
              </w:rPr>
              <w:t xml:space="preserve">  </w:t>
            </w:r>
            <w:r w:rsidRPr="00AC7DBA">
              <w:rPr>
                <w:rFonts w:cs="Arial"/>
                <w:color w:val="0C0C0C"/>
                <w:sz w:val="18"/>
                <w:szCs w:val="18"/>
                <w:lang w:val="es-ES_tradnl"/>
              </w:rPr>
              <w:t>Las</w:t>
            </w:r>
            <w:proofErr w:type="gramEnd"/>
            <w:r w:rsidRPr="00AC7DBA">
              <w:rPr>
                <w:rFonts w:cs="Arial"/>
                <w:color w:val="0C0C0C"/>
                <w:sz w:val="18"/>
                <w:szCs w:val="18"/>
                <w:lang w:val="es-ES_tradnl"/>
              </w:rPr>
              <w:t xml:space="preserve"> normas en materia de denominación difieren dentro de los propios países y entre países.</w:t>
            </w:r>
            <w:r w:rsidRPr="006E5110">
              <w:rPr>
                <w:rFonts w:cs="Arial"/>
                <w:color w:val="282A2A"/>
                <w:w w:val="90"/>
                <w:sz w:val="18"/>
                <w:szCs w:val="18"/>
                <w:lang w:val="es-ES_tradnl"/>
              </w:rPr>
              <w:t xml:space="preserve">  </w:t>
            </w:r>
            <w:r w:rsidRPr="00AC7DBA">
              <w:rPr>
                <w:rFonts w:cs="Arial"/>
                <w:color w:val="0C0C0C"/>
                <w:sz w:val="18"/>
                <w:szCs w:val="18"/>
                <w:lang w:val="es-ES_tradnl"/>
              </w:rPr>
              <w:t>Cuando se plantea un conflicto de denominación, suele deberse a una incoherencia en las normas internas de denominación de varios países.</w:t>
            </w:r>
            <w:r w:rsidRPr="006E5110">
              <w:rPr>
                <w:rFonts w:cs="Arial"/>
                <w:color w:val="282A2A"/>
                <w:sz w:val="18"/>
                <w:szCs w:val="18"/>
                <w:lang w:val="es-ES_tradnl"/>
              </w:rPr>
              <w:t xml:space="preserve">  </w:t>
            </w:r>
            <w:r w:rsidRPr="00AC7DBA">
              <w:rPr>
                <w:rFonts w:cs="Arial"/>
                <w:color w:val="0C0C0C"/>
                <w:sz w:val="18"/>
                <w:szCs w:val="18"/>
                <w:lang w:val="es-ES_tradnl"/>
              </w:rPr>
              <w:t>Por ejemplo, un nombre aceptado en un país o región XYZ para incluirlo en la lista nacional puede ser rechazado ulteriormente en lo que respecta a los derechos de obtentor a nivel nacional o regional.</w:t>
            </w:r>
            <w:r w:rsidRPr="006E5110">
              <w:rPr>
                <w:rFonts w:cs="Arial"/>
                <w:color w:val="0C0C0C"/>
                <w:sz w:val="18"/>
                <w:szCs w:val="18"/>
                <w:lang w:val="es-ES_tradnl"/>
              </w:rPr>
              <w:t xml:space="preserve">  </w:t>
            </w:r>
            <w:r w:rsidRPr="00AC7DBA">
              <w:rPr>
                <w:rFonts w:cs="Arial"/>
                <w:color w:val="0C0C0C"/>
                <w:sz w:val="18"/>
                <w:szCs w:val="18"/>
                <w:lang w:val="es-ES_tradnl"/>
              </w:rPr>
              <w:t>Como mínimo debería velarse por la coherencia en las normas de denominación para las listas nacionales y los derechos de obtentor en cada país.</w:t>
            </w:r>
          </w:p>
          <w:p w:rsidR="00B9396E" w:rsidRPr="006E5110" w:rsidRDefault="00B9396E" w:rsidP="00AF5046">
            <w:pPr>
              <w:rPr>
                <w:sz w:val="18"/>
                <w:szCs w:val="18"/>
                <w:lang w:val="es-ES_tradnl"/>
              </w:rPr>
            </w:pPr>
          </w:p>
          <w:p w:rsidR="00B9396E" w:rsidRPr="006E5110" w:rsidRDefault="00B9396E" w:rsidP="00AF5046">
            <w:pPr>
              <w:rPr>
                <w:rFonts w:cs="Arial"/>
                <w:sz w:val="18"/>
                <w:szCs w:val="18"/>
                <w:lang w:val="es-ES_tradnl"/>
              </w:rPr>
            </w:pPr>
            <w:r w:rsidRPr="00AC7DBA">
              <w:rPr>
                <w:rFonts w:cs="Arial"/>
                <w:color w:val="0C0C0C"/>
                <w:sz w:val="18"/>
                <w:szCs w:val="18"/>
                <w:lang w:val="es-ES_tradnl"/>
              </w:rPr>
              <w:t>Por lo general se considera que es necesaria una mayor armonización, en otras palabras, debería haber uniformidad en las normas de denominación en todo el mundo y, si es posible, debería haber un sistema central de aprobación.</w:t>
            </w:r>
          </w:p>
          <w:p w:rsidR="00B9396E" w:rsidRPr="006E5110" w:rsidRDefault="00B9396E" w:rsidP="00AF5046">
            <w:pPr>
              <w:rPr>
                <w:sz w:val="18"/>
                <w:szCs w:val="18"/>
                <w:lang w:val="es-ES_tradnl"/>
              </w:rPr>
            </w:pPr>
          </w:p>
          <w:p w:rsidR="00B9396E" w:rsidRPr="006E5110" w:rsidRDefault="00B9396E" w:rsidP="00AF5046">
            <w:pPr>
              <w:rPr>
                <w:rFonts w:cs="Arial"/>
                <w:color w:val="0D0D0D"/>
                <w:sz w:val="18"/>
                <w:szCs w:val="18"/>
                <w:u w:val="single"/>
                <w:lang w:val="es-ES_tradnl"/>
              </w:rPr>
            </w:pPr>
            <w:r w:rsidRPr="00AC7DBA">
              <w:rPr>
                <w:rFonts w:cs="Arial"/>
                <w:color w:val="0C0C0C"/>
                <w:sz w:val="18"/>
                <w:szCs w:val="18"/>
                <w:lang w:val="es-ES_tradnl"/>
              </w:rPr>
              <w:t>Y en los casos en los que no sea posible aplicar normas a nivel mundial, por ejemplo, por tratarse de tipos de letra diferentes, cabría considerar la posibilidad de aplicar una normativa regional.</w:t>
            </w:r>
          </w:p>
        </w:tc>
      </w:tr>
    </w:tbl>
    <w:p w:rsidR="00B9396E" w:rsidRPr="006E5110" w:rsidRDefault="00B9396E" w:rsidP="00AF5046">
      <w:pPr>
        <w:rPr>
          <w:lang w:val="es-ES_tradnl"/>
        </w:rPr>
      </w:pPr>
    </w:p>
    <w:p w:rsidR="00B9396E" w:rsidRPr="006E5110" w:rsidRDefault="00B9396E" w:rsidP="00372992">
      <w:pPr>
        <w:rPr>
          <w:spacing w:val="-2"/>
          <w:kern w:val="28"/>
          <w:lang w:val="es-ES_tradnl"/>
        </w:rPr>
      </w:pPr>
      <w:r w:rsidRPr="00295010">
        <w:rPr>
          <w:spacing w:val="-2"/>
        </w:rPr>
        <w:fldChar w:fldCharType="begin"/>
      </w:r>
      <w:r w:rsidRPr="006E5110">
        <w:rPr>
          <w:spacing w:val="-2"/>
          <w:lang w:val="es-ES_tradnl"/>
        </w:rPr>
        <w:instrText xml:space="preserve"> AUTONUM  </w:instrText>
      </w:r>
      <w:r w:rsidRPr="00295010">
        <w:rPr>
          <w:spacing w:val="-2"/>
        </w:rPr>
        <w:fldChar w:fldCharType="end"/>
      </w:r>
      <w:r w:rsidRPr="006E5110">
        <w:rPr>
          <w:spacing w:val="-2"/>
          <w:lang w:val="es-ES_tradnl"/>
        </w:rPr>
        <w:tab/>
      </w:r>
      <w:r w:rsidRPr="00AC7DBA">
        <w:rPr>
          <w:spacing w:val="-2"/>
          <w:lang w:val="es-ES_tradnl"/>
        </w:rPr>
        <w:t xml:space="preserve">Se invita al CAJ a tomar nota de que las novedades relativas a las denominaciones de variedades que pudieran resultar pertinentes en el contexto de una </w:t>
      </w:r>
      <w:r w:rsidRPr="00AC7DBA">
        <w:rPr>
          <w:rFonts w:cs="Arial"/>
          <w:spacing w:val="-2"/>
          <w:lang w:val="es-ES_tradnl"/>
        </w:rPr>
        <w:t>posible revisión de las “</w:t>
      </w:r>
      <w:r w:rsidRPr="00AC7DBA">
        <w:rPr>
          <w:spacing w:val="-2"/>
          <w:lang w:val="es-ES_tradnl"/>
        </w:rPr>
        <w:t>Notas explicativas sobre las denominaciones de variedades con arreglo al Convenio de la UPOV</w:t>
      </w:r>
      <w:r w:rsidRPr="00AC7DBA">
        <w:rPr>
          <w:rFonts w:cs="Arial"/>
          <w:spacing w:val="-2"/>
          <w:lang w:val="es-ES_tradnl"/>
        </w:rPr>
        <w:t>” (</w:t>
      </w:r>
      <w:r w:rsidRPr="00AC7DBA">
        <w:rPr>
          <w:spacing w:val="-2"/>
          <w:lang w:val="es-ES_tradnl"/>
        </w:rPr>
        <w:t>documento UPOV/INF/12/4</w:t>
      </w:r>
      <w:r w:rsidRPr="00AC7DBA">
        <w:rPr>
          <w:rFonts w:cs="Arial"/>
          <w:spacing w:val="-2"/>
          <w:lang w:val="es-ES_tradnl"/>
        </w:rPr>
        <w:t>)</w:t>
      </w:r>
      <w:r w:rsidRPr="00AC7DBA">
        <w:rPr>
          <w:spacing w:val="-2"/>
          <w:lang w:val="es-ES_tradnl"/>
        </w:rPr>
        <w:t xml:space="preserve"> se examinan en el documento CAJ/69/2 “</w:t>
      </w:r>
      <w:r w:rsidRPr="00AC7DBA">
        <w:rPr>
          <w:lang w:val="es-ES_tradnl"/>
        </w:rPr>
        <w:t>Elaboración de material de información sobre el Convenio de la UPOV</w:t>
      </w:r>
      <w:r w:rsidRPr="00AC7DBA">
        <w:rPr>
          <w:spacing w:val="-2"/>
          <w:lang w:val="es-ES_tradnl"/>
        </w:rPr>
        <w:t xml:space="preserve">”, </w:t>
      </w:r>
      <w:r>
        <w:rPr>
          <w:spacing w:val="-2"/>
          <w:lang w:val="es-ES_tradnl"/>
        </w:rPr>
        <w:t xml:space="preserve">en </w:t>
      </w:r>
      <w:r w:rsidRPr="00AC7DBA">
        <w:rPr>
          <w:spacing w:val="-2"/>
          <w:lang w:val="es-ES_tradnl"/>
        </w:rPr>
        <w:t>el documento CAJ/69/5 “</w:t>
      </w:r>
      <w:r w:rsidRPr="00AC7DBA">
        <w:rPr>
          <w:rStyle w:val="st"/>
          <w:lang w:val="es-ES_tradnl"/>
        </w:rPr>
        <w:t>Denominaciones de variedades</w:t>
      </w:r>
      <w:r w:rsidRPr="00AC7DBA">
        <w:rPr>
          <w:spacing w:val="-2"/>
          <w:lang w:val="es-ES_tradnl"/>
        </w:rPr>
        <w:t xml:space="preserve">” y </w:t>
      </w:r>
      <w:r>
        <w:rPr>
          <w:spacing w:val="-2"/>
          <w:lang w:val="es-ES_tradnl"/>
        </w:rPr>
        <w:t xml:space="preserve">en </w:t>
      </w:r>
      <w:r w:rsidRPr="00AC7DBA">
        <w:rPr>
          <w:spacing w:val="-2"/>
          <w:lang w:val="es-ES_tradnl"/>
        </w:rPr>
        <w:t xml:space="preserve">el documento </w:t>
      </w:r>
      <w:r w:rsidRPr="00AC7DBA">
        <w:rPr>
          <w:spacing w:val="-2"/>
          <w:kern w:val="28"/>
          <w:lang w:val="es-ES_tradnl"/>
        </w:rPr>
        <w:t>CAJ/69/9 “Posible elaboración de un instrumento de la UPOV de búsqueda de similitud a los fines de la denominación de variedades”</w:t>
      </w:r>
      <w:r w:rsidRPr="00AC7DBA">
        <w:rPr>
          <w:spacing w:val="-2"/>
          <w:lang w:val="es-ES_tradnl"/>
        </w:rPr>
        <w:t>.</w:t>
      </w:r>
      <w:r w:rsidRPr="006E5110">
        <w:rPr>
          <w:spacing w:val="-2"/>
          <w:kern w:val="28"/>
          <w:lang w:val="es-ES_tradnl"/>
        </w:rPr>
        <w:t xml:space="preserve">  </w:t>
      </w:r>
    </w:p>
    <w:p w:rsidR="00B9396E" w:rsidRPr="006E5110" w:rsidRDefault="00B9396E" w:rsidP="00372992">
      <w:pPr>
        <w:rPr>
          <w:spacing w:val="-2"/>
          <w:kern w:val="28"/>
          <w:lang w:val="es-ES_tradnl"/>
        </w:rPr>
      </w:pPr>
    </w:p>
    <w:p w:rsidR="00B9396E" w:rsidRPr="006E5110" w:rsidRDefault="00B9396E" w:rsidP="006C6ECB">
      <w:pPr>
        <w:pStyle w:val="DecisionParagraphs"/>
        <w:spacing w:after="720"/>
        <w:rPr>
          <w:spacing w:val="-2"/>
          <w:lang w:val="es-ES_tradnl"/>
        </w:rPr>
      </w:pPr>
      <w:r w:rsidRPr="00295010">
        <w:rPr>
          <w:rFonts w:cs="Arial"/>
          <w:spacing w:val="-2"/>
        </w:rPr>
        <w:fldChar w:fldCharType="begin"/>
      </w:r>
      <w:r w:rsidRPr="006E5110">
        <w:rPr>
          <w:rFonts w:cs="Arial"/>
          <w:spacing w:val="-2"/>
          <w:lang w:val="es-ES_tradnl"/>
        </w:rPr>
        <w:instrText xml:space="preserve"> AUTONUM  </w:instrText>
      </w:r>
      <w:r w:rsidRPr="00295010">
        <w:rPr>
          <w:rFonts w:cs="Arial"/>
          <w:spacing w:val="-2"/>
        </w:rPr>
        <w:fldChar w:fldCharType="end"/>
      </w:r>
      <w:r w:rsidRPr="006E5110">
        <w:rPr>
          <w:rFonts w:cs="Arial"/>
          <w:spacing w:val="-2"/>
          <w:lang w:val="es-ES_tradnl"/>
        </w:rPr>
        <w:tab/>
      </w:r>
      <w:r w:rsidRPr="00AC7DBA">
        <w:rPr>
          <w:rFonts w:cs="Arial"/>
          <w:spacing w:val="-2"/>
          <w:lang w:val="es-ES_tradnl"/>
        </w:rPr>
        <w:t>Se invita al CAJ a examinar las cuestiones planteadas por la ISF en relación con las normas de denominación</w:t>
      </w:r>
      <w:r>
        <w:rPr>
          <w:rFonts w:cs="Arial"/>
          <w:spacing w:val="-2"/>
          <w:lang w:val="es-ES_tradnl"/>
        </w:rPr>
        <w:t>,</w:t>
      </w:r>
      <w:r w:rsidRPr="00AC7DBA">
        <w:rPr>
          <w:rFonts w:cs="Arial"/>
          <w:spacing w:val="-2"/>
          <w:lang w:val="es-ES_tradnl"/>
        </w:rPr>
        <w:t xml:space="preserve"> junto con la posible revisión de las “Notas explicativas sobre las denominaciones de variedades con arreglo al Convenio de la UPOV”, según se expone en el pá</w:t>
      </w:r>
      <w:r w:rsidR="008E6841">
        <w:rPr>
          <w:rFonts w:cs="Arial"/>
          <w:spacing w:val="-2"/>
          <w:lang w:val="es-ES_tradnl"/>
        </w:rPr>
        <w:t>rrafo 28 del presente documento.</w:t>
      </w:r>
    </w:p>
    <w:p w:rsidR="00B9396E" w:rsidRPr="006E5110" w:rsidRDefault="00B9396E" w:rsidP="006B4C1A">
      <w:pPr>
        <w:pStyle w:val="Heading1"/>
        <w:rPr>
          <w:lang w:val="es-ES_tradnl"/>
        </w:rPr>
      </w:pPr>
      <w:bookmarkStart w:id="34" w:name="_Toc381102838"/>
      <w:bookmarkStart w:id="35" w:name="_Toc381102868"/>
      <w:bookmarkStart w:id="36" w:name="_Toc382404386"/>
      <w:r w:rsidRPr="00FA5F3D">
        <w:rPr>
          <w:lang w:val="es-ES_tradnl"/>
        </w:rPr>
        <w:t>II.</w:t>
      </w:r>
      <w:r w:rsidRPr="006E5110">
        <w:rPr>
          <w:lang w:val="es-ES_tradnl"/>
        </w:rPr>
        <w:tab/>
      </w:r>
      <w:bookmarkEnd w:id="34"/>
      <w:bookmarkEnd w:id="35"/>
      <w:r w:rsidRPr="00AC7DBA">
        <w:rPr>
          <w:lang w:val="es-ES_tradnl"/>
        </w:rPr>
        <w:t>documento marco UPOV/inf/15 “Orientación para los miembros de la UPOV sobre las obligaciones actuales y las notificaciones conexas y sobre el suministro de información para facilitar la cooperación”</w:t>
      </w:r>
      <w:bookmarkEnd w:id="36"/>
    </w:p>
    <w:p w:rsidR="00B9396E" w:rsidRPr="006E5110" w:rsidRDefault="00B9396E" w:rsidP="006B4C1A">
      <w:pPr>
        <w:pStyle w:val="Heading1"/>
        <w:rPr>
          <w:lang w:val="es-ES_tradnl"/>
        </w:rPr>
      </w:pPr>
    </w:p>
    <w:p w:rsidR="00B9396E" w:rsidRPr="006E5110" w:rsidRDefault="00B9396E" w:rsidP="0055760B">
      <w:pPr>
        <w:rPr>
          <w:lang w:val="es-ES_tradnl"/>
        </w:rPr>
      </w:pPr>
      <w:r w:rsidRPr="008F3179">
        <w:fldChar w:fldCharType="begin"/>
      </w:r>
      <w:r w:rsidRPr="006E5110">
        <w:rPr>
          <w:lang w:val="es-ES_tradnl"/>
        </w:rPr>
        <w:instrText xml:space="preserve"> AUTONUM  </w:instrText>
      </w:r>
      <w:r w:rsidRPr="008F3179">
        <w:fldChar w:fldCharType="end"/>
      </w:r>
      <w:r w:rsidRPr="006E5110">
        <w:rPr>
          <w:lang w:val="es-ES_tradnl"/>
        </w:rPr>
        <w:tab/>
      </w:r>
      <w:r w:rsidRPr="00AC7DBA">
        <w:rPr>
          <w:lang w:val="es-ES_tradnl"/>
        </w:rPr>
        <w:t>Actualmente, en el documento UPOV/INF/15 se ofrece orientación para los miembros de la Unión sobre las obligaciones actuales y las notificaciones conexas y sobre el suministro de información para facilitar la cooperación.</w:t>
      </w:r>
      <w:r w:rsidRPr="006E5110">
        <w:rPr>
          <w:szCs w:val="24"/>
          <w:lang w:val="es-ES_tradnl"/>
        </w:rPr>
        <w:t xml:space="preserve">  </w:t>
      </w:r>
      <w:r w:rsidRPr="00AC7DBA">
        <w:rPr>
          <w:szCs w:val="24"/>
          <w:lang w:val="es-ES_tradnl"/>
        </w:rPr>
        <w:t xml:space="preserve">A los representantes en el Consejo se les entrega una copia del documento </w:t>
      </w:r>
      <w:r w:rsidRPr="00AC7DBA">
        <w:rPr>
          <w:lang w:val="es-ES_tradnl"/>
        </w:rPr>
        <w:t xml:space="preserve">UPOV/INF/15 con ocasión de </w:t>
      </w:r>
      <w:r w:rsidRPr="00AC7DBA">
        <w:rPr>
          <w:szCs w:val="24"/>
          <w:lang w:val="es-ES_tradnl"/>
        </w:rPr>
        <w:t>su nombramiento</w:t>
      </w:r>
      <w:r w:rsidRPr="00AC7DBA">
        <w:rPr>
          <w:lang w:val="es-ES_tradnl"/>
        </w:rPr>
        <w:t>.</w:t>
      </w:r>
    </w:p>
    <w:p w:rsidR="00B9396E" w:rsidRPr="006E5110" w:rsidRDefault="00B9396E" w:rsidP="0055760B">
      <w:pPr>
        <w:rPr>
          <w:lang w:val="es-ES_tradnl"/>
        </w:rPr>
      </w:pPr>
    </w:p>
    <w:p w:rsidR="00B9396E" w:rsidRPr="006E5110" w:rsidRDefault="00B9396E" w:rsidP="0055760B">
      <w:pPr>
        <w:rPr>
          <w:lang w:val="es-ES_tradnl"/>
        </w:rPr>
      </w:pPr>
      <w:r w:rsidRPr="008F3179">
        <w:fldChar w:fldCharType="begin"/>
      </w:r>
      <w:r w:rsidRPr="006E5110">
        <w:rPr>
          <w:lang w:val="es-ES_tradnl"/>
        </w:rPr>
        <w:instrText xml:space="preserve"> AUTONUM  </w:instrText>
      </w:r>
      <w:r w:rsidRPr="008F3179">
        <w:fldChar w:fldCharType="end"/>
      </w:r>
      <w:r w:rsidRPr="006E5110">
        <w:rPr>
          <w:lang w:val="es-ES_tradnl"/>
        </w:rPr>
        <w:tab/>
      </w:r>
      <w:r w:rsidRPr="00AC7DBA">
        <w:rPr>
          <w:lang w:val="es-ES_tradnl"/>
        </w:rPr>
        <w:t>En su octogésima sexta sesión, el Comité Consultivo invitó a transformar el documento UPOV/INF/15 en un documento marco en el que se proporcione:</w:t>
      </w:r>
      <w:r w:rsidRPr="006E5110">
        <w:rPr>
          <w:lang w:val="es-ES_tradnl"/>
        </w:rPr>
        <w:t xml:space="preserve"> </w:t>
      </w:r>
    </w:p>
    <w:p w:rsidR="00B9396E" w:rsidRPr="006E5110" w:rsidRDefault="00B9396E" w:rsidP="0055760B">
      <w:pPr>
        <w:rPr>
          <w:lang w:val="es-ES_tradnl"/>
        </w:rPr>
      </w:pPr>
    </w:p>
    <w:p w:rsidR="00B9396E" w:rsidRPr="006E5110" w:rsidRDefault="00B9396E" w:rsidP="0055760B">
      <w:pPr>
        <w:ind w:firstLine="567"/>
        <w:rPr>
          <w:lang w:val="es-ES_tradnl"/>
        </w:rPr>
      </w:pPr>
      <w:r w:rsidRPr="00FA5F3D">
        <w:rPr>
          <w:lang w:val="es-ES_tradnl"/>
        </w:rPr>
        <w:t>i)</w:t>
      </w:r>
      <w:r w:rsidRPr="006E5110">
        <w:rPr>
          <w:lang w:val="es-ES_tradnl"/>
        </w:rPr>
        <w:tab/>
      </w:r>
      <w:r w:rsidRPr="00AC7DBA">
        <w:rPr>
          <w:lang w:val="es-ES_tradnl"/>
        </w:rPr>
        <w:t>un panorama general del funcionamiento de los elementos esenciales de un sistema de protección de las variedades vegetales;</w:t>
      </w:r>
      <w:r w:rsidRPr="006E5110">
        <w:rPr>
          <w:lang w:val="es-ES_tradnl"/>
        </w:rPr>
        <w:t xml:space="preserve">  </w:t>
      </w:r>
      <w:r w:rsidRPr="00FA5F3D">
        <w:rPr>
          <w:lang w:val="es-ES_tradnl"/>
        </w:rPr>
        <w:t>y</w:t>
      </w:r>
      <w:r w:rsidRPr="006E5110">
        <w:rPr>
          <w:lang w:val="es-ES_tradnl"/>
        </w:rPr>
        <w:t xml:space="preserve"> </w:t>
      </w:r>
    </w:p>
    <w:p w:rsidR="00B9396E" w:rsidRPr="006E5110" w:rsidRDefault="00B9396E" w:rsidP="0055760B">
      <w:pPr>
        <w:rPr>
          <w:lang w:val="es-ES_tradnl"/>
        </w:rPr>
      </w:pPr>
    </w:p>
    <w:p w:rsidR="00B9396E" w:rsidRPr="006E5110" w:rsidRDefault="00B9396E" w:rsidP="0055760B">
      <w:pPr>
        <w:ind w:firstLine="567"/>
        <w:rPr>
          <w:lang w:val="es-ES_tradnl"/>
        </w:rPr>
      </w:pPr>
      <w:r w:rsidRPr="00FA5F3D">
        <w:rPr>
          <w:lang w:val="es-ES_tradnl"/>
        </w:rPr>
        <w:t>ii)</w:t>
      </w:r>
      <w:r w:rsidRPr="006E5110">
        <w:rPr>
          <w:lang w:val="es-ES_tradnl"/>
        </w:rPr>
        <w:tab/>
      </w:r>
      <w:r w:rsidRPr="00AC7DBA">
        <w:rPr>
          <w:lang w:val="es-ES_tradnl"/>
        </w:rPr>
        <w:t>un enlace a orientaciones detalladas.</w:t>
      </w:r>
    </w:p>
    <w:p w:rsidR="00B9396E" w:rsidRPr="006E5110" w:rsidRDefault="00B9396E" w:rsidP="00CB118D">
      <w:pPr>
        <w:rPr>
          <w:rFonts w:cs="Arial"/>
          <w:lang w:val="es-ES_tradnl"/>
        </w:rPr>
      </w:pPr>
    </w:p>
    <w:p w:rsidR="00B9396E" w:rsidRPr="006E5110" w:rsidRDefault="00B9396E" w:rsidP="00CB118D">
      <w:pPr>
        <w:rPr>
          <w:rFonts w:cs="Arial"/>
          <w:lang w:val="es-ES_tradnl"/>
        </w:rPr>
      </w:pPr>
      <w:r w:rsidRPr="00295010">
        <w:rPr>
          <w:rFonts w:cs="Arial"/>
        </w:rPr>
        <w:lastRenderedPageBreak/>
        <w:fldChar w:fldCharType="begin"/>
      </w:r>
      <w:r w:rsidRPr="006E5110">
        <w:rPr>
          <w:rFonts w:cs="Arial"/>
          <w:lang w:val="es-ES_tradnl"/>
        </w:rPr>
        <w:instrText xml:space="preserve"> AUTONUM  </w:instrText>
      </w:r>
      <w:r w:rsidRPr="00295010">
        <w:rPr>
          <w:rFonts w:cs="Arial"/>
        </w:rPr>
        <w:fldChar w:fldCharType="end"/>
      </w:r>
      <w:r w:rsidRPr="006E5110">
        <w:rPr>
          <w:rFonts w:cs="Arial"/>
          <w:lang w:val="es-ES_tradnl"/>
        </w:rPr>
        <w:tab/>
      </w:r>
      <w:r w:rsidRPr="00AC7DBA">
        <w:rPr>
          <w:rFonts w:cs="Arial"/>
          <w:lang w:val="es-ES_tradnl"/>
        </w:rPr>
        <w:t>Con arreglo a la invitación formulada por el Comité Consultivo, se propone modificar consecuentemente el título del documento UPOV/INF/15 e incorporar los elementos pertinentes de los Módulos</w:t>
      </w:r>
      <w:r w:rsidRPr="00AC7DBA">
        <w:rPr>
          <w:lang w:val="es-ES_tradnl"/>
        </w:rPr>
        <w:t> 1 y 2</w:t>
      </w:r>
      <w:r w:rsidRPr="00AC7DBA">
        <w:rPr>
          <w:rFonts w:cs="Arial"/>
          <w:lang w:val="es-ES_tradnl"/>
        </w:rPr>
        <w:t xml:space="preserve"> del Programa de enseñanza a distancia de la UPOV “Examen de solicitudes de derechos de obtentor” </w:t>
      </w:r>
      <w:r w:rsidRPr="00AC7DBA">
        <w:rPr>
          <w:lang w:val="es-ES_tradnl"/>
        </w:rPr>
        <w:t>(DL</w:t>
      </w:r>
      <w:r w:rsidRPr="00AC7DBA">
        <w:rPr>
          <w:lang w:val="es-ES_tradnl"/>
        </w:rPr>
        <w:noBreakHyphen/>
        <w:t>305) (los Módulos 1 y 2 del DL</w:t>
      </w:r>
      <w:r w:rsidRPr="00AC7DBA">
        <w:rPr>
          <w:lang w:val="es-ES_tradnl"/>
        </w:rPr>
        <w:noBreakHyphen/>
        <w:t>305 se reproducen en el Anexo del presente documento) y los elementos acordados en relación con las cuestiones analizadas en este documento.</w:t>
      </w:r>
    </w:p>
    <w:p w:rsidR="00B9396E" w:rsidRPr="006E5110" w:rsidRDefault="00B9396E" w:rsidP="00CB118D">
      <w:pPr>
        <w:rPr>
          <w:rFonts w:cs="Arial"/>
          <w:lang w:val="es-ES_tradnl"/>
        </w:rPr>
      </w:pPr>
    </w:p>
    <w:p w:rsidR="00B9396E" w:rsidRPr="006E5110" w:rsidRDefault="00B9396E" w:rsidP="00CB118D">
      <w:pPr>
        <w:pStyle w:val="DecisionParagraphs"/>
        <w:rPr>
          <w:lang w:val="es-ES_tradnl"/>
        </w:rPr>
      </w:pPr>
      <w:r w:rsidRPr="00641FEB">
        <w:fldChar w:fldCharType="begin"/>
      </w:r>
      <w:r w:rsidRPr="006E5110">
        <w:rPr>
          <w:lang w:val="es-ES_tradnl"/>
        </w:rPr>
        <w:instrText xml:space="preserve"> AUTONUM  </w:instrText>
      </w:r>
      <w:r w:rsidRPr="00641FEB">
        <w:fldChar w:fldCharType="end"/>
      </w:r>
      <w:r w:rsidRPr="006E5110">
        <w:rPr>
          <w:lang w:val="es-ES_tradnl"/>
        </w:rPr>
        <w:tab/>
      </w:r>
      <w:r w:rsidRPr="00AC7DBA">
        <w:rPr>
          <w:lang w:val="es-ES_tradnl"/>
        </w:rPr>
        <w:t xml:space="preserve">Se invita al CAJ a transformar el documento UPOV/INF/15, “Orientación para los miembros de la UPOV sobre las obligaciones actuales y las notificaciones conexas y sobre el suministro de información para facilitar la cooperación”, en un documento marco en el que se determinen los elementos esenciales para el funcionamiento de un sistema de protección de las variedades vegetales, </w:t>
      </w:r>
      <w:r w:rsidR="00904C01">
        <w:rPr>
          <w:lang w:val="es-ES_tradnl"/>
        </w:rPr>
        <w:t xml:space="preserve">y se proporcione un enlace a orientaciones detalladas </w:t>
      </w:r>
      <w:r w:rsidRPr="00AC7DBA">
        <w:rPr>
          <w:lang w:val="es-ES_tradnl"/>
        </w:rPr>
        <w:t>según consta en el párrafo 32 del presente documento</w:t>
      </w:r>
      <w:r>
        <w:rPr>
          <w:lang w:val="es-ES_tradnl"/>
        </w:rPr>
        <w:t>.</w:t>
      </w:r>
    </w:p>
    <w:p w:rsidR="00B9396E" w:rsidRDefault="00B9396E" w:rsidP="00CF5A07">
      <w:pPr>
        <w:pStyle w:val="DecisionParagraphs"/>
        <w:rPr>
          <w:lang w:val="es-ES_tradnl"/>
        </w:rPr>
      </w:pPr>
    </w:p>
    <w:p w:rsidR="006C6ECB" w:rsidRDefault="006C6ECB" w:rsidP="00CF5A07">
      <w:pPr>
        <w:pStyle w:val="DecisionParagraphs"/>
        <w:rPr>
          <w:lang w:val="es-ES_tradnl"/>
        </w:rPr>
      </w:pPr>
    </w:p>
    <w:p w:rsidR="006C6ECB" w:rsidRPr="006E5110" w:rsidRDefault="006C6ECB" w:rsidP="00CF5A07">
      <w:pPr>
        <w:pStyle w:val="DecisionParagraphs"/>
        <w:rPr>
          <w:lang w:val="es-ES_tradnl"/>
        </w:rPr>
      </w:pPr>
    </w:p>
    <w:p w:rsidR="00B9396E" w:rsidRPr="006E5110" w:rsidRDefault="00B9396E" w:rsidP="00641FEB">
      <w:pPr>
        <w:pStyle w:val="DecisionParagraphs"/>
        <w:jc w:val="right"/>
        <w:rPr>
          <w:i w:val="0"/>
          <w:lang w:val="es-ES_tradnl"/>
        </w:rPr>
      </w:pPr>
      <w:r w:rsidRPr="00FA5F3D">
        <w:rPr>
          <w:i w:val="0"/>
          <w:lang w:val="es-ES_tradnl"/>
        </w:rPr>
        <w:t>[Sigue el Anexo]</w:t>
      </w:r>
    </w:p>
    <w:p w:rsidR="00B9396E" w:rsidRPr="006E5110" w:rsidRDefault="00B9396E" w:rsidP="006644BD">
      <w:pPr>
        <w:pStyle w:val="DecisionParagraphs"/>
        <w:rPr>
          <w:i w:val="0"/>
          <w:lang w:val="es-ES_tradnl"/>
        </w:rPr>
      </w:pPr>
    </w:p>
    <w:p w:rsidR="00B9396E" w:rsidRPr="006E5110" w:rsidRDefault="00B9396E" w:rsidP="00641FEB">
      <w:pPr>
        <w:pStyle w:val="DecisionParagraphs"/>
        <w:jc w:val="right"/>
        <w:rPr>
          <w:i w:val="0"/>
          <w:lang w:val="es-ES_tradnl"/>
        </w:rPr>
        <w:sectPr w:rsidR="00B9396E" w:rsidRPr="006E5110" w:rsidSect="00906DDC">
          <w:headerReference w:type="default" r:id="rId14"/>
          <w:pgSz w:w="11907" w:h="16840" w:code="9"/>
          <w:pgMar w:top="510" w:right="1134" w:bottom="1134" w:left="1134" w:header="510" w:footer="680" w:gutter="0"/>
          <w:cols w:space="720"/>
          <w:titlePg/>
        </w:sectPr>
      </w:pPr>
    </w:p>
    <w:p w:rsidR="00B9396E" w:rsidRPr="006E5110" w:rsidRDefault="00B9396E" w:rsidP="009560C5">
      <w:pPr>
        <w:jc w:val="center"/>
        <w:rPr>
          <w:lang w:val="es-ES_tradnl"/>
        </w:rPr>
      </w:pPr>
      <w:r w:rsidRPr="006E5110">
        <w:rPr>
          <w:lang w:val="es-ES_tradnl"/>
        </w:rPr>
        <w:lastRenderedPageBreak/>
        <w:t>CAJ/69/10</w:t>
      </w:r>
    </w:p>
    <w:p w:rsidR="00B9396E" w:rsidRPr="006E5110" w:rsidRDefault="00B9396E" w:rsidP="009560C5">
      <w:pPr>
        <w:jc w:val="center"/>
        <w:rPr>
          <w:lang w:val="es-ES_tradnl"/>
        </w:rPr>
      </w:pPr>
    </w:p>
    <w:p w:rsidR="00B9396E" w:rsidRPr="006E5110" w:rsidRDefault="00B9396E" w:rsidP="009560C5">
      <w:pPr>
        <w:jc w:val="center"/>
        <w:rPr>
          <w:lang w:val="es-ES_tradnl"/>
        </w:rPr>
      </w:pPr>
      <w:r w:rsidRPr="00FA5F3D">
        <w:rPr>
          <w:lang w:val="es-ES_tradnl"/>
        </w:rPr>
        <w:t>ANEXO</w:t>
      </w:r>
    </w:p>
    <w:p w:rsidR="00B9396E" w:rsidRPr="006E5110" w:rsidRDefault="00B9396E" w:rsidP="009560C5">
      <w:pPr>
        <w:jc w:val="center"/>
        <w:rPr>
          <w:lang w:val="es-ES_tradnl"/>
        </w:rPr>
      </w:pPr>
    </w:p>
    <w:p w:rsidR="009D1CE1" w:rsidRPr="009D1CE1" w:rsidRDefault="009D1CE1" w:rsidP="009D1CE1">
      <w:pPr>
        <w:rPr>
          <w:b/>
          <w:lang w:val="es-ES_tradnl"/>
        </w:rPr>
      </w:pPr>
    </w:p>
    <w:p w:rsidR="009D1CE1" w:rsidRPr="009D1CE1" w:rsidRDefault="009D1CE1" w:rsidP="009D1CE1">
      <w:pPr>
        <w:rPr>
          <w:b/>
          <w:lang w:val="es-ES_tradnl"/>
        </w:rPr>
      </w:pPr>
      <w:r w:rsidRPr="009D1CE1">
        <w:rPr>
          <w:b/>
          <w:lang w:val="es-ES_tradnl"/>
        </w:rPr>
        <w:t>MÓDULO 1</w:t>
      </w:r>
      <w:proofErr w:type="gramStart"/>
      <w:r w:rsidRPr="009D1CE1">
        <w:rPr>
          <w:b/>
          <w:lang w:val="es-ES_tradnl"/>
        </w:rPr>
        <w:t>:  LA</w:t>
      </w:r>
      <w:proofErr w:type="gramEnd"/>
      <w:r w:rsidRPr="009D1CE1">
        <w:rPr>
          <w:b/>
          <w:lang w:val="es-ES_tradnl"/>
        </w:rPr>
        <w:t xml:space="preserve"> OFICINA DE DERECHOS DE OBTENTOR</w:t>
      </w:r>
    </w:p>
    <w:p w:rsidR="009D1CE1" w:rsidRPr="009D1CE1" w:rsidRDefault="009D1CE1" w:rsidP="009D1CE1">
      <w:pPr>
        <w:rPr>
          <w:b/>
          <w:lang w:val="es-ES_tradnl"/>
        </w:rPr>
      </w:pPr>
    </w:p>
    <w:p w:rsidR="009D1CE1" w:rsidRPr="00303893" w:rsidRDefault="009D1CE1" w:rsidP="00126344">
      <w:pPr>
        <w:widowControl w:val="0"/>
        <w:rPr>
          <w:u w:val="single"/>
          <w:lang w:val="es-ES_tradnl"/>
        </w:rPr>
      </w:pPr>
      <w:r w:rsidRPr="00303893">
        <w:rPr>
          <w:u w:val="single"/>
          <w:lang w:val="es-ES_tradnl"/>
        </w:rPr>
        <w:t>Objetivo</w:t>
      </w:r>
    </w:p>
    <w:p w:rsidR="009D1CE1" w:rsidRPr="00303893" w:rsidRDefault="009D1CE1" w:rsidP="00126344">
      <w:pPr>
        <w:widowControl w:val="0"/>
        <w:rPr>
          <w:i/>
          <w:lang w:val="es-ES_tradnl"/>
        </w:rPr>
      </w:pPr>
    </w:p>
    <w:p w:rsidR="009D1CE1" w:rsidRPr="00303893" w:rsidRDefault="009D1CE1" w:rsidP="00126344">
      <w:pPr>
        <w:widowControl w:val="0"/>
        <w:rPr>
          <w:i/>
          <w:lang w:val="es-ES_tradnl"/>
        </w:rPr>
      </w:pPr>
      <w:r w:rsidRPr="00303893">
        <w:rPr>
          <w:i/>
          <w:lang w:val="es-ES_tradnl"/>
        </w:rPr>
        <w:t xml:space="preserve">El objetivo de este módulo es brindar un </w:t>
      </w:r>
      <w:r>
        <w:rPr>
          <w:i/>
          <w:lang w:val="es-ES_tradnl"/>
        </w:rPr>
        <w:t xml:space="preserve">panorama </w:t>
      </w:r>
      <w:r w:rsidRPr="00303893">
        <w:rPr>
          <w:i/>
          <w:lang w:val="es-ES_tradnl"/>
        </w:rPr>
        <w:t>de la estructura y las funciones de una oficina de derechos de obtentor.</w:t>
      </w:r>
    </w:p>
    <w:p w:rsidR="009D1CE1" w:rsidRPr="00303893" w:rsidRDefault="009D1CE1" w:rsidP="00126344">
      <w:pPr>
        <w:widowControl w:val="0"/>
        <w:rPr>
          <w:u w:val="single"/>
          <w:lang w:val="es-ES_tradnl"/>
        </w:rPr>
      </w:pPr>
    </w:p>
    <w:p w:rsidR="009D1CE1" w:rsidRPr="00303893" w:rsidRDefault="009D1CE1" w:rsidP="00126344">
      <w:pPr>
        <w:widowControl w:val="0"/>
        <w:rPr>
          <w:u w:val="single"/>
          <w:lang w:val="es-ES_tradnl"/>
        </w:rPr>
      </w:pPr>
    </w:p>
    <w:p w:rsidR="009D1CE1" w:rsidRPr="00303893" w:rsidRDefault="009D1CE1" w:rsidP="00126344">
      <w:pPr>
        <w:widowControl w:val="0"/>
        <w:rPr>
          <w:u w:val="single"/>
          <w:lang w:val="es-ES_tradnl"/>
        </w:rPr>
      </w:pPr>
      <w:r w:rsidRPr="00303893">
        <w:rPr>
          <w:u w:val="single"/>
          <w:lang w:val="es-ES_tradnl"/>
        </w:rPr>
        <w:br w:type="page"/>
      </w:r>
    </w:p>
    <w:p w:rsidR="009D1CE1" w:rsidRPr="002D2F19" w:rsidRDefault="009D1CE1" w:rsidP="006B4C1A">
      <w:pPr>
        <w:pStyle w:val="Heading1"/>
        <w:rPr>
          <w:b/>
          <w:bCs/>
          <w:lang w:val="es-ES_tradnl"/>
        </w:rPr>
      </w:pPr>
      <w:bookmarkStart w:id="37" w:name="_Toc381276330"/>
      <w:r w:rsidRPr="002D2F19">
        <w:rPr>
          <w:lang w:val="es-ES_tradnl"/>
        </w:rPr>
        <w:lastRenderedPageBreak/>
        <w:t>INTRODUCCIÓN</w:t>
      </w:r>
      <w:bookmarkEnd w:id="37"/>
    </w:p>
    <w:p w:rsidR="009D1CE1" w:rsidRPr="00303893" w:rsidRDefault="009D1CE1" w:rsidP="00126344">
      <w:pPr>
        <w:widowControl w:val="0"/>
        <w:rPr>
          <w:lang w:val="es-ES_tradnl"/>
        </w:rPr>
      </w:pPr>
    </w:p>
    <w:p w:rsidR="009D1CE1" w:rsidRPr="00303893" w:rsidRDefault="009D1CE1" w:rsidP="00126344">
      <w:pPr>
        <w:widowControl w:val="0"/>
        <w:rPr>
          <w:lang w:val="es-ES_tradnl"/>
        </w:rPr>
      </w:pPr>
      <w:r w:rsidRPr="00303893">
        <w:rPr>
          <w:lang w:val="es-ES_tradnl"/>
        </w:rPr>
        <w:t>Las solicitudes de derechos de obtentor están sujetas al examen de la autoridad correspondiente en el territorio del miembro de la UPOV de que se trate.  Conforme al Artículo 30</w:t>
      </w:r>
      <w:r>
        <w:rPr>
          <w:lang w:val="es-ES_tradnl"/>
        </w:rPr>
        <w:t xml:space="preserve"> del Acta de 1991 y el Artículo </w:t>
      </w:r>
      <w:r w:rsidRPr="00303893">
        <w:rPr>
          <w:lang w:val="es-ES_tradnl"/>
        </w:rPr>
        <w:t>7 del Acta de 1978 del Convenio de la UPOV, los miembros de la UPOV establecerá</w:t>
      </w:r>
      <w:r>
        <w:rPr>
          <w:lang w:val="es-ES_tradnl"/>
        </w:rPr>
        <w:t>n</w:t>
      </w:r>
      <w:r w:rsidRPr="00303893">
        <w:rPr>
          <w:lang w:val="es-ES_tradnl"/>
        </w:rPr>
        <w:t xml:space="preserve"> una autoridad encargada de conceder derechos de obtentor, denominada también “oficina de derechos de obtentor”</w:t>
      </w:r>
      <w:r>
        <w:rPr>
          <w:lang w:val="es-ES_tradnl"/>
        </w:rPr>
        <w:t xml:space="preserve"> a los fines del presente </w:t>
      </w:r>
      <w:r w:rsidRPr="00303893">
        <w:rPr>
          <w:lang w:val="es-ES_tradnl"/>
        </w:rPr>
        <w:t>curso.  Los miembros de la UPOV también asegurarán la información al público acerca de las solicitudes y la concesión de derechos de obtentor, así como de las denominaciones propuestas y aprobadas.</w:t>
      </w:r>
    </w:p>
    <w:p w:rsidR="009D1CE1" w:rsidRPr="00303893" w:rsidRDefault="009D1CE1" w:rsidP="00126344">
      <w:pPr>
        <w:widowControl w:val="0"/>
        <w:rPr>
          <w:lang w:val="es-ES_tradnl"/>
        </w:rPr>
      </w:pPr>
    </w:p>
    <w:p w:rsidR="009D1CE1" w:rsidRPr="00303893" w:rsidRDefault="009D1CE1" w:rsidP="00126344">
      <w:pPr>
        <w:widowControl w:val="0"/>
        <w:ind w:left="1701" w:right="1703"/>
        <w:rPr>
          <w:lang w:val="es-ES_tradnl"/>
        </w:rPr>
      </w:pPr>
      <w:r w:rsidRPr="00303893">
        <w:rPr>
          <w:lang w:val="es-ES_tradnl"/>
        </w:rPr>
        <w:t>“</w:t>
      </w:r>
      <w:bookmarkStart w:id="38" w:name="a_30"/>
      <w:bookmarkEnd w:id="38"/>
      <w:r w:rsidRPr="002D2F19">
        <w:rPr>
          <w:b/>
          <w:lang w:val="es-ES_tradnl"/>
        </w:rPr>
        <w:t xml:space="preserve">Artículo 30.  </w:t>
      </w:r>
      <w:r w:rsidRPr="00303893">
        <w:rPr>
          <w:b/>
          <w:lang w:val="es-ES_tradnl"/>
        </w:rPr>
        <w:t>Aplicación del Convenio</w:t>
      </w:r>
      <w:r w:rsidRPr="002D2F19">
        <w:rPr>
          <w:b/>
          <w:lang w:val="es-ES_tradnl"/>
        </w:rPr>
        <w:t xml:space="preserve">.  </w:t>
      </w:r>
      <w:r w:rsidRPr="00303893">
        <w:rPr>
          <w:lang w:val="es-ES_tradnl"/>
        </w:rPr>
        <w:t>1) [</w:t>
      </w:r>
      <w:r w:rsidRPr="00303893">
        <w:rPr>
          <w:i/>
          <w:iCs/>
          <w:lang w:val="es-ES_tradnl"/>
        </w:rPr>
        <w:t>…</w:t>
      </w:r>
      <w:r w:rsidRPr="00303893">
        <w:rPr>
          <w:lang w:val="es-ES_tradnl"/>
        </w:rPr>
        <w:t>] Cada Parte Contratante adoptará todas las medidas necesarias para la aplicación del presente Convenio y, concretamente</w:t>
      </w:r>
      <w:r w:rsidRPr="002D2F19">
        <w:rPr>
          <w:lang w:val="es-ES_tradnl"/>
        </w:rPr>
        <w:t xml:space="preserve">:  </w:t>
      </w:r>
      <w:r w:rsidRPr="00303893">
        <w:rPr>
          <w:lang w:val="es-ES_tradnl"/>
        </w:rPr>
        <w:t>[…]</w:t>
      </w:r>
      <w:r w:rsidRPr="002D2F19">
        <w:rPr>
          <w:lang w:val="es-ES_tradnl"/>
        </w:rPr>
        <w:t> ii) </w:t>
      </w:r>
      <w:r w:rsidRPr="00303893">
        <w:rPr>
          <w:lang w:val="es-ES_tradnl"/>
        </w:rPr>
        <w:t>establecerá una autoridad encargada de conceder derechos de obtentor o encargará a la autoridad establecida por otra Parte Contratante de conceder tales derechos;</w:t>
      </w:r>
      <w:r w:rsidRPr="002D2F19">
        <w:rPr>
          <w:lang w:val="es-ES_tradnl"/>
        </w:rPr>
        <w:t xml:space="preserve">  </w:t>
      </w:r>
      <w:r w:rsidRPr="00303893">
        <w:rPr>
          <w:lang w:val="es-ES_tradnl"/>
        </w:rPr>
        <w:t>iii) asegurará la información al público mediante la publicación periódica de informaciones sobre las solicitudes de derechos de obtentor y los derechos de obtentor concedidos, y las denominaciones propuestas y aprobadas.”</w:t>
      </w:r>
    </w:p>
    <w:p w:rsidR="009D1CE1" w:rsidRPr="00303893" w:rsidRDefault="009D1CE1" w:rsidP="00126344">
      <w:pPr>
        <w:widowControl w:val="0"/>
        <w:rPr>
          <w:lang w:val="es-ES_tradnl"/>
        </w:rPr>
      </w:pPr>
    </w:p>
    <w:p w:rsidR="009D1CE1" w:rsidRPr="00303893" w:rsidRDefault="009D1CE1" w:rsidP="00126344">
      <w:pPr>
        <w:widowControl w:val="0"/>
        <w:rPr>
          <w:lang w:val="es-ES_tradnl"/>
        </w:rPr>
      </w:pPr>
      <w:r w:rsidRPr="00303893">
        <w:rPr>
          <w:lang w:val="es-ES_tradnl"/>
        </w:rPr>
        <w:t>El tamaño y la estructura de</w:t>
      </w:r>
      <w:r>
        <w:rPr>
          <w:lang w:val="es-ES_tradnl"/>
        </w:rPr>
        <w:t xml:space="preserve"> una oficina</w:t>
      </w:r>
      <w:r w:rsidRPr="00303893">
        <w:rPr>
          <w:lang w:val="es-ES_tradnl"/>
        </w:rPr>
        <w:t xml:space="preserve"> de derechos de obtentor variarán en función de la forma en que cada miembro de la UPOV prevea aplicar el Convenio de la UPOV y realizar el examen de las solicitudes de derechos de obtentor, en particular.</w:t>
      </w:r>
    </w:p>
    <w:p w:rsidR="009D1CE1" w:rsidRPr="00303893" w:rsidRDefault="009D1CE1" w:rsidP="00126344">
      <w:pPr>
        <w:widowControl w:val="0"/>
        <w:rPr>
          <w:lang w:val="es-ES_tradnl"/>
        </w:rPr>
      </w:pPr>
    </w:p>
    <w:p w:rsidR="009D1CE1" w:rsidRPr="00303893" w:rsidRDefault="009D1CE1" w:rsidP="00126344">
      <w:pPr>
        <w:widowControl w:val="0"/>
        <w:rPr>
          <w:lang w:val="es-ES_tradnl"/>
        </w:rPr>
      </w:pPr>
      <w:r w:rsidRPr="00303893">
        <w:rPr>
          <w:lang w:val="es-ES_tradnl"/>
        </w:rPr>
        <w:t xml:space="preserve">El Artículo 12 del Acta de 1991 y el Artículo 7 del Acta de 1978 del Convenio de la UPOV exigen el examen de las solicitudes de derechos de obtentor.  La decisión de conceder un derecho de obtentor requerirá un examen del cumplimiento de las condiciones de protección, previstas en los Artículos 5 a 9 del Acta de 1991 y el Artículo 6 del Acta de 1978 del Convenio de la UPOV, a saber, los requisitos de novedad, distinción, homogeneidad y estabilidad (DHE), una denominación adecuada y </w:t>
      </w:r>
      <w:r>
        <w:rPr>
          <w:lang w:val="es-ES_tradnl"/>
        </w:rPr>
        <w:t xml:space="preserve">el cumplimiento de </w:t>
      </w:r>
      <w:r w:rsidRPr="00303893">
        <w:rPr>
          <w:lang w:val="es-ES_tradnl"/>
        </w:rPr>
        <w:t>las formalidades previstas.</w:t>
      </w:r>
    </w:p>
    <w:p w:rsidR="009D1CE1" w:rsidRPr="00303893" w:rsidRDefault="009D1CE1" w:rsidP="00126344">
      <w:pPr>
        <w:widowControl w:val="0"/>
        <w:rPr>
          <w:lang w:val="es-ES_tradnl"/>
        </w:rPr>
      </w:pPr>
    </w:p>
    <w:p w:rsidR="009D1CE1" w:rsidRPr="00303893" w:rsidRDefault="009D1CE1" w:rsidP="00126344">
      <w:pPr>
        <w:widowControl w:val="0"/>
        <w:ind w:left="1701" w:right="1703"/>
        <w:rPr>
          <w:lang w:val="es-ES_tradnl"/>
        </w:rPr>
      </w:pPr>
      <w:r w:rsidRPr="00017565">
        <w:rPr>
          <w:bCs/>
          <w:lang w:val="es-ES_tradnl"/>
        </w:rPr>
        <w:t>“</w:t>
      </w:r>
      <w:r w:rsidRPr="00303893">
        <w:rPr>
          <w:b/>
          <w:bCs/>
          <w:lang w:val="es-ES_tradnl"/>
        </w:rPr>
        <w:t>Artículo</w:t>
      </w:r>
      <w:r>
        <w:rPr>
          <w:b/>
          <w:bCs/>
          <w:lang w:val="es-ES_tradnl"/>
        </w:rPr>
        <w:t xml:space="preserve"> </w:t>
      </w:r>
      <w:r w:rsidRPr="00303893">
        <w:rPr>
          <w:b/>
          <w:bCs/>
          <w:lang w:val="es-ES_tradnl"/>
        </w:rPr>
        <w:t>12</w:t>
      </w:r>
      <w:r w:rsidRPr="002D2F19">
        <w:rPr>
          <w:b/>
          <w:bCs/>
          <w:lang w:val="es-ES_tradnl"/>
        </w:rPr>
        <w:t xml:space="preserve">.  </w:t>
      </w:r>
      <w:r w:rsidRPr="00303893">
        <w:rPr>
          <w:b/>
          <w:bCs/>
          <w:lang w:val="es-ES_tradnl"/>
        </w:rPr>
        <w:t>Examen de la solicitud</w:t>
      </w:r>
      <w:r w:rsidRPr="002D2F19">
        <w:rPr>
          <w:b/>
          <w:bCs/>
          <w:lang w:val="es-ES_tradnl"/>
        </w:rPr>
        <w:t xml:space="preserve">.  </w:t>
      </w:r>
      <w:r w:rsidRPr="00303893">
        <w:rPr>
          <w:lang w:val="es-ES_tradnl"/>
        </w:rPr>
        <w:t>La decisión de conceder un derecho de obtentor requerirá un examen del cumplimiento de las condiciones previstas en los Artículos 5 a 9. En el marco de este examen, la autoridad podrá cultivar la variedad o efectuar otros ensayos necesarios, hacer efectuar el cultivo o los otros ensayos necesarios, o tener en cuenta los resultados de los ensayos en cultivo o de otros ensayos ya efectuados. Con vistas a este examen, la autoridad podrá exigir del obtentor toda información, documento o material necesarios”</w:t>
      </w:r>
    </w:p>
    <w:p w:rsidR="009D1CE1" w:rsidRPr="00303893" w:rsidRDefault="009D1CE1" w:rsidP="00126344">
      <w:pPr>
        <w:widowControl w:val="0"/>
        <w:tabs>
          <w:tab w:val="left" w:pos="7371"/>
        </w:tabs>
        <w:ind w:right="1702"/>
        <w:rPr>
          <w:lang w:val="es-ES_tradnl"/>
        </w:rPr>
      </w:pPr>
    </w:p>
    <w:p w:rsidR="009D1CE1" w:rsidRPr="00303893" w:rsidRDefault="009D1CE1" w:rsidP="00126344">
      <w:pPr>
        <w:widowControl w:val="0"/>
        <w:autoSpaceDE w:val="0"/>
        <w:autoSpaceDN w:val="0"/>
        <w:adjustRightInd w:val="0"/>
        <w:rPr>
          <w:lang w:val="es-ES_tradnl"/>
        </w:rPr>
      </w:pPr>
      <w:r w:rsidRPr="00303893">
        <w:rPr>
          <w:lang w:val="es-ES_tradnl"/>
        </w:rPr>
        <w:t>Las oficinas de derecho de obtentor deben adoptar las medidas adecuadas para salvaguardar los intereses legítimos del obtentor con respecto a los documentos, la información y el material presentados en el marco de la solicitud.</w:t>
      </w:r>
    </w:p>
    <w:p w:rsidR="009D1CE1" w:rsidRPr="00303893" w:rsidRDefault="009D1CE1" w:rsidP="00126344">
      <w:pPr>
        <w:widowControl w:val="0"/>
        <w:autoSpaceDE w:val="0"/>
        <w:autoSpaceDN w:val="0"/>
        <w:adjustRightInd w:val="0"/>
        <w:rPr>
          <w:lang w:val="es-ES_tradnl"/>
        </w:rPr>
      </w:pPr>
    </w:p>
    <w:p w:rsidR="009D1CE1" w:rsidRPr="00303893" w:rsidRDefault="009D1CE1" w:rsidP="00126344">
      <w:pPr>
        <w:widowControl w:val="0"/>
        <w:rPr>
          <w:lang w:val="es-ES_tradnl"/>
        </w:rPr>
      </w:pPr>
      <w:r w:rsidRPr="00303893">
        <w:rPr>
          <w:lang w:val="es-ES_tradnl"/>
        </w:rPr>
        <w:t xml:space="preserve">La UPOV ha creado la “Colección de la UPOV”, que contiene material de orientación e información </w:t>
      </w:r>
      <w:r>
        <w:rPr>
          <w:lang w:val="es-ES_tradnl"/>
        </w:rPr>
        <w:t>sobre</w:t>
      </w:r>
      <w:r w:rsidRPr="00303893">
        <w:rPr>
          <w:lang w:val="es-ES_tradnl"/>
        </w:rPr>
        <w:t xml:space="preserve"> la protección de variedades vegetales en virtud del Convenio de la UPOV, y en el que se basa este curso de enseñanza a distancia.  Sin embargo, cabe recordar que las únicas obligaciones vinculantes que tienen los miembros de la Unión son las que figuran en el texto del Convenio de la UPOV, y que el material deberá ser interpretado en consonancia con el Acta respectiva a la que esté adherido el miembro de la Unión.</w:t>
      </w:r>
    </w:p>
    <w:p w:rsidR="009D1CE1" w:rsidRPr="00303893" w:rsidRDefault="009D1CE1" w:rsidP="00126344">
      <w:pPr>
        <w:widowControl w:val="0"/>
        <w:rPr>
          <w:lang w:val="es-ES_tradnl"/>
        </w:rPr>
      </w:pPr>
    </w:p>
    <w:p w:rsidR="009D1CE1" w:rsidRPr="00303893" w:rsidRDefault="009D1CE1" w:rsidP="00126344">
      <w:pPr>
        <w:widowControl w:val="0"/>
        <w:rPr>
          <w:lang w:val="es-ES_tradnl"/>
        </w:rPr>
      </w:pPr>
      <w:r w:rsidRPr="00303893">
        <w:rPr>
          <w:lang w:val="es-ES_tradnl"/>
        </w:rPr>
        <w:t xml:space="preserve">En el </w:t>
      </w:r>
      <w:hyperlink r:id="rId15" w:history="1">
        <w:r w:rsidRPr="00017565">
          <w:rPr>
            <w:u w:val="single"/>
            <w:lang w:val="es-ES_tradnl"/>
          </w:rPr>
          <w:t>Índice</w:t>
        </w:r>
      </w:hyperlink>
      <w:r w:rsidRPr="00303893">
        <w:rPr>
          <w:lang w:val="es-ES_tradnl"/>
        </w:rPr>
        <w:t xml:space="preserve"> de la Colección de la UPOV, que puede consultarse en el sitio Web de la UPOV y que se reproduce a continuación,</w:t>
      </w:r>
      <w:r w:rsidRPr="002D2F19">
        <w:rPr>
          <w:vertAlign w:val="superscript"/>
          <w:lang w:val="es-ES_tradnl"/>
        </w:rPr>
        <w:footnoteReference w:id="2"/>
      </w:r>
      <w:r w:rsidRPr="00303893">
        <w:rPr>
          <w:lang w:val="es-ES_tradnl"/>
        </w:rPr>
        <w:t xml:space="preserve"> figura el listado actualizado y la condición del material contenido en la Colección.  Todas las personas designadas en los órganos de la UPOV recibirán una notificación electrónica cada vez que se publique una actualización de la Colección de la UPOV.  Los demás usuarios pueden </w:t>
      </w:r>
      <w:hyperlink r:id="rId16" w:history="1">
        <w:r w:rsidRPr="00017565">
          <w:rPr>
            <w:u w:val="single"/>
            <w:lang w:val="es-ES_tradnl"/>
          </w:rPr>
          <w:t>suscribirse</w:t>
        </w:r>
      </w:hyperlink>
      <w:r w:rsidRPr="00303893">
        <w:rPr>
          <w:lang w:val="es-ES_tradnl"/>
        </w:rPr>
        <w:t xml:space="preserve"> al envío de una notificación electrónica cada vez que se actualice la Colección de la UPOV.</w:t>
      </w:r>
    </w:p>
    <w:p w:rsidR="009D1CE1" w:rsidRPr="002D2F19" w:rsidRDefault="009D1CE1" w:rsidP="00126344">
      <w:pPr>
        <w:widowControl w:val="0"/>
        <w:rPr>
          <w:lang w:val="es-ES_tradnl"/>
        </w:rPr>
      </w:pPr>
    </w:p>
    <w:p w:rsidR="009D1CE1" w:rsidRPr="001E2732" w:rsidRDefault="009D1CE1" w:rsidP="009D1CE1">
      <w:pPr>
        <w:keepNext/>
        <w:widowControl w:val="0"/>
        <w:rPr>
          <w:u w:val="single"/>
          <w:lang w:val="es-ES_tradnl"/>
        </w:rPr>
      </w:pPr>
      <w:r w:rsidRPr="001E2732">
        <w:rPr>
          <w:u w:val="single"/>
          <w:lang w:val="es-ES_tradnl"/>
        </w:rPr>
        <w:lastRenderedPageBreak/>
        <w:t>Índice</w:t>
      </w:r>
    </w:p>
    <w:p w:rsidR="009D1CE1" w:rsidRPr="00303893" w:rsidRDefault="009D1CE1" w:rsidP="009D1CE1">
      <w:pPr>
        <w:keepNext/>
        <w:widowControl w:val="0"/>
        <w:rPr>
          <w:lang w:val="es-ES_tradnl"/>
        </w:rPr>
      </w:pPr>
    </w:p>
    <w:tbl>
      <w:tblPr>
        <w:tblW w:w="5000" w:type="pct"/>
        <w:shd w:val="clear" w:color="auto" w:fill="FFFFFF"/>
        <w:tblLayout w:type="fixed"/>
        <w:tblCellMar>
          <w:top w:w="57" w:type="dxa"/>
          <w:left w:w="57" w:type="dxa"/>
          <w:bottom w:w="28" w:type="dxa"/>
          <w:right w:w="57" w:type="dxa"/>
        </w:tblCellMar>
        <w:tblLook w:val="04A0" w:firstRow="1" w:lastRow="0" w:firstColumn="1" w:lastColumn="0" w:noHBand="0" w:noVBand="1"/>
      </w:tblPr>
      <w:tblGrid>
        <w:gridCol w:w="468"/>
        <w:gridCol w:w="9285"/>
      </w:tblGrid>
      <w:tr w:rsidR="009D1CE1" w:rsidTr="009D1CE1">
        <w:tc>
          <w:tcPr>
            <w:tcW w:w="484" w:type="dxa"/>
            <w:shd w:val="clear" w:color="auto" w:fill="FFFFFF"/>
            <w:hideMark/>
          </w:tcPr>
          <w:p w:rsidR="009D1CE1" w:rsidRDefault="00BE5E5D" w:rsidP="009D1CE1">
            <w:pPr>
              <w:jc w:val="left"/>
              <w:rPr>
                <w:rFonts w:cs="Arial"/>
                <w:color w:val="333333"/>
                <w:sz w:val="18"/>
                <w:szCs w:val="18"/>
              </w:rPr>
            </w:pPr>
            <w:r>
              <w:rPr>
                <w:rFonts w:cs="Arial"/>
                <w:color w:val="333333"/>
                <w:sz w:val="18"/>
                <w:szCs w:val="18"/>
              </w:rPr>
              <w:t>(</w:t>
            </w:r>
            <w:r w:rsidR="009D1CE1">
              <w:rPr>
                <w:rFonts w:cs="Arial"/>
                <w:color w:val="333333"/>
                <w:sz w:val="18"/>
                <w:szCs w:val="18"/>
              </w:rPr>
              <w:t>a)  </w:t>
            </w:r>
          </w:p>
        </w:tc>
        <w:tc>
          <w:tcPr>
            <w:tcW w:w="4760" w:type="pct"/>
            <w:shd w:val="clear" w:color="auto" w:fill="FFFFFF"/>
            <w:hideMark/>
          </w:tcPr>
          <w:p w:rsidR="009D1CE1" w:rsidRDefault="009D1CE1" w:rsidP="009D1CE1">
            <w:pPr>
              <w:jc w:val="left"/>
              <w:rPr>
                <w:rFonts w:cs="Arial"/>
                <w:color w:val="333333"/>
                <w:sz w:val="18"/>
                <w:szCs w:val="18"/>
              </w:rPr>
            </w:pPr>
            <w:proofErr w:type="spellStart"/>
            <w:r w:rsidRPr="009D1CE1">
              <w:rPr>
                <w:rFonts w:cs="Arial"/>
                <w:color w:val="333333"/>
                <w:sz w:val="18"/>
                <w:szCs w:val="18"/>
              </w:rPr>
              <w:t>Convenio</w:t>
            </w:r>
            <w:proofErr w:type="spellEnd"/>
            <w:r w:rsidRPr="009D1CE1">
              <w:rPr>
                <w:rFonts w:cs="Arial"/>
                <w:color w:val="333333"/>
                <w:sz w:val="18"/>
                <w:szCs w:val="18"/>
              </w:rPr>
              <w:t xml:space="preserve"> de la </w:t>
            </w:r>
            <w:r>
              <w:rPr>
                <w:rFonts w:cs="Arial"/>
                <w:color w:val="333333"/>
                <w:sz w:val="18"/>
                <w:szCs w:val="18"/>
              </w:rPr>
              <w:t>UPOV</w:t>
            </w:r>
          </w:p>
        </w:tc>
      </w:tr>
      <w:tr w:rsidR="009D1CE1" w:rsidRPr="00126344" w:rsidTr="009D1CE1">
        <w:tc>
          <w:tcPr>
            <w:tcW w:w="484" w:type="dxa"/>
            <w:shd w:val="clear" w:color="auto" w:fill="FFFFFF"/>
            <w:hideMark/>
          </w:tcPr>
          <w:p w:rsidR="009D1CE1" w:rsidRDefault="009D1CE1" w:rsidP="009D1CE1">
            <w:pPr>
              <w:jc w:val="left"/>
              <w:rPr>
                <w:rFonts w:cs="Arial"/>
                <w:color w:val="333333"/>
                <w:sz w:val="18"/>
                <w:szCs w:val="18"/>
              </w:rPr>
            </w:pPr>
            <w:r>
              <w:rPr>
                <w:rFonts w:cs="Arial"/>
                <w:color w:val="333333"/>
                <w:sz w:val="18"/>
                <w:szCs w:val="18"/>
              </w:rPr>
              <w:t>(b) </w:t>
            </w:r>
          </w:p>
        </w:tc>
        <w:tc>
          <w:tcPr>
            <w:tcW w:w="4760" w:type="pct"/>
            <w:shd w:val="clear" w:color="auto" w:fill="FFFFFF"/>
            <w:hideMark/>
          </w:tcPr>
          <w:p w:rsidR="009D1CE1" w:rsidRPr="00126344" w:rsidRDefault="009D1CE1" w:rsidP="009D1CE1">
            <w:pPr>
              <w:jc w:val="left"/>
              <w:rPr>
                <w:rFonts w:cs="Arial"/>
                <w:color w:val="333333"/>
                <w:sz w:val="18"/>
                <w:szCs w:val="18"/>
                <w:lang w:val="es-ES"/>
              </w:rPr>
            </w:pPr>
            <w:r w:rsidRPr="00126344">
              <w:rPr>
                <w:rFonts w:cs="Arial"/>
                <w:color w:val="333333"/>
                <w:sz w:val="18"/>
                <w:szCs w:val="18"/>
                <w:lang w:val="es-ES"/>
              </w:rPr>
              <w:t>Series de documentos UPOV/INF</w:t>
            </w:r>
          </w:p>
        </w:tc>
      </w:tr>
      <w:tr w:rsidR="009D1CE1" w:rsidRPr="00126344" w:rsidTr="009D1CE1">
        <w:tc>
          <w:tcPr>
            <w:tcW w:w="484" w:type="dxa"/>
            <w:shd w:val="clear" w:color="auto" w:fill="FFFFFF"/>
            <w:hideMark/>
          </w:tcPr>
          <w:p w:rsidR="009D1CE1" w:rsidRDefault="009D1CE1" w:rsidP="009D1CE1">
            <w:pPr>
              <w:jc w:val="left"/>
              <w:rPr>
                <w:rFonts w:cs="Arial"/>
                <w:color w:val="333333"/>
                <w:sz w:val="18"/>
                <w:szCs w:val="18"/>
              </w:rPr>
            </w:pPr>
            <w:r>
              <w:rPr>
                <w:rFonts w:cs="Arial"/>
                <w:color w:val="333333"/>
                <w:sz w:val="18"/>
                <w:szCs w:val="18"/>
              </w:rPr>
              <w:t>(c)  </w:t>
            </w:r>
          </w:p>
        </w:tc>
        <w:tc>
          <w:tcPr>
            <w:tcW w:w="4760" w:type="pct"/>
            <w:shd w:val="clear" w:color="auto" w:fill="FFFFFF"/>
            <w:hideMark/>
          </w:tcPr>
          <w:p w:rsidR="009D1CE1" w:rsidRPr="00126344" w:rsidRDefault="009D1CE1" w:rsidP="009D1CE1">
            <w:pPr>
              <w:jc w:val="left"/>
              <w:rPr>
                <w:rFonts w:cs="Arial"/>
                <w:color w:val="333333"/>
                <w:sz w:val="18"/>
                <w:szCs w:val="18"/>
                <w:lang w:val="es-ES"/>
              </w:rPr>
            </w:pPr>
            <w:r w:rsidRPr="00126344">
              <w:rPr>
                <w:rFonts w:cs="Arial"/>
                <w:color w:val="333333"/>
                <w:sz w:val="18"/>
                <w:szCs w:val="18"/>
                <w:lang w:val="es-ES"/>
              </w:rPr>
              <w:t>Notas explicativas sobre el Convenio de la UPOV</w:t>
            </w:r>
          </w:p>
        </w:tc>
      </w:tr>
      <w:tr w:rsidR="009D1CE1" w:rsidRPr="00126344" w:rsidTr="009D1CE1">
        <w:tc>
          <w:tcPr>
            <w:tcW w:w="484" w:type="dxa"/>
            <w:shd w:val="clear" w:color="auto" w:fill="FFFFFF"/>
            <w:hideMark/>
          </w:tcPr>
          <w:p w:rsidR="009D1CE1" w:rsidRDefault="009D1CE1" w:rsidP="009D1CE1">
            <w:pPr>
              <w:jc w:val="left"/>
              <w:rPr>
                <w:rFonts w:cs="Arial"/>
                <w:color w:val="333333"/>
                <w:sz w:val="18"/>
                <w:szCs w:val="18"/>
              </w:rPr>
            </w:pPr>
            <w:r>
              <w:rPr>
                <w:rFonts w:cs="Arial"/>
                <w:color w:val="333333"/>
                <w:sz w:val="18"/>
                <w:szCs w:val="18"/>
              </w:rPr>
              <w:t>(d)  </w:t>
            </w:r>
          </w:p>
        </w:tc>
        <w:tc>
          <w:tcPr>
            <w:tcW w:w="4760" w:type="pct"/>
            <w:shd w:val="clear" w:color="auto" w:fill="FFFFFF"/>
            <w:hideMark/>
          </w:tcPr>
          <w:p w:rsidR="009D1CE1" w:rsidRPr="00126344" w:rsidRDefault="009D1CE1" w:rsidP="009D1CE1">
            <w:pPr>
              <w:jc w:val="left"/>
              <w:rPr>
                <w:rFonts w:cs="Arial"/>
                <w:color w:val="333333"/>
                <w:sz w:val="18"/>
                <w:szCs w:val="18"/>
                <w:lang w:val="es-ES"/>
              </w:rPr>
            </w:pPr>
            <w:r w:rsidRPr="00126344">
              <w:rPr>
                <w:rFonts w:cs="Arial"/>
                <w:color w:val="333333"/>
                <w:sz w:val="18"/>
                <w:szCs w:val="18"/>
                <w:lang w:val="es-ES"/>
              </w:rPr>
              <w:t>Introducción general al examen de la distinción, la homogeneidad y la estabilidad y a la elaboración de descripciones armonizadas de las obtenciones vegetales (documento TG/1/3)</w:t>
            </w:r>
          </w:p>
        </w:tc>
      </w:tr>
      <w:tr w:rsidR="009D1CE1" w:rsidTr="009D1CE1">
        <w:tc>
          <w:tcPr>
            <w:tcW w:w="484" w:type="dxa"/>
            <w:shd w:val="clear" w:color="auto" w:fill="FFFFFF"/>
            <w:hideMark/>
          </w:tcPr>
          <w:p w:rsidR="009D1CE1" w:rsidRDefault="009D1CE1" w:rsidP="009D1CE1">
            <w:pPr>
              <w:jc w:val="left"/>
              <w:rPr>
                <w:rFonts w:cs="Arial"/>
                <w:color w:val="333333"/>
                <w:sz w:val="18"/>
                <w:szCs w:val="18"/>
              </w:rPr>
            </w:pPr>
            <w:r>
              <w:rPr>
                <w:rFonts w:cs="Arial"/>
                <w:color w:val="333333"/>
                <w:sz w:val="18"/>
                <w:szCs w:val="18"/>
              </w:rPr>
              <w:t>(e) </w:t>
            </w:r>
          </w:p>
        </w:tc>
        <w:tc>
          <w:tcPr>
            <w:tcW w:w="4760" w:type="pct"/>
            <w:shd w:val="clear" w:color="auto" w:fill="FFFFFF"/>
            <w:hideMark/>
          </w:tcPr>
          <w:p w:rsidR="009D1CE1" w:rsidRDefault="009D1CE1" w:rsidP="009D1CE1">
            <w:pPr>
              <w:jc w:val="left"/>
              <w:rPr>
                <w:rFonts w:cs="Arial"/>
                <w:color w:val="333333"/>
                <w:sz w:val="18"/>
                <w:szCs w:val="18"/>
              </w:rPr>
            </w:pPr>
            <w:proofErr w:type="spellStart"/>
            <w:r w:rsidRPr="009D1CE1">
              <w:rPr>
                <w:rFonts w:cs="Arial"/>
                <w:color w:val="333333"/>
                <w:sz w:val="18"/>
                <w:szCs w:val="18"/>
              </w:rPr>
              <w:t>Documentos</w:t>
            </w:r>
            <w:proofErr w:type="spellEnd"/>
            <w:r w:rsidRPr="009D1CE1">
              <w:rPr>
                <w:rFonts w:cs="Arial"/>
                <w:color w:val="333333"/>
                <w:sz w:val="18"/>
                <w:szCs w:val="18"/>
              </w:rPr>
              <w:t xml:space="preserve"> TGP</w:t>
            </w:r>
          </w:p>
        </w:tc>
      </w:tr>
      <w:tr w:rsidR="009D1CE1" w:rsidTr="009D1CE1">
        <w:tc>
          <w:tcPr>
            <w:tcW w:w="484" w:type="dxa"/>
            <w:shd w:val="clear" w:color="auto" w:fill="FFFFFF"/>
            <w:hideMark/>
          </w:tcPr>
          <w:p w:rsidR="009D1CE1" w:rsidRDefault="009D1CE1" w:rsidP="009D1CE1">
            <w:pPr>
              <w:jc w:val="left"/>
              <w:rPr>
                <w:rFonts w:cs="Arial"/>
                <w:color w:val="333333"/>
                <w:sz w:val="18"/>
                <w:szCs w:val="18"/>
              </w:rPr>
            </w:pPr>
            <w:r>
              <w:rPr>
                <w:rFonts w:cs="Arial"/>
                <w:color w:val="333333"/>
                <w:sz w:val="18"/>
                <w:szCs w:val="18"/>
              </w:rPr>
              <w:t>(f) </w:t>
            </w:r>
          </w:p>
        </w:tc>
        <w:tc>
          <w:tcPr>
            <w:tcW w:w="4760" w:type="pct"/>
            <w:shd w:val="clear" w:color="auto" w:fill="FFFFFF"/>
            <w:hideMark/>
          </w:tcPr>
          <w:p w:rsidR="009D1CE1" w:rsidRDefault="009D1CE1" w:rsidP="009D1CE1">
            <w:pPr>
              <w:jc w:val="left"/>
              <w:rPr>
                <w:rFonts w:cs="Arial"/>
                <w:color w:val="333333"/>
                <w:sz w:val="18"/>
                <w:szCs w:val="18"/>
              </w:rPr>
            </w:pPr>
            <w:proofErr w:type="spellStart"/>
            <w:r w:rsidRPr="009D1CE1">
              <w:rPr>
                <w:rFonts w:cs="Arial"/>
                <w:color w:val="333333"/>
                <w:sz w:val="18"/>
                <w:szCs w:val="18"/>
              </w:rPr>
              <w:t>Directrices</w:t>
            </w:r>
            <w:proofErr w:type="spellEnd"/>
            <w:r w:rsidRPr="009D1CE1">
              <w:rPr>
                <w:rFonts w:cs="Arial"/>
                <w:color w:val="333333"/>
                <w:sz w:val="18"/>
                <w:szCs w:val="18"/>
              </w:rPr>
              <w:t xml:space="preserve"> de </w:t>
            </w:r>
            <w:proofErr w:type="spellStart"/>
            <w:r w:rsidRPr="009D1CE1">
              <w:rPr>
                <w:rFonts w:cs="Arial"/>
                <w:color w:val="333333"/>
                <w:sz w:val="18"/>
                <w:szCs w:val="18"/>
              </w:rPr>
              <w:t>examen</w:t>
            </w:r>
            <w:proofErr w:type="spellEnd"/>
          </w:p>
        </w:tc>
      </w:tr>
      <w:tr w:rsidR="009D1CE1" w:rsidRPr="00126344" w:rsidTr="009D1CE1">
        <w:tc>
          <w:tcPr>
            <w:tcW w:w="484" w:type="dxa"/>
            <w:shd w:val="clear" w:color="auto" w:fill="FFFFFF"/>
            <w:hideMark/>
          </w:tcPr>
          <w:p w:rsidR="009D1CE1" w:rsidRDefault="009D1CE1" w:rsidP="009D1CE1">
            <w:pPr>
              <w:jc w:val="left"/>
              <w:rPr>
                <w:rFonts w:cs="Arial"/>
                <w:color w:val="333333"/>
                <w:sz w:val="18"/>
                <w:szCs w:val="18"/>
              </w:rPr>
            </w:pPr>
            <w:r>
              <w:rPr>
                <w:rFonts w:cs="Arial"/>
                <w:color w:val="333333"/>
                <w:sz w:val="18"/>
                <w:szCs w:val="18"/>
              </w:rPr>
              <w:t>(g) </w:t>
            </w:r>
          </w:p>
        </w:tc>
        <w:tc>
          <w:tcPr>
            <w:tcW w:w="4760" w:type="pct"/>
            <w:shd w:val="clear" w:color="auto" w:fill="FFFFFF"/>
            <w:hideMark/>
          </w:tcPr>
          <w:p w:rsidR="009D1CE1" w:rsidRPr="00126344" w:rsidRDefault="009D1CE1" w:rsidP="009D1CE1">
            <w:pPr>
              <w:jc w:val="left"/>
              <w:rPr>
                <w:rFonts w:cs="Arial"/>
                <w:color w:val="333333"/>
                <w:sz w:val="18"/>
                <w:szCs w:val="18"/>
                <w:lang w:val="es-ES"/>
              </w:rPr>
            </w:pPr>
            <w:r w:rsidRPr="00126344">
              <w:rPr>
                <w:rFonts w:cs="Arial"/>
                <w:color w:val="333333"/>
                <w:sz w:val="18"/>
                <w:szCs w:val="18"/>
                <w:lang w:val="es-ES"/>
              </w:rPr>
              <w:t xml:space="preserve">Colección de leyes y tratados de la UPOV (UPOV </w:t>
            </w:r>
            <w:proofErr w:type="spellStart"/>
            <w:r w:rsidRPr="00126344">
              <w:rPr>
                <w:rFonts w:cs="Arial"/>
                <w:color w:val="333333"/>
                <w:sz w:val="18"/>
                <w:szCs w:val="18"/>
                <w:lang w:val="es-ES"/>
              </w:rPr>
              <w:t>Lex</w:t>
            </w:r>
            <w:proofErr w:type="spellEnd"/>
            <w:r w:rsidRPr="00126344">
              <w:rPr>
                <w:rFonts w:cs="Arial"/>
                <w:color w:val="333333"/>
                <w:sz w:val="18"/>
                <w:szCs w:val="18"/>
                <w:lang w:val="es-ES"/>
              </w:rPr>
              <w:t>)</w:t>
            </w:r>
          </w:p>
        </w:tc>
      </w:tr>
      <w:tr w:rsidR="009D1CE1" w:rsidRPr="00126344" w:rsidTr="009D1CE1">
        <w:tc>
          <w:tcPr>
            <w:tcW w:w="484" w:type="dxa"/>
            <w:shd w:val="clear" w:color="auto" w:fill="FFFFFF"/>
            <w:hideMark/>
          </w:tcPr>
          <w:p w:rsidR="009D1CE1" w:rsidRDefault="009D1CE1" w:rsidP="009D1CE1">
            <w:pPr>
              <w:jc w:val="left"/>
              <w:rPr>
                <w:rFonts w:cs="Arial"/>
                <w:color w:val="333333"/>
                <w:sz w:val="18"/>
                <w:szCs w:val="18"/>
              </w:rPr>
            </w:pPr>
            <w:r>
              <w:rPr>
                <w:rFonts w:cs="Arial"/>
                <w:color w:val="333333"/>
                <w:sz w:val="18"/>
                <w:szCs w:val="18"/>
              </w:rPr>
              <w:t>(h)  </w:t>
            </w:r>
          </w:p>
        </w:tc>
        <w:tc>
          <w:tcPr>
            <w:tcW w:w="4760" w:type="pct"/>
            <w:shd w:val="clear" w:color="auto" w:fill="FFFFFF"/>
            <w:hideMark/>
          </w:tcPr>
          <w:p w:rsidR="009D1CE1" w:rsidRPr="00126344" w:rsidRDefault="009D1CE1" w:rsidP="009D1CE1">
            <w:pPr>
              <w:jc w:val="left"/>
              <w:rPr>
                <w:rFonts w:cs="Arial"/>
                <w:color w:val="333333"/>
                <w:sz w:val="18"/>
                <w:szCs w:val="18"/>
                <w:lang w:val="es-ES"/>
              </w:rPr>
            </w:pPr>
            <w:r w:rsidRPr="00126344">
              <w:rPr>
                <w:rFonts w:cs="Arial"/>
                <w:color w:val="333333"/>
                <w:sz w:val="18"/>
                <w:szCs w:val="18"/>
                <w:lang w:val="es-ES"/>
              </w:rPr>
              <w:t>Lista de miembros de la UPOV</w:t>
            </w:r>
          </w:p>
        </w:tc>
      </w:tr>
      <w:tr w:rsidR="009D1CE1" w:rsidRPr="00126344" w:rsidTr="009D1CE1">
        <w:tc>
          <w:tcPr>
            <w:tcW w:w="484" w:type="dxa"/>
            <w:shd w:val="clear" w:color="auto" w:fill="FFFFFF"/>
            <w:hideMark/>
          </w:tcPr>
          <w:p w:rsidR="009D1CE1" w:rsidRDefault="009D1CE1" w:rsidP="009D1CE1">
            <w:pPr>
              <w:jc w:val="left"/>
              <w:rPr>
                <w:rFonts w:cs="Arial"/>
                <w:color w:val="333333"/>
                <w:sz w:val="18"/>
                <w:szCs w:val="18"/>
              </w:rPr>
            </w:pPr>
            <w:r>
              <w:rPr>
                <w:rFonts w:cs="Arial"/>
                <w:color w:val="333333"/>
                <w:sz w:val="18"/>
                <w:szCs w:val="18"/>
              </w:rPr>
              <w:t>(</w:t>
            </w:r>
            <w:proofErr w:type="spellStart"/>
            <w:r>
              <w:rPr>
                <w:rFonts w:cs="Arial"/>
                <w:color w:val="333333"/>
                <w:sz w:val="18"/>
                <w:szCs w:val="18"/>
              </w:rPr>
              <w:t>i</w:t>
            </w:r>
            <w:proofErr w:type="spellEnd"/>
            <w:r>
              <w:rPr>
                <w:rFonts w:cs="Arial"/>
                <w:color w:val="333333"/>
                <w:sz w:val="18"/>
                <w:szCs w:val="18"/>
              </w:rPr>
              <w:t>) </w:t>
            </w:r>
          </w:p>
        </w:tc>
        <w:tc>
          <w:tcPr>
            <w:tcW w:w="4760" w:type="pct"/>
            <w:shd w:val="clear" w:color="auto" w:fill="FFFFFF"/>
            <w:hideMark/>
          </w:tcPr>
          <w:p w:rsidR="009D1CE1" w:rsidRPr="00126344" w:rsidRDefault="009D1CE1" w:rsidP="009D1CE1">
            <w:pPr>
              <w:jc w:val="left"/>
              <w:rPr>
                <w:rFonts w:cs="Arial"/>
                <w:color w:val="333333"/>
                <w:sz w:val="18"/>
                <w:szCs w:val="18"/>
                <w:lang w:val="es-ES"/>
              </w:rPr>
            </w:pPr>
            <w:r w:rsidRPr="00126344">
              <w:rPr>
                <w:rFonts w:cs="Arial"/>
                <w:color w:val="333333"/>
                <w:sz w:val="18"/>
                <w:szCs w:val="18"/>
                <w:lang w:val="es-ES"/>
              </w:rPr>
              <w:t>Directorio de las oficinas de protección de las obtenciones vegetales</w:t>
            </w:r>
          </w:p>
        </w:tc>
      </w:tr>
      <w:tr w:rsidR="009D1CE1" w:rsidTr="009D1CE1">
        <w:tc>
          <w:tcPr>
            <w:tcW w:w="484" w:type="dxa"/>
            <w:shd w:val="clear" w:color="auto" w:fill="FFFFFF"/>
            <w:hideMark/>
          </w:tcPr>
          <w:p w:rsidR="009D1CE1" w:rsidRDefault="009D1CE1" w:rsidP="009D1CE1">
            <w:pPr>
              <w:jc w:val="left"/>
              <w:rPr>
                <w:rFonts w:cs="Arial"/>
                <w:color w:val="333333"/>
                <w:sz w:val="18"/>
                <w:szCs w:val="18"/>
              </w:rPr>
            </w:pPr>
            <w:r>
              <w:rPr>
                <w:rFonts w:cs="Arial"/>
                <w:color w:val="333333"/>
                <w:sz w:val="18"/>
                <w:szCs w:val="18"/>
              </w:rPr>
              <w:t>(j)  </w:t>
            </w:r>
          </w:p>
        </w:tc>
        <w:tc>
          <w:tcPr>
            <w:tcW w:w="4760" w:type="pct"/>
            <w:shd w:val="clear" w:color="auto" w:fill="FFFFFF"/>
            <w:hideMark/>
          </w:tcPr>
          <w:p w:rsidR="009D1CE1" w:rsidRDefault="009D1CE1" w:rsidP="009D1CE1">
            <w:pPr>
              <w:jc w:val="left"/>
              <w:rPr>
                <w:rFonts w:cs="Arial"/>
                <w:color w:val="333333"/>
                <w:sz w:val="18"/>
                <w:szCs w:val="18"/>
              </w:rPr>
            </w:pPr>
            <w:proofErr w:type="spellStart"/>
            <w:r w:rsidRPr="009D1CE1">
              <w:rPr>
                <w:rFonts w:cs="Arial"/>
                <w:color w:val="333333"/>
                <w:sz w:val="18"/>
                <w:szCs w:val="18"/>
              </w:rPr>
              <w:t>Organigrama</w:t>
            </w:r>
            <w:proofErr w:type="spellEnd"/>
            <w:r w:rsidRPr="009D1CE1">
              <w:rPr>
                <w:rFonts w:cs="Arial"/>
                <w:color w:val="333333"/>
                <w:sz w:val="18"/>
                <w:szCs w:val="18"/>
              </w:rPr>
              <w:t xml:space="preserve"> de la </w:t>
            </w:r>
            <w:r>
              <w:rPr>
                <w:rFonts w:cs="Arial"/>
                <w:color w:val="333333"/>
                <w:sz w:val="18"/>
                <w:szCs w:val="18"/>
              </w:rPr>
              <w:t>UPOV</w:t>
            </w:r>
          </w:p>
        </w:tc>
      </w:tr>
      <w:tr w:rsidR="009D1CE1" w:rsidRPr="00126344" w:rsidTr="009D1CE1">
        <w:tc>
          <w:tcPr>
            <w:tcW w:w="484" w:type="dxa"/>
            <w:shd w:val="clear" w:color="auto" w:fill="FFFFFF"/>
            <w:hideMark/>
          </w:tcPr>
          <w:p w:rsidR="009D1CE1" w:rsidRDefault="009D1CE1" w:rsidP="009D1CE1">
            <w:pPr>
              <w:jc w:val="left"/>
              <w:rPr>
                <w:rFonts w:cs="Arial"/>
                <w:color w:val="333333"/>
                <w:sz w:val="18"/>
                <w:szCs w:val="18"/>
              </w:rPr>
            </w:pPr>
            <w:r>
              <w:rPr>
                <w:rFonts w:cs="Arial"/>
                <w:color w:val="333333"/>
                <w:sz w:val="18"/>
                <w:szCs w:val="18"/>
              </w:rPr>
              <w:t>(k)</w:t>
            </w:r>
          </w:p>
        </w:tc>
        <w:tc>
          <w:tcPr>
            <w:tcW w:w="4760" w:type="pct"/>
            <w:shd w:val="clear" w:color="auto" w:fill="FFFFFF"/>
            <w:hideMark/>
          </w:tcPr>
          <w:p w:rsidR="009D1CE1" w:rsidRDefault="009D1CE1" w:rsidP="009D1CE1">
            <w:pPr>
              <w:jc w:val="left"/>
              <w:rPr>
                <w:rFonts w:cs="Arial"/>
                <w:color w:val="333333"/>
                <w:sz w:val="18"/>
                <w:szCs w:val="18"/>
              </w:rPr>
            </w:pPr>
            <w:r>
              <w:rPr>
                <w:rFonts w:cs="Arial"/>
                <w:color w:val="333333"/>
                <w:sz w:val="18"/>
                <w:szCs w:val="18"/>
              </w:rPr>
              <w:t xml:space="preserve">Bases de </w:t>
            </w:r>
            <w:proofErr w:type="spellStart"/>
            <w:r>
              <w:rPr>
                <w:rFonts w:cs="Arial"/>
                <w:color w:val="333333"/>
                <w:sz w:val="18"/>
                <w:szCs w:val="18"/>
              </w:rPr>
              <w:t>datos</w:t>
            </w:r>
            <w:proofErr w:type="spellEnd"/>
            <w:r>
              <w:rPr>
                <w:rFonts w:cs="Arial"/>
                <w:color w:val="333333"/>
                <w:sz w:val="18"/>
                <w:szCs w:val="18"/>
              </w:rPr>
              <w:t xml:space="preserve"> e </w:t>
            </w:r>
            <w:proofErr w:type="spellStart"/>
            <w:r>
              <w:rPr>
                <w:rFonts w:cs="Arial"/>
                <w:color w:val="333333"/>
                <w:sz w:val="18"/>
                <w:szCs w:val="18"/>
              </w:rPr>
              <w:t>informes</w:t>
            </w:r>
            <w:proofErr w:type="spellEnd"/>
          </w:p>
          <w:p w:rsidR="009D1CE1" w:rsidRPr="00126344" w:rsidRDefault="009D1CE1" w:rsidP="009D1CE1">
            <w:pPr>
              <w:numPr>
                <w:ilvl w:val="0"/>
                <w:numId w:val="11"/>
              </w:numPr>
              <w:spacing w:after="75"/>
              <w:ind w:right="300"/>
              <w:jc w:val="left"/>
              <w:rPr>
                <w:rFonts w:cs="Arial"/>
                <w:color w:val="333333"/>
                <w:sz w:val="18"/>
                <w:szCs w:val="18"/>
                <w:lang w:val="es-ES"/>
              </w:rPr>
            </w:pPr>
            <w:r w:rsidRPr="00126344">
              <w:rPr>
                <w:rFonts w:cs="Arial"/>
                <w:color w:val="333333"/>
                <w:sz w:val="18"/>
                <w:szCs w:val="18"/>
                <w:lang w:val="es-ES"/>
              </w:rPr>
              <w:t>Lista de los taxones protegidos en los Estados miembros de la Unión</w:t>
            </w:r>
          </w:p>
          <w:p w:rsidR="009D1CE1" w:rsidRDefault="009D1CE1" w:rsidP="009D1CE1">
            <w:pPr>
              <w:numPr>
                <w:ilvl w:val="0"/>
                <w:numId w:val="11"/>
              </w:numPr>
              <w:spacing w:after="75"/>
              <w:ind w:right="300"/>
              <w:jc w:val="left"/>
              <w:rPr>
                <w:rFonts w:cs="Arial"/>
                <w:color w:val="333333"/>
                <w:sz w:val="18"/>
                <w:szCs w:val="18"/>
              </w:rPr>
            </w:pPr>
            <w:proofErr w:type="spellStart"/>
            <w:r w:rsidRPr="009D1CE1">
              <w:rPr>
                <w:rFonts w:cs="Arial"/>
                <w:color w:val="333333"/>
                <w:sz w:val="18"/>
                <w:szCs w:val="18"/>
              </w:rPr>
              <w:t>Cooperación</w:t>
            </w:r>
            <w:proofErr w:type="spellEnd"/>
            <w:r w:rsidRPr="009D1CE1">
              <w:rPr>
                <w:rFonts w:cs="Arial"/>
                <w:color w:val="333333"/>
                <w:sz w:val="18"/>
                <w:szCs w:val="18"/>
              </w:rPr>
              <w:t xml:space="preserve"> en </w:t>
            </w:r>
            <w:proofErr w:type="spellStart"/>
            <w:r w:rsidRPr="009D1CE1">
              <w:rPr>
                <w:rFonts w:cs="Arial"/>
                <w:color w:val="333333"/>
                <w:sz w:val="18"/>
                <w:szCs w:val="18"/>
              </w:rPr>
              <w:t>materia</w:t>
            </w:r>
            <w:proofErr w:type="spellEnd"/>
            <w:r w:rsidRPr="009D1CE1">
              <w:rPr>
                <w:rFonts w:cs="Arial"/>
                <w:color w:val="333333"/>
                <w:sz w:val="18"/>
                <w:szCs w:val="18"/>
              </w:rPr>
              <w:t xml:space="preserve"> de </w:t>
            </w:r>
            <w:proofErr w:type="spellStart"/>
            <w:r w:rsidRPr="009D1CE1">
              <w:rPr>
                <w:rFonts w:cs="Arial"/>
                <w:color w:val="333333"/>
                <w:sz w:val="18"/>
                <w:szCs w:val="18"/>
              </w:rPr>
              <w:t>examen</w:t>
            </w:r>
            <w:proofErr w:type="spellEnd"/>
          </w:p>
          <w:p w:rsidR="009D1CE1" w:rsidRPr="00126344" w:rsidRDefault="009D1CE1" w:rsidP="009D1CE1">
            <w:pPr>
              <w:numPr>
                <w:ilvl w:val="0"/>
                <w:numId w:val="11"/>
              </w:numPr>
              <w:spacing w:after="75"/>
              <w:ind w:right="300"/>
              <w:jc w:val="left"/>
              <w:rPr>
                <w:rFonts w:cs="Arial"/>
                <w:color w:val="333333"/>
                <w:sz w:val="18"/>
                <w:szCs w:val="18"/>
                <w:lang w:val="es-ES"/>
              </w:rPr>
            </w:pPr>
            <w:r w:rsidRPr="00126344">
              <w:rPr>
                <w:rFonts w:cs="Arial"/>
                <w:color w:val="333333"/>
                <w:sz w:val="18"/>
                <w:szCs w:val="18"/>
                <w:lang w:val="es-ES"/>
              </w:rPr>
              <w:t xml:space="preserve">Lista de géneros y especies respecto de los cuales las autoridades poseen experiencia práctica en el examen de la distinción, la homogeneidad y la estabilidad  </w:t>
            </w:r>
          </w:p>
        </w:tc>
      </w:tr>
      <w:tr w:rsidR="009D1CE1" w:rsidRPr="00126344" w:rsidTr="009D1CE1">
        <w:tc>
          <w:tcPr>
            <w:tcW w:w="484" w:type="dxa"/>
            <w:shd w:val="clear" w:color="auto" w:fill="FFFFFF"/>
            <w:hideMark/>
          </w:tcPr>
          <w:p w:rsidR="009D1CE1" w:rsidRDefault="009D1CE1" w:rsidP="009D1CE1">
            <w:pPr>
              <w:jc w:val="left"/>
              <w:rPr>
                <w:rFonts w:cs="Arial"/>
                <w:color w:val="333333"/>
                <w:sz w:val="18"/>
                <w:szCs w:val="18"/>
              </w:rPr>
            </w:pPr>
            <w:r>
              <w:rPr>
                <w:rFonts w:cs="Arial"/>
                <w:color w:val="333333"/>
                <w:sz w:val="18"/>
                <w:szCs w:val="18"/>
              </w:rPr>
              <w:t>(l)  </w:t>
            </w:r>
          </w:p>
        </w:tc>
        <w:tc>
          <w:tcPr>
            <w:tcW w:w="4760" w:type="pct"/>
            <w:shd w:val="clear" w:color="auto" w:fill="FFFFFF"/>
            <w:hideMark/>
          </w:tcPr>
          <w:p w:rsidR="009D1CE1" w:rsidRPr="00126344" w:rsidRDefault="009D1CE1" w:rsidP="009D1CE1">
            <w:pPr>
              <w:jc w:val="left"/>
              <w:rPr>
                <w:rFonts w:cs="Arial"/>
                <w:color w:val="333333"/>
                <w:sz w:val="18"/>
                <w:szCs w:val="18"/>
                <w:lang w:val="es-ES"/>
              </w:rPr>
            </w:pPr>
            <w:r w:rsidRPr="00126344">
              <w:rPr>
                <w:rFonts w:cs="Arial"/>
                <w:color w:val="333333"/>
                <w:sz w:val="18"/>
                <w:szCs w:val="18"/>
                <w:lang w:val="es-ES"/>
              </w:rPr>
              <w:t>Base de datos sobre variedades vegetales</w:t>
            </w:r>
          </w:p>
        </w:tc>
      </w:tr>
      <w:tr w:rsidR="009D1CE1" w:rsidTr="009D1CE1">
        <w:tc>
          <w:tcPr>
            <w:tcW w:w="484" w:type="dxa"/>
            <w:shd w:val="clear" w:color="auto" w:fill="FFFFFF"/>
            <w:hideMark/>
          </w:tcPr>
          <w:p w:rsidR="009D1CE1" w:rsidRDefault="009D1CE1" w:rsidP="00BE5E5D">
            <w:pPr>
              <w:jc w:val="left"/>
              <w:rPr>
                <w:rFonts w:cs="Arial"/>
                <w:color w:val="333333"/>
                <w:sz w:val="18"/>
                <w:szCs w:val="18"/>
              </w:rPr>
            </w:pPr>
            <w:r>
              <w:rPr>
                <w:rFonts w:cs="Arial"/>
                <w:color w:val="333333"/>
                <w:sz w:val="18"/>
                <w:szCs w:val="18"/>
              </w:rPr>
              <w:t>(m) </w:t>
            </w:r>
          </w:p>
        </w:tc>
        <w:tc>
          <w:tcPr>
            <w:tcW w:w="4760" w:type="pct"/>
            <w:shd w:val="clear" w:color="auto" w:fill="FFFFFF"/>
            <w:hideMark/>
          </w:tcPr>
          <w:p w:rsidR="009D1CE1" w:rsidRDefault="009D1CE1" w:rsidP="009D1CE1">
            <w:pPr>
              <w:jc w:val="left"/>
              <w:rPr>
                <w:rFonts w:cs="Arial"/>
                <w:color w:val="333333"/>
                <w:sz w:val="18"/>
                <w:szCs w:val="18"/>
              </w:rPr>
            </w:pPr>
            <w:r w:rsidRPr="009D1CE1">
              <w:rPr>
                <w:rFonts w:cs="Arial"/>
                <w:color w:val="333333"/>
                <w:sz w:val="18"/>
                <w:szCs w:val="18"/>
              </w:rPr>
              <w:t xml:space="preserve">Base de </w:t>
            </w:r>
            <w:proofErr w:type="spellStart"/>
            <w:r w:rsidRPr="009D1CE1">
              <w:rPr>
                <w:rFonts w:cs="Arial"/>
                <w:color w:val="333333"/>
                <w:sz w:val="18"/>
                <w:szCs w:val="18"/>
              </w:rPr>
              <w:t>datos</w:t>
            </w:r>
            <w:proofErr w:type="spellEnd"/>
            <w:r w:rsidRPr="009D1CE1">
              <w:rPr>
                <w:rFonts w:cs="Arial"/>
                <w:color w:val="333333"/>
                <w:sz w:val="18"/>
                <w:szCs w:val="18"/>
              </w:rPr>
              <w:t xml:space="preserve"> GENIE</w:t>
            </w:r>
          </w:p>
        </w:tc>
      </w:tr>
    </w:tbl>
    <w:p w:rsidR="009D1CE1" w:rsidRPr="00303893" w:rsidRDefault="009D1CE1" w:rsidP="00BE5E5D">
      <w:pPr>
        <w:widowControl w:val="0"/>
        <w:spacing w:line="360" w:lineRule="auto"/>
        <w:contextualSpacing/>
        <w:rPr>
          <w:lang w:val="es-ES_tradnl"/>
        </w:rPr>
      </w:pPr>
    </w:p>
    <w:p w:rsidR="009D1CE1" w:rsidRDefault="009D1CE1" w:rsidP="00126344">
      <w:pPr>
        <w:widowControl w:val="0"/>
        <w:rPr>
          <w:lang w:val="es-ES_tradnl"/>
        </w:rPr>
      </w:pPr>
      <w:r w:rsidRPr="00303893">
        <w:rPr>
          <w:lang w:val="es-ES_tradnl"/>
        </w:rPr>
        <w:t>A lo largo de todo el curso DL-305 ha</w:t>
      </w:r>
      <w:r>
        <w:rPr>
          <w:lang w:val="es-ES_tradnl"/>
        </w:rPr>
        <w:t>b</w:t>
      </w:r>
      <w:r w:rsidRPr="00303893">
        <w:rPr>
          <w:lang w:val="es-ES_tradnl"/>
        </w:rPr>
        <w:t>rá referencia</w:t>
      </w:r>
      <w:r>
        <w:rPr>
          <w:lang w:val="es-ES_tradnl"/>
        </w:rPr>
        <w:t>s</w:t>
      </w:r>
      <w:r w:rsidRPr="00303893">
        <w:rPr>
          <w:lang w:val="es-ES_tradnl"/>
        </w:rPr>
        <w:t xml:space="preserve"> al material de la Colección de la UPOV, para facilitar su consulta por los estudiantes que deseen obtener más información sobre los temas </w:t>
      </w:r>
      <w:r>
        <w:rPr>
          <w:lang w:val="es-ES_tradnl"/>
        </w:rPr>
        <w:t>de que se trate</w:t>
      </w:r>
      <w:r w:rsidRPr="00303893">
        <w:rPr>
          <w:lang w:val="es-ES_tradnl"/>
        </w:rPr>
        <w:t>.</w:t>
      </w:r>
    </w:p>
    <w:p w:rsidR="00BE5E5D" w:rsidRDefault="00BE5E5D" w:rsidP="00126344">
      <w:pPr>
        <w:widowControl w:val="0"/>
        <w:rPr>
          <w:lang w:val="es-ES_tradnl"/>
        </w:rPr>
      </w:pPr>
    </w:p>
    <w:p w:rsidR="00BE5E5D" w:rsidRDefault="00BE5E5D" w:rsidP="00126344">
      <w:pPr>
        <w:widowControl w:val="0"/>
        <w:rPr>
          <w:lang w:val="es-ES_tradnl"/>
        </w:rPr>
      </w:pPr>
    </w:p>
    <w:p w:rsidR="00BE5E5D" w:rsidRPr="00303893" w:rsidRDefault="00BE5E5D" w:rsidP="00126344">
      <w:pPr>
        <w:widowControl w:val="0"/>
        <w:rPr>
          <w:lang w:val="es-ES_tradnl"/>
        </w:rPr>
      </w:pPr>
    </w:p>
    <w:p w:rsidR="009D1CE1" w:rsidRPr="002D2F19" w:rsidRDefault="009D1CE1" w:rsidP="006B4C1A">
      <w:pPr>
        <w:pStyle w:val="Heading1"/>
        <w:rPr>
          <w:b/>
          <w:bCs/>
          <w:lang w:val="es-ES_tradnl"/>
        </w:rPr>
      </w:pPr>
      <w:bookmarkStart w:id="39" w:name="_Toc381276331"/>
      <w:r w:rsidRPr="002D2F19">
        <w:rPr>
          <w:lang w:val="es-ES_tradnl"/>
        </w:rPr>
        <w:t>ESTABLECIMIENTO DE UNA OFICINA DE DERECHOS DE OBTENTOR</w:t>
      </w:r>
      <w:bookmarkEnd w:id="39"/>
    </w:p>
    <w:p w:rsidR="009D1CE1" w:rsidRPr="00303893" w:rsidRDefault="009D1CE1" w:rsidP="00126344">
      <w:pPr>
        <w:widowControl w:val="0"/>
        <w:rPr>
          <w:lang w:val="es-ES_tradnl"/>
        </w:rPr>
      </w:pPr>
    </w:p>
    <w:p w:rsidR="009D1CE1" w:rsidRPr="00303893" w:rsidRDefault="009D1CE1" w:rsidP="00126344">
      <w:pPr>
        <w:widowControl w:val="0"/>
        <w:rPr>
          <w:lang w:val="es-ES_tradnl"/>
        </w:rPr>
      </w:pPr>
      <w:r w:rsidRPr="00303893">
        <w:rPr>
          <w:lang w:val="es-ES_tradnl"/>
        </w:rPr>
        <w:t xml:space="preserve">A menudo, la oficina de derechos de obtentor se establece en el </w:t>
      </w:r>
      <w:r>
        <w:rPr>
          <w:lang w:val="es-ES_tradnl"/>
        </w:rPr>
        <w:t>ámbito</w:t>
      </w:r>
      <w:r w:rsidRPr="00303893">
        <w:rPr>
          <w:lang w:val="es-ES_tradnl"/>
        </w:rPr>
        <w:t xml:space="preserve"> del ministerio que tiene a su cargo la agricultura o la propiedad intelectual.  Habitualmente, los ministerios que tienen a su cargo la agricultura poseen experiencia en las actividades relacionadas con las variedades vegetales, por ejemplo, la </w:t>
      </w:r>
      <w:r w:rsidR="008E6841">
        <w:rPr>
          <w:lang w:val="es-ES_tradnl"/>
        </w:rPr>
        <w:t xml:space="preserve">certificación de semillas y la inscripción en las </w:t>
      </w:r>
      <w:r w:rsidRPr="00303893">
        <w:rPr>
          <w:lang w:val="es-ES_tradnl"/>
        </w:rPr>
        <w:t>listas nacionales de variedades</w:t>
      </w:r>
      <w:r>
        <w:rPr>
          <w:lang w:val="es-ES_tradnl"/>
        </w:rPr>
        <w:t>;  s</w:t>
      </w:r>
      <w:r w:rsidRPr="00303893">
        <w:rPr>
          <w:lang w:val="es-ES_tradnl"/>
        </w:rPr>
        <w:t xml:space="preserve">in embargo, podrá establecerse la oficina de derechos de obtentor, por ejemplo, en el </w:t>
      </w:r>
      <w:r>
        <w:rPr>
          <w:lang w:val="es-ES_tradnl"/>
        </w:rPr>
        <w:t>ámbito</w:t>
      </w:r>
      <w:r w:rsidRPr="00303893">
        <w:rPr>
          <w:lang w:val="es-ES_tradnl"/>
        </w:rPr>
        <w:t xml:space="preserve"> del ministerio encargado de la propiedad intelectual.</w:t>
      </w:r>
    </w:p>
    <w:p w:rsidR="009D1CE1" w:rsidRPr="00303893" w:rsidRDefault="009D1CE1" w:rsidP="00126344">
      <w:pPr>
        <w:widowControl w:val="0"/>
        <w:rPr>
          <w:lang w:val="es-ES_tradnl"/>
        </w:rPr>
      </w:pPr>
    </w:p>
    <w:p w:rsidR="009D1CE1" w:rsidRDefault="009D1CE1" w:rsidP="00126344">
      <w:pPr>
        <w:widowControl w:val="0"/>
        <w:rPr>
          <w:lang w:val="es-ES_tradnl"/>
        </w:rPr>
      </w:pPr>
      <w:r w:rsidRPr="00303893">
        <w:rPr>
          <w:lang w:val="es-ES_tradnl"/>
        </w:rPr>
        <w:t>Los miembros de la UPOV también pueden confiar la tarea de conceder derechos de obtentor a una oficina de derechos de obtentor establecida por otro miembro de la UPOV, por ejemplo, una organización regional o una organización intergubernamental supranacional.</w:t>
      </w:r>
    </w:p>
    <w:p w:rsidR="008E6841" w:rsidRPr="00303893" w:rsidRDefault="008E6841" w:rsidP="00126344">
      <w:pPr>
        <w:widowControl w:val="0"/>
        <w:rPr>
          <w:lang w:val="es-ES_tradnl"/>
        </w:rPr>
      </w:pPr>
    </w:p>
    <w:p w:rsidR="009D1CE1" w:rsidRPr="00303893" w:rsidRDefault="009D1CE1" w:rsidP="006B4C1A">
      <w:pPr>
        <w:pStyle w:val="Heading1"/>
        <w:rPr>
          <w:b/>
          <w:bCs/>
          <w:lang w:val="es-ES_tradnl"/>
        </w:rPr>
      </w:pPr>
      <w:bookmarkStart w:id="40" w:name="_Toc381276332"/>
      <w:r w:rsidRPr="00303893">
        <w:rPr>
          <w:lang w:val="es-ES_tradnl"/>
        </w:rPr>
        <w:t>FUNCIONES Y ESTRUCTURA DE UNA OFICINA DE DERECHOS DE OBTENTOR</w:t>
      </w:r>
      <w:bookmarkEnd w:id="40"/>
    </w:p>
    <w:p w:rsidR="009D1CE1" w:rsidRPr="00303893" w:rsidRDefault="009D1CE1" w:rsidP="00126344">
      <w:pPr>
        <w:widowControl w:val="0"/>
        <w:rPr>
          <w:lang w:val="es-ES_tradnl"/>
        </w:rPr>
      </w:pPr>
    </w:p>
    <w:p w:rsidR="009D1CE1" w:rsidRPr="00303893" w:rsidRDefault="009D1CE1" w:rsidP="00126344">
      <w:pPr>
        <w:widowControl w:val="0"/>
        <w:rPr>
          <w:lang w:val="es-ES_tradnl"/>
        </w:rPr>
      </w:pPr>
      <w:r w:rsidRPr="00303893">
        <w:rPr>
          <w:lang w:val="es-ES_tradnl"/>
        </w:rPr>
        <w:t xml:space="preserve">El Convenio de la UPOV determina qué </w:t>
      </w:r>
      <w:r>
        <w:rPr>
          <w:lang w:val="es-ES_tradnl"/>
        </w:rPr>
        <w:t>actividades</w:t>
      </w:r>
      <w:r w:rsidRPr="00303893">
        <w:rPr>
          <w:lang w:val="es-ES_tradnl"/>
        </w:rPr>
        <w:t xml:space="preserve"> deberá realizar la oficina de derechos de obtentor, aunque no define un modelo particular.  Por lo tanto, los miembros de la UPOV podrán organizar la oficina de derechos de obtentor según convenga a su propia situación.</w:t>
      </w:r>
    </w:p>
    <w:p w:rsidR="009D1CE1" w:rsidRPr="00303893" w:rsidRDefault="009D1CE1" w:rsidP="00126344">
      <w:pPr>
        <w:widowControl w:val="0"/>
        <w:rPr>
          <w:lang w:val="es-ES_tradnl"/>
        </w:rPr>
      </w:pPr>
    </w:p>
    <w:p w:rsidR="009D1CE1" w:rsidRPr="00303893" w:rsidRDefault="009D1CE1" w:rsidP="00126344">
      <w:pPr>
        <w:widowControl w:val="0"/>
        <w:rPr>
          <w:lang w:val="es-ES_tradnl"/>
        </w:rPr>
      </w:pPr>
      <w:r w:rsidRPr="00BE5E5D">
        <w:rPr>
          <w:lang w:val="es-ES_tradnl"/>
        </w:rPr>
        <w:t>En el diagrama siguiente se ilustra el flujo básico de tareas en una típica oficina de derechos de obtentor.  En el Módulo 2</w:t>
      </w:r>
      <w:proofErr w:type="gramStart"/>
      <w:r w:rsidRPr="00BE5E5D">
        <w:rPr>
          <w:lang w:val="es-ES_tradnl"/>
        </w:rPr>
        <w:t>:  “</w:t>
      </w:r>
      <w:proofErr w:type="gramEnd"/>
      <w:r w:rsidRPr="00BE5E5D">
        <w:rPr>
          <w:lang w:val="es-ES_tradnl"/>
        </w:rPr>
        <w:t>Administración de las solicitudes” se ofrece información adicional sobre las tareas indica</w:t>
      </w:r>
      <w:r w:rsidRPr="00303893">
        <w:rPr>
          <w:lang w:val="es-ES_tradnl"/>
        </w:rPr>
        <w:t>das en el diagrama de flujo.</w:t>
      </w:r>
    </w:p>
    <w:p w:rsidR="009D1CE1" w:rsidRPr="00303893" w:rsidRDefault="009D1CE1" w:rsidP="00126344">
      <w:pPr>
        <w:widowControl w:val="0"/>
        <w:rPr>
          <w:lang w:val="es-ES_tradnl"/>
        </w:rPr>
      </w:pPr>
    </w:p>
    <w:p w:rsidR="009D1CE1" w:rsidRDefault="009D1CE1">
      <w:pPr>
        <w:rPr>
          <w:lang w:val="es-ES_tradnl"/>
        </w:rPr>
      </w:pPr>
      <w:r>
        <w:rPr>
          <w:lang w:val="es-ES_tradnl"/>
        </w:rPr>
        <w:br w:type="page"/>
      </w:r>
    </w:p>
    <w:p w:rsidR="009D1CE1" w:rsidRPr="00303893" w:rsidRDefault="009D1CE1" w:rsidP="00126344">
      <w:pPr>
        <w:widowControl w:val="0"/>
        <w:rPr>
          <w:lang w:val="es-ES_tradnl"/>
        </w:rPr>
      </w:pPr>
      <w:r w:rsidRPr="00303893">
        <w:rPr>
          <w:lang w:val="es-ES_tradnl"/>
        </w:rPr>
        <w:lastRenderedPageBreak/>
        <w:t>Diagrama de flujo 1</w:t>
      </w:r>
      <w:r>
        <w:rPr>
          <w:lang w:val="es-ES_tradnl"/>
        </w:rPr>
        <w:t>:</w:t>
      </w:r>
      <w:r w:rsidRPr="00303893">
        <w:rPr>
          <w:vertAlign w:val="superscript"/>
          <w:lang w:val="es-ES_tradnl"/>
        </w:rPr>
        <w:footnoteReference w:id="3"/>
      </w:r>
      <w:r w:rsidRPr="00303893">
        <w:rPr>
          <w:lang w:val="es-ES_tradnl"/>
        </w:rPr>
        <w:t xml:space="preserve">  Tareas básicas que se realizan en una oficina de derechos de obtentor</w:t>
      </w:r>
    </w:p>
    <w:p w:rsidR="009D1CE1" w:rsidRPr="00303893" w:rsidRDefault="009D1CE1" w:rsidP="00126344">
      <w:pPr>
        <w:widowControl w:val="0"/>
        <w:rPr>
          <w:lang w:val="es-ES_tradnl"/>
        </w:rPr>
      </w:pPr>
    </w:p>
    <w:p w:rsidR="009D1CE1" w:rsidRPr="00126344" w:rsidRDefault="009D1CE1" w:rsidP="00126344">
      <w:pPr>
        <w:widowControl w:val="0"/>
        <w:rPr>
          <w:noProof/>
          <w:lang w:val="es-ES"/>
        </w:rPr>
      </w:pPr>
    </w:p>
    <w:p w:rsidR="009D1CE1" w:rsidRPr="00303893" w:rsidRDefault="009D1CE1" w:rsidP="00126344">
      <w:pPr>
        <w:widowControl w:val="0"/>
        <w:rPr>
          <w:lang w:val="es-ES_tradnl"/>
        </w:rPr>
      </w:pPr>
      <w:r w:rsidRPr="00C04B01">
        <w:rPr>
          <w:noProof/>
        </w:rPr>
        <w:drawing>
          <wp:inline distT="0" distB="0" distL="0" distR="0" wp14:anchorId="63379ED8" wp14:editId="67D5ADAA">
            <wp:extent cx="5940425" cy="51300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0425" cy="5130070"/>
                    </a:xfrm>
                    <a:prstGeom prst="rect">
                      <a:avLst/>
                    </a:prstGeom>
                    <a:noFill/>
                    <a:ln>
                      <a:noFill/>
                    </a:ln>
                  </pic:spPr>
                </pic:pic>
              </a:graphicData>
            </a:graphic>
          </wp:inline>
        </w:drawing>
      </w:r>
    </w:p>
    <w:p w:rsidR="009D1CE1" w:rsidRPr="00303893" w:rsidRDefault="009D1CE1" w:rsidP="00126344">
      <w:pPr>
        <w:widowControl w:val="0"/>
        <w:jc w:val="right"/>
        <w:rPr>
          <w:lang w:val="es-ES_tradnl"/>
        </w:rPr>
      </w:pPr>
    </w:p>
    <w:p w:rsidR="009D1CE1" w:rsidRPr="002D2F19" w:rsidRDefault="009D1CE1" w:rsidP="00126344">
      <w:pPr>
        <w:pStyle w:val="ONUMFS"/>
        <w:widowControl w:val="0"/>
        <w:numPr>
          <w:ilvl w:val="0"/>
          <w:numId w:val="0"/>
        </w:numPr>
        <w:rPr>
          <w:lang w:val="es-ES_tradnl"/>
        </w:rPr>
      </w:pPr>
    </w:p>
    <w:p w:rsidR="009D1CE1" w:rsidRDefault="009D1CE1">
      <w:pPr>
        <w:jc w:val="left"/>
        <w:rPr>
          <w:lang w:val="es-ES_tradnl"/>
        </w:rPr>
      </w:pPr>
      <w:r>
        <w:rPr>
          <w:lang w:val="es-ES_tradnl"/>
        </w:rPr>
        <w:br w:type="page"/>
      </w:r>
    </w:p>
    <w:p w:rsidR="009D1CE1" w:rsidRPr="006B4C1A" w:rsidRDefault="009D1CE1" w:rsidP="006B4C1A">
      <w:pPr>
        <w:tabs>
          <w:tab w:val="left" w:pos="1134"/>
        </w:tabs>
        <w:rPr>
          <w:b/>
          <w:lang w:val="es-ES"/>
        </w:rPr>
      </w:pPr>
      <w:r w:rsidRPr="006B4C1A">
        <w:rPr>
          <w:b/>
          <w:lang w:val="es-ES"/>
        </w:rPr>
        <w:lastRenderedPageBreak/>
        <w:t>MÓDULO 2</w:t>
      </w:r>
      <w:proofErr w:type="gramStart"/>
      <w:r w:rsidRPr="006B4C1A">
        <w:rPr>
          <w:b/>
          <w:lang w:val="es-ES"/>
        </w:rPr>
        <w:t>:  ADMINISTRACIÓN</w:t>
      </w:r>
      <w:proofErr w:type="gramEnd"/>
      <w:r w:rsidRPr="006B4C1A">
        <w:rPr>
          <w:b/>
          <w:lang w:val="es-ES"/>
        </w:rPr>
        <w:t xml:space="preserve"> DE LAS SOLICITUDES</w:t>
      </w:r>
    </w:p>
    <w:p w:rsidR="009D1CE1" w:rsidRPr="003C34BD" w:rsidRDefault="009D1CE1" w:rsidP="00126344">
      <w:pPr>
        <w:rPr>
          <w:lang w:val="es-ES"/>
        </w:rPr>
      </w:pPr>
    </w:p>
    <w:p w:rsidR="009D1CE1" w:rsidRPr="00334430" w:rsidRDefault="009D1CE1" w:rsidP="00126344">
      <w:pPr>
        <w:rPr>
          <w:u w:val="single"/>
          <w:lang w:val="es-ES"/>
        </w:rPr>
      </w:pPr>
      <w:r w:rsidRPr="00334430">
        <w:rPr>
          <w:u w:val="single"/>
          <w:lang w:val="es-ES"/>
        </w:rPr>
        <w:t>Objetivo</w:t>
      </w:r>
    </w:p>
    <w:p w:rsidR="009D1CE1" w:rsidRPr="00334430" w:rsidRDefault="009D1CE1" w:rsidP="00126344">
      <w:pPr>
        <w:rPr>
          <w:lang w:val="es-ES"/>
        </w:rPr>
      </w:pPr>
    </w:p>
    <w:p w:rsidR="009D1CE1" w:rsidRPr="003C34BD" w:rsidRDefault="009D1CE1" w:rsidP="00126344">
      <w:pPr>
        <w:rPr>
          <w:i/>
          <w:lang w:val="es-ES"/>
        </w:rPr>
      </w:pPr>
      <w:r w:rsidRPr="00334430">
        <w:rPr>
          <w:i/>
          <w:lang w:val="es-ES"/>
        </w:rPr>
        <w:t>El objetivo de este Módulo es explicar las tareas básicas que desempeña una oficina de derechos de obtentor para administrar las solicitudes de derechos de obtentor.  En este Módulo se explican las tareas básicas de la oficina de derechos de obtentor que se presentan en el diagrama de flujo que figura e</w:t>
      </w:r>
      <w:r w:rsidR="008D593A">
        <w:rPr>
          <w:i/>
          <w:lang w:val="es-ES"/>
        </w:rPr>
        <w:t>n el Módulo 1</w:t>
      </w:r>
      <w:r w:rsidRPr="00334430">
        <w:rPr>
          <w:i/>
          <w:lang w:val="es-ES"/>
        </w:rPr>
        <w:t xml:space="preserve"> “La oficina de derechos de obtentor”.</w:t>
      </w:r>
    </w:p>
    <w:p w:rsidR="009D1CE1" w:rsidRPr="003C34BD" w:rsidRDefault="009D1CE1" w:rsidP="00126344">
      <w:pPr>
        <w:rPr>
          <w:lang w:val="es-ES"/>
        </w:rPr>
      </w:pPr>
    </w:p>
    <w:p w:rsidR="009D1CE1" w:rsidRPr="003C34BD" w:rsidRDefault="009D1CE1" w:rsidP="00126344">
      <w:pPr>
        <w:rPr>
          <w:lang w:val="es-ES"/>
        </w:rPr>
      </w:pPr>
    </w:p>
    <w:p w:rsidR="009D1CE1" w:rsidRPr="003C34BD" w:rsidRDefault="009D1CE1" w:rsidP="00126344">
      <w:pPr>
        <w:rPr>
          <w:lang w:val="es-ES"/>
        </w:rPr>
      </w:pPr>
      <w:r w:rsidRPr="003C34BD">
        <w:rPr>
          <w:lang w:val="es-ES"/>
        </w:rPr>
        <w:br w:type="page"/>
      </w:r>
    </w:p>
    <w:p w:rsidR="009D1CE1" w:rsidRDefault="009D1CE1" w:rsidP="006B4C1A">
      <w:pPr>
        <w:pStyle w:val="Heading1"/>
        <w:rPr>
          <w:lang w:val="es-ES"/>
        </w:rPr>
      </w:pPr>
      <w:bookmarkStart w:id="41" w:name="_Toc378597572"/>
      <w:bookmarkStart w:id="42" w:name="_Toc382814537"/>
      <w:r w:rsidRPr="003C34BD">
        <w:rPr>
          <w:lang w:val="es-ES"/>
        </w:rPr>
        <w:lastRenderedPageBreak/>
        <w:t>Solicitud de derechos de obtentor</w:t>
      </w:r>
    </w:p>
    <w:p w:rsidR="009D1CE1" w:rsidRPr="003C34BD" w:rsidRDefault="008D593A" w:rsidP="00126344">
      <w:pPr>
        <w:rPr>
          <w:lang w:val="es-ES"/>
        </w:rPr>
      </w:pPr>
      <w:r>
        <w:rPr>
          <w:lang w:val="es-ES"/>
        </w:rPr>
        <w:t>(</w:t>
      </w:r>
      <w:proofErr w:type="gramStart"/>
      <w:r>
        <w:rPr>
          <w:lang w:val="es-ES"/>
        </w:rPr>
        <w:t>véase</w:t>
      </w:r>
      <w:proofErr w:type="gramEnd"/>
      <w:r>
        <w:rPr>
          <w:lang w:val="es-ES"/>
        </w:rPr>
        <w:t xml:space="preserve"> la nota </w:t>
      </w:r>
      <w:r w:rsidR="009D1CE1" w:rsidRPr="003C34BD">
        <w:rPr>
          <w:lang w:val="es-ES"/>
        </w:rPr>
        <w:t>en el diagrama de flujo del Módulo 1)</w:t>
      </w:r>
      <w:bookmarkEnd w:id="41"/>
      <w:bookmarkEnd w:id="42"/>
    </w:p>
    <w:p w:rsidR="009D1CE1" w:rsidRPr="003C34BD" w:rsidRDefault="009D1CE1" w:rsidP="00126344">
      <w:pPr>
        <w:rPr>
          <w:lang w:val="es-ES"/>
        </w:rPr>
      </w:pPr>
    </w:p>
    <w:p w:rsidR="009D1CE1" w:rsidRPr="003C34BD" w:rsidRDefault="009D1CE1" w:rsidP="00126344">
      <w:pPr>
        <w:pStyle w:val="Heading2"/>
        <w:rPr>
          <w:lang w:val="es-ES"/>
        </w:rPr>
      </w:pPr>
      <w:bookmarkStart w:id="43" w:name="_Toc382814538"/>
      <w:r w:rsidRPr="003C34BD">
        <w:rPr>
          <w:lang w:val="es-ES"/>
        </w:rPr>
        <w:t>Introducción</w:t>
      </w:r>
      <w:bookmarkEnd w:id="43"/>
    </w:p>
    <w:p w:rsidR="009D1CE1" w:rsidRPr="003C34BD" w:rsidRDefault="009D1CE1" w:rsidP="00126344">
      <w:pPr>
        <w:rPr>
          <w:lang w:val="es-ES"/>
        </w:rPr>
      </w:pPr>
    </w:p>
    <w:p w:rsidR="009D1CE1" w:rsidRPr="003C34BD" w:rsidRDefault="009D1CE1" w:rsidP="00126344">
      <w:pPr>
        <w:rPr>
          <w:lang w:val="es-ES"/>
        </w:rPr>
      </w:pPr>
      <w:r>
        <w:rPr>
          <w:lang w:val="es-ES"/>
        </w:rPr>
        <w:t>Para poder</w:t>
      </w:r>
      <w:r w:rsidRPr="003C34BD">
        <w:rPr>
          <w:lang w:val="es-ES"/>
        </w:rPr>
        <w:t xml:space="preserve"> recibir las solicitudes de derechos de obtentor, la oficina de derechos de obtentor debe</w:t>
      </w:r>
      <w:r>
        <w:rPr>
          <w:lang w:val="es-ES"/>
        </w:rPr>
        <w:t>rá haber elaborado</w:t>
      </w:r>
      <w:r w:rsidRPr="003C34BD">
        <w:rPr>
          <w:lang w:val="es-ES"/>
        </w:rPr>
        <w:t xml:space="preserve"> los formularios </w:t>
      </w:r>
      <w:r>
        <w:rPr>
          <w:lang w:val="es-ES"/>
        </w:rPr>
        <w:t xml:space="preserve">correspondientes </w:t>
      </w:r>
      <w:r w:rsidRPr="003C34BD">
        <w:rPr>
          <w:lang w:val="es-ES"/>
        </w:rPr>
        <w:t xml:space="preserve">y estar en condiciones de asignar una fecha y </w:t>
      </w:r>
      <w:r>
        <w:rPr>
          <w:lang w:val="es-ES"/>
        </w:rPr>
        <w:t xml:space="preserve">una </w:t>
      </w:r>
      <w:r w:rsidRPr="003C34BD">
        <w:rPr>
          <w:lang w:val="es-ES"/>
        </w:rPr>
        <w:t xml:space="preserve">hora de presentación </w:t>
      </w:r>
      <w:r>
        <w:rPr>
          <w:lang w:val="es-ES"/>
        </w:rPr>
        <w:t>a</w:t>
      </w:r>
      <w:r w:rsidRPr="003C34BD">
        <w:rPr>
          <w:lang w:val="es-ES"/>
        </w:rPr>
        <w:t xml:space="preserve"> la solicitud.</w:t>
      </w:r>
    </w:p>
    <w:p w:rsidR="009D1CE1" w:rsidRPr="003C34BD" w:rsidRDefault="009D1CE1" w:rsidP="00126344">
      <w:pPr>
        <w:rPr>
          <w:lang w:val="es-ES"/>
        </w:rPr>
      </w:pPr>
    </w:p>
    <w:p w:rsidR="009D1CE1" w:rsidRPr="00334430" w:rsidRDefault="009D1CE1" w:rsidP="00126344">
      <w:pPr>
        <w:rPr>
          <w:lang w:val="es-ES"/>
        </w:rPr>
      </w:pPr>
      <w:r w:rsidRPr="003C34BD">
        <w:rPr>
          <w:lang w:val="es-ES"/>
        </w:rPr>
        <w:t xml:space="preserve">La normativa vigente en algunos miembros de la UPOV permite la presentación de solicitudes únicamente en papel.  Otros permiten el uso de formularios electrónicos de solicitud como alternativa a </w:t>
      </w:r>
      <w:r w:rsidRPr="00334430">
        <w:rPr>
          <w:lang w:val="es-ES"/>
        </w:rPr>
        <w:t>las solicitudes en papel o para complementarlas, lo que facilita el uso de las bases de datos y la gestión de la información.  Eventualmente, con miras a aceptar las solicitudes en formato electrónico, los miembros de la UPOV deberán establecer sistemas auxiliares, por ejemplo, para el reconocimiento de las firmas digitales, para el pago electrónico y con fines de seguridad.</w:t>
      </w:r>
    </w:p>
    <w:p w:rsidR="009D1CE1" w:rsidRPr="00334430" w:rsidRDefault="009D1CE1" w:rsidP="00126344">
      <w:pPr>
        <w:rPr>
          <w:lang w:val="es-ES"/>
        </w:rPr>
      </w:pPr>
    </w:p>
    <w:p w:rsidR="009D1CE1" w:rsidRPr="00334430" w:rsidRDefault="009D1CE1" w:rsidP="00126344">
      <w:pPr>
        <w:rPr>
          <w:lang w:val="es-ES"/>
        </w:rPr>
      </w:pPr>
      <w:r w:rsidRPr="00334430">
        <w:rPr>
          <w:lang w:val="es-ES"/>
        </w:rPr>
        <w:t>La oficina de derechos de obtentor se encarga de administrar las solicitudes de protección y es posible que ello suponga el uso de aplicaciones informáticas específicas.  La posibilidad de intercambiar las aplicaciones informáticas entre los miembros de la UPOV constituye un importante medio de apoyo para la administración de las solicitudes y el examen de las variedades.  La información proporcionada por los miembros de la UPOV acerca del intercambio de programas informáticos figura en el documento UPOV/INF/16 “Programas informáticos para intercambio” (disponible en</w:t>
      </w:r>
      <w:r>
        <w:rPr>
          <w:lang w:val="es-ES"/>
        </w:rPr>
        <w:t xml:space="preserve"> </w:t>
      </w:r>
      <w:hyperlink r:id="rId18" w:history="1">
        <w:r w:rsidRPr="00B966FF">
          <w:rPr>
            <w:rStyle w:val="Hyperlink"/>
            <w:lang w:val="es-ES"/>
          </w:rPr>
          <w:t>http://www.upov.int/information_documents/es/</w:t>
        </w:r>
      </w:hyperlink>
      <w:r w:rsidRPr="00334430">
        <w:rPr>
          <w:lang w:val="es-ES"/>
        </w:rPr>
        <w:t>)</w:t>
      </w:r>
      <w:r>
        <w:rPr>
          <w:lang w:val="es-ES"/>
        </w:rPr>
        <w:t>.</w:t>
      </w:r>
    </w:p>
    <w:p w:rsidR="009D1CE1" w:rsidRPr="00334430" w:rsidRDefault="009D1CE1" w:rsidP="00126344">
      <w:pPr>
        <w:rPr>
          <w:lang w:val="es-ES"/>
        </w:rPr>
      </w:pPr>
    </w:p>
    <w:p w:rsidR="009D1CE1" w:rsidRPr="00334430" w:rsidRDefault="009D1CE1" w:rsidP="00126344">
      <w:pPr>
        <w:rPr>
          <w:lang w:val="es-ES"/>
        </w:rPr>
      </w:pPr>
    </w:p>
    <w:p w:rsidR="009D1CE1" w:rsidRPr="00334430" w:rsidRDefault="009D1CE1" w:rsidP="00126344">
      <w:pPr>
        <w:pStyle w:val="Heading2"/>
        <w:rPr>
          <w:lang w:val="es-ES"/>
        </w:rPr>
      </w:pPr>
      <w:bookmarkStart w:id="44" w:name="_Toc378597573"/>
      <w:bookmarkStart w:id="45" w:name="_Toc382814539"/>
      <w:r w:rsidRPr="00334430">
        <w:rPr>
          <w:lang w:val="es-ES"/>
        </w:rPr>
        <w:t>Elaboración de formularios</w:t>
      </w:r>
      <w:bookmarkEnd w:id="44"/>
      <w:bookmarkEnd w:id="45"/>
    </w:p>
    <w:p w:rsidR="009D1CE1" w:rsidRPr="00334430" w:rsidRDefault="009D1CE1" w:rsidP="00126344">
      <w:pPr>
        <w:rPr>
          <w:b/>
          <w:lang w:val="es-ES"/>
        </w:rPr>
      </w:pPr>
    </w:p>
    <w:p w:rsidR="009D1CE1" w:rsidRPr="00334430" w:rsidRDefault="009D1CE1" w:rsidP="00126344">
      <w:pPr>
        <w:rPr>
          <w:lang w:val="es-ES"/>
        </w:rPr>
      </w:pPr>
      <w:r w:rsidRPr="00334430">
        <w:rPr>
          <w:lang w:val="es-ES"/>
        </w:rPr>
        <w:t>Con el fin de facilitar la instauración de procedimientos de presentación de solicitudes de protección de las variedades vegetales, la UPOV ha elaborado formularios tipo que las oficinas de derechos de obtentor pueden utilizar en su ámbito nacional o regional.</w:t>
      </w:r>
    </w:p>
    <w:p w:rsidR="009D1CE1" w:rsidRPr="00334430" w:rsidRDefault="009D1CE1" w:rsidP="00126344">
      <w:pPr>
        <w:spacing w:line="360" w:lineRule="auto"/>
        <w:rPr>
          <w:lang w:val="es-ES"/>
        </w:rPr>
      </w:pPr>
    </w:p>
    <w:p w:rsidR="009D1CE1" w:rsidRPr="00334430" w:rsidRDefault="009D1CE1" w:rsidP="00126344">
      <w:pPr>
        <w:pStyle w:val="Heading3"/>
        <w:rPr>
          <w:lang w:val="es-ES"/>
        </w:rPr>
      </w:pPr>
      <w:bookmarkStart w:id="46" w:name="_Toc378597574"/>
      <w:bookmarkStart w:id="47" w:name="_Toc382814540"/>
      <w:r w:rsidRPr="00334430">
        <w:rPr>
          <w:lang w:val="es-ES"/>
        </w:rPr>
        <w:t>Form</w:t>
      </w:r>
      <w:bookmarkEnd w:id="46"/>
      <w:r w:rsidRPr="00334430">
        <w:rPr>
          <w:lang w:val="es-ES"/>
        </w:rPr>
        <w:t>ulario tipo de solicitud de la UPOV</w:t>
      </w:r>
      <w:bookmarkEnd w:id="47"/>
    </w:p>
    <w:p w:rsidR="009D1CE1" w:rsidRPr="00334430" w:rsidRDefault="009D1CE1" w:rsidP="00126344">
      <w:pPr>
        <w:rPr>
          <w:u w:val="single"/>
          <w:lang w:val="es-ES"/>
        </w:rPr>
      </w:pPr>
    </w:p>
    <w:p w:rsidR="009D1CE1" w:rsidRPr="00334430" w:rsidRDefault="009D1CE1" w:rsidP="00126344">
      <w:pPr>
        <w:rPr>
          <w:lang w:val="es-ES"/>
        </w:rPr>
      </w:pPr>
      <w:r w:rsidRPr="00334430">
        <w:rPr>
          <w:lang w:val="es-ES"/>
        </w:rPr>
        <w:t>El documento TGP/5 “Experiencia y cooperación en el examen DHE” contiene el “Formulario tipo de la UPOV para las solicitudes de derecho de obtentor UPOV” (</w:t>
      </w:r>
      <w:hyperlink r:id="rId19" w:history="1">
        <w:r w:rsidRPr="00334430">
          <w:rPr>
            <w:rFonts w:cs="Arial"/>
            <w:lang w:val="es-ES"/>
          </w:rPr>
          <w:t>TGP/5, Sección 2</w:t>
        </w:r>
      </w:hyperlink>
      <w:r w:rsidRPr="00334430">
        <w:rPr>
          <w:lang w:val="es-ES"/>
        </w:rPr>
        <w:t xml:space="preserve">).  Dicho formulario tiene el aspecto que se ilustra en la página siguiente (disponible en:  </w:t>
      </w:r>
      <w:hyperlink r:id="rId20" w:history="1">
        <w:r w:rsidRPr="00B966FF">
          <w:rPr>
            <w:rStyle w:val="Hyperlink"/>
            <w:lang w:val="es-ES"/>
          </w:rPr>
          <w:t>http://www.upov.int/tgp/es/</w:t>
        </w:r>
      </w:hyperlink>
      <w:r w:rsidRPr="00334430">
        <w:rPr>
          <w:lang w:val="es-ES"/>
        </w:rPr>
        <w:t>).</w:t>
      </w:r>
    </w:p>
    <w:p w:rsidR="009D1CE1" w:rsidRPr="00334430" w:rsidRDefault="009D1CE1" w:rsidP="00126344">
      <w:pPr>
        <w:rPr>
          <w:lang w:val="es-ES"/>
        </w:rPr>
      </w:pPr>
    </w:p>
    <w:p w:rsidR="009D1CE1" w:rsidRPr="00334430" w:rsidRDefault="009D1CE1" w:rsidP="00126344">
      <w:pPr>
        <w:autoSpaceDE w:val="0"/>
        <w:autoSpaceDN w:val="0"/>
        <w:adjustRightInd w:val="0"/>
        <w:rPr>
          <w:lang w:val="es-ES"/>
        </w:rPr>
      </w:pPr>
      <w:r w:rsidRPr="00334430">
        <w:rPr>
          <w:lang w:val="es-ES"/>
        </w:rPr>
        <w:t>Al convertir el formulario tipo de la UPOV en el formulario de la oficina de derechos de obtentor, y al redactar las explicaciones complementarias de ese formulario, deberán tenerse en cuenta el contenido de la legislación vigente en el miembro de la UPOV y la terminología utilizada en ella.  Para asegurarse de que el formulario tipo de la UPOV cumple su función, es importante reproducir en los formularios de la oficina de derechos de obtentor la estructura general, el contenido y la numeración de las distintas partes del formulario tipo</w:t>
      </w:r>
      <w:r w:rsidR="008D593A">
        <w:rPr>
          <w:lang w:val="es-ES"/>
        </w:rPr>
        <w:t>.</w:t>
      </w:r>
      <w:r w:rsidRPr="00334430">
        <w:rPr>
          <w:lang w:val="es-ES"/>
        </w:rPr>
        <w:t xml:space="preserve"> </w:t>
      </w:r>
    </w:p>
    <w:p w:rsidR="009D1CE1" w:rsidRPr="00334430" w:rsidRDefault="009D1CE1" w:rsidP="00126344">
      <w:pPr>
        <w:autoSpaceDE w:val="0"/>
        <w:autoSpaceDN w:val="0"/>
        <w:adjustRightInd w:val="0"/>
        <w:rPr>
          <w:lang w:val="es-ES"/>
        </w:rPr>
      </w:pPr>
    </w:p>
    <w:p w:rsidR="009D1CE1" w:rsidRPr="00334430" w:rsidRDefault="009D1CE1" w:rsidP="00126344">
      <w:pPr>
        <w:autoSpaceDE w:val="0"/>
        <w:autoSpaceDN w:val="0"/>
        <w:adjustRightInd w:val="0"/>
        <w:rPr>
          <w:lang w:val="es-ES"/>
        </w:rPr>
      </w:pPr>
      <w:r w:rsidRPr="00334430">
        <w:rPr>
          <w:lang w:val="es-ES"/>
        </w:rPr>
        <w:t>Para cada campo del formulario tipo de la UPOV hay una referencia estándar de la UPOV.  Por ejemplo, para el punto 1</w:t>
      </w:r>
      <w:proofErr w:type="gramStart"/>
      <w:r w:rsidRPr="00334430">
        <w:rPr>
          <w:lang w:val="es-ES"/>
        </w:rPr>
        <w:t>.(</w:t>
      </w:r>
      <w:proofErr w:type="gramEnd"/>
      <w:r w:rsidRPr="00334430">
        <w:rPr>
          <w:lang w:val="es-ES"/>
        </w:rPr>
        <w:t>a) “Solicitante/Nombre(s)”, la referencia estándar de la UPOV es “UPOV A1: 1(a)(i)”.  Para facilitar la armonización y ayudar a los solicitantes, la oficina de derechos de obtentor puede incluir dicha referencia estándar en el campo correspondiente del formulario específico de la oficina.  Incumbirá a cada oficina decidir si el campo de su formulario corresponde suficientemente a un campo que figure en el formulario tipo de solicitud de la UPOV como para incluir esa referencia.</w:t>
      </w:r>
    </w:p>
    <w:p w:rsidR="009D1CE1" w:rsidRPr="00334430" w:rsidRDefault="009D1CE1" w:rsidP="00126344">
      <w:pPr>
        <w:autoSpaceDE w:val="0"/>
        <w:autoSpaceDN w:val="0"/>
        <w:adjustRightInd w:val="0"/>
        <w:rPr>
          <w:lang w:val="es-ES"/>
        </w:rPr>
      </w:pPr>
    </w:p>
    <w:p w:rsidR="009D1CE1" w:rsidRPr="003C34BD" w:rsidRDefault="009D1CE1" w:rsidP="00126344">
      <w:pPr>
        <w:autoSpaceDE w:val="0"/>
        <w:autoSpaceDN w:val="0"/>
        <w:adjustRightInd w:val="0"/>
        <w:rPr>
          <w:lang w:val="es-ES"/>
        </w:rPr>
      </w:pPr>
      <w:r w:rsidRPr="00334430">
        <w:rPr>
          <w:lang w:val="es-ES"/>
        </w:rPr>
        <w:t xml:space="preserve">El documento </w:t>
      </w:r>
      <w:hyperlink r:id="rId21" w:history="1">
        <w:r w:rsidRPr="00334430">
          <w:rPr>
            <w:rFonts w:cs="Arial"/>
            <w:lang w:val="es-ES"/>
          </w:rPr>
          <w:t>TGP/5, Sección 2</w:t>
        </w:r>
      </w:hyperlink>
      <w:r w:rsidRPr="00334430">
        <w:rPr>
          <w:lang w:val="es-ES"/>
        </w:rPr>
        <w:t xml:space="preserve"> contiene información adicional sobre cada uno de los puntos del formulario tipo de la UPOV.</w:t>
      </w:r>
    </w:p>
    <w:p w:rsidR="009D1CE1" w:rsidRPr="003C34BD" w:rsidRDefault="009D1CE1" w:rsidP="00126344">
      <w:pPr>
        <w:rPr>
          <w:lang w:val="es-ES"/>
        </w:rPr>
      </w:pPr>
    </w:p>
    <w:p w:rsidR="009D1CE1" w:rsidRPr="003C34BD" w:rsidRDefault="009D1CE1" w:rsidP="00126344">
      <w:pPr>
        <w:jc w:val="right"/>
        <w:rPr>
          <w:lang w:val="es-ES"/>
        </w:rPr>
      </w:pPr>
      <w:r w:rsidRPr="003C34BD">
        <w:rPr>
          <w:noProof/>
        </w:rPr>
        <w:lastRenderedPageBreak/>
        <w:drawing>
          <wp:inline distT="0" distB="0" distL="0" distR="0" wp14:anchorId="05E6CD0E" wp14:editId="02554C62">
            <wp:extent cx="6283842" cy="6802594"/>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82231" cy="6800850"/>
                    </a:xfrm>
                    <a:prstGeom prst="rect">
                      <a:avLst/>
                    </a:prstGeom>
                    <a:noFill/>
                    <a:ln>
                      <a:noFill/>
                    </a:ln>
                  </pic:spPr>
                </pic:pic>
              </a:graphicData>
            </a:graphic>
          </wp:inline>
        </w:drawing>
      </w:r>
    </w:p>
    <w:p w:rsidR="009D1CE1" w:rsidRPr="003C34BD" w:rsidRDefault="009D1CE1" w:rsidP="00126344">
      <w:pPr>
        <w:rPr>
          <w:lang w:val="es-ES"/>
        </w:rPr>
      </w:pPr>
    </w:p>
    <w:p w:rsidR="009D1CE1" w:rsidRPr="003C34BD" w:rsidRDefault="009D1CE1" w:rsidP="00126344">
      <w:pPr>
        <w:rPr>
          <w:lang w:val="es-ES"/>
        </w:rPr>
      </w:pPr>
    </w:p>
    <w:p w:rsidR="009D1CE1" w:rsidRPr="003C34BD" w:rsidRDefault="009D1CE1" w:rsidP="00126344">
      <w:pPr>
        <w:pStyle w:val="Heading3"/>
        <w:rPr>
          <w:lang w:val="es-ES"/>
        </w:rPr>
      </w:pPr>
      <w:bookmarkStart w:id="48" w:name="_Toc378597575"/>
      <w:bookmarkStart w:id="49" w:name="_Toc382814541"/>
      <w:r w:rsidRPr="003C34BD">
        <w:rPr>
          <w:lang w:val="es-ES"/>
        </w:rPr>
        <w:t>Cuestionario técnico</w:t>
      </w:r>
      <w:bookmarkEnd w:id="48"/>
      <w:bookmarkEnd w:id="49"/>
    </w:p>
    <w:p w:rsidR="009D1CE1" w:rsidRPr="003C34BD" w:rsidRDefault="009D1CE1" w:rsidP="00126344">
      <w:pPr>
        <w:rPr>
          <w:lang w:val="es-ES"/>
        </w:rPr>
      </w:pPr>
    </w:p>
    <w:p w:rsidR="009D1CE1" w:rsidRPr="003C34BD" w:rsidRDefault="009D1CE1" w:rsidP="006B4C1A">
      <w:pPr>
        <w:spacing w:after="360"/>
        <w:rPr>
          <w:lang w:val="es-ES"/>
        </w:rPr>
      </w:pPr>
      <w:r w:rsidRPr="00334430">
        <w:rPr>
          <w:lang w:val="es-ES"/>
        </w:rPr>
        <w:t xml:space="preserve">A fin de facilitar el proceso de examen de las variedades, se solicita al obtentor que presente determinada información, por lo general, por conducto de un Cuestionario Técnico que debe presentarse junto con la solicitud.  En el Cuestionario Técnico se solicita información sobre los caracteres específicos que revisten importancia para la distinción de las variedades, información sobre el método de obtención de la variedad y toda información que pueda contribuir a distinguir la variedad.  Se pide también al obtentor que identifique variedades y caracteres similares respecto de las cuales la variedad candidata pueda distinguirse.  En los casos en que la UPOV ha elaborado “Directrices para la ejecución del examen de la distinción, la homogeneidad y la estabilidad”, es decir, “Directrices de examen”, para especies determinadas u otros grupos de variedades (véase </w:t>
      </w:r>
      <w:hyperlink r:id="rId23" w:history="1">
        <w:r w:rsidRPr="00334430">
          <w:rPr>
            <w:rStyle w:val="Hyperlink"/>
            <w:rFonts w:cs="Arial"/>
            <w:lang w:val="es-ES"/>
          </w:rPr>
          <w:t>http://www.upov.int/test_guidelines/es/</w:t>
        </w:r>
      </w:hyperlink>
      <w:r w:rsidRPr="00334430">
        <w:rPr>
          <w:lang w:val="es-ES"/>
        </w:rPr>
        <w:t>), las Directrices de examen contienen un Cuestionario Técnico tipo en el Capítulo 10.</w:t>
      </w:r>
    </w:p>
    <w:p w:rsidR="009D1CE1" w:rsidRPr="003C34BD" w:rsidRDefault="009D1CE1" w:rsidP="00126344">
      <w:pPr>
        <w:pStyle w:val="Heading3"/>
        <w:rPr>
          <w:lang w:val="es-ES"/>
        </w:rPr>
      </w:pPr>
      <w:bookmarkStart w:id="50" w:name="_Toc378597576"/>
      <w:bookmarkStart w:id="51" w:name="_Toc382814542"/>
      <w:r w:rsidRPr="003C34BD">
        <w:rPr>
          <w:lang w:val="es-ES"/>
        </w:rPr>
        <w:lastRenderedPageBreak/>
        <w:t>Muestra de la variedad</w:t>
      </w:r>
      <w:bookmarkEnd w:id="50"/>
      <w:bookmarkEnd w:id="51"/>
    </w:p>
    <w:p w:rsidR="009D1CE1" w:rsidRPr="003C34BD" w:rsidRDefault="009D1CE1" w:rsidP="00126344">
      <w:pPr>
        <w:keepNext/>
        <w:rPr>
          <w:lang w:val="es-ES"/>
        </w:rPr>
      </w:pPr>
    </w:p>
    <w:p w:rsidR="009D1CE1" w:rsidRPr="00334430" w:rsidRDefault="009D1CE1" w:rsidP="00126344">
      <w:pPr>
        <w:rPr>
          <w:lang w:val="es-ES"/>
        </w:rPr>
      </w:pPr>
      <w:r w:rsidRPr="00334430">
        <w:rPr>
          <w:lang w:val="es-ES"/>
        </w:rPr>
        <w:t>El documento TGP/5 “Experiencia y cooperación en el examen DHE”, Sección 4 “Formulario tipo de la UPOV para la designación de la muestra de la variedad”, contiene un formulario tipo que ha de utilizarse junto con el material vegetal presentado para el examen de las variedades candidatas.</w:t>
      </w:r>
    </w:p>
    <w:p w:rsidR="009D1CE1" w:rsidRDefault="009D1CE1" w:rsidP="00126344">
      <w:pPr>
        <w:rPr>
          <w:lang w:val="es-ES"/>
        </w:rPr>
      </w:pPr>
    </w:p>
    <w:p w:rsidR="009D1CE1" w:rsidRPr="00334430" w:rsidRDefault="009D1CE1" w:rsidP="00126344">
      <w:pPr>
        <w:rPr>
          <w:lang w:val="es-ES"/>
        </w:rPr>
      </w:pPr>
    </w:p>
    <w:p w:rsidR="009D1CE1" w:rsidRPr="00334430" w:rsidRDefault="009D1CE1" w:rsidP="00126344">
      <w:pPr>
        <w:pStyle w:val="Heading2"/>
        <w:rPr>
          <w:lang w:val="es-ES"/>
        </w:rPr>
      </w:pPr>
      <w:bookmarkStart w:id="52" w:name="_Toc378597578"/>
      <w:bookmarkStart w:id="53" w:name="_Toc382814543"/>
      <w:r w:rsidRPr="00334430">
        <w:rPr>
          <w:lang w:val="es-ES"/>
        </w:rPr>
        <w:t>Asignar una fecha de presentación</w:t>
      </w:r>
      <w:bookmarkEnd w:id="52"/>
      <w:bookmarkEnd w:id="53"/>
    </w:p>
    <w:p w:rsidR="009D1CE1" w:rsidRPr="00334430" w:rsidRDefault="009D1CE1" w:rsidP="00126344">
      <w:pPr>
        <w:rPr>
          <w:lang w:val="es-ES"/>
        </w:rPr>
      </w:pPr>
    </w:p>
    <w:p w:rsidR="009D1CE1" w:rsidRPr="00334430" w:rsidRDefault="009D1CE1" w:rsidP="00126344">
      <w:pPr>
        <w:rPr>
          <w:lang w:val="es-ES"/>
        </w:rPr>
      </w:pPr>
      <w:r w:rsidRPr="00334430">
        <w:rPr>
          <w:lang w:val="es-ES"/>
        </w:rPr>
        <w:t>La oficina de derechos de obtentor debe asignar una fecha de presentación a las solicitudes que reciba.  Ese paso es pertinente para el examen de la novedad (véase el Módulo 4 “Examen de la novedad”) y la distinción (véase el Módulo 9 “Examen de la distinción”).</w:t>
      </w:r>
    </w:p>
    <w:p w:rsidR="009D1CE1" w:rsidRPr="00334430" w:rsidRDefault="009D1CE1" w:rsidP="00126344">
      <w:pPr>
        <w:rPr>
          <w:lang w:val="es-ES"/>
        </w:rPr>
      </w:pPr>
    </w:p>
    <w:p w:rsidR="009D1CE1" w:rsidRPr="00334430" w:rsidRDefault="009D1CE1" w:rsidP="00126344">
      <w:pPr>
        <w:rPr>
          <w:lang w:val="es-ES"/>
        </w:rPr>
      </w:pPr>
      <w:r w:rsidRPr="00334430">
        <w:rPr>
          <w:szCs w:val="22"/>
          <w:lang w:val="es-ES"/>
        </w:rPr>
        <w:t>En el Convenio de la UPOV se contempla un derecho de prioridad de 12 meses basado en una solicitud anterior de protección de la misma variedad, presentada ante otro miembro de la UPOV, en virtud del cual la solicitud posterior será tratada como si hubiese sido presentada en la fecha de la primera solicitud.  El derecho de prioridad surte efecto respecto del examen de las condiciones relativas a la novedad y la distinción, y las denominaciones</w:t>
      </w:r>
      <w:r w:rsidRPr="00334430">
        <w:rPr>
          <w:lang w:val="es-ES"/>
        </w:rPr>
        <w:t xml:space="preserve"> propuestas (véase el curso de enseñanza a distancia en línea DL-205 “Los derechos del obtentor según el Convenio de la UPOV”, Módulo 4: “Modo de solicitar un derecho de obtentor”, y el documento UPOV/EXN/PRI “Notas explicativas sobre el derecho de prioridad con arreglo al Convenio de la UPOV” disponible en:  </w:t>
      </w:r>
      <w:hyperlink r:id="rId24" w:history="1">
        <w:r w:rsidRPr="00334430">
          <w:rPr>
            <w:rStyle w:val="Hyperlink"/>
            <w:lang w:val="es-ES"/>
          </w:rPr>
          <w:t>http://www.upov.int/explanatory_notes/es/</w:t>
        </w:r>
      </w:hyperlink>
      <w:r w:rsidRPr="00334430">
        <w:rPr>
          <w:lang w:val="es-ES"/>
        </w:rPr>
        <w:t>).</w:t>
      </w:r>
    </w:p>
    <w:p w:rsidR="009D1CE1" w:rsidRDefault="009D1CE1" w:rsidP="00126344">
      <w:pPr>
        <w:rPr>
          <w:lang w:val="es-ES"/>
        </w:rPr>
      </w:pPr>
    </w:p>
    <w:p w:rsidR="009D1CE1" w:rsidRDefault="009D1CE1" w:rsidP="00126344">
      <w:pPr>
        <w:rPr>
          <w:lang w:val="es-ES"/>
        </w:rPr>
      </w:pPr>
    </w:p>
    <w:p w:rsidR="009D1CE1" w:rsidRPr="00334430" w:rsidRDefault="009D1CE1" w:rsidP="00126344">
      <w:pPr>
        <w:rPr>
          <w:lang w:val="es-ES"/>
        </w:rPr>
      </w:pPr>
    </w:p>
    <w:p w:rsidR="009D1CE1" w:rsidRDefault="009D1CE1" w:rsidP="006B4C1A">
      <w:pPr>
        <w:pStyle w:val="Heading1"/>
        <w:rPr>
          <w:lang w:val="es-ES"/>
        </w:rPr>
      </w:pPr>
      <w:bookmarkStart w:id="54" w:name="_Toc382814544"/>
      <w:bookmarkStart w:id="55" w:name="_Toc378597579"/>
      <w:r w:rsidRPr="00334430">
        <w:rPr>
          <w:lang w:val="es-ES"/>
        </w:rPr>
        <w:t>Solicitud presentada en debida forma</w:t>
      </w:r>
      <w:bookmarkEnd w:id="54"/>
    </w:p>
    <w:p w:rsidR="009D1CE1" w:rsidRPr="00334430" w:rsidRDefault="009D1CE1" w:rsidP="00126344">
      <w:pPr>
        <w:rPr>
          <w:lang w:val="es-ES"/>
        </w:rPr>
      </w:pPr>
      <w:r w:rsidRPr="00334430">
        <w:rPr>
          <w:lang w:val="es-ES"/>
        </w:rPr>
        <w:t>(</w:t>
      </w:r>
      <w:proofErr w:type="gramStart"/>
      <w:r w:rsidRPr="00334430">
        <w:rPr>
          <w:lang w:val="es-ES"/>
        </w:rPr>
        <w:t>véase</w:t>
      </w:r>
      <w:proofErr w:type="gramEnd"/>
      <w:r w:rsidRPr="00334430">
        <w:rPr>
          <w:lang w:val="es-ES"/>
        </w:rPr>
        <w:t xml:space="preserve"> la nota b del diagrama de flujo del Módulo 1)</w:t>
      </w:r>
      <w:bookmarkEnd w:id="55"/>
    </w:p>
    <w:p w:rsidR="009D1CE1" w:rsidRPr="00334430" w:rsidRDefault="009D1CE1" w:rsidP="00126344">
      <w:pPr>
        <w:rPr>
          <w:lang w:val="es-ES"/>
        </w:rPr>
      </w:pPr>
    </w:p>
    <w:p w:rsidR="009D1CE1" w:rsidRPr="00334430" w:rsidRDefault="009D1CE1" w:rsidP="00126344">
      <w:pPr>
        <w:rPr>
          <w:lang w:val="es-ES"/>
        </w:rPr>
      </w:pPr>
      <w:r w:rsidRPr="00334430">
        <w:rPr>
          <w:lang w:val="es-ES"/>
        </w:rPr>
        <w:t xml:space="preserve">Para considerar que la solicitud ha sido presentada en debida forma, debe verificarse que se hayan cumplido las formalidades vigentes y los requisitos en materia de tasas.  En el mismo sentido, la solicitud debe haber sido presentada por una persona facultada a tal efecto (véase el Módulo 3 “Derecho a </w:t>
      </w:r>
      <w:r w:rsidR="008D593A">
        <w:rPr>
          <w:lang w:val="es-ES"/>
        </w:rPr>
        <w:t>obtener un derecho de obtentor</w:t>
      </w:r>
      <w:r w:rsidRPr="00334430">
        <w:rPr>
          <w:lang w:val="es-ES"/>
        </w:rPr>
        <w:t>”).</w:t>
      </w:r>
    </w:p>
    <w:p w:rsidR="009D1CE1" w:rsidRPr="00334430" w:rsidRDefault="009D1CE1" w:rsidP="00126344">
      <w:pPr>
        <w:rPr>
          <w:lang w:val="es-ES"/>
        </w:rPr>
      </w:pPr>
    </w:p>
    <w:p w:rsidR="009D1CE1" w:rsidRPr="00334430" w:rsidRDefault="009D1CE1" w:rsidP="00126344">
      <w:pPr>
        <w:rPr>
          <w:lang w:val="es-ES"/>
        </w:rPr>
      </w:pPr>
      <w:r w:rsidRPr="00334430">
        <w:rPr>
          <w:lang w:val="es-ES"/>
        </w:rPr>
        <w:t>Las solicitudes presentadas en debida forma deberán ser preparadas para su publicación por el funcionario asignado al expediente o la persona encargada de la tramitación inicial de los formularios de solicitud.  También deberá facilitarse información a otros funcionarios de la oficina de derechos de obtentor para que preparen los pasos siguientes del examen.</w:t>
      </w:r>
    </w:p>
    <w:p w:rsidR="009D1CE1" w:rsidRDefault="009D1CE1" w:rsidP="00126344">
      <w:pPr>
        <w:rPr>
          <w:lang w:val="es-ES"/>
        </w:rPr>
      </w:pPr>
    </w:p>
    <w:p w:rsidR="009D1CE1" w:rsidRPr="00334430" w:rsidRDefault="009D1CE1" w:rsidP="00126344">
      <w:pPr>
        <w:rPr>
          <w:lang w:val="es-ES"/>
        </w:rPr>
      </w:pPr>
    </w:p>
    <w:p w:rsidR="009D1CE1" w:rsidRPr="00334430" w:rsidRDefault="009D1CE1" w:rsidP="00126344">
      <w:pPr>
        <w:rPr>
          <w:lang w:val="es-ES"/>
        </w:rPr>
      </w:pPr>
    </w:p>
    <w:p w:rsidR="009D1CE1" w:rsidRDefault="009D1CE1" w:rsidP="006B4C1A">
      <w:pPr>
        <w:pStyle w:val="Heading1"/>
        <w:rPr>
          <w:lang w:val="es-ES"/>
        </w:rPr>
      </w:pPr>
      <w:bookmarkStart w:id="56" w:name="_Toc382814545"/>
      <w:bookmarkStart w:id="57" w:name="_Toc378597580"/>
      <w:r w:rsidRPr="00334430">
        <w:rPr>
          <w:lang w:val="es-ES"/>
        </w:rPr>
        <w:t>Publicació</w:t>
      </w:r>
      <w:r>
        <w:rPr>
          <w:lang w:val="es-ES"/>
        </w:rPr>
        <w:t>n</w:t>
      </w:r>
      <w:bookmarkEnd w:id="56"/>
    </w:p>
    <w:p w:rsidR="009D1CE1" w:rsidRPr="00334430" w:rsidRDefault="009D1CE1" w:rsidP="00126344">
      <w:pPr>
        <w:rPr>
          <w:lang w:val="es-ES"/>
        </w:rPr>
      </w:pPr>
      <w:r w:rsidRPr="00334430">
        <w:rPr>
          <w:lang w:val="es-ES"/>
        </w:rPr>
        <w:t>(</w:t>
      </w:r>
      <w:proofErr w:type="gramStart"/>
      <w:r w:rsidRPr="00334430">
        <w:rPr>
          <w:lang w:val="es-ES"/>
        </w:rPr>
        <w:t>véase</w:t>
      </w:r>
      <w:proofErr w:type="gramEnd"/>
      <w:r w:rsidRPr="00334430">
        <w:rPr>
          <w:lang w:val="es-ES"/>
        </w:rPr>
        <w:t xml:space="preserve"> la nota c del </w:t>
      </w:r>
      <w:r>
        <w:rPr>
          <w:lang w:val="es-ES"/>
        </w:rPr>
        <w:t>diagrama de flujo</w:t>
      </w:r>
      <w:r w:rsidRPr="00334430">
        <w:rPr>
          <w:lang w:val="es-ES"/>
        </w:rPr>
        <w:t xml:space="preserve"> del Módulo 1)</w:t>
      </w:r>
      <w:bookmarkEnd w:id="57"/>
    </w:p>
    <w:p w:rsidR="009D1CE1" w:rsidRPr="00334430" w:rsidRDefault="009D1CE1" w:rsidP="00126344">
      <w:pPr>
        <w:rPr>
          <w:lang w:val="es-ES"/>
        </w:rPr>
      </w:pPr>
    </w:p>
    <w:p w:rsidR="009D1CE1" w:rsidRPr="00334430" w:rsidRDefault="009D1CE1" w:rsidP="00126344">
      <w:pPr>
        <w:rPr>
          <w:lang w:val="es-ES"/>
        </w:rPr>
      </w:pPr>
      <w:r w:rsidRPr="00334430">
        <w:rPr>
          <w:lang w:val="es-ES"/>
        </w:rPr>
        <w:t>Véase el Módulo 4 “Información que se publica”.</w:t>
      </w:r>
    </w:p>
    <w:p w:rsidR="009D1CE1" w:rsidRDefault="009D1CE1" w:rsidP="00126344">
      <w:pPr>
        <w:rPr>
          <w:lang w:val="es-ES"/>
        </w:rPr>
      </w:pPr>
    </w:p>
    <w:p w:rsidR="009D1CE1" w:rsidRPr="00334430" w:rsidRDefault="009D1CE1" w:rsidP="00126344">
      <w:pPr>
        <w:rPr>
          <w:lang w:val="es-ES"/>
        </w:rPr>
      </w:pPr>
    </w:p>
    <w:p w:rsidR="009D1CE1" w:rsidRPr="00334430" w:rsidRDefault="009D1CE1" w:rsidP="00126344">
      <w:pPr>
        <w:rPr>
          <w:lang w:val="es-ES"/>
        </w:rPr>
      </w:pPr>
    </w:p>
    <w:p w:rsidR="009D1CE1" w:rsidRDefault="009D1CE1" w:rsidP="006B4C1A">
      <w:pPr>
        <w:pStyle w:val="Heading1"/>
        <w:rPr>
          <w:lang w:val="es-ES"/>
        </w:rPr>
      </w:pPr>
      <w:bookmarkStart w:id="58" w:name="_Toc382814546"/>
      <w:bookmarkStart w:id="59" w:name="_Toc378597581"/>
      <w:r w:rsidRPr="00334430">
        <w:rPr>
          <w:lang w:val="es-ES"/>
        </w:rPr>
        <w:t>Examen de los requisitos</w:t>
      </w:r>
      <w:bookmarkEnd w:id="58"/>
    </w:p>
    <w:p w:rsidR="009D1CE1" w:rsidRPr="00334430" w:rsidRDefault="009D1CE1" w:rsidP="00126344">
      <w:pPr>
        <w:rPr>
          <w:lang w:val="es-ES"/>
        </w:rPr>
      </w:pPr>
      <w:r w:rsidRPr="00334430">
        <w:rPr>
          <w:lang w:val="es-ES"/>
        </w:rPr>
        <w:t>(</w:t>
      </w:r>
      <w:proofErr w:type="gramStart"/>
      <w:r w:rsidRPr="00334430">
        <w:rPr>
          <w:lang w:val="es-ES"/>
        </w:rPr>
        <w:t>véase</w:t>
      </w:r>
      <w:proofErr w:type="gramEnd"/>
      <w:r w:rsidRPr="00334430">
        <w:rPr>
          <w:lang w:val="es-ES"/>
        </w:rPr>
        <w:t xml:space="preserve"> la nota d del </w:t>
      </w:r>
      <w:r>
        <w:rPr>
          <w:lang w:val="es-ES"/>
        </w:rPr>
        <w:t>diagrama de flujo</w:t>
      </w:r>
      <w:r w:rsidRPr="00334430">
        <w:rPr>
          <w:lang w:val="es-ES"/>
        </w:rPr>
        <w:t xml:space="preserve"> del Módulo 1)</w:t>
      </w:r>
      <w:bookmarkEnd w:id="59"/>
    </w:p>
    <w:p w:rsidR="009D1CE1" w:rsidRPr="00334430" w:rsidRDefault="009D1CE1" w:rsidP="00126344">
      <w:pPr>
        <w:rPr>
          <w:lang w:val="es-ES"/>
        </w:rPr>
      </w:pPr>
    </w:p>
    <w:p w:rsidR="009D1CE1" w:rsidRPr="003C34BD" w:rsidRDefault="009D1CE1" w:rsidP="00126344">
      <w:pPr>
        <w:rPr>
          <w:lang w:val="es-ES"/>
        </w:rPr>
      </w:pPr>
      <w:r w:rsidRPr="00334430">
        <w:rPr>
          <w:lang w:val="es-ES"/>
        </w:rPr>
        <w:t>El examen de la novedad y la denominación propuesta, y el examen DHE deberían realizarse en paralelo para evitar cualquier demora en la con</w:t>
      </w:r>
      <w:r w:rsidRPr="003C34BD">
        <w:rPr>
          <w:lang w:val="es-ES"/>
        </w:rPr>
        <w:t xml:space="preserve">cesión del derecho de obtentor.  En particular, el Convenio de la UPOV exige que la denominación se registre en </w:t>
      </w:r>
      <w:r>
        <w:rPr>
          <w:lang w:val="es-ES"/>
        </w:rPr>
        <w:t xml:space="preserve">la </w:t>
      </w:r>
      <w:r w:rsidRPr="003C34BD">
        <w:rPr>
          <w:lang w:val="es-ES"/>
        </w:rPr>
        <w:t xml:space="preserve">oficina de derechos de obtentor al mismo tiempo que se concede el derecho (Artículo 20.3) del Acta de 1991 y Artículo 13.3) del Acta de 1978).  Existen distintas opciones para administrar el examen.  Por ejemplo, puede designarse a una persona como “funcionario encargado del expediente”, </w:t>
      </w:r>
      <w:r>
        <w:rPr>
          <w:lang w:val="es-ES"/>
        </w:rPr>
        <w:t xml:space="preserve">que estará </w:t>
      </w:r>
      <w:r w:rsidRPr="003C34BD">
        <w:rPr>
          <w:lang w:val="es-ES"/>
        </w:rPr>
        <w:t xml:space="preserve">a cargo de la administración de todos los aspectos del examen antes mencionados, o podrá </w:t>
      </w:r>
      <w:r>
        <w:rPr>
          <w:lang w:val="es-ES"/>
        </w:rPr>
        <w:t>encargarse a</w:t>
      </w:r>
      <w:r w:rsidRPr="003C34BD">
        <w:rPr>
          <w:lang w:val="es-ES"/>
        </w:rPr>
        <w:t xml:space="preserve"> profesionales especializados </w:t>
      </w:r>
      <w:r>
        <w:rPr>
          <w:lang w:val="es-ES"/>
        </w:rPr>
        <w:t xml:space="preserve">la </w:t>
      </w:r>
      <w:r w:rsidRPr="003C34BD">
        <w:rPr>
          <w:lang w:val="es-ES"/>
        </w:rPr>
        <w:t>real</w:t>
      </w:r>
      <w:r>
        <w:rPr>
          <w:lang w:val="es-ES"/>
        </w:rPr>
        <w:t>ización de</w:t>
      </w:r>
      <w:r w:rsidRPr="003C34BD">
        <w:rPr>
          <w:lang w:val="es-ES"/>
        </w:rPr>
        <w:t xml:space="preserve"> determinadas partes del trabajo.</w:t>
      </w:r>
    </w:p>
    <w:p w:rsidR="009D1CE1" w:rsidRPr="003C34BD" w:rsidRDefault="009D1CE1" w:rsidP="00126344">
      <w:pPr>
        <w:rPr>
          <w:lang w:val="es-ES"/>
        </w:rPr>
      </w:pPr>
    </w:p>
    <w:p w:rsidR="009D1CE1" w:rsidRPr="003C34BD" w:rsidRDefault="009D1CE1" w:rsidP="006B4C1A">
      <w:pPr>
        <w:spacing w:after="720"/>
        <w:rPr>
          <w:lang w:val="es-ES"/>
        </w:rPr>
      </w:pPr>
      <w:r w:rsidRPr="00334430">
        <w:rPr>
          <w:lang w:val="es-ES"/>
        </w:rPr>
        <w:t>El examen de la denominación se estudia en detalle en el Módulo 6 “Examen de la denominación de la variedad”.  El examen de la novedad se trata en el Módulo 5 “Examen de la novedad”, mientras que en los Módulos 7 a 13 se explica el “Examen DHE”.</w:t>
      </w:r>
    </w:p>
    <w:p w:rsidR="009D1CE1" w:rsidRDefault="009D1CE1" w:rsidP="006B4C1A">
      <w:pPr>
        <w:pStyle w:val="Heading1"/>
        <w:rPr>
          <w:lang w:val="es-ES"/>
        </w:rPr>
      </w:pPr>
      <w:bookmarkStart w:id="60" w:name="_Toc382814547"/>
      <w:bookmarkStart w:id="61" w:name="_Toc378597582"/>
      <w:r w:rsidRPr="003C34BD">
        <w:rPr>
          <w:lang w:val="es-ES"/>
        </w:rPr>
        <w:lastRenderedPageBreak/>
        <w:t>examen DHE</w:t>
      </w:r>
      <w:bookmarkEnd w:id="60"/>
      <w:r w:rsidRPr="003C34BD">
        <w:rPr>
          <w:lang w:val="es-ES"/>
        </w:rPr>
        <w:t xml:space="preserve"> </w:t>
      </w:r>
    </w:p>
    <w:p w:rsidR="009D1CE1" w:rsidRDefault="009D1CE1" w:rsidP="006B4C1A">
      <w:pPr>
        <w:keepNext/>
        <w:rPr>
          <w:lang w:val="es-ES"/>
        </w:rPr>
      </w:pPr>
      <w:r>
        <w:rPr>
          <w:lang w:val="es-ES"/>
        </w:rPr>
        <w:t>(</w:t>
      </w:r>
      <w:proofErr w:type="gramStart"/>
      <w:r w:rsidRPr="003C34BD">
        <w:rPr>
          <w:lang w:val="es-ES"/>
        </w:rPr>
        <w:t>véase</w:t>
      </w:r>
      <w:proofErr w:type="gramEnd"/>
      <w:r w:rsidRPr="003C34BD">
        <w:rPr>
          <w:lang w:val="es-ES"/>
        </w:rPr>
        <w:t xml:space="preserve"> la nota e del </w:t>
      </w:r>
      <w:r>
        <w:rPr>
          <w:lang w:val="es-ES"/>
        </w:rPr>
        <w:t>diagrama de flujo</w:t>
      </w:r>
      <w:r w:rsidRPr="003C34BD">
        <w:rPr>
          <w:lang w:val="es-ES"/>
        </w:rPr>
        <w:t xml:space="preserve"> del Módulo 1)</w:t>
      </w:r>
      <w:bookmarkEnd w:id="61"/>
    </w:p>
    <w:p w:rsidR="009D1CE1" w:rsidRPr="003C34BD" w:rsidRDefault="009D1CE1" w:rsidP="006B4C1A">
      <w:pPr>
        <w:keepNext/>
        <w:rPr>
          <w:lang w:val="es-ES"/>
        </w:rPr>
      </w:pPr>
    </w:p>
    <w:p w:rsidR="009D1CE1" w:rsidRPr="003C34BD" w:rsidRDefault="009D1CE1" w:rsidP="00126344">
      <w:pPr>
        <w:autoSpaceDE w:val="0"/>
        <w:autoSpaceDN w:val="0"/>
        <w:adjustRightInd w:val="0"/>
        <w:rPr>
          <w:lang w:val="es-ES"/>
        </w:rPr>
      </w:pPr>
      <w:r w:rsidRPr="003C34BD">
        <w:rPr>
          <w:lang w:val="es-ES"/>
        </w:rPr>
        <w:t xml:space="preserve">Las </w:t>
      </w:r>
      <w:r>
        <w:rPr>
          <w:lang w:val="es-ES"/>
        </w:rPr>
        <w:t>modalidades</w:t>
      </w:r>
      <w:r w:rsidRPr="003C34BD">
        <w:rPr>
          <w:lang w:val="es-ES"/>
        </w:rPr>
        <w:t xml:space="preserve"> </w:t>
      </w:r>
      <w:r>
        <w:rPr>
          <w:lang w:val="es-ES"/>
        </w:rPr>
        <w:t>de</w:t>
      </w:r>
      <w:r w:rsidRPr="003C34BD">
        <w:rPr>
          <w:lang w:val="es-ES"/>
        </w:rPr>
        <w:t>l examen DHE influ</w:t>
      </w:r>
      <w:r>
        <w:rPr>
          <w:lang w:val="es-ES"/>
        </w:rPr>
        <w:t>irá</w:t>
      </w:r>
      <w:r w:rsidRPr="003C34BD">
        <w:rPr>
          <w:lang w:val="es-ES"/>
        </w:rPr>
        <w:t xml:space="preserve">n en el tamaño y la estructura de la oficina de derechos de obtentor.  Por ejemplo, una oficina de derechos de obtentor podrá adoptar una de las </w:t>
      </w:r>
      <w:r>
        <w:rPr>
          <w:lang w:val="es-ES"/>
        </w:rPr>
        <w:t>modalidades</w:t>
      </w:r>
      <w:r w:rsidRPr="003C34BD">
        <w:rPr>
          <w:lang w:val="es-ES"/>
        </w:rPr>
        <w:t xml:space="preserve"> siguientes, o más de una:</w:t>
      </w:r>
    </w:p>
    <w:p w:rsidR="009D1CE1" w:rsidRPr="003C34BD" w:rsidRDefault="009D1CE1" w:rsidP="00126344">
      <w:pPr>
        <w:autoSpaceDE w:val="0"/>
        <w:autoSpaceDN w:val="0"/>
        <w:adjustRightInd w:val="0"/>
        <w:rPr>
          <w:lang w:val="es-ES"/>
        </w:rPr>
      </w:pPr>
    </w:p>
    <w:p w:rsidR="009D1CE1" w:rsidRPr="003C34BD" w:rsidRDefault="009D1CE1" w:rsidP="009D1CE1">
      <w:pPr>
        <w:numPr>
          <w:ilvl w:val="0"/>
          <w:numId w:val="7"/>
        </w:numPr>
        <w:autoSpaceDE w:val="0"/>
        <w:autoSpaceDN w:val="0"/>
        <w:adjustRightInd w:val="0"/>
        <w:spacing w:after="120"/>
        <w:ind w:hanging="357"/>
        <w:rPr>
          <w:lang w:val="es-ES"/>
        </w:rPr>
      </w:pPr>
      <w:r w:rsidRPr="003C34BD">
        <w:rPr>
          <w:lang w:val="es-ES"/>
        </w:rPr>
        <w:t xml:space="preserve">la oficina de derechos de obtentor realiza por sí misma los ensayos en cultivo u otros </w:t>
      </w:r>
      <w:r>
        <w:rPr>
          <w:lang w:val="es-ES"/>
        </w:rPr>
        <w:t>exámenes</w:t>
      </w:r>
      <w:r w:rsidRPr="003C34BD">
        <w:rPr>
          <w:lang w:val="es-ES"/>
        </w:rPr>
        <w:t xml:space="preserve"> (examen por la oficina de derechos de obtentor)</w:t>
      </w:r>
      <w:r>
        <w:rPr>
          <w:lang w:val="es-ES"/>
        </w:rPr>
        <w:t>;</w:t>
      </w:r>
    </w:p>
    <w:p w:rsidR="009D1CE1" w:rsidRPr="003C34BD" w:rsidRDefault="009D1CE1" w:rsidP="009D1CE1">
      <w:pPr>
        <w:numPr>
          <w:ilvl w:val="0"/>
          <w:numId w:val="7"/>
        </w:numPr>
        <w:autoSpaceDE w:val="0"/>
        <w:autoSpaceDN w:val="0"/>
        <w:adjustRightInd w:val="0"/>
        <w:spacing w:after="120"/>
        <w:ind w:hanging="357"/>
        <w:rPr>
          <w:lang w:val="es-ES"/>
        </w:rPr>
      </w:pPr>
      <w:r w:rsidRPr="003C34BD">
        <w:rPr>
          <w:lang w:val="es-ES"/>
        </w:rPr>
        <w:t xml:space="preserve">la oficina de derechos de obtentor dispone que un tercero u otros realicen los ensayos en cultivo u otros </w:t>
      </w:r>
      <w:r>
        <w:rPr>
          <w:lang w:val="es-ES"/>
        </w:rPr>
        <w:t>exámenes</w:t>
      </w:r>
      <w:r w:rsidRPr="003C34BD">
        <w:rPr>
          <w:lang w:val="es-ES"/>
        </w:rPr>
        <w:t xml:space="preserve"> (fuera de la oficina de derechos de obtentor).  En el marco de esa </w:t>
      </w:r>
      <w:r>
        <w:rPr>
          <w:lang w:val="es-ES"/>
        </w:rPr>
        <w:t>modalidad</w:t>
      </w:r>
      <w:r w:rsidRPr="003C34BD">
        <w:rPr>
          <w:lang w:val="es-ES"/>
        </w:rPr>
        <w:t xml:space="preserve">, se entenderá por un tercero u otros, por ejemplo, otras oficinas de derechos de obtentor, un instituto independiente o el </w:t>
      </w:r>
      <w:r>
        <w:rPr>
          <w:lang w:val="es-ES"/>
        </w:rPr>
        <w:t xml:space="preserve">propio </w:t>
      </w:r>
      <w:r w:rsidRPr="003C34BD">
        <w:rPr>
          <w:lang w:val="es-ES"/>
        </w:rPr>
        <w:t>obtentor</w:t>
      </w:r>
      <w:r>
        <w:rPr>
          <w:lang w:val="es-ES"/>
        </w:rPr>
        <w:t>;</w:t>
      </w:r>
    </w:p>
    <w:p w:rsidR="009D1CE1" w:rsidRPr="003C34BD" w:rsidRDefault="009D1CE1" w:rsidP="009D1CE1">
      <w:pPr>
        <w:numPr>
          <w:ilvl w:val="0"/>
          <w:numId w:val="7"/>
        </w:numPr>
        <w:autoSpaceDE w:val="0"/>
        <w:autoSpaceDN w:val="0"/>
        <w:adjustRightInd w:val="0"/>
        <w:spacing w:after="120"/>
        <w:ind w:hanging="357"/>
        <w:rPr>
          <w:lang w:val="es-ES"/>
        </w:rPr>
      </w:pPr>
      <w:r w:rsidRPr="003C34BD">
        <w:rPr>
          <w:lang w:val="es-ES"/>
        </w:rPr>
        <w:t xml:space="preserve">la oficina de derechos de obtentor tiene en cuenta los resultados de los ensayos en cultivo u otros </w:t>
      </w:r>
      <w:r>
        <w:rPr>
          <w:lang w:val="es-ES"/>
        </w:rPr>
        <w:t>exámenes</w:t>
      </w:r>
      <w:r w:rsidRPr="003C34BD">
        <w:rPr>
          <w:lang w:val="es-ES"/>
        </w:rPr>
        <w:t xml:space="preserve"> que ya ha</w:t>
      </w:r>
      <w:r>
        <w:rPr>
          <w:lang w:val="es-ES"/>
        </w:rPr>
        <w:t>ya</w:t>
      </w:r>
      <w:r w:rsidRPr="003C34BD">
        <w:rPr>
          <w:lang w:val="es-ES"/>
        </w:rPr>
        <w:t>n sido realizados (fuera de la oficina de derechos de obtentor).</w:t>
      </w:r>
    </w:p>
    <w:p w:rsidR="009D1CE1" w:rsidRPr="003C34BD" w:rsidRDefault="009D1CE1" w:rsidP="00126344">
      <w:pPr>
        <w:autoSpaceDE w:val="0"/>
        <w:autoSpaceDN w:val="0"/>
        <w:adjustRightInd w:val="0"/>
        <w:rPr>
          <w:lang w:val="es-ES"/>
        </w:rPr>
      </w:pPr>
    </w:p>
    <w:p w:rsidR="009D1CE1" w:rsidRPr="00334430" w:rsidRDefault="009D1CE1" w:rsidP="00126344">
      <w:pPr>
        <w:autoSpaceDE w:val="0"/>
        <w:autoSpaceDN w:val="0"/>
        <w:adjustRightInd w:val="0"/>
        <w:rPr>
          <w:lang w:val="es-ES"/>
        </w:rPr>
      </w:pPr>
      <w:r w:rsidRPr="00334430">
        <w:rPr>
          <w:lang w:val="es-ES"/>
        </w:rPr>
        <w:t xml:space="preserve">Las distintas opciones de cooperación entre oficinas de derechos de obtentor y la cooperación con los obtentores en materia de examen DHE se examinarán con más detalle en el Módulo 13 “Cooperación en el examen DHE”.  En el documento TGP5 “Experiencia y cooperación en el examen DHE”, Sección 1 “Experiencia y cooperación en el examen DHE” también se brinda información útil, presentándose un acuerdo administrativo tipo de cooperación internacional en el examen de las variedades.  Los miembros de la UPOV pueden celebrar arreglos informales para la adquisición de informes de examen DHE (por ejemplo, </w:t>
      </w:r>
      <w:r w:rsidR="008D593A">
        <w:rPr>
          <w:lang w:val="es-ES"/>
        </w:rPr>
        <w:t xml:space="preserve">mediante un </w:t>
      </w:r>
      <w:r w:rsidRPr="00334430">
        <w:rPr>
          <w:lang w:val="es-ES"/>
        </w:rPr>
        <w:t>intercambio de correspondencia).</w:t>
      </w:r>
    </w:p>
    <w:p w:rsidR="009D1CE1" w:rsidRDefault="009D1CE1" w:rsidP="00126344">
      <w:pPr>
        <w:autoSpaceDE w:val="0"/>
        <w:autoSpaceDN w:val="0"/>
        <w:adjustRightInd w:val="0"/>
        <w:rPr>
          <w:lang w:val="es-ES"/>
        </w:rPr>
      </w:pPr>
    </w:p>
    <w:p w:rsidR="009D1CE1" w:rsidRPr="00334430" w:rsidRDefault="009D1CE1" w:rsidP="00126344">
      <w:pPr>
        <w:autoSpaceDE w:val="0"/>
        <w:autoSpaceDN w:val="0"/>
        <w:adjustRightInd w:val="0"/>
        <w:rPr>
          <w:lang w:val="es-ES"/>
        </w:rPr>
      </w:pPr>
    </w:p>
    <w:p w:rsidR="009D1CE1" w:rsidRPr="00334430" w:rsidRDefault="009D1CE1" w:rsidP="00126344">
      <w:pPr>
        <w:autoSpaceDE w:val="0"/>
        <w:autoSpaceDN w:val="0"/>
        <w:adjustRightInd w:val="0"/>
        <w:rPr>
          <w:lang w:val="es-ES"/>
        </w:rPr>
      </w:pPr>
    </w:p>
    <w:p w:rsidR="009D1CE1" w:rsidRDefault="009D1CE1" w:rsidP="006B4C1A">
      <w:pPr>
        <w:pStyle w:val="Heading1"/>
        <w:rPr>
          <w:lang w:val="es-ES"/>
        </w:rPr>
      </w:pPr>
      <w:bookmarkStart w:id="62" w:name="_Toc382814548"/>
      <w:bookmarkStart w:id="63" w:name="_Toc378597583"/>
      <w:r w:rsidRPr="00334430">
        <w:rPr>
          <w:lang w:val="es-ES"/>
        </w:rPr>
        <w:t>decis</w:t>
      </w:r>
      <w:r w:rsidRPr="003C34BD">
        <w:rPr>
          <w:lang w:val="es-ES"/>
        </w:rPr>
        <w:t>ión propuesta</w:t>
      </w:r>
      <w:bookmarkEnd w:id="62"/>
    </w:p>
    <w:p w:rsidR="009D1CE1" w:rsidRPr="003C34BD" w:rsidRDefault="009D1CE1" w:rsidP="006B4C1A">
      <w:pPr>
        <w:keepNext/>
        <w:rPr>
          <w:lang w:val="es-ES"/>
        </w:rPr>
      </w:pPr>
      <w:r w:rsidRPr="003C34BD">
        <w:rPr>
          <w:lang w:val="es-ES"/>
        </w:rPr>
        <w:t>(</w:t>
      </w:r>
      <w:proofErr w:type="gramStart"/>
      <w:r w:rsidRPr="003C34BD">
        <w:rPr>
          <w:lang w:val="es-ES"/>
        </w:rPr>
        <w:t>véase</w:t>
      </w:r>
      <w:proofErr w:type="gramEnd"/>
      <w:r w:rsidRPr="003C34BD">
        <w:rPr>
          <w:lang w:val="es-ES"/>
        </w:rPr>
        <w:t xml:space="preserve"> la nota f del </w:t>
      </w:r>
      <w:r>
        <w:rPr>
          <w:lang w:val="es-ES"/>
        </w:rPr>
        <w:t>diagrama de flujo</w:t>
      </w:r>
      <w:r w:rsidRPr="003C34BD">
        <w:rPr>
          <w:lang w:val="es-ES"/>
        </w:rPr>
        <w:t xml:space="preserve"> del Módulo 1)</w:t>
      </w:r>
      <w:bookmarkEnd w:id="63"/>
    </w:p>
    <w:p w:rsidR="009D1CE1" w:rsidRPr="003C34BD" w:rsidRDefault="009D1CE1" w:rsidP="006B4C1A">
      <w:pPr>
        <w:keepNext/>
        <w:rPr>
          <w:lang w:val="es-ES"/>
        </w:rPr>
      </w:pPr>
    </w:p>
    <w:p w:rsidR="009D1CE1" w:rsidRPr="003C34BD" w:rsidRDefault="009D1CE1" w:rsidP="00126344">
      <w:pPr>
        <w:rPr>
          <w:lang w:val="es-ES"/>
        </w:rPr>
      </w:pPr>
      <w:r w:rsidRPr="003C34BD">
        <w:rPr>
          <w:lang w:val="es-ES"/>
        </w:rPr>
        <w:t xml:space="preserve">A partir de los resultados del examen de la novedad y la denominación y del examen DHE, puede </w:t>
      </w:r>
      <w:r w:rsidRPr="00334430">
        <w:rPr>
          <w:lang w:val="es-ES"/>
        </w:rPr>
        <w:t>proponerse una decisión con respecto a la concesión de la protección.  Un funcionario o un grupo de profesionales, por ejemplo, una junta o un grupo de expertos, podrán proponer esa decisión a la autoridad encargada de la concesión de los derechos de obtentor (la oficina de derechos de obtentor).  Si la decisión es negativa, el rechazo de la solicitud deberá ser publicado (véase el Módulo 4 “Información que se publica”).  El solicitante podrá apelar cualquier decisión negativa propuesta por la oficina de derechos de obtentor.</w:t>
      </w:r>
    </w:p>
    <w:p w:rsidR="009D1CE1" w:rsidRDefault="009D1CE1" w:rsidP="00126344">
      <w:pPr>
        <w:rPr>
          <w:lang w:val="es-ES"/>
        </w:rPr>
      </w:pPr>
    </w:p>
    <w:p w:rsidR="009D1CE1" w:rsidRDefault="009D1CE1" w:rsidP="00126344">
      <w:pPr>
        <w:rPr>
          <w:lang w:val="es-ES"/>
        </w:rPr>
      </w:pPr>
    </w:p>
    <w:p w:rsidR="009D1CE1" w:rsidRPr="003C34BD" w:rsidRDefault="009D1CE1" w:rsidP="00126344">
      <w:pPr>
        <w:rPr>
          <w:lang w:val="es-ES"/>
        </w:rPr>
      </w:pPr>
    </w:p>
    <w:p w:rsidR="009D1CE1" w:rsidRDefault="009D1CE1" w:rsidP="006B4C1A">
      <w:pPr>
        <w:pStyle w:val="Heading1"/>
        <w:rPr>
          <w:lang w:val="es-ES"/>
        </w:rPr>
      </w:pPr>
      <w:bookmarkStart w:id="64" w:name="_Toc382814549"/>
      <w:bookmarkStart w:id="65" w:name="_Toc378597584"/>
      <w:r w:rsidRPr="003C34BD">
        <w:rPr>
          <w:lang w:val="es-ES"/>
        </w:rPr>
        <w:t>Objecione</w:t>
      </w:r>
      <w:r>
        <w:rPr>
          <w:lang w:val="es-ES"/>
        </w:rPr>
        <w:t>s</w:t>
      </w:r>
      <w:bookmarkEnd w:id="64"/>
    </w:p>
    <w:p w:rsidR="009D1CE1" w:rsidRPr="003C34BD" w:rsidRDefault="009D1CE1" w:rsidP="006B4C1A">
      <w:pPr>
        <w:keepNext/>
        <w:rPr>
          <w:lang w:val="es-ES"/>
        </w:rPr>
      </w:pPr>
      <w:r w:rsidRPr="003C34BD">
        <w:rPr>
          <w:lang w:val="es-ES"/>
        </w:rPr>
        <w:t>(</w:t>
      </w:r>
      <w:proofErr w:type="gramStart"/>
      <w:r w:rsidRPr="003C34BD">
        <w:rPr>
          <w:lang w:val="es-ES"/>
        </w:rPr>
        <w:t>véase</w:t>
      </w:r>
      <w:proofErr w:type="gramEnd"/>
      <w:r w:rsidRPr="003C34BD">
        <w:rPr>
          <w:lang w:val="es-ES"/>
        </w:rPr>
        <w:t xml:space="preserve"> la nota g del </w:t>
      </w:r>
      <w:r>
        <w:rPr>
          <w:lang w:val="es-ES"/>
        </w:rPr>
        <w:t>diagrama de flujo</w:t>
      </w:r>
      <w:r w:rsidRPr="003C34BD">
        <w:rPr>
          <w:lang w:val="es-ES"/>
        </w:rPr>
        <w:t xml:space="preserve"> del Módulo 1)</w:t>
      </w:r>
      <w:bookmarkEnd w:id="65"/>
    </w:p>
    <w:p w:rsidR="009D1CE1" w:rsidRPr="003C34BD" w:rsidRDefault="009D1CE1" w:rsidP="006B4C1A">
      <w:pPr>
        <w:keepNext/>
        <w:rPr>
          <w:lang w:val="es-ES"/>
        </w:rPr>
      </w:pPr>
    </w:p>
    <w:p w:rsidR="009D1CE1" w:rsidRPr="003C34BD" w:rsidRDefault="009D1CE1" w:rsidP="00126344">
      <w:pPr>
        <w:rPr>
          <w:lang w:val="es-ES"/>
        </w:rPr>
      </w:pPr>
      <w:r w:rsidRPr="003C34BD">
        <w:rPr>
          <w:lang w:val="es-ES"/>
        </w:rPr>
        <w:t xml:space="preserve">La oficina de derechos de obtentor debe contar con procedimientos de gestión de las objeciones formuladas tras la publicación de la información.  Las objeciones formuladas por el público podrán aportar datos pertinentes </w:t>
      </w:r>
      <w:r>
        <w:rPr>
          <w:lang w:val="es-ES"/>
        </w:rPr>
        <w:t>para e</w:t>
      </w:r>
      <w:r w:rsidRPr="003C34BD">
        <w:rPr>
          <w:lang w:val="es-ES"/>
        </w:rPr>
        <w:t xml:space="preserve">l examen de las solicitudes y las denominaciones.  El solicitante también podrá facilitar información adicional pertinente </w:t>
      </w:r>
      <w:r>
        <w:rPr>
          <w:lang w:val="es-ES"/>
        </w:rPr>
        <w:t>a la hora de apelar una</w:t>
      </w:r>
      <w:r w:rsidRPr="003C34BD">
        <w:rPr>
          <w:lang w:val="es-ES"/>
        </w:rPr>
        <w:t xml:space="preserve"> decisión de la oficina de derechos de obtentor</w:t>
      </w:r>
      <w:r>
        <w:rPr>
          <w:lang w:val="es-ES"/>
        </w:rPr>
        <w:t>.</w:t>
      </w:r>
    </w:p>
    <w:p w:rsidR="009D1CE1" w:rsidRDefault="009D1CE1" w:rsidP="00126344">
      <w:pPr>
        <w:rPr>
          <w:lang w:val="es-ES"/>
        </w:rPr>
      </w:pPr>
    </w:p>
    <w:p w:rsidR="009D1CE1" w:rsidRPr="003C34BD" w:rsidRDefault="009D1CE1" w:rsidP="00126344">
      <w:pPr>
        <w:rPr>
          <w:lang w:val="es-ES"/>
        </w:rPr>
      </w:pPr>
    </w:p>
    <w:p w:rsidR="009D1CE1" w:rsidRPr="003C34BD" w:rsidRDefault="009D1CE1" w:rsidP="00126344">
      <w:pPr>
        <w:rPr>
          <w:lang w:val="es-ES"/>
        </w:rPr>
      </w:pPr>
    </w:p>
    <w:p w:rsidR="009D1CE1" w:rsidRDefault="009D1CE1" w:rsidP="006B4C1A">
      <w:pPr>
        <w:pStyle w:val="Heading1"/>
        <w:rPr>
          <w:lang w:val="es-ES"/>
        </w:rPr>
      </w:pPr>
      <w:bookmarkStart w:id="66" w:name="_Toc382814550"/>
      <w:bookmarkStart w:id="67" w:name="_Toc378597585"/>
      <w:r w:rsidRPr="003C34BD">
        <w:rPr>
          <w:lang w:val="es-ES"/>
        </w:rPr>
        <w:t>concesión del derecho de obtentor</w:t>
      </w:r>
      <w:bookmarkEnd w:id="66"/>
    </w:p>
    <w:p w:rsidR="009D1CE1" w:rsidRPr="003C34BD" w:rsidRDefault="009D1CE1" w:rsidP="006B4C1A">
      <w:pPr>
        <w:keepNext/>
        <w:rPr>
          <w:lang w:val="es-ES"/>
        </w:rPr>
      </w:pPr>
      <w:r w:rsidRPr="003C34BD">
        <w:rPr>
          <w:lang w:val="es-ES"/>
        </w:rPr>
        <w:t>(</w:t>
      </w:r>
      <w:proofErr w:type="gramStart"/>
      <w:r w:rsidRPr="003C34BD">
        <w:rPr>
          <w:lang w:val="es-ES"/>
        </w:rPr>
        <w:t>véase</w:t>
      </w:r>
      <w:proofErr w:type="gramEnd"/>
      <w:r w:rsidRPr="003C34BD">
        <w:rPr>
          <w:lang w:val="es-ES"/>
        </w:rPr>
        <w:t xml:space="preserve"> la nota h del </w:t>
      </w:r>
      <w:r>
        <w:rPr>
          <w:lang w:val="es-ES"/>
        </w:rPr>
        <w:t>diagrama de flujo</w:t>
      </w:r>
      <w:r w:rsidRPr="003C34BD">
        <w:rPr>
          <w:lang w:val="es-ES"/>
        </w:rPr>
        <w:t xml:space="preserve"> del Módulo 1)</w:t>
      </w:r>
      <w:bookmarkEnd w:id="67"/>
    </w:p>
    <w:p w:rsidR="009D1CE1" w:rsidRPr="003C34BD" w:rsidRDefault="009D1CE1" w:rsidP="006B4C1A">
      <w:pPr>
        <w:keepNext/>
        <w:rPr>
          <w:lang w:val="es-ES"/>
        </w:rPr>
      </w:pPr>
    </w:p>
    <w:p w:rsidR="009D1CE1" w:rsidRPr="003C34BD" w:rsidRDefault="009D1CE1" w:rsidP="00126344">
      <w:pPr>
        <w:rPr>
          <w:lang w:val="es-ES"/>
        </w:rPr>
      </w:pPr>
      <w:r w:rsidRPr="003C34BD">
        <w:rPr>
          <w:lang w:val="es-ES"/>
        </w:rPr>
        <w:t xml:space="preserve">Si la decisión respecto de la concesión de la protección es positiva, se concederá el derecho de obtentor </w:t>
      </w:r>
      <w:r w:rsidRPr="00334430">
        <w:rPr>
          <w:lang w:val="es-ES"/>
        </w:rPr>
        <w:t xml:space="preserve">y éste se transmitirá al titular de dicho derecho.  La oficina de derechos de obtentor publicará al mismo tiempo la concesión del derecho y la denominación </w:t>
      </w:r>
      <w:r w:rsidR="008D593A">
        <w:rPr>
          <w:lang w:val="es-ES"/>
        </w:rPr>
        <w:t xml:space="preserve">aprobada </w:t>
      </w:r>
      <w:bookmarkStart w:id="68" w:name="_GoBack"/>
      <w:bookmarkEnd w:id="68"/>
      <w:r w:rsidRPr="00334430">
        <w:rPr>
          <w:lang w:val="es-ES"/>
        </w:rPr>
        <w:t>(véase el Módulo 4 “Información que se publica”).</w:t>
      </w:r>
    </w:p>
    <w:p w:rsidR="009D1CE1" w:rsidRDefault="009D1CE1" w:rsidP="00126344">
      <w:pPr>
        <w:rPr>
          <w:szCs w:val="22"/>
          <w:lang w:val="es-ES"/>
        </w:rPr>
      </w:pPr>
    </w:p>
    <w:p w:rsidR="006B4C1A" w:rsidRPr="003C34BD" w:rsidRDefault="006B4C1A" w:rsidP="00126344">
      <w:pPr>
        <w:rPr>
          <w:szCs w:val="22"/>
          <w:lang w:val="es-ES"/>
        </w:rPr>
      </w:pPr>
    </w:p>
    <w:p w:rsidR="009D1CE1" w:rsidRPr="003C34BD" w:rsidRDefault="009D1CE1" w:rsidP="00126344">
      <w:pPr>
        <w:rPr>
          <w:szCs w:val="22"/>
          <w:lang w:val="es-ES"/>
        </w:rPr>
      </w:pPr>
    </w:p>
    <w:p w:rsidR="009D1CE1" w:rsidRDefault="009D1CE1" w:rsidP="006B4C1A">
      <w:pPr>
        <w:pStyle w:val="Heading1"/>
        <w:rPr>
          <w:lang w:val="es-ES"/>
        </w:rPr>
      </w:pPr>
      <w:bookmarkStart w:id="69" w:name="_Toc382814551"/>
      <w:bookmarkStart w:id="70" w:name="_Toc378597586"/>
      <w:r w:rsidRPr="003C34BD">
        <w:rPr>
          <w:lang w:val="es-ES"/>
        </w:rPr>
        <w:lastRenderedPageBreak/>
        <w:t>cuestiones posteriores a la concesión</w:t>
      </w:r>
      <w:bookmarkEnd w:id="69"/>
    </w:p>
    <w:p w:rsidR="009D1CE1" w:rsidRPr="003C34BD" w:rsidRDefault="009D1CE1" w:rsidP="00126344">
      <w:pPr>
        <w:keepNext/>
        <w:rPr>
          <w:lang w:val="es-ES"/>
        </w:rPr>
      </w:pPr>
      <w:r w:rsidRPr="003C34BD">
        <w:rPr>
          <w:lang w:val="es-ES"/>
        </w:rPr>
        <w:t>(</w:t>
      </w:r>
      <w:proofErr w:type="gramStart"/>
      <w:r w:rsidRPr="003C34BD">
        <w:rPr>
          <w:lang w:val="es-ES"/>
        </w:rPr>
        <w:t>véase</w:t>
      </w:r>
      <w:proofErr w:type="gramEnd"/>
      <w:r w:rsidRPr="003C34BD">
        <w:rPr>
          <w:lang w:val="es-ES"/>
        </w:rPr>
        <w:t xml:space="preserve"> la nota i del </w:t>
      </w:r>
      <w:r>
        <w:rPr>
          <w:lang w:val="es-ES"/>
        </w:rPr>
        <w:t>diagrama de flujo</w:t>
      </w:r>
      <w:r w:rsidRPr="003C34BD">
        <w:rPr>
          <w:lang w:val="es-ES"/>
        </w:rPr>
        <w:t xml:space="preserve"> del Módulo 1)</w:t>
      </w:r>
      <w:bookmarkEnd w:id="70"/>
    </w:p>
    <w:p w:rsidR="009D1CE1" w:rsidRPr="003C34BD" w:rsidRDefault="009D1CE1" w:rsidP="00126344">
      <w:pPr>
        <w:keepNext/>
        <w:rPr>
          <w:szCs w:val="22"/>
          <w:lang w:val="es-ES"/>
        </w:rPr>
      </w:pPr>
    </w:p>
    <w:p w:rsidR="009D1CE1" w:rsidRPr="003C34BD" w:rsidRDefault="009D1CE1" w:rsidP="00126344">
      <w:pPr>
        <w:tabs>
          <w:tab w:val="left" w:pos="1440"/>
        </w:tabs>
        <w:rPr>
          <w:lang w:val="es-ES"/>
        </w:rPr>
      </w:pPr>
      <w:r w:rsidRPr="00334430">
        <w:rPr>
          <w:szCs w:val="22"/>
          <w:lang w:val="es-ES"/>
        </w:rPr>
        <w:t xml:space="preserve">Entre las tareas que incumben a la oficina de derechos de obtentor después de la concesión del derecho de obtentor cabe señalar la obligación de mantener actualizada la información pertinente en el registro y las bases de datos, la gestión del pago de las tasas por el obtentor (cuando corresponda) para mantener en vigor el derecho, y la publicación de la información pertinente después de la concesión, por ejemplo, la expiración del derecho de obtentor y los cambios relativos al titular y las denominaciones (véase el </w:t>
      </w:r>
      <w:r w:rsidRPr="00334430">
        <w:rPr>
          <w:lang w:val="es-ES"/>
        </w:rPr>
        <w:t>Módulo 4</w:t>
      </w:r>
      <w:r w:rsidRPr="00334430">
        <w:rPr>
          <w:szCs w:val="22"/>
          <w:lang w:val="es-ES"/>
        </w:rPr>
        <w:t xml:space="preserve"> “</w:t>
      </w:r>
      <w:r w:rsidRPr="00334430">
        <w:rPr>
          <w:lang w:val="es-ES"/>
        </w:rPr>
        <w:t>Información que se publica”).  La oficina de derechos de obtentor también podrá optar por tomar medidas para verificar el mantenimiento de la variedad.</w:t>
      </w:r>
    </w:p>
    <w:p w:rsidR="009D1CE1" w:rsidRPr="003C34BD" w:rsidRDefault="009D1CE1" w:rsidP="00126344">
      <w:pPr>
        <w:autoSpaceDE w:val="0"/>
        <w:autoSpaceDN w:val="0"/>
        <w:adjustRightInd w:val="0"/>
        <w:spacing w:line="480" w:lineRule="auto"/>
        <w:rPr>
          <w:lang w:val="es-ES"/>
        </w:rPr>
      </w:pPr>
    </w:p>
    <w:p w:rsidR="00B9396E" w:rsidRPr="006E5110" w:rsidRDefault="00B9396E" w:rsidP="002B092C">
      <w:pPr>
        <w:autoSpaceDE w:val="0"/>
        <w:autoSpaceDN w:val="0"/>
        <w:adjustRightInd w:val="0"/>
        <w:rPr>
          <w:lang w:val="es-ES_tradnl"/>
        </w:rPr>
      </w:pPr>
    </w:p>
    <w:p w:rsidR="00B9396E" w:rsidRPr="006E5110" w:rsidRDefault="00B9396E" w:rsidP="002B092C">
      <w:pPr>
        <w:autoSpaceDE w:val="0"/>
        <w:autoSpaceDN w:val="0"/>
        <w:adjustRightInd w:val="0"/>
        <w:jc w:val="right"/>
        <w:rPr>
          <w:lang w:val="es-ES_tradnl"/>
        </w:rPr>
      </w:pPr>
      <w:r w:rsidRPr="00FA5F3D">
        <w:rPr>
          <w:lang w:val="es-ES_tradnl"/>
        </w:rPr>
        <w:t>[Fin del Anexo y del documento]</w:t>
      </w:r>
    </w:p>
    <w:p w:rsidR="00B9396E" w:rsidRPr="006E5110" w:rsidRDefault="00B9396E" w:rsidP="00641FEB">
      <w:pPr>
        <w:pStyle w:val="DecisionParagraphs"/>
        <w:jc w:val="right"/>
        <w:rPr>
          <w:i w:val="0"/>
          <w:kern w:val="28"/>
          <w:lang w:val="es-ES_tradnl"/>
        </w:rPr>
      </w:pPr>
    </w:p>
    <w:sectPr w:rsidR="00B9396E" w:rsidRPr="006E5110" w:rsidSect="009560C5">
      <w:headerReference w:type="default" r:id="rId25"/>
      <w:footerReference w:type="default" r:id="rId26"/>
      <w:footerReference w:type="first" r:id="rId27"/>
      <w:pgSz w:w="11907" w:h="16839" w:code="9"/>
      <w:pgMar w:top="510" w:right="1134" w:bottom="1134" w:left="1134" w:header="510" w:footer="624"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344" w:rsidRDefault="00126344">
      <w:r>
        <w:separator/>
      </w:r>
    </w:p>
    <w:p w:rsidR="00126344" w:rsidRDefault="00126344"/>
    <w:p w:rsidR="00126344" w:rsidRDefault="00126344"/>
  </w:endnote>
  <w:endnote w:type="continuationSeparator" w:id="0">
    <w:p w:rsidR="00126344" w:rsidRDefault="00126344">
      <w:r>
        <w:separator/>
      </w:r>
    </w:p>
    <w:p w:rsidR="00126344" w:rsidRPr="00664515" w:rsidRDefault="00126344">
      <w:pPr>
        <w:pStyle w:val="Footer"/>
        <w:spacing w:after="60"/>
        <w:rPr>
          <w:sz w:val="18"/>
          <w:lang w:val="fr-CH"/>
        </w:rPr>
      </w:pPr>
      <w:r w:rsidRPr="00664515">
        <w:rPr>
          <w:sz w:val="18"/>
          <w:lang w:val="fr-CH"/>
        </w:rPr>
        <w:t>[Suite de la note de la page précédente]</w:t>
      </w:r>
    </w:p>
    <w:p w:rsidR="00126344" w:rsidRPr="00664515" w:rsidRDefault="00126344">
      <w:pPr>
        <w:rPr>
          <w:lang w:val="fr-CH"/>
        </w:rPr>
      </w:pPr>
    </w:p>
    <w:p w:rsidR="00126344" w:rsidRPr="00664515" w:rsidRDefault="00126344">
      <w:pPr>
        <w:rPr>
          <w:lang w:val="fr-CH"/>
        </w:rPr>
      </w:pPr>
    </w:p>
  </w:endnote>
  <w:endnote w:type="continuationNotice" w:id="1">
    <w:p w:rsidR="00126344" w:rsidRPr="00664515" w:rsidRDefault="00126344">
      <w:pPr>
        <w:spacing w:before="60"/>
        <w:jc w:val="right"/>
        <w:rPr>
          <w:sz w:val="18"/>
          <w:lang w:val="fr-CH"/>
        </w:rPr>
      </w:pPr>
      <w:r w:rsidRPr="00664515">
        <w:rPr>
          <w:sz w:val="18"/>
          <w:lang w:val="fr-CH"/>
        </w:rPr>
        <w:t>[Suite de la note page suivante]</w:t>
      </w:r>
    </w:p>
    <w:p w:rsidR="00126344" w:rsidRPr="00664515" w:rsidRDefault="00126344">
      <w:pPr>
        <w:rPr>
          <w:lang w:val="fr-CH"/>
        </w:rPr>
      </w:pPr>
    </w:p>
    <w:p w:rsidR="00126344" w:rsidRPr="00664515" w:rsidRDefault="00126344">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344" w:rsidRDefault="0012634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344" w:rsidRPr="009560C5" w:rsidRDefault="00126344" w:rsidP="009560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344" w:rsidRDefault="00126344" w:rsidP="009D690D">
      <w:pPr>
        <w:spacing w:before="120"/>
      </w:pPr>
      <w:r>
        <w:separator/>
      </w:r>
    </w:p>
  </w:footnote>
  <w:footnote w:type="continuationSeparator" w:id="0">
    <w:p w:rsidR="00126344" w:rsidRDefault="00126344" w:rsidP="00520297">
      <w:pPr>
        <w:spacing w:before="120"/>
        <w:jc w:val="left"/>
      </w:pPr>
      <w:r>
        <w:separator/>
      </w:r>
    </w:p>
  </w:footnote>
  <w:footnote w:type="continuationNotice" w:id="1">
    <w:p w:rsidR="00126344" w:rsidRDefault="00126344"/>
  </w:footnote>
  <w:footnote w:id="2">
    <w:p w:rsidR="00126344" w:rsidRPr="00C00BDE" w:rsidRDefault="00126344" w:rsidP="00126344">
      <w:pPr>
        <w:pStyle w:val="FootnoteText"/>
        <w:rPr>
          <w:lang w:val="es-ES_tradnl"/>
        </w:rPr>
      </w:pPr>
      <w:r>
        <w:rPr>
          <w:rStyle w:val="FootnoteReference"/>
        </w:rPr>
        <w:footnoteRef/>
      </w:r>
      <w:r w:rsidRPr="00C00BDE">
        <w:rPr>
          <w:lang w:val="es-ES_tradnl"/>
        </w:rPr>
        <w:t xml:space="preserve"> </w:t>
      </w:r>
      <w:r>
        <w:rPr>
          <w:lang w:val="es-ES_tradnl"/>
        </w:rPr>
        <w:tab/>
      </w:r>
      <w:r w:rsidRPr="00C00BDE">
        <w:rPr>
          <w:lang w:val="es-ES_tradnl"/>
        </w:rPr>
        <w:t>Cabe señalar que este cuadro se presenta con fines ilustrativos y podría ya no estar actualizado</w:t>
      </w:r>
      <w:proofErr w:type="gramStart"/>
      <w:r w:rsidRPr="00C00BDE">
        <w:rPr>
          <w:lang w:val="es-ES_tradnl"/>
        </w:rPr>
        <w:t>:  el</w:t>
      </w:r>
      <w:proofErr w:type="gramEnd"/>
      <w:r w:rsidRPr="00C00BDE">
        <w:rPr>
          <w:lang w:val="es-ES_tradnl"/>
        </w:rPr>
        <w:t xml:space="preserve"> enlace al índice actualizado figura en el texto </w:t>
      </w:r>
      <w:r w:rsidRPr="00C00BDE">
        <w:rPr>
          <w:i/>
          <w:lang w:val="es-ES_tradnl"/>
        </w:rPr>
        <w:t>supra</w:t>
      </w:r>
      <w:r w:rsidRPr="00C00BDE">
        <w:rPr>
          <w:lang w:val="es-ES_tradnl"/>
        </w:rPr>
        <w:t>.</w:t>
      </w:r>
    </w:p>
  </w:footnote>
  <w:footnote w:id="3">
    <w:p w:rsidR="00126344" w:rsidRPr="00181463" w:rsidRDefault="00126344" w:rsidP="006B4C1A">
      <w:pPr>
        <w:ind w:left="567" w:hanging="567"/>
        <w:rPr>
          <w:lang w:val="es-ES_tradnl"/>
        </w:rPr>
      </w:pPr>
      <w:r w:rsidRPr="006B4C1A">
        <w:rPr>
          <w:vertAlign w:val="superscript"/>
        </w:rPr>
        <w:footnoteRef/>
      </w:r>
      <w:r w:rsidRPr="006B4C1A">
        <w:rPr>
          <w:lang w:val="es-ES_tradnl"/>
        </w:rPr>
        <w:t xml:space="preserve"> </w:t>
      </w:r>
      <w:r w:rsidRPr="006B4C1A">
        <w:rPr>
          <w:lang w:val="es-ES_tradnl"/>
        </w:rPr>
        <w:tab/>
      </w:r>
      <w:r w:rsidRPr="006B4C1A">
        <w:rPr>
          <w:sz w:val="16"/>
          <w:szCs w:val="16"/>
          <w:lang w:val="es-ES_tradnl"/>
        </w:rPr>
        <w:t xml:space="preserve">Las notas del diagrama que figura </w:t>
      </w:r>
      <w:r w:rsidRPr="006B4C1A">
        <w:rPr>
          <w:i/>
          <w:sz w:val="16"/>
          <w:szCs w:val="16"/>
          <w:lang w:val="es-ES_tradnl"/>
        </w:rPr>
        <w:t>supra</w:t>
      </w:r>
      <w:r w:rsidRPr="006B4C1A">
        <w:rPr>
          <w:sz w:val="16"/>
          <w:szCs w:val="16"/>
          <w:lang w:val="es-ES_tradnl"/>
        </w:rPr>
        <w:t xml:space="preserve"> se refieren a la administración del examen y se explican en el Módulo</w:t>
      </w:r>
      <w:r w:rsidRPr="006B4C1A">
        <w:rPr>
          <w:rStyle w:val="FootnoteTextChar"/>
          <w:lang w:val="es-ES_tradnl"/>
        </w:rPr>
        <w:t xml:space="preserve"> 2 “Administración de las solicitudes”.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344" w:rsidRPr="00997029" w:rsidRDefault="00126344" w:rsidP="00E23920">
    <w:pPr>
      <w:jc w:val="center"/>
      <w:rPr>
        <w:rStyle w:val="PageNumber"/>
      </w:rPr>
    </w:pPr>
    <w:r>
      <w:rPr>
        <w:rStyle w:val="PageNumber"/>
      </w:rPr>
      <w:t>CAJ/69/10</w:t>
    </w:r>
  </w:p>
  <w:p w:rsidR="00126344" w:rsidRPr="00736BA9" w:rsidRDefault="00126344" w:rsidP="00E23920">
    <w:pPr>
      <w:jc w:val="center"/>
      <w:rPr>
        <w:lang w:val="es-ES_tradnl"/>
      </w:rPr>
    </w:pPr>
    <w:proofErr w:type="gramStart"/>
    <w:r w:rsidRPr="00736BA9">
      <w:rPr>
        <w:lang w:val="es-ES_tradnl"/>
      </w:rPr>
      <w:t>página</w:t>
    </w:r>
    <w:proofErr w:type="gramEnd"/>
    <w:r>
      <w:rPr>
        <w:lang w:val="es-ES_tradnl"/>
      </w:rPr>
      <w:t xml:space="preserve"> </w:t>
    </w:r>
    <w:r w:rsidRPr="00736BA9">
      <w:rPr>
        <w:rStyle w:val="PageNumber"/>
        <w:lang w:val="es-ES_tradnl"/>
      </w:rPr>
      <w:fldChar w:fldCharType="begin"/>
    </w:r>
    <w:r w:rsidRPr="00736BA9">
      <w:rPr>
        <w:rStyle w:val="PageNumber"/>
        <w:lang w:val="es-ES_tradnl"/>
      </w:rPr>
      <w:instrText xml:space="preserve"> PAGE </w:instrText>
    </w:r>
    <w:r w:rsidRPr="00736BA9">
      <w:rPr>
        <w:rStyle w:val="PageNumber"/>
        <w:lang w:val="es-ES_tradnl"/>
      </w:rPr>
      <w:fldChar w:fldCharType="separate"/>
    </w:r>
    <w:r w:rsidR="008E6841">
      <w:rPr>
        <w:rStyle w:val="PageNumber"/>
        <w:noProof/>
        <w:lang w:val="es-ES_tradnl"/>
      </w:rPr>
      <w:t>11</w:t>
    </w:r>
    <w:r w:rsidRPr="00736BA9">
      <w:rPr>
        <w:rStyle w:val="PageNumber"/>
        <w:lang w:val="es-ES_tradnl"/>
      </w:rPr>
      <w:fldChar w:fldCharType="end"/>
    </w:r>
  </w:p>
  <w:p w:rsidR="00126344" w:rsidRPr="00997029" w:rsidRDefault="00126344" w:rsidP="00EB048E">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344" w:rsidRPr="00997029" w:rsidRDefault="00126344" w:rsidP="00E23920">
    <w:pPr>
      <w:jc w:val="center"/>
      <w:rPr>
        <w:rStyle w:val="PageNumber"/>
      </w:rPr>
    </w:pPr>
    <w:r>
      <w:rPr>
        <w:rStyle w:val="PageNumber"/>
      </w:rPr>
      <w:t>CAJ/69/10</w:t>
    </w:r>
  </w:p>
  <w:p w:rsidR="00126344" w:rsidRPr="00997029" w:rsidRDefault="00126344" w:rsidP="00E23920">
    <w:pPr>
      <w:jc w:val="center"/>
    </w:pPr>
    <w:proofErr w:type="spellStart"/>
    <w:r>
      <w:t>Anexo</w:t>
    </w:r>
    <w:proofErr w:type="spellEnd"/>
    <w:r>
      <w:t xml:space="preserve">, </w:t>
    </w:r>
    <w:proofErr w:type="spellStart"/>
    <w:r>
      <w:t>página</w:t>
    </w:r>
    <w:proofErr w:type="spellEnd"/>
    <w:r w:rsidRPr="00997029">
      <w:t xml:space="preserv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8D593A">
      <w:rPr>
        <w:rStyle w:val="PageNumber"/>
        <w:noProof/>
      </w:rPr>
      <w:t>10</w:t>
    </w:r>
    <w:r w:rsidRPr="00997029">
      <w:rPr>
        <w:rStyle w:val="PageNumber"/>
      </w:rPr>
      <w:fldChar w:fldCharType="end"/>
    </w:r>
  </w:p>
  <w:p w:rsidR="00126344" w:rsidRPr="00997029" w:rsidRDefault="00126344" w:rsidP="00EB048E">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71D0"/>
    <w:multiLevelType w:val="multilevel"/>
    <w:tmpl w:val="D3C84D7C"/>
    <w:lvl w:ilvl="0">
      <w:start w:val="1"/>
      <w:numFmt w:val="low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7144B7D"/>
    <w:multiLevelType w:val="hybridMultilevel"/>
    <w:tmpl w:val="88DCD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4C731A68"/>
    <w:multiLevelType w:val="hybridMultilevel"/>
    <w:tmpl w:val="9F8C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FD07AB"/>
    <w:multiLevelType w:val="hybridMultilevel"/>
    <w:tmpl w:val="426E07BE"/>
    <w:lvl w:ilvl="0" w:tplc="EEA4945E">
      <w:start w:val="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76255C"/>
    <w:multiLevelType w:val="multilevel"/>
    <w:tmpl w:val="FAC4D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CA4A0A"/>
    <w:multiLevelType w:val="hybridMultilevel"/>
    <w:tmpl w:val="4EEC300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6A6E3B90"/>
    <w:multiLevelType w:val="hybridMultilevel"/>
    <w:tmpl w:val="6B4E2FCC"/>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8">
    <w:nsid w:val="6BB42604"/>
    <w:multiLevelType w:val="hybridMultilevel"/>
    <w:tmpl w:val="4358D76A"/>
    <w:lvl w:ilvl="0" w:tplc="1762809C">
      <w:start w:val="1"/>
      <w:numFmt w:val="bullet"/>
      <w:lvlText w:val="-"/>
      <w:lvlJc w:val="left"/>
      <w:pPr>
        <w:ind w:left="930" w:hanging="360"/>
      </w:pPr>
      <w:rPr>
        <w:rFonts w:ascii="Arial" w:eastAsia="MS Mincho" w:hAnsi="Arial" w:hint="default"/>
      </w:rPr>
    </w:lvl>
    <w:lvl w:ilvl="1" w:tplc="04090003" w:tentative="1">
      <w:start w:val="1"/>
      <w:numFmt w:val="bullet"/>
      <w:lvlText w:val="o"/>
      <w:lvlJc w:val="left"/>
      <w:pPr>
        <w:ind w:left="1650" w:hanging="360"/>
      </w:pPr>
      <w:rPr>
        <w:rFonts w:ascii="Courier New" w:hAnsi="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9">
    <w:nsid w:val="71BC7CAF"/>
    <w:multiLevelType w:val="singleLevel"/>
    <w:tmpl w:val="D2A6D988"/>
    <w:lvl w:ilvl="0">
      <w:start w:val="1"/>
      <w:numFmt w:val="lowerRoman"/>
      <w:lvlText w:val="(%1)"/>
      <w:legacy w:legacy="1" w:legacySpace="170" w:legacyIndent="851"/>
      <w:lvlJc w:val="right"/>
      <w:rPr>
        <w:rFonts w:cs="Times New Roman"/>
      </w:rPr>
    </w:lvl>
  </w:abstractNum>
  <w:abstractNum w:abstractNumId="10">
    <w:nsid w:val="772F1383"/>
    <w:multiLevelType w:val="hybridMultilevel"/>
    <w:tmpl w:val="410CF32C"/>
    <w:lvl w:ilvl="0" w:tplc="7632F0B0">
      <w:start w:val="1"/>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
  </w:num>
  <w:num w:numId="4">
    <w:abstractNumId w:val="4"/>
  </w:num>
  <w:num w:numId="5">
    <w:abstractNumId w:val="9"/>
  </w:num>
  <w:num w:numId="6">
    <w:abstractNumId w:val="7"/>
  </w:num>
  <w:num w:numId="7">
    <w:abstractNumId w:val="8"/>
  </w:num>
  <w:num w:numId="8">
    <w:abstractNumId w:val="0"/>
  </w:num>
  <w:num w:numId="9">
    <w:abstractNumId w:val="2"/>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fColors" w:val="1"/>
    <w:docVar w:name="WtBookmark" w:val="00020"/>
  </w:docVars>
  <w:rsids>
    <w:rsidRoot w:val="005326C0"/>
    <w:rsid w:val="00001380"/>
    <w:rsid w:val="00001D48"/>
    <w:rsid w:val="0000425A"/>
    <w:rsid w:val="00010CF3"/>
    <w:rsid w:val="00011E27"/>
    <w:rsid w:val="000148BC"/>
    <w:rsid w:val="000248FC"/>
    <w:rsid w:val="00024AB8"/>
    <w:rsid w:val="000311DC"/>
    <w:rsid w:val="0003481B"/>
    <w:rsid w:val="0003562F"/>
    <w:rsid w:val="00036028"/>
    <w:rsid w:val="00037D15"/>
    <w:rsid w:val="00043EF7"/>
    <w:rsid w:val="000446B9"/>
    <w:rsid w:val="00046731"/>
    <w:rsid w:val="00047D77"/>
    <w:rsid w:val="00047E21"/>
    <w:rsid w:val="00051FA2"/>
    <w:rsid w:val="00055FE7"/>
    <w:rsid w:val="00064085"/>
    <w:rsid w:val="00065CAC"/>
    <w:rsid w:val="00071DC7"/>
    <w:rsid w:val="000730F8"/>
    <w:rsid w:val="00085505"/>
    <w:rsid w:val="000B3257"/>
    <w:rsid w:val="000B6CB7"/>
    <w:rsid w:val="000C7021"/>
    <w:rsid w:val="000D492E"/>
    <w:rsid w:val="000D6BBC"/>
    <w:rsid w:val="000D7780"/>
    <w:rsid w:val="00105929"/>
    <w:rsid w:val="00110481"/>
    <w:rsid w:val="001131D3"/>
    <w:rsid w:val="001131D5"/>
    <w:rsid w:val="00117343"/>
    <w:rsid w:val="00126344"/>
    <w:rsid w:val="00137C60"/>
    <w:rsid w:val="00140E1A"/>
    <w:rsid w:val="00141DB8"/>
    <w:rsid w:val="00156F82"/>
    <w:rsid w:val="0015775F"/>
    <w:rsid w:val="00161393"/>
    <w:rsid w:val="001613B4"/>
    <w:rsid w:val="001618CD"/>
    <w:rsid w:val="00164AD9"/>
    <w:rsid w:val="0017474A"/>
    <w:rsid w:val="001758C6"/>
    <w:rsid w:val="00180F6A"/>
    <w:rsid w:val="001979DD"/>
    <w:rsid w:val="001A0F96"/>
    <w:rsid w:val="001A1421"/>
    <w:rsid w:val="001C3DF3"/>
    <w:rsid w:val="001D0C7D"/>
    <w:rsid w:val="001D17EA"/>
    <w:rsid w:val="001E7623"/>
    <w:rsid w:val="001E7A2F"/>
    <w:rsid w:val="001F1F2A"/>
    <w:rsid w:val="001F6407"/>
    <w:rsid w:val="00205687"/>
    <w:rsid w:val="002065F3"/>
    <w:rsid w:val="0021332C"/>
    <w:rsid w:val="00213982"/>
    <w:rsid w:val="002241C3"/>
    <w:rsid w:val="00224367"/>
    <w:rsid w:val="00237C7D"/>
    <w:rsid w:val="0024416D"/>
    <w:rsid w:val="00253453"/>
    <w:rsid w:val="00264AD4"/>
    <w:rsid w:val="0027309C"/>
    <w:rsid w:val="00276CE7"/>
    <w:rsid w:val="002800A0"/>
    <w:rsid w:val="00281060"/>
    <w:rsid w:val="0028357E"/>
    <w:rsid w:val="002873E5"/>
    <w:rsid w:val="00291B91"/>
    <w:rsid w:val="00293268"/>
    <w:rsid w:val="0029439F"/>
    <w:rsid w:val="00295010"/>
    <w:rsid w:val="002A6E50"/>
    <w:rsid w:val="002B092C"/>
    <w:rsid w:val="002B66C8"/>
    <w:rsid w:val="002C0707"/>
    <w:rsid w:val="002C11F2"/>
    <w:rsid w:val="002C256A"/>
    <w:rsid w:val="002C6721"/>
    <w:rsid w:val="002E224A"/>
    <w:rsid w:val="002E7BA1"/>
    <w:rsid w:val="002F78FA"/>
    <w:rsid w:val="003037B9"/>
    <w:rsid w:val="00305A7F"/>
    <w:rsid w:val="00311DF3"/>
    <w:rsid w:val="003152FE"/>
    <w:rsid w:val="00315A30"/>
    <w:rsid w:val="003239E8"/>
    <w:rsid w:val="00326018"/>
    <w:rsid w:val="00327436"/>
    <w:rsid w:val="003416AA"/>
    <w:rsid w:val="00344BD6"/>
    <w:rsid w:val="0035528D"/>
    <w:rsid w:val="00361821"/>
    <w:rsid w:val="00372992"/>
    <w:rsid w:val="00377348"/>
    <w:rsid w:val="00380635"/>
    <w:rsid w:val="0038248E"/>
    <w:rsid w:val="003A038D"/>
    <w:rsid w:val="003A12EA"/>
    <w:rsid w:val="003A17C8"/>
    <w:rsid w:val="003B07EC"/>
    <w:rsid w:val="003B69A1"/>
    <w:rsid w:val="003C563E"/>
    <w:rsid w:val="003C5C62"/>
    <w:rsid w:val="003D227C"/>
    <w:rsid w:val="003D2B4D"/>
    <w:rsid w:val="003D5CFA"/>
    <w:rsid w:val="003E2879"/>
    <w:rsid w:val="003E42A5"/>
    <w:rsid w:val="003F0C17"/>
    <w:rsid w:val="003F0EE1"/>
    <w:rsid w:val="003F251A"/>
    <w:rsid w:val="003F2859"/>
    <w:rsid w:val="003F6136"/>
    <w:rsid w:val="00406CBF"/>
    <w:rsid w:val="00417800"/>
    <w:rsid w:val="00427139"/>
    <w:rsid w:val="00444A88"/>
    <w:rsid w:val="00457603"/>
    <w:rsid w:val="0047169D"/>
    <w:rsid w:val="004723F6"/>
    <w:rsid w:val="00474DA4"/>
    <w:rsid w:val="0048479B"/>
    <w:rsid w:val="00484DF9"/>
    <w:rsid w:val="004926C1"/>
    <w:rsid w:val="004A39DF"/>
    <w:rsid w:val="004A7127"/>
    <w:rsid w:val="004B0E07"/>
    <w:rsid w:val="004C6054"/>
    <w:rsid w:val="004D047D"/>
    <w:rsid w:val="004D680E"/>
    <w:rsid w:val="004F305A"/>
    <w:rsid w:val="00512164"/>
    <w:rsid w:val="00520297"/>
    <w:rsid w:val="005326C0"/>
    <w:rsid w:val="005338F9"/>
    <w:rsid w:val="00541C24"/>
    <w:rsid w:val="0054281C"/>
    <w:rsid w:val="005442F6"/>
    <w:rsid w:val="0054760F"/>
    <w:rsid w:val="005525C4"/>
    <w:rsid w:val="0055268D"/>
    <w:rsid w:val="0055760B"/>
    <w:rsid w:val="00571C59"/>
    <w:rsid w:val="00572E44"/>
    <w:rsid w:val="005735BF"/>
    <w:rsid w:val="00576BE4"/>
    <w:rsid w:val="0058593C"/>
    <w:rsid w:val="00595BA6"/>
    <w:rsid w:val="005A1BC4"/>
    <w:rsid w:val="005A3D0C"/>
    <w:rsid w:val="005A400A"/>
    <w:rsid w:val="005B04C4"/>
    <w:rsid w:val="005B7808"/>
    <w:rsid w:val="005C4485"/>
    <w:rsid w:val="005D1A83"/>
    <w:rsid w:val="005E7052"/>
    <w:rsid w:val="006078B3"/>
    <w:rsid w:val="00612379"/>
    <w:rsid w:val="00612905"/>
    <w:rsid w:val="0061555F"/>
    <w:rsid w:val="00615C58"/>
    <w:rsid w:val="006359A2"/>
    <w:rsid w:val="00641200"/>
    <w:rsid w:val="00641FEB"/>
    <w:rsid w:val="006455D6"/>
    <w:rsid w:val="006507B7"/>
    <w:rsid w:val="006529F6"/>
    <w:rsid w:val="00653C1D"/>
    <w:rsid w:val="00656964"/>
    <w:rsid w:val="0066052E"/>
    <w:rsid w:val="006608AB"/>
    <w:rsid w:val="00663ED8"/>
    <w:rsid w:val="006644BD"/>
    <w:rsid w:val="00664515"/>
    <w:rsid w:val="00672A45"/>
    <w:rsid w:val="00685B1A"/>
    <w:rsid w:val="00687EB4"/>
    <w:rsid w:val="00697024"/>
    <w:rsid w:val="006A1CE1"/>
    <w:rsid w:val="006B17D2"/>
    <w:rsid w:val="006B18B7"/>
    <w:rsid w:val="006B45FA"/>
    <w:rsid w:val="006B4802"/>
    <w:rsid w:val="006B4C1A"/>
    <w:rsid w:val="006C0479"/>
    <w:rsid w:val="006C0E37"/>
    <w:rsid w:val="006C224E"/>
    <w:rsid w:val="006C48D1"/>
    <w:rsid w:val="006C6ECB"/>
    <w:rsid w:val="006C72B6"/>
    <w:rsid w:val="006E5110"/>
    <w:rsid w:val="006F2B56"/>
    <w:rsid w:val="006F79FA"/>
    <w:rsid w:val="00702362"/>
    <w:rsid w:val="00707BF7"/>
    <w:rsid w:val="00714EA0"/>
    <w:rsid w:val="00732DEC"/>
    <w:rsid w:val="00735BD5"/>
    <w:rsid w:val="00736BA9"/>
    <w:rsid w:val="00737D0E"/>
    <w:rsid w:val="007432A0"/>
    <w:rsid w:val="0075117E"/>
    <w:rsid w:val="007556F6"/>
    <w:rsid w:val="00760EEF"/>
    <w:rsid w:val="00765D83"/>
    <w:rsid w:val="00766EF4"/>
    <w:rsid w:val="00771144"/>
    <w:rsid w:val="00771553"/>
    <w:rsid w:val="007766D5"/>
    <w:rsid w:val="00777EE5"/>
    <w:rsid w:val="00784836"/>
    <w:rsid w:val="0079023E"/>
    <w:rsid w:val="0079453B"/>
    <w:rsid w:val="00797E6A"/>
    <w:rsid w:val="007B3AF6"/>
    <w:rsid w:val="007B6894"/>
    <w:rsid w:val="007C0383"/>
    <w:rsid w:val="007C57BB"/>
    <w:rsid w:val="007C6639"/>
    <w:rsid w:val="007D04DE"/>
    <w:rsid w:val="007D0B9D"/>
    <w:rsid w:val="007D19B0"/>
    <w:rsid w:val="007D5B90"/>
    <w:rsid w:val="007D6C5B"/>
    <w:rsid w:val="007F498F"/>
    <w:rsid w:val="007F5CF8"/>
    <w:rsid w:val="00804C92"/>
    <w:rsid w:val="0080679D"/>
    <w:rsid w:val="008108B0"/>
    <w:rsid w:val="00811B20"/>
    <w:rsid w:val="0081258D"/>
    <w:rsid w:val="00815077"/>
    <w:rsid w:val="008212EE"/>
    <w:rsid w:val="0082296E"/>
    <w:rsid w:val="00824099"/>
    <w:rsid w:val="008320F2"/>
    <w:rsid w:val="00834E82"/>
    <w:rsid w:val="00836E88"/>
    <w:rsid w:val="00842310"/>
    <w:rsid w:val="00850F55"/>
    <w:rsid w:val="00855DBD"/>
    <w:rsid w:val="00865CD3"/>
    <w:rsid w:val="00867AC1"/>
    <w:rsid w:val="00881DF5"/>
    <w:rsid w:val="008A2480"/>
    <w:rsid w:val="008A395B"/>
    <w:rsid w:val="008A743F"/>
    <w:rsid w:val="008B51D0"/>
    <w:rsid w:val="008B5C78"/>
    <w:rsid w:val="008C0970"/>
    <w:rsid w:val="008D1D47"/>
    <w:rsid w:val="008D2CF7"/>
    <w:rsid w:val="008D593A"/>
    <w:rsid w:val="008D7E19"/>
    <w:rsid w:val="008E1597"/>
    <w:rsid w:val="008E2023"/>
    <w:rsid w:val="008E408A"/>
    <w:rsid w:val="008E6841"/>
    <w:rsid w:val="008E69ED"/>
    <w:rsid w:val="008E793E"/>
    <w:rsid w:val="008F2555"/>
    <w:rsid w:val="008F3179"/>
    <w:rsid w:val="008F40F4"/>
    <w:rsid w:val="00900C26"/>
    <w:rsid w:val="0090197F"/>
    <w:rsid w:val="009030FC"/>
    <w:rsid w:val="00904C01"/>
    <w:rsid w:val="00906DDC"/>
    <w:rsid w:val="00910FF6"/>
    <w:rsid w:val="00914F74"/>
    <w:rsid w:val="0092002B"/>
    <w:rsid w:val="00923A40"/>
    <w:rsid w:val="00923B9F"/>
    <w:rsid w:val="00934E09"/>
    <w:rsid w:val="00936253"/>
    <w:rsid w:val="009404F6"/>
    <w:rsid w:val="009560C5"/>
    <w:rsid w:val="00956D42"/>
    <w:rsid w:val="00962E79"/>
    <w:rsid w:val="00970FED"/>
    <w:rsid w:val="00980CC7"/>
    <w:rsid w:val="00987226"/>
    <w:rsid w:val="0099105A"/>
    <w:rsid w:val="00997029"/>
    <w:rsid w:val="009A2E0F"/>
    <w:rsid w:val="009C51FE"/>
    <w:rsid w:val="009C7680"/>
    <w:rsid w:val="009D070E"/>
    <w:rsid w:val="009D0DE5"/>
    <w:rsid w:val="009D1CE1"/>
    <w:rsid w:val="009D690D"/>
    <w:rsid w:val="009D791D"/>
    <w:rsid w:val="009E5A3C"/>
    <w:rsid w:val="009E65B6"/>
    <w:rsid w:val="00A02170"/>
    <w:rsid w:val="00A07E27"/>
    <w:rsid w:val="00A141E7"/>
    <w:rsid w:val="00A20855"/>
    <w:rsid w:val="00A42AC3"/>
    <w:rsid w:val="00A430CF"/>
    <w:rsid w:val="00A54309"/>
    <w:rsid w:val="00A57710"/>
    <w:rsid w:val="00A65201"/>
    <w:rsid w:val="00A80B59"/>
    <w:rsid w:val="00A81E18"/>
    <w:rsid w:val="00A8240F"/>
    <w:rsid w:val="00A86F1B"/>
    <w:rsid w:val="00AB28D5"/>
    <w:rsid w:val="00AB2B93"/>
    <w:rsid w:val="00AB3724"/>
    <w:rsid w:val="00AC45FC"/>
    <w:rsid w:val="00AC7DBA"/>
    <w:rsid w:val="00AE0EF1"/>
    <w:rsid w:val="00AF5046"/>
    <w:rsid w:val="00B05665"/>
    <w:rsid w:val="00B07301"/>
    <w:rsid w:val="00B15752"/>
    <w:rsid w:val="00B224DE"/>
    <w:rsid w:val="00B33CFB"/>
    <w:rsid w:val="00B55B77"/>
    <w:rsid w:val="00B60F56"/>
    <w:rsid w:val="00B646A7"/>
    <w:rsid w:val="00B649C7"/>
    <w:rsid w:val="00B742E6"/>
    <w:rsid w:val="00B76373"/>
    <w:rsid w:val="00B768B0"/>
    <w:rsid w:val="00B84BBD"/>
    <w:rsid w:val="00B855CE"/>
    <w:rsid w:val="00B9396E"/>
    <w:rsid w:val="00BA43FB"/>
    <w:rsid w:val="00BA4F0D"/>
    <w:rsid w:val="00BB36C0"/>
    <w:rsid w:val="00BC127D"/>
    <w:rsid w:val="00BC1FE6"/>
    <w:rsid w:val="00BD2C47"/>
    <w:rsid w:val="00BD4C24"/>
    <w:rsid w:val="00BE38A2"/>
    <w:rsid w:val="00BE5E5D"/>
    <w:rsid w:val="00C0136B"/>
    <w:rsid w:val="00C0469A"/>
    <w:rsid w:val="00C061B6"/>
    <w:rsid w:val="00C07562"/>
    <w:rsid w:val="00C15EB8"/>
    <w:rsid w:val="00C21DBF"/>
    <w:rsid w:val="00C2446C"/>
    <w:rsid w:val="00C36AE5"/>
    <w:rsid w:val="00C41F17"/>
    <w:rsid w:val="00C4212E"/>
    <w:rsid w:val="00C54BF4"/>
    <w:rsid w:val="00C5791C"/>
    <w:rsid w:val="00C65FE0"/>
    <w:rsid w:val="00C66028"/>
    <w:rsid w:val="00C66290"/>
    <w:rsid w:val="00C669D2"/>
    <w:rsid w:val="00C72B7A"/>
    <w:rsid w:val="00C72EC5"/>
    <w:rsid w:val="00C74F5E"/>
    <w:rsid w:val="00C81065"/>
    <w:rsid w:val="00C87B83"/>
    <w:rsid w:val="00C9305F"/>
    <w:rsid w:val="00C93A10"/>
    <w:rsid w:val="00C973F2"/>
    <w:rsid w:val="00CA090C"/>
    <w:rsid w:val="00CA3B45"/>
    <w:rsid w:val="00CA774A"/>
    <w:rsid w:val="00CB0D1A"/>
    <w:rsid w:val="00CB118D"/>
    <w:rsid w:val="00CC0509"/>
    <w:rsid w:val="00CC11B0"/>
    <w:rsid w:val="00CC28D8"/>
    <w:rsid w:val="00CC6942"/>
    <w:rsid w:val="00CF53D2"/>
    <w:rsid w:val="00CF5A07"/>
    <w:rsid w:val="00CF7E36"/>
    <w:rsid w:val="00D0548E"/>
    <w:rsid w:val="00D17A98"/>
    <w:rsid w:val="00D233D8"/>
    <w:rsid w:val="00D24210"/>
    <w:rsid w:val="00D3708D"/>
    <w:rsid w:val="00D40426"/>
    <w:rsid w:val="00D4379F"/>
    <w:rsid w:val="00D45290"/>
    <w:rsid w:val="00D57C96"/>
    <w:rsid w:val="00D72816"/>
    <w:rsid w:val="00D7723B"/>
    <w:rsid w:val="00D82399"/>
    <w:rsid w:val="00D91203"/>
    <w:rsid w:val="00D95174"/>
    <w:rsid w:val="00D95A5C"/>
    <w:rsid w:val="00DA6F36"/>
    <w:rsid w:val="00DA7B82"/>
    <w:rsid w:val="00DB6F29"/>
    <w:rsid w:val="00DC00EA"/>
    <w:rsid w:val="00DD6531"/>
    <w:rsid w:val="00DE70FB"/>
    <w:rsid w:val="00DE7C05"/>
    <w:rsid w:val="00DF4D9A"/>
    <w:rsid w:val="00E0217B"/>
    <w:rsid w:val="00E02794"/>
    <w:rsid w:val="00E110A3"/>
    <w:rsid w:val="00E142CD"/>
    <w:rsid w:val="00E154D7"/>
    <w:rsid w:val="00E172C7"/>
    <w:rsid w:val="00E2196B"/>
    <w:rsid w:val="00E23920"/>
    <w:rsid w:val="00E300F2"/>
    <w:rsid w:val="00E54932"/>
    <w:rsid w:val="00E553D6"/>
    <w:rsid w:val="00E55C95"/>
    <w:rsid w:val="00E55FD8"/>
    <w:rsid w:val="00E6662E"/>
    <w:rsid w:val="00E72D49"/>
    <w:rsid w:val="00E7593C"/>
    <w:rsid w:val="00E7678A"/>
    <w:rsid w:val="00E834C3"/>
    <w:rsid w:val="00E85641"/>
    <w:rsid w:val="00E935F1"/>
    <w:rsid w:val="00E94A81"/>
    <w:rsid w:val="00EA064C"/>
    <w:rsid w:val="00EA1FFB"/>
    <w:rsid w:val="00EA2439"/>
    <w:rsid w:val="00EA77E1"/>
    <w:rsid w:val="00EB048E"/>
    <w:rsid w:val="00EB383D"/>
    <w:rsid w:val="00EB3EFA"/>
    <w:rsid w:val="00EB5EF9"/>
    <w:rsid w:val="00EC0AF1"/>
    <w:rsid w:val="00EC545A"/>
    <w:rsid w:val="00ED551B"/>
    <w:rsid w:val="00EE0680"/>
    <w:rsid w:val="00EE62F6"/>
    <w:rsid w:val="00EF2F89"/>
    <w:rsid w:val="00F03AF7"/>
    <w:rsid w:val="00F04DEB"/>
    <w:rsid w:val="00F1237A"/>
    <w:rsid w:val="00F22CBD"/>
    <w:rsid w:val="00F32C0F"/>
    <w:rsid w:val="00F37961"/>
    <w:rsid w:val="00F4207E"/>
    <w:rsid w:val="00F442FE"/>
    <w:rsid w:val="00F474B6"/>
    <w:rsid w:val="00F55020"/>
    <w:rsid w:val="00F6334D"/>
    <w:rsid w:val="00F65789"/>
    <w:rsid w:val="00F706CD"/>
    <w:rsid w:val="00F75110"/>
    <w:rsid w:val="00F77053"/>
    <w:rsid w:val="00FA49AB"/>
    <w:rsid w:val="00FA5F3D"/>
    <w:rsid w:val="00FB0D37"/>
    <w:rsid w:val="00FB53E7"/>
    <w:rsid w:val="00FC0BF6"/>
    <w:rsid w:val="00FE1FC3"/>
    <w:rsid w:val="00FE39C7"/>
    <w:rsid w:val="00FE4144"/>
    <w:rsid w:val="00FE4AF3"/>
    <w:rsid w:val="00FF201C"/>
    <w:rsid w:val="00FF2CD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7C8"/>
    <w:pPr>
      <w:jc w:val="both"/>
    </w:pPr>
    <w:rPr>
      <w:rFonts w:ascii="Arial" w:hAnsi="Arial"/>
      <w:sz w:val="20"/>
      <w:szCs w:val="20"/>
      <w:lang w:val="en-US" w:eastAsia="en-US"/>
    </w:rPr>
  </w:style>
  <w:style w:type="paragraph" w:styleId="Heading1">
    <w:name w:val="heading 1"/>
    <w:basedOn w:val="Normal"/>
    <w:next w:val="Normal"/>
    <w:link w:val="Heading1Char"/>
    <w:autoRedefine/>
    <w:qFormat/>
    <w:rsid w:val="006B4C1A"/>
    <w:pPr>
      <w:keepNext/>
      <w:outlineLvl w:val="0"/>
    </w:pPr>
    <w:rPr>
      <w:caps/>
    </w:rPr>
  </w:style>
  <w:style w:type="paragraph" w:styleId="Heading2">
    <w:name w:val="heading 2"/>
    <w:basedOn w:val="Normal"/>
    <w:next w:val="Normal"/>
    <w:link w:val="Heading2Char"/>
    <w:autoRedefine/>
    <w:qFormat/>
    <w:rsid w:val="005735BF"/>
    <w:pPr>
      <w:keepNext/>
      <w:outlineLvl w:val="1"/>
    </w:pPr>
    <w:rPr>
      <w:u w:val="single" w:color="000000"/>
      <w:lang w:val="es-ES_tradnl" w:eastAsia="es-ES_tradnl"/>
    </w:rPr>
  </w:style>
  <w:style w:type="paragraph" w:styleId="Heading3">
    <w:name w:val="heading 3"/>
    <w:basedOn w:val="Normal"/>
    <w:next w:val="Normal"/>
    <w:link w:val="Heading3Char"/>
    <w:autoRedefine/>
    <w:qFormat/>
    <w:rsid w:val="00C66028"/>
    <w:pPr>
      <w:keepNext/>
      <w:outlineLvl w:val="2"/>
    </w:pPr>
    <w:rPr>
      <w:i/>
      <w:szCs w:val="18"/>
    </w:rPr>
  </w:style>
  <w:style w:type="paragraph" w:styleId="Heading4">
    <w:name w:val="heading 4"/>
    <w:basedOn w:val="Normal"/>
    <w:next w:val="Normal"/>
    <w:link w:val="Heading4Char"/>
    <w:autoRedefine/>
    <w:uiPriority w:val="99"/>
    <w:qFormat/>
    <w:rsid w:val="00B76373"/>
    <w:pPr>
      <w:keepNext/>
      <w:ind w:firstLine="567"/>
      <w:outlineLvl w:val="3"/>
    </w:pPr>
    <w:rPr>
      <w:i/>
    </w:rPr>
  </w:style>
  <w:style w:type="paragraph" w:styleId="Heading5">
    <w:name w:val="heading 5"/>
    <w:basedOn w:val="Normal"/>
    <w:next w:val="Normal"/>
    <w:link w:val="Heading5Char"/>
    <w:autoRedefine/>
    <w:uiPriority w:val="99"/>
    <w:qFormat/>
    <w:rsid w:val="00F37961"/>
    <w:pPr>
      <w:keepNext/>
      <w:ind w:left="1134" w:hanging="567"/>
      <w:outlineLvl w:val="4"/>
    </w:pPr>
    <w:rPr>
      <w:sz w:val="18"/>
      <w:szCs w:val="18"/>
    </w:rPr>
  </w:style>
  <w:style w:type="paragraph" w:styleId="Heading9">
    <w:name w:val="heading 9"/>
    <w:basedOn w:val="Normal"/>
    <w:next w:val="Normal"/>
    <w:link w:val="Heading9Char"/>
    <w:uiPriority w:val="99"/>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6B4C1A"/>
    <w:rPr>
      <w:rFonts w:ascii="Arial" w:hAnsi="Arial"/>
      <w:caps/>
      <w:sz w:val="20"/>
      <w:szCs w:val="20"/>
      <w:lang w:val="en-US" w:eastAsia="en-US"/>
    </w:rPr>
  </w:style>
  <w:style w:type="character" w:customStyle="1" w:styleId="Heading2Char">
    <w:name w:val="Heading 2 Char"/>
    <w:basedOn w:val="DefaultParagraphFont"/>
    <w:link w:val="Heading2"/>
    <w:locked/>
    <w:rsid w:val="005735BF"/>
    <w:rPr>
      <w:rFonts w:ascii="Arial" w:hAnsi="Arial" w:cs="Times New Roman"/>
      <w:snapToGrid w:val="0"/>
      <w:u w:val="single" w:color="000000"/>
    </w:rPr>
  </w:style>
  <w:style w:type="character" w:customStyle="1" w:styleId="Heading3Char">
    <w:name w:val="Heading 3 Char"/>
    <w:basedOn w:val="DefaultParagraphFont"/>
    <w:link w:val="Heading3"/>
    <w:locked/>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val="en-US" w:eastAsia="en-US"/>
    </w:rPr>
  </w:style>
  <w:style w:type="character" w:customStyle="1" w:styleId="Heading9Char">
    <w:name w:val="Heading 9 Char"/>
    <w:basedOn w:val="DefaultParagraphFont"/>
    <w:link w:val="Heading9"/>
    <w:uiPriority w:val="99"/>
    <w:semiHidden/>
    <w:locked/>
    <w:rPr>
      <w:rFonts w:ascii="Cambria" w:hAnsi="Cambria" w:cs="Times New Roman"/>
      <w:lang w:val="en-US" w:eastAsia="en-US"/>
    </w:rPr>
  </w:style>
  <w:style w:type="paragraph" w:styleId="Header">
    <w:name w:val="header"/>
    <w:basedOn w:val="Normal"/>
    <w:link w:val="HeaderChar"/>
    <w:autoRedefine/>
    <w:uiPriority w:val="99"/>
    <w:rsid w:val="00F37961"/>
    <w:pPr>
      <w:tabs>
        <w:tab w:val="center" w:pos="4536"/>
        <w:tab w:val="right" w:pos="9072"/>
      </w:tabs>
      <w:jc w:val="center"/>
    </w:pPr>
    <w:rPr>
      <w:lang w:val="fr-FR"/>
    </w:rPr>
  </w:style>
  <w:style w:type="character" w:customStyle="1" w:styleId="HeaderChar">
    <w:name w:val="Header Char"/>
    <w:basedOn w:val="DefaultParagraphFont"/>
    <w:link w:val="Header"/>
    <w:uiPriority w:val="99"/>
    <w:semiHidden/>
    <w:locked/>
    <w:rPr>
      <w:rFonts w:ascii="Arial" w:hAnsi="Arial" w:cs="Times New Roman"/>
      <w:sz w:val="20"/>
      <w:szCs w:val="20"/>
      <w:lang w:val="en-US" w:eastAsia="en-US"/>
    </w:rPr>
  </w:style>
  <w:style w:type="paragraph" w:styleId="Footer">
    <w:name w:val="footer"/>
    <w:aliases w:val="doc_path_name"/>
    <w:basedOn w:val="Normal"/>
    <w:link w:val="FooterChar"/>
    <w:autoRedefine/>
    <w:uiPriority w:val="99"/>
    <w:rsid w:val="00F37961"/>
    <w:rPr>
      <w:sz w:val="14"/>
    </w:rPr>
  </w:style>
  <w:style w:type="character" w:customStyle="1" w:styleId="FooterChar">
    <w:name w:val="Footer Char"/>
    <w:aliases w:val="doc_path_name Char"/>
    <w:basedOn w:val="DefaultParagraphFont"/>
    <w:link w:val="Footer"/>
    <w:uiPriority w:val="99"/>
    <w:semiHidden/>
    <w:locked/>
    <w:rPr>
      <w:rFonts w:ascii="Arial" w:hAnsi="Arial" w:cs="Times New Roman"/>
      <w:sz w:val="20"/>
      <w:szCs w:val="20"/>
      <w:lang w:val="en-US" w:eastAsia="en-US"/>
    </w:rPr>
  </w:style>
  <w:style w:type="character" w:styleId="PageNumber">
    <w:name w:val="page number"/>
    <w:basedOn w:val="DefaultParagraphFont"/>
    <w:uiPriority w:val="99"/>
    <w:rsid w:val="00F37961"/>
    <w:rPr>
      <w:rFonts w:ascii="Arial" w:hAnsi="Arial" w:cs="Times New Roman"/>
      <w:sz w:val="20"/>
    </w:rPr>
  </w:style>
  <w:style w:type="paragraph" w:styleId="Title">
    <w:name w:val="Title"/>
    <w:basedOn w:val="Normal"/>
    <w:link w:val="TitleChar"/>
    <w:uiPriority w:val="99"/>
    <w:qFormat/>
    <w:rsid w:val="00F37961"/>
    <w:pPr>
      <w:spacing w:after="300"/>
      <w:jc w:val="center"/>
    </w:pPr>
    <w:rPr>
      <w:b/>
      <w:caps/>
      <w:kern w:val="28"/>
      <w:sz w:val="30"/>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en-US" w:eastAsia="en-US"/>
    </w:rPr>
  </w:style>
  <w:style w:type="paragraph" w:customStyle="1" w:styleId="preparedby">
    <w:name w:val="preparedby"/>
    <w:basedOn w:val="Normal"/>
    <w:next w:val="Normal"/>
    <w:uiPriority w:val="99"/>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link w:val="DecisionParagraphsChar"/>
    <w:uiPriority w:val="99"/>
    <w:rsid w:val="00F37961"/>
    <w:pPr>
      <w:tabs>
        <w:tab w:val="left" w:pos="5387"/>
      </w:tabs>
      <w:ind w:left="4820"/>
    </w:pPr>
    <w:rPr>
      <w:i/>
    </w:rPr>
  </w:style>
  <w:style w:type="paragraph" w:styleId="FootnoteText">
    <w:name w:val="footnote text"/>
    <w:basedOn w:val="Normal"/>
    <w:link w:val="FootnoteTextChar"/>
    <w:autoRedefine/>
    <w:rsid w:val="00F37961"/>
    <w:pPr>
      <w:spacing w:before="60"/>
      <w:ind w:left="567" w:hanging="567"/>
    </w:pPr>
    <w:rPr>
      <w:sz w:val="16"/>
    </w:rPr>
  </w:style>
  <w:style w:type="character" w:customStyle="1" w:styleId="FootnoteTextChar">
    <w:name w:val="Footnote Text Char"/>
    <w:basedOn w:val="DefaultParagraphFont"/>
    <w:link w:val="FootnoteText"/>
    <w:locked/>
    <w:rsid w:val="00653C1D"/>
    <w:rPr>
      <w:rFonts w:ascii="Arial" w:hAnsi="Arial" w:cs="Times New Roman"/>
      <w:sz w:val="16"/>
      <w:lang w:val="en-US" w:eastAsia="en-US" w:bidi="ar-SA"/>
    </w:rPr>
  </w:style>
  <w:style w:type="character" w:styleId="FootnoteReference">
    <w:name w:val="footnote reference"/>
    <w:basedOn w:val="DefaultParagraphFont"/>
    <w:rsid w:val="00F37961"/>
    <w:rPr>
      <w:rFonts w:cs="Times New Roman"/>
      <w:vertAlign w:val="superscript"/>
    </w:rPr>
  </w:style>
  <w:style w:type="paragraph" w:styleId="Closing">
    <w:name w:val="Closing"/>
    <w:basedOn w:val="Normal"/>
    <w:link w:val="ClosingChar"/>
    <w:uiPriority w:val="99"/>
    <w:rsid w:val="00F37961"/>
    <w:pPr>
      <w:ind w:left="4536"/>
      <w:jc w:val="center"/>
    </w:pPr>
  </w:style>
  <w:style w:type="character" w:customStyle="1" w:styleId="ClosingChar">
    <w:name w:val="Closing Char"/>
    <w:basedOn w:val="DefaultParagraphFont"/>
    <w:link w:val="Closing"/>
    <w:uiPriority w:val="99"/>
    <w:semiHidden/>
    <w:locked/>
    <w:rPr>
      <w:rFonts w:ascii="Arial" w:hAnsi="Arial" w:cs="Times New Roman"/>
      <w:sz w:val="20"/>
      <w:szCs w:val="20"/>
      <w:lang w:val="en-US" w:eastAsia="en-US"/>
    </w:rPr>
  </w:style>
  <w:style w:type="paragraph" w:styleId="Index1">
    <w:name w:val="index 1"/>
    <w:basedOn w:val="Normal"/>
    <w:next w:val="Normal"/>
    <w:uiPriority w:val="99"/>
    <w:semiHidden/>
    <w:rsid w:val="00F37961"/>
    <w:pPr>
      <w:tabs>
        <w:tab w:val="right" w:leader="dot" w:pos="9071"/>
      </w:tabs>
      <w:ind w:left="284" w:hanging="284"/>
    </w:pPr>
    <w:rPr>
      <w:sz w:val="24"/>
    </w:rPr>
  </w:style>
  <w:style w:type="paragraph" w:styleId="Index2">
    <w:name w:val="index 2"/>
    <w:basedOn w:val="Normal"/>
    <w:next w:val="Normal"/>
    <w:uiPriority w:val="99"/>
    <w:semiHidden/>
    <w:rsid w:val="00F37961"/>
    <w:pPr>
      <w:tabs>
        <w:tab w:val="right" w:leader="dot" w:pos="9071"/>
      </w:tabs>
      <w:ind w:left="568" w:hanging="284"/>
    </w:pPr>
    <w:rPr>
      <w:sz w:val="24"/>
    </w:rPr>
  </w:style>
  <w:style w:type="paragraph" w:styleId="Index3">
    <w:name w:val="index 3"/>
    <w:basedOn w:val="Normal"/>
    <w:next w:val="Normal"/>
    <w:uiPriority w:val="99"/>
    <w:semiHidden/>
    <w:rsid w:val="00F37961"/>
    <w:pPr>
      <w:tabs>
        <w:tab w:val="right" w:leader="dot" w:pos="9071"/>
      </w:tabs>
      <w:ind w:left="851" w:hanging="284"/>
    </w:pPr>
    <w:rPr>
      <w:sz w:val="24"/>
    </w:rPr>
  </w:style>
  <w:style w:type="paragraph" w:styleId="MacroText">
    <w:name w:val="macro"/>
    <w:link w:val="MacroTextChar"/>
    <w:uiPriority w:val="99"/>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szCs w:val="20"/>
      <w:lang w:val="en-US" w:eastAsia="en-US"/>
    </w:rPr>
  </w:style>
  <w:style w:type="character" w:customStyle="1" w:styleId="MacroTextChar">
    <w:name w:val="Macro Text Char"/>
    <w:basedOn w:val="DefaultParagraphFont"/>
    <w:link w:val="MacroText"/>
    <w:uiPriority w:val="99"/>
    <w:semiHidden/>
    <w:locked/>
    <w:rPr>
      <w:rFonts w:ascii="Courier New" w:hAnsi="Courier New" w:cs="Times New Roman"/>
      <w:sz w:val="16"/>
      <w:lang w:val="en-US" w:eastAsia="en-US" w:bidi="ar-SA"/>
    </w:rPr>
  </w:style>
  <w:style w:type="paragraph" w:styleId="Signature">
    <w:name w:val="Signature"/>
    <w:basedOn w:val="Normal"/>
    <w:link w:val="SignatureChar"/>
    <w:uiPriority w:val="99"/>
    <w:rsid w:val="00F37961"/>
    <w:pPr>
      <w:ind w:left="4536"/>
      <w:jc w:val="center"/>
    </w:pPr>
  </w:style>
  <w:style w:type="character" w:customStyle="1" w:styleId="SignatureChar">
    <w:name w:val="Signature Char"/>
    <w:basedOn w:val="DefaultParagraphFont"/>
    <w:link w:val="Signature"/>
    <w:uiPriority w:val="99"/>
    <w:semiHidden/>
    <w:locked/>
    <w:rPr>
      <w:rFonts w:ascii="Arial" w:hAnsi="Arial" w:cs="Times New Roman"/>
      <w:sz w:val="20"/>
      <w:szCs w:val="20"/>
      <w:lang w:val="en-US" w:eastAsia="en-US"/>
    </w:rPr>
  </w:style>
  <w:style w:type="character" w:customStyle="1" w:styleId="Doclang">
    <w:name w:val="Doc_lang"/>
    <w:basedOn w:val="DefaultParagraphFont"/>
    <w:uiPriority w:val="99"/>
    <w:rsid w:val="00F37961"/>
    <w:rPr>
      <w:rFonts w:ascii="Arial" w:hAnsi="Arial" w:cs="Times New Roman"/>
      <w:sz w:val="20"/>
      <w:lang w:val="en-US"/>
    </w:rPr>
  </w:style>
  <w:style w:type="paragraph" w:customStyle="1" w:styleId="Session">
    <w:name w:val="Session"/>
    <w:basedOn w:val="Normal"/>
    <w:uiPriority w:val="99"/>
    <w:semiHidden/>
    <w:rsid w:val="00F37961"/>
    <w:pPr>
      <w:spacing w:before="60"/>
      <w:jc w:val="center"/>
    </w:pPr>
    <w:rPr>
      <w:b/>
    </w:rPr>
  </w:style>
  <w:style w:type="paragraph" w:customStyle="1" w:styleId="Organizer">
    <w:name w:val="Organizer"/>
    <w:basedOn w:val="Normal"/>
    <w:uiPriority w:val="99"/>
    <w:semiHidden/>
    <w:rsid w:val="00F37961"/>
    <w:pPr>
      <w:spacing w:after="600"/>
      <w:ind w:left="-993" w:right="-994"/>
      <w:jc w:val="center"/>
    </w:pPr>
    <w:rPr>
      <w:b/>
      <w:caps/>
      <w:kern w:val="26"/>
      <w:sz w:val="26"/>
    </w:rPr>
  </w:style>
  <w:style w:type="paragraph" w:styleId="BodyText">
    <w:name w:val="Body Text"/>
    <w:basedOn w:val="Normal"/>
    <w:link w:val="BodyTextChar"/>
    <w:uiPriority w:val="99"/>
    <w:rsid w:val="00F37961"/>
  </w:style>
  <w:style w:type="character" w:customStyle="1" w:styleId="BodyTextChar">
    <w:name w:val="Body Text Char"/>
    <w:basedOn w:val="DefaultParagraphFont"/>
    <w:link w:val="BodyText"/>
    <w:uiPriority w:val="99"/>
    <w:semiHidden/>
    <w:locked/>
    <w:rPr>
      <w:rFonts w:ascii="Arial" w:hAnsi="Arial" w:cs="Times New Roman"/>
      <w:sz w:val="20"/>
      <w:szCs w:val="20"/>
      <w:lang w:val="en-US" w:eastAsia="en-US"/>
    </w:rPr>
  </w:style>
  <w:style w:type="paragraph" w:customStyle="1" w:styleId="StyleDocoriginalNotBold">
    <w:name w:val="Style Doc_original + Not Bold"/>
    <w:basedOn w:val="Docoriginal"/>
    <w:link w:val="StyleDocoriginalNotBoldChar"/>
    <w:autoRedefine/>
    <w:uiPriority w:val="99"/>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uiPriority w:val="99"/>
    <w:semiHidden/>
    <w:rsid w:val="00D3708D"/>
    <w:pPr>
      <w:spacing w:before="1200"/>
      <w:jc w:val="center"/>
    </w:pPr>
    <w:rPr>
      <w:caps/>
    </w:rPr>
  </w:style>
  <w:style w:type="paragraph" w:customStyle="1" w:styleId="preparedby0">
    <w:name w:val="prepared by"/>
    <w:basedOn w:val="Normal"/>
    <w:uiPriority w:val="99"/>
    <w:semiHidden/>
    <w:rsid w:val="00D3708D"/>
    <w:pPr>
      <w:spacing w:before="600" w:after="600"/>
      <w:jc w:val="center"/>
    </w:pPr>
    <w:rPr>
      <w:i/>
    </w:rPr>
  </w:style>
  <w:style w:type="paragraph" w:customStyle="1" w:styleId="PlaceAndDate">
    <w:name w:val="PlaceAndDate"/>
    <w:basedOn w:val="Session"/>
    <w:uiPriority w:val="99"/>
    <w:semiHidden/>
    <w:rsid w:val="00F37961"/>
  </w:style>
  <w:style w:type="paragraph" w:styleId="EndnoteText">
    <w:name w:val="endnote text"/>
    <w:basedOn w:val="Normal"/>
    <w:link w:val="EndnoteTextChar"/>
    <w:uiPriority w:val="99"/>
    <w:semiHidden/>
    <w:rsid w:val="00F37961"/>
  </w:style>
  <w:style w:type="character" w:customStyle="1" w:styleId="EndnoteTextChar">
    <w:name w:val="Endnote Text Char"/>
    <w:basedOn w:val="DefaultParagraphFont"/>
    <w:link w:val="EndnoteText"/>
    <w:uiPriority w:val="99"/>
    <w:semiHidden/>
    <w:locked/>
    <w:rPr>
      <w:rFonts w:ascii="Arial" w:hAnsi="Arial" w:cs="Times New Roman"/>
      <w:sz w:val="20"/>
      <w:szCs w:val="20"/>
      <w:lang w:val="en-US" w:eastAsia="en-US"/>
    </w:rPr>
  </w:style>
  <w:style w:type="character" w:styleId="EndnoteReference">
    <w:name w:val="endnote reference"/>
    <w:basedOn w:val="DefaultParagraphFont"/>
    <w:uiPriority w:val="99"/>
    <w:semiHidden/>
    <w:rsid w:val="00F37961"/>
    <w:rPr>
      <w:rFonts w:cs="Times New Roman"/>
      <w:vertAlign w:val="superscript"/>
    </w:rPr>
  </w:style>
  <w:style w:type="paragraph" w:customStyle="1" w:styleId="SessionMeetingPlace">
    <w:name w:val="Session_MeetingPlace"/>
    <w:basedOn w:val="Normal"/>
    <w:uiPriority w:val="99"/>
    <w:semiHidden/>
    <w:rsid w:val="00F37961"/>
    <w:pPr>
      <w:spacing w:before="480"/>
      <w:jc w:val="center"/>
    </w:pPr>
    <w:rPr>
      <w:b/>
      <w:bCs/>
      <w:kern w:val="28"/>
      <w:sz w:val="24"/>
    </w:rPr>
  </w:style>
  <w:style w:type="paragraph" w:customStyle="1" w:styleId="Original">
    <w:name w:val="Original"/>
    <w:basedOn w:val="Normal"/>
    <w:uiPriority w:val="99"/>
    <w:semiHidden/>
    <w:rsid w:val="00F37961"/>
    <w:pPr>
      <w:spacing w:before="60"/>
      <w:ind w:left="1276"/>
    </w:pPr>
    <w:rPr>
      <w:b/>
      <w:sz w:val="22"/>
    </w:rPr>
  </w:style>
  <w:style w:type="paragraph" w:styleId="Date">
    <w:name w:val="Date"/>
    <w:basedOn w:val="Normal"/>
    <w:link w:val="DateChar"/>
    <w:uiPriority w:val="99"/>
    <w:semiHidden/>
    <w:rsid w:val="00F37961"/>
    <w:pPr>
      <w:spacing w:line="340" w:lineRule="exact"/>
      <w:ind w:left="1276"/>
    </w:pPr>
    <w:rPr>
      <w:b/>
      <w:sz w:val="22"/>
    </w:rPr>
  </w:style>
  <w:style w:type="character" w:customStyle="1" w:styleId="DateChar">
    <w:name w:val="Date Char"/>
    <w:basedOn w:val="DefaultParagraphFont"/>
    <w:link w:val="Date"/>
    <w:uiPriority w:val="99"/>
    <w:semiHidden/>
    <w:locked/>
    <w:rPr>
      <w:rFonts w:ascii="Arial" w:hAnsi="Arial" w:cs="Times New Roman"/>
      <w:sz w:val="20"/>
      <w:szCs w:val="20"/>
      <w:lang w:val="en-US" w:eastAsia="en-US"/>
    </w:rPr>
  </w:style>
  <w:style w:type="paragraph" w:customStyle="1" w:styleId="Code">
    <w:name w:val="Code"/>
    <w:basedOn w:val="Normal"/>
    <w:link w:val="CodeChar"/>
    <w:uiPriority w:val="99"/>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uiPriority w:val="99"/>
    <w:rsid w:val="00F37961"/>
    <w:pPr>
      <w:spacing w:before="240"/>
    </w:pPr>
  </w:style>
  <w:style w:type="paragraph" w:customStyle="1" w:styleId="TitreUpov">
    <w:name w:val="TitreUpov"/>
    <w:basedOn w:val="Normal"/>
    <w:uiPriority w:val="99"/>
    <w:semiHidden/>
    <w:rsid w:val="00D3708D"/>
    <w:pPr>
      <w:spacing w:before="60"/>
      <w:jc w:val="center"/>
    </w:pPr>
    <w:rPr>
      <w:b/>
      <w:sz w:val="24"/>
    </w:rPr>
  </w:style>
  <w:style w:type="paragraph" w:customStyle="1" w:styleId="StyleSessionAllcaps">
    <w:name w:val="Style Session + All caps"/>
    <w:basedOn w:val="Session"/>
    <w:uiPriority w:val="99"/>
    <w:semiHidden/>
    <w:rsid w:val="00F37961"/>
    <w:pPr>
      <w:spacing w:before="480"/>
    </w:pPr>
    <w:rPr>
      <w:bCs/>
      <w:caps/>
      <w:kern w:val="28"/>
      <w:sz w:val="24"/>
    </w:rPr>
  </w:style>
  <w:style w:type="paragraph" w:customStyle="1" w:styleId="plcountry">
    <w:name w:val="plcountry"/>
    <w:basedOn w:val="Normal"/>
    <w:uiPriority w:val="99"/>
    <w:rsid w:val="00F37961"/>
    <w:pPr>
      <w:keepNext/>
      <w:keepLines/>
      <w:spacing w:before="180" w:after="120"/>
      <w:jc w:val="left"/>
    </w:pPr>
    <w:rPr>
      <w:caps/>
      <w:noProof/>
      <w:u w:val="single"/>
    </w:rPr>
  </w:style>
  <w:style w:type="paragraph" w:customStyle="1" w:styleId="pldetails">
    <w:name w:val="pldetails"/>
    <w:basedOn w:val="Normal"/>
    <w:uiPriority w:val="99"/>
    <w:rsid w:val="00F37961"/>
    <w:pPr>
      <w:keepLines/>
      <w:spacing w:before="60" w:after="60"/>
      <w:jc w:val="left"/>
    </w:pPr>
    <w:rPr>
      <w:noProof/>
    </w:rPr>
  </w:style>
  <w:style w:type="paragraph" w:customStyle="1" w:styleId="plheading">
    <w:name w:val="plheading"/>
    <w:basedOn w:val="Normal"/>
    <w:uiPriority w:val="99"/>
    <w:rsid w:val="00F37961"/>
    <w:pPr>
      <w:keepNext/>
      <w:spacing w:before="480" w:after="120"/>
      <w:jc w:val="center"/>
    </w:pPr>
    <w:rPr>
      <w:caps/>
      <w:u w:val="single"/>
    </w:rPr>
  </w:style>
  <w:style w:type="paragraph" w:customStyle="1" w:styleId="Sessiontcplacedate">
    <w:name w:val="Session_tc_place_date"/>
    <w:basedOn w:val="SessionMeetingPlace"/>
    <w:uiPriority w:val="99"/>
    <w:rsid w:val="00F37961"/>
    <w:pPr>
      <w:spacing w:before="240"/>
    </w:pPr>
  </w:style>
  <w:style w:type="paragraph" w:customStyle="1" w:styleId="Titleofdoc0">
    <w:name w:val="Title_of_doc"/>
    <w:basedOn w:val="Normal"/>
    <w:uiPriority w:val="99"/>
    <w:rsid w:val="00F37961"/>
    <w:pPr>
      <w:spacing w:before="600"/>
      <w:jc w:val="center"/>
    </w:pPr>
    <w:rPr>
      <w:caps/>
    </w:rPr>
  </w:style>
  <w:style w:type="paragraph" w:customStyle="1" w:styleId="preparedby1">
    <w:name w:val="prepared_by"/>
    <w:basedOn w:val="Normal"/>
    <w:uiPriority w:val="99"/>
    <w:semiHidden/>
    <w:rsid w:val="00F37961"/>
    <w:pPr>
      <w:spacing w:before="240" w:after="600"/>
      <w:jc w:val="center"/>
    </w:pPr>
    <w:rPr>
      <w:i/>
    </w:rPr>
  </w:style>
  <w:style w:type="character" w:customStyle="1" w:styleId="CodeChar">
    <w:name w:val="Code Char"/>
    <w:basedOn w:val="DefaultParagraphFont"/>
    <w:link w:val="Code"/>
    <w:uiPriority w:val="99"/>
    <w:locked/>
    <w:rsid w:val="00D3708D"/>
    <w:rPr>
      <w:rFonts w:ascii="Arial" w:hAnsi="Arial" w:cs="Times New Roman"/>
      <w:b/>
      <w:bCs/>
      <w:spacing w:val="10"/>
      <w:lang w:val="fr-FR" w:eastAsia="en-US" w:bidi="ar-SA"/>
    </w:rPr>
  </w:style>
  <w:style w:type="paragraph" w:customStyle="1" w:styleId="endofdoc">
    <w:name w:val="end_of_doc"/>
    <w:autoRedefine/>
    <w:uiPriority w:val="99"/>
    <w:rsid w:val="00F37961"/>
    <w:pPr>
      <w:spacing w:before="480"/>
      <w:ind w:left="567" w:hanging="567"/>
      <w:jc w:val="right"/>
    </w:pPr>
    <w:rPr>
      <w:rFonts w:ascii="Arial" w:hAnsi="Arial"/>
      <w:sz w:val="20"/>
      <w:szCs w:val="20"/>
      <w:lang w:val="en-US" w:eastAsia="en-US"/>
    </w:rPr>
  </w:style>
  <w:style w:type="character" w:customStyle="1" w:styleId="DocoriginalChar">
    <w:name w:val="Doc_original Char"/>
    <w:basedOn w:val="DefaultParagraphFont"/>
    <w:link w:val="Docoriginal"/>
    <w:locked/>
    <w:rsid w:val="00F37961"/>
    <w:rPr>
      <w:rFonts w:ascii="Arial" w:hAnsi="Arial" w:cs="Times New Roman"/>
      <w:b/>
      <w:bCs/>
      <w:spacing w:val="10"/>
      <w:lang w:val="en-US" w:eastAsia="en-US" w:bidi="ar-SA"/>
    </w:rPr>
  </w:style>
  <w:style w:type="character" w:customStyle="1" w:styleId="StyleDocoriginalNotBoldChar">
    <w:name w:val="Style Doc_original + Not Bold Char"/>
    <w:basedOn w:val="DocoriginalChar"/>
    <w:link w:val="StyleDocoriginalNotBold"/>
    <w:uiPriority w:val="99"/>
    <w:locked/>
    <w:rsid w:val="00F37961"/>
    <w:rPr>
      <w:rFonts w:ascii="Arial" w:hAnsi="Arial" w:cs="Times New Roman"/>
      <w:b/>
      <w:bCs/>
      <w:spacing w:val="10"/>
      <w:lang w:val="en-US" w:eastAsia="en-US" w:bidi="ar-SA"/>
    </w:rPr>
  </w:style>
  <w:style w:type="paragraph" w:customStyle="1" w:styleId="StyleDocnumber">
    <w:name w:val="Style Doc_number"/>
    <w:basedOn w:val="Docoriginal"/>
    <w:uiPriority w:val="99"/>
    <w:rsid w:val="00F37961"/>
    <w:pPr>
      <w:ind w:left="1589"/>
    </w:pPr>
  </w:style>
  <w:style w:type="paragraph" w:customStyle="1" w:styleId="StyleDocoriginal">
    <w:name w:val="Style Doc_original"/>
    <w:basedOn w:val="Docoriginal"/>
    <w:link w:val="StyleDocoriginalChar"/>
    <w:uiPriority w:val="99"/>
    <w:rsid w:val="00F37961"/>
  </w:style>
  <w:style w:type="character" w:customStyle="1" w:styleId="StyleDocoriginalChar">
    <w:name w:val="Style Doc_original Char"/>
    <w:basedOn w:val="DocoriginalChar"/>
    <w:link w:val="StyleDocoriginal"/>
    <w:uiPriority w:val="99"/>
    <w:locked/>
    <w:rsid w:val="00F37961"/>
    <w:rPr>
      <w:rFonts w:ascii="Arial" w:hAnsi="Arial" w:cs="Times New Roman"/>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uiPriority w:val="99"/>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uiPriority w:val="99"/>
    <w:locked/>
    <w:rsid w:val="00281060"/>
    <w:rPr>
      <w:rFonts w:ascii="Arial" w:hAnsi="Arial" w:cs="Times New Roman"/>
      <w:b/>
      <w:bCs/>
      <w:spacing w:val="10"/>
      <w:lang w:val="en-US" w:eastAsia="en-US" w:bidi="ar-SA"/>
    </w:rPr>
  </w:style>
  <w:style w:type="character" w:customStyle="1" w:styleId="StyleDocoriginalNotBold1">
    <w:name w:val="Style Doc_original + Not Bold1"/>
    <w:basedOn w:val="DefaultParagraphFont"/>
    <w:rsid w:val="00F37961"/>
    <w:rPr>
      <w:rFonts w:ascii="Arial" w:hAnsi="Arial" w:cs="Times New Roman"/>
      <w:b/>
      <w:bCs/>
      <w:spacing w:val="10"/>
      <w:lang w:val="en-US" w:eastAsia="en-US" w:bidi="ar-SA"/>
    </w:rPr>
  </w:style>
  <w:style w:type="character" w:customStyle="1" w:styleId="StyleDoclangBold">
    <w:name w:val="Style Doc_lang + Bold"/>
    <w:basedOn w:val="Doclang"/>
    <w:rsid w:val="00F37961"/>
    <w:rPr>
      <w:rFonts w:ascii="Arial" w:hAnsi="Arial" w:cs="Times New Roman"/>
      <w:b/>
      <w:bCs/>
      <w:sz w:val="20"/>
      <w:lang w:val="en-US"/>
    </w:rPr>
  </w:style>
  <w:style w:type="paragraph" w:styleId="TOC2">
    <w:name w:val="toc 2"/>
    <w:basedOn w:val="Normal"/>
    <w:next w:val="Normal"/>
    <w:autoRedefine/>
    <w:uiPriority w:val="39"/>
    <w:rsid w:val="00205687"/>
    <w:pPr>
      <w:tabs>
        <w:tab w:val="right" w:leader="dot" w:pos="9639"/>
      </w:tabs>
      <w:spacing w:after="60"/>
      <w:ind w:left="851" w:right="851" w:hanging="284"/>
      <w:contextualSpacing/>
      <w:jc w:val="left"/>
    </w:pPr>
    <w:rPr>
      <w:noProof/>
    </w:rPr>
  </w:style>
  <w:style w:type="paragraph" w:styleId="TOC3">
    <w:name w:val="toc 3"/>
    <w:basedOn w:val="Normal"/>
    <w:next w:val="Normal"/>
    <w:autoRedefine/>
    <w:uiPriority w:val="39"/>
    <w:rsid w:val="00205687"/>
    <w:pPr>
      <w:tabs>
        <w:tab w:val="left" w:pos="1418"/>
        <w:tab w:val="right" w:leader="dot" w:pos="9639"/>
      </w:tabs>
      <w:spacing w:after="60"/>
      <w:ind w:left="1418" w:right="851" w:hanging="567"/>
      <w:contextualSpacing/>
      <w:jc w:val="left"/>
    </w:pPr>
    <w:rPr>
      <w:i/>
      <w:noProof/>
      <w:lang w:val="fr-FR"/>
    </w:rPr>
  </w:style>
  <w:style w:type="character" w:styleId="Hyperlink">
    <w:name w:val="Hyperlink"/>
    <w:basedOn w:val="DefaultParagraphFont"/>
    <w:uiPriority w:val="99"/>
    <w:rsid w:val="00F37961"/>
    <w:rPr>
      <w:rFonts w:ascii="Arial" w:hAnsi="Arial" w:cs="Times New Roman"/>
      <w:color w:val="0000FF"/>
      <w:u w:val="single"/>
    </w:rPr>
  </w:style>
  <w:style w:type="paragraph" w:styleId="TOC4">
    <w:name w:val="toc 4"/>
    <w:basedOn w:val="Normal"/>
    <w:next w:val="Normal"/>
    <w:autoRedefine/>
    <w:uiPriority w:val="99"/>
    <w:rsid w:val="00F37961"/>
    <w:pPr>
      <w:tabs>
        <w:tab w:val="right" w:leader="dot" w:pos="9639"/>
      </w:tabs>
      <w:spacing w:before="120"/>
      <w:ind w:left="851" w:right="851" w:hanging="284"/>
      <w:jc w:val="left"/>
    </w:pPr>
    <w:rPr>
      <w:i/>
      <w:noProof/>
      <w:lang w:val="fr-FR"/>
    </w:rPr>
  </w:style>
  <w:style w:type="paragraph" w:styleId="TOC1">
    <w:name w:val="toc 1"/>
    <w:basedOn w:val="Normal"/>
    <w:next w:val="Normal"/>
    <w:autoRedefine/>
    <w:uiPriority w:val="39"/>
    <w:rsid w:val="00205687"/>
    <w:pPr>
      <w:tabs>
        <w:tab w:val="right" w:leader="dot" w:pos="9639"/>
      </w:tabs>
      <w:spacing w:after="120"/>
      <w:ind w:left="567" w:right="850" w:hanging="567"/>
      <w:jc w:val="left"/>
    </w:pPr>
    <w:rPr>
      <w:caps/>
      <w:noProof/>
    </w:rPr>
  </w:style>
  <w:style w:type="paragraph" w:styleId="TOC5">
    <w:name w:val="toc 5"/>
    <w:basedOn w:val="Normal"/>
    <w:next w:val="Normal"/>
    <w:autoRedefine/>
    <w:uiPriority w:val="99"/>
    <w:semiHidden/>
    <w:rsid w:val="00F37961"/>
    <w:pPr>
      <w:tabs>
        <w:tab w:val="right" w:leader="dot" w:pos="9639"/>
      </w:tabs>
      <w:spacing w:before="120"/>
      <w:ind w:left="851" w:right="851" w:hanging="283"/>
    </w:pPr>
    <w:rPr>
      <w:noProof/>
      <w:sz w:val="18"/>
      <w:lang w:val="fr-FR"/>
    </w:rPr>
  </w:style>
  <w:style w:type="paragraph" w:styleId="BalloonText">
    <w:name w:val="Balloon Text"/>
    <w:basedOn w:val="Normal"/>
    <w:link w:val="BalloonTextChar"/>
    <w:uiPriority w:val="99"/>
    <w:rsid w:val="00664515"/>
    <w:rPr>
      <w:rFonts w:ascii="Tahoma" w:hAnsi="Tahoma" w:cs="Tahoma"/>
      <w:sz w:val="16"/>
      <w:szCs w:val="16"/>
    </w:rPr>
  </w:style>
  <w:style w:type="character" w:customStyle="1" w:styleId="BalloonTextChar">
    <w:name w:val="Balloon Text Char"/>
    <w:basedOn w:val="DefaultParagraphFont"/>
    <w:link w:val="BalloonText"/>
    <w:uiPriority w:val="99"/>
    <w:locked/>
    <w:rsid w:val="00664515"/>
    <w:rPr>
      <w:rFonts w:ascii="Tahoma" w:hAnsi="Tahoma" w:cs="Tahoma"/>
      <w:sz w:val="16"/>
      <w:szCs w:val="16"/>
    </w:rPr>
  </w:style>
  <w:style w:type="paragraph" w:styleId="ListParagraph">
    <w:name w:val="List Paragraph"/>
    <w:basedOn w:val="Normal"/>
    <w:uiPriority w:val="99"/>
    <w:qFormat/>
    <w:rsid w:val="00037D15"/>
    <w:pPr>
      <w:ind w:left="720"/>
      <w:contextualSpacing/>
    </w:pPr>
  </w:style>
  <w:style w:type="table" w:styleId="TableGrid">
    <w:name w:val="Table Grid"/>
    <w:basedOn w:val="TableNormal"/>
    <w:uiPriority w:val="99"/>
    <w:rsid w:val="009D070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9D070E"/>
    <w:pPr>
      <w:autoSpaceDE w:val="0"/>
      <w:autoSpaceDN w:val="0"/>
      <w:adjustRightInd w:val="0"/>
    </w:pPr>
    <w:rPr>
      <w:rFonts w:ascii="Arial" w:hAnsi="Arial" w:cs="Arial"/>
      <w:color w:val="000000"/>
      <w:sz w:val="24"/>
      <w:szCs w:val="24"/>
      <w:lang w:val="en-US" w:eastAsia="en-US"/>
    </w:rPr>
  </w:style>
  <w:style w:type="paragraph" w:customStyle="1" w:styleId="inf6normal">
    <w:name w:val="inf_6_normal"/>
    <w:basedOn w:val="Normal"/>
    <w:link w:val="inf6normalChar"/>
    <w:uiPriority w:val="99"/>
    <w:rsid w:val="00F4207E"/>
    <w:pPr>
      <w:tabs>
        <w:tab w:val="left" w:pos="426"/>
        <w:tab w:val="left" w:pos="992"/>
      </w:tabs>
    </w:pPr>
    <w:rPr>
      <w:rFonts w:cs="Arial"/>
    </w:rPr>
  </w:style>
  <w:style w:type="paragraph" w:customStyle="1" w:styleId="Inf6Titre4">
    <w:name w:val="Inf6_Titre4"/>
    <w:basedOn w:val="Normal"/>
    <w:next w:val="Normal"/>
    <w:uiPriority w:val="99"/>
    <w:rsid w:val="00F4207E"/>
    <w:pPr>
      <w:keepNext/>
      <w:spacing w:after="360"/>
      <w:jc w:val="center"/>
      <w:outlineLvl w:val="3"/>
    </w:pPr>
    <w:rPr>
      <w:rFonts w:cs="Arial"/>
      <w:caps/>
      <w:szCs w:val="26"/>
    </w:rPr>
  </w:style>
  <w:style w:type="character" w:customStyle="1" w:styleId="inf6normalChar">
    <w:name w:val="inf_6_normal Char"/>
    <w:basedOn w:val="DefaultParagraphFont"/>
    <w:link w:val="inf6normal"/>
    <w:uiPriority w:val="99"/>
    <w:locked/>
    <w:rsid w:val="00F4207E"/>
    <w:rPr>
      <w:rFonts w:ascii="Arial" w:hAnsi="Arial" w:cs="Arial"/>
    </w:rPr>
  </w:style>
  <w:style w:type="character" w:customStyle="1" w:styleId="DecisionParagraphsChar">
    <w:name w:val="DecisionParagraphs Char"/>
    <w:basedOn w:val="DefaultParagraphFont"/>
    <w:link w:val="DecisionParagraphs"/>
    <w:uiPriority w:val="99"/>
    <w:locked/>
    <w:rsid w:val="009C7680"/>
    <w:rPr>
      <w:rFonts w:ascii="Arial" w:hAnsi="Arial" w:cs="Times New Roman"/>
      <w:i/>
    </w:rPr>
  </w:style>
  <w:style w:type="paragraph" w:customStyle="1" w:styleId="Style1">
    <w:name w:val="Style1"/>
    <w:basedOn w:val="Normal"/>
    <w:uiPriority w:val="99"/>
    <w:rsid w:val="00311DF3"/>
    <w:pPr>
      <w:tabs>
        <w:tab w:val="decimal" w:pos="907"/>
        <w:tab w:val="left" w:pos="1077"/>
      </w:tabs>
    </w:pPr>
    <w:rPr>
      <w:rFonts w:ascii="Times New Roman" w:hAnsi="Times New Roman"/>
      <w:sz w:val="24"/>
    </w:rPr>
  </w:style>
  <w:style w:type="paragraph" w:customStyle="1" w:styleId="a">
    <w:name w:val="a"/>
    <w:basedOn w:val="Normal"/>
    <w:uiPriority w:val="99"/>
    <w:rsid w:val="00311DF3"/>
    <w:pPr>
      <w:overflowPunct w:val="0"/>
      <w:autoSpaceDE w:val="0"/>
      <w:autoSpaceDN w:val="0"/>
      <w:adjustRightInd w:val="0"/>
      <w:jc w:val="center"/>
      <w:textAlignment w:val="baseline"/>
    </w:pPr>
    <w:rPr>
      <w:rFonts w:ascii="Times New Roman" w:hAnsi="Times New Roman"/>
      <w:b/>
      <w:sz w:val="24"/>
    </w:rPr>
  </w:style>
  <w:style w:type="character" w:styleId="FollowedHyperlink">
    <w:name w:val="FollowedHyperlink"/>
    <w:basedOn w:val="DefaultParagraphFont"/>
    <w:uiPriority w:val="99"/>
    <w:rsid w:val="00736BA9"/>
    <w:rPr>
      <w:rFonts w:cs="Times New Roman"/>
      <w:color w:val="800080"/>
      <w:u w:val="single"/>
    </w:rPr>
  </w:style>
  <w:style w:type="character" w:customStyle="1" w:styleId="st">
    <w:name w:val="st"/>
    <w:basedOn w:val="DefaultParagraphFont"/>
    <w:uiPriority w:val="99"/>
    <w:rsid w:val="009A2E0F"/>
    <w:rPr>
      <w:rFonts w:cs="Times New Roman"/>
    </w:rPr>
  </w:style>
  <w:style w:type="paragraph" w:customStyle="1" w:styleId="ONUMFS">
    <w:name w:val="ONUM FS"/>
    <w:basedOn w:val="BodyText"/>
    <w:rsid w:val="009D1CE1"/>
    <w:pPr>
      <w:numPr>
        <w:numId w:val="9"/>
      </w:numPr>
      <w:spacing w:after="220"/>
      <w:jc w:val="left"/>
    </w:pPr>
    <w:rPr>
      <w:rFonts w:eastAsia="SimSun" w:cs="Arial"/>
      <w:sz w:val="22"/>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7C8"/>
    <w:pPr>
      <w:jc w:val="both"/>
    </w:pPr>
    <w:rPr>
      <w:rFonts w:ascii="Arial" w:hAnsi="Arial"/>
      <w:sz w:val="20"/>
      <w:szCs w:val="20"/>
      <w:lang w:val="en-US" w:eastAsia="en-US"/>
    </w:rPr>
  </w:style>
  <w:style w:type="paragraph" w:styleId="Heading1">
    <w:name w:val="heading 1"/>
    <w:basedOn w:val="Normal"/>
    <w:next w:val="Normal"/>
    <w:link w:val="Heading1Char"/>
    <w:autoRedefine/>
    <w:qFormat/>
    <w:rsid w:val="006B4C1A"/>
    <w:pPr>
      <w:keepNext/>
      <w:outlineLvl w:val="0"/>
    </w:pPr>
    <w:rPr>
      <w:caps/>
    </w:rPr>
  </w:style>
  <w:style w:type="paragraph" w:styleId="Heading2">
    <w:name w:val="heading 2"/>
    <w:basedOn w:val="Normal"/>
    <w:next w:val="Normal"/>
    <w:link w:val="Heading2Char"/>
    <w:autoRedefine/>
    <w:qFormat/>
    <w:rsid w:val="005735BF"/>
    <w:pPr>
      <w:keepNext/>
      <w:outlineLvl w:val="1"/>
    </w:pPr>
    <w:rPr>
      <w:u w:val="single" w:color="000000"/>
      <w:lang w:val="es-ES_tradnl" w:eastAsia="es-ES_tradnl"/>
    </w:rPr>
  </w:style>
  <w:style w:type="paragraph" w:styleId="Heading3">
    <w:name w:val="heading 3"/>
    <w:basedOn w:val="Normal"/>
    <w:next w:val="Normal"/>
    <w:link w:val="Heading3Char"/>
    <w:autoRedefine/>
    <w:qFormat/>
    <w:rsid w:val="00C66028"/>
    <w:pPr>
      <w:keepNext/>
      <w:outlineLvl w:val="2"/>
    </w:pPr>
    <w:rPr>
      <w:i/>
      <w:szCs w:val="18"/>
    </w:rPr>
  </w:style>
  <w:style w:type="paragraph" w:styleId="Heading4">
    <w:name w:val="heading 4"/>
    <w:basedOn w:val="Normal"/>
    <w:next w:val="Normal"/>
    <w:link w:val="Heading4Char"/>
    <w:autoRedefine/>
    <w:uiPriority w:val="99"/>
    <w:qFormat/>
    <w:rsid w:val="00B76373"/>
    <w:pPr>
      <w:keepNext/>
      <w:ind w:firstLine="567"/>
      <w:outlineLvl w:val="3"/>
    </w:pPr>
    <w:rPr>
      <w:i/>
    </w:rPr>
  </w:style>
  <w:style w:type="paragraph" w:styleId="Heading5">
    <w:name w:val="heading 5"/>
    <w:basedOn w:val="Normal"/>
    <w:next w:val="Normal"/>
    <w:link w:val="Heading5Char"/>
    <w:autoRedefine/>
    <w:uiPriority w:val="99"/>
    <w:qFormat/>
    <w:rsid w:val="00F37961"/>
    <w:pPr>
      <w:keepNext/>
      <w:ind w:left="1134" w:hanging="567"/>
      <w:outlineLvl w:val="4"/>
    </w:pPr>
    <w:rPr>
      <w:sz w:val="18"/>
      <w:szCs w:val="18"/>
    </w:rPr>
  </w:style>
  <w:style w:type="paragraph" w:styleId="Heading9">
    <w:name w:val="heading 9"/>
    <w:basedOn w:val="Normal"/>
    <w:next w:val="Normal"/>
    <w:link w:val="Heading9Char"/>
    <w:uiPriority w:val="99"/>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6B4C1A"/>
    <w:rPr>
      <w:rFonts w:ascii="Arial" w:hAnsi="Arial"/>
      <w:caps/>
      <w:sz w:val="20"/>
      <w:szCs w:val="20"/>
      <w:lang w:val="en-US" w:eastAsia="en-US"/>
    </w:rPr>
  </w:style>
  <w:style w:type="character" w:customStyle="1" w:styleId="Heading2Char">
    <w:name w:val="Heading 2 Char"/>
    <w:basedOn w:val="DefaultParagraphFont"/>
    <w:link w:val="Heading2"/>
    <w:locked/>
    <w:rsid w:val="005735BF"/>
    <w:rPr>
      <w:rFonts w:ascii="Arial" w:hAnsi="Arial" w:cs="Times New Roman"/>
      <w:snapToGrid w:val="0"/>
      <w:u w:val="single" w:color="000000"/>
    </w:rPr>
  </w:style>
  <w:style w:type="character" w:customStyle="1" w:styleId="Heading3Char">
    <w:name w:val="Heading 3 Char"/>
    <w:basedOn w:val="DefaultParagraphFont"/>
    <w:link w:val="Heading3"/>
    <w:locked/>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val="en-US" w:eastAsia="en-US"/>
    </w:rPr>
  </w:style>
  <w:style w:type="character" w:customStyle="1" w:styleId="Heading9Char">
    <w:name w:val="Heading 9 Char"/>
    <w:basedOn w:val="DefaultParagraphFont"/>
    <w:link w:val="Heading9"/>
    <w:uiPriority w:val="99"/>
    <w:semiHidden/>
    <w:locked/>
    <w:rPr>
      <w:rFonts w:ascii="Cambria" w:hAnsi="Cambria" w:cs="Times New Roman"/>
      <w:lang w:val="en-US" w:eastAsia="en-US"/>
    </w:rPr>
  </w:style>
  <w:style w:type="paragraph" w:styleId="Header">
    <w:name w:val="header"/>
    <w:basedOn w:val="Normal"/>
    <w:link w:val="HeaderChar"/>
    <w:autoRedefine/>
    <w:uiPriority w:val="99"/>
    <w:rsid w:val="00F37961"/>
    <w:pPr>
      <w:tabs>
        <w:tab w:val="center" w:pos="4536"/>
        <w:tab w:val="right" w:pos="9072"/>
      </w:tabs>
      <w:jc w:val="center"/>
    </w:pPr>
    <w:rPr>
      <w:lang w:val="fr-FR"/>
    </w:rPr>
  </w:style>
  <w:style w:type="character" w:customStyle="1" w:styleId="HeaderChar">
    <w:name w:val="Header Char"/>
    <w:basedOn w:val="DefaultParagraphFont"/>
    <w:link w:val="Header"/>
    <w:uiPriority w:val="99"/>
    <w:semiHidden/>
    <w:locked/>
    <w:rPr>
      <w:rFonts w:ascii="Arial" w:hAnsi="Arial" w:cs="Times New Roman"/>
      <w:sz w:val="20"/>
      <w:szCs w:val="20"/>
      <w:lang w:val="en-US" w:eastAsia="en-US"/>
    </w:rPr>
  </w:style>
  <w:style w:type="paragraph" w:styleId="Footer">
    <w:name w:val="footer"/>
    <w:aliases w:val="doc_path_name"/>
    <w:basedOn w:val="Normal"/>
    <w:link w:val="FooterChar"/>
    <w:autoRedefine/>
    <w:uiPriority w:val="99"/>
    <w:rsid w:val="00F37961"/>
    <w:rPr>
      <w:sz w:val="14"/>
    </w:rPr>
  </w:style>
  <w:style w:type="character" w:customStyle="1" w:styleId="FooterChar">
    <w:name w:val="Footer Char"/>
    <w:aliases w:val="doc_path_name Char"/>
    <w:basedOn w:val="DefaultParagraphFont"/>
    <w:link w:val="Footer"/>
    <w:uiPriority w:val="99"/>
    <w:semiHidden/>
    <w:locked/>
    <w:rPr>
      <w:rFonts w:ascii="Arial" w:hAnsi="Arial" w:cs="Times New Roman"/>
      <w:sz w:val="20"/>
      <w:szCs w:val="20"/>
      <w:lang w:val="en-US" w:eastAsia="en-US"/>
    </w:rPr>
  </w:style>
  <w:style w:type="character" w:styleId="PageNumber">
    <w:name w:val="page number"/>
    <w:basedOn w:val="DefaultParagraphFont"/>
    <w:uiPriority w:val="99"/>
    <w:rsid w:val="00F37961"/>
    <w:rPr>
      <w:rFonts w:ascii="Arial" w:hAnsi="Arial" w:cs="Times New Roman"/>
      <w:sz w:val="20"/>
    </w:rPr>
  </w:style>
  <w:style w:type="paragraph" w:styleId="Title">
    <w:name w:val="Title"/>
    <w:basedOn w:val="Normal"/>
    <w:link w:val="TitleChar"/>
    <w:uiPriority w:val="99"/>
    <w:qFormat/>
    <w:rsid w:val="00F37961"/>
    <w:pPr>
      <w:spacing w:after="300"/>
      <w:jc w:val="center"/>
    </w:pPr>
    <w:rPr>
      <w:b/>
      <w:caps/>
      <w:kern w:val="28"/>
      <w:sz w:val="30"/>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en-US" w:eastAsia="en-US"/>
    </w:rPr>
  </w:style>
  <w:style w:type="paragraph" w:customStyle="1" w:styleId="preparedby">
    <w:name w:val="preparedby"/>
    <w:basedOn w:val="Normal"/>
    <w:next w:val="Normal"/>
    <w:uiPriority w:val="99"/>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link w:val="DecisionParagraphsChar"/>
    <w:uiPriority w:val="99"/>
    <w:rsid w:val="00F37961"/>
    <w:pPr>
      <w:tabs>
        <w:tab w:val="left" w:pos="5387"/>
      </w:tabs>
      <w:ind w:left="4820"/>
    </w:pPr>
    <w:rPr>
      <w:i/>
    </w:rPr>
  </w:style>
  <w:style w:type="paragraph" w:styleId="FootnoteText">
    <w:name w:val="footnote text"/>
    <w:basedOn w:val="Normal"/>
    <w:link w:val="FootnoteTextChar"/>
    <w:autoRedefine/>
    <w:rsid w:val="00F37961"/>
    <w:pPr>
      <w:spacing w:before="60"/>
      <w:ind w:left="567" w:hanging="567"/>
    </w:pPr>
    <w:rPr>
      <w:sz w:val="16"/>
    </w:rPr>
  </w:style>
  <w:style w:type="character" w:customStyle="1" w:styleId="FootnoteTextChar">
    <w:name w:val="Footnote Text Char"/>
    <w:basedOn w:val="DefaultParagraphFont"/>
    <w:link w:val="FootnoteText"/>
    <w:locked/>
    <w:rsid w:val="00653C1D"/>
    <w:rPr>
      <w:rFonts w:ascii="Arial" w:hAnsi="Arial" w:cs="Times New Roman"/>
      <w:sz w:val="16"/>
      <w:lang w:val="en-US" w:eastAsia="en-US" w:bidi="ar-SA"/>
    </w:rPr>
  </w:style>
  <w:style w:type="character" w:styleId="FootnoteReference">
    <w:name w:val="footnote reference"/>
    <w:basedOn w:val="DefaultParagraphFont"/>
    <w:rsid w:val="00F37961"/>
    <w:rPr>
      <w:rFonts w:cs="Times New Roman"/>
      <w:vertAlign w:val="superscript"/>
    </w:rPr>
  </w:style>
  <w:style w:type="paragraph" w:styleId="Closing">
    <w:name w:val="Closing"/>
    <w:basedOn w:val="Normal"/>
    <w:link w:val="ClosingChar"/>
    <w:uiPriority w:val="99"/>
    <w:rsid w:val="00F37961"/>
    <w:pPr>
      <w:ind w:left="4536"/>
      <w:jc w:val="center"/>
    </w:pPr>
  </w:style>
  <w:style w:type="character" w:customStyle="1" w:styleId="ClosingChar">
    <w:name w:val="Closing Char"/>
    <w:basedOn w:val="DefaultParagraphFont"/>
    <w:link w:val="Closing"/>
    <w:uiPriority w:val="99"/>
    <w:semiHidden/>
    <w:locked/>
    <w:rPr>
      <w:rFonts w:ascii="Arial" w:hAnsi="Arial" w:cs="Times New Roman"/>
      <w:sz w:val="20"/>
      <w:szCs w:val="20"/>
      <w:lang w:val="en-US" w:eastAsia="en-US"/>
    </w:rPr>
  </w:style>
  <w:style w:type="paragraph" w:styleId="Index1">
    <w:name w:val="index 1"/>
    <w:basedOn w:val="Normal"/>
    <w:next w:val="Normal"/>
    <w:uiPriority w:val="99"/>
    <w:semiHidden/>
    <w:rsid w:val="00F37961"/>
    <w:pPr>
      <w:tabs>
        <w:tab w:val="right" w:leader="dot" w:pos="9071"/>
      </w:tabs>
      <w:ind w:left="284" w:hanging="284"/>
    </w:pPr>
    <w:rPr>
      <w:sz w:val="24"/>
    </w:rPr>
  </w:style>
  <w:style w:type="paragraph" w:styleId="Index2">
    <w:name w:val="index 2"/>
    <w:basedOn w:val="Normal"/>
    <w:next w:val="Normal"/>
    <w:uiPriority w:val="99"/>
    <w:semiHidden/>
    <w:rsid w:val="00F37961"/>
    <w:pPr>
      <w:tabs>
        <w:tab w:val="right" w:leader="dot" w:pos="9071"/>
      </w:tabs>
      <w:ind w:left="568" w:hanging="284"/>
    </w:pPr>
    <w:rPr>
      <w:sz w:val="24"/>
    </w:rPr>
  </w:style>
  <w:style w:type="paragraph" w:styleId="Index3">
    <w:name w:val="index 3"/>
    <w:basedOn w:val="Normal"/>
    <w:next w:val="Normal"/>
    <w:uiPriority w:val="99"/>
    <w:semiHidden/>
    <w:rsid w:val="00F37961"/>
    <w:pPr>
      <w:tabs>
        <w:tab w:val="right" w:leader="dot" w:pos="9071"/>
      </w:tabs>
      <w:ind w:left="851" w:hanging="284"/>
    </w:pPr>
    <w:rPr>
      <w:sz w:val="24"/>
    </w:rPr>
  </w:style>
  <w:style w:type="paragraph" w:styleId="MacroText">
    <w:name w:val="macro"/>
    <w:link w:val="MacroTextChar"/>
    <w:uiPriority w:val="99"/>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szCs w:val="20"/>
      <w:lang w:val="en-US" w:eastAsia="en-US"/>
    </w:rPr>
  </w:style>
  <w:style w:type="character" w:customStyle="1" w:styleId="MacroTextChar">
    <w:name w:val="Macro Text Char"/>
    <w:basedOn w:val="DefaultParagraphFont"/>
    <w:link w:val="MacroText"/>
    <w:uiPriority w:val="99"/>
    <w:semiHidden/>
    <w:locked/>
    <w:rPr>
      <w:rFonts w:ascii="Courier New" w:hAnsi="Courier New" w:cs="Times New Roman"/>
      <w:sz w:val="16"/>
      <w:lang w:val="en-US" w:eastAsia="en-US" w:bidi="ar-SA"/>
    </w:rPr>
  </w:style>
  <w:style w:type="paragraph" w:styleId="Signature">
    <w:name w:val="Signature"/>
    <w:basedOn w:val="Normal"/>
    <w:link w:val="SignatureChar"/>
    <w:uiPriority w:val="99"/>
    <w:rsid w:val="00F37961"/>
    <w:pPr>
      <w:ind w:left="4536"/>
      <w:jc w:val="center"/>
    </w:pPr>
  </w:style>
  <w:style w:type="character" w:customStyle="1" w:styleId="SignatureChar">
    <w:name w:val="Signature Char"/>
    <w:basedOn w:val="DefaultParagraphFont"/>
    <w:link w:val="Signature"/>
    <w:uiPriority w:val="99"/>
    <w:semiHidden/>
    <w:locked/>
    <w:rPr>
      <w:rFonts w:ascii="Arial" w:hAnsi="Arial" w:cs="Times New Roman"/>
      <w:sz w:val="20"/>
      <w:szCs w:val="20"/>
      <w:lang w:val="en-US" w:eastAsia="en-US"/>
    </w:rPr>
  </w:style>
  <w:style w:type="character" w:customStyle="1" w:styleId="Doclang">
    <w:name w:val="Doc_lang"/>
    <w:basedOn w:val="DefaultParagraphFont"/>
    <w:uiPriority w:val="99"/>
    <w:rsid w:val="00F37961"/>
    <w:rPr>
      <w:rFonts w:ascii="Arial" w:hAnsi="Arial" w:cs="Times New Roman"/>
      <w:sz w:val="20"/>
      <w:lang w:val="en-US"/>
    </w:rPr>
  </w:style>
  <w:style w:type="paragraph" w:customStyle="1" w:styleId="Session">
    <w:name w:val="Session"/>
    <w:basedOn w:val="Normal"/>
    <w:uiPriority w:val="99"/>
    <w:semiHidden/>
    <w:rsid w:val="00F37961"/>
    <w:pPr>
      <w:spacing w:before="60"/>
      <w:jc w:val="center"/>
    </w:pPr>
    <w:rPr>
      <w:b/>
    </w:rPr>
  </w:style>
  <w:style w:type="paragraph" w:customStyle="1" w:styleId="Organizer">
    <w:name w:val="Organizer"/>
    <w:basedOn w:val="Normal"/>
    <w:uiPriority w:val="99"/>
    <w:semiHidden/>
    <w:rsid w:val="00F37961"/>
    <w:pPr>
      <w:spacing w:after="600"/>
      <w:ind w:left="-993" w:right="-994"/>
      <w:jc w:val="center"/>
    </w:pPr>
    <w:rPr>
      <w:b/>
      <w:caps/>
      <w:kern w:val="26"/>
      <w:sz w:val="26"/>
    </w:rPr>
  </w:style>
  <w:style w:type="paragraph" w:styleId="BodyText">
    <w:name w:val="Body Text"/>
    <w:basedOn w:val="Normal"/>
    <w:link w:val="BodyTextChar"/>
    <w:uiPriority w:val="99"/>
    <w:rsid w:val="00F37961"/>
  </w:style>
  <w:style w:type="character" w:customStyle="1" w:styleId="BodyTextChar">
    <w:name w:val="Body Text Char"/>
    <w:basedOn w:val="DefaultParagraphFont"/>
    <w:link w:val="BodyText"/>
    <w:uiPriority w:val="99"/>
    <w:semiHidden/>
    <w:locked/>
    <w:rPr>
      <w:rFonts w:ascii="Arial" w:hAnsi="Arial" w:cs="Times New Roman"/>
      <w:sz w:val="20"/>
      <w:szCs w:val="20"/>
      <w:lang w:val="en-US" w:eastAsia="en-US"/>
    </w:rPr>
  </w:style>
  <w:style w:type="paragraph" w:customStyle="1" w:styleId="StyleDocoriginalNotBold">
    <w:name w:val="Style Doc_original + Not Bold"/>
    <w:basedOn w:val="Docoriginal"/>
    <w:link w:val="StyleDocoriginalNotBoldChar"/>
    <w:autoRedefine/>
    <w:uiPriority w:val="99"/>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uiPriority w:val="99"/>
    <w:semiHidden/>
    <w:rsid w:val="00D3708D"/>
    <w:pPr>
      <w:spacing w:before="1200"/>
      <w:jc w:val="center"/>
    </w:pPr>
    <w:rPr>
      <w:caps/>
    </w:rPr>
  </w:style>
  <w:style w:type="paragraph" w:customStyle="1" w:styleId="preparedby0">
    <w:name w:val="prepared by"/>
    <w:basedOn w:val="Normal"/>
    <w:uiPriority w:val="99"/>
    <w:semiHidden/>
    <w:rsid w:val="00D3708D"/>
    <w:pPr>
      <w:spacing w:before="600" w:after="600"/>
      <w:jc w:val="center"/>
    </w:pPr>
    <w:rPr>
      <w:i/>
    </w:rPr>
  </w:style>
  <w:style w:type="paragraph" w:customStyle="1" w:styleId="PlaceAndDate">
    <w:name w:val="PlaceAndDate"/>
    <w:basedOn w:val="Session"/>
    <w:uiPriority w:val="99"/>
    <w:semiHidden/>
    <w:rsid w:val="00F37961"/>
  </w:style>
  <w:style w:type="paragraph" w:styleId="EndnoteText">
    <w:name w:val="endnote text"/>
    <w:basedOn w:val="Normal"/>
    <w:link w:val="EndnoteTextChar"/>
    <w:uiPriority w:val="99"/>
    <w:semiHidden/>
    <w:rsid w:val="00F37961"/>
  </w:style>
  <w:style w:type="character" w:customStyle="1" w:styleId="EndnoteTextChar">
    <w:name w:val="Endnote Text Char"/>
    <w:basedOn w:val="DefaultParagraphFont"/>
    <w:link w:val="EndnoteText"/>
    <w:uiPriority w:val="99"/>
    <w:semiHidden/>
    <w:locked/>
    <w:rPr>
      <w:rFonts w:ascii="Arial" w:hAnsi="Arial" w:cs="Times New Roman"/>
      <w:sz w:val="20"/>
      <w:szCs w:val="20"/>
      <w:lang w:val="en-US" w:eastAsia="en-US"/>
    </w:rPr>
  </w:style>
  <w:style w:type="character" w:styleId="EndnoteReference">
    <w:name w:val="endnote reference"/>
    <w:basedOn w:val="DefaultParagraphFont"/>
    <w:uiPriority w:val="99"/>
    <w:semiHidden/>
    <w:rsid w:val="00F37961"/>
    <w:rPr>
      <w:rFonts w:cs="Times New Roman"/>
      <w:vertAlign w:val="superscript"/>
    </w:rPr>
  </w:style>
  <w:style w:type="paragraph" w:customStyle="1" w:styleId="SessionMeetingPlace">
    <w:name w:val="Session_MeetingPlace"/>
    <w:basedOn w:val="Normal"/>
    <w:uiPriority w:val="99"/>
    <w:semiHidden/>
    <w:rsid w:val="00F37961"/>
    <w:pPr>
      <w:spacing w:before="480"/>
      <w:jc w:val="center"/>
    </w:pPr>
    <w:rPr>
      <w:b/>
      <w:bCs/>
      <w:kern w:val="28"/>
      <w:sz w:val="24"/>
    </w:rPr>
  </w:style>
  <w:style w:type="paragraph" w:customStyle="1" w:styleId="Original">
    <w:name w:val="Original"/>
    <w:basedOn w:val="Normal"/>
    <w:uiPriority w:val="99"/>
    <w:semiHidden/>
    <w:rsid w:val="00F37961"/>
    <w:pPr>
      <w:spacing w:before="60"/>
      <w:ind w:left="1276"/>
    </w:pPr>
    <w:rPr>
      <w:b/>
      <w:sz w:val="22"/>
    </w:rPr>
  </w:style>
  <w:style w:type="paragraph" w:styleId="Date">
    <w:name w:val="Date"/>
    <w:basedOn w:val="Normal"/>
    <w:link w:val="DateChar"/>
    <w:uiPriority w:val="99"/>
    <w:semiHidden/>
    <w:rsid w:val="00F37961"/>
    <w:pPr>
      <w:spacing w:line="340" w:lineRule="exact"/>
      <w:ind w:left="1276"/>
    </w:pPr>
    <w:rPr>
      <w:b/>
      <w:sz w:val="22"/>
    </w:rPr>
  </w:style>
  <w:style w:type="character" w:customStyle="1" w:styleId="DateChar">
    <w:name w:val="Date Char"/>
    <w:basedOn w:val="DefaultParagraphFont"/>
    <w:link w:val="Date"/>
    <w:uiPriority w:val="99"/>
    <w:semiHidden/>
    <w:locked/>
    <w:rPr>
      <w:rFonts w:ascii="Arial" w:hAnsi="Arial" w:cs="Times New Roman"/>
      <w:sz w:val="20"/>
      <w:szCs w:val="20"/>
      <w:lang w:val="en-US" w:eastAsia="en-US"/>
    </w:rPr>
  </w:style>
  <w:style w:type="paragraph" w:customStyle="1" w:styleId="Code">
    <w:name w:val="Code"/>
    <w:basedOn w:val="Normal"/>
    <w:link w:val="CodeChar"/>
    <w:uiPriority w:val="99"/>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uiPriority w:val="99"/>
    <w:rsid w:val="00F37961"/>
    <w:pPr>
      <w:spacing w:before="240"/>
    </w:pPr>
  </w:style>
  <w:style w:type="paragraph" w:customStyle="1" w:styleId="TitreUpov">
    <w:name w:val="TitreUpov"/>
    <w:basedOn w:val="Normal"/>
    <w:uiPriority w:val="99"/>
    <w:semiHidden/>
    <w:rsid w:val="00D3708D"/>
    <w:pPr>
      <w:spacing w:before="60"/>
      <w:jc w:val="center"/>
    </w:pPr>
    <w:rPr>
      <w:b/>
      <w:sz w:val="24"/>
    </w:rPr>
  </w:style>
  <w:style w:type="paragraph" w:customStyle="1" w:styleId="StyleSessionAllcaps">
    <w:name w:val="Style Session + All caps"/>
    <w:basedOn w:val="Session"/>
    <w:uiPriority w:val="99"/>
    <w:semiHidden/>
    <w:rsid w:val="00F37961"/>
    <w:pPr>
      <w:spacing w:before="480"/>
    </w:pPr>
    <w:rPr>
      <w:bCs/>
      <w:caps/>
      <w:kern w:val="28"/>
      <w:sz w:val="24"/>
    </w:rPr>
  </w:style>
  <w:style w:type="paragraph" w:customStyle="1" w:styleId="plcountry">
    <w:name w:val="plcountry"/>
    <w:basedOn w:val="Normal"/>
    <w:uiPriority w:val="99"/>
    <w:rsid w:val="00F37961"/>
    <w:pPr>
      <w:keepNext/>
      <w:keepLines/>
      <w:spacing w:before="180" w:after="120"/>
      <w:jc w:val="left"/>
    </w:pPr>
    <w:rPr>
      <w:caps/>
      <w:noProof/>
      <w:u w:val="single"/>
    </w:rPr>
  </w:style>
  <w:style w:type="paragraph" w:customStyle="1" w:styleId="pldetails">
    <w:name w:val="pldetails"/>
    <w:basedOn w:val="Normal"/>
    <w:uiPriority w:val="99"/>
    <w:rsid w:val="00F37961"/>
    <w:pPr>
      <w:keepLines/>
      <w:spacing w:before="60" w:after="60"/>
      <w:jc w:val="left"/>
    </w:pPr>
    <w:rPr>
      <w:noProof/>
    </w:rPr>
  </w:style>
  <w:style w:type="paragraph" w:customStyle="1" w:styleId="plheading">
    <w:name w:val="plheading"/>
    <w:basedOn w:val="Normal"/>
    <w:uiPriority w:val="99"/>
    <w:rsid w:val="00F37961"/>
    <w:pPr>
      <w:keepNext/>
      <w:spacing w:before="480" w:after="120"/>
      <w:jc w:val="center"/>
    </w:pPr>
    <w:rPr>
      <w:caps/>
      <w:u w:val="single"/>
    </w:rPr>
  </w:style>
  <w:style w:type="paragraph" w:customStyle="1" w:styleId="Sessiontcplacedate">
    <w:name w:val="Session_tc_place_date"/>
    <w:basedOn w:val="SessionMeetingPlace"/>
    <w:uiPriority w:val="99"/>
    <w:rsid w:val="00F37961"/>
    <w:pPr>
      <w:spacing w:before="240"/>
    </w:pPr>
  </w:style>
  <w:style w:type="paragraph" w:customStyle="1" w:styleId="Titleofdoc0">
    <w:name w:val="Title_of_doc"/>
    <w:basedOn w:val="Normal"/>
    <w:uiPriority w:val="99"/>
    <w:rsid w:val="00F37961"/>
    <w:pPr>
      <w:spacing w:before="600"/>
      <w:jc w:val="center"/>
    </w:pPr>
    <w:rPr>
      <w:caps/>
    </w:rPr>
  </w:style>
  <w:style w:type="paragraph" w:customStyle="1" w:styleId="preparedby1">
    <w:name w:val="prepared_by"/>
    <w:basedOn w:val="Normal"/>
    <w:uiPriority w:val="99"/>
    <w:semiHidden/>
    <w:rsid w:val="00F37961"/>
    <w:pPr>
      <w:spacing w:before="240" w:after="600"/>
      <w:jc w:val="center"/>
    </w:pPr>
    <w:rPr>
      <w:i/>
    </w:rPr>
  </w:style>
  <w:style w:type="character" w:customStyle="1" w:styleId="CodeChar">
    <w:name w:val="Code Char"/>
    <w:basedOn w:val="DefaultParagraphFont"/>
    <w:link w:val="Code"/>
    <w:uiPriority w:val="99"/>
    <w:locked/>
    <w:rsid w:val="00D3708D"/>
    <w:rPr>
      <w:rFonts w:ascii="Arial" w:hAnsi="Arial" w:cs="Times New Roman"/>
      <w:b/>
      <w:bCs/>
      <w:spacing w:val="10"/>
      <w:lang w:val="fr-FR" w:eastAsia="en-US" w:bidi="ar-SA"/>
    </w:rPr>
  </w:style>
  <w:style w:type="paragraph" w:customStyle="1" w:styleId="endofdoc">
    <w:name w:val="end_of_doc"/>
    <w:autoRedefine/>
    <w:uiPriority w:val="99"/>
    <w:rsid w:val="00F37961"/>
    <w:pPr>
      <w:spacing w:before="480"/>
      <w:ind w:left="567" w:hanging="567"/>
      <w:jc w:val="right"/>
    </w:pPr>
    <w:rPr>
      <w:rFonts w:ascii="Arial" w:hAnsi="Arial"/>
      <w:sz w:val="20"/>
      <w:szCs w:val="20"/>
      <w:lang w:val="en-US" w:eastAsia="en-US"/>
    </w:rPr>
  </w:style>
  <w:style w:type="character" w:customStyle="1" w:styleId="DocoriginalChar">
    <w:name w:val="Doc_original Char"/>
    <w:basedOn w:val="DefaultParagraphFont"/>
    <w:link w:val="Docoriginal"/>
    <w:locked/>
    <w:rsid w:val="00F37961"/>
    <w:rPr>
      <w:rFonts w:ascii="Arial" w:hAnsi="Arial" w:cs="Times New Roman"/>
      <w:b/>
      <w:bCs/>
      <w:spacing w:val="10"/>
      <w:lang w:val="en-US" w:eastAsia="en-US" w:bidi="ar-SA"/>
    </w:rPr>
  </w:style>
  <w:style w:type="character" w:customStyle="1" w:styleId="StyleDocoriginalNotBoldChar">
    <w:name w:val="Style Doc_original + Not Bold Char"/>
    <w:basedOn w:val="DocoriginalChar"/>
    <w:link w:val="StyleDocoriginalNotBold"/>
    <w:uiPriority w:val="99"/>
    <w:locked/>
    <w:rsid w:val="00F37961"/>
    <w:rPr>
      <w:rFonts w:ascii="Arial" w:hAnsi="Arial" w:cs="Times New Roman"/>
      <w:b/>
      <w:bCs/>
      <w:spacing w:val="10"/>
      <w:lang w:val="en-US" w:eastAsia="en-US" w:bidi="ar-SA"/>
    </w:rPr>
  </w:style>
  <w:style w:type="paragraph" w:customStyle="1" w:styleId="StyleDocnumber">
    <w:name w:val="Style Doc_number"/>
    <w:basedOn w:val="Docoriginal"/>
    <w:uiPriority w:val="99"/>
    <w:rsid w:val="00F37961"/>
    <w:pPr>
      <w:ind w:left="1589"/>
    </w:pPr>
  </w:style>
  <w:style w:type="paragraph" w:customStyle="1" w:styleId="StyleDocoriginal">
    <w:name w:val="Style Doc_original"/>
    <w:basedOn w:val="Docoriginal"/>
    <w:link w:val="StyleDocoriginalChar"/>
    <w:uiPriority w:val="99"/>
    <w:rsid w:val="00F37961"/>
  </w:style>
  <w:style w:type="character" w:customStyle="1" w:styleId="StyleDocoriginalChar">
    <w:name w:val="Style Doc_original Char"/>
    <w:basedOn w:val="DocoriginalChar"/>
    <w:link w:val="StyleDocoriginal"/>
    <w:uiPriority w:val="99"/>
    <w:locked/>
    <w:rsid w:val="00F37961"/>
    <w:rPr>
      <w:rFonts w:ascii="Arial" w:hAnsi="Arial" w:cs="Times New Roman"/>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uiPriority w:val="99"/>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uiPriority w:val="99"/>
    <w:locked/>
    <w:rsid w:val="00281060"/>
    <w:rPr>
      <w:rFonts w:ascii="Arial" w:hAnsi="Arial" w:cs="Times New Roman"/>
      <w:b/>
      <w:bCs/>
      <w:spacing w:val="10"/>
      <w:lang w:val="en-US" w:eastAsia="en-US" w:bidi="ar-SA"/>
    </w:rPr>
  </w:style>
  <w:style w:type="character" w:customStyle="1" w:styleId="StyleDocoriginalNotBold1">
    <w:name w:val="Style Doc_original + Not Bold1"/>
    <w:basedOn w:val="DefaultParagraphFont"/>
    <w:rsid w:val="00F37961"/>
    <w:rPr>
      <w:rFonts w:ascii="Arial" w:hAnsi="Arial" w:cs="Times New Roman"/>
      <w:b/>
      <w:bCs/>
      <w:spacing w:val="10"/>
      <w:lang w:val="en-US" w:eastAsia="en-US" w:bidi="ar-SA"/>
    </w:rPr>
  </w:style>
  <w:style w:type="character" w:customStyle="1" w:styleId="StyleDoclangBold">
    <w:name w:val="Style Doc_lang + Bold"/>
    <w:basedOn w:val="Doclang"/>
    <w:rsid w:val="00F37961"/>
    <w:rPr>
      <w:rFonts w:ascii="Arial" w:hAnsi="Arial" w:cs="Times New Roman"/>
      <w:b/>
      <w:bCs/>
      <w:sz w:val="20"/>
      <w:lang w:val="en-US"/>
    </w:rPr>
  </w:style>
  <w:style w:type="paragraph" w:styleId="TOC2">
    <w:name w:val="toc 2"/>
    <w:basedOn w:val="Normal"/>
    <w:next w:val="Normal"/>
    <w:autoRedefine/>
    <w:uiPriority w:val="39"/>
    <w:rsid w:val="00205687"/>
    <w:pPr>
      <w:tabs>
        <w:tab w:val="right" w:leader="dot" w:pos="9639"/>
      </w:tabs>
      <w:spacing w:after="60"/>
      <w:ind w:left="851" w:right="851" w:hanging="284"/>
      <w:contextualSpacing/>
      <w:jc w:val="left"/>
    </w:pPr>
    <w:rPr>
      <w:noProof/>
    </w:rPr>
  </w:style>
  <w:style w:type="paragraph" w:styleId="TOC3">
    <w:name w:val="toc 3"/>
    <w:basedOn w:val="Normal"/>
    <w:next w:val="Normal"/>
    <w:autoRedefine/>
    <w:uiPriority w:val="39"/>
    <w:rsid w:val="00205687"/>
    <w:pPr>
      <w:tabs>
        <w:tab w:val="left" w:pos="1418"/>
        <w:tab w:val="right" w:leader="dot" w:pos="9639"/>
      </w:tabs>
      <w:spacing w:after="60"/>
      <w:ind w:left="1418" w:right="851" w:hanging="567"/>
      <w:contextualSpacing/>
      <w:jc w:val="left"/>
    </w:pPr>
    <w:rPr>
      <w:i/>
      <w:noProof/>
      <w:lang w:val="fr-FR"/>
    </w:rPr>
  </w:style>
  <w:style w:type="character" w:styleId="Hyperlink">
    <w:name w:val="Hyperlink"/>
    <w:basedOn w:val="DefaultParagraphFont"/>
    <w:uiPriority w:val="99"/>
    <w:rsid w:val="00F37961"/>
    <w:rPr>
      <w:rFonts w:ascii="Arial" w:hAnsi="Arial" w:cs="Times New Roman"/>
      <w:color w:val="0000FF"/>
      <w:u w:val="single"/>
    </w:rPr>
  </w:style>
  <w:style w:type="paragraph" w:styleId="TOC4">
    <w:name w:val="toc 4"/>
    <w:basedOn w:val="Normal"/>
    <w:next w:val="Normal"/>
    <w:autoRedefine/>
    <w:uiPriority w:val="99"/>
    <w:rsid w:val="00F37961"/>
    <w:pPr>
      <w:tabs>
        <w:tab w:val="right" w:leader="dot" w:pos="9639"/>
      </w:tabs>
      <w:spacing w:before="120"/>
      <w:ind w:left="851" w:right="851" w:hanging="284"/>
      <w:jc w:val="left"/>
    </w:pPr>
    <w:rPr>
      <w:i/>
      <w:noProof/>
      <w:lang w:val="fr-FR"/>
    </w:rPr>
  </w:style>
  <w:style w:type="paragraph" w:styleId="TOC1">
    <w:name w:val="toc 1"/>
    <w:basedOn w:val="Normal"/>
    <w:next w:val="Normal"/>
    <w:autoRedefine/>
    <w:uiPriority w:val="39"/>
    <w:rsid w:val="00205687"/>
    <w:pPr>
      <w:tabs>
        <w:tab w:val="right" w:leader="dot" w:pos="9639"/>
      </w:tabs>
      <w:spacing w:after="120"/>
      <w:ind w:left="567" w:right="850" w:hanging="567"/>
      <w:jc w:val="left"/>
    </w:pPr>
    <w:rPr>
      <w:caps/>
      <w:noProof/>
    </w:rPr>
  </w:style>
  <w:style w:type="paragraph" w:styleId="TOC5">
    <w:name w:val="toc 5"/>
    <w:basedOn w:val="Normal"/>
    <w:next w:val="Normal"/>
    <w:autoRedefine/>
    <w:uiPriority w:val="99"/>
    <w:semiHidden/>
    <w:rsid w:val="00F37961"/>
    <w:pPr>
      <w:tabs>
        <w:tab w:val="right" w:leader="dot" w:pos="9639"/>
      </w:tabs>
      <w:spacing w:before="120"/>
      <w:ind w:left="851" w:right="851" w:hanging="283"/>
    </w:pPr>
    <w:rPr>
      <w:noProof/>
      <w:sz w:val="18"/>
      <w:lang w:val="fr-FR"/>
    </w:rPr>
  </w:style>
  <w:style w:type="paragraph" w:styleId="BalloonText">
    <w:name w:val="Balloon Text"/>
    <w:basedOn w:val="Normal"/>
    <w:link w:val="BalloonTextChar"/>
    <w:uiPriority w:val="99"/>
    <w:rsid w:val="00664515"/>
    <w:rPr>
      <w:rFonts w:ascii="Tahoma" w:hAnsi="Tahoma" w:cs="Tahoma"/>
      <w:sz w:val="16"/>
      <w:szCs w:val="16"/>
    </w:rPr>
  </w:style>
  <w:style w:type="character" w:customStyle="1" w:styleId="BalloonTextChar">
    <w:name w:val="Balloon Text Char"/>
    <w:basedOn w:val="DefaultParagraphFont"/>
    <w:link w:val="BalloonText"/>
    <w:uiPriority w:val="99"/>
    <w:locked/>
    <w:rsid w:val="00664515"/>
    <w:rPr>
      <w:rFonts w:ascii="Tahoma" w:hAnsi="Tahoma" w:cs="Tahoma"/>
      <w:sz w:val="16"/>
      <w:szCs w:val="16"/>
    </w:rPr>
  </w:style>
  <w:style w:type="paragraph" w:styleId="ListParagraph">
    <w:name w:val="List Paragraph"/>
    <w:basedOn w:val="Normal"/>
    <w:uiPriority w:val="99"/>
    <w:qFormat/>
    <w:rsid w:val="00037D15"/>
    <w:pPr>
      <w:ind w:left="720"/>
      <w:contextualSpacing/>
    </w:pPr>
  </w:style>
  <w:style w:type="table" w:styleId="TableGrid">
    <w:name w:val="Table Grid"/>
    <w:basedOn w:val="TableNormal"/>
    <w:uiPriority w:val="99"/>
    <w:rsid w:val="009D070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9D070E"/>
    <w:pPr>
      <w:autoSpaceDE w:val="0"/>
      <w:autoSpaceDN w:val="0"/>
      <w:adjustRightInd w:val="0"/>
    </w:pPr>
    <w:rPr>
      <w:rFonts w:ascii="Arial" w:hAnsi="Arial" w:cs="Arial"/>
      <w:color w:val="000000"/>
      <w:sz w:val="24"/>
      <w:szCs w:val="24"/>
      <w:lang w:val="en-US" w:eastAsia="en-US"/>
    </w:rPr>
  </w:style>
  <w:style w:type="paragraph" w:customStyle="1" w:styleId="inf6normal">
    <w:name w:val="inf_6_normal"/>
    <w:basedOn w:val="Normal"/>
    <w:link w:val="inf6normalChar"/>
    <w:uiPriority w:val="99"/>
    <w:rsid w:val="00F4207E"/>
    <w:pPr>
      <w:tabs>
        <w:tab w:val="left" w:pos="426"/>
        <w:tab w:val="left" w:pos="992"/>
      </w:tabs>
    </w:pPr>
    <w:rPr>
      <w:rFonts w:cs="Arial"/>
    </w:rPr>
  </w:style>
  <w:style w:type="paragraph" w:customStyle="1" w:styleId="Inf6Titre4">
    <w:name w:val="Inf6_Titre4"/>
    <w:basedOn w:val="Normal"/>
    <w:next w:val="Normal"/>
    <w:uiPriority w:val="99"/>
    <w:rsid w:val="00F4207E"/>
    <w:pPr>
      <w:keepNext/>
      <w:spacing w:after="360"/>
      <w:jc w:val="center"/>
      <w:outlineLvl w:val="3"/>
    </w:pPr>
    <w:rPr>
      <w:rFonts w:cs="Arial"/>
      <w:caps/>
      <w:szCs w:val="26"/>
    </w:rPr>
  </w:style>
  <w:style w:type="character" w:customStyle="1" w:styleId="inf6normalChar">
    <w:name w:val="inf_6_normal Char"/>
    <w:basedOn w:val="DefaultParagraphFont"/>
    <w:link w:val="inf6normal"/>
    <w:uiPriority w:val="99"/>
    <w:locked/>
    <w:rsid w:val="00F4207E"/>
    <w:rPr>
      <w:rFonts w:ascii="Arial" w:hAnsi="Arial" w:cs="Arial"/>
    </w:rPr>
  </w:style>
  <w:style w:type="character" w:customStyle="1" w:styleId="DecisionParagraphsChar">
    <w:name w:val="DecisionParagraphs Char"/>
    <w:basedOn w:val="DefaultParagraphFont"/>
    <w:link w:val="DecisionParagraphs"/>
    <w:uiPriority w:val="99"/>
    <w:locked/>
    <w:rsid w:val="009C7680"/>
    <w:rPr>
      <w:rFonts w:ascii="Arial" w:hAnsi="Arial" w:cs="Times New Roman"/>
      <w:i/>
    </w:rPr>
  </w:style>
  <w:style w:type="paragraph" w:customStyle="1" w:styleId="Style1">
    <w:name w:val="Style1"/>
    <w:basedOn w:val="Normal"/>
    <w:uiPriority w:val="99"/>
    <w:rsid w:val="00311DF3"/>
    <w:pPr>
      <w:tabs>
        <w:tab w:val="decimal" w:pos="907"/>
        <w:tab w:val="left" w:pos="1077"/>
      </w:tabs>
    </w:pPr>
    <w:rPr>
      <w:rFonts w:ascii="Times New Roman" w:hAnsi="Times New Roman"/>
      <w:sz w:val="24"/>
    </w:rPr>
  </w:style>
  <w:style w:type="paragraph" w:customStyle="1" w:styleId="a">
    <w:name w:val="a"/>
    <w:basedOn w:val="Normal"/>
    <w:uiPriority w:val="99"/>
    <w:rsid w:val="00311DF3"/>
    <w:pPr>
      <w:overflowPunct w:val="0"/>
      <w:autoSpaceDE w:val="0"/>
      <w:autoSpaceDN w:val="0"/>
      <w:adjustRightInd w:val="0"/>
      <w:jc w:val="center"/>
      <w:textAlignment w:val="baseline"/>
    </w:pPr>
    <w:rPr>
      <w:rFonts w:ascii="Times New Roman" w:hAnsi="Times New Roman"/>
      <w:b/>
      <w:sz w:val="24"/>
    </w:rPr>
  </w:style>
  <w:style w:type="character" w:styleId="FollowedHyperlink">
    <w:name w:val="FollowedHyperlink"/>
    <w:basedOn w:val="DefaultParagraphFont"/>
    <w:uiPriority w:val="99"/>
    <w:rsid w:val="00736BA9"/>
    <w:rPr>
      <w:rFonts w:cs="Times New Roman"/>
      <w:color w:val="800080"/>
      <w:u w:val="single"/>
    </w:rPr>
  </w:style>
  <w:style w:type="character" w:customStyle="1" w:styleId="st">
    <w:name w:val="st"/>
    <w:basedOn w:val="DefaultParagraphFont"/>
    <w:uiPriority w:val="99"/>
    <w:rsid w:val="009A2E0F"/>
    <w:rPr>
      <w:rFonts w:cs="Times New Roman"/>
    </w:rPr>
  </w:style>
  <w:style w:type="paragraph" w:customStyle="1" w:styleId="ONUMFS">
    <w:name w:val="ONUM FS"/>
    <w:basedOn w:val="BodyText"/>
    <w:rsid w:val="009D1CE1"/>
    <w:pPr>
      <w:numPr>
        <w:numId w:val="9"/>
      </w:numPr>
      <w:spacing w:after="220"/>
      <w:jc w:val="left"/>
    </w:pPr>
    <w:rPr>
      <w:rFonts w:eastAsia="SimSun"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46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pov.int/meetings/es/topic.jsp?group_id=252" TargetMode="External"/><Relationship Id="rId18" Type="http://schemas.openxmlformats.org/officeDocument/2006/relationships/hyperlink" Target="http://www.upov.int/information_documents/es/"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www.upov.int/tgp/en/" TargetMode="External"/><Relationship Id="rId7" Type="http://schemas.openxmlformats.org/officeDocument/2006/relationships/endnotes" Target="endnotes.xml"/><Relationship Id="rId12" Type="http://schemas.openxmlformats.org/officeDocument/2006/relationships/hyperlink" Target="http://www.upov.int/tgp/es/" TargetMode="External"/><Relationship Id="rId17" Type="http://schemas.openxmlformats.org/officeDocument/2006/relationships/image" Target="media/image3.emf"/><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upov.int/resource/es/subscribe.html" TargetMode="External"/><Relationship Id="rId20" Type="http://schemas.openxmlformats.org/officeDocument/2006/relationships/hyperlink" Target="http://www.upov.int/tgp/e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pov.int/resource/es/dus_guidance.html" TargetMode="External"/><Relationship Id="rId24" Type="http://schemas.openxmlformats.org/officeDocument/2006/relationships/hyperlink" Target="http://www.upov.int/explanatory_notes/es/" TargetMode="External"/><Relationship Id="rId5" Type="http://schemas.openxmlformats.org/officeDocument/2006/relationships/webSettings" Target="webSettings.xml"/><Relationship Id="rId15" Type="http://schemas.openxmlformats.org/officeDocument/2006/relationships/hyperlink" Target="http://www.upov.int/upov_collection/es/index.html" TargetMode="External"/><Relationship Id="rId23" Type="http://schemas.openxmlformats.org/officeDocument/2006/relationships/hyperlink" Target="http://www.upov.int/test_guidelines/es/" TargetMode="External"/><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hyperlink" Target="http://www.upov.int/tgp/en/" TargetMode="External"/><Relationship Id="rId4" Type="http://schemas.openxmlformats.org/officeDocument/2006/relationships/settings" Target="settings.xml"/><Relationship Id="rId9" Type="http://schemas.openxmlformats.org/officeDocument/2006/relationships/hyperlink" Target="http://www.upov.int/edocs/tgpdocs/es/tgp_7.pdf" TargetMode="External"/><Relationship Id="rId14" Type="http://schemas.openxmlformats.org/officeDocument/2006/relationships/header" Target="header1.xml"/><Relationship Id="rId22" Type="http://schemas.openxmlformats.org/officeDocument/2006/relationships/image" Target="media/image4.emf"/><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21</Pages>
  <Words>8272</Words>
  <Characters>46485</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CAJ/69 EN</vt:lpstr>
    </vt:vector>
  </TitlesOfParts>
  <Company>UPOV</Company>
  <LinksUpToDate>false</LinksUpToDate>
  <CharactersWithSpaces>54648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CAJ/69 EN</dc:title>
  <dc:creator>BESSE Ariane</dc:creator>
  <dc:description>AS/vz_x000d_
27.02.14</dc:description>
  <cp:lastModifiedBy>HUERTA-CASADO Yolanda</cp:lastModifiedBy>
  <cp:revision>20</cp:revision>
  <cp:lastPrinted>2014-03-17T11:00:00Z</cp:lastPrinted>
  <dcterms:created xsi:type="dcterms:W3CDTF">2014-03-07T10:57:00Z</dcterms:created>
  <dcterms:modified xsi:type="dcterms:W3CDTF">2014-03-19T09:28:00Z</dcterms:modified>
</cp:coreProperties>
</file>