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949AF" w:rsidTr="00EB4E9C">
        <w:tc>
          <w:tcPr>
            <w:tcW w:w="6522" w:type="dxa"/>
          </w:tcPr>
          <w:p w:rsidR="00DC3802" w:rsidRPr="00E949AF" w:rsidRDefault="00DC3802" w:rsidP="00AC2883">
            <w:r w:rsidRPr="00E949AF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949AF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E949AF" w:rsidTr="00645CA8">
        <w:trPr>
          <w:trHeight w:val="219"/>
        </w:trPr>
        <w:tc>
          <w:tcPr>
            <w:tcW w:w="6522" w:type="dxa"/>
          </w:tcPr>
          <w:p w:rsidR="00DC3802" w:rsidRPr="00E949AF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949AF" w:rsidRDefault="00DC3802" w:rsidP="00DA4973"/>
        </w:tc>
      </w:tr>
    </w:tbl>
    <w:p w:rsidR="00DC3802" w:rsidRPr="00E949AF" w:rsidRDefault="00DC3802" w:rsidP="00DC3802"/>
    <w:p w:rsidR="00DA4973" w:rsidRPr="00E949A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949AF" w:rsidTr="00EB4E9C">
        <w:tc>
          <w:tcPr>
            <w:tcW w:w="6512" w:type="dxa"/>
          </w:tcPr>
          <w:p w:rsidR="00EB4E9C" w:rsidRPr="00E949AF" w:rsidRDefault="00341C88" w:rsidP="00AC2883">
            <w:pPr>
              <w:pStyle w:val="Sessiontc"/>
              <w:spacing w:line="240" w:lineRule="auto"/>
            </w:pPr>
            <w:r>
              <w:t>Consejo</w:t>
            </w:r>
          </w:p>
          <w:p w:rsidR="00EB4E9C" w:rsidRPr="00E949AF" w:rsidRDefault="00341C88" w:rsidP="003D5DCC">
            <w:pPr>
              <w:pStyle w:val="Sessiontcplacedate"/>
              <w:rPr>
                <w:sz w:val="22"/>
              </w:rPr>
            </w:pPr>
            <w:r>
              <w:t>Trigésima cuarta sesión extraordinaria</w:t>
            </w:r>
            <w:r>
              <w:br/>
              <w:t>Ginebra, 6 de abril de 2017</w:t>
            </w:r>
          </w:p>
        </w:tc>
        <w:tc>
          <w:tcPr>
            <w:tcW w:w="3127" w:type="dxa"/>
          </w:tcPr>
          <w:p w:rsidR="00EB4E9C" w:rsidRPr="00E949AF" w:rsidRDefault="003D5DCC" w:rsidP="003C7FBE">
            <w:pPr>
              <w:pStyle w:val="Doccode"/>
            </w:pPr>
            <w:proofErr w:type="gramStart"/>
            <w:r>
              <w:t>C(</w:t>
            </w:r>
            <w:proofErr w:type="gramEnd"/>
            <w:r>
              <w:t>Extr.)/34/2</w:t>
            </w:r>
          </w:p>
          <w:p w:rsidR="00EB4E9C" w:rsidRPr="00E949AF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 Inglés</w:t>
            </w:r>
          </w:p>
          <w:p w:rsidR="00EB4E9C" w:rsidRPr="00E949AF" w:rsidRDefault="002E5944" w:rsidP="0036078C">
            <w:pPr>
              <w:pStyle w:val="Docoriginal"/>
            </w:pPr>
            <w:r>
              <w:t>Fecha:</w:t>
            </w:r>
            <w:r w:rsidR="0036078C">
              <w:rPr>
                <w:b w:val="0"/>
              </w:rPr>
              <w:t xml:space="preserve">  22</w:t>
            </w:r>
            <w:r>
              <w:rPr>
                <w:b w:val="0"/>
              </w:rPr>
              <w:t xml:space="preserve"> de febrero de 2017</w:t>
            </w:r>
          </w:p>
        </w:tc>
      </w:tr>
    </w:tbl>
    <w:p w:rsidR="000D7780" w:rsidRPr="00E949AF" w:rsidRDefault="00E949AF" w:rsidP="001A5A3B">
      <w:pPr>
        <w:pStyle w:val="Titleofdoc0"/>
        <w:spacing w:before="600"/>
        <w:rPr>
          <w:b/>
        </w:rPr>
      </w:pPr>
      <w:bookmarkStart w:id="0" w:name="TitleOfDoc"/>
      <w:bookmarkEnd w:id="0"/>
      <w:r>
        <w:rPr>
          <w:b/>
        </w:rPr>
        <w:t>Aprobación de documentos</w:t>
      </w:r>
    </w:p>
    <w:p w:rsidR="006A644A" w:rsidRPr="00E949AF" w:rsidRDefault="000638A9" w:rsidP="006A644A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:rsidR="00050E16" w:rsidRPr="00E949AF" w:rsidRDefault="000638A9" w:rsidP="00FE617B">
      <w:pPr>
        <w:pStyle w:val="Disclaimer"/>
        <w:spacing w:after="600"/>
      </w:pPr>
      <w:r>
        <w:t>Descargo de responsabilidad</w:t>
      </w:r>
      <w:proofErr w:type="gramStart"/>
      <w:r>
        <w:t>:</w:t>
      </w:r>
      <w:r w:rsidR="00FE617B">
        <w:t xml:space="preserve"> </w:t>
      </w:r>
      <w:r>
        <w:t xml:space="preserve"> el</w:t>
      </w:r>
      <w:proofErr w:type="gramEnd"/>
      <w:r>
        <w:t xml:space="preserve"> presente documento no constituye un documento de política u orientación de la UPOV</w:t>
      </w:r>
    </w:p>
    <w:p w:rsidR="00E949AF" w:rsidRPr="00E949AF" w:rsidRDefault="00D87EE4" w:rsidP="00E949AF">
      <w:pPr>
        <w:rPr>
          <w:spacing w:val="-2"/>
        </w:rPr>
      </w:pPr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En el presente documento se ofrece información sobre los siguientes documentos, que se someterán a la aprobación del Consejo en su trigésima cuarta sesión extraordinaria:</w:t>
      </w:r>
    </w:p>
    <w:p w:rsidR="00E949AF" w:rsidRPr="00E949AF" w:rsidRDefault="00E949AF" w:rsidP="00E949AF"/>
    <w:p w:rsidR="00E949AF" w:rsidRPr="00E949AF" w:rsidRDefault="00E949AF" w:rsidP="00E949AF">
      <w:pPr>
        <w:ind w:left="567"/>
        <w:rPr>
          <w:bCs/>
          <w:snapToGrid w:val="0"/>
          <w:szCs w:val="24"/>
        </w:rPr>
      </w:pPr>
      <w:r>
        <w:rPr>
          <w:bCs/>
          <w:snapToGrid w:val="0"/>
          <w:szCs w:val="24"/>
          <w:u w:val="single"/>
        </w:rPr>
        <w:t>Notas explicativas</w:t>
      </w:r>
      <w:r>
        <w:rPr>
          <w:bCs/>
          <w:snapToGrid w:val="0"/>
          <w:szCs w:val="24"/>
        </w:rPr>
        <w:t>:</w:t>
      </w:r>
    </w:p>
    <w:p w:rsidR="00E949AF" w:rsidRPr="00E949AF" w:rsidRDefault="00E949AF" w:rsidP="00E949AF">
      <w:pPr>
        <w:ind w:left="567"/>
        <w:rPr>
          <w:bCs/>
          <w:snapToGrid w:val="0"/>
          <w:szCs w:val="24"/>
        </w:rPr>
      </w:pPr>
    </w:p>
    <w:p w:rsidR="00E949AF" w:rsidRPr="00E949AF" w:rsidRDefault="00E949AF" w:rsidP="00E949AF">
      <w:pPr>
        <w:ind w:left="2552" w:hanging="1985"/>
        <w:jc w:val="left"/>
      </w:pPr>
      <w:r>
        <w:t>UPOV/EXN/EDV/2</w:t>
      </w:r>
      <w:r>
        <w:tab/>
        <w:t xml:space="preserve">Notas explicativas sobre las variedades esencialmente derivadas con arreglo al Acta de 1991 del Convenio de la UPOV (revisión) </w:t>
      </w:r>
      <w:r>
        <w:br/>
        <w:t>(documento UPOV/EXN/EDV/2 Draft 8)</w:t>
      </w:r>
    </w:p>
    <w:p w:rsidR="00E949AF" w:rsidRPr="00E949AF" w:rsidRDefault="00E949AF" w:rsidP="00E949AF">
      <w:pPr>
        <w:ind w:left="2552" w:hanging="1985"/>
        <w:jc w:val="left"/>
      </w:pPr>
    </w:p>
    <w:p w:rsidR="00E949AF" w:rsidRPr="00E949AF" w:rsidRDefault="00E949AF" w:rsidP="00E949AF">
      <w:pPr>
        <w:ind w:left="2552" w:hanging="1985"/>
        <w:jc w:val="left"/>
      </w:pPr>
      <w:r>
        <w:t>UPOV/EXN/PPM/1</w:t>
      </w:r>
      <w:r>
        <w:tab/>
        <w:t xml:space="preserve">Notas explicativas sobre el material de reproducción o de multiplicación con arreglo al Convenio de la UPOV </w:t>
      </w:r>
      <w:r>
        <w:br/>
        <w:t>(documento UPOV/EXN/PPM/1 Draft 7)</w:t>
      </w:r>
    </w:p>
    <w:p w:rsidR="00E949AF" w:rsidRPr="00E949AF" w:rsidRDefault="00E949AF" w:rsidP="00E949AF">
      <w:pPr>
        <w:rPr>
          <w:snapToGrid w:val="0"/>
        </w:rPr>
      </w:pPr>
    </w:p>
    <w:p w:rsidR="00E949AF" w:rsidRPr="00E949AF" w:rsidRDefault="00E949AF" w:rsidP="00E949AF">
      <w:pPr>
        <w:keepNext/>
        <w:ind w:left="567"/>
        <w:rPr>
          <w:bCs/>
          <w:snapToGrid w:val="0"/>
          <w:szCs w:val="24"/>
        </w:rPr>
      </w:pPr>
      <w:r>
        <w:rPr>
          <w:bCs/>
          <w:snapToGrid w:val="0"/>
          <w:szCs w:val="24"/>
          <w:u w:val="single"/>
        </w:rPr>
        <w:t>Documentos de información</w:t>
      </w:r>
      <w:r>
        <w:rPr>
          <w:bCs/>
          <w:snapToGrid w:val="0"/>
          <w:szCs w:val="24"/>
        </w:rPr>
        <w:t>:</w:t>
      </w:r>
    </w:p>
    <w:p w:rsidR="00E949AF" w:rsidRPr="00E949AF" w:rsidRDefault="00E949AF" w:rsidP="00E949AF">
      <w:pPr>
        <w:keepNext/>
        <w:ind w:left="2268" w:hanging="1701"/>
        <w:rPr>
          <w:bCs/>
          <w:snapToGrid w:val="0"/>
          <w:szCs w:val="24"/>
        </w:rPr>
      </w:pPr>
    </w:p>
    <w:p w:rsidR="00E949AF" w:rsidRPr="00E949AF" w:rsidRDefault="00E949AF" w:rsidP="00E949AF">
      <w:pPr>
        <w:ind w:left="2552" w:hanging="1985"/>
        <w:jc w:val="left"/>
      </w:pPr>
      <w:r>
        <w:t>UPOV/INF/6/5</w:t>
      </w:r>
      <w:r>
        <w:tab/>
        <w:t xml:space="preserve">Orientaciones para la redacción de leyes basadas en el Acta de 1991 del Convenio de la UPOV (revisión) </w:t>
      </w:r>
      <w:r>
        <w:br/>
        <w:t xml:space="preserve">(Anexo del documento </w:t>
      </w:r>
      <w:proofErr w:type="gramStart"/>
      <w:r>
        <w:t>C(</w:t>
      </w:r>
      <w:proofErr w:type="gramEnd"/>
      <w:r>
        <w:t>Extr.)/34/2)</w:t>
      </w:r>
    </w:p>
    <w:p w:rsidR="00E949AF" w:rsidRPr="00E949AF" w:rsidRDefault="00E949AF" w:rsidP="00E949AF">
      <w:pPr>
        <w:ind w:left="2552" w:hanging="1985"/>
        <w:jc w:val="left"/>
      </w:pPr>
    </w:p>
    <w:p w:rsidR="00E949AF" w:rsidRPr="00E949AF" w:rsidRDefault="00E949AF" w:rsidP="00E949AF">
      <w:pPr>
        <w:ind w:left="2552" w:hanging="1985"/>
        <w:jc w:val="left"/>
      </w:pPr>
      <w:r>
        <w:t>UPOV/INF-EXN/10</w:t>
      </w:r>
      <w:r>
        <w:tab/>
        <w:t xml:space="preserve">Lista de documentos UPOV/INF-EXN y fechas de última publicación (revisión) </w:t>
      </w:r>
      <w:r>
        <w:br/>
        <w:t>(documento UPOV/INF-EXN/10 Draft 1)</w:t>
      </w:r>
    </w:p>
    <w:p w:rsidR="00E949AF" w:rsidRPr="00E949AF" w:rsidRDefault="00E949AF" w:rsidP="00E949AF">
      <w:pPr>
        <w:rPr>
          <w:snapToGrid w:val="0"/>
        </w:rPr>
      </w:pPr>
    </w:p>
    <w:p w:rsidR="00E949AF" w:rsidRPr="00E949AF" w:rsidRDefault="00E949AF" w:rsidP="00E949AF"/>
    <w:p w:rsidR="00E949AF" w:rsidRPr="00E949AF" w:rsidRDefault="00E949AF" w:rsidP="00E949AF"/>
    <w:p w:rsidR="00E949AF" w:rsidRPr="00E949AF" w:rsidRDefault="00E949AF" w:rsidP="00E949AF">
      <w:r>
        <w:t>NOTAS EXPLICATIVAS</w:t>
      </w:r>
    </w:p>
    <w:p w:rsidR="00E949AF" w:rsidRPr="00E949AF" w:rsidRDefault="00E949AF" w:rsidP="00E949AF"/>
    <w:p w:rsidR="00E949AF" w:rsidRPr="00E949AF" w:rsidRDefault="00E949AF" w:rsidP="00E949AF">
      <w:pPr>
        <w:pStyle w:val="Heading2"/>
      </w:pPr>
      <w:r>
        <w:t xml:space="preserve">UPOV/EXN/EDV:  Notas explicativas sobre variedades esencialmente derivadas con arreglo al Acta de 1991 </w:t>
      </w:r>
      <w:proofErr w:type="gramStart"/>
      <w:r>
        <w:t>del</w:t>
      </w:r>
      <w:proofErr w:type="gramEnd"/>
      <w:r>
        <w:t xml:space="preserve"> Convenio de la UPOV (revisión) (documento UPOV/EXN/EDV/2 Draft 8)</w:t>
      </w:r>
    </w:p>
    <w:p w:rsidR="00E949AF" w:rsidRPr="00E949AF" w:rsidRDefault="00E949AF" w:rsidP="00E949AF"/>
    <w:p w:rsidR="00E949AF" w:rsidRPr="00E949AF" w:rsidRDefault="00D87EE4" w:rsidP="00E949AF"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</w:r>
      <w:r w:rsidR="00E949AF">
        <w:rPr>
          <w:snapToGrid w:val="0"/>
        </w:rPr>
        <w:t>En</w:t>
      </w:r>
      <w:r w:rsidR="00E949AF">
        <w:t xml:space="preserve"> su septuagésima tercera sesión celebrada en Ginebra el 25 de octubre de 2016, el CAJ acordó introducir las modificaciones propuestas en el documento “Notas explicativas sobre las variedades esencialmente d</w:t>
      </w:r>
      <w:r w:rsidR="0036078C">
        <w:t xml:space="preserve">erivadas con arreglo al Acta de </w:t>
      </w:r>
      <w:r w:rsidR="00E949AF">
        <w:t>1991 del Convenio de la UPOV” (revisión) (documento UPOV/EXN/EDV/2 Draft 7) y convino en que, sobre esa base, el proyecto de documento UPOV/EXN/EDV se sometiera a la aprobación del Consejo en su trigésima cuarta sesión extraordinaria (véanse los párrafos 8 y 9 del documento CAJ/73/10 “Informe sobre las conclusiones”</w:t>
      </w:r>
      <w:r w:rsidR="0036078C">
        <w:t>)</w:t>
      </w:r>
      <w:r w:rsidR="00E949AF">
        <w:t>.</w:t>
      </w:r>
    </w:p>
    <w:p w:rsidR="00E949AF" w:rsidRPr="00E949AF" w:rsidRDefault="00E949AF" w:rsidP="00E949AF"/>
    <w:p w:rsidR="00E949AF" w:rsidRPr="00E949AF" w:rsidRDefault="00D87EE4" w:rsidP="00E949AF">
      <w:pPr>
        <w:pStyle w:val="DecisionParagraphs"/>
        <w:rPr>
          <w:spacing w:val="-2"/>
        </w:rPr>
      </w:pPr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Se invita al Consejo a ap</w:t>
      </w:r>
      <w:r w:rsidR="0036078C">
        <w:t xml:space="preserve">robar la revisión del documento </w:t>
      </w:r>
      <w:r w:rsidR="00E949AF">
        <w:t>UPOV/EXN/EDV/1 “Notas explicativas sobre variedades esencialmente d</w:t>
      </w:r>
      <w:r w:rsidR="0036078C">
        <w:t xml:space="preserve">erivadas con arreglo al Acta de </w:t>
      </w:r>
      <w:r w:rsidR="00E949AF">
        <w:t>1991 del Convenio de la UPOV” (documento UPOV/EXN/EDV/2), sobre la base del documento UPOV/EXN/EDV/2 Draft 8.</w:t>
      </w:r>
    </w:p>
    <w:p w:rsidR="00E949AF" w:rsidRPr="00E949AF" w:rsidRDefault="00E949AF" w:rsidP="00E949AF"/>
    <w:p w:rsidR="00E949AF" w:rsidRPr="00E949AF" w:rsidRDefault="00E949AF" w:rsidP="00E949AF">
      <w:pPr>
        <w:keepNext/>
        <w:rPr>
          <w:u w:val="single"/>
        </w:rPr>
      </w:pPr>
      <w:r>
        <w:rPr>
          <w:u w:val="single"/>
        </w:rPr>
        <w:lastRenderedPageBreak/>
        <w:t>UPOV/EXN/PPM</w:t>
      </w:r>
      <w:proofErr w:type="gramStart"/>
      <w:r>
        <w:rPr>
          <w:u w:val="single"/>
        </w:rPr>
        <w:t>:  Notas</w:t>
      </w:r>
      <w:proofErr w:type="gramEnd"/>
      <w:r>
        <w:rPr>
          <w:u w:val="single"/>
        </w:rPr>
        <w:t xml:space="preserve"> explicativas sobre el material de reproducción o de multiplicación con arreglo al Convenio de la UPOV (documento UPOV/EXN/PPM/1 Draft 7)</w:t>
      </w:r>
    </w:p>
    <w:p w:rsidR="00E949AF" w:rsidRPr="00E949AF" w:rsidRDefault="00E949AF" w:rsidP="00E949AF"/>
    <w:p w:rsidR="00E949AF" w:rsidRPr="00E949AF" w:rsidRDefault="00D87EE4" w:rsidP="00E949AF"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En su septuagésima tercera sesión, el CAJ acordó introducir las modificaciones siguientes en el documento UPOV/EXN/PPM/1 Draft 6 “Notas explicativas sobre el material de reproducción o de multiplicación con arreglo al Convenio de la UPOV”:</w:t>
      </w:r>
    </w:p>
    <w:p w:rsidR="00E949AF" w:rsidRPr="00E949AF" w:rsidRDefault="00E949AF" w:rsidP="00E949AF">
      <w:pPr>
        <w:rPr>
          <w:highlight w:val="yellow"/>
        </w:rPr>
      </w:pPr>
    </w:p>
    <w:tbl>
      <w:tblPr>
        <w:tblStyle w:val="TableGrid"/>
        <w:tblW w:w="0" w:type="auto"/>
        <w:tblInd w:w="56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32"/>
      </w:tblGrid>
      <w:tr w:rsidR="00E949AF" w:rsidRPr="00E949AF" w:rsidTr="000F6582">
        <w:trPr>
          <w:cantSplit/>
        </w:trPr>
        <w:tc>
          <w:tcPr>
            <w:tcW w:w="8732" w:type="dxa"/>
          </w:tcPr>
          <w:p w:rsidR="00E949AF" w:rsidRPr="00E949AF" w:rsidRDefault="00E949AF" w:rsidP="000F6582">
            <w:pPr>
              <w:jc w:val="center"/>
              <w:rPr>
                <w:sz w:val="18"/>
                <w:szCs w:val="18"/>
              </w:rPr>
            </w:pPr>
            <w:bookmarkStart w:id="2" w:name="_Toc443307096"/>
            <w:r>
              <w:rPr>
                <w:sz w:val="18"/>
                <w:szCs w:val="18"/>
              </w:rPr>
              <w:t xml:space="preserve">“FACTORES QUE </w:t>
            </w:r>
            <w:r>
              <w:rPr>
                <w:strike/>
                <w:sz w:val="18"/>
                <w:szCs w:val="18"/>
              </w:rPr>
              <w:t>PODRÍAN TENERSE</w:t>
            </w:r>
            <w:r>
              <w:rPr>
                <w:sz w:val="18"/>
                <w:szCs w:val="18"/>
                <w:u w:val="single"/>
              </w:rPr>
              <w:t>SE HAN TENIDO</w:t>
            </w:r>
            <w:r>
              <w:rPr>
                <w:sz w:val="18"/>
                <w:szCs w:val="18"/>
              </w:rPr>
              <w:t xml:space="preserve"> EN CUENTA PARA DECIDIR SI UN MATERIAL CONSTITUYE MATERIAL DE REPRODUCCIÓN O MULTIPLICACIÓN</w:t>
            </w:r>
          </w:p>
          <w:p w:rsidR="00E949AF" w:rsidRPr="00E949AF" w:rsidRDefault="00E949AF" w:rsidP="000F6582">
            <w:pPr>
              <w:rPr>
                <w:sz w:val="18"/>
                <w:szCs w:val="18"/>
              </w:rPr>
            </w:pPr>
          </w:p>
          <w:bookmarkEnd w:id="2"/>
          <w:p w:rsidR="00E949AF" w:rsidRPr="00E949AF" w:rsidRDefault="00E949AF" w:rsidP="000F6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“En el Convenio de la UPOV no se establece una definición de ‘material de reproducción o multiplicación’.  El concepto ‘material de reproducción o multiplicación' incluye el material de reproducción y el material de multiplicación vegetativa.  A continuación se ofrece una relación no exhaustiva de ejemplos de factores que los miembros de la Unión han tenido en cuenta para decidir si un material constituye material de reproducción o multiplicación.  </w:t>
            </w:r>
            <w:r>
              <w:rPr>
                <w:sz w:val="18"/>
                <w:szCs w:val="18"/>
                <w:u w:val="single"/>
              </w:rPr>
              <w:t>Estos factores deben ser considerados en el contexto de cada miembro de la Unión y de las circunstancias específicas</w:t>
            </w:r>
            <w:r>
              <w:rPr>
                <w:sz w:val="18"/>
                <w:szCs w:val="18"/>
              </w:rPr>
              <w:t>.</w:t>
            </w:r>
          </w:p>
          <w:p w:rsidR="00E949AF" w:rsidRPr="00E949AF" w:rsidRDefault="00E949AF" w:rsidP="000F6582">
            <w:pPr>
              <w:rPr>
                <w:sz w:val="18"/>
                <w:szCs w:val="18"/>
              </w:rPr>
            </w:pPr>
          </w:p>
          <w:p w:rsidR="00E949AF" w:rsidRPr="00E949AF" w:rsidRDefault="00E949AF" w:rsidP="000F6582">
            <w:pPr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[…]</w:t>
            </w:r>
          </w:p>
          <w:p w:rsidR="00E949AF" w:rsidRPr="00E949AF" w:rsidRDefault="00E949AF" w:rsidP="000F6582">
            <w:pPr>
              <w:ind w:left="567"/>
              <w:rPr>
                <w:sz w:val="18"/>
                <w:szCs w:val="18"/>
              </w:rPr>
            </w:pPr>
          </w:p>
          <w:p w:rsidR="00E949AF" w:rsidRPr="00E949AF" w:rsidRDefault="00E949AF" w:rsidP="000F6582">
            <w:pPr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ii)</w:t>
            </w:r>
            <w:r>
              <w:rPr>
                <w:sz w:val="18"/>
                <w:szCs w:val="18"/>
              </w:rPr>
              <w:tab/>
              <w:t xml:space="preserve">si el material se ha utilizado </w:t>
            </w:r>
            <w:r>
              <w:rPr>
                <w:sz w:val="18"/>
                <w:szCs w:val="18"/>
                <w:u w:val="single"/>
              </w:rPr>
              <w:t>o puede ser utilizado</w:t>
            </w:r>
            <w:r>
              <w:rPr>
                <w:sz w:val="18"/>
                <w:szCs w:val="18"/>
              </w:rPr>
              <w:t xml:space="preserve"> para reproducir o multiplicar la variedad;</w:t>
            </w:r>
          </w:p>
          <w:p w:rsidR="00E949AF" w:rsidRPr="00E949AF" w:rsidRDefault="00E949AF" w:rsidP="000F6582">
            <w:pPr>
              <w:ind w:left="567"/>
              <w:rPr>
                <w:sz w:val="18"/>
                <w:szCs w:val="18"/>
              </w:rPr>
            </w:pPr>
          </w:p>
          <w:p w:rsidR="00E949AF" w:rsidRPr="00E949AF" w:rsidRDefault="00E949AF" w:rsidP="000F6582">
            <w:pPr>
              <w:ind w:left="1134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ii)</w:t>
            </w:r>
            <w:r>
              <w:rPr>
                <w:sz w:val="18"/>
                <w:szCs w:val="18"/>
              </w:rPr>
              <w:tab/>
              <w:t>si el material puede generar plantas enteras de la variedad</w:t>
            </w:r>
            <w:r>
              <w:rPr>
                <w:strike/>
                <w:sz w:val="18"/>
                <w:szCs w:val="18"/>
              </w:rPr>
              <w:t xml:space="preserve"> y si se utiliza de hecho con fines de reproducción o de multiplicación</w:t>
            </w:r>
            <w:r>
              <w:rPr>
                <w:sz w:val="18"/>
                <w:szCs w:val="18"/>
              </w:rPr>
              <w:t>;</w:t>
            </w:r>
          </w:p>
          <w:p w:rsidR="00E949AF" w:rsidRPr="00E949AF" w:rsidRDefault="00E949AF" w:rsidP="000F6582">
            <w:pPr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[…]” </w:t>
            </w:r>
          </w:p>
          <w:p w:rsidR="00E949AF" w:rsidRPr="00E949AF" w:rsidRDefault="00E949AF" w:rsidP="000F6582">
            <w:pPr>
              <w:ind w:left="567"/>
              <w:rPr>
                <w:sz w:val="18"/>
                <w:szCs w:val="18"/>
              </w:rPr>
            </w:pPr>
          </w:p>
          <w:p w:rsidR="00E949AF" w:rsidRPr="00E949AF" w:rsidRDefault="00E949AF" w:rsidP="000F6582">
            <w:pPr>
              <w:keepNext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El 24 de octubre de 2016 se celebró en Ginebra el “Seminario sobre el material de reproducción o de multiplicación vegetativa y el producto de la cosecha en el contexto del Convenio de la UPOV”, organizado por la UPOV.  Las actas del seminario están disponibles en la siguiente dirección</w:t>
            </w:r>
            <w:r>
              <w:t xml:space="preserve">: </w:t>
            </w:r>
            <w:r w:rsidR="00FE617B">
              <w:t xml:space="preserve"> </w:t>
            </w:r>
            <w:hyperlink r:id="rId9" w:history="1">
              <w:r>
                <w:rPr>
                  <w:rStyle w:val="Hyperlink"/>
                  <w:sz w:val="18"/>
                  <w:szCs w:val="18"/>
                </w:rPr>
                <w:t>http://www.upov.int/meetings/es/topic.jsp?group_id=73</w:t>
              </w:r>
            </w:hyperlink>
          </w:p>
        </w:tc>
      </w:tr>
    </w:tbl>
    <w:p w:rsidR="00E949AF" w:rsidRPr="00E949AF" w:rsidRDefault="00E949AF" w:rsidP="00E949AF">
      <w:pPr>
        <w:rPr>
          <w:snapToGrid w:val="0"/>
        </w:rPr>
      </w:pPr>
    </w:p>
    <w:p w:rsidR="00E949AF" w:rsidRPr="00E949AF" w:rsidRDefault="00D87EE4" w:rsidP="00E949AF">
      <w:r w:rsidRPr="00E949AF">
        <w:rPr>
          <w:snapToGrid w:val="0"/>
        </w:rPr>
        <w:fldChar w:fldCharType="begin"/>
      </w:r>
      <w:r w:rsidR="00E949AF" w:rsidRPr="00E949AF">
        <w:rPr>
          <w:snapToGrid w:val="0"/>
        </w:rPr>
        <w:instrText xml:space="preserve"> AUTONUM  </w:instrText>
      </w:r>
      <w:r w:rsidRPr="00E949AF">
        <w:rPr>
          <w:snapToGrid w:val="0"/>
        </w:rPr>
        <w:fldChar w:fldCharType="end"/>
      </w:r>
      <w:r w:rsidR="00E949AF">
        <w:rPr>
          <w:snapToGrid w:val="0"/>
        </w:rPr>
        <w:tab/>
        <w:t>El CAJ</w:t>
      </w:r>
      <w:r w:rsidR="00E949AF">
        <w:t xml:space="preserve"> acordó que se presente al Consejo un proyecto de las “Notas explicativas sobre el </w:t>
      </w:r>
      <w:r w:rsidR="0036078C">
        <w:br/>
      </w:r>
      <w:r w:rsidR="00E949AF">
        <w:t>material de reproducción o multiplicación con arreglo al Convenio de la UPOV” basado en el documento</w:t>
      </w:r>
      <w:r w:rsidR="00FE617B">
        <w:t> </w:t>
      </w:r>
      <w:r w:rsidR="00E949AF">
        <w:t>UPOV/EXN/PPM/1 </w:t>
      </w:r>
      <w:proofErr w:type="spellStart"/>
      <w:r w:rsidR="00E949AF">
        <w:t>Draft</w:t>
      </w:r>
      <w:proofErr w:type="spellEnd"/>
      <w:r w:rsidR="00E949AF">
        <w:t> 6, con las modificaciones indicadas en el párrafo 4 anterior (documento</w:t>
      </w:r>
      <w:r w:rsidR="00FE617B">
        <w:t> </w:t>
      </w:r>
      <w:r w:rsidR="00E949AF">
        <w:t>UPOV/EXN/PPM/1), para que considere su aprobación en su trigésima cuarta sesión extraordinaria (véanse los párrafos 15 a 18 del documento CAJ/73/10 “Informe sobre las conclusiones”).</w:t>
      </w:r>
    </w:p>
    <w:p w:rsidR="00E949AF" w:rsidRPr="00E949AF" w:rsidRDefault="00E949AF" w:rsidP="00E949AF"/>
    <w:p w:rsidR="00E949AF" w:rsidRPr="00E949AF" w:rsidRDefault="00D87EE4" w:rsidP="00E949AF">
      <w:pPr>
        <w:pStyle w:val="DecisionParagraphs"/>
      </w:pPr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Se invita al</w:t>
      </w:r>
      <w:r w:rsidR="0036078C">
        <w:t xml:space="preserve"> Consejo a aprobar el documento </w:t>
      </w:r>
      <w:r w:rsidR="00E949AF">
        <w:t>UPOV/EXN/PPM/1 “Notas explicativas sobre el material de reproducción o multiplicación con arreglo al Convenio de la UPOV”, sobre la base del documento UPOV/EXN/PPM/1 Draft 7.</w:t>
      </w:r>
    </w:p>
    <w:p w:rsidR="00E949AF" w:rsidRPr="00E949AF" w:rsidRDefault="00E949AF" w:rsidP="00E949AF"/>
    <w:p w:rsidR="00E949AF" w:rsidRPr="00E949AF" w:rsidRDefault="00E949AF" w:rsidP="00E949AF"/>
    <w:p w:rsidR="00E949AF" w:rsidRPr="00E949AF" w:rsidRDefault="00E949AF" w:rsidP="00E949AF">
      <w:pPr>
        <w:keepNext/>
        <w:tabs>
          <w:tab w:val="left" w:pos="567"/>
        </w:tabs>
        <w:ind w:left="567" w:hanging="567"/>
      </w:pPr>
      <w:r>
        <w:t>DOCUMENTOS DE INFORMACIÓN</w:t>
      </w:r>
    </w:p>
    <w:p w:rsidR="00E949AF" w:rsidRPr="00E949AF" w:rsidRDefault="00E949AF" w:rsidP="00E949AF">
      <w:pPr>
        <w:keepNext/>
      </w:pPr>
    </w:p>
    <w:p w:rsidR="00E949AF" w:rsidRPr="00E949AF" w:rsidRDefault="00E949AF" w:rsidP="00E949AF">
      <w:r>
        <w:rPr>
          <w:u w:val="single"/>
        </w:rPr>
        <w:t>UPOV/INF/6</w:t>
      </w:r>
      <w:proofErr w:type="gramStart"/>
      <w:r>
        <w:rPr>
          <w:u w:val="single"/>
        </w:rPr>
        <w:t>:  Orientaciones</w:t>
      </w:r>
      <w:proofErr w:type="gramEnd"/>
      <w:r>
        <w:rPr>
          <w:u w:val="single"/>
        </w:rPr>
        <w:t xml:space="preserve"> para la redacción de leyes basadas en el Acta de 1991 del Convenio de la UPOV (revisión) (documento C(Extr.)/34/2, Anexo)</w:t>
      </w:r>
    </w:p>
    <w:p w:rsidR="00E949AF" w:rsidRPr="00E949AF" w:rsidRDefault="00E949AF" w:rsidP="00E949AF"/>
    <w:p w:rsidR="00E949AF" w:rsidRPr="00E949AF" w:rsidRDefault="00D87EE4" w:rsidP="00E949AF"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El documento UPOV/INF/6, Parte II “Notas basadas en material de información sobre determinados artículos del Acta de 1991 del Convenio de la UPOV” incluye extractos de las notas explicativas.</w:t>
      </w:r>
    </w:p>
    <w:p w:rsidR="00E949AF" w:rsidRPr="00E949AF" w:rsidRDefault="00E949AF" w:rsidP="00E949AF"/>
    <w:p w:rsidR="00E949AF" w:rsidRPr="00E949AF" w:rsidRDefault="00D87EE4" w:rsidP="00E949AF"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Junto con las notas explicativas que se someterán a la aprobación del Consejo en su trigésima cuarta sesión extraordinaria (véanse los párrafos 2 a 5 de la sección “Notas explicativas“, se propone la aprobación de una revisión del documento UPOV/INF/6 “Orientaciones para la redacc</w:t>
      </w:r>
      <w:r w:rsidR="0036078C">
        <w:t>ión de leyes basadas en el Acta </w:t>
      </w:r>
      <w:r w:rsidR="00E949AF">
        <w:t>de 1991 del Convenio de la UPOV” sobre la base de las modificaciones propuestas del documento</w:t>
      </w:r>
      <w:r w:rsidR="00FE617B">
        <w:t> </w:t>
      </w:r>
      <w:r w:rsidR="00E949AF">
        <w:t>UPOV/INF/6/4, que se exponen en el Anexo del presente documento.</w:t>
      </w:r>
    </w:p>
    <w:p w:rsidR="00E949AF" w:rsidRPr="00E949AF" w:rsidRDefault="00E949AF" w:rsidP="00E949AF"/>
    <w:p w:rsidR="00E949AF" w:rsidRPr="00E949AF" w:rsidRDefault="00D87EE4" w:rsidP="00E949AF">
      <w:pPr>
        <w:pStyle w:val="DecisionParagraphs"/>
      </w:pPr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Se invita al Consejo a aprobar la revisión del documento UPOV/INF/6 “Orientaciones para la redacción de leyes basadas en el Acta de 1991 del Convenio de la UPOV” (documento UPOV/INF/6/5), sobre la base de las modificaciones propuestas del documento UPOV/INF/6/4, que se exponen en el Anexo del presente documento.</w:t>
      </w:r>
    </w:p>
    <w:p w:rsidR="00E949AF" w:rsidRPr="00E949AF" w:rsidRDefault="00E949AF" w:rsidP="00E949AF">
      <w:pPr>
        <w:keepNext/>
        <w:rPr>
          <w:u w:val="single"/>
        </w:rPr>
      </w:pPr>
      <w:r>
        <w:rPr>
          <w:bCs/>
          <w:snapToGrid w:val="0"/>
          <w:szCs w:val="24"/>
          <w:u w:val="single"/>
        </w:rPr>
        <w:lastRenderedPageBreak/>
        <w:t>UPOV/INF-EXN</w:t>
      </w:r>
      <w:proofErr w:type="gramStart"/>
      <w:r>
        <w:rPr>
          <w:bCs/>
          <w:snapToGrid w:val="0"/>
          <w:szCs w:val="24"/>
          <w:u w:val="single"/>
        </w:rPr>
        <w:t xml:space="preserve">:  </w:t>
      </w:r>
      <w:r>
        <w:rPr>
          <w:u w:val="single"/>
        </w:rPr>
        <w:t>Lista</w:t>
      </w:r>
      <w:proofErr w:type="gramEnd"/>
      <w:r>
        <w:rPr>
          <w:u w:val="single"/>
        </w:rPr>
        <w:t xml:space="preserve"> de documentos UPOV/INF-EXN y fecha de última publicación (revisión) (documento UPOV/INF</w:t>
      </w:r>
      <w:r>
        <w:rPr>
          <w:u w:val="single"/>
        </w:rPr>
        <w:noBreakHyphen/>
        <w:t>EXN/10 Draft 1)</w:t>
      </w:r>
    </w:p>
    <w:p w:rsidR="00E949AF" w:rsidRPr="00E949AF" w:rsidRDefault="00E949AF" w:rsidP="00E949AF">
      <w:pPr>
        <w:keepNext/>
      </w:pPr>
    </w:p>
    <w:p w:rsidR="00E949AF" w:rsidRPr="00E949AF" w:rsidRDefault="00D87EE4" w:rsidP="00E949AF"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Junto con las notas explicativas y los documentos de información que se someterán a la aprobación del</w:t>
      </w:r>
      <w:r w:rsidR="0036078C">
        <w:t xml:space="preserve"> Consejo en su trigésima </w:t>
      </w:r>
      <w:r w:rsidR="00E949AF">
        <w:t>cuarta sesión extraordinaria, se propone aprobar la revisión del documento</w:t>
      </w:r>
      <w:r w:rsidR="0036078C">
        <w:t xml:space="preserve"> </w:t>
      </w:r>
      <w:r w:rsidR="00E949AF">
        <w:t>UPOV/INF</w:t>
      </w:r>
      <w:r w:rsidR="00E949AF">
        <w:noBreakHyphen/>
        <w:t>EXN/9 “Lista de documentos UPOV/INF</w:t>
      </w:r>
      <w:r w:rsidR="00E949AF">
        <w:noBreakHyphen/>
        <w:t>EXN y fechas de última publicación” sobre la base del documento UPOV/INF</w:t>
      </w:r>
      <w:r w:rsidR="00E949AF">
        <w:noBreakHyphen/>
        <w:t>EXN/10 Draft 1.</w:t>
      </w:r>
    </w:p>
    <w:p w:rsidR="00E949AF" w:rsidRPr="00E949AF" w:rsidRDefault="00E949AF" w:rsidP="00E949AF"/>
    <w:p w:rsidR="00E949AF" w:rsidRPr="00E949AF" w:rsidRDefault="00D87EE4" w:rsidP="00E949AF">
      <w:pPr>
        <w:pStyle w:val="DecisionParagraphs"/>
      </w:pPr>
      <w:r w:rsidRPr="00E949AF">
        <w:fldChar w:fldCharType="begin"/>
      </w:r>
      <w:r w:rsidR="00E949AF" w:rsidRPr="00E949AF">
        <w:instrText xml:space="preserve"> AUTONUM  </w:instrText>
      </w:r>
      <w:r w:rsidRPr="00E949AF">
        <w:fldChar w:fldCharType="end"/>
      </w:r>
      <w:r w:rsidR="00E949AF">
        <w:tab/>
        <w:t>Se invita al Consejo a aprobar la revisión del documento UPOV/INF-EXN/9 “Lista de documentos UPOV/INF</w:t>
      </w:r>
      <w:r w:rsidR="00E949AF">
        <w:noBreakHyphen/>
        <w:t>EXN y fechas de última publicación” (documento UPOV/INF-EXN/10) sobre la base del documento UPOV/INF-EXN/10 Draft</w:t>
      </w:r>
      <w:r w:rsidR="003A3A8F">
        <w:t> </w:t>
      </w:r>
      <w:r w:rsidR="00E949AF">
        <w:t>1.</w:t>
      </w:r>
    </w:p>
    <w:p w:rsidR="00E949AF" w:rsidRPr="00E949AF" w:rsidRDefault="00E949AF" w:rsidP="00E949AF">
      <w:pPr>
        <w:rPr>
          <w:snapToGrid w:val="0"/>
        </w:rPr>
      </w:pPr>
    </w:p>
    <w:p w:rsidR="00E949AF" w:rsidRPr="00E949AF" w:rsidRDefault="00E949AF" w:rsidP="00E949AF">
      <w:pPr>
        <w:rPr>
          <w:snapToGrid w:val="0"/>
        </w:rPr>
      </w:pPr>
    </w:p>
    <w:p w:rsidR="00E949AF" w:rsidRPr="00E949AF" w:rsidRDefault="00E949AF" w:rsidP="00E949AF">
      <w:pPr>
        <w:tabs>
          <w:tab w:val="left" w:pos="1701"/>
        </w:tabs>
        <w:rPr>
          <w:spacing w:val="-2"/>
          <w:szCs w:val="24"/>
          <w:u w:val="single"/>
        </w:rPr>
      </w:pPr>
    </w:p>
    <w:p w:rsidR="00E949AF" w:rsidRPr="00E949AF" w:rsidRDefault="00E949AF" w:rsidP="00E949AF">
      <w:pPr>
        <w:jc w:val="right"/>
      </w:pPr>
      <w:r>
        <w:t>[Sigue el Anexo]</w:t>
      </w:r>
    </w:p>
    <w:p w:rsidR="00E949AF" w:rsidRPr="00E949AF" w:rsidRDefault="00E949AF" w:rsidP="00E949AF"/>
    <w:p w:rsidR="00E949AF" w:rsidRPr="00E949AF" w:rsidRDefault="00E949AF" w:rsidP="00E949AF">
      <w:pPr>
        <w:jc w:val="left"/>
        <w:sectPr w:rsidR="00E949AF" w:rsidRPr="00E949AF" w:rsidSect="00906DDC">
          <w:headerReference w:type="default" r:id="rId10"/>
          <w:foot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949AF" w:rsidRPr="00E949AF" w:rsidRDefault="00E949AF" w:rsidP="00E949AF">
      <w:pPr>
        <w:jc w:val="center"/>
      </w:pPr>
      <w:proofErr w:type="gramStart"/>
      <w:r>
        <w:t>C(</w:t>
      </w:r>
      <w:proofErr w:type="gramEnd"/>
      <w:r>
        <w:t>Extr.)/34/2</w:t>
      </w:r>
    </w:p>
    <w:p w:rsidR="00E949AF" w:rsidRPr="00E949AF" w:rsidRDefault="00E949AF" w:rsidP="00E949AF">
      <w:pPr>
        <w:jc w:val="center"/>
      </w:pPr>
    </w:p>
    <w:p w:rsidR="00E949AF" w:rsidRPr="00E949AF" w:rsidRDefault="00E949AF" w:rsidP="00E949AF">
      <w:pPr>
        <w:jc w:val="center"/>
      </w:pPr>
    </w:p>
    <w:p w:rsidR="00E949AF" w:rsidRPr="00E949AF" w:rsidRDefault="00E949AF" w:rsidP="00E949AF">
      <w:pPr>
        <w:jc w:val="center"/>
      </w:pPr>
      <w:r>
        <w:t>ANEXO</w:t>
      </w:r>
    </w:p>
    <w:p w:rsidR="00E949AF" w:rsidRPr="00E949AF" w:rsidRDefault="00E949AF" w:rsidP="00E949AF">
      <w:pPr>
        <w:jc w:val="center"/>
      </w:pPr>
    </w:p>
    <w:p w:rsidR="00E949AF" w:rsidRPr="00E949AF" w:rsidRDefault="00E949AF" w:rsidP="00E949AF">
      <w:pPr>
        <w:jc w:val="center"/>
      </w:pPr>
      <w:r>
        <w:t>PROPUESTAS DE MODIFICACIÓN DEL DOCUMENTO UPOV/INF/6/4 “</w:t>
      </w:r>
      <w:r>
        <w:rPr>
          <w:bCs/>
          <w:snapToGrid w:val="0"/>
          <w:szCs w:val="24"/>
        </w:rPr>
        <w:t>ORIENTACIONES PARA LA REDACCIÓN DE LEYES BASADAS EN EL ACTA DE 1991 DEL CONVENIO DE LA UPOV” (DOCUMENTO UPOV/INF/6/5)</w:t>
      </w:r>
    </w:p>
    <w:p w:rsidR="00E949AF" w:rsidRPr="00E949AF" w:rsidRDefault="00E949AF" w:rsidP="00E949AF"/>
    <w:p w:rsidR="00E949AF" w:rsidRPr="00E949AF" w:rsidRDefault="00E949AF" w:rsidP="00E949AF"/>
    <w:p w:rsidR="00E949AF" w:rsidRPr="00E949AF" w:rsidRDefault="00E949AF" w:rsidP="00E949AF"/>
    <w:p w:rsidR="00E949AF" w:rsidRPr="00E949AF" w:rsidRDefault="00E949AF" w:rsidP="00E949AF">
      <w:pPr>
        <w:rPr>
          <w:u w:val="single"/>
        </w:rPr>
      </w:pPr>
      <w:r>
        <w:rPr>
          <w:u w:val="single"/>
        </w:rPr>
        <w:t>NOTAS SOBRE EL ARTÍCULO 14</w:t>
      </w:r>
      <w:proofErr w:type="gramStart"/>
      <w:r>
        <w:rPr>
          <w:u w:val="single"/>
        </w:rPr>
        <w:t>:  ALCANCE</w:t>
      </w:r>
      <w:proofErr w:type="gramEnd"/>
      <w:r>
        <w:rPr>
          <w:u w:val="single"/>
        </w:rPr>
        <w:t xml:space="preserve"> DEL DERECHO DE OBTENTOR</w:t>
      </w:r>
    </w:p>
    <w:p w:rsidR="00E949AF" w:rsidRPr="00E949AF" w:rsidRDefault="00E949AF" w:rsidP="00E949AF"/>
    <w:p w:rsidR="00E949AF" w:rsidRPr="00E949AF" w:rsidRDefault="00E949AF" w:rsidP="00E949AF">
      <w:r>
        <w:t>A reserva de la aprobación del Consejo, en su trigésima cuarta sesión extraordinari</w:t>
      </w:r>
      <w:r w:rsidR="0036078C">
        <w:t xml:space="preserve">a, de la revisión del documento </w:t>
      </w:r>
      <w:r>
        <w:t>UPOV/EXN/EDV/1 “Notas explicativas sobre las variedades esencialmente derivadas con arreglo al Acta de 1991 del Convenio de la UPOV” (según se expone en el documento</w:t>
      </w:r>
      <w:r w:rsidR="0036078C">
        <w:t xml:space="preserve"> UPOV/EXN/EDV/2 </w:t>
      </w:r>
      <w:proofErr w:type="spellStart"/>
      <w:r w:rsidR="0036078C">
        <w:t>Draft</w:t>
      </w:r>
      <w:proofErr w:type="spellEnd"/>
      <w:r w:rsidR="0036078C">
        <w:t> </w:t>
      </w:r>
      <w:r>
        <w:t>8) y el documento UPOV/EXN/</w:t>
      </w:r>
      <w:bookmarkStart w:id="3" w:name="_GoBack"/>
      <w:bookmarkEnd w:id="3"/>
      <w:r>
        <w:t xml:space="preserve">PPM/1 “Notas explicativas sobre el material de reproducción o de multiplicación con arreglo al Convenio de la UPOV” (según se expone en </w:t>
      </w:r>
      <w:r w:rsidR="0036078C">
        <w:t>el documento UPOV/EXN/PPM/1 </w:t>
      </w:r>
      <w:proofErr w:type="spellStart"/>
      <w:r w:rsidR="0036078C">
        <w:t>Draft</w:t>
      </w:r>
      <w:proofErr w:type="spellEnd"/>
      <w:r w:rsidR="0036078C">
        <w:t> </w:t>
      </w:r>
      <w:r>
        <w:t>7), se propone actualizar el texto de las “NOTAS SOBRE EL ARTÍCULO 14” con el nuevo texto de los documentos UPOV/EXN/EDV/2 y UPOV/EXN/PPM/1.</w:t>
      </w:r>
    </w:p>
    <w:p w:rsidR="00E949AF" w:rsidRPr="00E949AF" w:rsidRDefault="00E949AF" w:rsidP="00E949AF"/>
    <w:p w:rsidR="00E949AF" w:rsidRPr="00E949AF" w:rsidRDefault="00E949AF" w:rsidP="00E949AF"/>
    <w:p w:rsidR="00E949AF" w:rsidRPr="00E949AF" w:rsidRDefault="00E949AF" w:rsidP="00E949AF"/>
    <w:p w:rsidR="00050E16" w:rsidRPr="00E949AF" w:rsidRDefault="00E949AF" w:rsidP="00E949AF">
      <w:pPr>
        <w:jc w:val="right"/>
      </w:pPr>
      <w:r>
        <w:t>[Fin del Anexo y del documento]</w:t>
      </w:r>
    </w:p>
    <w:sectPr w:rsidR="00050E16" w:rsidRPr="00E949AF" w:rsidSect="00906DDC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C0" w:rsidRDefault="00700CC0" w:rsidP="006655D3">
      <w:r>
        <w:separator/>
      </w:r>
    </w:p>
    <w:p w:rsidR="00700CC0" w:rsidRDefault="00700CC0" w:rsidP="006655D3"/>
    <w:p w:rsidR="00700CC0" w:rsidRDefault="00700CC0" w:rsidP="006655D3"/>
  </w:endnote>
  <w:endnote w:type="continuationSeparator" w:id="0">
    <w:p w:rsidR="00700CC0" w:rsidRDefault="00700CC0" w:rsidP="006655D3">
      <w:r>
        <w:separator/>
      </w:r>
    </w:p>
    <w:p w:rsidR="00700CC0" w:rsidRPr="00294751" w:rsidRDefault="00700CC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0CC0" w:rsidRPr="00294751" w:rsidRDefault="00700CC0" w:rsidP="006655D3">
      <w:pPr>
        <w:rPr>
          <w:lang w:val="fr-FR"/>
        </w:rPr>
      </w:pPr>
    </w:p>
    <w:p w:rsidR="00700CC0" w:rsidRPr="00294751" w:rsidRDefault="00700CC0" w:rsidP="006655D3">
      <w:pPr>
        <w:rPr>
          <w:lang w:val="fr-FR"/>
        </w:rPr>
      </w:pPr>
    </w:p>
  </w:endnote>
  <w:endnote w:type="continuationNotice" w:id="1">
    <w:p w:rsidR="00700CC0" w:rsidRPr="00294751" w:rsidRDefault="00700CC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00CC0" w:rsidRPr="00294751" w:rsidRDefault="00700CC0" w:rsidP="006655D3">
      <w:pPr>
        <w:rPr>
          <w:lang w:val="fr-FR"/>
        </w:rPr>
      </w:pPr>
    </w:p>
    <w:p w:rsidR="00700CC0" w:rsidRPr="00294751" w:rsidRDefault="00700CC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AF" w:rsidRPr="00863B9B" w:rsidRDefault="00E949AF" w:rsidP="00863B9B">
    <w:pPr>
      <w:tabs>
        <w:tab w:val="left" w:pos="2835"/>
      </w:tabs>
      <w:spacing w:after="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C0" w:rsidRDefault="00700CC0" w:rsidP="006655D3">
      <w:r>
        <w:separator/>
      </w:r>
    </w:p>
  </w:footnote>
  <w:footnote w:type="continuationSeparator" w:id="0">
    <w:p w:rsidR="00700CC0" w:rsidRDefault="00700CC0" w:rsidP="006655D3">
      <w:r>
        <w:separator/>
      </w:r>
    </w:p>
  </w:footnote>
  <w:footnote w:type="continuationNotice" w:id="1">
    <w:p w:rsidR="00700CC0" w:rsidRPr="00AB530F" w:rsidRDefault="00700CC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AF" w:rsidRPr="00E949AF" w:rsidRDefault="00E949AF" w:rsidP="00EB048E">
    <w:pPr>
      <w:pStyle w:val="Header"/>
      <w:rPr>
        <w:rStyle w:val="PageNumber"/>
      </w:rPr>
    </w:pPr>
    <w:proofErr w:type="gramStart"/>
    <w:r>
      <w:rPr>
        <w:rStyle w:val="PageNumber"/>
      </w:rPr>
      <w:t>C(</w:t>
    </w:r>
    <w:proofErr w:type="gramEnd"/>
    <w:r>
      <w:rPr>
        <w:rStyle w:val="PageNumber"/>
      </w:rPr>
      <w:t>Extr.)/34/2</w:t>
    </w:r>
  </w:p>
  <w:p w:rsidR="00E949AF" w:rsidRPr="00E949AF" w:rsidRDefault="00E949AF" w:rsidP="00EB048E">
    <w:pPr>
      <w:pStyle w:val="Header"/>
    </w:pPr>
    <w:proofErr w:type="gramStart"/>
    <w:r>
      <w:t>página</w:t>
    </w:r>
    <w:proofErr w:type="gramEnd"/>
    <w:r>
      <w:t xml:space="preserve"> </w:t>
    </w:r>
    <w:r w:rsidR="00D87EE4" w:rsidRPr="00E949AF">
      <w:rPr>
        <w:rStyle w:val="PageNumber"/>
      </w:rPr>
      <w:fldChar w:fldCharType="begin"/>
    </w:r>
    <w:r w:rsidRPr="00E949AF">
      <w:rPr>
        <w:rStyle w:val="PageNumber"/>
      </w:rPr>
      <w:instrText xml:space="preserve"> PAGE </w:instrText>
    </w:r>
    <w:r w:rsidR="00D87EE4" w:rsidRPr="00E949AF">
      <w:rPr>
        <w:rStyle w:val="PageNumber"/>
      </w:rPr>
      <w:fldChar w:fldCharType="separate"/>
    </w:r>
    <w:r w:rsidR="007E7C57">
      <w:rPr>
        <w:rStyle w:val="PageNumber"/>
        <w:noProof/>
      </w:rPr>
      <w:t>3</w:t>
    </w:r>
    <w:r w:rsidR="00D87EE4" w:rsidRPr="00E949AF">
      <w:rPr>
        <w:rStyle w:val="PageNumber"/>
      </w:rPr>
      <w:fldChar w:fldCharType="end"/>
    </w:r>
  </w:p>
  <w:p w:rsidR="00E949AF" w:rsidRPr="00E949AF" w:rsidRDefault="00E949AF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C53EB3" w:rsidP="000A23DC">
    <w:pPr>
      <w:pStyle w:val="Header"/>
      <w:rPr>
        <w:rStyle w:val="PageNumber"/>
      </w:rPr>
    </w:pPr>
    <w:proofErr w:type="gramStart"/>
    <w:r>
      <w:rPr>
        <w:rStyle w:val="PageNumber"/>
      </w:rPr>
      <w:t>C(</w:t>
    </w:r>
    <w:proofErr w:type="gramEnd"/>
    <w:r>
      <w:rPr>
        <w:rStyle w:val="PageNumber"/>
      </w:rPr>
      <w:t>Extr.)/34/</w:t>
    </w:r>
  </w:p>
  <w:p w:rsidR="00182B99" w:rsidRPr="00202E38" w:rsidRDefault="008B3D8D" w:rsidP="008B3D8D">
    <w:pPr>
      <w:pStyle w:val="Header"/>
    </w:pPr>
    <w:proofErr w:type="gramStart"/>
    <w:r>
      <w:t>página</w:t>
    </w:r>
    <w:proofErr w:type="gramEnd"/>
    <w:r>
      <w:t xml:space="preserve"> </w:t>
    </w:r>
    <w:r w:rsidR="00D87EE4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D87EE4" w:rsidRPr="00202E38">
      <w:rPr>
        <w:rStyle w:val="PageNumber"/>
      </w:rPr>
      <w:fldChar w:fldCharType="separate"/>
    </w:r>
    <w:r w:rsidR="00341C88">
      <w:rPr>
        <w:rStyle w:val="PageNumber"/>
        <w:noProof/>
      </w:rPr>
      <w:t>2</w:t>
    </w:r>
    <w:r w:rsidR="00D87EE4" w:rsidRPr="00202E38">
      <w:rPr>
        <w:rStyle w:val="PageNumber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7C3C"/>
    <w:rsid w:val="001A5A3B"/>
    <w:rsid w:val="001B1B55"/>
    <w:rsid w:val="001B1CB9"/>
    <w:rsid w:val="001D00A6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6078C"/>
    <w:rsid w:val="00361821"/>
    <w:rsid w:val="00361E9E"/>
    <w:rsid w:val="003A3A8F"/>
    <w:rsid w:val="003B031A"/>
    <w:rsid w:val="003C7FBE"/>
    <w:rsid w:val="003D227C"/>
    <w:rsid w:val="003D2B4D"/>
    <w:rsid w:val="003D5DCC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4167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0CC0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7C57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CA0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3E26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78ED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2428"/>
    <w:rsid w:val="00D3708D"/>
    <w:rsid w:val="00D40426"/>
    <w:rsid w:val="00D521CA"/>
    <w:rsid w:val="00D57C96"/>
    <w:rsid w:val="00D57D18"/>
    <w:rsid w:val="00D82219"/>
    <w:rsid w:val="00D87EE4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9AF"/>
    <w:rsid w:val="00E94A81"/>
    <w:rsid w:val="00EA1FFB"/>
    <w:rsid w:val="00EB048E"/>
    <w:rsid w:val="00EB4E9C"/>
    <w:rsid w:val="00EB7183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2840"/>
    <w:rsid w:val="00F560F7"/>
    <w:rsid w:val="00F6334D"/>
    <w:rsid w:val="00F85560"/>
    <w:rsid w:val="00FA49AB"/>
    <w:rsid w:val="00FD3F87"/>
    <w:rsid w:val="00FE39C7"/>
    <w:rsid w:val="00FE617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0638A9"/>
    <w:pPr>
      <w:spacing w:after="12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644A"/>
    <w:pPr>
      <w:spacing w:after="240"/>
      <w:jc w:val="left"/>
    </w:p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E949AF"/>
    <w:rPr>
      <w:rFonts w:ascii="Arial" w:hAnsi="Arial"/>
      <w:i/>
      <w:lang w:val="es-ES_tradnl"/>
    </w:rPr>
  </w:style>
  <w:style w:type="table" w:styleId="TableGrid">
    <w:name w:val="Table Grid"/>
    <w:basedOn w:val="TableNormal"/>
    <w:rsid w:val="00E949AF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0638A9"/>
    <w:pPr>
      <w:spacing w:after="12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644A"/>
    <w:pPr>
      <w:spacing w:after="240"/>
      <w:jc w:val="left"/>
    </w:p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E949AF"/>
    <w:rPr>
      <w:rFonts w:ascii="Arial" w:hAnsi="Arial"/>
      <w:i/>
      <w:lang w:val="es-ES_tradnl"/>
    </w:rPr>
  </w:style>
  <w:style w:type="table" w:styleId="TableGrid">
    <w:name w:val="Table Grid"/>
    <w:basedOn w:val="TableNormal"/>
    <w:rsid w:val="00E949AF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s/topic.jsp?group_id=7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vallos\AppData\Local\Microsoft\Windows\Temporary%20Internet%20Files\Content.MSO\DBB92D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A045-72F9-46B3-BEAC-C8CBAB44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DBB92D73.dotx</Template>
  <TotalTime>5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</vt:lpstr>
    </vt:vector>
  </TitlesOfParts>
  <Company>UPOV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C(Extr.)/34/2</dc:title>
  <dc:creator>BOU LLORET Amparo</dc:creator>
  <dc:description>DG (trad. ext.) - 20.2.2017</dc:description>
  <cp:lastModifiedBy>SANCHEZ-VIZCAINO GOMEZ Rosa Maria</cp:lastModifiedBy>
  <cp:revision>9</cp:revision>
  <cp:lastPrinted>2017-02-22T12:23:00Z</cp:lastPrinted>
  <dcterms:created xsi:type="dcterms:W3CDTF">2017-02-21T08:29:00Z</dcterms:created>
  <dcterms:modified xsi:type="dcterms:W3CDTF">2017-02-22T12:23:00Z</dcterms:modified>
</cp:coreProperties>
</file>