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F11C78" w:rsidRPr="008C116A" w:rsidTr="000A27D8">
        <w:trPr>
          <w:trHeight w:val="1760"/>
        </w:trPr>
        <w:tc>
          <w:tcPr>
            <w:tcW w:w="4243" w:type="dxa"/>
          </w:tcPr>
          <w:p w:rsidR="00C43CBD" w:rsidRPr="00F11C78" w:rsidRDefault="00C43CBD" w:rsidP="000A27D8">
            <w:pPr>
              <w:rPr>
                <w:lang w:val="es-ES_tradnl"/>
              </w:rPr>
            </w:pPr>
            <w:bookmarkStart w:id="0" w:name="TitleOfDoc"/>
            <w:bookmarkStart w:id="1" w:name="_GoBack"/>
            <w:bookmarkEnd w:id="0"/>
            <w:bookmarkEnd w:id="1"/>
          </w:p>
        </w:tc>
        <w:tc>
          <w:tcPr>
            <w:tcW w:w="1646" w:type="dxa"/>
            <w:vAlign w:val="center"/>
          </w:tcPr>
          <w:p w:rsidR="00C43CBD" w:rsidRPr="00F11C78" w:rsidRDefault="00C43CBD" w:rsidP="000A27D8">
            <w:pPr>
              <w:pStyle w:val="LogoUPOV"/>
              <w:rPr>
                <w:lang w:val="es-ES_tradnl"/>
              </w:rPr>
            </w:pPr>
            <w:r w:rsidRPr="00F11C78">
              <w:rPr>
                <w:noProof/>
              </w:rPr>
              <w:drawing>
                <wp:inline distT="0" distB="0" distL="0" distR="0" wp14:anchorId="66AB608F" wp14:editId="57A42B02">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A628BF" w:rsidRPr="00F11C78" w:rsidRDefault="00C43CBD" w:rsidP="000A27D8">
            <w:pPr>
              <w:pStyle w:val="Lettrine"/>
              <w:rPr>
                <w:lang w:val="es-ES_tradnl"/>
              </w:rPr>
            </w:pPr>
            <w:r w:rsidRPr="00F11C78">
              <w:rPr>
                <w:lang w:val="es-ES_tradnl"/>
              </w:rPr>
              <w:t>S</w:t>
            </w:r>
          </w:p>
          <w:p w:rsidR="00A628BF" w:rsidRPr="00F11C78" w:rsidRDefault="00DC2BF3" w:rsidP="00DC2BF3">
            <w:pPr>
              <w:pStyle w:val="Docoriginal"/>
              <w:ind w:left="952"/>
              <w:rPr>
                <w:lang w:val="es-ES_tradnl"/>
              </w:rPr>
            </w:pPr>
            <w:r w:rsidRPr="00F11C78">
              <w:rPr>
                <w:lang w:val="es-ES_tradnl"/>
              </w:rPr>
              <w:t>C(Extr.)/32/4</w:t>
            </w:r>
          </w:p>
          <w:p w:rsidR="00A628BF" w:rsidRPr="00F11C78" w:rsidRDefault="00C43CBD" w:rsidP="000A27D8">
            <w:pPr>
              <w:pStyle w:val="Docoriginal"/>
              <w:ind w:left="952"/>
              <w:rPr>
                <w:b w:val="0"/>
                <w:spacing w:val="0"/>
                <w:lang w:val="es-ES_tradnl"/>
              </w:rPr>
            </w:pPr>
            <w:r w:rsidRPr="00F11C78">
              <w:rPr>
                <w:rStyle w:val="StyleDoclangBold"/>
                <w:b/>
                <w:bCs/>
                <w:spacing w:val="0"/>
                <w:lang w:val="es-ES_tradnl"/>
              </w:rPr>
              <w:t>ORIGINAL:</w:t>
            </w:r>
            <w:r w:rsidRPr="00F11C78">
              <w:rPr>
                <w:rStyle w:val="StyleDocoriginalNotBold1"/>
                <w:spacing w:val="0"/>
                <w:lang w:val="es-ES_tradnl"/>
              </w:rPr>
              <w:t xml:space="preserve">  </w:t>
            </w:r>
            <w:bookmarkStart w:id="2" w:name="Original"/>
            <w:bookmarkEnd w:id="2"/>
            <w:r w:rsidRPr="00F11C78">
              <w:rPr>
                <w:b w:val="0"/>
                <w:spacing w:val="0"/>
                <w:lang w:val="es-ES_tradnl"/>
              </w:rPr>
              <w:t>Inglés</w:t>
            </w:r>
          </w:p>
          <w:p w:rsidR="00C43CBD" w:rsidRPr="00F11C78" w:rsidRDefault="00C43CBD" w:rsidP="000A27D8">
            <w:pPr>
              <w:pStyle w:val="Docoriginal"/>
              <w:ind w:left="952"/>
              <w:rPr>
                <w:lang w:val="es-ES_tradnl"/>
              </w:rPr>
            </w:pPr>
            <w:r w:rsidRPr="00F11C78">
              <w:rPr>
                <w:spacing w:val="0"/>
                <w:lang w:val="es-ES_tradnl"/>
              </w:rPr>
              <w:t>FECHA:</w:t>
            </w:r>
            <w:r w:rsidRPr="00F11C78">
              <w:rPr>
                <w:b w:val="0"/>
                <w:spacing w:val="0"/>
                <w:lang w:val="es-ES_tradnl"/>
              </w:rPr>
              <w:t xml:space="preserve"> </w:t>
            </w:r>
            <w:r w:rsidRPr="00F11C78">
              <w:rPr>
                <w:rStyle w:val="StyleDocoriginalNotBold1"/>
                <w:spacing w:val="0"/>
                <w:lang w:val="es-ES_tradnl"/>
              </w:rPr>
              <w:t xml:space="preserve"> </w:t>
            </w:r>
            <w:bookmarkStart w:id="3" w:name="Date"/>
            <w:bookmarkEnd w:id="3"/>
            <w:r w:rsidR="00C16FD9">
              <w:rPr>
                <w:b w:val="0"/>
                <w:spacing w:val="0"/>
                <w:lang w:val="es-ES_tradnl"/>
              </w:rPr>
              <w:t>17</w:t>
            </w:r>
            <w:r w:rsidRPr="00F11C78">
              <w:rPr>
                <w:b w:val="0"/>
                <w:spacing w:val="0"/>
                <w:lang w:val="es-ES_tradnl"/>
              </w:rPr>
              <w:t xml:space="preserve"> de febrero de 2015</w:t>
            </w:r>
          </w:p>
        </w:tc>
      </w:tr>
      <w:tr w:rsidR="00F11C78" w:rsidRPr="008C116A" w:rsidTr="000A27D8">
        <w:tc>
          <w:tcPr>
            <w:tcW w:w="10131" w:type="dxa"/>
            <w:gridSpan w:val="3"/>
          </w:tcPr>
          <w:p w:rsidR="00C43CBD" w:rsidRPr="00F11C78" w:rsidRDefault="00C43CBD" w:rsidP="000A27D8">
            <w:pPr>
              <w:pStyle w:val="upove"/>
              <w:rPr>
                <w:sz w:val="28"/>
                <w:lang w:val="es-ES_tradnl"/>
              </w:rPr>
            </w:pPr>
            <w:r w:rsidRPr="00F11C78">
              <w:rPr>
                <w:spacing w:val="2"/>
                <w:lang w:val="es-ES_tradnl"/>
              </w:rPr>
              <w:t>UNIÓN INTERNACIONAL PARA LA PROTECCIÓN DE LAS OBTENCIONES VEGETALES</w:t>
            </w:r>
          </w:p>
        </w:tc>
      </w:tr>
      <w:tr w:rsidR="00F11C78" w:rsidRPr="00F11C78" w:rsidTr="000A27D8">
        <w:tc>
          <w:tcPr>
            <w:tcW w:w="10131" w:type="dxa"/>
            <w:gridSpan w:val="3"/>
          </w:tcPr>
          <w:p w:rsidR="00C43CBD" w:rsidRPr="00F11C78" w:rsidRDefault="00C43CBD" w:rsidP="000A27D8">
            <w:pPr>
              <w:pStyle w:val="Country"/>
              <w:rPr>
                <w:lang w:val="es-ES_tradnl"/>
              </w:rPr>
            </w:pPr>
            <w:r w:rsidRPr="00F11C78">
              <w:rPr>
                <w:lang w:val="es-ES_tradnl"/>
              </w:rPr>
              <w:t>Ginebra</w:t>
            </w:r>
          </w:p>
        </w:tc>
      </w:tr>
    </w:tbl>
    <w:p w:rsidR="00A628BF" w:rsidRPr="00F11C78" w:rsidRDefault="00C43CBD" w:rsidP="00C43CBD">
      <w:pPr>
        <w:pStyle w:val="Sessiontc"/>
        <w:rPr>
          <w:lang w:val="es-ES_tradnl"/>
        </w:rPr>
      </w:pPr>
      <w:r w:rsidRPr="00F11C78">
        <w:rPr>
          <w:lang w:val="es-ES_tradnl"/>
        </w:rPr>
        <w:t>CONSEJO</w:t>
      </w:r>
    </w:p>
    <w:p w:rsidR="00A628BF" w:rsidRPr="00F11C78" w:rsidRDefault="00C43CBD" w:rsidP="00C43CBD">
      <w:pPr>
        <w:pStyle w:val="Sessiontcplacedate"/>
        <w:rPr>
          <w:lang w:val="es-ES_tradnl"/>
        </w:rPr>
      </w:pPr>
      <w:r w:rsidRPr="00F11C78">
        <w:rPr>
          <w:lang w:val="es-ES_tradnl"/>
        </w:rPr>
        <w:t>Trigésima segunda sesión extraordinaria</w:t>
      </w:r>
      <w:r w:rsidRPr="00F11C78">
        <w:rPr>
          <w:lang w:val="es-ES_tradnl"/>
        </w:rPr>
        <w:br/>
        <w:t>Ginebra, 27 de marzo de 2015</w:t>
      </w:r>
    </w:p>
    <w:p w:rsidR="00A628BF" w:rsidRPr="00F11C78" w:rsidRDefault="00DC2BF3" w:rsidP="00DC2BF3">
      <w:pPr>
        <w:pStyle w:val="Titleofdoc0"/>
        <w:rPr>
          <w:lang w:val="es-ES_tradnl"/>
        </w:rPr>
      </w:pPr>
      <w:r w:rsidRPr="00F11C78">
        <w:rPr>
          <w:lang w:val="es-ES_tradnl"/>
        </w:rPr>
        <w:t>APROBACIÓN DE DOCUMENTOS</w:t>
      </w:r>
    </w:p>
    <w:p w:rsidR="00A628BF" w:rsidRPr="00B36450" w:rsidRDefault="00AE0EF1" w:rsidP="00C43CBD">
      <w:pPr>
        <w:pStyle w:val="preparedby1"/>
        <w:rPr>
          <w:lang w:val="es-ES_tradnl"/>
        </w:rPr>
      </w:pPr>
      <w:bookmarkStart w:id="4" w:name="Prepared"/>
      <w:bookmarkEnd w:id="4"/>
      <w:r w:rsidRPr="00F11C78">
        <w:rPr>
          <w:lang w:val="es-ES_tradnl"/>
        </w:rPr>
        <w:t>Document</w:t>
      </w:r>
      <w:r w:rsidR="006A4766" w:rsidRPr="00F11C78">
        <w:rPr>
          <w:lang w:val="es-ES_tradnl"/>
        </w:rPr>
        <w:t>o</w:t>
      </w:r>
      <w:r w:rsidRPr="00F11C78">
        <w:rPr>
          <w:lang w:val="es-ES_tradnl"/>
        </w:rPr>
        <w:t xml:space="preserve"> </w:t>
      </w:r>
      <w:r w:rsidR="006A4766" w:rsidRPr="00F11C78">
        <w:rPr>
          <w:lang w:val="es-ES_tradnl"/>
        </w:rPr>
        <w:t>preparado</w:t>
      </w:r>
      <w:r w:rsidR="0061555F" w:rsidRPr="00F11C78">
        <w:rPr>
          <w:lang w:val="es-ES_tradnl"/>
        </w:rPr>
        <w:t xml:space="preserve"> </w:t>
      </w:r>
      <w:r w:rsidR="006A4766" w:rsidRPr="00F11C78">
        <w:rPr>
          <w:lang w:val="es-ES_tradnl"/>
        </w:rPr>
        <w:t xml:space="preserve">por la Oficina de la Unión </w:t>
      </w:r>
      <w:r w:rsidR="00560A6D" w:rsidRPr="00B36450">
        <w:rPr>
          <w:lang w:val="es-ES_tradnl"/>
        </w:rPr>
        <w:br/>
      </w:r>
      <w:r w:rsidR="00560A6D" w:rsidRPr="00B36450">
        <w:rPr>
          <w:lang w:val="es-ES_tradnl"/>
        </w:rPr>
        <w:br/>
      </w:r>
      <w:r w:rsidR="00C43CBD" w:rsidRPr="00B36450">
        <w:rPr>
          <w:color w:val="A6A6A6"/>
          <w:lang w:val="es-ES_tradnl"/>
        </w:rPr>
        <w:t>Descargo de responsabilidad:  el presente documento no constituye</w:t>
      </w:r>
      <w:r w:rsidR="00C43CBD" w:rsidRPr="00B36450">
        <w:rPr>
          <w:color w:val="A6A6A6"/>
          <w:lang w:val="es-ES_tradnl"/>
        </w:rPr>
        <w:br/>
        <w:t>un documento de política u orientación de la UPOV</w:t>
      </w:r>
    </w:p>
    <w:p w:rsidR="00A628BF" w:rsidRPr="00F11C78" w:rsidRDefault="0049699F" w:rsidP="00D55228">
      <w:pPr>
        <w:pStyle w:val="preparedby1"/>
        <w:spacing w:before="0" w:after="0"/>
        <w:jc w:val="left"/>
        <w:rPr>
          <w:i w:val="0"/>
          <w:snapToGrid w:val="0"/>
          <w:lang w:val="es-ES_tradnl"/>
        </w:rPr>
      </w:pPr>
      <w:r w:rsidRPr="00F11C78">
        <w:rPr>
          <w:i w:val="0"/>
          <w:snapToGrid w:val="0"/>
          <w:lang w:val="es-ES_tradnl"/>
        </w:rPr>
        <w:fldChar w:fldCharType="begin"/>
      </w:r>
      <w:r w:rsidR="003802CD" w:rsidRPr="00F11C78">
        <w:rPr>
          <w:i w:val="0"/>
          <w:snapToGrid w:val="0"/>
          <w:lang w:val="es-ES_tradnl"/>
        </w:rPr>
        <w:instrText xml:space="preserve"> AUTONUM  </w:instrText>
      </w:r>
      <w:r w:rsidRPr="00F11C78">
        <w:rPr>
          <w:i w:val="0"/>
          <w:snapToGrid w:val="0"/>
          <w:lang w:val="es-ES_tradnl"/>
        </w:rPr>
        <w:fldChar w:fldCharType="end"/>
      </w:r>
      <w:r w:rsidR="003802CD" w:rsidRPr="00F11C78">
        <w:rPr>
          <w:i w:val="0"/>
          <w:snapToGrid w:val="0"/>
          <w:lang w:val="es-ES_tradnl"/>
        </w:rPr>
        <w:tab/>
      </w:r>
      <w:r w:rsidR="00DC2BF3" w:rsidRPr="00F11C78">
        <w:rPr>
          <w:i w:val="0"/>
          <w:snapToGrid w:val="0"/>
          <w:lang w:val="es-ES_tradnl"/>
        </w:rPr>
        <w:t xml:space="preserve">La finalidad del presente documento es suministrar información sobre los documentos que se invitará a aprobar al Consejo en su trigésima </w:t>
      </w:r>
      <w:r w:rsidR="00AE343B" w:rsidRPr="00F11C78">
        <w:rPr>
          <w:i w:val="0"/>
          <w:snapToGrid w:val="0"/>
          <w:lang w:val="es-ES_tradnl"/>
        </w:rPr>
        <w:t xml:space="preserve">segunda </w:t>
      </w:r>
      <w:r w:rsidR="00DC2BF3" w:rsidRPr="00F11C78">
        <w:rPr>
          <w:i w:val="0"/>
          <w:snapToGrid w:val="0"/>
          <w:lang w:val="es-ES_tradnl"/>
        </w:rPr>
        <w:t>sesión extraordinaria, que tendrá lugar en Ginebra el 27 de marzo de 2013.</w:t>
      </w:r>
    </w:p>
    <w:p w:rsidR="00A628BF" w:rsidRPr="00F11C78" w:rsidRDefault="00A628BF" w:rsidP="00D55228">
      <w:pPr>
        <w:pStyle w:val="preparedby1"/>
        <w:spacing w:before="0" w:after="0"/>
        <w:jc w:val="left"/>
        <w:rPr>
          <w:spacing w:val="-2"/>
          <w:lang w:val="es-ES_tradnl"/>
        </w:rPr>
      </w:pPr>
    </w:p>
    <w:p w:rsidR="00A628BF" w:rsidRPr="00F11C78" w:rsidRDefault="00DC2BF3" w:rsidP="00D55228">
      <w:pPr>
        <w:ind w:left="2268" w:right="567" w:hanging="1701"/>
        <w:rPr>
          <w:lang w:val="es-ES_tradnl"/>
        </w:rPr>
      </w:pPr>
      <w:r w:rsidRPr="00F11C78">
        <w:rPr>
          <w:lang w:val="es-ES_tradnl"/>
        </w:rPr>
        <w:t>UPOV/INF/4/4</w:t>
      </w:r>
      <w:r w:rsidR="00D55228" w:rsidRPr="00F11C78">
        <w:rPr>
          <w:lang w:val="es-ES_tradnl"/>
        </w:rPr>
        <w:tab/>
      </w:r>
      <w:r w:rsidRPr="00F11C78">
        <w:rPr>
          <w:lang w:val="es-ES_tradnl"/>
        </w:rPr>
        <w:t>Reglamento Financiero y Reglamentación Financiera de la UPOV (Revisión</w:t>
      </w:r>
      <w:r w:rsidR="00AE343B" w:rsidRPr="00F11C78">
        <w:rPr>
          <w:lang w:val="es-ES_tradnl"/>
        </w:rPr>
        <w:t>) (documento C(Extr.)/32/4)</w:t>
      </w:r>
      <w:r w:rsidR="003802CD" w:rsidRPr="00F11C78">
        <w:rPr>
          <w:lang w:val="es-ES_tradnl"/>
        </w:rPr>
        <w:t xml:space="preserve"> </w:t>
      </w:r>
    </w:p>
    <w:p w:rsidR="00A628BF" w:rsidRPr="00F11C78" w:rsidRDefault="00A628BF" w:rsidP="00C16FD9">
      <w:pPr>
        <w:rPr>
          <w:lang w:val="es-ES_tradnl"/>
        </w:rPr>
      </w:pPr>
    </w:p>
    <w:p w:rsidR="00A628BF" w:rsidRPr="00F11C78" w:rsidRDefault="00DC2BF3" w:rsidP="00D55228">
      <w:pPr>
        <w:ind w:left="2268" w:right="567" w:hanging="1701"/>
        <w:rPr>
          <w:lang w:val="es-ES_tradnl"/>
        </w:rPr>
      </w:pPr>
      <w:r w:rsidRPr="00F11C78">
        <w:rPr>
          <w:lang w:val="es-ES_tradnl"/>
        </w:rPr>
        <w:t>UPOV/INF/15/3</w:t>
      </w:r>
      <w:r w:rsidR="00D55228" w:rsidRPr="00F11C78">
        <w:rPr>
          <w:lang w:val="es-ES_tradnl"/>
        </w:rPr>
        <w:tab/>
      </w:r>
      <w:r w:rsidRPr="00F11C78">
        <w:rPr>
          <w:lang w:val="es-ES_tradnl"/>
        </w:rPr>
        <w:t>Orientación para los miembros de la UPOV sobre las obligaciones actuales y las notificaciones conexas y sobre el suministro de información para facilitar la cooperación (Revisión) (documento UPOV/INF/15/3 Draft 2)</w:t>
      </w:r>
      <w:r w:rsidR="003802CD" w:rsidRPr="00F11C78">
        <w:rPr>
          <w:lang w:val="es-ES_tradnl"/>
        </w:rPr>
        <w:t xml:space="preserve"> </w:t>
      </w:r>
    </w:p>
    <w:p w:rsidR="00A628BF" w:rsidRPr="00F11C78" w:rsidRDefault="00A628BF" w:rsidP="00C16FD9">
      <w:pPr>
        <w:rPr>
          <w:lang w:val="es-ES_tradnl"/>
        </w:rPr>
      </w:pPr>
    </w:p>
    <w:p w:rsidR="00A628BF" w:rsidRPr="00F11C78" w:rsidRDefault="00DC2BF3" w:rsidP="00D55228">
      <w:pPr>
        <w:ind w:left="2268" w:right="567" w:hanging="1701"/>
        <w:rPr>
          <w:lang w:val="es-ES_tradnl"/>
        </w:rPr>
      </w:pPr>
      <w:r w:rsidRPr="00F11C78">
        <w:rPr>
          <w:lang w:val="es-ES_tradnl"/>
        </w:rPr>
        <w:t>UPOV/INF-EXN/7</w:t>
      </w:r>
      <w:r w:rsidR="00D55228" w:rsidRPr="00F11C78">
        <w:rPr>
          <w:lang w:val="es-ES_tradnl"/>
        </w:rPr>
        <w:tab/>
      </w:r>
      <w:r w:rsidRPr="00F11C78">
        <w:rPr>
          <w:lang w:val="es-ES_tradnl"/>
        </w:rPr>
        <w:t>Lista de documentos INF-EXN y fecha de última publicación  (documento UPOV/INF-EXN/7 Draft 1)</w:t>
      </w:r>
    </w:p>
    <w:p w:rsidR="00A628BF" w:rsidRPr="00F11C78" w:rsidRDefault="00A628BF" w:rsidP="003802CD">
      <w:pPr>
        <w:ind w:left="567" w:hanging="567"/>
        <w:jc w:val="left"/>
        <w:rPr>
          <w:bCs/>
          <w:snapToGrid w:val="0"/>
          <w:lang w:val="es-ES_tradnl"/>
        </w:rPr>
      </w:pPr>
    </w:p>
    <w:p w:rsidR="00A628BF" w:rsidRPr="00F11C78" w:rsidRDefault="00A628BF" w:rsidP="003802CD">
      <w:pPr>
        <w:ind w:left="567" w:hanging="567"/>
        <w:jc w:val="left"/>
        <w:rPr>
          <w:bCs/>
          <w:snapToGrid w:val="0"/>
          <w:lang w:val="es-ES_tradnl"/>
        </w:rPr>
      </w:pPr>
    </w:p>
    <w:p w:rsidR="00A628BF" w:rsidRPr="00F11C78" w:rsidRDefault="00DC2BF3" w:rsidP="00DC2BF3">
      <w:pPr>
        <w:tabs>
          <w:tab w:val="left" w:pos="1560"/>
        </w:tabs>
        <w:rPr>
          <w:u w:val="single"/>
          <w:lang w:val="es-ES_tradnl"/>
        </w:rPr>
      </w:pPr>
      <w:r w:rsidRPr="00F11C78">
        <w:rPr>
          <w:u w:val="single"/>
          <w:lang w:val="es-ES_tradnl"/>
        </w:rPr>
        <w:t>UPOV/INF/4/4</w:t>
      </w:r>
      <w:r w:rsidR="00A464C9" w:rsidRPr="00F11C78">
        <w:rPr>
          <w:u w:val="single"/>
          <w:lang w:val="es-ES_tradnl"/>
        </w:rPr>
        <w:tab/>
      </w:r>
      <w:r w:rsidRPr="00F11C78">
        <w:rPr>
          <w:u w:val="single"/>
          <w:lang w:val="es-ES_tradnl"/>
        </w:rPr>
        <w:t>Reglamento Financiero y Reglamentación Financiera de la UPOV (Revisión) (documento C(Extr.)/32/</w:t>
      </w:r>
      <w:r w:rsidR="00C16FD9">
        <w:rPr>
          <w:u w:val="single"/>
          <w:lang w:val="es-ES_tradnl"/>
        </w:rPr>
        <w:t>4</w:t>
      </w:r>
      <w:r w:rsidRPr="00F11C78">
        <w:rPr>
          <w:u w:val="single"/>
          <w:lang w:val="es-ES_tradnl"/>
        </w:rPr>
        <w:t>, Anexo)</w:t>
      </w:r>
    </w:p>
    <w:p w:rsidR="00A628BF" w:rsidRPr="00F11C78" w:rsidRDefault="00A628BF" w:rsidP="003802CD">
      <w:pPr>
        <w:rPr>
          <w:u w:val="single"/>
          <w:lang w:val="es-ES_tradnl"/>
        </w:rPr>
      </w:pPr>
    </w:p>
    <w:p w:rsidR="00A628BF" w:rsidRPr="00F11C78" w:rsidRDefault="0049699F" w:rsidP="00DC2BF3">
      <w:pPr>
        <w:rPr>
          <w:lang w:val="es-ES_tradnl"/>
        </w:rPr>
      </w:pPr>
      <w:r w:rsidRPr="00F11C78">
        <w:rPr>
          <w:lang w:val="es-ES_tradnl"/>
        </w:rPr>
        <w:fldChar w:fldCharType="begin"/>
      </w:r>
      <w:r w:rsidR="003802CD" w:rsidRPr="00F11C78">
        <w:rPr>
          <w:lang w:val="es-ES_tradnl"/>
        </w:rPr>
        <w:instrText xml:space="preserve"> AUTONUM  </w:instrText>
      </w:r>
      <w:r w:rsidRPr="00F11C78">
        <w:rPr>
          <w:lang w:val="es-ES_tradnl"/>
        </w:rPr>
        <w:fldChar w:fldCharType="end"/>
      </w:r>
      <w:r w:rsidR="003802CD" w:rsidRPr="00F11C78">
        <w:rPr>
          <w:lang w:val="es-ES_tradnl"/>
        </w:rPr>
        <w:tab/>
      </w:r>
      <w:r w:rsidR="00DC2BF3" w:rsidRPr="00F11C78">
        <w:rPr>
          <w:lang w:val="es-ES_tradnl"/>
        </w:rPr>
        <w:t>El 21 de octubre de 2010, el Consejo adoptó el “Reglamento Financiero y Reglamentación Financiera de la UPOV (documento UPOV/INF/4/1), revisado posteriormente el 30 de marzo de 2012 (documento UPOV/INF/4/2).</w:t>
      </w:r>
      <w:r w:rsidR="003802CD" w:rsidRPr="00F11C78">
        <w:rPr>
          <w:lang w:val="es-ES_tradnl"/>
        </w:rPr>
        <w:t xml:space="preserve">  </w:t>
      </w:r>
      <w:r w:rsidR="00DC2BF3" w:rsidRPr="00F11C78">
        <w:rPr>
          <w:lang w:val="es-ES_tradnl"/>
        </w:rPr>
        <w:t xml:space="preserve">En el párrafo </w:t>
      </w:r>
      <w:r w:rsidR="00C16FD9">
        <w:rPr>
          <w:lang w:val="es-ES_tradnl"/>
        </w:rPr>
        <w:t>2</w:t>
      </w:r>
      <w:r w:rsidR="00DC2BF3" w:rsidRPr="00F11C78">
        <w:rPr>
          <w:lang w:val="es-ES_tradnl"/>
        </w:rPr>
        <w:t xml:space="preserve"> del documento UPOV/INF/4/</w:t>
      </w:r>
      <w:r w:rsidR="00C16FD9">
        <w:rPr>
          <w:lang w:val="es-ES_tradnl"/>
        </w:rPr>
        <w:t>3</w:t>
      </w:r>
      <w:r w:rsidR="00DC2BF3" w:rsidRPr="00F11C78">
        <w:rPr>
          <w:lang w:val="es-ES_tradnl"/>
        </w:rPr>
        <w:t xml:space="preserve"> se señala que:</w:t>
      </w:r>
    </w:p>
    <w:p w:rsidR="00A628BF" w:rsidRPr="00F11C78" w:rsidRDefault="00A628BF" w:rsidP="003802CD">
      <w:pPr>
        <w:rPr>
          <w:lang w:val="es-ES_tradnl"/>
        </w:rPr>
      </w:pPr>
    </w:p>
    <w:p w:rsidR="00A628BF" w:rsidRPr="00F11C78" w:rsidRDefault="00D401C6" w:rsidP="00DC2BF3">
      <w:pPr>
        <w:ind w:left="567" w:right="567"/>
        <w:rPr>
          <w:sz w:val="18"/>
          <w:szCs w:val="18"/>
          <w:lang w:val="es-ES_tradnl"/>
        </w:rPr>
      </w:pPr>
      <w:r w:rsidRPr="00F11C78">
        <w:rPr>
          <w:sz w:val="18"/>
          <w:szCs w:val="18"/>
          <w:lang w:val="es-ES_tradnl"/>
        </w:rPr>
        <w:t>“</w:t>
      </w:r>
      <w:r w:rsidR="00382295" w:rsidRPr="00F11C78">
        <w:rPr>
          <w:sz w:val="18"/>
          <w:szCs w:val="18"/>
          <w:lang w:val="es-ES_tradnl"/>
        </w:rPr>
        <w:t>2.</w:t>
      </w:r>
      <w:r w:rsidR="00382295" w:rsidRPr="00F11C78">
        <w:rPr>
          <w:sz w:val="18"/>
          <w:szCs w:val="18"/>
          <w:lang w:val="es-ES_tradnl"/>
        </w:rPr>
        <w:tab/>
      </w:r>
      <w:r w:rsidR="00DC2BF3" w:rsidRPr="00F11C78">
        <w:rPr>
          <w:sz w:val="18"/>
          <w:szCs w:val="18"/>
          <w:lang w:val="es-ES_tradnl"/>
        </w:rPr>
        <w:t>A reserva de lo dispuesto en el Convenio Internacional para la Protección de las Obtenciones Vegetales, que fue adoptado el 2 de diciembre de 1961 y revisado el 10 de noviembre de 1972, el 23 de octubre de 1978 y el 19 de marzo de 1991, y en el Acuerdo OMPI/UPOV, en el presente documento se recogen el Reglamento Financiero y la Reglamentación Financiera de la UPOV, elaborados sobre la base del “Reglamento Financiero y Reglamentación Financiera de la Organización Mundial de la Propiedad Intelectual (OMPI)”, aprobados por las Asambleas de los Estados miembros de la OMPI en su cuadragésima tercera serie de reuniones, celebrada en Ginebra del 24 de septiembre al 3 de octubre de 2007 (documento A/43/13, párrafos 256 a 261), en vigor desde el 1 de enero de 2008 y modificados el 1 de octubre de 2009, y el 1 de enero de 2010, el 1 de octubre de 2010, el 5 de octubre de 2011 y el 9 de octubre de 2012, y que aquí se modifican conforme a lo siguiente:</w:t>
      </w:r>
      <w:r w:rsidR="007870FE" w:rsidRPr="00F11C78">
        <w:rPr>
          <w:sz w:val="18"/>
          <w:szCs w:val="18"/>
          <w:lang w:val="es-ES_tradnl"/>
        </w:rPr>
        <w:t xml:space="preserve"> </w:t>
      </w:r>
    </w:p>
    <w:p w:rsidR="00A628BF" w:rsidRPr="00F11C78" w:rsidRDefault="00A628BF" w:rsidP="00C16FD9">
      <w:pPr>
        <w:rPr>
          <w:lang w:val="es-ES_tradnl"/>
        </w:rPr>
      </w:pPr>
    </w:p>
    <w:p w:rsidR="00A628BF" w:rsidRPr="00F11C78" w:rsidRDefault="007870FE" w:rsidP="00DC2BF3">
      <w:pPr>
        <w:ind w:left="567" w:right="567"/>
        <w:rPr>
          <w:sz w:val="18"/>
          <w:szCs w:val="18"/>
          <w:lang w:val="es-ES_tradnl"/>
        </w:rPr>
      </w:pPr>
      <w:r w:rsidRPr="00F11C78">
        <w:rPr>
          <w:sz w:val="18"/>
          <w:szCs w:val="18"/>
          <w:lang w:val="es-ES_tradnl"/>
        </w:rPr>
        <w:tab/>
      </w:r>
      <w:r w:rsidR="00126248" w:rsidRPr="00F11C78">
        <w:rPr>
          <w:sz w:val="18"/>
          <w:szCs w:val="18"/>
          <w:lang w:val="es-ES_tradnl"/>
        </w:rPr>
        <w:t>a)</w:t>
      </w:r>
      <w:r w:rsidR="00126248" w:rsidRPr="00F11C78">
        <w:rPr>
          <w:sz w:val="18"/>
          <w:szCs w:val="18"/>
          <w:lang w:val="es-ES_tradnl"/>
        </w:rPr>
        <w:tab/>
      </w:r>
      <w:r w:rsidR="00DC2BF3" w:rsidRPr="00F11C78">
        <w:rPr>
          <w:sz w:val="18"/>
          <w:szCs w:val="18"/>
          <w:lang w:val="es-ES_tradnl"/>
        </w:rPr>
        <w:t xml:space="preserve">la aplicación del principio de </w:t>
      </w:r>
      <w:r w:rsidR="00DC2BF3" w:rsidRPr="00F11C78">
        <w:rPr>
          <w:i/>
          <w:sz w:val="18"/>
          <w:szCs w:val="18"/>
          <w:lang w:val="es-ES_tradnl"/>
        </w:rPr>
        <w:t>mutatis mutandis</w:t>
      </w:r>
      <w:r w:rsidR="00DC2BF3" w:rsidRPr="00F11C78">
        <w:rPr>
          <w:sz w:val="18"/>
          <w:szCs w:val="18"/>
          <w:lang w:val="es-ES_tradnl"/>
        </w:rPr>
        <w:t>”;</w:t>
      </w:r>
      <w:r w:rsidR="00D401C6" w:rsidRPr="00F11C78">
        <w:rPr>
          <w:sz w:val="18"/>
          <w:szCs w:val="18"/>
          <w:lang w:val="es-ES_tradnl"/>
        </w:rPr>
        <w:t xml:space="preserve">  y</w:t>
      </w:r>
    </w:p>
    <w:p w:rsidR="00A628BF" w:rsidRPr="00F11C78" w:rsidRDefault="00A628BF" w:rsidP="00C16FD9">
      <w:pPr>
        <w:rPr>
          <w:lang w:val="es-ES_tradnl"/>
        </w:rPr>
      </w:pPr>
    </w:p>
    <w:p w:rsidR="00A628BF" w:rsidRPr="00F11C78" w:rsidRDefault="007870FE" w:rsidP="00C16FD9">
      <w:pPr>
        <w:spacing w:after="240"/>
        <w:ind w:left="567" w:right="567"/>
        <w:rPr>
          <w:sz w:val="18"/>
          <w:lang w:val="es-ES_tradnl"/>
        </w:rPr>
      </w:pPr>
      <w:r w:rsidRPr="00F11C78">
        <w:rPr>
          <w:sz w:val="18"/>
          <w:lang w:val="es-ES_tradnl"/>
        </w:rPr>
        <w:tab/>
      </w:r>
      <w:r w:rsidR="00126248" w:rsidRPr="00F11C78">
        <w:rPr>
          <w:sz w:val="18"/>
          <w:lang w:val="es-ES_tradnl"/>
        </w:rPr>
        <w:t>b)</w:t>
      </w:r>
      <w:r w:rsidR="00126248" w:rsidRPr="00F11C78">
        <w:rPr>
          <w:sz w:val="18"/>
          <w:lang w:val="es-ES_tradnl"/>
        </w:rPr>
        <w:tab/>
      </w:r>
      <w:r w:rsidR="00DC2BF3" w:rsidRPr="00F11C78">
        <w:rPr>
          <w:sz w:val="18"/>
          <w:lang w:val="es-ES_tradnl"/>
        </w:rPr>
        <w:t xml:space="preserve">las excepciones y añadidos acordados por el Consejo de la UPOV y el Director General de </w:t>
      </w:r>
      <w:r w:rsidR="00C16FD9">
        <w:rPr>
          <w:sz w:val="18"/>
          <w:lang w:val="es-ES_tradnl"/>
        </w:rPr>
        <w:fldChar w:fldCharType="begin"/>
      </w:r>
      <w:r w:rsidR="00C16FD9">
        <w:rPr>
          <w:sz w:val="18"/>
          <w:lang w:val="es-ES_tradnl"/>
        </w:rPr>
        <w:instrText xml:space="preserve"> DATE \@ "dd/MM/yyyy" </w:instrText>
      </w:r>
      <w:r w:rsidR="00C16FD9">
        <w:rPr>
          <w:sz w:val="18"/>
          <w:lang w:val="es-ES_tradnl"/>
        </w:rPr>
        <w:fldChar w:fldCharType="separate"/>
      </w:r>
      <w:r w:rsidR="00984572">
        <w:rPr>
          <w:noProof/>
          <w:sz w:val="18"/>
          <w:lang w:val="es-ES_tradnl"/>
        </w:rPr>
        <w:t>19/02/2015</w:t>
      </w:r>
      <w:r w:rsidR="00C16FD9">
        <w:rPr>
          <w:sz w:val="18"/>
          <w:lang w:val="es-ES_tradnl"/>
        </w:rPr>
        <w:fldChar w:fldCharType="end"/>
      </w:r>
      <w:r w:rsidR="00DC2BF3" w:rsidRPr="00F11C78">
        <w:rPr>
          <w:sz w:val="18"/>
          <w:lang w:val="es-ES_tradnl"/>
        </w:rPr>
        <w:t>la OMPI.”</w:t>
      </w:r>
    </w:p>
    <w:p w:rsidR="00A628BF" w:rsidRPr="00F11C78" w:rsidRDefault="002C627E" w:rsidP="00DC2BF3">
      <w:pPr>
        <w:ind w:left="567" w:right="567"/>
        <w:rPr>
          <w:sz w:val="18"/>
          <w:lang w:val="es-ES_tradnl"/>
        </w:rPr>
      </w:pPr>
      <w:r w:rsidRPr="00F11C78">
        <w:rPr>
          <w:sz w:val="18"/>
          <w:lang w:val="es-ES_tradnl"/>
        </w:rPr>
        <w:lastRenderedPageBreak/>
        <w:tab/>
      </w:r>
      <w:r w:rsidR="00DC2BF3" w:rsidRPr="00F11C78">
        <w:rPr>
          <w:sz w:val="18"/>
          <w:lang w:val="es-ES_tradnl"/>
        </w:rPr>
        <w:t>El texto que figura destacado en el presente documento indica las enmiendas introducidas en el texto del Reglamento Financiero y Reglamentación Financiera de la OMPI c</w:t>
      </w:r>
      <w:r w:rsidR="00C16FD9">
        <w:rPr>
          <w:sz w:val="18"/>
          <w:lang w:val="es-ES_tradnl"/>
        </w:rPr>
        <w:t>on arreglo a los apartados a) y </w:t>
      </w:r>
      <w:r w:rsidR="00DC2BF3" w:rsidRPr="00F11C78">
        <w:rPr>
          <w:sz w:val="18"/>
          <w:lang w:val="es-ES_tradnl"/>
        </w:rPr>
        <w:t>b) anteriores.</w:t>
      </w:r>
      <w:r w:rsidR="00D401C6" w:rsidRPr="00F11C78">
        <w:rPr>
          <w:sz w:val="18"/>
          <w:lang w:val="es-ES_tradnl"/>
        </w:rPr>
        <w:t>”</w:t>
      </w:r>
    </w:p>
    <w:p w:rsidR="00A628BF" w:rsidRPr="00F11C78" w:rsidRDefault="00A628BF" w:rsidP="002C627E">
      <w:pPr>
        <w:rPr>
          <w:lang w:val="es-ES_tradnl"/>
        </w:rPr>
      </w:pPr>
    </w:p>
    <w:p w:rsidR="00A628BF" w:rsidRPr="00F11C78" w:rsidRDefault="0049699F" w:rsidP="00DC2BF3">
      <w:pPr>
        <w:rPr>
          <w:lang w:val="es-ES_tradnl"/>
        </w:rPr>
      </w:pPr>
      <w:r w:rsidRPr="00F11C78">
        <w:rPr>
          <w:lang w:val="es-ES_tradnl"/>
        </w:rPr>
        <w:fldChar w:fldCharType="begin"/>
      </w:r>
      <w:r w:rsidR="003802CD" w:rsidRPr="00F11C78">
        <w:rPr>
          <w:lang w:val="es-ES_tradnl"/>
        </w:rPr>
        <w:instrText xml:space="preserve"> AUTONUM  </w:instrText>
      </w:r>
      <w:r w:rsidRPr="00F11C78">
        <w:rPr>
          <w:lang w:val="es-ES_tradnl"/>
        </w:rPr>
        <w:fldChar w:fldCharType="end"/>
      </w:r>
      <w:r w:rsidR="003802CD" w:rsidRPr="00F11C78">
        <w:rPr>
          <w:lang w:val="es-ES_tradnl"/>
        </w:rPr>
        <w:tab/>
      </w:r>
      <w:r w:rsidR="00DC2BF3" w:rsidRPr="00F11C78">
        <w:rPr>
          <w:lang w:val="es-ES_tradnl"/>
        </w:rPr>
        <w:t>Como consecuencia de las enmiendas introducidas en el Reglamento Financiero y la Reglamentación Financiera de la Organización Mundial de la Propiedad Intelectual (OMPI) (</w:t>
      </w:r>
      <w:hyperlink r:id="rId10" w:history="1">
        <w:r w:rsidR="00C16FD9" w:rsidRPr="0080179C">
          <w:rPr>
            <w:rStyle w:val="Hyperlink"/>
            <w:lang w:val="es-ES_tradnl"/>
          </w:rPr>
          <w:t>http://www.wipo.int/about-wipo/es/pdf/wipo_financial_regulations.pdf</w:t>
        </w:r>
      </w:hyperlink>
      <w:r w:rsidR="00DC2BF3" w:rsidRPr="00F11C78">
        <w:rPr>
          <w:lang w:val="es-ES_tradnl"/>
        </w:rPr>
        <w:t>), aprobadas en Ginebra el 30</w:t>
      </w:r>
      <w:r w:rsidR="00D401C6" w:rsidRPr="00F11C78">
        <w:rPr>
          <w:lang w:val="es-ES_tradnl"/>
        </w:rPr>
        <w:t xml:space="preserve"> de octubre de 2014, se invita</w:t>
      </w:r>
      <w:r w:rsidR="00DC2BF3" w:rsidRPr="00F11C78">
        <w:rPr>
          <w:lang w:val="es-ES_tradnl"/>
        </w:rPr>
        <w:t xml:space="preserve"> al Consejo a examinar las enmiendas propuestas para la revisión del documento UPOV/INF/4/3, “Reglamento Financiero y Reglamentación Financiera de la UPOV”</w:t>
      </w:r>
      <w:r w:rsidR="00D401C6" w:rsidRPr="00F11C78">
        <w:rPr>
          <w:lang w:val="es-ES_tradnl"/>
        </w:rPr>
        <w:t xml:space="preserve"> (documento UPOV/INF/4/4)</w:t>
      </w:r>
      <w:r w:rsidR="00DC2BF3" w:rsidRPr="00F11C78">
        <w:rPr>
          <w:lang w:val="es-ES_tradnl"/>
        </w:rPr>
        <w:t>, que se exponen en el Anexo del presente documento.</w:t>
      </w:r>
    </w:p>
    <w:p w:rsidR="00A628BF" w:rsidRPr="00F11C78" w:rsidRDefault="00A628BF" w:rsidP="003802CD">
      <w:pPr>
        <w:rPr>
          <w:lang w:val="es-ES_tradnl"/>
        </w:rPr>
      </w:pPr>
    </w:p>
    <w:p w:rsidR="00A628BF" w:rsidRPr="00F11C78" w:rsidRDefault="0049699F" w:rsidP="003802CD">
      <w:pPr>
        <w:rPr>
          <w:lang w:val="es-ES_tradnl"/>
        </w:rPr>
      </w:pPr>
      <w:r w:rsidRPr="00F11C78">
        <w:rPr>
          <w:lang w:val="es-ES_tradnl"/>
        </w:rPr>
        <w:fldChar w:fldCharType="begin"/>
      </w:r>
      <w:r w:rsidR="003802CD" w:rsidRPr="00F11C78">
        <w:rPr>
          <w:lang w:val="es-ES_tradnl"/>
        </w:rPr>
        <w:instrText xml:space="preserve"> AUTONUM  </w:instrText>
      </w:r>
      <w:r w:rsidRPr="00F11C78">
        <w:rPr>
          <w:lang w:val="es-ES_tradnl"/>
        </w:rPr>
        <w:fldChar w:fldCharType="end"/>
      </w:r>
      <w:r w:rsidR="003802CD" w:rsidRPr="00F11C78">
        <w:rPr>
          <w:lang w:val="es-ES_tradnl"/>
        </w:rPr>
        <w:tab/>
      </w:r>
      <w:r w:rsidR="00265657" w:rsidRPr="00F11C78">
        <w:rPr>
          <w:lang w:val="es-ES_tradnl"/>
        </w:rPr>
        <w:t>En la trigésima segunda sesión extraordinaria del Consejo</w:t>
      </w:r>
      <w:r w:rsidR="00205C9C" w:rsidRPr="00F11C78">
        <w:rPr>
          <w:snapToGrid w:val="0"/>
          <w:lang w:val="es-ES_tradnl"/>
        </w:rPr>
        <w:t xml:space="preserve">, </w:t>
      </w:r>
      <w:r w:rsidR="00265657" w:rsidRPr="00F11C78">
        <w:rPr>
          <w:snapToGrid w:val="0"/>
          <w:lang w:val="es-ES_tradnl"/>
        </w:rPr>
        <w:t xml:space="preserve">se presentará un informe </w:t>
      </w:r>
      <w:r w:rsidR="00265657" w:rsidRPr="00F11C78">
        <w:rPr>
          <w:lang w:val="es-ES_tradnl"/>
        </w:rPr>
        <w:t>sobre las conclusiones de la octogésima novena sesión del Comité Consultivo, que se celebrará en Ginebra el 27 de marzo de 2015, en relación con las propuestas de revisión del documento UPOV/INF/4/3</w:t>
      </w:r>
      <w:r w:rsidR="00205C9C" w:rsidRPr="00F11C78">
        <w:rPr>
          <w:lang w:val="es-ES_tradnl"/>
        </w:rPr>
        <w:t xml:space="preserve"> (véase el documento C(Extr.)/32/5) </w:t>
      </w:r>
      <w:r w:rsidR="00205C9C" w:rsidRPr="00F11C78">
        <w:rPr>
          <w:snapToGrid w:val="0"/>
          <w:lang w:val="es-ES_tradnl"/>
        </w:rPr>
        <w:t xml:space="preserve">“Informe de la Presidenta sobre los trabajos de la octogésima novena sesión del Comité Consultivo;  aprobación, si procede, </w:t>
      </w:r>
      <w:r w:rsidR="00205C9C" w:rsidRPr="00F11C78">
        <w:rPr>
          <w:lang w:val="es-ES_tradnl"/>
        </w:rPr>
        <w:t>de las recomendaciones preparadas por dicho Comité”)</w:t>
      </w:r>
      <w:r w:rsidR="003802CD" w:rsidRPr="00F11C78">
        <w:rPr>
          <w:lang w:val="es-ES_tradnl"/>
        </w:rPr>
        <w:t>.</w:t>
      </w:r>
    </w:p>
    <w:p w:rsidR="00A628BF" w:rsidRPr="00F11C78" w:rsidRDefault="00A628BF" w:rsidP="003802CD">
      <w:pPr>
        <w:rPr>
          <w:lang w:val="es-ES_tradnl"/>
        </w:rPr>
      </w:pPr>
    </w:p>
    <w:p w:rsidR="00A628BF" w:rsidRPr="00F11C78" w:rsidRDefault="0049699F" w:rsidP="00DC2BF3">
      <w:pPr>
        <w:pStyle w:val="DecisionParagraphs"/>
        <w:rPr>
          <w:lang w:val="es-ES_tradnl"/>
        </w:rPr>
      </w:pPr>
      <w:r w:rsidRPr="00F11C78">
        <w:rPr>
          <w:lang w:val="es-ES_tradnl"/>
        </w:rPr>
        <w:fldChar w:fldCharType="begin"/>
      </w:r>
      <w:r w:rsidR="003802CD" w:rsidRPr="00F11C78">
        <w:rPr>
          <w:lang w:val="es-ES_tradnl"/>
        </w:rPr>
        <w:instrText xml:space="preserve"> AUTONUM  </w:instrText>
      </w:r>
      <w:r w:rsidRPr="00F11C78">
        <w:rPr>
          <w:lang w:val="es-ES_tradnl"/>
        </w:rPr>
        <w:fldChar w:fldCharType="end"/>
      </w:r>
      <w:r w:rsidR="003802CD" w:rsidRPr="00F11C78">
        <w:rPr>
          <w:lang w:val="es-ES_tradnl"/>
        </w:rPr>
        <w:tab/>
      </w:r>
      <w:r w:rsidR="00DC2BF3" w:rsidRPr="00F11C78">
        <w:rPr>
          <w:lang w:val="es-ES_tradnl"/>
        </w:rPr>
        <w:t>Se invita al Consejo a aprobar la revisión del documento UPOV/INF/4 “Reglamento Financiero y Reglamentación Financiera de la UPOV” (documento UPOV/INF/4/4), sobre la base de las enmiendas introducidas en el documento UPOV/INF/4/3, según lo expuesto en el Anexo del presente documento.</w:t>
      </w:r>
    </w:p>
    <w:p w:rsidR="00A628BF" w:rsidRPr="00F11C78" w:rsidRDefault="00A628BF" w:rsidP="003802CD">
      <w:pPr>
        <w:rPr>
          <w:u w:val="single"/>
          <w:lang w:val="es-ES_tradnl"/>
        </w:rPr>
      </w:pPr>
    </w:p>
    <w:p w:rsidR="00A628BF" w:rsidRPr="00F11C78" w:rsidRDefault="00A628BF" w:rsidP="003802CD">
      <w:pPr>
        <w:rPr>
          <w:u w:val="single"/>
          <w:lang w:val="es-ES_tradnl"/>
        </w:rPr>
      </w:pPr>
    </w:p>
    <w:p w:rsidR="00A628BF" w:rsidRPr="00F11C78" w:rsidRDefault="00DC2BF3" w:rsidP="00DC2BF3">
      <w:pPr>
        <w:keepNext/>
        <w:ind w:left="1560" w:hanging="1560"/>
        <w:rPr>
          <w:u w:val="single"/>
          <w:lang w:val="es-ES_tradnl"/>
        </w:rPr>
      </w:pPr>
      <w:r w:rsidRPr="00F11C78">
        <w:rPr>
          <w:u w:val="single"/>
          <w:lang w:val="es-ES_tradnl"/>
        </w:rPr>
        <w:t>UPOV/INF/15/3</w:t>
      </w:r>
      <w:r w:rsidR="00F47680" w:rsidRPr="00F11C78">
        <w:rPr>
          <w:u w:val="single"/>
          <w:lang w:val="es-ES_tradnl"/>
        </w:rPr>
        <w:t>:</w:t>
      </w:r>
      <w:r w:rsidR="00F47680" w:rsidRPr="00F11C78">
        <w:rPr>
          <w:u w:val="single"/>
          <w:lang w:val="es-ES_tradnl"/>
        </w:rPr>
        <w:tab/>
      </w:r>
      <w:r w:rsidRPr="00F11C78">
        <w:rPr>
          <w:u w:val="single"/>
          <w:lang w:val="es-ES_tradnl"/>
        </w:rPr>
        <w:t>Orientación para los miembros de la UPOV sobre las obligaciones actuales y las notificaciones conexas y sobre el suministro de información para facilitar la cooperación (Revisión) (documento UPOV/INF/15/3 Draft 2)</w:t>
      </w:r>
    </w:p>
    <w:p w:rsidR="00A628BF" w:rsidRPr="00F11C78" w:rsidRDefault="00A628BF" w:rsidP="003802CD">
      <w:pPr>
        <w:keepNext/>
        <w:rPr>
          <w:lang w:val="es-ES_tradnl"/>
        </w:rPr>
      </w:pPr>
    </w:p>
    <w:p w:rsidR="00A628BF" w:rsidRPr="00F11C78" w:rsidRDefault="0049699F" w:rsidP="00DC2BF3">
      <w:pPr>
        <w:rPr>
          <w:lang w:val="es-ES_tradnl"/>
        </w:rPr>
      </w:pPr>
      <w:r w:rsidRPr="00F11C78">
        <w:rPr>
          <w:lang w:val="es-ES_tradnl"/>
        </w:rPr>
        <w:fldChar w:fldCharType="begin"/>
      </w:r>
      <w:r w:rsidR="003802CD" w:rsidRPr="00F11C78">
        <w:rPr>
          <w:lang w:val="es-ES_tradnl"/>
        </w:rPr>
        <w:instrText xml:space="preserve"> AUTONUM  </w:instrText>
      </w:r>
      <w:r w:rsidRPr="00F11C78">
        <w:rPr>
          <w:lang w:val="es-ES_tradnl"/>
        </w:rPr>
        <w:fldChar w:fldCharType="end"/>
      </w:r>
      <w:r w:rsidR="003802CD" w:rsidRPr="00F11C78">
        <w:rPr>
          <w:lang w:val="es-ES_tradnl"/>
        </w:rPr>
        <w:tab/>
      </w:r>
      <w:r w:rsidR="00DC2BF3" w:rsidRPr="00F11C78">
        <w:rPr>
          <w:lang w:val="es-ES_tradnl"/>
        </w:rPr>
        <w:t xml:space="preserve">En su </w:t>
      </w:r>
      <w:r w:rsidR="00A13879" w:rsidRPr="00F11C78">
        <w:rPr>
          <w:lang w:val="es-ES_tradnl"/>
        </w:rPr>
        <w:t xml:space="preserve">septuagésima </w:t>
      </w:r>
      <w:r w:rsidR="00DC2BF3" w:rsidRPr="00F11C78">
        <w:rPr>
          <w:lang w:val="es-ES_tradnl"/>
        </w:rPr>
        <w:t xml:space="preserve">sesión, celebrada en Ginebra el 13 de octubre de 2014, el CAJ aprobó las propuestas de revisión del documento UPOV/INF/15/2 “Orientación para los miembros de la UPOV sobre las obligaciones actuales y las notificaciones conexas” y convino en que se presente a la aprobación del Consejo una versión revisada de ese documento (documento UPOV/INF/15/3 Draft 2) en su trigésima </w:t>
      </w:r>
      <w:r w:rsidR="009C3BF6" w:rsidRPr="00F11C78">
        <w:rPr>
          <w:lang w:val="es-ES_tradnl"/>
        </w:rPr>
        <w:t xml:space="preserve">segunda </w:t>
      </w:r>
      <w:r w:rsidR="00DC2BF3" w:rsidRPr="00F11C78">
        <w:rPr>
          <w:lang w:val="es-ES_tradnl"/>
        </w:rPr>
        <w:t>sesión extraordinaria.</w:t>
      </w:r>
    </w:p>
    <w:p w:rsidR="00A628BF" w:rsidRPr="00F11C78" w:rsidRDefault="00A628BF" w:rsidP="003802CD">
      <w:pPr>
        <w:rPr>
          <w:lang w:val="es-ES_tradnl"/>
        </w:rPr>
      </w:pPr>
    </w:p>
    <w:p w:rsidR="00A628BF" w:rsidRPr="00F11C78" w:rsidRDefault="0049699F" w:rsidP="00DC2BF3">
      <w:pPr>
        <w:tabs>
          <w:tab w:val="left" w:pos="5387"/>
        </w:tabs>
        <w:ind w:left="4820"/>
        <w:rPr>
          <w:i/>
          <w:lang w:val="es-ES_tradnl"/>
        </w:rPr>
      </w:pPr>
      <w:r w:rsidRPr="00F11C78">
        <w:rPr>
          <w:i/>
          <w:lang w:val="es-ES_tradnl"/>
        </w:rPr>
        <w:fldChar w:fldCharType="begin"/>
      </w:r>
      <w:r w:rsidR="003802CD" w:rsidRPr="00F11C78">
        <w:rPr>
          <w:i/>
          <w:lang w:val="es-ES_tradnl"/>
        </w:rPr>
        <w:instrText xml:space="preserve"> AUTONUM  </w:instrText>
      </w:r>
      <w:r w:rsidRPr="00F11C78">
        <w:rPr>
          <w:i/>
          <w:lang w:val="es-ES_tradnl"/>
        </w:rPr>
        <w:fldChar w:fldCharType="end"/>
      </w:r>
      <w:r w:rsidR="003802CD" w:rsidRPr="00F11C78">
        <w:rPr>
          <w:i/>
          <w:lang w:val="es-ES_tradnl"/>
        </w:rPr>
        <w:tab/>
      </w:r>
      <w:r w:rsidR="00DC2BF3" w:rsidRPr="00F11C78">
        <w:rPr>
          <w:i/>
          <w:lang w:val="es-ES_tradnl"/>
        </w:rPr>
        <w:t>Se invita al Consejo a aprobar la revisión del documento UPOV/INF/15</w:t>
      </w:r>
      <w:r w:rsidR="00303B0A" w:rsidRPr="00F11C78">
        <w:rPr>
          <w:i/>
          <w:lang w:val="es-ES_tradnl"/>
        </w:rPr>
        <w:t xml:space="preserve"> </w:t>
      </w:r>
      <w:r w:rsidR="00DC2BF3" w:rsidRPr="00F11C78">
        <w:rPr>
          <w:i/>
          <w:lang w:val="es-ES_tradnl"/>
        </w:rPr>
        <w:t>“Orientación para los miembros de la UPOV sobre las obligaciones actuales y las notificaciones conexas y sobre el suministro de información para facilitar la cooperación”</w:t>
      </w:r>
      <w:r w:rsidR="009C3BF6" w:rsidRPr="00F11C78">
        <w:rPr>
          <w:i/>
          <w:lang w:val="es-ES_tradnl"/>
        </w:rPr>
        <w:t xml:space="preserve"> (documento UPOV/INF/15/3)</w:t>
      </w:r>
      <w:r w:rsidR="00DC2BF3" w:rsidRPr="00F11C78">
        <w:rPr>
          <w:i/>
          <w:lang w:val="es-ES_tradnl"/>
        </w:rPr>
        <w:t xml:space="preserve"> sobre la base del documento UPOV/INF/15/3 Draft 2.</w:t>
      </w:r>
    </w:p>
    <w:p w:rsidR="00A628BF" w:rsidRPr="00F11C78" w:rsidRDefault="00A628BF" w:rsidP="003802CD">
      <w:pPr>
        <w:rPr>
          <w:lang w:val="es-ES_tradnl"/>
        </w:rPr>
      </w:pPr>
    </w:p>
    <w:p w:rsidR="00A628BF" w:rsidRPr="00F11C78" w:rsidRDefault="00A628BF" w:rsidP="003802CD">
      <w:pPr>
        <w:rPr>
          <w:lang w:val="es-ES_tradnl"/>
        </w:rPr>
      </w:pPr>
    </w:p>
    <w:p w:rsidR="00C16FD9" w:rsidRDefault="00C16FD9">
      <w:pPr>
        <w:jc w:val="left"/>
        <w:rPr>
          <w:u w:val="single"/>
          <w:lang w:val="es-ES_tradnl"/>
        </w:rPr>
      </w:pPr>
      <w:r>
        <w:rPr>
          <w:u w:val="single"/>
          <w:lang w:val="es-ES_tradnl"/>
        </w:rPr>
        <w:br w:type="page"/>
      </w:r>
    </w:p>
    <w:p w:rsidR="00A628BF" w:rsidRPr="00F11C78" w:rsidRDefault="00DC2BF3" w:rsidP="00DC2BF3">
      <w:pPr>
        <w:keepNext/>
        <w:ind w:left="1820" w:hanging="1820"/>
        <w:rPr>
          <w:u w:val="single"/>
          <w:lang w:val="es-ES_tradnl"/>
        </w:rPr>
      </w:pPr>
      <w:r w:rsidRPr="00F11C78">
        <w:rPr>
          <w:u w:val="single"/>
          <w:lang w:val="es-ES_tradnl"/>
        </w:rPr>
        <w:lastRenderedPageBreak/>
        <w:t>UPOV/INF-EXN/7:</w:t>
      </w:r>
      <w:r w:rsidR="00D723E8" w:rsidRPr="00F11C78">
        <w:rPr>
          <w:u w:val="single"/>
          <w:lang w:val="es-ES_tradnl"/>
        </w:rPr>
        <w:tab/>
      </w:r>
      <w:r w:rsidRPr="00F11C78">
        <w:rPr>
          <w:u w:val="single"/>
          <w:lang w:val="es-ES_tradnl"/>
        </w:rPr>
        <w:t>Lista de documentos INF-EXN y fecha de última publicación (Revisión)</w:t>
      </w:r>
      <w:r w:rsidRPr="00F11C78">
        <w:rPr>
          <w:lang w:val="es-ES_tradnl"/>
        </w:rPr>
        <w:t xml:space="preserve"> </w:t>
      </w:r>
      <w:r w:rsidRPr="00F11C78">
        <w:rPr>
          <w:u w:val="single"/>
          <w:lang w:val="es-ES_tradnl"/>
        </w:rPr>
        <w:t>(documento UPOV/INF-EXN/7 Draft 1)</w:t>
      </w:r>
    </w:p>
    <w:p w:rsidR="00A628BF" w:rsidRPr="00F11C78" w:rsidRDefault="00A628BF" w:rsidP="003802CD">
      <w:pPr>
        <w:keepNext/>
        <w:rPr>
          <w:lang w:val="es-ES_tradnl"/>
        </w:rPr>
      </w:pPr>
    </w:p>
    <w:p w:rsidR="00A628BF" w:rsidRPr="00F11C78" w:rsidRDefault="0049699F" w:rsidP="00DC2BF3">
      <w:pPr>
        <w:rPr>
          <w:lang w:val="es-ES_tradnl"/>
        </w:rPr>
      </w:pPr>
      <w:r w:rsidRPr="00F11C78">
        <w:rPr>
          <w:lang w:val="es-ES_tradnl"/>
        </w:rPr>
        <w:fldChar w:fldCharType="begin"/>
      </w:r>
      <w:r w:rsidR="003802CD" w:rsidRPr="00F11C78">
        <w:rPr>
          <w:lang w:val="es-ES_tradnl"/>
        </w:rPr>
        <w:instrText xml:space="preserve"> AUTONUM  </w:instrText>
      </w:r>
      <w:r w:rsidRPr="00F11C78">
        <w:rPr>
          <w:lang w:val="es-ES_tradnl"/>
        </w:rPr>
        <w:fldChar w:fldCharType="end"/>
      </w:r>
      <w:r w:rsidR="003802CD" w:rsidRPr="00F11C78">
        <w:rPr>
          <w:lang w:val="es-ES_tradnl"/>
        </w:rPr>
        <w:tab/>
      </w:r>
      <w:r w:rsidR="00DC2BF3" w:rsidRPr="00F11C78">
        <w:rPr>
          <w:lang w:val="es-ES_tradnl"/>
        </w:rPr>
        <w:t xml:space="preserve">Junto con los documentos de información que se invitará a aprobar al Consejo en su trigésima </w:t>
      </w:r>
      <w:r w:rsidR="006102D9" w:rsidRPr="00F11C78">
        <w:rPr>
          <w:lang w:val="es-ES_tradnl"/>
        </w:rPr>
        <w:t xml:space="preserve">segunda </w:t>
      </w:r>
      <w:r w:rsidR="00DC2BF3" w:rsidRPr="00F11C78">
        <w:rPr>
          <w:lang w:val="es-ES_tradnl"/>
        </w:rPr>
        <w:t>sesión extraordinaria, y de conformidad con el procedimiento para actualizar documentos aprobados previamente por el Consejo,</w:t>
      </w:r>
      <w:r w:rsidR="0035058A" w:rsidRPr="00F11C78">
        <w:rPr>
          <w:rStyle w:val="FootnoteReference"/>
          <w:lang w:val="es-ES_tradnl"/>
        </w:rPr>
        <w:footnoteReference w:id="2"/>
      </w:r>
      <w:r w:rsidR="00DC2BF3" w:rsidRPr="00F11C78">
        <w:rPr>
          <w:lang w:val="es-ES_tradnl"/>
        </w:rPr>
        <w:t xml:space="preserve"> se propone aprobar el documento UPOV/INF-EXN/</w:t>
      </w:r>
      <w:r w:rsidR="00C16FD9">
        <w:rPr>
          <w:lang w:val="es-ES_tradnl"/>
        </w:rPr>
        <w:t>7</w:t>
      </w:r>
      <w:r w:rsidR="00DC2BF3" w:rsidRPr="00F11C78">
        <w:rPr>
          <w:lang w:val="es-ES_tradnl"/>
        </w:rPr>
        <w:t>, “Lista de documentos UPOV/INF-EXN y fechas de última publicación” sobre</w:t>
      </w:r>
      <w:r w:rsidR="00C16FD9">
        <w:rPr>
          <w:lang w:val="es-ES_tradnl"/>
        </w:rPr>
        <w:t xml:space="preserve"> la base del documento UPOV/INF</w:t>
      </w:r>
      <w:r w:rsidR="00C16FD9">
        <w:rPr>
          <w:lang w:val="es-ES_tradnl"/>
        </w:rPr>
        <w:noBreakHyphen/>
      </w:r>
      <w:r w:rsidR="00DC2BF3" w:rsidRPr="00F11C78">
        <w:rPr>
          <w:lang w:val="es-ES_tradnl"/>
        </w:rPr>
        <w:t>EXN/</w:t>
      </w:r>
      <w:r w:rsidR="00C16FD9">
        <w:rPr>
          <w:lang w:val="es-ES_tradnl"/>
        </w:rPr>
        <w:t>7</w:t>
      </w:r>
      <w:r w:rsidR="00DC2BF3" w:rsidRPr="00F11C78">
        <w:rPr>
          <w:lang w:val="es-ES_tradnl"/>
        </w:rPr>
        <w:t> Draft 1.</w:t>
      </w:r>
    </w:p>
    <w:p w:rsidR="00A628BF" w:rsidRPr="00F11C78" w:rsidRDefault="00A628BF" w:rsidP="003802CD">
      <w:pPr>
        <w:rPr>
          <w:lang w:val="es-ES_tradnl"/>
        </w:rPr>
      </w:pPr>
    </w:p>
    <w:p w:rsidR="00A628BF" w:rsidRPr="00F11C78" w:rsidRDefault="0049699F" w:rsidP="00DC2BF3">
      <w:pPr>
        <w:tabs>
          <w:tab w:val="left" w:pos="5387"/>
        </w:tabs>
        <w:ind w:left="4820"/>
        <w:rPr>
          <w:i/>
          <w:snapToGrid w:val="0"/>
          <w:lang w:val="es-ES_tradnl"/>
        </w:rPr>
      </w:pPr>
      <w:r w:rsidRPr="00F11C78">
        <w:rPr>
          <w:i/>
          <w:lang w:val="es-ES_tradnl"/>
        </w:rPr>
        <w:fldChar w:fldCharType="begin"/>
      </w:r>
      <w:r w:rsidR="003802CD" w:rsidRPr="00F11C78">
        <w:rPr>
          <w:i/>
          <w:lang w:val="es-ES_tradnl"/>
        </w:rPr>
        <w:instrText xml:space="preserve"> AUTONUM  </w:instrText>
      </w:r>
      <w:r w:rsidRPr="00F11C78">
        <w:rPr>
          <w:i/>
          <w:lang w:val="es-ES_tradnl"/>
        </w:rPr>
        <w:fldChar w:fldCharType="end"/>
      </w:r>
      <w:r w:rsidR="003802CD" w:rsidRPr="00F11C78">
        <w:rPr>
          <w:i/>
          <w:lang w:val="es-ES_tradnl"/>
        </w:rPr>
        <w:tab/>
      </w:r>
      <w:r w:rsidR="00DC2BF3" w:rsidRPr="00F11C78">
        <w:rPr>
          <w:i/>
          <w:lang w:val="es-ES_tradnl"/>
        </w:rPr>
        <w:t>Se invita al Consejo a aprobar la revisión del documento UPOV/INF-EXN, “Lista de documentos INF-EXN y fechas de última publicación (documento UPOV/INF-EXN/7) sobre la base del documento UPOV/INF</w:t>
      </w:r>
      <w:r w:rsidR="00DC2BF3" w:rsidRPr="00F11C78">
        <w:rPr>
          <w:lang w:val="es-ES_tradnl"/>
        </w:rPr>
        <w:t>-</w:t>
      </w:r>
      <w:r w:rsidR="00DC2BF3" w:rsidRPr="00F11C78">
        <w:rPr>
          <w:i/>
          <w:lang w:val="es-ES_tradnl"/>
        </w:rPr>
        <w:t>EXN/7 Draft 1.</w:t>
      </w:r>
    </w:p>
    <w:p w:rsidR="00A628BF" w:rsidRPr="00F11C78" w:rsidRDefault="00A628BF" w:rsidP="003802CD">
      <w:pPr>
        <w:ind w:left="567" w:hanging="567"/>
        <w:rPr>
          <w:rFonts w:cs="Arial"/>
          <w:snapToGrid w:val="0"/>
          <w:lang w:val="es-ES_tradnl"/>
        </w:rPr>
      </w:pPr>
    </w:p>
    <w:p w:rsidR="00A628BF" w:rsidRPr="00F11C78" w:rsidRDefault="00A628BF" w:rsidP="003802CD">
      <w:pPr>
        <w:ind w:left="567" w:hanging="567"/>
        <w:rPr>
          <w:rFonts w:cs="Arial"/>
          <w:snapToGrid w:val="0"/>
          <w:lang w:val="es-ES_tradnl"/>
        </w:rPr>
      </w:pPr>
    </w:p>
    <w:p w:rsidR="00A628BF" w:rsidRPr="00F11C78" w:rsidRDefault="00DC2BF3" w:rsidP="00DC2BF3">
      <w:pPr>
        <w:ind w:left="567" w:hanging="567"/>
        <w:jc w:val="right"/>
        <w:rPr>
          <w:rFonts w:cs="Arial"/>
          <w:snapToGrid w:val="0"/>
          <w:lang w:val="es-ES_tradnl"/>
        </w:rPr>
      </w:pPr>
      <w:r w:rsidRPr="00F11C78">
        <w:rPr>
          <w:rFonts w:cs="Arial"/>
          <w:snapToGrid w:val="0"/>
          <w:lang w:val="es-ES_tradnl"/>
        </w:rPr>
        <w:t>[Sigue el Anexo]</w:t>
      </w:r>
    </w:p>
    <w:p w:rsidR="00A4296A" w:rsidRDefault="00A4296A" w:rsidP="00A4296A">
      <w:pPr>
        <w:ind w:left="567" w:hanging="567"/>
        <w:rPr>
          <w:lang w:val="es-ES_tradnl"/>
        </w:rPr>
      </w:pPr>
    </w:p>
    <w:p w:rsidR="008C116A" w:rsidRPr="00F11C78" w:rsidRDefault="008C116A" w:rsidP="00A4296A">
      <w:pPr>
        <w:ind w:left="567" w:hanging="567"/>
        <w:rPr>
          <w:lang w:val="es-ES_tradnl"/>
        </w:rPr>
        <w:sectPr w:rsidR="008C116A" w:rsidRPr="00F11C78" w:rsidSect="00906DDC">
          <w:headerReference w:type="default" r:id="rId11"/>
          <w:pgSz w:w="11907" w:h="16840" w:code="9"/>
          <w:pgMar w:top="510" w:right="1134" w:bottom="1134" w:left="1134" w:header="510" w:footer="680" w:gutter="0"/>
          <w:cols w:space="720"/>
          <w:titlePg/>
        </w:sectPr>
      </w:pPr>
    </w:p>
    <w:p w:rsidR="00A628BF" w:rsidRPr="00F11C78" w:rsidRDefault="00DC2BF3" w:rsidP="005C0CFE">
      <w:pPr>
        <w:pStyle w:val="Header"/>
        <w:rPr>
          <w:rStyle w:val="PageNumber"/>
        </w:rPr>
      </w:pPr>
      <w:r w:rsidRPr="00F11C78">
        <w:rPr>
          <w:rStyle w:val="PageNumber"/>
        </w:rPr>
        <w:lastRenderedPageBreak/>
        <w:t>C(Extr.)/32/4</w:t>
      </w:r>
    </w:p>
    <w:p w:rsidR="00A628BF" w:rsidRPr="00F11C78" w:rsidRDefault="00A628BF" w:rsidP="00A4296A">
      <w:pPr>
        <w:jc w:val="center"/>
        <w:rPr>
          <w:lang w:val="es-ES_tradnl"/>
        </w:rPr>
      </w:pPr>
    </w:p>
    <w:p w:rsidR="00A628BF" w:rsidRPr="00F11C78" w:rsidRDefault="00DC2BF3" w:rsidP="00DC2BF3">
      <w:pPr>
        <w:jc w:val="center"/>
        <w:rPr>
          <w:lang w:val="es-ES_tradnl"/>
        </w:rPr>
      </w:pPr>
      <w:r w:rsidRPr="00F11C78">
        <w:rPr>
          <w:lang w:val="es-ES_tradnl"/>
        </w:rPr>
        <w:t>ANEXO</w:t>
      </w:r>
    </w:p>
    <w:p w:rsidR="00A628BF" w:rsidRPr="00F11C78" w:rsidRDefault="00A628BF" w:rsidP="00A4296A">
      <w:pPr>
        <w:jc w:val="center"/>
        <w:rPr>
          <w:lang w:val="es-ES_tradnl"/>
        </w:rPr>
      </w:pPr>
    </w:p>
    <w:p w:rsidR="00A628BF" w:rsidRPr="00F11C78" w:rsidRDefault="00A628BF" w:rsidP="00A4296A">
      <w:pPr>
        <w:jc w:val="center"/>
        <w:rPr>
          <w:lang w:val="es-ES_tradnl"/>
        </w:rPr>
      </w:pPr>
    </w:p>
    <w:p w:rsidR="00A4296A" w:rsidRPr="00F11C78" w:rsidRDefault="00265657" w:rsidP="00A4296A">
      <w:pPr>
        <w:jc w:val="center"/>
        <w:rPr>
          <w:lang w:val="es-ES_tradnl"/>
        </w:rPr>
      </w:pPr>
      <w:r w:rsidRPr="00F11C78">
        <w:rPr>
          <w:lang w:val="es-ES_tradnl"/>
        </w:rPr>
        <w:t>PROPUESTA DE MODIFICACIÓN DEL DOCUMENTO UPOV/INF/4/3</w:t>
      </w:r>
      <w:r w:rsidR="00060A59" w:rsidRPr="00F11C78">
        <w:rPr>
          <w:lang w:val="es-ES_tradnl"/>
        </w:rPr>
        <w:t>:</w:t>
      </w:r>
      <w:r w:rsidR="00B36450" w:rsidRPr="00F11C78">
        <w:rPr>
          <w:lang w:val="es-ES_tradnl"/>
        </w:rPr>
        <w:t xml:space="preserve">  </w:t>
      </w:r>
      <w:r w:rsidRPr="00F11C78">
        <w:rPr>
          <w:lang w:val="es-ES_tradnl"/>
        </w:rPr>
        <w:br/>
        <w:t>REGLAMENTO FINANCIERO Y REGLAMENTACIÓN FINANCIERA DE LA UPOV</w:t>
      </w:r>
    </w:p>
    <w:p w:rsidR="00265657" w:rsidRPr="00F11C78" w:rsidRDefault="00265657" w:rsidP="00A4296A">
      <w:pPr>
        <w:jc w:val="center"/>
        <w:rPr>
          <w:lang w:val="es-ES_tradnl"/>
        </w:rPr>
      </w:pP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F11C78" w:rsidRPr="008C116A" w:rsidTr="00C80F62">
        <w:trPr>
          <w:cantSplit/>
          <w:jc w:val="center"/>
        </w:trPr>
        <w:tc>
          <w:tcPr>
            <w:tcW w:w="6664" w:type="dxa"/>
            <w:shd w:val="clear" w:color="auto" w:fill="E6E6E6"/>
          </w:tcPr>
          <w:p w:rsidR="00A628BF" w:rsidRPr="00F11C78" w:rsidRDefault="00DC2BF3" w:rsidP="00DC2BF3">
            <w:pPr>
              <w:jc w:val="center"/>
              <w:rPr>
                <w:rFonts w:cs="Arial"/>
                <w:sz w:val="18"/>
                <w:szCs w:val="22"/>
                <w:u w:val="single"/>
                <w:lang w:val="es-ES_tradnl"/>
              </w:rPr>
            </w:pPr>
            <w:r w:rsidRPr="00F11C78">
              <w:rPr>
                <w:rFonts w:cs="Arial"/>
                <w:sz w:val="18"/>
                <w:szCs w:val="22"/>
                <w:u w:val="single"/>
                <w:lang w:val="es-ES_tradnl"/>
              </w:rPr>
              <w:t>Nota</w:t>
            </w:r>
          </w:p>
          <w:p w:rsidR="00A628BF" w:rsidRPr="00F11C78" w:rsidRDefault="00A628BF" w:rsidP="00C80F62">
            <w:pPr>
              <w:rPr>
                <w:rFonts w:cs="Arial"/>
                <w:sz w:val="18"/>
                <w:szCs w:val="22"/>
                <w:u w:val="single"/>
                <w:lang w:val="es-ES_tradnl"/>
              </w:rPr>
            </w:pPr>
          </w:p>
          <w:p w:rsidR="00A628BF" w:rsidRPr="00F11C78" w:rsidRDefault="00265657" w:rsidP="00C80F62">
            <w:pPr>
              <w:rPr>
                <w:sz w:val="18"/>
                <w:lang w:val="es-ES_tradnl"/>
              </w:rPr>
            </w:pPr>
            <w:r w:rsidRPr="00F11C78">
              <w:rPr>
                <w:sz w:val="18"/>
                <w:lang w:val="es-ES_tradnl"/>
              </w:rPr>
              <w:t>El texto que figura destacado en el presente documento indica las enmiendas introducidas en el texto del Reglamento Financiero y Reglamentación Financiera de la OMPI (véase el párrafo 2 del cuerpo del documento</w:t>
            </w:r>
            <w:r w:rsidR="009A4CE5" w:rsidRPr="00F11C78">
              <w:rPr>
                <w:sz w:val="18"/>
                <w:lang w:val="es-ES_tradnl"/>
              </w:rPr>
              <w:t>)</w:t>
            </w:r>
            <w:r w:rsidR="002C627E" w:rsidRPr="00F11C78">
              <w:rPr>
                <w:sz w:val="18"/>
                <w:lang w:val="es-ES_tradnl"/>
              </w:rPr>
              <w:t>.</w:t>
            </w:r>
          </w:p>
          <w:p w:rsidR="00A628BF" w:rsidRPr="00F11C78" w:rsidRDefault="00A628BF" w:rsidP="00C80F62">
            <w:pPr>
              <w:rPr>
                <w:rFonts w:cs="Arial"/>
                <w:sz w:val="18"/>
                <w:szCs w:val="22"/>
                <w:u w:val="single"/>
                <w:lang w:val="es-ES_tradnl"/>
              </w:rPr>
            </w:pPr>
          </w:p>
          <w:p w:rsidR="00A628BF" w:rsidRPr="00F11C78" w:rsidRDefault="00DC2BF3" w:rsidP="00DC2BF3">
            <w:pPr>
              <w:rPr>
                <w:rFonts w:cs="Arial"/>
                <w:bCs/>
                <w:sz w:val="18"/>
                <w:szCs w:val="22"/>
                <w:lang w:val="es-ES_tradnl"/>
              </w:rPr>
            </w:pPr>
            <w:r w:rsidRPr="00F11C78">
              <w:rPr>
                <w:rFonts w:cs="Arial"/>
                <w:bCs/>
                <w:sz w:val="18"/>
                <w:szCs w:val="22"/>
                <w:lang w:val="es-ES_tradnl"/>
              </w:rPr>
              <w:t xml:space="preserve">El </w:t>
            </w:r>
            <w:r w:rsidRPr="00F11C78">
              <w:rPr>
                <w:rFonts w:cs="Arial"/>
                <w:b/>
                <w:bCs/>
                <w:strike/>
                <w:sz w:val="18"/>
                <w:szCs w:val="22"/>
                <w:lang w:val="es-ES_tradnl"/>
              </w:rPr>
              <w:t>texto tachado</w:t>
            </w:r>
            <w:r w:rsidRPr="00F11C78">
              <w:rPr>
                <w:rFonts w:cs="Arial"/>
                <w:bCs/>
                <w:sz w:val="18"/>
                <w:szCs w:val="22"/>
                <w:lang w:val="es-ES_tradnl"/>
              </w:rPr>
              <w:t xml:space="preserve"> indica lo que se ha suprimido de la versión anterior (documento UPOV/INF/4/3)</w:t>
            </w:r>
            <w:r w:rsidR="002C627E" w:rsidRPr="00F11C78">
              <w:rPr>
                <w:rFonts w:cs="Arial"/>
                <w:bCs/>
                <w:sz w:val="18"/>
                <w:szCs w:val="22"/>
                <w:lang w:val="es-ES_tradnl"/>
              </w:rPr>
              <w:t xml:space="preserve">  </w:t>
            </w:r>
          </w:p>
          <w:p w:rsidR="00A628BF" w:rsidRPr="00F11C78" w:rsidRDefault="00A628BF" w:rsidP="00C80F62">
            <w:pPr>
              <w:rPr>
                <w:rFonts w:cs="Arial"/>
                <w:sz w:val="18"/>
                <w:szCs w:val="22"/>
                <w:u w:val="single"/>
                <w:lang w:val="es-ES_tradnl"/>
              </w:rPr>
            </w:pPr>
          </w:p>
          <w:p w:rsidR="00A628BF" w:rsidRPr="00F11C78" w:rsidRDefault="00DC2BF3" w:rsidP="00DC2BF3">
            <w:pPr>
              <w:rPr>
                <w:rFonts w:cs="Arial"/>
                <w:bCs/>
                <w:sz w:val="18"/>
                <w:szCs w:val="22"/>
                <w:lang w:val="es-ES_tradnl"/>
              </w:rPr>
            </w:pPr>
            <w:r w:rsidRPr="00F11C78">
              <w:rPr>
                <w:rFonts w:cs="Arial"/>
                <w:bCs/>
                <w:sz w:val="18"/>
                <w:szCs w:val="22"/>
                <w:lang w:val="es-ES_tradnl"/>
              </w:rPr>
              <w:t xml:space="preserve">El </w:t>
            </w:r>
            <w:r w:rsidRPr="00F11C78">
              <w:rPr>
                <w:rFonts w:cs="Arial"/>
                <w:b/>
                <w:bCs/>
                <w:sz w:val="18"/>
                <w:szCs w:val="22"/>
                <w:u w:val="single"/>
                <w:lang w:val="es-ES_tradnl"/>
              </w:rPr>
              <w:t>texto subrayado</w:t>
            </w:r>
            <w:r w:rsidRPr="00F11C78">
              <w:rPr>
                <w:rFonts w:cs="Arial"/>
                <w:b/>
                <w:bCs/>
                <w:sz w:val="18"/>
                <w:szCs w:val="22"/>
                <w:lang w:val="es-ES_tradnl"/>
              </w:rPr>
              <w:t xml:space="preserve"> </w:t>
            </w:r>
            <w:r w:rsidRPr="00F11C78">
              <w:rPr>
                <w:rFonts w:cs="Arial"/>
                <w:bCs/>
                <w:sz w:val="18"/>
                <w:szCs w:val="22"/>
                <w:lang w:val="es-ES_tradnl"/>
              </w:rPr>
              <w:t>indica lo que se ha insertado a la versión anterior (documento UPOV/INF/4/3)</w:t>
            </w:r>
            <w:r w:rsidR="002C627E" w:rsidRPr="00F11C78">
              <w:rPr>
                <w:rFonts w:cs="Arial"/>
                <w:bCs/>
                <w:sz w:val="18"/>
                <w:szCs w:val="22"/>
                <w:lang w:val="es-ES_tradnl"/>
              </w:rPr>
              <w:t xml:space="preserve">  </w:t>
            </w:r>
          </w:p>
          <w:p w:rsidR="00A628BF" w:rsidRPr="00F11C78" w:rsidRDefault="00A628BF" w:rsidP="00C80F62">
            <w:pPr>
              <w:rPr>
                <w:rFonts w:cs="Arial"/>
                <w:bCs/>
                <w:sz w:val="18"/>
                <w:szCs w:val="22"/>
                <w:lang w:val="es-ES_tradnl"/>
              </w:rPr>
            </w:pPr>
          </w:p>
          <w:p w:rsidR="00A628BF" w:rsidRPr="00F11C78" w:rsidRDefault="00DC2BF3" w:rsidP="00DC2BF3">
            <w:pPr>
              <w:rPr>
                <w:rFonts w:cs="Arial"/>
                <w:sz w:val="18"/>
                <w:szCs w:val="22"/>
                <w:lang w:val="es-ES_tradnl"/>
              </w:rPr>
            </w:pPr>
            <w:r w:rsidRPr="00F11C78">
              <w:rPr>
                <w:rFonts w:cs="Arial"/>
                <w:b/>
                <w:sz w:val="18"/>
                <w:szCs w:val="22"/>
                <w:lang w:val="es-ES_tradnl"/>
              </w:rPr>
              <w:t>Las notas de pie de página</w:t>
            </w:r>
            <w:r w:rsidRPr="00F11C78">
              <w:rPr>
                <w:rFonts w:cs="Arial"/>
                <w:sz w:val="18"/>
                <w:szCs w:val="22"/>
                <w:lang w:val="es-ES_tradnl"/>
              </w:rPr>
              <w:t xml:space="preserve"> se conservarán en el documento revisado.</w:t>
            </w:r>
          </w:p>
          <w:p w:rsidR="00A628BF" w:rsidRPr="00F11C78" w:rsidRDefault="00A628BF" w:rsidP="00C80F62">
            <w:pPr>
              <w:rPr>
                <w:rFonts w:cs="Arial"/>
                <w:sz w:val="18"/>
                <w:szCs w:val="18"/>
                <w:lang w:val="es-ES_tradnl"/>
              </w:rPr>
            </w:pPr>
          </w:p>
          <w:p w:rsidR="002C627E" w:rsidRPr="00F11C78" w:rsidRDefault="00DC2BF3" w:rsidP="00DC2BF3">
            <w:pPr>
              <w:rPr>
                <w:rFonts w:cs="Arial"/>
                <w:szCs w:val="22"/>
                <w:lang w:val="es-ES_tradnl"/>
              </w:rPr>
            </w:pPr>
            <w:r w:rsidRPr="00F11C78">
              <w:rPr>
                <w:rFonts w:cs="Arial"/>
                <w:b/>
                <w:sz w:val="18"/>
                <w:szCs w:val="18"/>
                <w:lang w:val="es-ES_tradnl"/>
              </w:rPr>
              <w:t xml:space="preserve">Las notas finales </w:t>
            </w:r>
            <w:r w:rsidRPr="00F11C78">
              <w:rPr>
                <w:rFonts w:cs="Arial"/>
                <w:sz w:val="18"/>
                <w:szCs w:val="18"/>
                <w:lang w:val="es-ES_tradnl"/>
              </w:rPr>
              <w:t>figuran a título de información para facilitar el examen del presente proyecto y no se mantendrán en la versión definitiva del documento publicado.</w:t>
            </w:r>
          </w:p>
        </w:tc>
      </w:tr>
    </w:tbl>
    <w:p w:rsidR="00A628BF" w:rsidRPr="00F11C78" w:rsidRDefault="00A628BF" w:rsidP="002C627E">
      <w:pPr>
        <w:rPr>
          <w:lang w:val="es-ES_tradnl"/>
        </w:rPr>
      </w:pPr>
    </w:p>
    <w:p w:rsidR="00A628BF" w:rsidRPr="00F11C78" w:rsidRDefault="00A628BF" w:rsidP="00A4296A">
      <w:pPr>
        <w:rPr>
          <w:rFonts w:cs="Arial"/>
          <w:snapToGrid w:val="0"/>
          <w:lang w:val="es-ES_tradnl"/>
        </w:rPr>
      </w:pPr>
    </w:p>
    <w:p w:rsidR="00A628BF" w:rsidRPr="00F11C78" w:rsidRDefault="00D25FB7" w:rsidP="00DC2BF3">
      <w:pPr>
        <w:rPr>
          <w:lang w:val="es-ES_tradnl"/>
        </w:rPr>
      </w:pPr>
      <w:r w:rsidRPr="00F11C78">
        <w:rPr>
          <w:lang w:val="es-ES_tradnl"/>
        </w:rPr>
        <w:t>2.</w:t>
      </w:r>
      <w:r w:rsidRPr="00F11C78">
        <w:rPr>
          <w:lang w:val="es-ES_tradnl"/>
        </w:rPr>
        <w:tab/>
      </w:r>
      <w:r w:rsidR="00DC2BF3" w:rsidRPr="00F11C78">
        <w:rPr>
          <w:lang w:val="es-ES_tradnl"/>
        </w:rPr>
        <w:t>A reserva de lo dispuesto en el Convenio Internacional para la Protección de las Obtenciones Vegetales, que fue adoptado el 2 de diciembre de 1961 y revisado el 10 de noviembre de 1972, el 23 de octubre de 1978 y el 19 de marzo de 1991, y en el Acuerdo OMPI/UPOV, en el presente documento se recogen el Reglamento Financiero y la Reglamentación Financiera de la UPOV, elaborados sobre la base del “Reglamento Financiero y Reglamentación Financiera de la Organización Mundial de la Propiedad Intelectual (OMPI)”, aprobados por las Asambleas de los Estados miembros de la OMPI en su cuadragésima tercera serie de reuniones, celebrada en Ginebra del 24 de septiembre al 3 de octubre de 2007 (documento A/43/13, párrafos 256 a 261), en vigor desde el 1 de enero de 2008 y modificados el 1 de octubre de 2009</w:t>
      </w:r>
      <w:r w:rsidR="00693114" w:rsidRPr="00F11C78">
        <w:rPr>
          <w:lang w:val="es-ES_tradnl"/>
        </w:rPr>
        <w:t>,</w:t>
      </w:r>
      <w:r w:rsidR="00DC2BF3" w:rsidRPr="00F11C78">
        <w:rPr>
          <w:lang w:val="es-ES_tradnl"/>
        </w:rPr>
        <w:t xml:space="preserve"> el 1 de enero de 2010, el 1 de octubre de 2010, el 5 de octubre de 2011</w:t>
      </w:r>
      <w:r w:rsidR="00693114" w:rsidRPr="00F11C78">
        <w:rPr>
          <w:lang w:val="es-ES_tradnl"/>
        </w:rPr>
        <w:t>,</w:t>
      </w:r>
      <w:r w:rsidR="00DC2BF3" w:rsidRPr="00F11C78">
        <w:rPr>
          <w:lang w:val="es-ES_tradnl"/>
        </w:rPr>
        <w:t xml:space="preserve"> </w:t>
      </w:r>
      <w:r w:rsidR="00DC2BF3" w:rsidRPr="00F11C78">
        <w:rPr>
          <w:strike/>
          <w:lang w:val="es-ES_tradnl"/>
        </w:rPr>
        <w:t xml:space="preserve">y </w:t>
      </w:r>
      <w:r w:rsidR="00DC2BF3" w:rsidRPr="00F11C78">
        <w:rPr>
          <w:lang w:val="es-ES_tradnl"/>
        </w:rPr>
        <w:t>el 9 de octubre de 2012</w:t>
      </w:r>
      <w:r w:rsidR="00693114" w:rsidRPr="00F11C78">
        <w:rPr>
          <w:u w:val="single"/>
          <w:lang w:val="es-ES_tradnl"/>
        </w:rPr>
        <w:t>, el 26 de agosto de 2014 y el 30 de septiembre de 2014</w:t>
      </w:r>
      <w:r w:rsidR="00DC2BF3" w:rsidRPr="00F11C78">
        <w:rPr>
          <w:lang w:val="es-ES_tradnl"/>
        </w:rPr>
        <w:t>, y que aquí se modifican conforme a lo siguiente:</w:t>
      </w:r>
    </w:p>
    <w:p w:rsidR="00A628BF" w:rsidRPr="00F11C78" w:rsidRDefault="00A628BF" w:rsidP="00A4296A">
      <w:pPr>
        <w:rPr>
          <w:lang w:val="es-ES_tradnl"/>
        </w:rPr>
      </w:pPr>
    </w:p>
    <w:p w:rsidR="00A628BF" w:rsidRPr="00F11C78" w:rsidRDefault="00B26ED1" w:rsidP="00DC2BF3">
      <w:pPr>
        <w:ind w:left="1134" w:hanging="567"/>
        <w:rPr>
          <w:lang w:val="es-ES_tradnl"/>
        </w:rPr>
      </w:pPr>
      <w:r w:rsidRPr="00F11C78">
        <w:rPr>
          <w:lang w:val="es-ES_tradnl"/>
        </w:rPr>
        <w:t>a)</w:t>
      </w:r>
      <w:r w:rsidRPr="00F11C78">
        <w:rPr>
          <w:lang w:val="es-ES_tradnl"/>
        </w:rPr>
        <w:tab/>
      </w:r>
      <w:r w:rsidR="00DC2BF3" w:rsidRPr="00F11C78">
        <w:rPr>
          <w:lang w:val="es-ES_tradnl"/>
        </w:rPr>
        <w:t xml:space="preserve">la aplicación del principio de </w:t>
      </w:r>
      <w:r w:rsidR="00DC2BF3" w:rsidRPr="00F11C78">
        <w:rPr>
          <w:i/>
          <w:lang w:val="es-ES_tradnl"/>
        </w:rPr>
        <w:t>mutatis mutandis</w:t>
      </w:r>
      <w:r w:rsidR="00DC2BF3" w:rsidRPr="00F11C78">
        <w:rPr>
          <w:lang w:val="es-ES_tradnl"/>
        </w:rPr>
        <w:t>”;</w:t>
      </w:r>
      <w:r w:rsidR="00A4296A" w:rsidRPr="00F11C78">
        <w:rPr>
          <w:lang w:val="es-ES_tradnl"/>
        </w:rPr>
        <w:t xml:space="preserve">  </w:t>
      </w:r>
      <w:r w:rsidR="00693114" w:rsidRPr="00F11C78">
        <w:rPr>
          <w:lang w:val="es-ES_tradnl"/>
        </w:rPr>
        <w:t>y</w:t>
      </w:r>
    </w:p>
    <w:p w:rsidR="00A628BF" w:rsidRPr="00F11C78" w:rsidRDefault="00A628BF" w:rsidP="00A4296A">
      <w:pPr>
        <w:ind w:left="1134" w:hanging="567"/>
        <w:rPr>
          <w:lang w:val="es-ES_tradnl"/>
        </w:rPr>
      </w:pPr>
    </w:p>
    <w:p w:rsidR="00A628BF" w:rsidRPr="00F11C78" w:rsidRDefault="00DC2BF3" w:rsidP="00DC2BF3">
      <w:pPr>
        <w:ind w:firstLine="567"/>
        <w:rPr>
          <w:spacing w:val="-2"/>
          <w:lang w:val="es-ES_tradnl"/>
        </w:rPr>
      </w:pPr>
      <w:r w:rsidRPr="00F11C78">
        <w:rPr>
          <w:spacing w:val="-2"/>
          <w:lang w:val="es-ES_tradnl"/>
        </w:rPr>
        <w:t>b)</w:t>
      </w:r>
      <w:r w:rsidR="00B26ED1" w:rsidRPr="00F11C78">
        <w:rPr>
          <w:spacing w:val="-2"/>
          <w:lang w:val="es-ES_tradnl"/>
        </w:rPr>
        <w:tab/>
      </w:r>
      <w:r w:rsidRPr="00F11C78">
        <w:rPr>
          <w:spacing w:val="-2"/>
          <w:lang w:val="es-ES_tradnl"/>
        </w:rPr>
        <w:t>las excepciones y añadidos acordados por el Consejo de la UPOV y el Director General de la OMPI.</w:t>
      </w:r>
    </w:p>
    <w:p w:rsidR="00A628BF" w:rsidRPr="00F11C78" w:rsidRDefault="00A628BF" w:rsidP="00A4296A">
      <w:pPr>
        <w:ind w:firstLine="567"/>
        <w:rPr>
          <w:spacing w:val="-2"/>
          <w:lang w:val="es-ES_tradnl"/>
        </w:rPr>
      </w:pPr>
    </w:p>
    <w:p w:rsidR="00A628BF" w:rsidRPr="00F11C78" w:rsidRDefault="00DC2BF3" w:rsidP="00DC2BF3">
      <w:pPr>
        <w:ind w:firstLine="567"/>
        <w:rPr>
          <w:rFonts w:cs="Arial"/>
          <w:lang w:val="es-ES_tradnl"/>
        </w:rPr>
      </w:pPr>
      <w:r w:rsidRPr="00F11C78">
        <w:rPr>
          <w:rFonts w:cs="Arial"/>
          <w:lang w:val="es-ES_tradnl"/>
        </w:rPr>
        <w:t>El texto que figura destacado en el presente documento indica las enmiendas introducidas en el texto del Reglamento Financiero y Reglamentación Financiera de la OMPI con arreglo a los apartados a) y b) anteriores.</w:t>
      </w:r>
    </w:p>
    <w:p w:rsidR="00A628BF" w:rsidRPr="00F11C78" w:rsidRDefault="00A628BF" w:rsidP="00A628BF">
      <w:pPr>
        <w:pStyle w:val="Inf4Heading1"/>
        <w:rPr>
          <w:rFonts w:cs="Arial"/>
          <w:lang w:val="es-ES_tradnl"/>
        </w:rPr>
      </w:pPr>
      <w:bookmarkStart w:id="5" w:name="_Toc173661616"/>
      <w:bookmarkStart w:id="6" w:name="_Toc173748597"/>
      <w:bookmarkStart w:id="7" w:name="_Toc329002778"/>
      <w:r w:rsidRPr="00F11C78">
        <w:rPr>
          <w:rFonts w:cs="Arial"/>
          <w:lang w:val="es-ES_tradnl"/>
        </w:rPr>
        <w:t xml:space="preserve">CAPÍTULO1: </w:t>
      </w:r>
      <w:r w:rsidR="00F743FF" w:rsidRPr="00F11C78">
        <w:rPr>
          <w:rFonts w:cs="Arial"/>
          <w:lang w:val="es-ES_tradnl"/>
        </w:rPr>
        <w:t xml:space="preserve"> </w:t>
      </w:r>
      <w:r w:rsidRPr="00F11C78">
        <w:rPr>
          <w:rFonts w:cs="Arial"/>
          <w:lang w:val="es-ES_tradnl"/>
        </w:rPr>
        <w:t>DISPOSICIONES GENERALES</w:t>
      </w:r>
      <w:r w:rsidR="003B3F1D" w:rsidRPr="00F11C78">
        <w:rPr>
          <w:rFonts w:cs="Arial"/>
          <w:lang w:val="es-ES_tradnl"/>
        </w:rPr>
        <w:t xml:space="preserve"> </w:t>
      </w:r>
    </w:p>
    <w:bookmarkEnd w:id="5"/>
    <w:bookmarkEnd w:id="6"/>
    <w:bookmarkEnd w:id="7"/>
    <w:p w:rsidR="00A628BF" w:rsidRPr="00F11C78" w:rsidRDefault="00DC2BF3" w:rsidP="00DC2BF3">
      <w:pPr>
        <w:pStyle w:val="Inf4Heading5"/>
        <w:rPr>
          <w:lang w:val="es-ES_tradnl"/>
        </w:rPr>
      </w:pPr>
      <w:r w:rsidRPr="00F11C78">
        <w:rPr>
          <w:lang w:val="es-ES_tradnl"/>
        </w:rPr>
        <w:t>Definiciones</w:t>
      </w:r>
    </w:p>
    <w:p w:rsidR="00A628BF" w:rsidRPr="00F11C78" w:rsidRDefault="00DC2BF3" w:rsidP="00DC2BF3">
      <w:pPr>
        <w:pStyle w:val="Inf4Heading6"/>
        <w:rPr>
          <w:lang w:val="es-ES_tradnl"/>
        </w:rPr>
      </w:pPr>
      <w:r w:rsidRPr="00F11C78">
        <w:rPr>
          <w:lang w:val="es-ES_tradnl"/>
        </w:rPr>
        <w:t>Regla 101.3</w:t>
      </w:r>
    </w:p>
    <w:p w:rsidR="00A628BF" w:rsidRPr="00F11C78" w:rsidRDefault="00265657" w:rsidP="0042240B">
      <w:pPr>
        <w:pStyle w:val="Inf4Normal"/>
        <w:ind w:left="567"/>
        <w:rPr>
          <w:lang w:val="es-ES_tradnl"/>
        </w:rPr>
      </w:pPr>
      <w:r w:rsidRPr="00F11C78">
        <w:rPr>
          <w:lang w:val="es-ES_tradnl"/>
        </w:rPr>
        <w:t>A los efectos del presente Reglamento</w:t>
      </w:r>
      <w:r w:rsidR="0042240B" w:rsidRPr="00F11C78">
        <w:rPr>
          <w:lang w:val="es-ES_tradnl"/>
        </w:rPr>
        <w:t>:</w:t>
      </w:r>
    </w:p>
    <w:p w:rsidR="00A628BF" w:rsidRPr="00F11C78" w:rsidRDefault="00A57507" w:rsidP="00A4296A">
      <w:pPr>
        <w:tabs>
          <w:tab w:val="left" w:pos="567"/>
        </w:tabs>
        <w:spacing w:before="108"/>
        <w:ind w:left="567"/>
        <w:rPr>
          <w:rFonts w:cs="Arial"/>
          <w:lang w:val="es-ES_tradnl"/>
        </w:rPr>
      </w:pPr>
      <w:r w:rsidRPr="00F11C78">
        <w:rPr>
          <w:rFonts w:cs="Arial"/>
          <w:lang w:val="es-ES_tradnl"/>
        </w:rPr>
        <w:t>[…]</w:t>
      </w:r>
    </w:p>
    <w:p w:rsidR="00A330FF" w:rsidRPr="00F11C78" w:rsidRDefault="00265657" w:rsidP="00A330FF">
      <w:pPr>
        <w:pStyle w:val="Inf4Normal"/>
        <w:ind w:left="567" w:firstLine="567"/>
        <w:rPr>
          <w:lang w:val="es-ES_tradnl"/>
        </w:rPr>
      </w:pPr>
      <w:r w:rsidRPr="00F11C78">
        <w:rPr>
          <w:lang w:val="es-ES_tradnl"/>
        </w:rPr>
        <w:t xml:space="preserve">k) Se entenderá por “funcionario” </w:t>
      </w:r>
      <w:r w:rsidRPr="00F11C78">
        <w:rPr>
          <w:strike/>
          <w:lang w:val="es-ES_tradnl"/>
        </w:rPr>
        <w:t xml:space="preserve">la persona empleada por </w:t>
      </w:r>
      <w:r w:rsidR="002A65EC" w:rsidRPr="00F11C78">
        <w:rPr>
          <w:lang w:val="es-ES_tradnl"/>
        </w:rPr>
        <w:t>e</w:t>
      </w:r>
      <w:r w:rsidRPr="00F11C78">
        <w:rPr>
          <w:lang w:val="es-ES_tradnl"/>
        </w:rPr>
        <w:t xml:space="preserve">l </w:t>
      </w:r>
      <w:r w:rsidRPr="00F11C78">
        <w:rPr>
          <w:u w:val="single"/>
          <w:lang w:val="es-ES_tradnl"/>
        </w:rPr>
        <w:t xml:space="preserve">miembro del personal de la </w:t>
      </w:r>
      <w:r w:rsidRPr="00F11C78">
        <w:rPr>
          <w:highlight w:val="lightGray"/>
          <w:lang w:val="es-ES_tradnl"/>
        </w:rPr>
        <w:t xml:space="preserve">UPOV o, si procede, </w:t>
      </w:r>
      <w:r w:rsidRPr="00F11C78">
        <w:rPr>
          <w:strike/>
          <w:highlight w:val="lightGray"/>
          <w:lang w:val="es-ES_tradnl"/>
        </w:rPr>
        <w:t xml:space="preserve">por </w:t>
      </w:r>
      <w:r w:rsidRPr="00F11C78">
        <w:rPr>
          <w:highlight w:val="lightGray"/>
          <w:u w:val="single"/>
          <w:lang w:val="es-ES_tradnl"/>
        </w:rPr>
        <w:t>de</w:t>
      </w:r>
      <w:r w:rsidRPr="00F11C78">
        <w:rPr>
          <w:highlight w:val="lightGray"/>
          <w:lang w:val="es-ES_tradnl"/>
        </w:rPr>
        <w:t xml:space="preserve"> la OMPI,</w:t>
      </w:r>
      <w:r w:rsidRPr="00F11C78">
        <w:rPr>
          <w:lang w:val="es-ES_tradnl"/>
        </w:rPr>
        <w:t xml:space="preserve"> </w:t>
      </w:r>
      <w:r w:rsidRPr="00F11C78">
        <w:rPr>
          <w:strike/>
          <w:lang w:val="es-ES_tradnl"/>
        </w:rPr>
        <w:t xml:space="preserve">con </w:t>
      </w:r>
      <w:r w:rsidRPr="00F11C78">
        <w:rPr>
          <w:u w:val="single"/>
          <w:lang w:val="es-ES_tradnl"/>
        </w:rPr>
        <w:t>es decir, la persona empleada con</w:t>
      </w:r>
      <w:r w:rsidRPr="00F11C78">
        <w:rPr>
          <w:lang w:val="es-ES_tradnl"/>
        </w:rPr>
        <w:t xml:space="preserve"> un nombramiento de plazo fijo, </w:t>
      </w:r>
      <w:r w:rsidRPr="00F11C78">
        <w:rPr>
          <w:u w:val="single"/>
          <w:lang w:val="es-ES_tradnl"/>
        </w:rPr>
        <w:t>continuo</w:t>
      </w:r>
      <w:r w:rsidRPr="00F11C78">
        <w:rPr>
          <w:lang w:val="es-ES_tradnl"/>
        </w:rPr>
        <w:t>, permanente o temporal</w:t>
      </w:r>
      <w:r w:rsidRPr="00F11C78">
        <w:rPr>
          <w:strike/>
          <w:lang w:val="es-ES_tradnl"/>
        </w:rPr>
        <w:t xml:space="preserve"> y cuya relación con la </w:t>
      </w:r>
      <w:r w:rsidRPr="00F11C78">
        <w:rPr>
          <w:strike/>
          <w:highlight w:val="lightGray"/>
          <w:lang w:val="es-ES_tradnl"/>
        </w:rPr>
        <w:t>UPOV o, en su caso, con la OMPI,</w:t>
      </w:r>
      <w:r w:rsidRPr="00F11C78">
        <w:rPr>
          <w:strike/>
          <w:lang w:val="es-ES_tradnl"/>
        </w:rPr>
        <w:t xml:space="preserve"> se rige por el Estatuto y el Reglamento del Personal</w:t>
      </w:r>
      <w:r w:rsidR="00A330FF" w:rsidRPr="00F11C78">
        <w:rPr>
          <w:lang w:val="es-ES_tradnl"/>
        </w:rPr>
        <w:t>;</w:t>
      </w:r>
    </w:p>
    <w:p w:rsidR="00A628BF" w:rsidRPr="00F11C78" w:rsidRDefault="00412A1B" w:rsidP="00412A1B">
      <w:pPr>
        <w:pStyle w:val="Inf4Normal"/>
        <w:ind w:left="567" w:firstLine="567"/>
        <w:rPr>
          <w:rFonts w:cs="Arial"/>
          <w:lang w:val="es-ES_tradnl"/>
        </w:rPr>
      </w:pPr>
      <w:r w:rsidRPr="00F11C78">
        <w:rPr>
          <w:lang w:val="es-ES_tradnl"/>
        </w:rPr>
        <w:t xml:space="preserve"> </w:t>
      </w:r>
      <w:r w:rsidR="00E544DC" w:rsidRPr="00F11C78">
        <w:rPr>
          <w:lang w:val="es-ES_tradnl"/>
        </w:rPr>
        <w:t>[…]</w:t>
      </w:r>
    </w:p>
    <w:p w:rsidR="00690531" w:rsidRPr="00F11C78" w:rsidRDefault="00265657" w:rsidP="00690531">
      <w:pPr>
        <w:pStyle w:val="Inf4Heading1"/>
        <w:rPr>
          <w:rFonts w:cs="Arial"/>
          <w:lang w:val="es-ES_tradnl"/>
        </w:rPr>
      </w:pPr>
      <w:bookmarkStart w:id="8" w:name="_Toc173661558"/>
      <w:bookmarkStart w:id="9" w:name="_Toc173748539"/>
      <w:bookmarkStart w:id="10" w:name="_Toc355189832"/>
      <w:bookmarkStart w:id="11" w:name="_Toc173661682"/>
      <w:bookmarkStart w:id="12" w:name="_Toc173748663"/>
      <w:bookmarkStart w:id="13" w:name="_Toc329002846"/>
      <w:bookmarkStart w:id="14" w:name="_Toc173661698"/>
      <w:bookmarkStart w:id="15" w:name="_Toc173748679"/>
      <w:bookmarkStart w:id="16" w:name="_Toc329002862"/>
      <w:r w:rsidRPr="00F11C78">
        <w:rPr>
          <w:lang w:val="es-ES_tradnl"/>
        </w:rPr>
        <w:lastRenderedPageBreak/>
        <w:t>CAPÍTULO 2:  PRESUPUESTO POR PROGRAMAS</w:t>
      </w:r>
      <w:bookmarkEnd w:id="8"/>
      <w:bookmarkEnd w:id="9"/>
      <w:bookmarkEnd w:id="10"/>
      <w:r w:rsidRPr="00F11C78">
        <w:rPr>
          <w:lang w:val="es-ES_tradnl"/>
        </w:rPr>
        <w:t xml:space="preserve"> Regla 105.1</w:t>
      </w:r>
      <w:bookmarkEnd w:id="11"/>
      <w:bookmarkEnd w:id="12"/>
      <w:bookmarkEnd w:id="13"/>
    </w:p>
    <w:p w:rsidR="00A628BF" w:rsidRPr="00F11C78" w:rsidRDefault="00A628BF" w:rsidP="00A628BF">
      <w:pPr>
        <w:pStyle w:val="Inf4Heading3"/>
        <w:rPr>
          <w:lang w:val="es-ES_tradnl"/>
        </w:rPr>
      </w:pPr>
      <w:r w:rsidRPr="00F11C78">
        <w:rPr>
          <w:lang w:val="es-ES_tradnl"/>
        </w:rPr>
        <w:t>Examen y aprobación</w:t>
      </w:r>
    </w:p>
    <w:p w:rsidR="00A628BF" w:rsidRPr="00F11C78" w:rsidRDefault="00DC2BF3" w:rsidP="00DC2BF3">
      <w:pPr>
        <w:pStyle w:val="Inf4Heading4"/>
        <w:rPr>
          <w:lang w:val="es-ES_tradnl"/>
        </w:rPr>
      </w:pPr>
      <w:r w:rsidRPr="00F11C78">
        <w:rPr>
          <w:lang w:val="es-ES_tradnl"/>
        </w:rPr>
        <w:t>Artículo 2.8</w:t>
      </w:r>
    </w:p>
    <w:p w:rsidR="00A628BF" w:rsidRPr="00F11C78" w:rsidRDefault="00265657" w:rsidP="00A628BF">
      <w:pPr>
        <w:pStyle w:val="Inf4Normal"/>
        <w:rPr>
          <w:u w:val="single"/>
          <w:lang w:val="es-ES_tradnl"/>
        </w:rPr>
      </w:pPr>
      <w:r w:rsidRPr="00F11C78">
        <w:rPr>
          <w:lang w:val="es-ES_tradnl"/>
        </w:rPr>
        <w:t xml:space="preserve">El </w:t>
      </w:r>
      <w:r w:rsidRPr="00F11C78">
        <w:rPr>
          <w:highlight w:val="lightGray"/>
          <w:lang w:val="es-ES_tradnl"/>
        </w:rPr>
        <w:t>Consejo</w:t>
      </w:r>
      <w:r w:rsidRPr="00F11C78">
        <w:rPr>
          <w:lang w:val="es-ES_tradnl"/>
        </w:rPr>
        <w:t xml:space="preserve"> adoptará el programa y presupuesto para el ejercicio económico siguiente, después de que haya sido examinada la propuesta de programa y presupuesto y las recomendaciones del </w:t>
      </w:r>
      <w:r w:rsidRPr="00F11C78">
        <w:rPr>
          <w:highlight w:val="lightGray"/>
          <w:lang w:val="es-ES_tradnl"/>
        </w:rPr>
        <w:t>Comité Consultivo</w:t>
      </w:r>
      <w:r w:rsidRPr="00F11C78">
        <w:rPr>
          <w:lang w:val="es-ES_tradnl"/>
        </w:rPr>
        <w:t xml:space="preserve"> a ese respecto</w:t>
      </w:r>
      <w:r w:rsidR="003C3939" w:rsidRPr="00F11C78">
        <w:rPr>
          <w:lang w:val="es-ES_tradnl"/>
        </w:rPr>
        <w:t xml:space="preserve">.  </w:t>
      </w:r>
      <w:r w:rsidR="00A628BF" w:rsidRPr="00F11C78">
        <w:rPr>
          <w:u w:val="single"/>
          <w:lang w:val="es-ES_tradnl"/>
        </w:rPr>
        <w:t>En caso de que el presupuesto por programas no hubiese sido adoptado antes del comienzo del ejercicio económico siguiente, la autorización para que el Director General contraiga obligaciones y efectúe pagos permanecerá en el nivel de las consignaciones del ejercicio económico anterior.</w:t>
      </w:r>
    </w:p>
    <w:bookmarkEnd w:id="14"/>
    <w:bookmarkEnd w:id="15"/>
    <w:bookmarkEnd w:id="16"/>
    <w:p w:rsidR="00A628BF" w:rsidRPr="00F11C78" w:rsidRDefault="00A628BF" w:rsidP="00A628BF">
      <w:pPr>
        <w:pStyle w:val="Inf4Heading1"/>
        <w:rPr>
          <w:lang w:val="es-ES_tradnl"/>
        </w:rPr>
      </w:pPr>
      <w:r w:rsidRPr="00F11C78">
        <w:rPr>
          <w:lang w:val="es-ES_tradnl"/>
        </w:rPr>
        <w:t xml:space="preserve">CAPÍTULO 4: </w:t>
      </w:r>
      <w:r w:rsidR="007E3DBB" w:rsidRPr="00F11C78">
        <w:rPr>
          <w:lang w:val="es-ES_tradnl"/>
        </w:rPr>
        <w:t xml:space="preserve"> </w:t>
      </w:r>
      <w:r w:rsidRPr="00F11C78">
        <w:rPr>
          <w:lang w:val="es-ES_tradnl"/>
        </w:rPr>
        <w:t>CUSTODIA DE LOS FONDOS</w:t>
      </w:r>
    </w:p>
    <w:p w:rsidR="00A628BF" w:rsidRPr="00F11C78" w:rsidRDefault="00F71BE6" w:rsidP="00F71BE6">
      <w:pPr>
        <w:pStyle w:val="Inf4Heading2"/>
        <w:rPr>
          <w:lang w:val="es-ES_tradnl"/>
        </w:rPr>
      </w:pPr>
      <w:bookmarkStart w:id="17" w:name="_Toc173661624"/>
      <w:bookmarkStart w:id="18" w:name="_Toc173748605"/>
      <w:bookmarkStart w:id="19" w:name="_Toc355189899"/>
      <w:r w:rsidRPr="00F11C78">
        <w:rPr>
          <w:lang w:val="es-ES_tradnl"/>
        </w:rPr>
        <w:t>A.</w:t>
      </w:r>
      <w:r w:rsidRPr="00F11C78">
        <w:rPr>
          <w:lang w:val="es-ES_tradnl"/>
        </w:rPr>
        <w:tab/>
      </w:r>
      <w:bookmarkEnd w:id="17"/>
      <w:bookmarkEnd w:id="18"/>
      <w:bookmarkEnd w:id="19"/>
      <w:r w:rsidR="00265657" w:rsidRPr="00F11C78">
        <w:rPr>
          <w:lang w:val="es-ES_tradnl"/>
        </w:rPr>
        <w:t>CUENTAS INTERNAS</w:t>
      </w:r>
    </w:p>
    <w:p w:rsidR="00A628BF" w:rsidRPr="00F11C78" w:rsidRDefault="00A628BF" w:rsidP="00A628BF">
      <w:pPr>
        <w:pStyle w:val="Inf4Heading3"/>
        <w:rPr>
          <w:lang w:val="es-ES_tradnl"/>
        </w:rPr>
      </w:pPr>
      <w:r w:rsidRPr="00F11C78">
        <w:rPr>
          <w:lang w:val="es-ES_tradnl"/>
        </w:rPr>
        <w:t>Fondos fiduciarios y cuentas especiales</w:t>
      </w:r>
    </w:p>
    <w:p w:rsidR="00A628BF" w:rsidRPr="00F11C78" w:rsidRDefault="00DC2BF3" w:rsidP="00DC2BF3">
      <w:pPr>
        <w:pStyle w:val="Inf4Heading6"/>
        <w:rPr>
          <w:lang w:val="es-ES_tradnl"/>
        </w:rPr>
      </w:pPr>
      <w:r w:rsidRPr="00F11C78">
        <w:rPr>
          <w:lang w:val="es-ES_tradnl"/>
        </w:rPr>
        <w:t>Regla 104.1</w:t>
      </w:r>
    </w:p>
    <w:p w:rsidR="00A628BF" w:rsidRPr="00F11C78" w:rsidRDefault="00265657" w:rsidP="00A628BF">
      <w:pPr>
        <w:pStyle w:val="Inf4Normal"/>
        <w:ind w:left="567"/>
        <w:rPr>
          <w:lang w:val="es-ES_tradnl"/>
        </w:rPr>
      </w:pPr>
      <w:bookmarkStart w:id="20" w:name="_Toc173661648"/>
      <w:bookmarkStart w:id="21" w:name="_Toc173748629"/>
      <w:bookmarkStart w:id="22" w:name="_Toc355189923"/>
      <w:r w:rsidRPr="00F11C78">
        <w:rPr>
          <w:u w:val="single"/>
          <w:lang w:val="es-ES_tradnl"/>
        </w:rPr>
        <w:t>a)</w:t>
      </w:r>
      <w:r w:rsidRPr="00F11C78">
        <w:rPr>
          <w:u w:val="single"/>
          <w:lang w:val="es-ES_tradnl"/>
        </w:rPr>
        <w:tab/>
      </w:r>
      <w:r w:rsidRPr="00F11C78">
        <w:rPr>
          <w:lang w:val="es-ES_tradnl"/>
        </w:rPr>
        <w:t xml:space="preserve">El Contralor </w:t>
      </w:r>
      <w:r w:rsidRPr="00F11C78">
        <w:rPr>
          <w:highlight w:val="lightGray"/>
          <w:lang w:val="es-ES_tradnl"/>
        </w:rPr>
        <w:t>de la OMPI</w:t>
      </w:r>
      <w:r w:rsidRPr="00F11C78">
        <w:rPr>
          <w:lang w:val="es-ES_tradnl"/>
        </w:rPr>
        <w:t xml:space="preserve">, en nombre del </w:t>
      </w:r>
      <w:r w:rsidRPr="00F11C78">
        <w:rPr>
          <w:highlight w:val="lightGray"/>
          <w:lang w:val="es-ES_tradnl"/>
        </w:rPr>
        <w:t>Secretario General</w:t>
      </w:r>
      <w:r w:rsidRPr="00F11C78">
        <w:rPr>
          <w:lang w:val="es-ES_tradnl"/>
        </w:rPr>
        <w:t xml:space="preserve">, aprobará el establecimiento, la finalidad y los límites de los fondos fiduciarios y las cuentas especiales.  El Contralor </w:t>
      </w:r>
      <w:r w:rsidRPr="00F11C78">
        <w:rPr>
          <w:highlight w:val="lightGray"/>
          <w:lang w:val="es-ES_tradnl"/>
        </w:rPr>
        <w:t>de la OMPI</w:t>
      </w:r>
      <w:r w:rsidRPr="00F11C78">
        <w:rPr>
          <w:lang w:val="es-ES_tradnl"/>
        </w:rPr>
        <w:t xml:space="preserve"> estará autorizado a gravar con una carga los fondos fiduciarios y las cuentas especiales</w:t>
      </w:r>
      <w:r w:rsidR="005E3E72" w:rsidRPr="00F11C78">
        <w:rPr>
          <w:lang w:val="es-ES_tradnl"/>
        </w:rPr>
        <w:t xml:space="preserve">.  </w:t>
      </w:r>
      <w:r w:rsidR="00A628BF" w:rsidRPr="00F11C78">
        <w:rPr>
          <w:lang w:val="es-ES_tradnl"/>
        </w:rPr>
        <w:t xml:space="preserve">Esta carga se utilizará para reembolsar total o parcialmente los gastos indirectos ocasionados por la </w:t>
      </w:r>
      <w:r w:rsidR="00CB4709" w:rsidRPr="00F11C78">
        <w:rPr>
          <w:lang w:val="es-ES_tradnl"/>
        </w:rPr>
        <w:t>UPOV</w:t>
      </w:r>
      <w:r w:rsidR="00A628BF" w:rsidRPr="00F11C78">
        <w:rPr>
          <w:lang w:val="es-ES_tradnl"/>
        </w:rPr>
        <w:t xml:space="preserve"> para generar y administrar fondos fiduciarios y cuentas especiales.</w:t>
      </w:r>
      <w:r w:rsidR="00FA0882" w:rsidRPr="00F11C78">
        <w:rPr>
          <w:lang w:val="es-ES_tradnl"/>
        </w:rPr>
        <w:t xml:space="preserve">  </w:t>
      </w:r>
      <w:r w:rsidR="00A628BF" w:rsidRPr="00F11C78">
        <w:rPr>
          <w:lang w:val="es-ES_tradnl"/>
        </w:rPr>
        <w:t>Todos los gastos directos de la ejecución de los programas que se financien con cargo a fondos fiduciarios y cuentas especiales se imputarán a los fondos fiduciarios y las cuentas especiales pertinentes.</w:t>
      </w:r>
    </w:p>
    <w:p w:rsidR="00A628BF" w:rsidRPr="00F11C78" w:rsidRDefault="00A628BF" w:rsidP="00A628BF">
      <w:pPr>
        <w:pStyle w:val="Inf4Normal"/>
        <w:ind w:left="567"/>
        <w:rPr>
          <w:lang w:val="es-ES_tradnl"/>
        </w:rPr>
      </w:pPr>
      <w:r w:rsidRPr="00F11C78">
        <w:rPr>
          <w:u w:val="single"/>
          <w:lang w:val="es-ES_tradnl"/>
        </w:rPr>
        <w:t>b)</w:t>
      </w:r>
      <w:r w:rsidR="00076BB4" w:rsidRPr="00F11C78">
        <w:rPr>
          <w:u w:val="single"/>
          <w:lang w:val="es-ES_tradnl"/>
        </w:rPr>
        <w:tab/>
      </w:r>
      <w:r w:rsidRPr="00F11C78">
        <w:rPr>
          <w:u w:val="single"/>
          <w:lang w:val="es-ES_tradnl"/>
        </w:rPr>
        <w:t xml:space="preserve">El Contralor </w:t>
      </w:r>
      <w:r w:rsidR="00FD5A5A" w:rsidRPr="00F11C78">
        <w:rPr>
          <w:u w:val="single"/>
          <w:lang w:val="es-ES_tradnl"/>
        </w:rPr>
        <w:t xml:space="preserve">de la OMPI </w:t>
      </w:r>
      <w:r w:rsidRPr="00F11C78">
        <w:rPr>
          <w:u w:val="single"/>
          <w:lang w:val="es-ES_tradnl"/>
        </w:rPr>
        <w:t>podrá autorizar la utilización de las contribuciones voluntarias en cuantías que no superen el efectivo recibido.</w:t>
      </w:r>
      <w:r w:rsidR="00FA0882" w:rsidRPr="00F11C78">
        <w:rPr>
          <w:u w:val="single"/>
          <w:lang w:val="es-ES_tradnl"/>
        </w:rPr>
        <w:t xml:space="preserve"> </w:t>
      </w:r>
    </w:p>
    <w:bookmarkEnd w:id="20"/>
    <w:bookmarkEnd w:id="21"/>
    <w:bookmarkEnd w:id="22"/>
    <w:p w:rsidR="00A628BF" w:rsidRPr="00F11C78" w:rsidRDefault="00A628BF" w:rsidP="00A628BF">
      <w:pPr>
        <w:pStyle w:val="Inf4Heading5"/>
        <w:rPr>
          <w:lang w:val="es-ES_tradnl"/>
        </w:rPr>
      </w:pPr>
      <w:r w:rsidRPr="00F11C78">
        <w:rPr>
          <w:lang w:val="es-ES_tradnl"/>
        </w:rPr>
        <w:t>Anticipos en efectivo</w:t>
      </w:r>
    </w:p>
    <w:p w:rsidR="00A628BF" w:rsidRPr="00F11C78" w:rsidRDefault="00DC2BF3" w:rsidP="00DC2BF3">
      <w:pPr>
        <w:pStyle w:val="Inf4Heading6"/>
        <w:rPr>
          <w:lang w:val="es-ES_tradnl"/>
        </w:rPr>
      </w:pPr>
      <w:r w:rsidRPr="00F11C78">
        <w:rPr>
          <w:lang w:val="es-ES_tradnl"/>
        </w:rPr>
        <w:t>Regla 104.6</w:t>
      </w:r>
    </w:p>
    <w:p w:rsidR="00A628BF" w:rsidRPr="00F11C78" w:rsidRDefault="00633910" w:rsidP="00A628BF">
      <w:pPr>
        <w:pStyle w:val="Inf4Normal"/>
        <w:ind w:left="567"/>
        <w:rPr>
          <w:szCs w:val="24"/>
          <w:lang w:val="es-ES_tradnl"/>
        </w:rPr>
      </w:pPr>
      <w:bookmarkStart w:id="23" w:name="_Toc173661655"/>
      <w:bookmarkStart w:id="24" w:name="_Toc173748636"/>
      <w:bookmarkStart w:id="25" w:name="_Toc355189930"/>
      <w:r w:rsidRPr="00F11C78">
        <w:rPr>
          <w:szCs w:val="24"/>
          <w:lang w:val="es-ES_tradnl"/>
        </w:rPr>
        <w:t>a)</w:t>
      </w:r>
      <w:r w:rsidRPr="00F11C78">
        <w:rPr>
          <w:szCs w:val="24"/>
          <w:lang w:val="es-ES_tradnl"/>
        </w:rPr>
        <w:tab/>
      </w:r>
      <w:r w:rsidR="00A628BF" w:rsidRPr="00F11C78">
        <w:rPr>
          <w:szCs w:val="24"/>
          <w:lang w:val="es-ES_tradnl"/>
        </w:rPr>
        <w:t xml:space="preserve">Los anticipos en efectivo </w:t>
      </w:r>
      <w:r w:rsidR="006309A1" w:rsidRPr="00F11C78">
        <w:rPr>
          <w:strike/>
          <w:szCs w:val="24"/>
          <w:lang w:val="es-ES_tradnl"/>
        </w:rPr>
        <w:t>y los anticipos de la caja central</w:t>
      </w:r>
      <w:r w:rsidR="006309A1" w:rsidRPr="00F11C78">
        <w:rPr>
          <w:szCs w:val="24"/>
          <w:lang w:val="es-ES_tradnl"/>
        </w:rPr>
        <w:t xml:space="preserve"> </w:t>
      </w:r>
      <w:r w:rsidR="00A628BF" w:rsidRPr="00F11C78">
        <w:rPr>
          <w:szCs w:val="24"/>
          <w:lang w:val="es-ES_tradnl"/>
        </w:rPr>
        <w:t>para gastos menores solo podrán ser efectuados por y para los funcionaros designados con ese fin por el Contralor</w:t>
      </w:r>
      <w:r w:rsidR="00FD5A5A" w:rsidRPr="00F11C78">
        <w:rPr>
          <w:szCs w:val="24"/>
          <w:lang w:val="es-ES_tradnl"/>
        </w:rPr>
        <w:t xml:space="preserve"> de la OMPI</w:t>
      </w:r>
      <w:r w:rsidR="00A628BF" w:rsidRPr="00F11C78">
        <w:rPr>
          <w:szCs w:val="24"/>
          <w:lang w:val="es-ES_tradnl"/>
        </w:rPr>
        <w:t>.</w:t>
      </w:r>
    </w:p>
    <w:p w:rsidR="00A628BF" w:rsidRPr="00F11C78" w:rsidRDefault="00633910" w:rsidP="00A628BF">
      <w:pPr>
        <w:pStyle w:val="Inf4Normal"/>
        <w:ind w:left="567"/>
        <w:rPr>
          <w:szCs w:val="24"/>
          <w:lang w:val="es-ES_tradnl"/>
        </w:rPr>
      </w:pPr>
      <w:r w:rsidRPr="00F11C78">
        <w:rPr>
          <w:szCs w:val="24"/>
          <w:lang w:val="es-ES_tradnl"/>
        </w:rPr>
        <w:t>b)</w:t>
      </w:r>
      <w:r w:rsidRPr="00F11C78">
        <w:rPr>
          <w:szCs w:val="24"/>
          <w:lang w:val="es-ES_tradnl"/>
        </w:rPr>
        <w:tab/>
      </w:r>
      <w:r w:rsidR="00A628BF" w:rsidRPr="00F11C78">
        <w:rPr>
          <w:szCs w:val="24"/>
          <w:lang w:val="es-ES_tradnl"/>
        </w:rPr>
        <w:t xml:space="preserve">Las cuentas pertinentes se llevarán ordinariamente según un sistema de cuentas de anticipo para gastos menores y el Contralor </w:t>
      </w:r>
      <w:r w:rsidR="00FD5A5A" w:rsidRPr="00F11C78">
        <w:rPr>
          <w:szCs w:val="24"/>
          <w:lang w:val="es-ES_tradnl"/>
        </w:rPr>
        <w:t xml:space="preserve">de la OMPI </w:t>
      </w:r>
      <w:r w:rsidR="00A628BF" w:rsidRPr="00F11C78">
        <w:rPr>
          <w:szCs w:val="24"/>
          <w:lang w:val="es-ES_tradnl"/>
        </w:rPr>
        <w:t>definirá la cuantía y el objeto de cada anticipo.</w:t>
      </w:r>
    </w:p>
    <w:p w:rsidR="00A628BF" w:rsidRPr="00F11C78" w:rsidRDefault="00633910" w:rsidP="00A628BF">
      <w:pPr>
        <w:pStyle w:val="Inf4Normal"/>
        <w:ind w:left="567"/>
        <w:rPr>
          <w:szCs w:val="24"/>
          <w:lang w:val="es-ES_tradnl"/>
        </w:rPr>
      </w:pPr>
      <w:r w:rsidRPr="00F11C78">
        <w:rPr>
          <w:szCs w:val="24"/>
          <w:lang w:val="es-ES_tradnl"/>
        </w:rPr>
        <w:t>c)</w:t>
      </w:r>
      <w:r w:rsidRPr="00F11C78">
        <w:rPr>
          <w:szCs w:val="24"/>
          <w:lang w:val="es-ES_tradnl"/>
        </w:rPr>
        <w:tab/>
      </w:r>
      <w:r w:rsidR="00A628BF" w:rsidRPr="00F11C78">
        <w:rPr>
          <w:szCs w:val="24"/>
          <w:lang w:val="es-ES_tradnl"/>
        </w:rPr>
        <w:t xml:space="preserve">El Contralor </w:t>
      </w:r>
      <w:r w:rsidR="00FD5A5A" w:rsidRPr="00F11C78">
        <w:rPr>
          <w:szCs w:val="24"/>
          <w:lang w:val="es-ES_tradnl"/>
        </w:rPr>
        <w:t xml:space="preserve">de la OMPI </w:t>
      </w:r>
      <w:r w:rsidR="00A628BF" w:rsidRPr="00F11C78">
        <w:rPr>
          <w:szCs w:val="24"/>
          <w:lang w:val="es-ES_tradnl"/>
        </w:rPr>
        <w:t xml:space="preserve">podrá aprobar otros anticipos en efectivo en la medida en que lo autoricen el presente Reglamento y la Reglamentación Financiera, las instrucciones financieras dictadas por el Contralor </w:t>
      </w:r>
      <w:r w:rsidR="00FD5A5A" w:rsidRPr="00F11C78">
        <w:rPr>
          <w:szCs w:val="24"/>
          <w:lang w:val="es-ES_tradnl"/>
        </w:rPr>
        <w:t xml:space="preserve">de la OMPI </w:t>
      </w:r>
      <w:r w:rsidR="00A628BF" w:rsidRPr="00F11C78">
        <w:rPr>
          <w:szCs w:val="24"/>
          <w:lang w:val="es-ES_tradnl"/>
        </w:rPr>
        <w:t>y las que éste último pueda autorizar por escrito.</w:t>
      </w:r>
    </w:p>
    <w:p w:rsidR="00A628BF" w:rsidRPr="00F11C78" w:rsidRDefault="0076493A" w:rsidP="0076493A">
      <w:pPr>
        <w:pStyle w:val="Inf4Heading2"/>
        <w:rPr>
          <w:lang w:val="es-ES_tradnl"/>
        </w:rPr>
      </w:pPr>
      <w:r w:rsidRPr="00F11C78">
        <w:rPr>
          <w:lang w:val="es-ES_tradnl"/>
        </w:rPr>
        <w:t>C.</w:t>
      </w:r>
      <w:r w:rsidRPr="00F11C78">
        <w:rPr>
          <w:lang w:val="es-ES_tradnl"/>
        </w:rPr>
        <w:tab/>
      </w:r>
      <w:bookmarkEnd w:id="23"/>
      <w:bookmarkEnd w:id="24"/>
      <w:bookmarkEnd w:id="25"/>
      <w:r w:rsidR="00265657" w:rsidRPr="00F11C78">
        <w:rPr>
          <w:lang w:val="es-ES_tradnl"/>
        </w:rPr>
        <w:t>INVERSIONES</w:t>
      </w:r>
    </w:p>
    <w:p w:rsidR="00A628BF" w:rsidRPr="00F11C78" w:rsidRDefault="00A628BF" w:rsidP="00A628BF">
      <w:pPr>
        <w:pStyle w:val="Inf4Heading5"/>
        <w:rPr>
          <w:lang w:val="es-ES_tradnl"/>
        </w:rPr>
      </w:pPr>
      <w:r w:rsidRPr="00F11C78">
        <w:rPr>
          <w:lang w:val="es-ES_tradnl"/>
        </w:rPr>
        <w:t>Pérdidas</w:t>
      </w:r>
    </w:p>
    <w:p w:rsidR="00A628BF" w:rsidRPr="00F11C78" w:rsidRDefault="00DC2BF3" w:rsidP="00DC2BF3">
      <w:pPr>
        <w:pStyle w:val="Inf4Heading6"/>
        <w:rPr>
          <w:lang w:val="es-ES_tradnl"/>
        </w:rPr>
      </w:pPr>
      <w:r w:rsidRPr="00F11C78">
        <w:rPr>
          <w:lang w:val="es-ES_tradnl"/>
        </w:rPr>
        <w:t>Regla 104.13</w:t>
      </w:r>
    </w:p>
    <w:p w:rsidR="00A628BF" w:rsidRPr="00F11C78" w:rsidRDefault="00265657" w:rsidP="00A628BF">
      <w:pPr>
        <w:pStyle w:val="Inf4Normal"/>
        <w:ind w:left="567"/>
        <w:rPr>
          <w:szCs w:val="24"/>
          <w:lang w:val="es-ES_tradnl"/>
        </w:rPr>
      </w:pPr>
      <w:bookmarkStart w:id="26" w:name="_Toc173661669"/>
      <w:bookmarkStart w:id="27" w:name="_Toc173748650"/>
      <w:bookmarkStart w:id="28" w:name="_Toc355189944"/>
      <w:r w:rsidRPr="00F11C78">
        <w:rPr>
          <w:lang w:val="es-ES_tradnl"/>
        </w:rPr>
        <w:t xml:space="preserve">Toda pérdida en concepto de inversiones deberá ser comunicada inmediatamente al Contralor </w:t>
      </w:r>
      <w:r w:rsidRPr="00F11C78">
        <w:rPr>
          <w:highlight w:val="lightGray"/>
          <w:lang w:val="es-ES_tradnl"/>
        </w:rPr>
        <w:t>de la OMPI</w:t>
      </w:r>
      <w:r w:rsidRPr="00F11C78">
        <w:rPr>
          <w:lang w:val="es-ES_tradnl"/>
        </w:rPr>
        <w:t>, que podrá autorizar la cancelación en los libros de las pérdidas en concepto de inversiones</w:t>
      </w:r>
      <w:r w:rsidR="00060A59" w:rsidRPr="00F11C78">
        <w:rPr>
          <w:szCs w:val="24"/>
          <w:lang w:val="es-ES_tradnl"/>
        </w:rPr>
        <w:t xml:space="preserve">.  </w:t>
      </w:r>
      <w:r w:rsidR="00A628BF" w:rsidRPr="00F11C78">
        <w:rPr>
          <w:szCs w:val="24"/>
          <w:lang w:val="es-ES_tradnl"/>
        </w:rPr>
        <w:t xml:space="preserve">En un plazo de tres meses después del cierre de </w:t>
      </w:r>
      <w:r w:rsidR="00A628BF" w:rsidRPr="00F11C78">
        <w:rPr>
          <w:szCs w:val="24"/>
          <w:u w:val="single"/>
          <w:lang w:val="es-ES_tradnl"/>
        </w:rPr>
        <w:t>cada año civil del</w:t>
      </w:r>
      <w:r w:rsidR="00A628BF" w:rsidRPr="00F11C78">
        <w:rPr>
          <w:szCs w:val="24"/>
          <w:lang w:val="es-ES_tradnl"/>
        </w:rPr>
        <w:t xml:space="preserve"> ejercicio económico, se presentará al Auditor Externo un estado sinóptico de las pérdidas en concepto de inversiones que se hayan registrado.</w:t>
      </w:r>
    </w:p>
    <w:bookmarkEnd w:id="26"/>
    <w:bookmarkEnd w:id="27"/>
    <w:bookmarkEnd w:id="28"/>
    <w:p w:rsidR="00A628BF" w:rsidRPr="00F11C78" w:rsidRDefault="00A628BF" w:rsidP="008C116A">
      <w:pPr>
        <w:pStyle w:val="Inf4Heading1"/>
        <w:keepLines/>
        <w:rPr>
          <w:lang w:val="es-ES_tradnl"/>
        </w:rPr>
      </w:pPr>
      <w:r w:rsidRPr="00F11C78">
        <w:rPr>
          <w:lang w:val="es-ES_tradnl"/>
        </w:rPr>
        <w:lastRenderedPageBreak/>
        <w:t xml:space="preserve">CAPÍTULO 5: </w:t>
      </w:r>
      <w:r w:rsidR="00633910" w:rsidRPr="00F11C78">
        <w:rPr>
          <w:lang w:val="es-ES_tradnl"/>
        </w:rPr>
        <w:t xml:space="preserve"> </w:t>
      </w:r>
      <w:r w:rsidRPr="00F11C78">
        <w:rPr>
          <w:lang w:val="es-ES_tradnl"/>
        </w:rPr>
        <w:t>UTILIZACIÓN DE LOS FONDOS</w:t>
      </w:r>
    </w:p>
    <w:p w:rsidR="00A628BF" w:rsidRPr="00F11C78" w:rsidRDefault="00633910" w:rsidP="008C116A">
      <w:pPr>
        <w:pStyle w:val="Inf4Heading2"/>
        <w:keepLines/>
        <w:rPr>
          <w:lang w:val="es-ES_tradnl"/>
        </w:rPr>
      </w:pPr>
      <w:r w:rsidRPr="00F11C78">
        <w:rPr>
          <w:lang w:val="es-ES_tradnl"/>
        </w:rPr>
        <w:t>B.</w:t>
      </w:r>
      <w:r w:rsidRPr="00F11C78">
        <w:rPr>
          <w:lang w:val="es-ES_tradnl"/>
        </w:rPr>
        <w:tab/>
      </w:r>
      <w:r w:rsidR="00A628BF" w:rsidRPr="00F11C78">
        <w:rPr>
          <w:lang w:val="es-ES_tradnl"/>
        </w:rPr>
        <w:t>COMPROMISOS, OBLIGACIONES Y GASTOS</w:t>
      </w:r>
    </w:p>
    <w:p w:rsidR="00A628BF" w:rsidRPr="00F11C78" w:rsidRDefault="00DC2BF3" w:rsidP="008C116A">
      <w:pPr>
        <w:pStyle w:val="Inf4Heading3"/>
        <w:keepLines/>
        <w:rPr>
          <w:lang w:val="es-ES_tradnl"/>
        </w:rPr>
      </w:pPr>
      <w:r w:rsidRPr="00F11C78">
        <w:rPr>
          <w:lang w:val="es-ES_tradnl"/>
        </w:rPr>
        <w:t>Pagos a título graciable</w:t>
      </w:r>
    </w:p>
    <w:p w:rsidR="00A628BF" w:rsidRPr="00F11C78" w:rsidRDefault="00DC2BF3" w:rsidP="008C116A">
      <w:pPr>
        <w:pStyle w:val="Inf4Heading4"/>
        <w:keepLines/>
        <w:rPr>
          <w:lang w:val="es-ES_tradnl"/>
        </w:rPr>
      </w:pPr>
      <w:r w:rsidRPr="00F11C78">
        <w:rPr>
          <w:lang w:val="es-ES_tradnl"/>
        </w:rPr>
        <w:t>Artículo 5.10</w:t>
      </w:r>
    </w:p>
    <w:p w:rsidR="00A628BF" w:rsidRPr="00F11C78" w:rsidRDefault="00265657" w:rsidP="008C116A">
      <w:pPr>
        <w:pStyle w:val="Inf4Normal"/>
        <w:keepNext/>
        <w:keepLines/>
        <w:rPr>
          <w:lang w:val="es-ES_tradnl"/>
        </w:rPr>
      </w:pPr>
      <w:r w:rsidRPr="00F11C78">
        <w:rPr>
          <w:lang w:val="es-ES_tradnl"/>
        </w:rPr>
        <w:t xml:space="preserve">El </w:t>
      </w:r>
      <w:r w:rsidRPr="00F11C78">
        <w:rPr>
          <w:highlight w:val="lightGray"/>
          <w:lang w:val="es-ES_tradnl"/>
        </w:rPr>
        <w:t>Secretario General</w:t>
      </w:r>
      <w:r w:rsidRPr="00F11C78">
        <w:rPr>
          <w:lang w:val="es-ES_tradnl"/>
        </w:rPr>
        <w:t xml:space="preserve"> podrá efectuar los pagos a título graciable que se consideren necesarios en interés de la </w:t>
      </w:r>
      <w:r w:rsidRPr="00F11C78">
        <w:rPr>
          <w:highlight w:val="lightGray"/>
          <w:lang w:val="es-ES_tradnl"/>
        </w:rPr>
        <w:t>UPOV</w:t>
      </w:r>
      <w:r w:rsidRPr="00F11C78">
        <w:rPr>
          <w:lang w:val="es-ES_tradnl"/>
        </w:rPr>
        <w:t xml:space="preserve">, siempre que se incluya en los estados financieros de la  </w:t>
      </w:r>
      <w:r w:rsidRPr="00F11C78">
        <w:rPr>
          <w:highlight w:val="lightGray"/>
          <w:lang w:val="es-ES_tradnl"/>
        </w:rPr>
        <w:t>UPOV</w:t>
      </w:r>
      <w:r w:rsidRPr="00F11C78">
        <w:rPr>
          <w:lang w:val="es-ES_tradnl"/>
        </w:rPr>
        <w:t xml:space="preserve"> un estado contable resumido de estos pagos correspondiente al año civil.  </w:t>
      </w:r>
      <w:r w:rsidRPr="00F11C78">
        <w:rPr>
          <w:u w:val="single"/>
          <w:lang w:val="es-ES_tradnl"/>
        </w:rPr>
        <w:t>Los pagos a título graciable son pagos en los que no existe obligación jurídica de efectuar el pago pero sí una obligación moral en virtud de la cual es deseable efectuarlo</w:t>
      </w:r>
      <w:r w:rsidR="008542A4" w:rsidRPr="00F11C78">
        <w:rPr>
          <w:u w:val="single"/>
          <w:lang w:val="es-ES_tradnl"/>
        </w:rPr>
        <w:t>.</w:t>
      </w:r>
      <w:r w:rsidR="008542A4" w:rsidRPr="00F11C78">
        <w:rPr>
          <w:lang w:val="es-ES_tradnl"/>
        </w:rPr>
        <w:t xml:space="preserve">  </w:t>
      </w:r>
      <w:r w:rsidR="00DC2BF3" w:rsidRPr="00F11C78">
        <w:rPr>
          <w:lang w:val="es-ES_tradnl"/>
        </w:rPr>
        <w:t>La cuantía total de estos pagos no excederá los </w:t>
      </w:r>
      <w:r w:rsidR="00DC2BF3" w:rsidRPr="00C16FD9">
        <w:rPr>
          <w:highlight w:val="lightGray"/>
          <w:lang w:val="es-ES_tradnl"/>
        </w:rPr>
        <w:t>5.000</w:t>
      </w:r>
      <w:r w:rsidR="00DC2BF3" w:rsidRPr="00F11C78">
        <w:rPr>
          <w:lang w:val="es-ES_tradnl"/>
        </w:rPr>
        <w:t> francos suizos en un ejercicio económico determinado.</w:t>
      </w:r>
      <w:r w:rsidR="008542A4" w:rsidRPr="00F11C78">
        <w:rPr>
          <w:rStyle w:val="EndnoteReference"/>
          <w:lang w:val="es-ES_tradnl"/>
        </w:rPr>
        <w:endnoteReference w:id="2"/>
      </w:r>
    </w:p>
    <w:p w:rsidR="00A628BF" w:rsidRPr="00F11C78" w:rsidRDefault="00210672" w:rsidP="00210672">
      <w:pPr>
        <w:pStyle w:val="Inf4Heading2"/>
        <w:rPr>
          <w:lang w:val="es-ES_tradnl"/>
        </w:rPr>
      </w:pPr>
      <w:bookmarkStart w:id="29" w:name="_Toc355189983"/>
      <w:r w:rsidRPr="00F11C78">
        <w:rPr>
          <w:lang w:val="es-ES_tradnl"/>
        </w:rPr>
        <w:t>C.</w:t>
      </w:r>
      <w:r w:rsidRPr="00F11C78">
        <w:rPr>
          <w:lang w:val="es-ES_tradnl"/>
        </w:rPr>
        <w:tab/>
      </w:r>
      <w:bookmarkEnd w:id="29"/>
      <w:r w:rsidR="00265657" w:rsidRPr="00F11C78">
        <w:rPr>
          <w:lang w:val="es-ES_tradnl"/>
        </w:rPr>
        <w:t>ADQUISICIONES</w:t>
      </w:r>
    </w:p>
    <w:p w:rsidR="00A628BF" w:rsidRPr="00F11C78" w:rsidRDefault="00A628BF" w:rsidP="00A628BF">
      <w:pPr>
        <w:pStyle w:val="Inf4Heading3"/>
        <w:rPr>
          <w:snapToGrid w:val="0"/>
          <w:lang w:val="es-ES_tradnl"/>
        </w:rPr>
      </w:pPr>
      <w:r w:rsidRPr="00F11C78">
        <w:rPr>
          <w:snapToGrid w:val="0"/>
          <w:lang w:val="es-ES_tradnl"/>
        </w:rPr>
        <w:t>Principios generales</w:t>
      </w:r>
    </w:p>
    <w:p w:rsidR="00A628BF" w:rsidRPr="00F11C78" w:rsidRDefault="00DC2BF3" w:rsidP="00DC2BF3">
      <w:pPr>
        <w:pStyle w:val="Inf4Heading4"/>
        <w:rPr>
          <w:snapToGrid w:val="0"/>
          <w:lang w:val="es-ES_tradnl"/>
        </w:rPr>
      </w:pPr>
      <w:r w:rsidRPr="00F11C78">
        <w:rPr>
          <w:snapToGrid w:val="0"/>
          <w:lang w:val="es-ES_tradnl"/>
        </w:rPr>
        <w:t>Artículo 5.11</w:t>
      </w:r>
    </w:p>
    <w:p w:rsidR="00A628BF" w:rsidRPr="00F11C78" w:rsidRDefault="00A628BF" w:rsidP="00A628BF">
      <w:pPr>
        <w:pStyle w:val="Inf4Normal"/>
        <w:rPr>
          <w:snapToGrid w:val="0"/>
          <w:lang w:val="es-ES_tradnl"/>
        </w:rPr>
      </w:pPr>
      <w:r w:rsidRPr="00F11C78">
        <w:rPr>
          <w:snapToGrid w:val="0"/>
          <w:u w:val="single"/>
          <w:lang w:val="es-ES_tradnl"/>
        </w:rPr>
        <w:t>a)</w:t>
      </w:r>
      <w:r w:rsidR="004F5E14" w:rsidRPr="00F11C78">
        <w:rPr>
          <w:snapToGrid w:val="0"/>
          <w:u w:val="single"/>
          <w:lang w:val="es-ES_tradnl"/>
        </w:rPr>
        <w:tab/>
      </w:r>
      <w:r w:rsidRPr="00F11C78">
        <w:rPr>
          <w:snapToGrid w:val="0"/>
          <w:lang w:val="es-ES_tradnl"/>
        </w:rPr>
        <w:t>Las funciones relacionadas con la adquisición de propiedad, incluidos los productos y los bienes inmuebles, y de servicios, incluida la construcción de obras, comprenden todos los actos necesarios para adquirirlos, sea mediante compra, arrendamiento o cualquier otro medio adecuado.</w:t>
      </w:r>
      <w:r w:rsidR="00210672" w:rsidRPr="00F11C78">
        <w:rPr>
          <w:snapToGrid w:val="0"/>
          <w:lang w:val="es-ES_tradnl"/>
        </w:rPr>
        <w:t xml:space="preserve">  </w:t>
      </w:r>
      <w:r w:rsidR="00265657" w:rsidRPr="00F11C78">
        <w:rPr>
          <w:strike/>
          <w:snapToGrid w:val="0"/>
          <w:lang w:val="es-ES_tradnl"/>
        </w:rPr>
        <w:t>A los fines del presente Reglamento, la adquisición no abarca la compra de servicios prestados en virtud de contratos de empleo ni de contratos externos no comerciales de consultoría</w:t>
      </w:r>
      <w:r w:rsidR="00210672" w:rsidRPr="00F11C78">
        <w:rPr>
          <w:snapToGrid w:val="0"/>
          <w:lang w:val="es-ES_tradnl"/>
        </w:rPr>
        <w:t xml:space="preserve">.  </w:t>
      </w:r>
      <w:r w:rsidRPr="00F11C78">
        <w:rPr>
          <w:snapToGrid w:val="0"/>
          <w:lang w:val="es-ES_tradnl"/>
        </w:rPr>
        <w:t>Cabe tener debidamente en cuenta los siguientes principios generales:</w:t>
      </w:r>
    </w:p>
    <w:p w:rsidR="00A628BF" w:rsidRPr="00F11C78" w:rsidRDefault="00210672" w:rsidP="00210672">
      <w:pPr>
        <w:pStyle w:val="Inf4Normal"/>
        <w:ind w:firstLine="567"/>
        <w:rPr>
          <w:snapToGrid w:val="0"/>
          <w:szCs w:val="24"/>
          <w:lang w:val="es-ES_tradnl"/>
        </w:rPr>
      </w:pPr>
      <w:r w:rsidRPr="00F11C78">
        <w:rPr>
          <w:strike/>
          <w:snapToGrid w:val="0"/>
          <w:szCs w:val="24"/>
          <w:lang w:val="es-ES_tradnl"/>
        </w:rPr>
        <w:t>(a)</w:t>
      </w:r>
      <w:r w:rsidRPr="00F11C78">
        <w:rPr>
          <w:snapToGrid w:val="0"/>
          <w:szCs w:val="24"/>
          <w:u w:val="single"/>
          <w:lang w:val="es-ES_tradnl"/>
        </w:rPr>
        <w:t>i)</w:t>
      </w:r>
      <w:r w:rsidRPr="00F11C78">
        <w:rPr>
          <w:snapToGrid w:val="0"/>
          <w:szCs w:val="24"/>
          <w:lang w:val="es-ES_tradnl"/>
        </w:rPr>
        <w:tab/>
      </w:r>
      <w:r w:rsidR="00265657" w:rsidRPr="00F11C78">
        <w:rPr>
          <w:snapToGrid w:val="0"/>
          <w:lang w:val="es-ES_tradnl"/>
        </w:rPr>
        <w:t>la relación óptima entre precio y calidad;</w:t>
      </w:r>
    </w:p>
    <w:p w:rsidR="00A628BF" w:rsidRPr="00F11C78" w:rsidRDefault="004F5E14" w:rsidP="00A628BF">
      <w:pPr>
        <w:pStyle w:val="Inf4Normal"/>
        <w:ind w:firstLine="567"/>
        <w:rPr>
          <w:snapToGrid w:val="0"/>
          <w:szCs w:val="24"/>
          <w:lang w:val="es-ES_tradnl"/>
        </w:rPr>
      </w:pPr>
      <w:r w:rsidRPr="00F11C78">
        <w:rPr>
          <w:strike/>
          <w:snapToGrid w:val="0"/>
          <w:szCs w:val="24"/>
          <w:lang w:val="es-ES_tradnl"/>
        </w:rPr>
        <w:t>(b)</w:t>
      </w:r>
      <w:r w:rsidRPr="00F11C78">
        <w:rPr>
          <w:snapToGrid w:val="0"/>
          <w:szCs w:val="24"/>
          <w:u w:val="single"/>
          <w:lang w:val="es-ES_tradnl"/>
        </w:rPr>
        <w:t>ii)</w:t>
      </w:r>
      <w:r w:rsidRPr="00F11C78">
        <w:rPr>
          <w:snapToGrid w:val="0"/>
          <w:szCs w:val="24"/>
          <w:lang w:val="es-ES_tradnl"/>
        </w:rPr>
        <w:tab/>
      </w:r>
      <w:r w:rsidR="00A628BF" w:rsidRPr="00F11C78">
        <w:rPr>
          <w:snapToGrid w:val="0"/>
          <w:szCs w:val="24"/>
          <w:lang w:val="es-ES_tradnl"/>
        </w:rPr>
        <w:t>la competencia abierta y efectiva para la adjudicación de los contratos;</w:t>
      </w:r>
    </w:p>
    <w:p w:rsidR="00A628BF" w:rsidRPr="00F11C78" w:rsidRDefault="004F5E14" w:rsidP="00A628BF">
      <w:pPr>
        <w:pStyle w:val="Inf4Normal"/>
        <w:ind w:firstLine="567"/>
        <w:rPr>
          <w:snapToGrid w:val="0"/>
          <w:szCs w:val="24"/>
          <w:lang w:val="es-ES_tradnl"/>
        </w:rPr>
      </w:pPr>
      <w:r w:rsidRPr="00F11C78">
        <w:rPr>
          <w:strike/>
          <w:snapToGrid w:val="0"/>
          <w:szCs w:val="24"/>
          <w:lang w:val="es-ES_tradnl"/>
        </w:rPr>
        <w:t>(c)</w:t>
      </w:r>
      <w:r w:rsidRPr="00F11C78">
        <w:rPr>
          <w:snapToGrid w:val="0"/>
          <w:szCs w:val="24"/>
          <w:u w:val="single"/>
          <w:lang w:val="es-ES_tradnl"/>
        </w:rPr>
        <w:t>iii)</w:t>
      </w:r>
      <w:r w:rsidRPr="00F11C78">
        <w:rPr>
          <w:snapToGrid w:val="0"/>
          <w:szCs w:val="24"/>
          <w:lang w:val="es-ES_tradnl"/>
        </w:rPr>
        <w:tab/>
      </w:r>
      <w:r w:rsidR="00A628BF" w:rsidRPr="00F11C78">
        <w:rPr>
          <w:snapToGrid w:val="0"/>
          <w:szCs w:val="24"/>
          <w:lang w:val="es-ES_tradnl"/>
        </w:rPr>
        <w:t>la equidad, integridad y transparencia en el proceso de adquisición;</w:t>
      </w:r>
    </w:p>
    <w:p w:rsidR="004F5E14" w:rsidRPr="00F11C78" w:rsidRDefault="004F5E14" w:rsidP="004F5E14">
      <w:pPr>
        <w:pStyle w:val="Inf4Normal"/>
        <w:ind w:firstLine="567"/>
        <w:rPr>
          <w:snapToGrid w:val="0"/>
          <w:szCs w:val="24"/>
          <w:lang w:val="es-ES_tradnl"/>
        </w:rPr>
      </w:pPr>
      <w:r w:rsidRPr="00F11C78">
        <w:rPr>
          <w:strike/>
          <w:snapToGrid w:val="0"/>
          <w:szCs w:val="24"/>
          <w:lang w:val="es-ES_tradnl"/>
        </w:rPr>
        <w:t>(d)</w:t>
      </w:r>
      <w:r w:rsidRPr="00F11C78">
        <w:rPr>
          <w:snapToGrid w:val="0"/>
          <w:szCs w:val="24"/>
          <w:u w:val="single"/>
          <w:lang w:val="es-ES_tradnl"/>
        </w:rPr>
        <w:t>iv)</w:t>
      </w:r>
      <w:r w:rsidRPr="00F11C78">
        <w:rPr>
          <w:snapToGrid w:val="0"/>
          <w:szCs w:val="24"/>
          <w:lang w:val="es-ES_tradnl"/>
        </w:rPr>
        <w:tab/>
      </w:r>
      <w:r w:rsidR="00265657" w:rsidRPr="00F11C78">
        <w:rPr>
          <w:snapToGrid w:val="0"/>
          <w:lang w:val="es-ES_tradnl"/>
        </w:rPr>
        <w:t xml:space="preserve">el interés de la </w:t>
      </w:r>
      <w:r w:rsidR="00265657" w:rsidRPr="00F11C78">
        <w:rPr>
          <w:highlight w:val="lightGray"/>
          <w:lang w:val="es-ES_tradnl"/>
        </w:rPr>
        <w:t>UPOV</w:t>
      </w:r>
      <w:r w:rsidR="00265657" w:rsidRPr="00F11C78">
        <w:rPr>
          <w:lang w:val="es-ES_tradnl"/>
        </w:rPr>
        <w:t>;</w:t>
      </w:r>
    </w:p>
    <w:p w:rsidR="00A628BF" w:rsidRPr="00F11C78" w:rsidRDefault="00B312A2" w:rsidP="00B312A2">
      <w:pPr>
        <w:pStyle w:val="Inf4Normal"/>
        <w:ind w:firstLine="567"/>
        <w:rPr>
          <w:snapToGrid w:val="0"/>
          <w:szCs w:val="24"/>
          <w:lang w:val="es-ES_tradnl"/>
        </w:rPr>
      </w:pPr>
      <w:r w:rsidRPr="00F11C78">
        <w:rPr>
          <w:strike/>
          <w:snapToGrid w:val="0"/>
          <w:szCs w:val="24"/>
          <w:lang w:val="es-ES_tradnl"/>
        </w:rPr>
        <w:t xml:space="preserve"> </w:t>
      </w:r>
      <w:r w:rsidR="00210672" w:rsidRPr="00F11C78">
        <w:rPr>
          <w:strike/>
          <w:snapToGrid w:val="0"/>
          <w:szCs w:val="24"/>
          <w:lang w:val="es-ES_tradnl"/>
        </w:rPr>
        <w:t>(e)</w:t>
      </w:r>
      <w:r w:rsidR="00265657" w:rsidRPr="00F11C78">
        <w:rPr>
          <w:snapToGrid w:val="0"/>
          <w:u w:val="single"/>
          <w:lang w:val="es-ES_tradnl"/>
        </w:rPr>
        <w:t xml:space="preserve"> v)</w:t>
      </w:r>
      <w:r w:rsidR="00265657" w:rsidRPr="00F11C78">
        <w:rPr>
          <w:lang w:val="es-ES_tradnl"/>
        </w:rPr>
        <w:tab/>
      </w:r>
      <w:r w:rsidR="00265657" w:rsidRPr="00F11C78">
        <w:rPr>
          <w:snapToGrid w:val="0"/>
          <w:lang w:val="es-ES_tradnl"/>
        </w:rPr>
        <w:t xml:space="preserve">la prudencia en las prácticas </w:t>
      </w:r>
      <w:r w:rsidR="00265657" w:rsidRPr="00F11C78">
        <w:rPr>
          <w:strike/>
          <w:snapToGrid w:val="0"/>
          <w:lang w:val="es-ES_tradnl"/>
        </w:rPr>
        <w:t>commerciales</w:t>
      </w:r>
      <w:r w:rsidR="00265657" w:rsidRPr="00F11C78">
        <w:rPr>
          <w:snapToGrid w:val="0"/>
          <w:u w:val="single"/>
          <w:lang w:val="es-ES_tradnl"/>
        </w:rPr>
        <w:t>de adquisición</w:t>
      </w:r>
      <w:r w:rsidR="00210672" w:rsidRPr="00F11C78">
        <w:rPr>
          <w:snapToGrid w:val="0"/>
          <w:szCs w:val="24"/>
          <w:lang w:val="es-ES_tradnl"/>
        </w:rPr>
        <w:t>.</w:t>
      </w:r>
    </w:p>
    <w:p w:rsidR="00A628BF" w:rsidRPr="00F11C78" w:rsidRDefault="00210672" w:rsidP="00A628BF">
      <w:pPr>
        <w:pStyle w:val="Inf4Normal"/>
        <w:ind w:firstLine="567"/>
        <w:rPr>
          <w:strike/>
          <w:snapToGrid w:val="0"/>
          <w:szCs w:val="24"/>
          <w:lang w:val="es-ES_tradnl"/>
        </w:rPr>
      </w:pPr>
      <w:r w:rsidRPr="00F11C78">
        <w:rPr>
          <w:strike/>
          <w:snapToGrid w:val="0"/>
          <w:szCs w:val="24"/>
          <w:lang w:val="es-ES_tradnl"/>
        </w:rPr>
        <w:t>(f)</w:t>
      </w:r>
      <w:r w:rsidRPr="00F11C78">
        <w:rPr>
          <w:strike/>
          <w:snapToGrid w:val="0"/>
          <w:szCs w:val="24"/>
          <w:lang w:val="es-ES_tradnl"/>
        </w:rPr>
        <w:tab/>
      </w:r>
      <w:r w:rsidR="00265657" w:rsidRPr="00F11C78">
        <w:rPr>
          <w:strike/>
          <w:snapToGrid w:val="0"/>
          <w:lang w:val="es-ES_tradnl"/>
        </w:rPr>
        <w:t>la adquisición de productos o servicios se realizará a partir de un procedimiento formal de adjudicación de contratos</w:t>
      </w:r>
      <w:r w:rsidRPr="00F11C78">
        <w:rPr>
          <w:strike/>
          <w:snapToGrid w:val="0"/>
          <w:szCs w:val="24"/>
          <w:lang w:val="es-ES_tradnl"/>
        </w:rPr>
        <w:t xml:space="preserve">.  </w:t>
      </w:r>
      <w:r w:rsidR="00A628BF" w:rsidRPr="00F11C78">
        <w:rPr>
          <w:strike/>
          <w:snapToGrid w:val="0"/>
          <w:szCs w:val="24"/>
          <w:lang w:val="es-ES_tradnl"/>
        </w:rPr>
        <w:t>Los llamados a licitación pueden ser formales o informales.</w:t>
      </w:r>
    </w:p>
    <w:p w:rsidR="00A628BF" w:rsidRPr="00F11C78" w:rsidRDefault="00110289" w:rsidP="00A628BF">
      <w:pPr>
        <w:pStyle w:val="Inf4Normal"/>
        <w:ind w:firstLine="567"/>
        <w:rPr>
          <w:strike/>
          <w:snapToGrid w:val="0"/>
          <w:szCs w:val="24"/>
          <w:lang w:val="es-ES_tradnl"/>
        </w:rPr>
      </w:pPr>
      <w:r w:rsidRPr="00F11C78">
        <w:rPr>
          <w:strike/>
          <w:snapToGrid w:val="0"/>
          <w:szCs w:val="24"/>
          <w:lang w:val="es-ES_tradnl"/>
        </w:rPr>
        <w:t>g)</w:t>
      </w:r>
      <w:r w:rsidRPr="00F11C78">
        <w:rPr>
          <w:strike/>
          <w:snapToGrid w:val="0"/>
          <w:szCs w:val="24"/>
          <w:lang w:val="es-ES_tradnl"/>
        </w:rPr>
        <w:tab/>
      </w:r>
      <w:r w:rsidR="00A628BF" w:rsidRPr="00F11C78">
        <w:rPr>
          <w:strike/>
          <w:snapToGrid w:val="0"/>
          <w:szCs w:val="24"/>
          <w:lang w:val="es-ES_tradnl"/>
        </w:rPr>
        <w:t>Los llamados a licitación se realizarán por anuncio salvo indicación en contrario.</w:t>
      </w:r>
    </w:p>
    <w:p w:rsidR="00A628BF" w:rsidRPr="00F11C78" w:rsidRDefault="00110289" w:rsidP="00A628BF">
      <w:pPr>
        <w:pStyle w:val="Inf4Normal"/>
        <w:rPr>
          <w:u w:val="single"/>
          <w:lang w:val="es-ES_tradnl"/>
        </w:rPr>
      </w:pPr>
      <w:bookmarkStart w:id="30" w:name="_Toc355189988"/>
      <w:r w:rsidRPr="00F11C78">
        <w:rPr>
          <w:u w:val="single"/>
          <w:lang w:val="es-ES_tradnl"/>
        </w:rPr>
        <w:t>b)</w:t>
      </w:r>
      <w:r w:rsidRPr="00F11C78">
        <w:rPr>
          <w:u w:val="single"/>
          <w:lang w:val="es-ES_tradnl"/>
        </w:rPr>
        <w:tab/>
      </w:r>
      <w:r w:rsidR="00A628BF" w:rsidRPr="00F11C78">
        <w:rPr>
          <w:u w:val="single"/>
          <w:lang w:val="es-ES_tradnl"/>
        </w:rPr>
        <w:t>La adquisición de productos o servicios se realizará a partir de procedimientos de adjudicación de contratos.</w:t>
      </w:r>
      <w:r w:rsidR="00B312A2" w:rsidRPr="00F11C78">
        <w:rPr>
          <w:u w:val="single"/>
          <w:lang w:val="es-ES_tradnl"/>
        </w:rPr>
        <w:t xml:space="preserve">  </w:t>
      </w:r>
      <w:r w:rsidR="00A628BF" w:rsidRPr="00F11C78">
        <w:rPr>
          <w:u w:val="single"/>
          <w:lang w:val="es-ES_tradnl"/>
        </w:rPr>
        <w:t>Los llamados a licitación pueden ser formales o informales.  Los llamados a licitación se realizarán por anuncio salvo indicación en contrario.</w:t>
      </w:r>
      <w:r w:rsidR="00B312A2" w:rsidRPr="00F11C78">
        <w:rPr>
          <w:u w:val="single"/>
          <w:lang w:val="es-ES_tradnl"/>
        </w:rPr>
        <w:t xml:space="preserve">  </w:t>
      </w:r>
      <w:r w:rsidR="00A628BF" w:rsidRPr="00F11C78">
        <w:rPr>
          <w:u w:val="single"/>
          <w:lang w:val="es-ES_tradnl"/>
        </w:rPr>
        <w:t>Los procedimientos de adjudicación de contratos y los llamados a licitación se definirán en una orden de servicio emitida por el Director General</w:t>
      </w:r>
      <w:r w:rsidR="00895356" w:rsidRPr="00F11C78">
        <w:rPr>
          <w:u w:val="single"/>
          <w:lang w:val="es-ES_tradnl"/>
        </w:rPr>
        <w:t xml:space="preserve"> de la OMPI</w:t>
      </w:r>
      <w:r w:rsidR="00A628BF" w:rsidRPr="00F11C78">
        <w:rPr>
          <w:u w:val="single"/>
          <w:lang w:val="es-ES_tradnl"/>
        </w:rPr>
        <w:t>.</w:t>
      </w:r>
    </w:p>
    <w:bookmarkEnd w:id="30"/>
    <w:p w:rsidR="00A628BF" w:rsidRPr="00F11C78" w:rsidRDefault="00A628BF" w:rsidP="00A628BF">
      <w:pPr>
        <w:pStyle w:val="Inf4Heading5"/>
        <w:rPr>
          <w:lang w:val="es-ES_tradnl"/>
        </w:rPr>
      </w:pPr>
      <w:r w:rsidRPr="00F11C78">
        <w:rPr>
          <w:lang w:val="es-ES_tradnl"/>
        </w:rPr>
        <w:t>Cooperación</w:t>
      </w:r>
    </w:p>
    <w:p w:rsidR="00A628BF" w:rsidRPr="00F11C78" w:rsidRDefault="00DC2BF3" w:rsidP="00DC2BF3">
      <w:pPr>
        <w:pStyle w:val="Inf4Heading6"/>
        <w:rPr>
          <w:snapToGrid w:val="0"/>
          <w:lang w:val="es-ES_tradnl"/>
        </w:rPr>
      </w:pPr>
      <w:r w:rsidRPr="00F11C78">
        <w:rPr>
          <w:snapToGrid w:val="0"/>
          <w:lang w:val="es-ES_tradnl"/>
        </w:rPr>
        <w:t>Regla 105.13</w:t>
      </w:r>
    </w:p>
    <w:p w:rsidR="00265657" w:rsidRPr="00F11C78" w:rsidRDefault="00265657" w:rsidP="00265657">
      <w:pPr>
        <w:pStyle w:val="Inf4Normal"/>
        <w:ind w:left="567"/>
        <w:rPr>
          <w:szCs w:val="24"/>
          <w:lang w:val="es-ES_tradnl"/>
        </w:rPr>
      </w:pPr>
      <w:r w:rsidRPr="00F11C78">
        <w:rPr>
          <w:lang w:val="es-ES_tradnl"/>
        </w:rPr>
        <w:t xml:space="preserve">La </w:t>
      </w:r>
      <w:r w:rsidRPr="00F11C78">
        <w:rPr>
          <w:highlight w:val="lightGray"/>
          <w:lang w:val="es-ES_tradnl"/>
        </w:rPr>
        <w:t>UPOV</w:t>
      </w:r>
      <w:r w:rsidRPr="00F11C78">
        <w:rPr>
          <w:lang w:val="es-ES_tradnl"/>
        </w:rPr>
        <w:t xml:space="preserve"> podrá actuar en cooperación con la </w:t>
      </w:r>
      <w:r w:rsidRPr="00F11C78">
        <w:rPr>
          <w:highlight w:val="lightGray"/>
          <w:lang w:val="es-ES_tradnl"/>
        </w:rPr>
        <w:t>OMPI y</w:t>
      </w:r>
      <w:r w:rsidRPr="00F11C78">
        <w:rPr>
          <w:lang w:val="es-ES_tradnl"/>
        </w:rPr>
        <w:t xml:space="preserve"> </w:t>
      </w:r>
      <w:r w:rsidRPr="00F11C78">
        <w:rPr>
          <w:strike/>
          <w:lang w:val="es-ES_tradnl"/>
        </w:rPr>
        <w:t>con otras</w:t>
      </w:r>
      <w:r w:rsidRPr="00F11C78">
        <w:rPr>
          <w:lang w:val="es-ES_tradnl"/>
        </w:rPr>
        <w:t xml:space="preserve"> organizaciones </w:t>
      </w:r>
      <w:r w:rsidRPr="00F11C78">
        <w:rPr>
          <w:u w:val="single"/>
          <w:lang w:val="es-ES_tradnl"/>
        </w:rPr>
        <w:t>intergubernamentales</w:t>
      </w:r>
      <w:r w:rsidRPr="00F11C78">
        <w:rPr>
          <w:lang w:val="es-ES_tradnl"/>
        </w:rPr>
        <w:t xml:space="preserve"> </w:t>
      </w:r>
      <w:r w:rsidRPr="00F11C78">
        <w:rPr>
          <w:strike/>
          <w:lang w:val="es-ES_tradnl"/>
        </w:rPr>
        <w:t>del sistema de las Naciones Unidas</w:t>
      </w:r>
      <w:r w:rsidRPr="00F11C78">
        <w:rPr>
          <w:lang w:val="es-ES_tradnl"/>
        </w:rPr>
        <w:t xml:space="preserve"> </w:t>
      </w:r>
      <w:r w:rsidRPr="00F11C78">
        <w:rPr>
          <w:u w:val="single"/>
          <w:lang w:val="es-ES_tradnl"/>
        </w:rPr>
        <w:t>que tengan procedimientos similares de adquisición</w:t>
      </w:r>
      <w:r w:rsidRPr="00F11C78">
        <w:rPr>
          <w:lang w:val="es-ES_tradnl"/>
        </w:rPr>
        <w:t xml:space="preserve"> para efectuar las adquisiciones que necesite mediante la celebración de acuerdos a tal fin, según corresponda</w:t>
      </w:r>
      <w:r w:rsidR="00060A59" w:rsidRPr="00F11C78">
        <w:rPr>
          <w:lang w:val="es-ES_tradnl"/>
        </w:rPr>
        <w:t xml:space="preserve">.  </w:t>
      </w:r>
      <w:r w:rsidRPr="00F11C78">
        <w:rPr>
          <w:lang w:val="es-ES_tradnl"/>
        </w:rPr>
        <w:t xml:space="preserve">Esa cooperación podrá consistir en la realización conjunta de adquisiciones, en la celebración de contratos sobre la base de una decisión en la materia tomada por la </w:t>
      </w:r>
      <w:r w:rsidRPr="00F11C78">
        <w:rPr>
          <w:highlight w:val="lightGray"/>
          <w:lang w:val="es-ES_tradnl"/>
        </w:rPr>
        <w:t>OMPI u</w:t>
      </w:r>
      <w:r w:rsidRPr="00F11C78">
        <w:rPr>
          <w:lang w:val="es-ES_tradnl"/>
        </w:rPr>
        <w:t xml:space="preserve"> </w:t>
      </w:r>
      <w:r w:rsidRPr="00F11C78">
        <w:rPr>
          <w:strike/>
          <w:lang w:val="es-ES_tradnl"/>
        </w:rPr>
        <w:t>otro organismo especializado de las Naciones Unidas</w:t>
      </w:r>
      <w:r w:rsidRPr="00F11C78">
        <w:rPr>
          <w:lang w:val="es-ES_tradnl"/>
        </w:rPr>
        <w:t xml:space="preserve"> </w:t>
      </w:r>
      <w:r w:rsidRPr="00F11C78">
        <w:rPr>
          <w:u w:val="single"/>
          <w:lang w:val="es-ES_tradnl"/>
        </w:rPr>
        <w:t>otra organización intergubernamental</w:t>
      </w:r>
      <w:r w:rsidRPr="00F11C78">
        <w:rPr>
          <w:lang w:val="es-ES_tradnl"/>
        </w:rPr>
        <w:t xml:space="preserve">, o en el pedido a la </w:t>
      </w:r>
      <w:r w:rsidRPr="00F11C78">
        <w:rPr>
          <w:highlight w:val="lightGray"/>
          <w:lang w:val="es-ES_tradnl"/>
        </w:rPr>
        <w:t>OMPI u</w:t>
      </w:r>
      <w:r w:rsidRPr="00F11C78">
        <w:rPr>
          <w:lang w:val="es-ES_tradnl"/>
        </w:rPr>
        <w:t xml:space="preserve"> </w:t>
      </w:r>
      <w:r w:rsidRPr="00F11C78">
        <w:rPr>
          <w:strike/>
          <w:lang w:val="es-ES_tradnl"/>
        </w:rPr>
        <w:t>otro organismo especializado de las Naciones Unidas</w:t>
      </w:r>
      <w:r w:rsidRPr="00F11C78">
        <w:rPr>
          <w:lang w:val="es-ES_tradnl"/>
        </w:rPr>
        <w:t xml:space="preserve"> </w:t>
      </w:r>
      <w:r w:rsidRPr="00F11C78">
        <w:rPr>
          <w:u w:val="single"/>
          <w:lang w:val="es-ES_tradnl"/>
        </w:rPr>
        <w:t>otra organización intergubernamental</w:t>
      </w:r>
      <w:r w:rsidRPr="00F11C78">
        <w:rPr>
          <w:lang w:val="es-ES_tradnl"/>
        </w:rPr>
        <w:t xml:space="preserve"> para que realice adquisiciones en nombre de la </w:t>
      </w:r>
      <w:r w:rsidRPr="00F11C78">
        <w:rPr>
          <w:highlight w:val="lightGray"/>
          <w:lang w:val="es-ES_tradnl"/>
        </w:rPr>
        <w:t>UPOV</w:t>
      </w:r>
      <w:r w:rsidRPr="00F11C78">
        <w:rPr>
          <w:lang w:val="es-ES_tradnl"/>
        </w:rPr>
        <w:t>.</w:t>
      </w:r>
    </w:p>
    <w:p w:rsidR="00A628BF" w:rsidRPr="00F11C78" w:rsidRDefault="00A628BF" w:rsidP="00A628BF">
      <w:pPr>
        <w:pStyle w:val="Inf4Heading5"/>
        <w:rPr>
          <w:lang w:val="es-ES_tradnl"/>
        </w:rPr>
      </w:pPr>
      <w:r w:rsidRPr="00F11C78">
        <w:rPr>
          <w:lang w:val="es-ES_tradnl"/>
        </w:rPr>
        <w:t>Proceso de adquisición</w:t>
      </w:r>
    </w:p>
    <w:p w:rsidR="00A628BF" w:rsidRPr="00F11C78" w:rsidRDefault="00DC2BF3" w:rsidP="00DC2BF3">
      <w:pPr>
        <w:pStyle w:val="Inf4Heading6"/>
        <w:rPr>
          <w:snapToGrid w:val="0"/>
          <w:lang w:val="es-ES_tradnl"/>
        </w:rPr>
      </w:pPr>
      <w:r w:rsidRPr="00F11C78">
        <w:rPr>
          <w:snapToGrid w:val="0"/>
          <w:lang w:val="es-ES_tradnl"/>
        </w:rPr>
        <w:t>Regla 105.16</w:t>
      </w:r>
    </w:p>
    <w:p w:rsidR="00A628BF" w:rsidRPr="00F11C78" w:rsidRDefault="00944B91" w:rsidP="00A628BF">
      <w:pPr>
        <w:pStyle w:val="Inf4Normal"/>
        <w:ind w:left="567"/>
        <w:rPr>
          <w:szCs w:val="24"/>
          <w:lang w:val="es-ES_tradnl"/>
        </w:rPr>
      </w:pPr>
      <w:r w:rsidRPr="00F11C78">
        <w:rPr>
          <w:szCs w:val="24"/>
          <w:lang w:val="es-ES_tradnl"/>
        </w:rPr>
        <w:t>a)</w:t>
      </w:r>
      <w:r w:rsidRPr="00F11C78">
        <w:rPr>
          <w:szCs w:val="24"/>
          <w:lang w:val="es-ES_tradnl"/>
        </w:rPr>
        <w:tab/>
      </w:r>
      <w:r w:rsidR="00A628BF" w:rsidRPr="00F11C78">
        <w:rPr>
          <w:szCs w:val="24"/>
          <w:lang w:val="es-ES_tradnl"/>
        </w:rPr>
        <w:t>Una obligación puede originarse en un único pedido o en una serie de pedidos conexos recibidos y tramitados durante la vigencia del contrato o el año civil, e incluye todos los contratos u órdenes de compras relativos a la adquisición de productos y servicios.</w:t>
      </w:r>
      <w:r w:rsidR="000D6DA4" w:rsidRPr="00F11C78">
        <w:rPr>
          <w:szCs w:val="24"/>
          <w:lang w:val="es-ES_tradnl"/>
        </w:rPr>
        <w:t xml:space="preserve">  </w:t>
      </w:r>
      <w:r w:rsidR="00A628BF" w:rsidRPr="00F11C78">
        <w:rPr>
          <w:szCs w:val="24"/>
          <w:lang w:val="es-ES_tradnl"/>
        </w:rPr>
        <w:t>Corresponderá al alto funcionario encargado de adquisiciones</w:t>
      </w:r>
      <w:r w:rsidR="00AA1712" w:rsidRPr="00F11C78">
        <w:rPr>
          <w:szCs w:val="24"/>
          <w:lang w:val="es-ES_tradnl"/>
        </w:rPr>
        <w:t xml:space="preserve"> de la OMPI</w:t>
      </w:r>
      <w:r w:rsidR="00A628BF" w:rsidRPr="00F11C78">
        <w:rPr>
          <w:szCs w:val="24"/>
          <w:lang w:val="es-ES_tradnl"/>
        </w:rPr>
        <w:t xml:space="preserve">, o a los funcionarios en los que haya delegado la </w:t>
      </w:r>
      <w:r w:rsidR="00A628BF" w:rsidRPr="00F11C78">
        <w:rPr>
          <w:szCs w:val="24"/>
          <w:lang w:val="es-ES_tradnl"/>
        </w:rPr>
        <w:lastRenderedPageBreak/>
        <w:t>facultad correspondiente, reconocer si los pedidos son conexos y realizar el acto de adquisición adecuado.</w:t>
      </w:r>
    </w:p>
    <w:p w:rsidR="008B78AD" w:rsidRPr="00F11C78" w:rsidRDefault="008B78AD" w:rsidP="008B78AD">
      <w:pPr>
        <w:pStyle w:val="Inf4Normal"/>
        <w:ind w:left="567"/>
        <w:rPr>
          <w:szCs w:val="24"/>
          <w:lang w:val="es-ES_tradnl"/>
        </w:rPr>
      </w:pPr>
      <w:r w:rsidRPr="00F11C78">
        <w:rPr>
          <w:lang w:val="es-ES_tradnl"/>
        </w:rPr>
        <w:t>b)</w:t>
      </w:r>
      <w:r w:rsidRPr="00F11C78">
        <w:rPr>
          <w:szCs w:val="24"/>
          <w:lang w:val="es-ES_tradnl"/>
        </w:rPr>
        <w:t xml:space="preserve"> </w:t>
      </w:r>
      <w:r w:rsidRPr="00F11C78">
        <w:rPr>
          <w:szCs w:val="24"/>
          <w:lang w:val="es-ES_tradnl"/>
        </w:rPr>
        <w:tab/>
      </w:r>
      <w:r w:rsidRPr="00F11C78">
        <w:rPr>
          <w:lang w:val="es-ES_tradnl"/>
        </w:rPr>
        <w:t xml:space="preserve">Por lo que respecta a los contratos sin plazo de vigencia determinado o sujetos a renovación, el valor de la obligación se determinará a partir de </w:t>
      </w:r>
      <w:r w:rsidRPr="00F11C78">
        <w:rPr>
          <w:strike/>
          <w:lang w:val="es-ES_tradnl"/>
        </w:rPr>
        <w:t>una duración estimada del contrato de tres años</w:t>
      </w:r>
      <w:r w:rsidRPr="00F11C78">
        <w:rPr>
          <w:lang w:val="es-ES_tradnl"/>
        </w:rPr>
        <w:t xml:space="preserve"> </w:t>
      </w:r>
      <w:r w:rsidRPr="00F11C78">
        <w:rPr>
          <w:u w:val="single"/>
          <w:lang w:val="es-ES_tradnl"/>
        </w:rPr>
        <w:t>una duración estimada del contrato de un año, contada a partir de la fecha en que ha de comenzar la prestación.</w:t>
      </w:r>
    </w:p>
    <w:p w:rsidR="00A628BF" w:rsidRPr="00F11C78" w:rsidRDefault="00DC2BF3" w:rsidP="00DC2BF3">
      <w:pPr>
        <w:pStyle w:val="Inf4Heading6"/>
        <w:rPr>
          <w:snapToGrid w:val="0"/>
          <w:lang w:val="es-ES_tradnl"/>
        </w:rPr>
      </w:pPr>
      <w:r w:rsidRPr="00F11C78">
        <w:rPr>
          <w:snapToGrid w:val="0"/>
          <w:lang w:val="es-ES_tradnl"/>
        </w:rPr>
        <w:t>Regla 105.17</w:t>
      </w:r>
    </w:p>
    <w:p w:rsidR="008B78AD" w:rsidRPr="00F11C78" w:rsidRDefault="008B78AD" w:rsidP="008B78AD">
      <w:pPr>
        <w:pStyle w:val="Inf4Normal"/>
        <w:ind w:left="567"/>
        <w:rPr>
          <w:snapToGrid w:val="0"/>
          <w:szCs w:val="24"/>
          <w:lang w:val="es-ES_tradnl"/>
        </w:rPr>
      </w:pPr>
      <w:r w:rsidRPr="00F11C78">
        <w:rPr>
          <w:snapToGrid w:val="0"/>
          <w:lang w:val="es-ES_tradnl"/>
        </w:rPr>
        <w:t xml:space="preserve">El </w:t>
      </w:r>
      <w:r w:rsidRPr="00F11C78">
        <w:rPr>
          <w:strike/>
          <w:snapToGrid w:val="0"/>
          <w:lang w:val="es-ES_tradnl"/>
        </w:rPr>
        <w:t>alto funcionario encargado de adquisicione</w:t>
      </w:r>
      <w:r w:rsidR="00060A59" w:rsidRPr="00F11C78">
        <w:rPr>
          <w:strike/>
          <w:snapToGrid w:val="0"/>
          <w:lang w:val="es-ES_tradnl"/>
        </w:rPr>
        <w:t>s</w:t>
      </w:r>
      <w:r w:rsidRPr="00F11C78">
        <w:rPr>
          <w:strike/>
          <w:snapToGrid w:val="0"/>
          <w:lang w:val="es-ES_tradnl"/>
        </w:rPr>
        <w:t xml:space="preserve"> </w:t>
      </w:r>
      <w:r w:rsidRPr="00F11C78">
        <w:rPr>
          <w:snapToGrid w:val="0"/>
          <w:u w:val="single"/>
          <w:lang w:val="es-ES_tradnl"/>
        </w:rPr>
        <w:t>Director General</w:t>
      </w:r>
      <w:r w:rsidRPr="00F11C78">
        <w:rPr>
          <w:snapToGrid w:val="0"/>
          <w:lang w:val="es-ES_tradnl"/>
        </w:rPr>
        <w:t xml:space="preserve"> </w:t>
      </w:r>
      <w:r w:rsidRPr="00F11C78">
        <w:rPr>
          <w:snapToGrid w:val="0"/>
          <w:highlight w:val="lightGray"/>
          <w:u w:val="single"/>
          <w:lang w:val="es-ES_tradnl"/>
        </w:rPr>
        <w:t>de la OMPI</w:t>
      </w:r>
      <w:r w:rsidRPr="00F11C78">
        <w:rPr>
          <w:snapToGrid w:val="0"/>
          <w:lang w:val="es-ES_tradnl"/>
        </w:rPr>
        <w:t xml:space="preserve"> fijará, mediante </w:t>
      </w:r>
      <w:r w:rsidRPr="00F11C78">
        <w:rPr>
          <w:strike/>
          <w:snapToGrid w:val="0"/>
          <w:lang w:val="es-ES_tradnl"/>
        </w:rPr>
        <w:t>instrucción administrativa</w:t>
      </w:r>
      <w:r w:rsidRPr="00F11C78">
        <w:rPr>
          <w:snapToGrid w:val="0"/>
          <w:lang w:val="es-ES_tradnl"/>
        </w:rPr>
        <w:t xml:space="preserve"> </w:t>
      </w:r>
      <w:r w:rsidRPr="00F11C78">
        <w:rPr>
          <w:snapToGrid w:val="0"/>
          <w:u w:val="single"/>
          <w:lang w:val="es-ES_tradnl"/>
        </w:rPr>
        <w:t>una orden de servicio</w:t>
      </w:r>
      <w:r w:rsidRPr="00F11C78">
        <w:rPr>
          <w:snapToGrid w:val="0"/>
          <w:lang w:val="es-ES_tradnl"/>
        </w:rPr>
        <w:t xml:space="preserve">, los límites de i) las compras directas;  ii) el procedimiento informal de la solicitud de cotización;  ii) las licitaciones limitadas;  y iv) las licitaciones internacionales abiertas.  Fijará asimismo el límite por encima del cual deberá recabarse el dictamen del Comité de Revisión de Contratos de la </w:t>
      </w:r>
      <w:r w:rsidRPr="00F11C78">
        <w:rPr>
          <w:snapToGrid w:val="0"/>
          <w:highlight w:val="lightGray"/>
          <w:lang w:val="es-ES_tradnl"/>
        </w:rPr>
        <w:t>OMPI</w:t>
      </w:r>
      <w:r w:rsidRPr="00F11C78">
        <w:rPr>
          <w:snapToGrid w:val="0"/>
          <w:lang w:val="es-ES_tradnl"/>
        </w:rPr>
        <w:t>.</w:t>
      </w:r>
    </w:p>
    <w:p w:rsidR="00A628BF" w:rsidRPr="00F11C78" w:rsidRDefault="00DC2BF3" w:rsidP="00DC2BF3">
      <w:pPr>
        <w:pStyle w:val="Inf4Heading6"/>
        <w:rPr>
          <w:snapToGrid w:val="0"/>
          <w:lang w:val="es-ES_tradnl"/>
        </w:rPr>
      </w:pPr>
      <w:r w:rsidRPr="00F11C78">
        <w:rPr>
          <w:snapToGrid w:val="0"/>
          <w:lang w:val="es-ES_tradnl"/>
        </w:rPr>
        <w:t>Regla 105.18</w:t>
      </w:r>
    </w:p>
    <w:p w:rsidR="008B78AD" w:rsidRPr="00F11C78" w:rsidRDefault="008B78AD" w:rsidP="008B78AD">
      <w:pPr>
        <w:pStyle w:val="Inf4Normal"/>
        <w:ind w:left="567"/>
        <w:rPr>
          <w:snapToGrid w:val="0"/>
          <w:szCs w:val="24"/>
          <w:lang w:val="es-ES_tradnl"/>
        </w:rPr>
      </w:pPr>
      <w:r w:rsidRPr="00F11C78">
        <w:rPr>
          <w:snapToGrid w:val="0"/>
          <w:lang w:val="es-ES_tradnl"/>
        </w:rPr>
        <w:t xml:space="preserve">El alto funcionario encargado de adquisiciones </w:t>
      </w:r>
      <w:r w:rsidRPr="00F11C78">
        <w:rPr>
          <w:snapToGrid w:val="0"/>
          <w:highlight w:val="lightGray"/>
          <w:lang w:val="es-ES_tradnl"/>
        </w:rPr>
        <w:t>de la OMPI</w:t>
      </w:r>
      <w:r w:rsidRPr="00F11C78">
        <w:rPr>
          <w:strike/>
          <w:snapToGrid w:val="0"/>
          <w:lang w:val="es-ES_tradnl"/>
        </w:rPr>
        <w:t xml:space="preserve">, </w:t>
      </w:r>
      <w:r w:rsidR="006559E6" w:rsidRPr="00F11C78">
        <w:rPr>
          <w:strike/>
          <w:snapToGrid w:val="0"/>
          <w:lang w:val="es-ES_tradnl"/>
        </w:rPr>
        <w:t xml:space="preserve"> c</w:t>
      </w:r>
      <w:r w:rsidRPr="00F11C78">
        <w:rPr>
          <w:strike/>
          <w:snapToGrid w:val="0"/>
          <w:lang w:val="es-ES_tradnl"/>
        </w:rPr>
        <w:t xml:space="preserve">on el dictamen del CRC de la </w:t>
      </w:r>
      <w:r w:rsidRPr="00F11C78">
        <w:rPr>
          <w:strike/>
          <w:snapToGrid w:val="0"/>
          <w:highlight w:val="lightGray"/>
          <w:lang w:val="es-ES_tradnl"/>
        </w:rPr>
        <w:t>OMPI</w:t>
      </w:r>
      <w:r w:rsidRPr="00F11C78">
        <w:rPr>
          <w:strike/>
          <w:snapToGrid w:val="0"/>
          <w:lang w:val="es-ES_tradnl"/>
        </w:rPr>
        <w:t xml:space="preserve">, de ser necesario, </w:t>
      </w:r>
      <w:r w:rsidRPr="00F11C78">
        <w:rPr>
          <w:snapToGrid w:val="0"/>
          <w:lang w:val="es-ES_tradnl"/>
        </w:rPr>
        <w:t>podrá decidir</w:t>
      </w:r>
      <w:r w:rsidRPr="00F11C78">
        <w:rPr>
          <w:snapToGrid w:val="0"/>
          <w:u w:val="single"/>
          <w:lang w:val="es-ES_tradnl"/>
        </w:rPr>
        <w:t xml:space="preserve">, con el dictamen del CRC de la </w:t>
      </w:r>
      <w:r w:rsidRPr="00F11C78">
        <w:rPr>
          <w:snapToGrid w:val="0"/>
          <w:highlight w:val="lightGray"/>
          <w:u w:val="single"/>
          <w:lang w:val="es-ES_tradnl"/>
        </w:rPr>
        <w:t>OMPI</w:t>
      </w:r>
      <w:r w:rsidRPr="00F11C78">
        <w:rPr>
          <w:snapToGrid w:val="0"/>
          <w:u w:val="single"/>
          <w:lang w:val="es-ES_tradnl"/>
        </w:rPr>
        <w:t xml:space="preserve"> cuando dicho funcionario considere necesario dicho dictamen,</w:t>
      </w:r>
      <w:r w:rsidRPr="00F11C78">
        <w:rPr>
          <w:snapToGrid w:val="0"/>
          <w:lang w:val="es-ES_tradnl"/>
        </w:rPr>
        <w:t xml:space="preserve"> que no redunda en interés de la </w:t>
      </w:r>
      <w:r w:rsidRPr="00F11C78">
        <w:rPr>
          <w:highlight w:val="lightGray"/>
          <w:lang w:val="es-ES_tradnl"/>
        </w:rPr>
        <w:t>UPOV</w:t>
      </w:r>
      <w:r w:rsidRPr="00F11C78">
        <w:rPr>
          <w:snapToGrid w:val="0"/>
          <w:lang w:val="es-ES_tradnl"/>
        </w:rPr>
        <w:t xml:space="preserve"> abrir un llamado formal o informal a licitación respecto de un determinado acto de adquisición cuando:</w:t>
      </w:r>
    </w:p>
    <w:p w:rsidR="00A628BF" w:rsidRPr="00F11C78" w:rsidRDefault="00944B91" w:rsidP="00A628BF">
      <w:pPr>
        <w:pStyle w:val="Inf4Normal"/>
        <w:ind w:left="567" w:firstLine="567"/>
        <w:rPr>
          <w:snapToGrid w:val="0"/>
          <w:szCs w:val="24"/>
          <w:lang w:val="es-ES_tradnl"/>
        </w:rPr>
      </w:pPr>
      <w:r w:rsidRPr="00F11C78">
        <w:rPr>
          <w:snapToGrid w:val="0"/>
          <w:szCs w:val="24"/>
          <w:lang w:val="es-ES_tradnl"/>
        </w:rPr>
        <w:t>a)</w:t>
      </w:r>
      <w:r w:rsidRPr="00F11C78">
        <w:rPr>
          <w:snapToGrid w:val="0"/>
          <w:szCs w:val="24"/>
          <w:lang w:val="es-ES_tradnl"/>
        </w:rPr>
        <w:tab/>
      </w:r>
      <w:r w:rsidR="00A628BF" w:rsidRPr="00F11C78">
        <w:rPr>
          <w:snapToGrid w:val="0"/>
          <w:szCs w:val="24"/>
          <w:lang w:val="es-ES_tradnl"/>
        </w:rPr>
        <w:t>no haya competencia en el mercado respecto del producto o servicio necesario, como en los casos en que existe un monopolio;  los precios estén fijados por ley o por reglamentación gubernamental;  o se trate de un producto o servicio amparado por derechos de propiedad;</w:t>
      </w:r>
    </w:p>
    <w:p w:rsidR="008B78AD" w:rsidRPr="00F11C78" w:rsidRDefault="008B78AD" w:rsidP="008B78AD">
      <w:pPr>
        <w:pStyle w:val="Inf4Normal"/>
        <w:ind w:left="567" w:firstLine="567"/>
        <w:rPr>
          <w:snapToGrid w:val="0"/>
          <w:szCs w:val="24"/>
          <w:lang w:val="es-ES_tradnl"/>
        </w:rPr>
      </w:pPr>
      <w:r w:rsidRPr="00F11C78">
        <w:rPr>
          <w:snapToGrid w:val="0"/>
          <w:lang w:val="es-ES_tradnl"/>
        </w:rPr>
        <w:t>b)</w:t>
      </w:r>
      <w:r w:rsidRPr="00F11C78">
        <w:rPr>
          <w:lang w:val="es-ES_tradnl"/>
        </w:rPr>
        <w:tab/>
      </w:r>
      <w:r w:rsidRPr="00F11C78">
        <w:rPr>
          <w:snapToGrid w:val="0"/>
          <w:lang w:val="es-ES_tradnl"/>
        </w:rPr>
        <w:t xml:space="preserve">el </w:t>
      </w:r>
      <w:r w:rsidRPr="00F11C78">
        <w:rPr>
          <w:strike/>
          <w:snapToGrid w:val="0"/>
          <w:lang w:val="es-ES_tradnl"/>
        </w:rPr>
        <w:t>producto o servicio</w:t>
      </w:r>
      <w:r w:rsidRPr="00F11C78">
        <w:rPr>
          <w:snapToGrid w:val="0"/>
          <w:lang w:val="es-ES_tradnl"/>
        </w:rPr>
        <w:t xml:space="preserve"> </w:t>
      </w:r>
      <w:r w:rsidRPr="00F11C78">
        <w:rPr>
          <w:snapToGrid w:val="0"/>
          <w:u w:val="single"/>
          <w:lang w:val="es-ES_tradnl"/>
        </w:rPr>
        <w:t>proveedor o el producto o servicio</w:t>
      </w:r>
      <w:r w:rsidRPr="00F11C78">
        <w:rPr>
          <w:snapToGrid w:val="0"/>
          <w:lang w:val="es-ES_tradnl"/>
        </w:rPr>
        <w:t xml:space="preserve"> deba ser normalizado; </w:t>
      </w:r>
    </w:p>
    <w:p w:rsidR="00A628BF" w:rsidRPr="00F11C78" w:rsidRDefault="008B78AD" w:rsidP="008B78AD">
      <w:pPr>
        <w:pStyle w:val="Inf4Normal"/>
        <w:ind w:left="567" w:firstLine="567"/>
        <w:rPr>
          <w:snapToGrid w:val="0"/>
          <w:szCs w:val="24"/>
          <w:lang w:val="es-ES_tradnl"/>
        </w:rPr>
      </w:pPr>
      <w:r w:rsidRPr="00F11C78">
        <w:rPr>
          <w:snapToGrid w:val="0"/>
          <w:lang w:val="es-ES_tradnl"/>
        </w:rPr>
        <w:t>c)</w:t>
      </w:r>
      <w:r w:rsidRPr="00F11C78">
        <w:rPr>
          <w:lang w:val="es-ES_tradnl"/>
        </w:rPr>
        <w:tab/>
      </w:r>
      <w:r w:rsidRPr="00F11C78">
        <w:rPr>
          <w:snapToGrid w:val="0"/>
          <w:lang w:val="es-ES_tradnl"/>
        </w:rPr>
        <w:t xml:space="preserve">el contrato de adquisición propuesto </w:t>
      </w:r>
      <w:r w:rsidRPr="00F11C78">
        <w:rPr>
          <w:strike/>
          <w:snapToGrid w:val="0"/>
          <w:lang w:val="es-ES_tradnl"/>
        </w:rPr>
        <w:t>sea fruto de la</w:t>
      </w:r>
      <w:r w:rsidRPr="00F11C78">
        <w:rPr>
          <w:snapToGrid w:val="0"/>
          <w:lang w:val="es-ES_tradnl"/>
        </w:rPr>
        <w:t xml:space="preserve"> </w:t>
      </w:r>
      <w:r w:rsidRPr="00F11C78">
        <w:rPr>
          <w:snapToGrid w:val="0"/>
          <w:u w:val="single"/>
          <w:lang w:val="es-ES_tradnl"/>
        </w:rPr>
        <w:t>surja de la</w:t>
      </w:r>
      <w:r w:rsidRPr="00F11C78">
        <w:rPr>
          <w:snapToGrid w:val="0"/>
          <w:lang w:val="es-ES_tradnl"/>
        </w:rPr>
        <w:t xml:space="preserve"> cooperación con </w:t>
      </w:r>
      <w:r w:rsidRPr="00F11C78">
        <w:rPr>
          <w:highlight w:val="lightGray"/>
          <w:lang w:val="es-ES_tradnl"/>
        </w:rPr>
        <w:t>la OMPI u</w:t>
      </w:r>
      <w:r w:rsidRPr="00F11C78">
        <w:rPr>
          <w:snapToGrid w:val="0"/>
          <w:lang w:val="es-ES_tradnl"/>
        </w:rPr>
        <w:t xml:space="preserve"> otras organizaciones </w:t>
      </w:r>
      <w:r w:rsidRPr="00F11C78">
        <w:rPr>
          <w:snapToGrid w:val="0"/>
          <w:u w:val="single"/>
          <w:lang w:val="es-ES_tradnl"/>
        </w:rPr>
        <w:t>intergubernamentales</w:t>
      </w:r>
      <w:r w:rsidR="006559E6" w:rsidRPr="00F11C78">
        <w:rPr>
          <w:strike/>
          <w:snapToGrid w:val="0"/>
          <w:lang w:val="es-ES_tradnl"/>
        </w:rPr>
        <w:t xml:space="preserve"> d</w:t>
      </w:r>
      <w:r w:rsidRPr="00F11C78">
        <w:rPr>
          <w:strike/>
          <w:snapToGrid w:val="0"/>
          <w:lang w:val="es-ES_tradnl"/>
        </w:rPr>
        <w:t>el sistema de las Naciones Unidas, de conformidad con lo dispuesto en la regla 105.13 supra</w:t>
      </w:r>
      <w:r w:rsidRPr="00F11C78">
        <w:rPr>
          <w:u w:val="single"/>
          <w:lang w:val="es-ES_tradnl"/>
        </w:rPr>
        <w:t xml:space="preserve"> </w:t>
      </w:r>
      <w:r w:rsidRPr="00F11C78">
        <w:rPr>
          <w:snapToGrid w:val="0"/>
          <w:u w:val="single"/>
          <w:lang w:val="es-ES_tradnl"/>
        </w:rPr>
        <w:t>que tengan procedimientos similares en materia de adquisiciones</w:t>
      </w:r>
      <w:r w:rsidR="00CD0223" w:rsidRPr="00F11C78">
        <w:rPr>
          <w:snapToGrid w:val="0"/>
          <w:szCs w:val="24"/>
          <w:lang w:val="es-ES_tradnl"/>
        </w:rPr>
        <w:t>.</w:t>
      </w:r>
    </w:p>
    <w:p w:rsidR="00A628BF" w:rsidRPr="00F11C78" w:rsidRDefault="00944B91" w:rsidP="00A628BF">
      <w:pPr>
        <w:pStyle w:val="Inf4Normal"/>
        <w:ind w:left="567" w:firstLine="567"/>
        <w:rPr>
          <w:snapToGrid w:val="0"/>
          <w:szCs w:val="24"/>
          <w:lang w:val="es-ES_tradnl"/>
        </w:rPr>
      </w:pPr>
      <w:r w:rsidRPr="00F11C78">
        <w:rPr>
          <w:snapToGrid w:val="0"/>
          <w:szCs w:val="24"/>
          <w:lang w:val="es-ES_tradnl"/>
        </w:rPr>
        <w:t>d)</w:t>
      </w:r>
      <w:r w:rsidRPr="00F11C78">
        <w:rPr>
          <w:snapToGrid w:val="0"/>
          <w:szCs w:val="24"/>
          <w:lang w:val="es-ES_tradnl"/>
        </w:rPr>
        <w:tab/>
      </w:r>
      <w:r w:rsidR="00A628BF" w:rsidRPr="00F11C78">
        <w:rPr>
          <w:snapToGrid w:val="0"/>
          <w:szCs w:val="24"/>
          <w:lang w:val="es-ES_tradnl"/>
        </w:rPr>
        <w:t>dentro de un plazo razonable se hayan obtenido ofertas competitivas respecto de productos o servicios idénticos y se considere que los precios y las condiciones ofrecidos siguen siendo competitivos;</w:t>
      </w:r>
    </w:p>
    <w:p w:rsidR="00A628BF" w:rsidRPr="00F11C78" w:rsidRDefault="00944B91" w:rsidP="00A628BF">
      <w:pPr>
        <w:pStyle w:val="Inf4Normal"/>
        <w:ind w:left="567" w:firstLine="567"/>
        <w:rPr>
          <w:snapToGrid w:val="0"/>
          <w:szCs w:val="24"/>
          <w:lang w:val="es-ES_tradnl"/>
        </w:rPr>
      </w:pPr>
      <w:r w:rsidRPr="00F11C78">
        <w:rPr>
          <w:snapToGrid w:val="0"/>
          <w:szCs w:val="24"/>
          <w:lang w:val="es-ES_tradnl"/>
        </w:rPr>
        <w:t>e)</w:t>
      </w:r>
      <w:r w:rsidRPr="00F11C78">
        <w:rPr>
          <w:snapToGrid w:val="0"/>
          <w:szCs w:val="24"/>
          <w:lang w:val="es-ES_tradnl"/>
        </w:rPr>
        <w:tab/>
      </w:r>
      <w:r w:rsidR="00A628BF" w:rsidRPr="00F11C78">
        <w:rPr>
          <w:snapToGrid w:val="0"/>
          <w:szCs w:val="24"/>
          <w:lang w:val="es-ES_tradnl"/>
        </w:rPr>
        <w:t>cuando un llamado formal a licitación, efectuado con antelación razonable, respecto de productos o servicios idénticos no haya arrojado resultados satisfactorios;</w:t>
      </w:r>
    </w:p>
    <w:p w:rsidR="00A628BF" w:rsidRPr="00F11C78" w:rsidRDefault="00944B91" w:rsidP="00A628BF">
      <w:pPr>
        <w:pStyle w:val="Inf4Normal"/>
        <w:ind w:left="567" w:firstLine="567"/>
        <w:rPr>
          <w:snapToGrid w:val="0"/>
          <w:szCs w:val="24"/>
          <w:lang w:val="es-ES_tradnl"/>
        </w:rPr>
      </w:pPr>
      <w:r w:rsidRPr="00F11C78">
        <w:rPr>
          <w:snapToGrid w:val="0"/>
          <w:szCs w:val="24"/>
          <w:lang w:val="es-ES_tradnl"/>
        </w:rPr>
        <w:t>f)</w:t>
      </w:r>
      <w:r w:rsidRPr="00F11C78">
        <w:rPr>
          <w:snapToGrid w:val="0"/>
          <w:szCs w:val="24"/>
          <w:lang w:val="es-ES_tradnl"/>
        </w:rPr>
        <w:tab/>
      </w:r>
      <w:r w:rsidR="00A628BF" w:rsidRPr="00F11C78">
        <w:rPr>
          <w:snapToGrid w:val="0"/>
          <w:szCs w:val="24"/>
          <w:lang w:val="es-ES_tradnl"/>
        </w:rPr>
        <w:t>el contrato de adquisición propuesto corresponda a la compra o el alquiler de bienes inmuebles y las condiciones del mercado no permitan una verdadera competencia;</w:t>
      </w:r>
    </w:p>
    <w:p w:rsidR="00A628BF" w:rsidRPr="00F11C78" w:rsidRDefault="00944B91" w:rsidP="00A628BF">
      <w:pPr>
        <w:pStyle w:val="Inf4Normal"/>
        <w:ind w:left="567" w:firstLine="567"/>
        <w:rPr>
          <w:snapToGrid w:val="0"/>
          <w:szCs w:val="24"/>
          <w:lang w:val="es-ES_tradnl"/>
        </w:rPr>
      </w:pPr>
      <w:r w:rsidRPr="00F11C78">
        <w:rPr>
          <w:snapToGrid w:val="0"/>
          <w:szCs w:val="24"/>
          <w:lang w:val="es-ES_tradnl"/>
        </w:rPr>
        <w:t>g)</w:t>
      </w:r>
      <w:r w:rsidRPr="00F11C78">
        <w:rPr>
          <w:snapToGrid w:val="0"/>
          <w:szCs w:val="24"/>
          <w:lang w:val="es-ES_tradnl"/>
        </w:rPr>
        <w:tab/>
      </w:r>
      <w:r w:rsidR="00A628BF" w:rsidRPr="00F11C78">
        <w:rPr>
          <w:snapToGrid w:val="0"/>
          <w:szCs w:val="24"/>
          <w:lang w:val="es-ES_tradnl"/>
        </w:rPr>
        <w:t xml:space="preserve">se necesite el producto o el servicio con urgencia </w:t>
      </w:r>
      <w:r w:rsidR="00A628BF" w:rsidRPr="00F11C78">
        <w:rPr>
          <w:snapToGrid w:val="0"/>
          <w:szCs w:val="24"/>
          <w:u w:val="single"/>
          <w:lang w:val="es-ES_tradnl"/>
        </w:rPr>
        <w:t>(la falta de tiempo resultante de no haber planificado por anticipado no constituirá urgencia)</w:t>
      </w:r>
      <w:r w:rsidR="00A628BF" w:rsidRPr="00F11C78">
        <w:rPr>
          <w:snapToGrid w:val="0"/>
          <w:szCs w:val="24"/>
          <w:lang w:val="es-ES_tradnl"/>
        </w:rPr>
        <w:t>;</w:t>
      </w:r>
    </w:p>
    <w:p w:rsidR="008B78AD" w:rsidRPr="00F11C78" w:rsidRDefault="008B78AD" w:rsidP="008B78AD">
      <w:pPr>
        <w:pStyle w:val="Inf4Normal"/>
        <w:ind w:left="567" w:firstLine="567"/>
        <w:rPr>
          <w:snapToGrid w:val="0"/>
          <w:szCs w:val="24"/>
          <w:lang w:val="es-ES_tradnl"/>
        </w:rPr>
      </w:pPr>
      <w:r w:rsidRPr="00F11C78">
        <w:rPr>
          <w:snapToGrid w:val="0"/>
          <w:lang w:val="es-ES_tradnl"/>
        </w:rPr>
        <w:t>h)</w:t>
      </w:r>
      <w:r w:rsidRPr="00F11C78">
        <w:rPr>
          <w:lang w:val="es-ES_tradnl"/>
        </w:rPr>
        <w:tab/>
      </w:r>
      <w:r w:rsidRPr="00F11C78">
        <w:rPr>
          <w:snapToGrid w:val="0"/>
          <w:lang w:val="es-ES_tradnl"/>
        </w:rPr>
        <w:t>el contrato de adquisición propuesto se refiera a la obtención de servicios que no pueden evaluarse objetivamente;</w:t>
      </w:r>
    </w:p>
    <w:p w:rsidR="00A628BF" w:rsidRPr="00F11C78" w:rsidRDefault="008B78AD" w:rsidP="008B78AD">
      <w:pPr>
        <w:pStyle w:val="Inf4Normal"/>
        <w:ind w:left="567" w:firstLine="567"/>
        <w:rPr>
          <w:szCs w:val="24"/>
          <w:lang w:val="es-ES_tradnl"/>
        </w:rPr>
      </w:pPr>
      <w:r w:rsidRPr="00F11C78">
        <w:rPr>
          <w:lang w:val="es-ES_tradnl"/>
        </w:rPr>
        <w:t>i)</w:t>
      </w:r>
      <w:r w:rsidRPr="00F11C78">
        <w:rPr>
          <w:lang w:val="es-ES_tradnl"/>
        </w:rPr>
        <w:tab/>
        <w:t xml:space="preserve">el alto funcionario </w:t>
      </w:r>
      <w:r w:rsidRPr="00F11C78">
        <w:rPr>
          <w:snapToGrid w:val="0"/>
          <w:highlight w:val="lightGray"/>
          <w:lang w:val="es-ES_tradnl"/>
        </w:rPr>
        <w:t>de la OMPI</w:t>
      </w:r>
      <w:r w:rsidRPr="00F11C78">
        <w:rPr>
          <w:lang w:val="es-ES_tradnl"/>
        </w:rPr>
        <w:t xml:space="preserve"> encargado de adquisiciones determine que un llamado a licitación formal o informal no arrojará resultados satisfactorios</w:t>
      </w:r>
      <w:r w:rsidR="007A5803" w:rsidRPr="00F11C78">
        <w:rPr>
          <w:szCs w:val="24"/>
          <w:lang w:val="es-ES_tradnl"/>
        </w:rPr>
        <w:t>.</w:t>
      </w:r>
    </w:p>
    <w:p w:rsidR="00A628BF" w:rsidRPr="00F11C78" w:rsidRDefault="00DC2BF3" w:rsidP="00DC2BF3">
      <w:pPr>
        <w:pStyle w:val="Inf4Heading6"/>
        <w:rPr>
          <w:snapToGrid w:val="0"/>
          <w:lang w:val="es-ES_tradnl"/>
        </w:rPr>
      </w:pPr>
      <w:r w:rsidRPr="00F11C78">
        <w:rPr>
          <w:snapToGrid w:val="0"/>
          <w:lang w:val="es-ES_tradnl"/>
        </w:rPr>
        <w:t>Regla 105.21</w:t>
      </w:r>
    </w:p>
    <w:p w:rsidR="008B78AD" w:rsidRPr="00F11C78" w:rsidRDefault="008B78AD" w:rsidP="008B78AD">
      <w:pPr>
        <w:pStyle w:val="Inf4Normal"/>
        <w:ind w:left="567"/>
        <w:rPr>
          <w:szCs w:val="24"/>
          <w:lang w:val="es-ES_tradnl"/>
        </w:rPr>
      </w:pPr>
      <w:r w:rsidRPr="00F11C78">
        <w:rPr>
          <w:lang w:val="es-ES_tradnl"/>
        </w:rPr>
        <w:t xml:space="preserve">Incumbirá al </w:t>
      </w:r>
      <w:r w:rsidRPr="00F11C78">
        <w:rPr>
          <w:strike/>
          <w:lang w:val="es-ES_tradnl"/>
        </w:rPr>
        <w:t>alto funcionario encargado de adquisiciones</w:t>
      </w:r>
      <w:r w:rsidRPr="00F11C78">
        <w:rPr>
          <w:lang w:val="es-ES_tradnl"/>
        </w:rPr>
        <w:t xml:space="preserve"> </w:t>
      </w:r>
      <w:r w:rsidRPr="00F11C78">
        <w:rPr>
          <w:snapToGrid w:val="0"/>
          <w:u w:val="single"/>
          <w:lang w:val="es-ES_tradnl"/>
        </w:rPr>
        <w:t>Director General</w:t>
      </w:r>
      <w:r w:rsidRPr="00F11C78">
        <w:rPr>
          <w:snapToGrid w:val="0"/>
          <w:lang w:val="es-ES_tradnl"/>
        </w:rPr>
        <w:t xml:space="preserve"> </w:t>
      </w:r>
      <w:r w:rsidRPr="00F11C78">
        <w:rPr>
          <w:snapToGrid w:val="0"/>
          <w:highlight w:val="lightGray"/>
          <w:lang w:val="es-ES_tradnl"/>
        </w:rPr>
        <w:t>de la OMPI</w:t>
      </w:r>
      <w:r w:rsidRPr="00F11C78">
        <w:rPr>
          <w:snapToGrid w:val="0"/>
          <w:lang w:val="es-ES_tradnl"/>
        </w:rPr>
        <w:t xml:space="preserve"> </w:t>
      </w:r>
      <w:r w:rsidRPr="00F11C78">
        <w:rPr>
          <w:lang w:val="es-ES_tradnl"/>
        </w:rPr>
        <w:t xml:space="preserve">establecer, mediante la debida </w:t>
      </w:r>
      <w:r w:rsidRPr="00F11C78">
        <w:rPr>
          <w:strike/>
          <w:lang w:val="es-ES_tradnl"/>
        </w:rPr>
        <w:t>instrucción administrativa</w:t>
      </w:r>
      <w:r w:rsidRPr="00F11C78">
        <w:rPr>
          <w:lang w:val="es-ES_tradnl"/>
        </w:rPr>
        <w:t xml:space="preserve"> </w:t>
      </w:r>
      <w:r w:rsidRPr="00F11C78">
        <w:rPr>
          <w:u w:val="single"/>
          <w:lang w:val="es-ES_tradnl"/>
        </w:rPr>
        <w:t>orden de servicio</w:t>
      </w:r>
      <w:r w:rsidRPr="00F11C78">
        <w:rPr>
          <w:lang w:val="es-ES_tradnl"/>
        </w:rPr>
        <w:t xml:space="preserve">, los principios y procedimientos detallados para la adjudicación de contratos de adquisición y órdenes de compra respecto de todos los procedimientos de licitación.  Para los procedimientos internacionales de licitación abierta, el  </w:t>
      </w:r>
      <w:r w:rsidRPr="00F11C78">
        <w:rPr>
          <w:snapToGrid w:val="0"/>
          <w:lang w:val="es-ES_tradnl"/>
        </w:rPr>
        <w:t xml:space="preserve">alto funcionario encargado de adquisiciones </w:t>
      </w:r>
      <w:r w:rsidRPr="00F11C78">
        <w:rPr>
          <w:snapToGrid w:val="0"/>
          <w:highlight w:val="lightGray"/>
          <w:lang w:val="es-ES_tradnl"/>
        </w:rPr>
        <w:t>de la OMPI</w:t>
      </w:r>
      <w:r w:rsidRPr="00F11C78">
        <w:rPr>
          <w:snapToGrid w:val="0"/>
          <w:lang w:val="es-ES_tradnl"/>
        </w:rPr>
        <w:t xml:space="preserve"> </w:t>
      </w:r>
      <w:r w:rsidRPr="00F11C78">
        <w:rPr>
          <w:lang w:val="es-ES_tradnl"/>
        </w:rPr>
        <w:t>establecerá un equipo de evaluación.</w:t>
      </w:r>
    </w:p>
    <w:p w:rsidR="00A628BF" w:rsidRPr="00F11C78" w:rsidRDefault="00A628BF" w:rsidP="00A628BF">
      <w:pPr>
        <w:pStyle w:val="Inf4Heading5"/>
        <w:rPr>
          <w:lang w:val="es-ES_tradnl"/>
        </w:rPr>
      </w:pPr>
      <w:r w:rsidRPr="00F11C78">
        <w:rPr>
          <w:lang w:val="es-ES_tradnl"/>
        </w:rPr>
        <w:t>Contratos</w:t>
      </w:r>
    </w:p>
    <w:p w:rsidR="00A628BF" w:rsidRPr="00F11C78" w:rsidRDefault="00DC2BF3" w:rsidP="00DC2BF3">
      <w:pPr>
        <w:pStyle w:val="Inf4Heading6"/>
        <w:rPr>
          <w:lang w:val="es-ES_tradnl"/>
        </w:rPr>
      </w:pPr>
      <w:r w:rsidRPr="00F11C78">
        <w:rPr>
          <w:lang w:val="es-ES_tradnl"/>
        </w:rPr>
        <w:t>Regla 105.22</w:t>
      </w:r>
    </w:p>
    <w:p w:rsidR="008B78AD" w:rsidRPr="00F11C78" w:rsidRDefault="00A628BF" w:rsidP="008B78AD">
      <w:pPr>
        <w:pStyle w:val="Inf4Normal"/>
        <w:ind w:left="567"/>
        <w:rPr>
          <w:strike/>
          <w:snapToGrid w:val="0"/>
          <w:szCs w:val="24"/>
          <w:lang w:val="es-ES_tradnl"/>
        </w:rPr>
      </w:pPr>
      <w:r w:rsidRPr="00F11C78">
        <w:rPr>
          <w:snapToGrid w:val="0"/>
          <w:szCs w:val="24"/>
          <w:lang w:val="es-ES_tradnl"/>
        </w:rPr>
        <w:t>Toda iniciativa de adquisición quedará formalizada en documentos por escrito</w:t>
      </w:r>
      <w:r w:rsidR="008B78AD" w:rsidRPr="00F11C78">
        <w:rPr>
          <w:snapToGrid w:val="0"/>
          <w:lang w:val="es-ES_tradnl"/>
        </w:rPr>
        <w:t>.</w:t>
      </w:r>
      <w:r w:rsidR="008B78AD" w:rsidRPr="00F11C78">
        <w:rPr>
          <w:strike/>
          <w:snapToGrid w:val="0"/>
          <w:lang w:val="es-ES_tradnl"/>
        </w:rPr>
        <w:t xml:space="preserve">  En los contratos por escrito se detallará, como mínimo, la siguiente información (según proceda):</w:t>
      </w:r>
    </w:p>
    <w:p w:rsidR="008B78AD" w:rsidRPr="00F11C78" w:rsidRDefault="008B78AD" w:rsidP="008B78AD">
      <w:pPr>
        <w:pStyle w:val="Inf4Normal"/>
        <w:ind w:left="567" w:firstLine="567"/>
        <w:rPr>
          <w:strike/>
          <w:snapToGrid w:val="0"/>
          <w:szCs w:val="24"/>
          <w:lang w:val="es-ES_tradnl"/>
        </w:rPr>
      </w:pPr>
      <w:r w:rsidRPr="00F11C78">
        <w:rPr>
          <w:strike/>
          <w:snapToGrid w:val="0"/>
          <w:lang w:val="es-ES_tradnl"/>
        </w:rPr>
        <w:t>a)</w:t>
      </w:r>
      <w:r w:rsidRPr="00F11C78">
        <w:rPr>
          <w:lang w:val="es-ES_tradnl"/>
        </w:rPr>
        <w:tab/>
      </w:r>
      <w:r w:rsidRPr="00F11C78">
        <w:rPr>
          <w:strike/>
          <w:snapToGrid w:val="0"/>
          <w:lang w:val="es-ES_tradnl"/>
        </w:rPr>
        <w:t>la índole de los productos o servicios que se adquieran;</w:t>
      </w:r>
    </w:p>
    <w:p w:rsidR="008B78AD" w:rsidRPr="00F11C78" w:rsidRDefault="008B78AD" w:rsidP="008B78AD">
      <w:pPr>
        <w:pStyle w:val="Inf4Normal"/>
        <w:ind w:left="567" w:firstLine="567"/>
        <w:rPr>
          <w:strike/>
          <w:snapToGrid w:val="0"/>
          <w:szCs w:val="24"/>
          <w:lang w:val="es-ES_tradnl"/>
        </w:rPr>
      </w:pPr>
      <w:r w:rsidRPr="00F11C78">
        <w:rPr>
          <w:strike/>
          <w:snapToGrid w:val="0"/>
          <w:lang w:val="es-ES_tradnl"/>
        </w:rPr>
        <w:t>b)</w:t>
      </w:r>
      <w:r w:rsidRPr="00F11C78">
        <w:rPr>
          <w:lang w:val="es-ES_tradnl"/>
        </w:rPr>
        <w:tab/>
      </w:r>
      <w:r w:rsidRPr="00F11C78">
        <w:rPr>
          <w:strike/>
          <w:snapToGrid w:val="0"/>
          <w:lang w:val="es-ES_tradnl"/>
        </w:rPr>
        <w:t>la cantidad adquirida;</w:t>
      </w:r>
    </w:p>
    <w:p w:rsidR="008B78AD" w:rsidRPr="00F11C78" w:rsidRDefault="008B78AD" w:rsidP="008B78AD">
      <w:pPr>
        <w:pStyle w:val="Inf4Normal"/>
        <w:ind w:left="567" w:firstLine="567"/>
        <w:rPr>
          <w:strike/>
          <w:snapToGrid w:val="0"/>
          <w:szCs w:val="24"/>
          <w:lang w:val="es-ES_tradnl"/>
        </w:rPr>
      </w:pPr>
      <w:r w:rsidRPr="00F11C78">
        <w:rPr>
          <w:strike/>
          <w:snapToGrid w:val="0"/>
          <w:lang w:val="es-ES_tradnl"/>
        </w:rPr>
        <w:t>c)</w:t>
      </w:r>
      <w:r w:rsidRPr="00F11C78">
        <w:rPr>
          <w:lang w:val="es-ES_tradnl"/>
        </w:rPr>
        <w:tab/>
      </w:r>
      <w:r w:rsidRPr="00F11C78">
        <w:rPr>
          <w:strike/>
          <w:snapToGrid w:val="0"/>
          <w:lang w:val="es-ES_tradnl"/>
        </w:rPr>
        <w:t>el precio del contrato o el precio unitario;</w:t>
      </w:r>
    </w:p>
    <w:p w:rsidR="008B78AD" w:rsidRPr="00F11C78" w:rsidRDefault="008B78AD" w:rsidP="008B78AD">
      <w:pPr>
        <w:pStyle w:val="Inf4Normal"/>
        <w:ind w:left="567" w:firstLine="567"/>
        <w:rPr>
          <w:strike/>
          <w:snapToGrid w:val="0"/>
          <w:szCs w:val="24"/>
          <w:lang w:val="es-ES_tradnl"/>
        </w:rPr>
      </w:pPr>
      <w:r w:rsidRPr="00F11C78">
        <w:rPr>
          <w:strike/>
          <w:snapToGrid w:val="0"/>
          <w:lang w:val="es-ES_tradnl"/>
        </w:rPr>
        <w:lastRenderedPageBreak/>
        <w:t>d)</w:t>
      </w:r>
      <w:r w:rsidRPr="00F11C78">
        <w:rPr>
          <w:lang w:val="es-ES_tradnl"/>
        </w:rPr>
        <w:tab/>
      </w:r>
      <w:r w:rsidRPr="00F11C78">
        <w:rPr>
          <w:strike/>
          <w:snapToGrid w:val="0"/>
          <w:lang w:val="es-ES_tradnl"/>
        </w:rPr>
        <w:t>el período que abarque el contrato;</w:t>
      </w:r>
    </w:p>
    <w:p w:rsidR="008B78AD" w:rsidRPr="00F11C78" w:rsidRDefault="008B78AD" w:rsidP="008B78AD">
      <w:pPr>
        <w:pStyle w:val="Inf4Normal"/>
        <w:ind w:left="567" w:firstLine="567"/>
        <w:rPr>
          <w:strike/>
          <w:snapToGrid w:val="0"/>
          <w:szCs w:val="24"/>
          <w:lang w:val="es-ES_tradnl"/>
        </w:rPr>
      </w:pPr>
      <w:r w:rsidRPr="00F11C78">
        <w:rPr>
          <w:strike/>
          <w:snapToGrid w:val="0"/>
          <w:lang w:val="es-ES_tradnl"/>
        </w:rPr>
        <w:t>e)</w:t>
      </w:r>
      <w:r w:rsidRPr="00F11C78">
        <w:rPr>
          <w:lang w:val="es-ES_tradnl"/>
        </w:rPr>
        <w:tab/>
      </w:r>
      <w:r w:rsidRPr="00F11C78">
        <w:rPr>
          <w:strike/>
          <w:snapToGrid w:val="0"/>
          <w:lang w:val="es-ES_tradnl"/>
        </w:rPr>
        <w:t>las condiciones que ha de cumplir el proveedor, con inclusión de las condiciones generales relativas a los contratos de adquisición, y las sanciones, medidas de subsanación y cláusulas de garantía;</w:t>
      </w:r>
    </w:p>
    <w:p w:rsidR="008B78AD" w:rsidRPr="00F11C78" w:rsidRDefault="008B78AD" w:rsidP="008B78AD">
      <w:pPr>
        <w:pStyle w:val="Inf4Normal"/>
        <w:ind w:left="567" w:firstLine="567"/>
        <w:rPr>
          <w:strike/>
          <w:snapToGrid w:val="0"/>
          <w:szCs w:val="24"/>
          <w:lang w:val="es-ES_tradnl"/>
        </w:rPr>
      </w:pPr>
      <w:r w:rsidRPr="00F11C78">
        <w:rPr>
          <w:strike/>
          <w:snapToGrid w:val="0"/>
          <w:lang w:val="es-ES_tradnl"/>
        </w:rPr>
        <w:t>f)</w:t>
      </w:r>
      <w:r w:rsidRPr="00F11C78">
        <w:rPr>
          <w:lang w:val="es-ES_tradnl"/>
        </w:rPr>
        <w:tab/>
      </w:r>
      <w:r w:rsidRPr="00F11C78">
        <w:rPr>
          <w:strike/>
          <w:snapToGrid w:val="0"/>
          <w:lang w:val="es-ES_tradnl"/>
        </w:rPr>
        <w:t>las condiciones de entrega y de pago;</w:t>
      </w:r>
    </w:p>
    <w:p w:rsidR="008B78AD" w:rsidRPr="00F11C78" w:rsidRDefault="008B78AD" w:rsidP="008B78AD">
      <w:pPr>
        <w:pStyle w:val="Inf4Normal"/>
        <w:ind w:left="567" w:firstLine="567"/>
        <w:rPr>
          <w:strike/>
          <w:snapToGrid w:val="0"/>
          <w:szCs w:val="24"/>
          <w:lang w:val="es-ES_tradnl"/>
        </w:rPr>
      </w:pPr>
      <w:r w:rsidRPr="00F11C78">
        <w:rPr>
          <w:strike/>
          <w:snapToGrid w:val="0"/>
          <w:lang w:val="es-ES_tradnl"/>
        </w:rPr>
        <w:t>g)</w:t>
      </w:r>
      <w:r w:rsidRPr="00F11C78">
        <w:rPr>
          <w:lang w:val="es-ES_tradnl"/>
        </w:rPr>
        <w:tab/>
      </w:r>
      <w:r w:rsidRPr="00F11C78">
        <w:rPr>
          <w:strike/>
          <w:snapToGrid w:val="0"/>
          <w:lang w:val="es-ES_tradnl"/>
        </w:rPr>
        <w:t>el nombre y la dirección del proveedor;</w:t>
      </w:r>
    </w:p>
    <w:p w:rsidR="00A628BF" w:rsidRPr="00F11C78" w:rsidRDefault="008B78AD" w:rsidP="008B78AD">
      <w:pPr>
        <w:pStyle w:val="Inf4Normal"/>
        <w:ind w:left="567" w:firstLine="567"/>
        <w:rPr>
          <w:snapToGrid w:val="0"/>
          <w:szCs w:val="24"/>
          <w:lang w:val="es-ES_tradnl"/>
        </w:rPr>
      </w:pPr>
      <w:r w:rsidRPr="00F11C78">
        <w:rPr>
          <w:strike/>
          <w:snapToGrid w:val="0"/>
          <w:lang w:val="es-ES_tradnl"/>
        </w:rPr>
        <w:t>h)</w:t>
      </w:r>
      <w:r w:rsidRPr="00F11C78">
        <w:rPr>
          <w:lang w:val="es-ES_tradnl"/>
        </w:rPr>
        <w:tab/>
      </w:r>
      <w:r w:rsidRPr="00F11C78">
        <w:rPr>
          <w:strike/>
          <w:snapToGrid w:val="0"/>
          <w:lang w:val="es-ES_tradnl"/>
        </w:rPr>
        <w:t>la información bancaria a los fines del pago</w:t>
      </w:r>
      <w:r w:rsidR="00076E6E" w:rsidRPr="00F11C78">
        <w:rPr>
          <w:strike/>
          <w:snapToGrid w:val="0"/>
          <w:szCs w:val="24"/>
          <w:lang w:val="es-ES_tradnl"/>
        </w:rPr>
        <w:t>.</w:t>
      </w:r>
    </w:p>
    <w:p w:rsidR="008B78AD" w:rsidRPr="00F11C78" w:rsidRDefault="00076E6E" w:rsidP="008B78AD">
      <w:pPr>
        <w:pStyle w:val="Inf4Heading2"/>
        <w:rPr>
          <w:lang w:val="es-ES_tradnl"/>
        </w:rPr>
      </w:pPr>
      <w:bookmarkStart w:id="31" w:name="_Toc160931122"/>
      <w:bookmarkStart w:id="32" w:name="_Toc173661735"/>
      <w:bookmarkStart w:id="33" w:name="_Toc173748716"/>
      <w:bookmarkStart w:id="34" w:name="_Toc355190011"/>
      <w:r w:rsidRPr="00F11C78">
        <w:rPr>
          <w:lang w:val="es-ES_tradnl"/>
        </w:rPr>
        <w:t>D.</w:t>
      </w:r>
      <w:r w:rsidRPr="00F11C78">
        <w:rPr>
          <w:lang w:val="es-ES_tradnl"/>
        </w:rPr>
        <w:tab/>
      </w:r>
      <w:bookmarkEnd w:id="31"/>
      <w:bookmarkEnd w:id="32"/>
      <w:bookmarkEnd w:id="33"/>
      <w:bookmarkEnd w:id="34"/>
      <w:r w:rsidR="008B78AD" w:rsidRPr="00F11C78">
        <w:rPr>
          <w:lang w:val="es-ES_tradnl"/>
        </w:rPr>
        <w:t>GESTIÓN DE BIENES</w:t>
      </w:r>
    </w:p>
    <w:p w:rsidR="004A1EA4" w:rsidRPr="00F11C78" w:rsidRDefault="008B78AD" w:rsidP="008B78AD">
      <w:pPr>
        <w:pStyle w:val="Inf4Heading5"/>
        <w:rPr>
          <w:lang w:val="es-ES_tradnl"/>
        </w:rPr>
      </w:pPr>
      <w:bookmarkStart w:id="35" w:name="_Toc160931125"/>
      <w:bookmarkStart w:id="36" w:name="_Toc173661738"/>
      <w:bookmarkStart w:id="37" w:name="_Toc173748719"/>
      <w:bookmarkStart w:id="38" w:name="_Toc355190014"/>
      <w:r w:rsidRPr="00F11C78">
        <w:rPr>
          <w:lang w:val="es-ES_tradnl"/>
        </w:rPr>
        <w:t>Junta de Fiscalización de Bienes</w:t>
      </w:r>
      <w:bookmarkEnd w:id="35"/>
      <w:bookmarkEnd w:id="36"/>
      <w:bookmarkEnd w:id="37"/>
      <w:bookmarkEnd w:id="38"/>
    </w:p>
    <w:p w:rsidR="00A628BF" w:rsidRPr="00F11C78" w:rsidRDefault="00DC2BF3" w:rsidP="00DC2BF3">
      <w:pPr>
        <w:pStyle w:val="Inf4Heading6"/>
        <w:rPr>
          <w:lang w:val="es-ES_tradnl"/>
        </w:rPr>
      </w:pPr>
      <w:r w:rsidRPr="00F11C78">
        <w:rPr>
          <w:lang w:val="es-ES_tradnl"/>
        </w:rPr>
        <w:t>Regla 105.30</w:t>
      </w:r>
    </w:p>
    <w:p w:rsidR="008B78AD" w:rsidRPr="00F11C78" w:rsidRDefault="008B78AD" w:rsidP="008B78AD">
      <w:pPr>
        <w:pStyle w:val="Inf4Normal"/>
        <w:ind w:left="567"/>
        <w:rPr>
          <w:szCs w:val="24"/>
          <w:lang w:val="es-ES_tradnl"/>
        </w:rPr>
      </w:pPr>
      <w:bookmarkStart w:id="39" w:name="_Toc160931130"/>
      <w:bookmarkStart w:id="40" w:name="_Toc173661743"/>
      <w:bookmarkStart w:id="41" w:name="_Toc173748724"/>
      <w:bookmarkStart w:id="42" w:name="_Toc355190021"/>
      <w:r w:rsidRPr="00F11C78">
        <w:rPr>
          <w:lang w:val="es-ES_tradnl"/>
        </w:rPr>
        <w:t>a)</w:t>
      </w:r>
      <w:r w:rsidRPr="00F11C78">
        <w:rPr>
          <w:lang w:val="es-ES_tradnl"/>
        </w:rPr>
        <w:tab/>
        <w:t xml:space="preserve">El </w:t>
      </w:r>
      <w:r w:rsidRPr="00F11C78">
        <w:rPr>
          <w:strike/>
          <w:lang w:val="es-ES_tradnl"/>
        </w:rPr>
        <w:t xml:space="preserve">alto funcionario encargado de adquisiciones de la </w:t>
      </w:r>
      <w:r w:rsidRPr="00F11C78">
        <w:rPr>
          <w:snapToGrid w:val="0"/>
          <w:lang w:val="es-ES_tradnl"/>
        </w:rPr>
        <w:t xml:space="preserve"> </w:t>
      </w:r>
      <w:r w:rsidRPr="00F11C78">
        <w:rPr>
          <w:snapToGrid w:val="0"/>
          <w:u w:val="single"/>
          <w:lang w:val="es-ES_tradnl"/>
        </w:rPr>
        <w:t xml:space="preserve">Director General </w:t>
      </w:r>
      <w:r w:rsidRPr="00F11C78">
        <w:rPr>
          <w:snapToGrid w:val="0"/>
          <w:highlight w:val="lightGray"/>
          <w:u w:val="single"/>
          <w:lang w:val="es-ES_tradnl"/>
        </w:rPr>
        <w:t>de la OMPI</w:t>
      </w:r>
      <w:r w:rsidRPr="00F11C78">
        <w:rPr>
          <w:snapToGrid w:val="0"/>
          <w:lang w:val="es-ES_tradnl"/>
        </w:rPr>
        <w:t xml:space="preserve"> </w:t>
      </w:r>
      <w:r w:rsidRPr="00F11C78">
        <w:rPr>
          <w:lang w:val="es-ES_tradnl"/>
        </w:rPr>
        <w:t>establecerá</w:t>
      </w:r>
      <w:r w:rsidRPr="00F11C78">
        <w:rPr>
          <w:u w:val="single"/>
          <w:lang w:val="es-ES_tradnl"/>
        </w:rPr>
        <w:t>, mediante orden de servicio,</w:t>
      </w:r>
      <w:r w:rsidRPr="00F11C78">
        <w:rPr>
          <w:lang w:val="es-ES_tradnl"/>
        </w:rPr>
        <w:t xml:space="preserve"> una Junta de Fiscalización de Bienes </w:t>
      </w:r>
      <w:r w:rsidRPr="00F11C78">
        <w:rPr>
          <w:snapToGrid w:val="0"/>
          <w:highlight w:val="lightGray"/>
          <w:lang w:val="es-ES_tradnl"/>
        </w:rPr>
        <w:t>de la OMPI</w:t>
      </w:r>
      <w:r w:rsidRPr="00F11C78">
        <w:rPr>
          <w:lang w:val="es-ES_tradnl"/>
        </w:rPr>
        <w:t xml:space="preserve"> </w:t>
      </w:r>
      <w:r w:rsidRPr="00F11C78">
        <w:rPr>
          <w:strike/>
          <w:lang w:val="es-ES_tradnl"/>
        </w:rPr>
        <w:t xml:space="preserve">a fin de que lo asesore, por escrito, acerca de las pérdidas, los daños u otras discrepancias que se presenten en relación con los bienes de la </w:t>
      </w:r>
      <w:r w:rsidRPr="00F11C78">
        <w:rPr>
          <w:strike/>
          <w:snapToGrid w:val="0"/>
          <w:highlight w:val="lightGray"/>
          <w:lang w:val="es-ES_tradnl"/>
        </w:rPr>
        <w:t>UPOV</w:t>
      </w:r>
      <w:r w:rsidRPr="00F11C78">
        <w:rPr>
          <w:strike/>
          <w:lang w:val="es-ES_tradnl"/>
        </w:rPr>
        <w:t xml:space="preserve">.  El alto funcionario encargado de adquisiciones </w:t>
      </w:r>
      <w:r w:rsidRPr="00F11C78">
        <w:rPr>
          <w:strike/>
          <w:snapToGrid w:val="0"/>
          <w:highlight w:val="lightGray"/>
          <w:lang w:val="es-ES_tradnl"/>
        </w:rPr>
        <w:t>de la OMPI</w:t>
      </w:r>
      <w:r w:rsidRPr="00F11C78">
        <w:rPr>
          <w:strike/>
          <w:lang w:val="es-ES_tradnl"/>
        </w:rPr>
        <w:t xml:space="preserve"> determinará</w:t>
      </w:r>
      <w:r w:rsidRPr="00F11C78">
        <w:rPr>
          <w:lang w:val="es-ES_tradnl"/>
        </w:rPr>
        <w:t xml:space="preserve"> </w:t>
      </w:r>
      <w:r w:rsidRPr="00F11C78">
        <w:rPr>
          <w:u w:val="single"/>
          <w:lang w:val="es-ES_tradnl"/>
        </w:rPr>
        <w:t>y</w:t>
      </w:r>
      <w:r w:rsidRPr="00F11C78">
        <w:rPr>
          <w:lang w:val="es-ES_tradnl"/>
        </w:rPr>
        <w:t xml:space="preserve"> la composición y el mandato de dicha </w:t>
      </w:r>
      <w:r w:rsidR="007831FC" w:rsidRPr="00F11C78">
        <w:rPr>
          <w:lang w:val="es-ES_tradnl"/>
        </w:rPr>
        <w:t>J</w:t>
      </w:r>
      <w:r w:rsidRPr="00F11C78">
        <w:rPr>
          <w:lang w:val="es-ES_tradnl"/>
        </w:rPr>
        <w:t xml:space="preserve">unta, lo que incluye los procedimientos para determinar la causa de las pérdidas, los daños u otras discrepancias, </w:t>
      </w:r>
      <w:r w:rsidRPr="00F11C78">
        <w:rPr>
          <w:u w:val="single"/>
          <w:lang w:val="es-ES_tradnl"/>
        </w:rPr>
        <w:t>y</w:t>
      </w:r>
      <w:r w:rsidRPr="00F11C78">
        <w:rPr>
          <w:lang w:val="es-ES_tradnl"/>
        </w:rPr>
        <w:t xml:space="preserve"> el trámite que se seguirá para la enajenación, de conformidad con las reglas 105.31 y 105.32</w:t>
      </w:r>
      <w:r w:rsidRPr="00F11C78">
        <w:rPr>
          <w:strike/>
          <w:lang w:val="es-ES_tradnl"/>
        </w:rPr>
        <w:t xml:space="preserve"> y el grado de responsabilidad, de haberlo, que incumba a funcionarios </w:t>
      </w:r>
      <w:r w:rsidRPr="00F11C78">
        <w:rPr>
          <w:strike/>
          <w:snapToGrid w:val="0"/>
          <w:highlight w:val="lightGray"/>
          <w:lang w:val="es-ES_tradnl"/>
        </w:rPr>
        <w:t>de la UPOV</w:t>
      </w:r>
      <w:r w:rsidRPr="00F11C78">
        <w:rPr>
          <w:strike/>
          <w:lang w:val="es-ES_tradnl"/>
        </w:rPr>
        <w:t xml:space="preserve"> o a otra parte por la pérdida, el daño o la discrepancia</w:t>
      </w:r>
      <w:r w:rsidRPr="00F11C78">
        <w:rPr>
          <w:lang w:val="es-ES_tradnl"/>
        </w:rPr>
        <w:t>.</w:t>
      </w:r>
    </w:p>
    <w:p w:rsidR="00A628BF" w:rsidRPr="00F11C78" w:rsidRDefault="008B78AD" w:rsidP="008B78AD">
      <w:pPr>
        <w:pStyle w:val="Inf4Normal"/>
        <w:ind w:left="567"/>
        <w:rPr>
          <w:szCs w:val="24"/>
          <w:lang w:val="es-ES_tradnl"/>
        </w:rPr>
      </w:pPr>
      <w:r w:rsidRPr="00F11C78">
        <w:rPr>
          <w:lang w:val="es-ES_tradnl"/>
        </w:rPr>
        <w:t>b)</w:t>
      </w:r>
      <w:r w:rsidRPr="00F11C78">
        <w:rPr>
          <w:lang w:val="es-ES_tradnl"/>
        </w:rPr>
        <w:tab/>
      </w:r>
      <w:r w:rsidRPr="00F11C78">
        <w:rPr>
          <w:u w:val="single"/>
          <w:lang w:val="es-ES_tradnl"/>
        </w:rPr>
        <w:t xml:space="preserve">La Junta de Fiscalización de Bienes de la OMPI ofrecerá asesoramiento por escrito al alto funcionario encargado de adquisiciones </w:t>
      </w:r>
      <w:r w:rsidRPr="00F11C78">
        <w:rPr>
          <w:snapToGrid w:val="0"/>
          <w:highlight w:val="lightGray"/>
          <w:u w:val="single"/>
          <w:lang w:val="es-ES_tradnl"/>
        </w:rPr>
        <w:t>de la OMPI</w:t>
      </w:r>
      <w:r w:rsidRPr="00F11C78">
        <w:rPr>
          <w:u w:val="single"/>
          <w:lang w:val="es-ES_tradnl"/>
        </w:rPr>
        <w:t xml:space="preserve"> acerca de las pérdidas, los daños u otras discrepancias que se presenten en relación con los bienes de la </w:t>
      </w:r>
      <w:r w:rsidRPr="00F11C78">
        <w:rPr>
          <w:highlight w:val="lightGray"/>
          <w:u w:val="single"/>
          <w:lang w:val="es-ES_tradnl"/>
        </w:rPr>
        <w:t>UPOV</w:t>
      </w:r>
      <w:r w:rsidRPr="00F11C78">
        <w:rPr>
          <w:lang w:val="es-ES_tradnl"/>
        </w:rPr>
        <w:t xml:space="preserve">.  Cuando sea necesario que </w:t>
      </w:r>
      <w:r w:rsidRPr="00F11C78">
        <w:rPr>
          <w:highlight w:val="lightGray"/>
          <w:lang w:val="es-ES_tradnl"/>
        </w:rPr>
        <w:t>la UPOV</w:t>
      </w:r>
      <w:r w:rsidRPr="00F11C78">
        <w:rPr>
          <w:lang w:val="es-ES_tradnl"/>
        </w:rPr>
        <w:t xml:space="preserve"> solicite el dictamen de la Junta de Fiscalización de Bienes </w:t>
      </w:r>
      <w:r w:rsidRPr="00F11C78">
        <w:rPr>
          <w:snapToGrid w:val="0"/>
          <w:highlight w:val="lightGray"/>
          <w:lang w:val="es-ES_tradnl"/>
        </w:rPr>
        <w:t>de la OMPI</w:t>
      </w:r>
      <w:r w:rsidRPr="00F11C78">
        <w:rPr>
          <w:lang w:val="es-ES_tradnl"/>
        </w:rPr>
        <w:t xml:space="preserve">, no se adoptarán medidas definitivas en relación con las pérdidas, los daños u otras discrepancias de que puedan ser objeto los bienes </w:t>
      </w:r>
      <w:r w:rsidRPr="00F11C78">
        <w:rPr>
          <w:highlight w:val="lightGray"/>
          <w:lang w:val="es-ES_tradnl"/>
        </w:rPr>
        <w:t>de la UPOV</w:t>
      </w:r>
      <w:r w:rsidRPr="00F11C78">
        <w:rPr>
          <w:lang w:val="es-ES_tradnl"/>
        </w:rPr>
        <w:t xml:space="preserve"> antes de que se haya recibido ese dictamen</w:t>
      </w:r>
      <w:r w:rsidR="0097143A" w:rsidRPr="00F11C78">
        <w:rPr>
          <w:szCs w:val="24"/>
          <w:lang w:val="es-ES_tradnl"/>
        </w:rPr>
        <w:t xml:space="preserve">.  </w:t>
      </w:r>
      <w:r w:rsidR="00A628BF" w:rsidRPr="00F11C78">
        <w:rPr>
          <w:szCs w:val="24"/>
          <w:lang w:val="es-ES_tradnl"/>
        </w:rPr>
        <w:t xml:space="preserve">En los casos en los que el alto funcionario encargado de adquisiciones </w:t>
      </w:r>
      <w:r w:rsidR="003D3565" w:rsidRPr="00F11C78">
        <w:rPr>
          <w:szCs w:val="24"/>
          <w:highlight w:val="lightGray"/>
          <w:lang w:val="es-ES_tradnl"/>
        </w:rPr>
        <w:t>de la OMPI</w:t>
      </w:r>
      <w:r w:rsidR="003D3565" w:rsidRPr="00F11C78">
        <w:rPr>
          <w:szCs w:val="24"/>
          <w:lang w:val="es-ES_tradnl"/>
        </w:rPr>
        <w:t xml:space="preserve"> </w:t>
      </w:r>
      <w:r w:rsidR="00A628BF" w:rsidRPr="00F11C78">
        <w:rPr>
          <w:szCs w:val="24"/>
          <w:lang w:val="es-ES_tradnl"/>
        </w:rPr>
        <w:t>decida no aceptar el dictamen de la Junta, deberá dejar constancia por escrito de las razones de tal decisión.</w:t>
      </w:r>
    </w:p>
    <w:bookmarkEnd w:id="39"/>
    <w:bookmarkEnd w:id="40"/>
    <w:bookmarkEnd w:id="41"/>
    <w:bookmarkEnd w:id="42"/>
    <w:p w:rsidR="00A628BF" w:rsidRPr="00F11C78" w:rsidRDefault="00A628BF" w:rsidP="00A628BF">
      <w:pPr>
        <w:pStyle w:val="Inf4Heading1"/>
        <w:rPr>
          <w:lang w:val="es-ES_tradnl"/>
        </w:rPr>
      </w:pPr>
      <w:r w:rsidRPr="00F11C78">
        <w:rPr>
          <w:lang w:val="es-ES_tradnl"/>
        </w:rPr>
        <w:t xml:space="preserve">CAPÍTULO 6: </w:t>
      </w:r>
      <w:r w:rsidR="00032387" w:rsidRPr="00F11C78">
        <w:rPr>
          <w:lang w:val="es-ES_tradnl"/>
        </w:rPr>
        <w:t xml:space="preserve"> </w:t>
      </w:r>
      <w:r w:rsidRPr="00F11C78">
        <w:rPr>
          <w:lang w:val="es-ES_tradnl"/>
        </w:rPr>
        <w:t>CONTABILIDAD</w:t>
      </w:r>
    </w:p>
    <w:p w:rsidR="00A628BF" w:rsidRPr="00F11C78" w:rsidRDefault="00DC2BF3" w:rsidP="00DC2BF3">
      <w:pPr>
        <w:pStyle w:val="Inf4Heading3"/>
        <w:rPr>
          <w:rFonts w:cs="Arial"/>
          <w:lang w:val="es-ES_tradnl"/>
        </w:rPr>
      </w:pPr>
      <w:bookmarkStart w:id="43" w:name="_Toc173661771"/>
      <w:bookmarkStart w:id="44" w:name="_Toc173748752"/>
      <w:bookmarkStart w:id="45" w:name="_Toc355190049"/>
      <w:r w:rsidRPr="00F11C78">
        <w:rPr>
          <w:rFonts w:cs="Arial"/>
          <w:lang w:val="es-ES_tradnl"/>
        </w:rPr>
        <w:t>Informes financieros</w:t>
      </w:r>
    </w:p>
    <w:bookmarkEnd w:id="43"/>
    <w:bookmarkEnd w:id="44"/>
    <w:bookmarkEnd w:id="45"/>
    <w:p w:rsidR="00A628BF" w:rsidRPr="00F11C78" w:rsidRDefault="00DC2BF3" w:rsidP="00DC2BF3">
      <w:pPr>
        <w:pStyle w:val="Inf4Heading6"/>
        <w:rPr>
          <w:lang w:val="es-ES_tradnl"/>
        </w:rPr>
      </w:pPr>
      <w:r w:rsidRPr="00F11C78">
        <w:rPr>
          <w:lang w:val="es-ES_tradnl"/>
        </w:rPr>
        <w:t>Regla 106.12</w:t>
      </w:r>
    </w:p>
    <w:p w:rsidR="00A628BF" w:rsidRPr="00F11C78" w:rsidRDefault="00DC2BF3" w:rsidP="00DC2BF3">
      <w:pPr>
        <w:pStyle w:val="Inf4Normal"/>
        <w:ind w:left="567"/>
        <w:rPr>
          <w:lang w:val="es-ES_tradnl"/>
        </w:rPr>
      </w:pPr>
      <w:r w:rsidRPr="00F11C78">
        <w:rPr>
          <w:shd w:val="clear" w:color="auto" w:fill="A6A6A6" w:themeFill="background1" w:themeFillShade="A6"/>
          <w:lang w:val="es-ES_tradnl"/>
        </w:rPr>
        <w:t>a)</w:t>
      </w:r>
      <w:r w:rsidR="00745DC9" w:rsidRPr="00F11C78">
        <w:rPr>
          <w:lang w:val="es-ES_tradnl"/>
        </w:rPr>
        <w:tab/>
      </w:r>
      <w:r w:rsidRPr="00F11C78">
        <w:rPr>
          <w:lang w:val="es-ES_tradnl"/>
        </w:rPr>
        <w:t xml:space="preserve">Incumbirá al Contralor </w:t>
      </w:r>
      <w:r w:rsidRPr="00F11C78">
        <w:rPr>
          <w:shd w:val="clear" w:color="auto" w:fill="A6A6A6" w:themeFill="background1" w:themeFillShade="A6"/>
          <w:lang w:val="es-ES_tradnl"/>
        </w:rPr>
        <w:t>de la OMPI</w:t>
      </w:r>
      <w:r w:rsidRPr="00F11C78">
        <w:rPr>
          <w:lang w:val="es-ES_tradnl"/>
        </w:rPr>
        <w:t xml:space="preserve"> preparar el informe de gestión financiera conforme al artículo </w:t>
      </w:r>
      <w:r w:rsidR="00FE0D26" w:rsidRPr="00F11C78">
        <w:rPr>
          <w:strike/>
          <w:lang w:val="es-ES_tradnl"/>
        </w:rPr>
        <w:t>6.3</w:t>
      </w:r>
      <w:r w:rsidR="00FE0D26" w:rsidRPr="00F11C78">
        <w:rPr>
          <w:u w:val="single"/>
          <w:lang w:val="es-ES_tradnl"/>
        </w:rPr>
        <w:t xml:space="preserve"> 6.6</w:t>
      </w:r>
      <w:r w:rsidRPr="00F11C78">
        <w:rPr>
          <w:lang w:val="es-ES_tradnl"/>
        </w:rPr>
        <w:t>.</w:t>
      </w:r>
    </w:p>
    <w:p w:rsidR="00A628BF" w:rsidRPr="00F11C78" w:rsidRDefault="00DC2BF3" w:rsidP="00DC2BF3">
      <w:pPr>
        <w:pStyle w:val="Inf4Normal"/>
        <w:ind w:left="567"/>
        <w:rPr>
          <w:lang w:val="es-ES_tradnl"/>
        </w:rPr>
      </w:pPr>
      <w:r w:rsidRPr="00F11C78">
        <w:rPr>
          <w:highlight w:val="lightGray"/>
          <w:lang w:val="es-ES_tradnl"/>
        </w:rPr>
        <w:t>b)</w:t>
      </w:r>
      <w:r w:rsidR="00745DC9" w:rsidRPr="00F11C78">
        <w:rPr>
          <w:highlight w:val="lightGray"/>
          <w:lang w:val="es-ES_tradnl"/>
        </w:rPr>
        <w:tab/>
      </w:r>
      <w:r w:rsidRPr="00F11C78">
        <w:rPr>
          <w:highlight w:val="lightGray"/>
          <w:lang w:val="es-ES_tradnl"/>
        </w:rPr>
        <w:t>En el plazo de los ocho meses posteriores al cierre del ejercicio económico, el Secretario General someterá al Consejo un informe en el que se expondrá la gestión financiera conforme al artículo </w:t>
      </w:r>
      <w:r w:rsidRPr="00F11C78">
        <w:rPr>
          <w:strike/>
          <w:highlight w:val="lightGray"/>
          <w:lang w:val="es-ES_tradnl"/>
        </w:rPr>
        <w:t>6.3</w:t>
      </w:r>
      <w:r w:rsidR="00032387" w:rsidRPr="00F11C78">
        <w:rPr>
          <w:highlight w:val="lightGray"/>
          <w:lang w:val="es-ES_tradnl"/>
        </w:rPr>
        <w:t xml:space="preserve"> </w:t>
      </w:r>
      <w:r w:rsidR="00032387" w:rsidRPr="00F11C78">
        <w:rPr>
          <w:highlight w:val="lightGray"/>
          <w:u w:val="single"/>
          <w:lang w:val="es-ES_tradnl"/>
        </w:rPr>
        <w:t>6.6</w:t>
      </w:r>
      <w:r w:rsidRPr="00F11C78">
        <w:rPr>
          <w:highlight w:val="lightGray"/>
          <w:lang w:val="es-ES_tradnl"/>
        </w:rPr>
        <w:t>.</w:t>
      </w:r>
    </w:p>
    <w:p w:rsidR="00A628BF" w:rsidRPr="00F11C78" w:rsidRDefault="00A628BF" w:rsidP="00A628BF">
      <w:pPr>
        <w:pStyle w:val="Inf4Heading1"/>
        <w:rPr>
          <w:lang w:val="es-ES_tradnl"/>
        </w:rPr>
      </w:pPr>
      <w:r w:rsidRPr="00F11C78">
        <w:rPr>
          <w:lang w:val="es-ES_tradnl"/>
        </w:rPr>
        <w:t xml:space="preserve">CAPÍTULO 8: </w:t>
      </w:r>
      <w:r w:rsidR="00032387" w:rsidRPr="00F11C78">
        <w:rPr>
          <w:lang w:val="es-ES_tradnl"/>
        </w:rPr>
        <w:t xml:space="preserve"> </w:t>
      </w:r>
      <w:r w:rsidRPr="00F11C78">
        <w:rPr>
          <w:lang w:val="es-ES_tradnl"/>
        </w:rPr>
        <w:t>AUDITOR EXTERNO</w:t>
      </w:r>
    </w:p>
    <w:p w:rsidR="003D3565" w:rsidRPr="00F11C78" w:rsidRDefault="00FF69D2" w:rsidP="003D3565">
      <w:pPr>
        <w:pStyle w:val="Inf4Heading3"/>
        <w:rPr>
          <w:lang w:val="es-ES_tradnl"/>
        </w:rPr>
      </w:pPr>
      <w:bookmarkStart w:id="46" w:name="_Toc173661778"/>
      <w:bookmarkStart w:id="47" w:name="_Toc173748759"/>
      <w:bookmarkStart w:id="48" w:name="_Toc355190057"/>
      <w:r w:rsidRPr="00F11C78">
        <w:rPr>
          <w:lang w:val="es-ES_tradnl"/>
        </w:rPr>
        <w:t>Nombramiento del Auditor Externo</w:t>
      </w:r>
      <w:bookmarkEnd w:id="46"/>
      <w:bookmarkEnd w:id="47"/>
      <w:bookmarkEnd w:id="48"/>
    </w:p>
    <w:p w:rsidR="00A628BF" w:rsidRPr="00F11C78" w:rsidRDefault="00DC2BF3" w:rsidP="00DC2BF3">
      <w:pPr>
        <w:pStyle w:val="Inf4Heading4"/>
        <w:rPr>
          <w:lang w:val="es-ES_tradnl"/>
        </w:rPr>
      </w:pPr>
      <w:r w:rsidRPr="00F11C78">
        <w:rPr>
          <w:lang w:val="es-ES_tradnl"/>
        </w:rPr>
        <w:t>Artículo 8.1</w:t>
      </w:r>
    </w:p>
    <w:p w:rsidR="00FF69D2" w:rsidRPr="00F11C78" w:rsidRDefault="00FF69D2" w:rsidP="00FF69D2">
      <w:pPr>
        <w:pStyle w:val="Inf4Normal"/>
        <w:rPr>
          <w:lang w:val="es-ES_tradnl"/>
        </w:rPr>
      </w:pPr>
      <w:bookmarkStart w:id="49" w:name="_Toc173661790"/>
      <w:bookmarkStart w:id="50" w:name="_Toc173748771"/>
      <w:bookmarkStart w:id="51" w:name="_Toc355190069"/>
      <w:r w:rsidRPr="00F11C78">
        <w:rPr>
          <w:lang w:val="es-ES_tradnl"/>
        </w:rPr>
        <w:t xml:space="preserve">El Auditor Externo de la </w:t>
      </w:r>
      <w:r w:rsidRPr="00F11C78">
        <w:rPr>
          <w:highlight w:val="lightGray"/>
          <w:lang w:val="es-ES_tradnl"/>
        </w:rPr>
        <w:t>OMPI</w:t>
      </w:r>
      <w:r w:rsidRPr="00F11C78">
        <w:rPr>
          <w:lang w:val="es-ES_tradnl"/>
        </w:rPr>
        <w:t xml:space="preserve">, que será el Auditor General (o un </w:t>
      </w:r>
      <w:r w:rsidRPr="00F11C78">
        <w:rPr>
          <w:strike/>
          <w:lang w:val="es-ES_tradnl"/>
        </w:rPr>
        <w:t xml:space="preserve">funcionario </w:t>
      </w:r>
      <w:r w:rsidRPr="00F11C78">
        <w:rPr>
          <w:u w:val="single"/>
          <w:lang w:val="es-ES_tradnl"/>
        </w:rPr>
        <w:t>oficial</w:t>
      </w:r>
      <w:r w:rsidRPr="00F11C78">
        <w:rPr>
          <w:lang w:val="es-ES_tradnl"/>
        </w:rPr>
        <w:t xml:space="preserve"> con título equivalente) de un Estado miembro </w:t>
      </w:r>
      <w:r w:rsidRPr="00F11C78">
        <w:rPr>
          <w:highlight w:val="lightGray"/>
          <w:lang w:val="es-ES_tradnl"/>
        </w:rPr>
        <w:t xml:space="preserve">de </w:t>
      </w:r>
      <w:r w:rsidR="007831FC" w:rsidRPr="00F11C78">
        <w:rPr>
          <w:highlight w:val="lightGray"/>
          <w:lang w:val="es-ES_tradnl"/>
        </w:rPr>
        <w:t>est</w:t>
      </w:r>
      <w:r w:rsidRPr="00F11C78">
        <w:rPr>
          <w:highlight w:val="lightGray"/>
          <w:lang w:val="es-ES_tradnl"/>
        </w:rPr>
        <w:t>a OMPI</w:t>
      </w:r>
      <w:r w:rsidRPr="00F11C78">
        <w:rPr>
          <w:lang w:val="es-ES_tradnl"/>
        </w:rPr>
        <w:t xml:space="preserve">, será nombrado por la Asamblea General de la </w:t>
      </w:r>
      <w:r w:rsidRPr="00F11C78">
        <w:rPr>
          <w:highlight w:val="lightGray"/>
          <w:lang w:val="es-ES_tradnl"/>
        </w:rPr>
        <w:t>OMPI</w:t>
      </w:r>
      <w:r w:rsidRPr="00F11C78">
        <w:rPr>
          <w:lang w:val="es-ES_tradnl"/>
        </w:rPr>
        <w:t xml:space="preserve"> de la manera en que esta última decida.  </w:t>
      </w:r>
      <w:r w:rsidRPr="00F11C78">
        <w:rPr>
          <w:highlight w:val="lightGray"/>
          <w:lang w:val="es-ES_tradnl"/>
        </w:rPr>
        <w:t xml:space="preserve">Si el Auditor Externo de la OMPI es el Auditor General (o un </w:t>
      </w:r>
      <w:r w:rsidRPr="00F11C78">
        <w:rPr>
          <w:strike/>
          <w:lang w:val="es-ES_tradnl"/>
        </w:rPr>
        <w:t xml:space="preserve">funcionario </w:t>
      </w:r>
      <w:r w:rsidRPr="00F11C78">
        <w:rPr>
          <w:u w:val="single"/>
          <w:lang w:val="es-ES_tradnl"/>
        </w:rPr>
        <w:t>oficial</w:t>
      </w:r>
      <w:r w:rsidRPr="00F11C78">
        <w:rPr>
          <w:highlight w:val="lightGray"/>
          <w:lang w:val="es-ES_tradnl"/>
        </w:rPr>
        <w:t xml:space="preserve"> con título equivalente) de un Estado miembro de la UPOV, el Consejo designará Auditor Externo, con el acuerdo de este último, al Auditor Externo de la OMPI.  Si el Auditor Externo de la OMPI es el Auditor General (o un </w:t>
      </w:r>
      <w:r w:rsidRPr="00F11C78">
        <w:rPr>
          <w:strike/>
          <w:lang w:val="es-ES_tradnl"/>
        </w:rPr>
        <w:t xml:space="preserve">funcionario </w:t>
      </w:r>
      <w:r w:rsidRPr="00F11C78">
        <w:rPr>
          <w:u w:val="single"/>
          <w:lang w:val="es-ES_tradnl"/>
        </w:rPr>
        <w:t>oficial</w:t>
      </w:r>
      <w:r w:rsidRPr="00F11C78">
        <w:rPr>
          <w:highlight w:val="lightGray"/>
          <w:lang w:val="es-ES_tradnl"/>
        </w:rPr>
        <w:t xml:space="preserve"> con título equivalente) de un Estado miembro de la OMPI que no es Estado miembro de la UPOV, el Consejo designará Auditor Externo, con el acuerdo de este último, al Auditor General (o </w:t>
      </w:r>
      <w:r w:rsidRPr="00F11C78">
        <w:rPr>
          <w:strike/>
          <w:lang w:val="es-ES_tradnl"/>
        </w:rPr>
        <w:t xml:space="preserve">funcionario </w:t>
      </w:r>
      <w:r w:rsidRPr="00F11C78">
        <w:rPr>
          <w:u w:val="single"/>
          <w:lang w:val="es-ES_tradnl"/>
        </w:rPr>
        <w:t>oficial</w:t>
      </w:r>
      <w:r w:rsidRPr="00F11C78">
        <w:rPr>
          <w:highlight w:val="lightGray"/>
          <w:lang w:val="es-ES_tradnl"/>
        </w:rPr>
        <w:t xml:space="preserve"> con título equivalente) de un Estado miembro de la UPOV.</w:t>
      </w:r>
    </w:p>
    <w:bookmarkEnd w:id="49"/>
    <w:bookmarkEnd w:id="50"/>
    <w:bookmarkEnd w:id="51"/>
    <w:p w:rsidR="00A628BF" w:rsidRPr="00F11C78" w:rsidRDefault="00A628BF" w:rsidP="00A628BF">
      <w:pPr>
        <w:pStyle w:val="Inf4Heading3"/>
        <w:rPr>
          <w:lang w:val="es-ES_tradnl"/>
        </w:rPr>
      </w:pPr>
      <w:r w:rsidRPr="00F11C78">
        <w:rPr>
          <w:lang w:val="es-ES_tradnl"/>
        </w:rPr>
        <w:lastRenderedPageBreak/>
        <w:t>Examen especial</w:t>
      </w:r>
    </w:p>
    <w:p w:rsidR="00A628BF" w:rsidRPr="00F11C78" w:rsidRDefault="00DC2BF3" w:rsidP="00DC2BF3">
      <w:pPr>
        <w:pStyle w:val="Inf4Heading4"/>
        <w:rPr>
          <w:lang w:val="es-ES_tradnl"/>
        </w:rPr>
      </w:pPr>
      <w:r w:rsidRPr="00F11C78">
        <w:rPr>
          <w:lang w:val="es-ES_tradnl"/>
        </w:rPr>
        <w:t>Artículo 8.9</w:t>
      </w:r>
    </w:p>
    <w:p w:rsidR="00FF69D2" w:rsidRPr="00F11C78" w:rsidRDefault="00FF69D2" w:rsidP="00FF69D2">
      <w:pPr>
        <w:tabs>
          <w:tab w:val="left" w:pos="284"/>
          <w:tab w:val="left" w:pos="567"/>
          <w:tab w:val="left" w:pos="851"/>
        </w:tabs>
        <w:spacing w:before="108"/>
        <w:rPr>
          <w:szCs w:val="24"/>
          <w:lang w:val="es-ES_tradnl"/>
        </w:rPr>
      </w:pPr>
      <w:r w:rsidRPr="00F11C78">
        <w:rPr>
          <w:lang w:val="es-ES_tradnl"/>
        </w:rPr>
        <w:t>A los efectos de proceder a un examen local o especial o de efectuar economías en la auditoría, el Auditor Externo podrá contratar los servicios de cualquier auditor general nacional (</w:t>
      </w:r>
      <w:r w:rsidRPr="00F11C78">
        <w:rPr>
          <w:strike/>
          <w:lang w:val="es-ES_tradnl"/>
        </w:rPr>
        <w:t>o funcionario</w:t>
      </w:r>
      <w:r w:rsidRPr="00F11C78">
        <w:rPr>
          <w:u w:val="single"/>
          <w:lang w:val="es-ES_tradnl"/>
        </w:rPr>
        <w:t xml:space="preserve">u oficial </w:t>
      </w:r>
      <w:r w:rsidRPr="00F11C78">
        <w:rPr>
          <w:lang w:val="es-ES_tradnl"/>
        </w:rPr>
        <w:t>con título equivalente), de auditores comerciales públicos de reconocido prestigio o de cualquier otra persona o empresa que, a juicio del Auditor Externo, reúna las condiciones técnicas necesarias</w:t>
      </w:r>
    </w:p>
    <w:p w:rsidR="00A628BF" w:rsidRDefault="00A628BF" w:rsidP="00A4296A">
      <w:pPr>
        <w:rPr>
          <w:lang w:val="es-ES_tradnl"/>
        </w:rPr>
      </w:pPr>
    </w:p>
    <w:p w:rsidR="00F11C78" w:rsidRPr="00F11C78" w:rsidRDefault="00F11C78" w:rsidP="00A4296A">
      <w:pPr>
        <w:rPr>
          <w:lang w:val="es-ES_tradnl"/>
        </w:rPr>
      </w:pPr>
    </w:p>
    <w:p w:rsidR="00A628BF" w:rsidRPr="00F11C78" w:rsidRDefault="00DC2BF3" w:rsidP="00DC2BF3">
      <w:pPr>
        <w:jc w:val="right"/>
        <w:rPr>
          <w:lang w:val="es-ES_tradnl"/>
        </w:rPr>
      </w:pPr>
      <w:r w:rsidRPr="00F11C78">
        <w:rPr>
          <w:lang w:val="es-ES_tradnl"/>
        </w:rPr>
        <w:t>[Fin del Anexo y del documento]</w:t>
      </w:r>
    </w:p>
    <w:sectPr w:rsidR="00A628BF" w:rsidRPr="00F11C78" w:rsidSect="0079097D">
      <w:headerReference w:type="default" r:id="rId12"/>
      <w:foot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E3C" w:rsidRDefault="00606E3C" w:rsidP="004A2D80">
      <w:pPr>
        <w:spacing w:before="120"/>
      </w:pPr>
      <w:r>
        <w:separator/>
      </w:r>
    </w:p>
  </w:endnote>
  <w:endnote w:type="continuationSeparator" w:id="0">
    <w:p w:rsidR="00606E3C" w:rsidRDefault="00606E3C" w:rsidP="006655D3">
      <w:r>
        <w:separator/>
      </w:r>
    </w:p>
    <w:p w:rsidR="00606E3C" w:rsidRPr="00560A6D" w:rsidRDefault="00606E3C">
      <w:pPr>
        <w:pStyle w:val="Footer"/>
        <w:spacing w:after="60"/>
        <w:rPr>
          <w:sz w:val="18"/>
          <w:lang w:val="fr-FR"/>
        </w:rPr>
      </w:pPr>
      <w:r w:rsidRPr="00560A6D">
        <w:rPr>
          <w:sz w:val="18"/>
          <w:lang w:val="fr-FR"/>
        </w:rPr>
        <w:t>[Suite de la note de la page précédente]</w:t>
      </w:r>
    </w:p>
    <w:p w:rsidR="00606E3C" w:rsidRPr="00560A6D" w:rsidRDefault="00606E3C" w:rsidP="006655D3">
      <w:pPr>
        <w:rPr>
          <w:lang w:val="fr-FR"/>
        </w:rPr>
      </w:pPr>
    </w:p>
    <w:p w:rsidR="00606E3C" w:rsidRPr="00560A6D" w:rsidRDefault="00606E3C" w:rsidP="006655D3">
      <w:pPr>
        <w:rPr>
          <w:lang w:val="fr-FR"/>
        </w:rPr>
      </w:pPr>
    </w:p>
  </w:endnote>
  <w:endnote w:type="continuationNotice" w:id="1">
    <w:p w:rsidR="00606E3C" w:rsidRPr="00560A6D" w:rsidRDefault="00606E3C" w:rsidP="006655D3">
      <w:pPr>
        <w:rPr>
          <w:lang w:val="fr-FR"/>
        </w:rPr>
      </w:pPr>
      <w:r w:rsidRPr="00560A6D">
        <w:rPr>
          <w:lang w:val="fr-FR"/>
        </w:rPr>
        <w:t>[Suite de la note page suivante]</w:t>
      </w:r>
    </w:p>
    <w:p w:rsidR="00606E3C" w:rsidRPr="00560A6D" w:rsidRDefault="00606E3C" w:rsidP="006655D3">
      <w:pPr>
        <w:rPr>
          <w:lang w:val="fr-FR"/>
        </w:rPr>
      </w:pPr>
    </w:p>
    <w:p w:rsidR="00606E3C" w:rsidRPr="00560A6D" w:rsidRDefault="00606E3C" w:rsidP="006655D3">
      <w:pPr>
        <w:rPr>
          <w:lang w:val="fr-FR"/>
        </w:rPr>
      </w:pPr>
    </w:p>
  </w:endnote>
  <w:endnote w:id="2">
    <w:p w:rsidR="008542A4" w:rsidRPr="007F6BF8" w:rsidRDefault="008542A4" w:rsidP="008542A4">
      <w:pPr>
        <w:pStyle w:val="EndnoteText"/>
        <w:spacing w:before="60"/>
        <w:ind w:left="567" w:hanging="567"/>
        <w:rPr>
          <w:sz w:val="16"/>
          <w:szCs w:val="16"/>
          <w:lang w:val="es-ES"/>
        </w:rPr>
      </w:pPr>
      <w:r w:rsidRPr="004A2D80">
        <w:rPr>
          <w:rStyle w:val="EndnoteReference"/>
          <w:sz w:val="16"/>
          <w:szCs w:val="16"/>
        </w:rPr>
        <w:endnoteRef/>
      </w:r>
      <w:r w:rsidRPr="007F6BF8">
        <w:rPr>
          <w:sz w:val="16"/>
          <w:szCs w:val="16"/>
          <w:lang w:val="es-ES"/>
        </w:rPr>
        <w:t xml:space="preserve"> </w:t>
      </w:r>
      <w:r w:rsidRPr="007F6BF8">
        <w:rPr>
          <w:sz w:val="16"/>
          <w:szCs w:val="16"/>
          <w:lang w:val="es-ES"/>
        </w:rPr>
        <w:tab/>
      </w:r>
      <w:r w:rsidR="00C16FD9">
        <w:rPr>
          <w:sz w:val="16"/>
          <w:szCs w:val="16"/>
          <w:lang w:val="es-ES"/>
        </w:rPr>
        <w:t xml:space="preserve">El Artículo 5.10 del Reglamento Financiero y Reglamentación Financiera de la OMPI prevé un límite de 50.000 francos suizos.  </w:t>
      </w:r>
      <w:r w:rsidR="007F6BF8">
        <w:rPr>
          <w:sz w:val="16"/>
          <w:szCs w:val="16"/>
          <w:lang w:val="es-ES"/>
        </w:rPr>
        <w:t xml:space="preserve">En el </w:t>
      </w:r>
      <w:r w:rsidR="007F6BF8" w:rsidRPr="007F6BF8">
        <w:rPr>
          <w:sz w:val="16"/>
          <w:szCs w:val="16"/>
          <w:lang w:val="es-ES"/>
        </w:rPr>
        <w:t>Reglamento Financiero y Reglamentación Financiera de la UPOV n</w:t>
      </w:r>
      <w:r w:rsidRPr="007F6BF8">
        <w:rPr>
          <w:sz w:val="16"/>
          <w:szCs w:val="16"/>
          <w:lang w:val="es-ES"/>
        </w:rPr>
        <w:t>o</w:t>
      </w:r>
      <w:r w:rsidR="007F6BF8" w:rsidRPr="007F6BF8">
        <w:rPr>
          <w:sz w:val="16"/>
          <w:szCs w:val="16"/>
          <w:lang w:val="es-ES"/>
        </w:rPr>
        <w:t xml:space="preserve"> se propone ningún cambio a</w:t>
      </w:r>
      <w:r w:rsidR="007F6BF8">
        <w:rPr>
          <w:sz w:val="16"/>
          <w:szCs w:val="16"/>
          <w:lang w:val="es-ES"/>
        </w:rPr>
        <w:t>l límite de</w:t>
      </w:r>
      <w:r w:rsidR="007F6BF8" w:rsidRPr="007F6BF8">
        <w:rPr>
          <w:sz w:val="16"/>
          <w:szCs w:val="16"/>
          <w:lang w:val="es-ES"/>
        </w:rPr>
        <w:t xml:space="preserve"> la cuantía de 5.000 francos suizos</w:t>
      </w:r>
      <w:r w:rsidRPr="007F6BF8">
        <w:rPr>
          <w:sz w:val="16"/>
          <w:szCs w:val="16"/>
          <w:lang w:val="es-E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393" w:rsidRPr="008C116A" w:rsidRDefault="00984572" w:rsidP="008C11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E3C" w:rsidRDefault="00606E3C" w:rsidP="00C95616">
      <w:pPr>
        <w:spacing w:before="120"/>
      </w:pPr>
      <w:r>
        <w:separator/>
      </w:r>
    </w:p>
  </w:footnote>
  <w:footnote w:type="continuationSeparator" w:id="0">
    <w:p w:rsidR="00606E3C" w:rsidRDefault="00606E3C" w:rsidP="006655D3">
      <w:r>
        <w:separator/>
      </w:r>
    </w:p>
  </w:footnote>
  <w:footnote w:type="continuationNotice" w:id="1">
    <w:p w:rsidR="00606E3C" w:rsidRPr="00A56FAA" w:rsidRDefault="00606E3C" w:rsidP="00A56FAA">
      <w:pPr>
        <w:pStyle w:val="Footer"/>
        <w:rPr>
          <w:szCs w:val="18"/>
        </w:rPr>
      </w:pPr>
    </w:p>
  </w:footnote>
  <w:footnote w:id="2">
    <w:p w:rsidR="0035058A" w:rsidRPr="00265657" w:rsidRDefault="0035058A" w:rsidP="0035058A">
      <w:pPr>
        <w:spacing w:before="60"/>
        <w:ind w:left="567" w:hanging="567"/>
        <w:rPr>
          <w:sz w:val="16"/>
          <w:szCs w:val="16"/>
          <w:lang w:val="es-ES"/>
        </w:rPr>
      </w:pPr>
      <w:r w:rsidRPr="009D6F83">
        <w:rPr>
          <w:rStyle w:val="FootnoteReference"/>
          <w:sz w:val="16"/>
          <w:szCs w:val="16"/>
        </w:rPr>
        <w:footnoteRef/>
      </w:r>
      <w:r w:rsidRPr="00265657">
        <w:rPr>
          <w:sz w:val="16"/>
          <w:szCs w:val="16"/>
          <w:lang w:val="es-ES"/>
        </w:rPr>
        <w:tab/>
      </w:r>
      <w:r w:rsidR="00265657" w:rsidRPr="00265657">
        <w:rPr>
          <w:sz w:val="16"/>
          <w:lang w:val="es-ES"/>
        </w:rPr>
        <w:t>El Comité Consultivo, en su octogésima primera sesión, aprobó el procedimiento siguiente, si procede, para actualizar documentos aprobados previamente por el Consejo (véase el párrafo 11 del documento C(Extr.)/28/4, “Informe”</w:t>
      </w:r>
      <w:r w:rsidRPr="00265657">
        <w:rPr>
          <w:sz w:val="16"/>
          <w:szCs w:val="16"/>
          <w:lang w:val="es-ES"/>
        </w:rPr>
        <w:t>):</w:t>
      </w:r>
    </w:p>
    <w:p w:rsidR="0035058A" w:rsidRPr="00265657" w:rsidRDefault="00265657" w:rsidP="0035058A">
      <w:pPr>
        <w:spacing w:before="60"/>
        <w:ind w:left="851" w:right="283"/>
        <w:rPr>
          <w:sz w:val="14"/>
          <w:szCs w:val="16"/>
          <w:lang w:val="es-ES"/>
        </w:rPr>
      </w:pPr>
      <w:r w:rsidRPr="00265657">
        <w:rPr>
          <w:sz w:val="14"/>
          <w:szCs w:val="16"/>
          <w:lang w:val="es-ES"/>
        </w:rPr>
        <w:tab/>
        <w:t>“</w:t>
      </w:r>
      <w:r w:rsidR="0035058A" w:rsidRPr="00265657">
        <w:rPr>
          <w:sz w:val="14"/>
          <w:szCs w:val="16"/>
          <w:lang w:val="es-ES"/>
        </w:rPr>
        <w:t>i)</w:t>
      </w:r>
      <w:r w:rsidR="0035058A" w:rsidRPr="00265657">
        <w:rPr>
          <w:sz w:val="14"/>
          <w:szCs w:val="16"/>
          <w:lang w:val="es-ES"/>
        </w:rPr>
        <w:tab/>
      </w:r>
      <w:r w:rsidRPr="00265657">
        <w:rPr>
          <w:sz w:val="14"/>
          <w:lang w:val="es-ES"/>
        </w:rPr>
        <w:t>presentar un documento del Consejo en el que se propongan modificaciones específicas del documento objeto de actualización sin presentar al Consejo el proyecto íntegro de documento revisado.  Se invitará al Consejo a aprobar la versión revisada del documento sobre la base de las modificaciones específicas y la Oficina de la Unión preparará y publicará el documento revisado sobre esa base;  y</w:t>
      </w:r>
    </w:p>
    <w:p w:rsidR="0035058A" w:rsidRPr="00265657" w:rsidRDefault="0035058A" w:rsidP="0035058A">
      <w:pPr>
        <w:spacing w:before="60"/>
        <w:ind w:left="851" w:right="283"/>
        <w:rPr>
          <w:sz w:val="14"/>
          <w:lang w:val="es-ES"/>
        </w:rPr>
      </w:pPr>
      <w:r w:rsidRPr="00265657">
        <w:rPr>
          <w:sz w:val="14"/>
          <w:lang w:val="es-ES"/>
        </w:rPr>
        <w:tab/>
        <w:t>“ii)</w:t>
      </w:r>
      <w:r w:rsidRPr="00265657">
        <w:rPr>
          <w:sz w:val="14"/>
          <w:lang w:val="es-ES"/>
        </w:rPr>
        <w:tab/>
      </w:r>
      <w:r w:rsidR="00265657" w:rsidRPr="00265657">
        <w:rPr>
          <w:sz w:val="14"/>
          <w:lang w:val="es-ES"/>
        </w:rPr>
        <w:t>presentar al Consejo para su aprobación, conjuntamente con el documento del Consejo que contenga las modificaciones específicas del documento objeto de actualización, un documento de información, similar al documento “Lista de documentos TGP y fechas de última publicación” (documento TGP/0/3) que contenga las referencias y fechas más recientes de los documentos de información (por ejemplo, las series de documentos INF y EXN</w:t>
      </w:r>
      <w:r w:rsidRPr="00265657">
        <w:rPr>
          <w:sz w:val="14"/>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AA" w:rsidRPr="00247E69" w:rsidRDefault="00DC2BF3" w:rsidP="00DC2BF3">
    <w:pPr>
      <w:jc w:val="center"/>
    </w:pPr>
    <w:r w:rsidRPr="00247E69">
      <w:rPr>
        <w:lang w:val="es-ES_tradnl"/>
      </w:rPr>
      <w:t>C(Extr.)/32/4</w:t>
    </w:r>
  </w:p>
  <w:p w:rsidR="00A56FAA" w:rsidRPr="00A468CA" w:rsidRDefault="00AD51B7" w:rsidP="00A468CA">
    <w:pPr>
      <w:jc w:val="center"/>
    </w:pPr>
    <w:r>
      <w:t>página</w:t>
    </w:r>
    <w:r w:rsidR="00A56FAA" w:rsidRPr="00A468CA">
      <w:t xml:space="preserve"> </w:t>
    </w:r>
    <w:r w:rsidR="0049699F" w:rsidRPr="00A468CA">
      <w:fldChar w:fldCharType="begin"/>
    </w:r>
    <w:r w:rsidR="00A56FAA" w:rsidRPr="00A468CA">
      <w:instrText xml:space="preserve"> PAGE </w:instrText>
    </w:r>
    <w:r w:rsidR="0049699F" w:rsidRPr="00A468CA">
      <w:fldChar w:fldCharType="separate"/>
    </w:r>
    <w:r w:rsidR="00984572">
      <w:rPr>
        <w:noProof/>
      </w:rPr>
      <w:t>3</w:t>
    </w:r>
    <w:r w:rsidR="0049699F" w:rsidRPr="00A468CA">
      <w:fldChar w:fldCharType="end"/>
    </w:r>
  </w:p>
  <w:p w:rsidR="00A56FAA" w:rsidRPr="00A468CA" w:rsidRDefault="00A56FAA" w:rsidP="00A468CA">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393" w:rsidRPr="005C0CFE" w:rsidRDefault="00DC2BF3" w:rsidP="008C116A">
    <w:pPr>
      <w:pStyle w:val="Header"/>
      <w:rPr>
        <w:rStyle w:val="PageNumber"/>
        <w:lang w:val="en-US"/>
      </w:rPr>
    </w:pPr>
    <w:r w:rsidRPr="005C0CFE">
      <w:rPr>
        <w:rStyle w:val="PageNumber"/>
      </w:rPr>
      <w:t>C(Extr.)/32/4</w:t>
    </w:r>
  </w:p>
  <w:p w:rsidR="00B91393" w:rsidRPr="00C5280D" w:rsidRDefault="004C5EFE" w:rsidP="008C116A">
    <w:pPr>
      <w:pStyle w:val="Header"/>
    </w:pPr>
    <w:r w:rsidRPr="005C0CFE">
      <w:t>Anex</w:t>
    </w:r>
    <w:r w:rsidR="005C0CFE">
      <w:t>o</w:t>
    </w:r>
    <w:r w:rsidRPr="005C0CFE">
      <w:t xml:space="preserve">, </w:t>
    </w:r>
    <w:r w:rsidR="005C0CFE">
      <w:t>página</w:t>
    </w:r>
    <w:r w:rsidRPr="005C0CFE">
      <w:t xml:space="preserve"> </w:t>
    </w:r>
    <w:r w:rsidR="0049699F" w:rsidRPr="005C0CFE">
      <w:rPr>
        <w:rStyle w:val="PageNumber"/>
        <w:lang w:val="en-US"/>
      </w:rPr>
      <w:fldChar w:fldCharType="begin"/>
    </w:r>
    <w:r w:rsidRPr="005C0CFE">
      <w:rPr>
        <w:rStyle w:val="PageNumber"/>
        <w:lang w:val="en-US"/>
      </w:rPr>
      <w:instrText xml:space="preserve"> PAGE </w:instrText>
    </w:r>
    <w:r w:rsidR="0049699F" w:rsidRPr="005C0CFE">
      <w:rPr>
        <w:rStyle w:val="PageNumber"/>
        <w:lang w:val="en-US"/>
      </w:rPr>
      <w:fldChar w:fldCharType="separate"/>
    </w:r>
    <w:r w:rsidR="00984572">
      <w:rPr>
        <w:rStyle w:val="PageNumber"/>
        <w:noProof/>
        <w:lang w:val="en-US"/>
      </w:rPr>
      <w:t>6</w:t>
    </w:r>
    <w:r w:rsidR="0049699F" w:rsidRPr="005C0CFE">
      <w:rPr>
        <w:rStyle w:val="PageNumber"/>
        <w:lang w:val="en-US"/>
      </w:rPr>
      <w:fldChar w:fldCharType="end"/>
    </w:r>
  </w:p>
  <w:p w:rsidR="00B91393" w:rsidRPr="00C5280D" w:rsidRDefault="00984572" w:rsidP="008C116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35BCC"/>
    <w:multiLevelType w:val="singleLevel"/>
    <w:tmpl w:val="743C92B8"/>
    <w:lvl w:ilvl="0">
      <w:start w:val="3"/>
      <w:numFmt w:val="lowerLetter"/>
      <w:lvlText w:val="(%1)"/>
      <w:lvlJc w:val="left"/>
      <w:pPr>
        <w:tabs>
          <w:tab w:val="num" w:pos="360"/>
        </w:tabs>
        <w:ind w:left="360" w:hanging="360"/>
      </w:pPr>
    </w:lvl>
  </w:abstractNum>
  <w:abstractNum w:abstractNumId="1">
    <w:nsid w:val="349E48C4"/>
    <w:multiLevelType w:val="hybridMultilevel"/>
    <w:tmpl w:val="A7CCD430"/>
    <w:lvl w:ilvl="0" w:tplc="5C7EDA8C">
      <w:start w:val="1"/>
      <w:numFmt w:val="lowerLetter"/>
      <w:lvlText w:val="(%1)"/>
      <w:lvlJc w:val="left"/>
      <w:pPr>
        <w:tabs>
          <w:tab w:val="num" w:pos="927"/>
        </w:tabs>
        <w:ind w:left="927" w:hanging="360"/>
      </w:pPr>
    </w:lvl>
    <w:lvl w:ilvl="1" w:tplc="04090019">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
    <w:nsid w:val="533D2092"/>
    <w:multiLevelType w:val="singleLevel"/>
    <w:tmpl w:val="C64E1EFE"/>
    <w:lvl w:ilvl="0">
      <w:start w:val="1"/>
      <w:numFmt w:val="lowerLetter"/>
      <w:lvlText w:val="(%1)"/>
      <w:lvlJc w:val="left"/>
      <w:pPr>
        <w:tabs>
          <w:tab w:val="num" w:pos="360"/>
        </w:tabs>
        <w:ind w:left="360" w:hanging="360"/>
      </w:pPr>
    </w:lvl>
  </w:abstractNum>
  <w:abstractNum w:abstractNumId="3">
    <w:nsid w:val="5FD53310"/>
    <w:multiLevelType w:val="singleLevel"/>
    <w:tmpl w:val="5C7EDA8C"/>
    <w:lvl w:ilvl="0">
      <w:start w:val="1"/>
      <w:numFmt w:val="lowerLetter"/>
      <w:lvlText w:val="(%1)"/>
      <w:lvlJc w:val="left"/>
      <w:pPr>
        <w:tabs>
          <w:tab w:val="num" w:pos="360"/>
        </w:tabs>
        <w:ind w:left="360" w:hanging="360"/>
      </w:pPr>
    </w:lvl>
  </w:abstractNum>
  <w:abstractNum w:abstractNumId="4">
    <w:nsid w:val="615038D5"/>
    <w:multiLevelType w:val="singleLevel"/>
    <w:tmpl w:val="615038D6"/>
    <w:lvl w:ilvl="0">
      <w:start w:val="1"/>
      <w:numFmt w:val="lowerLetter"/>
      <w:lvlText w:val="(%1)"/>
      <w:lvlJc w:val="left"/>
      <w:pPr>
        <w:tabs>
          <w:tab w:val="num" w:pos="2232"/>
        </w:tabs>
        <w:ind w:left="1224" w:firstLine="432"/>
      </w:pPr>
    </w:lvl>
  </w:abstractNum>
  <w:abstractNum w:abstractNumId="5">
    <w:nsid w:val="615038D9"/>
    <w:multiLevelType w:val="singleLevel"/>
    <w:tmpl w:val="615038DA"/>
    <w:lvl w:ilvl="0">
      <w:start w:val="1"/>
      <w:numFmt w:val="lowerLetter"/>
      <w:lvlText w:val="(%1)"/>
      <w:lvlJc w:val="left"/>
      <w:pPr>
        <w:tabs>
          <w:tab w:val="num" w:pos="2232"/>
        </w:tabs>
        <w:ind w:left="1224" w:firstLine="432"/>
      </w:pPr>
    </w:lvl>
  </w:abstractNum>
  <w:abstractNum w:abstractNumId="6">
    <w:nsid w:val="61503975"/>
    <w:multiLevelType w:val="singleLevel"/>
    <w:tmpl w:val="61503976"/>
    <w:lvl w:ilvl="0">
      <w:start w:val="1"/>
      <w:numFmt w:val="lowerLetter"/>
      <w:lvlText w:val="(%1)"/>
      <w:lvlJc w:val="left"/>
      <w:pPr>
        <w:tabs>
          <w:tab w:val="num" w:pos="2232"/>
        </w:tabs>
        <w:ind w:left="1224" w:firstLine="504"/>
      </w:pPr>
    </w:lvl>
  </w:abstractNum>
  <w:abstractNum w:abstractNumId="7">
    <w:nsid w:val="61503983"/>
    <w:multiLevelType w:val="singleLevel"/>
    <w:tmpl w:val="61503984"/>
    <w:lvl w:ilvl="0">
      <w:start w:val="1"/>
      <w:numFmt w:val="lowerLetter"/>
      <w:lvlText w:val="(%1)"/>
      <w:lvlJc w:val="left"/>
      <w:pPr>
        <w:tabs>
          <w:tab w:val="num" w:pos="2232"/>
        </w:tabs>
        <w:ind w:left="1224" w:firstLine="504"/>
      </w:pPr>
    </w:lvl>
  </w:abstractNum>
  <w:abstractNum w:abstractNumId="8">
    <w:nsid w:val="61503987"/>
    <w:multiLevelType w:val="singleLevel"/>
    <w:tmpl w:val="61503988"/>
    <w:lvl w:ilvl="0">
      <w:start w:val="1"/>
      <w:numFmt w:val="lowerLetter"/>
      <w:lvlText w:val="(%1)"/>
      <w:lvlJc w:val="left"/>
      <w:pPr>
        <w:tabs>
          <w:tab w:val="num" w:pos="2232"/>
        </w:tabs>
        <w:ind w:left="1224" w:firstLine="504"/>
      </w:pPr>
    </w:lvl>
  </w:abstractNum>
  <w:num w:numId="1">
    <w:abstractNumId w:val="4"/>
  </w:num>
  <w:num w:numId="2">
    <w:abstractNumId w:val="5"/>
  </w:num>
  <w:num w:numId="3">
    <w:abstractNumId w:val="2"/>
  </w:num>
  <w:num w:numId="4">
    <w:abstractNumId w:val="0"/>
  </w:num>
  <w:num w:numId="5">
    <w:abstractNumId w:val="6"/>
  </w:num>
  <w:num w:numId="6">
    <w:abstractNumId w:val="8"/>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UPOV perso"/>
    <w:docVar w:name="TextBaseURL" w:val="empty"/>
    <w:docVar w:name="UILng" w:val="en"/>
  </w:docVars>
  <w:rsids>
    <w:rsidRoot w:val="00BC07C0"/>
    <w:rsid w:val="00004FED"/>
    <w:rsid w:val="00010CF3"/>
    <w:rsid w:val="00011E27"/>
    <w:rsid w:val="000148BC"/>
    <w:rsid w:val="00024AB8"/>
    <w:rsid w:val="00030854"/>
    <w:rsid w:val="00032387"/>
    <w:rsid w:val="00036028"/>
    <w:rsid w:val="00044642"/>
    <w:rsid w:val="000446B9"/>
    <w:rsid w:val="00047DC8"/>
    <w:rsid w:val="00047E21"/>
    <w:rsid w:val="00057DBA"/>
    <w:rsid w:val="00060A59"/>
    <w:rsid w:val="00076BB4"/>
    <w:rsid w:val="00076E6E"/>
    <w:rsid w:val="00085505"/>
    <w:rsid w:val="000A22E2"/>
    <w:rsid w:val="000A68B4"/>
    <w:rsid w:val="000C5014"/>
    <w:rsid w:val="000C7021"/>
    <w:rsid w:val="000D532D"/>
    <w:rsid w:val="000D6BBC"/>
    <w:rsid w:val="000D6DA4"/>
    <w:rsid w:val="000D7780"/>
    <w:rsid w:val="001057A7"/>
    <w:rsid w:val="00105929"/>
    <w:rsid w:val="00110289"/>
    <w:rsid w:val="00111DAB"/>
    <w:rsid w:val="001131D5"/>
    <w:rsid w:val="00117D17"/>
    <w:rsid w:val="0012519D"/>
    <w:rsid w:val="00126248"/>
    <w:rsid w:val="00141DB8"/>
    <w:rsid w:val="00173BA8"/>
    <w:rsid w:val="0017474A"/>
    <w:rsid w:val="001758C6"/>
    <w:rsid w:val="00182B99"/>
    <w:rsid w:val="001A0080"/>
    <w:rsid w:val="001D0238"/>
    <w:rsid w:val="001E0CF9"/>
    <w:rsid w:val="00200A4E"/>
    <w:rsid w:val="00205C9C"/>
    <w:rsid w:val="00210672"/>
    <w:rsid w:val="0021332C"/>
    <w:rsid w:val="00213982"/>
    <w:rsid w:val="00232950"/>
    <w:rsid w:val="0024416D"/>
    <w:rsid w:val="00247E69"/>
    <w:rsid w:val="002513F7"/>
    <w:rsid w:val="00265657"/>
    <w:rsid w:val="002800A0"/>
    <w:rsid w:val="002801B3"/>
    <w:rsid w:val="0028098F"/>
    <w:rsid w:val="00281060"/>
    <w:rsid w:val="0029070D"/>
    <w:rsid w:val="002940E8"/>
    <w:rsid w:val="002A65EC"/>
    <w:rsid w:val="002A6E50"/>
    <w:rsid w:val="002A7BB9"/>
    <w:rsid w:val="002C146A"/>
    <w:rsid w:val="002C256A"/>
    <w:rsid w:val="002C627E"/>
    <w:rsid w:val="00303B0A"/>
    <w:rsid w:val="00304851"/>
    <w:rsid w:val="00305A7F"/>
    <w:rsid w:val="00314540"/>
    <w:rsid w:val="00315280"/>
    <w:rsid w:val="003152FE"/>
    <w:rsid w:val="00327436"/>
    <w:rsid w:val="0033507D"/>
    <w:rsid w:val="00344BD6"/>
    <w:rsid w:val="00344C41"/>
    <w:rsid w:val="00345142"/>
    <w:rsid w:val="0035058A"/>
    <w:rsid w:val="00353582"/>
    <w:rsid w:val="0035528D"/>
    <w:rsid w:val="00361821"/>
    <w:rsid w:val="00366FC5"/>
    <w:rsid w:val="003778F5"/>
    <w:rsid w:val="003802CD"/>
    <w:rsid w:val="00382295"/>
    <w:rsid w:val="0039044E"/>
    <w:rsid w:val="003A450F"/>
    <w:rsid w:val="003A55E4"/>
    <w:rsid w:val="003B3F1D"/>
    <w:rsid w:val="003C3939"/>
    <w:rsid w:val="003D227C"/>
    <w:rsid w:val="003D2B4D"/>
    <w:rsid w:val="003D3565"/>
    <w:rsid w:val="003E77C8"/>
    <w:rsid w:val="00412A1B"/>
    <w:rsid w:val="0042240B"/>
    <w:rsid w:val="004264BF"/>
    <w:rsid w:val="00444169"/>
    <w:rsid w:val="00444A88"/>
    <w:rsid w:val="00457EA3"/>
    <w:rsid w:val="00474DA4"/>
    <w:rsid w:val="00476B4D"/>
    <w:rsid w:val="004805FA"/>
    <w:rsid w:val="0049699F"/>
    <w:rsid w:val="004A1EA4"/>
    <w:rsid w:val="004A2D80"/>
    <w:rsid w:val="004B0666"/>
    <w:rsid w:val="004B3227"/>
    <w:rsid w:val="004C5EFE"/>
    <w:rsid w:val="004C6E99"/>
    <w:rsid w:val="004D047D"/>
    <w:rsid w:val="004F305A"/>
    <w:rsid w:val="004F5E14"/>
    <w:rsid w:val="00512164"/>
    <w:rsid w:val="0052025E"/>
    <w:rsid w:val="00520297"/>
    <w:rsid w:val="005338F9"/>
    <w:rsid w:val="0054281C"/>
    <w:rsid w:val="0055268D"/>
    <w:rsid w:val="00554730"/>
    <w:rsid w:val="00560A6D"/>
    <w:rsid w:val="00567922"/>
    <w:rsid w:val="00576BE4"/>
    <w:rsid w:val="005852BB"/>
    <w:rsid w:val="005A400A"/>
    <w:rsid w:val="005C0CFE"/>
    <w:rsid w:val="005E3E72"/>
    <w:rsid w:val="005F05B6"/>
    <w:rsid w:val="005F5F20"/>
    <w:rsid w:val="00606E3C"/>
    <w:rsid w:val="006102D9"/>
    <w:rsid w:val="00612379"/>
    <w:rsid w:val="0061555F"/>
    <w:rsid w:val="006309A1"/>
    <w:rsid w:val="00633910"/>
    <w:rsid w:val="00641200"/>
    <w:rsid w:val="006559E6"/>
    <w:rsid w:val="006655D3"/>
    <w:rsid w:val="0067302D"/>
    <w:rsid w:val="00687EB4"/>
    <w:rsid w:val="00690531"/>
    <w:rsid w:val="00693114"/>
    <w:rsid w:val="006961E3"/>
    <w:rsid w:val="006A28DB"/>
    <w:rsid w:val="006A4766"/>
    <w:rsid w:val="006A48B1"/>
    <w:rsid w:val="006B17D2"/>
    <w:rsid w:val="006C224E"/>
    <w:rsid w:val="006D3003"/>
    <w:rsid w:val="006D780A"/>
    <w:rsid w:val="00732DEC"/>
    <w:rsid w:val="00735BD5"/>
    <w:rsid w:val="00745DC9"/>
    <w:rsid w:val="007517A5"/>
    <w:rsid w:val="00754B96"/>
    <w:rsid w:val="007556F6"/>
    <w:rsid w:val="00757DE8"/>
    <w:rsid w:val="00760EEF"/>
    <w:rsid w:val="0076493A"/>
    <w:rsid w:val="00777EE5"/>
    <w:rsid w:val="007831FC"/>
    <w:rsid w:val="00784836"/>
    <w:rsid w:val="007870FE"/>
    <w:rsid w:val="0079023E"/>
    <w:rsid w:val="007A2854"/>
    <w:rsid w:val="007A5803"/>
    <w:rsid w:val="007B1A83"/>
    <w:rsid w:val="007C1AF1"/>
    <w:rsid w:val="007C4218"/>
    <w:rsid w:val="007D0B9D"/>
    <w:rsid w:val="007D19B0"/>
    <w:rsid w:val="007E3DBB"/>
    <w:rsid w:val="007F498F"/>
    <w:rsid w:val="007F5486"/>
    <w:rsid w:val="007F6BF8"/>
    <w:rsid w:val="0080679D"/>
    <w:rsid w:val="008108B0"/>
    <w:rsid w:val="00811B20"/>
    <w:rsid w:val="00815939"/>
    <w:rsid w:val="0082296E"/>
    <w:rsid w:val="00824099"/>
    <w:rsid w:val="00827F92"/>
    <w:rsid w:val="00850F57"/>
    <w:rsid w:val="008542A4"/>
    <w:rsid w:val="00867AC1"/>
    <w:rsid w:val="00895356"/>
    <w:rsid w:val="008A3C6D"/>
    <w:rsid w:val="008A5EE6"/>
    <w:rsid w:val="008A743F"/>
    <w:rsid w:val="008B78AD"/>
    <w:rsid w:val="008C0970"/>
    <w:rsid w:val="008C116A"/>
    <w:rsid w:val="008D10B5"/>
    <w:rsid w:val="008D2CF7"/>
    <w:rsid w:val="008F4B3A"/>
    <w:rsid w:val="00900C26"/>
    <w:rsid w:val="0090197F"/>
    <w:rsid w:val="00901A3F"/>
    <w:rsid w:val="00906DDC"/>
    <w:rsid w:val="00934E09"/>
    <w:rsid w:val="00936253"/>
    <w:rsid w:val="00944B91"/>
    <w:rsid w:val="0095173F"/>
    <w:rsid w:val="00952DD4"/>
    <w:rsid w:val="00953421"/>
    <w:rsid w:val="00961528"/>
    <w:rsid w:val="00967429"/>
    <w:rsid w:val="00970FED"/>
    <w:rsid w:val="0097143A"/>
    <w:rsid w:val="00981A4B"/>
    <w:rsid w:val="00984572"/>
    <w:rsid w:val="00997029"/>
    <w:rsid w:val="009A352F"/>
    <w:rsid w:val="009A4CE5"/>
    <w:rsid w:val="009A72FA"/>
    <w:rsid w:val="009C3BF6"/>
    <w:rsid w:val="009D383B"/>
    <w:rsid w:val="009D690D"/>
    <w:rsid w:val="009E65B6"/>
    <w:rsid w:val="009F7D0F"/>
    <w:rsid w:val="00A13879"/>
    <w:rsid w:val="00A30EB0"/>
    <w:rsid w:val="00A330FF"/>
    <w:rsid w:val="00A4296A"/>
    <w:rsid w:val="00A42AC3"/>
    <w:rsid w:val="00A430CF"/>
    <w:rsid w:val="00A464C9"/>
    <w:rsid w:val="00A468CA"/>
    <w:rsid w:val="00A54309"/>
    <w:rsid w:val="00A56FAA"/>
    <w:rsid w:val="00A57507"/>
    <w:rsid w:val="00A628BF"/>
    <w:rsid w:val="00A944EB"/>
    <w:rsid w:val="00AA1712"/>
    <w:rsid w:val="00AB2B93"/>
    <w:rsid w:val="00AB7E5B"/>
    <w:rsid w:val="00AD51B7"/>
    <w:rsid w:val="00AE0EF1"/>
    <w:rsid w:val="00AE2937"/>
    <w:rsid w:val="00AE343B"/>
    <w:rsid w:val="00AF1E44"/>
    <w:rsid w:val="00B07301"/>
    <w:rsid w:val="00B224DE"/>
    <w:rsid w:val="00B2500F"/>
    <w:rsid w:val="00B26E6C"/>
    <w:rsid w:val="00B26ED1"/>
    <w:rsid w:val="00B312A2"/>
    <w:rsid w:val="00B327B5"/>
    <w:rsid w:val="00B36450"/>
    <w:rsid w:val="00B425BD"/>
    <w:rsid w:val="00B46575"/>
    <w:rsid w:val="00B8116D"/>
    <w:rsid w:val="00B8263B"/>
    <w:rsid w:val="00B83FC6"/>
    <w:rsid w:val="00B84BBD"/>
    <w:rsid w:val="00BA43FB"/>
    <w:rsid w:val="00BC07C0"/>
    <w:rsid w:val="00BC127D"/>
    <w:rsid w:val="00BC1FE6"/>
    <w:rsid w:val="00BC58A1"/>
    <w:rsid w:val="00BE12D1"/>
    <w:rsid w:val="00C061B6"/>
    <w:rsid w:val="00C1150E"/>
    <w:rsid w:val="00C16FD9"/>
    <w:rsid w:val="00C207CB"/>
    <w:rsid w:val="00C2446C"/>
    <w:rsid w:val="00C36AE5"/>
    <w:rsid w:val="00C41F17"/>
    <w:rsid w:val="00C43CBD"/>
    <w:rsid w:val="00C51D44"/>
    <w:rsid w:val="00C5280D"/>
    <w:rsid w:val="00C5791C"/>
    <w:rsid w:val="00C651CE"/>
    <w:rsid w:val="00C66290"/>
    <w:rsid w:val="00C72B7A"/>
    <w:rsid w:val="00C85FB7"/>
    <w:rsid w:val="00C95616"/>
    <w:rsid w:val="00C973F2"/>
    <w:rsid w:val="00CA304C"/>
    <w:rsid w:val="00CA6100"/>
    <w:rsid w:val="00CA774A"/>
    <w:rsid w:val="00CB303D"/>
    <w:rsid w:val="00CB4709"/>
    <w:rsid w:val="00CC11B0"/>
    <w:rsid w:val="00CC174B"/>
    <w:rsid w:val="00CD0223"/>
    <w:rsid w:val="00CF4E64"/>
    <w:rsid w:val="00CF7E36"/>
    <w:rsid w:val="00D14911"/>
    <w:rsid w:val="00D158FE"/>
    <w:rsid w:val="00D25FB7"/>
    <w:rsid w:val="00D32C79"/>
    <w:rsid w:val="00D34B78"/>
    <w:rsid w:val="00D3708D"/>
    <w:rsid w:val="00D401C6"/>
    <w:rsid w:val="00D40426"/>
    <w:rsid w:val="00D538FA"/>
    <w:rsid w:val="00D55228"/>
    <w:rsid w:val="00D57C96"/>
    <w:rsid w:val="00D70FD9"/>
    <w:rsid w:val="00D723E8"/>
    <w:rsid w:val="00D76BFB"/>
    <w:rsid w:val="00D91203"/>
    <w:rsid w:val="00D94DE7"/>
    <w:rsid w:val="00D95174"/>
    <w:rsid w:val="00DA5D7D"/>
    <w:rsid w:val="00DA6F36"/>
    <w:rsid w:val="00DB3333"/>
    <w:rsid w:val="00DB596E"/>
    <w:rsid w:val="00DC00EA"/>
    <w:rsid w:val="00DC2BF3"/>
    <w:rsid w:val="00E23C6B"/>
    <w:rsid w:val="00E32F7E"/>
    <w:rsid w:val="00E524D3"/>
    <w:rsid w:val="00E544DC"/>
    <w:rsid w:val="00E72D49"/>
    <w:rsid w:val="00E7593C"/>
    <w:rsid w:val="00E7678A"/>
    <w:rsid w:val="00E935F1"/>
    <w:rsid w:val="00E94A81"/>
    <w:rsid w:val="00EA1FFB"/>
    <w:rsid w:val="00EA4FBC"/>
    <w:rsid w:val="00EB048E"/>
    <w:rsid w:val="00EB4979"/>
    <w:rsid w:val="00EC42E7"/>
    <w:rsid w:val="00ED0251"/>
    <w:rsid w:val="00ED5C24"/>
    <w:rsid w:val="00EE34DF"/>
    <w:rsid w:val="00EF2F89"/>
    <w:rsid w:val="00F04CB7"/>
    <w:rsid w:val="00F11C78"/>
    <w:rsid w:val="00F1237A"/>
    <w:rsid w:val="00F22CBD"/>
    <w:rsid w:val="00F27D46"/>
    <w:rsid w:val="00F45372"/>
    <w:rsid w:val="00F45D41"/>
    <w:rsid w:val="00F47680"/>
    <w:rsid w:val="00F560F7"/>
    <w:rsid w:val="00F56C99"/>
    <w:rsid w:val="00F62C90"/>
    <w:rsid w:val="00F6334D"/>
    <w:rsid w:val="00F64CF2"/>
    <w:rsid w:val="00F71BE6"/>
    <w:rsid w:val="00F743FF"/>
    <w:rsid w:val="00F80602"/>
    <w:rsid w:val="00F973F3"/>
    <w:rsid w:val="00FA0882"/>
    <w:rsid w:val="00FA49AB"/>
    <w:rsid w:val="00FD5A5A"/>
    <w:rsid w:val="00FD7450"/>
    <w:rsid w:val="00FE0D26"/>
    <w:rsid w:val="00FE1D02"/>
    <w:rsid w:val="00FE39C7"/>
    <w:rsid w:val="00FF69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B3F1D"/>
    <w:pPr>
      <w:keepNext/>
      <w:spacing w:before="360"/>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link w:val="Heading4Char"/>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5C0CFE"/>
    <w:pPr>
      <w:tabs>
        <w:tab w:val="center" w:pos="4536"/>
        <w:tab w:val="right" w:pos="9072"/>
      </w:tabs>
      <w:jc w:val="center"/>
    </w:pPr>
    <w:rPr>
      <w:rFonts w:ascii="Arial" w:hAnsi="Arial"/>
      <w:lang w:val="es-ES_tradnl"/>
    </w:rPr>
  </w:style>
  <w:style w:type="paragraph" w:styleId="Footer">
    <w:name w:val="footer"/>
    <w:aliases w:val="doc_path_name"/>
    <w:link w:val="FooterChar"/>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link w:val="EndnoteTextChar"/>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HeaderChar">
    <w:name w:val="Header Char"/>
    <w:basedOn w:val="DefaultParagraphFont"/>
    <w:link w:val="Header"/>
    <w:rsid w:val="005C0CFE"/>
    <w:rPr>
      <w:rFonts w:ascii="Arial" w:hAnsi="Arial"/>
      <w:lang w:val="es-ES_tradnl"/>
    </w:rPr>
  </w:style>
  <w:style w:type="character" w:customStyle="1" w:styleId="DecisionParagraphsChar">
    <w:name w:val="DecisionParagraphs Char"/>
    <w:basedOn w:val="DefaultParagraphFont"/>
    <w:link w:val="DecisionParagraphs"/>
    <w:rsid w:val="003802CD"/>
    <w:rPr>
      <w:rFonts w:ascii="Arial" w:hAnsi="Arial"/>
      <w:i/>
    </w:rPr>
  </w:style>
  <w:style w:type="character" w:styleId="FollowedHyperlink">
    <w:name w:val="FollowedHyperlink"/>
    <w:basedOn w:val="DefaultParagraphFont"/>
    <w:rsid w:val="007870FE"/>
    <w:rPr>
      <w:color w:val="800080" w:themeColor="followedHyperlink"/>
      <w:u w:val="single"/>
    </w:rPr>
  </w:style>
  <w:style w:type="character" w:customStyle="1" w:styleId="Heading4Char">
    <w:name w:val="Heading 4 Char"/>
    <w:basedOn w:val="DefaultParagraphFont"/>
    <w:link w:val="Heading4"/>
    <w:rsid w:val="00A4296A"/>
    <w:rPr>
      <w:rFonts w:ascii="Arial" w:hAnsi="Arial"/>
      <w:i/>
      <w:lang w:val="fr-FR"/>
    </w:rPr>
  </w:style>
  <w:style w:type="character" w:customStyle="1" w:styleId="FooterChar">
    <w:name w:val="Footer Char"/>
    <w:aliases w:val="doc_path_name Char"/>
    <w:basedOn w:val="DefaultParagraphFont"/>
    <w:link w:val="Footer"/>
    <w:rsid w:val="00A4296A"/>
    <w:rPr>
      <w:rFonts w:ascii="Arial" w:hAnsi="Arial"/>
      <w:sz w:val="14"/>
    </w:rPr>
  </w:style>
  <w:style w:type="character" w:customStyle="1" w:styleId="FootnoteTextChar">
    <w:name w:val="Footnote Text Char"/>
    <w:basedOn w:val="DefaultParagraphFont"/>
    <w:link w:val="FootnoteText"/>
    <w:rsid w:val="00A4296A"/>
    <w:rPr>
      <w:rFonts w:ascii="Arial" w:hAnsi="Arial"/>
      <w:sz w:val="16"/>
    </w:rPr>
  </w:style>
  <w:style w:type="character" w:customStyle="1" w:styleId="EndnoteTextChar">
    <w:name w:val="Endnote Text Char"/>
    <w:basedOn w:val="DefaultParagraphFont"/>
    <w:link w:val="EndnoteText"/>
    <w:semiHidden/>
    <w:rsid w:val="00A4296A"/>
    <w:rPr>
      <w:rFonts w:ascii="Arial" w:hAnsi="Arial"/>
    </w:rPr>
  </w:style>
  <w:style w:type="paragraph" w:customStyle="1" w:styleId="Inf4Heading4">
    <w:name w:val="Inf_4_Heading_4"/>
    <w:basedOn w:val="Heading4"/>
    <w:next w:val="Normal"/>
    <w:rsid w:val="003B3F1D"/>
    <w:pPr>
      <w:spacing w:before="120"/>
      <w:ind w:left="0"/>
    </w:pPr>
    <w:rPr>
      <w:b/>
      <w:bCs/>
      <w:i w:val="0"/>
    </w:rPr>
  </w:style>
  <w:style w:type="paragraph" w:customStyle="1" w:styleId="Inf4Heading3">
    <w:name w:val="Inf_4_Heading_3"/>
    <w:basedOn w:val="Heading3"/>
    <w:rsid w:val="003B3F1D"/>
    <w:pPr>
      <w:spacing w:before="240"/>
    </w:pPr>
    <w:rPr>
      <w:b/>
      <w:bCs/>
      <w:i w:val="0"/>
    </w:rPr>
  </w:style>
  <w:style w:type="paragraph" w:customStyle="1" w:styleId="Inf4Heading6">
    <w:name w:val="Inf_4_Heading_6"/>
    <w:basedOn w:val="Normal"/>
    <w:rsid w:val="003B3F1D"/>
    <w:pPr>
      <w:keepNext/>
      <w:spacing w:before="108"/>
      <w:ind w:left="567"/>
      <w:outlineLvl w:val="5"/>
    </w:pPr>
    <w:rPr>
      <w:b/>
      <w:bCs/>
      <w:szCs w:val="24"/>
    </w:rPr>
  </w:style>
  <w:style w:type="paragraph" w:customStyle="1" w:styleId="Inf4Normal">
    <w:name w:val="Inf_4_Normal"/>
    <w:basedOn w:val="Normal"/>
    <w:rsid w:val="00A4296A"/>
    <w:pPr>
      <w:spacing w:before="108"/>
    </w:pPr>
  </w:style>
  <w:style w:type="paragraph" w:customStyle="1" w:styleId="Inf4Heading2">
    <w:name w:val="Inf_4_Heading_2"/>
    <w:basedOn w:val="Heading2"/>
    <w:rsid w:val="00A4296A"/>
    <w:pPr>
      <w:spacing w:before="360"/>
    </w:pPr>
    <w:rPr>
      <w:b/>
      <w:bCs/>
      <w:u w:val="none"/>
    </w:rPr>
  </w:style>
  <w:style w:type="paragraph" w:customStyle="1" w:styleId="Inf4Heading5">
    <w:name w:val="Inf_4_Heading_5"/>
    <w:basedOn w:val="Normal"/>
    <w:rsid w:val="003B3F1D"/>
    <w:pPr>
      <w:keepNext/>
      <w:spacing w:before="200"/>
      <w:ind w:left="567"/>
      <w:outlineLvl w:val="4"/>
    </w:pPr>
    <w:rPr>
      <w:b/>
      <w:bCs/>
      <w:snapToGrid w:val="0"/>
      <w:szCs w:val="24"/>
    </w:rPr>
  </w:style>
  <w:style w:type="paragraph" w:customStyle="1" w:styleId="Inf4Heading1">
    <w:name w:val="Inf_4_Heading_1"/>
    <w:basedOn w:val="Heading1"/>
    <w:rsid w:val="003B3F1D"/>
    <w:rPr>
      <w:b/>
      <w:bCs/>
    </w:rPr>
  </w:style>
  <w:style w:type="table" w:styleId="TableGrid">
    <w:name w:val="Table Grid"/>
    <w:basedOn w:val="TableNormal"/>
    <w:rsid w:val="002C627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6248"/>
    <w:pPr>
      <w:ind w:left="720"/>
      <w:contextualSpacing/>
    </w:pPr>
  </w:style>
  <w:style w:type="character" w:styleId="CommentReference">
    <w:name w:val="annotation reference"/>
    <w:basedOn w:val="DefaultParagraphFont"/>
    <w:rsid w:val="002A65EC"/>
    <w:rPr>
      <w:sz w:val="16"/>
      <w:szCs w:val="16"/>
    </w:rPr>
  </w:style>
  <w:style w:type="paragraph" w:styleId="CommentText">
    <w:name w:val="annotation text"/>
    <w:basedOn w:val="Normal"/>
    <w:link w:val="CommentTextChar"/>
    <w:rsid w:val="002A65EC"/>
  </w:style>
  <w:style w:type="character" w:customStyle="1" w:styleId="CommentTextChar">
    <w:name w:val="Comment Text Char"/>
    <w:basedOn w:val="DefaultParagraphFont"/>
    <w:link w:val="CommentText"/>
    <w:rsid w:val="002A65EC"/>
    <w:rPr>
      <w:rFonts w:ascii="Arial" w:hAnsi="Arial"/>
    </w:rPr>
  </w:style>
  <w:style w:type="paragraph" w:styleId="CommentSubject">
    <w:name w:val="annotation subject"/>
    <w:basedOn w:val="CommentText"/>
    <w:next w:val="CommentText"/>
    <w:link w:val="CommentSubjectChar"/>
    <w:rsid w:val="002A65EC"/>
    <w:rPr>
      <w:b/>
      <w:bCs/>
    </w:rPr>
  </w:style>
  <w:style w:type="character" w:customStyle="1" w:styleId="CommentSubjectChar">
    <w:name w:val="Comment Subject Char"/>
    <w:basedOn w:val="CommentTextChar"/>
    <w:link w:val="CommentSubject"/>
    <w:rsid w:val="002A65EC"/>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B3F1D"/>
    <w:pPr>
      <w:keepNext/>
      <w:spacing w:before="360"/>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link w:val="Heading4Char"/>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5C0CFE"/>
    <w:pPr>
      <w:tabs>
        <w:tab w:val="center" w:pos="4536"/>
        <w:tab w:val="right" w:pos="9072"/>
      </w:tabs>
      <w:jc w:val="center"/>
    </w:pPr>
    <w:rPr>
      <w:rFonts w:ascii="Arial" w:hAnsi="Arial"/>
      <w:lang w:val="es-ES_tradnl"/>
    </w:rPr>
  </w:style>
  <w:style w:type="paragraph" w:styleId="Footer">
    <w:name w:val="footer"/>
    <w:aliases w:val="doc_path_name"/>
    <w:link w:val="FooterChar"/>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link w:val="EndnoteTextChar"/>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HeaderChar">
    <w:name w:val="Header Char"/>
    <w:basedOn w:val="DefaultParagraphFont"/>
    <w:link w:val="Header"/>
    <w:rsid w:val="005C0CFE"/>
    <w:rPr>
      <w:rFonts w:ascii="Arial" w:hAnsi="Arial"/>
      <w:lang w:val="es-ES_tradnl"/>
    </w:rPr>
  </w:style>
  <w:style w:type="character" w:customStyle="1" w:styleId="DecisionParagraphsChar">
    <w:name w:val="DecisionParagraphs Char"/>
    <w:basedOn w:val="DefaultParagraphFont"/>
    <w:link w:val="DecisionParagraphs"/>
    <w:rsid w:val="003802CD"/>
    <w:rPr>
      <w:rFonts w:ascii="Arial" w:hAnsi="Arial"/>
      <w:i/>
    </w:rPr>
  </w:style>
  <w:style w:type="character" w:styleId="FollowedHyperlink">
    <w:name w:val="FollowedHyperlink"/>
    <w:basedOn w:val="DefaultParagraphFont"/>
    <w:rsid w:val="007870FE"/>
    <w:rPr>
      <w:color w:val="800080" w:themeColor="followedHyperlink"/>
      <w:u w:val="single"/>
    </w:rPr>
  </w:style>
  <w:style w:type="character" w:customStyle="1" w:styleId="Heading4Char">
    <w:name w:val="Heading 4 Char"/>
    <w:basedOn w:val="DefaultParagraphFont"/>
    <w:link w:val="Heading4"/>
    <w:rsid w:val="00A4296A"/>
    <w:rPr>
      <w:rFonts w:ascii="Arial" w:hAnsi="Arial"/>
      <w:i/>
      <w:lang w:val="fr-FR"/>
    </w:rPr>
  </w:style>
  <w:style w:type="character" w:customStyle="1" w:styleId="FooterChar">
    <w:name w:val="Footer Char"/>
    <w:aliases w:val="doc_path_name Char"/>
    <w:basedOn w:val="DefaultParagraphFont"/>
    <w:link w:val="Footer"/>
    <w:rsid w:val="00A4296A"/>
    <w:rPr>
      <w:rFonts w:ascii="Arial" w:hAnsi="Arial"/>
      <w:sz w:val="14"/>
    </w:rPr>
  </w:style>
  <w:style w:type="character" w:customStyle="1" w:styleId="FootnoteTextChar">
    <w:name w:val="Footnote Text Char"/>
    <w:basedOn w:val="DefaultParagraphFont"/>
    <w:link w:val="FootnoteText"/>
    <w:rsid w:val="00A4296A"/>
    <w:rPr>
      <w:rFonts w:ascii="Arial" w:hAnsi="Arial"/>
      <w:sz w:val="16"/>
    </w:rPr>
  </w:style>
  <w:style w:type="character" w:customStyle="1" w:styleId="EndnoteTextChar">
    <w:name w:val="Endnote Text Char"/>
    <w:basedOn w:val="DefaultParagraphFont"/>
    <w:link w:val="EndnoteText"/>
    <w:semiHidden/>
    <w:rsid w:val="00A4296A"/>
    <w:rPr>
      <w:rFonts w:ascii="Arial" w:hAnsi="Arial"/>
    </w:rPr>
  </w:style>
  <w:style w:type="paragraph" w:customStyle="1" w:styleId="Inf4Heading4">
    <w:name w:val="Inf_4_Heading_4"/>
    <w:basedOn w:val="Heading4"/>
    <w:next w:val="Normal"/>
    <w:rsid w:val="003B3F1D"/>
    <w:pPr>
      <w:spacing w:before="120"/>
      <w:ind w:left="0"/>
    </w:pPr>
    <w:rPr>
      <w:b/>
      <w:bCs/>
      <w:i w:val="0"/>
    </w:rPr>
  </w:style>
  <w:style w:type="paragraph" w:customStyle="1" w:styleId="Inf4Heading3">
    <w:name w:val="Inf_4_Heading_3"/>
    <w:basedOn w:val="Heading3"/>
    <w:rsid w:val="003B3F1D"/>
    <w:pPr>
      <w:spacing w:before="240"/>
    </w:pPr>
    <w:rPr>
      <w:b/>
      <w:bCs/>
      <w:i w:val="0"/>
    </w:rPr>
  </w:style>
  <w:style w:type="paragraph" w:customStyle="1" w:styleId="Inf4Heading6">
    <w:name w:val="Inf_4_Heading_6"/>
    <w:basedOn w:val="Normal"/>
    <w:rsid w:val="003B3F1D"/>
    <w:pPr>
      <w:keepNext/>
      <w:spacing w:before="108"/>
      <w:ind w:left="567"/>
      <w:outlineLvl w:val="5"/>
    </w:pPr>
    <w:rPr>
      <w:b/>
      <w:bCs/>
      <w:szCs w:val="24"/>
    </w:rPr>
  </w:style>
  <w:style w:type="paragraph" w:customStyle="1" w:styleId="Inf4Normal">
    <w:name w:val="Inf_4_Normal"/>
    <w:basedOn w:val="Normal"/>
    <w:rsid w:val="00A4296A"/>
    <w:pPr>
      <w:spacing w:before="108"/>
    </w:pPr>
  </w:style>
  <w:style w:type="paragraph" w:customStyle="1" w:styleId="Inf4Heading2">
    <w:name w:val="Inf_4_Heading_2"/>
    <w:basedOn w:val="Heading2"/>
    <w:rsid w:val="00A4296A"/>
    <w:pPr>
      <w:spacing w:before="360"/>
    </w:pPr>
    <w:rPr>
      <w:b/>
      <w:bCs/>
      <w:u w:val="none"/>
    </w:rPr>
  </w:style>
  <w:style w:type="paragraph" w:customStyle="1" w:styleId="Inf4Heading5">
    <w:name w:val="Inf_4_Heading_5"/>
    <w:basedOn w:val="Normal"/>
    <w:rsid w:val="003B3F1D"/>
    <w:pPr>
      <w:keepNext/>
      <w:spacing w:before="200"/>
      <w:ind w:left="567"/>
      <w:outlineLvl w:val="4"/>
    </w:pPr>
    <w:rPr>
      <w:b/>
      <w:bCs/>
      <w:snapToGrid w:val="0"/>
      <w:szCs w:val="24"/>
    </w:rPr>
  </w:style>
  <w:style w:type="paragraph" w:customStyle="1" w:styleId="Inf4Heading1">
    <w:name w:val="Inf_4_Heading_1"/>
    <w:basedOn w:val="Heading1"/>
    <w:rsid w:val="003B3F1D"/>
    <w:rPr>
      <w:b/>
      <w:bCs/>
    </w:rPr>
  </w:style>
  <w:style w:type="table" w:styleId="TableGrid">
    <w:name w:val="Table Grid"/>
    <w:basedOn w:val="TableNormal"/>
    <w:rsid w:val="002C627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6248"/>
    <w:pPr>
      <w:ind w:left="720"/>
      <w:contextualSpacing/>
    </w:pPr>
  </w:style>
  <w:style w:type="character" w:styleId="CommentReference">
    <w:name w:val="annotation reference"/>
    <w:basedOn w:val="DefaultParagraphFont"/>
    <w:rsid w:val="002A65EC"/>
    <w:rPr>
      <w:sz w:val="16"/>
      <w:szCs w:val="16"/>
    </w:rPr>
  </w:style>
  <w:style w:type="paragraph" w:styleId="CommentText">
    <w:name w:val="annotation text"/>
    <w:basedOn w:val="Normal"/>
    <w:link w:val="CommentTextChar"/>
    <w:rsid w:val="002A65EC"/>
  </w:style>
  <w:style w:type="character" w:customStyle="1" w:styleId="CommentTextChar">
    <w:name w:val="Comment Text Char"/>
    <w:basedOn w:val="DefaultParagraphFont"/>
    <w:link w:val="CommentText"/>
    <w:rsid w:val="002A65EC"/>
    <w:rPr>
      <w:rFonts w:ascii="Arial" w:hAnsi="Arial"/>
    </w:rPr>
  </w:style>
  <w:style w:type="paragraph" w:styleId="CommentSubject">
    <w:name w:val="annotation subject"/>
    <w:basedOn w:val="CommentText"/>
    <w:next w:val="CommentText"/>
    <w:link w:val="CommentSubjectChar"/>
    <w:rsid w:val="002A65EC"/>
    <w:rPr>
      <w:b/>
      <w:bCs/>
    </w:rPr>
  </w:style>
  <w:style w:type="character" w:customStyle="1" w:styleId="CommentSubjectChar">
    <w:name w:val="Comment Subject Char"/>
    <w:basedOn w:val="CommentTextChar"/>
    <w:link w:val="CommentSubject"/>
    <w:rsid w:val="002A65E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wipo.int/about-wipo/es/pdf/wipo_financial_regulations.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07917-809F-4B08-9337-5FDD40B31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3308</Words>
  <Characters>18859</Characters>
  <Application>Microsoft Office Word</Application>
  <DocSecurity>0</DocSecurity>
  <Lines>157</Lines>
  <Paragraphs>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C(Extr.)/32/4</vt:lpstr>
      <vt:lpstr>C(Extr.)/31 EN</vt:lpstr>
    </vt:vector>
  </TitlesOfParts>
  <Company>UPOV</Company>
  <LinksUpToDate>false</LinksUpToDate>
  <CharactersWithSpaces>22123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C(Extr.)/32/4</dc:title>
  <dc:creator>PASIEKA Allie</dc:creator>
  <dc:description>DG (trad. ext.) - 11/2/2015</dc:description>
  <cp:lastModifiedBy>BESSE Ariane</cp:lastModifiedBy>
  <cp:revision>8</cp:revision>
  <cp:lastPrinted>2015-02-19T17:38:00Z</cp:lastPrinted>
  <dcterms:created xsi:type="dcterms:W3CDTF">2015-02-19T08:20:00Z</dcterms:created>
  <dcterms:modified xsi:type="dcterms:W3CDTF">2015-02-19T17:38:00Z</dcterms:modified>
</cp:coreProperties>
</file>