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5101B9" w14:paraId="0CFD5B24" w14:textId="77777777" w:rsidTr="00EB4E9C">
        <w:tc>
          <w:tcPr>
            <w:tcW w:w="6522" w:type="dxa"/>
          </w:tcPr>
          <w:p w14:paraId="71684F62" w14:textId="77777777" w:rsidR="00DC3802" w:rsidRPr="005101B9" w:rsidRDefault="00132B6D" w:rsidP="00AC2883">
            <w:pPr>
              <w:rPr>
                <w:lang w:val="es-ES_tradnl"/>
              </w:rPr>
            </w:pPr>
            <w:r w:rsidRPr="005101B9">
              <w:rPr>
                <w:noProof/>
                <w:lang w:val="es-ES_tradnl"/>
              </w:rPr>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77777777" w:rsidR="00DC3802" w:rsidRPr="005101B9" w:rsidRDefault="00DC3802" w:rsidP="00AC2883">
            <w:pPr>
              <w:pStyle w:val="Lettrine"/>
              <w:rPr>
                <w:lang w:val="es-ES_tradnl"/>
              </w:rPr>
            </w:pPr>
            <w:r w:rsidRPr="005101B9">
              <w:rPr>
                <w:lang w:val="es-ES_tradnl"/>
              </w:rPr>
              <w:t>S</w:t>
            </w:r>
          </w:p>
        </w:tc>
      </w:tr>
      <w:tr w:rsidR="00DC3802" w:rsidRPr="005101B9" w14:paraId="12E07BED" w14:textId="77777777" w:rsidTr="00645CA8">
        <w:trPr>
          <w:trHeight w:val="219"/>
        </w:trPr>
        <w:tc>
          <w:tcPr>
            <w:tcW w:w="6522" w:type="dxa"/>
          </w:tcPr>
          <w:p w14:paraId="6E9E247B" w14:textId="77777777" w:rsidR="00DC3802" w:rsidRPr="005101B9" w:rsidRDefault="00DC3802" w:rsidP="00AC2883">
            <w:pPr>
              <w:pStyle w:val="upove"/>
              <w:rPr>
                <w:lang w:val="es-ES_tradnl"/>
              </w:rPr>
            </w:pPr>
            <w:r w:rsidRPr="005101B9">
              <w:rPr>
                <w:lang w:val="es-ES_tradnl"/>
              </w:rPr>
              <w:t>Unión Internacional para la Protección de las Obtenciones Vegetales</w:t>
            </w:r>
          </w:p>
        </w:tc>
        <w:tc>
          <w:tcPr>
            <w:tcW w:w="3117" w:type="dxa"/>
          </w:tcPr>
          <w:p w14:paraId="43EA698F" w14:textId="77777777" w:rsidR="00DC3802" w:rsidRPr="005101B9" w:rsidRDefault="00DC3802" w:rsidP="00DA4973">
            <w:pPr>
              <w:rPr>
                <w:lang w:val="es-ES_tradnl"/>
              </w:rPr>
            </w:pPr>
          </w:p>
        </w:tc>
      </w:tr>
    </w:tbl>
    <w:p w14:paraId="48FEF8EE" w14:textId="77777777" w:rsidR="00DC3802" w:rsidRPr="005101B9" w:rsidRDefault="00DC3802" w:rsidP="00DC3802">
      <w:pPr>
        <w:rPr>
          <w:lang w:val="es-ES_tradnl"/>
        </w:rPr>
      </w:pPr>
    </w:p>
    <w:p w14:paraId="78A0A763" w14:textId="77777777" w:rsidR="00C437A3" w:rsidRPr="005101B9" w:rsidRDefault="00C437A3" w:rsidP="00C437A3">
      <w:pPr>
        <w:rPr>
          <w:lang w:val="es-ES_tradnl"/>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5101B9" w14:paraId="49170065" w14:textId="77777777" w:rsidTr="004226CC">
        <w:tc>
          <w:tcPr>
            <w:tcW w:w="6512" w:type="dxa"/>
          </w:tcPr>
          <w:p w14:paraId="46427481" w14:textId="77777777" w:rsidR="00132E06" w:rsidRPr="005101B9" w:rsidRDefault="00132E06" w:rsidP="00132E06">
            <w:pPr>
              <w:pStyle w:val="Sessiontwp"/>
              <w:rPr>
                <w:lang w:val="es-ES_tradnl"/>
              </w:rPr>
            </w:pPr>
            <w:r w:rsidRPr="005101B9">
              <w:rPr>
                <w:lang w:val="es-ES_tradnl"/>
              </w:rPr>
              <w:t>Comité Técnico</w:t>
            </w:r>
          </w:p>
          <w:p w14:paraId="7E7C564C" w14:textId="77777777" w:rsidR="004B2442" w:rsidRPr="005101B9" w:rsidRDefault="004B2442" w:rsidP="004B2442">
            <w:pPr>
              <w:pStyle w:val="Sessiontwpplacedate"/>
              <w:rPr>
                <w:lang w:val="es-ES_tradnl"/>
              </w:rPr>
            </w:pPr>
            <w:r w:rsidRPr="005101B9">
              <w:rPr>
                <w:lang w:val="es-ES_tradnl"/>
              </w:rPr>
              <w:t>Sexagésima segunda sesión</w:t>
            </w:r>
          </w:p>
          <w:p w14:paraId="03078EDC" w14:textId="77777777" w:rsidR="00A27ECF" w:rsidRPr="005101B9" w:rsidRDefault="004B2442" w:rsidP="004B2442">
            <w:pPr>
              <w:rPr>
                <w:lang w:val="es-ES_tradnl"/>
              </w:rPr>
            </w:pPr>
            <w:r w:rsidRPr="005101B9">
              <w:rPr>
                <w:lang w:val="es-ES_tradnl"/>
              </w:rPr>
              <w:t>Ginebra, 19 y 20 de octubre de 2026</w:t>
            </w:r>
          </w:p>
          <w:p w14:paraId="54003B1A" w14:textId="77777777" w:rsidR="00132E06" w:rsidRPr="005101B9" w:rsidRDefault="00132E06" w:rsidP="00132E06">
            <w:pPr>
              <w:rPr>
                <w:lang w:val="es-ES_tradnl"/>
              </w:rPr>
            </w:pPr>
          </w:p>
          <w:p w14:paraId="27E84298" w14:textId="77777777" w:rsidR="00132E06" w:rsidRPr="005101B9" w:rsidRDefault="00132E06" w:rsidP="00132E06">
            <w:pPr>
              <w:pStyle w:val="Sessiontwp"/>
              <w:rPr>
                <w:lang w:val="es-ES_tradnl"/>
              </w:rPr>
            </w:pPr>
            <w:r w:rsidRPr="005101B9">
              <w:rPr>
                <w:lang w:val="es-ES_tradnl"/>
              </w:rPr>
              <w:t>Comité Administrativo y Jurídico</w:t>
            </w:r>
          </w:p>
          <w:p w14:paraId="144F8C26" w14:textId="77777777" w:rsidR="004B2442" w:rsidRPr="005101B9" w:rsidRDefault="004B2442" w:rsidP="004B2442">
            <w:pPr>
              <w:pStyle w:val="Sessiontwp"/>
              <w:rPr>
                <w:b w:val="0"/>
                <w:lang w:val="es-ES_tradnl"/>
              </w:rPr>
            </w:pPr>
            <w:r w:rsidRPr="005101B9">
              <w:rPr>
                <w:b w:val="0"/>
                <w:lang w:val="es-ES_tradnl"/>
              </w:rPr>
              <w:t>Octogésima tercera sesión</w:t>
            </w:r>
          </w:p>
          <w:p w14:paraId="4AC059DB" w14:textId="77777777" w:rsidR="00A85F2F" w:rsidRPr="005101B9" w:rsidRDefault="004B2442" w:rsidP="004B2442">
            <w:pPr>
              <w:pStyle w:val="Sessiontwpplacedate"/>
              <w:rPr>
                <w:lang w:val="es-ES_tradnl"/>
              </w:rPr>
            </w:pPr>
            <w:r w:rsidRPr="005101B9">
              <w:rPr>
                <w:lang w:val="es-ES_tradnl"/>
              </w:rPr>
              <w:t>Ginebra, 21 de octubre de 2026</w:t>
            </w:r>
          </w:p>
          <w:p w14:paraId="50440E69" w14:textId="77777777" w:rsidR="00C437A3" w:rsidRPr="005101B9" w:rsidRDefault="00C437A3" w:rsidP="004226CC">
            <w:pPr>
              <w:rPr>
                <w:lang w:val="es-ES_tradnl"/>
              </w:rPr>
            </w:pPr>
          </w:p>
          <w:p w14:paraId="5DE9A28B" w14:textId="77777777" w:rsidR="00132E06" w:rsidRPr="005101B9" w:rsidRDefault="00132E06" w:rsidP="00132E06">
            <w:pPr>
              <w:pStyle w:val="Sessiontwp"/>
              <w:rPr>
                <w:lang w:val="es-ES_tradnl"/>
              </w:rPr>
            </w:pPr>
            <w:r w:rsidRPr="005101B9">
              <w:rPr>
                <w:lang w:val="es-ES_tradnl"/>
              </w:rPr>
              <w:t>Consejo</w:t>
            </w:r>
          </w:p>
          <w:p w14:paraId="670D8483" w14:textId="77777777" w:rsidR="004B2442" w:rsidRPr="005101B9" w:rsidRDefault="004B2442" w:rsidP="004B2442">
            <w:pPr>
              <w:pStyle w:val="Sessiontwp"/>
              <w:rPr>
                <w:b w:val="0"/>
                <w:lang w:val="es-ES_tradnl"/>
              </w:rPr>
            </w:pPr>
            <w:r w:rsidRPr="005101B9">
              <w:rPr>
                <w:b w:val="0"/>
                <w:lang w:val="es-ES_tradnl"/>
              </w:rPr>
              <w:t>Sexagésima sesión ordinaria</w:t>
            </w:r>
          </w:p>
          <w:p w14:paraId="0CA18383" w14:textId="77777777" w:rsidR="00C437A3" w:rsidRPr="005101B9" w:rsidRDefault="004B2442" w:rsidP="004B2442">
            <w:pPr>
              <w:rPr>
                <w:lang w:val="es-ES_tradnl"/>
              </w:rPr>
            </w:pPr>
            <w:r w:rsidRPr="005101B9">
              <w:rPr>
                <w:lang w:val="es-ES_tradnl"/>
              </w:rPr>
              <w:t>Ginebra, 23 de octubre de 2026</w:t>
            </w:r>
          </w:p>
        </w:tc>
        <w:tc>
          <w:tcPr>
            <w:tcW w:w="3127" w:type="dxa"/>
          </w:tcPr>
          <w:p w14:paraId="3E875D74" w14:textId="77777777" w:rsidR="00F43C84" w:rsidRPr="005101B9" w:rsidRDefault="003A4E92">
            <w:pPr>
              <w:pStyle w:val="Doccode"/>
              <w:rPr>
                <w:lang w:val="es-ES_tradnl"/>
              </w:rPr>
            </w:pPr>
            <w:r w:rsidRPr="005101B9">
              <w:rPr>
                <w:lang w:val="es-ES_tradnl"/>
              </w:rPr>
              <w:t>SESSIONS/2026/2</w:t>
            </w:r>
            <w:r w:rsidR="007C1BE7" w:rsidRPr="005101B9">
              <w:rPr>
                <w:lang w:val="es-ES_tradnl"/>
              </w:rPr>
              <w:t xml:space="preserve"> Rev.</w:t>
            </w:r>
          </w:p>
          <w:p w14:paraId="2AA21AF1" w14:textId="27A2CA12" w:rsidR="00C437A3" w:rsidRPr="005101B9" w:rsidRDefault="00C437A3" w:rsidP="004226CC">
            <w:pPr>
              <w:pStyle w:val="Docoriginal"/>
              <w:rPr>
                <w:lang w:val="es-ES_tradnl"/>
              </w:rPr>
            </w:pPr>
            <w:r w:rsidRPr="005101B9">
              <w:rPr>
                <w:lang w:val="es-ES_tradnl"/>
              </w:rPr>
              <w:t>Original:</w:t>
            </w:r>
            <w:r w:rsidR="00EC74D1" w:rsidRPr="005101B9">
              <w:rPr>
                <w:b w:val="0"/>
                <w:lang w:val="es-ES_tradnl"/>
              </w:rPr>
              <w:t xml:space="preserve"> </w:t>
            </w:r>
            <w:r w:rsidR="009E00C2" w:rsidRPr="005101B9">
              <w:rPr>
                <w:b w:val="0"/>
                <w:spacing w:val="0"/>
                <w:lang w:val="es-ES_tradnl"/>
              </w:rPr>
              <w:t>Inglés</w:t>
            </w:r>
          </w:p>
          <w:p w14:paraId="27F04F17" w14:textId="429FE83B" w:rsidR="00C437A3" w:rsidRPr="005101B9" w:rsidRDefault="003A4E92" w:rsidP="00B459A1">
            <w:pPr>
              <w:pStyle w:val="Docoriginal"/>
              <w:rPr>
                <w:lang w:val="es-ES_tradnl"/>
              </w:rPr>
            </w:pPr>
            <w:r w:rsidRPr="005101B9">
              <w:rPr>
                <w:lang w:val="es-ES_tradnl"/>
              </w:rPr>
              <w:t>Fecha:</w:t>
            </w:r>
            <w:r w:rsidRPr="005101B9">
              <w:rPr>
                <w:b w:val="0"/>
                <w:lang w:val="es-ES_tradnl"/>
              </w:rPr>
              <w:t xml:space="preserve"> </w:t>
            </w:r>
            <w:r w:rsidR="00B459A1" w:rsidRPr="005101B9">
              <w:rPr>
                <w:b w:val="0"/>
                <w:bCs w:val="0"/>
                <w:spacing w:val="0"/>
                <w:lang w:val="es-ES_tradnl"/>
              </w:rPr>
              <w:t>28</w:t>
            </w:r>
            <w:r w:rsidRPr="005101B9">
              <w:rPr>
                <w:b w:val="0"/>
                <w:spacing w:val="0"/>
                <w:lang w:val="es-ES_tradnl"/>
              </w:rPr>
              <w:t xml:space="preserve"> de </w:t>
            </w:r>
            <w:r w:rsidR="00B459A1" w:rsidRPr="005101B9">
              <w:rPr>
                <w:b w:val="0"/>
                <w:bCs w:val="0"/>
                <w:spacing w:val="0"/>
                <w:lang w:val="es-ES_tradnl"/>
              </w:rPr>
              <w:t>septiembre</w:t>
            </w:r>
            <w:r w:rsidRPr="005101B9">
              <w:rPr>
                <w:b w:val="0"/>
                <w:spacing w:val="0"/>
                <w:lang w:val="es-ES_tradnl"/>
              </w:rPr>
              <w:t xml:space="preserve"> de 2026</w:t>
            </w:r>
          </w:p>
        </w:tc>
      </w:tr>
    </w:tbl>
    <w:p w14:paraId="1276F0C5" w14:textId="47C1EB51" w:rsidR="00C437A3" w:rsidRPr="005101B9" w:rsidRDefault="002E6B9B" w:rsidP="00C437A3">
      <w:pPr>
        <w:pStyle w:val="Titleofdoc0"/>
        <w:rPr>
          <w:lang w:val="es-ES_tradnl"/>
        </w:rPr>
      </w:pPr>
      <w:r w:rsidRPr="005101B9">
        <w:rPr>
          <w:lang w:val="es-ES_tradnl"/>
        </w:rPr>
        <w:t>Elaboración de orientaciones y documentos propuestos para su aprobación por el Consejo</w:t>
      </w:r>
    </w:p>
    <w:p w14:paraId="77FF7361" w14:textId="77777777" w:rsidR="00C437A3" w:rsidRPr="005101B9" w:rsidRDefault="00C437A3" w:rsidP="00C437A3">
      <w:pPr>
        <w:pStyle w:val="preparedby1"/>
        <w:rPr>
          <w:lang w:val="es-ES_tradnl"/>
        </w:rPr>
      </w:pPr>
      <w:bookmarkStart w:id="0" w:name="Prepared"/>
      <w:bookmarkEnd w:id="0"/>
      <w:r w:rsidRPr="005101B9">
        <w:rPr>
          <w:lang w:val="es-ES_tradnl"/>
        </w:rPr>
        <w:t>Documento preparado por la Oficina de la Unión</w:t>
      </w:r>
    </w:p>
    <w:p w14:paraId="1DFA4AD3" w14:textId="4B6BFA98" w:rsidR="00C437A3" w:rsidRPr="005101B9" w:rsidRDefault="00C437A3" w:rsidP="00C437A3">
      <w:pPr>
        <w:pStyle w:val="Disclaimer"/>
        <w:rPr>
          <w:lang w:val="es-ES_tradnl"/>
        </w:rPr>
      </w:pPr>
      <w:r w:rsidRPr="005101B9">
        <w:rPr>
          <w:lang w:val="es-ES_tradnl"/>
        </w:rPr>
        <w:t>Descargo de responsabilidad:</w:t>
      </w:r>
      <w:r w:rsidR="00EC74D1" w:rsidRPr="005101B9">
        <w:rPr>
          <w:lang w:val="es-ES_tradnl"/>
        </w:rPr>
        <w:t xml:space="preserve"> </w:t>
      </w:r>
      <w:r w:rsidRPr="005101B9">
        <w:rPr>
          <w:lang w:val="es-ES_tradnl"/>
        </w:rPr>
        <w:t>el presente documento no constituye un documento de política u orientación de la UPOV</w:t>
      </w:r>
    </w:p>
    <w:p w14:paraId="1E452156" w14:textId="77777777" w:rsidR="00F43C84" w:rsidRPr="005101B9" w:rsidRDefault="00F43C84" w:rsidP="00F43C84">
      <w:pPr>
        <w:keepNext/>
        <w:outlineLvl w:val="0"/>
        <w:rPr>
          <w:caps/>
          <w:snapToGrid w:val="0"/>
          <w:lang w:val="es-ES_tradnl"/>
        </w:rPr>
      </w:pPr>
      <w:bookmarkStart w:id="1" w:name="_Toc131182452"/>
      <w:bookmarkStart w:id="2" w:name="_Toc242263271"/>
      <w:r w:rsidRPr="005101B9">
        <w:rPr>
          <w:caps/>
          <w:snapToGrid w:val="0"/>
          <w:lang w:val="es-ES_tradnl"/>
        </w:rPr>
        <w:t>RESUMEN</w:t>
      </w:r>
      <w:bookmarkEnd w:id="1"/>
      <w:bookmarkEnd w:id="2"/>
    </w:p>
    <w:p w14:paraId="5D1C99DC" w14:textId="77777777" w:rsidR="00F43C84" w:rsidRPr="005101B9" w:rsidRDefault="00F43C84" w:rsidP="00F43C84">
      <w:pPr>
        <w:rPr>
          <w:lang w:val="es-ES_tradnl"/>
        </w:rPr>
      </w:pPr>
    </w:p>
    <w:p w14:paraId="2D4780EA" w14:textId="0B29B179" w:rsidR="00F43C84" w:rsidRPr="005101B9" w:rsidRDefault="00102B73" w:rsidP="00F43C84">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00812AFE" w:rsidRPr="005101B9">
        <w:rPr>
          <w:lang w:val="es-ES_tradnl"/>
        </w:rPr>
        <w:tab/>
      </w:r>
      <w:r w:rsidRPr="005101B9">
        <w:rPr>
          <w:lang w:val="es-ES_tradnl"/>
        </w:rPr>
        <w:t>El presente documento tiene por finalidad ofrecer un panorama general de la elaboración de las orientaciones y el material de información de la UPOV, incluidos los documentos propuestos para su aprobación por el Consejo.</w:t>
      </w:r>
    </w:p>
    <w:p w14:paraId="2B294B61" w14:textId="77777777" w:rsidR="00F43C84" w:rsidRPr="005101B9" w:rsidRDefault="00F43C84" w:rsidP="00F43C84">
      <w:pPr>
        <w:rPr>
          <w:lang w:val="es-ES_tradnl"/>
        </w:rPr>
      </w:pPr>
    </w:p>
    <w:p w14:paraId="63E8F395" w14:textId="148BD1D7" w:rsidR="00366A4A" w:rsidRPr="005101B9" w:rsidRDefault="006540EE" w:rsidP="00366A4A">
      <w:pPr>
        <w:keepNext/>
        <w:keepLines/>
        <w:rPr>
          <w:lang w:val="es-ES_tradnl"/>
        </w:rPr>
      </w:pPr>
      <w:r w:rsidRPr="005101B9">
        <w:rPr>
          <w:rFonts w:eastAsia="MS Mincho"/>
          <w:lang w:val="es-ES_tradnl"/>
        </w:rPr>
        <w:fldChar w:fldCharType="begin"/>
      </w:r>
      <w:r w:rsidRPr="005101B9">
        <w:rPr>
          <w:rFonts w:eastAsia="MS Mincho"/>
          <w:lang w:val="es-ES_tradnl"/>
        </w:rPr>
        <w:instrText xml:space="preserve"> AUTONUM  </w:instrText>
      </w:r>
      <w:r w:rsidRPr="005101B9">
        <w:rPr>
          <w:rFonts w:eastAsia="MS Mincho"/>
          <w:lang w:val="es-ES_tradnl"/>
        </w:rPr>
        <w:fldChar w:fldCharType="end"/>
      </w:r>
      <w:r w:rsidRPr="005101B9">
        <w:rPr>
          <w:lang w:val="es-ES_tradnl"/>
        </w:rPr>
        <w:tab/>
        <w:t>Se propone la revisión del documento UPOV/INF/13 “Orientación sobre cómo ser miembro de la</w:t>
      </w:r>
      <w:r w:rsidR="007228BF" w:rsidRPr="005101B9">
        <w:rPr>
          <w:lang w:val="es-ES_tradnl"/>
        </w:rPr>
        <w:t> </w:t>
      </w:r>
      <w:r w:rsidRPr="005101B9">
        <w:rPr>
          <w:lang w:val="es-ES_tradnl"/>
        </w:rPr>
        <w:t>UPOV”</w:t>
      </w:r>
      <w:r w:rsidR="009E0126" w:rsidRPr="005101B9">
        <w:rPr>
          <w:lang w:val="es-ES_tradnl"/>
        </w:rPr>
        <w:t>, sección B “</w:t>
      </w:r>
      <w:r w:rsidR="004316C4" w:rsidRPr="005101B9">
        <w:rPr>
          <w:lang w:val="es-ES_tradnl"/>
        </w:rPr>
        <w:t>Opinión del Consejo”,</w:t>
      </w:r>
      <w:r w:rsidRPr="005101B9">
        <w:rPr>
          <w:lang w:val="es-ES_tradnl"/>
        </w:rPr>
        <w:t xml:space="preserve"> como parte de las medidas destinadas a aumentar la eficiencia y la efectividad de las sesiones de la UPOV</w:t>
      </w:r>
      <w:r w:rsidR="007B7C4D" w:rsidRPr="005101B9">
        <w:rPr>
          <w:lang w:val="es-ES_tradnl"/>
        </w:rPr>
        <w:t xml:space="preserve">. </w:t>
      </w:r>
      <w:r w:rsidR="007228BF" w:rsidRPr="005101B9">
        <w:rPr>
          <w:lang w:val="es-ES_tradnl"/>
        </w:rPr>
        <w:t xml:space="preserve"> </w:t>
      </w:r>
      <w:r w:rsidRPr="005101B9">
        <w:rPr>
          <w:lang w:val="es-ES_tradnl"/>
        </w:rPr>
        <w:t xml:space="preserve">La revisión </w:t>
      </w:r>
      <w:r w:rsidR="00A27724" w:rsidRPr="005101B9">
        <w:rPr>
          <w:lang w:val="es-ES_tradnl"/>
        </w:rPr>
        <w:t xml:space="preserve">propuesta </w:t>
      </w:r>
      <w:r w:rsidRPr="005101B9">
        <w:rPr>
          <w:lang w:val="es-ES_tradnl"/>
        </w:rPr>
        <w:t>para su aprobación por el Consejo tiene por objeto agilizar el proceso tras la emisión de una opinión favorable del Consejo sobre la conformidad de una</w:t>
      </w:r>
      <w:r w:rsidR="007228BF" w:rsidRPr="005101B9">
        <w:rPr>
          <w:lang w:val="es-ES_tradnl"/>
        </w:rPr>
        <w:t> </w:t>
      </w:r>
      <w:r w:rsidRPr="005101B9">
        <w:rPr>
          <w:lang w:val="es-ES_tradnl"/>
        </w:rPr>
        <w:t>ley o un proyecto de ley con las disposiciones del Convenio de la UPOV</w:t>
      </w:r>
      <w:r w:rsidR="007B7C4D" w:rsidRPr="005101B9">
        <w:rPr>
          <w:lang w:val="es-ES_tradnl"/>
        </w:rPr>
        <w:t xml:space="preserve">. </w:t>
      </w:r>
      <w:r w:rsidRPr="005101B9">
        <w:rPr>
          <w:lang w:val="es-ES_tradnl"/>
        </w:rPr>
        <w:t>La propuesta que figura en el párrafo</w:t>
      </w:r>
      <w:r w:rsidR="007228BF" w:rsidRPr="005101B9">
        <w:rPr>
          <w:lang w:val="es-ES_tradnl"/>
        </w:rPr>
        <w:t> </w:t>
      </w:r>
      <w:r w:rsidRPr="005101B9">
        <w:rPr>
          <w:lang w:val="es-ES_tradnl"/>
        </w:rPr>
        <w:t>16 del presente documento dejaría claro que las modificaciones de carácter meramente editorial que no alteren el fondo de la ley no requerirían una nueva evaluación por parte del Consejo.</w:t>
      </w:r>
      <w:r w:rsidR="004316C4" w:rsidRPr="005101B9">
        <w:rPr>
          <w:lang w:val="es-ES_tradnl"/>
        </w:rPr>
        <w:t xml:space="preserve">  Se propone también la</w:t>
      </w:r>
      <w:r w:rsidR="00477453" w:rsidRPr="005101B9">
        <w:rPr>
          <w:lang w:val="es-ES_tradnl"/>
        </w:rPr>
        <w:t> </w:t>
      </w:r>
      <w:r w:rsidR="004316C4" w:rsidRPr="005101B9">
        <w:rPr>
          <w:lang w:val="es-ES_tradnl"/>
        </w:rPr>
        <w:t>revisión de la sección E “Notificación del representante del Consejo y de su suplente”</w:t>
      </w:r>
      <w:r w:rsidR="0011442C" w:rsidRPr="005101B9">
        <w:rPr>
          <w:lang w:val="es-ES_tradnl"/>
        </w:rPr>
        <w:t xml:space="preserve"> a fin de reflejar la supresión de la zona restringida del sitio web de la UPOV y del documento UPOV/INF/20 </w:t>
      </w:r>
      <w:r w:rsidR="004C35A0" w:rsidRPr="005101B9">
        <w:rPr>
          <w:lang w:val="es-ES_tradnl"/>
        </w:rPr>
        <w:t>“Reglas</w:t>
      </w:r>
      <w:r w:rsidR="0011442C" w:rsidRPr="005101B9">
        <w:rPr>
          <w:lang w:val="es-ES_tradnl"/>
        </w:rPr>
        <w:t xml:space="preserve"> que rigen el acceso a los documentos de la UPOV</w:t>
      </w:r>
      <w:r w:rsidR="00477453" w:rsidRPr="005101B9">
        <w:rPr>
          <w:lang w:val="es-ES_tradnl"/>
        </w:rPr>
        <w:t>”</w:t>
      </w:r>
      <w:r w:rsidR="0011442C" w:rsidRPr="005101B9">
        <w:rPr>
          <w:lang w:val="es-ES_tradnl"/>
        </w:rPr>
        <w:t xml:space="preserve"> en 2024</w:t>
      </w:r>
      <w:r w:rsidR="00477453" w:rsidRPr="005101B9">
        <w:rPr>
          <w:lang w:val="es-ES_tradnl"/>
        </w:rPr>
        <w:t>.</w:t>
      </w:r>
    </w:p>
    <w:p w14:paraId="05825A9E" w14:textId="77777777" w:rsidR="00AE708E" w:rsidRPr="005101B9" w:rsidRDefault="00AE708E" w:rsidP="00F43C84">
      <w:pPr>
        <w:rPr>
          <w:lang w:val="es-ES_tradnl"/>
        </w:rPr>
      </w:pPr>
    </w:p>
    <w:p w14:paraId="6CB96480" w14:textId="4AC43DCB" w:rsidR="0098177F" w:rsidRPr="005101B9" w:rsidRDefault="001B1604" w:rsidP="00F43C84">
      <w:pPr>
        <w:rPr>
          <w:lang w:val="es-ES_tradnl"/>
        </w:rPr>
      </w:pPr>
      <w:r w:rsidRPr="005101B9">
        <w:rPr>
          <w:rFonts w:eastAsia="MS Mincho"/>
          <w:lang w:val="es-ES_tradnl"/>
        </w:rPr>
        <w:fldChar w:fldCharType="begin"/>
      </w:r>
      <w:r w:rsidRPr="005101B9">
        <w:rPr>
          <w:rFonts w:eastAsia="MS Mincho"/>
          <w:lang w:val="es-ES_tradnl"/>
        </w:rPr>
        <w:instrText xml:space="preserve"> AUTONUM  </w:instrText>
      </w:r>
      <w:r w:rsidRPr="005101B9">
        <w:rPr>
          <w:rFonts w:eastAsia="MS Mincho"/>
          <w:lang w:val="es-ES_tradnl"/>
        </w:rPr>
        <w:fldChar w:fldCharType="end"/>
      </w:r>
      <w:r w:rsidRPr="005101B9">
        <w:rPr>
          <w:lang w:val="es-ES_tradnl"/>
        </w:rPr>
        <w:tab/>
        <w:t>Se propone asimismo la revisión de los documentos UPOV/INF/16 “Programas informáticos para intercambio” y UPOV/INF/22 “Programas informáticos y equipos utilizados por los miembros de la Unión” como parte de las medidas destinadas a aumentar la eficiencia y la efectividad de las sesiones de la UPOV</w:t>
      </w:r>
      <w:r w:rsidR="007B7C4D" w:rsidRPr="005101B9">
        <w:rPr>
          <w:lang w:val="es-ES_tradnl"/>
        </w:rPr>
        <w:t xml:space="preserve">. </w:t>
      </w:r>
      <w:r w:rsidRPr="005101B9">
        <w:rPr>
          <w:lang w:val="es-ES_tradnl"/>
        </w:rPr>
        <w:t xml:space="preserve">La inclusión periódica de la información facilitada por los miembros de la UPOV sobre </w:t>
      </w:r>
      <w:r w:rsidR="00802C26" w:rsidRPr="005101B9">
        <w:rPr>
          <w:lang w:val="es-ES_tradnl"/>
        </w:rPr>
        <w:t xml:space="preserve">los </w:t>
      </w:r>
      <w:r w:rsidR="001D595F" w:rsidRPr="005101B9">
        <w:rPr>
          <w:lang w:val="es-ES_tradnl"/>
        </w:rPr>
        <w:t xml:space="preserve">programas informáticos </w:t>
      </w:r>
      <w:r w:rsidRPr="005101B9">
        <w:rPr>
          <w:lang w:val="es-ES_tradnl"/>
        </w:rPr>
        <w:t>y los equipos utilizados con fines de protección de las obtenciones vegetales requiere actualmente una decisión formal del Consejo</w:t>
      </w:r>
      <w:r w:rsidR="007B7C4D" w:rsidRPr="005101B9">
        <w:rPr>
          <w:lang w:val="es-ES_tradnl"/>
        </w:rPr>
        <w:t xml:space="preserve">. </w:t>
      </w:r>
      <w:r w:rsidRPr="005101B9">
        <w:rPr>
          <w:lang w:val="es-ES_tradnl"/>
        </w:rPr>
        <w:t xml:space="preserve">Las propuestas que figuran en el presente documento permitirían al Comité Técnico hacer una recomendación sobre la inclusión de </w:t>
      </w:r>
      <w:r w:rsidR="00802C26" w:rsidRPr="005101B9">
        <w:rPr>
          <w:lang w:val="es-ES_tradnl"/>
        </w:rPr>
        <w:t xml:space="preserve">programas informáticos </w:t>
      </w:r>
      <w:r w:rsidRPr="005101B9">
        <w:rPr>
          <w:lang w:val="es-ES_tradnl"/>
        </w:rPr>
        <w:t>y equipos en dichos documentos.</w:t>
      </w:r>
    </w:p>
    <w:p w14:paraId="392C12CB" w14:textId="77777777" w:rsidR="0098177F" w:rsidRPr="005101B9" w:rsidRDefault="0098177F" w:rsidP="00F43C84">
      <w:pPr>
        <w:rPr>
          <w:lang w:val="es-ES_tradnl"/>
        </w:rPr>
      </w:pPr>
    </w:p>
    <w:p w14:paraId="75EE7A9C" w14:textId="6D6CD2A0" w:rsidR="00314FBA" w:rsidRPr="005101B9" w:rsidRDefault="0052623A">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Se propone revisar el document</w:t>
      </w:r>
      <w:r w:rsidR="000731BE" w:rsidRPr="005101B9">
        <w:rPr>
          <w:lang w:val="es-ES_tradnl"/>
        </w:rPr>
        <w:t>o</w:t>
      </w:r>
      <w:r w:rsidRPr="005101B9">
        <w:rPr>
          <w:lang w:val="es-ES_tradnl"/>
        </w:rPr>
        <w:t xml:space="preserve"> TGP/5 “Experiencia y cooperación en el examen DHE”, sección 11 “Ejemplos de políticas y contratos sobre el material presentado por el obtentor” a fin de sustituir el ejemplo proporcionado por la Unión Europea “Política de la OCVV sobre la situación del material vegetal presentado a efectos del examen DHE” </w:t>
      </w:r>
      <w:r w:rsidR="003668C2" w:rsidRPr="005101B9">
        <w:rPr>
          <w:lang w:val="es-ES_tradnl"/>
        </w:rPr>
        <w:t>por</w:t>
      </w:r>
      <w:r w:rsidRPr="005101B9">
        <w:rPr>
          <w:lang w:val="es-ES_tradnl"/>
        </w:rPr>
        <w:t xml:space="preserve"> una versión actualizada de ese documento</w:t>
      </w:r>
      <w:r w:rsidR="007B7C4D" w:rsidRPr="005101B9">
        <w:rPr>
          <w:lang w:val="es-ES_tradnl"/>
        </w:rPr>
        <w:t xml:space="preserve">. </w:t>
      </w:r>
      <w:r w:rsidR="007228BF" w:rsidRPr="005101B9">
        <w:rPr>
          <w:lang w:val="es-ES_tradnl"/>
        </w:rPr>
        <w:t xml:space="preserve"> </w:t>
      </w:r>
      <w:r w:rsidRPr="005101B9">
        <w:rPr>
          <w:lang w:val="es-ES_tradnl"/>
        </w:rPr>
        <w:t>La versión actualizada se facilitó a petición del Comité Técnico, para que los miembros de la UPOV informaran sobre sus políticas destinadas a garantizar la confidencialidad de la información molecular</w:t>
      </w:r>
      <w:r w:rsidR="007B7C4D" w:rsidRPr="005101B9">
        <w:rPr>
          <w:lang w:val="es-ES_tradnl"/>
        </w:rPr>
        <w:t xml:space="preserve">. </w:t>
      </w:r>
      <w:r w:rsidR="007228BF" w:rsidRPr="005101B9">
        <w:rPr>
          <w:lang w:val="es-ES_tradnl"/>
        </w:rPr>
        <w:t xml:space="preserve"> </w:t>
      </w:r>
      <w:r w:rsidRPr="005101B9">
        <w:rPr>
          <w:lang w:val="es-ES_tradnl"/>
        </w:rPr>
        <w:t>La versión actualizada figura en el documento TGP/5, sección 11/2</w:t>
      </w:r>
      <w:r w:rsidR="00BF3427" w:rsidRPr="005101B9">
        <w:rPr>
          <w:lang w:val="es-ES_tradnl"/>
        </w:rPr>
        <w:t> Draft </w:t>
      </w:r>
      <w:r w:rsidRPr="005101B9">
        <w:rPr>
          <w:lang w:val="es-ES_tradnl"/>
        </w:rPr>
        <w:t>1.</w:t>
      </w:r>
    </w:p>
    <w:p w14:paraId="669DA762" w14:textId="77777777" w:rsidR="00314FBA" w:rsidRPr="005101B9" w:rsidRDefault="00314FBA">
      <w:pPr>
        <w:rPr>
          <w:lang w:val="es-ES_tradnl"/>
        </w:rPr>
      </w:pPr>
    </w:p>
    <w:p w14:paraId="7BF5D8F5" w14:textId="0A1DF7E9" w:rsidR="00A87DEC" w:rsidRPr="005101B9" w:rsidRDefault="002B4543" w:rsidP="007228BF">
      <w:pPr>
        <w:keepLines/>
        <w:rPr>
          <w:lang w:val="es-ES_tradnl"/>
        </w:rPr>
      </w:pPr>
      <w:r w:rsidRPr="005101B9">
        <w:rPr>
          <w:lang w:val="es-ES_tradnl"/>
        </w:rPr>
        <w:lastRenderedPageBreak/>
        <w:fldChar w:fldCharType="begin"/>
      </w:r>
      <w:r w:rsidRPr="005101B9">
        <w:rPr>
          <w:lang w:val="es-ES_tradnl"/>
        </w:rPr>
        <w:instrText xml:space="preserve"> AUTONUM  </w:instrText>
      </w:r>
      <w:r w:rsidRPr="005101B9">
        <w:rPr>
          <w:lang w:val="es-ES_tradnl"/>
        </w:rPr>
        <w:fldChar w:fldCharType="end"/>
      </w:r>
      <w:r w:rsidRPr="005101B9">
        <w:rPr>
          <w:lang w:val="es-ES_tradnl"/>
        </w:rPr>
        <w:tab/>
        <w:t>Se propone actualizar el documento TGP/7 “Elaboración de las directrices de examen” a raíz de los debates sobre la redacción estándar utilizada en las directrices de examen para armonizar el número de ciclos de cultivo que han de realizarse para el examen de las variedades</w:t>
      </w:r>
      <w:r w:rsidR="007B7C4D" w:rsidRPr="005101B9">
        <w:rPr>
          <w:lang w:val="es-ES_tradnl"/>
        </w:rPr>
        <w:t xml:space="preserve">. </w:t>
      </w:r>
      <w:r w:rsidRPr="005101B9">
        <w:rPr>
          <w:lang w:val="es-ES_tradnl"/>
        </w:rPr>
        <w:t>El objetivo es garantizar que las autoridades dispongan de la flexibilidad suficiente para dar por concluido el examen cuando el resultado del ensayo pueda determinarse con certeza, manteniendo al mismo tiempo un enfoque armonizado en lo que respecta al número de ciclos de cultivo que deben llevarse a cabo, tal y como se establece en las directrices de examen (</w:t>
      </w:r>
      <w:r w:rsidR="00B2067F" w:rsidRPr="005101B9">
        <w:rPr>
          <w:lang w:val="es-ES_tradnl"/>
        </w:rPr>
        <w:t xml:space="preserve">por </w:t>
      </w:r>
      <w:r w:rsidRPr="005101B9">
        <w:rPr>
          <w:lang w:val="es-ES_tradnl"/>
        </w:rPr>
        <w:t xml:space="preserve">ejemplo, “la duración mínima del examen deberá ser, por lo general, de dos ciclos de </w:t>
      </w:r>
      <w:r w:rsidR="00D960DD" w:rsidRPr="005101B9">
        <w:rPr>
          <w:lang w:val="es-ES_tradnl"/>
        </w:rPr>
        <w:t>cultivo</w:t>
      </w:r>
      <w:r w:rsidRPr="005101B9">
        <w:rPr>
          <w:lang w:val="es-ES_tradnl"/>
        </w:rPr>
        <w:t xml:space="preserve"> independientes”)</w:t>
      </w:r>
      <w:r w:rsidR="007B7C4D" w:rsidRPr="005101B9">
        <w:rPr>
          <w:lang w:val="es-ES_tradnl"/>
        </w:rPr>
        <w:t xml:space="preserve">. </w:t>
      </w:r>
      <w:r w:rsidRPr="005101B9">
        <w:rPr>
          <w:lang w:val="es-ES_tradnl"/>
        </w:rPr>
        <w:t xml:space="preserve">El Grupo de Trabajo Técnico sobre </w:t>
      </w:r>
      <w:r w:rsidR="00B42C86" w:rsidRPr="005101B9">
        <w:rPr>
          <w:lang w:val="es-ES_tradnl"/>
        </w:rPr>
        <w:t xml:space="preserve">Plantas </w:t>
      </w:r>
      <w:r w:rsidRPr="005101B9">
        <w:rPr>
          <w:lang w:val="es-ES_tradnl"/>
        </w:rPr>
        <w:t>Frutales (TWF) examinará esta cuestión en su reunión que se celebrará en Leipzig (Alemania) del 7 al 10 de septiembre de 2026, y las observaciones formuladas se recogerán en un</w:t>
      </w:r>
      <w:r w:rsidR="00285811" w:rsidRPr="005101B9">
        <w:rPr>
          <w:lang w:val="es-ES_tradnl"/>
        </w:rPr>
        <w:t>a</w:t>
      </w:r>
      <w:r w:rsidRPr="005101B9">
        <w:rPr>
          <w:lang w:val="es-ES_tradnl"/>
        </w:rPr>
        <w:t xml:space="preserve"> </w:t>
      </w:r>
      <w:r w:rsidR="00285811" w:rsidRPr="005101B9">
        <w:rPr>
          <w:lang w:val="es-ES_tradnl"/>
        </w:rPr>
        <w:t>adición</w:t>
      </w:r>
      <w:r w:rsidRPr="005101B9">
        <w:rPr>
          <w:lang w:val="es-ES_tradnl"/>
        </w:rPr>
        <w:t xml:space="preserve"> del presente documento. </w:t>
      </w:r>
    </w:p>
    <w:p w14:paraId="1EDF9F53" w14:textId="77777777" w:rsidR="00D75971" w:rsidRPr="005101B9" w:rsidRDefault="00D75971" w:rsidP="00A87DEC">
      <w:pPr>
        <w:rPr>
          <w:lang w:val="es-ES_tradnl"/>
        </w:rPr>
      </w:pPr>
    </w:p>
    <w:p w14:paraId="4B952E7F" w14:textId="4A17EE8F" w:rsidR="00593B7B" w:rsidRPr="005101B9" w:rsidRDefault="00D75971" w:rsidP="0032060C">
      <w:pPr>
        <w:keepLines/>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 xml:space="preserve">Se presenta una nueva propuesta de revisión del documento TGP/12 </w:t>
      </w:r>
      <w:r w:rsidR="006B5559" w:rsidRPr="005101B9">
        <w:rPr>
          <w:lang w:val="es-ES_tradnl"/>
        </w:rPr>
        <w:t>“</w:t>
      </w:r>
      <w:r w:rsidRPr="005101B9">
        <w:rPr>
          <w:lang w:val="es-ES_tradnl"/>
        </w:rPr>
        <w:t>Orientación sobre ciertos caracteres fisiológicos”, con el fin de evitar la necesidad de revisar las directrices de examen debido a los frecuentes cambios en la nomenclatura de las plagas y enfermedades</w:t>
      </w:r>
      <w:r w:rsidR="007B7C4D" w:rsidRPr="005101B9">
        <w:rPr>
          <w:lang w:val="es-ES_tradnl"/>
        </w:rPr>
        <w:t xml:space="preserve">. </w:t>
      </w:r>
      <w:r w:rsidRPr="005101B9">
        <w:rPr>
          <w:lang w:val="es-ES_tradnl"/>
        </w:rPr>
        <w:t xml:space="preserve">La propuesta introduce un descargo de responsabilidad en el que se indica que los nombres de las plagas y enfermedades eran correctos en la fecha de adopción de las directrices de examen y que se debe consultar la nomenclatura más reciente en el sistema de códigos de organismos nocivos de la </w:t>
      </w:r>
      <w:r w:rsidR="00721603" w:rsidRPr="005101B9">
        <w:rPr>
          <w:i/>
          <w:iCs/>
          <w:lang w:val="es-ES_tradnl"/>
        </w:rPr>
        <w:t>International Seed Federation</w:t>
      </w:r>
      <w:r w:rsidRPr="005101B9">
        <w:rPr>
          <w:lang w:val="es-ES_tradnl"/>
        </w:rPr>
        <w:t xml:space="preserve"> (ISF).</w:t>
      </w:r>
    </w:p>
    <w:p w14:paraId="7C13CA54" w14:textId="77777777" w:rsidR="006B305B" w:rsidRPr="005101B9" w:rsidRDefault="006B305B" w:rsidP="00A87DEC">
      <w:pPr>
        <w:rPr>
          <w:lang w:val="es-ES_tradnl"/>
        </w:rPr>
      </w:pPr>
    </w:p>
    <w:p w14:paraId="626D8ACC" w14:textId="321E7CFD" w:rsidR="005266A6" w:rsidRPr="005101B9" w:rsidRDefault="00A20AEF" w:rsidP="005266A6">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Se propone revisar el documento TGP/15 “Orientación sobre el uso de marcadores bioquímicos y moleculares en el examen de la distinción, la homogeneidad y la estabilidad (DHE)”</w:t>
      </w:r>
      <w:r w:rsidR="007B7C4D" w:rsidRPr="005101B9">
        <w:rPr>
          <w:lang w:val="es-ES_tradnl"/>
        </w:rPr>
        <w:t xml:space="preserve">. </w:t>
      </w:r>
      <w:r w:rsidRPr="005101B9">
        <w:rPr>
          <w:lang w:val="es-ES_tradnl"/>
        </w:rPr>
        <w:t xml:space="preserve">Se invitará al Consejo a aprobar un nuevo apartado que establezca “Directrices para la validación de un nuevo protocolo de </w:t>
      </w:r>
      <w:r w:rsidRPr="005101B9">
        <w:rPr>
          <w:spacing w:val="-2"/>
          <w:lang w:val="es-ES_tradnl"/>
        </w:rPr>
        <w:t xml:space="preserve">marcadores moleculares </w:t>
      </w:r>
      <w:r w:rsidR="00F36ACD" w:rsidRPr="005101B9">
        <w:rPr>
          <w:spacing w:val="-2"/>
          <w:lang w:val="es-ES_tradnl"/>
        </w:rPr>
        <w:t xml:space="preserve">ligados a </w:t>
      </w:r>
      <w:r w:rsidRPr="005101B9">
        <w:rPr>
          <w:spacing w:val="-2"/>
          <w:lang w:val="es-ES_tradnl"/>
        </w:rPr>
        <w:t xml:space="preserve">caracteres como método </w:t>
      </w:r>
      <w:r w:rsidR="00304029" w:rsidRPr="005101B9">
        <w:rPr>
          <w:spacing w:val="-2"/>
          <w:lang w:val="es-ES_tradnl"/>
        </w:rPr>
        <w:t xml:space="preserve">alternativo </w:t>
      </w:r>
      <w:r w:rsidRPr="005101B9">
        <w:rPr>
          <w:spacing w:val="-2"/>
          <w:lang w:val="es-ES_tradnl"/>
        </w:rPr>
        <w:t>de observación</w:t>
      </w:r>
      <w:r w:rsidR="004707D4" w:rsidRPr="005101B9">
        <w:rPr>
          <w:spacing w:val="-2"/>
          <w:lang w:val="es-ES_tradnl"/>
        </w:rPr>
        <w:t>”</w:t>
      </w:r>
      <w:r w:rsidR="00900722" w:rsidRPr="005101B9">
        <w:rPr>
          <w:spacing w:val="-2"/>
          <w:lang w:val="es-ES_tradnl"/>
        </w:rPr>
        <w:t>.</w:t>
      </w:r>
      <w:r w:rsidRPr="005101B9">
        <w:rPr>
          <w:spacing w:val="-2"/>
          <w:lang w:val="es-ES_tradnl"/>
        </w:rPr>
        <w:t xml:space="preserve"> El documento TGP/15 </w:t>
      </w:r>
      <w:r w:rsidRPr="005101B9">
        <w:rPr>
          <w:lang w:val="es-ES_tradnl"/>
        </w:rPr>
        <w:t>establece que los marcadores moleculares pueden utilizarse como método para examinar los caracteres de</w:t>
      </w:r>
      <w:r w:rsidR="00722A82" w:rsidRPr="005101B9">
        <w:rPr>
          <w:lang w:val="es-ES_tradnl"/>
        </w:rPr>
        <w:t> </w:t>
      </w:r>
      <w:r w:rsidRPr="005101B9">
        <w:rPr>
          <w:lang w:val="es-ES_tradnl"/>
        </w:rPr>
        <w:t>DHE, siempre que exista un vínculo fiable entre el marcador y la expresión del carácter</w:t>
      </w:r>
      <w:r w:rsidR="007B7C4D" w:rsidRPr="005101B9">
        <w:rPr>
          <w:lang w:val="es-ES_tradnl"/>
        </w:rPr>
        <w:t xml:space="preserve">. </w:t>
      </w:r>
      <w:r w:rsidRPr="005101B9">
        <w:rPr>
          <w:lang w:val="es-ES_tradnl"/>
        </w:rPr>
        <w:t>Las nuevas directrices describen una metodología para la validación de un marcador molecular, así como una plantilla estándar para explicar en las directrices de examen cómo debe utilizarse como método alternativo para la evaluación de un carácter</w:t>
      </w:r>
      <w:r w:rsidR="007B7C4D" w:rsidRPr="005101B9">
        <w:rPr>
          <w:lang w:val="es-ES_tradnl"/>
        </w:rPr>
        <w:t xml:space="preserve">. </w:t>
      </w:r>
      <w:r w:rsidRPr="005101B9">
        <w:rPr>
          <w:lang w:val="es-ES_tradnl"/>
        </w:rPr>
        <w:t>Las nuevas directrices figuran en el documento TGP/15/4</w:t>
      </w:r>
      <w:r w:rsidR="00BF3427" w:rsidRPr="005101B9">
        <w:rPr>
          <w:lang w:val="es-ES_tradnl"/>
        </w:rPr>
        <w:t> Draft </w:t>
      </w:r>
      <w:r w:rsidRPr="005101B9">
        <w:rPr>
          <w:lang w:val="es-ES_tradnl"/>
        </w:rPr>
        <w:t>1.</w:t>
      </w:r>
    </w:p>
    <w:p w14:paraId="2906B5C4" w14:textId="77777777" w:rsidR="00F43C84" w:rsidRPr="005101B9" w:rsidRDefault="00F43C84" w:rsidP="00F43C84">
      <w:pPr>
        <w:rPr>
          <w:lang w:val="es-ES_tradnl"/>
        </w:rPr>
      </w:pPr>
    </w:p>
    <w:p w14:paraId="0177F70D" w14:textId="77777777" w:rsidR="00F43C84" w:rsidRPr="005101B9" w:rsidRDefault="00F43C84" w:rsidP="00F43C84">
      <w:pPr>
        <w:keepNext/>
        <w:spacing w:after="240"/>
        <w:rPr>
          <w:rFonts w:cs="Arial"/>
          <w:lang w:val="es-ES_tradnl"/>
        </w:rPr>
      </w:pPr>
      <w:r w:rsidRPr="005101B9">
        <w:rPr>
          <w:rFonts w:cs="Arial"/>
          <w:lang w:val="es-ES_tradnl"/>
        </w:rPr>
        <w:fldChar w:fldCharType="begin"/>
      </w:r>
      <w:r w:rsidRPr="005101B9">
        <w:rPr>
          <w:rFonts w:cs="Arial"/>
          <w:lang w:val="es-ES_tradnl"/>
        </w:rPr>
        <w:instrText xml:space="preserve"> AUTONUM  </w:instrText>
      </w:r>
      <w:r w:rsidRPr="005101B9">
        <w:rPr>
          <w:rFonts w:cs="Arial"/>
          <w:lang w:val="es-ES_tradnl"/>
        </w:rPr>
        <w:fldChar w:fldCharType="end"/>
      </w:r>
      <w:r w:rsidRPr="005101B9">
        <w:rPr>
          <w:lang w:val="es-ES_tradnl"/>
        </w:rPr>
        <w:tab/>
        <w:t>El presente documento se estructura del siguiente modo:</w:t>
      </w:r>
    </w:p>
    <w:p w14:paraId="0C57DC99" w14:textId="07381AE0" w:rsidR="006401FB" w:rsidRDefault="0074257D">
      <w:pPr>
        <w:pStyle w:val="TOC1"/>
        <w:rPr>
          <w:rFonts w:asciiTheme="minorHAnsi" w:hAnsiTheme="minorHAnsi" w:cstheme="minorBidi"/>
          <w:bCs w:val="0"/>
          <w:caps w:val="0"/>
          <w:kern w:val="2"/>
          <w:sz w:val="24"/>
          <w:szCs w:val="24"/>
          <w:lang w:val="en-GB" w:eastAsia="zh-CN"/>
          <w14:ligatures w14:val="standardContextual"/>
        </w:rPr>
      </w:pPr>
      <w:r w:rsidRPr="005101B9">
        <w:rPr>
          <w:noProof w:val="0"/>
          <w:highlight w:val="cyan"/>
          <w:lang w:val="es-ES_tradnl"/>
        </w:rPr>
        <w:fldChar w:fldCharType="begin"/>
      </w:r>
      <w:r w:rsidRPr="005101B9">
        <w:rPr>
          <w:noProof w:val="0"/>
          <w:highlight w:val="cyan"/>
          <w:lang w:val="es-ES_tradnl"/>
        </w:rPr>
        <w:instrText xml:space="preserve"> TOC \o "1-3" \u </w:instrText>
      </w:r>
      <w:r w:rsidRPr="005101B9">
        <w:rPr>
          <w:noProof w:val="0"/>
          <w:highlight w:val="cyan"/>
          <w:lang w:val="es-ES_tradnl"/>
        </w:rPr>
        <w:fldChar w:fldCharType="separate"/>
      </w:r>
      <w:r w:rsidR="006401FB" w:rsidRPr="00AD3AAE">
        <w:rPr>
          <w:snapToGrid w:val="0"/>
          <w:lang w:val="es-ES_tradnl"/>
        </w:rPr>
        <w:t>RESUMEN</w:t>
      </w:r>
      <w:r w:rsidR="006401FB">
        <w:tab/>
      </w:r>
      <w:r w:rsidR="006401FB">
        <w:fldChar w:fldCharType="begin"/>
      </w:r>
      <w:r w:rsidR="006401FB">
        <w:instrText xml:space="preserve"> PAGEREF _Toc242263271 \h </w:instrText>
      </w:r>
      <w:r w:rsidR="006401FB">
        <w:fldChar w:fldCharType="separate"/>
      </w:r>
      <w:r w:rsidR="006401FB">
        <w:t>1</w:t>
      </w:r>
      <w:r w:rsidR="006401FB">
        <w:fldChar w:fldCharType="end"/>
      </w:r>
    </w:p>
    <w:p w14:paraId="21B68471" w14:textId="58383980" w:rsidR="006401FB" w:rsidRDefault="006401FB">
      <w:pPr>
        <w:pStyle w:val="TOC1"/>
        <w:rPr>
          <w:rFonts w:asciiTheme="minorHAnsi" w:hAnsiTheme="minorHAnsi" w:cstheme="minorBidi"/>
          <w:bCs w:val="0"/>
          <w:caps w:val="0"/>
          <w:kern w:val="2"/>
          <w:sz w:val="24"/>
          <w:szCs w:val="24"/>
          <w:lang w:val="en-GB" w:eastAsia="zh-CN"/>
          <w14:ligatures w14:val="standardContextual"/>
        </w:rPr>
      </w:pPr>
      <w:r w:rsidRPr="00AD3AAE">
        <w:rPr>
          <w:lang w:val="es-ES_tradnl"/>
        </w:rPr>
        <w:t>Antecedentes</w:t>
      </w:r>
      <w:r>
        <w:tab/>
      </w:r>
      <w:r>
        <w:fldChar w:fldCharType="begin"/>
      </w:r>
      <w:r>
        <w:instrText xml:space="preserve"> PAGEREF _Toc242263272 \h </w:instrText>
      </w:r>
      <w:r>
        <w:fldChar w:fldCharType="separate"/>
      </w:r>
      <w:r>
        <w:t>3</w:t>
      </w:r>
      <w:r>
        <w:fldChar w:fldCharType="end"/>
      </w:r>
    </w:p>
    <w:p w14:paraId="7203B8FE" w14:textId="05B8F22D" w:rsidR="006401FB" w:rsidRDefault="006401FB">
      <w:pPr>
        <w:pStyle w:val="TOC1"/>
        <w:rPr>
          <w:rFonts w:asciiTheme="minorHAnsi" w:hAnsiTheme="minorHAnsi" w:cstheme="minorBidi"/>
          <w:bCs w:val="0"/>
          <w:caps w:val="0"/>
          <w:kern w:val="2"/>
          <w:sz w:val="24"/>
          <w:szCs w:val="24"/>
          <w:lang w:val="en-GB" w:eastAsia="zh-CN"/>
          <w14:ligatures w14:val="standardContextual"/>
        </w:rPr>
      </w:pPr>
      <w:r w:rsidRPr="00AD3AAE">
        <w:rPr>
          <w:lang w:val="es-ES_tradnl"/>
        </w:rPr>
        <w:t>Documento UPOV/INF/13 “Orientación sobre cómo ser miembro de la UPOV” (Revisión)</w:t>
      </w:r>
      <w:r>
        <w:tab/>
      </w:r>
      <w:r>
        <w:fldChar w:fldCharType="begin"/>
      </w:r>
      <w:r>
        <w:instrText xml:space="preserve"> PAGEREF _Toc242263273 \h </w:instrText>
      </w:r>
      <w:r>
        <w:fldChar w:fldCharType="separate"/>
      </w:r>
      <w:r>
        <w:t>3</w:t>
      </w:r>
      <w:r>
        <w:fldChar w:fldCharType="end"/>
      </w:r>
    </w:p>
    <w:p w14:paraId="13DCCF3A" w14:textId="6A97D085" w:rsidR="006401FB" w:rsidRDefault="006401FB">
      <w:pPr>
        <w:pStyle w:val="TOC1"/>
        <w:rPr>
          <w:rFonts w:asciiTheme="minorHAnsi" w:hAnsiTheme="minorHAnsi" w:cstheme="minorBidi"/>
          <w:bCs w:val="0"/>
          <w:caps w:val="0"/>
          <w:kern w:val="2"/>
          <w:sz w:val="24"/>
          <w:szCs w:val="24"/>
          <w:lang w:val="en-GB" w:eastAsia="zh-CN"/>
          <w14:ligatures w14:val="standardContextual"/>
        </w:rPr>
      </w:pPr>
      <w:r w:rsidRPr="00AD3AAE">
        <w:rPr>
          <w:lang w:val="es-ES_tradnl"/>
        </w:rPr>
        <w:t xml:space="preserve">Documentos UPOV/INF/16 “Programas informáticos para intercambio” y </w:t>
      </w:r>
      <w:r w:rsidRPr="00AD3AAE">
        <w:rPr>
          <w:bdr w:val="none" w:sz="0" w:space="0" w:color="auto" w:frame="1"/>
          <w:lang w:val="es-ES_tradnl"/>
        </w:rPr>
        <w:t xml:space="preserve">UPOV/INF/22 “Programas informáticos y equipos utilizados por los miembros de la Unión” </w:t>
      </w:r>
      <w:r w:rsidRPr="00AD3AAE">
        <w:rPr>
          <w:lang w:val="es-ES_tradnl"/>
        </w:rPr>
        <w:t>(Revisión)</w:t>
      </w:r>
      <w:r>
        <w:tab/>
      </w:r>
      <w:r>
        <w:fldChar w:fldCharType="begin"/>
      </w:r>
      <w:r>
        <w:instrText xml:space="preserve"> PAGEREF _Toc242263274 \h </w:instrText>
      </w:r>
      <w:r>
        <w:fldChar w:fldCharType="separate"/>
      </w:r>
      <w:r>
        <w:t>5</w:t>
      </w:r>
      <w:r>
        <w:fldChar w:fldCharType="end"/>
      </w:r>
    </w:p>
    <w:p w14:paraId="1906ADBA" w14:textId="4A877B87" w:rsidR="006401FB" w:rsidRDefault="006401FB">
      <w:pPr>
        <w:pStyle w:val="TOC2"/>
        <w:rPr>
          <w:rFonts w:asciiTheme="minorHAnsi" w:eastAsiaTheme="minorEastAsia" w:hAnsiTheme="minorHAnsi" w:cstheme="minorBidi"/>
          <w:kern w:val="2"/>
          <w:sz w:val="24"/>
          <w:szCs w:val="24"/>
          <w:lang w:val="en-GB" w:eastAsia="zh-CN"/>
          <w14:ligatures w14:val="standardContextual"/>
        </w:rPr>
      </w:pPr>
      <w:r w:rsidRPr="00AD3AAE">
        <w:rPr>
          <w:lang w:val="es-ES_tradnl"/>
        </w:rPr>
        <w:t>Procedimiento para la inclusión de programas informáticos o equipos en los documentos UPOV/INF/16 y UPOV/INF/22</w:t>
      </w:r>
      <w:r>
        <w:tab/>
      </w:r>
      <w:r>
        <w:fldChar w:fldCharType="begin"/>
      </w:r>
      <w:r>
        <w:instrText xml:space="preserve"> PAGEREF _Toc242263275 \h </w:instrText>
      </w:r>
      <w:r>
        <w:fldChar w:fldCharType="separate"/>
      </w:r>
      <w:r>
        <w:t>5</w:t>
      </w:r>
      <w:r>
        <w:fldChar w:fldCharType="end"/>
      </w:r>
    </w:p>
    <w:p w14:paraId="30438141" w14:textId="30FFE841" w:rsidR="006401FB" w:rsidRDefault="006401FB">
      <w:pPr>
        <w:pStyle w:val="TOC3"/>
        <w:rPr>
          <w:rFonts w:asciiTheme="minorHAnsi" w:hAnsiTheme="minorHAnsi" w:cstheme="minorBidi"/>
          <w:i w:val="0"/>
          <w:kern w:val="2"/>
          <w:sz w:val="24"/>
          <w:szCs w:val="24"/>
          <w:lang w:val="en-GB" w:eastAsia="zh-CN"/>
          <w14:ligatures w14:val="standardContextual"/>
        </w:rPr>
      </w:pPr>
      <w:r w:rsidRPr="00AD3AAE">
        <w:rPr>
          <w:lang w:val="es-ES_tradnl"/>
        </w:rPr>
        <w:t>Propuestas</w:t>
      </w:r>
      <w:r>
        <w:tab/>
      </w:r>
      <w:r>
        <w:fldChar w:fldCharType="begin"/>
      </w:r>
      <w:r>
        <w:instrText xml:space="preserve"> PAGEREF _Toc242263276 \h </w:instrText>
      </w:r>
      <w:r>
        <w:fldChar w:fldCharType="separate"/>
      </w:r>
      <w:r>
        <w:t>5</w:t>
      </w:r>
      <w:r>
        <w:fldChar w:fldCharType="end"/>
      </w:r>
    </w:p>
    <w:p w14:paraId="28C2556F" w14:textId="49DB8EDE" w:rsidR="006401FB" w:rsidRDefault="006401FB">
      <w:pPr>
        <w:pStyle w:val="TOC2"/>
        <w:rPr>
          <w:rFonts w:asciiTheme="minorHAnsi" w:eastAsiaTheme="minorEastAsia" w:hAnsiTheme="minorHAnsi" w:cstheme="minorBidi"/>
          <w:kern w:val="2"/>
          <w:sz w:val="24"/>
          <w:szCs w:val="24"/>
          <w:lang w:val="en-GB" w:eastAsia="zh-CN"/>
          <w14:ligatures w14:val="standardContextual"/>
        </w:rPr>
      </w:pPr>
      <w:r w:rsidRPr="00AD3AAE">
        <w:rPr>
          <w:lang w:val="es-ES_tradnl"/>
        </w:rPr>
        <w:t>Programas informáticos que se propone incluir en el documento UPOV/INF/16 en 2026</w:t>
      </w:r>
      <w:r>
        <w:tab/>
      </w:r>
      <w:r>
        <w:fldChar w:fldCharType="begin"/>
      </w:r>
      <w:r>
        <w:instrText xml:space="preserve"> PAGEREF _Toc242263277 \h </w:instrText>
      </w:r>
      <w:r>
        <w:fldChar w:fldCharType="separate"/>
      </w:r>
      <w:r>
        <w:t>6</w:t>
      </w:r>
      <w:r>
        <w:fldChar w:fldCharType="end"/>
      </w:r>
    </w:p>
    <w:p w14:paraId="42544D5B" w14:textId="5A5EF326" w:rsidR="006401FB" w:rsidRDefault="006401FB">
      <w:pPr>
        <w:pStyle w:val="TOC2"/>
        <w:rPr>
          <w:rFonts w:asciiTheme="minorHAnsi" w:eastAsiaTheme="minorEastAsia" w:hAnsiTheme="minorHAnsi" w:cstheme="minorBidi"/>
          <w:kern w:val="2"/>
          <w:sz w:val="24"/>
          <w:szCs w:val="24"/>
          <w:lang w:val="en-GB" w:eastAsia="zh-CN"/>
          <w14:ligatures w14:val="standardContextual"/>
        </w:rPr>
      </w:pPr>
      <w:r w:rsidRPr="00AD3AAE">
        <w:rPr>
          <w:lang w:val="es-ES_tradnl"/>
        </w:rPr>
        <w:t>Programas informáticos y equipos que se propone incluir en el documento UPOV/INF/22 en 2026</w:t>
      </w:r>
      <w:r>
        <w:tab/>
      </w:r>
      <w:r>
        <w:fldChar w:fldCharType="begin"/>
      </w:r>
      <w:r>
        <w:instrText xml:space="preserve"> PAGEREF _Toc242263278 \h </w:instrText>
      </w:r>
      <w:r>
        <w:fldChar w:fldCharType="separate"/>
      </w:r>
      <w:r>
        <w:t>7</w:t>
      </w:r>
      <w:r>
        <w:fldChar w:fldCharType="end"/>
      </w:r>
    </w:p>
    <w:p w14:paraId="37286138" w14:textId="108866CD" w:rsidR="006401FB" w:rsidRDefault="006401FB">
      <w:pPr>
        <w:pStyle w:val="TOC1"/>
        <w:rPr>
          <w:rFonts w:asciiTheme="minorHAnsi" w:hAnsiTheme="minorHAnsi" w:cstheme="minorBidi"/>
          <w:bCs w:val="0"/>
          <w:caps w:val="0"/>
          <w:kern w:val="2"/>
          <w:sz w:val="24"/>
          <w:szCs w:val="24"/>
          <w:lang w:val="en-GB" w:eastAsia="zh-CN"/>
          <w14:ligatures w14:val="standardContextual"/>
        </w:rPr>
      </w:pPr>
      <w:r w:rsidRPr="00AD3AAE">
        <w:rPr>
          <w:lang w:val="es-ES_tradnl"/>
        </w:rPr>
        <w:t>DOCUMENTO TGP/5 “Experiencia y cooperación en el examen DHE”</w:t>
      </w:r>
      <w:r>
        <w:tab/>
      </w:r>
      <w:r>
        <w:fldChar w:fldCharType="begin"/>
      </w:r>
      <w:r>
        <w:instrText xml:space="preserve"> PAGEREF _Toc242263279 \h </w:instrText>
      </w:r>
      <w:r>
        <w:fldChar w:fldCharType="separate"/>
      </w:r>
      <w:r>
        <w:t>7</w:t>
      </w:r>
      <w:r>
        <w:fldChar w:fldCharType="end"/>
      </w:r>
    </w:p>
    <w:p w14:paraId="23266DEC" w14:textId="34D4AA3A" w:rsidR="006401FB" w:rsidRDefault="006401FB">
      <w:pPr>
        <w:pStyle w:val="TOC2"/>
        <w:rPr>
          <w:rFonts w:asciiTheme="minorHAnsi" w:eastAsiaTheme="minorEastAsia" w:hAnsiTheme="minorHAnsi" w:cstheme="minorBidi"/>
          <w:kern w:val="2"/>
          <w:sz w:val="24"/>
          <w:szCs w:val="24"/>
          <w:lang w:val="en-GB" w:eastAsia="zh-CN"/>
          <w14:ligatures w14:val="standardContextual"/>
        </w:rPr>
      </w:pPr>
      <w:r w:rsidRPr="00AD3AAE">
        <w:rPr>
          <w:lang w:val="es-ES_tradnl"/>
        </w:rPr>
        <w:t>Sección 11 “Ejemplos de políticas y contratos sobre el material presentado por el obtentor” (revisión)</w:t>
      </w:r>
      <w:r>
        <w:tab/>
      </w:r>
      <w:r>
        <w:fldChar w:fldCharType="begin"/>
      </w:r>
      <w:r>
        <w:instrText xml:space="preserve"> PAGEREF _Toc242263280 \h </w:instrText>
      </w:r>
      <w:r>
        <w:fldChar w:fldCharType="separate"/>
      </w:r>
      <w:r>
        <w:t>7</w:t>
      </w:r>
      <w:r>
        <w:fldChar w:fldCharType="end"/>
      </w:r>
    </w:p>
    <w:p w14:paraId="1453C2A4" w14:textId="738ABFE3" w:rsidR="006401FB" w:rsidRDefault="006401FB">
      <w:pPr>
        <w:pStyle w:val="TOC1"/>
        <w:rPr>
          <w:rFonts w:asciiTheme="minorHAnsi" w:hAnsiTheme="minorHAnsi" w:cstheme="minorBidi"/>
          <w:bCs w:val="0"/>
          <w:caps w:val="0"/>
          <w:kern w:val="2"/>
          <w:sz w:val="24"/>
          <w:szCs w:val="24"/>
          <w:lang w:val="en-GB" w:eastAsia="zh-CN"/>
          <w14:ligatures w14:val="standardContextual"/>
        </w:rPr>
      </w:pPr>
      <w:r w:rsidRPr="00AD3AAE">
        <w:rPr>
          <w:caps w:val="0"/>
          <w:lang w:val="es-ES_tradnl"/>
        </w:rPr>
        <w:t>DOCUMENTO TGP/7 “ELABORACIÓN DE LAS DIRECTRICES DE EXAMEN”</w:t>
      </w:r>
      <w:r>
        <w:tab/>
      </w:r>
      <w:r>
        <w:fldChar w:fldCharType="begin"/>
      </w:r>
      <w:r>
        <w:instrText xml:space="preserve"> PAGEREF _Toc242263281 \h </w:instrText>
      </w:r>
      <w:r>
        <w:fldChar w:fldCharType="separate"/>
      </w:r>
      <w:r>
        <w:t>7</w:t>
      </w:r>
      <w:r>
        <w:fldChar w:fldCharType="end"/>
      </w:r>
    </w:p>
    <w:p w14:paraId="6C5EC120" w14:textId="1CF6E62F" w:rsidR="006401FB" w:rsidRDefault="006401FB">
      <w:pPr>
        <w:pStyle w:val="TOC2"/>
        <w:rPr>
          <w:rFonts w:asciiTheme="minorHAnsi" w:eastAsiaTheme="minorEastAsia" w:hAnsiTheme="minorHAnsi" w:cstheme="minorBidi"/>
          <w:kern w:val="2"/>
          <w:sz w:val="24"/>
          <w:szCs w:val="24"/>
          <w:lang w:val="en-GB" w:eastAsia="zh-CN"/>
          <w14:ligatures w14:val="standardContextual"/>
        </w:rPr>
      </w:pPr>
      <w:r w:rsidRPr="00AD3AAE">
        <w:rPr>
          <w:lang w:val="es-ES_tradnl"/>
        </w:rPr>
        <w:t>Número de ciclos de cultivo y conclusión del examen (revisión)</w:t>
      </w:r>
      <w:r>
        <w:tab/>
      </w:r>
      <w:r>
        <w:fldChar w:fldCharType="begin"/>
      </w:r>
      <w:r>
        <w:instrText xml:space="preserve"> PAGEREF _Toc242263282 \h </w:instrText>
      </w:r>
      <w:r>
        <w:fldChar w:fldCharType="separate"/>
      </w:r>
      <w:r>
        <w:t>7</w:t>
      </w:r>
      <w:r>
        <w:fldChar w:fldCharType="end"/>
      </w:r>
    </w:p>
    <w:p w14:paraId="0A23E7A2" w14:textId="7E9DB53A" w:rsidR="006401FB" w:rsidRDefault="006401FB">
      <w:pPr>
        <w:pStyle w:val="TOC3"/>
        <w:rPr>
          <w:rFonts w:asciiTheme="minorHAnsi" w:hAnsiTheme="minorHAnsi" w:cstheme="minorBidi"/>
          <w:i w:val="0"/>
          <w:kern w:val="2"/>
          <w:sz w:val="24"/>
          <w:szCs w:val="24"/>
          <w:lang w:val="en-GB" w:eastAsia="zh-CN"/>
          <w14:ligatures w14:val="standardContextual"/>
        </w:rPr>
      </w:pPr>
      <w:r w:rsidRPr="00AD3AAE">
        <w:rPr>
          <w:rFonts w:eastAsia="Calibri"/>
          <w:lang w:val="es-ES_tradnl" w:eastAsia="nl-NL"/>
        </w:rPr>
        <w:t>Antecedentes</w:t>
      </w:r>
      <w:r>
        <w:tab/>
      </w:r>
      <w:r>
        <w:fldChar w:fldCharType="begin"/>
      </w:r>
      <w:r>
        <w:instrText xml:space="preserve"> PAGEREF _Toc242263283 \h </w:instrText>
      </w:r>
      <w:r>
        <w:fldChar w:fldCharType="separate"/>
      </w:r>
      <w:r>
        <w:t>7</w:t>
      </w:r>
      <w:r>
        <w:fldChar w:fldCharType="end"/>
      </w:r>
    </w:p>
    <w:p w14:paraId="1E79E0D5" w14:textId="0F25886C" w:rsidR="006401FB" w:rsidRDefault="006401FB">
      <w:pPr>
        <w:pStyle w:val="TOC3"/>
        <w:rPr>
          <w:rFonts w:asciiTheme="minorHAnsi" w:hAnsiTheme="minorHAnsi" w:cstheme="minorBidi"/>
          <w:i w:val="0"/>
          <w:kern w:val="2"/>
          <w:sz w:val="24"/>
          <w:szCs w:val="24"/>
          <w:lang w:val="en-GB" w:eastAsia="zh-CN"/>
          <w14:ligatures w14:val="standardContextual"/>
        </w:rPr>
      </w:pPr>
      <w:r w:rsidRPr="00AD3AAE">
        <w:rPr>
          <w:iCs/>
          <w:lang w:val="es-ES_tradnl"/>
        </w:rPr>
        <w:t xml:space="preserve">Comentarios </w:t>
      </w:r>
      <w:r w:rsidRPr="00AD3AAE">
        <w:rPr>
          <w:rFonts w:eastAsia="Calibri"/>
          <w:lang w:val="es-ES_tradnl" w:eastAsia="nl-NL"/>
        </w:rPr>
        <w:t>del</w:t>
      </w:r>
      <w:r w:rsidRPr="00AD3AAE">
        <w:rPr>
          <w:iCs/>
          <w:lang w:val="es-ES_tradnl"/>
        </w:rPr>
        <w:t xml:space="preserve"> TWA, el TWF, el TWO y el TWV en sus sesiones de 2026</w:t>
      </w:r>
      <w:r>
        <w:tab/>
      </w:r>
      <w:r>
        <w:fldChar w:fldCharType="begin"/>
      </w:r>
      <w:r>
        <w:instrText xml:space="preserve"> PAGEREF _Toc242263284 \h </w:instrText>
      </w:r>
      <w:r>
        <w:fldChar w:fldCharType="separate"/>
      </w:r>
      <w:r>
        <w:t>8</w:t>
      </w:r>
      <w:r>
        <w:fldChar w:fldCharType="end"/>
      </w:r>
    </w:p>
    <w:p w14:paraId="44B320F2" w14:textId="50D2A820" w:rsidR="006401FB" w:rsidRDefault="006401FB">
      <w:pPr>
        <w:pStyle w:val="TOC1"/>
        <w:rPr>
          <w:rFonts w:asciiTheme="minorHAnsi" w:hAnsiTheme="minorHAnsi" w:cstheme="minorBidi"/>
          <w:bCs w:val="0"/>
          <w:caps w:val="0"/>
          <w:kern w:val="2"/>
          <w:sz w:val="24"/>
          <w:szCs w:val="24"/>
          <w:lang w:val="en-GB" w:eastAsia="zh-CN"/>
          <w14:ligatures w14:val="standardContextual"/>
        </w:rPr>
      </w:pPr>
      <w:r w:rsidRPr="00AD3AAE">
        <w:rPr>
          <w:caps w:val="0"/>
          <w:lang w:val="es-ES_tradnl"/>
        </w:rPr>
        <w:t>DOCUMENTO TGP/12 “ORIENTACIÓN SOBRE CIERTOS CARACTERES FISIOLÓGICOS”</w:t>
      </w:r>
      <w:r>
        <w:tab/>
      </w:r>
      <w:r>
        <w:fldChar w:fldCharType="begin"/>
      </w:r>
      <w:r>
        <w:instrText xml:space="preserve"> PAGEREF _Toc242263285 \h </w:instrText>
      </w:r>
      <w:r>
        <w:fldChar w:fldCharType="separate"/>
      </w:r>
      <w:r>
        <w:t>9</w:t>
      </w:r>
      <w:r>
        <w:fldChar w:fldCharType="end"/>
      </w:r>
    </w:p>
    <w:p w14:paraId="2703CE64" w14:textId="65A3DB2C" w:rsidR="006401FB" w:rsidRDefault="006401FB">
      <w:pPr>
        <w:pStyle w:val="TOC2"/>
        <w:rPr>
          <w:rFonts w:asciiTheme="minorHAnsi" w:eastAsiaTheme="minorEastAsia" w:hAnsiTheme="minorHAnsi" w:cstheme="minorBidi"/>
          <w:kern w:val="2"/>
          <w:sz w:val="24"/>
          <w:szCs w:val="24"/>
          <w:lang w:val="en-GB" w:eastAsia="zh-CN"/>
          <w14:ligatures w14:val="standardContextual"/>
        </w:rPr>
      </w:pPr>
      <w:r w:rsidRPr="00AD3AAE">
        <w:rPr>
          <w:lang w:val="es-ES_tradnl"/>
        </w:rPr>
        <w:t>Nomenclatura de los patógenos: nuevo descargo de responsabilidad</w:t>
      </w:r>
      <w:r>
        <w:tab/>
      </w:r>
      <w:r>
        <w:fldChar w:fldCharType="begin"/>
      </w:r>
      <w:r>
        <w:instrText xml:space="preserve"> PAGEREF _Toc242263286 \h </w:instrText>
      </w:r>
      <w:r>
        <w:fldChar w:fldCharType="separate"/>
      </w:r>
      <w:r>
        <w:t>9</w:t>
      </w:r>
      <w:r>
        <w:fldChar w:fldCharType="end"/>
      </w:r>
    </w:p>
    <w:p w14:paraId="58118A13" w14:textId="021B9084" w:rsidR="006401FB" w:rsidRDefault="006401FB">
      <w:pPr>
        <w:pStyle w:val="TOC3"/>
        <w:rPr>
          <w:rFonts w:asciiTheme="minorHAnsi" w:hAnsiTheme="minorHAnsi" w:cstheme="minorBidi"/>
          <w:i w:val="0"/>
          <w:kern w:val="2"/>
          <w:sz w:val="24"/>
          <w:szCs w:val="24"/>
          <w:lang w:val="en-GB" w:eastAsia="zh-CN"/>
          <w14:ligatures w14:val="standardContextual"/>
        </w:rPr>
      </w:pPr>
      <w:r w:rsidRPr="00AD3AAE">
        <w:rPr>
          <w:lang w:val="es-ES_tradnl"/>
        </w:rPr>
        <w:t>Propuesta</w:t>
      </w:r>
      <w:r>
        <w:tab/>
      </w:r>
      <w:r>
        <w:fldChar w:fldCharType="begin"/>
      </w:r>
      <w:r>
        <w:instrText xml:space="preserve"> PAGEREF _Toc242263287 \h </w:instrText>
      </w:r>
      <w:r>
        <w:fldChar w:fldCharType="separate"/>
      </w:r>
      <w:r>
        <w:t>10</w:t>
      </w:r>
      <w:r>
        <w:fldChar w:fldCharType="end"/>
      </w:r>
    </w:p>
    <w:p w14:paraId="33EADA23" w14:textId="369C299B" w:rsidR="006401FB" w:rsidRDefault="006401FB">
      <w:pPr>
        <w:pStyle w:val="TOC1"/>
        <w:rPr>
          <w:rFonts w:asciiTheme="minorHAnsi" w:hAnsiTheme="minorHAnsi" w:cstheme="minorBidi"/>
          <w:bCs w:val="0"/>
          <w:caps w:val="0"/>
          <w:kern w:val="2"/>
          <w:sz w:val="24"/>
          <w:szCs w:val="24"/>
          <w:lang w:val="en-GB" w:eastAsia="zh-CN"/>
          <w14:ligatures w14:val="standardContextual"/>
        </w:rPr>
      </w:pPr>
      <w:r w:rsidRPr="00AD3AAE">
        <w:rPr>
          <w:caps w:val="0"/>
          <w:bdr w:val="none" w:sz="0" w:space="0" w:color="auto" w:frame="1"/>
          <w:lang w:val="es-ES_tradnl"/>
        </w:rPr>
        <w:t>DOCUMENTO TGP/15 “ORIENTACIÓN SOBRE EL USO DE MARCADORES BIOQUÍMICOS Y MOLECULARES EN EL EXAMEN DE LA DISTINCIÓN, LA HOMOGENEIDAD Y LA ESTABILIDAD (DHE)” (REVISIÓN)</w:t>
      </w:r>
      <w:r>
        <w:tab/>
      </w:r>
      <w:r>
        <w:fldChar w:fldCharType="begin"/>
      </w:r>
      <w:r>
        <w:instrText xml:space="preserve"> PAGEREF _Toc242263288 \h </w:instrText>
      </w:r>
      <w:r>
        <w:fldChar w:fldCharType="separate"/>
      </w:r>
      <w:r>
        <w:t>11</w:t>
      </w:r>
      <w:r>
        <w:fldChar w:fldCharType="end"/>
      </w:r>
    </w:p>
    <w:p w14:paraId="53BF4562" w14:textId="12074F80" w:rsidR="006401FB" w:rsidRDefault="006401FB">
      <w:pPr>
        <w:pStyle w:val="TOC2"/>
        <w:rPr>
          <w:rFonts w:asciiTheme="minorHAnsi" w:eastAsiaTheme="minorEastAsia" w:hAnsiTheme="minorHAnsi" w:cstheme="minorBidi"/>
          <w:kern w:val="2"/>
          <w:sz w:val="24"/>
          <w:szCs w:val="24"/>
          <w:lang w:val="en-GB" w:eastAsia="zh-CN"/>
          <w14:ligatures w14:val="standardContextual"/>
        </w:rPr>
      </w:pPr>
      <w:r w:rsidRPr="00AD3AAE">
        <w:rPr>
          <w:lang w:val="es-ES_tradnl"/>
        </w:rPr>
        <w:t>Nueva sección: “Directrices para la validación de un nuevo protocolo de marcadores moleculares ligados a caracteres como método alternativo de observación”</w:t>
      </w:r>
      <w:r>
        <w:tab/>
      </w:r>
      <w:r>
        <w:fldChar w:fldCharType="begin"/>
      </w:r>
      <w:r>
        <w:instrText xml:space="preserve"> PAGEREF _Toc242263289 \h </w:instrText>
      </w:r>
      <w:r>
        <w:fldChar w:fldCharType="separate"/>
      </w:r>
      <w:r>
        <w:t>11</w:t>
      </w:r>
      <w:r>
        <w:fldChar w:fldCharType="end"/>
      </w:r>
    </w:p>
    <w:p w14:paraId="6FC320D3" w14:textId="6BD5A42E" w:rsidR="00F43C84" w:rsidRPr="005101B9" w:rsidRDefault="0074257D" w:rsidP="0032060C">
      <w:pPr>
        <w:rPr>
          <w:rFonts w:cs="Arial"/>
          <w:caps/>
          <w:sz w:val="18"/>
          <w:lang w:val="es-ES_tradnl"/>
        </w:rPr>
      </w:pPr>
      <w:r w:rsidRPr="005101B9">
        <w:rPr>
          <w:rFonts w:cs="Arial"/>
          <w:caps/>
          <w:sz w:val="18"/>
          <w:highlight w:val="cyan"/>
          <w:lang w:val="es-ES_tradnl"/>
        </w:rPr>
        <w:fldChar w:fldCharType="end"/>
      </w:r>
    </w:p>
    <w:p w14:paraId="265686B5" w14:textId="77777777" w:rsidR="0032060C" w:rsidRPr="005101B9" w:rsidRDefault="0032060C" w:rsidP="0032060C">
      <w:pPr>
        <w:rPr>
          <w:lang w:val="es-ES_tradnl"/>
        </w:rPr>
      </w:pPr>
    </w:p>
    <w:p w14:paraId="2BCF35DD" w14:textId="77777777" w:rsidR="00F43C84" w:rsidRPr="005101B9" w:rsidRDefault="00F43C84" w:rsidP="00F43C84">
      <w:pPr>
        <w:keepNext/>
        <w:rPr>
          <w:rFonts w:cs="Arial"/>
          <w:lang w:val="es-ES_tradnl"/>
        </w:rPr>
      </w:pPr>
      <w:r w:rsidRPr="005101B9">
        <w:rPr>
          <w:rFonts w:cs="Arial"/>
          <w:lang w:val="es-ES_tradnl"/>
        </w:rPr>
        <w:lastRenderedPageBreak/>
        <w:fldChar w:fldCharType="begin"/>
      </w:r>
      <w:r w:rsidRPr="005101B9">
        <w:rPr>
          <w:rFonts w:cs="Arial"/>
          <w:lang w:val="es-ES_tradnl"/>
        </w:rPr>
        <w:instrText xml:space="preserve"> AUTONUM  </w:instrText>
      </w:r>
      <w:r w:rsidRPr="005101B9">
        <w:rPr>
          <w:rFonts w:cs="Arial"/>
          <w:lang w:val="es-ES_tradnl"/>
        </w:rPr>
        <w:fldChar w:fldCharType="end"/>
      </w:r>
      <w:r w:rsidRPr="005101B9">
        <w:rPr>
          <w:lang w:val="es-ES_tradnl"/>
        </w:rPr>
        <w:tab/>
        <w:t>En el presente documento se utilizan las siguientes abreviaturas:</w:t>
      </w:r>
    </w:p>
    <w:p w14:paraId="475238D3" w14:textId="77777777" w:rsidR="00F43C84" w:rsidRPr="005101B9" w:rsidRDefault="00F43C84" w:rsidP="00F43C84">
      <w:pPr>
        <w:keepNext/>
        <w:ind w:left="1701" w:hanging="1134"/>
        <w:rPr>
          <w:rFonts w:cs="Arial"/>
          <w:lang w:val="es-ES_tradnl"/>
        </w:rPr>
      </w:pPr>
    </w:p>
    <w:p w14:paraId="7EFC05ED" w14:textId="77777777" w:rsidR="003B7DAC" w:rsidRPr="005101B9" w:rsidRDefault="003B7DAC" w:rsidP="00ED53A8">
      <w:pPr>
        <w:ind w:left="3420" w:hanging="2880"/>
        <w:jc w:val="left"/>
        <w:rPr>
          <w:rFonts w:cs="Arial"/>
          <w:lang w:val="es-ES_tradnl"/>
        </w:rPr>
      </w:pPr>
      <w:r w:rsidRPr="005101B9">
        <w:rPr>
          <w:lang w:val="es-ES_tradnl"/>
        </w:rPr>
        <w:t>Grupo de Consulta del BMT:</w:t>
      </w:r>
      <w:r w:rsidRPr="005101B9">
        <w:rPr>
          <w:lang w:val="es-ES_tradnl"/>
        </w:rPr>
        <w:tab/>
        <w:t xml:space="preserve">Subgrupo Especial de Expertos Técnicos y Jurídicos sobre Técnicas Bioquímicas y Moleculares </w:t>
      </w:r>
    </w:p>
    <w:p w14:paraId="385AD2D1" w14:textId="181C6762" w:rsidR="00F43C84" w:rsidRPr="005101B9" w:rsidRDefault="00F43C84" w:rsidP="0032060C">
      <w:pPr>
        <w:keepNext/>
        <w:ind w:left="2835" w:hanging="2268"/>
        <w:jc w:val="left"/>
        <w:rPr>
          <w:rFonts w:cs="Arial"/>
          <w:lang w:val="es-ES_tradnl"/>
        </w:rPr>
      </w:pPr>
      <w:r w:rsidRPr="005101B9">
        <w:rPr>
          <w:lang w:val="es-ES_tradnl"/>
        </w:rPr>
        <w:t>CAJ:</w:t>
      </w:r>
      <w:r w:rsidRPr="005101B9">
        <w:rPr>
          <w:lang w:val="es-ES_tradnl"/>
        </w:rPr>
        <w:tab/>
      </w:r>
      <w:r w:rsidR="00ED53A8" w:rsidRPr="005101B9">
        <w:rPr>
          <w:lang w:val="es-ES_tradnl"/>
        </w:rPr>
        <w:tab/>
      </w:r>
      <w:r w:rsidR="00ED53A8" w:rsidRPr="005101B9">
        <w:rPr>
          <w:lang w:val="es-ES_tradnl"/>
        </w:rPr>
        <w:tab/>
      </w:r>
      <w:r w:rsidRPr="005101B9">
        <w:rPr>
          <w:lang w:val="es-ES_tradnl"/>
        </w:rPr>
        <w:t>Comité Administrativo y Jurídico</w:t>
      </w:r>
    </w:p>
    <w:p w14:paraId="0F565F71" w14:textId="087976A8" w:rsidR="00F43C84" w:rsidRPr="005101B9" w:rsidRDefault="00F43C84" w:rsidP="0032060C">
      <w:pPr>
        <w:keepNext/>
        <w:ind w:left="2835" w:hanging="2268"/>
        <w:jc w:val="left"/>
        <w:rPr>
          <w:rFonts w:cs="Arial"/>
          <w:lang w:val="es-ES_tradnl"/>
        </w:rPr>
      </w:pPr>
      <w:r w:rsidRPr="005101B9">
        <w:rPr>
          <w:lang w:val="es-ES_tradnl"/>
        </w:rPr>
        <w:t>TC:</w:t>
      </w:r>
      <w:r w:rsidRPr="005101B9">
        <w:rPr>
          <w:lang w:val="es-ES_tradnl"/>
        </w:rPr>
        <w:tab/>
      </w:r>
      <w:r w:rsidR="00ED53A8" w:rsidRPr="005101B9">
        <w:rPr>
          <w:lang w:val="es-ES_tradnl"/>
        </w:rPr>
        <w:tab/>
      </w:r>
      <w:r w:rsidR="00ED53A8" w:rsidRPr="005101B9">
        <w:rPr>
          <w:lang w:val="es-ES_tradnl"/>
        </w:rPr>
        <w:tab/>
      </w:r>
      <w:r w:rsidRPr="005101B9">
        <w:rPr>
          <w:lang w:val="es-ES_tradnl"/>
        </w:rPr>
        <w:t>Comité Técnico</w:t>
      </w:r>
    </w:p>
    <w:p w14:paraId="7F981869" w14:textId="36C9D1EA" w:rsidR="00F43C84" w:rsidRPr="005101B9" w:rsidRDefault="00F43C84" w:rsidP="0032060C">
      <w:pPr>
        <w:ind w:left="2835" w:hanging="2268"/>
        <w:jc w:val="left"/>
        <w:rPr>
          <w:rFonts w:cs="Arial"/>
          <w:lang w:val="es-ES_tradnl"/>
        </w:rPr>
      </w:pPr>
      <w:r w:rsidRPr="005101B9">
        <w:rPr>
          <w:lang w:val="es-ES_tradnl"/>
        </w:rPr>
        <w:t>TWA:</w:t>
      </w:r>
      <w:r w:rsidRPr="005101B9">
        <w:rPr>
          <w:lang w:val="es-ES_tradnl"/>
        </w:rPr>
        <w:tab/>
      </w:r>
      <w:r w:rsidR="00ED53A8" w:rsidRPr="005101B9">
        <w:rPr>
          <w:lang w:val="es-ES_tradnl"/>
        </w:rPr>
        <w:tab/>
      </w:r>
      <w:r w:rsidR="00ED53A8" w:rsidRPr="005101B9">
        <w:rPr>
          <w:lang w:val="es-ES_tradnl"/>
        </w:rPr>
        <w:tab/>
      </w:r>
      <w:r w:rsidRPr="005101B9">
        <w:rPr>
          <w:lang w:val="es-ES_tradnl"/>
        </w:rPr>
        <w:t>Grupo de Trabajo Técnico sobre Plantas Agrícolas</w:t>
      </w:r>
    </w:p>
    <w:p w14:paraId="08ED745A" w14:textId="7786D166" w:rsidR="00F43C84" w:rsidRPr="005101B9" w:rsidRDefault="00F43C84" w:rsidP="0032060C">
      <w:pPr>
        <w:ind w:left="2835" w:hanging="2268"/>
        <w:jc w:val="left"/>
        <w:rPr>
          <w:rFonts w:cs="Arial"/>
          <w:lang w:val="es-ES_tradnl"/>
        </w:rPr>
      </w:pPr>
      <w:r w:rsidRPr="005101B9">
        <w:rPr>
          <w:lang w:val="es-ES_tradnl"/>
        </w:rPr>
        <w:t>TWF:</w:t>
      </w:r>
      <w:r w:rsidRPr="005101B9">
        <w:rPr>
          <w:lang w:val="es-ES_tradnl"/>
        </w:rPr>
        <w:tab/>
      </w:r>
      <w:r w:rsidR="00ED53A8" w:rsidRPr="005101B9">
        <w:rPr>
          <w:lang w:val="es-ES_tradnl"/>
        </w:rPr>
        <w:tab/>
      </w:r>
      <w:r w:rsidR="00ED53A8" w:rsidRPr="005101B9">
        <w:rPr>
          <w:lang w:val="es-ES_tradnl"/>
        </w:rPr>
        <w:tab/>
      </w:r>
      <w:r w:rsidRPr="005101B9">
        <w:rPr>
          <w:lang w:val="es-ES_tradnl"/>
        </w:rPr>
        <w:t xml:space="preserve">Grupo de Trabajo Técnico sobre Plantas Frutales </w:t>
      </w:r>
    </w:p>
    <w:p w14:paraId="18954C15" w14:textId="2D43F6A3" w:rsidR="00F43C84" w:rsidRPr="005101B9" w:rsidRDefault="00F43C84" w:rsidP="0032060C">
      <w:pPr>
        <w:ind w:left="2835" w:hanging="2268"/>
        <w:jc w:val="left"/>
        <w:rPr>
          <w:rFonts w:cs="Arial"/>
          <w:lang w:val="es-ES_tradnl"/>
        </w:rPr>
      </w:pPr>
      <w:r w:rsidRPr="005101B9">
        <w:rPr>
          <w:lang w:val="es-ES_tradnl"/>
        </w:rPr>
        <w:t>TWM:</w:t>
      </w:r>
      <w:r w:rsidRPr="005101B9">
        <w:rPr>
          <w:lang w:val="es-ES_tradnl"/>
        </w:rPr>
        <w:tab/>
      </w:r>
      <w:r w:rsidR="00ED53A8" w:rsidRPr="005101B9">
        <w:rPr>
          <w:lang w:val="es-ES_tradnl"/>
        </w:rPr>
        <w:tab/>
      </w:r>
      <w:r w:rsidR="00ED53A8" w:rsidRPr="005101B9">
        <w:rPr>
          <w:lang w:val="es-ES_tradnl"/>
        </w:rPr>
        <w:tab/>
      </w:r>
      <w:r w:rsidRPr="005101B9">
        <w:rPr>
          <w:lang w:val="es-ES_tradnl"/>
        </w:rPr>
        <w:t>Grupo de Trabajo Técnico sobre Métodos y Técnicas de Examen</w:t>
      </w:r>
    </w:p>
    <w:p w14:paraId="32947BA0" w14:textId="0A1C3CA1" w:rsidR="00F43C84" w:rsidRPr="005101B9" w:rsidRDefault="00F43C84" w:rsidP="00ED53A8">
      <w:pPr>
        <w:ind w:left="3420" w:hanging="2880"/>
        <w:jc w:val="left"/>
        <w:rPr>
          <w:rFonts w:cs="Arial"/>
          <w:lang w:val="es-ES_tradnl"/>
        </w:rPr>
      </w:pPr>
      <w:r w:rsidRPr="005101B9">
        <w:rPr>
          <w:lang w:val="es-ES_tradnl"/>
        </w:rPr>
        <w:t>TWO:</w:t>
      </w:r>
      <w:r w:rsidRPr="005101B9">
        <w:rPr>
          <w:lang w:val="es-ES_tradnl"/>
        </w:rPr>
        <w:tab/>
        <w:t xml:space="preserve">Grupo de Trabajo Técnico sobre Plantas Ornamentales y Árboles Forestales </w:t>
      </w:r>
    </w:p>
    <w:p w14:paraId="0557733C" w14:textId="784EA8A7" w:rsidR="00F43C84" w:rsidRPr="005101B9" w:rsidRDefault="00F43C84" w:rsidP="0032060C">
      <w:pPr>
        <w:ind w:left="2835" w:hanging="2268"/>
        <w:jc w:val="left"/>
        <w:rPr>
          <w:rFonts w:cs="Arial"/>
          <w:lang w:val="es-ES_tradnl"/>
        </w:rPr>
      </w:pPr>
      <w:r w:rsidRPr="005101B9">
        <w:rPr>
          <w:lang w:val="es-ES_tradnl"/>
        </w:rPr>
        <w:t>TWV:</w:t>
      </w:r>
      <w:r w:rsidRPr="005101B9">
        <w:rPr>
          <w:lang w:val="es-ES_tradnl"/>
        </w:rPr>
        <w:tab/>
      </w:r>
      <w:r w:rsidR="00ED53A8" w:rsidRPr="005101B9">
        <w:rPr>
          <w:lang w:val="es-ES_tradnl"/>
        </w:rPr>
        <w:tab/>
      </w:r>
      <w:r w:rsidR="00ED53A8" w:rsidRPr="005101B9">
        <w:rPr>
          <w:lang w:val="es-ES_tradnl"/>
        </w:rPr>
        <w:tab/>
      </w:r>
      <w:r w:rsidRPr="005101B9">
        <w:rPr>
          <w:lang w:val="es-ES_tradnl"/>
        </w:rPr>
        <w:t>Grupo de Trabajo Técnico sobre Hortalizas</w:t>
      </w:r>
    </w:p>
    <w:p w14:paraId="06EC6A91" w14:textId="7F98E684" w:rsidR="00F43C84" w:rsidRPr="005101B9" w:rsidRDefault="00F43C84" w:rsidP="0032060C">
      <w:pPr>
        <w:ind w:left="2835" w:hanging="2268"/>
        <w:jc w:val="left"/>
        <w:rPr>
          <w:rFonts w:cs="Arial"/>
          <w:color w:val="000000"/>
          <w:lang w:val="es-ES_tradnl"/>
        </w:rPr>
      </w:pPr>
      <w:r w:rsidRPr="005101B9">
        <w:rPr>
          <w:color w:val="000000"/>
          <w:lang w:val="es-ES_tradnl"/>
        </w:rPr>
        <w:t>TWP:</w:t>
      </w:r>
      <w:r w:rsidRPr="005101B9">
        <w:rPr>
          <w:color w:val="000000"/>
          <w:lang w:val="es-ES_tradnl"/>
        </w:rPr>
        <w:tab/>
      </w:r>
      <w:r w:rsidR="00ED53A8" w:rsidRPr="005101B9">
        <w:rPr>
          <w:color w:val="000000"/>
          <w:lang w:val="es-ES_tradnl"/>
        </w:rPr>
        <w:tab/>
      </w:r>
      <w:r w:rsidR="00ED53A8" w:rsidRPr="005101B9">
        <w:rPr>
          <w:color w:val="000000"/>
          <w:lang w:val="es-ES_tradnl"/>
        </w:rPr>
        <w:tab/>
      </w:r>
      <w:r w:rsidRPr="005101B9">
        <w:rPr>
          <w:color w:val="000000"/>
          <w:lang w:val="es-ES_tradnl"/>
        </w:rPr>
        <w:t>Grupos de Trabajo Técnico</w:t>
      </w:r>
      <w:r w:rsidR="0052246D" w:rsidRPr="005101B9">
        <w:rPr>
          <w:color w:val="000000"/>
          <w:lang w:val="es-ES_tradnl"/>
        </w:rPr>
        <w:t>s</w:t>
      </w:r>
    </w:p>
    <w:p w14:paraId="202EF7D8" w14:textId="77777777" w:rsidR="00F43C84" w:rsidRPr="005101B9" w:rsidRDefault="00F43C84" w:rsidP="00F43C84">
      <w:pPr>
        <w:rPr>
          <w:lang w:val="es-ES_tradnl"/>
        </w:rPr>
      </w:pPr>
    </w:p>
    <w:p w14:paraId="7CF6802D" w14:textId="77777777" w:rsidR="0052246D" w:rsidRPr="005101B9" w:rsidRDefault="0052246D" w:rsidP="00F43C84">
      <w:pPr>
        <w:rPr>
          <w:lang w:val="es-ES_tradnl"/>
        </w:rPr>
      </w:pPr>
    </w:p>
    <w:p w14:paraId="79169E58" w14:textId="77777777" w:rsidR="0052246D" w:rsidRPr="005101B9" w:rsidRDefault="0052246D" w:rsidP="00F43C84">
      <w:pPr>
        <w:rPr>
          <w:lang w:val="es-ES_tradnl"/>
        </w:rPr>
      </w:pPr>
    </w:p>
    <w:p w14:paraId="1347258C" w14:textId="77777777" w:rsidR="00EE1ECF" w:rsidRPr="005101B9" w:rsidRDefault="00EE1ECF" w:rsidP="005B4D10">
      <w:pPr>
        <w:keepNext/>
        <w:ind w:left="567" w:hanging="567"/>
        <w:outlineLvl w:val="0"/>
        <w:rPr>
          <w:caps/>
          <w:lang w:val="es-ES_tradnl"/>
        </w:rPr>
      </w:pPr>
      <w:bookmarkStart w:id="3" w:name="_Toc208589485"/>
      <w:bookmarkStart w:id="4" w:name="_Toc242263272"/>
      <w:r w:rsidRPr="005101B9">
        <w:rPr>
          <w:caps/>
          <w:lang w:val="es-ES_tradnl"/>
        </w:rPr>
        <w:t>Antecedentes</w:t>
      </w:r>
      <w:bookmarkEnd w:id="3"/>
      <w:bookmarkEnd w:id="4"/>
    </w:p>
    <w:p w14:paraId="2B781F90" w14:textId="77777777" w:rsidR="00EE1ECF" w:rsidRPr="005101B9" w:rsidRDefault="00EE1ECF" w:rsidP="005B4D10">
      <w:pPr>
        <w:keepNext/>
        <w:jc w:val="left"/>
        <w:rPr>
          <w:rFonts w:cs="Arial"/>
          <w:color w:val="000000"/>
          <w:lang w:val="es-ES_tradnl"/>
        </w:rPr>
      </w:pPr>
    </w:p>
    <w:p w14:paraId="3A5F9787" w14:textId="79DF4D33" w:rsidR="00EE1ECF" w:rsidRPr="005101B9" w:rsidRDefault="00EE1ECF" w:rsidP="00EE1ECF">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 xml:space="preserve">Las orientaciones y el material de información aprobados están publicados en el </w:t>
      </w:r>
      <w:hyperlink r:id="rId14" w:history="1">
        <w:r w:rsidRPr="005101B9">
          <w:rPr>
            <w:rStyle w:val="Hyperlink"/>
            <w:lang w:val="es-ES_tradnl"/>
          </w:rPr>
          <w:t>sitio web de la UPOV</w:t>
        </w:r>
      </w:hyperlink>
      <w:r w:rsidR="00982B47" w:rsidRPr="005101B9">
        <w:rPr>
          <w:lang w:val="es-ES_tradnl"/>
        </w:rPr>
        <w:t>.</w:t>
      </w:r>
    </w:p>
    <w:p w14:paraId="6DC7F8E3" w14:textId="77777777" w:rsidR="00EE1ECF" w:rsidRPr="005101B9" w:rsidRDefault="00EE1ECF" w:rsidP="00EE1ECF">
      <w:pPr>
        <w:rPr>
          <w:lang w:val="es-ES_tradnl"/>
        </w:rPr>
      </w:pPr>
    </w:p>
    <w:p w14:paraId="71AA092A" w14:textId="732A6160" w:rsidR="005705FD" w:rsidRPr="005101B9" w:rsidRDefault="005705FD" w:rsidP="005705FD">
      <w:pPr>
        <w:rPr>
          <w:lang w:val="es-ES_tradnl"/>
        </w:rPr>
      </w:pPr>
    </w:p>
    <w:p w14:paraId="610E23B5" w14:textId="5C8E8840" w:rsidR="005705FD" w:rsidRPr="005101B9" w:rsidRDefault="00B21BAD" w:rsidP="007D2461">
      <w:pPr>
        <w:pStyle w:val="Heading1"/>
        <w:rPr>
          <w:lang w:val="es-ES_tradnl"/>
        </w:rPr>
      </w:pPr>
      <w:bookmarkStart w:id="5" w:name="_Toc242263273"/>
      <w:r w:rsidRPr="005101B9">
        <w:rPr>
          <w:lang w:val="es-ES_tradnl"/>
        </w:rPr>
        <w:t>Documento UPOV/INF/13 “Orientación sobre cómo ser miembro de la UPOV” (Revisión)</w:t>
      </w:r>
      <w:bookmarkEnd w:id="5"/>
    </w:p>
    <w:p w14:paraId="16607E5F" w14:textId="77777777" w:rsidR="009418CE" w:rsidRPr="005101B9" w:rsidRDefault="009418CE" w:rsidP="00D17BC0">
      <w:pPr>
        <w:rPr>
          <w:lang w:val="es-ES_tradnl"/>
        </w:rPr>
      </w:pPr>
    </w:p>
    <w:p w14:paraId="598A8E14" w14:textId="26977F5B" w:rsidR="00AA6182" w:rsidRPr="005101B9" w:rsidRDefault="00E94BE4" w:rsidP="00470933">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 xml:space="preserve">En su </w:t>
      </w:r>
      <w:r w:rsidR="0052246D" w:rsidRPr="005101B9">
        <w:rPr>
          <w:lang w:val="es-ES_tradnl"/>
        </w:rPr>
        <w:t>quincuagésima octava</w:t>
      </w:r>
      <w:r w:rsidRPr="005101B9">
        <w:rPr>
          <w:lang w:val="es-ES_tradnl"/>
        </w:rPr>
        <w:t xml:space="preserve"> sesión ordinaria, el Consejo</w:t>
      </w:r>
      <w:r w:rsidR="00B02D6D" w:rsidRPr="005101B9">
        <w:rPr>
          <w:rStyle w:val="FootnoteReference"/>
          <w:lang w:val="es-ES_tradnl"/>
        </w:rPr>
        <w:footnoteReference w:id="2"/>
      </w:r>
      <w:r w:rsidRPr="005101B9">
        <w:rPr>
          <w:lang w:val="es-ES_tradnl"/>
        </w:rPr>
        <w:t xml:space="preserve"> aprobó la propuesta de que, a partir de 2025, la Oficina de la Unión pusiera en marcha un método más eficiente para recopilar y presentar la información prioritaria de los miembros y observadores de la UPOV</w:t>
      </w:r>
      <w:r w:rsidR="007B7C4D" w:rsidRPr="005101B9">
        <w:rPr>
          <w:lang w:val="es-ES_tradnl"/>
        </w:rPr>
        <w:t xml:space="preserve">. </w:t>
      </w:r>
      <w:r w:rsidRPr="005101B9">
        <w:rPr>
          <w:lang w:val="es-ES_tradnl"/>
        </w:rPr>
        <w:t xml:space="preserve">La revisión del documento UPOV/INF/13/2 “Orientación sobre cómo ser miembro de la UPOV” es una de las medidas destinadas a aumentar la eficiencia de las sesiones de la UPOV. </w:t>
      </w:r>
    </w:p>
    <w:p w14:paraId="181F5561" w14:textId="77777777" w:rsidR="00061C57" w:rsidRPr="005101B9" w:rsidRDefault="00061C57" w:rsidP="00061C57">
      <w:pPr>
        <w:rPr>
          <w:lang w:val="es-ES_tradnl"/>
        </w:rPr>
      </w:pPr>
    </w:p>
    <w:p w14:paraId="051B3518" w14:textId="4A3CE0F5" w:rsidR="00061C57" w:rsidRPr="005101B9" w:rsidRDefault="00700904" w:rsidP="00061C57">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La sección B del documento UPOV/INF/13/2 se refiere a la solicitud de un Estado o una organización intergubernamental de que el Consejo emita una opinión sobre la conformidad de su legislación con las disposiciones del Convenio de la UPOV</w:t>
      </w:r>
      <w:r w:rsidR="007B7C4D" w:rsidRPr="005101B9">
        <w:rPr>
          <w:lang w:val="es-ES_tradnl"/>
        </w:rPr>
        <w:t xml:space="preserve">. </w:t>
      </w:r>
    </w:p>
    <w:p w14:paraId="01690A73" w14:textId="77777777" w:rsidR="00061C57" w:rsidRPr="005101B9" w:rsidRDefault="00061C57" w:rsidP="00061C57">
      <w:pPr>
        <w:rPr>
          <w:lang w:val="es-ES_tradnl"/>
        </w:rPr>
      </w:pPr>
    </w:p>
    <w:p w14:paraId="35C28783" w14:textId="6135558B" w:rsidR="00061C57" w:rsidRPr="005101B9" w:rsidRDefault="00094C7E" w:rsidP="00061C57">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 xml:space="preserve">Los párrafos 9 y 19 del documento UPOV/INF/13/2 aclaran que una ley o un proyecto de ley que se haya presentado al Consejo y haya recibido una opinión favorable puede servir de base para una decisión favorable del Consejo sobre la adhesión al Convenio de la UPOV, siempre que no se introduzcan modificaciones en el proyecto de ley o en la ley con posterioridad a la fecha de la opinión favorable del Consejo. </w:t>
      </w:r>
    </w:p>
    <w:p w14:paraId="02D58D1A" w14:textId="77777777" w:rsidR="00061C57" w:rsidRPr="005101B9" w:rsidRDefault="00061C57" w:rsidP="00061C57">
      <w:pPr>
        <w:rPr>
          <w:lang w:val="es-ES_tradnl"/>
        </w:rPr>
      </w:pPr>
    </w:p>
    <w:p w14:paraId="5592DB96" w14:textId="5AB53610" w:rsidR="00061C57" w:rsidRPr="005101B9" w:rsidRDefault="00094C7E" w:rsidP="00061C57">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 xml:space="preserve">El requisito de que </w:t>
      </w:r>
      <w:r w:rsidR="00B07A83" w:rsidRPr="005101B9">
        <w:rPr>
          <w:lang w:val="es-ES_tradnl"/>
        </w:rPr>
        <w:t>“</w:t>
      </w:r>
      <w:r w:rsidRPr="005101B9">
        <w:rPr>
          <w:lang w:val="es-ES_tradnl"/>
        </w:rPr>
        <w:t>no se introduzcan modificaciones” es bastante estricto</w:t>
      </w:r>
      <w:r w:rsidR="007B7C4D" w:rsidRPr="005101B9">
        <w:rPr>
          <w:lang w:val="es-ES_tradnl"/>
        </w:rPr>
        <w:t xml:space="preserve">. </w:t>
      </w:r>
      <w:r w:rsidRPr="005101B9">
        <w:rPr>
          <w:lang w:val="es-ES_tradnl"/>
        </w:rPr>
        <w:t>Esto implica que incluso los cambios más insignificantes, independientemente de su naturaleza, requerirían una nueva decisión del Consejo sobre la conformidad de la ley con el Convenio de la UPOV. Esto significa que incluso las modificaciones de carácter meramente editorial o los cambios no sustantivos darían lugar a una nueva evaluación por parte del Consejo.</w:t>
      </w:r>
    </w:p>
    <w:p w14:paraId="7DFEEBB9" w14:textId="77777777" w:rsidR="00061C57" w:rsidRPr="005101B9" w:rsidRDefault="00061C57" w:rsidP="00061C57">
      <w:pPr>
        <w:rPr>
          <w:lang w:val="es-ES_tradnl"/>
        </w:rPr>
      </w:pPr>
    </w:p>
    <w:p w14:paraId="37A60E12" w14:textId="526F7386" w:rsidR="00061C57" w:rsidRPr="005101B9" w:rsidRDefault="00094C7E" w:rsidP="009C7356">
      <w:pPr>
        <w:keepNext/>
        <w:keepLines/>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 xml:space="preserve">El proceso de examen del Consejo requiere una gran cantidad de recursos y supone un esfuerzo considerable por parte del </w:t>
      </w:r>
      <w:r w:rsidR="007020E1" w:rsidRPr="005101B9">
        <w:rPr>
          <w:lang w:val="es-ES_tradnl"/>
        </w:rPr>
        <w:t xml:space="preserve">candidato a </w:t>
      </w:r>
      <w:r w:rsidR="0086637E" w:rsidRPr="005101B9">
        <w:rPr>
          <w:lang w:val="es-ES_tradnl"/>
        </w:rPr>
        <w:t xml:space="preserve">ser </w:t>
      </w:r>
      <w:r w:rsidR="007020E1" w:rsidRPr="005101B9">
        <w:rPr>
          <w:lang w:val="es-ES_tradnl"/>
        </w:rPr>
        <w:t>miembro</w:t>
      </w:r>
      <w:r w:rsidRPr="005101B9">
        <w:rPr>
          <w:lang w:val="es-ES_tradnl"/>
        </w:rPr>
        <w:t>, de los miembros de la UPOV que forman parte del Consejo y de la Oficina de la Unión</w:t>
      </w:r>
      <w:r w:rsidR="007B7C4D" w:rsidRPr="005101B9">
        <w:rPr>
          <w:lang w:val="es-ES_tradnl"/>
        </w:rPr>
        <w:t xml:space="preserve">. </w:t>
      </w:r>
      <w:r w:rsidRPr="005101B9">
        <w:rPr>
          <w:lang w:val="es-ES_tradnl"/>
        </w:rPr>
        <w:t>Para agilizar este proceso, se propone que las modificaciones que sean de carácter meramente editorial y no alteren el contenido de la ley o del proyecto de ley no requieran una nueva evaluación por parte del Consejo.</w:t>
      </w:r>
    </w:p>
    <w:p w14:paraId="0D4F3538" w14:textId="77777777" w:rsidR="00D17BC0" w:rsidRPr="005101B9" w:rsidRDefault="00D17BC0" w:rsidP="00D17BC0">
      <w:pPr>
        <w:rPr>
          <w:lang w:val="es-ES_tradnl"/>
        </w:rPr>
      </w:pPr>
    </w:p>
    <w:p w14:paraId="5497C983" w14:textId="18865A52" w:rsidR="00252BEA" w:rsidRPr="005101B9" w:rsidRDefault="0072548E" w:rsidP="004E3FE9">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Las propuestas de revisión del documento UPOV/INF/13/2 “Orientación sobre cómo ser miembro de la UPOV</w:t>
      </w:r>
      <w:r w:rsidR="00372F57" w:rsidRPr="005101B9">
        <w:rPr>
          <w:lang w:val="es-ES_tradnl"/>
        </w:rPr>
        <w:t>”</w:t>
      </w:r>
      <w:r w:rsidRPr="005101B9">
        <w:rPr>
          <w:lang w:val="es-ES_tradnl"/>
        </w:rPr>
        <w:t xml:space="preserve"> son las siguientes:</w:t>
      </w:r>
    </w:p>
    <w:p w14:paraId="0A8F68CC" w14:textId="77777777" w:rsidR="00252BEA" w:rsidRPr="005101B9" w:rsidRDefault="00252BEA" w:rsidP="00252BEA">
      <w:pPr>
        <w:rPr>
          <w:szCs w:val="24"/>
          <w:lang w:val="es-ES_tradnl"/>
        </w:rPr>
      </w:pPr>
    </w:p>
    <w:p w14:paraId="3AB41382" w14:textId="0CF1A1CC" w:rsidR="00252BEA" w:rsidRPr="005101B9" w:rsidRDefault="00252BEA" w:rsidP="007A076C">
      <w:pPr>
        <w:keepLines/>
        <w:ind w:left="567" w:right="567"/>
        <w:rPr>
          <w:lang w:val="es-ES_tradnl"/>
        </w:rPr>
      </w:pPr>
      <w:r w:rsidRPr="005101B9">
        <w:rPr>
          <w:lang w:val="es-ES_tradnl"/>
        </w:rPr>
        <w:lastRenderedPageBreak/>
        <w:t>9.</w:t>
      </w:r>
      <w:r w:rsidRPr="005101B9">
        <w:rPr>
          <w:lang w:val="es-ES_tradnl"/>
        </w:rPr>
        <w:tab/>
        <w:t>Un Estado u organización intergubernamental puede presentar al Consejo la ley promulgada o el proyecto de ley tal como fue presentado al parlamento o al órgano legislativo</w:t>
      </w:r>
      <w:r w:rsidR="007B7C4D" w:rsidRPr="005101B9">
        <w:rPr>
          <w:lang w:val="es-ES_tradnl"/>
        </w:rPr>
        <w:t xml:space="preserve">. </w:t>
      </w:r>
      <w:r w:rsidRPr="005101B9">
        <w:rPr>
          <w:lang w:val="es-ES_tradnl"/>
        </w:rPr>
        <w:t xml:space="preserve">El proyecto de ley puede constituir la base de una decisión positiva del Consejo respecto de la </w:t>
      </w:r>
      <w:r w:rsidR="00A47A48" w:rsidRPr="005101B9">
        <w:rPr>
          <w:lang w:val="es-ES_tradnl"/>
        </w:rPr>
        <w:t>adhesi</w:t>
      </w:r>
      <w:r w:rsidR="00142E42" w:rsidRPr="005101B9">
        <w:rPr>
          <w:lang w:val="es-ES_tradnl"/>
        </w:rPr>
        <w:t>ó</w:t>
      </w:r>
      <w:r w:rsidR="00A47A48" w:rsidRPr="005101B9">
        <w:rPr>
          <w:lang w:val="es-ES_tradnl"/>
        </w:rPr>
        <w:t xml:space="preserve">n </w:t>
      </w:r>
      <w:r w:rsidRPr="005101B9">
        <w:rPr>
          <w:lang w:val="es-ES_tradnl"/>
        </w:rPr>
        <w:t>al Convenio de la UPOV,</w:t>
      </w:r>
      <w:r w:rsidR="00900A1C" w:rsidRPr="005101B9">
        <w:rPr>
          <w:lang w:val="es-ES_tradnl"/>
        </w:rPr>
        <w:t xml:space="preserve"> </w:t>
      </w:r>
      <w:r w:rsidRPr="005101B9">
        <w:rPr>
          <w:lang w:val="es-ES_tradnl"/>
        </w:rPr>
        <w:t xml:space="preserve">siempre que no se hayan introducido enmiendas al proyecto de ley durante el procedimiento parlamentario </w:t>
      </w:r>
      <w:r w:rsidRPr="005101B9">
        <w:rPr>
          <w:highlight w:val="lightGray"/>
          <w:u w:val="single"/>
          <w:lang w:val="es-ES_tradnl"/>
        </w:rPr>
        <w:t>(excepto las modificaciones de carácter estrictamente editorial; no se aceptarán cambios de fondo),</w:t>
      </w:r>
      <w:r w:rsidRPr="005101B9">
        <w:rPr>
          <w:lang w:val="es-ES_tradnl"/>
        </w:rPr>
        <w:t xml:space="preserve"> salvo que sean modificaciones propuestas por el Consejo en su decisión (véase más abajo la subsección e) “Decisión del Consejo en la que conste su opinión”). </w:t>
      </w:r>
    </w:p>
    <w:p w14:paraId="16E723C3" w14:textId="77777777" w:rsidR="005B5E60" w:rsidRPr="005101B9" w:rsidRDefault="005B5E60" w:rsidP="00252BEA">
      <w:pPr>
        <w:ind w:left="567" w:right="567"/>
        <w:rPr>
          <w:lang w:val="es-ES_tradnl"/>
        </w:rPr>
      </w:pPr>
    </w:p>
    <w:p w14:paraId="295D2673" w14:textId="47416373" w:rsidR="00252BEA" w:rsidRPr="005101B9" w:rsidRDefault="00D52485" w:rsidP="00D52485">
      <w:pPr>
        <w:ind w:left="567" w:right="567"/>
        <w:rPr>
          <w:lang w:val="es-ES_tradnl"/>
        </w:rPr>
      </w:pPr>
      <w:r w:rsidRPr="005101B9">
        <w:rPr>
          <w:lang w:val="es-ES_tradnl"/>
        </w:rPr>
        <w:t>[…]</w:t>
      </w:r>
    </w:p>
    <w:p w14:paraId="2894676B" w14:textId="77777777" w:rsidR="005B5E60" w:rsidRPr="005101B9" w:rsidRDefault="005B5E60" w:rsidP="0020554C">
      <w:pPr>
        <w:ind w:left="567" w:right="567"/>
        <w:rPr>
          <w:lang w:val="es-ES_tradnl"/>
        </w:rPr>
      </w:pPr>
    </w:p>
    <w:p w14:paraId="60504EFB" w14:textId="7723F378" w:rsidR="005B5E60" w:rsidRPr="005101B9" w:rsidRDefault="005B5E60" w:rsidP="005B5E60">
      <w:pPr>
        <w:tabs>
          <w:tab w:val="left" w:pos="1134"/>
        </w:tabs>
        <w:ind w:left="567" w:right="567"/>
        <w:rPr>
          <w:lang w:val="es-ES_tradnl"/>
        </w:rPr>
      </w:pPr>
      <w:r w:rsidRPr="005101B9">
        <w:rPr>
          <w:lang w:val="es-ES_tradnl"/>
        </w:rPr>
        <w:t>19.</w:t>
      </w:r>
      <w:r w:rsidRPr="005101B9">
        <w:rPr>
          <w:lang w:val="es-ES_tradnl"/>
        </w:rPr>
        <w:tab/>
        <w:t>A continuación se resumen algunos posibles supuestos en relación con las decisiones del Consejo:</w:t>
      </w:r>
    </w:p>
    <w:p w14:paraId="03F2EE98" w14:textId="77777777" w:rsidR="005B5E60" w:rsidRPr="005101B9" w:rsidRDefault="005B5E60" w:rsidP="005B5E60">
      <w:pPr>
        <w:tabs>
          <w:tab w:val="left" w:pos="1134"/>
        </w:tabs>
        <w:ind w:left="567" w:right="567"/>
        <w:rPr>
          <w:lang w:val="es-ES_tradnl"/>
        </w:rPr>
      </w:pPr>
    </w:p>
    <w:p w14:paraId="19B7F6EB" w14:textId="496DA966" w:rsidR="005B5E60" w:rsidRPr="005101B9" w:rsidRDefault="001E708B" w:rsidP="001E708B">
      <w:pPr>
        <w:ind w:left="567" w:right="567" w:firstLine="567"/>
        <w:rPr>
          <w:lang w:val="es-ES_tradnl"/>
        </w:rPr>
      </w:pPr>
      <w:r w:rsidRPr="005101B9">
        <w:rPr>
          <w:lang w:val="es-ES_tradnl"/>
        </w:rPr>
        <w:t>i)</w:t>
      </w:r>
      <w:r w:rsidRPr="005101B9">
        <w:rPr>
          <w:lang w:val="es-ES_tradnl"/>
        </w:rPr>
        <w:tab/>
      </w:r>
      <w:r w:rsidR="005B5E60" w:rsidRPr="005101B9">
        <w:rPr>
          <w:lang w:val="es-ES_tradnl"/>
        </w:rPr>
        <w:t>La decisión del Consejo en la que conste la opinión se refiere a una ley promulgada y es positiva:</w:t>
      </w:r>
      <w:r w:rsidR="00EC74D1" w:rsidRPr="005101B9">
        <w:rPr>
          <w:lang w:val="es-ES_tradnl"/>
        </w:rPr>
        <w:t xml:space="preserve"> </w:t>
      </w:r>
      <w:r w:rsidR="005B5E60" w:rsidRPr="005101B9">
        <w:rPr>
          <w:lang w:val="es-ES_tradnl"/>
        </w:rPr>
        <w:t xml:space="preserve">se podrá depositar el instrumento de adhesión (artículo 34.3) del Convenio de la UPOV) (véase la </w:t>
      </w:r>
      <w:r w:rsidR="00704E3F" w:rsidRPr="005101B9">
        <w:rPr>
          <w:lang w:val="es-ES_tradnl"/>
        </w:rPr>
        <w:t>s</w:t>
      </w:r>
      <w:r w:rsidR="005B5E60" w:rsidRPr="005101B9">
        <w:rPr>
          <w:lang w:val="es-ES_tradnl"/>
        </w:rPr>
        <w:t xml:space="preserve">ección C. “Aplicación del Convenio”), siempre que </w:t>
      </w:r>
      <w:r w:rsidR="005B5E60" w:rsidRPr="005101B9">
        <w:rPr>
          <w:strike/>
          <w:highlight w:val="lightGray"/>
          <w:lang w:val="es-ES_tradnl"/>
        </w:rPr>
        <w:t>la ley no haya sido modificada entretanto;</w:t>
      </w:r>
      <w:r w:rsidR="005B5E60" w:rsidRPr="005101B9">
        <w:rPr>
          <w:lang w:val="es-ES_tradnl"/>
        </w:rPr>
        <w:t xml:space="preserve"> </w:t>
      </w:r>
      <w:r w:rsidR="005B5E60" w:rsidRPr="005101B9">
        <w:rPr>
          <w:highlight w:val="lightGray"/>
          <w:u w:val="single"/>
          <w:lang w:val="es-ES_tradnl"/>
        </w:rPr>
        <w:t>no se hayan introducido modificaciones (excepto las modificaciones de carácter estrictamente editorial; no se aceptarán cambios de fondo) en la ley entretanto;</w:t>
      </w:r>
      <w:r w:rsidR="005B5E60" w:rsidRPr="005101B9">
        <w:rPr>
          <w:u w:val="single"/>
          <w:lang w:val="es-ES_tradnl"/>
        </w:rPr>
        <w:t xml:space="preserve"> </w:t>
      </w:r>
    </w:p>
    <w:p w14:paraId="4188439A" w14:textId="77777777" w:rsidR="005B5E60" w:rsidRPr="005101B9" w:rsidRDefault="005B5E60" w:rsidP="005B5E60">
      <w:pPr>
        <w:tabs>
          <w:tab w:val="left" w:pos="1134"/>
        </w:tabs>
        <w:ind w:left="567" w:right="567"/>
        <w:rPr>
          <w:lang w:val="es-ES_tradnl"/>
        </w:rPr>
      </w:pPr>
    </w:p>
    <w:p w14:paraId="2396478F" w14:textId="275446BF" w:rsidR="005B5E60" w:rsidRPr="005101B9" w:rsidRDefault="001E708B" w:rsidP="005B5E60">
      <w:pPr>
        <w:tabs>
          <w:tab w:val="left" w:pos="993"/>
          <w:tab w:val="left" w:pos="1134"/>
        </w:tabs>
        <w:ind w:left="567" w:right="567"/>
        <w:rPr>
          <w:lang w:val="es-ES_tradnl"/>
        </w:rPr>
      </w:pPr>
      <w:r w:rsidRPr="005101B9">
        <w:rPr>
          <w:lang w:val="es-ES_tradnl"/>
        </w:rPr>
        <w:tab/>
        <w:t>ii)</w:t>
      </w:r>
      <w:r w:rsidRPr="005101B9">
        <w:rPr>
          <w:lang w:val="es-ES_tradnl"/>
        </w:rPr>
        <w:tab/>
      </w:r>
      <w:r w:rsidR="005B5E60" w:rsidRPr="005101B9">
        <w:rPr>
          <w:lang w:val="es-ES_tradnl"/>
        </w:rPr>
        <w:t>La decisión del Consejo en la que conste la opinión se refiere a un proyecto de ley y es positiva:</w:t>
      </w:r>
      <w:r w:rsidR="00EC74D1" w:rsidRPr="005101B9">
        <w:rPr>
          <w:lang w:val="es-ES_tradnl"/>
        </w:rPr>
        <w:t xml:space="preserve"> </w:t>
      </w:r>
      <w:r w:rsidR="005B5E60" w:rsidRPr="005101B9">
        <w:rPr>
          <w:lang w:val="es-ES_tradnl"/>
        </w:rPr>
        <w:t xml:space="preserve">si ese proyecto ha sido adoptado sin </w:t>
      </w:r>
      <w:r w:rsidR="005B5E60" w:rsidRPr="005101B9">
        <w:rPr>
          <w:strike/>
          <w:highlight w:val="lightGray"/>
          <w:lang w:val="es-ES_tradnl"/>
        </w:rPr>
        <w:t xml:space="preserve">cambios </w:t>
      </w:r>
      <w:r w:rsidR="005B5E60" w:rsidRPr="005101B9">
        <w:rPr>
          <w:highlight w:val="lightGray"/>
          <w:u w:val="single"/>
          <w:lang w:val="es-ES_tradnl"/>
        </w:rPr>
        <w:t>modificaciones (excepto las modificaciones de carácter estrictamente editorial; no se aceptarán cambios de fondo)</w:t>
      </w:r>
      <w:r w:rsidR="005B5E60" w:rsidRPr="005101B9">
        <w:rPr>
          <w:lang w:val="es-ES_tradnl"/>
        </w:rPr>
        <w:t xml:space="preserve"> y </w:t>
      </w:r>
      <w:r w:rsidR="004A72FA" w:rsidRPr="005101B9">
        <w:rPr>
          <w:lang w:val="es-ES_tradnl"/>
        </w:rPr>
        <w:t xml:space="preserve">ha </w:t>
      </w:r>
      <w:r w:rsidR="005B5E60" w:rsidRPr="005101B9">
        <w:rPr>
          <w:lang w:val="es-ES_tradnl"/>
        </w:rPr>
        <w:t>entrado en vigor, el Estado u organización</w:t>
      </w:r>
      <w:r w:rsidR="00F733CA" w:rsidRPr="005101B9">
        <w:rPr>
          <w:lang w:val="es-ES_tradnl"/>
        </w:rPr>
        <w:t xml:space="preserve"> </w:t>
      </w:r>
      <w:r w:rsidR="005B5E60" w:rsidRPr="005101B9">
        <w:rPr>
          <w:lang w:val="es-ES_tradnl"/>
        </w:rPr>
        <w:t>intergubernamental podrá depositar su instrumento de adhesión al Convenio de la UPOV (véase la sección C. “Aplicación del Convenio”);</w:t>
      </w:r>
    </w:p>
    <w:p w14:paraId="058C3308" w14:textId="77777777" w:rsidR="005B5E60" w:rsidRPr="005101B9" w:rsidRDefault="005B5E60" w:rsidP="005B5E60">
      <w:pPr>
        <w:tabs>
          <w:tab w:val="left" w:pos="1134"/>
        </w:tabs>
        <w:ind w:left="567" w:right="567"/>
        <w:rPr>
          <w:lang w:val="es-ES_tradnl"/>
        </w:rPr>
      </w:pPr>
    </w:p>
    <w:p w14:paraId="70CD45F5" w14:textId="33EF0247" w:rsidR="00D52485" w:rsidRPr="005101B9" w:rsidRDefault="00D52485" w:rsidP="005B5E60">
      <w:pPr>
        <w:tabs>
          <w:tab w:val="left" w:pos="1134"/>
        </w:tabs>
        <w:ind w:left="567" w:right="567"/>
        <w:rPr>
          <w:lang w:val="es-ES_tradnl"/>
        </w:rPr>
      </w:pPr>
      <w:r w:rsidRPr="005101B9">
        <w:rPr>
          <w:lang w:val="es-ES_tradnl"/>
        </w:rPr>
        <w:t>[…]</w:t>
      </w:r>
    </w:p>
    <w:p w14:paraId="23F74639" w14:textId="77777777" w:rsidR="00D52485" w:rsidRPr="005101B9" w:rsidRDefault="00D52485" w:rsidP="005B5E60">
      <w:pPr>
        <w:tabs>
          <w:tab w:val="left" w:pos="1134"/>
        </w:tabs>
        <w:ind w:left="567" w:right="567"/>
        <w:rPr>
          <w:lang w:val="es-ES_tradnl"/>
        </w:rPr>
      </w:pPr>
    </w:p>
    <w:p w14:paraId="6E8E7672" w14:textId="2D827D2D" w:rsidR="005B5E60" w:rsidRPr="005101B9" w:rsidRDefault="001E708B" w:rsidP="005B5E60">
      <w:pPr>
        <w:tabs>
          <w:tab w:val="left" w:pos="993"/>
          <w:tab w:val="left" w:pos="1134"/>
        </w:tabs>
        <w:ind w:left="567" w:right="567"/>
        <w:rPr>
          <w:lang w:val="es-ES_tradnl"/>
        </w:rPr>
      </w:pPr>
      <w:r w:rsidRPr="005101B9">
        <w:rPr>
          <w:lang w:val="es-ES_tradnl"/>
        </w:rPr>
        <w:tab/>
        <w:t>iv)</w:t>
      </w:r>
      <w:r w:rsidRPr="005101B9">
        <w:rPr>
          <w:lang w:val="es-ES_tradnl"/>
        </w:rPr>
        <w:tab/>
      </w:r>
      <w:r w:rsidR="005B5E60" w:rsidRPr="005101B9">
        <w:rPr>
          <w:lang w:val="es-ES_tradnl"/>
        </w:rPr>
        <w:t>La decisión del Consejo en la que conste la opinión se refiere a un proyecto de ley y es positiva, sujeta a modificaciones: se hará referencia a esas modificaciones en la decisión del Consejo en la que</w:t>
      </w:r>
      <w:r w:rsidR="00B3253F" w:rsidRPr="005101B9">
        <w:rPr>
          <w:lang w:val="es-ES_tradnl"/>
        </w:rPr>
        <w:t xml:space="preserve"> </w:t>
      </w:r>
      <w:r w:rsidR="005B5E60" w:rsidRPr="005101B9">
        <w:rPr>
          <w:lang w:val="es-ES_tradnl"/>
        </w:rPr>
        <w:t>conste su opinión positiva</w:t>
      </w:r>
      <w:r w:rsidR="007B7C4D" w:rsidRPr="005101B9">
        <w:rPr>
          <w:lang w:val="es-ES_tradnl"/>
        </w:rPr>
        <w:t xml:space="preserve">. </w:t>
      </w:r>
      <w:r w:rsidR="005B5E60" w:rsidRPr="005101B9">
        <w:rPr>
          <w:lang w:val="es-ES_tradnl"/>
        </w:rPr>
        <w:t xml:space="preserve">Una vez que se hayan introducido las modificaciones exigidas y que la ley </w:t>
      </w:r>
      <w:r w:rsidR="001B100E" w:rsidRPr="005101B9">
        <w:rPr>
          <w:lang w:val="es-ES_tradnl"/>
        </w:rPr>
        <w:t xml:space="preserve">se promulgue </w:t>
      </w:r>
      <w:r w:rsidR="005B5E60" w:rsidRPr="005101B9">
        <w:rPr>
          <w:lang w:val="es-ES_tradnl"/>
        </w:rPr>
        <w:t xml:space="preserve">sin </w:t>
      </w:r>
      <w:r w:rsidR="005B5E60" w:rsidRPr="005101B9">
        <w:rPr>
          <w:strike/>
          <w:highlight w:val="lightGray"/>
          <w:lang w:val="es-ES_tradnl"/>
        </w:rPr>
        <w:t xml:space="preserve">cambios </w:t>
      </w:r>
      <w:r w:rsidR="005B5E60" w:rsidRPr="005101B9">
        <w:rPr>
          <w:highlight w:val="lightGray"/>
          <w:u w:val="single"/>
          <w:lang w:val="es-ES_tradnl"/>
        </w:rPr>
        <w:t>modificaciones adicionales (excepto las modificaciones de carácter estrictamente editorial; no se aceptarán cambios de fondo)</w:t>
      </w:r>
      <w:r w:rsidR="00F71C5B" w:rsidRPr="005101B9">
        <w:rPr>
          <w:lang w:val="es-ES_tradnl"/>
        </w:rPr>
        <w:t xml:space="preserve"> y esté en vigor</w:t>
      </w:r>
      <w:r w:rsidR="005B5E60" w:rsidRPr="005101B9">
        <w:rPr>
          <w:lang w:val="es-ES_tradnl"/>
        </w:rPr>
        <w:t xml:space="preserve">, el Estado u organización intergubernamental podrá depositar su instrumento de adhesión al Convenio de la UPOV (véase la sección C “Aplicación del Convenio”); </w:t>
      </w:r>
    </w:p>
    <w:p w14:paraId="0A05005F" w14:textId="77777777" w:rsidR="00252BEA" w:rsidRPr="005101B9" w:rsidRDefault="00252BEA" w:rsidP="004E3FE9">
      <w:pPr>
        <w:rPr>
          <w:lang w:val="es-ES_tradnl"/>
        </w:rPr>
      </w:pPr>
    </w:p>
    <w:p w14:paraId="6A668A39" w14:textId="642E9AEE" w:rsidR="00827109" w:rsidRPr="005101B9" w:rsidRDefault="00827109" w:rsidP="004E3FE9">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 xml:space="preserve">La sección E del documento UPOV/INF/13/2 se refiere a la </w:t>
      </w:r>
      <w:r w:rsidR="004F5AE2" w:rsidRPr="005101B9">
        <w:rPr>
          <w:lang w:val="es-ES_tradnl"/>
        </w:rPr>
        <w:t>“Notificación del representante del Consejo y de su suplente”</w:t>
      </w:r>
      <w:r w:rsidRPr="005101B9">
        <w:rPr>
          <w:lang w:val="es-ES_tradnl"/>
        </w:rPr>
        <w:t xml:space="preserve">.  A fin de reflejar la supresión de la zona restringida del sitio web de la UPOV y del documento UPOV/INF/20 </w:t>
      </w:r>
      <w:r w:rsidR="00967B85" w:rsidRPr="005101B9">
        <w:rPr>
          <w:lang w:val="es-ES_tradnl"/>
        </w:rPr>
        <w:t xml:space="preserve">“Reglas </w:t>
      </w:r>
      <w:r w:rsidRPr="005101B9">
        <w:rPr>
          <w:lang w:val="es-ES_tradnl"/>
        </w:rPr>
        <w:t>que rigen el acceso a los documentos de la UPOV</w:t>
      </w:r>
      <w:r w:rsidR="00967B85" w:rsidRPr="005101B9">
        <w:rPr>
          <w:lang w:val="es-ES_tradnl"/>
        </w:rPr>
        <w:t>”</w:t>
      </w:r>
      <w:r w:rsidRPr="005101B9">
        <w:rPr>
          <w:lang w:val="es-ES_tradnl"/>
        </w:rPr>
        <w:t xml:space="preserve"> en 2024 (véase el documento C/58/19 </w:t>
      </w:r>
      <w:r w:rsidR="00967B85" w:rsidRPr="005101B9">
        <w:rPr>
          <w:lang w:val="es-ES_tradnl"/>
        </w:rPr>
        <w:t>“</w:t>
      </w:r>
      <w:r w:rsidRPr="005101B9">
        <w:rPr>
          <w:lang w:val="es-ES_tradnl"/>
        </w:rPr>
        <w:t>Informe</w:t>
      </w:r>
      <w:r w:rsidR="00967B85" w:rsidRPr="005101B9">
        <w:rPr>
          <w:lang w:val="es-ES_tradnl"/>
        </w:rPr>
        <w:t>”</w:t>
      </w:r>
      <w:r w:rsidRPr="005101B9">
        <w:rPr>
          <w:lang w:val="es-ES_tradnl"/>
        </w:rPr>
        <w:t xml:space="preserve">, </w:t>
      </w:r>
      <w:r w:rsidR="00967B85" w:rsidRPr="005101B9">
        <w:rPr>
          <w:lang w:val="es-ES_tradnl"/>
        </w:rPr>
        <w:t xml:space="preserve">párrafo </w:t>
      </w:r>
      <w:r w:rsidRPr="005101B9">
        <w:rPr>
          <w:lang w:val="es-ES_tradnl"/>
        </w:rPr>
        <w:t>40), se propone modificar la sección E de la siguiente manera:</w:t>
      </w:r>
    </w:p>
    <w:p w14:paraId="275C8558" w14:textId="77777777" w:rsidR="00967B85" w:rsidRPr="005101B9" w:rsidRDefault="00967B85" w:rsidP="004E3FE9">
      <w:pPr>
        <w:rPr>
          <w:lang w:val="es-ES_tradnl"/>
        </w:rPr>
      </w:pPr>
    </w:p>
    <w:p w14:paraId="770CD226" w14:textId="77777777" w:rsidR="001E7006" w:rsidRPr="005101B9" w:rsidRDefault="001E7006" w:rsidP="001E7006">
      <w:pPr>
        <w:ind w:left="567"/>
        <w:rPr>
          <w:u w:val="single"/>
          <w:lang w:val="es-ES_tradnl"/>
        </w:rPr>
      </w:pPr>
      <w:bookmarkStart w:id="6" w:name="_Toc231879340"/>
      <w:bookmarkStart w:id="7" w:name="_Toc233608578"/>
      <w:bookmarkStart w:id="8" w:name="_Toc502940136"/>
      <w:r w:rsidRPr="005101B9">
        <w:rPr>
          <w:u w:val="single"/>
          <w:lang w:val="es-ES_tradnl"/>
        </w:rPr>
        <w:t>Sección E</w:t>
      </w:r>
      <w:r w:rsidRPr="005101B9">
        <w:rPr>
          <w:lang w:val="es-ES_tradnl"/>
        </w:rPr>
        <w:t>.</w:t>
      </w:r>
      <w:bookmarkEnd w:id="6"/>
      <w:r w:rsidRPr="005101B9">
        <w:rPr>
          <w:lang w:val="es-ES_tradnl"/>
        </w:rPr>
        <w:tab/>
      </w:r>
      <w:r w:rsidRPr="005101B9">
        <w:rPr>
          <w:u w:val="single"/>
          <w:lang w:val="es-ES_tradnl"/>
        </w:rPr>
        <w:t>Notificación del representante en el Consejo y de su suplente</w:t>
      </w:r>
      <w:bookmarkEnd w:id="7"/>
      <w:bookmarkEnd w:id="8"/>
    </w:p>
    <w:p w14:paraId="41E6FB68" w14:textId="77777777" w:rsidR="001E7006" w:rsidRPr="005101B9" w:rsidRDefault="001E7006" w:rsidP="001E7006">
      <w:pPr>
        <w:keepNext/>
        <w:ind w:left="567"/>
        <w:jc w:val="left"/>
        <w:rPr>
          <w:i/>
          <w:lang w:val="es-ES_tradnl"/>
        </w:rPr>
      </w:pPr>
    </w:p>
    <w:p w14:paraId="5547AB82" w14:textId="77777777" w:rsidR="001E7006" w:rsidRPr="005101B9" w:rsidRDefault="001E7006" w:rsidP="001E7006">
      <w:pPr>
        <w:keepNext/>
        <w:ind w:left="567"/>
        <w:jc w:val="left"/>
        <w:rPr>
          <w:i/>
          <w:lang w:val="es-ES_tradnl"/>
        </w:rPr>
      </w:pPr>
      <w:r w:rsidRPr="005101B9">
        <w:rPr>
          <w:i/>
          <w:lang w:val="es-ES_tradnl"/>
        </w:rPr>
        <w:t>Artículo pertinente</w:t>
      </w:r>
    </w:p>
    <w:p w14:paraId="398B7531" w14:textId="77777777" w:rsidR="001E7006" w:rsidRPr="005101B9" w:rsidRDefault="001E7006" w:rsidP="001E7006">
      <w:pPr>
        <w:ind w:left="567"/>
        <w:jc w:val="center"/>
        <w:rPr>
          <w:lang w:val="es-ES_tradnl"/>
        </w:rPr>
      </w:pPr>
      <w:r w:rsidRPr="005101B9">
        <w:rPr>
          <w:b/>
          <w:lang w:val="es-ES_tradnl"/>
        </w:rPr>
        <w:t>Artículo 26</w:t>
      </w:r>
    </w:p>
    <w:p w14:paraId="361B9FE9" w14:textId="77777777" w:rsidR="001E7006" w:rsidRPr="005101B9" w:rsidRDefault="001E7006" w:rsidP="001E7006">
      <w:pPr>
        <w:ind w:left="567"/>
        <w:rPr>
          <w:lang w:val="es-ES_tradnl"/>
        </w:rPr>
      </w:pPr>
    </w:p>
    <w:p w14:paraId="5CD26F94" w14:textId="77777777" w:rsidR="001E7006" w:rsidRPr="005101B9" w:rsidRDefault="001E7006" w:rsidP="001E7006">
      <w:pPr>
        <w:ind w:left="567"/>
        <w:jc w:val="center"/>
        <w:rPr>
          <w:lang w:val="es-ES_tradnl"/>
        </w:rPr>
      </w:pPr>
      <w:r w:rsidRPr="005101B9">
        <w:rPr>
          <w:b/>
          <w:lang w:val="es-ES_tradnl"/>
        </w:rPr>
        <w:t>El Consejo</w:t>
      </w:r>
    </w:p>
    <w:p w14:paraId="100F7AFA" w14:textId="77777777" w:rsidR="001E7006" w:rsidRPr="005101B9" w:rsidRDefault="001E7006" w:rsidP="001E7006">
      <w:pPr>
        <w:ind w:left="567"/>
        <w:rPr>
          <w:lang w:val="es-ES_tradnl"/>
        </w:rPr>
      </w:pPr>
    </w:p>
    <w:p w14:paraId="3CED861D" w14:textId="77777777" w:rsidR="001E7006" w:rsidRPr="005101B9" w:rsidRDefault="001E7006" w:rsidP="001E7006">
      <w:pPr>
        <w:ind w:left="567"/>
        <w:rPr>
          <w:b/>
          <w:lang w:val="es-ES_tradnl"/>
        </w:rPr>
      </w:pPr>
      <w:r w:rsidRPr="005101B9">
        <w:rPr>
          <w:b/>
          <w:lang w:val="es-ES_tradnl"/>
        </w:rPr>
        <w:tab/>
        <w:t>1)</w:t>
      </w:r>
      <w:r w:rsidRPr="005101B9">
        <w:rPr>
          <w:b/>
          <w:lang w:val="es-ES_tradnl"/>
        </w:rPr>
        <w:tab/>
        <w:t>[</w:t>
      </w:r>
      <w:r w:rsidRPr="005101B9">
        <w:rPr>
          <w:b/>
          <w:i/>
          <w:lang w:val="es-ES_tradnl"/>
        </w:rPr>
        <w:t>Composición</w:t>
      </w:r>
      <w:r w:rsidRPr="005101B9">
        <w:rPr>
          <w:b/>
          <w:lang w:val="es-ES_tradnl"/>
        </w:rPr>
        <w:t>]  El Consejo estará compuesto por representantes de los miembros de la Unión.  Cada miembro de la Unión nombrará un representante en el Consejo y un suplente.  Los representantes o suplentes podrán estar acompañados por adjuntos o consejeros.</w:t>
      </w:r>
    </w:p>
    <w:p w14:paraId="7F3ED056" w14:textId="77777777" w:rsidR="001E7006" w:rsidRPr="005101B9" w:rsidRDefault="001E7006" w:rsidP="001E7006">
      <w:pPr>
        <w:ind w:left="567"/>
        <w:rPr>
          <w:lang w:val="es-ES_tradnl"/>
        </w:rPr>
      </w:pPr>
    </w:p>
    <w:p w14:paraId="27CB7039" w14:textId="34DACADA" w:rsidR="001E7006" w:rsidRPr="005101B9" w:rsidRDefault="001E7006" w:rsidP="001E7006">
      <w:pPr>
        <w:ind w:left="567"/>
        <w:rPr>
          <w:strike/>
          <w:szCs w:val="24"/>
          <w:lang w:val="es-ES_tradnl"/>
        </w:rPr>
      </w:pPr>
      <w:r w:rsidRPr="005101B9">
        <w:rPr>
          <w:lang w:val="es-ES_tradnl"/>
        </w:rPr>
        <w:t>31.</w:t>
      </w:r>
      <w:r w:rsidRPr="005101B9">
        <w:rPr>
          <w:lang w:val="es-ES_tradnl"/>
        </w:rPr>
        <w:tab/>
        <w:t>Cada miembro de la Unión debe notificar a la Oficina de la Unión los nombres, cargos y señas de su representante en el Consejo y de su suplente.  Una de las responsabilidades del representante en el Consejo es nombrar a personas en los órganos de la UPOV</w:t>
      </w:r>
      <w:r w:rsidR="00FA4A61" w:rsidRPr="005101B9">
        <w:rPr>
          <w:lang w:val="es-ES_tradnl"/>
        </w:rPr>
        <w:t xml:space="preserve"> </w:t>
      </w:r>
      <w:r w:rsidR="00FA4A61" w:rsidRPr="005101B9">
        <w:rPr>
          <w:highlight w:val="lightGray"/>
          <w:u w:val="single"/>
          <w:lang w:val="es-ES_tradnl"/>
        </w:rPr>
        <w:t xml:space="preserve">(véase el documento </w:t>
      </w:r>
      <w:hyperlink r:id="rId15" w:history="1">
        <w:r w:rsidR="00FA4A61" w:rsidRPr="005101B9">
          <w:rPr>
            <w:rStyle w:val="Hyperlink"/>
            <w:highlight w:val="lightGray"/>
            <w:lang w:val="es-ES_tradnl"/>
          </w:rPr>
          <w:t>UPOV/INF/15</w:t>
        </w:r>
      </w:hyperlink>
      <w:r w:rsidR="00FA4A61" w:rsidRPr="005101B9">
        <w:rPr>
          <w:highlight w:val="lightGray"/>
          <w:u w:val="single"/>
          <w:lang w:val="es-ES_tradnl"/>
        </w:rPr>
        <w:t xml:space="preserve"> “Orientación para los miembros de la UPOV</w:t>
      </w:r>
      <w:r w:rsidR="001B0179" w:rsidRPr="005101B9">
        <w:rPr>
          <w:highlight w:val="lightGray"/>
          <w:u w:val="single"/>
          <w:lang w:val="es-ES_tradnl"/>
        </w:rPr>
        <w:t>”).</w:t>
      </w:r>
      <w:r w:rsidRPr="005101B9">
        <w:rPr>
          <w:lang w:val="es-ES_tradnl"/>
        </w:rPr>
        <w:t xml:space="preserve"> </w:t>
      </w:r>
      <w:r w:rsidRPr="005101B9">
        <w:rPr>
          <w:strike/>
          <w:highlight w:val="lightGray"/>
          <w:lang w:val="es-ES_tradnl"/>
        </w:rPr>
        <w:t>y decidir a qué personas se les da acceso a los documentos de la UPOV que se encuentran en la primera y la segunda zonas restringidas del sitio Web de la UPOV (véanse las Reglas que rigen el acceso a los documentos de la UPOV</w:t>
      </w:r>
      <w:r w:rsidRPr="005101B9">
        <w:rPr>
          <w:strike/>
          <w:szCs w:val="24"/>
          <w:highlight w:val="lightGray"/>
          <w:lang w:val="es-ES_tradnl"/>
        </w:rPr>
        <w:t>).</w:t>
      </w:r>
    </w:p>
    <w:p w14:paraId="3CC4C2CF" w14:textId="77777777" w:rsidR="00967B85" w:rsidRPr="005101B9" w:rsidRDefault="00967B85" w:rsidP="004E3FE9">
      <w:pPr>
        <w:rPr>
          <w:lang w:val="es-ES_tradnl"/>
        </w:rPr>
      </w:pPr>
    </w:p>
    <w:p w14:paraId="0D89D7FE" w14:textId="0651FC8F" w:rsidR="004E3FE9" w:rsidRPr="005101B9" w:rsidRDefault="004E3FE9" w:rsidP="00EF30B2">
      <w:pPr>
        <w:keepLines/>
        <w:tabs>
          <w:tab w:val="left" w:pos="5387"/>
        </w:tabs>
        <w:ind w:left="4820"/>
        <w:rPr>
          <w:i/>
          <w:lang w:val="es-ES_tradnl"/>
        </w:rPr>
      </w:pPr>
      <w:r w:rsidRPr="005101B9">
        <w:rPr>
          <w:i/>
          <w:lang w:val="es-ES_tradnl"/>
        </w:rPr>
        <w:lastRenderedPageBreak/>
        <w:fldChar w:fldCharType="begin"/>
      </w:r>
      <w:r w:rsidRPr="005101B9">
        <w:rPr>
          <w:i/>
          <w:lang w:val="es-ES_tradnl"/>
        </w:rPr>
        <w:instrText xml:space="preserve"> AUTONUM  </w:instrText>
      </w:r>
      <w:r w:rsidRPr="005101B9">
        <w:rPr>
          <w:i/>
          <w:lang w:val="es-ES_tradnl"/>
        </w:rPr>
        <w:fldChar w:fldCharType="end"/>
      </w:r>
      <w:r w:rsidRPr="005101B9">
        <w:rPr>
          <w:i/>
          <w:lang w:val="es-ES_tradnl"/>
        </w:rPr>
        <w:tab/>
        <w:t xml:space="preserve">Se invita al Consejo a aprobar la revisión del documento UPOV/INF/13 “Orientación sobre cómo ser miembro de la UPOV”, tal y como se establece en </w:t>
      </w:r>
      <w:r w:rsidR="009216F5" w:rsidRPr="005101B9">
        <w:rPr>
          <w:i/>
          <w:lang w:val="es-ES_tradnl"/>
        </w:rPr>
        <w:t>los</w:t>
      </w:r>
      <w:r w:rsidRPr="005101B9">
        <w:rPr>
          <w:i/>
          <w:lang w:val="es-ES_tradnl"/>
        </w:rPr>
        <w:t xml:space="preserve"> párrafo</w:t>
      </w:r>
      <w:r w:rsidR="009216F5" w:rsidRPr="005101B9">
        <w:rPr>
          <w:i/>
          <w:lang w:val="es-ES_tradnl"/>
        </w:rPr>
        <w:t>s</w:t>
      </w:r>
      <w:r w:rsidRPr="005101B9">
        <w:rPr>
          <w:i/>
          <w:lang w:val="es-ES_tradnl"/>
        </w:rPr>
        <w:t xml:space="preserve"> 16</w:t>
      </w:r>
      <w:r w:rsidR="009216F5" w:rsidRPr="005101B9">
        <w:rPr>
          <w:i/>
          <w:lang w:val="es-ES_tradnl"/>
        </w:rPr>
        <w:t xml:space="preserve"> y 17</w:t>
      </w:r>
      <w:r w:rsidRPr="005101B9">
        <w:rPr>
          <w:i/>
          <w:lang w:val="es-ES_tradnl"/>
        </w:rPr>
        <w:t xml:space="preserve"> del presente documento y se </w:t>
      </w:r>
      <w:r w:rsidR="00390EF6" w:rsidRPr="005101B9">
        <w:rPr>
          <w:i/>
          <w:lang w:val="es-ES_tradnl"/>
        </w:rPr>
        <w:t>refleja</w:t>
      </w:r>
      <w:r w:rsidRPr="005101B9">
        <w:rPr>
          <w:i/>
          <w:lang w:val="es-ES_tradnl"/>
        </w:rPr>
        <w:t xml:space="preserve"> en el documento UPOV/INF/13/3</w:t>
      </w:r>
      <w:r w:rsidR="00BF3427" w:rsidRPr="005101B9">
        <w:rPr>
          <w:i/>
          <w:lang w:val="es-ES_tradnl"/>
        </w:rPr>
        <w:t> Draft </w:t>
      </w:r>
      <w:r w:rsidRPr="005101B9">
        <w:rPr>
          <w:i/>
          <w:lang w:val="es-ES_tradnl"/>
        </w:rPr>
        <w:t>1.</w:t>
      </w:r>
    </w:p>
    <w:p w14:paraId="06B98BBB" w14:textId="7C2FD2AF" w:rsidR="00C110B7" w:rsidRPr="005101B9" w:rsidRDefault="00C110B7" w:rsidP="00D17BC0">
      <w:pPr>
        <w:rPr>
          <w:lang w:val="es-ES_tradnl"/>
        </w:rPr>
      </w:pPr>
    </w:p>
    <w:p w14:paraId="7E0F55C7" w14:textId="77777777" w:rsidR="00C110B7" w:rsidRPr="005101B9" w:rsidRDefault="00C110B7" w:rsidP="00D17BC0">
      <w:pPr>
        <w:rPr>
          <w:lang w:val="es-ES_tradnl"/>
        </w:rPr>
      </w:pPr>
    </w:p>
    <w:p w14:paraId="3E479551" w14:textId="5D22942F" w:rsidR="00721EB3" w:rsidRPr="005101B9" w:rsidRDefault="00B21BAD" w:rsidP="00AA140E">
      <w:pPr>
        <w:pStyle w:val="Heading1"/>
        <w:rPr>
          <w:rFonts w:eastAsia="Calibri"/>
          <w:lang w:val="es-ES_tradnl"/>
        </w:rPr>
      </w:pPr>
      <w:bookmarkStart w:id="9" w:name="_Toc242263274"/>
      <w:r w:rsidRPr="005101B9">
        <w:rPr>
          <w:lang w:val="es-ES_tradnl"/>
        </w:rPr>
        <w:t xml:space="preserve">Documentos UPOV/INF/16 “Programas informáticos para intercambio” y </w:t>
      </w:r>
      <w:r w:rsidRPr="005101B9">
        <w:rPr>
          <w:bdr w:val="none" w:sz="0" w:space="0" w:color="auto" w:frame="1"/>
          <w:lang w:val="es-ES_tradnl"/>
        </w:rPr>
        <w:t xml:space="preserve">UPOV/INF/22 “Programas informáticos y equipos utilizados por los miembros de la Unión” </w:t>
      </w:r>
      <w:r w:rsidRPr="005101B9">
        <w:rPr>
          <w:lang w:val="es-ES_tradnl"/>
        </w:rPr>
        <w:t>(Revisión)</w:t>
      </w:r>
      <w:bookmarkEnd w:id="9"/>
    </w:p>
    <w:p w14:paraId="3A1DFA96" w14:textId="77777777" w:rsidR="00233097" w:rsidRPr="005101B9" w:rsidRDefault="00233097" w:rsidP="00AA140E">
      <w:pPr>
        <w:keepNext/>
        <w:rPr>
          <w:rFonts w:eastAsia="Calibri"/>
          <w:lang w:val="es-ES_tradnl"/>
        </w:rPr>
      </w:pPr>
    </w:p>
    <w:p w14:paraId="5B380A08" w14:textId="30975E04" w:rsidR="00721EB3" w:rsidRPr="005101B9" w:rsidRDefault="002C1AC5" w:rsidP="007D2461">
      <w:pPr>
        <w:pStyle w:val="Heading2"/>
        <w:rPr>
          <w:rFonts w:eastAsia="Calibri"/>
          <w:lang w:val="es-ES_tradnl"/>
        </w:rPr>
      </w:pPr>
      <w:bookmarkStart w:id="10" w:name="_Toc242263275"/>
      <w:r w:rsidRPr="005101B9">
        <w:rPr>
          <w:lang w:val="es-ES_tradnl"/>
        </w:rPr>
        <w:t>Procedimiento para la inclusión de programas informáticos o equipos en los documentos UPOV/INF/16 y UPOV/INF/22</w:t>
      </w:r>
      <w:bookmarkEnd w:id="10"/>
    </w:p>
    <w:p w14:paraId="0FE5CB4C" w14:textId="77777777" w:rsidR="00721EB3" w:rsidRPr="005101B9" w:rsidRDefault="00721EB3" w:rsidP="00721EB3">
      <w:pPr>
        <w:rPr>
          <w:rFonts w:eastAsia="Calibri" w:cs="Arial"/>
          <w:bdr w:val="none" w:sz="0" w:space="0" w:color="auto" w:frame="1"/>
          <w:lang w:val="es-ES_tradnl" w:eastAsia="nl-NL"/>
        </w:rPr>
      </w:pPr>
    </w:p>
    <w:p w14:paraId="10E903A4" w14:textId="2C0F0B57" w:rsidR="00CA730C" w:rsidRPr="005101B9" w:rsidRDefault="00CA730C" w:rsidP="00721EB3">
      <w:pPr>
        <w:rPr>
          <w:rFonts w:eastAsia="Calibri" w:cs="Arial"/>
          <w:bdr w:val="none" w:sz="0" w:space="0" w:color="auto" w:frame="1"/>
          <w:lang w:val="es-ES_tradnl"/>
        </w:rPr>
      </w:pPr>
      <w:r w:rsidRPr="005101B9">
        <w:rPr>
          <w:rFonts w:eastAsia="Calibri" w:cs="Arial"/>
          <w:bdr w:val="none" w:sz="0" w:space="0" w:color="auto" w:frame="1"/>
          <w:lang w:val="es-ES_tradnl"/>
        </w:rPr>
        <w:fldChar w:fldCharType="begin"/>
      </w:r>
      <w:r w:rsidRPr="005101B9">
        <w:rPr>
          <w:rFonts w:eastAsia="Calibri" w:cs="Arial"/>
          <w:bdr w:val="none" w:sz="0" w:space="0" w:color="auto" w:frame="1"/>
          <w:lang w:val="es-ES_tradnl"/>
        </w:rPr>
        <w:instrText xml:space="preserve"> AUTONUM  </w:instrText>
      </w:r>
      <w:r w:rsidRPr="005101B9">
        <w:rPr>
          <w:rFonts w:eastAsia="Calibri" w:cs="Arial"/>
          <w:bdr w:val="none" w:sz="0" w:space="0" w:color="auto" w:frame="1"/>
          <w:lang w:val="es-ES_tradnl"/>
        </w:rPr>
        <w:fldChar w:fldCharType="end"/>
      </w:r>
      <w:r w:rsidRPr="005101B9">
        <w:rPr>
          <w:bdr w:val="none" w:sz="0" w:space="0" w:color="auto" w:frame="1"/>
          <w:lang w:val="es-ES_tradnl"/>
        </w:rPr>
        <w:tab/>
        <w:t>El Comité Consultivo, en su sesión de 2025</w:t>
      </w:r>
      <w:r w:rsidR="00CF0B4A" w:rsidRPr="005101B9">
        <w:rPr>
          <w:rStyle w:val="FootnoteReference"/>
          <w:rFonts w:eastAsia="Calibri" w:cs="Arial"/>
          <w:bdr w:val="none" w:sz="0" w:space="0" w:color="auto" w:frame="1"/>
          <w:lang w:val="es-ES_tradnl" w:eastAsia="nl-NL"/>
        </w:rPr>
        <w:footnoteReference w:id="3"/>
      </w:r>
      <w:r w:rsidR="003D1F18" w:rsidRPr="005101B9">
        <w:rPr>
          <w:bdr w:val="none" w:sz="0" w:space="0" w:color="auto" w:frame="1"/>
          <w:lang w:val="es-ES_tradnl"/>
        </w:rPr>
        <w:t>,</w:t>
      </w:r>
      <w:r w:rsidRPr="005101B9">
        <w:rPr>
          <w:bdr w:val="none" w:sz="0" w:space="0" w:color="auto" w:frame="1"/>
          <w:lang w:val="es-ES_tradnl"/>
        </w:rPr>
        <w:t xml:space="preserve"> aprobó las propuestas relativas a la reorganización de los puntos del orden del día y los documentos, con el fin de centrarse en cuestiones clave y dedicar más tiempo a los debates y eventos sobre temas de actualidad</w:t>
      </w:r>
      <w:r w:rsidR="007B7C4D" w:rsidRPr="005101B9">
        <w:rPr>
          <w:bdr w:val="none" w:sz="0" w:space="0" w:color="auto" w:frame="1"/>
          <w:lang w:val="es-ES_tradnl"/>
        </w:rPr>
        <w:t xml:space="preserve">. </w:t>
      </w:r>
      <w:r w:rsidRPr="005101B9">
        <w:rPr>
          <w:bdr w:val="none" w:sz="0" w:space="0" w:color="auto" w:frame="1"/>
          <w:lang w:val="es-ES_tradnl"/>
        </w:rPr>
        <w:t>El Comité Consultivo acordó que la Oficina de la Unión actualizara los documentos UPOV/INF/16 “Programas informáticos para intercambio” y UPOV/INF/22 “Programas informáticos y equipos utilizados por los miembros de la Unión”, sin que fuera necesaria una decisión formal del Consejo</w:t>
      </w:r>
      <w:r w:rsidR="007B7C4D" w:rsidRPr="005101B9">
        <w:rPr>
          <w:bdr w:val="none" w:sz="0" w:space="0" w:color="auto" w:frame="1"/>
          <w:lang w:val="es-ES_tradnl"/>
        </w:rPr>
        <w:t xml:space="preserve">. </w:t>
      </w:r>
      <w:r w:rsidRPr="005101B9">
        <w:rPr>
          <w:bdr w:val="none" w:sz="0" w:space="0" w:color="auto" w:frame="1"/>
          <w:lang w:val="es-ES_tradnl"/>
        </w:rPr>
        <w:t>Los documentos se publicarían en la página web de la UPOV y se pondrían a disposición en línea para que las partes interesadas pudieran consultarlos</w:t>
      </w:r>
      <w:r w:rsidR="007B7C4D" w:rsidRPr="005101B9">
        <w:rPr>
          <w:bdr w:val="none" w:sz="0" w:space="0" w:color="auto" w:frame="1"/>
          <w:lang w:val="es-ES_tradnl"/>
        </w:rPr>
        <w:t xml:space="preserve">. </w:t>
      </w:r>
      <w:r w:rsidRPr="005101B9">
        <w:rPr>
          <w:bdr w:val="none" w:sz="0" w:space="0" w:color="auto" w:frame="1"/>
          <w:lang w:val="es-ES_tradnl"/>
        </w:rPr>
        <w:t xml:space="preserve">Las cuestiones relacionadas con estos documentos podrían presentarse ante los TWP, el TC </w:t>
      </w:r>
      <w:r w:rsidR="001C3561" w:rsidRPr="005101B9">
        <w:rPr>
          <w:bdr w:val="none" w:sz="0" w:space="0" w:color="auto" w:frame="1"/>
          <w:lang w:val="es-ES_tradnl"/>
        </w:rPr>
        <w:t>y/</w:t>
      </w:r>
      <w:r w:rsidRPr="005101B9">
        <w:rPr>
          <w:bdr w:val="none" w:sz="0" w:space="0" w:color="auto" w:frame="1"/>
          <w:lang w:val="es-ES_tradnl"/>
        </w:rPr>
        <w:t xml:space="preserve">o el CAJ </w:t>
      </w:r>
      <w:r w:rsidR="001C3561" w:rsidRPr="005101B9">
        <w:rPr>
          <w:bdr w:val="none" w:sz="0" w:space="0" w:color="auto" w:frame="1"/>
          <w:lang w:val="es-ES_tradnl"/>
        </w:rPr>
        <w:t>y/</w:t>
      </w:r>
      <w:r w:rsidRPr="005101B9">
        <w:rPr>
          <w:bdr w:val="none" w:sz="0" w:space="0" w:color="auto" w:frame="1"/>
          <w:lang w:val="es-ES_tradnl"/>
        </w:rPr>
        <w:t>o el Consejo, según sea necesario.</w:t>
      </w:r>
    </w:p>
    <w:p w14:paraId="44B800F7" w14:textId="77777777" w:rsidR="00CA730C" w:rsidRPr="005101B9" w:rsidRDefault="00CA730C" w:rsidP="00721EB3">
      <w:pPr>
        <w:rPr>
          <w:rFonts w:eastAsia="Calibri" w:cs="Arial"/>
          <w:bdr w:val="none" w:sz="0" w:space="0" w:color="auto" w:frame="1"/>
          <w:lang w:val="es-ES_tradnl" w:eastAsia="nl-NL"/>
        </w:rPr>
      </w:pPr>
    </w:p>
    <w:p w14:paraId="19AD0495" w14:textId="372E247B" w:rsidR="0024678D" w:rsidRPr="005101B9" w:rsidRDefault="0024678D" w:rsidP="00721EB3">
      <w:pPr>
        <w:rPr>
          <w:rFonts w:eastAsia="Calibri" w:cs="Arial"/>
          <w:bdr w:val="none" w:sz="0" w:space="0" w:color="auto" w:frame="1"/>
          <w:lang w:val="es-ES_tradnl"/>
        </w:rPr>
      </w:pPr>
      <w:r w:rsidRPr="005101B9">
        <w:rPr>
          <w:rFonts w:eastAsia="Calibri" w:cs="Arial"/>
          <w:bdr w:val="none" w:sz="0" w:space="0" w:color="auto" w:frame="1"/>
          <w:lang w:val="es-ES_tradnl"/>
        </w:rPr>
        <w:fldChar w:fldCharType="begin"/>
      </w:r>
      <w:r w:rsidRPr="005101B9">
        <w:rPr>
          <w:rFonts w:eastAsia="Calibri" w:cs="Arial"/>
          <w:bdr w:val="none" w:sz="0" w:space="0" w:color="auto" w:frame="1"/>
          <w:lang w:val="es-ES_tradnl"/>
        </w:rPr>
        <w:instrText xml:space="preserve"> AUTONUM  </w:instrText>
      </w:r>
      <w:r w:rsidRPr="005101B9">
        <w:rPr>
          <w:rFonts w:eastAsia="Calibri" w:cs="Arial"/>
          <w:bdr w:val="none" w:sz="0" w:space="0" w:color="auto" w:frame="1"/>
          <w:lang w:val="es-ES_tradnl"/>
        </w:rPr>
        <w:fldChar w:fldCharType="end"/>
      </w:r>
      <w:r w:rsidRPr="005101B9">
        <w:rPr>
          <w:bdr w:val="none" w:sz="0" w:space="0" w:color="auto" w:frame="1"/>
          <w:lang w:val="es-ES_tradnl"/>
        </w:rPr>
        <w:tab/>
        <w:t>Los documentos UPOV/INF/16/13 y UPOV/INF/22/11 se han elaborado a partir de la información facilitada a la Oficina de la Unión</w:t>
      </w:r>
      <w:r w:rsidR="007B7C4D" w:rsidRPr="005101B9">
        <w:rPr>
          <w:bdr w:val="none" w:sz="0" w:space="0" w:color="auto" w:frame="1"/>
          <w:lang w:val="es-ES_tradnl"/>
        </w:rPr>
        <w:t xml:space="preserve">. </w:t>
      </w:r>
      <w:r w:rsidRPr="005101B9">
        <w:rPr>
          <w:bdr w:val="none" w:sz="0" w:space="0" w:color="auto" w:frame="1"/>
          <w:lang w:val="es-ES_tradnl"/>
        </w:rPr>
        <w:t>La Oficina de la Unión incorpora la información en los documentos pertinentes y se asegura de que no haya incoherencias en los datos facilitados</w:t>
      </w:r>
      <w:r w:rsidR="007B7C4D" w:rsidRPr="005101B9">
        <w:rPr>
          <w:bdr w:val="none" w:sz="0" w:space="0" w:color="auto" w:frame="1"/>
          <w:lang w:val="es-ES_tradnl"/>
        </w:rPr>
        <w:t xml:space="preserve">. </w:t>
      </w:r>
      <w:r w:rsidRPr="005101B9">
        <w:rPr>
          <w:bdr w:val="none" w:sz="0" w:space="0" w:color="auto" w:frame="1"/>
          <w:lang w:val="es-ES_tradnl"/>
        </w:rPr>
        <w:t xml:space="preserve">En la actualidad, el Consejo está adoptando una decisión formal para revisar los documentos en cuestión, </w:t>
      </w:r>
      <w:r w:rsidR="00F26F0D" w:rsidRPr="005101B9">
        <w:rPr>
          <w:bdr w:val="none" w:sz="0" w:space="0" w:color="auto" w:frame="1"/>
          <w:lang w:val="es-ES_tradnl"/>
        </w:rPr>
        <w:t>a reserva de la aprobación d</w:t>
      </w:r>
      <w:r w:rsidRPr="005101B9">
        <w:rPr>
          <w:bdr w:val="none" w:sz="0" w:space="0" w:color="auto" w:frame="1"/>
          <w:lang w:val="es-ES_tradnl"/>
        </w:rPr>
        <w:t>el TC y el CAJ.</w:t>
      </w:r>
    </w:p>
    <w:p w14:paraId="0CFE209A" w14:textId="77777777" w:rsidR="0024678D" w:rsidRPr="005101B9" w:rsidRDefault="0024678D" w:rsidP="00721EB3">
      <w:pPr>
        <w:rPr>
          <w:rFonts w:eastAsia="Calibri" w:cs="Arial"/>
          <w:bdr w:val="none" w:sz="0" w:space="0" w:color="auto" w:frame="1"/>
          <w:lang w:val="es-ES_tradnl" w:eastAsia="nl-NL"/>
        </w:rPr>
      </w:pPr>
    </w:p>
    <w:p w14:paraId="58D45728" w14:textId="2BAEBA8B" w:rsidR="007F3836" w:rsidRPr="005101B9" w:rsidRDefault="007F3836" w:rsidP="00A332B6">
      <w:pPr>
        <w:pStyle w:val="Heading3"/>
        <w:keepLines/>
        <w:rPr>
          <w:rFonts w:eastAsia="Calibri"/>
          <w:lang w:val="es-ES_tradnl"/>
        </w:rPr>
      </w:pPr>
      <w:bookmarkStart w:id="11" w:name="_Toc242263276"/>
      <w:r w:rsidRPr="005101B9">
        <w:rPr>
          <w:lang w:val="es-ES_tradnl"/>
        </w:rPr>
        <w:t>Propuestas</w:t>
      </w:r>
      <w:bookmarkEnd w:id="11"/>
    </w:p>
    <w:p w14:paraId="06D9EB1F" w14:textId="77777777" w:rsidR="007F3836" w:rsidRPr="005101B9" w:rsidRDefault="007F3836" w:rsidP="00A332B6">
      <w:pPr>
        <w:keepNext/>
        <w:keepLines/>
        <w:rPr>
          <w:rFonts w:eastAsia="Calibri" w:cs="Arial"/>
          <w:bdr w:val="none" w:sz="0" w:space="0" w:color="auto" w:frame="1"/>
          <w:lang w:val="es-ES_tradnl" w:eastAsia="nl-NL"/>
        </w:rPr>
      </w:pPr>
    </w:p>
    <w:p w14:paraId="7DB4D5C8" w14:textId="0A81932E" w:rsidR="00721EB3" w:rsidRPr="005101B9" w:rsidRDefault="00721EB3" w:rsidP="00A332B6">
      <w:pPr>
        <w:keepNext/>
        <w:keepLines/>
        <w:rPr>
          <w:rFonts w:eastAsia="Calibri"/>
          <w:lang w:val="es-ES_tradnl"/>
        </w:rPr>
      </w:pPr>
      <w:r w:rsidRPr="005101B9">
        <w:rPr>
          <w:rFonts w:eastAsia="Calibri"/>
          <w:lang w:val="es-ES_tradnl"/>
        </w:rPr>
        <w:fldChar w:fldCharType="begin"/>
      </w:r>
      <w:r w:rsidRPr="005101B9">
        <w:rPr>
          <w:rFonts w:eastAsia="Calibri"/>
          <w:lang w:val="es-ES_tradnl"/>
        </w:rPr>
        <w:instrText xml:space="preserve"> AUTONUM  </w:instrText>
      </w:r>
      <w:r w:rsidRPr="005101B9">
        <w:rPr>
          <w:rFonts w:eastAsia="Calibri"/>
          <w:lang w:val="es-ES_tradnl"/>
        </w:rPr>
        <w:fldChar w:fldCharType="end"/>
      </w:r>
      <w:r w:rsidRPr="005101B9">
        <w:rPr>
          <w:lang w:val="es-ES_tradnl"/>
        </w:rPr>
        <w:tab/>
        <w:t>Sobre la base de las recomendaciones del Comité Consultivo, se invita al Consejo a que considere la posibilidad de modificar el “Procedimiento para la inclusión de los programas informáticos” que figura en el documento UPOV/INF/16, de modo que las futuras inclusiones de programas informáticos no requieran la aprobación formal del Consejo, tal y como se indica a continuación:</w:t>
      </w:r>
    </w:p>
    <w:p w14:paraId="1D7A5C2F" w14:textId="77777777" w:rsidR="00721EB3" w:rsidRPr="005101B9" w:rsidRDefault="00721EB3" w:rsidP="00721EB3">
      <w:pPr>
        <w:ind w:left="2268"/>
        <w:jc w:val="left"/>
        <w:rPr>
          <w:rFonts w:eastAsia="Calibri" w:cs="Arial"/>
          <w:bdr w:val="none" w:sz="0" w:space="0" w:color="auto" w:frame="1"/>
          <w:lang w:val="es-ES_tradnl" w:eastAsia="nl-NL"/>
        </w:rPr>
      </w:pPr>
    </w:p>
    <w:p w14:paraId="7A2F3ABB" w14:textId="77777777" w:rsidR="00721EB3" w:rsidRPr="005101B9" w:rsidRDefault="00721EB3" w:rsidP="00721EB3">
      <w:pPr>
        <w:ind w:left="567" w:right="567"/>
        <w:rPr>
          <w:rFonts w:eastAsia="Calibri"/>
          <w:lang w:val="es-ES_tradnl"/>
        </w:rPr>
      </w:pPr>
      <w:r w:rsidRPr="005101B9">
        <w:rPr>
          <w:lang w:val="es-ES_tradnl"/>
        </w:rPr>
        <w:t>“2.</w:t>
      </w:r>
      <w:r w:rsidRPr="005101B9">
        <w:rPr>
          <w:lang w:val="es-ES_tradnl"/>
        </w:rPr>
        <w:tab/>
        <w:t xml:space="preserve">Procedimiento para la inclusión de programas informáticos </w:t>
      </w:r>
    </w:p>
    <w:p w14:paraId="00ED18F7" w14:textId="77777777" w:rsidR="00721EB3" w:rsidRPr="005101B9" w:rsidRDefault="00721EB3" w:rsidP="00721EB3">
      <w:pPr>
        <w:ind w:left="567" w:right="567"/>
        <w:rPr>
          <w:rFonts w:eastAsia="Calibri"/>
          <w:lang w:val="es-ES_tradnl"/>
        </w:rPr>
      </w:pPr>
    </w:p>
    <w:p w14:paraId="22E3671E" w14:textId="05A9EB6E" w:rsidR="00721EB3" w:rsidRPr="005101B9" w:rsidRDefault="00721EB3" w:rsidP="00721EB3">
      <w:pPr>
        <w:ind w:left="567" w:right="567"/>
        <w:rPr>
          <w:rFonts w:eastAsia="Calibri"/>
          <w:lang w:val="es-ES_tradnl"/>
        </w:rPr>
      </w:pPr>
      <w:r w:rsidRPr="005101B9">
        <w:rPr>
          <w:lang w:val="es-ES_tradnl"/>
        </w:rPr>
        <w:t xml:space="preserve">Los programas que los miembros de la Unión propongan incluir en el documento UPOV/INF/16 se someten, en primer lugar, al examen del Grupo de Trabajo Técnico sobre Métodos y Técnicas de Examen (TWM). Tras ese examen, combinado con la experiencia de uso en los miembros de la Unión, el TWM formula una recomendación al Comité Técnico (TC) sobre la eventual inclusión del programa informático en cuestión en el documento UPOV/INF/16. Si el Comité Técnico </w:t>
      </w:r>
      <w:r w:rsidRPr="005101B9">
        <w:rPr>
          <w:strike/>
          <w:highlight w:val="lightGray"/>
          <w:lang w:val="es-ES_tradnl"/>
        </w:rPr>
        <w:t xml:space="preserve">y el Comité Administrativo y Jurídico (CAJ) </w:t>
      </w:r>
      <w:r w:rsidRPr="005101B9">
        <w:rPr>
          <w:lang w:val="es-ES_tradnl"/>
        </w:rPr>
        <w:t>formula</w:t>
      </w:r>
      <w:r w:rsidR="00081311" w:rsidRPr="005101B9">
        <w:rPr>
          <w:strike/>
          <w:highlight w:val="lightGray"/>
          <w:lang w:val="es-ES_tradnl"/>
        </w:rPr>
        <w:t>n</w:t>
      </w:r>
      <w:r w:rsidRPr="005101B9">
        <w:rPr>
          <w:lang w:val="es-ES_tradnl"/>
        </w:rPr>
        <w:t xml:space="preserve"> una recomendación positiva, el programa informático formará parte de la lista incluida en </w:t>
      </w:r>
      <w:r w:rsidRPr="005101B9">
        <w:rPr>
          <w:strike/>
          <w:highlight w:val="lightGray"/>
          <w:lang w:val="es-ES_tradnl"/>
        </w:rPr>
        <w:t xml:space="preserve">el proyecto </w:t>
      </w:r>
      <w:r w:rsidRPr="005101B9">
        <w:rPr>
          <w:highlight w:val="lightGray"/>
          <w:u w:val="single"/>
          <w:lang w:val="es-ES_tradnl"/>
        </w:rPr>
        <w:t>una versión revisada</w:t>
      </w:r>
      <w:r w:rsidRPr="005101B9">
        <w:rPr>
          <w:lang w:val="es-ES_tradnl"/>
        </w:rPr>
        <w:t xml:space="preserve"> de</w:t>
      </w:r>
      <w:r w:rsidRPr="005101B9">
        <w:rPr>
          <w:highlight w:val="lightGray"/>
          <w:u w:val="single"/>
          <w:lang w:val="es-ES_tradnl"/>
        </w:rPr>
        <w:t>l</w:t>
      </w:r>
      <w:r w:rsidRPr="005101B9">
        <w:rPr>
          <w:lang w:val="es-ES_tradnl"/>
        </w:rPr>
        <w:t xml:space="preserve"> documento UPOV/INF/16</w:t>
      </w:r>
      <w:r w:rsidRPr="005101B9">
        <w:rPr>
          <w:strike/>
          <w:highlight w:val="lightGray"/>
          <w:lang w:val="es-ES_tradnl"/>
        </w:rPr>
        <w:t>, cuya aprobación se someterá al examen del Consejo</w:t>
      </w:r>
      <w:r w:rsidR="005B5A46" w:rsidRPr="005101B9">
        <w:rPr>
          <w:strike/>
          <w:highlight w:val="lightGray"/>
          <w:lang w:val="es-ES_tradnl"/>
        </w:rPr>
        <w:t xml:space="preserve">. </w:t>
      </w:r>
      <w:r w:rsidR="007B7C4D" w:rsidRPr="005101B9">
        <w:rPr>
          <w:strike/>
          <w:highlight w:val="lightGray"/>
          <w:lang w:val="es-ES_tradnl"/>
        </w:rPr>
        <w:t xml:space="preserve"> </w:t>
      </w:r>
      <w:r w:rsidRPr="005101B9">
        <w:rPr>
          <w:strike/>
          <w:highlight w:val="lightGray"/>
          <w:lang w:val="es-ES_tradnl"/>
        </w:rPr>
        <w:t>El documento UPOV/INF/16 recibirá la aprobación del Consejo.</w:t>
      </w:r>
      <w:r w:rsidRPr="005101B9">
        <w:rPr>
          <w:lang w:val="es-ES_tradnl"/>
        </w:rPr>
        <w:t xml:space="preserve"> </w:t>
      </w:r>
      <w:r w:rsidRPr="005101B9">
        <w:rPr>
          <w:highlight w:val="lightGray"/>
          <w:u w:val="single"/>
          <w:lang w:val="es-ES_tradnl"/>
        </w:rPr>
        <w:t>y se publicará en el sitio web de la UPOV</w:t>
      </w:r>
      <w:r w:rsidRPr="005101B9">
        <w:rPr>
          <w:lang w:val="es-ES_tradnl"/>
        </w:rPr>
        <w:t>.”</w:t>
      </w:r>
    </w:p>
    <w:p w14:paraId="08F7A3E6" w14:textId="77777777" w:rsidR="00721EB3" w:rsidRPr="005101B9" w:rsidRDefault="00721EB3" w:rsidP="00721EB3">
      <w:pPr>
        <w:jc w:val="left"/>
        <w:rPr>
          <w:rFonts w:eastAsia="Calibri" w:cs="Arial"/>
          <w:bdr w:val="none" w:sz="0" w:space="0" w:color="auto" w:frame="1"/>
          <w:lang w:val="es-ES_tradnl" w:eastAsia="nl-NL"/>
        </w:rPr>
      </w:pPr>
    </w:p>
    <w:p w14:paraId="3BD49869" w14:textId="239D0A15" w:rsidR="007E34FE" w:rsidRPr="005101B9" w:rsidRDefault="007E34FE" w:rsidP="00D2734E">
      <w:pPr>
        <w:keepNext/>
        <w:rPr>
          <w:rFonts w:eastAsia="Calibri"/>
          <w:lang w:val="es-ES_tradnl"/>
        </w:rPr>
      </w:pPr>
      <w:r w:rsidRPr="005101B9">
        <w:rPr>
          <w:rFonts w:eastAsia="Calibri"/>
          <w:lang w:val="es-ES_tradnl"/>
        </w:rPr>
        <w:fldChar w:fldCharType="begin"/>
      </w:r>
      <w:r w:rsidRPr="005101B9">
        <w:rPr>
          <w:rFonts w:eastAsia="Calibri"/>
          <w:lang w:val="es-ES_tradnl"/>
        </w:rPr>
        <w:instrText xml:space="preserve"> AUTONUM  </w:instrText>
      </w:r>
      <w:r w:rsidRPr="005101B9">
        <w:rPr>
          <w:rFonts w:eastAsia="Calibri"/>
          <w:lang w:val="es-ES_tradnl"/>
        </w:rPr>
        <w:fldChar w:fldCharType="end"/>
      </w:r>
      <w:r w:rsidRPr="005101B9">
        <w:rPr>
          <w:lang w:val="es-ES_tradnl"/>
        </w:rPr>
        <w:tab/>
        <w:t xml:space="preserve">Sobre la base de las recomendaciones del Comité Consultivo, se invita al Consejo a que considere la posibilidad de modificar el “Procedimiento para la inclusión de programas informáticos y equipos” que figura en el documento UPOV/INF/22, de modo que las futuras inclusiones de programas informáticos </w:t>
      </w:r>
      <w:r w:rsidR="00A84582" w:rsidRPr="005101B9">
        <w:rPr>
          <w:lang w:val="es-ES_tradnl"/>
        </w:rPr>
        <w:t>o</w:t>
      </w:r>
      <w:r w:rsidR="00B078B1" w:rsidRPr="005101B9">
        <w:rPr>
          <w:lang w:val="es-ES_tradnl"/>
        </w:rPr>
        <w:t xml:space="preserve"> equipos </w:t>
      </w:r>
      <w:r w:rsidRPr="005101B9">
        <w:rPr>
          <w:lang w:val="es-ES_tradnl"/>
        </w:rPr>
        <w:t>no requieran la aprobación formal del Consejo, tal y como se indica a continuación:</w:t>
      </w:r>
    </w:p>
    <w:p w14:paraId="65E7C178" w14:textId="77777777" w:rsidR="007E34FE" w:rsidRPr="005101B9" w:rsidRDefault="007E34FE" w:rsidP="007E34FE">
      <w:pPr>
        <w:rPr>
          <w:rFonts w:eastAsia="Calibri"/>
          <w:lang w:val="es-ES_tradnl"/>
        </w:rPr>
      </w:pPr>
    </w:p>
    <w:p w14:paraId="06F603D2" w14:textId="223CFD4E" w:rsidR="007E34FE" w:rsidRPr="005101B9" w:rsidRDefault="007E34FE" w:rsidP="00CF5E40">
      <w:pPr>
        <w:keepNext/>
        <w:ind w:left="567" w:right="567"/>
        <w:rPr>
          <w:rFonts w:eastAsia="Calibri"/>
          <w:lang w:val="es-ES_tradnl"/>
        </w:rPr>
      </w:pPr>
      <w:r w:rsidRPr="005101B9">
        <w:rPr>
          <w:lang w:val="es-ES_tradnl"/>
        </w:rPr>
        <w:t>“2.</w:t>
      </w:r>
      <w:r w:rsidRPr="005101B9">
        <w:rPr>
          <w:lang w:val="es-ES_tradnl"/>
        </w:rPr>
        <w:tab/>
        <w:t>Procedimiento para la inclusión de programas informáticos</w:t>
      </w:r>
      <w:r w:rsidR="004B0C1F" w:rsidRPr="005101B9">
        <w:rPr>
          <w:lang w:val="es-ES_tradnl"/>
        </w:rPr>
        <w:t xml:space="preserve"> </w:t>
      </w:r>
      <w:r w:rsidRPr="005101B9">
        <w:rPr>
          <w:lang w:val="es-ES_tradnl"/>
        </w:rPr>
        <w:t>y equipos</w:t>
      </w:r>
    </w:p>
    <w:p w14:paraId="26FD3FFF" w14:textId="77777777" w:rsidR="007E34FE" w:rsidRPr="005101B9" w:rsidRDefault="007E34FE" w:rsidP="00CF5E40">
      <w:pPr>
        <w:keepNext/>
        <w:ind w:left="567" w:right="567"/>
        <w:rPr>
          <w:rFonts w:eastAsia="Calibri"/>
          <w:lang w:val="es-ES_tradnl"/>
        </w:rPr>
      </w:pPr>
    </w:p>
    <w:p w14:paraId="5C8CCFA9" w14:textId="493DA2DC" w:rsidR="007E34FE" w:rsidRPr="005101B9" w:rsidRDefault="007E34FE" w:rsidP="00CF5E40">
      <w:pPr>
        <w:keepNext/>
        <w:ind w:left="567" w:right="567"/>
        <w:rPr>
          <w:rFonts w:eastAsia="Calibri"/>
          <w:lang w:val="es-ES_tradnl"/>
        </w:rPr>
      </w:pPr>
      <w:r w:rsidRPr="005101B9">
        <w:rPr>
          <w:lang w:val="es-ES_tradnl"/>
        </w:rPr>
        <w:t>2.1 Los programas informáticos y los equipos que se proponga incluir en este documento se presentarán, en primer lugar, al Comité Técnico (TC).</w:t>
      </w:r>
    </w:p>
    <w:p w14:paraId="21075ED0" w14:textId="77777777" w:rsidR="007E34FE" w:rsidRPr="005101B9" w:rsidRDefault="007E34FE" w:rsidP="00CF5E40">
      <w:pPr>
        <w:ind w:left="567" w:right="567"/>
        <w:rPr>
          <w:rFonts w:eastAsia="Calibri"/>
          <w:lang w:val="es-ES_tradnl"/>
        </w:rPr>
      </w:pPr>
    </w:p>
    <w:p w14:paraId="32CD11ED" w14:textId="77777777" w:rsidR="007E34FE" w:rsidRPr="005101B9" w:rsidRDefault="007E34FE" w:rsidP="00CF5E40">
      <w:pPr>
        <w:keepNext/>
        <w:ind w:left="567" w:right="567"/>
        <w:rPr>
          <w:rFonts w:eastAsia="Calibri"/>
          <w:lang w:val="es-ES_tradnl"/>
        </w:rPr>
      </w:pPr>
      <w:r w:rsidRPr="005101B9">
        <w:rPr>
          <w:lang w:val="es-ES_tradnl"/>
        </w:rPr>
        <w:lastRenderedPageBreak/>
        <w:t>2.2 El TC decidirá si:</w:t>
      </w:r>
    </w:p>
    <w:p w14:paraId="00358C11" w14:textId="77777777" w:rsidR="007E34FE" w:rsidRPr="005101B9" w:rsidRDefault="007E34FE" w:rsidP="00CF5E40">
      <w:pPr>
        <w:keepNext/>
        <w:ind w:left="567" w:right="567"/>
        <w:rPr>
          <w:rFonts w:eastAsia="Calibri"/>
          <w:lang w:val="es-ES_tradnl"/>
        </w:rPr>
      </w:pPr>
    </w:p>
    <w:p w14:paraId="214B08EC" w14:textId="77777777" w:rsidR="007E34FE" w:rsidRPr="005101B9" w:rsidRDefault="007E34FE" w:rsidP="007E34FE">
      <w:pPr>
        <w:ind w:left="567" w:right="567"/>
        <w:rPr>
          <w:rFonts w:eastAsia="Calibri"/>
          <w:lang w:val="es-ES_tradnl"/>
        </w:rPr>
      </w:pPr>
      <w:r w:rsidRPr="005101B9">
        <w:rPr>
          <w:lang w:val="es-ES_tradnl"/>
        </w:rPr>
        <w:t>a)</w:t>
      </w:r>
      <w:r w:rsidRPr="005101B9">
        <w:rPr>
          <w:lang w:val="es-ES_tradnl"/>
        </w:rPr>
        <w:tab/>
        <w:t>propone incluir la información en el documento;</w:t>
      </w:r>
    </w:p>
    <w:p w14:paraId="56A207AC" w14:textId="434A67D2" w:rsidR="007E34FE" w:rsidRPr="005101B9" w:rsidRDefault="007E34FE" w:rsidP="007E34FE">
      <w:pPr>
        <w:ind w:left="1134" w:right="567" w:hanging="567"/>
        <w:rPr>
          <w:rFonts w:eastAsia="Calibri"/>
          <w:lang w:val="es-ES_tradnl"/>
        </w:rPr>
      </w:pPr>
      <w:r w:rsidRPr="005101B9">
        <w:rPr>
          <w:lang w:val="es-ES_tradnl"/>
        </w:rPr>
        <w:t>b)</w:t>
      </w:r>
      <w:r w:rsidRPr="005101B9">
        <w:rPr>
          <w:lang w:val="es-ES_tradnl"/>
        </w:rPr>
        <w:tab/>
        <w:t>solicita más orientación a otros órganos pertinentes (p. ej.</w:t>
      </w:r>
      <w:r w:rsidR="000E40E1" w:rsidRPr="005101B9">
        <w:rPr>
          <w:lang w:val="es-ES_tradnl"/>
        </w:rPr>
        <w:t>,</w:t>
      </w:r>
      <w:r w:rsidRPr="005101B9">
        <w:rPr>
          <w:lang w:val="es-ES_tradnl"/>
        </w:rPr>
        <w:t xml:space="preserve"> el Comité Administrativo y Jurídico (CAJ) y los Grupos de Trabajo Técnico (TWP)); o</w:t>
      </w:r>
    </w:p>
    <w:p w14:paraId="210D33B8" w14:textId="77777777" w:rsidR="007E34FE" w:rsidRPr="005101B9" w:rsidRDefault="007E34FE" w:rsidP="007E34FE">
      <w:pPr>
        <w:ind w:left="567" w:right="567"/>
        <w:rPr>
          <w:rFonts w:eastAsia="Calibri"/>
          <w:lang w:val="es-ES_tradnl"/>
        </w:rPr>
      </w:pPr>
      <w:r w:rsidRPr="005101B9">
        <w:rPr>
          <w:lang w:val="es-ES_tradnl"/>
        </w:rPr>
        <w:t>c)</w:t>
      </w:r>
      <w:r w:rsidRPr="005101B9">
        <w:rPr>
          <w:lang w:val="es-ES_tradnl"/>
        </w:rPr>
        <w:tab/>
        <w:t>propone no incluir la información en el documento.</w:t>
      </w:r>
    </w:p>
    <w:p w14:paraId="1285D258" w14:textId="77777777" w:rsidR="007E34FE" w:rsidRPr="005101B9" w:rsidRDefault="007E34FE" w:rsidP="007E34FE">
      <w:pPr>
        <w:ind w:left="567" w:right="567"/>
        <w:rPr>
          <w:rFonts w:eastAsia="Calibri"/>
          <w:lang w:val="es-ES_tradnl"/>
        </w:rPr>
      </w:pPr>
    </w:p>
    <w:p w14:paraId="32E32BCC" w14:textId="2B35D73F" w:rsidR="007E34FE" w:rsidRPr="005101B9" w:rsidRDefault="007E34FE" w:rsidP="007E34FE">
      <w:pPr>
        <w:ind w:left="567" w:right="567"/>
        <w:rPr>
          <w:rFonts w:eastAsia="Calibri"/>
          <w:lang w:val="es-ES_tradnl"/>
        </w:rPr>
      </w:pPr>
      <w:r w:rsidRPr="005101B9">
        <w:rPr>
          <w:lang w:val="es-ES_tradnl"/>
        </w:rPr>
        <w:t xml:space="preserve">2.3 </w:t>
      </w:r>
      <w:r w:rsidR="00A332B6" w:rsidRPr="005101B9">
        <w:rPr>
          <w:lang w:val="es-ES_tradnl"/>
        </w:rPr>
        <w:tab/>
      </w:r>
      <w:r w:rsidRPr="005101B9">
        <w:rPr>
          <w:lang w:val="es-ES_tradnl"/>
        </w:rPr>
        <w:t xml:space="preserve">Si el TC formula una recomendación positiva </w:t>
      </w:r>
      <w:r w:rsidRPr="005101B9">
        <w:rPr>
          <w:rFonts w:eastAsia="Calibri"/>
          <w:strike/>
          <w:highlight w:val="lightGray"/>
          <w:lang w:val="es-ES_tradnl"/>
        </w:rPr>
        <w:t>y posteriormente el CAJ la ratifica,</w:t>
      </w:r>
      <w:r w:rsidRPr="005101B9">
        <w:rPr>
          <w:lang w:val="es-ES_tradnl"/>
        </w:rPr>
        <w:t xml:space="preserve"> el programa informático o el equipo formará parte de la lista incluida en</w:t>
      </w:r>
      <w:r w:rsidR="00805FA1" w:rsidRPr="005101B9">
        <w:rPr>
          <w:lang w:val="es-ES_tradnl"/>
        </w:rPr>
        <w:t xml:space="preserve"> </w:t>
      </w:r>
      <w:r w:rsidR="00805FA1" w:rsidRPr="005101B9">
        <w:rPr>
          <w:highlight w:val="lightGray"/>
          <w:u w:val="single"/>
          <w:lang w:val="es-ES_tradnl"/>
        </w:rPr>
        <w:t>una versión revisada</w:t>
      </w:r>
      <w:r w:rsidRPr="005101B9">
        <w:rPr>
          <w:strike/>
          <w:highlight w:val="lightGray"/>
          <w:lang w:val="es-ES_tradnl"/>
        </w:rPr>
        <w:t xml:space="preserve"> </w:t>
      </w:r>
      <w:r w:rsidRPr="005101B9">
        <w:rPr>
          <w:rFonts w:eastAsia="Calibri"/>
          <w:strike/>
          <w:highlight w:val="lightGray"/>
          <w:lang w:val="es-ES_tradnl"/>
        </w:rPr>
        <w:t>el proyecto</w:t>
      </w:r>
      <w:r w:rsidRPr="005101B9">
        <w:rPr>
          <w:lang w:val="es-ES_tradnl"/>
        </w:rPr>
        <w:t xml:space="preserve"> de</w:t>
      </w:r>
      <w:r w:rsidR="00805FA1" w:rsidRPr="005101B9">
        <w:rPr>
          <w:highlight w:val="lightGray"/>
          <w:u w:val="single"/>
          <w:lang w:val="es-ES_tradnl"/>
        </w:rPr>
        <w:t>l</w:t>
      </w:r>
      <w:r w:rsidRPr="005101B9">
        <w:rPr>
          <w:lang w:val="es-ES_tradnl"/>
        </w:rPr>
        <w:t xml:space="preserve"> documento</w:t>
      </w:r>
      <w:r w:rsidR="00245027" w:rsidRPr="005101B9">
        <w:rPr>
          <w:rFonts w:eastAsia="Calibri"/>
          <w:strike/>
          <w:highlight w:val="lightGray"/>
          <w:lang w:val="es-ES_tradnl"/>
        </w:rPr>
        <w:t>, c</w:t>
      </w:r>
      <w:r w:rsidRPr="005101B9">
        <w:rPr>
          <w:rFonts w:eastAsia="Calibri"/>
          <w:strike/>
          <w:highlight w:val="lightGray"/>
          <w:lang w:val="es-ES_tradnl"/>
        </w:rPr>
        <w:t>uya aprobación se someterá a examen del Consejo</w:t>
      </w:r>
      <w:r w:rsidR="00245027" w:rsidRPr="005101B9">
        <w:rPr>
          <w:lang w:val="es-ES_tradnl"/>
        </w:rPr>
        <w:t xml:space="preserve"> </w:t>
      </w:r>
      <w:r w:rsidR="00245027" w:rsidRPr="005101B9">
        <w:rPr>
          <w:highlight w:val="lightGray"/>
          <w:u w:val="single"/>
          <w:lang w:val="es-ES_tradnl"/>
        </w:rPr>
        <w:t>y se publicará en el sitio web de la UPOV</w:t>
      </w:r>
      <w:r w:rsidR="00245027" w:rsidRPr="005101B9">
        <w:rPr>
          <w:lang w:val="es-ES_tradnl"/>
        </w:rPr>
        <w:t>.”</w:t>
      </w:r>
    </w:p>
    <w:p w14:paraId="501402EE" w14:textId="77777777" w:rsidR="007E34FE" w:rsidRPr="005101B9" w:rsidRDefault="007E34FE" w:rsidP="007E34FE">
      <w:pPr>
        <w:ind w:left="567" w:right="567"/>
        <w:rPr>
          <w:rFonts w:eastAsia="Calibri"/>
          <w:sz w:val="18"/>
          <w:szCs w:val="18"/>
          <w:lang w:val="es-ES_tradnl"/>
        </w:rPr>
      </w:pPr>
    </w:p>
    <w:p w14:paraId="21E73777" w14:textId="3E47D61F" w:rsidR="00721EB3" w:rsidRPr="005101B9" w:rsidRDefault="00102B73" w:rsidP="007F5F9F">
      <w:pPr>
        <w:tabs>
          <w:tab w:val="left" w:pos="5387"/>
        </w:tabs>
        <w:ind w:left="4820"/>
        <w:rPr>
          <w:rFonts w:eastAsia="Calibri"/>
          <w:i/>
          <w:iCs/>
          <w:lang w:val="es-ES_tradnl"/>
        </w:rPr>
      </w:pPr>
      <w:r w:rsidRPr="005101B9">
        <w:rPr>
          <w:rFonts w:eastAsia="Calibri"/>
          <w:i/>
          <w:lang w:val="es-ES_tradnl"/>
        </w:rPr>
        <w:fldChar w:fldCharType="begin"/>
      </w:r>
      <w:r w:rsidRPr="005101B9">
        <w:rPr>
          <w:rFonts w:eastAsia="Calibri"/>
          <w:i/>
          <w:lang w:val="es-ES_tradnl"/>
        </w:rPr>
        <w:instrText xml:space="preserve"> AUTONUM  </w:instrText>
      </w:r>
      <w:r w:rsidRPr="005101B9">
        <w:rPr>
          <w:rFonts w:eastAsia="Calibri"/>
          <w:i/>
          <w:lang w:val="es-ES_tradnl"/>
        </w:rPr>
        <w:fldChar w:fldCharType="end"/>
      </w:r>
      <w:r w:rsidRPr="005101B9">
        <w:rPr>
          <w:lang w:val="es-ES_tradnl"/>
        </w:rPr>
        <w:tab/>
      </w:r>
      <w:r w:rsidRPr="005101B9">
        <w:rPr>
          <w:i/>
          <w:iCs/>
          <w:lang w:val="es-ES_tradnl"/>
        </w:rPr>
        <w:t>Se invita al Consejo a modificar el procedimiento para la inclusión de programas informáticos o equipos en los documentos UPOV/INF/16 y UPOV/INF/22, de modo que las futuras inclusiones de programas informáticos o equipos no requieran la adopción formal de una versión revisada de dichos documentos por parte del Consejo, tal y como se establece en los párrafos 2</w:t>
      </w:r>
      <w:r w:rsidR="00AA140E" w:rsidRPr="005101B9">
        <w:rPr>
          <w:i/>
          <w:iCs/>
          <w:lang w:val="es-ES_tradnl"/>
        </w:rPr>
        <w:t>1</w:t>
      </w:r>
      <w:r w:rsidRPr="005101B9">
        <w:rPr>
          <w:i/>
          <w:iCs/>
          <w:lang w:val="es-ES_tradnl"/>
        </w:rPr>
        <w:t xml:space="preserve"> y 2</w:t>
      </w:r>
      <w:r w:rsidR="00AA140E" w:rsidRPr="005101B9">
        <w:rPr>
          <w:i/>
          <w:iCs/>
          <w:lang w:val="es-ES_tradnl"/>
        </w:rPr>
        <w:t>2</w:t>
      </w:r>
      <w:r w:rsidRPr="005101B9">
        <w:rPr>
          <w:i/>
          <w:iCs/>
          <w:lang w:val="es-ES_tradnl"/>
        </w:rPr>
        <w:t xml:space="preserve"> del presente documento, y se refleja en los documentos UPOV/INF/16/14</w:t>
      </w:r>
      <w:r w:rsidR="00BF3427" w:rsidRPr="005101B9">
        <w:rPr>
          <w:i/>
          <w:iCs/>
          <w:lang w:val="es-ES_tradnl"/>
        </w:rPr>
        <w:t> Draft </w:t>
      </w:r>
      <w:r w:rsidRPr="005101B9">
        <w:rPr>
          <w:i/>
          <w:iCs/>
          <w:lang w:val="es-ES_tradnl"/>
        </w:rPr>
        <w:t>1 y UPOV/INF/22/13</w:t>
      </w:r>
      <w:r w:rsidR="00BF3427" w:rsidRPr="005101B9">
        <w:rPr>
          <w:i/>
          <w:iCs/>
          <w:lang w:val="es-ES_tradnl"/>
        </w:rPr>
        <w:t> Draft </w:t>
      </w:r>
      <w:r w:rsidRPr="005101B9">
        <w:rPr>
          <w:i/>
          <w:iCs/>
          <w:lang w:val="es-ES_tradnl"/>
        </w:rPr>
        <w:t>1.</w:t>
      </w:r>
    </w:p>
    <w:p w14:paraId="2C50ACDA" w14:textId="77777777" w:rsidR="00102B73" w:rsidRPr="005101B9" w:rsidRDefault="00102B73" w:rsidP="00102B73">
      <w:pPr>
        <w:rPr>
          <w:rFonts w:eastAsia="Calibri"/>
          <w:lang w:val="es-ES_tradnl" w:eastAsia="nl-NL"/>
        </w:rPr>
      </w:pPr>
    </w:p>
    <w:p w14:paraId="66C8D48F" w14:textId="77777777" w:rsidR="00102B73" w:rsidRPr="005101B9" w:rsidRDefault="00102B73" w:rsidP="00102B73">
      <w:pPr>
        <w:rPr>
          <w:rFonts w:eastAsia="Calibri"/>
          <w:lang w:val="es-ES_tradnl" w:eastAsia="nl-NL"/>
        </w:rPr>
      </w:pPr>
    </w:p>
    <w:p w14:paraId="46B6E021" w14:textId="2E03E72F" w:rsidR="009418CE" w:rsidRPr="005101B9" w:rsidRDefault="009418CE" w:rsidP="007D2461">
      <w:pPr>
        <w:pStyle w:val="Heading2"/>
        <w:rPr>
          <w:rFonts w:eastAsia="Calibri"/>
          <w:lang w:val="es-ES_tradnl"/>
        </w:rPr>
      </w:pPr>
      <w:bookmarkStart w:id="12" w:name="_Toc242263277"/>
      <w:r w:rsidRPr="005101B9">
        <w:rPr>
          <w:lang w:val="es-ES_tradnl"/>
        </w:rPr>
        <w:t>Programas informáticos que se propone incluir en el documento UPOV/INF/16 en 2026</w:t>
      </w:r>
      <w:bookmarkEnd w:id="12"/>
    </w:p>
    <w:p w14:paraId="70C13976" w14:textId="77777777" w:rsidR="009418CE" w:rsidRPr="005101B9" w:rsidRDefault="009418CE" w:rsidP="009418CE">
      <w:pPr>
        <w:jc w:val="left"/>
        <w:rPr>
          <w:rFonts w:eastAsia="Calibri" w:cs="Arial"/>
          <w:bdr w:val="none" w:sz="0" w:space="0" w:color="auto" w:frame="1"/>
          <w:lang w:val="es-ES_tradnl" w:eastAsia="nl-NL"/>
        </w:rPr>
      </w:pPr>
    </w:p>
    <w:p w14:paraId="3FC65E27" w14:textId="449ED6FF" w:rsidR="009418CE" w:rsidRPr="005101B9" w:rsidRDefault="009418CE" w:rsidP="009418CE">
      <w:pPr>
        <w:rPr>
          <w:rFonts w:eastAsia="Calibri" w:cs="Arial"/>
          <w:bdr w:val="none" w:sz="0" w:space="0" w:color="auto" w:frame="1"/>
          <w:lang w:val="es-ES_tradnl"/>
        </w:rPr>
      </w:pPr>
      <w:r w:rsidRPr="005101B9">
        <w:rPr>
          <w:rFonts w:eastAsia="Calibri" w:cs="Arial"/>
          <w:bdr w:val="none" w:sz="0" w:space="0" w:color="auto" w:frame="1"/>
          <w:lang w:val="es-ES_tradnl"/>
        </w:rPr>
        <w:fldChar w:fldCharType="begin"/>
      </w:r>
      <w:r w:rsidRPr="005101B9">
        <w:rPr>
          <w:rFonts w:eastAsia="Calibri" w:cs="Arial"/>
          <w:bdr w:val="none" w:sz="0" w:space="0" w:color="auto" w:frame="1"/>
          <w:lang w:val="es-ES_tradnl"/>
        </w:rPr>
        <w:instrText xml:space="preserve"> AUTONUM  </w:instrText>
      </w:r>
      <w:r w:rsidRPr="005101B9">
        <w:rPr>
          <w:rFonts w:eastAsia="Calibri" w:cs="Arial"/>
          <w:bdr w:val="none" w:sz="0" w:space="0" w:color="auto" w:frame="1"/>
          <w:lang w:val="es-ES_tradnl"/>
        </w:rPr>
        <w:fldChar w:fldCharType="end"/>
      </w:r>
      <w:r w:rsidRPr="005101B9">
        <w:rPr>
          <w:bdr w:val="none" w:sz="0" w:space="0" w:color="auto" w:frame="1"/>
          <w:lang w:val="es-ES_tradnl"/>
        </w:rPr>
        <w:tab/>
        <w:t>El 19 de enero de 2026, la Oficina de la Unión emitió la Circular E-26/004 dirigida a todos los órganos de la UPOV, en la que les invitaba a facilitar información sobre los programas informáticos desarrollados por las autoridades de protección de las obtenciones vegetales que desearan poner a disposición de otros miembros de la UPOV en el documento UPOV/INF/16.</w:t>
      </w:r>
    </w:p>
    <w:p w14:paraId="3816C26E" w14:textId="77777777" w:rsidR="009418CE" w:rsidRPr="005101B9" w:rsidRDefault="009418CE" w:rsidP="009418CE">
      <w:pPr>
        <w:rPr>
          <w:rFonts w:cs="Arial"/>
          <w:snapToGrid w:val="0"/>
          <w:lang w:val="es-ES_tradnl"/>
        </w:rPr>
      </w:pPr>
    </w:p>
    <w:p w14:paraId="5C2DBBA5" w14:textId="77777777" w:rsidR="009418CE" w:rsidRPr="005101B9" w:rsidRDefault="009418CE" w:rsidP="00C97006">
      <w:pPr>
        <w:rPr>
          <w:rFonts w:cs="Arial"/>
          <w:snapToGrid w:val="0"/>
          <w:lang w:val="es-ES_tradnl"/>
        </w:rPr>
      </w:pPr>
      <w:r w:rsidRPr="005101B9">
        <w:rPr>
          <w:rFonts w:cs="Arial"/>
          <w:snapToGrid w:val="0"/>
          <w:lang w:val="es-ES_tradnl"/>
        </w:rPr>
        <w:fldChar w:fldCharType="begin"/>
      </w:r>
      <w:r w:rsidRPr="005101B9">
        <w:rPr>
          <w:rFonts w:cs="Arial"/>
          <w:snapToGrid w:val="0"/>
          <w:lang w:val="es-ES_tradnl"/>
        </w:rPr>
        <w:instrText xml:space="preserve"> AUTONUM  </w:instrText>
      </w:r>
      <w:r w:rsidRPr="005101B9">
        <w:rPr>
          <w:rFonts w:cs="Arial"/>
          <w:snapToGrid w:val="0"/>
          <w:lang w:val="es-ES_tradnl"/>
        </w:rPr>
        <w:fldChar w:fldCharType="end"/>
      </w:r>
      <w:r w:rsidRPr="005101B9">
        <w:rPr>
          <w:snapToGrid w:val="0"/>
          <w:lang w:val="es-ES_tradnl"/>
        </w:rPr>
        <w:tab/>
        <w:t xml:space="preserve">En respuesta a la Circular </w:t>
      </w:r>
      <w:r w:rsidRPr="005101B9">
        <w:rPr>
          <w:bdr w:val="none" w:sz="0" w:space="0" w:color="auto" w:frame="1"/>
          <w:lang w:val="es-ES_tradnl"/>
        </w:rPr>
        <w:t>E-26/004, la Oficina de la Unión recibió una propuesta de Italia para incluir en el documento UPOV/INF/16 el programa informático “KORA”, con la siguiente información:</w:t>
      </w:r>
    </w:p>
    <w:p w14:paraId="2D17DF55" w14:textId="77777777" w:rsidR="00DB5435" w:rsidRPr="005101B9" w:rsidRDefault="00DB5435" w:rsidP="009418CE">
      <w:pPr>
        <w:jc w:val="left"/>
        <w:rPr>
          <w:rFonts w:cs="Arial"/>
          <w:snapToGrid w:val="0"/>
          <w:u w:val="single"/>
          <w:lang w:val="es-ES_tradnl"/>
        </w:rPr>
      </w:pPr>
    </w:p>
    <w:tbl>
      <w:tblPr>
        <w:tblStyle w:val="TableGrid"/>
        <w:tblW w:w="0" w:type="auto"/>
        <w:tblInd w:w="0" w:type="dxa"/>
        <w:tblLook w:val="04A0" w:firstRow="1" w:lastRow="0" w:firstColumn="1" w:lastColumn="0" w:noHBand="0" w:noVBand="1"/>
      </w:tblPr>
      <w:tblGrid>
        <w:gridCol w:w="1555"/>
        <w:gridCol w:w="2126"/>
        <w:gridCol w:w="2977"/>
        <w:gridCol w:w="2971"/>
      </w:tblGrid>
      <w:tr w:rsidR="009418CE" w:rsidRPr="005101B9" w14:paraId="61D5F9CA" w14:textId="77777777" w:rsidTr="00451B73">
        <w:trPr>
          <w:trHeight w:val="494"/>
        </w:trPr>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2CC93E" w14:textId="77777777" w:rsidR="009418CE" w:rsidRPr="005101B9" w:rsidRDefault="009418CE" w:rsidP="00451B73">
            <w:pPr>
              <w:jc w:val="left"/>
              <w:rPr>
                <w:rFonts w:eastAsia="Calibri" w:cs="Arial"/>
                <w:bdr w:val="none" w:sz="0" w:space="0" w:color="auto" w:frame="1"/>
                <w:lang w:val="es-ES_tradnl"/>
              </w:rPr>
            </w:pPr>
            <w:r w:rsidRPr="005101B9">
              <w:rPr>
                <w:snapToGrid w:val="0"/>
                <w:sz w:val="18"/>
                <w:lang w:val="es-ES_tradnl"/>
              </w:rPr>
              <w:t>Nombre del programa</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312C0F" w14:textId="77777777" w:rsidR="009418CE" w:rsidRPr="005101B9" w:rsidRDefault="009418CE" w:rsidP="00451B73">
            <w:pPr>
              <w:jc w:val="left"/>
              <w:rPr>
                <w:rFonts w:cs="Arial"/>
                <w:bdr w:val="none" w:sz="0" w:space="0" w:color="auto" w:frame="1"/>
                <w:lang w:val="es-ES_tradnl"/>
              </w:rPr>
            </w:pPr>
            <w:r w:rsidRPr="005101B9">
              <w:rPr>
                <w:snapToGrid w:val="0"/>
                <w:sz w:val="18"/>
                <w:lang w:val="es-ES_tradnl"/>
              </w:rPr>
              <w:t>Lenguaje de programación</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7421CC" w14:textId="77777777" w:rsidR="009418CE" w:rsidRPr="005101B9" w:rsidRDefault="009418CE" w:rsidP="00451B73">
            <w:pPr>
              <w:jc w:val="left"/>
              <w:rPr>
                <w:rFonts w:cs="Arial"/>
                <w:bdr w:val="none" w:sz="0" w:space="0" w:color="auto" w:frame="1"/>
                <w:lang w:val="es-ES_tradnl"/>
              </w:rPr>
            </w:pPr>
            <w:r w:rsidRPr="005101B9">
              <w:rPr>
                <w:snapToGrid w:val="0"/>
                <w:sz w:val="18"/>
                <w:lang w:val="es-ES_tradnl"/>
              </w:rPr>
              <w:t>Función (breve resumen)</w:t>
            </w:r>
          </w:p>
        </w:tc>
        <w:tc>
          <w:tcPr>
            <w:tcW w:w="2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4193F6" w14:textId="77777777" w:rsidR="009418CE" w:rsidRPr="005101B9" w:rsidRDefault="009418CE" w:rsidP="00451B73">
            <w:pPr>
              <w:jc w:val="left"/>
              <w:rPr>
                <w:rFonts w:cs="Arial"/>
                <w:bdr w:val="none" w:sz="0" w:space="0" w:color="auto" w:frame="1"/>
                <w:lang w:val="es-ES_tradnl"/>
              </w:rPr>
            </w:pPr>
            <w:r w:rsidRPr="005101B9">
              <w:rPr>
                <w:snapToGrid w:val="0"/>
                <w:sz w:val="18"/>
                <w:lang w:val="es-ES_tradnl"/>
              </w:rPr>
              <w:t>Fuente y datos de contacto</w:t>
            </w:r>
          </w:p>
        </w:tc>
      </w:tr>
      <w:tr w:rsidR="009418CE" w:rsidRPr="005101B9" w14:paraId="12295A89" w14:textId="77777777" w:rsidTr="00451B73">
        <w:trPr>
          <w:trHeight w:val="854"/>
        </w:trPr>
        <w:tc>
          <w:tcPr>
            <w:tcW w:w="1555" w:type="dxa"/>
            <w:tcBorders>
              <w:top w:val="single" w:sz="4" w:space="0" w:color="auto"/>
              <w:left w:val="single" w:sz="4" w:space="0" w:color="auto"/>
              <w:bottom w:val="single" w:sz="4" w:space="0" w:color="auto"/>
              <w:right w:val="single" w:sz="4" w:space="0" w:color="auto"/>
            </w:tcBorders>
            <w:hideMark/>
          </w:tcPr>
          <w:p w14:paraId="68DCA7C7" w14:textId="77777777" w:rsidR="009418CE" w:rsidRPr="005101B9" w:rsidRDefault="009418CE" w:rsidP="00451B73">
            <w:pPr>
              <w:jc w:val="left"/>
              <w:rPr>
                <w:rFonts w:cs="Arial"/>
                <w:bdr w:val="none" w:sz="0" w:space="0" w:color="auto" w:frame="1"/>
                <w:lang w:val="es-ES_tradnl"/>
              </w:rPr>
            </w:pPr>
            <w:r w:rsidRPr="005101B9">
              <w:rPr>
                <w:snapToGrid w:val="0"/>
                <w:sz w:val="18"/>
                <w:lang w:val="es-ES_tradnl"/>
              </w:rPr>
              <w:t xml:space="preserve">KORA </w:t>
            </w:r>
          </w:p>
        </w:tc>
        <w:tc>
          <w:tcPr>
            <w:tcW w:w="2126" w:type="dxa"/>
            <w:tcBorders>
              <w:top w:val="single" w:sz="4" w:space="0" w:color="auto"/>
              <w:left w:val="single" w:sz="4" w:space="0" w:color="auto"/>
              <w:bottom w:val="single" w:sz="4" w:space="0" w:color="auto"/>
              <w:right w:val="single" w:sz="4" w:space="0" w:color="auto"/>
            </w:tcBorders>
            <w:hideMark/>
          </w:tcPr>
          <w:p w14:paraId="741D5E9F" w14:textId="77777777" w:rsidR="009418CE" w:rsidRPr="005101B9" w:rsidRDefault="009418CE" w:rsidP="00451B73">
            <w:pPr>
              <w:jc w:val="left"/>
              <w:rPr>
                <w:rFonts w:cs="Arial"/>
                <w:bdr w:val="none" w:sz="0" w:space="0" w:color="auto" w:frame="1"/>
                <w:lang w:val="es-ES_tradnl"/>
              </w:rPr>
            </w:pPr>
            <w:r w:rsidRPr="005101B9">
              <w:rPr>
                <w:sz w:val="18"/>
                <w:lang w:val="es-ES_tradnl"/>
              </w:rPr>
              <w:t>Python</w:t>
            </w:r>
          </w:p>
        </w:tc>
        <w:tc>
          <w:tcPr>
            <w:tcW w:w="2977" w:type="dxa"/>
            <w:tcBorders>
              <w:top w:val="single" w:sz="4" w:space="0" w:color="auto"/>
              <w:left w:val="single" w:sz="4" w:space="0" w:color="auto"/>
              <w:bottom w:val="single" w:sz="4" w:space="0" w:color="auto"/>
              <w:right w:val="single" w:sz="4" w:space="0" w:color="auto"/>
            </w:tcBorders>
            <w:hideMark/>
          </w:tcPr>
          <w:p w14:paraId="25C3F818" w14:textId="77777777" w:rsidR="009418CE" w:rsidRPr="005101B9" w:rsidRDefault="009418CE" w:rsidP="00451B73">
            <w:pPr>
              <w:jc w:val="left"/>
              <w:rPr>
                <w:rFonts w:cs="Arial"/>
                <w:bdr w:val="none" w:sz="0" w:space="0" w:color="auto" w:frame="1"/>
                <w:lang w:val="es-ES_tradnl"/>
              </w:rPr>
            </w:pPr>
            <w:r w:rsidRPr="005101B9">
              <w:rPr>
                <w:snapToGrid w:val="0"/>
                <w:sz w:val="18"/>
                <w:lang w:val="es-ES_tradnl"/>
              </w:rPr>
              <w:t>Realiza comparaciones de variedades para la gestión de colecciones de referencia</w:t>
            </w:r>
          </w:p>
        </w:tc>
        <w:tc>
          <w:tcPr>
            <w:tcW w:w="2971" w:type="dxa"/>
            <w:tcBorders>
              <w:top w:val="single" w:sz="4" w:space="0" w:color="auto"/>
              <w:left w:val="single" w:sz="4" w:space="0" w:color="auto"/>
              <w:bottom w:val="single" w:sz="4" w:space="0" w:color="auto"/>
              <w:right w:val="single" w:sz="4" w:space="0" w:color="auto"/>
            </w:tcBorders>
            <w:hideMark/>
          </w:tcPr>
          <w:p w14:paraId="6A116DC8" w14:textId="77777777" w:rsidR="009418CE" w:rsidRPr="005101B9" w:rsidRDefault="009418CE" w:rsidP="00451B73">
            <w:pPr>
              <w:keepNext/>
              <w:jc w:val="left"/>
              <w:rPr>
                <w:rFonts w:cs="Arial"/>
                <w:snapToGrid w:val="0"/>
                <w:sz w:val="18"/>
                <w:szCs w:val="18"/>
                <w:lang w:val="es-ES_tradnl"/>
              </w:rPr>
            </w:pPr>
            <w:r w:rsidRPr="005101B9">
              <w:rPr>
                <w:snapToGrid w:val="0"/>
                <w:sz w:val="18"/>
                <w:lang w:val="es-ES_tradnl"/>
              </w:rPr>
              <w:t>Italia</w:t>
            </w:r>
          </w:p>
          <w:p w14:paraId="39AD9348" w14:textId="77777777" w:rsidR="009418CE" w:rsidRPr="005101B9" w:rsidRDefault="009418CE" w:rsidP="00451B73">
            <w:pPr>
              <w:keepNext/>
              <w:jc w:val="left"/>
              <w:rPr>
                <w:rFonts w:cs="Arial"/>
                <w:snapToGrid w:val="0"/>
                <w:sz w:val="18"/>
                <w:szCs w:val="18"/>
                <w:lang w:val="es-ES_tradnl"/>
              </w:rPr>
            </w:pPr>
            <w:r w:rsidRPr="005101B9">
              <w:rPr>
                <w:snapToGrid w:val="0"/>
                <w:sz w:val="18"/>
                <w:lang w:val="es-ES_tradnl"/>
              </w:rPr>
              <w:t>Sra. Anna Giulini</w:t>
            </w:r>
          </w:p>
          <w:p w14:paraId="52F81423" w14:textId="77777777" w:rsidR="009418CE" w:rsidRPr="005101B9" w:rsidRDefault="009418CE" w:rsidP="00451B73">
            <w:pPr>
              <w:keepNext/>
              <w:jc w:val="left"/>
              <w:rPr>
                <w:rFonts w:cs="Arial"/>
                <w:snapToGrid w:val="0"/>
                <w:sz w:val="18"/>
                <w:szCs w:val="18"/>
                <w:lang w:val="es-ES_tradnl"/>
              </w:rPr>
            </w:pPr>
            <w:r w:rsidRPr="005101B9">
              <w:rPr>
                <w:snapToGrid w:val="0"/>
                <w:sz w:val="18"/>
                <w:lang w:val="es-ES_tradnl"/>
              </w:rPr>
              <w:t>Sr. Gabriele Mongiano</w:t>
            </w:r>
          </w:p>
        </w:tc>
      </w:tr>
    </w:tbl>
    <w:p w14:paraId="5782E8C0" w14:textId="77777777" w:rsidR="009418CE" w:rsidRPr="005101B9" w:rsidRDefault="009418CE" w:rsidP="009418CE">
      <w:pPr>
        <w:jc w:val="left"/>
        <w:rPr>
          <w:rFonts w:eastAsia="Calibri" w:cs="Arial"/>
          <w:bdr w:val="none" w:sz="0" w:space="0" w:color="auto" w:frame="1"/>
          <w:lang w:val="es-ES_tradnl" w:eastAsia="nl-NL"/>
        </w:rPr>
      </w:pPr>
    </w:p>
    <w:p w14:paraId="7056E8ED" w14:textId="1CB4008B" w:rsidR="00F04CA9" w:rsidRPr="005101B9" w:rsidRDefault="009418CE" w:rsidP="009418CE">
      <w:pPr>
        <w:rPr>
          <w:rFonts w:eastAsia="Calibri" w:cs="Arial"/>
          <w:bdr w:val="none" w:sz="0" w:space="0" w:color="auto" w:frame="1"/>
          <w:lang w:val="es-ES_tradnl"/>
        </w:rPr>
      </w:pPr>
      <w:r w:rsidRPr="005101B9">
        <w:rPr>
          <w:rFonts w:eastAsia="Calibri" w:cs="Arial"/>
          <w:bdr w:val="none" w:sz="0" w:space="0" w:color="auto" w:frame="1"/>
          <w:lang w:val="es-ES_tradnl"/>
        </w:rPr>
        <w:fldChar w:fldCharType="begin"/>
      </w:r>
      <w:r w:rsidRPr="005101B9">
        <w:rPr>
          <w:rFonts w:eastAsia="Calibri" w:cs="Arial"/>
          <w:bdr w:val="none" w:sz="0" w:space="0" w:color="auto" w:frame="1"/>
          <w:lang w:val="es-ES_tradnl"/>
        </w:rPr>
        <w:instrText xml:space="preserve"> AUTONUM  </w:instrText>
      </w:r>
      <w:r w:rsidRPr="005101B9">
        <w:rPr>
          <w:rFonts w:eastAsia="Calibri" w:cs="Arial"/>
          <w:bdr w:val="none" w:sz="0" w:space="0" w:color="auto" w:frame="1"/>
          <w:lang w:val="es-ES_tradnl"/>
        </w:rPr>
        <w:fldChar w:fldCharType="end"/>
      </w:r>
      <w:r w:rsidRPr="005101B9">
        <w:rPr>
          <w:bdr w:val="none" w:sz="0" w:space="0" w:color="auto" w:frame="1"/>
          <w:lang w:val="es-ES_tradnl"/>
        </w:rPr>
        <w:tab/>
      </w:r>
      <w:r w:rsidRPr="005101B9">
        <w:rPr>
          <w:lang w:val="es-ES_tradnl"/>
        </w:rPr>
        <w:t>De conformidad con el procedimiento establecido en el documento UPOV/INF/16, se presentó el programa informático “KORA” para su examen por parte del TWM</w:t>
      </w:r>
      <w:r w:rsidR="00B85E9D" w:rsidRPr="005101B9">
        <w:rPr>
          <w:lang w:val="es-ES_tradnl"/>
        </w:rPr>
        <w:t>,</w:t>
      </w:r>
      <w:r w:rsidR="00F04CA9" w:rsidRPr="005101B9">
        <w:rPr>
          <w:rStyle w:val="FootnoteReference"/>
          <w:rFonts w:eastAsia="Calibri" w:cs="Arial"/>
          <w:bdr w:val="none" w:sz="0" w:space="0" w:color="auto" w:frame="1"/>
          <w:lang w:val="es-ES_tradnl" w:eastAsia="nl-NL"/>
        </w:rPr>
        <w:footnoteReference w:id="4"/>
      </w:r>
      <w:r w:rsidRPr="005101B9">
        <w:rPr>
          <w:bdr w:val="none" w:sz="0" w:space="0" w:color="auto" w:frame="1"/>
          <w:lang w:val="es-ES_tradnl"/>
        </w:rPr>
        <w:t xml:space="preserve"> en su cuarta reunión, por el Sr. Gabriele Mongiano (Italia) según consta en el documento </w:t>
      </w:r>
      <w:hyperlink r:id="rId16" w:history="1">
        <w:r w:rsidRPr="005101B9">
          <w:rPr>
            <w:rStyle w:val="Hyperlink"/>
            <w:bdr w:val="none" w:sz="0" w:space="0" w:color="auto" w:frame="1"/>
            <w:lang w:val="es-ES_tradnl"/>
          </w:rPr>
          <w:t>TWM/4/14</w:t>
        </w:r>
      </w:hyperlink>
      <w:r w:rsidRPr="005101B9">
        <w:rPr>
          <w:bdr w:val="none" w:sz="0" w:space="0" w:color="auto" w:frame="1"/>
          <w:lang w:val="es-ES_tradnl"/>
        </w:rPr>
        <w:t xml:space="preserve"> “Kora: gestión digital de las colecciones de variedades”. </w:t>
      </w:r>
    </w:p>
    <w:p w14:paraId="22C0AFB9" w14:textId="77777777" w:rsidR="00F04CA9" w:rsidRPr="005101B9" w:rsidRDefault="00F04CA9" w:rsidP="009418CE">
      <w:pPr>
        <w:rPr>
          <w:rFonts w:eastAsia="Calibri" w:cs="Arial"/>
          <w:bdr w:val="none" w:sz="0" w:space="0" w:color="auto" w:frame="1"/>
          <w:lang w:val="es-ES_tradnl" w:eastAsia="nl-NL"/>
        </w:rPr>
      </w:pPr>
    </w:p>
    <w:p w14:paraId="569087CC" w14:textId="470A0F30" w:rsidR="00500949" w:rsidRPr="005101B9" w:rsidRDefault="0025335A" w:rsidP="009418CE">
      <w:pPr>
        <w:rPr>
          <w:rFonts w:eastAsia="Calibri" w:cs="Arial"/>
          <w:bdr w:val="none" w:sz="0" w:space="0" w:color="auto" w:frame="1"/>
          <w:lang w:val="es-ES_tradnl"/>
        </w:rPr>
      </w:pPr>
      <w:r w:rsidRPr="005101B9">
        <w:rPr>
          <w:rFonts w:eastAsia="Calibri" w:cs="Arial"/>
          <w:bdr w:val="none" w:sz="0" w:space="0" w:color="auto" w:frame="1"/>
          <w:lang w:val="es-ES_tradnl"/>
        </w:rPr>
        <w:fldChar w:fldCharType="begin"/>
      </w:r>
      <w:r w:rsidRPr="005101B9">
        <w:rPr>
          <w:rFonts w:eastAsia="Calibri" w:cs="Arial"/>
          <w:bdr w:val="none" w:sz="0" w:space="0" w:color="auto" w:frame="1"/>
          <w:lang w:val="es-ES_tradnl"/>
        </w:rPr>
        <w:instrText xml:space="preserve"> AUTONUM  </w:instrText>
      </w:r>
      <w:r w:rsidRPr="005101B9">
        <w:rPr>
          <w:rFonts w:eastAsia="Calibri" w:cs="Arial"/>
          <w:bdr w:val="none" w:sz="0" w:space="0" w:color="auto" w:frame="1"/>
          <w:lang w:val="es-ES_tradnl"/>
        </w:rPr>
        <w:fldChar w:fldCharType="end"/>
      </w:r>
      <w:r w:rsidRPr="005101B9">
        <w:rPr>
          <w:bdr w:val="none" w:sz="0" w:space="0" w:color="auto" w:frame="1"/>
          <w:lang w:val="es-ES_tradnl"/>
        </w:rPr>
        <w:tab/>
        <w:t>El TWM señaló que el programa se estaba probando actualmente en Italia y que se esperaba que saliera al mercado en los próximos meses</w:t>
      </w:r>
      <w:r w:rsidR="007B7C4D" w:rsidRPr="005101B9">
        <w:rPr>
          <w:bdr w:val="none" w:sz="0" w:space="0" w:color="auto" w:frame="1"/>
          <w:lang w:val="es-ES_tradnl"/>
        </w:rPr>
        <w:t xml:space="preserve">. </w:t>
      </w:r>
      <w:r w:rsidRPr="005101B9">
        <w:rPr>
          <w:bdr w:val="none" w:sz="0" w:space="0" w:color="auto" w:frame="1"/>
          <w:lang w:val="es-ES_tradnl"/>
        </w:rPr>
        <w:t>El TWM abordó diferentes aspectos del programa, entre ellos el lenguaje de programación, las características de la base de datos y casos de uso concretos, como la selección de variedades similares</w:t>
      </w:r>
      <w:r w:rsidR="007B7C4D" w:rsidRPr="005101B9">
        <w:rPr>
          <w:bdr w:val="none" w:sz="0" w:space="0" w:color="auto" w:frame="1"/>
          <w:lang w:val="es-ES_tradnl"/>
        </w:rPr>
        <w:t xml:space="preserve">. </w:t>
      </w:r>
      <w:r w:rsidRPr="005101B9">
        <w:rPr>
          <w:bdr w:val="none" w:sz="0" w:space="0" w:color="auto" w:frame="1"/>
          <w:lang w:val="es-ES_tradnl"/>
        </w:rPr>
        <w:t>El TWM tomó nota de que se estaba elaborando una guía de uso y acordó invitar a los miembros de la UPOV a probar el programa y a enviar sus comentarios a Italia.</w:t>
      </w:r>
    </w:p>
    <w:p w14:paraId="5356B369" w14:textId="77777777" w:rsidR="00500949" w:rsidRPr="005101B9" w:rsidRDefault="00500949" w:rsidP="009418CE">
      <w:pPr>
        <w:rPr>
          <w:rFonts w:eastAsia="Calibri" w:cs="Arial"/>
          <w:bdr w:val="none" w:sz="0" w:space="0" w:color="auto" w:frame="1"/>
          <w:lang w:val="es-ES_tradnl" w:eastAsia="nl-NL"/>
        </w:rPr>
      </w:pPr>
    </w:p>
    <w:p w14:paraId="5427E351" w14:textId="2514E5DD" w:rsidR="009418CE" w:rsidRPr="005101B9" w:rsidRDefault="005D4AD6" w:rsidP="009418CE">
      <w:pPr>
        <w:rPr>
          <w:rFonts w:eastAsia="Calibri" w:cs="Arial"/>
          <w:bdr w:val="none" w:sz="0" w:space="0" w:color="auto" w:frame="1"/>
          <w:lang w:val="es-ES_tradnl"/>
        </w:rPr>
      </w:pPr>
      <w:r w:rsidRPr="005101B9">
        <w:rPr>
          <w:rFonts w:eastAsia="Calibri" w:cs="Arial"/>
          <w:bdr w:val="none" w:sz="0" w:space="0" w:color="auto" w:frame="1"/>
          <w:lang w:val="es-ES_tradnl"/>
        </w:rPr>
        <w:fldChar w:fldCharType="begin"/>
      </w:r>
      <w:r w:rsidRPr="005101B9">
        <w:rPr>
          <w:rFonts w:eastAsia="Calibri" w:cs="Arial"/>
          <w:bdr w:val="none" w:sz="0" w:space="0" w:color="auto" w:frame="1"/>
          <w:lang w:val="es-ES_tradnl"/>
        </w:rPr>
        <w:instrText xml:space="preserve"> AUTONUM  </w:instrText>
      </w:r>
      <w:r w:rsidRPr="005101B9">
        <w:rPr>
          <w:rFonts w:eastAsia="Calibri" w:cs="Arial"/>
          <w:bdr w:val="none" w:sz="0" w:space="0" w:color="auto" w:frame="1"/>
          <w:lang w:val="es-ES_tradnl"/>
        </w:rPr>
        <w:fldChar w:fldCharType="end"/>
      </w:r>
      <w:r w:rsidRPr="005101B9">
        <w:rPr>
          <w:bdr w:val="none" w:sz="0" w:space="0" w:color="auto" w:frame="1"/>
          <w:lang w:val="es-ES_tradnl"/>
        </w:rPr>
        <w:tab/>
        <w:t xml:space="preserve">En su quinta reunión, que se celebrará en 2027, se invitará al TWM a formular una recomendación para que el TC la examine, en su </w:t>
      </w:r>
      <w:r w:rsidR="009247F2" w:rsidRPr="005101B9">
        <w:rPr>
          <w:bdr w:val="none" w:sz="0" w:space="0" w:color="auto" w:frame="1"/>
          <w:lang w:val="es-ES_tradnl"/>
        </w:rPr>
        <w:t>sexagésima tercera</w:t>
      </w:r>
      <w:r w:rsidRPr="005101B9">
        <w:rPr>
          <w:bdr w:val="none" w:sz="0" w:space="0" w:color="auto" w:frame="1"/>
          <w:lang w:val="es-ES_tradnl"/>
        </w:rPr>
        <w:t xml:space="preserve"> </w:t>
      </w:r>
      <w:r w:rsidR="00231F5D" w:rsidRPr="005101B9">
        <w:rPr>
          <w:bdr w:val="none" w:sz="0" w:space="0" w:color="auto" w:frame="1"/>
          <w:lang w:val="es-ES_tradnl"/>
        </w:rPr>
        <w:t>sesión</w:t>
      </w:r>
      <w:r w:rsidRPr="005101B9">
        <w:rPr>
          <w:bdr w:val="none" w:sz="0" w:space="0" w:color="auto" w:frame="1"/>
          <w:lang w:val="es-ES_tradnl"/>
        </w:rPr>
        <w:t xml:space="preserve">, sobre la conveniencia de incluir el programa informático propuesto en el documento UPOV/INF/16. </w:t>
      </w:r>
    </w:p>
    <w:p w14:paraId="7AED2CE7" w14:textId="77777777" w:rsidR="00B11D40" w:rsidRPr="005101B9" w:rsidRDefault="00B11D40" w:rsidP="00B11D40">
      <w:pPr>
        <w:keepNext/>
        <w:jc w:val="left"/>
        <w:outlineLvl w:val="1"/>
        <w:rPr>
          <w:rFonts w:eastAsia="Calibri" w:cs="Arial"/>
          <w:bdr w:val="none" w:sz="0" w:space="0" w:color="auto" w:frame="1"/>
          <w:lang w:val="es-ES_tradnl" w:eastAsia="nl-NL"/>
        </w:rPr>
      </w:pPr>
    </w:p>
    <w:p w14:paraId="7B972AD6" w14:textId="77777777" w:rsidR="00B11D40" w:rsidRPr="005101B9" w:rsidRDefault="00B11D40" w:rsidP="00B11D40">
      <w:pPr>
        <w:rPr>
          <w:rFonts w:eastAsia="Calibri"/>
          <w:lang w:val="es-ES_tradnl"/>
        </w:rPr>
      </w:pPr>
    </w:p>
    <w:p w14:paraId="7AE145CC" w14:textId="62ACA093" w:rsidR="00B11D40" w:rsidRPr="005101B9" w:rsidRDefault="009507E7" w:rsidP="00390EF6">
      <w:pPr>
        <w:pStyle w:val="Heading2"/>
        <w:rPr>
          <w:rFonts w:eastAsia="Calibri" w:cs="Arial"/>
          <w:bdr w:val="none" w:sz="0" w:space="0" w:color="auto" w:frame="1"/>
          <w:lang w:val="es-ES_tradnl"/>
        </w:rPr>
      </w:pPr>
      <w:bookmarkStart w:id="13" w:name="_Toc242263278"/>
      <w:r w:rsidRPr="005101B9">
        <w:rPr>
          <w:lang w:val="es-ES_tradnl"/>
        </w:rPr>
        <w:lastRenderedPageBreak/>
        <w:t>Programas informáticos y equipos que se propone incluir en el documento UPOV/INF/22 en 2026</w:t>
      </w:r>
      <w:bookmarkEnd w:id="13"/>
    </w:p>
    <w:p w14:paraId="376BE59B" w14:textId="77777777" w:rsidR="00B11D40" w:rsidRPr="005101B9" w:rsidRDefault="00B11D40" w:rsidP="00390EF6">
      <w:pPr>
        <w:keepNext/>
        <w:jc w:val="left"/>
        <w:rPr>
          <w:rFonts w:eastAsia="Calibri" w:cs="Arial"/>
          <w:bdr w:val="none" w:sz="0" w:space="0" w:color="auto" w:frame="1"/>
          <w:lang w:val="es-ES_tradnl" w:eastAsia="nl-NL"/>
        </w:rPr>
      </w:pPr>
    </w:p>
    <w:p w14:paraId="41544094" w14:textId="4F2E24A5" w:rsidR="00B11D40" w:rsidRPr="005101B9" w:rsidRDefault="00B11D40" w:rsidP="00B11D40">
      <w:pPr>
        <w:rPr>
          <w:rFonts w:eastAsia="Calibri" w:cs="Arial"/>
          <w:bdr w:val="none" w:sz="0" w:space="0" w:color="auto" w:frame="1"/>
          <w:lang w:val="es-ES_tradnl"/>
        </w:rPr>
      </w:pPr>
      <w:r w:rsidRPr="005101B9">
        <w:rPr>
          <w:rFonts w:eastAsia="Calibri" w:cs="Arial"/>
          <w:bdr w:val="none" w:sz="0" w:space="0" w:color="auto" w:frame="1"/>
          <w:lang w:val="es-ES_tradnl"/>
        </w:rPr>
        <w:fldChar w:fldCharType="begin"/>
      </w:r>
      <w:r w:rsidRPr="005101B9">
        <w:rPr>
          <w:rFonts w:eastAsia="Calibri" w:cs="Arial"/>
          <w:bdr w:val="none" w:sz="0" w:space="0" w:color="auto" w:frame="1"/>
          <w:lang w:val="es-ES_tradnl"/>
        </w:rPr>
        <w:instrText xml:space="preserve"> AUTONUM  </w:instrText>
      </w:r>
      <w:r w:rsidRPr="005101B9">
        <w:rPr>
          <w:rFonts w:eastAsia="Calibri" w:cs="Arial"/>
          <w:bdr w:val="none" w:sz="0" w:space="0" w:color="auto" w:frame="1"/>
          <w:lang w:val="es-ES_tradnl"/>
        </w:rPr>
        <w:fldChar w:fldCharType="end"/>
      </w:r>
      <w:r w:rsidRPr="005101B9">
        <w:rPr>
          <w:bdr w:val="none" w:sz="0" w:space="0" w:color="auto" w:frame="1"/>
          <w:lang w:val="es-ES_tradnl"/>
        </w:rPr>
        <w:tab/>
        <w:t>El 19 de enero de 2026, la Oficina de la Unión emitió la Circular E-26/004 dirigida a todos los órganos de la UPOV, en la que les invitaba a facilitar información sobre los programas informáticos y equipos utilizados por los miembros de la Unión con fines de protección de las obtenciones vegetales</w:t>
      </w:r>
      <w:r w:rsidR="007B7C4D" w:rsidRPr="005101B9">
        <w:rPr>
          <w:bdr w:val="none" w:sz="0" w:space="0" w:color="auto" w:frame="1"/>
          <w:lang w:val="es-ES_tradnl"/>
        </w:rPr>
        <w:t xml:space="preserve">. </w:t>
      </w:r>
    </w:p>
    <w:p w14:paraId="583E3C5D" w14:textId="77777777" w:rsidR="00B11D40" w:rsidRPr="005101B9" w:rsidRDefault="00B11D40" w:rsidP="00B11D40">
      <w:pPr>
        <w:rPr>
          <w:rFonts w:cs="Arial"/>
          <w:snapToGrid w:val="0"/>
          <w:lang w:val="es-ES_tradnl"/>
        </w:rPr>
      </w:pPr>
    </w:p>
    <w:p w14:paraId="669EAA61" w14:textId="0E683907" w:rsidR="00B11D40" w:rsidRPr="005101B9" w:rsidRDefault="00B11D40" w:rsidP="00B11D40">
      <w:pPr>
        <w:rPr>
          <w:rFonts w:eastAsia="Calibri" w:cs="Arial"/>
          <w:bdr w:val="none" w:sz="0" w:space="0" w:color="auto" w:frame="1"/>
          <w:lang w:val="es-ES_tradnl"/>
        </w:rPr>
      </w:pPr>
      <w:r w:rsidRPr="005101B9">
        <w:rPr>
          <w:rFonts w:cs="Arial"/>
          <w:snapToGrid w:val="0"/>
          <w:lang w:val="es-ES_tradnl"/>
        </w:rPr>
        <w:fldChar w:fldCharType="begin"/>
      </w:r>
      <w:r w:rsidRPr="005101B9">
        <w:rPr>
          <w:rFonts w:cs="Arial"/>
          <w:snapToGrid w:val="0"/>
          <w:lang w:val="es-ES_tradnl"/>
        </w:rPr>
        <w:instrText xml:space="preserve"> AUTONUM  </w:instrText>
      </w:r>
      <w:r w:rsidRPr="005101B9">
        <w:rPr>
          <w:rFonts w:cs="Arial"/>
          <w:snapToGrid w:val="0"/>
          <w:lang w:val="es-ES_tradnl"/>
        </w:rPr>
        <w:fldChar w:fldCharType="end"/>
      </w:r>
      <w:r w:rsidRPr="005101B9">
        <w:rPr>
          <w:snapToGrid w:val="0"/>
          <w:lang w:val="es-ES_tradnl"/>
        </w:rPr>
        <w:tab/>
        <w:t xml:space="preserve">En respuesta a la Circular </w:t>
      </w:r>
      <w:r w:rsidRPr="005101B9">
        <w:rPr>
          <w:bdr w:val="none" w:sz="0" w:space="0" w:color="auto" w:frame="1"/>
          <w:lang w:val="es-ES_tradnl"/>
        </w:rPr>
        <w:t xml:space="preserve">E-26/004, la Oficina de la Unión recibió propuestas para incluir </w:t>
      </w:r>
      <w:r w:rsidR="00DF0527" w:rsidRPr="005101B9">
        <w:rPr>
          <w:bdr w:val="none" w:sz="0" w:space="0" w:color="auto" w:frame="1"/>
          <w:lang w:val="es-ES_tradnl"/>
        </w:rPr>
        <w:t xml:space="preserve">o suprimir </w:t>
      </w:r>
      <w:r w:rsidRPr="005101B9">
        <w:rPr>
          <w:bdr w:val="none" w:sz="0" w:space="0" w:color="auto" w:frame="1"/>
          <w:lang w:val="es-ES_tradnl"/>
        </w:rPr>
        <w:t>información sobre los programas informáticos y equipos utilizados por: China, Reino de los Países Bajos, Suecia y Ucrania</w:t>
      </w:r>
      <w:r w:rsidR="007B7C4D" w:rsidRPr="005101B9">
        <w:rPr>
          <w:bdr w:val="none" w:sz="0" w:space="0" w:color="auto" w:frame="1"/>
          <w:lang w:val="es-ES_tradnl"/>
        </w:rPr>
        <w:t xml:space="preserve">. </w:t>
      </w:r>
      <w:r w:rsidRPr="005101B9">
        <w:rPr>
          <w:lang w:val="es-ES_tradnl"/>
        </w:rPr>
        <w:t>La información recibida figura en el documento UPOV/INF/22/13</w:t>
      </w:r>
      <w:r w:rsidR="00BF3427" w:rsidRPr="005101B9">
        <w:rPr>
          <w:lang w:val="es-ES_tradnl"/>
        </w:rPr>
        <w:t> Draft </w:t>
      </w:r>
      <w:r w:rsidRPr="005101B9">
        <w:rPr>
          <w:lang w:val="es-ES_tradnl"/>
        </w:rPr>
        <w:t>1.</w:t>
      </w:r>
    </w:p>
    <w:p w14:paraId="11185ECE" w14:textId="77777777" w:rsidR="000B12A3" w:rsidRPr="005101B9" w:rsidRDefault="000B12A3" w:rsidP="000B12A3">
      <w:pPr>
        <w:rPr>
          <w:rFonts w:eastAsia="Calibri"/>
          <w:lang w:val="es-ES_tradnl"/>
        </w:rPr>
      </w:pPr>
    </w:p>
    <w:p w14:paraId="6EF9B144" w14:textId="327C5EDE" w:rsidR="000B12A3" w:rsidRPr="005101B9" w:rsidRDefault="000B12A3" w:rsidP="000B12A3">
      <w:pPr>
        <w:rPr>
          <w:lang w:val="es-ES_tradnl"/>
        </w:rPr>
      </w:pPr>
      <w:r w:rsidRPr="005101B9">
        <w:rPr>
          <w:rFonts w:eastAsia="Calibri"/>
          <w:lang w:val="es-ES_tradnl"/>
        </w:rPr>
        <w:fldChar w:fldCharType="begin"/>
      </w:r>
      <w:r w:rsidRPr="005101B9">
        <w:rPr>
          <w:rFonts w:eastAsia="Calibri"/>
          <w:lang w:val="es-ES_tradnl"/>
        </w:rPr>
        <w:instrText xml:space="preserve"> AUTONUM  </w:instrText>
      </w:r>
      <w:r w:rsidRPr="005101B9">
        <w:rPr>
          <w:rFonts w:eastAsia="Calibri"/>
          <w:lang w:val="es-ES_tradnl"/>
        </w:rPr>
        <w:fldChar w:fldCharType="end"/>
      </w:r>
      <w:r w:rsidRPr="005101B9">
        <w:rPr>
          <w:lang w:val="es-ES_tradnl"/>
        </w:rPr>
        <w:tab/>
        <w:t>Previo acuerdo del TC, en su sexagésima segunda sesión, y del CAJ, en su octogésima tercera sesión, se someterá a la aprobación del Consejo, en su sexagésima sesión ordinaria, una revisión acordada del documento UPOV/INF/22/12 “Programas informáticos y equipos utilizados por los miembros de la Unión” sobre la base de las revisiones propuestas, que figuran en el documento UPOV/INF/22/13</w:t>
      </w:r>
      <w:r w:rsidR="00BF3427" w:rsidRPr="005101B9">
        <w:rPr>
          <w:lang w:val="es-ES_tradnl"/>
        </w:rPr>
        <w:t> Draft </w:t>
      </w:r>
      <w:r w:rsidRPr="005101B9">
        <w:rPr>
          <w:lang w:val="es-ES_tradnl"/>
        </w:rPr>
        <w:t>1.</w:t>
      </w:r>
    </w:p>
    <w:p w14:paraId="7C1272E3" w14:textId="77777777" w:rsidR="000B12A3" w:rsidRPr="005101B9" w:rsidRDefault="000B12A3" w:rsidP="000B12A3">
      <w:pPr>
        <w:rPr>
          <w:spacing w:val="-4"/>
          <w:lang w:val="es-ES_tradnl"/>
        </w:rPr>
      </w:pPr>
    </w:p>
    <w:p w14:paraId="6ACE71F6" w14:textId="40D5360C" w:rsidR="000B12A3" w:rsidRPr="005101B9" w:rsidRDefault="000B12A3" w:rsidP="000B12A3">
      <w:pPr>
        <w:tabs>
          <w:tab w:val="left" w:pos="5387"/>
          <w:tab w:val="left" w:pos="5954"/>
        </w:tabs>
        <w:ind w:left="4820"/>
        <w:rPr>
          <w:i/>
          <w:lang w:val="es-ES_tradnl"/>
        </w:rPr>
      </w:pPr>
      <w:r w:rsidRPr="005101B9">
        <w:rPr>
          <w:i/>
          <w:lang w:val="es-ES_tradnl"/>
        </w:rPr>
        <w:fldChar w:fldCharType="begin"/>
      </w:r>
      <w:r w:rsidRPr="005101B9">
        <w:rPr>
          <w:i/>
          <w:lang w:val="es-ES_tradnl"/>
        </w:rPr>
        <w:instrText xml:space="preserve"> AUTONUM  </w:instrText>
      </w:r>
      <w:r w:rsidRPr="005101B9">
        <w:rPr>
          <w:i/>
          <w:lang w:val="es-ES_tradnl"/>
        </w:rPr>
        <w:fldChar w:fldCharType="end"/>
      </w:r>
      <w:r w:rsidRPr="005101B9">
        <w:rPr>
          <w:i/>
          <w:lang w:val="es-ES_tradnl"/>
        </w:rPr>
        <w:tab/>
        <w:t>Se invita al</w:t>
      </w:r>
      <w:r w:rsidR="00C466BF" w:rsidRPr="005101B9">
        <w:rPr>
          <w:i/>
          <w:lang w:val="es-ES_tradnl"/>
        </w:rPr>
        <w:t xml:space="preserve"> </w:t>
      </w:r>
      <w:r w:rsidRPr="005101B9">
        <w:rPr>
          <w:i/>
          <w:lang w:val="es-ES_tradnl"/>
        </w:rPr>
        <w:t>Consejo a aprobar la revisión del</w:t>
      </w:r>
      <w:r w:rsidR="0020666A" w:rsidRPr="005101B9">
        <w:rPr>
          <w:i/>
          <w:lang w:val="es-ES_tradnl"/>
        </w:rPr>
        <w:t xml:space="preserve"> </w:t>
      </w:r>
      <w:r w:rsidRPr="005101B9">
        <w:rPr>
          <w:i/>
          <w:lang w:val="es-ES_tradnl"/>
        </w:rPr>
        <w:t>documento</w:t>
      </w:r>
      <w:r w:rsidR="00C466BF" w:rsidRPr="005101B9">
        <w:rPr>
          <w:i/>
          <w:lang w:val="es-ES_tradnl"/>
        </w:rPr>
        <w:t xml:space="preserve"> </w:t>
      </w:r>
      <w:r w:rsidRPr="005101B9">
        <w:rPr>
          <w:i/>
          <w:lang w:val="es-ES_tradnl"/>
        </w:rPr>
        <w:t>UPOV/INF/22/12 “Programas informáticos y equipos utilizados por los miembros</w:t>
      </w:r>
      <w:r w:rsidR="0020666A" w:rsidRPr="005101B9">
        <w:rPr>
          <w:i/>
          <w:lang w:val="es-ES_tradnl"/>
        </w:rPr>
        <w:t xml:space="preserve"> </w:t>
      </w:r>
      <w:r w:rsidRPr="005101B9">
        <w:rPr>
          <w:i/>
          <w:lang w:val="es-ES_tradnl"/>
        </w:rPr>
        <w:t>de</w:t>
      </w:r>
      <w:r w:rsidR="0020666A" w:rsidRPr="005101B9">
        <w:rPr>
          <w:i/>
          <w:lang w:val="es-ES_tradnl"/>
        </w:rPr>
        <w:t xml:space="preserve"> </w:t>
      </w:r>
      <w:r w:rsidRPr="005101B9">
        <w:rPr>
          <w:i/>
          <w:lang w:val="es-ES_tradnl"/>
        </w:rPr>
        <w:t>la</w:t>
      </w:r>
      <w:r w:rsidR="00131216" w:rsidRPr="005101B9">
        <w:rPr>
          <w:i/>
          <w:lang w:val="es-ES_tradnl"/>
        </w:rPr>
        <w:t xml:space="preserve"> </w:t>
      </w:r>
      <w:r w:rsidRPr="005101B9">
        <w:rPr>
          <w:i/>
          <w:lang w:val="es-ES_tradnl"/>
        </w:rPr>
        <w:t>Unión” sobre la base del documento</w:t>
      </w:r>
      <w:r w:rsidR="00C466BF" w:rsidRPr="005101B9">
        <w:rPr>
          <w:i/>
          <w:lang w:val="es-ES_tradnl"/>
        </w:rPr>
        <w:t> </w:t>
      </w:r>
      <w:r w:rsidRPr="005101B9">
        <w:rPr>
          <w:i/>
          <w:lang w:val="es-ES_tradnl"/>
        </w:rPr>
        <w:t>UPOV/INF/22/13</w:t>
      </w:r>
      <w:r w:rsidR="00BF3427" w:rsidRPr="005101B9">
        <w:rPr>
          <w:i/>
          <w:lang w:val="es-ES_tradnl"/>
        </w:rPr>
        <w:t> Draft </w:t>
      </w:r>
      <w:r w:rsidRPr="005101B9">
        <w:rPr>
          <w:i/>
          <w:lang w:val="es-ES_tradnl"/>
        </w:rPr>
        <w:t>1, a reserva de la aprobación del TC y del CAJ, en sus sesiones de 2026.</w:t>
      </w:r>
    </w:p>
    <w:p w14:paraId="2DC4F0DF" w14:textId="77777777" w:rsidR="005705FD" w:rsidRPr="005101B9" w:rsidRDefault="005705FD" w:rsidP="005705FD">
      <w:pPr>
        <w:keepNext/>
        <w:rPr>
          <w:lang w:val="es-ES_tradnl"/>
        </w:rPr>
      </w:pPr>
    </w:p>
    <w:p w14:paraId="23366067" w14:textId="77777777" w:rsidR="00122F57" w:rsidRPr="005101B9" w:rsidRDefault="00122F57" w:rsidP="00122F57">
      <w:pPr>
        <w:rPr>
          <w:lang w:val="es-ES_tradnl" w:eastAsia="ja-JP"/>
        </w:rPr>
      </w:pPr>
    </w:p>
    <w:p w14:paraId="781D0A4F" w14:textId="05CBDD4D" w:rsidR="00122F57" w:rsidRPr="005101B9" w:rsidRDefault="00122F57" w:rsidP="007D2461">
      <w:pPr>
        <w:pStyle w:val="Heading1"/>
        <w:rPr>
          <w:lang w:val="es-ES_tradnl"/>
        </w:rPr>
      </w:pPr>
      <w:bookmarkStart w:id="14" w:name="_Toc242263279"/>
      <w:r w:rsidRPr="005101B9">
        <w:rPr>
          <w:lang w:val="es-ES_tradnl"/>
        </w:rPr>
        <w:t>DOCUMENTO TGP/5 “Experiencia y cooperación en el examen DHE”</w:t>
      </w:r>
      <w:bookmarkEnd w:id="14"/>
    </w:p>
    <w:p w14:paraId="0D217010" w14:textId="77777777" w:rsidR="00122F57" w:rsidRPr="005101B9" w:rsidRDefault="00122F57" w:rsidP="00122F57">
      <w:pPr>
        <w:keepNext/>
        <w:jc w:val="left"/>
        <w:outlineLvl w:val="1"/>
        <w:rPr>
          <w:u w:val="single"/>
          <w:lang w:val="es-ES_tradnl"/>
        </w:rPr>
      </w:pPr>
    </w:p>
    <w:p w14:paraId="56D4D6ED" w14:textId="77777777" w:rsidR="00122F57" w:rsidRPr="005101B9" w:rsidRDefault="00122F57" w:rsidP="007D2461">
      <w:pPr>
        <w:pStyle w:val="Heading2"/>
        <w:rPr>
          <w:rFonts w:eastAsia="Calibri"/>
          <w:lang w:val="es-ES_tradnl"/>
        </w:rPr>
      </w:pPr>
      <w:bookmarkStart w:id="15" w:name="_Toc242263280"/>
      <w:r w:rsidRPr="005101B9">
        <w:rPr>
          <w:lang w:val="es-ES_tradnl"/>
        </w:rPr>
        <w:t>Sección 11 “Ejemplos de políticas y contratos sobre el material presentado por el obtentor” (revisión)</w:t>
      </w:r>
      <w:bookmarkEnd w:id="15"/>
    </w:p>
    <w:p w14:paraId="23B5397E" w14:textId="77777777" w:rsidR="002E166F" w:rsidRPr="005101B9" w:rsidRDefault="002E166F" w:rsidP="002E166F">
      <w:pPr>
        <w:rPr>
          <w:lang w:val="es-ES_tradnl"/>
        </w:rPr>
      </w:pPr>
    </w:p>
    <w:p w14:paraId="558A2DFD" w14:textId="4E873596" w:rsidR="004310AB" w:rsidRPr="005101B9" w:rsidRDefault="002E166F" w:rsidP="002E166F">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t>En el documento TGP/5, “Experiencia y cooperación en el examen DHE”, sección 11 “Ejemplos de políticas y contratos sobre el material presentado por el obtentor”, se recogen ejemplos de políticas y contratos sobre el material presentado por el obtentor para el examen de variedades.</w:t>
      </w:r>
    </w:p>
    <w:p w14:paraId="3E461605" w14:textId="5F790BDE" w:rsidR="00122F57" w:rsidRPr="005101B9" w:rsidRDefault="00122F57" w:rsidP="002E166F">
      <w:pPr>
        <w:rPr>
          <w:lang w:val="es-ES_tradnl"/>
        </w:rPr>
      </w:pPr>
    </w:p>
    <w:p w14:paraId="742094D8" w14:textId="4730921D" w:rsidR="00727C3B" w:rsidRPr="005101B9" w:rsidRDefault="0020666A" w:rsidP="0020666A">
      <w:pPr>
        <w:rPr>
          <w:rFonts w:cs="Arial"/>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r>
      <w:r w:rsidR="00122F57" w:rsidRPr="005101B9">
        <w:rPr>
          <w:rFonts w:cs="Arial"/>
          <w:lang w:val="es-ES_tradnl"/>
        </w:rPr>
        <w:t>En su sesión de 2025, el TC</w:t>
      </w:r>
      <w:r w:rsidR="00727C3B" w:rsidRPr="005101B9">
        <w:rPr>
          <w:rFonts w:cs="Arial"/>
          <w:vertAlign w:val="superscript"/>
          <w:lang w:val="es-ES_tradnl"/>
        </w:rPr>
        <w:footnoteReference w:id="5"/>
      </w:r>
      <w:r w:rsidR="00122F57" w:rsidRPr="005101B9">
        <w:rPr>
          <w:rFonts w:cs="Arial"/>
          <w:lang w:val="es-ES_tradnl"/>
        </w:rPr>
        <w:t xml:space="preserve"> señaló que la Unión Europea había actualizado el documento “Política de la </w:t>
      </w:r>
      <w:r w:rsidR="009B1381" w:rsidRPr="005101B9">
        <w:rPr>
          <w:rFonts w:eastAsia="Times New Roman" w:cs="Arial"/>
          <w:lang w:val="es-ES_tradnl"/>
        </w:rPr>
        <w:t>OCVV</w:t>
      </w:r>
      <w:r w:rsidR="00122F57" w:rsidRPr="005101B9">
        <w:rPr>
          <w:rFonts w:cs="Arial"/>
          <w:lang w:val="es-ES_tradnl"/>
        </w:rPr>
        <w:t xml:space="preserve"> sobre la situación del material vegetal presentado a efectos de los exámenes DHE”. La versión anterior de esta política figura en el documento TGP/5, sección 11</w:t>
      </w:r>
      <w:r w:rsidR="007B7C4D" w:rsidRPr="005101B9">
        <w:rPr>
          <w:rFonts w:cs="Arial"/>
          <w:lang w:val="es-ES_tradnl"/>
        </w:rPr>
        <w:t xml:space="preserve">. </w:t>
      </w:r>
      <w:r w:rsidR="00122F57" w:rsidRPr="005101B9">
        <w:rPr>
          <w:rFonts w:cs="Arial"/>
          <w:lang w:val="es-ES_tradnl"/>
        </w:rPr>
        <w:t>Se propone revisar la sección 11 del documento TGP/5, de modo que se incluya en el mismo, a modo de ejemplo, la última versión de la política mencionada</w:t>
      </w:r>
      <w:r w:rsidR="007B7C4D" w:rsidRPr="005101B9">
        <w:rPr>
          <w:rFonts w:cs="Arial"/>
          <w:lang w:val="es-ES_tradnl"/>
        </w:rPr>
        <w:t xml:space="preserve">. </w:t>
      </w:r>
      <w:r w:rsidR="00122F57" w:rsidRPr="005101B9">
        <w:rPr>
          <w:rFonts w:cs="Arial"/>
          <w:lang w:val="es-ES_tradnl"/>
        </w:rPr>
        <w:t xml:space="preserve">La propuesta presentada al Consejo está sujeta a la aprobación del CAJ en su </w:t>
      </w:r>
      <w:r w:rsidRPr="005101B9">
        <w:rPr>
          <w:rFonts w:cs="Arial"/>
          <w:lang w:val="es-ES_tradnl"/>
        </w:rPr>
        <w:t>octogésima tercera</w:t>
      </w:r>
      <w:r w:rsidR="00122F57" w:rsidRPr="005101B9">
        <w:rPr>
          <w:rFonts w:cs="Arial"/>
          <w:lang w:val="es-ES_tradnl"/>
        </w:rPr>
        <w:t xml:space="preserve"> sesión</w:t>
      </w:r>
      <w:r w:rsidR="007B7C4D" w:rsidRPr="005101B9">
        <w:rPr>
          <w:rFonts w:cs="Arial"/>
          <w:lang w:val="es-ES_tradnl"/>
        </w:rPr>
        <w:t xml:space="preserve">. </w:t>
      </w:r>
      <w:r w:rsidR="00122F57" w:rsidRPr="005101B9">
        <w:rPr>
          <w:rFonts w:cs="Arial"/>
          <w:lang w:val="es-ES_tradnl"/>
        </w:rPr>
        <w:t>La propuesta figura en el documento TGP/5, sección 11/2</w:t>
      </w:r>
      <w:r w:rsidR="00BF3427" w:rsidRPr="005101B9">
        <w:rPr>
          <w:rFonts w:cs="Arial"/>
          <w:lang w:val="es-ES_tradnl"/>
        </w:rPr>
        <w:t> Draft </w:t>
      </w:r>
      <w:r w:rsidR="00122F57" w:rsidRPr="005101B9">
        <w:rPr>
          <w:rFonts w:cs="Arial"/>
          <w:lang w:val="es-ES_tradnl"/>
        </w:rPr>
        <w:t>1.</w:t>
      </w:r>
    </w:p>
    <w:p w14:paraId="30221957" w14:textId="77777777" w:rsidR="001524B8" w:rsidRPr="005101B9" w:rsidRDefault="001524B8" w:rsidP="001524B8">
      <w:pPr>
        <w:rPr>
          <w:spacing w:val="-4"/>
          <w:lang w:val="es-ES_tradnl"/>
        </w:rPr>
      </w:pPr>
    </w:p>
    <w:p w14:paraId="2732DCCC" w14:textId="6C9AFDB4" w:rsidR="001524B8" w:rsidRPr="005101B9" w:rsidRDefault="001524B8" w:rsidP="00A05D8B">
      <w:pPr>
        <w:keepLines/>
        <w:tabs>
          <w:tab w:val="left" w:pos="5387"/>
          <w:tab w:val="left" w:pos="5954"/>
        </w:tabs>
        <w:ind w:left="4820"/>
        <w:rPr>
          <w:i/>
          <w:lang w:val="es-ES_tradnl"/>
        </w:rPr>
      </w:pPr>
      <w:r w:rsidRPr="005101B9">
        <w:rPr>
          <w:i/>
          <w:lang w:val="es-ES_tradnl"/>
        </w:rPr>
        <w:fldChar w:fldCharType="begin"/>
      </w:r>
      <w:r w:rsidRPr="005101B9">
        <w:rPr>
          <w:i/>
          <w:lang w:val="es-ES_tradnl"/>
        </w:rPr>
        <w:instrText xml:space="preserve"> AUTONUM  </w:instrText>
      </w:r>
      <w:r w:rsidRPr="005101B9">
        <w:rPr>
          <w:i/>
          <w:lang w:val="es-ES_tradnl"/>
        </w:rPr>
        <w:fldChar w:fldCharType="end"/>
      </w:r>
      <w:r w:rsidRPr="005101B9">
        <w:rPr>
          <w:i/>
          <w:lang w:val="es-ES_tradnl"/>
        </w:rPr>
        <w:tab/>
        <w:t>Se invita al Consejo a que apruebe una revisión del documento TGP/5, sección 11 “Ejemplos de políticas y contratos sobre el material presentado por el obtentor”, sobre la base del documento TGP/5, sección</w:t>
      </w:r>
      <w:r w:rsidR="00DB2570" w:rsidRPr="005101B9">
        <w:rPr>
          <w:i/>
          <w:lang w:val="es-ES_tradnl"/>
        </w:rPr>
        <w:t> </w:t>
      </w:r>
      <w:r w:rsidRPr="005101B9">
        <w:rPr>
          <w:i/>
          <w:lang w:val="es-ES_tradnl"/>
        </w:rPr>
        <w:t>11/2</w:t>
      </w:r>
      <w:r w:rsidR="00BF3427" w:rsidRPr="005101B9">
        <w:rPr>
          <w:i/>
          <w:lang w:val="es-ES_tradnl"/>
        </w:rPr>
        <w:t> Draft </w:t>
      </w:r>
      <w:r w:rsidRPr="005101B9">
        <w:rPr>
          <w:i/>
          <w:lang w:val="es-ES_tradnl"/>
        </w:rPr>
        <w:t>1, a reserva de la aprobación del</w:t>
      </w:r>
      <w:r w:rsidR="00DB2570" w:rsidRPr="005101B9">
        <w:rPr>
          <w:i/>
          <w:lang w:val="es-ES_tradnl"/>
        </w:rPr>
        <w:t> </w:t>
      </w:r>
      <w:r w:rsidRPr="005101B9">
        <w:rPr>
          <w:i/>
          <w:lang w:val="es-ES_tradnl"/>
        </w:rPr>
        <w:t xml:space="preserve">CAJ en su </w:t>
      </w:r>
      <w:r w:rsidR="00DB2570" w:rsidRPr="005101B9">
        <w:rPr>
          <w:i/>
          <w:lang w:val="es-ES_tradnl"/>
        </w:rPr>
        <w:t>octogésima tercera</w:t>
      </w:r>
      <w:r w:rsidRPr="005101B9">
        <w:rPr>
          <w:i/>
          <w:lang w:val="es-ES_tradnl"/>
        </w:rPr>
        <w:t xml:space="preserve"> sesión.</w:t>
      </w:r>
    </w:p>
    <w:p w14:paraId="34399D55" w14:textId="77777777" w:rsidR="005705FD" w:rsidRPr="005101B9" w:rsidRDefault="005705FD" w:rsidP="005705FD">
      <w:pPr>
        <w:keepNext/>
        <w:rPr>
          <w:lang w:val="es-ES_tradnl"/>
        </w:rPr>
      </w:pPr>
    </w:p>
    <w:p w14:paraId="0900859F" w14:textId="77777777" w:rsidR="00DB2570" w:rsidRPr="005101B9" w:rsidRDefault="00DB2570" w:rsidP="005705FD">
      <w:pPr>
        <w:keepNext/>
        <w:rPr>
          <w:lang w:val="es-ES_tradnl"/>
        </w:rPr>
      </w:pPr>
    </w:p>
    <w:p w14:paraId="3E18307F" w14:textId="18CB2209" w:rsidR="00750017" w:rsidRPr="005101B9" w:rsidRDefault="00514B85" w:rsidP="00A70769">
      <w:pPr>
        <w:pStyle w:val="Heading1"/>
        <w:rPr>
          <w:kern w:val="2"/>
          <w:lang w:val="es-ES_tradnl"/>
          <w14:ligatures w14:val="standardContextual"/>
        </w:rPr>
      </w:pPr>
      <w:bookmarkStart w:id="16" w:name="_Toc236955806"/>
      <w:bookmarkStart w:id="17" w:name="_Toc242263281"/>
      <w:r w:rsidRPr="005101B9">
        <w:rPr>
          <w:caps w:val="0"/>
          <w:lang w:val="es-ES_tradnl"/>
        </w:rPr>
        <w:t>DOCUMENTO TGP/7 “ELABORACIÓN DE LAS DIRECTRICES DE EXAMEN”</w:t>
      </w:r>
      <w:bookmarkEnd w:id="16"/>
      <w:bookmarkEnd w:id="17"/>
    </w:p>
    <w:p w14:paraId="0B577F92" w14:textId="77777777" w:rsidR="004F68F5" w:rsidRPr="005101B9" w:rsidRDefault="004F68F5" w:rsidP="004F68F5">
      <w:pPr>
        <w:keepNext/>
        <w:jc w:val="left"/>
        <w:outlineLvl w:val="1"/>
        <w:rPr>
          <w:u w:val="single"/>
          <w:lang w:val="es-ES_tradnl"/>
        </w:rPr>
      </w:pPr>
    </w:p>
    <w:p w14:paraId="167F2446" w14:textId="77777777" w:rsidR="00AE00C6" w:rsidRPr="005101B9" w:rsidRDefault="00AE00C6" w:rsidP="00875FED">
      <w:pPr>
        <w:pStyle w:val="Heading2"/>
        <w:rPr>
          <w:kern w:val="2"/>
          <w:lang w:val="es-ES_tradnl"/>
          <w14:ligatures w14:val="standardContextual"/>
        </w:rPr>
      </w:pPr>
      <w:bookmarkStart w:id="18" w:name="_Toc242263282"/>
      <w:r w:rsidRPr="005101B9">
        <w:rPr>
          <w:lang w:val="es-ES_tradnl"/>
        </w:rPr>
        <w:t>Número de ciclos de cultivo y conclusión del examen (revisión)</w:t>
      </w:r>
      <w:bookmarkEnd w:id="18"/>
    </w:p>
    <w:p w14:paraId="58BF6467" w14:textId="77777777" w:rsidR="004F68F5" w:rsidRPr="005101B9" w:rsidRDefault="004F68F5" w:rsidP="004F68F5">
      <w:pPr>
        <w:jc w:val="left"/>
        <w:rPr>
          <w:lang w:val="es-ES_tradnl"/>
        </w:rPr>
      </w:pPr>
    </w:p>
    <w:p w14:paraId="417BA0DB" w14:textId="6ABA46DE" w:rsidR="004F68F5" w:rsidRPr="005101B9" w:rsidRDefault="00921983" w:rsidP="004F68F5">
      <w:pPr>
        <w:keepNext/>
        <w:outlineLvl w:val="2"/>
        <w:rPr>
          <w:rFonts w:eastAsia="Calibri"/>
          <w:i/>
          <w:lang w:val="es-ES_tradnl" w:eastAsia="nl-NL"/>
        </w:rPr>
      </w:pPr>
      <w:bookmarkStart w:id="19" w:name="_Toc242263283"/>
      <w:r w:rsidRPr="005101B9">
        <w:rPr>
          <w:rFonts w:eastAsia="Calibri"/>
          <w:i/>
          <w:lang w:val="es-ES_tradnl" w:eastAsia="nl-NL"/>
        </w:rPr>
        <w:t>Antecedentes</w:t>
      </w:r>
      <w:bookmarkEnd w:id="19"/>
    </w:p>
    <w:p w14:paraId="3ED6B871" w14:textId="77777777" w:rsidR="004F68F5" w:rsidRPr="005101B9" w:rsidRDefault="004F68F5" w:rsidP="004F68F5">
      <w:pPr>
        <w:jc w:val="left"/>
        <w:rPr>
          <w:rFonts w:eastAsia="MS Mincho"/>
          <w:lang w:val="es-ES_tradnl"/>
        </w:rPr>
      </w:pPr>
    </w:p>
    <w:p w14:paraId="34A249CD" w14:textId="546511F7" w:rsidR="00A200F2" w:rsidRPr="005101B9" w:rsidRDefault="00BB1CC6">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00C4779C" w:rsidRPr="005101B9">
        <w:rPr>
          <w:lang w:val="es-ES_tradnl"/>
        </w:rPr>
        <w:tab/>
      </w:r>
      <w:r w:rsidR="00A200F2" w:rsidRPr="005101B9">
        <w:rPr>
          <w:lang w:val="es-ES_tradnl"/>
        </w:rPr>
        <w:t>Las directrices de examen de la UPOV se elaboran o revisan de conformidad con la estructura y el texto estándar universal aplicables a todas las directrices de examen, según se establece en el documento TGP/7.</w:t>
      </w:r>
    </w:p>
    <w:p w14:paraId="0427E7A0" w14:textId="77777777" w:rsidR="004F68F5" w:rsidRPr="005101B9" w:rsidRDefault="004F68F5" w:rsidP="004F68F5">
      <w:pPr>
        <w:rPr>
          <w:lang w:val="es-ES_tradnl"/>
        </w:rPr>
      </w:pPr>
    </w:p>
    <w:p w14:paraId="3F2D6B67" w14:textId="2E226D8B" w:rsidR="00813C80" w:rsidRPr="005101B9" w:rsidRDefault="00C4779C">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r>
      <w:r w:rsidR="00813C80" w:rsidRPr="005101B9">
        <w:rPr>
          <w:lang w:val="es-ES_tradnl"/>
        </w:rPr>
        <w:t xml:space="preserve">En su </w:t>
      </w:r>
      <w:r w:rsidR="006A6590" w:rsidRPr="005101B9">
        <w:rPr>
          <w:lang w:val="es-ES_tradnl"/>
        </w:rPr>
        <w:t>reunión</w:t>
      </w:r>
      <w:r w:rsidR="00813C80" w:rsidRPr="005101B9">
        <w:rPr>
          <w:lang w:val="es-ES_tradnl"/>
        </w:rPr>
        <w:t xml:space="preserve"> de 2024, el TWF</w:t>
      </w:r>
      <w:r w:rsidR="00950747" w:rsidRPr="005101B9">
        <w:rPr>
          <w:rFonts w:eastAsia="MS Mincho"/>
          <w:vertAlign w:val="superscript"/>
          <w:lang w:val="es-ES_tradnl"/>
        </w:rPr>
        <w:footnoteReference w:id="6"/>
      </w:r>
      <w:r w:rsidR="00813C80" w:rsidRPr="005101B9">
        <w:rPr>
          <w:lang w:val="es-ES_tradnl"/>
        </w:rPr>
        <w:t xml:space="preserve"> examinó el texto estándar de las directrices de examen según el cual “se podrá concluir el examen de una variedad cuando la autoridad competente pueda determinar con certeza </w:t>
      </w:r>
      <w:r w:rsidR="00813C80" w:rsidRPr="005101B9">
        <w:rPr>
          <w:lang w:val="es-ES_tradnl"/>
        </w:rPr>
        <w:lastRenderedPageBreak/>
        <w:t xml:space="preserve">su resultado” y si podría resultar contradictorio con el texto estándar según el cual “la duración mínima de los ensayos deberá ser normalmente de dos ciclos de cultivo independientes”. </w:t>
      </w:r>
    </w:p>
    <w:p w14:paraId="7C518E9D" w14:textId="77777777" w:rsidR="004F68F5" w:rsidRPr="005101B9" w:rsidRDefault="004F68F5" w:rsidP="004F68F5">
      <w:pPr>
        <w:rPr>
          <w:rFonts w:eastAsia="MS Mincho"/>
          <w:lang w:val="es-ES_tradnl"/>
        </w:rPr>
      </w:pPr>
    </w:p>
    <w:p w14:paraId="5FD90B1A" w14:textId="25D3DC52" w:rsidR="004F68F5" w:rsidRPr="005101B9" w:rsidRDefault="004F68F5" w:rsidP="004F68F5">
      <w:pPr>
        <w:rPr>
          <w:rFonts w:eastAsia="MS Mincho"/>
          <w:lang w:val="es-ES_tradnl"/>
        </w:rPr>
      </w:pPr>
      <w:r w:rsidRPr="005101B9">
        <w:rPr>
          <w:rFonts w:eastAsia="MS Mincho"/>
          <w:lang w:val="es-ES_tradnl"/>
        </w:rPr>
        <w:fldChar w:fldCharType="begin"/>
      </w:r>
      <w:r w:rsidRPr="005101B9">
        <w:rPr>
          <w:rFonts w:eastAsia="MS Mincho"/>
          <w:lang w:val="es-ES_tradnl"/>
        </w:rPr>
        <w:instrText xml:space="preserve"> AUTONUM  </w:instrText>
      </w:r>
      <w:r w:rsidRPr="005101B9">
        <w:rPr>
          <w:rFonts w:eastAsia="MS Mincho"/>
          <w:lang w:val="es-ES_tradnl"/>
        </w:rPr>
        <w:fldChar w:fldCharType="end"/>
      </w:r>
      <w:r w:rsidRPr="005101B9">
        <w:rPr>
          <w:rFonts w:eastAsia="MS Mincho"/>
          <w:lang w:val="es-ES_tradnl"/>
        </w:rPr>
        <w:tab/>
      </w:r>
      <w:r w:rsidR="001926D2" w:rsidRPr="005101B9">
        <w:rPr>
          <w:lang w:val="es-ES_tradnl"/>
        </w:rPr>
        <w:t>El TWF</w:t>
      </w:r>
      <w:r w:rsidR="00053D34" w:rsidRPr="005101B9">
        <w:rPr>
          <w:rFonts w:eastAsia="MS Mincho"/>
          <w:vertAlign w:val="superscript"/>
          <w:lang w:val="es-ES_tradnl"/>
        </w:rPr>
        <w:footnoteReference w:id="7"/>
      </w:r>
      <w:r w:rsidR="001926D2" w:rsidRPr="005101B9">
        <w:rPr>
          <w:lang w:val="es-ES_tradnl"/>
        </w:rPr>
        <w:t xml:space="preserve"> convino en proponer que se modificaran la estructura y el texto estándar universal de las directrices de examen para sustituir el término </w:t>
      </w:r>
      <w:r w:rsidR="00707F20" w:rsidRPr="005101B9">
        <w:rPr>
          <w:lang w:val="es-ES_tradnl"/>
        </w:rPr>
        <w:t>“</w:t>
      </w:r>
      <w:r w:rsidR="001926D2" w:rsidRPr="005101B9">
        <w:rPr>
          <w:lang w:val="es-ES_tradnl"/>
        </w:rPr>
        <w:t>normalmente</w:t>
      </w:r>
      <w:r w:rsidR="005251EF" w:rsidRPr="005101B9">
        <w:rPr>
          <w:lang w:val="es-ES_tradnl"/>
        </w:rPr>
        <w:t>”</w:t>
      </w:r>
      <w:r w:rsidR="001926D2" w:rsidRPr="005101B9">
        <w:rPr>
          <w:lang w:val="es-ES_tradnl"/>
        </w:rPr>
        <w:t xml:space="preserve"> por </w:t>
      </w:r>
      <w:r w:rsidR="005251EF" w:rsidRPr="005101B9">
        <w:rPr>
          <w:lang w:val="es-ES_tradnl"/>
        </w:rPr>
        <w:t>“</w:t>
      </w:r>
      <w:r w:rsidR="001926D2" w:rsidRPr="005101B9">
        <w:rPr>
          <w:lang w:val="es-ES_tradnl"/>
        </w:rPr>
        <w:t>por lo general</w:t>
      </w:r>
      <w:r w:rsidR="005251EF" w:rsidRPr="005101B9">
        <w:rPr>
          <w:lang w:val="es-ES_tradnl"/>
        </w:rPr>
        <w:t>”</w:t>
      </w:r>
      <w:r w:rsidR="001926D2" w:rsidRPr="005101B9">
        <w:rPr>
          <w:lang w:val="es-ES_tradnl"/>
        </w:rPr>
        <w:t xml:space="preserve"> en el texto estándar adicional (ASW) 2 sobre el </w:t>
      </w:r>
      <w:r w:rsidR="005251EF" w:rsidRPr="005101B9">
        <w:rPr>
          <w:lang w:val="es-ES_tradnl"/>
        </w:rPr>
        <w:t>“</w:t>
      </w:r>
      <w:r w:rsidR="001926D2" w:rsidRPr="005101B9">
        <w:rPr>
          <w:lang w:val="es-ES_tradnl"/>
        </w:rPr>
        <w:t>Número de ciclos de cultivo</w:t>
      </w:r>
      <w:r w:rsidR="005251EF" w:rsidRPr="005101B9">
        <w:rPr>
          <w:lang w:val="es-ES_tradnl"/>
        </w:rPr>
        <w:t>”</w:t>
      </w:r>
      <w:r w:rsidR="001926D2" w:rsidRPr="005101B9">
        <w:rPr>
          <w:lang w:val="es-ES_tradnl"/>
        </w:rPr>
        <w:t xml:space="preserve">; y presentar de manera consecutiva el ASW 2 y la frase </w:t>
      </w:r>
      <w:r w:rsidR="005251EF" w:rsidRPr="005101B9">
        <w:rPr>
          <w:lang w:val="es-ES_tradnl"/>
        </w:rPr>
        <w:t>“</w:t>
      </w:r>
      <w:r w:rsidR="001926D2" w:rsidRPr="005101B9">
        <w:rPr>
          <w:lang w:val="es-ES_tradnl"/>
        </w:rPr>
        <w:t>Se</w:t>
      </w:r>
      <w:r w:rsidR="00983728" w:rsidRPr="005101B9">
        <w:rPr>
          <w:lang w:val="es-ES_tradnl"/>
        </w:rPr>
        <w:t> </w:t>
      </w:r>
      <w:r w:rsidR="001926D2" w:rsidRPr="005101B9">
        <w:rPr>
          <w:lang w:val="es-ES_tradnl"/>
        </w:rPr>
        <w:t>podrá concluir el examen de una variedad cuando la autoridad competente pueda determinar con certeza su resultado</w:t>
      </w:r>
      <w:r w:rsidR="005251EF" w:rsidRPr="005101B9">
        <w:rPr>
          <w:lang w:val="es-ES_tradnl"/>
        </w:rPr>
        <w:t>”</w:t>
      </w:r>
      <w:r w:rsidR="001926D2" w:rsidRPr="005101B9">
        <w:rPr>
          <w:lang w:val="es-ES_tradnl"/>
        </w:rPr>
        <w:t xml:space="preserve">. El TWF convino asimismo en proponer que se modificara el texto estándar adicional (ASW 3) </w:t>
      </w:r>
      <w:r w:rsidR="005251EF" w:rsidRPr="005101B9">
        <w:rPr>
          <w:lang w:val="es-ES_tradnl"/>
        </w:rPr>
        <w:t>“</w:t>
      </w:r>
      <w:r w:rsidR="001926D2" w:rsidRPr="005101B9">
        <w:rPr>
          <w:lang w:val="es-ES_tradnl"/>
        </w:rPr>
        <w:t>Ciclo de cultivo para especies frutales</w:t>
      </w:r>
      <w:r w:rsidR="005251EF" w:rsidRPr="005101B9">
        <w:rPr>
          <w:lang w:val="es-ES_tradnl"/>
        </w:rPr>
        <w:t>”</w:t>
      </w:r>
      <w:r w:rsidR="00002B10" w:rsidRPr="005101B9">
        <w:rPr>
          <w:rFonts w:eastAsia="MS Mincho"/>
          <w:lang w:val="es-ES_tradnl"/>
        </w:rPr>
        <w:t>.</w:t>
      </w:r>
    </w:p>
    <w:p w14:paraId="248BDE35" w14:textId="77777777" w:rsidR="004F68F5" w:rsidRPr="005101B9" w:rsidRDefault="004F68F5" w:rsidP="004F68F5">
      <w:pPr>
        <w:rPr>
          <w:rFonts w:eastAsia="MS Mincho"/>
          <w:lang w:val="es-ES_tradnl" w:eastAsia="zh-CN"/>
        </w:rPr>
      </w:pPr>
    </w:p>
    <w:p w14:paraId="6EA81A20" w14:textId="02040A35" w:rsidR="00C417A8" w:rsidRPr="005101B9" w:rsidRDefault="00934EFC">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r>
      <w:r w:rsidR="00C417A8" w:rsidRPr="005101B9">
        <w:rPr>
          <w:lang w:val="es-ES_tradnl"/>
        </w:rPr>
        <w:t>En su sesión de 2025, el TC</w:t>
      </w:r>
      <w:r w:rsidR="0069179F" w:rsidRPr="005101B9">
        <w:rPr>
          <w:rFonts w:eastAsia="MS Mincho" w:cs="Arial"/>
          <w:vertAlign w:val="superscript"/>
          <w:lang w:val="es-ES_tradnl"/>
        </w:rPr>
        <w:footnoteReference w:id="8"/>
      </w:r>
      <w:r w:rsidR="00C417A8" w:rsidRPr="005101B9">
        <w:rPr>
          <w:lang w:val="es-ES_tradnl"/>
        </w:rPr>
        <w:t xml:space="preserve"> convino en invitar a los TWP, en sus sesiones de 2026, a examinar las propuestas de revisión del documento TGP/7 formuladas por el TWF, según se expone en la sección siguiente del presente documento. </w:t>
      </w:r>
    </w:p>
    <w:p w14:paraId="19AC0E9E" w14:textId="3110FEEB" w:rsidR="004F68F5" w:rsidRPr="005101B9" w:rsidRDefault="004F68F5" w:rsidP="004F68F5">
      <w:pPr>
        <w:rPr>
          <w:lang w:val="es-ES_tradnl"/>
        </w:rPr>
      </w:pPr>
    </w:p>
    <w:p w14:paraId="114DD154" w14:textId="1F0CC700" w:rsidR="00A612C0" w:rsidRPr="005101B9" w:rsidRDefault="006026AE">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r>
      <w:r w:rsidR="00A612C0" w:rsidRPr="005101B9">
        <w:rPr>
          <w:lang w:val="es-ES_tradnl"/>
        </w:rPr>
        <w:t>Los antecedentes completos de esta cuestión figuran en el Anexo del presente documento.</w:t>
      </w:r>
    </w:p>
    <w:p w14:paraId="7D406A7C" w14:textId="77777777" w:rsidR="004F68F5" w:rsidRPr="005101B9" w:rsidRDefault="004F68F5" w:rsidP="004F68F5">
      <w:pPr>
        <w:rPr>
          <w:lang w:val="es-ES_tradnl"/>
        </w:rPr>
      </w:pPr>
    </w:p>
    <w:p w14:paraId="4B0788BC" w14:textId="77777777" w:rsidR="00F43C84" w:rsidRPr="005101B9" w:rsidRDefault="003A4E92" w:rsidP="00413F4B">
      <w:pPr>
        <w:keepNext/>
        <w:outlineLvl w:val="2"/>
        <w:rPr>
          <w:lang w:val="es-ES_tradnl"/>
        </w:rPr>
      </w:pPr>
      <w:bookmarkStart w:id="20" w:name="_Toc239093778"/>
      <w:bookmarkStart w:id="21" w:name="_Toc242263284"/>
      <w:r w:rsidRPr="005101B9">
        <w:rPr>
          <w:i/>
          <w:iCs/>
          <w:lang w:val="es-ES_tradnl"/>
        </w:rPr>
        <w:t xml:space="preserve">Comentarios </w:t>
      </w:r>
      <w:r w:rsidRPr="005101B9">
        <w:rPr>
          <w:rFonts w:eastAsia="Calibri"/>
          <w:i/>
          <w:lang w:val="es-ES_tradnl" w:eastAsia="nl-NL"/>
        </w:rPr>
        <w:t>del</w:t>
      </w:r>
      <w:r w:rsidRPr="005101B9">
        <w:rPr>
          <w:i/>
          <w:iCs/>
          <w:lang w:val="es-ES_tradnl"/>
        </w:rPr>
        <w:t xml:space="preserve"> </w:t>
      </w:r>
      <w:r w:rsidR="008E337D" w:rsidRPr="005101B9">
        <w:rPr>
          <w:i/>
          <w:iCs/>
          <w:lang w:val="es-ES_tradnl"/>
        </w:rPr>
        <w:t>TWA</w:t>
      </w:r>
      <w:r w:rsidRPr="005101B9">
        <w:rPr>
          <w:i/>
          <w:iCs/>
          <w:lang w:val="es-ES_tradnl"/>
        </w:rPr>
        <w:t xml:space="preserve">, el </w:t>
      </w:r>
      <w:r w:rsidR="008E337D" w:rsidRPr="005101B9">
        <w:rPr>
          <w:i/>
          <w:iCs/>
          <w:lang w:val="es-ES_tradnl"/>
        </w:rPr>
        <w:t xml:space="preserve">TWF, el TWO </w:t>
      </w:r>
      <w:r w:rsidRPr="005101B9">
        <w:rPr>
          <w:i/>
          <w:iCs/>
          <w:lang w:val="es-ES_tradnl"/>
        </w:rPr>
        <w:t xml:space="preserve">y el </w:t>
      </w:r>
      <w:r w:rsidR="008E337D" w:rsidRPr="005101B9">
        <w:rPr>
          <w:i/>
          <w:iCs/>
          <w:lang w:val="es-ES_tradnl"/>
        </w:rPr>
        <w:t>TWV</w:t>
      </w:r>
      <w:r w:rsidRPr="005101B9">
        <w:rPr>
          <w:i/>
          <w:iCs/>
          <w:lang w:val="es-ES_tradnl"/>
        </w:rPr>
        <w:t xml:space="preserve"> en sus sesiones de 2026</w:t>
      </w:r>
      <w:bookmarkEnd w:id="20"/>
      <w:bookmarkEnd w:id="21"/>
    </w:p>
    <w:p w14:paraId="208B8F1F" w14:textId="77777777" w:rsidR="004F68F5" w:rsidRPr="005101B9" w:rsidRDefault="004F68F5" w:rsidP="00413F4B">
      <w:pPr>
        <w:keepNext/>
        <w:outlineLvl w:val="2"/>
        <w:rPr>
          <w:lang w:val="es-ES_tradnl"/>
        </w:rPr>
      </w:pPr>
    </w:p>
    <w:p w14:paraId="24FE5B66" w14:textId="6924960C" w:rsidR="004F68F5" w:rsidRPr="005101B9" w:rsidRDefault="004F68F5" w:rsidP="004F68F5">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r>
      <w:r w:rsidR="0008413C" w:rsidRPr="005101B9">
        <w:rPr>
          <w:lang w:val="es-ES_tradnl"/>
        </w:rPr>
        <w:t>En sus sesiones de 2026, el TWV</w:t>
      </w:r>
      <w:r w:rsidR="0008413C" w:rsidRPr="005101B9">
        <w:rPr>
          <w:snapToGrid w:val="0"/>
          <w:vertAlign w:val="superscript"/>
          <w:lang w:val="es-ES_tradnl"/>
        </w:rPr>
        <w:footnoteReference w:id="9"/>
      </w:r>
      <w:r w:rsidR="0008413C" w:rsidRPr="005101B9">
        <w:rPr>
          <w:lang w:val="es-ES_tradnl"/>
        </w:rPr>
        <w:t xml:space="preserve"> y el TWO</w:t>
      </w:r>
      <w:r w:rsidR="0008413C" w:rsidRPr="005101B9">
        <w:rPr>
          <w:vertAlign w:val="superscript"/>
          <w:lang w:val="es-ES_tradnl"/>
        </w:rPr>
        <w:footnoteReference w:id="10"/>
      </w:r>
      <w:r w:rsidR="0008413C" w:rsidRPr="005101B9">
        <w:rPr>
          <w:lang w:val="es-ES_tradnl"/>
        </w:rPr>
        <w:t xml:space="preserve"> respaldaron la propuesta de modificar el texto estándar universal de las directrices de examen relativo al </w:t>
      </w:r>
      <w:r w:rsidR="005251EF" w:rsidRPr="005101B9">
        <w:rPr>
          <w:lang w:val="es-ES_tradnl"/>
        </w:rPr>
        <w:t>“</w:t>
      </w:r>
      <w:r w:rsidR="0008413C" w:rsidRPr="005101B9">
        <w:rPr>
          <w:lang w:val="es-ES_tradnl"/>
        </w:rPr>
        <w:t>número de ciclos de cultivo</w:t>
      </w:r>
      <w:r w:rsidR="005251EF" w:rsidRPr="005101B9">
        <w:rPr>
          <w:lang w:val="es-ES_tradnl"/>
        </w:rPr>
        <w:t>”</w:t>
      </w:r>
      <w:r w:rsidR="0008413C" w:rsidRPr="005101B9">
        <w:rPr>
          <w:lang w:val="es-ES_tradnl"/>
        </w:rPr>
        <w:t>, para que quede redactado del siguiente modo</w:t>
      </w:r>
      <w:r w:rsidR="006026AE" w:rsidRPr="005101B9">
        <w:rPr>
          <w:lang w:val="es-ES_tradnl"/>
        </w:rPr>
        <w:t>:</w:t>
      </w:r>
    </w:p>
    <w:p w14:paraId="4D05284D" w14:textId="77777777" w:rsidR="004F68F5" w:rsidRPr="005101B9" w:rsidRDefault="004F68F5" w:rsidP="004F68F5">
      <w:pPr>
        <w:rPr>
          <w:lang w:val="es-ES_tradnl"/>
        </w:rPr>
      </w:pPr>
    </w:p>
    <w:p w14:paraId="42E5ACB6" w14:textId="77777777" w:rsidR="005D2254" w:rsidRPr="005101B9" w:rsidRDefault="005D2254">
      <w:pPr>
        <w:keepNext/>
        <w:ind w:left="567"/>
        <w:rPr>
          <w:kern w:val="2"/>
          <w:lang w:val="es-ES_tradnl"/>
          <w14:ligatures w14:val="standardContextual"/>
        </w:rPr>
      </w:pPr>
      <w:r w:rsidRPr="005101B9">
        <w:rPr>
          <w:u w:val="single"/>
          <w:lang w:val="es-ES_tradnl"/>
        </w:rPr>
        <w:t>Estructura y texto estándar universal de las directrices de examen</w:t>
      </w:r>
    </w:p>
    <w:p w14:paraId="3464D8AC" w14:textId="77777777" w:rsidR="004F68F5" w:rsidRPr="005101B9" w:rsidRDefault="004F68F5" w:rsidP="004F68F5">
      <w:pPr>
        <w:keepNext/>
        <w:ind w:left="567"/>
        <w:rPr>
          <w:rFonts w:eastAsia="MS Mincho"/>
          <w:lang w:val="es-ES_tradnl"/>
        </w:rPr>
      </w:pPr>
    </w:p>
    <w:p w14:paraId="42B64C3A" w14:textId="4527000F" w:rsidR="005D2254" w:rsidRPr="005101B9" w:rsidRDefault="005D2254">
      <w:pPr>
        <w:keepNext/>
        <w:spacing w:after="240"/>
        <w:ind w:left="567"/>
        <w:rPr>
          <w:kern w:val="2"/>
          <w:lang w:val="es-ES_tradnl"/>
          <w14:ligatures w14:val="standardContextual"/>
        </w:rPr>
      </w:pPr>
      <w:r w:rsidRPr="005101B9">
        <w:rPr>
          <w:lang w:val="es-ES_tradnl"/>
        </w:rPr>
        <w:t>“3.</w:t>
      </w:r>
      <w:r w:rsidR="00BD6AE9" w:rsidRPr="005101B9">
        <w:rPr>
          <w:lang w:val="es-ES_tradnl"/>
        </w:rPr>
        <w:tab/>
      </w:r>
      <w:r w:rsidRPr="005101B9">
        <w:rPr>
          <w:lang w:val="es-ES_tradnl"/>
        </w:rPr>
        <w:t>Método de examen</w:t>
      </w:r>
    </w:p>
    <w:p w14:paraId="06498A7E" w14:textId="4DC1597D" w:rsidR="005D2254" w:rsidRPr="005101B9" w:rsidRDefault="005D2254">
      <w:pPr>
        <w:spacing w:after="240"/>
        <w:ind w:left="567"/>
        <w:rPr>
          <w:kern w:val="2"/>
          <w:lang w:val="es-ES_tradnl"/>
          <w14:ligatures w14:val="standardContextual"/>
        </w:rPr>
      </w:pPr>
      <w:r w:rsidRPr="005101B9">
        <w:rPr>
          <w:lang w:val="es-ES_tradnl"/>
        </w:rPr>
        <w:t>3.1</w:t>
      </w:r>
      <w:r w:rsidR="00EC74D1" w:rsidRPr="005101B9">
        <w:rPr>
          <w:lang w:val="es-ES_tradnl"/>
        </w:rPr>
        <w:tab/>
      </w:r>
      <w:r w:rsidRPr="005101B9">
        <w:rPr>
          <w:lang w:val="es-ES_tradnl"/>
        </w:rPr>
        <w:t>Número de ciclos de cultivo</w:t>
      </w:r>
    </w:p>
    <w:p w14:paraId="7C225B03" w14:textId="0D92FAA9" w:rsidR="005D2254" w:rsidRPr="005101B9" w:rsidRDefault="005D2254">
      <w:pPr>
        <w:ind w:left="567"/>
        <w:rPr>
          <w:kern w:val="2"/>
          <w:lang w:val="es-ES_tradnl"/>
          <w14:ligatures w14:val="standardContextual"/>
        </w:rPr>
      </w:pPr>
      <w:r w:rsidRPr="005101B9">
        <w:rPr>
          <w:lang w:val="es-ES_tradnl"/>
        </w:rPr>
        <w:t>a)</w:t>
      </w:r>
      <w:r w:rsidR="00BD6AE9" w:rsidRPr="005101B9">
        <w:rPr>
          <w:lang w:val="es-ES_tradnl"/>
        </w:rPr>
        <w:tab/>
      </w:r>
      <w:r w:rsidRPr="005101B9">
        <w:rPr>
          <w:lang w:val="es-ES_tradnl"/>
        </w:rPr>
        <w:t>Ciclo de cultivo único:</w:t>
      </w:r>
    </w:p>
    <w:p w14:paraId="4777E3FD" w14:textId="77777777" w:rsidR="004F68F5" w:rsidRPr="005101B9" w:rsidRDefault="004F68F5" w:rsidP="004F68F5">
      <w:pPr>
        <w:ind w:left="567"/>
        <w:rPr>
          <w:lang w:val="es-ES_tradnl"/>
        </w:rPr>
      </w:pPr>
    </w:p>
    <w:p w14:paraId="3FF85266" w14:textId="57D99929" w:rsidR="005D2254" w:rsidRPr="005101B9" w:rsidRDefault="005D2254">
      <w:pPr>
        <w:ind w:left="567"/>
        <w:rPr>
          <w:kern w:val="2"/>
          <w:lang w:val="es-ES_tradnl"/>
          <w14:ligatures w14:val="standardContextual"/>
        </w:rPr>
      </w:pPr>
      <w:r w:rsidRPr="005101B9">
        <w:rPr>
          <w:lang w:val="es-ES_tradnl"/>
        </w:rPr>
        <w:t xml:space="preserve">La duración </w:t>
      </w:r>
      <w:r w:rsidRPr="005101B9">
        <w:rPr>
          <w:strike/>
          <w:shd w:val="clear" w:color="auto" w:fill="D3D3D3"/>
          <w:lang w:val="es-ES_tradnl"/>
        </w:rPr>
        <w:t>mínima</w:t>
      </w:r>
      <w:r w:rsidRPr="005101B9">
        <w:rPr>
          <w:lang w:val="es-ES_tradnl"/>
        </w:rPr>
        <w:t xml:space="preserve"> de los ensayos deberá ser </w:t>
      </w:r>
      <w:r w:rsidRPr="005101B9">
        <w:rPr>
          <w:strike/>
          <w:shd w:val="clear" w:color="auto" w:fill="D3D3D3"/>
          <w:lang w:val="es-ES_tradnl"/>
        </w:rPr>
        <w:t>normalmente</w:t>
      </w:r>
      <w:r w:rsidRPr="005101B9">
        <w:rPr>
          <w:u w:val="single"/>
          <w:shd w:val="clear" w:color="auto" w:fill="D3D3D3"/>
          <w:lang w:val="es-ES_tradnl"/>
        </w:rPr>
        <w:t>, por lo general,</w:t>
      </w:r>
      <w:r w:rsidRPr="005101B9">
        <w:rPr>
          <w:lang w:val="es-ES_tradnl"/>
        </w:rPr>
        <w:t xml:space="preserve"> de un único ciclo de cultivo. </w:t>
      </w:r>
      <w:r w:rsidRPr="005101B9">
        <w:rPr>
          <w:u w:val="single"/>
          <w:shd w:val="clear" w:color="auto" w:fill="D3D3D3"/>
          <w:lang w:val="es-ES_tradnl"/>
        </w:rPr>
        <w:t>Se podrá concluir el examen de una variedad cuando la autoridad competente pueda determinar con certeza su resultado</w:t>
      </w:r>
      <w:r w:rsidRPr="005101B9">
        <w:rPr>
          <w:lang w:val="es-ES_tradnl"/>
        </w:rPr>
        <w:t>.”</w:t>
      </w:r>
    </w:p>
    <w:p w14:paraId="021F4B1B" w14:textId="77777777" w:rsidR="004F68F5" w:rsidRPr="005101B9" w:rsidRDefault="004F68F5" w:rsidP="004F68F5">
      <w:pPr>
        <w:ind w:left="567"/>
        <w:rPr>
          <w:i/>
          <w:lang w:val="es-ES_tradnl"/>
        </w:rPr>
      </w:pPr>
    </w:p>
    <w:p w14:paraId="476C2995" w14:textId="724ECFAF" w:rsidR="005D2254" w:rsidRPr="005101B9" w:rsidRDefault="005D2254">
      <w:pPr>
        <w:ind w:left="567"/>
        <w:rPr>
          <w:kern w:val="2"/>
          <w:lang w:val="es-ES_tradnl"/>
          <w14:ligatures w14:val="standardContextual"/>
        </w:rPr>
      </w:pPr>
      <w:r w:rsidRPr="005101B9">
        <w:rPr>
          <w:lang w:val="es-ES_tradnl"/>
        </w:rPr>
        <w:t>“b)</w:t>
      </w:r>
      <w:r w:rsidR="00BD6AE9" w:rsidRPr="005101B9">
        <w:rPr>
          <w:lang w:val="es-ES_tradnl"/>
        </w:rPr>
        <w:tab/>
      </w:r>
      <w:r w:rsidRPr="005101B9">
        <w:rPr>
          <w:lang w:val="es-ES_tradnl"/>
        </w:rPr>
        <w:t>Dos ciclos de cultivo independientes:</w:t>
      </w:r>
    </w:p>
    <w:p w14:paraId="28AE4EB8" w14:textId="77777777" w:rsidR="004F68F5" w:rsidRPr="005101B9" w:rsidRDefault="004F68F5" w:rsidP="004F68F5">
      <w:pPr>
        <w:ind w:left="426"/>
        <w:rPr>
          <w:lang w:val="es-ES_tradnl"/>
        </w:rPr>
      </w:pPr>
    </w:p>
    <w:p w14:paraId="575FF5AF" w14:textId="51D59DD9" w:rsidR="005D2254" w:rsidRPr="005101B9" w:rsidRDefault="005D2254">
      <w:pPr>
        <w:ind w:left="567"/>
        <w:rPr>
          <w:kern w:val="2"/>
          <w:lang w:val="es-ES_tradnl"/>
          <w14:ligatures w14:val="standardContextual"/>
        </w:rPr>
      </w:pPr>
      <w:r w:rsidRPr="005101B9">
        <w:rPr>
          <w:lang w:val="es-ES_tradnl"/>
        </w:rPr>
        <w:t xml:space="preserve">La duración </w:t>
      </w:r>
      <w:r w:rsidRPr="005101B9">
        <w:rPr>
          <w:strike/>
          <w:shd w:val="clear" w:color="auto" w:fill="D3D3D3"/>
          <w:lang w:val="es-ES_tradnl"/>
        </w:rPr>
        <w:t>mínima</w:t>
      </w:r>
      <w:r w:rsidRPr="005101B9">
        <w:rPr>
          <w:lang w:val="es-ES_tradnl"/>
        </w:rPr>
        <w:t xml:space="preserve"> de los ensayos deberá ser </w:t>
      </w:r>
      <w:r w:rsidRPr="005101B9">
        <w:rPr>
          <w:strike/>
          <w:shd w:val="clear" w:color="auto" w:fill="D3D3D3"/>
          <w:lang w:val="es-ES_tradnl"/>
        </w:rPr>
        <w:t>normalmente</w:t>
      </w:r>
      <w:r w:rsidRPr="005101B9">
        <w:rPr>
          <w:u w:val="single"/>
          <w:shd w:val="clear" w:color="auto" w:fill="D3D3D3"/>
          <w:lang w:val="es-ES_tradnl"/>
        </w:rPr>
        <w:t>, por lo general,</w:t>
      </w:r>
      <w:r w:rsidRPr="005101B9">
        <w:rPr>
          <w:lang w:val="es-ES_tradnl"/>
        </w:rPr>
        <w:t xml:space="preserve"> de dos ciclos de cultivo independientes. </w:t>
      </w:r>
      <w:r w:rsidRPr="005101B9">
        <w:rPr>
          <w:u w:val="single"/>
          <w:shd w:val="clear" w:color="auto" w:fill="D3D3D3"/>
          <w:lang w:val="es-ES_tradnl"/>
        </w:rPr>
        <w:t>Se podrá concluir el examen de una variedad cuando la autoridad competente pueda determinar con certeza su resultado</w:t>
      </w:r>
      <w:r w:rsidRPr="005101B9">
        <w:rPr>
          <w:lang w:val="es-ES_tradnl"/>
        </w:rPr>
        <w:t>.”</w:t>
      </w:r>
    </w:p>
    <w:p w14:paraId="48020F4B" w14:textId="2D89A387" w:rsidR="004F68F5" w:rsidRPr="005101B9" w:rsidRDefault="004F68F5" w:rsidP="004F68F5">
      <w:pPr>
        <w:rPr>
          <w:lang w:val="es-ES_tradnl"/>
        </w:rPr>
      </w:pPr>
    </w:p>
    <w:p w14:paraId="4CB114F0" w14:textId="472FC0A6" w:rsidR="00CC06A2" w:rsidRPr="005101B9" w:rsidRDefault="00AA19D2">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sidRPr="005101B9">
        <w:rPr>
          <w:lang w:val="es-ES_tradnl"/>
        </w:rPr>
        <w:tab/>
      </w:r>
      <w:r w:rsidR="00CC06A2" w:rsidRPr="005101B9">
        <w:rPr>
          <w:lang w:val="es-ES_tradnl"/>
        </w:rPr>
        <w:t>El TWA</w:t>
      </w:r>
      <w:r w:rsidRPr="005101B9">
        <w:rPr>
          <w:vertAlign w:val="superscript"/>
          <w:lang w:val="es-ES_tradnl"/>
        </w:rPr>
        <w:footnoteReference w:id="11"/>
      </w:r>
      <w:r w:rsidR="00CC06A2" w:rsidRPr="005101B9">
        <w:rPr>
          <w:lang w:val="es-ES_tradnl"/>
        </w:rPr>
        <w:t xml:space="preserve"> convino en mantener la palabra “mínima” en relación con la duración de los ensayos, a fin de garantizar una comprensión clara del enfoque armonizado previsto en las directrices de examen. El TWA convino en que la locución “por lo general” en la misma frase proporcionaría a las autoridades flexibilidad suficiente para abordar casos particulares.</w:t>
      </w:r>
    </w:p>
    <w:p w14:paraId="4689588D" w14:textId="77777777" w:rsidR="004F68F5" w:rsidRPr="005101B9" w:rsidRDefault="004F68F5" w:rsidP="004F68F5">
      <w:pPr>
        <w:rPr>
          <w:lang w:val="es-ES_tradnl" w:eastAsia="zh-CN"/>
        </w:rPr>
      </w:pPr>
    </w:p>
    <w:p w14:paraId="0EF7A128" w14:textId="67591FE2" w:rsidR="0015637A" w:rsidRPr="005101B9" w:rsidRDefault="006401FB">
      <w:pPr>
        <w:rPr>
          <w:lang w:val="es-ES_tradn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7A2A74" w:rsidRPr="005101B9">
        <w:rPr>
          <w:lang w:val="es-ES_tradnl"/>
        </w:rPr>
        <w:t>El TWF</w:t>
      </w:r>
      <w:r w:rsidR="009E7E94" w:rsidRPr="005101B9">
        <w:rPr>
          <w:rStyle w:val="FootnoteReference"/>
          <w:lang w:val="es-ES_tradnl"/>
        </w:rPr>
        <w:footnoteReference w:id="12"/>
      </w:r>
      <w:r w:rsidR="007A2A74" w:rsidRPr="005101B9">
        <w:rPr>
          <w:lang w:val="es-ES_tradnl"/>
        </w:rPr>
        <w:t xml:space="preserve"> convino con la propuesta del TWA de mantener la palabra “mínima”, sobre la base de combinar ambas frases en el párrafo, para que queden redactadas del siguiente modo:</w:t>
      </w:r>
    </w:p>
    <w:p w14:paraId="087ED0D9" w14:textId="77777777" w:rsidR="003378E8" w:rsidRPr="005101B9" w:rsidRDefault="003378E8">
      <w:pPr>
        <w:rPr>
          <w:kern w:val="2"/>
          <w:lang w:val="es-ES_tradnl"/>
          <w14:ligatures w14:val="standardContextual"/>
        </w:rPr>
      </w:pPr>
    </w:p>
    <w:p w14:paraId="7BF365CC" w14:textId="5FD99C1D" w:rsidR="007A2A74" w:rsidRPr="005101B9" w:rsidRDefault="007A2A74" w:rsidP="003378E8">
      <w:pPr>
        <w:keepNext/>
        <w:ind w:left="567"/>
        <w:rPr>
          <w:lang w:val="es-ES_tradnl"/>
        </w:rPr>
      </w:pPr>
      <w:r w:rsidRPr="005101B9">
        <w:rPr>
          <w:lang w:val="es-ES_tradnl"/>
        </w:rPr>
        <w:lastRenderedPageBreak/>
        <w:t>“a)</w:t>
      </w:r>
      <w:r w:rsidR="006401FB">
        <w:rPr>
          <w:lang w:val="es-ES_tradnl"/>
        </w:rPr>
        <w:tab/>
      </w:r>
      <w:r w:rsidRPr="005101B9">
        <w:rPr>
          <w:lang w:val="es-ES_tradnl"/>
        </w:rPr>
        <w:t>Ciclo de cultivo único:</w:t>
      </w:r>
    </w:p>
    <w:p w14:paraId="29E3884C" w14:textId="77777777" w:rsidR="003378E8" w:rsidRPr="005101B9" w:rsidRDefault="003378E8" w:rsidP="003378E8">
      <w:pPr>
        <w:keepNext/>
        <w:ind w:left="567"/>
        <w:rPr>
          <w:kern w:val="2"/>
          <w:lang w:val="es-ES_tradnl"/>
          <w14:ligatures w14:val="standardContextual"/>
        </w:rPr>
      </w:pPr>
    </w:p>
    <w:p w14:paraId="0340D082" w14:textId="77777777" w:rsidR="007A2A74" w:rsidRPr="005101B9" w:rsidRDefault="007A2A74">
      <w:pPr>
        <w:ind w:left="567"/>
        <w:rPr>
          <w:lang w:val="es-ES_tradnl"/>
        </w:rPr>
      </w:pPr>
      <w:r w:rsidRPr="005101B9">
        <w:rPr>
          <w:lang w:val="es-ES_tradnl"/>
        </w:rPr>
        <w:t xml:space="preserve">La duración mínima de los ensayos deberá ser </w:t>
      </w:r>
      <w:r w:rsidRPr="005101B9">
        <w:rPr>
          <w:strike/>
          <w:color w:val="000000"/>
          <w:shd w:val="clear" w:color="auto" w:fill="D3D3D3"/>
          <w:lang w:val="es-ES_tradnl"/>
        </w:rPr>
        <w:t>normalmente</w:t>
      </w:r>
      <w:r w:rsidRPr="005101B9">
        <w:rPr>
          <w:color w:val="000000"/>
          <w:u w:val="single"/>
          <w:shd w:val="clear" w:color="auto" w:fill="D3D3D3"/>
          <w:lang w:val="es-ES_tradnl"/>
        </w:rPr>
        <w:t>, por lo general,</w:t>
      </w:r>
      <w:r w:rsidRPr="005101B9">
        <w:rPr>
          <w:lang w:val="es-ES_tradnl"/>
        </w:rPr>
        <w:t xml:space="preserve"> de un único ciclo de cultivo; </w:t>
      </w:r>
      <w:r w:rsidRPr="005101B9">
        <w:rPr>
          <w:color w:val="000000"/>
          <w:u w:val="single"/>
          <w:shd w:val="clear" w:color="auto" w:fill="D3D3D3"/>
          <w:lang w:val="es-ES_tradnl"/>
        </w:rPr>
        <w:t>sin embargo, se podrá concluir el examen de una variedad cuando la autoridad competente pueda determinar con certeza su resultado</w:t>
      </w:r>
      <w:r w:rsidRPr="005101B9">
        <w:rPr>
          <w:lang w:val="es-ES_tradnl"/>
        </w:rPr>
        <w:t>.”</w:t>
      </w:r>
    </w:p>
    <w:p w14:paraId="623BE7A1" w14:textId="77777777" w:rsidR="003378E8" w:rsidRPr="005101B9" w:rsidRDefault="003378E8">
      <w:pPr>
        <w:ind w:left="567"/>
        <w:rPr>
          <w:kern w:val="2"/>
          <w:lang w:val="es-ES_tradnl"/>
          <w14:ligatures w14:val="standardContextual"/>
        </w:rPr>
      </w:pPr>
    </w:p>
    <w:p w14:paraId="5183CD6F" w14:textId="4CA570D9" w:rsidR="007A2A74" w:rsidRPr="005101B9" w:rsidRDefault="007A2A74">
      <w:pPr>
        <w:ind w:left="567"/>
        <w:rPr>
          <w:lang w:val="es-ES_tradnl"/>
        </w:rPr>
      </w:pPr>
      <w:r w:rsidRPr="005101B9">
        <w:rPr>
          <w:lang w:val="es-ES_tradnl"/>
        </w:rPr>
        <w:t>b)</w:t>
      </w:r>
      <w:r w:rsidR="006401FB">
        <w:rPr>
          <w:lang w:val="es-ES_tradnl"/>
        </w:rPr>
        <w:tab/>
      </w:r>
      <w:r w:rsidRPr="005101B9">
        <w:rPr>
          <w:lang w:val="es-ES_tradnl"/>
        </w:rPr>
        <w:t>Dos ciclos de cultivo independientes:</w:t>
      </w:r>
    </w:p>
    <w:p w14:paraId="2BC11074" w14:textId="77777777" w:rsidR="003378E8" w:rsidRPr="005101B9" w:rsidRDefault="003378E8">
      <w:pPr>
        <w:ind w:left="567"/>
        <w:rPr>
          <w:kern w:val="2"/>
          <w:lang w:val="es-ES_tradnl"/>
          <w14:ligatures w14:val="standardContextual"/>
        </w:rPr>
      </w:pPr>
    </w:p>
    <w:p w14:paraId="63AC8C00" w14:textId="77777777" w:rsidR="007A2A74" w:rsidRPr="005101B9" w:rsidRDefault="007A2A74">
      <w:pPr>
        <w:ind w:left="567"/>
        <w:rPr>
          <w:lang w:val="es-ES_tradnl"/>
        </w:rPr>
      </w:pPr>
      <w:r w:rsidRPr="005101B9">
        <w:rPr>
          <w:lang w:val="es-ES_tradnl"/>
        </w:rPr>
        <w:t xml:space="preserve">La duración mínima de los ensayos deberá ser </w:t>
      </w:r>
      <w:r w:rsidRPr="005101B9">
        <w:rPr>
          <w:strike/>
          <w:color w:val="000000"/>
          <w:shd w:val="clear" w:color="auto" w:fill="D3D3D3"/>
          <w:lang w:val="es-ES_tradnl"/>
        </w:rPr>
        <w:t>normalmente</w:t>
      </w:r>
      <w:r w:rsidRPr="005101B9">
        <w:rPr>
          <w:color w:val="000000"/>
          <w:u w:val="single"/>
          <w:shd w:val="clear" w:color="auto" w:fill="D3D3D3"/>
          <w:lang w:val="es-ES_tradnl"/>
        </w:rPr>
        <w:t>, por lo general,</w:t>
      </w:r>
      <w:r w:rsidRPr="005101B9">
        <w:rPr>
          <w:lang w:val="es-ES_tradnl"/>
        </w:rPr>
        <w:t xml:space="preserve"> de dos ciclos de cultivo independientes; </w:t>
      </w:r>
      <w:r w:rsidRPr="005101B9">
        <w:rPr>
          <w:color w:val="000000"/>
          <w:u w:val="single"/>
          <w:shd w:val="clear" w:color="auto" w:fill="D3D3D3"/>
          <w:lang w:val="es-ES_tradnl"/>
        </w:rPr>
        <w:t>sin embargo, se podrá concluir el examen de una variedad cuando la autoridad competente pueda determinar con certeza su resultado</w:t>
      </w:r>
      <w:r w:rsidRPr="005101B9">
        <w:rPr>
          <w:lang w:val="es-ES_tradnl"/>
        </w:rPr>
        <w:t>.”</w:t>
      </w:r>
    </w:p>
    <w:p w14:paraId="4073061D" w14:textId="77777777" w:rsidR="003378E8" w:rsidRPr="005101B9" w:rsidRDefault="003378E8">
      <w:pPr>
        <w:ind w:left="567"/>
        <w:rPr>
          <w:kern w:val="2"/>
          <w:lang w:val="es-ES_tradnl"/>
          <w14:ligatures w14:val="standardContextual"/>
        </w:rPr>
      </w:pPr>
    </w:p>
    <w:p w14:paraId="3C4652DA" w14:textId="0076EFF4" w:rsidR="0015637A" w:rsidRPr="005101B9" w:rsidRDefault="006401FB">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F314BA" w:rsidRPr="005101B9">
        <w:rPr>
          <w:lang w:val="es-ES_tradnl"/>
        </w:rPr>
        <w:t>El extracto completo de los informes del TWV, el TWA, el TWO y el TWF figura en el Anexo del presente documento.</w:t>
      </w:r>
    </w:p>
    <w:p w14:paraId="77ED535F" w14:textId="77777777" w:rsidR="004F68F5" w:rsidRPr="005101B9" w:rsidRDefault="004F68F5" w:rsidP="004F68F5">
      <w:pPr>
        <w:jc w:val="left"/>
        <w:rPr>
          <w:rFonts w:eastAsia="MS Mincho"/>
          <w:lang w:val="es-ES_tradnl" w:eastAsia="zh-CN"/>
        </w:rPr>
      </w:pPr>
    </w:p>
    <w:p w14:paraId="1E6A636B" w14:textId="77777777" w:rsidR="00914C5B" w:rsidRPr="005101B9" w:rsidRDefault="00914C5B">
      <w:pPr>
        <w:keepNext/>
        <w:ind w:left="567"/>
        <w:rPr>
          <w:kern w:val="2"/>
          <w:lang w:val="es-ES_tradnl"/>
          <w14:ligatures w14:val="standardContextual"/>
        </w:rPr>
      </w:pPr>
      <w:r w:rsidRPr="005101B9">
        <w:rPr>
          <w:u w:val="single"/>
          <w:lang w:val="es-ES_tradnl"/>
        </w:rPr>
        <w:t>ASW 3 d) “Explicación del ciclo de cultivo: especies frutales”</w:t>
      </w:r>
    </w:p>
    <w:p w14:paraId="4CE845E9" w14:textId="77777777" w:rsidR="004F68F5" w:rsidRPr="005101B9" w:rsidRDefault="004F68F5" w:rsidP="004F68F5">
      <w:pPr>
        <w:keepNext/>
        <w:outlineLvl w:val="2"/>
        <w:rPr>
          <w:rFonts w:eastAsia="MS Mincho"/>
          <w:i/>
          <w:spacing w:val="-2"/>
          <w:lang w:val="es-ES_tradnl"/>
        </w:rPr>
      </w:pPr>
    </w:p>
    <w:p w14:paraId="376FA657" w14:textId="3C8B31DF" w:rsidR="0015637A" w:rsidRPr="005101B9" w:rsidRDefault="006401FB">
      <w:pPr>
        <w:keepNext/>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1A59EE" w:rsidRPr="005101B9">
        <w:rPr>
          <w:lang w:val="es-ES_tradnl"/>
        </w:rPr>
        <w:t xml:space="preserve">En sus reuniones de 2026, el TWO y el TWF respaldaron la propuesta de modificar el texto estándar adicional relativo a la explicación del ciclo de cultivo para las especies frutales, para que quede redactado del siguiente modo (ASW 3): </w:t>
      </w:r>
    </w:p>
    <w:p w14:paraId="6E254215" w14:textId="77777777" w:rsidR="004F68F5" w:rsidRPr="005101B9" w:rsidRDefault="004F68F5" w:rsidP="004F68F5">
      <w:pPr>
        <w:ind w:left="567" w:right="567"/>
        <w:jc w:val="left"/>
        <w:rPr>
          <w:rFonts w:eastAsia="MS Mincho"/>
          <w:iCs/>
          <w:lang w:val="es-ES_tradnl"/>
        </w:rPr>
      </w:pPr>
    </w:p>
    <w:p w14:paraId="2D9582C2" w14:textId="2815BCC0" w:rsidR="00914C5B" w:rsidRPr="005101B9" w:rsidRDefault="00914C5B">
      <w:pPr>
        <w:ind w:left="567"/>
        <w:rPr>
          <w:kern w:val="2"/>
          <w:lang w:val="es-ES_tradnl"/>
          <w14:ligatures w14:val="standardContextual"/>
        </w:rPr>
      </w:pPr>
      <w:r w:rsidRPr="005101B9">
        <w:rPr>
          <w:i/>
          <w:iCs/>
          <w:lang w:val="es-ES_tradnl"/>
        </w:rPr>
        <w:t>“d)</w:t>
      </w:r>
      <w:r w:rsidR="00BD6AE9" w:rsidRPr="005101B9">
        <w:rPr>
          <w:i/>
          <w:iCs/>
          <w:lang w:val="es-ES_tradnl"/>
        </w:rPr>
        <w:tab/>
      </w:r>
      <w:r w:rsidRPr="005101B9">
        <w:rPr>
          <w:i/>
          <w:iCs/>
          <w:lang w:val="es-ES_tradnl"/>
        </w:rPr>
        <w:t>Especies frutales</w:t>
      </w:r>
    </w:p>
    <w:p w14:paraId="0EF37208" w14:textId="77777777" w:rsidR="004F68F5" w:rsidRPr="005101B9" w:rsidRDefault="004F68F5" w:rsidP="004F68F5">
      <w:pPr>
        <w:ind w:left="567" w:right="567"/>
        <w:rPr>
          <w:rFonts w:eastAsia="MS Mincho"/>
          <w:lang w:val="es-ES_tradnl"/>
        </w:rPr>
      </w:pPr>
    </w:p>
    <w:p w14:paraId="77E579C3" w14:textId="7A4782D6" w:rsidR="00914C5B" w:rsidRPr="005101B9" w:rsidRDefault="00914C5B">
      <w:pPr>
        <w:ind w:left="567" w:right="567"/>
        <w:rPr>
          <w:kern w:val="2"/>
          <w:lang w:val="es-ES_tradnl"/>
          <w14:ligatures w14:val="standardContextual"/>
        </w:rPr>
      </w:pPr>
      <w:r w:rsidRPr="005101B9">
        <w:rPr>
          <w:lang w:val="es-ES_tradnl"/>
        </w:rPr>
        <w:t>En el caso de directrices de examen aplicables a especies frutales, se podrá añadir la siguiente frase en el capítulo 3.1:</w:t>
      </w:r>
    </w:p>
    <w:p w14:paraId="0524B694" w14:textId="77777777" w:rsidR="004F68F5" w:rsidRPr="005101B9" w:rsidRDefault="004F68F5" w:rsidP="004F68F5">
      <w:pPr>
        <w:ind w:left="567" w:right="567"/>
        <w:rPr>
          <w:rFonts w:eastAsia="MS Mincho"/>
          <w:lang w:val="es-ES_tradnl"/>
        </w:rPr>
      </w:pPr>
    </w:p>
    <w:p w14:paraId="71E53782" w14:textId="6E3A4AAC" w:rsidR="00914C5B" w:rsidRPr="005101B9" w:rsidRDefault="00914C5B">
      <w:pPr>
        <w:ind w:left="567" w:right="567"/>
        <w:rPr>
          <w:kern w:val="2"/>
          <w:lang w:val="es-ES_tradnl"/>
          <w14:ligatures w14:val="standardContextual"/>
        </w:rPr>
      </w:pPr>
      <w:r w:rsidRPr="005101B9">
        <w:rPr>
          <w:lang w:val="es-ES_tradnl"/>
        </w:rPr>
        <w:t xml:space="preserve">En particular, es esencial que los [árboles]/[las plantas] produzcan </w:t>
      </w:r>
      <w:r w:rsidRPr="005101B9">
        <w:rPr>
          <w:strike/>
          <w:shd w:val="clear" w:color="auto" w:fill="D3D3D3"/>
          <w:lang w:val="es-ES_tradnl"/>
        </w:rPr>
        <w:t>una cosecha satisfactoria de</w:t>
      </w:r>
      <w:r w:rsidRPr="005101B9">
        <w:rPr>
          <w:lang w:val="es-ES_tradnl"/>
        </w:rPr>
        <w:t xml:space="preserve"> frutos </w:t>
      </w:r>
      <w:r w:rsidRPr="005101B9">
        <w:rPr>
          <w:u w:val="single"/>
          <w:shd w:val="clear" w:color="auto" w:fill="D3D3D3"/>
          <w:lang w:val="es-ES_tradnl"/>
        </w:rPr>
        <w:t>en cantidad</w:t>
      </w:r>
      <w:r w:rsidRPr="005101B9">
        <w:rPr>
          <w:lang w:val="es-ES_tradnl"/>
        </w:rPr>
        <w:t xml:space="preserve"> y calidad </w:t>
      </w:r>
      <w:r w:rsidRPr="005101B9">
        <w:rPr>
          <w:u w:val="single"/>
          <w:shd w:val="clear" w:color="auto" w:fill="D3D3D3"/>
          <w:lang w:val="es-ES_tradnl"/>
        </w:rPr>
        <w:t>suficiente</w:t>
      </w:r>
      <w:r w:rsidR="006749A8" w:rsidRPr="005101B9">
        <w:rPr>
          <w:u w:val="single"/>
          <w:shd w:val="clear" w:color="auto" w:fill="D3D3D3"/>
          <w:lang w:val="es-ES_tradnl"/>
        </w:rPr>
        <w:t>s</w:t>
      </w:r>
      <w:r w:rsidRPr="005101B9">
        <w:rPr>
          <w:u w:val="single"/>
          <w:shd w:val="clear" w:color="auto" w:fill="D3D3D3"/>
          <w:lang w:val="es-ES_tradnl"/>
        </w:rPr>
        <w:t xml:space="preserve"> a los fines del examen y que sean representativos de la variedad en cualquier</w:t>
      </w:r>
      <w:r w:rsidRPr="005101B9">
        <w:rPr>
          <w:lang w:val="es-ES_tradnl"/>
        </w:rPr>
        <w:t xml:space="preserve"> </w:t>
      </w:r>
      <w:r w:rsidRPr="005101B9">
        <w:rPr>
          <w:strike/>
          <w:shd w:val="clear" w:color="auto" w:fill="D3D3D3"/>
          <w:lang w:val="es-ES_tradnl"/>
        </w:rPr>
        <w:t>en cada</w:t>
      </w:r>
      <w:r w:rsidRPr="005101B9">
        <w:rPr>
          <w:strike/>
          <w:highlight w:val="lightGray"/>
          <w:lang w:val="es-ES_tradnl"/>
        </w:rPr>
        <w:t xml:space="preserve"> </w:t>
      </w:r>
      <w:r w:rsidRPr="005101B9">
        <w:rPr>
          <w:strike/>
          <w:shd w:val="clear" w:color="auto" w:fill="D3D3D3"/>
          <w:lang w:val="es-ES_tradnl"/>
        </w:rPr>
        <w:t>uno de los dos</w:t>
      </w:r>
      <w:r w:rsidRPr="005101B9">
        <w:rPr>
          <w:strike/>
          <w:highlight w:val="lightGray"/>
          <w:lang w:val="es-ES_tradnl"/>
        </w:rPr>
        <w:t xml:space="preserve"> </w:t>
      </w:r>
      <w:r w:rsidRPr="005101B9">
        <w:rPr>
          <w:lang w:val="es-ES_tradnl"/>
        </w:rPr>
        <w:t>ciclo</w:t>
      </w:r>
      <w:r w:rsidRPr="005101B9">
        <w:rPr>
          <w:strike/>
          <w:shd w:val="clear" w:color="auto" w:fill="D3D3D3"/>
          <w:lang w:val="es-ES_tradnl"/>
        </w:rPr>
        <w:t>s</w:t>
      </w:r>
      <w:r w:rsidRPr="005101B9">
        <w:rPr>
          <w:lang w:val="es-ES_tradnl"/>
        </w:rPr>
        <w:t xml:space="preserve"> de cultivo.”</w:t>
      </w:r>
    </w:p>
    <w:p w14:paraId="149A8534" w14:textId="77777777" w:rsidR="004F68F5" w:rsidRPr="005101B9" w:rsidRDefault="004F68F5" w:rsidP="004F68F5">
      <w:pPr>
        <w:tabs>
          <w:tab w:val="left" w:pos="5387"/>
        </w:tabs>
        <w:ind w:left="4820"/>
        <w:rPr>
          <w:rFonts w:eastAsia="MS Mincho"/>
          <w:i/>
          <w:lang w:val="es-ES_tradnl" w:eastAsia="zh-CN"/>
        </w:rPr>
      </w:pPr>
    </w:p>
    <w:p w14:paraId="7B9C9E77" w14:textId="6A415CA2" w:rsidR="0015637A" w:rsidRPr="005101B9" w:rsidRDefault="006401FB" w:rsidP="00152CA2">
      <w:pPr>
        <w:pStyle w:val="DecisionParagraphs"/>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B717DD" w:rsidRPr="005101B9">
        <w:rPr>
          <w:lang w:val="es-ES_tradnl"/>
        </w:rPr>
        <w:t>Se invita al TC y al CAJ a examinar:</w:t>
      </w:r>
    </w:p>
    <w:p w14:paraId="7B0E806F" w14:textId="77777777" w:rsidR="004F68F5" w:rsidRPr="005101B9" w:rsidRDefault="004F68F5" w:rsidP="00152CA2">
      <w:pPr>
        <w:pStyle w:val="DecisionParagraphs"/>
        <w:rPr>
          <w:rFonts w:eastAsia="MS Mincho"/>
          <w:lang w:val="es-ES_tradnl" w:eastAsia="zh-CN"/>
        </w:rPr>
      </w:pPr>
    </w:p>
    <w:p w14:paraId="2548B7EC" w14:textId="0C133DFF" w:rsidR="00F43C84" w:rsidRPr="005101B9" w:rsidRDefault="006C42B9" w:rsidP="00152CA2">
      <w:pPr>
        <w:pStyle w:val="DecisionParagraphs"/>
        <w:rPr>
          <w:lang w:val="es-ES_tradnl"/>
        </w:rPr>
      </w:pPr>
      <w:r>
        <w:rPr>
          <w:iCs/>
          <w:lang w:val="es-ES_tradnl"/>
        </w:rPr>
        <w:tab/>
        <w:t>a)</w:t>
      </w:r>
      <w:r>
        <w:rPr>
          <w:iCs/>
          <w:lang w:val="es-ES_tradnl"/>
        </w:rPr>
        <w:tab/>
      </w:r>
      <w:r w:rsidR="003A4E92" w:rsidRPr="005101B9">
        <w:rPr>
          <w:iCs/>
          <w:lang w:val="es-ES_tradnl"/>
        </w:rPr>
        <w:t xml:space="preserve">las modificaciones del documento TGP/7 “Elaboración de las directrices de examen” </w:t>
      </w:r>
      <w:r w:rsidR="00C91C79" w:rsidRPr="005101B9">
        <w:rPr>
          <w:iCs/>
          <w:lang w:val="es-ES_tradnl"/>
        </w:rPr>
        <w:t>propuestas por</w:t>
      </w:r>
      <w:r w:rsidR="003A4E92" w:rsidRPr="005101B9">
        <w:rPr>
          <w:iCs/>
          <w:lang w:val="es-ES_tradnl"/>
        </w:rPr>
        <w:t xml:space="preserve"> el </w:t>
      </w:r>
      <w:r w:rsidR="00C91C79" w:rsidRPr="005101B9">
        <w:rPr>
          <w:iCs/>
          <w:lang w:val="es-ES_tradnl"/>
        </w:rPr>
        <w:t xml:space="preserve">TWF, relativas al </w:t>
      </w:r>
      <w:r w:rsidR="003A4E92" w:rsidRPr="005101B9">
        <w:rPr>
          <w:iCs/>
          <w:lang w:val="es-ES_tradnl"/>
        </w:rPr>
        <w:t xml:space="preserve">texto estándar universal </w:t>
      </w:r>
      <w:r w:rsidR="00C91C79" w:rsidRPr="005101B9">
        <w:rPr>
          <w:iCs/>
          <w:lang w:val="es-ES_tradnl"/>
        </w:rPr>
        <w:t xml:space="preserve">sobre el </w:t>
      </w:r>
      <w:r w:rsidR="003A4E92" w:rsidRPr="005101B9">
        <w:rPr>
          <w:iCs/>
          <w:lang w:val="es-ES_tradnl"/>
        </w:rPr>
        <w:t xml:space="preserve">“número de ciclos de cultivo”, según se expone en </w:t>
      </w:r>
      <w:r w:rsidR="00C91C79" w:rsidRPr="005101B9">
        <w:rPr>
          <w:iCs/>
          <w:lang w:val="es-ES_tradnl"/>
        </w:rPr>
        <w:t>el párrafo 43</w:t>
      </w:r>
      <w:r w:rsidR="003A4E92" w:rsidRPr="005101B9">
        <w:rPr>
          <w:iCs/>
          <w:lang w:val="es-ES_tradnl"/>
        </w:rPr>
        <w:t>;</w:t>
      </w:r>
    </w:p>
    <w:p w14:paraId="2E40A1E0" w14:textId="77777777" w:rsidR="004F68F5" w:rsidRPr="005101B9" w:rsidRDefault="004F68F5" w:rsidP="00152CA2">
      <w:pPr>
        <w:pStyle w:val="DecisionParagraphs"/>
        <w:rPr>
          <w:rFonts w:eastAsia="MS Mincho"/>
          <w:lang w:val="es-ES_tradnl" w:eastAsia="zh-CN"/>
        </w:rPr>
      </w:pPr>
    </w:p>
    <w:p w14:paraId="5428322D" w14:textId="599824A7" w:rsidR="00F43C84" w:rsidRPr="005101B9" w:rsidRDefault="003D352D" w:rsidP="00152CA2">
      <w:pPr>
        <w:pStyle w:val="DecisionParagraphs"/>
        <w:rPr>
          <w:lang w:val="es-ES_tradnl"/>
        </w:rPr>
      </w:pPr>
      <w:r>
        <w:rPr>
          <w:iCs/>
          <w:lang w:val="es-ES_tradnl"/>
        </w:rPr>
        <w:tab/>
        <w:t>b)</w:t>
      </w:r>
      <w:r>
        <w:rPr>
          <w:iCs/>
          <w:lang w:val="es-ES_tradnl"/>
        </w:rPr>
        <w:tab/>
      </w:r>
      <w:r w:rsidR="00130365" w:rsidRPr="005101B9">
        <w:rPr>
          <w:iCs/>
          <w:lang w:val="es-ES_tradnl"/>
        </w:rPr>
        <w:t>las modificaciones relativas a la “explicación del ciclo de cultivo para las especies frutales”, según se expone en el párrafo 45 del presente documento.</w:t>
      </w:r>
    </w:p>
    <w:p w14:paraId="195A013C" w14:textId="77777777" w:rsidR="00BD1619" w:rsidRPr="005101B9" w:rsidRDefault="00BD1619" w:rsidP="00152CA2">
      <w:pPr>
        <w:pStyle w:val="DecisionParagraphs"/>
        <w:rPr>
          <w:lang w:val="es-ES_tradnl"/>
        </w:rPr>
      </w:pPr>
    </w:p>
    <w:p w14:paraId="2E51F613" w14:textId="77777777" w:rsidR="00BD1619" w:rsidRPr="005101B9" w:rsidRDefault="00BD1619" w:rsidP="00152CA2">
      <w:pPr>
        <w:pStyle w:val="DecisionParagraphs"/>
        <w:rPr>
          <w:lang w:val="es-ES_tradnl"/>
        </w:rPr>
      </w:pPr>
    </w:p>
    <w:p w14:paraId="2788BEE2" w14:textId="1B9A4D04" w:rsidR="00130365" w:rsidRPr="005101B9" w:rsidRDefault="00152CA2" w:rsidP="00152CA2">
      <w:pPr>
        <w:pStyle w:val="DecisionParagraphs"/>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130365" w:rsidRPr="005101B9">
        <w:rPr>
          <w:iCs/>
          <w:lang w:val="es-ES_tradnl"/>
        </w:rPr>
        <w:t xml:space="preserve">Se invita al Consejo a aprobar una revisión del documento TGP/7 “Elaboración de las directrices de examen”, según se </w:t>
      </w:r>
      <w:r w:rsidR="00130365" w:rsidRPr="005101B9">
        <w:rPr>
          <w:rFonts w:eastAsia="MS Mincho"/>
          <w:lang w:val="es-ES_tradnl" w:eastAsia="zh-CN"/>
        </w:rPr>
        <w:t>expone</w:t>
      </w:r>
      <w:r w:rsidR="00130365" w:rsidRPr="005101B9">
        <w:rPr>
          <w:iCs/>
          <w:lang w:val="es-ES_tradnl"/>
        </w:rPr>
        <w:t xml:space="preserve"> en los párrafos 43 y 45, a reserva de las conclusiones del TC y de la aprobación del CAJ en sus sesiones de 2026.</w:t>
      </w:r>
    </w:p>
    <w:p w14:paraId="05F391B5" w14:textId="77777777" w:rsidR="004F68F5" w:rsidRPr="005101B9" w:rsidRDefault="004F68F5" w:rsidP="004F68F5">
      <w:pPr>
        <w:rPr>
          <w:lang w:val="es-ES_tradnl" w:eastAsia="ja-JP"/>
        </w:rPr>
      </w:pPr>
    </w:p>
    <w:p w14:paraId="6C298207" w14:textId="77777777" w:rsidR="004F68F5" w:rsidRPr="005101B9" w:rsidRDefault="004F68F5" w:rsidP="004F68F5">
      <w:pPr>
        <w:rPr>
          <w:lang w:val="es-ES_tradnl" w:eastAsia="ja-JP"/>
        </w:rPr>
      </w:pPr>
    </w:p>
    <w:p w14:paraId="2D10C829" w14:textId="40CFC46F" w:rsidR="006F3A97" w:rsidRPr="005101B9" w:rsidRDefault="00072831" w:rsidP="00FD1CF8">
      <w:pPr>
        <w:pStyle w:val="Heading1"/>
        <w:rPr>
          <w:kern w:val="2"/>
          <w:lang w:val="es-ES_tradnl"/>
          <w14:ligatures w14:val="standardContextual"/>
        </w:rPr>
      </w:pPr>
      <w:bookmarkStart w:id="22" w:name="_Toc242263285"/>
      <w:r w:rsidRPr="005101B9">
        <w:rPr>
          <w:caps w:val="0"/>
          <w:lang w:val="es-ES_tradnl"/>
        </w:rPr>
        <w:t>DOCUMENTO TGP/12 “ORIENTACIÓN SOBRE CIERTOS CARACTERES FISIOLÓGICOS”</w:t>
      </w:r>
      <w:bookmarkEnd w:id="22"/>
    </w:p>
    <w:p w14:paraId="116DC5C2" w14:textId="77777777" w:rsidR="004F68F5" w:rsidRPr="005101B9" w:rsidRDefault="004F68F5" w:rsidP="004F68F5">
      <w:pPr>
        <w:tabs>
          <w:tab w:val="left" w:pos="1701"/>
        </w:tabs>
        <w:contextualSpacing/>
        <w:rPr>
          <w:lang w:val="es-ES_tradnl"/>
        </w:rPr>
      </w:pPr>
    </w:p>
    <w:p w14:paraId="7C0E9826" w14:textId="77777777" w:rsidR="006F3A97" w:rsidRPr="005101B9" w:rsidRDefault="006F3A97" w:rsidP="00E9680D">
      <w:pPr>
        <w:pStyle w:val="Heading2"/>
        <w:rPr>
          <w:lang w:val="es-ES_tradnl"/>
        </w:rPr>
      </w:pPr>
      <w:bookmarkStart w:id="23" w:name="_Toc242263286"/>
      <w:r w:rsidRPr="005101B9">
        <w:rPr>
          <w:lang w:val="es-ES_tradnl"/>
        </w:rPr>
        <w:t>Nomenclatura de los patógenos: nuevo descargo de responsabilidad</w:t>
      </w:r>
      <w:bookmarkEnd w:id="23"/>
    </w:p>
    <w:p w14:paraId="61453FEC" w14:textId="111A34A1" w:rsidR="004F68F5" w:rsidRPr="005101B9" w:rsidRDefault="004F68F5" w:rsidP="004F68F5">
      <w:pPr>
        <w:jc w:val="left"/>
        <w:rPr>
          <w:rFonts w:eastAsia="MS Mincho"/>
          <w:lang w:val="es-ES_tradnl"/>
        </w:rPr>
      </w:pPr>
    </w:p>
    <w:p w14:paraId="5F3E15BD" w14:textId="48622664" w:rsidR="0015637A" w:rsidRPr="005101B9" w:rsidRDefault="00152CA2">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4C5F82" w:rsidRPr="005101B9">
        <w:rPr>
          <w:lang w:val="es-ES_tradnl"/>
        </w:rPr>
        <w:t>El TWV,</w:t>
      </w:r>
      <w:r w:rsidR="004C5F82" w:rsidRPr="005101B9">
        <w:rPr>
          <w:vertAlign w:val="superscript"/>
          <w:lang w:val="es-ES_tradnl"/>
        </w:rPr>
        <w:t xml:space="preserve"> </w:t>
      </w:r>
      <w:r w:rsidR="004C5F82" w:rsidRPr="005101B9">
        <w:rPr>
          <w:lang w:val="es-ES_tradnl"/>
        </w:rPr>
        <w:t>en su sexagésima reunión,</w:t>
      </w:r>
      <w:r w:rsidR="00863A38" w:rsidRPr="005101B9">
        <w:rPr>
          <w:rStyle w:val="FootnoteReference"/>
          <w:lang w:val="es-ES_tradnl"/>
        </w:rPr>
        <w:footnoteReference w:id="13"/>
      </w:r>
      <w:r w:rsidR="004C5F82" w:rsidRPr="005101B9">
        <w:rPr>
          <w:lang w:val="es-ES_tradnl"/>
        </w:rPr>
        <w:t xml:space="preserve"> tomó nota de que la Oficina de la UPOV había recibido la siguiente solicitud de actualización de la nomenclatura de los patógenos en las directrices de examen del guisante, el pimiento, el tomate y los portainjertos de tomate, y convino en que la nomenclatura debía actualizarse en el marco de las revisiones en curso o futuras de esas directrices de examen:</w:t>
      </w:r>
    </w:p>
    <w:p w14:paraId="27867EFA" w14:textId="77777777" w:rsidR="004F68F5" w:rsidRPr="005101B9" w:rsidRDefault="004F68F5" w:rsidP="004F68F5">
      <w:pPr>
        <w:rPr>
          <w:rFonts w:eastAsia="MS Mincho"/>
          <w:lang w:val="es-ES_tradnl"/>
        </w:rPr>
      </w:pPr>
    </w:p>
    <w:tbl>
      <w:tblPr>
        <w:tblW w:w="9630" w:type="dxa"/>
        <w:tblCellMar>
          <w:left w:w="0" w:type="dxa"/>
          <w:right w:w="0" w:type="dxa"/>
        </w:tblCellMar>
        <w:tblLook w:val="04A0" w:firstRow="1" w:lastRow="0" w:firstColumn="1" w:lastColumn="0" w:noHBand="0" w:noVBand="1"/>
      </w:tblPr>
      <w:tblGrid>
        <w:gridCol w:w="1551"/>
        <w:gridCol w:w="1134"/>
        <w:gridCol w:w="2835"/>
        <w:gridCol w:w="2835"/>
        <w:gridCol w:w="1275"/>
      </w:tblGrid>
      <w:tr w:rsidR="00562EBF" w:rsidRPr="005101B9" w14:paraId="75252C18" w14:textId="77777777">
        <w:tc>
          <w:tcPr>
            <w:tcW w:w="1550" w:type="dxa"/>
            <w:tcBorders>
              <w:top w:val="single" w:sz="8" w:space="0" w:color="000000"/>
              <w:left w:val="single" w:sz="8" w:space="0" w:color="000000"/>
              <w:bottom w:val="single" w:sz="8" w:space="0" w:color="000000"/>
              <w:right w:val="single" w:sz="8" w:space="0" w:color="000000"/>
            </w:tcBorders>
            <w:hideMark/>
          </w:tcPr>
          <w:p w14:paraId="289D94AA" w14:textId="77777777" w:rsidR="00562EBF" w:rsidRPr="005101B9" w:rsidRDefault="00562EBF">
            <w:pPr>
              <w:jc w:val="center"/>
              <w:rPr>
                <w:kern w:val="2"/>
                <w:lang w:val="es-ES_tradnl"/>
                <w14:ligatures w14:val="standardContextual"/>
              </w:rPr>
            </w:pPr>
            <w:r w:rsidRPr="005101B9">
              <w:rPr>
                <w:sz w:val="18"/>
                <w:szCs w:val="18"/>
                <w:lang w:val="es-ES_tradnl"/>
              </w:rPr>
              <w:lastRenderedPageBreak/>
              <w:t>Directrices de examen</w:t>
            </w:r>
          </w:p>
        </w:tc>
        <w:tc>
          <w:tcPr>
            <w:tcW w:w="1134" w:type="dxa"/>
            <w:tcBorders>
              <w:top w:val="single" w:sz="8" w:space="0" w:color="000000"/>
              <w:left w:val="single" w:sz="8" w:space="0" w:color="000000"/>
              <w:bottom w:val="single" w:sz="8" w:space="0" w:color="000000"/>
              <w:right w:val="single" w:sz="8" w:space="0" w:color="000000"/>
            </w:tcBorders>
            <w:hideMark/>
          </w:tcPr>
          <w:p w14:paraId="405CF701" w14:textId="77777777" w:rsidR="00562EBF" w:rsidRPr="005101B9" w:rsidRDefault="00562EBF">
            <w:pPr>
              <w:jc w:val="center"/>
              <w:rPr>
                <w:lang w:val="es-ES_tradnl"/>
              </w:rPr>
            </w:pPr>
            <w:r w:rsidRPr="005101B9">
              <w:rPr>
                <w:sz w:val="18"/>
                <w:szCs w:val="18"/>
                <w:lang w:val="es-ES_tradnl"/>
              </w:rPr>
              <w:t>Carácter de resistencia</w:t>
            </w:r>
          </w:p>
        </w:tc>
        <w:tc>
          <w:tcPr>
            <w:tcW w:w="2835" w:type="dxa"/>
            <w:tcBorders>
              <w:top w:val="single" w:sz="8" w:space="0" w:color="000000"/>
              <w:left w:val="single" w:sz="8" w:space="0" w:color="000000"/>
              <w:bottom w:val="single" w:sz="8" w:space="0" w:color="000000"/>
              <w:right w:val="single" w:sz="8" w:space="0" w:color="000000"/>
            </w:tcBorders>
            <w:hideMark/>
          </w:tcPr>
          <w:p w14:paraId="497CB283" w14:textId="77777777" w:rsidR="00562EBF" w:rsidRPr="005101B9" w:rsidRDefault="00562EBF">
            <w:pPr>
              <w:jc w:val="center"/>
              <w:rPr>
                <w:lang w:val="es-ES_tradnl"/>
              </w:rPr>
            </w:pPr>
            <w:r w:rsidRPr="005101B9">
              <w:rPr>
                <w:sz w:val="18"/>
                <w:szCs w:val="18"/>
                <w:lang w:val="es-ES_tradnl"/>
              </w:rPr>
              <w:t>Nombre en las directrices de examen aprobadas</w:t>
            </w:r>
          </w:p>
        </w:tc>
        <w:tc>
          <w:tcPr>
            <w:tcW w:w="2835" w:type="dxa"/>
            <w:tcBorders>
              <w:top w:val="single" w:sz="8" w:space="0" w:color="000000"/>
              <w:left w:val="single" w:sz="8" w:space="0" w:color="000000"/>
              <w:bottom w:val="single" w:sz="8" w:space="0" w:color="000000"/>
              <w:right w:val="single" w:sz="8" w:space="0" w:color="000000"/>
            </w:tcBorders>
            <w:hideMark/>
          </w:tcPr>
          <w:p w14:paraId="4FD91A90" w14:textId="77777777" w:rsidR="00562EBF" w:rsidRPr="005101B9" w:rsidRDefault="00562EBF">
            <w:pPr>
              <w:jc w:val="center"/>
              <w:rPr>
                <w:lang w:val="es-ES_tradnl"/>
              </w:rPr>
            </w:pPr>
            <w:r w:rsidRPr="005101B9">
              <w:rPr>
                <w:sz w:val="18"/>
                <w:szCs w:val="18"/>
                <w:lang w:val="es-ES_tradnl"/>
              </w:rPr>
              <w:t>Nuevo nombre (a partir de 2026)</w:t>
            </w:r>
          </w:p>
        </w:tc>
        <w:tc>
          <w:tcPr>
            <w:tcW w:w="1275" w:type="dxa"/>
            <w:tcBorders>
              <w:top w:val="single" w:sz="8" w:space="0" w:color="000000"/>
              <w:left w:val="single" w:sz="8" w:space="0" w:color="000000"/>
              <w:bottom w:val="single" w:sz="8" w:space="0" w:color="000000"/>
              <w:right w:val="single" w:sz="8" w:space="0" w:color="000000"/>
            </w:tcBorders>
            <w:hideMark/>
          </w:tcPr>
          <w:p w14:paraId="56DCF162" w14:textId="77777777" w:rsidR="00562EBF" w:rsidRPr="005101B9" w:rsidRDefault="00562EBF">
            <w:pPr>
              <w:jc w:val="left"/>
              <w:rPr>
                <w:lang w:val="es-ES_tradnl"/>
              </w:rPr>
            </w:pPr>
            <w:r w:rsidRPr="005101B9">
              <w:rPr>
                <w:sz w:val="18"/>
                <w:szCs w:val="18"/>
                <w:lang w:val="es-ES_tradnl"/>
              </w:rPr>
              <w:t>Propuesta</w:t>
            </w:r>
          </w:p>
        </w:tc>
      </w:tr>
      <w:tr w:rsidR="00562EBF" w:rsidRPr="005101B9" w14:paraId="6C70CD49" w14:textId="77777777">
        <w:tc>
          <w:tcPr>
            <w:tcW w:w="1550" w:type="dxa"/>
            <w:tcBorders>
              <w:top w:val="single" w:sz="8" w:space="0" w:color="000000"/>
              <w:left w:val="single" w:sz="8" w:space="0" w:color="000000"/>
              <w:bottom w:val="single" w:sz="8" w:space="0" w:color="000000"/>
              <w:right w:val="single" w:sz="8" w:space="0" w:color="000000"/>
            </w:tcBorders>
            <w:hideMark/>
          </w:tcPr>
          <w:p w14:paraId="2E197959" w14:textId="77777777" w:rsidR="00562EBF" w:rsidRPr="005101B9" w:rsidRDefault="00562EBF">
            <w:pPr>
              <w:jc w:val="left"/>
              <w:rPr>
                <w:lang w:val="es-ES_tradnl"/>
              </w:rPr>
            </w:pPr>
            <w:r w:rsidRPr="005101B9">
              <w:rPr>
                <w:sz w:val="18"/>
                <w:szCs w:val="18"/>
                <w:lang w:val="es-ES_tradnl"/>
              </w:rPr>
              <w:t>Pimiento:</w:t>
            </w:r>
            <w:r w:rsidRPr="005101B9">
              <w:rPr>
                <w:sz w:val="18"/>
                <w:szCs w:val="18"/>
                <w:lang w:val="es-ES_tradnl"/>
              </w:rPr>
              <w:br/>
              <w:t>TG/76/9</w:t>
            </w:r>
          </w:p>
        </w:tc>
        <w:tc>
          <w:tcPr>
            <w:tcW w:w="1134" w:type="dxa"/>
            <w:tcBorders>
              <w:top w:val="single" w:sz="8" w:space="0" w:color="000000"/>
              <w:left w:val="single" w:sz="8" w:space="0" w:color="000000"/>
              <w:bottom w:val="single" w:sz="8" w:space="0" w:color="000000"/>
              <w:right w:val="single" w:sz="8" w:space="0" w:color="000000"/>
            </w:tcBorders>
            <w:hideMark/>
          </w:tcPr>
          <w:p w14:paraId="22512313" w14:textId="77777777" w:rsidR="00562EBF" w:rsidRPr="005101B9" w:rsidRDefault="00562EBF" w:rsidP="0021239F">
            <w:pPr>
              <w:jc w:val="left"/>
              <w:rPr>
                <w:lang w:val="es-ES_tradnl"/>
              </w:rPr>
            </w:pPr>
            <w:r w:rsidRPr="005101B9">
              <w:rPr>
                <w:sz w:val="18"/>
                <w:szCs w:val="18"/>
                <w:lang w:val="es-ES_tradnl"/>
              </w:rPr>
              <w:t>63, 64, 65 - Patotipos 1, 2 y 3</w:t>
            </w:r>
          </w:p>
        </w:tc>
        <w:tc>
          <w:tcPr>
            <w:tcW w:w="2835" w:type="dxa"/>
            <w:tcBorders>
              <w:top w:val="single" w:sz="8" w:space="0" w:color="000000"/>
              <w:left w:val="single" w:sz="8" w:space="0" w:color="000000"/>
              <w:bottom w:val="single" w:sz="8" w:space="0" w:color="000000"/>
              <w:right w:val="single" w:sz="8" w:space="0" w:color="000000"/>
            </w:tcBorders>
            <w:hideMark/>
          </w:tcPr>
          <w:p w14:paraId="1DBB5E48" w14:textId="77777777" w:rsidR="00562EBF" w:rsidRPr="005101B9" w:rsidRDefault="00562EBF">
            <w:pPr>
              <w:jc w:val="left"/>
              <w:rPr>
                <w:lang w:val="es-ES_tradnl"/>
              </w:rPr>
            </w:pPr>
            <w:r w:rsidRPr="005101B9">
              <w:rPr>
                <w:i/>
                <w:iCs/>
                <w:sz w:val="18"/>
                <w:szCs w:val="18"/>
                <w:lang w:val="es-ES_tradnl"/>
              </w:rPr>
              <w:t>Xanthomonas</w:t>
            </w:r>
            <w:r w:rsidRPr="005101B9">
              <w:rPr>
                <w:sz w:val="18"/>
                <w:szCs w:val="18"/>
                <w:lang w:val="es-ES_tradnl"/>
              </w:rPr>
              <w:t xml:space="preserve"> spp. (antes </w:t>
            </w:r>
            <w:r w:rsidRPr="005101B9">
              <w:rPr>
                <w:i/>
                <w:iCs/>
                <w:sz w:val="18"/>
                <w:szCs w:val="18"/>
                <w:lang w:val="es-ES_tradnl"/>
              </w:rPr>
              <w:t>Xanthomonas campestris</w:t>
            </w:r>
            <w:r w:rsidRPr="005101B9">
              <w:rPr>
                <w:sz w:val="18"/>
                <w:szCs w:val="18"/>
                <w:lang w:val="es-ES_tradnl"/>
              </w:rPr>
              <w:t xml:space="preserve"> pv. </w:t>
            </w:r>
            <w:r w:rsidRPr="005101B9">
              <w:rPr>
                <w:i/>
                <w:iCs/>
                <w:sz w:val="18"/>
                <w:szCs w:val="18"/>
                <w:lang w:val="es-ES_tradnl"/>
              </w:rPr>
              <w:t>vesicatoria</w:t>
            </w:r>
            <w:r w:rsidRPr="005101B9">
              <w:rPr>
                <w:sz w:val="18"/>
                <w:szCs w:val="18"/>
                <w:lang w:val="es-ES_tradnl"/>
              </w:rPr>
              <w:t>) (X spp. (antes Xcv))</w:t>
            </w:r>
          </w:p>
        </w:tc>
        <w:tc>
          <w:tcPr>
            <w:tcW w:w="2835" w:type="dxa"/>
            <w:tcBorders>
              <w:top w:val="single" w:sz="8" w:space="0" w:color="000000"/>
              <w:left w:val="single" w:sz="8" w:space="0" w:color="000000"/>
              <w:bottom w:val="single" w:sz="8" w:space="0" w:color="000000"/>
              <w:right w:val="single" w:sz="8" w:space="0" w:color="000000"/>
            </w:tcBorders>
            <w:hideMark/>
          </w:tcPr>
          <w:p w14:paraId="381CA37C" w14:textId="77777777" w:rsidR="00562EBF" w:rsidRPr="005101B9" w:rsidRDefault="00562EBF">
            <w:pPr>
              <w:jc w:val="left"/>
              <w:rPr>
                <w:lang w:val="es-ES_tradnl"/>
              </w:rPr>
            </w:pPr>
            <w:r w:rsidRPr="005101B9">
              <w:rPr>
                <w:i/>
                <w:iCs/>
                <w:sz w:val="18"/>
                <w:szCs w:val="18"/>
                <w:lang w:val="es-ES_tradnl"/>
              </w:rPr>
              <w:t>Xanthomonas</w:t>
            </w:r>
            <w:r w:rsidRPr="005101B9">
              <w:rPr>
                <w:sz w:val="18"/>
                <w:szCs w:val="18"/>
                <w:lang w:val="es-ES_tradnl"/>
              </w:rPr>
              <w:t xml:space="preserve"> spp. (X spp.)</w:t>
            </w:r>
          </w:p>
        </w:tc>
        <w:tc>
          <w:tcPr>
            <w:tcW w:w="1275" w:type="dxa"/>
            <w:tcBorders>
              <w:top w:val="single" w:sz="8" w:space="0" w:color="000000"/>
              <w:left w:val="single" w:sz="8" w:space="0" w:color="000000"/>
              <w:bottom w:val="single" w:sz="8" w:space="0" w:color="000000"/>
              <w:right w:val="single" w:sz="8" w:space="0" w:color="000000"/>
            </w:tcBorders>
            <w:hideMark/>
          </w:tcPr>
          <w:p w14:paraId="3DB88FC8" w14:textId="77777777" w:rsidR="00562EBF" w:rsidRPr="005101B9" w:rsidRDefault="00562EBF">
            <w:pPr>
              <w:jc w:val="left"/>
              <w:rPr>
                <w:lang w:val="es-ES_tradnl"/>
              </w:rPr>
            </w:pPr>
            <w:r w:rsidRPr="005101B9">
              <w:rPr>
                <w:sz w:val="18"/>
                <w:szCs w:val="18"/>
                <w:lang w:val="es-ES_tradnl"/>
              </w:rPr>
              <w:t>Modificar en una revisión futura</w:t>
            </w:r>
          </w:p>
        </w:tc>
      </w:tr>
      <w:tr w:rsidR="00562EBF" w:rsidRPr="005101B9" w14:paraId="3FF84073" w14:textId="77777777">
        <w:tc>
          <w:tcPr>
            <w:tcW w:w="1550" w:type="dxa"/>
            <w:vMerge w:val="restart"/>
            <w:tcBorders>
              <w:top w:val="single" w:sz="8" w:space="0" w:color="000000"/>
              <w:left w:val="single" w:sz="8" w:space="0" w:color="000000"/>
              <w:bottom w:val="single" w:sz="8" w:space="0" w:color="000000"/>
              <w:right w:val="single" w:sz="8" w:space="0" w:color="000000"/>
            </w:tcBorders>
            <w:hideMark/>
          </w:tcPr>
          <w:p w14:paraId="3E805D5C" w14:textId="77777777" w:rsidR="00562EBF" w:rsidRPr="005101B9" w:rsidRDefault="00562EBF">
            <w:pPr>
              <w:jc w:val="left"/>
              <w:rPr>
                <w:lang w:val="es-ES_tradnl"/>
              </w:rPr>
            </w:pPr>
            <w:r w:rsidRPr="005101B9">
              <w:rPr>
                <w:sz w:val="18"/>
                <w:szCs w:val="18"/>
                <w:lang w:val="es-ES_tradnl"/>
              </w:rPr>
              <w:t>Guisante:</w:t>
            </w:r>
            <w:r w:rsidRPr="005101B9">
              <w:rPr>
                <w:sz w:val="18"/>
                <w:szCs w:val="18"/>
                <w:lang w:val="es-ES_tradnl"/>
              </w:rPr>
              <w:br/>
              <w:t>TG/7/10 Rev. 3</w:t>
            </w:r>
          </w:p>
        </w:tc>
        <w:tc>
          <w:tcPr>
            <w:tcW w:w="1134" w:type="dxa"/>
            <w:tcBorders>
              <w:top w:val="single" w:sz="8" w:space="0" w:color="000000"/>
              <w:left w:val="single" w:sz="8" w:space="0" w:color="000000"/>
              <w:bottom w:val="single" w:sz="8" w:space="0" w:color="000000"/>
              <w:right w:val="single" w:sz="8" w:space="0" w:color="000000"/>
            </w:tcBorders>
            <w:hideMark/>
          </w:tcPr>
          <w:p w14:paraId="5D8A655E" w14:textId="77777777" w:rsidR="00562EBF" w:rsidRPr="005101B9" w:rsidRDefault="00562EBF" w:rsidP="0021239F">
            <w:pPr>
              <w:jc w:val="left"/>
              <w:rPr>
                <w:lang w:val="es-ES_tradnl"/>
              </w:rPr>
            </w:pPr>
            <w:r w:rsidRPr="005101B9">
              <w:rPr>
                <w:sz w:val="18"/>
                <w:szCs w:val="18"/>
                <w:lang w:val="es-ES_tradnl"/>
              </w:rPr>
              <w:t>58</w:t>
            </w:r>
          </w:p>
        </w:tc>
        <w:tc>
          <w:tcPr>
            <w:tcW w:w="2835" w:type="dxa"/>
            <w:tcBorders>
              <w:top w:val="single" w:sz="8" w:space="0" w:color="000000"/>
              <w:left w:val="single" w:sz="8" w:space="0" w:color="000000"/>
              <w:bottom w:val="single" w:sz="8" w:space="0" w:color="000000"/>
              <w:right w:val="single" w:sz="8" w:space="0" w:color="000000"/>
            </w:tcBorders>
            <w:hideMark/>
          </w:tcPr>
          <w:p w14:paraId="215FA3E9" w14:textId="77777777" w:rsidR="00562EBF" w:rsidRPr="005101B9" w:rsidRDefault="00562EBF">
            <w:pPr>
              <w:jc w:val="left"/>
              <w:rPr>
                <w:lang w:val="es-ES_tradnl"/>
              </w:rPr>
            </w:pPr>
            <w:r w:rsidRPr="005101B9">
              <w:rPr>
                <w:i/>
                <w:iCs/>
                <w:sz w:val="18"/>
                <w:szCs w:val="18"/>
                <w:lang w:val="es-ES_tradnl"/>
              </w:rPr>
              <w:t>Fusarium oxysporum</w:t>
            </w:r>
            <w:r w:rsidRPr="005101B9">
              <w:rPr>
                <w:sz w:val="18"/>
                <w:szCs w:val="18"/>
                <w:lang w:val="es-ES_tradnl"/>
              </w:rPr>
              <w:t xml:space="preserve"> f. sp. </w:t>
            </w:r>
            <w:r w:rsidRPr="005101B9">
              <w:rPr>
                <w:i/>
                <w:iCs/>
                <w:sz w:val="18"/>
                <w:szCs w:val="18"/>
                <w:lang w:val="es-ES_tradnl"/>
              </w:rPr>
              <w:t>pisi</w:t>
            </w:r>
          </w:p>
        </w:tc>
        <w:tc>
          <w:tcPr>
            <w:tcW w:w="2835" w:type="dxa"/>
            <w:tcBorders>
              <w:top w:val="single" w:sz="8" w:space="0" w:color="000000"/>
              <w:left w:val="single" w:sz="8" w:space="0" w:color="000000"/>
              <w:bottom w:val="single" w:sz="8" w:space="0" w:color="000000"/>
              <w:right w:val="single" w:sz="8" w:space="0" w:color="000000"/>
            </w:tcBorders>
            <w:hideMark/>
          </w:tcPr>
          <w:p w14:paraId="6D1FF689" w14:textId="77777777" w:rsidR="00562EBF" w:rsidRPr="005101B9" w:rsidRDefault="00562EBF">
            <w:pPr>
              <w:jc w:val="left"/>
              <w:rPr>
                <w:lang w:val="es-ES_tradnl"/>
              </w:rPr>
            </w:pPr>
            <w:r w:rsidRPr="005101B9">
              <w:rPr>
                <w:sz w:val="18"/>
                <w:szCs w:val="18"/>
                <w:lang w:val="es-ES_tradnl"/>
              </w:rPr>
              <w:t>Añadir (Fop) después del nombre</w:t>
            </w:r>
          </w:p>
        </w:tc>
        <w:tc>
          <w:tcPr>
            <w:tcW w:w="1275" w:type="dxa"/>
            <w:vMerge w:val="restart"/>
            <w:tcBorders>
              <w:top w:val="single" w:sz="8" w:space="0" w:color="000000"/>
              <w:left w:val="single" w:sz="8" w:space="0" w:color="000000"/>
              <w:bottom w:val="single" w:sz="8" w:space="0" w:color="000000"/>
              <w:right w:val="single" w:sz="8" w:space="0" w:color="000000"/>
            </w:tcBorders>
            <w:hideMark/>
          </w:tcPr>
          <w:p w14:paraId="7E41DE40" w14:textId="77777777" w:rsidR="00562EBF" w:rsidRPr="005101B9" w:rsidRDefault="00562EBF">
            <w:pPr>
              <w:jc w:val="left"/>
              <w:rPr>
                <w:lang w:val="es-ES_tradnl"/>
              </w:rPr>
            </w:pPr>
            <w:r w:rsidRPr="005101B9">
              <w:rPr>
                <w:sz w:val="18"/>
                <w:szCs w:val="18"/>
                <w:lang w:val="es-ES_tradnl"/>
              </w:rPr>
              <w:t>Inclusión en la revisión parcial (TQ 4.2) aprobada en octubre de 2025</w:t>
            </w:r>
          </w:p>
        </w:tc>
      </w:tr>
      <w:tr w:rsidR="00562EBF" w:rsidRPr="005101B9" w14:paraId="7DE791A8"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1CD57B7" w14:textId="77777777" w:rsidR="00562EBF" w:rsidRPr="005101B9" w:rsidRDefault="00562EBF">
            <w:pPr>
              <w:spacing w:line="278" w:lineRule="auto"/>
              <w:jc w:val="left"/>
              <w:rPr>
                <w:rFonts w:cs="Arial"/>
                <w:lang w:val="es-ES_tradnl"/>
              </w:rPr>
            </w:pPr>
          </w:p>
        </w:tc>
        <w:tc>
          <w:tcPr>
            <w:tcW w:w="1134" w:type="dxa"/>
            <w:tcBorders>
              <w:top w:val="single" w:sz="8" w:space="0" w:color="000000"/>
              <w:left w:val="single" w:sz="8" w:space="0" w:color="000000"/>
              <w:bottom w:val="single" w:sz="8" w:space="0" w:color="000000"/>
              <w:right w:val="single" w:sz="8" w:space="0" w:color="000000"/>
            </w:tcBorders>
            <w:hideMark/>
          </w:tcPr>
          <w:p w14:paraId="2DAADC73" w14:textId="77777777" w:rsidR="00562EBF" w:rsidRPr="005101B9" w:rsidRDefault="00562EBF" w:rsidP="0021239F">
            <w:pPr>
              <w:jc w:val="left"/>
              <w:rPr>
                <w:lang w:val="es-ES_tradnl"/>
              </w:rPr>
            </w:pPr>
            <w:r w:rsidRPr="005101B9">
              <w:rPr>
                <w:sz w:val="18"/>
                <w:szCs w:val="18"/>
                <w:lang w:val="es-ES_tradnl"/>
              </w:rPr>
              <w:t>59</w:t>
            </w:r>
          </w:p>
        </w:tc>
        <w:tc>
          <w:tcPr>
            <w:tcW w:w="2835" w:type="dxa"/>
            <w:tcBorders>
              <w:top w:val="single" w:sz="8" w:space="0" w:color="000000"/>
              <w:left w:val="single" w:sz="8" w:space="0" w:color="000000"/>
              <w:bottom w:val="single" w:sz="8" w:space="0" w:color="000000"/>
              <w:right w:val="single" w:sz="8" w:space="0" w:color="000000"/>
            </w:tcBorders>
            <w:hideMark/>
          </w:tcPr>
          <w:p w14:paraId="0ED800DF" w14:textId="77777777" w:rsidR="00562EBF" w:rsidRPr="005101B9" w:rsidRDefault="00562EBF">
            <w:pPr>
              <w:jc w:val="left"/>
              <w:rPr>
                <w:lang w:val="es-ES_tradnl"/>
              </w:rPr>
            </w:pPr>
            <w:r w:rsidRPr="005101B9">
              <w:rPr>
                <w:i/>
                <w:iCs/>
                <w:sz w:val="18"/>
                <w:szCs w:val="18"/>
                <w:lang w:val="es-ES_tradnl"/>
              </w:rPr>
              <w:t>Erysiphe pisi</w:t>
            </w:r>
            <w:r w:rsidRPr="005101B9">
              <w:rPr>
                <w:sz w:val="18"/>
                <w:szCs w:val="18"/>
                <w:lang w:val="es-ES_tradnl"/>
              </w:rPr>
              <w:t xml:space="preserve"> Syd.</w:t>
            </w:r>
          </w:p>
        </w:tc>
        <w:tc>
          <w:tcPr>
            <w:tcW w:w="2835" w:type="dxa"/>
            <w:tcBorders>
              <w:top w:val="single" w:sz="8" w:space="0" w:color="000000"/>
              <w:left w:val="single" w:sz="8" w:space="0" w:color="000000"/>
              <w:bottom w:val="single" w:sz="8" w:space="0" w:color="000000"/>
              <w:right w:val="single" w:sz="8" w:space="0" w:color="000000"/>
            </w:tcBorders>
            <w:hideMark/>
          </w:tcPr>
          <w:p w14:paraId="0FA61D5E" w14:textId="77777777" w:rsidR="00562EBF" w:rsidRPr="005101B9" w:rsidRDefault="00562EBF">
            <w:pPr>
              <w:jc w:val="left"/>
              <w:rPr>
                <w:lang w:val="es-ES_tradnl"/>
              </w:rPr>
            </w:pPr>
            <w:r w:rsidRPr="005101B9">
              <w:rPr>
                <w:sz w:val="18"/>
                <w:szCs w:val="18"/>
                <w:lang w:val="es-ES_tradnl"/>
              </w:rPr>
              <w:t>Añadir (Ep) después del nombre</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2C15505" w14:textId="77777777" w:rsidR="00562EBF" w:rsidRPr="005101B9" w:rsidRDefault="00562EBF">
            <w:pPr>
              <w:spacing w:line="278" w:lineRule="auto"/>
              <w:jc w:val="left"/>
              <w:rPr>
                <w:rFonts w:cs="Arial"/>
                <w:lang w:val="es-ES_tradnl"/>
              </w:rPr>
            </w:pPr>
          </w:p>
        </w:tc>
      </w:tr>
      <w:tr w:rsidR="00562EBF" w:rsidRPr="005101B9" w14:paraId="55B12F1F"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7CBC927" w14:textId="77777777" w:rsidR="00562EBF" w:rsidRPr="005101B9" w:rsidRDefault="00562EBF">
            <w:pPr>
              <w:spacing w:line="278" w:lineRule="auto"/>
              <w:jc w:val="left"/>
              <w:rPr>
                <w:rFonts w:cs="Arial"/>
                <w:lang w:val="es-ES_tradnl"/>
              </w:rPr>
            </w:pPr>
          </w:p>
        </w:tc>
        <w:tc>
          <w:tcPr>
            <w:tcW w:w="1134" w:type="dxa"/>
            <w:tcBorders>
              <w:top w:val="single" w:sz="8" w:space="0" w:color="000000"/>
              <w:left w:val="single" w:sz="8" w:space="0" w:color="000000"/>
              <w:bottom w:val="single" w:sz="8" w:space="0" w:color="000000"/>
              <w:right w:val="single" w:sz="8" w:space="0" w:color="000000"/>
            </w:tcBorders>
            <w:hideMark/>
          </w:tcPr>
          <w:p w14:paraId="1FF09F08" w14:textId="77777777" w:rsidR="00562EBF" w:rsidRPr="005101B9" w:rsidRDefault="00562EBF" w:rsidP="0021239F">
            <w:pPr>
              <w:jc w:val="left"/>
              <w:rPr>
                <w:lang w:val="es-ES_tradnl"/>
              </w:rPr>
            </w:pPr>
            <w:r w:rsidRPr="005101B9">
              <w:rPr>
                <w:sz w:val="18"/>
                <w:szCs w:val="18"/>
                <w:lang w:val="es-ES_tradnl"/>
              </w:rPr>
              <w:t>60</w:t>
            </w:r>
          </w:p>
        </w:tc>
        <w:tc>
          <w:tcPr>
            <w:tcW w:w="2835" w:type="dxa"/>
            <w:tcBorders>
              <w:top w:val="single" w:sz="8" w:space="0" w:color="000000"/>
              <w:left w:val="single" w:sz="8" w:space="0" w:color="000000"/>
              <w:bottom w:val="single" w:sz="8" w:space="0" w:color="000000"/>
              <w:right w:val="single" w:sz="8" w:space="0" w:color="000000"/>
            </w:tcBorders>
            <w:hideMark/>
          </w:tcPr>
          <w:p w14:paraId="6D11C2C8" w14:textId="77777777" w:rsidR="00562EBF" w:rsidRPr="005101B9" w:rsidRDefault="00562EBF">
            <w:pPr>
              <w:jc w:val="left"/>
              <w:rPr>
                <w:lang w:val="es-ES_tradnl"/>
              </w:rPr>
            </w:pPr>
            <w:r w:rsidRPr="005101B9">
              <w:rPr>
                <w:i/>
                <w:iCs/>
                <w:sz w:val="18"/>
                <w:szCs w:val="18"/>
                <w:lang w:val="es-ES_tradnl"/>
              </w:rPr>
              <w:t>Ascochyta pisi</w:t>
            </w:r>
          </w:p>
        </w:tc>
        <w:tc>
          <w:tcPr>
            <w:tcW w:w="2835" w:type="dxa"/>
            <w:tcBorders>
              <w:top w:val="single" w:sz="8" w:space="0" w:color="000000"/>
              <w:left w:val="single" w:sz="8" w:space="0" w:color="000000"/>
              <w:bottom w:val="single" w:sz="8" w:space="0" w:color="000000"/>
              <w:right w:val="single" w:sz="8" w:space="0" w:color="000000"/>
            </w:tcBorders>
            <w:hideMark/>
          </w:tcPr>
          <w:p w14:paraId="5D6A5A6E" w14:textId="77777777" w:rsidR="00562EBF" w:rsidRPr="005101B9" w:rsidRDefault="00562EBF">
            <w:pPr>
              <w:jc w:val="left"/>
              <w:rPr>
                <w:lang w:val="es-ES_tradnl"/>
              </w:rPr>
            </w:pPr>
            <w:r w:rsidRPr="005101B9">
              <w:rPr>
                <w:i/>
                <w:iCs/>
                <w:sz w:val="18"/>
                <w:szCs w:val="18"/>
                <w:lang w:val="es-ES_tradnl"/>
              </w:rPr>
              <w:t>Didymella pisi</w:t>
            </w:r>
            <w:r w:rsidRPr="005101B9">
              <w:rPr>
                <w:sz w:val="18"/>
                <w:szCs w:val="18"/>
                <w:lang w:val="es-ES_tradnl"/>
              </w:rPr>
              <w:t xml:space="preserve"> (Dp)</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41C1DD4" w14:textId="77777777" w:rsidR="00562EBF" w:rsidRPr="005101B9" w:rsidRDefault="00562EBF">
            <w:pPr>
              <w:spacing w:line="278" w:lineRule="auto"/>
              <w:jc w:val="left"/>
              <w:rPr>
                <w:rFonts w:cs="Arial"/>
                <w:lang w:val="es-ES_tradnl"/>
              </w:rPr>
            </w:pPr>
          </w:p>
        </w:tc>
      </w:tr>
      <w:tr w:rsidR="00562EBF" w:rsidRPr="005101B9" w14:paraId="5625AB9D" w14:textId="77777777">
        <w:tc>
          <w:tcPr>
            <w:tcW w:w="1550" w:type="dxa"/>
            <w:vMerge w:val="restart"/>
            <w:tcBorders>
              <w:top w:val="single" w:sz="8" w:space="0" w:color="000000"/>
              <w:left w:val="single" w:sz="8" w:space="0" w:color="000000"/>
              <w:bottom w:val="single" w:sz="8" w:space="0" w:color="000000"/>
              <w:right w:val="single" w:sz="8" w:space="0" w:color="000000"/>
            </w:tcBorders>
            <w:hideMark/>
          </w:tcPr>
          <w:p w14:paraId="0969A1B1" w14:textId="77777777" w:rsidR="00562EBF" w:rsidRPr="005101B9" w:rsidRDefault="00562EBF">
            <w:pPr>
              <w:jc w:val="left"/>
              <w:rPr>
                <w:lang w:val="es-ES_tradnl"/>
              </w:rPr>
            </w:pPr>
            <w:r w:rsidRPr="005101B9">
              <w:rPr>
                <w:sz w:val="18"/>
                <w:szCs w:val="18"/>
                <w:lang w:val="es-ES_tradnl"/>
              </w:rPr>
              <w:t>Tomate:</w:t>
            </w:r>
            <w:r w:rsidRPr="005101B9">
              <w:rPr>
                <w:sz w:val="18"/>
                <w:szCs w:val="18"/>
                <w:lang w:val="es-ES_tradnl"/>
              </w:rPr>
              <w:br/>
              <w:t>TG/44/12 Rev.</w:t>
            </w:r>
          </w:p>
        </w:tc>
        <w:tc>
          <w:tcPr>
            <w:tcW w:w="1134" w:type="dxa"/>
            <w:tcBorders>
              <w:top w:val="single" w:sz="8" w:space="0" w:color="000000"/>
              <w:left w:val="single" w:sz="8" w:space="0" w:color="000000"/>
              <w:bottom w:val="single" w:sz="8" w:space="0" w:color="000000"/>
              <w:right w:val="single" w:sz="8" w:space="0" w:color="000000"/>
            </w:tcBorders>
            <w:hideMark/>
          </w:tcPr>
          <w:p w14:paraId="346CA638" w14:textId="77777777" w:rsidR="00562EBF" w:rsidRPr="005101B9" w:rsidRDefault="00562EBF" w:rsidP="0021239F">
            <w:pPr>
              <w:jc w:val="left"/>
              <w:rPr>
                <w:lang w:val="es-ES_tradnl"/>
              </w:rPr>
            </w:pPr>
            <w:r w:rsidRPr="005101B9">
              <w:rPr>
                <w:sz w:val="18"/>
                <w:szCs w:val="18"/>
                <w:lang w:val="es-ES_tradnl"/>
              </w:rPr>
              <w:t>64</w:t>
            </w:r>
          </w:p>
        </w:tc>
        <w:tc>
          <w:tcPr>
            <w:tcW w:w="2835" w:type="dxa"/>
            <w:tcBorders>
              <w:top w:val="single" w:sz="8" w:space="0" w:color="000000"/>
              <w:left w:val="single" w:sz="8" w:space="0" w:color="000000"/>
              <w:bottom w:val="single" w:sz="8" w:space="0" w:color="000000"/>
              <w:right w:val="single" w:sz="8" w:space="0" w:color="000000"/>
            </w:tcBorders>
            <w:hideMark/>
          </w:tcPr>
          <w:p w14:paraId="47317E8C" w14:textId="77777777" w:rsidR="00562EBF" w:rsidRPr="005101B9" w:rsidRDefault="00562EBF">
            <w:pPr>
              <w:jc w:val="left"/>
              <w:rPr>
                <w:lang w:val="es-ES_tradnl"/>
              </w:rPr>
            </w:pPr>
            <w:r w:rsidRPr="005101B9">
              <w:rPr>
                <w:i/>
                <w:iCs/>
                <w:sz w:val="18"/>
                <w:szCs w:val="18"/>
                <w:lang w:val="es-ES_tradnl"/>
              </w:rPr>
              <w:t>Pseudopyrenochaeta lycopersici</w:t>
            </w:r>
            <w:r w:rsidRPr="005101B9">
              <w:rPr>
                <w:sz w:val="18"/>
                <w:szCs w:val="18"/>
                <w:lang w:val="es-ES_tradnl"/>
              </w:rPr>
              <w:t xml:space="preserve"> (antes </w:t>
            </w:r>
            <w:r w:rsidRPr="005101B9">
              <w:rPr>
                <w:i/>
                <w:iCs/>
                <w:sz w:val="18"/>
                <w:szCs w:val="18"/>
                <w:lang w:val="es-ES_tradnl"/>
              </w:rPr>
              <w:t>Pyrenochaeta lycopersici</w:t>
            </w:r>
            <w:r w:rsidRPr="005101B9">
              <w:rPr>
                <w:sz w:val="18"/>
                <w:szCs w:val="18"/>
                <w:lang w:val="es-ES_tradnl"/>
              </w:rPr>
              <w:t>) (Pl)</w:t>
            </w:r>
          </w:p>
        </w:tc>
        <w:tc>
          <w:tcPr>
            <w:tcW w:w="2835" w:type="dxa"/>
            <w:tcBorders>
              <w:top w:val="single" w:sz="8" w:space="0" w:color="000000"/>
              <w:left w:val="single" w:sz="8" w:space="0" w:color="000000"/>
              <w:bottom w:val="single" w:sz="8" w:space="0" w:color="000000"/>
              <w:right w:val="single" w:sz="8" w:space="0" w:color="000000"/>
            </w:tcBorders>
            <w:hideMark/>
          </w:tcPr>
          <w:p w14:paraId="50D09048" w14:textId="77777777" w:rsidR="00562EBF" w:rsidRPr="005101B9" w:rsidRDefault="00562EBF">
            <w:pPr>
              <w:jc w:val="left"/>
              <w:rPr>
                <w:lang w:val="es-ES_tradnl"/>
              </w:rPr>
            </w:pPr>
            <w:r w:rsidRPr="005101B9">
              <w:rPr>
                <w:i/>
                <w:iCs/>
                <w:sz w:val="18"/>
                <w:szCs w:val="18"/>
                <w:lang w:val="es-ES_tradnl"/>
              </w:rPr>
              <w:t>Pseudopyrenochaeta lycopersici</w:t>
            </w:r>
            <w:r w:rsidRPr="005101B9">
              <w:rPr>
                <w:sz w:val="18"/>
                <w:szCs w:val="18"/>
                <w:lang w:val="es-ES_tradnl"/>
              </w:rPr>
              <w:t xml:space="preserve"> (Pl)</w:t>
            </w:r>
          </w:p>
        </w:tc>
        <w:tc>
          <w:tcPr>
            <w:tcW w:w="1275" w:type="dxa"/>
            <w:vMerge w:val="restart"/>
            <w:tcBorders>
              <w:top w:val="single" w:sz="8" w:space="0" w:color="000000"/>
              <w:left w:val="single" w:sz="8" w:space="0" w:color="000000"/>
              <w:bottom w:val="single" w:sz="8" w:space="0" w:color="000000"/>
              <w:right w:val="single" w:sz="8" w:space="0" w:color="000000"/>
            </w:tcBorders>
            <w:hideMark/>
          </w:tcPr>
          <w:p w14:paraId="6C3C08AC" w14:textId="77777777" w:rsidR="00562EBF" w:rsidRPr="005101B9" w:rsidRDefault="00562EBF">
            <w:pPr>
              <w:jc w:val="left"/>
              <w:rPr>
                <w:lang w:val="es-ES_tradnl"/>
              </w:rPr>
            </w:pPr>
            <w:r w:rsidRPr="005101B9">
              <w:rPr>
                <w:sz w:val="18"/>
                <w:szCs w:val="18"/>
                <w:lang w:val="es-ES_tradnl"/>
              </w:rPr>
              <w:t>Modificar en una revisión futura</w:t>
            </w:r>
          </w:p>
        </w:tc>
      </w:tr>
      <w:tr w:rsidR="00562EBF" w:rsidRPr="005101B9" w14:paraId="15F27752"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E358D0F" w14:textId="77777777" w:rsidR="00562EBF" w:rsidRPr="005101B9" w:rsidRDefault="00562EBF">
            <w:pPr>
              <w:spacing w:line="278" w:lineRule="auto"/>
              <w:jc w:val="left"/>
              <w:rPr>
                <w:rFonts w:cs="Arial"/>
                <w:lang w:val="es-ES_tradnl"/>
              </w:rPr>
            </w:pPr>
          </w:p>
        </w:tc>
        <w:tc>
          <w:tcPr>
            <w:tcW w:w="1134" w:type="dxa"/>
            <w:tcBorders>
              <w:top w:val="single" w:sz="8" w:space="0" w:color="000000"/>
              <w:left w:val="single" w:sz="8" w:space="0" w:color="000000"/>
              <w:bottom w:val="single" w:sz="8" w:space="0" w:color="000000"/>
              <w:right w:val="single" w:sz="8" w:space="0" w:color="000000"/>
            </w:tcBorders>
            <w:hideMark/>
          </w:tcPr>
          <w:p w14:paraId="67716F49" w14:textId="77777777" w:rsidR="00562EBF" w:rsidRPr="005101B9" w:rsidRDefault="00562EBF" w:rsidP="0021239F">
            <w:pPr>
              <w:jc w:val="left"/>
              <w:rPr>
                <w:lang w:val="es-ES_tradnl"/>
              </w:rPr>
            </w:pPr>
            <w:r w:rsidRPr="005101B9">
              <w:rPr>
                <w:sz w:val="18"/>
                <w:szCs w:val="18"/>
                <w:lang w:val="es-ES_tradnl"/>
              </w:rPr>
              <w:t>71</w:t>
            </w:r>
          </w:p>
        </w:tc>
        <w:tc>
          <w:tcPr>
            <w:tcW w:w="2835" w:type="dxa"/>
            <w:tcBorders>
              <w:top w:val="single" w:sz="8" w:space="0" w:color="000000"/>
              <w:left w:val="single" w:sz="8" w:space="0" w:color="000000"/>
              <w:bottom w:val="single" w:sz="8" w:space="0" w:color="000000"/>
              <w:right w:val="single" w:sz="8" w:space="0" w:color="000000"/>
            </w:tcBorders>
            <w:hideMark/>
          </w:tcPr>
          <w:p w14:paraId="05C720A9" w14:textId="559289E8" w:rsidR="00562EBF" w:rsidRPr="005101B9" w:rsidRDefault="00562EBF">
            <w:pPr>
              <w:jc w:val="left"/>
              <w:rPr>
                <w:lang w:val="es-ES_tradnl"/>
              </w:rPr>
            </w:pPr>
            <w:r w:rsidRPr="005101B9">
              <w:rPr>
                <w:i/>
                <w:iCs/>
                <w:sz w:val="18"/>
                <w:szCs w:val="18"/>
                <w:lang w:val="es-ES_tradnl"/>
              </w:rPr>
              <w:t>Pseudoidium neolycopersici</w:t>
            </w:r>
            <w:r w:rsidRPr="005101B9">
              <w:rPr>
                <w:sz w:val="18"/>
                <w:szCs w:val="18"/>
                <w:lang w:val="es-ES_tradnl"/>
              </w:rPr>
              <w:t xml:space="preserve"> (antes </w:t>
            </w:r>
            <w:r w:rsidRPr="005101B9">
              <w:rPr>
                <w:i/>
                <w:iCs/>
                <w:sz w:val="18"/>
                <w:szCs w:val="18"/>
                <w:lang w:val="es-ES_tradnl"/>
              </w:rPr>
              <w:t xml:space="preserve">Oidium </w:t>
            </w:r>
            <w:r w:rsidR="00D8737F" w:rsidRPr="005101B9">
              <w:rPr>
                <w:rFonts w:eastAsia="MS Mincho"/>
                <w:i/>
                <w:iCs/>
                <w:sz w:val="18"/>
                <w:szCs w:val="18"/>
                <w:lang w:val="es-ES_tradnl"/>
              </w:rPr>
              <w:t>eolycopersici</w:t>
            </w:r>
            <w:r w:rsidRPr="005101B9">
              <w:rPr>
                <w:sz w:val="18"/>
                <w:szCs w:val="18"/>
                <w:lang w:val="es-ES_tradnl"/>
              </w:rPr>
              <w:t>) (Pn) (antes On)</w:t>
            </w:r>
          </w:p>
        </w:tc>
        <w:tc>
          <w:tcPr>
            <w:tcW w:w="2835" w:type="dxa"/>
            <w:tcBorders>
              <w:top w:val="single" w:sz="8" w:space="0" w:color="000000"/>
              <w:left w:val="single" w:sz="8" w:space="0" w:color="000000"/>
              <w:bottom w:val="single" w:sz="8" w:space="0" w:color="000000"/>
              <w:right w:val="single" w:sz="8" w:space="0" w:color="000000"/>
            </w:tcBorders>
            <w:hideMark/>
          </w:tcPr>
          <w:p w14:paraId="433C9E67" w14:textId="77777777" w:rsidR="00562EBF" w:rsidRPr="005101B9" w:rsidRDefault="00562EBF">
            <w:pPr>
              <w:jc w:val="left"/>
              <w:rPr>
                <w:lang w:val="es-ES_tradnl"/>
              </w:rPr>
            </w:pPr>
            <w:r w:rsidRPr="005101B9">
              <w:rPr>
                <w:i/>
                <w:iCs/>
                <w:sz w:val="18"/>
                <w:szCs w:val="18"/>
                <w:lang w:val="es-ES_tradnl"/>
              </w:rPr>
              <w:t>Pseudoidium neolycopersici</w:t>
            </w:r>
            <w:r w:rsidRPr="005101B9">
              <w:rPr>
                <w:sz w:val="18"/>
                <w:szCs w:val="18"/>
                <w:lang w:val="es-ES_tradnl"/>
              </w:rPr>
              <w:t xml:space="preserve"> (Pn)</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795B94D" w14:textId="77777777" w:rsidR="00562EBF" w:rsidRPr="005101B9" w:rsidRDefault="00562EBF">
            <w:pPr>
              <w:spacing w:line="278" w:lineRule="auto"/>
              <w:jc w:val="left"/>
              <w:rPr>
                <w:rFonts w:cs="Arial"/>
                <w:lang w:val="es-ES_tradnl"/>
              </w:rPr>
            </w:pPr>
          </w:p>
        </w:tc>
      </w:tr>
      <w:tr w:rsidR="00562EBF" w:rsidRPr="005101B9" w14:paraId="27816F84" w14:textId="77777777">
        <w:tc>
          <w:tcPr>
            <w:tcW w:w="1550" w:type="dxa"/>
            <w:vMerge w:val="restart"/>
            <w:tcBorders>
              <w:top w:val="single" w:sz="8" w:space="0" w:color="000000"/>
              <w:left w:val="single" w:sz="8" w:space="0" w:color="000000"/>
              <w:bottom w:val="single" w:sz="8" w:space="0" w:color="000000"/>
              <w:right w:val="single" w:sz="8" w:space="0" w:color="000000"/>
            </w:tcBorders>
            <w:hideMark/>
          </w:tcPr>
          <w:p w14:paraId="11D84F0C" w14:textId="77777777" w:rsidR="00562EBF" w:rsidRPr="005101B9" w:rsidRDefault="00562EBF">
            <w:pPr>
              <w:jc w:val="left"/>
              <w:rPr>
                <w:lang w:val="es-ES_tradnl"/>
              </w:rPr>
            </w:pPr>
            <w:r w:rsidRPr="005101B9">
              <w:rPr>
                <w:sz w:val="18"/>
                <w:szCs w:val="18"/>
                <w:lang w:val="es-ES_tradnl"/>
              </w:rPr>
              <w:t>Portainjertos de tomate: TG/294/1 Rev. 5</w:t>
            </w:r>
          </w:p>
        </w:tc>
        <w:tc>
          <w:tcPr>
            <w:tcW w:w="1134" w:type="dxa"/>
            <w:tcBorders>
              <w:top w:val="single" w:sz="8" w:space="0" w:color="000000"/>
              <w:left w:val="single" w:sz="8" w:space="0" w:color="000000"/>
              <w:bottom w:val="single" w:sz="8" w:space="0" w:color="000000"/>
              <w:right w:val="single" w:sz="8" w:space="0" w:color="000000"/>
            </w:tcBorders>
            <w:hideMark/>
          </w:tcPr>
          <w:p w14:paraId="325D3310" w14:textId="77777777" w:rsidR="00562EBF" w:rsidRPr="005101B9" w:rsidRDefault="00562EBF" w:rsidP="0021239F">
            <w:pPr>
              <w:jc w:val="left"/>
              <w:rPr>
                <w:lang w:val="es-ES_tradnl"/>
              </w:rPr>
            </w:pPr>
            <w:r w:rsidRPr="005101B9">
              <w:rPr>
                <w:sz w:val="18"/>
                <w:szCs w:val="18"/>
                <w:lang w:val="es-ES_tradnl"/>
              </w:rPr>
              <w:t>28</w:t>
            </w:r>
          </w:p>
        </w:tc>
        <w:tc>
          <w:tcPr>
            <w:tcW w:w="2835" w:type="dxa"/>
            <w:tcBorders>
              <w:top w:val="single" w:sz="8" w:space="0" w:color="000000"/>
              <w:left w:val="single" w:sz="8" w:space="0" w:color="000000"/>
              <w:bottom w:val="single" w:sz="8" w:space="0" w:color="000000"/>
              <w:right w:val="single" w:sz="8" w:space="0" w:color="000000"/>
            </w:tcBorders>
            <w:hideMark/>
          </w:tcPr>
          <w:p w14:paraId="3C7CAD07" w14:textId="77777777" w:rsidR="00562EBF" w:rsidRPr="005101B9" w:rsidRDefault="00562EBF">
            <w:pPr>
              <w:jc w:val="left"/>
              <w:rPr>
                <w:lang w:val="es-ES_tradnl"/>
              </w:rPr>
            </w:pPr>
            <w:r w:rsidRPr="005101B9">
              <w:rPr>
                <w:i/>
                <w:iCs/>
                <w:sz w:val="18"/>
                <w:szCs w:val="18"/>
                <w:lang w:val="es-ES_tradnl"/>
              </w:rPr>
              <w:t>Pyrenochaeta lycopersici</w:t>
            </w:r>
            <w:r w:rsidRPr="005101B9">
              <w:rPr>
                <w:sz w:val="18"/>
                <w:szCs w:val="18"/>
                <w:lang w:val="es-ES_tradnl"/>
              </w:rPr>
              <w:t xml:space="preserve"> (Pl)</w:t>
            </w:r>
          </w:p>
        </w:tc>
        <w:tc>
          <w:tcPr>
            <w:tcW w:w="2835" w:type="dxa"/>
            <w:tcBorders>
              <w:top w:val="single" w:sz="8" w:space="0" w:color="000000"/>
              <w:left w:val="single" w:sz="8" w:space="0" w:color="000000"/>
              <w:bottom w:val="single" w:sz="8" w:space="0" w:color="000000"/>
              <w:right w:val="single" w:sz="8" w:space="0" w:color="000000"/>
            </w:tcBorders>
            <w:hideMark/>
          </w:tcPr>
          <w:p w14:paraId="1606B292" w14:textId="77777777" w:rsidR="00562EBF" w:rsidRPr="005101B9" w:rsidRDefault="00562EBF">
            <w:pPr>
              <w:jc w:val="left"/>
              <w:rPr>
                <w:lang w:val="es-ES_tradnl"/>
              </w:rPr>
            </w:pPr>
            <w:r w:rsidRPr="005101B9">
              <w:rPr>
                <w:i/>
                <w:iCs/>
                <w:sz w:val="18"/>
                <w:szCs w:val="18"/>
                <w:lang w:val="es-ES_tradnl"/>
              </w:rPr>
              <w:t>Pseudopyrenochaeta lycopersici</w:t>
            </w:r>
            <w:r w:rsidRPr="005101B9">
              <w:rPr>
                <w:sz w:val="18"/>
                <w:szCs w:val="18"/>
                <w:lang w:val="es-ES_tradnl"/>
              </w:rPr>
              <w:t xml:space="preserve"> (Pl)</w:t>
            </w:r>
          </w:p>
        </w:tc>
        <w:tc>
          <w:tcPr>
            <w:tcW w:w="1275" w:type="dxa"/>
            <w:vMerge w:val="restart"/>
            <w:tcBorders>
              <w:top w:val="single" w:sz="8" w:space="0" w:color="000000"/>
              <w:left w:val="single" w:sz="8" w:space="0" w:color="000000"/>
              <w:bottom w:val="single" w:sz="8" w:space="0" w:color="000000"/>
              <w:right w:val="single" w:sz="8" w:space="0" w:color="000000"/>
            </w:tcBorders>
            <w:hideMark/>
          </w:tcPr>
          <w:p w14:paraId="19FD5A64" w14:textId="77777777" w:rsidR="00562EBF" w:rsidRPr="005101B9" w:rsidRDefault="00562EBF">
            <w:pPr>
              <w:jc w:val="left"/>
              <w:rPr>
                <w:lang w:val="es-ES_tradnl"/>
              </w:rPr>
            </w:pPr>
            <w:r w:rsidRPr="005101B9">
              <w:rPr>
                <w:sz w:val="18"/>
                <w:szCs w:val="18"/>
                <w:lang w:val="es-ES_tradnl"/>
              </w:rPr>
              <w:t>Modificar en la revisión parcial en curso</w:t>
            </w:r>
          </w:p>
        </w:tc>
      </w:tr>
      <w:tr w:rsidR="00562EBF" w:rsidRPr="005101B9" w14:paraId="1AC851A2" w14:textId="77777777">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B9FF5D8" w14:textId="77777777" w:rsidR="00562EBF" w:rsidRPr="005101B9" w:rsidRDefault="00562EBF">
            <w:pPr>
              <w:spacing w:line="278" w:lineRule="auto"/>
              <w:jc w:val="left"/>
              <w:rPr>
                <w:rFonts w:cs="Arial"/>
                <w:lang w:val="es-ES_tradnl"/>
              </w:rPr>
            </w:pPr>
          </w:p>
        </w:tc>
        <w:tc>
          <w:tcPr>
            <w:tcW w:w="1134" w:type="dxa"/>
            <w:tcBorders>
              <w:top w:val="single" w:sz="8" w:space="0" w:color="000000"/>
              <w:left w:val="single" w:sz="8" w:space="0" w:color="000000"/>
              <w:bottom w:val="single" w:sz="8" w:space="0" w:color="000000"/>
              <w:right w:val="single" w:sz="8" w:space="0" w:color="000000"/>
            </w:tcBorders>
            <w:hideMark/>
          </w:tcPr>
          <w:p w14:paraId="32A71F9C" w14:textId="77777777" w:rsidR="00562EBF" w:rsidRPr="005101B9" w:rsidRDefault="00562EBF" w:rsidP="0021239F">
            <w:pPr>
              <w:jc w:val="left"/>
              <w:rPr>
                <w:lang w:val="es-ES_tradnl"/>
              </w:rPr>
            </w:pPr>
            <w:r w:rsidRPr="005101B9">
              <w:rPr>
                <w:sz w:val="18"/>
                <w:szCs w:val="18"/>
                <w:lang w:val="es-ES_tradnl"/>
              </w:rPr>
              <w:t>32</w:t>
            </w:r>
          </w:p>
        </w:tc>
        <w:tc>
          <w:tcPr>
            <w:tcW w:w="2835" w:type="dxa"/>
            <w:tcBorders>
              <w:top w:val="single" w:sz="8" w:space="0" w:color="000000"/>
              <w:left w:val="single" w:sz="8" w:space="0" w:color="000000"/>
              <w:bottom w:val="single" w:sz="8" w:space="0" w:color="000000"/>
              <w:right w:val="single" w:sz="8" w:space="0" w:color="000000"/>
            </w:tcBorders>
            <w:hideMark/>
          </w:tcPr>
          <w:p w14:paraId="507469BB" w14:textId="77777777" w:rsidR="00562EBF" w:rsidRPr="005101B9" w:rsidRDefault="00562EBF">
            <w:pPr>
              <w:jc w:val="left"/>
              <w:rPr>
                <w:lang w:val="es-ES_tradnl"/>
              </w:rPr>
            </w:pPr>
            <w:r w:rsidRPr="005101B9">
              <w:rPr>
                <w:i/>
                <w:iCs/>
                <w:sz w:val="18"/>
                <w:szCs w:val="18"/>
                <w:lang w:val="es-ES_tradnl"/>
              </w:rPr>
              <w:t>Oidium neolycopersici</w:t>
            </w:r>
            <w:r w:rsidRPr="005101B9">
              <w:rPr>
                <w:sz w:val="18"/>
                <w:szCs w:val="18"/>
                <w:lang w:val="es-ES_tradnl"/>
              </w:rPr>
              <w:t xml:space="preserve"> (On)</w:t>
            </w:r>
          </w:p>
        </w:tc>
        <w:tc>
          <w:tcPr>
            <w:tcW w:w="2835" w:type="dxa"/>
            <w:tcBorders>
              <w:top w:val="single" w:sz="8" w:space="0" w:color="000000"/>
              <w:left w:val="single" w:sz="8" w:space="0" w:color="000000"/>
              <w:bottom w:val="single" w:sz="8" w:space="0" w:color="000000"/>
              <w:right w:val="single" w:sz="8" w:space="0" w:color="000000"/>
            </w:tcBorders>
            <w:hideMark/>
          </w:tcPr>
          <w:p w14:paraId="1D08FE68" w14:textId="77777777" w:rsidR="00562EBF" w:rsidRPr="005101B9" w:rsidRDefault="00562EBF">
            <w:pPr>
              <w:jc w:val="left"/>
              <w:rPr>
                <w:lang w:val="es-ES_tradnl"/>
              </w:rPr>
            </w:pPr>
            <w:r w:rsidRPr="005101B9">
              <w:rPr>
                <w:i/>
                <w:iCs/>
                <w:sz w:val="18"/>
                <w:szCs w:val="18"/>
                <w:lang w:val="es-ES_tradnl"/>
              </w:rPr>
              <w:t>Pseudoidium neolycopersici</w:t>
            </w:r>
            <w:r w:rsidRPr="005101B9">
              <w:rPr>
                <w:sz w:val="18"/>
                <w:szCs w:val="18"/>
                <w:lang w:val="es-ES_tradnl"/>
              </w:rPr>
              <w:t xml:space="preserve"> (Pn)</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D149C97" w14:textId="77777777" w:rsidR="00562EBF" w:rsidRPr="005101B9" w:rsidRDefault="00562EBF">
            <w:pPr>
              <w:spacing w:line="278" w:lineRule="auto"/>
              <w:jc w:val="left"/>
              <w:rPr>
                <w:rFonts w:cs="Arial"/>
                <w:lang w:val="es-ES_tradnl"/>
              </w:rPr>
            </w:pPr>
          </w:p>
        </w:tc>
      </w:tr>
    </w:tbl>
    <w:p w14:paraId="6D3FC8E0" w14:textId="77777777" w:rsidR="004F68F5" w:rsidRPr="005101B9" w:rsidRDefault="004F68F5" w:rsidP="004F68F5">
      <w:pPr>
        <w:rPr>
          <w:rFonts w:eastAsia="MS Mincho"/>
          <w:lang w:val="es-ES_tradnl"/>
        </w:rPr>
      </w:pPr>
    </w:p>
    <w:p w14:paraId="2CE11284" w14:textId="55713722" w:rsidR="0015637A" w:rsidRPr="005101B9" w:rsidRDefault="00152CA2">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9E1187" w:rsidRPr="005101B9">
        <w:rPr>
          <w:lang w:val="es-ES_tradnl"/>
        </w:rPr>
        <w:t xml:space="preserve">El TWV tomó nota de que la nomenclatura de los patógenos empleada en las directrices de examen de la UPOV se basaba en el sistema de códigos de la </w:t>
      </w:r>
      <w:r w:rsidR="009E1187" w:rsidRPr="005101B9">
        <w:rPr>
          <w:i/>
          <w:iCs/>
          <w:lang w:val="es-ES_tradnl"/>
        </w:rPr>
        <w:t xml:space="preserve">International Seed </w:t>
      </w:r>
      <w:proofErr w:type="spellStart"/>
      <w:r w:rsidR="009E1187" w:rsidRPr="005101B9">
        <w:rPr>
          <w:i/>
          <w:iCs/>
          <w:lang w:val="es-ES_tradnl"/>
        </w:rPr>
        <w:t>Federation</w:t>
      </w:r>
      <w:proofErr w:type="spellEnd"/>
      <w:r w:rsidR="009E1187" w:rsidRPr="005101B9">
        <w:rPr>
          <w:lang w:val="es-ES_tradnl"/>
        </w:rPr>
        <w:t xml:space="preserve"> (ISF), según se establece en el documento TGP/12 “Orientación sobre ciertos caracteres fisiológicos”, sección I, capítulo 2.5 “Nomenclatura de los patógenos”.</w:t>
      </w:r>
    </w:p>
    <w:p w14:paraId="769DFF22" w14:textId="77777777" w:rsidR="004F68F5" w:rsidRPr="005101B9" w:rsidRDefault="004F68F5" w:rsidP="004F68F5">
      <w:pPr>
        <w:rPr>
          <w:lang w:val="es-ES_tradnl"/>
        </w:rPr>
      </w:pPr>
    </w:p>
    <w:p w14:paraId="2FE7D85E" w14:textId="4AC4F182" w:rsidR="0015637A" w:rsidRPr="005101B9" w:rsidRDefault="00152CA2">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2A5818" w:rsidRPr="005101B9">
        <w:rPr>
          <w:lang w:val="es-ES_tradnl"/>
        </w:rPr>
        <w:t>El TWV tomó nota de que los códigos de la ISF para los organismos nocivos de las hortalizas se revisaban anualmente y convino en proponer el siguiente descargo de responsabilidad para evitar que las directrices de examen se revisaran con el único fin de actualizar la nomenclatura de los patógenos:</w:t>
      </w:r>
    </w:p>
    <w:p w14:paraId="26D1BCB7" w14:textId="77777777" w:rsidR="004F68F5" w:rsidRPr="005101B9" w:rsidRDefault="004F68F5" w:rsidP="004F68F5">
      <w:pPr>
        <w:rPr>
          <w:rFonts w:eastAsia="MS Mincho"/>
          <w:lang w:val="es-ES_tradnl"/>
        </w:rPr>
      </w:pPr>
    </w:p>
    <w:p w14:paraId="726D6F96" w14:textId="77777777" w:rsidR="00F43C84" w:rsidRPr="005101B9" w:rsidRDefault="00134B2B">
      <w:pPr>
        <w:ind w:left="567" w:right="567"/>
        <w:rPr>
          <w:lang w:val="es-ES_tradnl"/>
        </w:rPr>
      </w:pPr>
      <w:r w:rsidRPr="005101B9">
        <w:rPr>
          <w:lang w:val="es-ES_tradnl"/>
        </w:rPr>
        <w:t>“Los nombres de las plagas y enfermedades eran correctos en el momento de la adopción de estas directrices de examen, pero podrán revisarse o actualizarse. Se recomienda a los lectores consultar los ‘Códigos recomendados para organismos nocivos de cultivos hortícolas’, disponibles en el sitio web de la ISF (</w:t>
      </w:r>
      <w:hyperlink r:id="rId17" w:history="1">
        <w:r w:rsidRPr="005101B9">
          <w:rPr>
            <w:rFonts w:eastAsia="MS Mincho"/>
            <w:color w:val="0000FF"/>
            <w:u w:val="single"/>
            <w:lang w:val="es-ES_tradnl"/>
          </w:rPr>
          <w:t>https://worldseed.org/</w:t>
        </w:r>
      </w:hyperlink>
      <w:r w:rsidRPr="005101B9">
        <w:rPr>
          <w:lang w:val="es-ES_tradnl"/>
        </w:rPr>
        <w:t>), para obtener la información más reciente.”</w:t>
      </w:r>
    </w:p>
    <w:p w14:paraId="05167953" w14:textId="77777777" w:rsidR="004F68F5" w:rsidRPr="005101B9" w:rsidRDefault="004F68F5" w:rsidP="004F68F5">
      <w:pPr>
        <w:tabs>
          <w:tab w:val="left" w:pos="1701"/>
        </w:tabs>
        <w:contextualSpacing/>
        <w:rPr>
          <w:lang w:val="es-ES_tradnl"/>
        </w:rPr>
      </w:pPr>
    </w:p>
    <w:p w14:paraId="0A33E870" w14:textId="77777777" w:rsidR="00F43C84" w:rsidRPr="005101B9" w:rsidRDefault="00F56935" w:rsidP="00781835">
      <w:pPr>
        <w:pStyle w:val="Heading3"/>
        <w:rPr>
          <w:lang w:val="es-ES_tradnl"/>
        </w:rPr>
      </w:pPr>
      <w:bookmarkStart w:id="24" w:name="_Toc236955812"/>
      <w:bookmarkStart w:id="25" w:name="_Toc242263287"/>
      <w:r w:rsidRPr="005101B9">
        <w:rPr>
          <w:lang w:val="es-ES_tradnl"/>
        </w:rPr>
        <w:t>Propuesta</w:t>
      </w:r>
      <w:bookmarkEnd w:id="24"/>
      <w:bookmarkEnd w:id="25"/>
    </w:p>
    <w:p w14:paraId="0BD185E5" w14:textId="77777777" w:rsidR="004F68F5" w:rsidRPr="005101B9" w:rsidRDefault="004F68F5" w:rsidP="004F68F5">
      <w:pPr>
        <w:keepNext/>
        <w:rPr>
          <w:lang w:val="es-ES_tradnl"/>
        </w:rPr>
      </w:pPr>
    </w:p>
    <w:p w14:paraId="2ED854DF" w14:textId="5B4E56A8" w:rsidR="0015637A" w:rsidRPr="005101B9" w:rsidRDefault="00152CA2">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C83EC5" w:rsidRPr="005101B9">
        <w:rPr>
          <w:lang w:val="es-ES_tradnl"/>
        </w:rPr>
        <w:t>El TC podrá considerar la propuesta del TWV de incluir un descargo de responsabilidad para aclarar que las directrices de examen no se revisarán con el único fin de actualizar la nomenclatura de los patógenos.</w:t>
      </w:r>
    </w:p>
    <w:p w14:paraId="2A11D570" w14:textId="77777777" w:rsidR="004F68F5" w:rsidRPr="005101B9" w:rsidRDefault="004F68F5" w:rsidP="004F68F5">
      <w:pPr>
        <w:tabs>
          <w:tab w:val="left" w:pos="567"/>
          <w:tab w:val="left" w:pos="1701"/>
        </w:tabs>
        <w:contextualSpacing/>
        <w:rPr>
          <w:lang w:val="es-ES_tradnl"/>
        </w:rPr>
      </w:pPr>
    </w:p>
    <w:p w14:paraId="7BCA2348" w14:textId="41237DEE" w:rsidR="0015637A" w:rsidRPr="005101B9" w:rsidRDefault="00152CA2" w:rsidP="004E4BCB">
      <w:pPr>
        <w:pStyle w:val="DecisionParagraphs"/>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C34C57" w:rsidRPr="005101B9">
        <w:rPr>
          <w:lang w:val="es-ES_tradnl"/>
        </w:rPr>
        <w:t>Se invita al TC a:</w:t>
      </w:r>
    </w:p>
    <w:p w14:paraId="75EAAB9A" w14:textId="77777777" w:rsidR="004F68F5" w:rsidRPr="005101B9" w:rsidRDefault="004F68F5" w:rsidP="004E4BCB">
      <w:pPr>
        <w:pStyle w:val="DecisionParagraphs"/>
        <w:rPr>
          <w:lang w:val="es-ES_tradnl"/>
        </w:rPr>
      </w:pPr>
    </w:p>
    <w:p w14:paraId="557CF641" w14:textId="57306C22" w:rsidR="00C66C15" w:rsidRPr="005101B9" w:rsidRDefault="00213BE0" w:rsidP="004E4BCB">
      <w:pPr>
        <w:pStyle w:val="DecisionParagraphs"/>
        <w:rPr>
          <w:kern w:val="2"/>
          <w:lang w:val="es-ES_tradnl"/>
          <w14:ligatures w14:val="standardContextual"/>
        </w:rPr>
      </w:pPr>
      <w:r>
        <w:rPr>
          <w:lang w:val="es-ES_tradnl"/>
        </w:rPr>
        <w:tab/>
        <w:t>a)</w:t>
      </w:r>
      <w:r>
        <w:rPr>
          <w:lang w:val="es-ES_tradnl"/>
        </w:rPr>
        <w:tab/>
      </w:r>
      <w:r w:rsidR="00082D7C" w:rsidRPr="005101B9">
        <w:rPr>
          <w:lang w:val="es-ES_tradnl"/>
        </w:rPr>
        <w:t>examinar la propuesta del TWV relativa a un descargo de responsabilidad sobre los nombres de las plagas y enfermedades en las directrices de examen; y</w:t>
      </w:r>
    </w:p>
    <w:p w14:paraId="3BCD742D" w14:textId="77777777" w:rsidR="004F68F5" w:rsidRPr="005101B9" w:rsidRDefault="004F68F5" w:rsidP="004E4BCB">
      <w:pPr>
        <w:pStyle w:val="DecisionParagraphs"/>
        <w:rPr>
          <w:lang w:val="es-ES_tradnl"/>
        </w:rPr>
      </w:pPr>
    </w:p>
    <w:p w14:paraId="4DFDE814" w14:textId="6289F8A3" w:rsidR="00C66C15" w:rsidRPr="005101B9" w:rsidRDefault="00213BE0" w:rsidP="004E4BCB">
      <w:pPr>
        <w:pStyle w:val="DecisionParagraphs"/>
        <w:rPr>
          <w:kern w:val="2"/>
          <w:lang w:val="es-ES_tradnl"/>
          <w14:ligatures w14:val="standardContextual"/>
        </w:rPr>
      </w:pPr>
      <w:r>
        <w:rPr>
          <w:lang w:val="es-ES_tradnl"/>
        </w:rPr>
        <w:tab/>
        <w:t>b)</w:t>
      </w:r>
      <w:r>
        <w:rPr>
          <w:lang w:val="es-ES_tradnl"/>
        </w:rPr>
        <w:tab/>
      </w:r>
      <w:r w:rsidR="009514DA" w:rsidRPr="005101B9">
        <w:rPr>
          <w:lang w:val="es-ES_tradnl"/>
        </w:rPr>
        <w:t>invitar a los TWP, en sus sesiones de</w:t>
      </w:r>
      <w:r w:rsidR="007E2ADF" w:rsidRPr="005101B9">
        <w:rPr>
          <w:lang w:val="es-ES_tradnl"/>
        </w:rPr>
        <w:t> </w:t>
      </w:r>
      <w:r w:rsidR="009514DA" w:rsidRPr="005101B9">
        <w:rPr>
          <w:lang w:val="es-ES_tradnl"/>
        </w:rPr>
        <w:t>2027, a examinar la modificación propuesta del documento TGP/12 “Orientación sobre ciertos caracteres fisiológicos”, sección I, capítulo 2.5 “Nomenclatura de los patógenos”, a fin de incluir el descargo de responsabilidad propuesto por el TWF, según se expone en el párrafo 4</w:t>
      </w:r>
      <w:r w:rsidR="00C41539" w:rsidRPr="005101B9">
        <w:rPr>
          <w:lang w:val="es-ES_tradnl"/>
        </w:rPr>
        <w:t>9</w:t>
      </w:r>
      <w:r w:rsidR="009514DA" w:rsidRPr="005101B9">
        <w:rPr>
          <w:lang w:val="es-ES_tradnl"/>
        </w:rPr>
        <w:t xml:space="preserve"> del presente documento.</w:t>
      </w:r>
    </w:p>
    <w:p w14:paraId="08F86C23" w14:textId="77777777" w:rsidR="004F68F5" w:rsidRPr="005101B9" w:rsidRDefault="004F68F5" w:rsidP="004F68F5">
      <w:pPr>
        <w:rPr>
          <w:lang w:val="es-ES_tradnl" w:eastAsia="nl-NL"/>
        </w:rPr>
      </w:pPr>
    </w:p>
    <w:p w14:paraId="3D59420C" w14:textId="77777777" w:rsidR="004F68F5" w:rsidRPr="005101B9" w:rsidRDefault="004F68F5" w:rsidP="004F68F5">
      <w:pPr>
        <w:rPr>
          <w:lang w:val="es-ES_tradnl" w:eastAsia="nl-NL"/>
        </w:rPr>
      </w:pPr>
    </w:p>
    <w:p w14:paraId="1420A3B4" w14:textId="15183F9F" w:rsidR="00F43C84" w:rsidRPr="005101B9" w:rsidRDefault="00821238" w:rsidP="005101B9">
      <w:pPr>
        <w:pStyle w:val="Heading1"/>
        <w:keepLines/>
        <w:rPr>
          <w:lang w:val="es-ES_tradnl"/>
        </w:rPr>
      </w:pPr>
      <w:bookmarkStart w:id="26" w:name="_Toc236955813"/>
      <w:bookmarkStart w:id="27" w:name="_Toc242263288"/>
      <w:r w:rsidRPr="005101B9">
        <w:rPr>
          <w:caps w:val="0"/>
          <w:bdr w:val="none" w:sz="0" w:space="0" w:color="auto" w:frame="1"/>
          <w:lang w:val="es-ES_tradnl"/>
        </w:rPr>
        <w:lastRenderedPageBreak/>
        <w:t>DOCUMENTO TGP/15 “ORIENTACIÓN SOBRE EL USO DE MARCADORES BIOQUÍMICOS Y MOLECULARES EN EL EXAMEN DE LA DISTINCIÓN, LA HOMOGENEIDAD Y LA ESTABILIDAD (DHE)” (REVISIÓN)</w:t>
      </w:r>
      <w:bookmarkEnd w:id="26"/>
      <w:bookmarkEnd w:id="27"/>
    </w:p>
    <w:p w14:paraId="6A669B5F" w14:textId="77777777" w:rsidR="004F68F5" w:rsidRPr="005101B9" w:rsidRDefault="004F68F5" w:rsidP="005101B9">
      <w:pPr>
        <w:keepNext/>
        <w:keepLines/>
        <w:rPr>
          <w:rFonts w:eastAsia="Calibri"/>
          <w:lang w:val="es-ES_tradnl" w:eastAsia="nl-NL"/>
        </w:rPr>
      </w:pPr>
    </w:p>
    <w:p w14:paraId="3F146E81" w14:textId="6E00D72C" w:rsidR="00F43C84" w:rsidRPr="005101B9" w:rsidRDefault="00BC2F3D" w:rsidP="00030303">
      <w:pPr>
        <w:pStyle w:val="Heading2"/>
        <w:rPr>
          <w:lang w:val="es-ES_tradnl"/>
        </w:rPr>
      </w:pPr>
      <w:bookmarkStart w:id="28" w:name="_Toc236955814"/>
      <w:bookmarkStart w:id="29" w:name="_Toc242263289"/>
      <w:r w:rsidRPr="005101B9">
        <w:rPr>
          <w:lang w:val="es-ES_tradnl"/>
        </w:rPr>
        <w:t>Nueva sección: “</w:t>
      </w:r>
      <w:r w:rsidR="00900722" w:rsidRPr="005101B9">
        <w:rPr>
          <w:lang w:val="es-ES_tradnl"/>
        </w:rPr>
        <w:t>Directrices para la validación de un nuevo protocolo de marcadores moleculares ligados a caracteres como método alternativo de observación</w:t>
      </w:r>
      <w:r w:rsidRPr="005101B9">
        <w:rPr>
          <w:lang w:val="es-ES_tradnl"/>
        </w:rPr>
        <w:t>”</w:t>
      </w:r>
      <w:bookmarkEnd w:id="28"/>
      <w:bookmarkEnd w:id="29"/>
    </w:p>
    <w:p w14:paraId="6AD7AC7C" w14:textId="77777777" w:rsidR="004F68F5" w:rsidRPr="005101B9" w:rsidRDefault="004F68F5" w:rsidP="004F68F5">
      <w:pPr>
        <w:rPr>
          <w:rFonts w:eastAsia="Calibri"/>
          <w:lang w:val="es-ES_tradnl" w:eastAsia="nl-NL"/>
        </w:rPr>
      </w:pPr>
    </w:p>
    <w:p w14:paraId="32318AA7" w14:textId="5B4888AF" w:rsidR="0015637A" w:rsidRPr="005101B9" w:rsidRDefault="004E4BCB">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A7034D" w:rsidRPr="005101B9">
        <w:rPr>
          <w:lang w:val="es-ES_tradnl"/>
        </w:rPr>
        <w:t>El documento TGP/15 ofrece orientación sobre el uso de marcadores bioquímicos y moleculares en el examen de la distinción, la homogeneidad y la estabilidad (DHE), sobre la base de los dos modelos que han recibido una evaluación favorable del Grupo de Consulta del BMT, el TC y el CAJ, y para los cuales se han proporcionado ejemplos aceptados.</w:t>
      </w:r>
    </w:p>
    <w:p w14:paraId="1300440A" w14:textId="6F16168E" w:rsidR="004F68F5" w:rsidRPr="005101B9" w:rsidRDefault="004F68F5" w:rsidP="004F68F5">
      <w:pPr>
        <w:rPr>
          <w:lang w:val="es-ES_tradnl"/>
        </w:rPr>
      </w:pPr>
    </w:p>
    <w:p w14:paraId="0E999D34" w14:textId="702171DC" w:rsidR="0015637A" w:rsidRPr="005101B9" w:rsidRDefault="004E4BCB">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3232CF" w:rsidRPr="005101B9">
        <w:rPr>
          <w:lang w:val="es-ES_tradnl"/>
        </w:rPr>
        <w:t>En su sesión de 2025,</w:t>
      </w:r>
      <w:r w:rsidR="00972200" w:rsidRPr="005101B9">
        <w:rPr>
          <w:rStyle w:val="FootnoteReference"/>
          <w:lang w:val="es-ES_tradnl"/>
        </w:rPr>
        <w:footnoteReference w:id="14"/>
      </w:r>
      <w:r w:rsidR="003232CF" w:rsidRPr="005101B9">
        <w:rPr>
          <w:lang w:val="es-ES_tradnl"/>
        </w:rPr>
        <w:t xml:space="preserve"> el TC examinó un proyecto de orientación sobre la manera de validar marcadores moleculares “específicos de caracteres” para el examen DHE y una plantilla estándar para describir su uso en la evaluación de caracteres en las directrices de examen. El TC examinó la metodología propuesta y convino en la importancia de una validación armonizada de los nuevos marcadores moleculares que se propongan incluir en las directrices de examen como métodos alternativos. El TC convino en que la orientación debía permitir otros métodos que lograran el mismo resultado, siempre que también hubieran sido validados.</w:t>
      </w:r>
    </w:p>
    <w:p w14:paraId="6696536D" w14:textId="77777777" w:rsidR="004F68F5" w:rsidRPr="005101B9" w:rsidRDefault="004F68F5" w:rsidP="004F68F5">
      <w:pPr>
        <w:rPr>
          <w:lang w:val="es-ES_tradnl" w:eastAsia="ja-JP"/>
        </w:rPr>
      </w:pPr>
    </w:p>
    <w:p w14:paraId="155BB471" w14:textId="79818486" w:rsidR="0015637A" w:rsidRPr="005101B9" w:rsidRDefault="004E4BCB">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B358FF" w:rsidRPr="005101B9">
        <w:rPr>
          <w:lang w:val="es-ES_tradnl"/>
        </w:rPr>
        <w:t>El TC convino en proponer al Consejo la aprobación de la orientación para la validación de marcadores moleculares específicos de caracteres como métodos alternativos para la evaluación de caracteres en las directrices de examen, según se expone en el Anexo del documento SESSIONS/2025/6, a reserva de la revisión lingüística por el Comité de Redacción Ampliado (TC-EDC).</w:t>
      </w:r>
    </w:p>
    <w:p w14:paraId="3F3C0A22" w14:textId="77777777" w:rsidR="004F68F5" w:rsidRPr="005101B9" w:rsidRDefault="004F68F5" w:rsidP="004F68F5">
      <w:pPr>
        <w:rPr>
          <w:lang w:val="es-ES_tradnl"/>
        </w:rPr>
      </w:pPr>
    </w:p>
    <w:p w14:paraId="5141E325" w14:textId="5FDF7CD1" w:rsidR="0015637A" w:rsidRPr="005101B9" w:rsidRDefault="004E4BCB">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C73FCF" w:rsidRPr="005101B9">
        <w:rPr>
          <w:lang w:val="es-ES_tradnl"/>
        </w:rPr>
        <w:t>En sus reuniones celebradas los días 13 y 15 de enero de 2026, el TC-EDC examinó el proyecto de orientación y recomendó su aprobación por el Consejo en su sexagésima sesión, que se celebrará en Ginebra el 23 de octubre de 2026, según figura en el documento TGP/15/4 Draft 1.</w:t>
      </w:r>
    </w:p>
    <w:p w14:paraId="0B07E218" w14:textId="77777777" w:rsidR="004F68F5" w:rsidRPr="005101B9" w:rsidRDefault="004F68F5" w:rsidP="004F68F5">
      <w:pPr>
        <w:rPr>
          <w:rFonts w:eastAsia="Calibri"/>
          <w:lang w:val="es-ES_tradnl"/>
        </w:rPr>
      </w:pPr>
    </w:p>
    <w:p w14:paraId="416B4BEC" w14:textId="52A49FFA" w:rsidR="0015637A" w:rsidRPr="005101B9" w:rsidRDefault="004E4BCB">
      <w:pPr>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8E51BF" w:rsidRPr="005101B9">
        <w:rPr>
          <w:lang w:val="es-ES_tradnl"/>
        </w:rPr>
        <w:t xml:space="preserve">Previo acuerdo del TC, en su sexagésima segunda sesión, y del CAJ, en su octogésima tercera sesión, se someterá a la aprobación del Consejo, en su sexagésima sesión ordinaria, una revisión acordada del documento </w:t>
      </w:r>
      <w:r w:rsidR="008E51BF" w:rsidRPr="005101B9">
        <w:rPr>
          <w:spacing w:val="-2"/>
          <w:lang w:val="es-ES_tradnl"/>
        </w:rPr>
        <w:t>TGP/15</w:t>
      </w:r>
      <w:r w:rsidR="008E51BF" w:rsidRPr="005101B9">
        <w:rPr>
          <w:lang w:val="es-ES_tradnl"/>
        </w:rPr>
        <w:t xml:space="preserve"> sobre la base de las revisiones propuestas que figuran </w:t>
      </w:r>
      <w:r w:rsidR="008E51BF" w:rsidRPr="005101B9">
        <w:rPr>
          <w:spacing w:val="-2"/>
          <w:lang w:val="es-ES_tradnl"/>
        </w:rPr>
        <w:t xml:space="preserve">en el documento </w:t>
      </w:r>
      <w:r w:rsidR="008E51BF" w:rsidRPr="005101B9">
        <w:rPr>
          <w:lang w:val="es-ES_tradnl"/>
        </w:rPr>
        <w:t>TGP/15/4 Draft 1 (disponible en dos versiones: con marcas de revisión y sin marcas de revisión).</w:t>
      </w:r>
    </w:p>
    <w:p w14:paraId="776BBA24" w14:textId="77777777" w:rsidR="004F68F5" w:rsidRPr="005101B9" w:rsidRDefault="004F68F5" w:rsidP="004F68F5">
      <w:pPr>
        <w:rPr>
          <w:spacing w:val="-4"/>
          <w:lang w:val="es-ES_tradnl"/>
        </w:rPr>
      </w:pPr>
    </w:p>
    <w:p w14:paraId="3BC1BCF3" w14:textId="028C4516" w:rsidR="0015637A" w:rsidRPr="005101B9" w:rsidRDefault="004E4BCB" w:rsidP="004E4BCB">
      <w:pPr>
        <w:pStyle w:val="DecisionParagraphs"/>
        <w:rPr>
          <w:kern w:val="2"/>
          <w:lang w:val="es-ES_tradnl"/>
          <w14:ligatures w14:val="standardContextual"/>
        </w:rPr>
      </w:pPr>
      <w:r w:rsidRPr="005101B9">
        <w:rPr>
          <w:lang w:val="es-ES_tradnl"/>
        </w:rPr>
        <w:fldChar w:fldCharType="begin"/>
      </w:r>
      <w:r w:rsidRPr="005101B9">
        <w:rPr>
          <w:lang w:val="es-ES_tradnl"/>
        </w:rPr>
        <w:instrText xml:space="preserve"> AUTONUM  </w:instrText>
      </w:r>
      <w:r w:rsidRPr="005101B9">
        <w:rPr>
          <w:lang w:val="es-ES_tradnl"/>
        </w:rPr>
        <w:fldChar w:fldCharType="end"/>
      </w:r>
      <w:r>
        <w:rPr>
          <w:lang w:val="es-ES_tradnl"/>
        </w:rPr>
        <w:tab/>
      </w:r>
      <w:r w:rsidR="00D73D53" w:rsidRPr="005101B9">
        <w:rPr>
          <w:iCs/>
          <w:lang w:val="es-ES_tradnl"/>
        </w:rPr>
        <w:t xml:space="preserve">Se invita al Consejo a aprobar una revisión del documento TGP/15/3 “Orientación sobre el uso de marcadores bioquímicos y moleculares en el examen de la distinción, la homogeneidad y la estabilidad </w:t>
      </w:r>
      <w:r w:rsidR="00D73D53" w:rsidRPr="005101B9">
        <w:rPr>
          <w:iCs/>
          <w:spacing w:val="-2"/>
          <w:lang w:val="es-ES_tradnl"/>
        </w:rPr>
        <w:t xml:space="preserve">(DHE)”, sobre la base del documento TGP/15/4 Draft 1, </w:t>
      </w:r>
      <w:r w:rsidR="00D73D53" w:rsidRPr="005101B9">
        <w:rPr>
          <w:iCs/>
          <w:lang w:val="es-ES_tradnl"/>
        </w:rPr>
        <w:t>a reserva de la aprobación del TC y del CAJ en sus sesiones de 2026.</w:t>
      </w:r>
    </w:p>
    <w:p w14:paraId="39DFC29E" w14:textId="77777777" w:rsidR="004F68F5" w:rsidRPr="005101B9" w:rsidRDefault="004F68F5" w:rsidP="004F68F5">
      <w:pPr>
        <w:rPr>
          <w:lang w:val="es-ES_tradnl"/>
        </w:rPr>
      </w:pPr>
    </w:p>
    <w:p w14:paraId="710354B7" w14:textId="77777777" w:rsidR="00581F01" w:rsidRPr="005101B9" w:rsidRDefault="00581F01" w:rsidP="004F68F5">
      <w:pPr>
        <w:rPr>
          <w:lang w:val="es-ES_tradnl"/>
        </w:rPr>
      </w:pPr>
    </w:p>
    <w:p w14:paraId="50CDB161" w14:textId="77777777" w:rsidR="00581F01" w:rsidRPr="005101B9" w:rsidRDefault="00581F01" w:rsidP="004F68F5">
      <w:pPr>
        <w:rPr>
          <w:lang w:val="es-ES_tradnl"/>
        </w:rPr>
      </w:pPr>
    </w:p>
    <w:p w14:paraId="5A32C435" w14:textId="77777777" w:rsidR="00F43C84" w:rsidRPr="005101B9" w:rsidRDefault="00BD62C4">
      <w:pPr>
        <w:jc w:val="right"/>
        <w:rPr>
          <w:lang w:val="es-ES_tradnl"/>
        </w:rPr>
      </w:pPr>
      <w:r w:rsidRPr="005101B9">
        <w:rPr>
          <w:lang w:val="es-ES_tradnl"/>
        </w:rPr>
        <w:t>[Sigue el Anexo]</w:t>
      </w:r>
    </w:p>
    <w:p w14:paraId="4151B53C" w14:textId="77777777" w:rsidR="004F68F5" w:rsidRPr="005101B9" w:rsidRDefault="004F68F5" w:rsidP="004F68F5">
      <w:pPr>
        <w:jc w:val="left"/>
        <w:rPr>
          <w:lang w:val="es-ES_tradnl"/>
        </w:rPr>
        <w:sectPr w:rsidR="004F68F5" w:rsidRPr="005101B9" w:rsidSect="004F68F5">
          <w:headerReference w:type="default" r:id="rId18"/>
          <w:pgSz w:w="11907" w:h="16840"/>
          <w:pgMar w:top="510" w:right="1134" w:bottom="1134" w:left="1134" w:header="510" w:footer="680" w:gutter="0"/>
          <w:pgNumType w:start="1"/>
          <w:cols w:space="720"/>
          <w:titlePg/>
          <w:docGrid w:linePitch="272"/>
        </w:sectPr>
      </w:pPr>
    </w:p>
    <w:p w14:paraId="782784FD" w14:textId="77777777" w:rsidR="00F43C84" w:rsidRPr="005101B9" w:rsidRDefault="00D93714">
      <w:pPr>
        <w:jc w:val="center"/>
        <w:rPr>
          <w:lang w:val="es-ES_tradnl"/>
        </w:rPr>
      </w:pPr>
      <w:r w:rsidRPr="005101B9">
        <w:rPr>
          <w:lang w:val="es-ES_tradnl"/>
        </w:rPr>
        <w:lastRenderedPageBreak/>
        <w:t>DOCUMENTO TGP/7 “ELABORACIÓN DE LAS DIRECTRICES DE EXAMEN”</w:t>
      </w:r>
    </w:p>
    <w:p w14:paraId="544293DB" w14:textId="77777777" w:rsidR="004F68F5" w:rsidRPr="005101B9" w:rsidRDefault="004F68F5" w:rsidP="004F68F5">
      <w:pPr>
        <w:jc w:val="center"/>
        <w:rPr>
          <w:rFonts w:eastAsia="MS Mincho"/>
          <w:lang w:val="es-ES_tradnl"/>
        </w:rPr>
      </w:pPr>
    </w:p>
    <w:p w14:paraId="3ACA7A7B" w14:textId="77777777" w:rsidR="00F43C84" w:rsidRPr="005101B9" w:rsidRDefault="00C54A41">
      <w:pPr>
        <w:jc w:val="center"/>
        <w:rPr>
          <w:lang w:val="es-ES_tradnl"/>
        </w:rPr>
      </w:pPr>
      <w:r w:rsidRPr="005101B9">
        <w:rPr>
          <w:lang w:val="es-ES_tradnl"/>
        </w:rPr>
        <w:t>ANTECEDENTES DE LA PROPUESTA SOBRE EL “NÚMERO DE CICLOS DE CULTIVO Y LA CONCLUSIÓN DEL EXAMEN DE PLANTAS FRUTALES”</w:t>
      </w:r>
    </w:p>
    <w:p w14:paraId="3E32211B" w14:textId="77777777" w:rsidR="004F68F5" w:rsidRPr="005101B9" w:rsidRDefault="004F68F5" w:rsidP="004F68F5">
      <w:pPr>
        <w:rPr>
          <w:rFonts w:eastAsia="MS Mincho"/>
          <w:lang w:val="es-ES_tradnl"/>
        </w:rPr>
      </w:pPr>
    </w:p>
    <w:p w14:paraId="242CE1E6" w14:textId="77777777" w:rsidR="004F68F5" w:rsidRPr="005101B9" w:rsidRDefault="004F68F5" w:rsidP="004F68F5">
      <w:pPr>
        <w:rPr>
          <w:rFonts w:eastAsia="MS Mincho"/>
          <w:lang w:val="es-ES_tradnl"/>
        </w:rPr>
      </w:pPr>
    </w:p>
    <w:p w14:paraId="37C0EBB6" w14:textId="77777777" w:rsidR="00F43C84" w:rsidRPr="005101B9" w:rsidRDefault="007604E6" w:rsidP="001520D3">
      <w:pPr>
        <w:rPr>
          <w:lang w:val="es-ES_tradnl"/>
        </w:rPr>
      </w:pPr>
      <w:r w:rsidRPr="005101B9">
        <w:rPr>
          <w:u w:val="single"/>
          <w:lang w:val="es-ES_tradnl"/>
        </w:rPr>
        <w:t>Novedades en 2024</w:t>
      </w:r>
    </w:p>
    <w:p w14:paraId="6980EC4D" w14:textId="2C6AC27F" w:rsidR="004F68F5" w:rsidRPr="005101B9" w:rsidRDefault="004F68F5" w:rsidP="004F68F5">
      <w:pPr>
        <w:rPr>
          <w:rFonts w:eastAsia="MS Mincho"/>
          <w:lang w:val="es-ES_tradnl"/>
        </w:rPr>
      </w:pPr>
    </w:p>
    <w:p w14:paraId="460025C1" w14:textId="31DFAFE1" w:rsidR="0022193C" w:rsidRPr="005101B9" w:rsidRDefault="0022193C" w:rsidP="0022193C">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1 </w:instrText>
      </w:r>
      <w:r w:rsidRPr="005101B9">
        <w:rPr>
          <w:rFonts w:eastAsia="Times New Roman"/>
          <w:lang w:val="es-ES_tradnl"/>
        </w:rPr>
        <w:fldChar w:fldCharType="end"/>
      </w:r>
      <w:r w:rsidRPr="005101B9">
        <w:rPr>
          <w:rFonts w:eastAsia="Times New Roman"/>
          <w:lang w:val="es-ES_tradnl"/>
        </w:rPr>
        <w:tab/>
        <w:t xml:space="preserve">En su </w:t>
      </w:r>
      <w:r w:rsidR="006A6590" w:rsidRPr="005101B9">
        <w:rPr>
          <w:rFonts w:eastAsia="Times New Roman"/>
          <w:lang w:val="es-ES_tradnl"/>
        </w:rPr>
        <w:t>reunión</w:t>
      </w:r>
      <w:r w:rsidRPr="005101B9">
        <w:rPr>
          <w:rFonts w:eastAsia="Times New Roman"/>
          <w:lang w:val="es-ES_tradnl"/>
        </w:rPr>
        <w:t xml:space="preserve"> de 2024, el TWF</w:t>
      </w:r>
      <w:r w:rsidRPr="005101B9">
        <w:rPr>
          <w:rFonts w:eastAsia="Times New Roman"/>
          <w:vertAlign w:val="superscript"/>
          <w:lang w:val="es-ES_tradnl"/>
        </w:rPr>
        <w:footnoteReference w:id="15"/>
      </w:r>
      <w:r w:rsidRPr="005101B9">
        <w:rPr>
          <w:rFonts w:eastAsia="Times New Roman"/>
          <w:lang w:val="es-ES_tradnl"/>
        </w:rPr>
        <w:t xml:space="preserve"> asistió a una ponencia sobre el “Número de ciclos de cultivo y conclusión del examen de plantas frutales” a cargo de un experto de la Unión Europea. En el documento TWF/55/4 se facilita una copia de la ponencia (véanse los párrafos 33 a 37 del documento TWF/55/9 “</w:t>
      </w:r>
      <w:r w:rsidR="009247F2" w:rsidRPr="005101B9">
        <w:rPr>
          <w:rFonts w:eastAsia="Times New Roman"/>
          <w:i/>
          <w:iCs/>
          <w:lang w:val="es-ES_tradnl"/>
        </w:rPr>
        <w:t>Report</w:t>
      </w:r>
      <w:r w:rsidRPr="005101B9">
        <w:rPr>
          <w:rFonts w:eastAsia="Times New Roman"/>
          <w:lang w:val="es-ES_tradnl"/>
        </w:rPr>
        <w:t>”).</w:t>
      </w:r>
    </w:p>
    <w:p w14:paraId="0EB543C5" w14:textId="77777777" w:rsidR="0022193C" w:rsidRPr="005101B9" w:rsidRDefault="0022193C" w:rsidP="0022193C">
      <w:pPr>
        <w:rPr>
          <w:rFonts w:eastAsia="Times New Roman"/>
          <w:lang w:val="es-ES_tradnl"/>
        </w:rPr>
      </w:pPr>
    </w:p>
    <w:p w14:paraId="5AF58A32" w14:textId="77777777" w:rsidR="0022193C" w:rsidRPr="005101B9" w:rsidRDefault="0022193C" w:rsidP="0022193C">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El TWF tomó nota de que en las directrices de examen de cultivos frutales el número de ciclos de cultivo suele ser de dos. El TWF tomó nota de que el texto estándar para esos casos establece que “la duración mínima de los ensayos debe ser normalmente de dos ciclos de cultivo independientes”.</w:t>
      </w:r>
    </w:p>
    <w:p w14:paraId="18C391C2" w14:textId="77777777" w:rsidR="0022193C" w:rsidRPr="005101B9" w:rsidRDefault="0022193C" w:rsidP="0022193C">
      <w:pPr>
        <w:rPr>
          <w:rFonts w:eastAsia="Times New Roman"/>
          <w:lang w:val="es-ES_tradnl"/>
        </w:rPr>
      </w:pPr>
    </w:p>
    <w:p w14:paraId="21BB810A" w14:textId="77777777" w:rsidR="0022193C" w:rsidRPr="005101B9" w:rsidRDefault="0022193C" w:rsidP="0022193C">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El TWF tomó nota de que la elección del número de ciclos de cultivo para las plantas frutales es objeto de debate por los expertos interesados y el TWF. El TWF tomó nota de las experiencias relatadas por el Canadá y Francia sobre las valoraciones realizadas tras una cosecha satisfactoria de frutos.</w:t>
      </w:r>
    </w:p>
    <w:p w14:paraId="31523400" w14:textId="77777777" w:rsidR="0022193C" w:rsidRPr="005101B9" w:rsidRDefault="0022193C" w:rsidP="0022193C">
      <w:pPr>
        <w:rPr>
          <w:rFonts w:eastAsia="Times New Roman"/>
          <w:lang w:val="es-ES_tradnl"/>
        </w:rPr>
      </w:pPr>
    </w:p>
    <w:p w14:paraId="39A1B5E6" w14:textId="77777777" w:rsidR="0022193C" w:rsidRPr="005101B9" w:rsidRDefault="0022193C" w:rsidP="0022193C">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El TWF examinó el texto estándar “el examen de una variedad podrá concluirse en el momento en que la autoridad competente pueda determinar con certeza su resultado” y sopesó si puede ser contradictorio con el texto estándar “la duración mínima de los ensayos debe ser normalmente de dos ciclos de cultivo independientes”.</w:t>
      </w:r>
    </w:p>
    <w:p w14:paraId="0BCC007D" w14:textId="77777777" w:rsidR="0022193C" w:rsidRPr="005101B9" w:rsidRDefault="0022193C" w:rsidP="0022193C">
      <w:pPr>
        <w:rPr>
          <w:rFonts w:eastAsia="Times New Roman"/>
          <w:lang w:val="es-ES_tradnl"/>
        </w:rPr>
      </w:pPr>
    </w:p>
    <w:p w14:paraId="2C3B7D46" w14:textId="670874FF" w:rsidR="0022193C" w:rsidRPr="005101B9" w:rsidRDefault="0022193C" w:rsidP="0022193C">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El TWF convino en invitar a los expertos de Francia con el apoyo del Canadá, la Unión Europea, Alemania, Nueva Zelandia, la República de Corea y la Comunidad Internacional de Fitomejoradores de Plantas Hortícolas de Reproducción Asexuada (CIOPORA) a elaborar propuestas sobre el número de ciclos de cultivo para las plantas frutales, como reducir la duración de los ensayos a un ciclo de cultivo para las plantas frutales y el significado de “una cosecha satisfactoria de frutos”.</w:t>
      </w:r>
    </w:p>
    <w:p w14:paraId="20B59332" w14:textId="77777777" w:rsidR="004F68F5" w:rsidRPr="005101B9" w:rsidRDefault="004F68F5" w:rsidP="004F68F5">
      <w:pPr>
        <w:rPr>
          <w:rFonts w:eastAsia="MS Mincho"/>
          <w:lang w:val="es-ES_tradnl"/>
        </w:rPr>
      </w:pPr>
    </w:p>
    <w:p w14:paraId="70DC9B09" w14:textId="77777777" w:rsidR="004F68F5" w:rsidRPr="005101B9" w:rsidRDefault="004F68F5" w:rsidP="004F68F5">
      <w:pPr>
        <w:rPr>
          <w:rFonts w:eastAsia="MS Mincho"/>
          <w:lang w:val="es-ES_tradnl"/>
        </w:rPr>
      </w:pPr>
    </w:p>
    <w:p w14:paraId="62BDADA8" w14:textId="77777777" w:rsidR="00F43C84" w:rsidRPr="005101B9" w:rsidRDefault="00AD18F6" w:rsidP="00092E05">
      <w:pPr>
        <w:rPr>
          <w:lang w:val="es-ES_tradnl"/>
        </w:rPr>
      </w:pPr>
      <w:r w:rsidRPr="005101B9">
        <w:rPr>
          <w:u w:val="single"/>
          <w:lang w:val="es-ES_tradnl"/>
        </w:rPr>
        <w:t>Novedades en 2025</w:t>
      </w:r>
    </w:p>
    <w:p w14:paraId="2EE2B64B" w14:textId="7BB3E56C" w:rsidR="004F68F5" w:rsidRPr="005101B9" w:rsidRDefault="004F68F5" w:rsidP="004F68F5">
      <w:pPr>
        <w:rPr>
          <w:rFonts w:eastAsia="MS Mincho"/>
          <w:lang w:val="es-ES_tradnl"/>
        </w:rPr>
      </w:pPr>
    </w:p>
    <w:p w14:paraId="157B7F19" w14:textId="3E3123EF" w:rsidR="00151BA6" w:rsidRPr="005101B9" w:rsidRDefault="00151BA6" w:rsidP="00151BA6">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El TWF</w:t>
      </w:r>
      <w:r w:rsidRPr="005101B9">
        <w:rPr>
          <w:rFonts w:eastAsia="Times New Roman"/>
          <w:vertAlign w:val="superscript"/>
          <w:lang w:val="es-ES_tradnl"/>
        </w:rPr>
        <w:footnoteReference w:id="16"/>
      </w:r>
      <w:r w:rsidRPr="005101B9">
        <w:rPr>
          <w:rFonts w:eastAsia="Times New Roman"/>
          <w:lang w:val="es-ES_tradnl"/>
        </w:rPr>
        <w:t xml:space="preserve"> examinó el documento TWF/56/3, presentado por un experto del Canadá (véanse los párrafos 10 a 19 del documento TWF/56/7 “</w:t>
      </w:r>
      <w:r w:rsidR="009247F2" w:rsidRPr="005101B9">
        <w:rPr>
          <w:rFonts w:eastAsia="Times New Roman"/>
          <w:i/>
          <w:iCs/>
          <w:lang w:val="es-ES_tradnl"/>
        </w:rPr>
        <w:t>Report</w:t>
      </w:r>
      <w:r w:rsidRPr="005101B9">
        <w:rPr>
          <w:rFonts w:eastAsia="Times New Roman"/>
          <w:lang w:val="es-ES_tradnl"/>
        </w:rPr>
        <w:t>”).</w:t>
      </w:r>
    </w:p>
    <w:p w14:paraId="3DC7981B" w14:textId="77777777" w:rsidR="00151BA6" w:rsidRPr="005101B9" w:rsidRDefault="00151BA6" w:rsidP="00151BA6">
      <w:pPr>
        <w:rPr>
          <w:rFonts w:eastAsia="Times New Roman"/>
          <w:lang w:val="es-ES_tradnl"/>
        </w:rPr>
      </w:pPr>
    </w:p>
    <w:p w14:paraId="2D231C3A" w14:textId="251D9081" w:rsidR="00151BA6" w:rsidRPr="005101B9" w:rsidRDefault="00151BA6" w:rsidP="00151BA6">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El TWF examinó situaciones en que se necesitarán dos ciclos de cultivo para que la expresión de caracteres sea suficientemente consistente y clara, según la orientación de la UPOV</w:t>
      </w:r>
      <w:r w:rsidR="00DF1BA1" w:rsidRPr="005101B9">
        <w:rPr>
          <w:rFonts w:eastAsia="Times New Roman"/>
          <w:lang w:val="es-ES_tradnl"/>
        </w:rPr>
        <w:t>,</w:t>
      </w:r>
      <w:r w:rsidRPr="005101B9">
        <w:rPr>
          <w:rFonts w:eastAsia="Times New Roman"/>
          <w:lang w:val="es-ES_tradnl"/>
        </w:rPr>
        <w:t xml:space="preserve"> y </w:t>
      </w:r>
      <w:r w:rsidR="00702BFA" w:rsidRPr="005101B9">
        <w:rPr>
          <w:rFonts w:eastAsia="Times New Roman"/>
          <w:lang w:val="es-ES_tradnl"/>
        </w:rPr>
        <w:t xml:space="preserve">para </w:t>
      </w:r>
      <w:r w:rsidRPr="005101B9">
        <w:rPr>
          <w:rFonts w:eastAsia="Times New Roman"/>
          <w:lang w:val="es-ES_tradnl"/>
        </w:rPr>
        <w:t>generar descripciones fiables de variedades.</w:t>
      </w:r>
    </w:p>
    <w:p w14:paraId="36FE9D6F" w14:textId="77777777" w:rsidR="00151BA6" w:rsidRPr="005101B9" w:rsidRDefault="00151BA6" w:rsidP="00151BA6">
      <w:pPr>
        <w:rPr>
          <w:rFonts w:eastAsia="Times New Roman"/>
          <w:lang w:val="es-ES_tradnl"/>
        </w:rPr>
      </w:pPr>
    </w:p>
    <w:p w14:paraId="60EA8649" w14:textId="77777777" w:rsidR="00151BA6" w:rsidRPr="005101B9" w:rsidRDefault="00151BA6" w:rsidP="00151BA6">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El TWF tomó nota de los comentarios del Japón y la República de Corea sobre la manera en que se interpreta la orientación de la UPOV en aquellos países que conceden flexibilidad a las autoridades para decidir cuándo se necesitarán dos ciclos de cultivo o el examen puede concluirse cuando la autoridad pueda determinar con certeza el resultado del examen.</w:t>
      </w:r>
    </w:p>
    <w:p w14:paraId="202E8BFE" w14:textId="77777777" w:rsidR="00151BA6" w:rsidRPr="005101B9" w:rsidRDefault="00151BA6" w:rsidP="00151BA6">
      <w:pPr>
        <w:rPr>
          <w:rFonts w:eastAsia="Times New Roman"/>
          <w:lang w:val="es-ES_tradnl"/>
        </w:rPr>
      </w:pPr>
    </w:p>
    <w:p w14:paraId="34BD5136" w14:textId="177C6163" w:rsidR="00151BA6" w:rsidRPr="005101B9" w:rsidRDefault="00151BA6" w:rsidP="00151BA6">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El TWF examinó el texto estándar sobre el número de ciclos de cultivo en las directrices de examen, en especial la frase sobre el “número de ciclos de cultivo” y la que indica “el examen de una variedad podrá concluirse en el momento en que la autoridad competente pueda determinar con certeza su resultado”. El TWF convino en que es posible mejorar las orientaciones ofrecidas en las directrices de examen para aclarar que las autoridades pueden concluir el examen de cultivos frutales antes de dos ciclos de cultivo, cuando lo recomiendan las directrices de examen.</w:t>
      </w:r>
    </w:p>
    <w:p w14:paraId="5DE15876" w14:textId="77777777" w:rsidR="00151BA6" w:rsidRPr="005101B9" w:rsidRDefault="00151BA6" w:rsidP="00151BA6">
      <w:pPr>
        <w:rPr>
          <w:rFonts w:eastAsia="Times New Roman"/>
          <w:lang w:val="es-ES_tradnl"/>
        </w:rPr>
      </w:pPr>
    </w:p>
    <w:p w14:paraId="290B8A86" w14:textId="77777777" w:rsidR="00151BA6" w:rsidRPr="005101B9" w:rsidRDefault="00151BA6" w:rsidP="00151BA6">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 xml:space="preserve">El TWF examinó el uso de las expresiones “mínima” y “normalmente” en relación con la duración mínima de los ensayos y convino en proponer la modificación del texto estándar adicional (ASW) 2 del documento TGP/7, para reemplazar “normalmente” por “por lo general”, de la siguiente manera: </w:t>
      </w:r>
    </w:p>
    <w:p w14:paraId="722BEBCF" w14:textId="77777777" w:rsidR="004F68F5" w:rsidRPr="005101B9" w:rsidRDefault="004F68F5" w:rsidP="004F68F5">
      <w:pPr>
        <w:rPr>
          <w:rFonts w:eastAsia="MS Mincho"/>
          <w:lang w:val="es-ES_tradnl"/>
        </w:rPr>
      </w:pPr>
    </w:p>
    <w:p w14:paraId="1FDF1C17" w14:textId="77777777" w:rsidR="00E732A5" w:rsidRPr="005101B9" w:rsidRDefault="00E732A5" w:rsidP="00243E9E">
      <w:pPr>
        <w:keepNext/>
        <w:ind w:left="567"/>
        <w:rPr>
          <w:rFonts w:eastAsia="Times New Roman"/>
          <w:lang w:val="es-ES_tradnl"/>
        </w:rPr>
      </w:pPr>
      <w:r w:rsidRPr="005101B9">
        <w:rPr>
          <w:rFonts w:eastAsia="Times New Roman"/>
          <w:u w:val="single"/>
          <w:lang w:val="es-ES_tradnl"/>
        </w:rPr>
        <w:lastRenderedPageBreak/>
        <w:t>ASW 2 (capítulo 3.1) – Número de ciclos de cultivo</w:t>
      </w:r>
    </w:p>
    <w:p w14:paraId="4D4561B7" w14:textId="77777777" w:rsidR="00E732A5" w:rsidRPr="005101B9" w:rsidRDefault="00E732A5" w:rsidP="00243E9E">
      <w:pPr>
        <w:keepNext/>
        <w:ind w:left="567"/>
        <w:rPr>
          <w:rFonts w:eastAsia="Times New Roman"/>
          <w:lang w:val="es-ES_tradnl"/>
        </w:rPr>
      </w:pPr>
    </w:p>
    <w:p w14:paraId="79C28EA1" w14:textId="77777777" w:rsidR="00E732A5" w:rsidRPr="005101B9" w:rsidRDefault="00E732A5" w:rsidP="00E732A5">
      <w:pPr>
        <w:ind w:left="567"/>
        <w:rPr>
          <w:rFonts w:eastAsia="Times New Roman"/>
          <w:i/>
          <w:iCs/>
          <w:lang w:val="es-ES_tradnl"/>
        </w:rPr>
      </w:pPr>
      <w:r w:rsidRPr="005101B9">
        <w:rPr>
          <w:rFonts w:eastAsia="Times New Roman"/>
          <w:i/>
          <w:lang w:val="es-ES_tradnl"/>
        </w:rPr>
        <w:t>a)</w:t>
      </w:r>
      <w:r w:rsidRPr="005101B9">
        <w:rPr>
          <w:rFonts w:eastAsia="Times New Roman"/>
          <w:i/>
          <w:lang w:val="es-ES_tradnl"/>
        </w:rPr>
        <w:tab/>
        <w:t>Ciclo de cultivo único</w:t>
      </w:r>
    </w:p>
    <w:p w14:paraId="37E6BEEF" w14:textId="77777777" w:rsidR="00E732A5" w:rsidRPr="005101B9" w:rsidRDefault="00E732A5" w:rsidP="00E732A5">
      <w:pPr>
        <w:ind w:left="567" w:right="567"/>
        <w:rPr>
          <w:rFonts w:eastAsia="Times New Roman"/>
          <w:lang w:val="es-ES_tradnl"/>
        </w:rPr>
      </w:pPr>
    </w:p>
    <w:p w14:paraId="2A37A7D3" w14:textId="77777777" w:rsidR="00E732A5" w:rsidRPr="005101B9" w:rsidRDefault="00E732A5" w:rsidP="00E732A5">
      <w:pPr>
        <w:ind w:left="567" w:right="567"/>
        <w:rPr>
          <w:rFonts w:eastAsia="Times New Roman"/>
          <w:lang w:val="es-ES_tradnl"/>
        </w:rPr>
      </w:pPr>
      <w:r w:rsidRPr="005101B9">
        <w:rPr>
          <w:rFonts w:eastAsia="Times New Roman"/>
          <w:lang w:val="es-ES_tradnl"/>
        </w:rPr>
        <w:t xml:space="preserve">“La duración mínima de los ensayos deberá ser </w:t>
      </w:r>
      <w:r w:rsidRPr="005101B9">
        <w:rPr>
          <w:rFonts w:eastAsia="Times New Roman"/>
          <w:strike/>
          <w:highlight w:val="lightGray"/>
          <w:lang w:val="es-ES_tradnl"/>
        </w:rPr>
        <w:t>normalmente</w:t>
      </w:r>
      <w:r w:rsidRPr="005101B9">
        <w:rPr>
          <w:rFonts w:eastAsia="Times New Roman"/>
          <w:highlight w:val="lightGray"/>
          <w:u w:val="single"/>
          <w:lang w:val="es-ES_tradnl"/>
        </w:rPr>
        <w:t>, por lo general,</w:t>
      </w:r>
      <w:r w:rsidRPr="005101B9">
        <w:rPr>
          <w:rFonts w:eastAsia="Times New Roman"/>
          <w:lang w:val="es-ES_tradnl"/>
        </w:rPr>
        <w:t xml:space="preserve"> de un único ciclo de cultivo”. </w:t>
      </w:r>
    </w:p>
    <w:p w14:paraId="342E0AB1" w14:textId="77777777" w:rsidR="00E732A5" w:rsidRPr="005101B9" w:rsidRDefault="00E732A5" w:rsidP="00E732A5">
      <w:pPr>
        <w:ind w:left="567" w:right="567"/>
        <w:rPr>
          <w:rFonts w:eastAsia="Times New Roman"/>
          <w:i/>
          <w:lang w:val="es-ES_tradnl"/>
        </w:rPr>
      </w:pPr>
    </w:p>
    <w:p w14:paraId="655CF540" w14:textId="77777777" w:rsidR="00E732A5" w:rsidRPr="005101B9" w:rsidRDefault="00E732A5" w:rsidP="00E732A5">
      <w:pPr>
        <w:ind w:left="567"/>
        <w:rPr>
          <w:rFonts w:eastAsia="Times New Roman"/>
          <w:i/>
          <w:iCs/>
          <w:lang w:val="es-ES_tradnl"/>
        </w:rPr>
      </w:pPr>
      <w:r w:rsidRPr="005101B9">
        <w:rPr>
          <w:rFonts w:eastAsia="Times New Roman"/>
          <w:i/>
          <w:lang w:val="es-ES_tradnl"/>
        </w:rPr>
        <w:t>b)</w:t>
      </w:r>
      <w:r w:rsidRPr="005101B9">
        <w:rPr>
          <w:rFonts w:eastAsia="Times New Roman"/>
          <w:i/>
          <w:lang w:val="es-ES_tradnl"/>
        </w:rPr>
        <w:tab/>
        <w:t>Dos ciclos de cultivo independientes</w:t>
      </w:r>
    </w:p>
    <w:p w14:paraId="3A3986FF" w14:textId="77777777" w:rsidR="00E732A5" w:rsidRPr="005101B9" w:rsidRDefault="00E732A5" w:rsidP="00E732A5">
      <w:pPr>
        <w:ind w:left="567" w:right="567"/>
        <w:rPr>
          <w:rFonts w:eastAsia="Times New Roman"/>
          <w:lang w:val="es-ES_tradnl"/>
        </w:rPr>
      </w:pPr>
    </w:p>
    <w:p w14:paraId="4BFCA9F2" w14:textId="77777777" w:rsidR="00E732A5" w:rsidRPr="005101B9" w:rsidRDefault="00E732A5" w:rsidP="00E732A5">
      <w:pPr>
        <w:ind w:left="567" w:right="567"/>
        <w:rPr>
          <w:rFonts w:eastAsia="Times New Roman"/>
          <w:lang w:val="es-ES_tradnl"/>
        </w:rPr>
      </w:pPr>
      <w:r w:rsidRPr="005101B9">
        <w:rPr>
          <w:rFonts w:eastAsia="Times New Roman"/>
          <w:lang w:val="es-ES_tradnl"/>
        </w:rPr>
        <w:t xml:space="preserve">“La duración mínima del examen deberá ser </w:t>
      </w:r>
      <w:r w:rsidRPr="005101B9">
        <w:rPr>
          <w:rFonts w:eastAsia="Times New Roman"/>
          <w:strike/>
          <w:highlight w:val="lightGray"/>
          <w:lang w:val="es-ES_tradnl"/>
        </w:rPr>
        <w:t>normalmente</w:t>
      </w:r>
      <w:r w:rsidRPr="005101B9">
        <w:rPr>
          <w:rFonts w:eastAsia="Times New Roman"/>
          <w:highlight w:val="lightGray"/>
          <w:u w:val="single"/>
          <w:lang w:val="es-ES_tradnl"/>
        </w:rPr>
        <w:t>, por lo general,</w:t>
      </w:r>
      <w:r w:rsidRPr="005101B9">
        <w:rPr>
          <w:rFonts w:eastAsia="Times New Roman"/>
          <w:lang w:val="es-ES_tradnl"/>
        </w:rPr>
        <w:t xml:space="preserve"> de dos ciclos de cultivo independientes”.</w:t>
      </w:r>
    </w:p>
    <w:p w14:paraId="7867965C" w14:textId="77777777" w:rsidR="004F68F5" w:rsidRPr="005101B9" w:rsidRDefault="004F68F5" w:rsidP="004F68F5">
      <w:pPr>
        <w:jc w:val="left"/>
        <w:rPr>
          <w:rFonts w:eastAsia="MS Mincho"/>
          <w:lang w:val="es-ES_tradnl"/>
        </w:rPr>
      </w:pPr>
    </w:p>
    <w:p w14:paraId="1C341110" w14:textId="77777777" w:rsidR="009C7751" w:rsidRPr="005101B9" w:rsidRDefault="009C7751" w:rsidP="009C7751">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 xml:space="preserve">El TWF tomó nota de que la secuencia del texto estándar en las directrices de examen presenta la explicación sobre el “número de ciclos de cultivo” separada de la que indica que “el examen de una variedad podrá concluirse en el momento en que la autoridad competente pueda determinar con certeza su resultado”. El TWF convino en que la última frase es una explicación importante del número de ciclos de cultivo y convino en proponer la modificación de la “Estructura y texto estándar universal de los documentos TG” para presentar ambas frases de manera consecutiva, según se expone a continuación: </w:t>
      </w:r>
    </w:p>
    <w:p w14:paraId="147F665C" w14:textId="77777777" w:rsidR="009C7751" w:rsidRPr="005101B9" w:rsidRDefault="009C7751" w:rsidP="009C7751">
      <w:pPr>
        <w:jc w:val="left"/>
        <w:rPr>
          <w:rFonts w:eastAsia="Times New Roman"/>
          <w:lang w:val="es-ES_tradnl"/>
        </w:rPr>
      </w:pPr>
    </w:p>
    <w:p w14:paraId="76869F33" w14:textId="77777777" w:rsidR="009C7751" w:rsidRPr="005101B9" w:rsidRDefault="009C7751" w:rsidP="009C7751">
      <w:pPr>
        <w:keepNext/>
        <w:ind w:left="567"/>
        <w:rPr>
          <w:rFonts w:eastAsia="Times New Roman"/>
          <w:lang w:val="es-ES_tradnl"/>
        </w:rPr>
      </w:pPr>
      <w:r w:rsidRPr="005101B9">
        <w:rPr>
          <w:rFonts w:eastAsia="Times New Roman"/>
          <w:lang w:val="es-ES_tradnl"/>
        </w:rPr>
        <w:t>ANEXO 1: ESTRUCTURA Y TEXTO ESTÁNDAR UNIVERSAL DE LOS DOCUMENTOS TG</w:t>
      </w:r>
    </w:p>
    <w:p w14:paraId="2596682E" w14:textId="77777777" w:rsidR="009C7751" w:rsidRPr="005101B9" w:rsidRDefault="009C7751" w:rsidP="009C7751">
      <w:pPr>
        <w:keepNext/>
        <w:rPr>
          <w:rFonts w:eastAsia="Times New Roman"/>
          <w:lang w:val="es-ES_tradnl"/>
        </w:rPr>
      </w:pPr>
    </w:p>
    <w:p w14:paraId="162781E8" w14:textId="77777777" w:rsidR="009C7751" w:rsidRPr="005101B9" w:rsidRDefault="009C7751" w:rsidP="009C7751">
      <w:pPr>
        <w:keepNext/>
        <w:spacing w:after="240"/>
        <w:ind w:left="567"/>
        <w:rPr>
          <w:rFonts w:eastAsia="Times New Roman"/>
          <w:u w:val="single"/>
          <w:lang w:val="es-ES_tradnl"/>
        </w:rPr>
      </w:pPr>
      <w:r w:rsidRPr="005101B9">
        <w:rPr>
          <w:rFonts w:eastAsia="Times New Roman"/>
          <w:u w:val="single"/>
          <w:lang w:val="es-ES_tradnl"/>
        </w:rPr>
        <w:t>3.</w:t>
      </w:r>
      <w:r w:rsidRPr="005101B9">
        <w:rPr>
          <w:rFonts w:eastAsia="Times New Roman"/>
          <w:u w:val="single"/>
          <w:lang w:val="es-ES_tradnl"/>
        </w:rPr>
        <w:tab/>
        <w:t>Método de examen</w:t>
      </w:r>
    </w:p>
    <w:p w14:paraId="04AF68EB" w14:textId="77777777" w:rsidR="009C7751" w:rsidRPr="005101B9" w:rsidRDefault="009C7751" w:rsidP="009C7751">
      <w:pPr>
        <w:spacing w:after="240"/>
        <w:ind w:left="567"/>
        <w:rPr>
          <w:rFonts w:eastAsia="Times New Roman"/>
          <w:lang w:val="es-ES_tradnl"/>
        </w:rPr>
      </w:pPr>
      <w:r w:rsidRPr="005101B9">
        <w:rPr>
          <w:rFonts w:eastAsia="Times New Roman"/>
          <w:lang w:val="es-ES_tradnl"/>
        </w:rPr>
        <w:t>3.1</w:t>
      </w:r>
      <w:r w:rsidRPr="005101B9">
        <w:rPr>
          <w:rFonts w:eastAsia="Times New Roman"/>
          <w:lang w:val="es-ES_tradnl"/>
        </w:rPr>
        <w:tab/>
        <w:t>Número de ciclos de cultivo</w:t>
      </w:r>
    </w:p>
    <w:p w14:paraId="5858A55C" w14:textId="77777777" w:rsidR="009C7751" w:rsidRPr="005101B9" w:rsidRDefault="009C7751" w:rsidP="009C7751">
      <w:pPr>
        <w:ind w:left="567"/>
        <w:rPr>
          <w:rFonts w:eastAsia="Times New Roman"/>
          <w:lang w:val="es-ES_tradnl"/>
        </w:rPr>
      </w:pPr>
      <w:r w:rsidRPr="005101B9">
        <w:rPr>
          <w:rFonts w:eastAsia="Times New Roman"/>
          <w:lang w:val="es-ES_tradnl"/>
        </w:rPr>
        <w:t xml:space="preserve">La duración mínima de los ensayos deberá ser </w:t>
      </w:r>
      <w:r w:rsidRPr="005101B9">
        <w:rPr>
          <w:rFonts w:eastAsia="Times New Roman"/>
          <w:strike/>
          <w:highlight w:val="lightGray"/>
          <w:lang w:val="es-ES_tradnl"/>
        </w:rPr>
        <w:t>normalmente</w:t>
      </w:r>
      <w:r w:rsidRPr="005101B9">
        <w:rPr>
          <w:rFonts w:eastAsia="Times New Roman"/>
          <w:highlight w:val="lightGray"/>
          <w:u w:val="single"/>
          <w:lang w:val="es-ES_tradnl"/>
        </w:rPr>
        <w:t>, por lo general,</w:t>
      </w:r>
      <w:r w:rsidRPr="005101B9">
        <w:rPr>
          <w:rFonts w:eastAsia="Times New Roman"/>
          <w:lang w:val="es-ES_tradnl"/>
        </w:rPr>
        <w:t xml:space="preserve"> de: </w:t>
      </w:r>
    </w:p>
    <w:p w14:paraId="5BCC97C8" w14:textId="77777777" w:rsidR="009C7751" w:rsidRPr="005101B9" w:rsidRDefault="009C7751" w:rsidP="009C7751">
      <w:pPr>
        <w:ind w:left="567"/>
        <w:rPr>
          <w:rFonts w:eastAsia="Times New Roman"/>
          <w:lang w:val="es-ES_tradnl"/>
        </w:rPr>
      </w:pPr>
    </w:p>
    <w:p w14:paraId="52E7B9EF" w14:textId="77777777" w:rsidR="009C7751" w:rsidRPr="005101B9" w:rsidRDefault="009C7751" w:rsidP="009C7751">
      <w:pPr>
        <w:ind w:left="567"/>
        <w:rPr>
          <w:rFonts w:eastAsia="Times New Roman"/>
          <w:lang w:val="es-ES_tradnl"/>
        </w:rPr>
      </w:pPr>
      <w:r w:rsidRPr="005101B9">
        <w:rPr>
          <w:rFonts w:eastAsia="Times New Roman"/>
          <w:lang w:val="es-ES_tradnl"/>
        </w:rPr>
        <w:t xml:space="preserve">{ </w:t>
      </w:r>
      <w:r w:rsidRPr="005101B9">
        <w:rPr>
          <w:rFonts w:eastAsia="Times New Roman"/>
          <w:b/>
          <w:bdr w:val="single" w:sz="12" w:space="0" w:color="auto"/>
          <w:shd w:val="pct12" w:color="auto" w:fill="auto"/>
          <w:lang w:val="es-ES_tradnl"/>
        </w:rPr>
        <w:t>ASW</w:t>
      </w:r>
      <w:r w:rsidRPr="005101B9">
        <w:rPr>
          <w:rFonts w:eastAsia="Times New Roman"/>
          <w:b/>
          <w:bdr w:val="single" w:sz="12" w:space="0" w:color="auto"/>
          <w:lang w:val="es-ES_tradnl"/>
        </w:rPr>
        <w:t xml:space="preserve"> 2</w:t>
      </w:r>
      <w:r w:rsidRPr="005101B9">
        <w:rPr>
          <w:rFonts w:eastAsia="Times New Roman"/>
          <w:bdr w:val="single" w:sz="12" w:space="0" w:color="auto"/>
          <w:lang w:val="es-ES_tradnl"/>
        </w:rPr>
        <w:t xml:space="preserve"> </w:t>
      </w:r>
      <w:r w:rsidRPr="005101B9">
        <w:rPr>
          <w:rFonts w:eastAsia="Times New Roman"/>
          <w:lang w:val="es-ES_tradnl"/>
        </w:rPr>
        <w:t>(capítulo 3.1(.1)) – Número de ciclos de cultivo }</w:t>
      </w:r>
    </w:p>
    <w:p w14:paraId="1ED4DD58" w14:textId="77777777" w:rsidR="009C7751" w:rsidRPr="005101B9" w:rsidRDefault="009C7751" w:rsidP="009C7751">
      <w:pPr>
        <w:ind w:left="567"/>
        <w:rPr>
          <w:rFonts w:eastAsia="Times New Roman"/>
          <w:lang w:val="es-ES_tradnl"/>
        </w:rPr>
      </w:pPr>
    </w:p>
    <w:p w14:paraId="673C3270" w14:textId="77777777" w:rsidR="009C7751" w:rsidRPr="005101B9" w:rsidRDefault="009C7751" w:rsidP="009C7751">
      <w:pPr>
        <w:ind w:left="567"/>
        <w:rPr>
          <w:rFonts w:eastAsia="Times New Roman"/>
          <w:u w:val="double"/>
          <w:lang w:val="es-ES_tradnl"/>
        </w:rPr>
      </w:pPr>
      <w:r w:rsidRPr="005101B9">
        <w:rPr>
          <w:rFonts w:eastAsia="Times New Roman"/>
          <w:highlight w:val="lightGray"/>
          <w:u w:val="double"/>
          <w:lang w:val="es-ES_tradnl"/>
        </w:rPr>
        <w:t>Se podrá concluir el examen de una variedad cuando la autoridad competente pueda determinar con certeza su resultado.</w:t>
      </w:r>
    </w:p>
    <w:p w14:paraId="0B67D8BE" w14:textId="77777777" w:rsidR="009C7751" w:rsidRPr="005101B9" w:rsidRDefault="009C7751" w:rsidP="009C7751">
      <w:pPr>
        <w:ind w:left="567"/>
        <w:rPr>
          <w:rFonts w:eastAsia="Times New Roman"/>
          <w:lang w:val="es-ES_tradnl"/>
        </w:rPr>
      </w:pPr>
    </w:p>
    <w:p w14:paraId="29F2B3A3" w14:textId="77777777" w:rsidR="009C7751" w:rsidRPr="005101B9" w:rsidRDefault="009C7751" w:rsidP="009C7751">
      <w:pPr>
        <w:ind w:left="567"/>
        <w:rPr>
          <w:rFonts w:eastAsia="Times New Roman"/>
          <w:lang w:val="es-ES_tradnl"/>
        </w:rPr>
      </w:pPr>
      <w:r w:rsidRPr="005101B9">
        <w:rPr>
          <w:rFonts w:eastAsia="Times New Roman"/>
          <w:lang w:val="es-ES_tradnl"/>
        </w:rPr>
        <w:t xml:space="preserve">{ </w:t>
      </w:r>
      <w:r w:rsidRPr="005101B9">
        <w:rPr>
          <w:rFonts w:eastAsia="Times New Roman"/>
          <w:highlight w:val="lightGray"/>
          <w:bdr w:val="single" w:sz="12" w:space="0" w:color="auto"/>
          <w:lang w:val="es-ES_tradnl"/>
        </w:rPr>
        <w:t>GN</w:t>
      </w:r>
      <w:r w:rsidRPr="005101B9">
        <w:rPr>
          <w:rFonts w:eastAsia="Times New Roman"/>
          <w:bdr w:val="single" w:sz="12" w:space="0" w:color="auto"/>
          <w:lang w:val="es-ES_tradnl"/>
        </w:rPr>
        <w:t xml:space="preserve"> 8 </w:t>
      </w:r>
      <w:r w:rsidRPr="005101B9">
        <w:rPr>
          <w:rFonts w:eastAsia="Times New Roman"/>
          <w:lang w:val="es-ES_tradnl"/>
        </w:rPr>
        <w:t>(capítulo 3.1.2) – Explicación del ciclo de cultivo }</w:t>
      </w:r>
    </w:p>
    <w:p w14:paraId="5EE23A0C" w14:textId="77777777" w:rsidR="009C7751" w:rsidRPr="005101B9" w:rsidRDefault="009C7751" w:rsidP="009C7751">
      <w:pPr>
        <w:ind w:left="567"/>
        <w:rPr>
          <w:rFonts w:eastAsia="Times New Roman"/>
          <w:lang w:val="es-ES_tradnl"/>
        </w:rPr>
      </w:pPr>
      <w:r w:rsidRPr="005101B9">
        <w:rPr>
          <w:rFonts w:eastAsia="Times New Roman"/>
          <w:lang w:val="es-ES_tradnl"/>
        </w:rPr>
        <w:t xml:space="preserve">{ </w:t>
      </w:r>
      <w:r w:rsidRPr="005101B9">
        <w:rPr>
          <w:rFonts w:eastAsia="Times New Roman"/>
          <w:b/>
          <w:bdr w:val="single" w:sz="12" w:space="0" w:color="auto"/>
          <w:shd w:val="pct12" w:color="auto" w:fill="auto"/>
          <w:lang w:val="es-ES_tradnl"/>
        </w:rPr>
        <w:t>ASW</w:t>
      </w:r>
      <w:r w:rsidRPr="005101B9">
        <w:rPr>
          <w:rFonts w:eastAsia="Times New Roman"/>
          <w:b/>
          <w:bdr w:val="single" w:sz="12" w:space="0" w:color="auto"/>
          <w:lang w:val="es-ES_tradnl"/>
        </w:rPr>
        <w:t xml:space="preserve"> 3</w:t>
      </w:r>
      <w:r w:rsidRPr="005101B9">
        <w:rPr>
          <w:rFonts w:eastAsia="Times New Roman"/>
          <w:bdr w:val="single" w:sz="12" w:space="0" w:color="auto"/>
          <w:lang w:val="es-ES_tradnl"/>
        </w:rPr>
        <w:t xml:space="preserve"> </w:t>
      </w:r>
      <w:r w:rsidRPr="005101B9">
        <w:rPr>
          <w:rFonts w:eastAsia="Times New Roman"/>
          <w:lang w:val="es-ES_tradnl"/>
        </w:rPr>
        <w:t>(capítulo 3.1.2) – Explicación del ciclo de cultivo }</w:t>
      </w:r>
    </w:p>
    <w:p w14:paraId="27D9C34A" w14:textId="77777777" w:rsidR="009C7751" w:rsidRPr="005101B9" w:rsidRDefault="009C7751" w:rsidP="009C7751">
      <w:pPr>
        <w:ind w:left="567"/>
        <w:rPr>
          <w:rFonts w:eastAsia="Times New Roman"/>
          <w:lang w:val="es-ES_tradnl"/>
        </w:rPr>
      </w:pPr>
    </w:p>
    <w:p w14:paraId="6825BB0F" w14:textId="77777777" w:rsidR="009C7751" w:rsidRPr="005101B9" w:rsidRDefault="009C7751" w:rsidP="009C7751">
      <w:pPr>
        <w:ind w:left="567"/>
        <w:rPr>
          <w:rFonts w:eastAsia="Times New Roman"/>
          <w:dstrike/>
          <w:lang w:val="es-ES_tradnl"/>
        </w:rPr>
      </w:pPr>
      <w:r w:rsidRPr="005101B9">
        <w:rPr>
          <w:rFonts w:eastAsia="Times New Roman"/>
          <w:dstrike/>
          <w:highlight w:val="lightGray"/>
          <w:lang w:val="es-ES_tradnl"/>
        </w:rPr>
        <w:t>Se podrá concluir el examen de una variedad cuando la autoridad competente pueda determinar con certeza su resultado.</w:t>
      </w:r>
    </w:p>
    <w:p w14:paraId="3E0CA2A1" w14:textId="77777777" w:rsidR="004F68F5" w:rsidRPr="005101B9" w:rsidRDefault="004F68F5" w:rsidP="004F68F5">
      <w:pPr>
        <w:ind w:left="567"/>
        <w:rPr>
          <w:rFonts w:eastAsia="MS Mincho"/>
          <w:lang w:val="es-ES_tradnl"/>
        </w:rPr>
      </w:pPr>
    </w:p>
    <w:p w14:paraId="5743150D" w14:textId="77777777" w:rsidR="0007038D" w:rsidRPr="005101B9" w:rsidRDefault="0007038D" w:rsidP="0007038D">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El TWF tomó nota del comentario de la Unión Europea en el sentido de que la frase sobre “conclusión del examen” no debe interpretarse como contradictoria con el texto estándar sobre el número de ciclos de cultivo, en especial que el examen de una variedad podrá concluirse antes.</w:t>
      </w:r>
    </w:p>
    <w:p w14:paraId="438B80D1" w14:textId="77777777" w:rsidR="0007038D" w:rsidRPr="005101B9" w:rsidRDefault="0007038D" w:rsidP="0007038D">
      <w:pPr>
        <w:rPr>
          <w:rFonts w:eastAsia="Times New Roman"/>
          <w:lang w:val="es-ES_tradnl"/>
        </w:rPr>
      </w:pPr>
    </w:p>
    <w:p w14:paraId="59D9BDBF" w14:textId="0993BC74" w:rsidR="0007038D" w:rsidRPr="005101B9" w:rsidRDefault="0007038D" w:rsidP="0007038D">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 xml:space="preserve">El TWF convino en proponer que se considere si procede añadir la disposición sobre “conclusión del examen” a las distintas alternativas de texto estándar adicional en ASW 2 “Número de ciclos de cultivo” para garantizar que puedan utilizarse los principios básicos que figuran en la Introducción General, </w:t>
      </w:r>
      <w:r w:rsidR="007A21AE" w:rsidRPr="005101B9">
        <w:rPr>
          <w:rFonts w:eastAsia="Times New Roman"/>
          <w:lang w:val="es-ES_tradnl"/>
        </w:rPr>
        <w:t>en lugar de seguir las recomendaciones detalladas de las directrices de examen</w:t>
      </w:r>
      <w:r w:rsidRPr="005101B9">
        <w:rPr>
          <w:rFonts w:eastAsia="Times New Roman"/>
          <w:lang w:val="es-ES_tradnl"/>
        </w:rPr>
        <w:t xml:space="preserve">. </w:t>
      </w:r>
    </w:p>
    <w:p w14:paraId="115130D7" w14:textId="77777777" w:rsidR="0007038D" w:rsidRPr="005101B9" w:rsidRDefault="0007038D" w:rsidP="0007038D">
      <w:pPr>
        <w:rPr>
          <w:rFonts w:eastAsia="Times New Roman"/>
          <w:lang w:val="es-ES_tradnl"/>
        </w:rPr>
      </w:pPr>
    </w:p>
    <w:p w14:paraId="72CB6385" w14:textId="77777777" w:rsidR="0007038D" w:rsidRPr="005101B9" w:rsidRDefault="0007038D" w:rsidP="0007038D">
      <w:pPr>
        <w:rPr>
          <w:rFonts w:eastAsia="Times New Roman"/>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El TWF examinó una propuesta de modificación del texto estándar adicional 3 (ASW 3) para plantas frutales a fin de aclarar el concepto de “cosecha satisfactoria de frutos”, según se expone en el documento TWF/56/3, de la manera siguiente:</w:t>
      </w:r>
    </w:p>
    <w:p w14:paraId="7FB5E717" w14:textId="77777777" w:rsidR="0007038D" w:rsidRPr="005101B9" w:rsidRDefault="0007038D" w:rsidP="0007038D">
      <w:pPr>
        <w:rPr>
          <w:rFonts w:eastAsia="Times New Roman"/>
          <w:lang w:val="es-ES_tradnl"/>
        </w:rPr>
      </w:pPr>
    </w:p>
    <w:p w14:paraId="006F4E47" w14:textId="77777777" w:rsidR="0007038D" w:rsidRPr="005101B9" w:rsidRDefault="0007038D" w:rsidP="0007038D">
      <w:pPr>
        <w:ind w:left="567" w:right="567"/>
        <w:rPr>
          <w:rFonts w:eastAsia="Times New Roman"/>
          <w:lang w:val="es-ES_tradnl"/>
        </w:rPr>
      </w:pPr>
      <w:r w:rsidRPr="005101B9">
        <w:rPr>
          <w:rFonts w:eastAsia="Times New Roman"/>
          <w:lang w:val="es-ES_tradnl"/>
        </w:rPr>
        <w:t xml:space="preserve">“En particular, es esencial que los [árboles]/[las plantas] produzcan </w:t>
      </w:r>
      <w:r w:rsidRPr="005101B9">
        <w:rPr>
          <w:rFonts w:eastAsia="Times New Roman"/>
          <w:strike/>
          <w:highlight w:val="lightGray"/>
          <w:lang w:val="es-ES_tradnl"/>
        </w:rPr>
        <w:t>una cosecha satisfactoria de</w:t>
      </w:r>
      <w:r w:rsidRPr="005101B9">
        <w:rPr>
          <w:rFonts w:eastAsia="Times New Roman"/>
          <w:lang w:val="es-ES_tradnl"/>
        </w:rPr>
        <w:t xml:space="preserve"> frutos en </w:t>
      </w:r>
      <w:r w:rsidRPr="005101B9">
        <w:rPr>
          <w:rFonts w:eastAsia="Times New Roman"/>
          <w:highlight w:val="lightGray"/>
          <w:u w:val="single"/>
          <w:lang w:val="es-ES_tradnl"/>
        </w:rPr>
        <w:t>cantidad suficiente</w:t>
      </w:r>
      <w:r w:rsidRPr="005101B9">
        <w:rPr>
          <w:rFonts w:eastAsia="Times New Roman"/>
          <w:lang w:val="es-ES_tradnl"/>
        </w:rPr>
        <w:t xml:space="preserve"> </w:t>
      </w:r>
      <w:r w:rsidRPr="005101B9">
        <w:rPr>
          <w:rFonts w:eastAsia="Times New Roman"/>
          <w:highlight w:val="lightGray"/>
          <w:u w:val="single"/>
          <w:lang w:val="es-ES_tradnl"/>
        </w:rPr>
        <w:t>a los fines del examen y que sean representativos de la variedad en cualquier</w:t>
      </w:r>
      <w:r w:rsidRPr="005101B9">
        <w:rPr>
          <w:rFonts w:eastAsia="Times New Roman"/>
          <w:lang w:val="es-ES_tradnl"/>
        </w:rPr>
        <w:t xml:space="preserve"> </w:t>
      </w:r>
      <w:r w:rsidRPr="005101B9">
        <w:rPr>
          <w:rFonts w:eastAsia="Times New Roman"/>
          <w:strike/>
          <w:highlight w:val="lightGray"/>
          <w:lang w:val="es-ES_tradnl"/>
        </w:rPr>
        <w:t>en cada</w:t>
      </w:r>
      <w:r w:rsidRPr="005101B9">
        <w:rPr>
          <w:rFonts w:eastAsia="Times New Roman"/>
          <w:lang w:val="es-ES_tradnl"/>
        </w:rPr>
        <w:t xml:space="preserve"> </w:t>
      </w:r>
      <w:r w:rsidRPr="005101B9">
        <w:rPr>
          <w:rFonts w:eastAsia="Times New Roman"/>
          <w:strike/>
          <w:highlight w:val="lightGray"/>
          <w:lang w:val="es-ES_tradnl"/>
        </w:rPr>
        <w:t>uno de los dos</w:t>
      </w:r>
      <w:r w:rsidRPr="005101B9">
        <w:rPr>
          <w:rFonts w:eastAsia="Times New Roman"/>
          <w:lang w:val="es-ES_tradnl"/>
        </w:rPr>
        <w:t xml:space="preserve"> ciclo</w:t>
      </w:r>
      <w:r w:rsidRPr="005101B9">
        <w:rPr>
          <w:rFonts w:eastAsia="Times New Roman"/>
          <w:strike/>
          <w:highlight w:val="lightGray"/>
          <w:lang w:val="es-ES_tradnl"/>
        </w:rPr>
        <w:t>s</w:t>
      </w:r>
      <w:r w:rsidRPr="005101B9">
        <w:rPr>
          <w:rFonts w:eastAsia="Times New Roman"/>
          <w:lang w:val="es-ES_tradnl"/>
        </w:rPr>
        <w:t xml:space="preserve"> de cultivo. </w:t>
      </w:r>
      <w:r w:rsidRPr="005101B9">
        <w:rPr>
          <w:rFonts w:eastAsia="Times New Roman"/>
          <w:highlight w:val="lightGray"/>
          <w:u w:val="single"/>
          <w:lang w:val="es-ES_tradnl"/>
        </w:rPr>
        <w:t>El examen de una variedad debe comenzar en el ciclo de cultivo siguiente una vez que los árboles del ensayo hayan dado al menos una cosecha de fruto</w:t>
      </w:r>
      <w:r w:rsidRPr="005101B9">
        <w:rPr>
          <w:rFonts w:eastAsia="Times New Roman"/>
          <w:lang w:val="es-ES_tradnl"/>
        </w:rPr>
        <w:t>.”</w:t>
      </w:r>
    </w:p>
    <w:p w14:paraId="2E305E9F" w14:textId="77777777" w:rsidR="004F68F5" w:rsidRPr="005101B9" w:rsidRDefault="004F68F5" w:rsidP="004F68F5">
      <w:pPr>
        <w:rPr>
          <w:rFonts w:eastAsia="MS Mincho"/>
          <w:lang w:val="es-ES_tradnl"/>
        </w:rPr>
      </w:pPr>
    </w:p>
    <w:p w14:paraId="10AACECF" w14:textId="77777777" w:rsidR="004F68F5" w:rsidRPr="005101B9" w:rsidRDefault="004F68F5" w:rsidP="004F68F5">
      <w:pPr>
        <w:rPr>
          <w:rFonts w:eastAsia="MS Mincho"/>
          <w:lang w:val="es-ES_tradnl"/>
        </w:rPr>
      </w:pPr>
    </w:p>
    <w:p w14:paraId="61D91C3E" w14:textId="77777777" w:rsidR="00225F02" w:rsidRPr="005101B9" w:rsidRDefault="00225F02" w:rsidP="00243E9E">
      <w:pPr>
        <w:keepLines/>
        <w:rPr>
          <w:rFonts w:eastAsia="Times New Roman"/>
          <w:lang w:val="es-ES_tradnl"/>
        </w:rPr>
      </w:pPr>
      <w:r w:rsidRPr="005101B9">
        <w:rPr>
          <w:rFonts w:eastAsia="Times New Roman"/>
          <w:lang w:val="es-ES_tradnl"/>
        </w:rPr>
        <w:lastRenderedPageBreak/>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t xml:space="preserve">El TWF convino en que no es necesario ofrecer orientaciones para evitar el examen de plantas o árboles jóvenes, dado que ya está cubierto por la palabra “representativos”. El TWF convino en que la palabra “satisfactoria” puede definirse en relación con la cantidad, calidad y representatividad de una cosecha de frutos de la variedad. El TWF convino en proponer que se modifique la orientación ofrecida en el ASW 3 d) “Especies frutales” del documento TGP/7 para que el texto sea el siguiente: </w:t>
      </w:r>
    </w:p>
    <w:p w14:paraId="611D632B" w14:textId="77777777" w:rsidR="00225F02" w:rsidRPr="005101B9" w:rsidRDefault="00225F02" w:rsidP="00225F02">
      <w:pPr>
        <w:keepNext/>
        <w:ind w:left="567" w:right="567"/>
        <w:rPr>
          <w:rFonts w:eastAsia="Times New Roman"/>
          <w:lang w:val="es-ES_tradnl"/>
        </w:rPr>
      </w:pPr>
    </w:p>
    <w:p w14:paraId="3F7250FF" w14:textId="77777777" w:rsidR="00225F02" w:rsidRPr="005101B9" w:rsidRDefault="00225F02" w:rsidP="00225F02">
      <w:pPr>
        <w:ind w:left="567"/>
        <w:rPr>
          <w:rFonts w:eastAsia="Times New Roman"/>
          <w:u w:val="single"/>
          <w:lang w:val="es-ES_tradnl"/>
        </w:rPr>
      </w:pPr>
      <w:r w:rsidRPr="005101B9">
        <w:rPr>
          <w:rFonts w:eastAsia="Times New Roman"/>
          <w:u w:val="single"/>
          <w:lang w:val="es-ES_tradnl"/>
        </w:rPr>
        <w:t xml:space="preserve">“ASW 3 (capítulo 3.1.2) – Explicación del ciclo de cultivo </w:t>
      </w:r>
    </w:p>
    <w:p w14:paraId="1F9A2174" w14:textId="77777777" w:rsidR="00225F02" w:rsidRPr="005101B9" w:rsidRDefault="00225F02" w:rsidP="00225F02">
      <w:pPr>
        <w:keepNext/>
        <w:ind w:left="567" w:right="567"/>
        <w:jc w:val="left"/>
        <w:rPr>
          <w:rFonts w:eastAsia="Times New Roman"/>
          <w:i/>
          <w:lang w:val="es-ES_tradnl"/>
        </w:rPr>
      </w:pPr>
    </w:p>
    <w:p w14:paraId="7702184F" w14:textId="77777777" w:rsidR="00225F02" w:rsidRPr="005101B9" w:rsidRDefault="00225F02" w:rsidP="00225F02">
      <w:pPr>
        <w:keepNext/>
        <w:ind w:left="567" w:right="567"/>
        <w:jc w:val="left"/>
        <w:rPr>
          <w:rFonts w:eastAsia="Times New Roman"/>
          <w:iCs/>
          <w:lang w:val="es-ES_tradnl"/>
        </w:rPr>
      </w:pPr>
      <w:r w:rsidRPr="005101B9">
        <w:rPr>
          <w:rFonts w:eastAsia="Times New Roman"/>
          <w:lang w:val="es-ES_tradnl"/>
        </w:rPr>
        <w:t>[…]</w:t>
      </w:r>
    </w:p>
    <w:p w14:paraId="266B7F3E" w14:textId="77777777" w:rsidR="00225F02" w:rsidRPr="005101B9" w:rsidRDefault="00225F02" w:rsidP="00225F02">
      <w:pPr>
        <w:ind w:left="567" w:right="567"/>
        <w:jc w:val="left"/>
        <w:rPr>
          <w:rFonts w:eastAsia="Times New Roman"/>
          <w:iCs/>
          <w:lang w:val="es-ES_tradnl"/>
        </w:rPr>
      </w:pPr>
    </w:p>
    <w:p w14:paraId="04FD40C6" w14:textId="77777777" w:rsidR="00225F02" w:rsidRPr="005101B9" w:rsidRDefault="00225F02" w:rsidP="00225F02">
      <w:pPr>
        <w:ind w:left="567"/>
        <w:rPr>
          <w:rFonts w:eastAsia="Times New Roman"/>
          <w:i/>
          <w:iCs/>
          <w:lang w:val="es-ES_tradnl"/>
        </w:rPr>
      </w:pPr>
      <w:r w:rsidRPr="005101B9">
        <w:rPr>
          <w:rFonts w:eastAsia="Times New Roman"/>
          <w:i/>
          <w:lang w:val="es-ES_tradnl"/>
        </w:rPr>
        <w:t>d)</w:t>
      </w:r>
      <w:r w:rsidRPr="005101B9">
        <w:rPr>
          <w:rFonts w:eastAsia="Times New Roman"/>
          <w:i/>
          <w:lang w:val="es-ES_tradnl"/>
        </w:rPr>
        <w:tab/>
        <w:t>Especies frutales</w:t>
      </w:r>
    </w:p>
    <w:p w14:paraId="02AA97D7" w14:textId="77777777" w:rsidR="00225F02" w:rsidRPr="005101B9" w:rsidRDefault="00225F02" w:rsidP="00225F02">
      <w:pPr>
        <w:ind w:left="567" w:right="567"/>
        <w:rPr>
          <w:rFonts w:eastAsia="Times New Roman"/>
          <w:lang w:val="es-ES_tradnl"/>
        </w:rPr>
      </w:pPr>
    </w:p>
    <w:p w14:paraId="658FD783" w14:textId="428A3264" w:rsidR="00225F02" w:rsidRPr="005101B9" w:rsidRDefault="00225F02" w:rsidP="00225F02">
      <w:pPr>
        <w:ind w:left="567" w:right="567"/>
        <w:rPr>
          <w:rFonts w:eastAsia="Times New Roman"/>
          <w:lang w:val="es-ES_tradnl"/>
        </w:rPr>
      </w:pPr>
      <w:r w:rsidRPr="005101B9">
        <w:rPr>
          <w:rFonts w:eastAsia="Times New Roman"/>
          <w:lang w:val="es-ES_tradnl"/>
        </w:rPr>
        <w:t xml:space="preserve">En el caso de directrices de examen aplicables a especies frutales, </w:t>
      </w:r>
      <w:r w:rsidR="00EE3A18" w:rsidRPr="005101B9">
        <w:rPr>
          <w:rFonts w:eastAsia="Times New Roman"/>
          <w:lang w:val="es-ES_tradnl"/>
        </w:rPr>
        <w:t xml:space="preserve">se podrá añadir </w:t>
      </w:r>
      <w:r w:rsidRPr="005101B9">
        <w:rPr>
          <w:rFonts w:eastAsia="Times New Roman"/>
          <w:lang w:val="es-ES_tradnl"/>
        </w:rPr>
        <w:t>la siguiente frase en el capítulo 3.1:</w:t>
      </w:r>
    </w:p>
    <w:p w14:paraId="5A4BB693" w14:textId="77777777" w:rsidR="00225F02" w:rsidRPr="005101B9" w:rsidRDefault="00225F02" w:rsidP="00225F02">
      <w:pPr>
        <w:ind w:left="567" w:right="567"/>
        <w:rPr>
          <w:rFonts w:eastAsia="Times New Roman"/>
          <w:lang w:val="es-ES_tradnl"/>
        </w:rPr>
      </w:pPr>
    </w:p>
    <w:p w14:paraId="25A80B28" w14:textId="3FD6A6C5" w:rsidR="00225F02" w:rsidRPr="005101B9" w:rsidRDefault="00225F02" w:rsidP="00225F02">
      <w:pPr>
        <w:ind w:left="567" w:right="567"/>
        <w:rPr>
          <w:rFonts w:eastAsia="Times New Roman"/>
          <w:lang w:val="es-ES_tradnl"/>
        </w:rPr>
      </w:pPr>
      <w:r w:rsidRPr="005101B9">
        <w:rPr>
          <w:rFonts w:eastAsia="Times New Roman"/>
          <w:lang w:val="es-ES_tradnl"/>
        </w:rPr>
        <w:t xml:space="preserve">En particular, es esencial que los [árboles]/[las plantas] produzcan </w:t>
      </w:r>
      <w:r w:rsidRPr="005101B9">
        <w:rPr>
          <w:rFonts w:eastAsia="Times New Roman"/>
          <w:strike/>
          <w:highlight w:val="lightGray"/>
          <w:lang w:val="es-ES_tradnl"/>
        </w:rPr>
        <w:t>una cosecha satisfactoria de</w:t>
      </w:r>
      <w:r w:rsidRPr="005101B9">
        <w:rPr>
          <w:rFonts w:eastAsia="Times New Roman"/>
          <w:lang w:val="es-ES_tradnl"/>
        </w:rPr>
        <w:t xml:space="preserve"> frutos </w:t>
      </w:r>
      <w:r w:rsidRPr="005101B9">
        <w:rPr>
          <w:rFonts w:eastAsia="Times New Roman"/>
          <w:highlight w:val="lightGray"/>
          <w:u w:val="single"/>
          <w:lang w:val="es-ES_tradnl"/>
        </w:rPr>
        <w:t>en cantidad y calidad suficient</w:t>
      </w:r>
      <w:r w:rsidR="003F1B0F" w:rsidRPr="005101B9">
        <w:rPr>
          <w:rFonts w:eastAsia="Times New Roman"/>
          <w:highlight w:val="lightGray"/>
          <w:u w:val="single"/>
          <w:lang w:val="es-ES_tradnl"/>
        </w:rPr>
        <w:t>e</w:t>
      </w:r>
      <w:r w:rsidR="0021580E" w:rsidRPr="005101B9">
        <w:rPr>
          <w:rFonts w:eastAsia="Times New Roman"/>
          <w:highlight w:val="lightGray"/>
          <w:u w:val="single"/>
          <w:lang w:val="es-ES_tradnl"/>
        </w:rPr>
        <w:t xml:space="preserve">s </w:t>
      </w:r>
      <w:r w:rsidRPr="005101B9">
        <w:rPr>
          <w:rFonts w:eastAsia="Times New Roman"/>
          <w:highlight w:val="lightGray"/>
          <w:u w:val="single"/>
          <w:lang w:val="es-ES_tradnl"/>
        </w:rPr>
        <w:t>a los fines del examen y que sean representativos de la variedad en cualquier</w:t>
      </w:r>
      <w:r w:rsidRPr="005101B9">
        <w:rPr>
          <w:rFonts w:eastAsia="Times New Roman"/>
          <w:lang w:val="es-ES_tradnl"/>
        </w:rPr>
        <w:t xml:space="preserve"> </w:t>
      </w:r>
      <w:r w:rsidRPr="005101B9">
        <w:rPr>
          <w:rFonts w:eastAsia="Times New Roman"/>
          <w:strike/>
          <w:highlight w:val="lightGray"/>
          <w:lang w:val="es-ES_tradnl"/>
        </w:rPr>
        <w:t>en cada</w:t>
      </w:r>
      <w:r w:rsidRPr="005101B9">
        <w:rPr>
          <w:strike/>
          <w:highlight w:val="lightGray"/>
          <w:lang w:val="es-ES_tradnl"/>
        </w:rPr>
        <w:t xml:space="preserve"> </w:t>
      </w:r>
      <w:r w:rsidRPr="005101B9">
        <w:rPr>
          <w:rFonts w:eastAsia="Times New Roman"/>
          <w:strike/>
          <w:highlight w:val="lightGray"/>
          <w:lang w:val="es-ES_tradnl"/>
        </w:rPr>
        <w:t>uno de los dos</w:t>
      </w:r>
      <w:r w:rsidRPr="005101B9">
        <w:rPr>
          <w:strike/>
          <w:highlight w:val="lightGray"/>
          <w:lang w:val="es-ES_tradnl"/>
        </w:rPr>
        <w:t xml:space="preserve"> </w:t>
      </w:r>
      <w:r w:rsidRPr="005101B9">
        <w:rPr>
          <w:rFonts w:eastAsia="Times New Roman"/>
          <w:lang w:val="es-ES_tradnl"/>
        </w:rPr>
        <w:t>ciclo</w:t>
      </w:r>
      <w:r w:rsidRPr="005101B9">
        <w:rPr>
          <w:rFonts w:eastAsia="Times New Roman"/>
          <w:strike/>
          <w:highlight w:val="lightGray"/>
          <w:lang w:val="es-ES_tradnl"/>
        </w:rPr>
        <w:t>s</w:t>
      </w:r>
      <w:r w:rsidRPr="005101B9">
        <w:rPr>
          <w:rFonts w:eastAsia="Times New Roman"/>
          <w:lang w:val="es-ES_tradnl"/>
        </w:rPr>
        <w:t xml:space="preserve"> de cultivo.”</w:t>
      </w:r>
    </w:p>
    <w:p w14:paraId="033DB282" w14:textId="77777777" w:rsidR="004F68F5" w:rsidRPr="005101B9" w:rsidRDefault="004F68F5" w:rsidP="004F68F5">
      <w:pPr>
        <w:rPr>
          <w:rFonts w:eastAsia="MS Mincho"/>
          <w:lang w:val="es-ES_tradnl"/>
        </w:rPr>
      </w:pPr>
    </w:p>
    <w:p w14:paraId="70F5D3E7" w14:textId="77777777" w:rsidR="004F68F5" w:rsidRPr="005101B9" w:rsidRDefault="004F68F5" w:rsidP="004F68F5">
      <w:pPr>
        <w:rPr>
          <w:rFonts w:eastAsia="MS Mincho"/>
          <w:lang w:val="es-ES_tradnl"/>
        </w:rPr>
      </w:pPr>
    </w:p>
    <w:p w14:paraId="186DB28F" w14:textId="77777777" w:rsidR="00130365" w:rsidRPr="005101B9" w:rsidRDefault="00130365">
      <w:pPr>
        <w:keepNext/>
        <w:rPr>
          <w:u w:val="single"/>
          <w:lang w:val="es-ES_tradnl"/>
        </w:rPr>
      </w:pPr>
      <w:r w:rsidRPr="005101B9">
        <w:rPr>
          <w:u w:val="single"/>
          <w:lang w:val="es-ES_tradnl"/>
        </w:rPr>
        <w:t>Novedades en el Comité Técnico en 2025</w:t>
      </w:r>
    </w:p>
    <w:p w14:paraId="73EA1396" w14:textId="77777777" w:rsidR="0046229E" w:rsidRPr="005101B9" w:rsidRDefault="0046229E">
      <w:pPr>
        <w:keepNext/>
        <w:rPr>
          <w:kern w:val="2"/>
          <w:lang w:val="es-ES_tradnl"/>
          <w14:ligatures w14:val="standardContextual"/>
        </w:rPr>
      </w:pPr>
    </w:p>
    <w:p w14:paraId="65054C08" w14:textId="629D04B1" w:rsidR="00130365" w:rsidRPr="005101B9" w:rsidRDefault="00D96ACD">
      <w:pPr>
        <w:rPr>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130365" w:rsidRPr="005101B9">
        <w:rPr>
          <w:lang w:val="es-ES_tradnl"/>
        </w:rPr>
        <w:t xml:space="preserve">En su sexagésima primera sesión, el TC examinó la propuesta de modificar el documento TGP/7 “Elaboración de las directrices de </w:t>
      </w:r>
      <w:r w:rsidR="00130365" w:rsidRPr="005101B9">
        <w:rPr>
          <w:rFonts w:eastAsia="Times New Roman"/>
          <w:lang w:val="es-ES_tradnl"/>
        </w:rPr>
        <w:t>examen</w:t>
      </w:r>
      <w:r w:rsidR="00130365" w:rsidRPr="005101B9">
        <w:rPr>
          <w:lang w:val="es-ES_tradnl"/>
        </w:rPr>
        <w:t xml:space="preserve"> (Revisión)” en relación con el número de ciclos de cultivo y la conclusión del examen, según se expone en los párrafos 22 a 24 del documento SESSIONS/2025/2, incluido el siguiente texto estándar:</w:t>
      </w:r>
    </w:p>
    <w:p w14:paraId="36874E6C" w14:textId="77777777" w:rsidR="0046229E" w:rsidRPr="005101B9" w:rsidRDefault="0046229E">
      <w:pPr>
        <w:rPr>
          <w:kern w:val="2"/>
          <w:lang w:val="es-ES_tradnl"/>
          <w14:ligatures w14:val="standardContextual"/>
        </w:rPr>
      </w:pPr>
    </w:p>
    <w:p w14:paraId="229AA5D4" w14:textId="12AC4AD2" w:rsidR="00130365" w:rsidRPr="005101B9" w:rsidRDefault="00130365">
      <w:pPr>
        <w:ind w:left="567"/>
        <w:divId w:val="1551306151"/>
        <w:rPr>
          <w:u w:val="single"/>
          <w:lang w:val="es-ES_tradnl"/>
        </w:rPr>
      </w:pPr>
      <w:r w:rsidRPr="005101B9">
        <w:rPr>
          <w:u w:val="single"/>
          <w:lang w:val="es-ES_tradnl"/>
        </w:rPr>
        <w:t>“3.</w:t>
      </w:r>
      <w:r w:rsidR="001C5B36">
        <w:rPr>
          <w:u w:val="single"/>
          <w:lang w:val="es-ES_tradnl"/>
        </w:rPr>
        <w:tab/>
      </w:r>
      <w:r w:rsidRPr="005101B9">
        <w:rPr>
          <w:u w:val="single"/>
          <w:lang w:val="es-ES_tradnl"/>
        </w:rPr>
        <w:t>Método de examen</w:t>
      </w:r>
    </w:p>
    <w:p w14:paraId="277153DB" w14:textId="77777777" w:rsidR="0046229E" w:rsidRPr="005101B9" w:rsidRDefault="0046229E">
      <w:pPr>
        <w:ind w:left="567"/>
        <w:divId w:val="1551306151"/>
        <w:rPr>
          <w:kern w:val="2"/>
          <w:lang w:val="es-ES_tradnl"/>
          <w14:ligatures w14:val="standardContextual"/>
        </w:rPr>
      </w:pPr>
    </w:p>
    <w:p w14:paraId="21D883F1" w14:textId="1C20B720" w:rsidR="00130365" w:rsidRPr="005101B9" w:rsidRDefault="00130365">
      <w:pPr>
        <w:ind w:left="567"/>
        <w:divId w:val="1551306151"/>
        <w:rPr>
          <w:lang w:val="es-ES_tradnl"/>
        </w:rPr>
      </w:pPr>
      <w:r w:rsidRPr="005101B9">
        <w:rPr>
          <w:lang w:val="es-ES_tradnl"/>
        </w:rPr>
        <w:t>3.1</w:t>
      </w:r>
      <w:r w:rsidR="001C5B36">
        <w:rPr>
          <w:lang w:val="es-ES_tradnl"/>
        </w:rPr>
        <w:tab/>
      </w:r>
      <w:r w:rsidRPr="005101B9">
        <w:rPr>
          <w:lang w:val="es-ES_tradnl"/>
        </w:rPr>
        <w:t>Número de ciclos de cultivo</w:t>
      </w:r>
    </w:p>
    <w:p w14:paraId="501FF2B1" w14:textId="77777777" w:rsidR="0046229E" w:rsidRPr="005101B9" w:rsidRDefault="0046229E">
      <w:pPr>
        <w:ind w:left="567"/>
        <w:divId w:val="1551306151"/>
        <w:rPr>
          <w:lang w:val="es-ES_tradnl"/>
        </w:rPr>
      </w:pPr>
    </w:p>
    <w:p w14:paraId="0A4A8ACC" w14:textId="41AACA4E" w:rsidR="00130365" w:rsidRPr="005101B9" w:rsidRDefault="00130365">
      <w:pPr>
        <w:ind w:left="567"/>
        <w:divId w:val="1551306151"/>
        <w:rPr>
          <w:lang w:val="es-ES_tradnl"/>
        </w:rPr>
      </w:pPr>
      <w:r w:rsidRPr="005101B9">
        <w:rPr>
          <w:lang w:val="es-ES_tradnl"/>
        </w:rPr>
        <w:t xml:space="preserve">La duración mínima de los ensayos deberá ser </w:t>
      </w:r>
      <w:r w:rsidRPr="005101B9">
        <w:rPr>
          <w:strike/>
          <w:shd w:val="clear" w:color="auto" w:fill="D3D3D3"/>
          <w:lang w:val="es-ES_tradnl"/>
        </w:rPr>
        <w:t>normalmente</w:t>
      </w:r>
      <w:r w:rsidRPr="005101B9">
        <w:rPr>
          <w:u w:val="single"/>
          <w:shd w:val="clear" w:color="auto" w:fill="D3D3D3"/>
          <w:lang w:val="es-ES_tradnl"/>
        </w:rPr>
        <w:t>, por lo general,</w:t>
      </w:r>
      <w:r w:rsidRPr="005101B9">
        <w:rPr>
          <w:lang w:val="es-ES_tradnl"/>
        </w:rPr>
        <w:t xml:space="preserve"> de:</w:t>
      </w:r>
    </w:p>
    <w:p w14:paraId="60C331B1" w14:textId="77777777" w:rsidR="0046229E" w:rsidRPr="005101B9" w:rsidRDefault="0046229E">
      <w:pPr>
        <w:ind w:left="567"/>
        <w:divId w:val="1551306151"/>
        <w:rPr>
          <w:lang w:val="es-ES_tradnl"/>
        </w:rPr>
      </w:pPr>
    </w:p>
    <w:p w14:paraId="68BB6A35" w14:textId="74AE60C4" w:rsidR="00130365" w:rsidRPr="005101B9" w:rsidRDefault="00130365">
      <w:pPr>
        <w:ind w:left="567"/>
        <w:divId w:val="1551306151"/>
        <w:rPr>
          <w:lang w:val="es-ES_tradnl"/>
        </w:rPr>
      </w:pPr>
      <w:r w:rsidRPr="005101B9">
        <w:rPr>
          <w:lang w:val="es-ES_tradnl"/>
        </w:rPr>
        <w:t xml:space="preserve">{ </w:t>
      </w:r>
      <w:r w:rsidRPr="005101B9">
        <w:rPr>
          <w:b/>
          <w:bCs/>
          <w:lang w:val="es-ES_tradnl"/>
        </w:rPr>
        <w:t>ASW 2</w:t>
      </w:r>
      <w:r w:rsidRPr="005101B9">
        <w:rPr>
          <w:lang w:val="es-ES_tradnl"/>
        </w:rPr>
        <w:t xml:space="preserve"> (capítulo 3.1(.1)) – Número de ciclos de cultivo }</w:t>
      </w:r>
    </w:p>
    <w:p w14:paraId="77336B89" w14:textId="77777777" w:rsidR="0046229E" w:rsidRPr="005101B9" w:rsidRDefault="0046229E">
      <w:pPr>
        <w:ind w:left="567"/>
        <w:divId w:val="1551306151"/>
        <w:rPr>
          <w:u w:val="single"/>
          <w:shd w:val="clear" w:color="auto" w:fill="D3D3D3"/>
          <w:lang w:val="es-ES_tradnl"/>
        </w:rPr>
      </w:pPr>
    </w:p>
    <w:p w14:paraId="78E652A2" w14:textId="1AB8CE1C" w:rsidR="00130365" w:rsidRPr="005101B9" w:rsidRDefault="00130365">
      <w:pPr>
        <w:ind w:left="567"/>
        <w:divId w:val="1551306151"/>
        <w:rPr>
          <w:lang w:val="es-ES_tradnl"/>
        </w:rPr>
      </w:pPr>
      <w:r w:rsidRPr="005101B9">
        <w:rPr>
          <w:u w:val="single"/>
          <w:shd w:val="clear" w:color="auto" w:fill="D3D3D3"/>
          <w:lang w:val="es-ES_tradnl"/>
        </w:rPr>
        <w:t>Se podrá concluir el examen de una variedad cuando la autoridad competente pueda determinar con certeza su resultado.</w:t>
      </w:r>
    </w:p>
    <w:p w14:paraId="05E1C708" w14:textId="77777777" w:rsidR="0046229E" w:rsidRPr="005101B9" w:rsidRDefault="0046229E">
      <w:pPr>
        <w:ind w:left="567"/>
        <w:divId w:val="1551306151"/>
        <w:rPr>
          <w:lang w:val="es-ES_tradnl"/>
        </w:rPr>
      </w:pPr>
    </w:p>
    <w:p w14:paraId="36FD19D2" w14:textId="14471448" w:rsidR="00130365" w:rsidRPr="005101B9" w:rsidRDefault="00130365">
      <w:pPr>
        <w:ind w:left="567"/>
        <w:divId w:val="1551306151"/>
        <w:rPr>
          <w:lang w:val="es-ES_tradnl"/>
        </w:rPr>
      </w:pPr>
      <w:r w:rsidRPr="005101B9">
        <w:rPr>
          <w:lang w:val="es-ES_tradnl"/>
        </w:rPr>
        <w:t>{ GN 8 (capítulo 3.1.2) – Explicación del ciclo de cultivo }</w:t>
      </w:r>
    </w:p>
    <w:p w14:paraId="26D468A1" w14:textId="77777777" w:rsidR="00130365" w:rsidRPr="005101B9" w:rsidRDefault="00130365">
      <w:pPr>
        <w:ind w:left="567"/>
        <w:divId w:val="1551306151"/>
        <w:rPr>
          <w:lang w:val="es-ES_tradnl"/>
        </w:rPr>
      </w:pPr>
      <w:r w:rsidRPr="005101B9">
        <w:rPr>
          <w:lang w:val="es-ES_tradnl"/>
        </w:rPr>
        <w:t xml:space="preserve">{ </w:t>
      </w:r>
      <w:r w:rsidRPr="005101B9">
        <w:rPr>
          <w:b/>
          <w:bCs/>
          <w:lang w:val="es-ES_tradnl"/>
        </w:rPr>
        <w:t>ASW 3</w:t>
      </w:r>
      <w:r w:rsidRPr="005101B9">
        <w:rPr>
          <w:lang w:val="es-ES_tradnl"/>
        </w:rPr>
        <w:t xml:space="preserve"> (capítulo 3.1.2) – Explicación del ciclo de cultivo }</w:t>
      </w:r>
    </w:p>
    <w:p w14:paraId="45B5F732" w14:textId="77777777" w:rsidR="0046229E" w:rsidRPr="005101B9" w:rsidRDefault="0046229E">
      <w:pPr>
        <w:ind w:left="567"/>
        <w:divId w:val="1551306151"/>
        <w:rPr>
          <w:strike/>
          <w:shd w:val="clear" w:color="auto" w:fill="D3D3D3"/>
          <w:lang w:val="es-ES_tradnl"/>
        </w:rPr>
      </w:pPr>
    </w:p>
    <w:p w14:paraId="3DBEAC13" w14:textId="419D2C36" w:rsidR="00130365" w:rsidRPr="005101B9" w:rsidRDefault="00130365">
      <w:pPr>
        <w:ind w:left="567"/>
        <w:divId w:val="1551306151"/>
        <w:rPr>
          <w:lang w:val="es-ES_tradnl"/>
        </w:rPr>
      </w:pPr>
      <w:r w:rsidRPr="005101B9">
        <w:rPr>
          <w:strike/>
          <w:shd w:val="clear" w:color="auto" w:fill="D3D3D3"/>
          <w:lang w:val="es-ES_tradnl"/>
        </w:rPr>
        <w:t>Se podrá concluir el examen de una variedad cuando la autoridad competente pueda determinar con certeza su resultado.</w:t>
      </w:r>
      <w:r w:rsidRPr="005101B9">
        <w:rPr>
          <w:lang w:val="es-ES_tradnl"/>
        </w:rPr>
        <w:t>”</w:t>
      </w:r>
    </w:p>
    <w:p w14:paraId="55082486" w14:textId="77777777" w:rsidR="0046229E" w:rsidRPr="005101B9" w:rsidRDefault="0046229E">
      <w:pPr>
        <w:ind w:left="567"/>
        <w:divId w:val="1551306151"/>
        <w:rPr>
          <w:lang w:val="es-ES_tradnl"/>
        </w:rPr>
      </w:pPr>
    </w:p>
    <w:p w14:paraId="72CF4254" w14:textId="6C32E156" w:rsidR="00130365" w:rsidRPr="005101B9" w:rsidRDefault="001C5B36">
      <w:pPr>
        <w:rPr>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130365" w:rsidRPr="005101B9">
        <w:rPr>
          <w:lang w:val="es-ES_tradnl"/>
        </w:rPr>
        <w:t>El TC convino en invitar a los TWP, en sus sesiones de 2026, a examinar las modificaciones propuestas del documento TGP/7 “Elaboración de las directrices de examen (Revisión)” en relación con el número de ciclos de cultivo y la conclusión del examen, según se expone en los párrafos 22 a 24 del documento SESSIONS/2025/2.</w:t>
      </w:r>
    </w:p>
    <w:p w14:paraId="7B357C0E" w14:textId="77777777" w:rsidR="0046229E" w:rsidRPr="005101B9" w:rsidRDefault="0046229E">
      <w:pPr>
        <w:rPr>
          <w:kern w:val="2"/>
          <w:lang w:val="es-ES_tradnl"/>
          <w14:ligatures w14:val="standardContextual"/>
        </w:rPr>
      </w:pPr>
    </w:p>
    <w:p w14:paraId="52C98F35" w14:textId="2E91C3CD" w:rsidR="00130365" w:rsidRPr="005101B9" w:rsidRDefault="001C5B36">
      <w:pPr>
        <w:rPr>
          <w:kern w:val="2"/>
          <w:lang w:val="es-ES_tradnl"/>
          <w14:ligatures w14:val="standardContextua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130365" w:rsidRPr="005101B9">
        <w:rPr>
          <w:lang w:val="es-ES_tradnl"/>
        </w:rPr>
        <w:t>El TC convino en incluir una propuesta de Nueva Zelandia de considerar la supresión de la palabra “mínima” en la propuesta que examinarían los TWP.</w:t>
      </w:r>
    </w:p>
    <w:p w14:paraId="0093AF94" w14:textId="77777777" w:rsidR="00D96ACD" w:rsidRPr="005101B9" w:rsidRDefault="00D96ACD" w:rsidP="001C5B36">
      <w:pPr>
        <w:rPr>
          <w:u w:val="single"/>
          <w:lang w:val="es-ES_tradnl"/>
        </w:rPr>
      </w:pPr>
    </w:p>
    <w:p w14:paraId="4747DBB2" w14:textId="534E5EB2" w:rsidR="00F43C84" w:rsidRPr="005101B9" w:rsidRDefault="00C716E5" w:rsidP="001C5B36">
      <w:pPr>
        <w:keepNext/>
        <w:rPr>
          <w:lang w:val="es-ES_tradnl"/>
        </w:rPr>
      </w:pPr>
      <w:r w:rsidRPr="005101B9">
        <w:rPr>
          <w:u w:val="single"/>
          <w:lang w:val="es-ES_tradnl"/>
        </w:rPr>
        <w:lastRenderedPageBreak/>
        <w:t>Novedades en 2026</w:t>
      </w:r>
    </w:p>
    <w:p w14:paraId="288A3447" w14:textId="77777777" w:rsidR="004F68F5" w:rsidRPr="005101B9" w:rsidRDefault="004F68F5" w:rsidP="001C5B36">
      <w:pPr>
        <w:keepNext/>
        <w:rPr>
          <w:lang w:val="es-ES_tradnl"/>
        </w:rPr>
      </w:pPr>
    </w:p>
    <w:p w14:paraId="64671DCE" w14:textId="0F687152" w:rsidR="0015637A" w:rsidRPr="005101B9" w:rsidRDefault="001C5B36" w:rsidP="001C5B36">
      <w:pPr>
        <w:rPr>
          <w:kern w:val="2"/>
          <w:lang w:val="es-ES_tradnl"/>
          <w14:ligatures w14:val="standardContextua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467C5F" w:rsidRPr="005101B9">
        <w:rPr>
          <w:lang w:val="es-ES_tradnl"/>
        </w:rPr>
        <w:t>En sus sesiones de 2026, el TWV</w:t>
      </w:r>
      <w:r w:rsidR="00E81CB3" w:rsidRPr="005101B9">
        <w:rPr>
          <w:rStyle w:val="FootnoteReference"/>
          <w:lang w:val="es-ES_tradnl"/>
        </w:rPr>
        <w:footnoteReference w:id="17"/>
      </w:r>
      <w:r w:rsidR="00467C5F" w:rsidRPr="005101B9">
        <w:rPr>
          <w:lang w:val="es-ES_tradnl"/>
        </w:rPr>
        <w:t>, el TWA</w:t>
      </w:r>
      <w:r w:rsidR="00A733B2" w:rsidRPr="005101B9">
        <w:rPr>
          <w:rStyle w:val="FootnoteReference"/>
          <w:lang w:val="es-ES_tradnl"/>
        </w:rPr>
        <w:footnoteReference w:id="18"/>
      </w:r>
      <w:r w:rsidR="00467C5F" w:rsidRPr="005101B9">
        <w:rPr>
          <w:lang w:val="es-ES_tradnl"/>
        </w:rPr>
        <w:t>, el TWO</w:t>
      </w:r>
      <w:r w:rsidR="009F164A" w:rsidRPr="005101B9">
        <w:rPr>
          <w:rStyle w:val="FootnoteReference"/>
          <w:lang w:val="es-ES_tradnl"/>
        </w:rPr>
        <w:footnoteReference w:id="19"/>
      </w:r>
      <w:r w:rsidR="00467C5F" w:rsidRPr="005101B9">
        <w:rPr>
          <w:lang w:val="es-ES_tradnl"/>
        </w:rPr>
        <w:t xml:space="preserve"> y el TWF</w:t>
      </w:r>
      <w:r w:rsidR="009F164A" w:rsidRPr="005101B9">
        <w:rPr>
          <w:rStyle w:val="FootnoteReference"/>
          <w:lang w:val="es-ES_tradnl"/>
        </w:rPr>
        <w:footnoteReference w:id="20"/>
      </w:r>
      <w:r w:rsidR="00467C5F" w:rsidRPr="005101B9">
        <w:rPr>
          <w:lang w:val="es-ES_tradnl"/>
        </w:rPr>
        <w:t xml:space="preserve"> examinaron las modificaciones propuestas del documento TGP/7 “Elaboración de las directrices de examen”, relativas al texto estándar universal sobre el “número de ciclos de cultivo” y al momento en que se podrá concluir el examen de una variedad, según se expone en los párrafos 12 a 14 del documento TWP/10/1.</w:t>
      </w:r>
    </w:p>
    <w:p w14:paraId="183C345D" w14:textId="77777777" w:rsidR="004F68F5" w:rsidRPr="005101B9" w:rsidRDefault="004F68F5" w:rsidP="004F68F5">
      <w:pPr>
        <w:rPr>
          <w:lang w:val="es-ES_tradnl"/>
        </w:rPr>
      </w:pPr>
    </w:p>
    <w:p w14:paraId="2A850C1C" w14:textId="2A71B809" w:rsidR="0015637A" w:rsidRPr="005101B9" w:rsidRDefault="001C5B36">
      <w:pPr>
        <w:rPr>
          <w:kern w:val="2"/>
          <w:lang w:val="es-ES_tradnl"/>
          <w14:ligatures w14:val="standardContextua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CD7A12" w:rsidRPr="005101B9">
        <w:rPr>
          <w:lang w:val="es-ES_tradnl"/>
        </w:rPr>
        <w:t>El TWV tomó nota del comentario de Francia sobre si la locución “por lo general” podría dar lugar a interpretaciones diferentes en cuanto a la duración de los ensayos que deban realizarse durante dos ciclos de cultivo. El TWV convino en que el texto relativo al número de ciclos de cultivo debía proporcionar flexibilidad a las autoridades para concluir el examen, manteniendo al mismo tiempo procedimientos armonizados en la medida de lo posible.</w:t>
      </w:r>
    </w:p>
    <w:p w14:paraId="2DBE8597" w14:textId="77777777" w:rsidR="004F68F5" w:rsidRPr="005101B9" w:rsidRDefault="004F68F5" w:rsidP="004F68F5">
      <w:pPr>
        <w:rPr>
          <w:lang w:val="es-ES_tradnl"/>
        </w:rPr>
      </w:pPr>
    </w:p>
    <w:p w14:paraId="1BEEDA3B" w14:textId="16FEF01C" w:rsidR="0015637A" w:rsidRPr="005101B9" w:rsidRDefault="001C5B36">
      <w:pPr>
        <w:rPr>
          <w:kern w:val="2"/>
          <w:lang w:val="es-ES_tradnl"/>
          <w14:ligatures w14:val="standardContextua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B20520" w:rsidRPr="005101B9">
        <w:rPr>
          <w:lang w:val="es-ES_tradnl"/>
        </w:rPr>
        <w:t>El TWO examinó si debían proporcionarse aclaraciones sobre las situaciones en que no se observara el número general de ciclos de cultivo. El TWO convino en que el texto propuesto ofrecía flexibilidad suficiente para que los ensayos tuvieran una duración más corta o más larga, y que no se requerirían más aclaraciones en esta etapa.</w:t>
      </w:r>
    </w:p>
    <w:p w14:paraId="07D1AA25" w14:textId="77777777" w:rsidR="004F68F5" w:rsidRPr="005101B9" w:rsidRDefault="004F68F5" w:rsidP="004F68F5">
      <w:pPr>
        <w:rPr>
          <w:lang w:val="es-ES_tradnl"/>
        </w:rPr>
      </w:pPr>
    </w:p>
    <w:p w14:paraId="2BEC9D71" w14:textId="4AFFAC2E" w:rsidR="0015637A" w:rsidRPr="005101B9" w:rsidRDefault="001C5B36">
      <w:pPr>
        <w:keepNext/>
        <w:rPr>
          <w:kern w:val="2"/>
          <w:lang w:val="es-ES_tradnl"/>
          <w14:ligatures w14:val="standardContextua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E7252A" w:rsidRPr="005101B9">
        <w:rPr>
          <w:lang w:val="es-ES_tradnl"/>
        </w:rPr>
        <w:t>El TWV y el TWO respaldaron la propuesta de modificar el texto estándar adicional de las directrices de examen, según se expone en el documento TWP/10/1, para que quede redactado del siguiente modo:</w:t>
      </w:r>
    </w:p>
    <w:p w14:paraId="67FA4D81" w14:textId="77777777" w:rsidR="004F68F5" w:rsidRPr="005101B9" w:rsidRDefault="004F68F5" w:rsidP="004F68F5">
      <w:pPr>
        <w:rPr>
          <w:lang w:val="es-ES_tradnl"/>
        </w:rPr>
      </w:pPr>
    </w:p>
    <w:p w14:paraId="69BE3389" w14:textId="6B0647AD" w:rsidR="00C66C15" w:rsidRPr="005101B9" w:rsidRDefault="00A50EB0">
      <w:pPr>
        <w:ind w:left="567"/>
        <w:rPr>
          <w:kern w:val="2"/>
          <w:lang w:val="es-ES_tradnl"/>
          <w14:ligatures w14:val="standardContextual"/>
        </w:rPr>
      </w:pPr>
      <w:r w:rsidRPr="005101B9">
        <w:rPr>
          <w:lang w:val="es-ES_tradnl"/>
        </w:rPr>
        <w:t>“a)</w:t>
      </w:r>
      <w:r w:rsidR="00EC74D1" w:rsidRPr="005101B9">
        <w:rPr>
          <w:lang w:val="es-ES_tradnl"/>
        </w:rPr>
        <w:tab/>
      </w:r>
      <w:r w:rsidRPr="005101B9">
        <w:rPr>
          <w:lang w:val="es-ES_tradnl"/>
        </w:rPr>
        <w:t>Ciclo de cultivo único:</w:t>
      </w:r>
    </w:p>
    <w:p w14:paraId="1EA2DF3D" w14:textId="77777777" w:rsidR="004F68F5" w:rsidRPr="005101B9" w:rsidRDefault="004F68F5" w:rsidP="004F68F5">
      <w:pPr>
        <w:ind w:left="567"/>
        <w:rPr>
          <w:lang w:val="es-ES_tradnl"/>
        </w:rPr>
      </w:pPr>
    </w:p>
    <w:p w14:paraId="4890E8F3" w14:textId="65819471" w:rsidR="00F43C84" w:rsidRPr="005101B9" w:rsidRDefault="003F7684">
      <w:pPr>
        <w:ind w:left="567"/>
        <w:rPr>
          <w:lang w:val="es-ES_tradnl"/>
        </w:rPr>
      </w:pPr>
      <w:r w:rsidRPr="005101B9">
        <w:rPr>
          <w:lang w:val="es-ES_tradnl"/>
        </w:rPr>
        <w:t xml:space="preserve">La duración </w:t>
      </w:r>
      <w:r w:rsidRPr="005101B9">
        <w:rPr>
          <w:strike/>
          <w:shd w:val="clear" w:color="auto" w:fill="D3D3D3"/>
          <w:lang w:val="es-ES_tradnl"/>
        </w:rPr>
        <w:t>mínima</w:t>
      </w:r>
      <w:r w:rsidRPr="005101B9">
        <w:rPr>
          <w:lang w:val="es-ES_tradnl"/>
        </w:rPr>
        <w:t xml:space="preserve"> de los ensayos deberá ser </w:t>
      </w:r>
      <w:r w:rsidRPr="005101B9">
        <w:rPr>
          <w:strike/>
          <w:shd w:val="clear" w:color="auto" w:fill="D3D3D3"/>
          <w:lang w:val="es-ES_tradnl"/>
        </w:rPr>
        <w:t>normalmente</w:t>
      </w:r>
      <w:r w:rsidRPr="005101B9">
        <w:rPr>
          <w:u w:val="single"/>
          <w:shd w:val="clear" w:color="auto" w:fill="D3D3D3"/>
          <w:lang w:val="es-ES_tradnl"/>
        </w:rPr>
        <w:t>, por lo general,</w:t>
      </w:r>
      <w:r w:rsidRPr="005101B9">
        <w:rPr>
          <w:lang w:val="es-ES_tradnl"/>
        </w:rPr>
        <w:t xml:space="preserve"> de un único ciclo de cultivo. </w:t>
      </w:r>
      <w:r w:rsidRPr="005101B9">
        <w:rPr>
          <w:u w:val="single"/>
          <w:shd w:val="clear" w:color="auto" w:fill="D3D3D3"/>
          <w:lang w:val="es-ES_tradnl"/>
        </w:rPr>
        <w:t>Se podrá concluir el examen de una variedad cuando la autoridad competente pueda determinar con certeza su resultado</w:t>
      </w:r>
      <w:r w:rsidRPr="005101B9">
        <w:rPr>
          <w:lang w:val="es-ES_tradnl"/>
        </w:rPr>
        <w:t>.”</w:t>
      </w:r>
    </w:p>
    <w:p w14:paraId="5EFDDFD0" w14:textId="77777777" w:rsidR="004F68F5" w:rsidRPr="005101B9" w:rsidRDefault="004F68F5" w:rsidP="004F68F5">
      <w:pPr>
        <w:ind w:left="567"/>
        <w:rPr>
          <w:i/>
          <w:lang w:val="es-ES_tradnl"/>
        </w:rPr>
      </w:pPr>
    </w:p>
    <w:p w14:paraId="31C6FD7A" w14:textId="5D97F7A5" w:rsidR="00C66C15" w:rsidRPr="005101B9" w:rsidRDefault="00B75E68">
      <w:pPr>
        <w:ind w:left="567"/>
        <w:rPr>
          <w:kern w:val="2"/>
          <w:lang w:val="es-ES_tradnl"/>
          <w14:ligatures w14:val="standardContextual"/>
        </w:rPr>
      </w:pPr>
      <w:r w:rsidRPr="005101B9">
        <w:rPr>
          <w:lang w:val="es-ES_tradnl"/>
        </w:rPr>
        <w:t>“b)</w:t>
      </w:r>
      <w:r w:rsidR="00EC74D1" w:rsidRPr="005101B9">
        <w:rPr>
          <w:lang w:val="es-ES_tradnl"/>
        </w:rPr>
        <w:tab/>
      </w:r>
      <w:r w:rsidRPr="005101B9">
        <w:rPr>
          <w:lang w:val="es-ES_tradnl"/>
        </w:rPr>
        <w:t>Dos ciclos de cultivo independientes:</w:t>
      </w:r>
    </w:p>
    <w:p w14:paraId="6B75338C" w14:textId="77777777" w:rsidR="004F68F5" w:rsidRPr="005101B9" w:rsidRDefault="004F68F5" w:rsidP="004F68F5">
      <w:pPr>
        <w:ind w:left="426"/>
        <w:rPr>
          <w:lang w:val="es-ES_tradnl"/>
        </w:rPr>
      </w:pPr>
    </w:p>
    <w:p w14:paraId="56654F5B" w14:textId="5FF0AFE3" w:rsidR="00F43C84" w:rsidRPr="005101B9" w:rsidRDefault="00962CFA">
      <w:pPr>
        <w:ind w:left="567"/>
        <w:rPr>
          <w:lang w:val="es-ES_tradnl"/>
        </w:rPr>
      </w:pPr>
      <w:r w:rsidRPr="005101B9">
        <w:rPr>
          <w:lang w:val="es-ES_tradnl"/>
        </w:rPr>
        <w:t xml:space="preserve">La duración </w:t>
      </w:r>
      <w:r w:rsidRPr="005101B9">
        <w:rPr>
          <w:strike/>
          <w:shd w:val="clear" w:color="auto" w:fill="D3D3D3"/>
          <w:lang w:val="es-ES_tradnl"/>
        </w:rPr>
        <w:t>mínima</w:t>
      </w:r>
      <w:r w:rsidRPr="005101B9">
        <w:rPr>
          <w:lang w:val="es-ES_tradnl"/>
        </w:rPr>
        <w:t xml:space="preserve"> de los ensayos deberá ser </w:t>
      </w:r>
      <w:r w:rsidRPr="005101B9">
        <w:rPr>
          <w:strike/>
          <w:shd w:val="clear" w:color="auto" w:fill="D3D3D3"/>
          <w:lang w:val="es-ES_tradnl"/>
        </w:rPr>
        <w:t>normalmente</w:t>
      </w:r>
      <w:r w:rsidRPr="005101B9">
        <w:rPr>
          <w:u w:val="single"/>
          <w:shd w:val="clear" w:color="auto" w:fill="D3D3D3"/>
          <w:lang w:val="es-ES_tradnl"/>
        </w:rPr>
        <w:t>, por lo general,</w:t>
      </w:r>
      <w:r w:rsidRPr="005101B9">
        <w:rPr>
          <w:lang w:val="es-ES_tradnl"/>
        </w:rPr>
        <w:t xml:space="preserve"> de dos ciclos de cultivo independientes. </w:t>
      </w:r>
      <w:r w:rsidRPr="005101B9">
        <w:rPr>
          <w:u w:val="single"/>
          <w:shd w:val="clear" w:color="auto" w:fill="D3D3D3"/>
          <w:lang w:val="es-ES_tradnl"/>
        </w:rPr>
        <w:t>Se podrá concluir el examen de una variedad cuando la autoridad competente pueda determinar con certeza su resultado</w:t>
      </w:r>
      <w:r w:rsidRPr="005101B9">
        <w:rPr>
          <w:lang w:val="es-ES_tradnl"/>
        </w:rPr>
        <w:t>.”</w:t>
      </w:r>
    </w:p>
    <w:p w14:paraId="718C91A1" w14:textId="77777777" w:rsidR="004F68F5" w:rsidRPr="005101B9" w:rsidRDefault="004F68F5" w:rsidP="004F68F5">
      <w:pPr>
        <w:rPr>
          <w:lang w:val="es-ES_tradnl"/>
        </w:rPr>
      </w:pPr>
    </w:p>
    <w:p w14:paraId="38BBC66C" w14:textId="77777777" w:rsidR="004F68F5" w:rsidRPr="005101B9" w:rsidRDefault="004F68F5" w:rsidP="004F68F5">
      <w:pPr>
        <w:rPr>
          <w:lang w:val="es-ES_tradnl"/>
        </w:rPr>
      </w:pPr>
    </w:p>
    <w:p w14:paraId="1B573EFA" w14:textId="56DD54AC" w:rsidR="0015637A" w:rsidRPr="005101B9" w:rsidRDefault="001C5B36">
      <w:pPr>
        <w:rPr>
          <w:kern w:val="2"/>
          <w:lang w:val="es-ES_tradnl"/>
          <w14:ligatures w14:val="standardContextua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B039C8" w:rsidRPr="005101B9">
        <w:rPr>
          <w:lang w:val="es-ES_tradnl"/>
        </w:rPr>
        <w:t>El TWA convino en que debía mantenerse la palabra “mínima” en relación con la duración de los ensayos, a fin de garantizar una comprensión clara del enfoque armonizado previsto en las directrices de examen. El TWA convino en que la locución “por lo general” en la misma frase proporcionaría flexibilidad suficiente a las autoridades para abordar casos particulares.</w:t>
      </w:r>
    </w:p>
    <w:p w14:paraId="2B8B5A32" w14:textId="77777777" w:rsidR="004F68F5" w:rsidRPr="005101B9" w:rsidRDefault="004F68F5" w:rsidP="004F68F5">
      <w:pPr>
        <w:rPr>
          <w:lang w:val="es-ES_tradnl" w:eastAsia="zh-CN"/>
        </w:rPr>
      </w:pPr>
    </w:p>
    <w:p w14:paraId="3D1E068E" w14:textId="7B364F9D" w:rsidR="0015637A" w:rsidRPr="005101B9" w:rsidRDefault="001C5B36">
      <w:pPr>
        <w:keepNext/>
        <w:rPr>
          <w:kern w:val="2"/>
          <w:lang w:val="es-ES_tradnl"/>
          <w14:ligatures w14:val="standardContextua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6C242F" w:rsidRPr="005101B9">
        <w:rPr>
          <w:lang w:val="es-ES_tradnl"/>
        </w:rPr>
        <w:t>El TWA convino en modificar el texto estándar para que quede redactado del siguiente modo:</w:t>
      </w:r>
    </w:p>
    <w:p w14:paraId="2BB078D1" w14:textId="77777777" w:rsidR="004F68F5" w:rsidRPr="005101B9" w:rsidRDefault="004F68F5" w:rsidP="004F68F5">
      <w:pPr>
        <w:keepNext/>
        <w:rPr>
          <w:lang w:val="es-ES_tradnl"/>
        </w:rPr>
      </w:pPr>
    </w:p>
    <w:p w14:paraId="21A8A754" w14:textId="04DE82D9" w:rsidR="00C66C15" w:rsidRPr="005101B9" w:rsidRDefault="0023614A">
      <w:pPr>
        <w:keepNext/>
        <w:ind w:left="567"/>
        <w:rPr>
          <w:kern w:val="2"/>
          <w:lang w:val="es-ES_tradnl"/>
          <w14:ligatures w14:val="standardContextual"/>
        </w:rPr>
      </w:pPr>
      <w:r w:rsidRPr="005101B9">
        <w:rPr>
          <w:lang w:val="es-ES_tradnl"/>
        </w:rPr>
        <w:t>“a)</w:t>
      </w:r>
      <w:r w:rsidR="00EC74D1" w:rsidRPr="005101B9">
        <w:rPr>
          <w:lang w:val="es-ES_tradnl"/>
        </w:rPr>
        <w:tab/>
      </w:r>
      <w:r w:rsidRPr="005101B9">
        <w:rPr>
          <w:lang w:val="es-ES_tradnl"/>
        </w:rPr>
        <w:t>Ciclo de cultivo único:</w:t>
      </w:r>
    </w:p>
    <w:p w14:paraId="242EA55D" w14:textId="77777777" w:rsidR="004F68F5" w:rsidRPr="005101B9" w:rsidRDefault="004F68F5" w:rsidP="004F68F5">
      <w:pPr>
        <w:keepNext/>
        <w:ind w:left="567"/>
        <w:rPr>
          <w:lang w:val="es-ES_tradnl"/>
        </w:rPr>
      </w:pPr>
    </w:p>
    <w:p w14:paraId="769D52EB" w14:textId="2F9887B5" w:rsidR="00F43C84" w:rsidRPr="005101B9" w:rsidRDefault="0067145F">
      <w:pPr>
        <w:keepNext/>
        <w:ind w:left="567"/>
        <w:rPr>
          <w:lang w:val="es-ES_tradnl"/>
        </w:rPr>
      </w:pPr>
      <w:r w:rsidRPr="005101B9">
        <w:rPr>
          <w:lang w:val="es-ES_tradnl"/>
        </w:rPr>
        <w:t xml:space="preserve">La duración mínima de los ensayos deberá ser </w:t>
      </w:r>
      <w:r w:rsidRPr="005101B9">
        <w:rPr>
          <w:strike/>
          <w:shd w:val="clear" w:color="auto" w:fill="D3D3D3"/>
          <w:lang w:val="es-ES_tradnl"/>
        </w:rPr>
        <w:t>normalmente</w:t>
      </w:r>
      <w:r w:rsidRPr="005101B9">
        <w:rPr>
          <w:u w:val="single"/>
          <w:shd w:val="clear" w:color="auto" w:fill="D3D3D3"/>
          <w:lang w:val="es-ES_tradnl"/>
        </w:rPr>
        <w:t>, por lo general,</w:t>
      </w:r>
      <w:r w:rsidRPr="005101B9">
        <w:rPr>
          <w:lang w:val="es-ES_tradnl"/>
        </w:rPr>
        <w:t xml:space="preserve"> de un único ciclo de cultivo. </w:t>
      </w:r>
      <w:r w:rsidRPr="005101B9">
        <w:rPr>
          <w:u w:val="single"/>
          <w:shd w:val="clear" w:color="auto" w:fill="D3D3D3"/>
          <w:lang w:val="es-ES_tradnl"/>
        </w:rPr>
        <w:t>Se podrá concluir el examen de una variedad cuando la autoridad competente pueda determinar con certeza su resultado</w:t>
      </w:r>
      <w:r w:rsidRPr="005101B9">
        <w:rPr>
          <w:lang w:val="es-ES_tradnl"/>
        </w:rPr>
        <w:t>.”</w:t>
      </w:r>
    </w:p>
    <w:p w14:paraId="5E29C032" w14:textId="77777777" w:rsidR="004F68F5" w:rsidRPr="005101B9" w:rsidRDefault="004F68F5" w:rsidP="004F68F5">
      <w:pPr>
        <w:ind w:left="567"/>
        <w:rPr>
          <w:i/>
          <w:lang w:val="es-ES_tradnl"/>
        </w:rPr>
      </w:pPr>
    </w:p>
    <w:p w14:paraId="4F567A0E" w14:textId="449E73BD" w:rsidR="00C66C15" w:rsidRPr="005101B9" w:rsidRDefault="0013348A">
      <w:pPr>
        <w:keepNext/>
        <w:ind w:left="567"/>
        <w:rPr>
          <w:kern w:val="2"/>
          <w:lang w:val="es-ES_tradnl"/>
          <w14:ligatures w14:val="standardContextual"/>
        </w:rPr>
      </w:pPr>
      <w:r w:rsidRPr="005101B9">
        <w:rPr>
          <w:lang w:val="es-ES_tradnl"/>
        </w:rPr>
        <w:t>“b)</w:t>
      </w:r>
      <w:r w:rsidR="00EC74D1" w:rsidRPr="005101B9">
        <w:rPr>
          <w:lang w:val="es-ES_tradnl"/>
        </w:rPr>
        <w:tab/>
      </w:r>
      <w:r w:rsidRPr="005101B9">
        <w:rPr>
          <w:lang w:val="es-ES_tradnl"/>
        </w:rPr>
        <w:t>Dos ciclos de cultivo independientes:</w:t>
      </w:r>
    </w:p>
    <w:p w14:paraId="7B448AC9" w14:textId="77777777" w:rsidR="004F68F5" w:rsidRPr="005101B9" w:rsidRDefault="004F68F5" w:rsidP="004F68F5">
      <w:pPr>
        <w:keepNext/>
        <w:ind w:left="426"/>
        <w:rPr>
          <w:lang w:val="es-ES_tradnl"/>
        </w:rPr>
      </w:pPr>
    </w:p>
    <w:p w14:paraId="67890A77" w14:textId="099B0858" w:rsidR="00F43C84" w:rsidRPr="005101B9" w:rsidRDefault="00CC2BD8">
      <w:pPr>
        <w:keepNext/>
        <w:ind w:left="567"/>
        <w:rPr>
          <w:lang w:val="es-ES_tradnl"/>
        </w:rPr>
      </w:pPr>
      <w:r w:rsidRPr="005101B9">
        <w:rPr>
          <w:lang w:val="es-ES_tradnl"/>
        </w:rPr>
        <w:t xml:space="preserve">La duración mínima de los ensayos deberá ser </w:t>
      </w:r>
      <w:r w:rsidRPr="005101B9">
        <w:rPr>
          <w:strike/>
          <w:shd w:val="clear" w:color="auto" w:fill="D3D3D3"/>
          <w:lang w:val="es-ES_tradnl"/>
        </w:rPr>
        <w:t>normalmente</w:t>
      </w:r>
      <w:r w:rsidRPr="005101B9">
        <w:rPr>
          <w:u w:val="single"/>
          <w:shd w:val="clear" w:color="auto" w:fill="D3D3D3"/>
          <w:lang w:val="es-ES_tradnl"/>
        </w:rPr>
        <w:t>, por lo general,</w:t>
      </w:r>
      <w:r w:rsidRPr="005101B9">
        <w:rPr>
          <w:lang w:val="es-ES_tradnl"/>
        </w:rPr>
        <w:t xml:space="preserve"> de dos ciclos de cultivo independientes. </w:t>
      </w:r>
      <w:r w:rsidRPr="005101B9">
        <w:rPr>
          <w:u w:val="single"/>
          <w:shd w:val="clear" w:color="auto" w:fill="D3D3D3"/>
          <w:lang w:val="es-ES_tradnl"/>
        </w:rPr>
        <w:t>Se podrá concluir el examen de una variedad cuando la autoridad competente pueda determinar con certeza su resultado</w:t>
      </w:r>
      <w:r w:rsidRPr="005101B9">
        <w:rPr>
          <w:lang w:val="es-ES_tradnl"/>
        </w:rPr>
        <w:t>.”</w:t>
      </w:r>
    </w:p>
    <w:p w14:paraId="3956CD05" w14:textId="77777777" w:rsidR="004F68F5" w:rsidRPr="005101B9" w:rsidRDefault="004F68F5" w:rsidP="004F68F5">
      <w:pPr>
        <w:rPr>
          <w:lang w:val="es-ES_tradnl" w:eastAsia="zh-CN"/>
        </w:rPr>
      </w:pPr>
    </w:p>
    <w:p w14:paraId="3313F306" w14:textId="2964D308" w:rsidR="00CC15FB" w:rsidRPr="005101B9" w:rsidRDefault="001C5B36">
      <w:pPr>
        <w:rPr>
          <w:kern w:val="2"/>
          <w:lang w:val="es-ES_tradnl"/>
          <w14:ligatures w14:val="standardContextual"/>
        </w:rPr>
      </w:pPr>
      <w:r w:rsidRPr="005101B9">
        <w:rPr>
          <w:rFonts w:eastAsia="Times New Roman"/>
          <w:lang w:val="es-ES_tradnl"/>
        </w:rPr>
        <w:lastRenderedPageBreak/>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CC15FB" w:rsidRPr="005101B9">
        <w:rPr>
          <w:lang w:val="es-ES_tradnl"/>
        </w:rPr>
        <w:t>El TWF</w:t>
      </w:r>
      <w:r w:rsidR="00045CF2" w:rsidRPr="005101B9">
        <w:rPr>
          <w:rStyle w:val="FootnoteReference"/>
          <w:lang w:val="es-ES_tradnl"/>
        </w:rPr>
        <w:footnoteReference w:id="21"/>
      </w:r>
      <w:r w:rsidR="00CC15FB" w:rsidRPr="005101B9">
        <w:rPr>
          <w:lang w:val="es-ES_tradnl"/>
        </w:rPr>
        <w:t xml:space="preserve"> examinó las modificaciones propuestas del documento TGP/7 “Elaboración de las directrices de examen” relativas al texto estándar universal sobre el “número de ciclos de cultivo”, según se expone en los párrafos 12 a 14 del documento TWP/10/1, así como las observaciones del TWV, el TWO y el TWA recogidas en el documento TWF/57/3.</w:t>
      </w:r>
    </w:p>
    <w:p w14:paraId="0C1F8B02" w14:textId="77777777" w:rsidR="00EB1AB0" w:rsidRPr="005101B9" w:rsidRDefault="00EB1AB0">
      <w:pPr>
        <w:rPr>
          <w:lang w:val="es-ES_tradnl"/>
        </w:rPr>
      </w:pPr>
    </w:p>
    <w:p w14:paraId="63CFFCDA" w14:textId="5E985F1D" w:rsidR="00CC15FB" w:rsidRPr="005101B9" w:rsidRDefault="001C5B36">
      <w:pPr>
        <w:rPr>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CC15FB" w:rsidRPr="005101B9">
        <w:rPr>
          <w:lang w:val="es-ES_tradnl"/>
        </w:rPr>
        <w:t>El TWF tomó nota del informe del Canadá sobre la práctica de realizar un solo ciclo de cultivo cuando fuera suficiente para el examen de plantas frutales y convino en que existían prácticas diferentes entre los miembros de la UPOV. El TWF tomó nota de que Alemania era partidaria de realizar dos o más ciclos de cultivo por diversos motivos, entre ellos aumentar la precisión de las descripciones de variedades generadas a partir del examen DHE.</w:t>
      </w:r>
    </w:p>
    <w:p w14:paraId="48563679" w14:textId="77777777" w:rsidR="00EB1AB0" w:rsidRPr="005101B9" w:rsidRDefault="00EB1AB0">
      <w:pPr>
        <w:rPr>
          <w:kern w:val="2"/>
          <w:lang w:val="es-ES_tradnl"/>
          <w14:ligatures w14:val="standardContextual"/>
        </w:rPr>
      </w:pPr>
    </w:p>
    <w:p w14:paraId="665F6E1E" w14:textId="25045919" w:rsidR="00CC15FB" w:rsidRPr="005101B9" w:rsidRDefault="001C5B36">
      <w:pPr>
        <w:rPr>
          <w:kern w:val="2"/>
          <w:lang w:val="es-ES_tradnl"/>
          <w14:ligatures w14:val="standardContextua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CC15FB" w:rsidRPr="005101B9">
        <w:rPr>
          <w:lang w:val="es-ES_tradnl"/>
        </w:rPr>
        <w:t>El TWF examinó la propuesta del TWA de mantener la palabra “mínima” en relación con “la duración mínima de los ensayos […]” y debatió si mantener dicha palabra eliminaría la flexibilidad para concluir el examen después de un ciclo de cultivo.</w:t>
      </w:r>
    </w:p>
    <w:p w14:paraId="4987E0EE" w14:textId="77777777" w:rsidR="00EB1AB0" w:rsidRPr="005101B9" w:rsidRDefault="00EB1AB0">
      <w:pPr>
        <w:rPr>
          <w:lang w:val="es-ES_tradnl"/>
        </w:rPr>
      </w:pPr>
    </w:p>
    <w:p w14:paraId="77E14A6B" w14:textId="1031B316" w:rsidR="00CC15FB" w:rsidRPr="005101B9" w:rsidRDefault="001C5B36">
      <w:pPr>
        <w:rPr>
          <w:lang w:val="es-ES_tradn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CC15FB" w:rsidRPr="005101B9">
        <w:rPr>
          <w:lang w:val="es-ES_tradnl"/>
        </w:rPr>
        <w:t>El TWF convino con la propuesta del TWA de mantener la palabra “mínima”, sobre la base de combinar ambas frases en el párrafo, para que queden redactadas del siguiente modo:</w:t>
      </w:r>
    </w:p>
    <w:p w14:paraId="12E02BA4" w14:textId="77777777" w:rsidR="007378CC" w:rsidRPr="005101B9" w:rsidRDefault="007378CC">
      <w:pPr>
        <w:rPr>
          <w:kern w:val="2"/>
          <w:lang w:val="es-ES_tradnl"/>
          <w14:ligatures w14:val="standardContextual"/>
        </w:rPr>
      </w:pPr>
    </w:p>
    <w:p w14:paraId="7BE0F8CD" w14:textId="2B09EA18" w:rsidR="00CC15FB" w:rsidRPr="005101B9" w:rsidRDefault="00CC15FB" w:rsidP="00301EF9">
      <w:pPr>
        <w:keepNext/>
        <w:ind w:left="567"/>
        <w:divId w:val="45494587"/>
        <w:rPr>
          <w:lang w:val="es-ES_tradnl"/>
        </w:rPr>
      </w:pPr>
      <w:r w:rsidRPr="005101B9">
        <w:rPr>
          <w:lang w:val="es-ES_tradnl"/>
        </w:rPr>
        <w:t>“a)</w:t>
      </w:r>
      <w:r w:rsidR="007378CC" w:rsidRPr="005101B9">
        <w:rPr>
          <w:rFonts w:eastAsia="SimSun"/>
          <w:lang w:val="es-ES_tradnl"/>
        </w:rPr>
        <w:tab/>
      </w:r>
      <w:r w:rsidRPr="005101B9">
        <w:rPr>
          <w:lang w:val="es-ES_tradnl"/>
        </w:rPr>
        <w:t>Ciclo de cultivo único:</w:t>
      </w:r>
    </w:p>
    <w:p w14:paraId="6D0D5713" w14:textId="77777777" w:rsidR="00301EF9" w:rsidRPr="005101B9" w:rsidRDefault="00301EF9" w:rsidP="00301EF9">
      <w:pPr>
        <w:keepNext/>
        <w:ind w:left="567"/>
        <w:divId w:val="45494587"/>
        <w:rPr>
          <w:kern w:val="2"/>
          <w:lang w:val="es-ES_tradnl"/>
          <w14:ligatures w14:val="standardContextual"/>
        </w:rPr>
      </w:pPr>
    </w:p>
    <w:p w14:paraId="00B5C42B" w14:textId="77777777" w:rsidR="00CC15FB" w:rsidRPr="005101B9" w:rsidRDefault="00CC15FB">
      <w:pPr>
        <w:ind w:left="567"/>
        <w:divId w:val="45494587"/>
        <w:rPr>
          <w:lang w:val="es-ES_tradnl"/>
        </w:rPr>
      </w:pPr>
      <w:r w:rsidRPr="005101B9">
        <w:rPr>
          <w:lang w:val="es-ES_tradnl"/>
        </w:rPr>
        <w:t xml:space="preserve">La duración mínima de los ensayos deberá ser </w:t>
      </w:r>
      <w:r w:rsidRPr="005101B9">
        <w:rPr>
          <w:strike/>
          <w:color w:val="000000"/>
          <w:shd w:val="clear" w:color="auto" w:fill="D3D3D3"/>
          <w:lang w:val="es-ES_tradnl"/>
        </w:rPr>
        <w:t>normalmente</w:t>
      </w:r>
      <w:r w:rsidRPr="005101B9">
        <w:rPr>
          <w:color w:val="000000"/>
          <w:u w:val="single"/>
          <w:shd w:val="clear" w:color="auto" w:fill="D3D3D3"/>
          <w:lang w:val="es-ES_tradnl"/>
        </w:rPr>
        <w:t>, por lo general,</w:t>
      </w:r>
      <w:r w:rsidRPr="005101B9">
        <w:rPr>
          <w:lang w:val="es-ES_tradnl"/>
        </w:rPr>
        <w:t xml:space="preserve"> de un único ciclo de cultivo; </w:t>
      </w:r>
      <w:r w:rsidRPr="005101B9">
        <w:rPr>
          <w:color w:val="000000"/>
          <w:u w:val="single"/>
          <w:shd w:val="clear" w:color="auto" w:fill="D3D3D3"/>
          <w:lang w:val="es-ES_tradnl"/>
        </w:rPr>
        <w:t>sin embargo, se podrá concluir el examen de una variedad cuando la autoridad competente pueda determinar con certeza su resultado</w:t>
      </w:r>
      <w:r w:rsidRPr="005101B9">
        <w:rPr>
          <w:lang w:val="es-ES_tradnl"/>
        </w:rPr>
        <w:t>.”</w:t>
      </w:r>
    </w:p>
    <w:p w14:paraId="2A27B3DE" w14:textId="77777777" w:rsidR="00301EF9" w:rsidRPr="005101B9" w:rsidRDefault="00301EF9">
      <w:pPr>
        <w:ind w:left="567"/>
        <w:divId w:val="45494587"/>
        <w:rPr>
          <w:lang w:val="es-ES_tradnl"/>
        </w:rPr>
      </w:pPr>
    </w:p>
    <w:p w14:paraId="5833441E" w14:textId="2955B63D" w:rsidR="00CC15FB" w:rsidRPr="005101B9" w:rsidRDefault="00CC15FB">
      <w:pPr>
        <w:ind w:left="567"/>
        <w:divId w:val="45494587"/>
        <w:rPr>
          <w:lang w:val="es-ES_tradnl"/>
        </w:rPr>
      </w:pPr>
      <w:r w:rsidRPr="005101B9">
        <w:rPr>
          <w:lang w:val="es-ES_tradnl"/>
        </w:rPr>
        <w:t>“b)</w:t>
      </w:r>
      <w:r w:rsidR="00301EF9" w:rsidRPr="005101B9">
        <w:rPr>
          <w:rFonts w:eastAsia="SimSun"/>
          <w:lang w:val="es-ES_tradnl"/>
        </w:rPr>
        <w:tab/>
      </w:r>
      <w:r w:rsidRPr="005101B9">
        <w:rPr>
          <w:lang w:val="es-ES_tradnl"/>
        </w:rPr>
        <w:t>Dos ciclos de cultivo independientes:</w:t>
      </w:r>
    </w:p>
    <w:p w14:paraId="3B709D49" w14:textId="77777777" w:rsidR="00301EF9" w:rsidRPr="005101B9" w:rsidRDefault="00301EF9">
      <w:pPr>
        <w:ind w:left="567"/>
        <w:divId w:val="45494587"/>
        <w:rPr>
          <w:lang w:val="es-ES_tradnl"/>
        </w:rPr>
      </w:pPr>
    </w:p>
    <w:p w14:paraId="41C909F7" w14:textId="77777777" w:rsidR="00CC15FB" w:rsidRPr="005101B9" w:rsidRDefault="00CC15FB">
      <w:pPr>
        <w:ind w:left="567"/>
        <w:divId w:val="45494587"/>
        <w:rPr>
          <w:lang w:val="es-ES_tradnl"/>
        </w:rPr>
      </w:pPr>
      <w:r w:rsidRPr="005101B9">
        <w:rPr>
          <w:lang w:val="es-ES_tradnl"/>
        </w:rPr>
        <w:t xml:space="preserve">La duración mínima de los ensayos deberá ser </w:t>
      </w:r>
      <w:r w:rsidRPr="005101B9">
        <w:rPr>
          <w:strike/>
          <w:color w:val="000000"/>
          <w:shd w:val="clear" w:color="auto" w:fill="D3D3D3"/>
          <w:lang w:val="es-ES_tradnl"/>
        </w:rPr>
        <w:t>normalmente</w:t>
      </w:r>
      <w:r w:rsidRPr="005101B9">
        <w:rPr>
          <w:color w:val="000000"/>
          <w:u w:val="single"/>
          <w:shd w:val="clear" w:color="auto" w:fill="D3D3D3"/>
          <w:lang w:val="es-ES_tradnl"/>
        </w:rPr>
        <w:t>, por lo general,</w:t>
      </w:r>
      <w:r w:rsidRPr="005101B9">
        <w:rPr>
          <w:lang w:val="es-ES_tradnl"/>
        </w:rPr>
        <w:t xml:space="preserve"> de dos ciclos de cultivo independientes; </w:t>
      </w:r>
      <w:r w:rsidRPr="005101B9">
        <w:rPr>
          <w:color w:val="000000"/>
          <w:u w:val="single"/>
          <w:shd w:val="clear" w:color="auto" w:fill="D3D3D3"/>
          <w:lang w:val="es-ES_tradnl"/>
        </w:rPr>
        <w:t>sin embargo, se podrá concluir el examen de una variedad cuando la autoridad competente pueda determinar con certeza su resultado</w:t>
      </w:r>
      <w:r w:rsidRPr="005101B9">
        <w:rPr>
          <w:lang w:val="es-ES_tradnl"/>
        </w:rPr>
        <w:t>.”</w:t>
      </w:r>
    </w:p>
    <w:p w14:paraId="6B23B835" w14:textId="77777777" w:rsidR="00301EF9" w:rsidRPr="005101B9" w:rsidRDefault="00301EF9">
      <w:pPr>
        <w:ind w:left="567"/>
        <w:divId w:val="45494587"/>
        <w:rPr>
          <w:lang w:val="es-ES_tradnl"/>
        </w:rPr>
      </w:pPr>
    </w:p>
    <w:p w14:paraId="58903094" w14:textId="77777777" w:rsidR="00CC15FB" w:rsidRPr="005101B9" w:rsidRDefault="00CC15FB">
      <w:pPr>
        <w:divId w:val="45494587"/>
        <w:rPr>
          <w:lang w:val="es-ES_tradnl"/>
        </w:rPr>
      </w:pPr>
      <w:r w:rsidRPr="005101B9">
        <w:rPr>
          <w:i/>
          <w:iCs/>
          <w:lang w:val="es-ES_tradnl"/>
        </w:rPr>
        <w:t>Explicación del ciclo de cultivo para las especies frutales</w:t>
      </w:r>
    </w:p>
    <w:p w14:paraId="52041115" w14:textId="77777777" w:rsidR="004F68F5" w:rsidRPr="005101B9" w:rsidRDefault="004F68F5" w:rsidP="004F68F5">
      <w:pPr>
        <w:rPr>
          <w:lang w:val="es-ES_tradnl" w:eastAsia="zh-CN"/>
        </w:rPr>
      </w:pPr>
    </w:p>
    <w:p w14:paraId="644A5586" w14:textId="4778DE4C" w:rsidR="0015637A" w:rsidRPr="005101B9" w:rsidRDefault="001C5B36">
      <w:pPr>
        <w:rPr>
          <w:kern w:val="2"/>
          <w:lang w:val="es-ES_tradnl"/>
          <w14:ligatures w14:val="standardContextual"/>
        </w:rPr>
      </w:pPr>
      <w:r w:rsidRPr="005101B9">
        <w:rPr>
          <w:rFonts w:eastAsia="Times New Roman"/>
          <w:lang w:val="es-ES_tradnl"/>
        </w:rPr>
        <w:fldChar w:fldCharType="begin"/>
      </w:r>
      <w:r w:rsidRPr="005101B9">
        <w:rPr>
          <w:rFonts w:eastAsia="Times New Roman"/>
          <w:lang w:val="es-ES_tradnl"/>
        </w:rPr>
        <w:instrText xml:space="preserve"> LISTNUM  LegalDefault \l 1 \s </w:instrText>
      </w:r>
      <w:r w:rsidRPr="005101B9">
        <w:rPr>
          <w:rFonts w:eastAsia="Times New Roman"/>
          <w:lang w:val="es-ES_tradnl"/>
        </w:rPr>
        <w:fldChar w:fldCharType="end"/>
      </w:r>
      <w:r w:rsidRPr="005101B9">
        <w:rPr>
          <w:rFonts w:eastAsia="Times New Roman"/>
          <w:lang w:val="es-ES_tradnl"/>
        </w:rPr>
        <w:tab/>
      </w:r>
      <w:r w:rsidR="009E2750" w:rsidRPr="005101B9">
        <w:rPr>
          <w:lang w:val="es-ES_tradnl"/>
        </w:rPr>
        <w:t>El TWO y el TWF convinieron en modificar el texto adicional estándar relativo a la explicación del ciclo de cultivo para las especies frutales, que figura en el párrafo 14 del documento TWP/10/1, de modo que quedara redactado como sigue</w:t>
      </w:r>
      <w:r w:rsidR="00CC15FB" w:rsidRPr="005101B9">
        <w:rPr>
          <w:lang w:val="es-ES_tradnl"/>
        </w:rPr>
        <w:t>:</w:t>
      </w:r>
    </w:p>
    <w:p w14:paraId="645E8B13" w14:textId="77777777" w:rsidR="004F68F5" w:rsidRPr="005101B9" w:rsidRDefault="004F68F5" w:rsidP="004F68F5">
      <w:pPr>
        <w:ind w:left="567" w:right="567"/>
        <w:rPr>
          <w:lang w:val="es-ES_tradnl"/>
        </w:rPr>
      </w:pPr>
    </w:p>
    <w:p w14:paraId="5EB172FB" w14:textId="6479B964" w:rsidR="00F43C84" w:rsidRPr="005101B9" w:rsidRDefault="00F91823">
      <w:pPr>
        <w:ind w:left="567" w:right="567"/>
        <w:rPr>
          <w:lang w:val="es-ES_tradnl"/>
        </w:rPr>
      </w:pPr>
      <w:r w:rsidRPr="005101B9">
        <w:rPr>
          <w:lang w:val="es-ES_tradnl"/>
        </w:rPr>
        <w:t xml:space="preserve">“En particular, es esencial que los [árboles]/[las plantas] produzcan </w:t>
      </w:r>
      <w:r w:rsidRPr="005101B9">
        <w:rPr>
          <w:strike/>
          <w:shd w:val="clear" w:color="auto" w:fill="D3D3D3"/>
          <w:lang w:val="es-ES_tradnl"/>
        </w:rPr>
        <w:t>una cosecha satisfactoria de</w:t>
      </w:r>
      <w:r w:rsidRPr="005101B9">
        <w:rPr>
          <w:lang w:val="es-ES_tradnl"/>
        </w:rPr>
        <w:t xml:space="preserve"> frutos </w:t>
      </w:r>
      <w:r w:rsidRPr="005101B9">
        <w:rPr>
          <w:highlight w:val="lightGray"/>
          <w:u w:val="single"/>
          <w:shd w:val="clear" w:color="auto" w:fill="D3D3D3"/>
          <w:lang w:val="es-ES_tradnl"/>
        </w:rPr>
        <w:t>en cantidad</w:t>
      </w:r>
      <w:r w:rsidRPr="005101B9">
        <w:rPr>
          <w:highlight w:val="lightGray"/>
          <w:u w:val="single"/>
          <w:lang w:val="es-ES_tradnl"/>
        </w:rPr>
        <w:t xml:space="preserve"> y calidad </w:t>
      </w:r>
      <w:r w:rsidRPr="005101B9">
        <w:rPr>
          <w:highlight w:val="lightGray"/>
          <w:u w:val="single"/>
          <w:shd w:val="clear" w:color="auto" w:fill="D3D3D3"/>
          <w:lang w:val="es-ES_tradnl"/>
        </w:rPr>
        <w:t>suficiente</w:t>
      </w:r>
      <w:r w:rsidR="00DE6B32" w:rsidRPr="005101B9">
        <w:rPr>
          <w:highlight w:val="lightGray"/>
          <w:u w:val="single"/>
          <w:shd w:val="clear" w:color="auto" w:fill="D3D3D3"/>
          <w:lang w:val="es-ES_tradnl"/>
        </w:rPr>
        <w:t>s</w:t>
      </w:r>
      <w:r w:rsidRPr="005101B9">
        <w:rPr>
          <w:highlight w:val="lightGray"/>
          <w:u w:val="single"/>
          <w:shd w:val="clear" w:color="auto" w:fill="D3D3D3"/>
          <w:lang w:val="es-ES_tradnl"/>
        </w:rPr>
        <w:t xml:space="preserve"> a los fines del examen y que sean representativos de la variedad en cualquier</w:t>
      </w:r>
      <w:r w:rsidRPr="005101B9">
        <w:rPr>
          <w:lang w:val="es-ES_tradnl"/>
        </w:rPr>
        <w:t xml:space="preserve"> </w:t>
      </w:r>
      <w:r w:rsidRPr="005101B9">
        <w:rPr>
          <w:strike/>
          <w:shd w:val="clear" w:color="auto" w:fill="D3D3D3"/>
          <w:lang w:val="es-ES_tradnl"/>
        </w:rPr>
        <w:t>en cada</w:t>
      </w:r>
      <w:r w:rsidRPr="005101B9">
        <w:rPr>
          <w:strike/>
          <w:highlight w:val="lightGray"/>
          <w:lang w:val="es-ES_tradnl"/>
        </w:rPr>
        <w:t xml:space="preserve"> </w:t>
      </w:r>
      <w:r w:rsidRPr="005101B9">
        <w:rPr>
          <w:strike/>
          <w:shd w:val="clear" w:color="auto" w:fill="D3D3D3"/>
          <w:lang w:val="es-ES_tradnl"/>
        </w:rPr>
        <w:t>uno de los dos</w:t>
      </w:r>
      <w:r w:rsidRPr="005101B9">
        <w:rPr>
          <w:strike/>
          <w:highlight w:val="lightGray"/>
          <w:lang w:val="es-ES_tradnl"/>
        </w:rPr>
        <w:t xml:space="preserve"> </w:t>
      </w:r>
      <w:r w:rsidRPr="005101B9">
        <w:rPr>
          <w:lang w:val="es-ES_tradnl"/>
        </w:rPr>
        <w:t>ciclo</w:t>
      </w:r>
      <w:r w:rsidRPr="005101B9">
        <w:rPr>
          <w:strike/>
          <w:shd w:val="clear" w:color="auto" w:fill="D3D3D3"/>
          <w:lang w:val="es-ES_tradnl"/>
        </w:rPr>
        <w:t>s</w:t>
      </w:r>
      <w:r w:rsidRPr="005101B9">
        <w:rPr>
          <w:lang w:val="es-ES_tradnl"/>
        </w:rPr>
        <w:t xml:space="preserve"> de cultivo.”</w:t>
      </w:r>
    </w:p>
    <w:p w14:paraId="16F78292" w14:textId="77777777" w:rsidR="004F68F5" w:rsidRPr="005101B9" w:rsidRDefault="004F68F5" w:rsidP="004F68F5">
      <w:pPr>
        <w:jc w:val="right"/>
        <w:rPr>
          <w:rFonts w:eastAsia="MS Mincho"/>
          <w:lang w:val="es-ES_tradnl"/>
        </w:rPr>
      </w:pPr>
    </w:p>
    <w:p w14:paraId="3058E9B7" w14:textId="77777777" w:rsidR="004F68F5" w:rsidRPr="005101B9" w:rsidRDefault="004F68F5" w:rsidP="004F68F5">
      <w:pPr>
        <w:jc w:val="right"/>
        <w:rPr>
          <w:rFonts w:eastAsia="MS Mincho"/>
          <w:lang w:val="es-ES_tradnl"/>
        </w:rPr>
      </w:pPr>
    </w:p>
    <w:p w14:paraId="5E0AE0AE" w14:textId="77777777" w:rsidR="004F68F5" w:rsidRPr="005101B9" w:rsidRDefault="004F68F5" w:rsidP="004F68F5">
      <w:pPr>
        <w:jc w:val="right"/>
        <w:rPr>
          <w:lang w:val="es-ES_tradnl"/>
        </w:rPr>
      </w:pPr>
    </w:p>
    <w:p w14:paraId="67ADC8A4" w14:textId="77777777" w:rsidR="00F43C84" w:rsidRPr="005101B9" w:rsidRDefault="00ED3F47">
      <w:pPr>
        <w:jc w:val="right"/>
        <w:rPr>
          <w:lang w:val="es-ES_tradnl"/>
        </w:rPr>
      </w:pPr>
      <w:r w:rsidRPr="005101B9">
        <w:rPr>
          <w:lang w:val="es-ES_tradnl"/>
        </w:rPr>
        <w:t>[Fin del Anexo y del documento]</w:t>
      </w:r>
    </w:p>
    <w:p w14:paraId="3D421DC8" w14:textId="77777777" w:rsidR="004F68F5" w:rsidRPr="005101B9" w:rsidRDefault="004F68F5" w:rsidP="004F68F5">
      <w:pPr>
        <w:rPr>
          <w:lang w:val="es-ES_tradnl"/>
        </w:rPr>
      </w:pPr>
    </w:p>
    <w:p w14:paraId="6A8CB551" w14:textId="77777777" w:rsidR="00F43C84" w:rsidRPr="005101B9" w:rsidRDefault="00F43C84" w:rsidP="00F43C84">
      <w:pPr>
        <w:jc w:val="left"/>
        <w:rPr>
          <w:lang w:val="es-ES_tradnl"/>
        </w:rPr>
      </w:pPr>
    </w:p>
    <w:sectPr w:rsidR="00F43C84" w:rsidRPr="005101B9" w:rsidSect="005F54F3">
      <w:headerReference w:type="default" r:id="rId19"/>
      <w:headerReference w:type="first" r:id="rId20"/>
      <w:pgSz w:w="11907" w:h="16840"/>
      <w:pgMar w:top="510" w:right="1134" w:bottom="1134" w:left="1134" w:header="510" w:footer="68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6FBDB" w14:textId="77777777" w:rsidR="00AD28C1" w:rsidRDefault="00AD28C1" w:rsidP="006655D3">
      <w:r>
        <w:separator/>
      </w:r>
    </w:p>
    <w:p w14:paraId="7E68F631" w14:textId="77777777" w:rsidR="00AD28C1" w:rsidRDefault="00AD28C1" w:rsidP="006655D3"/>
    <w:p w14:paraId="1BB9BCC0" w14:textId="77777777" w:rsidR="00AD28C1" w:rsidRDefault="00AD28C1" w:rsidP="006655D3"/>
  </w:endnote>
  <w:endnote w:type="continuationSeparator" w:id="0">
    <w:p w14:paraId="4A864AB0" w14:textId="77777777" w:rsidR="00AD28C1" w:rsidRDefault="00AD28C1" w:rsidP="006655D3">
      <w:r>
        <w:separator/>
      </w:r>
    </w:p>
    <w:p w14:paraId="1CEC2DC3" w14:textId="77777777" w:rsidR="00AD28C1" w:rsidRPr="00294751" w:rsidRDefault="00AD28C1">
      <w:pPr>
        <w:pStyle w:val="Footer"/>
        <w:spacing w:after="60"/>
        <w:rPr>
          <w:sz w:val="18"/>
          <w:lang w:val="fr-FR"/>
        </w:rPr>
      </w:pPr>
      <w:r w:rsidRPr="00294751">
        <w:rPr>
          <w:sz w:val="18"/>
          <w:lang w:val="fr-FR"/>
        </w:rPr>
        <w:t>[Suite de la note de la page précédente]</w:t>
      </w:r>
    </w:p>
    <w:p w14:paraId="2BA453EE" w14:textId="77777777" w:rsidR="00AD28C1" w:rsidRPr="00294751" w:rsidRDefault="00AD28C1" w:rsidP="006655D3">
      <w:pPr>
        <w:rPr>
          <w:lang w:val="fr-FR"/>
        </w:rPr>
      </w:pPr>
    </w:p>
    <w:p w14:paraId="5A348CE1" w14:textId="77777777" w:rsidR="00AD28C1" w:rsidRPr="00294751" w:rsidRDefault="00AD28C1" w:rsidP="006655D3">
      <w:pPr>
        <w:rPr>
          <w:lang w:val="fr-FR"/>
        </w:rPr>
      </w:pPr>
    </w:p>
  </w:endnote>
  <w:endnote w:type="continuationNotice" w:id="1">
    <w:p w14:paraId="776DF5B8" w14:textId="77777777" w:rsidR="00AD28C1" w:rsidRPr="00294751" w:rsidRDefault="00AD28C1" w:rsidP="006655D3">
      <w:pPr>
        <w:rPr>
          <w:lang w:val="fr-FR"/>
        </w:rPr>
      </w:pPr>
      <w:r w:rsidRPr="00294751">
        <w:rPr>
          <w:lang w:val="fr-FR"/>
        </w:rPr>
        <w:t>[Suite de la note page suivante]</w:t>
      </w:r>
    </w:p>
    <w:p w14:paraId="507889C8" w14:textId="77777777" w:rsidR="00AD28C1" w:rsidRPr="00294751" w:rsidRDefault="00AD28C1" w:rsidP="006655D3">
      <w:pPr>
        <w:rPr>
          <w:lang w:val="fr-FR"/>
        </w:rPr>
      </w:pPr>
    </w:p>
    <w:p w14:paraId="3B4A93E6" w14:textId="77777777" w:rsidR="00AD28C1" w:rsidRPr="00294751" w:rsidRDefault="00AD28C1"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520FB" w14:textId="77777777" w:rsidR="00AD28C1" w:rsidRDefault="00AD28C1" w:rsidP="006655D3">
      <w:r>
        <w:separator/>
      </w:r>
    </w:p>
  </w:footnote>
  <w:footnote w:type="continuationSeparator" w:id="0">
    <w:p w14:paraId="67BE66D2" w14:textId="77777777" w:rsidR="00AD28C1" w:rsidRDefault="00AD28C1" w:rsidP="006655D3">
      <w:r>
        <w:separator/>
      </w:r>
    </w:p>
  </w:footnote>
  <w:footnote w:type="continuationNotice" w:id="1">
    <w:p w14:paraId="33E08193" w14:textId="77777777" w:rsidR="00AD28C1" w:rsidRPr="00AB530F" w:rsidRDefault="00AD28C1" w:rsidP="00AB530F">
      <w:pPr>
        <w:pStyle w:val="Footer"/>
      </w:pPr>
    </w:p>
  </w:footnote>
  <w:footnote w:id="2">
    <w:p w14:paraId="5201749F" w14:textId="41D9BF6A" w:rsidR="00B02D6D" w:rsidRDefault="00B02D6D">
      <w:pPr>
        <w:pStyle w:val="FootnoteText"/>
      </w:pPr>
      <w:r>
        <w:rPr>
          <w:rStyle w:val="FootnoteReference"/>
        </w:rPr>
        <w:footnoteRef/>
      </w:r>
      <w:r>
        <w:t xml:space="preserve"> </w:t>
      </w:r>
      <w:r w:rsidR="004D66AD" w:rsidRPr="004D66AD">
        <w:t xml:space="preserve">Consejo, </w:t>
      </w:r>
      <w:r w:rsidR="00284036" w:rsidRPr="00284036">
        <w:t>quincuagésima octava</w:t>
      </w:r>
      <w:r w:rsidR="004D66AD" w:rsidRPr="004D66AD">
        <w:t xml:space="preserve"> sesión</w:t>
      </w:r>
      <w:r w:rsidR="00FB4F2E">
        <w:t xml:space="preserve"> ordinaria</w:t>
      </w:r>
      <w:r w:rsidR="004D66AD" w:rsidRPr="004D66AD">
        <w:t xml:space="preserve">, celebrada en Ginebra el 25 de octubre de 2024. Véase el documento C/58/19 </w:t>
      </w:r>
      <w:r w:rsidR="004D66AD">
        <w:t>“</w:t>
      </w:r>
      <w:r w:rsidR="004D66AD" w:rsidRPr="004D66AD">
        <w:t>Informe</w:t>
      </w:r>
      <w:r w:rsidR="004D66AD">
        <w:t>”</w:t>
      </w:r>
      <w:r w:rsidR="004D66AD" w:rsidRPr="004D66AD">
        <w:t>, párrafo 62</w:t>
      </w:r>
      <w:r w:rsidR="00FD0328">
        <w:t>.</w:t>
      </w:r>
    </w:p>
  </w:footnote>
  <w:footnote w:id="3">
    <w:p w14:paraId="46F303A7" w14:textId="2A0D05E7" w:rsidR="00CF0B4A" w:rsidRDefault="00CF0B4A" w:rsidP="00C5018D">
      <w:pPr>
        <w:pStyle w:val="FootnoteText"/>
      </w:pPr>
      <w:r>
        <w:rPr>
          <w:rStyle w:val="FootnoteReference"/>
        </w:rPr>
        <w:footnoteRef/>
      </w:r>
      <w:r>
        <w:t xml:space="preserve"> Comité Consultivo, </w:t>
      </w:r>
      <w:r w:rsidR="001C3561">
        <w:t>centésima tercera</w:t>
      </w:r>
      <w:r>
        <w:t xml:space="preserve"> sesión, celebrada en Ginebra el 24 de octubre de 2025.</w:t>
      </w:r>
      <w:r>
        <w:rPr>
          <w:bdr w:val="none" w:sz="0" w:space="0" w:color="auto" w:frame="1"/>
        </w:rPr>
        <w:t xml:space="preserve"> Véase el documento CC/103/12 “Informe”, párrafo 65.</w:t>
      </w:r>
    </w:p>
  </w:footnote>
  <w:footnote w:id="4">
    <w:p w14:paraId="15A53F60" w14:textId="73686A3A" w:rsidR="00F04CA9" w:rsidRDefault="00F04CA9" w:rsidP="00C5018D">
      <w:pPr>
        <w:pStyle w:val="FootnoteText"/>
      </w:pPr>
      <w:r>
        <w:rPr>
          <w:rStyle w:val="FootnoteReference"/>
        </w:rPr>
        <w:footnoteRef/>
      </w:r>
      <w:r>
        <w:t xml:space="preserve"> TWM, </w:t>
      </w:r>
      <w:r w:rsidR="0080039B">
        <w:t xml:space="preserve">cuarta </w:t>
      </w:r>
      <w:r>
        <w:t xml:space="preserve">reunión, celebrada en Cambridge (Reino Unido) del 2 al 5 de </w:t>
      </w:r>
      <w:r w:rsidR="00F67978">
        <w:t>junio</w:t>
      </w:r>
      <w:r>
        <w:t xml:space="preserve"> de 2026. Véanse los párrafos 20 y 21 del documento TWM/4/31 “</w:t>
      </w:r>
      <w:proofErr w:type="spellStart"/>
      <w:r w:rsidR="00FF69A2" w:rsidRPr="00FF69A2">
        <w:rPr>
          <w:i/>
          <w:iCs/>
        </w:rPr>
        <w:t>Report</w:t>
      </w:r>
      <w:proofErr w:type="spellEnd"/>
      <w:r>
        <w:t>”.</w:t>
      </w:r>
    </w:p>
  </w:footnote>
  <w:footnote w:id="5">
    <w:p w14:paraId="5A4356B3" w14:textId="4705919A" w:rsidR="00727C3B" w:rsidRDefault="00727C3B" w:rsidP="00C5018D">
      <w:pPr>
        <w:pStyle w:val="FootnoteText"/>
      </w:pPr>
      <w:r>
        <w:rPr>
          <w:rStyle w:val="FootnoteReference"/>
        </w:rPr>
        <w:footnoteRef/>
      </w:r>
      <w:r>
        <w:t xml:space="preserve"> </w:t>
      </w:r>
      <w:r w:rsidR="000A7017">
        <w:t xml:space="preserve">Sexagésima primera </w:t>
      </w:r>
      <w:r>
        <w:t>sesión del TC, celebrada en Ginebra los días 20 y 21 de octubre de 2025. Véase el documento TC/61/8 “Informe”, párrafo 60.</w:t>
      </w:r>
    </w:p>
  </w:footnote>
  <w:footnote w:id="6">
    <w:p w14:paraId="0F73B7FF" w14:textId="0AF49A79" w:rsidR="00950747" w:rsidRDefault="00950747" w:rsidP="00950747">
      <w:pPr>
        <w:pStyle w:val="FootnoteText"/>
      </w:pPr>
      <w:r>
        <w:rPr>
          <w:rStyle w:val="FootnoteReference"/>
        </w:rPr>
        <w:footnoteRef/>
      </w:r>
      <w:r>
        <w:t xml:space="preserve"> </w:t>
      </w:r>
      <w:r w:rsidR="003F313E" w:rsidRPr="003F313E">
        <w:t xml:space="preserve">TWF, quincuagésima quinta reunión, celebrada </w:t>
      </w:r>
      <w:r w:rsidR="00712644">
        <w:t>por medios electrónicos</w:t>
      </w:r>
      <w:r w:rsidR="003F313E" w:rsidRPr="003F313E">
        <w:t xml:space="preserve"> del 3 al 6 de junio de 2025. Véase el documento TWF/55/9 “</w:t>
      </w:r>
      <w:proofErr w:type="spellStart"/>
      <w:r w:rsidR="00FF69A2" w:rsidRPr="00FF69A2">
        <w:rPr>
          <w:i/>
          <w:iCs/>
        </w:rPr>
        <w:t>Report</w:t>
      </w:r>
      <w:proofErr w:type="spellEnd"/>
      <w:r w:rsidR="003F313E" w:rsidRPr="003F313E">
        <w:t>”, párrafos 33 a 37</w:t>
      </w:r>
      <w:r>
        <w:t>.</w:t>
      </w:r>
    </w:p>
  </w:footnote>
  <w:footnote w:id="7">
    <w:p w14:paraId="7393B249" w14:textId="485BFEAE" w:rsidR="00053D34" w:rsidRDefault="00053D34" w:rsidP="00053D34">
      <w:pPr>
        <w:pStyle w:val="FootnoteText"/>
      </w:pPr>
      <w:r>
        <w:rPr>
          <w:rStyle w:val="FootnoteReference"/>
        </w:rPr>
        <w:footnoteRef/>
      </w:r>
      <w:r>
        <w:t xml:space="preserve"> </w:t>
      </w:r>
      <w:r w:rsidR="0099094D" w:rsidRPr="0099094D">
        <w:t xml:space="preserve">TWF, quincuagésima sexta </w:t>
      </w:r>
      <w:r w:rsidR="00A94495">
        <w:t>reunión</w:t>
      </w:r>
      <w:r w:rsidR="0099094D" w:rsidRPr="0099094D">
        <w:t>, celebrada en Bursa (Türkiye) del 23 al 26 de junio de 2025. Véanse los párrafos 10 a 19 del documento TWF/56/3 “</w:t>
      </w:r>
      <w:proofErr w:type="spellStart"/>
      <w:r w:rsidR="00FF69A2" w:rsidRPr="00FF69A2">
        <w:rPr>
          <w:i/>
          <w:iCs/>
        </w:rPr>
        <w:t>Report</w:t>
      </w:r>
      <w:proofErr w:type="spellEnd"/>
      <w:r w:rsidR="002D7C42">
        <w:t>”</w:t>
      </w:r>
      <w:r w:rsidR="0099094D">
        <w:t>.</w:t>
      </w:r>
    </w:p>
  </w:footnote>
  <w:footnote w:id="8">
    <w:p w14:paraId="4F8C4C9E" w14:textId="77777777" w:rsidR="0069179F" w:rsidRDefault="0069179F" w:rsidP="0069179F">
      <w:pPr>
        <w:pStyle w:val="FootnoteText"/>
        <w:rPr>
          <w:lang w:eastAsia="zh-CN"/>
        </w:rPr>
      </w:pPr>
      <w:r>
        <w:rPr>
          <w:rStyle w:val="FootnoteReference"/>
        </w:rPr>
        <w:footnoteRef/>
      </w:r>
      <w:r>
        <w:t xml:space="preserve"> </w:t>
      </w:r>
      <w:r w:rsidRPr="00B87093">
        <w:t>TC, sexagésima primera sesión, celebrada en Ginebra los días 20 y 21 de octubre de 2025. Véanse los párrafos 23 a 25 del documento TC/61/8 “Informe”.</w:t>
      </w:r>
    </w:p>
  </w:footnote>
  <w:footnote w:id="9">
    <w:p w14:paraId="43F1148D" w14:textId="7B0D57CE" w:rsidR="0008413C" w:rsidRPr="00020B11" w:rsidRDefault="0008413C" w:rsidP="0008413C">
      <w:pPr>
        <w:pStyle w:val="FootnoteText"/>
      </w:pPr>
      <w:r>
        <w:rPr>
          <w:rStyle w:val="FootnoteReference"/>
        </w:rPr>
        <w:footnoteRef/>
      </w:r>
      <w:r>
        <w:t xml:space="preserve"> </w:t>
      </w:r>
      <w:r w:rsidRPr="007A5397">
        <w:t xml:space="preserve">TWV, sexagésima </w:t>
      </w:r>
      <w:r w:rsidR="00A94495">
        <w:t>reunión</w:t>
      </w:r>
      <w:r w:rsidRPr="007A5397">
        <w:t>, celebrada en Pacific Grove, California (Estados Unidos de América), del 18 al 21 de mayo de 2026. Véanse los párrafos 8 a 10 del documento TWV/60/8 “</w:t>
      </w:r>
      <w:proofErr w:type="spellStart"/>
      <w:r w:rsidR="00FF69A2" w:rsidRPr="00FF69A2">
        <w:rPr>
          <w:i/>
          <w:iCs/>
        </w:rPr>
        <w:t>Report</w:t>
      </w:r>
      <w:proofErr w:type="spellEnd"/>
      <w:r w:rsidRPr="007A5397">
        <w:t>”.</w:t>
      </w:r>
    </w:p>
  </w:footnote>
  <w:footnote w:id="10">
    <w:p w14:paraId="232541BC" w14:textId="5E874F76" w:rsidR="0008413C" w:rsidRDefault="0008413C" w:rsidP="0008413C">
      <w:pPr>
        <w:pStyle w:val="FootnoteText"/>
      </w:pPr>
      <w:r>
        <w:rPr>
          <w:rStyle w:val="FootnoteReference"/>
        </w:rPr>
        <w:footnoteRef/>
      </w:r>
      <w:r>
        <w:t xml:space="preserve"> </w:t>
      </w:r>
      <w:r w:rsidRPr="007A5397">
        <w:t xml:space="preserve">TWO, quincuagésima octava </w:t>
      </w:r>
      <w:r w:rsidR="00A94495">
        <w:t>reunión</w:t>
      </w:r>
      <w:r w:rsidRPr="007A5397">
        <w:t>, celebrada por medios electrónicos del 6 al 9 de julio de 2026. Véanse los párrafos 6 a 8 del documento TWO/58/8 “</w:t>
      </w:r>
      <w:proofErr w:type="spellStart"/>
      <w:r w:rsidR="00FF69A2" w:rsidRPr="00FF69A2">
        <w:rPr>
          <w:i/>
          <w:iCs/>
        </w:rPr>
        <w:t>Report</w:t>
      </w:r>
      <w:proofErr w:type="spellEnd"/>
      <w:r w:rsidRPr="007A5397">
        <w:t>”.</w:t>
      </w:r>
    </w:p>
  </w:footnote>
  <w:footnote w:id="11">
    <w:p w14:paraId="7EE2D55E" w14:textId="5E75EEC3" w:rsidR="00AA19D2" w:rsidRDefault="00AA19D2" w:rsidP="00AA19D2">
      <w:pPr>
        <w:pStyle w:val="FootnoteText"/>
      </w:pPr>
      <w:r w:rsidRPr="007834C0">
        <w:rPr>
          <w:rStyle w:val="FootnoteReference"/>
        </w:rPr>
        <w:footnoteRef/>
      </w:r>
      <w:r w:rsidRPr="007834C0">
        <w:t xml:space="preserve"> </w:t>
      </w:r>
      <w:r w:rsidRPr="00095C10">
        <w:t xml:space="preserve">TWA, quincuagésima quinta </w:t>
      </w:r>
      <w:r w:rsidR="00A94495">
        <w:t>reunión</w:t>
      </w:r>
      <w:r w:rsidRPr="00095C10">
        <w:t>, celebrada en Seúl (República de Corea) del 15 al 18 de junio de 2026. Véanse los párrafos 7 a</w:t>
      </w:r>
      <w:r w:rsidR="004E4BCB">
        <w:t> </w:t>
      </w:r>
      <w:r w:rsidRPr="00095C10">
        <w:t>9 del documento TWA/55/11 “</w:t>
      </w:r>
      <w:proofErr w:type="spellStart"/>
      <w:r w:rsidR="00FF69A2" w:rsidRPr="00FF69A2">
        <w:rPr>
          <w:i/>
          <w:iCs/>
        </w:rPr>
        <w:t>Report</w:t>
      </w:r>
      <w:proofErr w:type="spellEnd"/>
      <w:r w:rsidRPr="00095C10">
        <w:t>”.</w:t>
      </w:r>
    </w:p>
  </w:footnote>
  <w:footnote w:id="12">
    <w:p w14:paraId="2BE7C963" w14:textId="56B30BB1" w:rsidR="009E7E94" w:rsidRPr="005101B9" w:rsidRDefault="009E7E94">
      <w:pPr>
        <w:pStyle w:val="FootnoteText"/>
      </w:pPr>
      <w:r>
        <w:rPr>
          <w:rStyle w:val="FootnoteReference"/>
        </w:rPr>
        <w:footnoteRef/>
      </w:r>
      <w:r>
        <w:t xml:space="preserve"> </w:t>
      </w:r>
      <w:r w:rsidR="00AC67A0">
        <w:t>TWF, quincuagésima séptima reunión, celebrada en Leipzig (Alemania) del 7 al 10 de septiembre de 2026. Véanse los párrafos 6 a 10 del documento TWF/57/7 “</w:t>
      </w:r>
      <w:proofErr w:type="spellStart"/>
      <w:r w:rsidR="006401FB">
        <w:rPr>
          <w:i/>
          <w:iCs/>
        </w:rPr>
        <w:t>Report</w:t>
      </w:r>
      <w:proofErr w:type="spellEnd"/>
      <w:r w:rsidR="00AC67A0">
        <w:t>”.</w:t>
      </w:r>
    </w:p>
  </w:footnote>
  <w:footnote w:id="13">
    <w:p w14:paraId="446887BA" w14:textId="2BBB1D8A" w:rsidR="00863A38" w:rsidRPr="005101B9" w:rsidRDefault="00863A38">
      <w:pPr>
        <w:pStyle w:val="FootnoteText"/>
      </w:pPr>
      <w:r>
        <w:rPr>
          <w:rStyle w:val="FootnoteReference"/>
        </w:rPr>
        <w:footnoteRef/>
      </w:r>
      <w:r>
        <w:t xml:space="preserve"> </w:t>
      </w:r>
      <w:r w:rsidR="00306987">
        <w:t xml:space="preserve">TWV, sexagésima reunión; véanse los párrafos 34 a 36 del documento TWV/60/8 </w:t>
      </w:r>
      <w:r w:rsidR="00592B1F" w:rsidRPr="00592B1F">
        <w:rPr>
          <w:i/>
          <w:iCs/>
        </w:rPr>
        <w:t>“</w:t>
      </w:r>
      <w:proofErr w:type="spellStart"/>
      <w:r w:rsidR="00592B1F" w:rsidRPr="00592B1F">
        <w:rPr>
          <w:i/>
          <w:iCs/>
        </w:rPr>
        <w:t>Report</w:t>
      </w:r>
      <w:proofErr w:type="spellEnd"/>
      <w:r w:rsidR="00592B1F" w:rsidRPr="00592B1F">
        <w:rPr>
          <w:i/>
          <w:iCs/>
        </w:rPr>
        <w:t>”</w:t>
      </w:r>
      <w:r w:rsidR="00306987">
        <w:t>.</w:t>
      </w:r>
    </w:p>
  </w:footnote>
  <w:footnote w:id="14">
    <w:p w14:paraId="20AB583D" w14:textId="420320A1" w:rsidR="00972200" w:rsidRPr="005101B9" w:rsidRDefault="00972200">
      <w:pPr>
        <w:pStyle w:val="FootnoteText"/>
      </w:pPr>
      <w:r>
        <w:rPr>
          <w:rStyle w:val="FootnoteReference"/>
        </w:rPr>
        <w:footnoteRef/>
      </w:r>
      <w:r>
        <w:t xml:space="preserve"> </w:t>
      </w:r>
      <w:r w:rsidR="0010268F">
        <w:t>TC, sexagésima primera sesión, celebrada en Ginebra los días 20 y 21 de octubre de 2025. Véanse los párrafos 54 a 56 del documento TC/61/8 “Informe”.</w:t>
      </w:r>
    </w:p>
  </w:footnote>
  <w:footnote w:id="15">
    <w:p w14:paraId="0141B34F" w14:textId="42F259B7" w:rsidR="0022193C" w:rsidRPr="005E7537" w:rsidRDefault="0022193C" w:rsidP="0022193C">
      <w:pPr>
        <w:pStyle w:val="FootnoteText"/>
      </w:pPr>
      <w:r>
        <w:rPr>
          <w:rStyle w:val="FootnoteReference"/>
        </w:rPr>
        <w:footnoteRef/>
      </w:r>
      <w:r>
        <w:t xml:space="preserve"> TWF, quincuagésima quinta </w:t>
      </w:r>
      <w:r w:rsidR="00A94495">
        <w:t>reunión</w:t>
      </w:r>
      <w:r>
        <w:t>, celebrada por medios electrónicos del 3 al 6 de junio de 2024.</w:t>
      </w:r>
    </w:p>
  </w:footnote>
  <w:footnote w:id="16">
    <w:p w14:paraId="3ACE007C" w14:textId="55C80E36" w:rsidR="00151BA6" w:rsidRDefault="00151BA6" w:rsidP="00151BA6">
      <w:pPr>
        <w:pStyle w:val="FootnoteText"/>
      </w:pPr>
      <w:r>
        <w:rPr>
          <w:rStyle w:val="FootnoteReference"/>
        </w:rPr>
        <w:footnoteRef/>
      </w:r>
      <w:r>
        <w:t xml:space="preserve"> TWF, quincuagésima sexta </w:t>
      </w:r>
      <w:r w:rsidR="00A94495">
        <w:t>reunión</w:t>
      </w:r>
      <w:r>
        <w:t>, celebrada en Bursa (Türkiye), del 23 al 26 de junio de 2025.</w:t>
      </w:r>
    </w:p>
  </w:footnote>
  <w:footnote w:id="17">
    <w:p w14:paraId="0714F447" w14:textId="2BE3DBF2" w:rsidR="00E81CB3" w:rsidRPr="005101B9" w:rsidRDefault="00E81CB3" w:rsidP="00E81CB3">
      <w:pPr>
        <w:pStyle w:val="FootnoteText"/>
      </w:pPr>
      <w:r>
        <w:rPr>
          <w:rStyle w:val="FootnoteReference"/>
        </w:rPr>
        <w:footnoteRef/>
      </w:r>
      <w:r>
        <w:t xml:space="preserve"> TWV, sexagésima reunión, celebrada en Pacific Grove (California, Estados Unidos de América) del 18 al 21 de mayo de 2026. Véanse los párrafos 8 a 10 del documento TWV/60/8 </w:t>
      </w:r>
      <w:r w:rsidR="00592B1F" w:rsidRPr="00592B1F">
        <w:rPr>
          <w:i/>
          <w:iCs/>
        </w:rPr>
        <w:t>“</w:t>
      </w:r>
      <w:proofErr w:type="spellStart"/>
      <w:r w:rsidR="00592B1F" w:rsidRPr="00592B1F">
        <w:rPr>
          <w:i/>
          <w:iCs/>
        </w:rPr>
        <w:t>Report</w:t>
      </w:r>
      <w:proofErr w:type="spellEnd"/>
      <w:r w:rsidR="00592B1F" w:rsidRPr="00592B1F">
        <w:rPr>
          <w:i/>
          <w:iCs/>
        </w:rPr>
        <w:t>”</w:t>
      </w:r>
      <w:r>
        <w:t>.</w:t>
      </w:r>
    </w:p>
  </w:footnote>
  <w:footnote w:id="18">
    <w:p w14:paraId="07CB1300" w14:textId="57C8D219" w:rsidR="00A733B2" w:rsidRPr="00A733B2" w:rsidRDefault="00A733B2" w:rsidP="00A733B2">
      <w:pPr>
        <w:pStyle w:val="FootnoteText"/>
      </w:pPr>
      <w:r>
        <w:rPr>
          <w:rStyle w:val="FootnoteReference"/>
        </w:rPr>
        <w:footnoteRef/>
      </w:r>
      <w:r>
        <w:t xml:space="preserve"> TWA, quincuagésima quinta reunión, celebrada en Seúl (República de Corea) del 15 al 18 de junio de 2026. Véanse los párrafos 7 a 9 del documento TWA/55/11 </w:t>
      </w:r>
      <w:r w:rsidR="00592B1F" w:rsidRPr="00592B1F">
        <w:rPr>
          <w:i/>
          <w:iCs/>
        </w:rPr>
        <w:t>“</w:t>
      </w:r>
      <w:proofErr w:type="spellStart"/>
      <w:r w:rsidR="00592B1F" w:rsidRPr="00592B1F">
        <w:rPr>
          <w:i/>
          <w:iCs/>
        </w:rPr>
        <w:t>Report</w:t>
      </w:r>
      <w:proofErr w:type="spellEnd"/>
      <w:r w:rsidR="00592B1F" w:rsidRPr="00592B1F">
        <w:rPr>
          <w:i/>
          <w:iCs/>
        </w:rPr>
        <w:t>”</w:t>
      </w:r>
      <w:r>
        <w:t>.</w:t>
      </w:r>
    </w:p>
  </w:footnote>
  <w:footnote w:id="19">
    <w:p w14:paraId="0249BFAC" w14:textId="458C7D40" w:rsidR="009F164A" w:rsidRPr="009F164A" w:rsidRDefault="009F164A" w:rsidP="009F164A">
      <w:pPr>
        <w:pStyle w:val="FootnoteText"/>
      </w:pPr>
      <w:r>
        <w:rPr>
          <w:rStyle w:val="FootnoteReference"/>
        </w:rPr>
        <w:footnoteRef/>
      </w:r>
      <w:r>
        <w:t xml:space="preserve"> TWO, quincuagésima octava reunión, celebrada por medios electrónicos del 6 al 9 de julio de 2026. Véanse los párrafos 6 a 8 del documento TWO/58/8 </w:t>
      </w:r>
      <w:r w:rsidR="00592B1F" w:rsidRPr="00592B1F">
        <w:rPr>
          <w:i/>
          <w:iCs/>
        </w:rPr>
        <w:t>“</w:t>
      </w:r>
      <w:proofErr w:type="spellStart"/>
      <w:r w:rsidR="00592B1F" w:rsidRPr="00592B1F">
        <w:rPr>
          <w:i/>
          <w:iCs/>
        </w:rPr>
        <w:t>Report</w:t>
      </w:r>
      <w:proofErr w:type="spellEnd"/>
      <w:r w:rsidR="00592B1F" w:rsidRPr="00592B1F">
        <w:rPr>
          <w:i/>
          <w:iCs/>
        </w:rPr>
        <w:t>”</w:t>
      </w:r>
      <w:r>
        <w:t>.</w:t>
      </w:r>
    </w:p>
  </w:footnote>
  <w:footnote w:id="20">
    <w:p w14:paraId="5EAC1573" w14:textId="5CF37D45" w:rsidR="009F164A" w:rsidRPr="005101B9" w:rsidRDefault="009F164A">
      <w:pPr>
        <w:pStyle w:val="FootnoteText"/>
      </w:pPr>
      <w:r>
        <w:rPr>
          <w:rStyle w:val="FootnoteReference"/>
        </w:rPr>
        <w:footnoteRef/>
      </w:r>
      <w:r>
        <w:t xml:space="preserve"> TWF, quincuagésima séptima reunión, celebrada en Leipzig (Alemania) del 7 al 10 de septiembre de 2026. Véanse los párrafos 6 a 10 del documento TWF/57/7 </w:t>
      </w:r>
      <w:r w:rsidR="00592B1F" w:rsidRPr="00592B1F">
        <w:rPr>
          <w:i/>
          <w:iCs/>
        </w:rPr>
        <w:t>“</w:t>
      </w:r>
      <w:proofErr w:type="spellStart"/>
      <w:r w:rsidR="00592B1F" w:rsidRPr="00592B1F">
        <w:rPr>
          <w:i/>
          <w:iCs/>
        </w:rPr>
        <w:t>Report</w:t>
      </w:r>
      <w:proofErr w:type="spellEnd"/>
      <w:r w:rsidR="00592B1F" w:rsidRPr="00592B1F">
        <w:rPr>
          <w:i/>
          <w:iCs/>
        </w:rPr>
        <w:t>”</w:t>
      </w:r>
      <w:r>
        <w:t>.</w:t>
      </w:r>
    </w:p>
  </w:footnote>
  <w:footnote w:id="21">
    <w:p w14:paraId="6DAD0A26" w14:textId="6537EAB1" w:rsidR="00045CF2" w:rsidRPr="00045CF2" w:rsidRDefault="00045CF2">
      <w:pPr>
        <w:pStyle w:val="FootnoteText"/>
        <w:rPr>
          <w:lang w:val="en-US"/>
        </w:rPr>
      </w:pPr>
      <w:r>
        <w:rPr>
          <w:rStyle w:val="FootnoteReference"/>
        </w:rPr>
        <w:footnoteRef/>
      </w:r>
      <w:r>
        <w:t xml:space="preserve"> </w:t>
      </w:r>
      <w:r w:rsidR="00A92451" w:rsidRPr="00A92451">
        <w:t xml:space="preserve">TWF, quincuagésima séptima reunión, celebrada en Leipzig (Alemania) del 7 al 10 de septiembre de 2026. Véanse los párrafos 6 a 10 del documento TWF/57/7 </w:t>
      </w:r>
      <w:r w:rsidR="00592B1F" w:rsidRPr="00592B1F">
        <w:rPr>
          <w:i/>
          <w:iCs/>
        </w:rPr>
        <w:t>“</w:t>
      </w:r>
      <w:proofErr w:type="spellStart"/>
      <w:r w:rsidR="00592B1F" w:rsidRPr="00592B1F">
        <w:rPr>
          <w:i/>
          <w:iCs/>
        </w:rPr>
        <w:t>Report</w:t>
      </w:r>
      <w:proofErr w:type="spellEnd"/>
      <w:r w:rsidR="00592B1F" w:rsidRPr="00592B1F">
        <w:rPr>
          <w:i/>
          <w:iCs/>
        </w:rPr>
        <w:t>”</w:t>
      </w:r>
      <w:r w:rsidR="00A92451" w:rsidRPr="00A9245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8E6A" w14:textId="6562C168" w:rsidR="004F68F5" w:rsidRDefault="004F68F5">
    <w:pPr>
      <w:pStyle w:val="Header"/>
      <w:rPr>
        <w:lang w:val="en-US"/>
      </w:rPr>
    </w:pPr>
    <w:r>
      <w:rPr>
        <w:lang w:val="en-US"/>
      </w:rPr>
      <w:t>SESSIONS/2026/2</w:t>
    </w:r>
    <w:r w:rsidR="006401FB">
      <w:rPr>
        <w:lang w:val="en-US"/>
      </w:rPr>
      <w:t xml:space="preserve"> Rev.</w:t>
    </w:r>
  </w:p>
  <w:p w14:paraId="28E85E90" w14:textId="7C7307AD" w:rsidR="004F68F5" w:rsidRPr="001430DE" w:rsidRDefault="004F68F5" w:rsidP="001430DE">
    <w:pPr>
      <w:jc w:val="center"/>
      <w:rPr>
        <w:rFonts w:cs="Arial"/>
        <w:noProof/>
      </w:rPr>
    </w:pPr>
    <w:r w:rsidRPr="001430DE">
      <w:rPr>
        <w:rFonts w:cs="Arial"/>
      </w:rPr>
      <w:t>p</w:t>
    </w:r>
    <w:r w:rsidR="00545C44">
      <w:rPr>
        <w:rFonts w:cs="Arial"/>
      </w:rPr>
      <w:t>ágina</w:t>
    </w:r>
    <w:r w:rsidRPr="001430DE">
      <w:rPr>
        <w:rFonts w:cs="Arial"/>
      </w:rPr>
      <w:t xml:space="preserve"> </w:t>
    </w:r>
    <w:r w:rsidRPr="001430DE">
      <w:rPr>
        <w:rFonts w:cs="Arial"/>
      </w:rPr>
      <w:fldChar w:fldCharType="begin"/>
    </w:r>
    <w:r w:rsidRPr="001430DE">
      <w:rPr>
        <w:rFonts w:cs="Arial"/>
      </w:rPr>
      <w:instrText xml:space="preserve"> PAGE   \* MERGEFORMAT </w:instrText>
    </w:r>
    <w:r w:rsidRPr="001430DE">
      <w:rPr>
        <w:rFonts w:cs="Arial"/>
      </w:rPr>
      <w:fldChar w:fldCharType="separate"/>
    </w:r>
    <w:r w:rsidRPr="001430DE">
      <w:rPr>
        <w:rFonts w:cs="Arial"/>
      </w:rPr>
      <w:t>2</w:t>
    </w:r>
    <w:r w:rsidRPr="001430DE">
      <w:rPr>
        <w:rFonts w:cs="Arial"/>
        <w:noProof/>
      </w:rPr>
      <w:fldChar w:fldCharType="end"/>
    </w:r>
  </w:p>
  <w:p w14:paraId="75807CEC" w14:textId="77777777" w:rsidR="004F68F5" w:rsidRDefault="004F6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3468A598" w:rsidR="0004198B" w:rsidRPr="00C5280D" w:rsidRDefault="00723F6E" w:rsidP="00EB048E">
    <w:pPr>
      <w:pStyle w:val="Header"/>
      <w:rPr>
        <w:rStyle w:val="PageNumber"/>
      </w:rPr>
    </w:pPr>
    <w:r>
      <w:rPr>
        <w:rStyle w:val="PageNumber"/>
      </w:rPr>
      <w:t>SE</w:t>
    </w:r>
    <w:r w:rsidR="0006540A">
      <w:rPr>
        <w:rStyle w:val="PageNumber"/>
      </w:rPr>
      <w:t>S</w:t>
    </w:r>
    <w:r>
      <w:rPr>
        <w:rStyle w:val="PageNumber"/>
      </w:rPr>
      <w:t>SIONS/2026/2</w:t>
    </w:r>
    <w:r w:rsidR="006401FB">
      <w:rPr>
        <w:rStyle w:val="PageNumber"/>
      </w:rPr>
      <w:t xml:space="preserve"> Rev.</w:t>
    </w:r>
  </w:p>
  <w:p w14:paraId="6C7E1257" w14:textId="6CF6AF99" w:rsidR="0004198B" w:rsidRPr="00C5280D" w:rsidRDefault="00405376" w:rsidP="00EB048E">
    <w:pPr>
      <w:pStyle w:val="Header"/>
    </w:pPr>
    <w:r>
      <w:t>Anexo, página </w:t>
    </w:r>
    <w:r w:rsidR="0004198B" w:rsidRPr="00C5280D">
      <w:rPr>
        <w:rStyle w:val="PageNumber"/>
      </w:rPr>
      <w:fldChar w:fldCharType="begin"/>
    </w:r>
    <w:r w:rsidR="0004198B" w:rsidRPr="00C5280D">
      <w:rPr>
        <w:rStyle w:val="PageNumber"/>
      </w:rPr>
      <w:instrText xml:space="preserve"> PAGE </w:instrText>
    </w:r>
    <w:r w:rsidR="0004198B" w:rsidRPr="00C5280D">
      <w:rPr>
        <w:rStyle w:val="PageNumber"/>
      </w:rPr>
      <w:fldChar w:fldCharType="separate"/>
    </w:r>
    <w:r w:rsidR="004A324A">
      <w:rPr>
        <w:rStyle w:val="PageNumber"/>
      </w:rPr>
      <w:t>2</w:t>
    </w:r>
    <w:r w:rsidR="0004198B" w:rsidRPr="00C5280D">
      <w:rPr>
        <w:rStyle w:val="PageNumber"/>
      </w:rPr>
      <w:fldChar w:fldCharType="end"/>
    </w:r>
  </w:p>
  <w:p w14:paraId="3B92881F" w14:textId="77777777" w:rsidR="0004198B" w:rsidRPr="00C5280D" w:rsidRDefault="0004198B"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D520" w14:textId="38EBE264" w:rsidR="00EA0DA2" w:rsidRDefault="00405376">
    <w:pPr>
      <w:pStyle w:val="Header"/>
    </w:pPr>
    <w:r>
      <w:t>SE</w:t>
    </w:r>
    <w:r w:rsidR="0006540A">
      <w:t>S</w:t>
    </w:r>
    <w:r>
      <w:t>SIONS/2026/2</w:t>
    </w:r>
    <w:r w:rsidR="006401FB">
      <w:t xml:space="preserve"> Rev.</w:t>
    </w:r>
  </w:p>
  <w:p w14:paraId="31C25B39" w14:textId="77777777" w:rsidR="00405376" w:rsidRDefault="00405376">
    <w:pPr>
      <w:pStyle w:val="Header"/>
      <w:rPr>
        <w:lang w:val="en-US"/>
      </w:rPr>
    </w:pPr>
  </w:p>
  <w:p w14:paraId="0FD2D2B4" w14:textId="2FD52BB2" w:rsidR="00405376" w:rsidRDefault="00405376">
    <w:pPr>
      <w:pStyle w:val="Header"/>
    </w:pPr>
    <w:r>
      <w:t>ANEXO</w:t>
    </w:r>
  </w:p>
  <w:p w14:paraId="577B3A31" w14:textId="77777777" w:rsidR="00405376" w:rsidRDefault="00405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106A718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1C44F2E"/>
    <w:multiLevelType w:val="multilevel"/>
    <w:tmpl w:val="BBA65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31C84"/>
    <w:multiLevelType w:val="hybridMultilevel"/>
    <w:tmpl w:val="A306CBA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16C52CF3"/>
    <w:multiLevelType w:val="hybridMultilevel"/>
    <w:tmpl w:val="F54E452C"/>
    <w:lvl w:ilvl="0" w:tplc="A2B813FC">
      <w:start w:val="1"/>
      <w:numFmt w:val="lowerLetter"/>
      <w:lvlText w:val="%1)"/>
      <w:lvlJc w:val="left"/>
      <w:pPr>
        <w:ind w:left="5463" w:hanging="360"/>
      </w:pPr>
      <w:rPr>
        <w:rFonts w:hint="default"/>
        <w:i/>
      </w:rPr>
    </w:lvl>
    <w:lvl w:ilvl="1" w:tplc="04090019" w:tentative="1">
      <w:start w:val="1"/>
      <w:numFmt w:val="lowerLetter"/>
      <w:lvlText w:val="%2."/>
      <w:lvlJc w:val="left"/>
      <w:pPr>
        <w:ind w:left="6183" w:hanging="360"/>
      </w:pPr>
    </w:lvl>
    <w:lvl w:ilvl="2" w:tplc="0409001B" w:tentative="1">
      <w:start w:val="1"/>
      <w:numFmt w:val="lowerRoman"/>
      <w:lvlText w:val="%3."/>
      <w:lvlJc w:val="right"/>
      <w:pPr>
        <w:ind w:left="6903" w:hanging="180"/>
      </w:pPr>
    </w:lvl>
    <w:lvl w:ilvl="3" w:tplc="0409000F" w:tentative="1">
      <w:start w:val="1"/>
      <w:numFmt w:val="decimal"/>
      <w:lvlText w:val="%4."/>
      <w:lvlJc w:val="left"/>
      <w:pPr>
        <w:ind w:left="7623" w:hanging="360"/>
      </w:pPr>
    </w:lvl>
    <w:lvl w:ilvl="4" w:tplc="04090019" w:tentative="1">
      <w:start w:val="1"/>
      <w:numFmt w:val="lowerLetter"/>
      <w:lvlText w:val="%5."/>
      <w:lvlJc w:val="left"/>
      <w:pPr>
        <w:ind w:left="8343" w:hanging="360"/>
      </w:pPr>
    </w:lvl>
    <w:lvl w:ilvl="5" w:tplc="0409001B" w:tentative="1">
      <w:start w:val="1"/>
      <w:numFmt w:val="lowerRoman"/>
      <w:lvlText w:val="%6."/>
      <w:lvlJc w:val="right"/>
      <w:pPr>
        <w:ind w:left="9063" w:hanging="180"/>
      </w:pPr>
    </w:lvl>
    <w:lvl w:ilvl="6" w:tplc="0409000F" w:tentative="1">
      <w:start w:val="1"/>
      <w:numFmt w:val="decimal"/>
      <w:lvlText w:val="%7."/>
      <w:lvlJc w:val="left"/>
      <w:pPr>
        <w:ind w:left="9783" w:hanging="360"/>
      </w:pPr>
    </w:lvl>
    <w:lvl w:ilvl="7" w:tplc="04090019" w:tentative="1">
      <w:start w:val="1"/>
      <w:numFmt w:val="lowerLetter"/>
      <w:lvlText w:val="%8."/>
      <w:lvlJc w:val="left"/>
      <w:pPr>
        <w:ind w:left="10503" w:hanging="360"/>
      </w:pPr>
    </w:lvl>
    <w:lvl w:ilvl="8" w:tplc="0409001B" w:tentative="1">
      <w:start w:val="1"/>
      <w:numFmt w:val="lowerRoman"/>
      <w:lvlText w:val="%9."/>
      <w:lvlJc w:val="right"/>
      <w:pPr>
        <w:ind w:left="11223" w:hanging="180"/>
      </w:pPr>
    </w:lvl>
  </w:abstractNum>
  <w:abstractNum w:abstractNumId="5" w15:restartNumberingAfterBreak="0">
    <w:nsid w:val="19713721"/>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CE4239"/>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D92B6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6292FCD"/>
    <w:multiLevelType w:val="hybridMultilevel"/>
    <w:tmpl w:val="35125BD6"/>
    <w:lvl w:ilvl="0" w:tplc="76844122">
      <w:start w:val="1"/>
      <w:numFmt w:val="lowerLetter"/>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E1760E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73A735E"/>
    <w:multiLevelType w:val="multilevel"/>
    <w:tmpl w:val="3A04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7008BC"/>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007041C"/>
    <w:multiLevelType w:val="hybridMultilevel"/>
    <w:tmpl w:val="A54AB5E6"/>
    <w:lvl w:ilvl="0" w:tplc="F3860B7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15" w15:restartNumberingAfterBreak="0">
    <w:nsid w:val="4A987E6F"/>
    <w:multiLevelType w:val="multilevel"/>
    <w:tmpl w:val="0AC6CAC4"/>
    <w:lvl w:ilvl="0">
      <w:start w:val="1"/>
      <w:numFmt w:val="decimal"/>
      <w:lvlText w:val="%1."/>
      <w:lvlJc w:val="left"/>
      <w:pPr>
        <w:ind w:left="1843" w:hanging="567"/>
      </w:pPr>
      <w:rPr>
        <w:rFonts w:ascii="Tahoma" w:eastAsia="Tahoma" w:hAnsi="Tahoma" w:cs="Tahoma" w:hint="default"/>
        <w:b/>
        <w:bCs/>
        <w:i w:val="0"/>
        <w:iCs w:val="0"/>
        <w:spacing w:val="-2"/>
        <w:w w:val="100"/>
        <w:sz w:val="24"/>
        <w:szCs w:val="24"/>
        <w:lang w:val="en-US" w:eastAsia="en-US" w:bidi="ar-SA"/>
      </w:rPr>
    </w:lvl>
    <w:lvl w:ilvl="1">
      <w:start w:val="1"/>
      <w:numFmt w:val="decimal"/>
      <w:lvlText w:val="%1.%2."/>
      <w:lvlJc w:val="left"/>
      <w:pPr>
        <w:ind w:left="2270" w:hanging="425"/>
      </w:pPr>
      <w:rPr>
        <w:rFonts w:ascii="Tahoma" w:eastAsia="Tahoma" w:hAnsi="Tahoma" w:cs="Tahoma" w:hint="default"/>
        <w:b w:val="0"/>
        <w:bCs w:val="0"/>
        <w:i w:val="0"/>
        <w:iCs w:val="0"/>
        <w:spacing w:val="-5"/>
        <w:w w:val="98"/>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5"/>
        <w:w w:val="100"/>
        <w:sz w:val="18"/>
        <w:szCs w:val="18"/>
        <w:lang w:val="en-US" w:eastAsia="en-US" w:bidi="ar-SA"/>
      </w:rPr>
    </w:lvl>
    <w:lvl w:ilvl="3">
      <w:numFmt w:val="bullet"/>
      <w:lvlText w:val="•"/>
      <w:lvlJc w:val="left"/>
      <w:pPr>
        <w:ind w:left="3497" w:hanging="711"/>
      </w:pPr>
      <w:rPr>
        <w:lang w:val="en-US" w:eastAsia="en-US" w:bidi="ar-SA"/>
      </w:rPr>
    </w:lvl>
    <w:lvl w:ilvl="4">
      <w:numFmt w:val="bullet"/>
      <w:lvlText w:val="•"/>
      <w:lvlJc w:val="left"/>
      <w:pPr>
        <w:ind w:left="4434" w:hanging="711"/>
      </w:pPr>
      <w:rPr>
        <w:lang w:val="en-US" w:eastAsia="en-US" w:bidi="ar-SA"/>
      </w:rPr>
    </w:lvl>
    <w:lvl w:ilvl="5">
      <w:numFmt w:val="bullet"/>
      <w:lvlText w:val="•"/>
      <w:lvlJc w:val="left"/>
      <w:pPr>
        <w:ind w:left="5371" w:hanging="711"/>
      </w:pPr>
      <w:rPr>
        <w:lang w:val="en-US" w:eastAsia="en-US" w:bidi="ar-SA"/>
      </w:rPr>
    </w:lvl>
    <w:lvl w:ilvl="6">
      <w:numFmt w:val="bullet"/>
      <w:lvlText w:val="•"/>
      <w:lvlJc w:val="left"/>
      <w:pPr>
        <w:ind w:left="6309" w:hanging="711"/>
      </w:pPr>
      <w:rPr>
        <w:lang w:val="en-US" w:eastAsia="en-US" w:bidi="ar-SA"/>
      </w:rPr>
    </w:lvl>
    <w:lvl w:ilvl="7">
      <w:numFmt w:val="bullet"/>
      <w:lvlText w:val="•"/>
      <w:lvlJc w:val="left"/>
      <w:pPr>
        <w:ind w:left="7246" w:hanging="711"/>
      </w:pPr>
      <w:rPr>
        <w:lang w:val="en-US" w:eastAsia="en-US" w:bidi="ar-SA"/>
      </w:rPr>
    </w:lvl>
    <w:lvl w:ilvl="8">
      <w:numFmt w:val="bullet"/>
      <w:lvlText w:val="•"/>
      <w:lvlJc w:val="left"/>
      <w:pPr>
        <w:ind w:left="8183" w:hanging="711"/>
      </w:pPr>
      <w:rPr>
        <w:lang w:val="en-US" w:eastAsia="en-US" w:bidi="ar-SA"/>
      </w:rPr>
    </w:lvl>
  </w:abstractNum>
  <w:abstractNum w:abstractNumId="16" w15:restartNumberingAfterBreak="0">
    <w:nsid w:val="545D4A9D"/>
    <w:multiLevelType w:val="hybridMultilevel"/>
    <w:tmpl w:val="837CB13E"/>
    <w:lvl w:ilvl="0" w:tplc="3A96047C">
      <w:start w:val="1"/>
      <w:numFmt w:val="lowerLetter"/>
      <w:lvlText w:val="%1)"/>
      <w:lvlJc w:val="left"/>
      <w:pPr>
        <w:ind w:left="5463" w:hanging="360"/>
      </w:pPr>
      <w:rPr>
        <w:rFonts w:hint="default"/>
        <w:i/>
      </w:rPr>
    </w:lvl>
    <w:lvl w:ilvl="1" w:tplc="04090019" w:tentative="1">
      <w:start w:val="1"/>
      <w:numFmt w:val="lowerLetter"/>
      <w:lvlText w:val="%2."/>
      <w:lvlJc w:val="left"/>
      <w:pPr>
        <w:ind w:left="6183" w:hanging="360"/>
      </w:pPr>
    </w:lvl>
    <w:lvl w:ilvl="2" w:tplc="0409001B" w:tentative="1">
      <w:start w:val="1"/>
      <w:numFmt w:val="lowerRoman"/>
      <w:lvlText w:val="%3."/>
      <w:lvlJc w:val="right"/>
      <w:pPr>
        <w:ind w:left="6903" w:hanging="180"/>
      </w:pPr>
    </w:lvl>
    <w:lvl w:ilvl="3" w:tplc="0409000F" w:tentative="1">
      <w:start w:val="1"/>
      <w:numFmt w:val="decimal"/>
      <w:lvlText w:val="%4."/>
      <w:lvlJc w:val="left"/>
      <w:pPr>
        <w:ind w:left="7623" w:hanging="360"/>
      </w:pPr>
    </w:lvl>
    <w:lvl w:ilvl="4" w:tplc="04090019" w:tentative="1">
      <w:start w:val="1"/>
      <w:numFmt w:val="lowerLetter"/>
      <w:lvlText w:val="%5."/>
      <w:lvlJc w:val="left"/>
      <w:pPr>
        <w:ind w:left="8343" w:hanging="360"/>
      </w:pPr>
    </w:lvl>
    <w:lvl w:ilvl="5" w:tplc="0409001B" w:tentative="1">
      <w:start w:val="1"/>
      <w:numFmt w:val="lowerRoman"/>
      <w:lvlText w:val="%6."/>
      <w:lvlJc w:val="right"/>
      <w:pPr>
        <w:ind w:left="9063" w:hanging="180"/>
      </w:pPr>
    </w:lvl>
    <w:lvl w:ilvl="6" w:tplc="0409000F" w:tentative="1">
      <w:start w:val="1"/>
      <w:numFmt w:val="decimal"/>
      <w:lvlText w:val="%7."/>
      <w:lvlJc w:val="left"/>
      <w:pPr>
        <w:ind w:left="9783" w:hanging="360"/>
      </w:pPr>
    </w:lvl>
    <w:lvl w:ilvl="7" w:tplc="04090019" w:tentative="1">
      <w:start w:val="1"/>
      <w:numFmt w:val="lowerLetter"/>
      <w:lvlText w:val="%8."/>
      <w:lvlJc w:val="left"/>
      <w:pPr>
        <w:ind w:left="10503" w:hanging="360"/>
      </w:pPr>
    </w:lvl>
    <w:lvl w:ilvl="8" w:tplc="0409001B" w:tentative="1">
      <w:start w:val="1"/>
      <w:numFmt w:val="lowerRoman"/>
      <w:lvlText w:val="%9."/>
      <w:lvlJc w:val="right"/>
      <w:pPr>
        <w:ind w:left="11223" w:hanging="180"/>
      </w:pPr>
    </w:lvl>
  </w:abstractNum>
  <w:abstractNum w:abstractNumId="17" w15:restartNumberingAfterBreak="0">
    <w:nsid w:val="586D0DA7"/>
    <w:multiLevelType w:val="hybridMultilevel"/>
    <w:tmpl w:val="F08E2BC8"/>
    <w:lvl w:ilvl="0" w:tplc="CEFE85F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C740D34"/>
    <w:multiLevelType w:val="multilevel"/>
    <w:tmpl w:val="AE3A62F8"/>
    <w:lvl w:ilvl="0">
      <w:start w:val="3"/>
      <w:numFmt w:val="decimal"/>
      <w:lvlText w:val="%1"/>
      <w:lvlJc w:val="left"/>
      <w:pPr>
        <w:ind w:left="2553" w:hanging="711"/>
      </w:pPr>
      <w:rPr>
        <w:lang w:val="en-US" w:eastAsia="en-US" w:bidi="ar-SA"/>
      </w:rPr>
    </w:lvl>
    <w:lvl w:ilvl="1">
      <w:start w:val="1"/>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numFmt w:val="bullet"/>
      <w:lvlText w:val="•"/>
      <w:lvlJc w:val="left"/>
      <w:pPr>
        <w:ind w:left="4059" w:hanging="711"/>
      </w:pPr>
      <w:rPr>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19" w15:restartNumberingAfterBreak="0">
    <w:nsid w:val="5CD21C8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2907B46"/>
    <w:multiLevelType w:val="hybridMultilevel"/>
    <w:tmpl w:val="F54E452C"/>
    <w:lvl w:ilvl="0" w:tplc="FFFFFFFF">
      <w:start w:val="1"/>
      <w:numFmt w:val="lowerLetter"/>
      <w:lvlText w:val="%1)"/>
      <w:lvlJc w:val="left"/>
      <w:pPr>
        <w:ind w:left="5463" w:hanging="360"/>
      </w:pPr>
      <w:rPr>
        <w:rFonts w:hint="default"/>
        <w:i/>
      </w:rPr>
    </w:lvl>
    <w:lvl w:ilvl="1" w:tplc="FFFFFFFF" w:tentative="1">
      <w:start w:val="1"/>
      <w:numFmt w:val="lowerLetter"/>
      <w:lvlText w:val="%2."/>
      <w:lvlJc w:val="left"/>
      <w:pPr>
        <w:ind w:left="6183" w:hanging="360"/>
      </w:pPr>
    </w:lvl>
    <w:lvl w:ilvl="2" w:tplc="FFFFFFFF" w:tentative="1">
      <w:start w:val="1"/>
      <w:numFmt w:val="lowerRoman"/>
      <w:lvlText w:val="%3."/>
      <w:lvlJc w:val="right"/>
      <w:pPr>
        <w:ind w:left="6903" w:hanging="180"/>
      </w:pPr>
    </w:lvl>
    <w:lvl w:ilvl="3" w:tplc="FFFFFFFF" w:tentative="1">
      <w:start w:val="1"/>
      <w:numFmt w:val="decimal"/>
      <w:lvlText w:val="%4."/>
      <w:lvlJc w:val="left"/>
      <w:pPr>
        <w:ind w:left="7623" w:hanging="360"/>
      </w:pPr>
    </w:lvl>
    <w:lvl w:ilvl="4" w:tplc="FFFFFFFF" w:tentative="1">
      <w:start w:val="1"/>
      <w:numFmt w:val="lowerLetter"/>
      <w:lvlText w:val="%5."/>
      <w:lvlJc w:val="left"/>
      <w:pPr>
        <w:ind w:left="8343" w:hanging="360"/>
      </w:pPr>
    </w:lvl>
    <w:lvl w:ilvl="5" w:tplc="FFFFFFFF" w:tentative="1">
      <w:start w:val="1"/>
      <w:numFmt w:val="lowerRoman"/>
      <w:lvlText w:val="%6."/>
      <w:lvlJc w:val="right"/>
      <w:pPr>
        <w:ind w:left="9063" w:hanging="180"/>
      </w:pPr>
    </w:lvl>
    <w:lvl w:ilvl="6" w:tplc="FFFFFFFF" w:tentative="1">
      <w:start w:val="1"/>
      <w:numFmt w:val="decimal"/>
      <w:lvlText w:val="%7."/>
      <w:lvlJc w:val="left"/>
      <w:pPr>
        <w:ind w:left="9783" w:hanging="360"/>
      </w:pPr>
    </w:lvl>
    <w:lvl w:ilvl="7" w:tplc="FFFFFFFF" w:tentative="1">
      <w:start w:val="1"/>
      <w:numFmt w:val="lowerLetter"/>
      <w:lvlText w:val="%8."/>
      <w:lvlJc w:val="left"/>
      <w:pPr>
        <w:ind w:left="10503" w:hanging="360"/>
      </w:pPr>
    </w:lvl>
    <w:lvl w:ilvl="8" w:tplc="FFFFFFFF" w:tentative="1">
      <w:start w:val="1"/>
      <w:numFmt w:val="lowerRoman"/>
      <w:lvlText w:val="%9."/>
      <w:lvlJc w:val="right"/>
      <w:pPr>
        <w:ind w:left="11223" w:hanging="180"/>
      </w:pPr>
    </w:lvl>
  </w:abstractNum>
  <w:abstractNum w:abstractNumId="21" w15:restartNumberingAfterBreak="0">
    <w:nsid w:val="66092D7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9824375"/>
    <w:multiLevelType w:val="multilevel"/>
    <w:tmpl w:val="5FFEF214"/>
    <w:lvl w:ilvl="0">
      <w:start w:val="2"/>
      <w:numFmt w:val="decimal"/>
      <w:lvlText w:val="%1"/>
      <w:lvlJc w:val="left"/>
      <w:pPr>
        <w:ind w:left="2553" w:hanging="711"/>
      </w:pPr>
      <w:rPr>
        <w:lang w:val="en-US" w:eastAsia="en-US" w:bidi="ar-SA"/>
      </w:rPr>
    </w:lvl>
    <w:lvl w:ilvl="1">
      <w:start w:val="2"/>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23" w15:restartNumberingAfterBreak="0">
    <w:nsid w:val="7C5B050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30838976">
    <w:abstractNumId w:val="17"/>
  </w:num>
  <w:num w:numId="2" w16cid:durableId="285046296">
    <w:abstractNumId w:val="13"/>
  </w:num>
  <w:num w:numId="3" w16cid:durableId="532497506">
    <w:abstractNumId w:val="0"/>
  </w:num>
  <w:num w:numId="4" w16cid:durableId="14635720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7835710">
    <w:abstractNumId w:val="1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16cid:durableId="1188757523">
    <w:abstractNumId w:val="22"/>
    <w:lvlOverride w:ilvl="0">
      <w:startOverride w:val="2"/>
    </w:lvlOverride>
    <w:lvlOverride w:ilvl="1">
      <w:startOverride w:val="2"/>
    </w:lvlOverride>
    <w:lvlOverride w:ilvl="2">
      <w:startOverride w:val="1"/>
    </w:lvlOverride>
    <w:lvlOverride w:ilvl="3"/>
    <w:lvlOverride w:ilvl="4"/>
    <w:lvlOverride w:ilvl="5"/>
    <w:lvlOverride w:ilvl="6"/>
    <w:lvlOverride w:ilvl="7"/>
    <w:lvlOverride w:ilvl="8"/>
  </w:num>
  <w:num w:numId="7" w16cid:durableId="1856924527">
    <w:abstractNumId w:val="18"/>
    <w:lvlOverride w:ilvl="0">
      <w:startOverride w:val="3"/>
    </w:lvlOverride>
    <w:lvlOverride w:ilvl="1">
      <w:startOverride w:val="1"/>
    </w:lvlOverride>
    <w:lvlOverride w:ilvl="2"/>
    <w:lvlOverride w:ilvl="3"/>
    <w:lvlOverride w:ilvl="4"/>
    <w:lvlOverride w:ilvl="5"/>
    <w:lvlOverride w:ilvl="6"/>
    <w:lvlOverride w:ilvl="7"/>
    <w:lvlOverride w:ilvl="8"/>
  </w:num>
  <w:num w:numId="8" w16cid:durableId="579292070">
    <w:abstractNumId w:val="14"/>
  </w:num>
  <w:num w:numId="9" w16cid:durableId="1124035881">
    <w:abstractNumId w:val="16"/>
  </w:num>
  <w:num w:numId="10" w16cid:durableId="1464814748">
    <w:abstractNumId w:val="8"/>
  </w:num>
  <w:num w:numId="11" w16cid:durableId="1707413559">
    <w:abstractNumId w:val="4"/>
  </w:num>
  <w:num w:numId="12" w16cid:durableId="239295841">
    <w:abstractNumId w:val="20"/>
  </w:num>
  <w:num w:numId="13" w16cid:durableId="2023817285">
    <w:abstractNumId w:val="2"/>
  </w:num>
  <w:num w:numId="14" w16cid:durableId="158980252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1EE5"/>
    <w:rsid w:val="00002340"/>
    <w:rsid w:val="00002B10"/>
    <w:rsid w:val="000030EB"/>
    <w:rsid w:val="00003564"/>
    <w:rsid w:val="000077D7"/>
    <w:rsid w:val="00010CB2"/>
    <w:rsid w:val="00010CF3"/>
    <w:rsid w:val="0001107B"/>
    <w:rsid w:val="00011896"/>
    <w:rsid w:val="00011A5C"/>
    <w:rsid w:val="00011E27"/>
    <w:rsid w:val="00012B1F"/>
    <w:rsid w:val="00012D65"/>
    <w:rsid w:val="0001392A"/>
    <w:rsid w:val="00014070"/>
    <w:rsid w:val="0001428F"/>
    <w:rsid w:val="000148BC"/>
    <w:rsid w:val="0001632F"/>
    <w:rsid w:val="0002043D"/>
    <w:rsid w:val="00024AB8"/>
    <w:rsid w:val="00024B1B"/>
    <w:rsid w:val="00030303"/>
    <w:rsid w:val="00030854"/>
    <w:rsid w:val="00030B66"/>
    <w:rsid w:val="00032CED"/>
    <w:rsid w:val="00035F70"/>
    <w:rsid w:val="00036028"/>
    <w:rsid w:val="00036317"/>
    <w:rsid w:val="0004181B"/>
    <w:rsid w:val="0004198B"/>
    <w:rsid w:val="00043B54"/>
    <w:rsid w:val="00044642"/>
    <w:rsid w:val="000446B9"/>
    <w:rsid w:val="000446E0"/>
    <w:rsid w:val="0004561E"/>
    <w:rsid w:val="000459F2"/>
    <w:rsid w:val="00045CF2"/>
    <w:rsid w:val="000464F6"/>
    <w:rsid w:val="00046E81"/>
    <w:rsid w:val="0004772B"/>
    <w:rsid w:val="00047E00"/>
    <w:rsid w:val="00047E21"/>
    <w:rsid w:val="00050BEB"/>
    <w:rsid w:val="00050E16"/>
    <w:rsid w:val="00053D34"/>
    <w:rsid w:val="00053F35"/>
    <w:rsid w:val="00054FE7"/>
    <w:rsid w:val="00057CD4"/>
    <w:rsid w:val="000600C8"/>
    <w:rsid w:val="00061C57"/>
    <w:rsid w:val="0006540A"/>
    <w:rsid w:val="00066CB5"/>
    <w:rsid w:val="000671AB"/>
    <w:rsid w:val="00067638"/>
    <w:rsid w:val="0007038D"/>
    <w:rsid w:val="00070845"/>
    <w:rsid w:val="00070BDB"/>
    <w:rsid w:val="00070EE4"/>
    <w:rsid w:val="000713EE"/>
    <w:rsid w:val="00072831"/>
    <w:rsid w:val="000731BE"/>
    <w:rsid w:val="0007588F"/>
    <w:rsid w:val="0007647A"/>
    <w:rsid w:val="000772BF"/>
    <w:rsid w:val="000777D8"/>
    <w:rsid w:val="00081311"/>
    <w:rsid w:val="00082D7C"/>
    <w:rsid w:val="0008413C"/>
    <w:rsid w:val="00084B7D"/>
    <w:rsid w:val="00085505"/>
    <w:rsid w:val="000904B0"/>
    <w:rsid w:val="0009158C"/>
    <w:rsid w:val="00092CB1"/>
    <w:rsid w:val="00094C7E"/>
    <w:rsid w:val="00095C10"/>
    <w:rsid w:val="000A200A"/>
    <w:rsid w:val="000A31E7"/>
    <w:rsid w:val="000A3ED2"/>
    <w:rsid w:val="000A63D9"/>
    <w:rsid w:val="000A7017"/>
    <w:rsid w:val="000A7E43"/>
    <w:rsid w:val="000B12A3"/>
    <w:rsid w:val="000B17E0"/>
    <w:rsid w:val="000B29A8"/>
    <w:rsid w:val="000B3160"/>
    <w:rsid w:val="000B5369"/>
    <w:rsid w:val="000C0392"/>
    <w:rsid w:val="000C0A44"/>
    <w:rsid w:val="000C3F96"/>
    <w:rsid w:val="000C4E25"/>
    <w:rsid w:val="000C65A7"/>
    <w:rsid w:val="000C7021"/>
    <w:rsid w:val="000C7369"/>
    <w:rsid w:val="000D605D"/>
    <w:rsid w:val="000D6BBC"/>
    <w:rsid w:val="000D6D85"/>
    <w:rsid w:val="000D7780"/>
    <w:rsid w:val="000E40E1"/>
    <w:rsid w:val="000E5722"/>
    <w:rsid w:val="000E5CA7"/>
    <w:rsid w:val="000E636A"/>
    <w:rsid w:val="000F1514"/>
    <w:rsid w:val="000F15D6"/>
    <w:rsid w:val="000F2F11"/>
    <w:rsid w:val="000F340B"/>
    <w:rsid w:val="000F6ABE"/>
    <w:rsid w:val="001000A6"/>
    <w:rsid w:val="00100A5F"/>
    <w:rsid w:val="001013E9"/>
    <w:rsid w:val="001014CE"/>
    <w:rsid w:val="001018CC"/>
    <w:rsid w:val="001023E0"/>
    <w:rsid w:val="0010268F"/>
    <w:rsid w:val="00102B73"/>
    <w:rsid w:val="0010357F"/>
    <w:rsid w:val="00103BD2"/>
    <w:rsid w:val="001043B2"/>
    <w:rsid w:val="00105929"/>
    <w:rsid w:val="00110346"/>
    <w:rsid w:val="00110BED"/>
    <w:rsid w:val="00110C36"/>
    <w:rsid w:val="00110C4C"/>
    <w:rsid w:val="00112CFF"/>
    <w:rsid w:val="001131D5"/>
    <w:rsid w:val="0011442C"/>
    <w:rsid w:val="00114547"/>
    <w:rsid w:val="001220B9"/>
    <w:rsid w:val="00122F57"/>
    <w:rsid w:val="001233BC"/>
    <w:rsid w:val="00123A60"/>
    <w:rsid w:val="00124DF7"/>
    <w:rsid w:val="00125016"/>
    <w:rsid w:val="0012690B"/>
    <w:rsid w:val="0012724A"/>
    <w:rsid w:val="00127258"/>
    <w:rsid w:val="00130365"/>
    <w:rsid w:val="001305CC"/>
    <w:rsid w:val="00131216"/>
    <w:rsid w:val="001320BF"/>
    <w:rsid w:val="00132B6D"/>
    <w:rsid w:val="00132E06"/>
    <w:rsid w:val="0013348A"/>
    <w:rsid w:val="00134B2B"/>
    <w:rsid w:val="0014051D"/>
    <w:rsid w:val="00141BD8"/>
    <w:rsid w:val="00141DB8"/>
    <w:rsid w:val="00142E42"/>
    <w:rsid w:val="001430DE"/>
    <w:rsid w:val="00144502"/>
    <w:rsid w:val="001450DA"/>
    <w:rsid w:val="00145251"/>
    <w:rsid w:val="00151629"/>
    <w:rsid w:val="00151BA6"/>
    <w:rsid w:val="001524B8"/>
    <w:rsid w:val="001526C4"/>
    <w:rsid w:val="00152CA2"/>
    <w:rsid w:val="001541B4"/>
    <w:rsid w:val="0015564C"/>
    <w:rsid w:val="001561C9"/>
    <w:rsid w:val="0015637A"/>
    <w:rsid w:val="00156B8F"/>
    <w:rsid w:val="001626AB"/>
    <w:rsid w:val="00163A83"/>
    <w:rsid w:val="00164DDC"/>
    <w:rsid w:val="001674D8"/>
    <w:rsid w:val="001704F4"/>
    <w:rsid w:val="0017167C"/>
    <w:rsid w:val="00172084"/>
    <w:rsid w:val="00172E89"/>
    <w:rsid w:val="00173EB1"/>
    <w:rsid w:val="0017474A"/>
    <w:rsid w:val="001758C6"/>
    <w:rsid w:val="00176041"/>
    <w:rsid w:val="001765F8"/>
    <w:rsid w:val="00177B51"/>
    <w:rsid w:val="001801EA"/>
    <w:rsid w:val="00181516"/>
    <w:rsid w:val="00182B99"/>
    <w:rsid w:val="0018537B"/>
    <w:rsid w:val="00187183"/>
    <w:rsid w:val="001912FA"/>
    <w:rsid w:val="001915B4"/>
    <w:rsid w:val="001926D2"/>
    <w:rsid w:val="00193AA7"/>
    <w:rsid w:val="00194FAB"/>
    <w:rsid w:val="0019521E"/>
    <w:rsid w:val="001965AF"/>
    <w:rsid w:val="00196726"/>
    <w:rsid w:val="00197F1D"/>
    <w:rsid w:val="001A16C1"/>
    <w:rsid w:val="001A2805"/>
    <w:rsid w:val="001A3E59"/>
    <w:rsid w:val="001A3E84"/>
    <w:rsid w:val="001A4EEC"/>
    <w:rsid w:val="001A59EE"/>
    <w:rsid w:val="001A6070"/>
    <w:rsid w:val="001A7DAD"/>
    <w:rsid w:val="001B0179"/>
    <w:rsid w:val="001B079F"/>
    <w:rsid w:val="001B100E"/>
    <w:rsid w:val="001B1604"/>
    <w:rsid w:val="001B1B1C"/>
    <w:rsid w:val="001B2DC6"/>
    <w:rsid w:val="001B3D9D"/>
    <w:rsid w:val="001C1525"/>
    <w:rsid w:val="001C21D3"/>
    <w:rsid w:val="001C3561"/>
    <w:rsid w:val="001C5B36"/>
    <w:rsid w:val="001D0527"/>
    <w:rsid w:val="001D45FF"/>
    <w:rsid w:val="001D595F"/>
    <w:rsid w:val="001E4A1E"/>
    <w:rsid w:val="001E7006"/>
    <w:rsid w:val="001E708B"/>
    <w:rsid w:val="001E7436"/>
    <w:rsid w:val="001E78FB"/>
    <w:rsid w:val="001E7BE4"/>
    <w:rsid w:val="001F0C87"/>
    <w:rsid w:val="001F1731"/>
    <w:rsid w:val="001F2B6A"/>
    <w:rsid w:val="001F3348"/>
    <w:rsid w:val="001F55E8"/>
    <w:rsid w:val="00200C82"/>
    <w:rsid w:val="002010D6"/>
    <w:rsid w:val="00202CF1"/>
    <w:rsid w:val="0020554C"/>
    <w:rsid w:val="0020666A"/>
    <w:rsid w:val="00206FB0"/>
    <w:rsid w:val="00211260"/>
    <w:rsid w:val="0021239F"/>
    <w:rsid w:val="0021332C"/>
    <w:rsid w:val="00213982"/>
    <w:rsid w:val="00213BE0"/>
    <w:rsid w:val="00215648"/>
    <w:rsid w:val="0021580E"/>
    <w:rsid w:val="00215C65"/>
    <w:rsid w:val="00215C9A"/>
    <w:rsid w:val="00216722"/>
    <w:rsid w:val="00217FD4"/>
    <w:rsid w:val="0022193C"/>
    <w:rsid w:val="00225371"/>
    <w:rsid w:val="00225F02"/>
    <w:rsid w:val="00230170"/>
    <w:rsid w:val="00230891"/>
    <w:rsid w:val="002312DB"/>
    <w:rsid w:val="00231A95"/>
    <w:rsid w:val="00231F5D"/>
    <w:rsid w:val="00232945"/>
    <w:rsid w:val="00233097"/>
    <w:rsid w:val="00235EEC"/>
    <w:rsid w:val="0023614A"/>
    <w:rsid w:val="00237BC4"/>
    <w:rsid w:val="00243E9E"/>
    <w:rsid w:val="0024416D"/>
    <w:rsid w:val="00244ACD"/>
    <w:rsid w:val="00245027"/>
    <w:rsid w:val="00245C00"/>
    <w:rsid w:val="0024678D"/>
    <w:rsid w:val="00246B65"/>
    <w:rsid w:val="00246DBF"/>
    <w:rsid w:val="00252BB4"/>
    <w:rsid w:val="00252BEA"/>
    <w:rsid w:val="0025335A"/>
    <w:rsid w:val="0025353C"/>
    <w:rsid w:val="002648F3"/>
    <w:rsid w:val="00265939"/>
    <w:rsid w:val="00267A4C"/>
    <w:rsid w:val="0027038E"/>
    <w:rsid w:val="00270FF0"/>
    <w:rsid w:val="00271518"/>
    <w:rsid w:val="00271911"/>
    <w:rsid w:val="00273187"/>
    <w:rsid w:val="002748E0"/>
    <w:rsid w:val="002800A0"/>
    <w:rsid w:val="002801B3"/>
    <w:rsid w:val="00281060"/>
    <w:rsid w:val="00282F86"/>
    <w:rsid w:val="00284036"/>
    <w:rsid w:val="00284050"/>
    <w:rsid w:val="002846E3"/>
    <w:rsid w:val="00284CAF"/>
    <w:rsid w:val="00285682"/>
    <w:rsid w:val="00285811"/>
    <w:rsid w:val="00285BD0"/>
    <w:rsid w:val="0028651C"/>
    <w:rsid w:val="00286D42"/>
    <w:rsid w:val="00290678"/>
    <w:rsid w:val="0029080E"/>
    <w:rsid w:val="002936AD"/>
    <w:rsid w:val="002940E8"/>
    <w:rsid w:val="00294751"/>
    <w:rsid w:val="002A09F1"/>
    <w:rsid w:val="002A5818"/>
    <w:rsid w:val="002A6E50"/>
    <w:rsid w:val="002A6EF8"/>
    <w:rsid w:val="002A70F0"/>
    <w:rsid w:val="002B0891"/>
    <w:rsid w:val="002B1A58"/>
    <w:rsid w:val="002B3559"/>
    <w:rsid w:val="002B4298"/>
    <w:rsid w:val="002B4543"/>
    <w:rsid w:val="002B549D"/>
    <w:rsid w:val="002B744E"/>
    <w:rsid w:val="002B7A36"/>
    <w:rsid w:val="002C08C5"/>
    <w:rsid w:val="002C1AC5"/>
    <w:rsid w:val="002C256A"/>
    <w:rsid w:val="002D0835"/>
    <w:rsid w:val="002D1D97"/>
    <w:rsid w:val="002D3647"/>
    <w:rsid w:val="002D3F81"/>
    <w:rsid w:val="002D4170"/>
    <w:rsid w:val="002D5226"/>
    <w:rsid w:val="002D5D6E"/>
    <w:rsid w:val="002D7A6B"/>
    <w:rsid w:val="002D7C42"/>
    <w:rsid w:val="002E166F"/>
    <w:rsid w:val="002E25FB"/>
    <w:rsid w:val="002E34B6"/>
    <w:rsid w:val="002E4E76"/>
    <w:rsid w:val="002E6807"/>
    <w:rsid w:val="002E6B9B"/>
    <w:rsid w:val="002F10AF"/>
    <w:rsid w:val="002F5FC5"/>
    <w:rsid w:val="002F626F"/>
    <w:rsid w:val="002F70D7"/>
    <w:rsid w:val="003008B7"/>
    <w:rsid w:val="00301725"/>
    <w:rsid w:val="00301DAF"/>
    <w:rsid w:val="00301EF9"/>
    <w:rsid w:val="00302348"/>
    <w:rsid w:val="003025F7"/>
    <w:rsid w:val="00302B4F"/>
    <w:rsid w:val="00304029"/>
    <w:rsid w:val="00304996"/>
    <w:rsid w:val="00305A7F"/>
    <w:rsid w:val="00306987"/>
    <w:rsid w:val="00306D40"/>
    <w:rsid w:val="00314FBA"/>
    <w:rsid w:val="003151F6"/>
    <w:rsid w:val="003152FE"/>
    <w:rsid w:val="0031582D"/>
    <w:rsid w:val="0031651A"/>
    <w:rsid w:val="0032060C"/>
    <w:rsid w:val="0032203F"/>
    <w:rsid w:val="003232CF"/>
    <w:rsid w:val="00323F14"/>
    <w:rsid w:val="00324108"/>
    <w:rsid w:val="00324187"/>
    <w:rsid w:val="00325C14"/>
    <w:rsid w:val="00327436"/>
    <w:rsid w:val="00327CDD"/>
    <w:rsid w:val="00333FD3"/>
    <w:rsid w:val="003378E8"/>
    <w:rsid w:val="00340023"/>
    <w:rsid w:val="00340143"/>
    <w:rsid w:val="0034038B"/>
    <w:rsid w:val="003409C2"/>
    <w:rsid w:val="00344123"/>
    <w:rsid w:val="00344BD6"/>
    <w:rsid w:val="0035124E"/>
    <w:rsid w:val="0035528D"/>
    <w:rsid w:val="00360806"/>
    <w:rsid w:val="00361821"/>
    <w:rsid w:val="00361B27"/>
    <w:rsid w:val="00361E9E"/>
    <w:rsid w:val="00363D14"/>
    <w:rsid w:val="00364E4C"/>
    <w:rsid w:val="003668C2"/>
    <w:rsid w:val="00366A4A"/>
    <w:rsid w:val="00367DE6"/>
    <w:rsid w:val="00370B01"/>
    <w:rsid w:val="003726A9"/>
    <w:rsid w:val="00372CD4"/>
    <w:rsid w:val="00372F57"/>
    <w:rsid w:val="003753EE"/>
    <w:rsid w:val="003761E9"/>
    <w:rsid w:val="003803BE"/>
    <w:rsid w:val="00381AF3"/>
    <w:rsid w:val="003830A3"/>
    <w:rsid w:val="00383DA1"/>
    <w:rsid w:val="00390EF6"/>
    <w:rsid w:val="0039106F"/>
    <w:rsid w:val="00392360"/>
    <w:rsid w:val="00393CDF"/>
    <w:rsid w:val="00394E29"/>
    <w:rsid w:val="00397657"/>
    <w:rsid w:val="00397847"/>
    <w:rsid w:val="003A0835"/>
    <w:rsid w:val="003A4E92"/>
    <w:rsid w:val="003A5AAF"/>
    <w:rsid w:val="003A6ABD"/>
    <w:rsid w:val="003A707D"/>
    <w:rsid w:val="003B5C61"/>
    <w:rsid w:val="003B6C7D"/>
    <w:rsid w:val="003B700A"/>
    <w:rsid w:val="003B7DAC"/>
    <w:rsid w:val="003B7EE3"/>
    <w:rsid w:val="003C1110"/>
    <w:rsid w:val="003C3D82"/>
    <w:rsid w:val="003C5A35"/>
    <w:rsid w:val="003C7FBE"/>
    <w:rsid w:val="003D1F18"/>
    <w:rsid w:val="003D227C"/>
    <w:rsid w:val="003D2B4D"/>
    <w:rsid w:val="003D352D"/>
    <w:rsid w:val="003D4B48"/>
    <w:rsid w:val="003D52D2"/>
    <w:rsid w:val="003D6127"/>
    <w:rsid w:val="003D720A"/>
    <w:rsid w:val="003E0DC8"/>
    <w:rsid w:val="003E1A99"/>
    <w:rsid w:val="003E694B"/>
    <w:rsid w:val="003F0030"/>
    <w:rsid w:val="003F1B0F"/>
    <w:rsid w:val="003F1D06"/>
    <w:rsid w:val="003F28D6"/>
    <w:rsid w:val="003F313E"/>
    <w:rsid w:val="003F37F5"/>
    <w:rsid w:val="003F5E9B"/>
    <w:rsid w:val="003F7684"/>
    <w:rsid w:val="004027F4"/>
    <w:rsid w:val="00404499"/>
    <w:rsid w:val="004044F4"/>
    <w:rsid w:val="00404FC5"/>
    <w:rsid w:val="00405376"/>
    <w:rsid w:val="00407D14"/>
    <w:rsid w:val="00407E7E"/>
    <w:rsid w:val="004117B1"/>
    <w:rsid w:val="00413F4B"/>
    <w:rsid w:val="00414184"/>
    <w:rsid w:val="0041588A"/>
    <w:rsid w:val="00420050"/>
    <w:rsid w:val="0042139A"/>
    <w:rsid w:val="00421488"/>
    <w:rsid w:val="0042454E"/>
    <w:rsid w:val="00424BBE"/>
    <w:rsid w:val="00425A52"/>
    <w:rsid w:val="00425EFA"/>
    <w:rsid w:val="004272B8"/>
    <w:rsid w:val="004310AB"/>
    <w:rsid w:val="004316C4"/>
    <w:rsid w:val="004324CA"/>
    <w:rsid w:val="00432CF9"/>
    <w:rsid w:val="00433237"/>
    <w:rsid w:val="00444A88"/>
    <w:rsid w:val="00452525"/>
    <w:rsid w:val="00452E63"/>
    <w:rsid w:val="00453937"/>
    <w:rsid w:val="00453CD7"/>
    <w:rsid w:val="00455B24"/>
    <w:rsid w:val="00456547"/>
    <w:rsid w:val="00461C82"/>
    <w:rsid w:val="0046229E"/>
    <w:rsid w:val="004632C2"/>
    <w:rsid w:val="004663C9"/>
    <w:rsid w:val="00467C5F"/>
    <w:rsid w:val="0047000B"/>
    <w:rsid w:val="004707D4"/>
    <w:rsid w:val="0047090B"/>
    <w:rsid w:val="00470933"/>
    <w:rsid w:val="00474DA4"/>
    <w:rsid w:val="00476B4D"/>
    <w:rsid w:val="00477453"/>
    <w:rsid w:val="00477790"/>
    <w:rsid w:val="00477C22"/>
    <w:rsid w:val="004805FA"/>
    <w:rsid w:val="0048229B"/>
    <w:rsid w:val="00482DAF"/>
    <w:rsid w:val="00487684"/>
    <w:rsid w:val="00490163"/>
    <w:rsid w:val="00490643"/>
    <w:rsid w:val="00490CAB"/>
    <w:rsid w:val="0049103D"/>
    <w:rsid w:val="004919C5"/>
    <w:rsid w:val="00492C3E"/>
    <w:rsid w:val="004935D2"/>
    <w:rsid w:val="0049386F"/>
    <w:rsid w:val="00493B81"/>
    <w:rsid w:val="0049606A"/>
    <w:rsid w:val="004A01F6"/>
    <w:rsid w:val="004A25B3"/>
    <w:rsid w:val="004A2C70"/>
    <w:rsid w:val="004A324A"/>
    <w:rsid w:val="004A444A"/>
    <w:rsid w:val="004A4B60"/>
    <w:rsid w:val="004A72FA"/>
    <w:rsid w:val="004A730C"/>
    <w:rsid w:val="004A7502"/>
    <w:rsid w:val="004B0C1F"/>
    <w:rsid w:val="004B1215"/>
    <w:rsid w:val="004B2442"/>
    <w:rsid w:val="004B26A2"/>
    <w:rsid w:val="004B7371"/>
    <w:rsid w:val="004B74D2"/>
    <w:rsid w:val="004B76A1"/>
    <w:rsid w:val="004C0E13"/>
    <w:rsid w:val="004C35A0"/>
    <w:rsid w:val="004C535B"/>
    <w:rsid w:val="004C5839"/>
    <w:rsid w:val="004C5BBB"/>
    <w:rsid w:val="004C5F82"/>
    <w:rsid w:val="004C773B"/>
    <w:rsid w:val="004D047D"/>
    <w:rsid w:val="004D09AB"/>
    <w:rsid w:val="004D1D00"/>
    <w:rsid w:val="004D33BC"/>
    <w:rsid w:val="004D590D"/>
    <w:rsid w:val="004D66AD"/>
    <w:rsid w:val="004D7D80"/>
    <w:rsid w:val="004E17B3"/>
    <w:rsid w:val="004E213A"/>
    <w:rsid w:val="004E3307"/>
    <w:rsid w:val="004E3FE9"/>
    <w:rsid w:val="004E4BCB"/>
    <w:rsid w:val="004E685A"/>
    <w:rsid w:val="004E6BB6"/>
    <w:rsid w:val="004E7088"/>
    <w:rsid w:val="004F009C"/>
    <w:rsid w:val="004F1E9E"/>
    <w:rsid w:val="004F305A"/>
    <w:rsid w:val="004F3574"/>
    <w:rsid w:val="004F5AE2"/>
    <w:rsid w:val="004F61F1"/>
    <w:rsid w:val="004F68F5"/>
    <w:rsid w:val="004F69E2"/>
    <w:rsid w:val="00500949"/>
    <w:rsid w:val="00505537"/>
    <w:rsid w:val="00506AEA"/>
    <w:rsid w:val="005101B9"/>
    <w:rsid w:val="00512164"/>
    <w:rsid w:val="00514B85"/>
    <w:rsid w:val="0051524C"/>
    <w:rsid w:val="00516901"/>
    <w:rsid w:val="00520297"/>
    <w:rsid w:val="0052246D"/>
    <w:rsid w:val="005251EF"/>
    <w:rsid w:val="0052623A"/>
    <w:rsid w:val="005266A6"/>
    <w:rsid w:val="00527EE2"/>
    <w:rsid w:val="0053292E"/>
    <w:rsid w:val="005338F9"/>
    <w:rsid w:val="00533D15"/>
    <w:rsid w:val="00535D79"/>
    <w:rsid w:val="00536A45"/>
    <w:rsid w:val="00537CB0"/>
    <w:rsid w:val="00540F3C"/>
    <w:rsid w:val="00541DFF"/>
    <w:rsid w:val="0054281C"/>
    <w:rsid w:val="00543AC2"/>
    <w:rsid w:val="00544291"/>
    <w:rsid w:val="005442FE"/>
    <w:rsid w:val="00544581"/>
    <w:rsid w:val="00545C44"/>
    <w:rsid w:val="00546444"/>
    <w:rsid w:val="0055268D"/>
    <w:rsid w:val="00552C31"/>
    <w:rsid w:val="0055388A"/>
    <w:rsid w:val="00555CCA"/>
    <w:rsid w:val="00556945"/>
    <w:rsid w:val="0056289A"/>
    <w:rsid w:val="00562EBF"/>
    <w:rsid w:val="005656E2"/>
    <w:rsid w:val="005678E8"/>
    <w:rsid w:val="00567ABB"/>
    <w:rsid w:val="005702F6"/>
    <w:rsid w:val="005705FD"/>
    <w:rsid w:val="00570D69"/>
    <w:rsid w:val="005719D8"/>
    <w:rsid w:val="00572D2D"/>
    <w:rsid w:val="00573F58"/>
    <w:rsid w:val="00575738"/>
    <w:rsid w:val="00575DE2"/>
    <w:rsid w:val="005769FF"/>
    <w:rsid w:val="00576BE4"/>
    <w:rsid w:val="005779DB"/>
    <w:rsid w:val="005800B5"/>
    <w:rsid w:val="00580F20"/>
    <w:rsid w:val="00581F01"/>
    <w:rsid w:val="005871D9"/>
    <w:rsid w:val="00587CC9"/>
    <w:rsid w:val="005908F7"/>
    <w:rsid w:val="00592514"/>
    <w:rsid w:val="00592B1F"/>
    <w:rsid w:val="00593B7B"/>
    <w:rsid w:val="0059762A"/>
    <w:rsid w:val="005A152E"/>
    <w:rsid w:val="005A2A67"/>
    <w:rsid w:val="005A3A11"/>
    <w:rsid w:val="005A400A"/>
    <w:rsid w:val="005A6366"/>
    <w:rsid w:val="005A6FD6"/>
    <w:rsid w:val="005A7745"/>
    <w:rsid w:val="005B0055"/>
    <w:rsid w:val="005B08EF"/>
    <w:rsid w:val="005B1D56"/>
    <w:rsid w:val="005B234E"/>
    <w:rsid w:val="005B269D"/>
    <w:rsid w:val="005B4406"/>
    <w:rsid w:val="005B4D10"/>
    <w:rsid w:val="005B5A46"/>
    <w:rsid w:val="005B5C84"/>
    <w:rsid w:val="005B5CD7"/>
    <w:rsid w:val="005B5E60"/>
    <w:rsid w:val="005B7647"/>
    <w:rsid w:val="005B7714"/>
    <w:rsid w:val="005C5B73"/>
    <w:rsid w:val="005C7913"/>
    <w:rsid w:val="005C794F"/>
    <w:rsid w:val="005D035A"/>
    <w:rsid w:val="005D1451"/>
    <w:rsid w:val="005D1D68"/>
    <w:rsid w:val="005D2254"/>
    <w:rsid w:val="005D2915"/>
    <w:rsid w:val="005D2CF7"/>
    <w:rsid w:val="005D4AD6"/>
    <w:rsid w:val="005D605B"/>
    <w:rsid w:val="005D6984"/>
    <w:rsid w:val="005E46DB"/>
    <w:rsid w:val="005E6DBA"/>
    <w:rsid w:val="005E7466"/>
    <w:rsid w:val="005F0B05"/>
    <w:rsid w:val="005F14C0"/>
    <w:rsid w:val="005F54F3"/>
    <w:rsid w:val="005F7B92"/>
    <w:rsid w:val="0060052B"/>
    <w:rsid w:val="006026AE"/>
    <w:rsid w:val="00603CEB"/>
    <w:rsid w:val="006041A0"/>
    <w:rsid w:val="0060458A"/>
    <w:rsid w:val="00606406"/>
    <w:rsid w:val="0060764E"/>
    <w:rsid w:val="00612379"/>
    <w:rsid w:val="0061482D"/>
    <w:rsid w:val="006153B6"/>
    <w:rsid w:val="0061555F"/>
    <w:rsid w:val="00616BA6"/>
    <w:rsid w:val="00621403"/>
    <w:rsid w:val="006245ED"/>
    <w:rsid w:val="006250F1"/>
    <w:rsid w:val="00626902"/>
    <w:rsid w:val="006277DF"/>
    <w:rsid w:val="006307BE"/>
    <w:rsid w:val="006320D2"/>
    <w:rsid w:val="006339FF"/>
    <w:rsid w:val="006359B2"/>
    <w:rsid w:val="006359DA"/>
    <w:rsid w:val="00636CA6"/>
    <w:rsid w:val="006401FB"/>
    <w:rsid w:val="00641200"/>
    <w:rsid w:val="006412D4"/>
    <w:rsid w:val="0064206D"/>
    <w:rsid w:val="006422F7"/>
    <w:rsid w:val="006455C0"/>
    <w:rsid w:val="00645CA8"/>
    <w:rsid w:val="00653224"/>
    <w:rsid w:val="006540EE"/>
    <w:rsid w:val="00662298"/>
    <w:rsid w:val="00663A2F"/>
    <w:rsid w:val="00664EAB"/>
    <w:rsid w:val="006655D3"/>
    <w:rsid w:val="00667404"/>
    <w:rsid w:val="0067145F"/>
    <w:rsid w:val="0067277B"/>
    <w:rsid w:val="00672E89"/>
    <w:rsid w:val="00672F69"/>
    <w:rsid w:val="00674095"/>
    <w:rsid w:val="006741D1"/>
    <w:rsid w:val="006749A8"/>
    <w:rsid w:val="00675684"/>
    <w:rsid w:val="00676E17"/>
    <w:rsid w:val="0067780A"/>
    <w:rsid w:val="00687EB4"/>
    <w:rsid w:val="00690225"/>
    <w:rsid w:val="0069179F"/>
    <w:rsid w:val="00692568"/>
    <w:rsid w:val="006925D9"/>
    <w:rsid w:val="00695C56"/>
    <w:rsid w:val="00696147"/>
    <w:rsid w:val="006A1873"/>
    <w:rsid w:val="006A4C2C"/>
    <w:rsid w:val="006A5CDE"/>
    <w:rsid w:val="006A644A"/>
    <w:rsid w:val="006A6590"/>
    <w:rsid w:val="006A7060"/>
    <w:rsid w:val="006B17D2"/>
    <w:rsid w:val="006B305B"/>
    <w:rsid w:val="006B3F27"/>
    <w:rsid w:val="006B3FEE"/>
    <w:rsid w:val="006B4FB0"/>
    <w:rsid w:val="006B5559"/>
    <w:rsid w:val="006C1E5F"/>
    <w:rsid w:val="006C224E"/>
    <w:rsid w:val="006C242F"/>
    <w:rsid w:val="006C42B9"/>
    <w:rsid w:val="006C6637"/>
    <w:rsid w:val="006D0189"/>
    <w:rsid w:val="006D0E5F"/>
    <w:rsid w:val="006D210B"/>
    <w:rsid w:val="006D2D37"/>
    <w:rsid w:val="006D5FBD"/>
    <w:rsid w:val="006D642A"/>
    <w:rsid w:val="006D6997"/>
    <w:rsid w:val="006D780A"/>
    <w:rsid w:val="006E06C6"/>
    <w:rsid w:val="006E140B"/>
    <w:rsid w:val="006E38A3"/>
    <w:rsid w:val="006E51F3"/>
    <w:rsid w:val="006F3A97"/>
    <w:rsid w:val="006F6CD8"/>
    <w:rsid w:val="00700904"/>
    <w:rsid w:val="00700E59"/>
    <w:rsid w:val="00701E94"/>
    <w:rsid w:val="007020E1"/>
    <w:rsid w:val="00702BFA"/>
    <w:rsid w:val="00702F79"/>
    <w:rsid w:val="00704E3F"/>
    <w:rsid w:val="00704ECF"/>
    <w:rsid w:val="0070728D"/>
    <w:rsid w:val="00707597"/>
    <w:rsid w:val="00707F20"/>
    <w:rsid w:val="00712644"/>
    <w:rsid w:val="0071271E"/>
    <w:rsid w:val="00715E71"/>
    <w:rsid w:val="00720714"/>
    <w:rsid w:val="00721603"/>
    <w:rsid w:val="00721EB3"/>
    <w:rsid w:val="007228BF"/>
    <w:rsid w:val="00722A82"/>
    <w:rsid w:val="00722AF5"/>
    <w:rsid w:val="00723F6E"/>
    <w:rsid w:val="007247D5"/>
    <w:rsid w:val="0072548E"/>
    <w:rsid w:val="00727C3B"/>
    <w:rsid w:val="00730E17"/>
    <w:rsid w:val="007312CC"/>
    <w:rsid w:val="00731FEC"/>
    <w:rsid w:val="00732AD8"/>
    <w:rsid w:val="00732DEC"/>
    <w:rsid w:val="0073388D"/>
    <w:rsid w:val="0073498A"/>
    <w:rsid w:val="00735BD5"/>
    <w:rsid w:val="0073605C"/>
    <w:rsid w:val="007378CC"/>
    <w:rsid w:val="007400A5"/>
    <w:rsid w:val="007401CD"/>
    <w:rsid w:val="00741D14"/>
    <w:rsid w:val="0074257D"/>
    <w:rsid w:val="0074323C"/>
    <w:rsid w:val="007435F0"/>
    <w:rsid w:val="007451EC"/>
    <w:rsid w:val="00746C8A"/>
    <w:rsid w:val="00747364"/>
    <w:rsid w:val="00750017"/>
    <w:rsid w:val="00751613"/>
    <w:rsid w:val="00753EE9"/>
    <w:rsid w:val="0075538E"/>
    <w:rsid w:val="007556F6"/>
    <w:rsid w:val="00756DFD"/>
    <w:rsid w:val="007602AB"/>
    <w:rsid w:val="007604E6"/>
    <w:rsid w:val="00760EEF"/>
    <w:rsid w:val="007618D2"/>
    <w:rsid w:val="00762EAD"/>
    <w:rsid w:val="00764080"/>
    <w:rsid w:val="0076458A"/>
    <w:rsid w:val="00764C65"/>
    <w:rsid w:val="00766208"/>
    <w:rsid w:val="00766C10"/>
    <w:rsid w:val="007750A4"/>
    <w:rsid w:val="007775CE"/>
    <w:rsid w:val="00777EE5"/>
    <w:rsid w:val="007810A1"/>
    <w:rsid w:val="00781835"/>
    <w:rsid w:val="00784836"/>
    <w:rsid w:val="00786D78"/>
    <w:rsid w:val="0079023E"/>
    <w:rsid w:val="0079055B"/>
    <w:rsid w:val="00795246"/>
    <w:rsid w:val="00795F3F"/>
    <w:rsid w:val="00797F7E"/>
    <w:rsid w:val="007A076C"/>
    <w:rsid w:val="007A08BD"/>
    <w:rsid w:val="007A21AE"/>
    <w:rsid w:val="007A2628"/>
    <w:rsid w:val="007A2854"/>
    <w:rsid w:val="007A28AA"/>
    <w:rsid w:val="007A2A74"/>
    <w:rsid w:val="007A5397"/>
    <w:rsid w:val="007A6A6D"/>
    <w:rsid w:val="007B34D2"/>
    <w:rsid w:val="007B55D3"/>
    <w:rsid w:val="007B5A11"/>
    <w:rsid w:val="007B5EAF"/>
    <w:rsid w:val="007B7785"/>
    <w:rsid w:val="007B7C4D"/>
    <w:rsid w:val="007C0FEC"/>
    <w:rsid w:val="007C12BC"/>
    <w:rsid w:val="007C1BE7"/>
    <w:rsid w:val="007C1D7D"/>
    <w:rsid w:val="007C1D92"/>
    <w:rsid w:val="007C4CB9"/>
    <w:rsid w:val="007C5AF5"/>
    <w:rsid w:val="007C6AF9"/>
    <w:rsid w:val="007D0B9D"/>
    <w:rsid w:val="007D19B0"/>
    <w:rsid w:val="007D2461"/>
    <w:rsid w:val="007D321C"/>
    <w:rsid w:val="007D3B4A"/>
    <w:rsid w:val="007D5246"/>
    <w:rsid w:val="007D5F92"/>
    <w:rsid w:val="007D7694"/>
    <w:rsid w:val="007D7F9A"/>
    <w:rsid w:val="007E017F"/>
    <w:rsid w:val="007E0C4A"/>
    <w:rsid w:val="007E10D7"/>
    <w:rsid w:val="007E2ADF"/>
    <w:rsid w:val="007E34FE"/>
    <w:rsid w:val="007E4959"/>
    <w:rsid w:val="007E57DA"/>
    <w:rsid w:val="007F226E"/>
    <w:rsid w:val="007F3836"/>
    <w:rsid w:val="007F498F"/>
    <w:rsid w:val="007F5F9F"/>
    <w:rsid w:val="0080039B"/>
    <w:rsid w:val="00801465"/>
    <w:rsid w:val="00802641"/>
    <w:rsid w:val="00802C26"/>
    <w:rsid w:val="00803A38"/>
    <w:rsid w:val="00804619"/>
    <w:rsid w:val="00805A39"/>
    <w:rsid w:val="00805BA7"/>
    <w:rsid w:val="00805FA1"/>
    <w:rsid w:val="0080679D"/>
    <w:rsid w:val="00810508"/>
    <w:rsid w:val="008108B0"/>
    <w:rsid w:val="00811B20"/>
    <w:rsid w:val="008123F3"/>
    <w:rsid w:val="00812609"/>
    <w:rsid w:val="00812AFE"/>
    <w:rsid w:val="00813C80"/>
    <w:rsid w:val="00813D0F"/>
    <w:rsid w:val="0081474E"/>
    <w:rsid w:val="0081495A"/>
    <w:rsid w:val="00814F2C"/>
    <w:rsid w:val="00815F2B"/>
    <w:rsid w:val="00817D68"/>
    <w:rsid w:val="008211B5"/>
    <w:rsid w:val="00821238"/>
    <w:rsid w:val="0082176F"/>
    <w:rsid w:val="0082296E"/>
    <w:rsid w:val="00824099"/>
    <w:rsid w:val="008257D7"/>
    <w:rsid w:val="008261D5"/>
    <w:rsid w:val="00826ACF"/>
    <w:rsid w:val="00827109"/>
    <w:rsid w:val="008301B5"/>
    <w:rsid w:val="00830669"/>
    <w:rsid w:val="00832624"/>
    <w:rsid w:val="00834311"/>
    <w:rsid w:val="00844E5E"/>
    <w:rsid w:val="00845597"/>
    <w:rsid w:val="00846283"/>
    <w:rsid w:val="0084649B"/>
    <w:rsid w:val="00846D7C"/>
    <w:rsid w:val="0085075C"/>
    <w:rsid w:val="00854757"/>
    <w:rsid w:val="00854B0A"/>
    <w:rsid w:val="008554AF"/>
    <w:rsid w:val="0085659F"/>
    <w:rsid w:val="00863A38"/>
    <w:rsid w:val="00864856"/>
    <w:rsid w:val="0086637E"/>
    <w:rsid w:val="008664E7"/>
    <w:rsid w:val="00867AC1"/>
    <w:rsid w:val="008702A8"/>
    <w:rsid w:val="008738DD"/>
    <w:rsid w:val="00874EB4"/>
    <w:rsid w:val="008751DE"/>
    <w:rsid w:val="0087585C"/>
    <w:rsid w:val="00875FED"/>
    <w:rsid w:val="00877148"/>
    <w:rsid w:val="00880FF4"/>
    <w:rsid w:val="00882F66"/>
    <w:rsid w:val="008841E1"/>
    <w:rsid w:val="008859D1"/>
    <w:rsid w:val="00890DF8"/>
    <w:rsid w:val="008921B7"/>
    <w:rsid w:val="008960D9"/>
    <w:rsid w:val="008A0ADE"/>
    <w:rsid w:val="008A0E6A"/>
    <w:rsid w:val="008A32D4"/>
    <w:rsid w:val="008A743F"/>
    <w:rsid w:val="008B1C51"/>
    <w:rsid w:val="008B221A"/>
    <w:rsid w:val="008B29E7"/>
    <w:rsid w:val="008B3465"/>
    <w:rsid w:val="008B3FCB"/>
    <w:rsid w:val="008B7B64"/>
    <w:rsid w:val="008C0970"/>
    <w:rsid w:val="008C15D4"/>
    <w:rsid w:val="008C23F1"/>
    <w:rsid w:val="008C3663"/>
    <w:rsid w:val="008C63AF"/>
    <w:rsid w:val="008C6BED"/>
    <w:rsid w:val="008D0BC5"/>
    <w:rsid w:val="008D1957"/>
    <w:rsid w:val="008D1E8E"/>
    <w:rsid w:val="008D2CF7"/>
    <w:rsid w:val="008D2D10"/>
    <w:rsid w:val="008D4B57"/>
    <w:rsid w:val="008D5241"/>
    <w:rsid w:val="008D7938"/>
    <w:rsid w:val="008E2133"/>
    <w:rsid w:val="008E337D"/>
    <w:rsid w:val="008E34F3"/>
    <w:rsid w:val="008E51BF"/>
    <w:rsid w:val="008E5ABA"/>
    <w:rsid w:val="008F148F"/>
    <w:rsid w:val="008F2FBC"/>
    <w:rsid w:val="008F632B"/>
    <w:rsid w:val="008F6559"/>
    <w:rsid w:val="0090040A"/>
    <w:rsid w:val="00900722"/>
    <w:rsid w:val="00900A1C"/>
    <w:rsid w:val="00900C26"/>
    <w:rsid w:val="00901191"/>
    <w:rsid w:val="0090197F"/>
    <w:rsid w:val="00903264"/>
    <w:rsid w:val="00906DDC"/>
    <w:rsid w:val="009112DE"/>
    <w:rsid w:val="00912C8A"/>
    <w:rsid w:val="00914C5B"/>
    <w:rsid w:val="00916021"/>
    <w:rsid w:val="00917028"/>
    <w:rsid w:val="00917134"/>
    <w:rsid w:val="00917A90"/>
    <w:rsid w:val="0092061E"/>
    <w:rsid w:val="009216F5"/>
    <w:rsid w:val="00921983"/>
    <w:rsid w:val="00922F72"/>
    <w:rsid w:val="00924036"/>
    <w:rsid w:val="009247F2"/>
    <w:rsid w:val="009249BC"/>
    <w:rsid w:val="0092533A"/>
    <w:rsid w:val="00931F7A"/>
    <w:rsid w:val="00934E09"/>
    <w:rsid w:val="00934EFC"/>
    <w:rsid w:val="009356CC"/>
    <w:rsid w:val="00935CA3"/>
    <w:rsid w:val="00936253"/>
    <w:rsid w:val="009374B7"/>
    <w:rsid w:val="00940D46"/>
    <w:rsid w:val="009413F1"/>
    <w:rsid w:val="009418CE"/>
    <w:rsid w:val="00942539"/>
    <w:rsid w:val="00947916"/>
    <w:rsid w:val="00950747"/>
    <w:rsid w:val="009507E7"/>
    <w:rsid w:val="00951026"/>
    <w:rsid w:val="00951234"/>
    <w:rsid w:val="009514DA"/>
    <w:rsid w:val="00951B86"/>
    <w:rsid w:val="00952DD4"/>
    <w:rsid w:val="0095475A"/>
    <w:rsid w:val="00955CC3"/>
    <w:rsid w:val="00955E38"/>
    <w:rsid w:val="009561BA"/>
    <w:rsid w:val="009561F4"/>
    <w:rsid w:val="00956666"/>
    <w:rsid w:val="00956D61"/>
    <w:rsid w:val="009623B0"/>
    <w:rsid w:val="00962CFA"/>
    <w:rsid w:val="00964C51"/>
    <w:rsid w:val="00965AE7"/>
    <w:rsid w:val="00967B85"/>
    <w:rsid w:val="0097036A"/>
    <w:rsid w:val="00970FED"/>
    <w:rsid w:val="00971CA6"/>
    <w:rsid w:val="00972200"/>
    <w:rsid w:val="00972C04"/>
    <w:rsid w:val="009740A7"/>
    <w:rsid w:val="00974115"/>
    <w:rsid w:val="0097424A"/>
    <w:rsid w:val="0098177F"/>
    <w:rsid w:val="00982B47"/>
    <w:rsid w:val="00982B9E"/>
    <w:rsid w:val="00983728"/>
    <w:rsid w:val="00986816"/>
    <w:rsid w:val="009870E0"/>
    <w:rsid w:val="00990723"/>
    <w:rsid w:val="0099094D"/>
    <w:rsid w:val="00992D09"/>
    <w:rsid w:val="00992D82"/>
    <w:rsid w:val="00993FAF"/>
    <w:rsid w:val="00993FE6"/>
    <w:rsid w:val="009942D4"/>
    <w:rsid w:val="0099679B"/>
    <w:rsid w:val="00996BFF"/>
    <w:rsid w:val="00997029"/>
    <w:rsid w:val="009974B0"/>
    <w:rsid w:val="00997C5A"/>
    <w:rsid w:val="009A0867"/>
    <w:rsid w:val="009A2997"/>
    <w:rsid w:val="009A2C8E"/>
    <w:rsid w:val="009A38AA"/>
    <w:rsid w:val="009A7339"/>
    <w:rsid w:val="009B1286"/>
    <w:rsid w:val="009B1381"/>
    <w:rsid w:val="009B138C"/>
    <w:rsid w:val="009B2387"/>
    <w:rsid w:val="009B43F7"/>
    <w:rsid w:val="009B440E"/>
    <w:rsid w:val="009B6D1D"/>
    <w:rsid w:val="009B7B2B"/>
    <w:rsid w:val="009B7CB5"/>
    <w:rsid w:val="009C102C"/>
    <w:rsid w:val="009C1ECA"/>
    <w:rsid w:val="009C22C3"/>
    <w:rsid w:val="009C7356"/>
    <w:rsid w:val="009C7751"/>
    <w:rsid w:val="009C7B3D"/>
    <w:rsid w:val="009D0DB6"/>
    <w:rsid w:val="009D5319"/>
    <w:rsid w:val="009D62CD"/>
    <w:rsid w:val="009D690D"/>
    <w:rsid w:val="009D6B67"/>
    <w:rsid w:val="009E00C2"/>
    <w:rsid w:val="009E0126"/>
    <w:rsid w:val="009E0287"/>
    <w:rsid w:val="009E0D57"/>
    <w:rsid w:val="009E1187"/>
    <w:rsid w:val="009E2524"/>
    <w:rsid w:val="009E2750"/>
    <w:rsid w:val="009E3D1F"/>
    <w:rsid w:val="009E42F9"/>
    <w:rsid w:val="009E65B6"/>
    <w:rsid w:val="009E7E14"/>
    <w:rsid w:val="009E7E94"/>
    <w:rsid w:val="009F08C6"/>
    <w:rsid w:val="009F0A51"/>
    <w:rsid w:val="009F1636"/>
    <w:rsid w:val="009F164A"/>
    <w:rsid w:val="009F3A9A"/>
    <w:rsid w:val="009F77CF"/>
    <w:rsid w:val="00A02E0F"/>
    <w:rsid w:val="00A05D8B"/>
    <w:rsid w:val="00A12CA8"/>
    <w:rsid w:val="00A200F2"/>
    <w:rsid w:val="00A20AEF"/>
    <w:rsid w:val="00A20F59"/>
    <w:rsid w:val="00A24C10"/>
    <w:rsid w:val="00A2513B"/>
    <w:rsid w:val="00A25E31"/>
    <w:rsid w:val="00A273E5"/>
    <w:rsid w:val="00A27724"/>
    <w:rsid w:val="00A27ECF"/>
    <w:rsid w:val="00A30285"/>
    <w:rsid w:val="00A308C4"/>
    <w:rsid w:val="00A30D9A"/>
    <w:rsid w:val="00A332B6"/>
    <w:rsid w:val="00A33D82"/>
    <w:rsid w:val="00A34D20"/>
    <w:rsid w:val="00A42AC3"/>
    <w:rsid w:val="00A42E05"/>
    <w:rsid w:val="00A430CF"/>
    <w:rsid w:val="00A43AE6"/>
    <w:rsid w:val="00A47827"/>
    <w:rsid w:val="00A47A48"/>
    <w:rsid w:val="00A50EB0"/>
    <w:rsid w:val="00A537C7"/>
    <w:rsid w:val="00A53ACD"/>
    <w:rsid w:val="00A54309"/>
    <w:rsid w:val="00A56B7F"/>
    <w:rsid w:val="00A609CB"/>
    <w:rsid w:val="00A610A9"/>
    <w:rsid w:val="00A612C0"/>
    <w:rsid w:val="00A6546F"/>
    <w:rsid w:val="00A65515"/>
    <w:rsid w:val="00A7034D"/>
    <w:rsid w:val="00A70769"/>
    <w:rsid w:val="00A72D19"/>
    <w:rsid w:val="00A72E35"/>
    <w:rsid w:val="00A733B2"/>
    <w:rsid w:val="00A739F1"/>
    <w:rsid w:val="00A74CA4"/>
    <w:rsid w:val="00A74CF5"/>
    <w:rsid w:val="00A77F7E"/>
    <w:rsid w:val="00A80F2A"/>
    <w:rsid w:val="00A8141D"/>
    <w:rsid w:val="00A816A5"/>
    <w:rsid w:val="00A81C37"/>
    <w:rsid w:val="00A84582"/>
    <w:rsid w:val="00A8533F"/>
    <w:rsid w:val="00A85F2F"/>
    <w:rsid w:val="00A861DD"/>
    <w:rsid w:val="00A865E5"/>
    <w:rsid w:val="00A87DEC"/>
    <w:rsid w:val="00A90BF8"/>
    <w:rsid w:val="00A92451"/>
    <w:rsid w:val="00A93150"/>
    <w:rsid w:val="00A936A4"/>
    <w:rsid w:val="00A937C3"/>
    <w:rsid w:val="00A94495"/>
    <w:rsid w:val="00A94889"/>
    <w:rsid w:val="00A950A2"/>
    <w:rsid w:val="00A96C33"/>
    <w:rsid w:val="00AA140E"/>
    <w:rsid w:val="00AA1877"/>
    <w:rsid w:val="00AA19D2"/>
    <w:rsid w:val="00AA1DCB"/>
    <w:rsid w:val="00AA5F29"/>
    <w:rsid w:val="00AA6074"/>
    <w:rsid w:val="00AA6182"/>
    <w:rsid w:val="00AA7043"/>
    <w:rsid w:val="00AB142E"/>
    <w:rsid w:val="00AB29D6"/>
    <w:rsid w:val="00AB2B93"/>
    <w:rsid w:val="00AB3EE3"/>
    <w:rsid w:val="00AB530F"/>
    <w:rsid w:val="00AB5A2D"/>
    <w:rsid w:val="00AB7E5B"/>
    <w:rsid w:val="00AC159E"/>
    <w:rsid w:val="00AC1F74"/>
    <w:rsid w:val="00AC220B"/>
    <w:rsid w:val="00AC2883"/>
    <w:rsid w:val="00AC3426"/>
    <w:rsid w:val="00AC3613"/>
    <w:rsid w:val="00AC36C1"/>
    <w:rsid w:val="00AC3D7A"/>
    <w:rsid w:val="00AC3DAE"/>
    <w:rsid w:val="00AC5D99"/>
    <w:rsid w:val="00AC67A0"/>
    <w:rsid w:val="00AD067E"/>
    <w:rsid w:val="00AD18F6"/>
    <w:rsid w:val="00AD28C1"/>
    <w:rsid w:val="00AD50C9"/>
    <w:rsid w:val="00AE00C6"/>
    <w:rsid w:val="00AE0742"/>
    <w:rsid w:val="00AE0EF1"/>
    <w:rsid w:val="00AE1D5A"/>
    <w:rsid w:val="00AE26E5"/>
    <w:rsid w:val="00AE2937"/>
    <w:rsid w:val="00AE2EAD"/>
    <w:rsid w:val="00AE4220"/>
    <w:rsid w:val="00AE48F1"/>
    <w:rsid w:val="00AE708E"/>
    <w:rsid w:val="00AE727C"/>
    <w:rsid w:val="00AE7B0A"/>
    <w:rsid w:val="00AE7D26"/>
    <w:rsid w:val="00AF0762"/>
    <w:rsid w:val="00AF2BFF"/>
    <w:rsid w:val="00AF3E55"/>
    <w:rsid w:val="00AF58DD"/>
    <w:rsid w:val="00AF7CF6"/>
    <w:rsid w:val="00B02442"/>
    <w:rsid w:val="00B02D6D"/>
    <w:rsid w:val="00B039C8"/>
    <w:rsid w:val="00B06502"/>
    <w:rsid w:val="00B066A1"/>
    <w:rsid w:val="00B07064"/>
    <w:rsid w:val="00B07301"/>
    <w:rsid w:val="00B078B1"/>
    <w:rsid w:val="00B07A83"/>
    <w:rsid w:val="00B11D40"/>
    <w:rsid w:val="00B11F3E"/>
    <w:rsid w:val="00B12DD8"/>
    <w:rsid w:val="00B140E4"/>
    <w:rsid w:val="00B14DE1"/>
    <w:rsid w:val="00B20520"/>
    <w:rsid w:val="00B2067F"/>
    <w:rsid w:val="00B21BAD"/>
    <w:rsid w:val="00B224DE"/>
    <w:rsid w:val="00B24959"/>
    <w:rsid w:val="00B2592B"/>
    <w:rsid w:val="00B30C5C"/>
    <w:rsid w:val="00B320EF"/>
    <w:rsid w:val="00B324D4"/>
    <w:rsid w:val="00B3253F"/>
    <w:rsid w:val="00B34723"/>
    <w:rsid w:val="00B358FF"/>
    <w:rsid w:val="00B364AA"/>
    <w:rsid w:val="00B3721F"/>
    <w:rsid w:val="00B378CE"/>
    <w:rsid w:val="00B412DB"/>
    <w:rsid w:val="00B42C86"/>
    <w:rsid w:val="00B42DCE"/>
    <w:rsid w:val="00B4460B"/>
    <w:rsid w:val="00B452B7"/>
    <w:rsid w:val="00B459A1"/>
    <w:rsid w:val="00B45B71"/>
    <w:rsid w:val="00B46575"/>
    <w:rsid w:val="00B46B65"/>
    <w:rsid w:val="00B51409"/>
    <w:rsid w:val="00B52B68"/>
    <w:rsid w:val="00B5424F"/>
    <w:rsid w:val="00B54904"/>
    <w:rsid w:val="00B54DB3"/>
    <w:rsid w:val="00B55292"/>
    <w:rsid w:val="00B61777"/>
    <w:rsid w:val="00B622E6"/>
    <w:rsid w:val="00B63405"/>
    <w:rsid w:val="00B65494"/>
    <w:rsid w:val="00B67A75"/>
    <w:rsid w:val="00B717DD"/>
    <w:rsid w:val="00B71C4D"/>
    <w:rsid w:val="00B75E68"/>
    <w:rsid w:val="00B8000F"/>
    <w:rsid w:val="00B80CDC"/>
    <w:rsid w:val="00B81047"/>
    <w:rsid w:val="00B822A9"/>
    <w:rsid w:val="00B8348E"/>
    <w:rsid w:val="00B838A8"/>
    <w:rsid w:val="00B83E82"/>
    <w:rsid w:val="00B8489A"/>
    <w:rsid w:val="00B84BBD"/>
    <w:rsid w:val="00B850F1"/>
    <w:rsid w:val="00B852D5"/>
    <w:rsid w:val="00B85E9D"/>
    <w:rsid w:val="00B85F04"/>
    <w:rsid w:val="00B87093"/>
    <w:rsid w:val="00B87F31"/>
    <w:rsid w:val="00B923A4"/>
    <w:rsid w:val="00BA1739"/>
    <w:rsid w:val="00BA43FB"/>
    <w:rsid w:val="00BB1CC6"/>
    <w:rsid w:val="00BB64EE"/>
    <w:rsid w:val="00BC127D"/>
    <w:rsid w:val="00BC1DB7"/>
    <w:rsid w:val="00BC1FE6"/>
    <w:rsid w:val="00BC2296"/>
    <w:rsid w:val="00BC2F3D"/>
    <w:rsid w:val="00BC3BF8"/>
    <w:rsid w:val="00BC6CA9"/>
    <w:rsid w:val="00BC7059"/>
    <w:rsid w:val="00BD03DE"/>
    <w:rsid w:val="00BD0F50"/>
    <w:rsid w:val="00BD127C"/>
    <w:rsid w:val="00BD1619"/>
    <w:rsid w:val="00BD2F15"/>
    <w:rsid w:val="00BD3543"/>
    <w:rsid w:val="00BD4711"/>
    <w:rsid w:val="00BD62C4"/>
    <w:rsid w:val="00BD6672"/>
    <w:rsid w:val="00BD6AE9"/>
    <w:rsid w:val="00BE0640"/>
    <w:rsid w:val="00BE1A99"/>
    <w:rsid w:val="00BE41F7"/>
    <w:rsid w:val="00BF18C4"/>
    <w:rsid w:val="00BF3427"/>
    <w:rsid w:val="00BF7AE3"/>
    <w:rsid w:val="00C001C5"/>
    <w:rsid w:val="00C04BB9"/>
    <w:rsid w:val="00C0523D"/>
    <w:rsid w:val="00C061B6"/>
    <w:rsid w:val="00C06637"/>
    <w:rsid w:val="00C06840"/>
    <w:rsid w:val="00C110B7"/>
    <w:rsid w:val="00C13F54"/>
    <w:rsid w:val="00C14C54"/>
    <w:rsid w:val="00C16DE2"/>
    <w:rsid w:val="00C17531"/>
    <w:rsid w:val="00C2446C"/>
    <w:rsid w:val="00C25833"/>
    <w:rsid w:val="00C30B3D"/>
    <w:rsid w:val="00C34C57"/>
    <w:rsid w:val="00C36AE5"/>
    <w:rsid w:val="00C37D75"/>
    <w:rsid w:val="00C4012E"/>
    <w:rsid w:val="00C41539"/>
    <w:rsid w:val="00C4177A"/>
    <w:rsid w:val="00C417A8"/>
    <w:rsid w:val="00C41F17"/>
    <w:rsid w:val="00C42022"/>
    <w:rsid w:val="00C437A3"/>
    <w:rsid w:val="00C4539E"/>
    <w:rsid w:val="00C4545D"/>
    <w:rsid w:val="00C466BF"/>
    <w:rsid w:val="00C4779C"/>
    <w:rsid w:val="00C5018D"/>
    <w:rsid w:val="00C519A5"/>
    <w:rsid w:val="00C527FA"/>
    <w:rsid w:val="00C5280D"/>
    <w:rsid w:val="00C53EB3"/>
    <w:rsid w:val="00C54890"/>
    <w:rsid w:val="00C54A41"/>
    <w:rsid w:val="00C5791C"/>
    <w:rsid w:val="00C62476"/>
    <w:rsid w:val="00C63255"/>
    <w:rsid w:val="00C64564"/>
    <w:rsid w:val="00C6464E"/>
    <w:rsid w:val="00C66290"/>
    <w:rsid w:val="00C66C15"/>
    <w:rsid w:val="00C716E5"/>
    <w:rsid w:val="00C72B7A"/>
    <w:rsid w:val="00C7311D"/>
    <w:rsid w:val="00C73FCF"/>
    <w:rsid w:val="00C753F7"/>
    <w:rsid w:val="00C75A58"/>
    <w:rsid w:val="00C773C5"/>
    <w:rsid w:val="00C77F19"/>
    <w:rsid w:val="00C83EC5"/>
    <w:rsid w:val="00C8479B"/>
    <w:rsid w:val="00C862FC"/>
    <w:rsid w:val="00C909DB"/>
    <w:rsid w:val="00C91359"/>
    <w:rsid w:val="00C914E4"/>
    <w:rsid w:val="00C91C79"/>
    <w:rsid w:val="00C91D16"/>
    <w:rsid w:val="00C93D7F"/>
    <w:rsid w:val="00C963F2"/>
    <w:rsid w:val="00C97006"/>
    <w:rsid w:val="00C973F2"/>
    <w:rsid w:val="00CA236A"/>
    <w:rsid w:val="00CA2DD5"/>
    <w:rsid w:val="00CA304C"/>
    <w:rsid w:val="00CA6123"/>
    <w:rsid w:val="00CA615A"/>
    <w:rsid w:val="00CA730C"/>
    <w:rsid w:val="00CA774A"/>
    <w:rsid w:val="00CA7B6A"/>
    <w:rsid w:val="00CB1683"/>
    <w:rsid w:val="00CB4921"/>
    <w:rsid w:val="00CB6024"/>
    <w:rsid w:val="00CB65C8"/>
    <w:rsid w:val="00CB7F4D"/>
    <w:rsid w:val="00CC06A2"/>
    <w:rsid w:val="00CC0EE1"/>
    <w:rsid w:val="00CC11B0"/>
    <w:rsid w:val="00CC123B"/>
    <w:rsid w:val="00CC15FB"/>
    <w:rsid w:val="00CC1C57"/>
    <w:rsid w:val="00CC2841"/>
    <w:rsid w:val="00CC2BD8"/>
    <w:rsid w:val="00CC34B0"/>
    <w:rsid w:val="00CC5939"/>
    <w:rsid w:val="00CD0599"/>
    <w:rsid w:val="00CD08CC"/>
    <w:rsid w:val="00CD3183"/>
    <w:rsid w:val="00CD4731"/>
    <w:rsid w:val="00CD7A12"/>
    <w:rsid w:val="00CE0AE2"/>
    <w:rsid w:val="00CE0C64"/>
    <w:rsid w:val="00CE0EEE"/>
    <w:rsid w:val="00CE2806"/>
    <w:rsid w:val="00CE593B"/>
    <w:rsid w:val="00CE6C53"/>
    <w:rsid w:val="00CE78C6"/>
    <w:rsid w:val="00CF0608"/>
    <w:rsid w:val="00CF0B4A"/>
    <w:rsid w:val="00CF1330"/>
    <w:rsid w:val="00CF2E03"/>
    <w:rsid w:val="00CF2EBC"/>
    <w:rsid w:val="00CF3F59"/>
    <w:rsid w:val="00CF458E"/>
    <w:rsid w:val="00CF5E40"/>
    <w:rsid w:val="00CF6749"/>
    <w:rsid w:val="00CF7E36"/>
    <w:rsid w:val="00D009F4"/>
    <w:rsid w:val="00D0106A"/>
    <w:rsid w:val="00D03FD0"/>
    <w:rsid w:val="00D041BC"/>
    <w:rsid w:val="00D05D7A"/>
    <w:rsid w:val="00D1173D"/>
    <w:rsid w:val="00D13865"/>
    <w:rsid w:val="00D1429B"/>
    <w:rsid w:val="00D16043"/>
    <w:rsid w:val="00D17BC0"/>
    <w:rsid w:val="00D215D5"/>
    <w:rsid w:val="00D22C07"/>
    <w:rsid w:val="00D2500E"/>
    <w:rsid w:val="00D26A64"/>
    <w:rsid w:val="00D26A9C"/>
    <w:rsid w:val="00D2734E"/>
    <w:rsid w:val="00D27380"/>
    <w:rsid w:val="00D27E51"/>
    <w:rsid w:val="00D31125"/>
    <w:rsid w:val="00D319D0"/>
    <w:rsid w:val="00D366A9"/>
    <w:rsid w:val="00D366D5"/>
    <w:rsid w:val="00D3708D"/>
    <w:rsid w:val="00D40426"/>
    <w:rsid w:val="00D40986"/>
    <w:rsid w:val="00D43E4E"/>
    <w:rsid w:val="00D454A4"/>
    <w:rsid w:val="00D46178"/>
    <w:rsid w:val="00D500B5"/>
    <w:rsid w:val="00D50F9D"/>
    <w:rsid w:val="00D52485"/>
    <w:rsid w:val="00D52960"/>
    <w:rsid w:val="00D53F81"/>
    <w:rsid w:val="00D54FE2"/>
    <w:rsid w:val="00D55266"/>
    <w:rsid w:val="00D56507"/>
    <w:rsid w:val="00D57C96"/>
    <w:rsid w:val="00D57D18"/>
    <w:rsid w:val="00D6187B"/>
    <w:rsid w:val="00D62AC3"/>
    <w:rsid w:val="00D63E53"/>
    <w:rsid w:val="00D65C03"/>
    <w:rsid w:val="00D6616D"/>
    <w:rsid w:val="00D70E65"/>
    <w:rsid w:val="00D7158D"/>
    <w:rsid w:val="00D73D53"/>
    <w:rsid w:val="00D75971"/>
    <w:rsid w:val="00D801ED"/>
    <w:rsid w:val="00D85007"/>
    <w:rsid w:val="00D8737F"/>
    <w:rsid w:val="00D91203"/>
    <w:rsid w:val="00D9148D"/>
    <w:rsid w:val="00D9171F"/>
    <w:rsid w:val="00D91ACD"/>
    <w:rsid w:val="00D93714"/>
    <w:rsid w:val="00D94DA1"/>
    <w:rsid w:val="00D95174"/>
    <w:rsid w:val="00D952DD"/>
    <w:rsid w:val="00D960DD"/>
    <w:rsid w:val="00D96964"/>
    <w:rsid w:val="00D96ACD"/>
    <w:rsid w:val="00DA05EE"/>
    <w:rsid w:val="00DA3110"/>
    <w:rsid w:val="00DA4973"/>
    <w:rsid w:val="00DA5656"/>
    <w:rsid w:val="00DA59C5"/>
    <w:rsid w:val="00DA6D07"/>
    <w:rsid w:val="00DA6F36"/>
    <w:rsid w:val="00DB2570"/>
    <w:rsid w:val="00DB5435"/>
    <w:rsid w:val="00DB596E"/>
    <w:rsid w:val="00DB7543"/>
    <w:rsid w:val="00DB7773"/>
    <w:rsid w:val="00DC00EA"/>
    <w:rsid w:val="00DC0B0B"/>
    <w:rsid w:val="00DC12C4"/>
    <w:rsid w:val="00DC3802"/>
    <w:rsid w:val="00DC5A3F"/>
    <w:rsid w:val="00DC6C2F"/>
    <w:rsid w:val="00DD0975"/>
    <w:rsid w:val="00DD0EF7"/>
    <w:rsid w:val="00DD38E7"/>
    <w:rsid w:val="00DD4A57"/>
    <w:rsid w:val="00DD579E"/>
    <w:rsid w:val="00DD5FA6"/>
    <w:rsid w:val="00DD6208"/>
    <w:rsid w:val="00DD67DF"/>
    <w:rsid w:val="00DD6945"/>
    <w:rsid w:val="00DD73A9"/>
    <w:rsid w:val="00DE12F8"/>
    <w:rsid w:val="00DE37FC"/>
    <w:rsid w:val="00DE6B32"/>
    <w:rsid w:val="00DF0527"/>
    <w:rsid w:val="00DF067F"/>
    <w:rsid w:val="00DF1BA1"/>
    <w:rsid w:val="00DF341E"/>
    <w:rsid w:val="00DF5842"/>
    <w:rsid w:val="00DF598B"/>
    <w:rsid w:val="00DF7E2E"/>
    <w:rsid w:val="00DF7E99"/>
    <w:rsid w:val="00E022D0"/>
    <w:rsid w:val="00E04A58"/>
    <w:rsid w:val="00E06F51"/>
    <w:rsid w:val="00E07D87"/>
    <w:rsid w:val="00E12DD5"/>
    <w:rsid w:val="00E138E3"/>
    <w:rsid w:val="00E139A1"/>
    <w:rsid w:val="00E13E61"/>
    <w:rsid w:val="00E14D27"/>
    <w:rsid w:val="00E15748"/>
    <w:rsid w:val="00E16170"/>
    <w:rsid w:val="00E167B4"/>
    <w:rsid w:val="00E17296"/>
    <w:rsid w:val="00E17724"/>
    <w:rsid w:val="00E17982"/>
    <w:rsid w:val="00E17AB2"/>
    <w:rsid w:val="00E20DDD"/>
    <w:rsid w:val="00E2244C"/>
    <w:rsid w:val="00E245C0"/>
    <w:rsid w:val="00E249C8"/>
    <w:rsid w:val="00E2533C"/>
    <w:rsid w:val="00E25A5A"/>
    <w:rsid w:val="00E272A2"/>
    <w:rsid w:val="00E27DD9"/>
    <w:rsid w:val="00E328AF"/>
    <w:rsid w:val="00E32F7E"/>
    <w:rsid w:val="00E42F97"/>
    <w:rsid w:val="00E434D7"/>
    <w:rsid w:val="00E4369D"/>
    <w:rsid w:val="00E43B1D"/>
    <w:rsid w:val="00E45D5F"/>
    <w:rsid w:val="00E46639"/>
    <w:rsid w:val="00E4771E"/>
    <w:rsid w:val="00E51204"/>
    <w:rsid w:val="00E51AE3"/>
    <w:rsid w:val="00E52109"/>
    <w:rsid w:val="00E5267B"/>
    <w:rsid w:val="00E53228"/>
    <w:rsid w:val="00E559F0"/>
    <w:rsid w:val="00E60246"/>
    <w:rsid w:val="00E613EB"/>
    <w:rsid w:val="00E614D7"/>
    <w:rsid w:val="00E62BB3"/>
    <w:rsid w:val="00E63C0E"/>
    <w:rsid w:val="00E64D70"/>
    <w:rsid w:val="00E71212"/>
    <w:rsid w:val="00E7252A"/>
    <w:rsid w:val="00E72D49"/>
    <w:rsid w:val="00E732A5"/>
    <w:rsid w:val="00E73716"/>
    <w:rsid w:val="00E74554"/>
    <w:rsid w:val="00E74961"/>
    <w:rsid w:val="00E757E3"/>
    <w:rsid w:val="00E7593C"/>
    <w:rsid w:val="00E7678A"/>
    <w:rsid w:val="00E81CB3"/>
    <w:rsid w:val="00E81CF0"/>
    <w:rsid w:val="00E834A8"/>
    <w:rsid w:val="00E83A87"/>
    <w:rsid w:val="00E83E6A"/>
    <w:rsid w:val="00E851CC"/>
    <w:rsid w:val="00E86CA7"/>
    <w:rsid w:val="00E927E4"/>
    <w:rsid w:val="00E92EEF"/>
    <w:rsid w:val="00E935F1"/>
    <w:rsid w:val="00E948B7"/>
    <w:rsid w:val="00E94A81"/>
    <w:rsid w:val="00E94BE4"/>
    <w:rsid w:val="00E959F5"/>
    <w:rsid w:val="00E95F63"/>
    <w:rsid w:val="00E96490"/>
    <w:rsid w:val="00E9680D"/>
    <w:rsid w:val="00EA0DA2"/>
    <w:rsid w:val="00EA1C5A"/>
    <w:rsid w:val="00EA1FFB"/>
    <w:rsid w:val="00EA36D8"/>
    <w:rsid w:val="00EA3C8F"/>
    <w:rsid w:val="00EA3E46"/>
    <w:rsid w:val="00EA438A"/>
    <w:rsid w:val="00EA568E"/>
    <w:rsid w:val="00EA6BF3"/>
    <w:rsid w:val="00EA7C87"/>
    <w:rsid w:val="00EB048E"/>
    <w:rsid w:val="00EB0535"/>
    <w:rsid w:val="00EB0D6C"/>
    <w:rsid w:val="00EB1AB0"/>
    <w:rsid w:val="00EB1EE0"/>
    <w:rsid w:val="00EB27A4"/>
    <w:rsid w:val="00EB3D24"/>
    <w:rsid w:val="00EB3DCD"/>
    <w:rsid w:val="00EB4E9C"/>
    <w:rsid w:val="00EB556A"/>
    <w:rsid w:val="00EB700D"/>
    <w:rsid w:val="00EC14BC"/>
    <w:rsid w:val="00EC31F0"/>
    <w:rsid w:val="00EC4172"/>
    <w:rsid w:val="00EC4929"/>
    <w:rsid w:val="00EC5AC0"/>
    <w:rsid w:val="00EC74D1"/>
    <w:rsid w:val="00EC7F30"/>
    <w:rsid w:val="00ED1126"/>
    <w:rsid w:val="00ED3F47"/>
    <w:rsid w:val="00ED4988"/>
    <w:rsid w:val="00ED4FBB"/>
    <w:rsid w:val="00ED53A8"/>
    <w:rsid w:val="00EE01D8"/>
    <w:rsid w:val="00EE1ECF"/>
    <w:rsid w:val="00EE239D"/>
    <w:rsid w:val="00EE2FB2"/>
    <w:rsid w:val="00EE34DF"/>
    <w:rsid w:val="00EE3894"/>
    <w:rsid w:val="00EE3A18"/>
    <w:rsid w:val="00EE52A9"/>
    <w:rsid w:val="00EE5C1D"/>
    <w:rsid w:val="00EE5C95"/>
    <w:rsid w:val="00EE6260"/>
    <w:rsid w:val="00EE6A37"/>
    <w:rsid w:val="00EF1B8D"/>
    <w:rsid w:val="00EF2F89"/>
    <w:rsid w:val="00EF30B2"/>
    <w:rsid w:val="00EF42B6"/>
    <w:rsid w:val="00EF48E0"/>
    <w:rsid w:val="00EF4ABA"/>
    <w:rsid w:val="00EF67E5"/>
    <w:rsid w:val="00EF6992"/>
    <w:rsid w:val="00EF6DD8"/>
    <w:rsid w:val="00F01620"/>
    <w:rsid w:val="00F03E98"/>
    <w:rsid w:val="00F03EAA"/>
    <w:rsid w:val="00F04CA9"/>
    <w:rsid w:val="00F053A7"/>
    <w:rsid w:val="00F10AD8"/>
    <w:rsid w:val="00F1237A"/>
    <w:rsid w:val="00F146EE"/>
    <w:rsid w:val="00F16E92"/>
    <w:rsid w:val="00F22911"/>
    <w:rsid w:val="00F22CBD"/>
    <w:rsid w:val="00F23157"/>
    <w:rsid w:val="00F24A00"/>
    <w:rsid w:val="00F26CFB"/>
    <w:rsid w:val="00F26F0D"/>
    <w:rsid w:val="00F272F1"/>
    <w:rsid w:val="00F274D0"/>
    <w:rsid w:val="00F31412"/>
    <w:rsid w:val="00F314BA"/>
    <w:rsid w:val="00F3406A"/>
    <w:rsid w:val="00F34505"/>
    <w:rsid w:val="00F34681"/>
    <w:rsid w:val="00F358DD"/>
    <w:rsid w:val="00F36ACD"/>
    <w:rsid w:val="00F40E11"/>
    <w:rsid w:val="00F42FEA"/>
    <w:rsid w:val="00F43C84"/>
    <w:rsid w:val="00F45372"/>
    <w:rsid w:val="00F45921"/>
    <w:rsid w:val="00F46988"/>
    <w:rsid w:val="00F46AB2"/>
    <w:rsid w:val="00F4702C"/>
    <w:rsid w:val="00F51097"/>
    <w:rsid w:val="00F52BB0"/>
    <w:rsid w:val="00F560F7"/>
    <w:rsid w:val="00F5636F"/>
    <w:rsid w:val="00F56935"/>
    <w:rsid w:val="00F61BFE"/>
    <w:rsid w:val="00F6334D"/>
    <w:rsid w:val="00F63599"/>
    <w:rsid w:val="00F67978"/>
    <w:rsid w:val="00F702E3"/>
    <w:rsid w:val="00F70DCD"/>
    <w:rsid w:val="00F71781"/>
    <w:rsid w:val="00F71C5B"/>
    <w:rsid w:val="00F71EB2"/>
    <w:rsid w:val="00F733CA"/>
    <w:rsid w:val="00F7467A"/>
    <w:rsid w:val="00F8128E"/>
    <w:rsid w:val="00F84BC1"/>
    <w:rsid w:val="00F85A8D"/>
    <w:rsid w:val="00F87CD0"/>
    <w:rsid w:val="00F87F1A"/>
    <w:rsid w:val="00F91823"/>
    <w:rsid w:val="00F92D06"/>
    <w:rsid w:val="00F97830"/>
    <w:rsid w:val="00FA32E4"/>
    <w:rsid w:val="00FA49AB"/>
    <w:rsid w:val="00FA4A61"/>
    <w:rsid w:val="00FA4ECB"/>
    <w:rsid w:val="00FA543C"/>
    <w:rsid w:val="00FA7129"/>
    <w:rsid w:val="00FB2894"/>
    <w:rsid w:val="00FB29DC"/>
    <w:rsid w:val="00FB4F2E"/>
    <w:rsid w:val="00FB5F77"/>
    <w:rsid w:val="00FB6D6A"/>
    <w:rsid w:val="00FC030E"/>
    <w:rsid w:val="00FC1CBD"/>
    <w:rsid w:val="00FC5FD0"/>
    <w:rsid w:val="00FC69BD"/>
    <w:rsid w:val="00FD0328"/>
    <w:rsid w:val="00FD1CF8"/>
    <w:rsid w:val="00FD37AC"/>
    <w:rsid w:val="00FD5655"/>
    <w:rsid w:val="00FD57E5"/>
    <w:rsid w:val="00FD68D5"/>
    <w:rsid w:val="00FD70C7"/>
    <w:rsid w:val="00FE39C7"/>
    <w:rsid w:val="00FE3C2E"/>
    <w:rsid w:val="00FE4130"/>
    <w:rsid w:val="00FE56DC"/>
    <w:rsid w:val="00FE5F32"/>
    <w:rsid w:val="00FE615D"/>
    <w:rsid w:val="00FE7A75"/>
    <w:rsid w:val="00FF4CA8"/>
    <w:rsid w:val="00FF4D07"/>
    <w:rsid w:val="00FF52B5"/>
    <w:rsid w:val="00FF5DD1"/>
    <w:rsid w:val="00FF69A2"/>
    <w:rsid w:val="00FF73D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216C0F80-D3A2-4C9F-B217-617E0884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A3"/>
    <w:pPr>
      <w:jc w:val="both"/>
    </w:pPr>
    <w:rPr>
      <w:rFonts w:ascii="Arial" w:hAnsi="Arial"/>
    </w:rPr>
  </w:style>
  <w:style w:type="paragraph" w:styleId="Heading1">
    <w:name w:val="heading 1"/>
    <w:next w:val="Normal"/>
    <w:link w:val="Heading1Char"/>
    <w:autoRedefine/>
    <w:qFormat/>
    <w:rsid w:val="00C437A3"/>
    <w:pPr>
      <w:keepNext/>
      <w:jc w:val="both"/>
      <w:outlineLvl w:val="0"/>
    </w:pPr>
    <w:rPr>
      <w:rFonts w:ascii="Arial" w:hAnsi="Arial"/>
      <w:caps/>
    </w:rPr>
  </w:style>
  <w:style w:type="paragraph" w:styleId="Heading2">
    <w:name w:val="heading 2"/>
    <w:aliases w:val="VARIETY,variety"/>
    <w:next w:val="Normal"/>
    <w:link w:val="Heading2Char"/>
    <w:autoRedefine/>
    <w:qFormat/>
    <w:rsid w:val="007D2461"/>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rsid w:val="006C42B9"/>
    <w:pPr>
      <w:tabs>
        <w:tab w:val="left" w:pos="5387"/>
        <w:tab w:val="left" w:pos="5954"/>
      </w:tabs>
      <w:ind w:left="4820"/>
    </w:pPr>
    <w:rPr>
      <w:i/>
    </w:rPr>
  </w:style>
  <w:style w:type="paragraph" w:styleId="FootnoteText">
    <w:name w:val="footnote text"/>
    <w:link w:val="FootnoteTextChar"/>
    <w:autoRedefine/>
    <w:rsid w:val="00C5018D"/>
    <w:pPr>
      <w:spacing w:before="60"/>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es-E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semiHidden/>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semiHidden/>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ED4988"/>
    <w:pPr>
      <w:tabs>
        <w:tab w:val="right" w:leader="dot" w:pos="9639"/>
      </w:tabs>
      <w:spacing w:after="120"/>
      <w:ind w:left="284" w:right="283"/>
      <w:jc w:val="left"/>
    </w:pPr>
    <w:rPr>
      <w:rFonts w:eastAsiaTheme="minorHAnsi" w:cs="Arial"/>
      <w:noProof/>
      <w:sz w:val="18"/>
      <w:szCs w:val="18"/>
      <w:lang w:val="es-419"/>
    </w:rPr>
  </w:style>
  <w:style w:type="paragraph" w:styleId="TOC3">
    <w:name w:val="toc 3"/>
    <w:next w:val="Normal"/>
    <w:uiPriority w:val="39"/>
    <w:qFormat/>
    <w:rsid w:val="005D605B"/>
    <w:pPr>
      <w:tabs>
        <w:tab w:val="right" w:leader="dot" w:pos="9639"/>
      </w:tabs>
      <w:spacing w:after="120"/>
      <w:ind w:left="567" w:right="283"/>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rPr>
  </w:style>
  <w:style w:type="paragraph" w:styleId="TOC1">
    <w:name w:val="toc 1"/>
    <w:basedOn w:val="Normal"/>
    <w:next w:val="Normal"/>
    <w:uiPriority w:val="39"/>
    <w:qFormat/>
    <w:rsid w:val="00216722"/>
    <w:pPr>
      <w:tabs>
        <w:tab w:val="right" w:leader="dot" w:pos="9639"/>
      </w:tabs>
      <w:spacing w:before="120" w:after="120"/>
      <w:ind w:right="283"/>
      <w:jc w:val="left"/>
    </w:pPr>
    <w:rPr>
      <w:rFonts w:cs="Arial"/>
      <w:bCs/>
      <w:caps/>
      <w:noProof/>
      <w:sz w:val="18"/>
      <w:lang w:val="es-419"/>
    </w:rPr>
  </w:style>
  <w:style w:type="paragraph" w:styleId="TOC5">
    <w:name w:val="toc 5"/>
    <w:next w:val="Normal"/>
    <w:autoRedefine/>
    <w:rsid w:val="00C437A3"/>
    <w:pPr>
      <w:tabs>
        <w:tab w:val="right" w:leader="dot" w:pos="9639"/>
      </w:tabs>
      <w:ind w:left="567" w:right="851" w:firstLine="284"/>
      <w:jc w:val="both"/>
    </w:pPr>
    <w:rPr>
      <w:rFonts w:ascii="Arial" w:hAnsi="Arial"/>
      <w:sz w:val="16"/>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character" w:customStyle="1" w:styleId="Heading1Char">
    <w:name w:val="Heading 1 Char"/>
    <w:basedOn w:val="DefaultParagraphFont"/>
    <w:link w:val="Heading1"/>
    <w:rsid w:val="00F43C84"/>
    <w:rPr>
      <w:rFonts w:ascii="Arial" w:hAnsi="Arial"/>
      <w:caps/>
    </w:rPr>
  </w:style>
  <w:style w:type="character" w:customStyle="1" w:styleId="Heading2Char">
    <w:name w:val="Heading 2 Char"/>
    <w:aliases w:val="VARIETY Char,variety Char"/>
    <w:basedOn w:val="DefaultParagraphFont"/>
    <w:link w:val="Heading2"/>
    <w:rsid w:val="007D2461"/>
    <w:rPr>
      <w:rFonts w:ascii="Arial" w:hAnsi="Arial"/>
      <w:u w:val="single"/>
    </w:rPr>
  </w:style>
  <w:style w:type="character" w:customStyle="1" w:styleId="Heading3Char">
    <w:name w:val="Heading 3 Char"/>
    <w:basedOn w:val="DefaultParagraphFont"/>
    <w:link w:val="Heading3"/>
    <w:rsid w:val="00F43C84"/>
    <w:rPr>
      <w:rFonts w:ascii="Arial" w:hAnsi="Arial"/>
      <w:i/>
    </w:rPr>
  </w:style>
  <w:style w:type="character" w:customStyle="1" w:styleId="Heading4Char">
    <w:name w:val="Heading 4 Char"/>
    <w:basedOn w:val="DefaultParagraphFont"/>
    <w:link w:val="Heading4"/>
    <w:rsid w:val="00F43C84"/>
    <w:rPr>
      <w:rFonts w:ascii="Arial" w:hAnsi="Arial"/>
      <w:u w:val="single"/>
      <w:lang w:val="es-ES"/>
    </w:rPr>
  </w:style>
  <w:style w:type="character" w:customStyle="1" w:styleId="Heading5Char">
    <w:name w:val="Heading 5 Char"/>
    <w:basedOn w:val="DefaultParagraphFont"/>
    <w:link w:val="Heading5"/>
    <w:rsid w:val="00F43C84"/>
    <w:rPr>
      <w:rFonts w:ascii="Arial" w:hAnsi="Arial"/>
      <w:i/>
    </w:rPr>
  </w:style>
  <w:style w:type="character" w:customStyle="1" w:styleId="Heading9Char">
    <w:name w:val="Heading 9 Char"/>
    <w:basedOn w:val="DefaultParagraphFont"/>
    <w:link w:val="Heading9"/>
    <w:rsid w:val="00F43C84"/>
    <w:rPr>
      <w:rFonts w:ascii="Arial" w:hAnsi="Arial"/>
      <w:i/>
      <w:sz w:val="18"/>
    </w:rPr>
  </w:style>
  <w:style w:type="character" w:styleId="FollowedHyperlink">
    <w:name w:val="FollowedHyperlink"/>
    <w:basedOn w:val="DefaultParagraphFont"/>
    <w:semiHidden/>
    <w:unhideWhenUsed/>
    <w:rsid w:val="00F43C84"/>
    <w:rPr>
      <w:color w:val="800080" w:themeColor="followedHyperlink"/>
      <w:u w:val="single"/>
    </w:rPr>
  </w:style>
  <w:style w:type="character" w:customStyle="1" w:styleId="Heading2Char1">
    <w:name w:val="Heading 2 Char1"/>
    <w:aliases w:val="VARIETY Char1,variety Char1"/>
    <w:basedOn w:val="DefaultParagraphFont"/>
    <w:semiHidden/>
    <w:rsid w:val="00F43C84"/>
    <w:rPr>
      <w:rFonts w:asciiTheme="majorHAnsi" w:eastAsiaTheme="majorEastAsia" w:hAnsiTheme="majorHAnsi" w:cstheme="majorBidi"/>
      <w:color w:val="365F91" w:themeColor="accent1" w:themeShade="BF"/>
      <w:sz w:val="32"/>
      <w:szCs w:val="32"/>
    </w:rPr>
  </w:style>
  <w:style w:type="paragraph" w:customStyle="1" w:styleId="msonormal0">
    <w:name w:val="msonormal"/>
    <w:basedOn w:val="Normal"/>
    <w:semiHidden/>
    <w:rsid w:val="00F43C84"/>
    <w:rPr>
      <w:rFonts w:ascii="Times New Roman" w:hAnsi="Times New Roman"/>
      <w:sz w:val="24"/>
      <w:szCs w:val="24"/>
    </w:rPr>
  </w:style>
  <w:style w:type="paragraph" w:styleId="NormalWeb">
    <w:name w:val="Normal (Web)"/>
    <w:basedOn w:val="Normal"/>
    <w:semiHidden/>
    <w:unhideWhenUsed/>
    <w:rsid w:val="00F43C84"/>
    <w:rPr>
      <w:rFonts w:ascii="Times New Roman" w:hAnsi="Times New Roman"/>
      <w:sz w:val="24"/>
      <w:szCs w:val="24"/>
    </w:rPr>
  </w:style>
  <w:style w:type="character" w:customStyle="1" w:styleId="FootnoteTextChar">
    <w:name w:val="Footnote Text Char"/>
    <w:basedOn w:val="DefaultParagraphFont"/>
    <w:link w:val="FootnoteText"/>
    <w:rsid w:val="00C5018D"/>
    <w:rPr>
      <w:rFonts w:ascii="Arial" w:hAnsi="Arial"/>
      <w:sz w:val="16"/>
    </w:rPr>
  </w:style>
  <w:style w:type="paragraph" w:styleId="CommentText">
    <w:name w:val="annotation text"/>
    <w:basedOn w:val="Normal"/>
    <w:link w:val="CommentTextChar"/>
    <w:unhideWhenUsed/>
    <w:rsid w:val="00F43C84"/>
  </w:style>
  <w:style w:type="character" w:customStyle="1" w:styleId="CommentTextChar">
    <w:name w:val="Comment Text Char"/>
    <w:basedOn w:val="DefaultParagraphFont"/>
    <w:link w:val="CommentText"/>
    <w:rsid w:val="00F43C84"/>
    <w:rPr>
      <w:rFonts w:ascii="Arial" w:hAnsi="Arial"/>
    </w:rPr>
  </w:style>
  <w:style w:type="character" w:customStyle="1" w:styleId="HeaderChar">
    <w:name w:val="Header Char"/>
    <w:basedOn w:val="DefaultParagraphFont"/>
    <w:link w:val="Header"/>
    <w:rsid w:val="00F43C84"/>
    <w:rPr>
      <w:rFonts w:ascii="Arial" w:hAnsi="Arial"/>
      <w:lang w:val="es-ES"/>
    </w:rPr>
  </w:style>
  <w:style w:type="character" w:customStyle="1" w:styleId="FooterChar">
    <w:name w:val="Footer Char"/>
    <w:aliases w:val="doc_path_name Char1"/>
    <w:basedOn w:val="DefaultParagraphFont"/>
    <w:link w:val="Footer"/>
    <w:locked/>
    <w:rsid w:val="00F43C84"/>
    <w:rPr>
      <w:rFonts w:ascii="Arial" w:hAnsi="Arial"/>
      <w:sz w:val="14"/>
    </w:rPr>
  </w:style>
  <w:style w:type="character" w:customStyle="1" w:styleId="FooterChar1">
    <w:name w:val="Footer Char1"/>
    <w:aliases w:val="doc_path_name Char"/>
    <w:basedOn w:val="DefaultParagraphFont"/>
    <w:semiHidden/>
    <w:rsid w:val="00F43C84"/>
    <w:rPr>
      <w:rFonts w:ascii="Arial" w:hAnsi="Arial"/>
    </w:rPr>
  </w:style>
  <w:style w:type="character" w:customStyle="1" w:styleId="EndnoteTextChar">
    <w:name w:val="Endnote Text Char"/>
    <w:basedOn w:val="DefaultParagraphFont"/>
    <w:link w:val="EndnoteText"/>
    <w:semiHidden/>
    <w:rsid w:val="00F43C84"/>
    <w:rPr>
      <w:rFonts w:ascii="Arial" w:hAnsi="Arial"/>
    </w:rPr>
  </w:style>
  <w:style w:type="character" w:customStyle="1" w:styleId="MacroTextChar">
    <w:name w:val="Macro Text Char"/>
    <w:basedOn w:val="DefaultParagraphFont"/>
    <w:link w:val="MacroText"/>
    <w:semiHidden/>
    <w:rsid w:val="00F43C84"/>
    <w:rPr>
      <w:rFonts w:ascii="Courier New" w:hAnsi="Courier New"/>
      <w:sz w:val="16"/>
    </w:rPr>
  </w:style>
  <w:style w:type="character" w:customStyle="1" w:styleId="TitleChar">
    <w:name w:val="Title Char"/>
    <w:basedOn w:val="DefaultParagraphFont"/>
    <w:link w:val="Title"/>
    <w:rsid w:val="00F43C84"/>
    <w:rPr>
      <w:rFonts w:ascii="Arial" w:hAnsi="Arial"/>
      <w:b/>
      <w:caps/>
      <w:kern w:val="28"/>
      <w:sz w:val="30"/>
    </w:rPr>
  </w:style>
  <w:style w:type="character" w:customStyle="1" w:styleId="ClosingChar">
    <w:name w:val="Closing Char"/>
    <w:basedOn w:val="DefaultParagraphFont"/>
    <w:link w:val="Closing"/>
    <w:rsid w:val="00F43C84"/>
    <w:rPr>
      <w:rFonts w:ascii="Arial" w:hAnsi="Arial"/>
    </w:rPr>
  </w:style>
  <w:style w:type="character" w:customStyle="1" w:styleId="SignatureChar">
    <w:name w:val="Signature Char"/>
    <w:basedOn w:val="DefaultParagraphFont"/>
    <w:link w:val="Signature"/>
    <w:rsid w:val="00F43C84"/>
    <w:rPr>
      <w:rFonts w:ascii="Arial" w:hAnsi="Arial"/>
    </w:rPr>
  </w:style>
  <w:style w:type="character" w:customStyle="1" w:styleId="BodyTextChar">
    <w:name w:val="Body Text Char"/>
    <w:basedOn w:val="DefaultParagraphFont"/>
    <w:link w:val="BodyText"/>
    <w:rsid w:val="00F43C84"/>
    <w:rPr>
      <w:rFonts w:ascii="Arial" w:hAnsi="Arial"/>
    </w:rPr>
  </w:style>
  <w:style w:type="character" w:customStyle="1" w:styleId="DateChar">
    <w:name w:val="Date Char"/>
    <w:basedOn w:val="DefaultParagraphFont"/>
    <w:link w:val="Date"/>
    <w:semiHidden/>
    <w:rsid w:val="00F43C84"/>
    <w:rPr>
      <w:rFonts w:ascii="Arial" w:hAnsi="Arial"/>
      <w:b/>
      <w:sz w:val="22"/>
    </w:rPr>
  </w:style>
  <w:style w:type="paragraph" w:styleId="CommentSubject">
    <w:name w:val="annotation subject"/>
    <w:basedOn w:val="CommentText"/>
    <w:next w:val="CommentText"/>
    <w:link w:val="CommentSubjectChar"/>
    <w:semiHidden/>
    <w:unhideWhenUsed/>
    <w:rsid w:val="00F43C84"/>
    <w:rPr>
      <w:b/>
      <w:bCs/>
    </w:rPr>
  </w:style>
  <w:style w:type="character" w:customStyle="1" w:styleId="CommentSubjectChar">
    <w:name w:val="Comment Subject Char"/>
    <w:basedOn w:val="CommentTextChar"/>
    <w:link w:val="CommentSubject"/>
    <w:semiHidden/>
    <w:rsid w:val="00F43C84"/>
    <w:rPr>
      <w:rFonts w:ascii="Arial" w:hAnsi="Arial"/>
      <w:b/>
      <w:bCs/>
    </w:rPr>
  </w:style>
  <w:style w:type="character" w:customStyle="1" w:styleId="ListParagraphChar">
    <w:name w:val="List Paragraph Char"/>
    <w:aliases w:val="auto_list_(i) Char,List Paragraph1 Char,List Paragraph1CxSpLast Char"/>
    <w:basedOn w:val="DefaultParagraphFont"/>
    <w:link w:val="ListParagraph"/>
    <w:locked/>
    <w:rsid w:val="00F43C84"/>
    <w:rPr>
      <w:rFonts w:ascii="Arial" w:hAnsi="Arial" w:cs="Arial"/>
    </w:rPr>
  </w:style>
  <w:style w:type="paragraph" w:styleId="ListParagraph">
    <w:name w:val="List Paragraph"/>
    <w:aliases w:val="auto_list_(i),List Paragraph1,List Paragraph1CxSpLast"/>
    <w:basedOn w:val="Normal"/>
    <w:link w:val="ListParagraphChar"/>
    <w:uiPriority w:val="34"/>
    <w:qFormat/>
    <w:rsid w:val="00F43C84"/>
    <w:pPr>
      <w:ind w:left="720"/>
      <w:contextualSpacing/>
    </w:pPr>
    <w:rPr>
      <w:rFonts w:cs="Arial"/>
    </w:rPr>
  </w:style>
  <w:style w:type="character" w:styleId="CommentReference">
    <w:name w:val="annotation reference"/>
    <w:basedOn w:val="DefaultParagraphFont"/>
    <w:semiHidden/>
    <w:unhideWhenUsed/>
    <w:rsid w:val="00F43C84"/>
    <w:rPr>
      <w:sz w:val="16"/>
      <w:szCs w:val="16"/>
    </w:rPr>
  </w:style>
  <w:style w:type="table" w:styleId="TableGrid">
    <w:name w:val="Table Grid"/>
    <w:basedOn w:val="TableNormal"/>
    <w:rsid w:val="00F43C84"/>
    <w:pPr>
      <w:jc w:val="both"/>
    </w:pPr>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36A4"/>
    <w:rPr>
      <w:color w:val="605E5C"/>
      <w:shd w:val="clear" w:color="auto" w:fill="E1DFDD"/>
    </w:rPr>
  </w:style>
  <w:style w:type="character" w:styleId="Mention">
    <w:name w:val="Mention"/>
    <w:basedOn w:val="DefaultParagraphFont"/>
    <w:uiPriority w:val="99"/>
    <w:unhideWhenUsed/>
    <w:rsid w:val="002D7A6B"/>
    <w:rPr>
      <w:color w:val="2B579A"/>
      <w:shd w:val="clear" w:color="auto" w:fill="E1DFDD"/>
    </w:rPr>
  </w:style>
  <w:style w:type="paragraph" w:styleId="Revision">
    <w:name w:val="Revision"/>
    <w:hidden/>
    <w:uiPriority w:val="99"/>
    <w:semiHidden/>
    <w:rsid w:val="00EB3DC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4587">
      <w:marLeft w:val="0"/>
      <w:marRight w:val="0"/>
      <w:marTop w:val="0"/>
      <w:marBottom w:val="0"/>
      <w:divBdr>
        <w:top w:val="none" w:sz="0" w:space="0" w:color="auto"/>
        <w:left w:val="none" w:sz="0" w:space="0" w:color="auto"/>
        <w:bottom w:val="none" w:sz="0" w:space="0" w:color="auto"/>
        <w:right w:val="none" w:sz="0" w:space="0" w:color="auto"/>
      </w:divBdr>
    </w:div>
    <w:div w:id="155130615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orldseed.org/" TargetMode="External"/><Relationship Id="rId2" Type="http://schemas.openxmlformats.org/officeDocument/2006/relationships/customXml" Target="../customXml/item2.xml"/><Relationship Id="rId16" Type="http://schemas.openxmlformats.org/officeDocument/2006/relationships/hyperlink" Target="https://www.upov.int/edocs/mdocs/upov/es/twm_4/twm_4_14.pd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es/find-and-explore/information-and-guidance/information-documents/" TargetMode="Externa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s/find-and-explore/information-and-guidance"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f7a99264-aac8-44dd-b14f-8017e78a225a"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false</Excluded>
    <_dlc_DocId xmlns="178a353b-07a4-4986-a4a2-cbf49365616c">UPOVBFP-2006234167-1060</_dlc_DocId>
    <_dlc_DocIdUrl xmlns="178a353b-07a4-4986-a4a2-cbf49365616c">
      <Url>https://wipoprod.sharepoint.com/sites/SPS-INT-BFP-UPOV-MeetEven/_layouts/15/DocIdRedir.aspx?ID=UPOVBFP-2006234167-1060</Url>
      <Description>UPOVBFP-2006234167-1060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52" ma:contentTypeDescription="" ma:contentTypeScope="" ma:versionID="d5a80268260ccfb2bfcdfa4a35ea7258">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4b5d6518028b50a0ea0baf48b385035a"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2.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3.xml><?xml version="1.0" encoding="utf-8"?>
<ds:datastoreItem xmlns:ds="http://schemas.openxmlformats.org/officeDocument/2006/customXml" ds:itemID="{AC73ECDA-3F77-45C6-9276-BFAB4EFF69E1}">
  <ds:schemaRefs>
    <ds:schemaRef ds:uri="Microsoft.SharePoint.Taxonomy.ContentTypeSync"/>
  </ds:schemaRefs>
</ds:datastoreItem>
</file>

<file path=customXml/itemProps4.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5.xml><?xml version="1.0" encoding="utf-8"?>
<ds:datastoreItem xmlns:ds="http://schemas.openxmlformats.org/officeDocument/2006/customXml" ds:itemID="{B1DF40DC-1D4C-4D81-B32C-88694ED07C98}">
  <ds:schemaRefs>
    <ds:schemaRef ds:uri="http://schemas.microsoft.com/sharepoint/events"/>
  </ds:schemaRefs>
</ds:datastoreItem>
</file>

<file path=customXml/itemProps6.xml><?xml version="1.0" encoding="utf-8"?>
<ds:datastoreItem xmlns:ds="http://schemas.openxmlformats.org/officeDocument/2006/customXml" ds:itemID="{0C18EEC6-9B9D-428F-95BD-88AEB5164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13</TotalTime>
  <Pages>16</Pages>
  <Words>8126</Words>
  <Characters>42911</Characters>
  <Application>Microsoft Office Word</Application>
  <DocSecurity>0</DocSecurity>
  <Lines>1046</Lines>
  <Paragraphs>408</Paragraphs>
  <ScaleCrop>false</ScaleCrop>
  <HeadingPairs>
    <vt:vector size="2" baseType="variant">
      <vt:variant>
        <vt:lpstr>Title</vt:lpstr>
      </vt:variant>
      <vt:variant>
        <vt:i4>1</vt:i4>
      </vt:variant>
    </vt:vector>
  </HeadingPairs>
  <TitlesOfParts>
    <vt:vector size="1" baseType="lpstr">
      <vt:lpstr>SESSIONS/2026/2</vt:lpstr>
    </vt:vector>
  </TitlesOfParts>
  <Company>UPOV</Company>
  <LinksUpToDate>false</LinksUpToDate>
  <CharactersWithSpaces>50629</CharactersWithSpaces>
  <SharedDoc>false</SharedDoc>
  <HLinks>
    <vt:vector size="36" baseType="variant">
      <vt:variant>
        <vt:i4>262179</vt:i4>
      </vt:variant>
      <vt:variant>
        <vt:i4>364</vt:i4>
      </vt:variant>
      <vt:variant>
        <vt:i4>0</vt:i4>
      </vt:variant>
      <vt:variant>
        <vt:i4>5</vt:i4>
      </vt:variant>
      <vt:variant>
        <vt:lpwstr>mailto:info@naktuinbouw.nl</vt:lpwstr>
      </vt:variant>
      <vt:variant>
        <vt:lpwstr/>
      </vt:variant>
      <vt:variant>
        <vt:i4>2752516</vt:i4>
      </vt:variant>
      <vt:variant>
        <vt:i4>219</vt:i4>
      </vt:variant>
      <vt:variant>
        <vt:i4>0</vt:i4>
      </vt:variant>
      <vt:variant>
        <vt:i4>5</vt:i4>
      </vt:variant>
      <vt:variant>
        <vt:lpwstr>https://www.upov.int/documents/d/upov/tgp-documents-en-tgp_5_section_11.pdf</vt:lpwstr>
      </vt:variant>
      <vt:variant>
        <vt:lpwstr/>
      </vt:variant>
      <vt:variant>
        <vt:i4>327750</vt:i4>
      </vt:variant>
      <vt:variant>
        <vt:i4>214</vt:i4>
      </vt:variant>
      <vt:variant>
        <vt:i4>0</vt:i4>
      </vt:variant>
      <vt:variant>
        <vt:i4>5</vt:i4>
      </vt:variant>
      <vt:variant>
        <vt:lpwstr>https://cpvo.europa.eu/en/cpvo-policy-status-plant-material-used-dus-testing-purposes</vt:lpwstr>
      </vt:variant>
      <vt:variant>
        <vt:lpwstr/>
      </vt:variant>
      <vt:variant>
        <vt:i4>1835026</vt:i4>
      </vt:variant>
      <vt:variant>
        <vt:i4>181</vt:i4>
      </vt:variant>
      <vt:variant>
        <vt:i4>0</vt:i4>
      </vt:variant>
      <vt:variant>
        <vt:i4>5</vt:i4>
      </vt:variant>
      <vt:variant>
        <vt:lpwstr>https://www.upov.int/en/find-and-explore/information-and-guidance</vt:lpwstr>
      </vt:variant>
      <vt:variant>
        <vt:lpwstr/>
      </vt:variant>
      <vt:variant>
        <vt:i4>3604565</vt:i4>
      </vt:variant>
      <vt:variant>
        <vt:i4>0</vt:i4>
      </vt:variant>
      <vt:variant>
        <vt:i4>0</vt:i4>
      </vt:variant>
      <vt:variant>
        <vt:i4>5</vt:i4>
      </vt:variant>
      <vt:variant>
        <vt:lpwstr>https://www.upov.int/edocs/mdocs/upov/en/twf_56/twf_56_7.pdf</vt:lpwstr>
      </vt:variant>
      <vt:variant>
        <vt:lpwstr/>
      </vt:variant>
      <vt:variant>
        <vt:i4>7012380</vt:i4>
      </vt:variant>
      <vt:variant>
        <vt:i4>0</vt:i4>
      </vt:variant>
      <vt:variant>
        <vt:i4>0</vt:i4>
      </vt:variant>
      <vt:variant>
        <vt:i4>5</vt:i4>
      </vt:variant>
      <vt:variant>
        <vt:lpwstr>mailto:martin.ekvad@UPOV.INT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SESSIONS/2026/2 Rev.</dc:title>
  <dc:creator>UPOV</dc:creator>
  <cp:lastModifiedBy>SANCHEZ VIZCAINO GOMEZ Rosa Maria</cp:lastModifiedBy>
  <cp:revision>13</cp:revision>
  <cp:lastPrinted>2026-10-07T09:12:00Z</cp:lastPrinted>
  <dcterms:created xsi:type="dcterms:W3CDTF">2026-10-07T08:53:00Z</dcterms:created>
  <dcterms:modified xsi:type="dcterms:W3CDTF">2026-10-07T09:12:00Z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4</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51eec2f1-c1c3-4fbf-973d-3ad71f621c2a</vt:lpwstr>
  </property>
  <property fmtid="{D5CDD505-2E9C-101B-9397-08002B2CF9AE}" pid="8" name="IP System">
    <vt:lpwstr/>
  </property>
  <property fmtid="{D5CDD505-2E9C-101B-9397-08002B2CF9AE}" pid="9" name="DocumentSetDescription">
    <vt:lpwstr/>
  </property>
  <property fmtid="{D5CDD505-2E9C-101B-9397-08002B2CF9AE}" pid="10" name="RoutingRuleDescription">
    <vt:lpwstr/>
  </property>
  <property fmtid="{D5CDD505-2E9C-101B-9397-08002B2CF9AE}" pid="11" name="_ExtendedDescription">
    <vt:lpwstr/>
  </property>
  <property fmtid="{D5CDD505-2E9C-101B-9397-08002B2CF9AE}" pid="12" name="PolicyFileOldType">
    <vt:lpwstr/>
  </property>
  <property fmtid="{D5CDD505-2E9C-101B-9397-08002B2CF9AE}" pid="13" name="_docset_NoMedatataSyncRequired">
    <vt:lpwstr>False</vt:lpwstr>
  </property>
  <property fmtid="{D5CDD505-2E9C-101B-9397-08002B2CF9AE}" pid="14" name="ECCM_Year">
    <vt:lpwstr>721</vt:lpwstr>
  </property>
  <property fmtid="{D5CDD505-2E9C-101B-9397-08002B2CF9AE}" pid="15" name="_dlc_DocId">
    <vt:lpwstr>UPOVBFP-2006234167-486</vt:lpwstr>
  </property>
  <property fmtid="{D5CDD505-2E9C-101B-9397-08002B2CF9AE}" pid="16" name="_dlc_DocIdUrl">
    <vt:lpwstr>https://wipoprod.sharepoint.com/sites/SPS-INT-BFP-UPOV-MeetEven/_layouts/15/DocIdRedir.aspx?ID=UPOVBFP-2006234167-486, UPOVBFP-2006234167-486</vt:lpwstr>
  </property>
  <property fmtid="{D5CDD505-2E9C-101B-9397-08002B2CF9AE}" pid="17" name="docLang">
    <vt:lpwstr>en</vt:lpwstr>
  </property>
  <property fmtid="{D5CDD505-2E9C-101B-9397-08002B2CF9AE}" pid="18" name="MediaServiceImageTags">
    <vt:lpwstr/>
  </property>
  <property fmtid="{D5CDD505-2E9C-101B-9397-08002B2CF9AE}" pid="19" name="lcf76f155ced4ddcb4097134ff3c332f">
    <vt:lpwstr/>
  </property>
  <property fmtid="{D5CDD505-2E9C-101B-9397-08002B2CF9AE}" pid="20" name="MSIP_Label_bfc084f7-b690-4c43-8ee6-d475b6d3461d_Enabled">
    <vt:lpwstr>True</vt:lpwstr>
  </property>
  <property fmtid="{D5CDD505-2E9C-101B-9397-08002B2CF9AE}" pid="21" name="MSIP_Label_bfc084f7-b690-4c43-8ee6-d475b6d3461d_SiteId">
    <vt:lpwstr>faa31b06-8ccc-48c9-867f-f7510dd11c02</vt:lpwstr>
  </property>
  <property fmtid="{D5CDD505-2E9C-101B-9397-08002B2CF9AE}" pid="22" name="MSIP_Label_bfc084f7-b690-4c43-8ee6-d475b6d3461d_SetDate">
    <vt:lpwstr>2026-08-17T09:46:13Z</vt:lpwstr>
  </property>
  <property fmtid="{D5CDD505-2E9C-101B-9397-08002B2CF9AE}" pid="23" name="MSIP_Label_bfc084f7-b690-4c43-8ee6-d475b6d3461d_Name">
    <vt:lpwstr>FOR OFFICIAL USE ONLY</vt:lpwstr>
  </property>
  <property fmtid="{D5CDD505-2E9C-101B-9397-08002B2CF9AE}" pid="24" name="MSIP_Label_bfc084f7-b690-4c43-8ee6-d475b6d3461d_ActionId">
    <vt:lpwstr>a3c42d55-c8e5-408b-84a5-0cc1483d1790</vt:lpwstr>
  </property>
  <property fmtid="{D5CDD505-2E9C-101B-9397-08002B2CF9AE}" pid="25" name="MSIP_Label_bfc084f7-b690-4c43-8ee6-d475b6d3461d_Removed">
    <vt:lpwstr>False</vt:lpwstr>
  </property>
  <property fmtid="{D5CDD505-2E9C-101B-9397-08002B2CF9AE}" pid="26" name="MSIP_Label_bfc084f7-b690-4c43-8ee6-d475b6d3461d_Extended_MSFT_Method">
    <vt:lpwstr>Standard</vt:lpwstr>
  </property>
  <property fmtid="{D5CDD505-2E9C-101B-9397-08002B2CF9AE}" pid="27" name="Sensitivity">
    <vt:lpwstr>FOR OFFICIAL USE ONLY</vt:lpwstr>
  </property>
  <property fmtid="{D5CDD505-2E9C-101B-9397-08002B2CF9AE}" pid="28" name="OutSourcing">
    <vt:bool>false</vt:bool>
  </property>
  <property fmtid="{D5CDD505-2E9C-101B-9397-08002B2CF9AE}" pid="29" name="Order">
    <vt:r8>1901100</vt:r8>
  </property>
  <property fmtid="{D5CDD505-2E9C-101B-9397-08002B2CF9AE}" pid="30" name="xd_ProgID">
    <vt:lpwstr/>
  </property>
  <property fmtid="{D5CDD505-2E9C-101B-9397-08002B2CF9AE}" pid="31" name="ComplianceAssetId">
    <vt:lpwstr/>
  </property>
  <property fmtid="{D5CDD505-2E9C-101B-9397-08002B2CF9AE}" pid="32" name="TemplateUrl">
    <vt:lpwstr/>
  </property>
  <property fmtid="{D5CDD505-2E9C-101B-9397-08002B2CF9AE}" pid="33" name="TriggerFlowInfo">
    <vt:lpwstr/>
  </property>
  <property fmtid="{D5CDD505-2E9C-101B-9397-08002B2CF9AE}" pid="34" name="DocClassification">
    <vt:lpwstr>Processed</vt:lpwstr>
  </property>
  <property fmtid="{D5CDD505-2E9C-101B-9397-08002B2CF9AE}" pid="35" name="xd_Signature">
    <vt:bool>false</vt:bool>
  </property>
</Properties>
</file>