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762585" w:rsidRPr="00384A1E" w14:paraId="5F5679D5" w14:textId="77777777" w:rsidTr="007F4D06">
        <w:tc>
          <w:tcPr>
            <w:tcW w:w="6522" w:type="dxa"/>
          </w:tcPr>
          <w:p w14:paraId="14E664C6" w14:textId="77777777" w:rsidR="001D7A87" w:rsidRPr="00384A1E" w:rsidRDefault="001D7A87" w:rsidP="007F4D06">
            <w:pPr>
              <w:rPr>
                <w:lang w:val="es-ES_tradnl"/>
              </w:rPr>
            </w:pPr>
            <w:r w:rsidRPr="00384A1E">
              <w:rPr>
                <w:noProof/>
                <w:lang w:val="es-ES_tradnl"/>
              </w:rPr>
              <w:drawing>
                <wp:inline distT="0" distB="0" distL="0" distR="0" wp14:anchorId="4F526195" wp14:editId="26767F0D">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65B4ACCF" w14:textId="77777777" w:rsidR="001D7A87" w:rsidRPr="00384A1E" w:rsidRDefault="001D7A87" w:rsidP="007F4D06">
            <w:pPr>
              <w:pStyle w:val="Lettrine"/>
              <w:rPr>
                <w:lang w:val="es-ES_tradnl"/>
              </w:rPr>
            </w:pPr>
            <w:r w:rsidRPr="00384A1E">
              <w:rPr>
                <w:lang w:val="es-ES_tradnl"/>
              </w:rPr>
              <w:t>S</w:t>
            </w:r>
          </w:p>
        </w:tc>
      </w:tr>
      <w:tr w:rsidR="001D7A87" w:rsidRPr="00384A1E" w14:paraId="76BF9621" w14:textId="77777777" w:rsidTr="007F4D06">
        <w:trPr>
          <w:trHeight w:val="219"/>
        </w:trPr>
        <w:tc>
          <w:tcPr>
            <w:tcW w:w="6522" w:type="dxa"/>
          </w:tcPr>
          <w:p w14:paraId="138CCB28" w14:textId="77777777" w:rsidR="001D7A87" w:rsidRPr="00384A1E" w:rsidRDefault="001D7A87" w:rsidP="007F4D06">
            <w:pPr>
              <w:pStyle w:val="upove"/>
              <w:rPr>
                <w:lang w:val="es-ES_tradnl"/>
              </w:rPr>
            </w:pPr>
            <w:r w:rsidRPr="00384A1E">
              <w:rPr>
                <w:lang w:val="es-ES_tradnl"/>
              </w:rPr>
              <w:t>Unión Internacional para la Protección de las Obtenciones Vegetales</w:t>
            </w:r>
          </w:p>
        </w:tc>
        <w:tc>
          <w:tcPr>
            <w:tcW w:w="3117" w:type="dxa"/>
          </w:tcPr>
          <w:p w14:paraId="1B5A6ACA" w14:textId="77777777" w:rsidR="001D7A87" w:rsidRPr="00384A1E" w:rsidRDefault="001D7A87" w:rsidP="007F4D06">
            <w:pPr>
              <w:rPr>
                <w:lang w:val="es-ES_tradnl"/>
              </w:rPr>
            </w:pPr>
          </w:p>
        </w:tc>
      </w:tr>
    </w:tbl>
    <w:p w14:paraId="2EEF6C85" w14:textId="77777777" w:rsidR="001D7A87" w:rsidRPr="00384A1E" w:rsidRDefault="001D7A87" w:rsidP="001D7A87">
      <w:pPr>
        <w:rPr>
          <w:lang w:val="es-ES_tradnl"/>
        </w:rPr>
      </w:pPr>
    </w:p>
    <w:p w14:paraId="3222FFF6" w14:textId="77777777" w:rsidR="001D7A87" w:rsidRPr="00384A1E" w:rsidRDefault="001D7A87" w:rsidP="001D7A87">
      <w:pPr>
        <w:rPr>
          <w:lang w:val="es-ES_tradnl"/>
        </w:rPr>
      </w:pPr>
    </w:p>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762585" w:rsidRPr="00384A1E" w14:paraId="55AA08FE" w14:textId="77777777" w:rsidTr="007F4D06">
        <w:tc>
          <w:tcPr>
            <w:tcW w:w="6512" w:type="dxa"/>
          </w:tcPr>
          <w:p w14:paraId="03C24B73" w14:textId="77777777" w:rsidR="001D7A87" w:rsidRPr="009B6A94" w:rsidRDefault="001D7A87" w:rsidP="007F4D06">
            <w:pPr>
              <w:pStyle w:val="Sessiontc"/>
              <w:spacing w:line="240" w:lineRule="auto"/>
              <w:rPr>
                <w:lang w:val="es-ES_tradnl"/>
              </w:rPr>
            </w:pPr>
            <w:r w:rsidRPr="009B6A94">
              <w:rPr>
                <w:lang w:val="es-ES_tradnl"/>
              </w:rPr>
              <w:t>Consejo</w:t>
            </w:r>
          </w:p>
          <w:p w14:paraId="4FD52E67" w14:textId="77777777" w:rsidR="001D7A87" w:rsidRPr="009B6A94" w:rsidRDefault="001D7A87" w:rsidP="007F4D06">
            <w:pPr>
              <w:pStyle w:val="Sessiontcplacedate"/>
              <w:rPr>
                <w:lang w:val="es-ES_tradnl"/>
              </w:rPr>
            </w:pPr>
            <w:r w:rsidRPr="009B6A94">
              <w:rPr>
                <w:lang w:val="es-ES_tradnl"/>
              </w:rPr>
              <w:t>Sexagésima sesión ordinaria</w:t>
            </w:r>
          </w:p>
          <w:p w14:paraId="40620507" w14:textId="77777777" w:rsidR="001D7A87" w:rsidRPr="009B6A94" w:rsidRDefault="001D7A87" w:rsidP="007F4D06">
            <w:pPr>
              <w:pStyle w:val="Sessiontcplacedate"/>
              <w:rPr>
                <w:sz w:val="22"/>
                <w:lang w:val="es-ES_tradnl"/>
              </w:rPr>
            </w:pPr>
            <w:r w:rsidRPr="009B6A94">
              <w:rPr>
                <w:lang w:val="es-ES_tradnl"/>
              </w:rPr>
              <w:t>Ginebra, 23 de octubre de 2026</w:t>
            </w:r>
          </w:p>
        </w:tc>
        <w:tc>
          <w:tcPr>
            <w:tcW w:w="3127" w:type="dxa"/>
          </w:tcPr>
          <w:p w14:paraId="0B67AEB2" w14:textId="4ACAA850" w:rsidR="001D7A87" w:rsidRPr="009B6A94" w:rsidRDefault="001D7A87" w:rsidP="007F4D06">
            <w:pPr>
              <w:pStyle w:val="Doccode"/>
              <w:rPr>
                <w:lang w:val="es-ES_tradnl"/>
              </w:rPr>
            </w:pPr>
            <w:r w:rsidRPr="009B6A94">
              <w:rPr>
                <w:lang w:val="es-ES_tradnl"/>
              </w:rPr>
              <w:t>C/60/9</w:t>
            </w:r>
          </w:p>
          <w:p w14:paraId="23A58B47" w14:textId="2C1EFAC3" w:rsidR="001D7A87" w:rsidRPr="009B6A94" w:rsidRDefault="001D7A87" w:rsidP="007F4D06">
            <w:pPr>
              <w:pStyle w:val="Docoriginal"/>
              <w:rPr>
                <w:lang w:val="es-ES_tradnl"/>
              </w:rPr>
            </w:pPr>
            <w:r w:rsidRPr="009B6A94">
              <w:rPr>
                <w:lang w:val="es-ES_tradnl"/>
              </w:rPr>
              <w:t>Original:</w:t>
            </w:r>
            <w:r w:rsidRPr="009B6A94">
              <w:rPr>
                <w:b w:val="0"/>
                <w:lang w:val="es-ES_tradnl"/>
              </w:rPr>
              <w:t xml:space="preserve"> </w:t>
            </w:r>
            <w:r w:rsidRPr="009B6A94">
              <w:rPr>
                <w:b w:val="0"/>
                <w:spacing w:val="0"/>
                <w:lang w:val="es-ES_tradnl"/>
              </w:rPr>
              <w:t>Inglés</w:t>
            </w:r>
          </w:p>
          <w:p w14:paraId="20DCE781" w14:textId="720D31EC" w:rsidR="001D7A87" w:rsidRPr="00384A1E" w:rsidRDefault="001D7A87" w:rsidP="007F4D06">
            <w:pPr>
              <w:pStyle w:val="Docoriginal"/>
              <w:rPr>
                <w:lang w:val="es-ES_tradnl"/>
              </w:rPr>
            </w:pPr>
            <w:r w:rsidRPr="009B6A94">
              <w:rPr>
                <w:lang w:val="es-ES_tradnl"/>
              </w:rPr>
              <w:t>Fecha:</w:t>
            </w:r>
            <w:r w:rsidRPr="009B6A94">
              <w:rPr>
                <w:b w:val="0"/>
                <w:lang w:val="es-ES_tradnl"/>
              </w:rPr>
              <w:t xml:space="preserve"> </w:t>
            </w:r>
            <w:r w:rsidR="00E3221D" w:rsidRPr="009B6A94">
              <w:rPr>
                <w:b w:val="0"/>
                <w:spacing w:val="0"/>
                <w:lang w:val="es-ES_tradnl"/>
              </w:rPr>
              <w:t>6</w:t>
            </w:r>
            <w:r w:rsidRPr="009B6A94">
              <w:rPr>
                <w:b w:val="0"/>
                <w:spacing w:val="0"/>
                <w:lang w:val="es-ES_tradnl"/>
              </w:rPr>
              <w:t xml:space="preserve"> de </w:t>
            </w:r>
            <w:r w:rsidR="00E3221D" w:rsidRPr="009B6A94">
              <w:rPr>
                <w:b w:val="0"/>
                <w:spacing w:val="0"/>
                <w:lang w:val="es-ES_tradnl"/>
              </w:rPr>
              <w:t xml:space="preserve">agosto </w:t>
            </w:r>
            <w:r w:rsidRPr="009B6A94">
              <w:rPr>
                <w:b w:val="0"/>
                <w:spacing w:val="0"/>
                <w:lang w:val="es-ES_tradnl"/>
              </w:rPr>
              <w:t>de 2026</w:t>
            </w:r>
          </w:p>
        </w:tc>
      </w:tr>
    </w:tbl>
    <w:p w14:paraId="36A52A37" w14:textId="77052E7A" w:rsidR="000D7780" w:rsidRPr="00384A1E" w:rsidRDefault="00080A4B" w:rsidP="006A644A">
      <w:pPr>
        <w:pStyle w:val="Titleofdoc0"/>
        <w:rPr>
          <w:rFonts w:cs="Arial"/>
          <w:lang w:val="es-ES_tradnl"/>
        </w:rPr>
      </w:pPr>
      <w:bookmarkStart w:id="0" w:name="TitleOfDoc"/>
      <w:bookmarkEnd w:id="0"/>
      <w:r w:rsidRPr="00384A1E">
        <w:rPr>
          <w:lang w:val="es-ES_tradnl"/>
        </w:rPr>
        <w:t>Estados financieros de 2025</w:t>
      </w:r>
    </w:p>
    <w:p w14:paraId="79515FF6" w14:textId="77777777" w:rsidR="006A644A" w:rsidRPr="00384A1E" w:rsidRDefault="00AE0EF1" w:rsidP="006A644A">
      <w:pPr>
        <w:pStyle w:val="preparedby1"/>
        <w:jc w:val="left"/>
        <w:rPr>
          <w:rFonts w:cs="Arial"/>
          <w:lang w:val="es-ES_tradnl"/>
        </w:rPr>
      </w:pPr>
      <w:bookmarkStart w:id="1" w:name="Prepared"/>
      <w:bookmarkEnd w:id="1"/>
      <w:r w:rsidRPr="00384A1E">
        <w:rPr>
          <w:lang w:val="es-ES_tradnl"/>
        </w:rPr>
        <w:t>Documento preparado por la Oficina de la Unión</w:t>
      </w:r>
    </w:p>
    <w:p w14:paraId="41DB545B" w14:textId="169A34BD" w:rsidR="00050E16" w:rsidRPr="003A64D9" w:rsidRDefault="00050E16" w:rsidP="003A64D9">
      <w:pPr>
        <w:pStyle w:val="Disclaimer"/>
      </w:pPr>
      <w:r w:rsidRPr="00384A1E">
        <w:rPr>
          <w:lang w:val="es-ES_tradnl"/>
        </w:rPr>
        <w:t>Descargo de responsabilidad: el presente documento no constituye un documento de política u orientación de la UPOV</w:t>
      </w:r>
    </w:p>
    <w:p w14:paraId="164007CB" w14:textId="618810DD" w:rsidR="008D5067" w:rsidRPr="00384A1E" w:rsidRDefault="008D5067" w:rsidP="008D5067">
      <w:pPr>
        <w:rPr>
          <w:rFonts w:cs="Arial"/>
          <w:lang w:val="es-ES_tradnl"/>
        </w:rPr>
      </w:pPr>
      <w:r w:rsidRPr="00384A1E">
        <w:rPr>
          <w:rFonts w:cs="Arial"/>
          <w:lang w:val="es-ES_tradnl"/>
        </w:rPr>
        <w:fldChar w:fldCharType="begin"/>
      </w:r>
      <w:r w:rsidRPr="00384A1E">
        <w:rPr>
          <w:rFonts w:cs="Arial"/>
          <w:lang w:val="es-ES_tradnl"/>
        </w:rPr>
        <w:instrText xml:space="preserve"> AUTONUM  </w:instrText>
      </w:r>
      <w:r w:rsidRPr="00384A1E">
        <w:rPr>
          <w:rFonts w:cs="Arial"/>
          <w:lang w:val="es-ES_tradnl"/>
        </w:rPr>
        <w:fldChar w:fldCharType="end"/>
      </w:r>
      <w:r w:rsidRPr="00384A1E">
        <w:rPr>
          <w:lang w:val="es-ES_tradnl"/>
        </w:rPr>
        <w:tab/>
        <w:t>Los estados financieros de la UPOV correspondientes al ejercicio concluido el 31 de diciembre de 2025 se transmiten al Consejo de conformidad con lo dispuesto en el artículo 6.5 del Reglamento Financiero y la Reglamentación Financiera de la UPOV (documento UPOV/INF/4/</w:t>
      </w:r>
      <w:r w:rsidR="00B9064D">
        <w:rPr>
          <w:lang w:val="es-ES_tradnl"/>
        </w:rPr>
        <w:t>7</w:t>
      </w:r>
      <w:r w:rsidRPr="00384A1E">
        <w:rPr>
          <w:lang w:val="es-ES_tradnl"/>
        </w:rPr>
        <w:t>), que establece el requisito de que los estados financieros sean examinados y aprobados por el Consejo. Los estados financieros de 2025 figuran en el Anexo del presente documento. El Anexo también incluye la declaración sobre el control interno de la</w:t>
      </w:r>
      <w:r w:rsidR="00D07993">
        <w:rPr>
          <w:lang w:val="es-ES_tradnl"/>
        </w:rPr>
        <w:t> </w:t>
      </w:r>
      <w:r w:rsidRPr="00384A1E">
        <w:rPr>
          <w:lang w:val="es-ES_tradnl"/>
        </w:rPr>
        <w:t xml:space="preserve">UPOV, firmada por el </w:t>
      </w:r>
      <w:r w:rsidR="00D07993" w:rsidRPr="00384A1E">
        <w:rPr>
          <w:lang w:val="es-ES_tradnl"/>
        </w:rPr>
        <w:t>Secretario General</w:t>
      </w:r>
      <w:r w:rsidRPr="00384A1E">
        <w:rPr>
          <w:lang w:val="es-ES_tradnl"/>
        </w:rPr>
        <w:t xml:space="preserve">. El documento C/60/10 contiene el informe del </w:t>
      </w:r>
      <w:r w:rsidR="00D07993" w:rsidRPr="00384A1E">
        <w:rPr>
          <w:lang w:val="es-ES_tradnl"/>
        </w:rPr>
        <w:t>Auditor Externo</w:t>
      </w:r>
      <w:r w:rsidRPr="00384A1E">
        <w:rPr>
          <w:lang w:val="es-ES_tradnl"/>
        </w:rPr>
        <w:t>.</w:t>
      </w:r>
    </w:p>
    <w:p w14:paraId="3177BD54" w14:textId="77777777" w:rsidR="008D5067" w:rsidRPr="00384A1E" w:rsidRDefault="008D5067" w:rsidP="008D5067">
      <w:pPr>
        <w:rPr>
          <w:rFonts w:cs="Arial"/>
          <w:lang w:val="es-ES_tradnl"/>
        </w:rPr>
      </w:pPr>
    </w:p>
    <w:p w14:paraId="59A71D66" w14:textId="25905A90" w:rsidR="008D5067" w:rsidRPr="00384A1E" w:rsidRDefault="008D5067" w:rsidP="008D5067">
      <w:pPr>
        <w:rPr>
          <w:rFonts w:cs="Arial"/>
          <w:lang w:val="es-ES_tradnl"/>
        </w:rPr>
      </w:pPr>
      <w:r w:rsidRPr="00384A1E">
        <w:rPr>
          <w:rFonts w:cs="Arial"/>
          <w:lang w:val="es-ES_tradnl"/>
        </w:rPr>
        <w:fldChar w:fldCharType="begin"/>
      </w:r>
      <w:r w:rsidRPr="00384A1E">
        <w:rPr>
          <w:rFonts w:cs="Arial"/>
          <w:lang w:val="es-ES_tradnl"/>
        </w:rPr>
        <w:instrText xml:space="preserve"> AUTONUM  </w:instrText>
      </w:r>
      <w:r w:rsidRPr="00384A1E">
        <w:rPr>
          <w:rFonts w:cs="Arial"/>
          <w:lang w:val="es-ES_tradnl"/>
        </w:rPr>
        <w:fldChar w:fldCharType="end"/>
      </w:r>
      <w:r w:rsidRPr="00384A1E">
        <w:rPr>
          <w:lang w:val="es-ES_tradnl"/>
        </w:rPr>
        <w:tab/>
        <w:t xml:space="preserve">Los estados financieros de 2025 se han elaborado de conformidad con las normas internacionales de contabilidad del sector público (IPSAS). En su cuadragésima quinta sesión ordinaria, celebrada en Ginebra el 20 de octubre de 2011, el Consejo acordó la adopción de las IPSAS por la UPOV, a partir del ejercicio financiero que comenzó en 2012 (párrafo 9.b) del documento C/45/18, “Informe”). </w:t>
      </w:r>
    </w:p>
    <w:p w14:paraId="7B1FC2BE" w14:textId="77777777" w:rsidR="001C7937" w:rsidRPr="00384A1E" w:rsidRDefault="001C7937" w:rsidP="008D5067">
      <w:pPr>
        <w:rPr>
          <w:rFonts w:cs="Arial"/>
          <w:lang w:val="es-ES_tradnl"/>
        </w:rPr>
      </w:pPr>
    </w:p>
    <w:p w14:paraId="0C7EFA6C" w14:textId="67BC52FB" w:rsidR="008D5067" w:rsidRPr="00384A1E" w:rsidRDefault="008D5067" w:rsidP="008D5067">
      <w:pPr>
        <w:pStyle w:val="DecisionParagraphs"/>
        <w:rPr>
          <w:rFonts w:cs="Arial"/>
          <w:lang w:val="es-ES_tradnl"/>
        </w:rPr>
      </w:pPr>
      <w:r w:rsidRPr="00384A1E">
        <w:rPr>
          <w:rFonts w:cs="Arial"/>
          <w:lang w:val="es-ES_tradnl"/>
        </w:rPr>
        <w:fldChar w:fldCharType="begin"/>
      </w:r>
      <w:r w:rsidRPr="00384A1E">
        <w:rPr>
          <w:rFonts w:cs="Arial"/>
          <w:lang w:val="es-ES_tradnl"/>
        </w:rPr>
        <w:instrText xml:space="preserve"> AUTONUM  </w:instrText>
      </w:r>
      <w:r w:rsidRPr="00384A1E">
        <w:rPr>
          <w:rFonts w:cs="Arial"/>
          <w:lang w:val="es-ES_tradnl"/>
        </w:rPr>
        <w:fldChar w:fldCharType="end"/>
      </w:r>
      <w:r w:rsidR="00EA7AEA">
        <w:rPr>
          <w:lang w:val="es-ES_tradnl"/>
        </w:rPr>
        <w:tab/>
      </w:r>
      <w:r w:rsidRPr="00384A1E">
        <w:rPr>
          <w:lang w:val="es-ES_tradnl"/>
        </w:rPr>
        <w:t>Se invita al Consejo a examinar y aprobar los estados financieros de 2025.</w:t>
      </w:r>
    </w:p>
    <w:p w14:paraId="53C3ECC9" w14:textId="77777777" w:rsidR="00050E16" w:rsidRDefault="00050E16" w:rsidP="00050E16">
      <w:pPr>
        <w:rPr>
          <w:rFonts w:cs="Arial"/>
          <w:lang w:val="es-ES_tradnl"/>
        </w:rPr>
      </w:pPr>
    </w:p>
    <w:p w14:paraId="709AB5C2" w14:textId="77777777" w:rsidR="00D07993" w:rsidRPr="00384A1E" w:rsidRDefault="00D07993" w:rsidP="00050E16">
      <w:pPr>
        <w:rPr>
          <w:rFonts w:cs="Arial"/>
          <w:lang w:val="es-ES_tradnl"/>
        </w:rPr>
      </w:pPr>
    </w:p>
    <w:p w14:paraId="1E5FC93E" w14:textId="77777777" w:rsidR="00544581" w:rsidRPr="00384A1E" w:rsidRDefault="00544581">
      <w:pPr>
        <w:jc w:val="left"/>
        <w:rPr>
          <w:rFonts w:cs="Arial"/>
          <w:lang w:val="es-ES_tradnl"/>
        </w:rPr>
      </w:pPr>
    </w:p>
    <w:p w14:paraId="5BB80A6A" w14:textId="77777777" w:rsidR="009B440E" w:rsidRPr="00384A1E" w:rsidRDefault="00050E16" w:rsidP="00050E16">
      <w:pPr>
        <w:jc w:val="right"/>
        <w:rPr>
          <w:rFonts w:cs="Arial"/>
          <w:lang w:val="es-ES_tradnl"/>
        </w:rPr>
      </w:pPr>
      <w:r w:rsidRPr="00384A1E">
        <w:rPr>
          <w:lang w:val="es-ES_tradnl"/>
        </w:rPr>
        <w:t>[Sigue el Anexo]</w:t>
      </w:r>
    </w:p>
    <w:p w14:paraId="3E747BDE" w14:textId="77777777" w:rsidR="008D5067" w:rsidRPr="00384A1E" w:rsidRDefault="008D5067">
      <w:pPr>
        <w:jc w:val="left"/>
        <w:rPr>
          <w:rFonts w:cs="Arial"/>
          <w:lang w:val="es-ES_tradnl"/>
        </w:rPr>
        <w:sectPr w:rsidR="008D5067" w:rsidRPr="00384A1E" w:rsidSect="001C7937">
          <w:headerReference w:type="even" r:id="rId14"/>
          <w:headerReference w:type="default" r:id="rId15"/>
          <w:pgSz w:w="11907" w:h="16840" w:code="9"/>
          <w:pgMar w:top="510" w:right="1134" w:bottom="1134" w:left="1134" w:header="510" w:footer="680" w:gutter="0"/>
          <w:cols w:space="720"/>
          <w:titlePg/>
          <w:docGrid w:linePitch="272"/>
        </w:sectPr>
      </w:pPr>
    </w:p>
    <w:p w14:paraId="15C0DB0D" w14:textId="77777777" w:rsidR="00A824AF" w:rsidRPr="00384A1E" w:rsidRDefault="00A824AF" w:rsidP="00A824AF">
      <w:pPr>
        <w:jc w:val="center"/>
        <w:rPr>
          <w:rFonts w:cs="Arial"/>
          <w:b/>
          <w:bCs/>
          <w:snapToGrid w:val="0"/>
          <w:spacing w:val="8"/>
          <w:lang w:val="es-ES_tradnl"/>
        </w:rPr>
      </w:pPr>
      <w:r w:rsidRPr="00384A1E">
        <w:rPr>
          <w:b/>
          <w:snapToGrid w:val="0"/>
          <w:lang w:val="es-ES_tradnl"/>
        </w:rPr>
        <w:lastRenderedPageBreak/>
        <w:t>UNIÓN INTERNACIONAL PARA LA PROTECCIÓN DE LAS OBTENCIONES VEGETALES</w:t>
      </w:r>
    </w:p>
    <w:p w14:paraId="22A04EAD" w14:textId="77777777" w:rsidR="00A824AF" w:rsidRPr="00384A1E" w:rsidRDefault="00A824AF" w:rsidP="00A824AF">
      <w:pPr>
        <w:jc w:val="center"/>
        <w:rPr>
          <w:rFonts w:cs="Arial"/>
          <w:b/>
          <w:bCs/>
          <w:snapToGrid w:val="0"/>
          <w:spacing w:val="8"/>
          <w:lang w:val="es-ES_tradnl"/>
        </w:rPr>
      </w:pPr>
    </w:p>
    <w:p w14:paraId="7AF70B3A" w14:textId="333D2799" w:rsidR="00A824AF" w:rsidRPr="00384A1E" w:rsidRDefault="00A824AF" w:rsidP="00A824AF">
      <w:pPr>
        <w:jc w:val="center"/>
        <w:rPr>
          <w:rFonts w:cs="Arial"/>
          <w:lang w:val="es-ES_tradnl"/>
        </w:rPr>
      </w:pPr>
      <w:r w:rsidRPr="00384A1E">
        <w:rPr>
          <w:lang w:val="es-ES_tradnl"/>
        </w:rPr>
        <w:t>Estados financieros correspondientes al ejercicio concluido el 31 de diciembre de 2025</w:t>
      </w:r>
    </w:p>
    <w:p w14:paraId="72769BBD" w14:textId="77777777" w:rsidR="00024115" w:rsidRPr="00384A1E" w:rsidRDefault="00024115" w:rsidP="00DE3D35">
      <w:pPr>
        <w:tabs>
          <w:tab w:val="right" w:pos="9639"/>
        </w:tabs>
        <w:rPr>
          <w:rFonts w:cs="Arial"/>
          <w:lang w:val="es-ES_tradnl"/>
        </w:rPr>
      </w:pPr>
    </w:p>
    <w:p w14:paraId="4B41A29D" w14:textId="77777777" w:rsidR="000357D6" w:rsidRPr="00384A1E" w:rsidRDefault="000357D6" w:rsidP="00DB2733">
      <w:pPr>
        <w:pStyle w:val="Heading1"/>
        <w:rPr>
          <w:rFonts w:cs="Arial"/>
          <w:lang w:val="es-ES_tradnl"/>
        </w:rPr>
      </w:pPr>
    </w:p>
    <w:sdt>
      <w:sdtPr>
        <w:rPr>
          <w:rFonts w:ascii="Arial" w:eastAsia="Times New Roman" w:hAnsi="Arial" w:cs="Arial"/>
          <w:color w:val="auto"/>
          <w:sz w:val="20"/>
          <w:szCs w:val="20"/>
          <w:lang w:val="es-ES_tradnl"/>
        </w:rPr>
        <w:id w:val="881980883"/>
        <w:docPartObj>
          <w:docPartGallery w:val="Table of Contents"/>
          <w:docPartUnique/>
        </w:docPartObj>
      </w:sdtPr>
      <w:sdtEndPr>
        <w:rPr>
          <w:b/>
          <w:bCs/>
        </w:rPr>
      </w:sdtEndPr>
      <w:sdtContent>
        <w:p w14:paraId="30082BBD" w14:textId="77777777" w:rsidR="000357D6" w:rsidRPr="00384A1E" w:rsidRDefault="000357D6">
          <w:pPr>
            <w:pStyle w:val="TOCHeading"/>
            <w:rPr>
              <w:rFonts w:ascii="Arial" w:hAnsi="Arial" w:cs="Arial"/>
              <w:color w:val="auto"/>
              <w:sz w:val="20"/>
              <w:szCs w:val="20"/>
              <w:lang w:val="es-ES_tradnl"/>
            </w:rPr>
          </w:pPr>
          <w:r w:rsidRPr="00384A1E">
            <w:rPr>
              <w:rFonts w:ascii="Arial" w:hAnsi="Arial"/>
              <w:color w:val="auto"/>
              <w:sz w:val="20"/>
              <w:lang w:val="es-ES_tradnl"/>
            </w:rPr>
            <w:t>Índice</w:t>
          </w:r>
        </w:p>
        <w:p w14:paraId="1D2FE6DE" w14:textId="172A010C" w:rsidR="00C3209A" w:rsidRDefault="000357D6">
          <w:pPr>
            <w:pStyle w:val="TOC1"/>
            <w:rPr>
              <w:rFonts w:asciiTheme="minorHAnsi" w:eastAsiaTheme="minorEastAsia" w:hAnsiTheme="minorHAnsi" w:cstheme="minorBidi"/>
              <w:caps w:val="0"/>
              <w:kern w:val="2"/>
              <w:sz w:val="24"/>
              <w:szCs w:val="24"/>
              <w:lang w:val="en-GB" w:eastAsia="zh-CN"/>
              <w14:ligatures w14:val="standardContextual"/>
            </w:rPr>
          </w:pPr>
          <w:r w:rsidRPr="00384A1E">
            <w:rPr>
              <w:rFonts w:cs="Arial"/>
              <w:lang w:val="es-ES_tradnl"/>
            </w:rPr>
            <w:fldChar w:fldCharType="begin"/>
          </w:r>
          <w:r w:rsidRPr="00384A1E">
            <w:rPr>
              <w:rFonts w:cs="Arial"/>
              <w:lang w:val="es-ES_tradnl"/>
            </w:rPr>
            <w:instrText xml:space="preserve"> TOC \o "1-3" \h \z \u </w:instrText>
          </w:r>
          <w:r w:rsidRPr="00384A1E">
            <w:rPr>
              <w:rFonts w:cs="Arial"/>
              <w:lang w:val="es-ES_tradnl"/>
            </w:rPr>
            <w:fldChar w:fldCharType="separate"/>
          </w:r>
          <w:hyperlink w:anchor="_Toc236922865" w:history="1">
            <w:r w:rsidR="00C3209A" w:rsidRPr="00050B4B">
              <w:rPr>
                <w:rStyle w:val="Hyperlink"/>
                <w:lang w:val="es-ES_tradnl"/>
              </w:rPr>
              <w:t>Introducción</w:t>
            </w:r>
            <w:r w:rsidR="00C3209A">
              <w:rPr>
                <w:webHidden/>
              </w:rPr>
              <w:tab/>
            </w:r>
            <w:r w:rsidR="00C3209A">
              <w:rPr>
                <w:webHidden/>
              </w:rPr>
              <w:fldChar w:fldCharType="begin"/>
            </w:r>
            <w:r w:rsidR="00C3209A">
              <w:rPr>
                <w:webHidden/>
              </w:rPr>
              <w:instrText xml:space="preserve"> PAGEREF _Toc236922865 \h </w:instrText>
            </w:r>
            <w:r w:rsidR="00C3209A">
              <w:rPr>
                <w:webHidden/>
              </w:rPr>
            </w:r>
            <w:r w:rsidR="00C3209A">
              <w:rPr>
                <w:webHidden/>
              </w:rPr>
              <w:fldChar w:fldCharType="separate"/>
            </w:r>
            <w:r w:rsidR="00C3209A">
              <w:rPr>
                <w:webHidden/>
              </w:rPr>
              <w:t>2</w:t>
            </w:r>
            <w:r w:rsidR="00C3209A">
              <w:rPr>
                <w:webHidden/>
              </w:rPr>
              <w:fldChar w:fldCharType="end"/>
            </w:r>
          </w:hyperlink>
        </w:p>
        <w:p w14:paraId="51B892DC" w14:textId="0A9DB16A" w:rsidR="00C3209A" w:rsidRDefault="00C3209A">
          <w:pPr>
            <w:pStyle w:val="TOC1"/>
            <w:rPr>
              <w:rFonts w:asciiTheme="minorHAnsi" w:eastAsiaTheme="minorEastAsia" w:hAnsiTheme="minorHAnsi" w:cstheme="minorBidi"/>
              <w:caps w:val="0"/>
              <w:kern w:val="2"/>
              <w:sz w:val="24"/>
              <w:szCs w:val="24"/>
              <w:lang w:val="en-GB" w:eastAsia="zh-CN"/>
              <w14:ligatures w14:val="standardContextual"/>
            </w:rPr>
          </w:pPr>
          <w:hyperlink w:anchor="_Toc236922866" w:history="1">
            <w:r w:rsidRPr="00050B4B">
              <w:rPr>
                <w:rStyle w:val="Hyperlink"/>
                <w:lang w:val="es-ES_tradnl"/>
              </w:rPr>
              <w:t>Resultados financieros del ejercicio finalizado el 31 de diciembre de 2025</w:t>
            </w:r>
            <w:r>
              <w:rPr>
                <w:webHidden/>
              </w:rPr>
              <w:tab/>
            </w:r>
            <w:r>
              <w:rPr>
                <w:webHidden/>
              </w:rPr>
              <w:fldChar w:fldCharType="begin"/>
            </w:r>
            <w:r>
              <w:rPr>
                <w:webHidden/>
              </w:rPr>
              <w:instrText xml:space="preserve"> PAGEREF _Toc236922866 \h </w:instrText>
            </w:r>
            <w:r>
              <w:rPr>
                <w:webHidden/>
              </w:rPr>
            </w:r>
            <w:r>
              <w:rPr>
                <w:webHidden/>
              </w:rPr>
              <w:fldChar w:fldCharType="separate"/>
            </w:r>
            <w:r>
              <w:rPr>
                <w:webHidden/>
              </w:rPr>
              <w:t>2</w:t>
            </w:r>
            <w:r>
              <w:rPr>
                <w:webHidden/>
              </w:rPr>
              <w:fldChar w:fldCharType="end"/>
            </w:r>
          </w:hyperlink>
        </w:p>
        <w:p w14:paraId="30E6F550" w14:textId="03916AD3"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67" w:history="1">
            <w:r w:rsidRPr="00050B4B">
              <w:rPr>
                <w:rStyle w:val="Hyperlink"/>
                <w:lang w:val="es-ES_tradnl"/>
              </w:rPr>
              <w:t>Presentación de información financiera de 2025</w:t>
            </w:r>
            <w:r>
              <w:rPr>
                <w:webHidden/>
              </w:rPr>
              <w:tab/>
            </w:r>
            <w:r>
              <w:rPr>
                <w:webHidden/>
              </w:rPr>
              <w:fldChar w:fldCharType="begin"/>
            </w:r>
            <w:r>
              <w:rPr>
                <w:webHidden/>
              </w:rPr>
              <w:instrText xml:space="preserve"> PAGEREF _Toc236922867 \h </w:instrText>
            </w:r>
            <w:r>
              <w:rPr>
                <w:webHidden/>
              </w:rPr>
            </w:r>
            <w:r>
              <w:rPr>
                <w:webHidden/>
              </w:rPr>
              <w:fldChar w:fldCharType="separate"/>
            </w:r>
            <w:r>
              <w:rPr>
                <w:webHidden/>
              </w:rPr>
              <w:t>2</w:t>
            </w:r>
            <w:r>
              <w:rPr>
                <w:webHidden/>
              </w:rPr>
              <w:fldChar w:fldCharType="end"/>
            </w:r>
          </w:hyperlink>
        </w:p>
        <w:p w14:paraId="275DCD6A" w14:textId="4EB4316A"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68" w:history="1">
            <w:r w:rsidRPr="00050B4B">
              <w:rPr>
                <w:rStyle w:val="Hyperlink"/>
                <w:lang w:val="es-ES_tradnl"/>
              </w:rPr>
              <w:t>Rendimiento financiero</w:t>
            </w:r>
            <w:r>
              <w:rPr>
                <w:webHidden/>
              </w:rPr>
              <w:tab/>
            </w:r>
            <w:r>
              <w:rPr>
                <w:webHidden/>
              </w:rPr>
              <w:fldChar w:fldCharType="begin"/>
            </w:r>
            <w:r>
              <w:rPr>
                <w:webHidden/>
              </w:rPr>
              <w:instrText xml:space="preserve"> PAGEREF _Toc236922868 \h </w:instrText>
            </w:r>
            <w:r>
              <w:rPr>
                <w:webHidden/>
              </w:rPr>
            </w:r>
            <w:r>
              <w:rPr>
                <w:webHidden/>
              </w:rPr>
              <w:fldChar w:fldCharType="separate"/>
            </w:r>
            <w:r>
              <w:rPr>
                <w:webHidden/>
              </w:rPr>
              <w:t>3</w:t>
            </w:r>
            <w:r>
              <w:rPr>
                <w:webHidden/>
              </w:rPr>
              <w:fldChar w:fldCharType="end"/>
            </w:r>
          </w:hyperlink>
        </w:p>
        <w:p w14:paraId="549E1CB2" w14:textId="1E10CADD"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69" w:history="1">
            <w:r w:rsidRPr="00050B4B">
              <w:rPr>
                <w:rStyle w:val="Hyperlink"/>
                <w:lang w:val="es-ES_tradnl"/>
              </w:rPr>
              <w:t>Situación financiera</w:t>
            </w:r>
            <w:r>
              <w:rPr>
                <w:webHidden/>
              </w:rPr>
              <w:tab/>
            </w:r>
            <w:r>
              <w:rPr>
                <w:webHidden/>
              </w:rPr>
              <w:fldChar w:fldCharType="begin"/>
            </w:r>
            <w:r>
              <w:rPr>
                <w:webHidden/>
              </w:rPr>
              <w:instrText xml:space="preserve"> PAGEREF _Toc236922869 \h </w:instrText>
            </w:r>
            <w:r>
              <w:rPr>
                <w:webHidden/>
              </w:rPr>
            </w:r>
            <w:r>
              <w:rPr>
                <w:webHidden/>
              </w:rPr>
              <w:fldChar w:fldCharType="separate"/>
            </w:r>
            <w:r>
              <w:rPr>
                <w:webHidden/>
              </w:rPr>
              <w:t>4</w:t>
            </w:r>
            <w:r>
              <w:rPr>
                <w:webHidden/>
              </w:rPr>
              <w:fldChar w:fldCharType="end"/>
            </w:r>
          </w:hyperlink>
        </w:p>
        <w:p w14:paraId="50BFB38D" w14:textId="01C8E79D" w:rsidR="00C3209A" w:rsidRDefault="00C3209A">
          <w:pPr>
            <w:pStyle w:val="TOC1"/>
            <w:rPr>
              <w:rFonts w:asciiTheme="minorHAnsi" w:eastAsiaTheme="minorEastAsia" w:hAnsiTheme="minorHAnsi" w:cstheme="minorBidi"/>
              <w:caps w:val="0"/>
              <w:kern w:val="2"/>
              <w:sz w:val="24"/>
              <w:szCs w:val="24"/>
              <w:lang w:val="en-GB" w:eastAsia="zh-CN"/>
              <w14:ligatures w14:val="standardContextual"/>
            </w:rPr>
          </w:pPr>
          <w:hyperlink w:anchor="_Toc236922870" w:history="1">
            <w:r w:rsidRPr="00050B4B">
              <w:rPr>
                <w:rStyle w:val="Hyperlink"/>
                <w:lang w:val="es-ES_tradnl"/>
              </w:rPr>
              <w:t>DECLARACIÓN SOBRE EL CONTROL INTERNO, 2025</w:t>
            </w:r>
            <w:r>
              <w:rPr>
                <w:webHidden/>
              </w:rPr>
              <w:tab/>
            </w:r>
            <w:r>
              <w:rPr>
                <w:webHidden/>
              </w:rPr>
              <w:fldChar w:fldCharType="begin"/>
            </w:r>
            <w:r>
              <w:rPr>
                <w:webHidden/>
              </w:rPr>
              <w:instrText xml:space="preserve"> PAGEREF _Toc236922870 \h </w:instrText>
            </w:r>
            <w:r>
              <w:rPr>
                <w:webHidden/>
              </w:rPr>
            </w:r>
            <w:r>
              <w:rPr>
                <w:webHidden/>
              </w:rPr>
              <w:fldChar w:fldCharType="separate"/>
            </w:r>
            <w:r>
              <w:rPr>
                <w:webHidden/>
              </w:rPr>
              <w:t>7</w:t>
            </w:r>
            <w:r>
              <w:rPr>
                <w:webHidden/>
              </w:rPr>
              <w:fldChar w:fldCharType="end"/>
            </w:r>
          </w:hyperlink>
        </w:p>
        <w:p w14:paraId="65580EB9" w14:textId="6B3C181B" w:rsidR="00C3209A" w:rsidRDefault="00C3209A">
          <w:pPr>
            <w:pStyle w:val="TOC1"/>
            <w:rPr>
              <w:rFonts w:asciiTheme="minorHAnsi" w:eastAsiaTheme="minorEastAsia" w:hAnsiTheme="minorHAnsi" w:cstheme="minorBidi"/>
              <w:caps w:val="0"/>
              <w:kern w:val="2"/>
              <w:sz w:val="24"/>
              <w:szCs w:val="24"/>
              <w:lang w:val="en-GB" w:eastAsia="zh-CN"/>
              <w14:ligatures w14:val="standardContextual"/>
            </w:rPr>
          </w:pPr>
          <w:hyperlink w:anchor="_Toc236922871" w:history="1">
            <w:r w:rsidRPr="00050B4B">
              <w:rPr>
                <w:rStyle w:val="Hyperlink"/>
                <w:lang w:val="es-ES_tradnl"/>
              </w:rPr>
              <w:t>ESTADO FINANCIERO I: SITUACIÓN FINANCIERA</w:t>
            </w:r>
            <w:r>
              <w:rPr>
                <w:webHidden/>
              </w:rPr>
              <w:tab/>
            </w:r>
            <w:r>
              <w:rPr>
                <w:webHidden/>
              </w:rPr>
              <w:fldChar w:fldCharType="begin"/>
            </w:r>
            <w:r>
              <w:rPr>
                <w:webHidden/>
              </w:rPr>
              <w:instrText xml:space="preserve"> PAGEREF _Toc236922871 \h </w:instrText>
            </w:r>
            <w:r>
              <w:rPr>
                <w:webHidden/>
              </w:rPr>
            </w:r>
            <w:r>
              <w:rPr>
                <w:webHidden/>
              </w:rPr>
              <w:fldChar w:fldCharType="separate"/>
            </w:r>
            <w:r>
              <w:rPr>
                <w:webHidden/>
              </w:rPr>
              <w:t>12</w:t>
            </w:r>
            <w:r>
              <w:rPr>
                <w:webHidden/>
              </w:rPr>
              <w:fldChar w:fldCharType="end"/>
            </w:r>
          </w:hyperlink>
        </w:p>
        <w:p w14:paraId="7E39BBA0" w14:textId="6CFF3AAA" w:rsidR="00C3209A" w:rsidRDefault="00C3209A">
          <w:pPr>
            <w:pStyle w:val="TOC1"/>
            <w:rPr>
              <w:rFonts w:asciiTheme="minorHAnsi" w:eastAsiaTheme="minorEastAsia" w:hAnsiTheme="minorHAnsi" w:cstheme="minorBidi"/>
              <w:caps w:val="0"/>
              <w:kern w:val="2"/>
              <w:sz w:val="24"/>
              <w:szCs w:val="24"/>
              <w:lang w:val="en-GB" w:eastAsia="zh-CN"/>
              <w14:ligatures w14:val="standardContextual"/>
            </w:rPr>
          </w:pPr>
          <w:hyperlink w:anchor="_Toc236922872" w:history="1">
            <w:r w:rsidRPr="00050B4B">
              <w:rPr>
                <w:rStyle w:val="Hyperlink"/>
                <w:lang w:val="es-ES_tradnl"/>
              </w:rPr>
              <w:t>ESTADO FINANCIERO II: RENDIMIENTO FINANCIERO</w:t>
            </w:r>
            <w:r>
              <w:rPr>
                <w:webHidden/>
              </w:rPr>
              <w:tab/>
            </w:r>
            <w:r>
              <w:rPr>
                <w:webHidden/>
              </w:rPr>
              <w:fldChar w:fldCharType="begin"/>
            </w:r>
            <w:r>
              <w:rPr>
                <w:webHidden/>
              </w:rPr>
              <w:instrText xml:space="preserve"> PAGEREF _Toc236922872 \h </w:instrText>
            </w:r>
            <w:r>
              <w:rPr>
                <w:webHidden/>
              </w:rPr>
            </w:r>
            <w:r>
              <w:rPr>
                <w:webHidden/>
              </w:rPr>
              <w:fldChar w:fldCharType="separate"/>
            </w:r>
            <w:r>
              <w:rPr>
                <w:webHidden/>
              </w:rPr>
              <w:t>13</w:t>
            </w:r>
            <w:r>
              <w:rPr>
                <w:webHidden/>
              </w:rPr>
              <w:fldChar w:fldCharType="end"/>
            </w:r>
          </w:hyperlink>
        </w:p>
        <w:p w14:paraId="07DFE2F6" w14:textId="72D75676" w:rsidR="00C3209A" w:rsidRDefault="00C3209A">
          <w:pPr>
            <w:pStyle w:val="TOC1"/>
            <w:rPr>
              <w:rFonts w:asciiTheme="minorHAnsi" w:eastAsiaTheme="minorEastAsia" w:hAnsiTheme="minorHAnsi" w:cstheme="minorBidi"/>
              <w:caps w:val="0"/>
              <w:kern w:val="2"/>
              <w:sz w:val="24"/>
              <w:szCs w:val="24"/>
              <w:lang w:val="en-GB" w:eastAsia="zh-CN"/>
              <w14:ligatures w14:val="standardContextual"/>
            </w:rPr>
          </w:pPr>
          <w:hyperlink w:anchor="_Toc236922873" w:history="1">
            <w:r w:rsidRPr="00050B4B">
              <w:rPr>
                <w:rStyle w:val="Hyperlink"/>
                <w:lang w:val="es-ES_tradnl"/>
              </w:rPr>
              <w:t>ESTADO FINANCIERO III: CAMBIOS EN EL ACTIVO NETO</w:t>
            </w:r>
            <w:r>
              <w:rPr>
                <w:webHidden/>
              </w:rPr>
              <w:tab/>
            </w:r>
            <w:r>
              <w:rPr>
                <w:webHidden/>
              </w:rPr>
              <w:fldChar w:fldCharType="begin"/>
            </w:r>
            <w:r>
              <w:rPr>
                <w:webHidden/>
              </w:rPr>
              <w:instrText xml:space="preserve"> PAGEREF _Toc236922873 \h </w:instrText>
            </w:r>
            <w:r>
              <w:rPr>
                <w:webHidden/>
              </w:rPr>
            </w:r>
            <w:r>
              <w:rPr>
                <w:webHidden/>
              </w:rPr>
              <w:fldChar w:fldCharType="separate"/>
            </w:r>
            <w:r>
              <w:rPr>
                <w:webHidden/>
              </w:rPr>
              <w:t>14</w:t>
            </w:r>
            <w:r>
              <w:rPr>
                <w:webHidden/>
              </w:rPr>
              <w:fldChar w:fldCharType="end"/>
            </w:r>
          </w:hyperlink>
        </w:p>
        <w:p w14:paraId="3312B855" w14:textId="50F0D22E" w:rsidR="00C3209A" w:rsidRDefault="00C3209A">
          <w:pPr>
            <w:pStyle w:val="TOC1"/>
            <w:rPr>
              <w:rFonts w:asciiTheme="minorHAnsi" w:eastAsiaTheme="minorEastAsia" w:hAnsiTheme="minorHAnsi" w:cstheme="minorBidi"/>
              <w:caps w:val="0"/>
              <w:kern w:val="2"/>
              <w:sz w:val="24"/>
              <w:szCs w:val="24"/>
              <w:lang w:val="en-GB" w:eastAsia="zh-CN"/>
              <w14:ligatures w14:val="standardContextual"/>
            </w:rPr>
          </w:pPr>
          <w:hyperlink w:anchor="_Toc236922874" w:history="1">
            <w:r w:rsidRPr="00050B4B">
              <w:rPr>
                <w:rStyle w:val="Hyperlink"/>
                <w:lang w:val="es-ES_tradnl"/>
              </w:rPr>
              <w:t>ESTADO FINANCIERO IV: FLUJOS DE EFECTIVO</w:t>
            </w:r>
            <w:r>
              <w:rPr>
                <w:webHidden/>
              </w:rPr>
              <w:tab/>
            </w:r>
            <w:r>
              <w:rPr>
                <w:webHidden/>
              </w:rPr>
              <w:fldChar w:fldCharType="begin"/>
            </w:r>
            <w:r>
              <w:rPr>
                <w:webHidden/>
              </w:rPr>
              <w:instrText xml:space="preserve"> PAGEREF _Toc236922874 \h </w:instrText>
            </w:r>
            <w:r>
              <w:rPr>
                <w:webHidden/>
              </w:rPr>
            </w:r>
            <w:r>
              <w:rPr>
                <w:webHidden/>
              </w:rPr>
              <w:fldChar w:fldCharType="separate"/>
            </w:r>
            <w:r>
              <w:rPr>
                <w:webHidden/>
              </w:rPr>
              <w:t>15</w:t>
            </w:r>
            <w:r>
              <w:rPr>
                <w:webHidden/>
              </w:rPr>
              <w:fldChar w:fldCharType="end"/>
            </w:r>
          </w:hyperlink>
        </w:p>
        <w:p w14:paraId="70365ADC" w14:textId="69585016" w:rsidR="00C3209A" w:rsidRDefault="00C3209A">
          <w:pPr>
            <w:pStyle w:val="TOC1"/>
            <w:rPr>
              <w:rFonts w:asciiTheme="minorHAnsi" w:eastAsiaTheme="minorEastAsia" w:hAnsiTheme="minorHAnsi" w:cstheme="minorBidi"/>
              <w:caps w:val="0"/>
              <w:kern w:val="2"/>
              <w:sz w:val="24"/>
              <w:szCs w:val="24"/>
              <w:lang w:val="en-GB" w:eastAsia="zh-CN"/>
              <w14:ligatures w14:val="standardContextual"/>
            </w:rPr>
          </w:pPr>
          <w:hyperlink w:anchor="_Toc236922875" w:history="1">
            <w:r w:rsidRPr="00050B4B">
              <w:rPr>
                <w:rStyle w:val="Hyperlink"/>
                <w:lang w:val="es-ES_tradnl"/>
              </w:rPr>
              <w:t>ESTADO FINANCIERO V: COMPARACIÓN DE IMPORTES PRESUPUESTADOS Y REALES DE 2025</w:t>
            </w:r>
            <w:r>
              <w:rPr>
                <w:webHidden/>
              </w:rPr>
              <w:tab/>
            </w:r>
            <w:r>
              <w:rPr>
                <w:webHidden/>
              </w:rPr>
              <w:fldChar w:fldCharType="begin"/>
            </w:r>
            <w:r>
              <w:rPr>
                <w:webHidden/>
              </w:rPr>
              <w:instrText xml:space="preserve"> PAGEREF _Toc236922875 \h </w:instrText>
            </w:r>
            <w:r>
              <w:rPr>
                <w:webHidden/>
              </w:rPr>
            </w:r>
            <w:r>
              <w:rPr>
                <w:webHidden/>
              </w:rPr>
              <w:fldChar w:fldCharType="separate"/>
            </w:r>
            <w:r>
              <w:rPr>
                <w:webHidden/>
              </w:rPr>
              <w:t>16</w:t>
            </w:r>
            <w:r>
              <w:rPr>
                <w:webHidden/>
              </w:rPr>
              <w:fldChar w:fldCharType="end"/>
            </w:r>
          </w:hyperlink>
        </w:p>
        <w:p w14:paraId="70489CC9" w14:textId="716A4178" w:rsidR="00C3209A" w:rsidRDefault="00C3209A">
          <w:pPr>
            <w:pStyle w:val="TOC1"/>
            <w:rPr>
              <w:rFonts w:asciiTheme="minorHAnsi" w:eastAsiaTheme="minorEastAsia" w:hAnsiTheme="minorHAnsi" w:cstheme="minorBidi"/>
              <w:caps w:val="0"/>
              <w:kern w:val="2"/>
              <w:sz w:val="24"/>
              <w:szCs w:val="24"/>
              <w:lang w:val="en-GB" w:eastAsia="zh-CN"/>
              <w14:ligatures w14:val="standardContextual"/>
            </w:rPr>
          </w:pPr>
          <w:hyperlink w:anchor="_Toc236922876" w:history="1">
            <w:r w:rsidRPr="00050B4B">
              <w:rPr>
                <w:rStyle w:val="Hyperlink"/>
                <w:lang w:val="es-ES_tradnl"/>
              </w:rPr>
              <w:t>ESTADO FINANCIERO V: COMPARACIÓN DE IMPORTES PRESUPUESTADOS Y REALES 2024/25</w:t>
            </w:r>
            <w:r>
              <w:rPr>
                <w:webHidden/>
              </w:rPr>
              <w:tab/>
            </w:r>
            <w:r>
              <w:rPr>
                <w:webHidden/>
              </w:rPr>
              <w:fldChar w:fldCharType="begin"/>
            </w:r>
            <w:r>
              <w:rPr>
                <w:webHidden/>
              </w:rPr>
              <w:instrText xml:space="preserve"> PAGEREF _Toc236922876 \h </w:instrText>
            </w:r>
            <w:r>
              <w:rPr>
                <w:webHidden/>
              </w:rPr>
            </w:r>
            <w:r>
              <w:rPr>
                <w:webHidden/>
              </w:rPr>
              <w:fldChar w:fldCharType="separate"/>
            </w:r>
            <w:r>
              <w:rPr>
                <w:webHidden/>
              </w:rPr>
              <w:t>17</w:t>
            </w:r>
            <w:r>
              <w:rPr>
                <w:webHidden/>
              </w:rPr>
              <w:fldChar w:fldCharType="end"/>
            </w:r>
          </w:hyperlink>
        </w:p>
        <w:p w14:paraId="2CB3B665" w14:textId="07C8CD85" w:rsidR="00C3209A" w:rsidRDefault="00C3209A">
          <w:pPr>
            <w:pStyle w:val="TOC1"/>
            <w:rPr>
              <w:rFonts w:asciiTheme="minorHAnsi" w:eastAsiaTheme="minorEastAsia" w:hAnsiTheme="minorHAnsi" w:cstheme="minorBidi"/>
              <w:caps w:val="0"/>
              <w:kern w:val="2"/>
              <w:sz w:val="24"/>
              <w:szCs w:val="24"/>
              <w:lang w:val="en-GB" w:eastAsia="zh-CN"/>
              <w14:ligatures w14:val="standardContextual"/>
            </w:rPr>
          </w:pPr>
          <w:hyperlink w:anchor="_Toc236922877" w:history="1">
            <w:r w:rsidRPr="00050B4B">
              <w:rPr>
                <w:rStyle w:val="Hyperlink"/>
                <w:lang w:val="es-ES_tradnl"/>
              </w:rPr>
              <w:t>Notas sobre los estados financieros</w:t>
            </w:r>
            <w:r>
              <w:rPr>
                <w:webHidden/>
              </w:rPr>
              <w:tab/>
            </w:r>
            <w:r>
              <w:rPr>
                <w:webHidden/>
              </w:rPr>
              <w:fldChar w:fldCharType="begin"/>
            </w:r>
            <w:r>
              <w:rPr>
                <w:webHidden/>
              </w:rPr>
              <w:instrText xml:space="preserve"> PAGEREF _Toc236922877 \h </w:instrText>
            </w:r>
            <w:r>
              <w:rPr>
                <w:webHidden/>
              </w:rPr>
            </w:r>
            <w:r>
              <w:rPr>
                <w:webHidden/>
              </w:rPr>
              <w:fldChar w:fldCharType="separate"/>
            </w:r>
            <w:r>
              <w:rPr>
                <w:webHidden/>
              </w:rPr>
              <w:t>18</w:t>
            </w:r>
            <w:r>
              <w:rPr>
                <w:webHidden/>
              </w:rPr>
              <w:fldChar w:fldCharType="end"/>
            </w:r>
          </w:hyperlink>
        </w:p>
        <w:p w14:paraId="0568FF69" w14:textId="1F57B39D"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78" w:history="1">
            <w:r w:rsidRPr="00050B4B">
              <w:rPr>
                <w:rStyle w:val="Hyperlink"/>
                <w:lang w:val="es-ES_tradnl"/>
              </w:rPr>
              <w:t>Nota 1:</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Objetivos, gobernanza y presupuesto de la UPOV</w:t>
            </w:r>
            <w:r>
              <w:rPr>
                <w:webHidden/>
              </w:rPr>
              <w:tab/>
            </w:r>
            <w:r>
              <w:rPr>
                <w:webHidden/>
              </w:rPr>
              <w:fldChar w:fldCharType="begin"/>
            </w:r>
            <w:r>
              <w:rPr>
                <w:webHidden/>
              </w:rPr>
              <w:instrText xml:space="preserve"> PAGEREF _Toc236922878 \h </w:instrText>
            </w:r>
            <w:r>
              <w:rPr>
                <w:webHidden/>
              </w:rPr>
            </w:r>
            <w:r>
              <w:rPr>
                <w:webHidden/>
              </w:rPr>
              <w:fldChar w:fldCharType="separate"/>
            </w:r>
            <w:r>
              <w:rPr>
                <w:webHidden/>
              </w:rPr>
              <w:t>18</w:t>
            </w:r>
            <w:r>
              <w:rPr>
                <w:webHidden/>
              </w:rPr>
              <w:fldChar w:fldCharType="end"/>
            </w:r>
          </w:hyperlink>
        </w:p>
        <w:p w14:paraId="281B13E5" w14:textId="4509B529"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79" w:history="1">
            <w:r w:rsidRPr="00050B4B">
              <w:rPr>
                <w:rStyle w:val="Hyperlink"/>
                <w:lang w:val="es-ES_tradnl"/>
              </w:rPr>
              <w:t>Nota 2:</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Políticas contables significativas</w:t>
            </w:r>
            <w:r>
              <w:rPr>
                <w:webHidden/>
              </w:rPr>
              <w:tab/>
            </w:r>
            <w:r>
              <w:rPr>
                <w:webHidden/>
              </w:rPr>
              <w:fldChar w:fldCharType="begin"/>
            </w:r>
            <w:r>
              <w:rPr>
                <w:webHidden/>
              </w:rPr>
              <w:instrText xml:space="preserve"> PAGEREF _Toc236922879 \h </w:instrText>
            </w:r>
            <w:r>
              <w:rPr>
                <w:webHidden/>
              </w:rPr>
            </w:r>
            <w:r>
              <w:rPr>
                <w:webHidden/>
              </w:rPr>
              <w:fldChar w:fldCharType="separate"/>
            </w:r>
            <w:r>
              <w:rPr>
                <w:webHidden/>
              </w:rPr>
              <w:t>19</w:t>
            </w:r>
            <w:r>
              <w:rPr>
                <w:webHidden/>
              </w:rPr>
              <w:fldChar w:fldCharType="end"/>
            </w:r>
          </w:hyperlink>
        </w:p>
        <w:p w14:paraId="31D70D3C" w14:textId="2C6B1ED4"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80" w:history="1">
            <w:r w:rsidRPr="00050B4B">
              <w:rPr>
                <w:rStyle w:val="Hyperlink"/>
                <w:lang w:val="es-ES_tradnl"/>
              </w:rPr>
              <w:t>Nota 3:</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Efectivo y equivalentes de efectivo</w:t>
            </w:r>
            <w:r>
              <w:rPr>
                <w:webHidden/>
              </w:rPr>
              <w:tab/>
            </w:r>
            <w:r>
              <w:rPr>
                <w:webHidden/>
              </w:rPr>
              <w:fldChar w:fldCharType="begin"/>
            </w:r>
            <w:r>
              <w:rPr>
                <w:webHidden/>
              </w:rPr>
              <w:instrText xml:space="preserve"> PAGEREF _Toc236922880 \h </w:instrText>
            </w:r>
            <w:r>
              <w:rPr>
                <w:webHidden/>
              </w:rPr>
            </w:r>
            <w:r>
              <w:rPr>
                <w:webHidden/>
              </w:rPr>
              <w:fldChar w:fldCharType="separate"/>
            </w:r>
            <w:r>
              <w:rPr>
                <w:webHidden/>
              </w:rPr>
              <w:t>22</w:t>
            </w:r>
            <w:r>
              <w:rPr>
                <w:webHidden/>
              </w:rPr>
              <w:fldChar w:fldCharType="end"/>
            </w:r>
          </w:hyperlink>
        </w:p>
        <w:p w14:paraId="222396DB" w14:textId="6DE73BF5"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81" w:history="1">
            <w:r w:rsidRPr="00050B4B">
              <w:rPr>
                <w:rStyle w:val="Hyperlink"/>
                <w:lang w:val="es-ES_tradnl"/>
              </w:rPr>
              <w:t>Nota 4:</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Cuentas por cobrar</w:t>
            </w:r>
            <w:r>
              <w:rPr>
                <w:webHidden/>
              </w:rPr>
              <w:tab/>
            </w:r>
            <w:r>
              <w:rPr>
                <w:webHidden/>
              </w:rPr>
              <w:fldChar w:fldCharType="begin"/>
            </w:r>
            <w:r>
              <w:rPr>
                <w:webHidden/>
              </w:rPr>
              <w:instrText xml:space="preserve"> PAGEREF _Toc236922881 \h </w:instrText>
            </w:r>
            <w:r>
              <w:rPr>
                <w:webHidden/>
              </w:rPr>
            </w:r>
            <w:r>
              <w:rPr>
                <w:webHidden/>
              </w:rPr>
              <w:fldChar w:fldCharType="separate"/>
            </w:r>
            <w:r>
              <w:rPr>
                <w:webHidden/>
              </w:rPr>
              <w:t>23</w:t>
            </w:r>
            <w:r>
              <w:rPr>
                <w:webHidden/>
              </w:rPr>
              <w:fldChar w:fldCharType="end"/>
            </w:r>
          </w:hyperlink>
        </w:p>
        <w:p w14:paraId="4A5F2427" w14:textId="6084F25D"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82" w:history="1">
            <w:r w:rsidRPr="00050B4B">
              <w:rPr>
                <w:rStyle w:val="Hyperlink"/>
                <w:lang w:val="es-ES_tradnl"/>
              </w:rPr>
              <w:t>Nota 5:</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Cuentas por pagar y gastos devengados</w:t>
            </w:r>
            <w:r>
              <w:rPr>
                <w:webHidden/>
              </w:rPr>
              <w:tab/>
            </w:r>
            <w:r>
              <w:rPr>
                <w:webHidden/>
              </w:rPr>
              <w:fldChar w:fldCharType="begin"/>
            </w:r>
            <w:r>
              <w:rPr>
                <w:webHidden/>
              </w:rPr>
              <w:instrText xml:space="preserve"> PAGEREF _Toc236922882 \h </w:instrText>
            </w:r>
            <w:r>
              <w:rPr>
                <w:webHidden/>
              </w:rPr>
            </w:r>
            <w:r>
              <w:rPr>
                <w:webHidden/>
              </w:rPr>
              <w:fldChar w:fldCharType="separate"/>
            </w:r>
            <w:r>
              <w:rPr>
                <w:webHidden/>
              </w:rPr>
              <w:t>23</w:t>
            </w:r>
            <w:r>
              <w:rPr>
                <w:webHidden/>
              </w:rPr>
              <w:fldChar w:fldCharType="end"/>
            </w:r>
          </w:hyperlink>
        </w:p>
        <w:p w14:paraId="3EFAC8C8" w14:textId="6FD7F836"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83" w:history="1">
            <w:r w:rsidRPr="00050B4B">
              <w:rPr>
                <w:rStyle w:val="Hyperlink"/>
                <w:lang w:val="es-ES_tradnl"/>
              </w:rPr>
              <w:t>Nota 6:</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Prestaciones pagaderas a los empleados</w:t>
            </w:r>
            <w:r>
              <w:rPr>
                <w:webHidden/>
              </w:rPr>
              <w:tab/>
            </w:r>
            <w:r>
              <w:rPr>
                <w:webHidden/>
              </w:rPr>
              <w:fldChar w:fldCharType="begin"/>
            </w:r>
            <w:r>
              <w:rPr>
                <w:webHidden/>
              </w:rPr>
              <w:instrText xml:space="preserve"> PAGEREF _Toc236922883 \h </w:instrText>
            </w:r>
            <w:r>
              <w:rPr>
                <w:webHidden/>
              </w:rPr>
            </w:r>
            <w:r>
              <w:rPr>
                <w:webHidden/>
              </w:rPr>
              <w:fldChar w:fldCharType="separate"/>
            </w:r>
            <w:r>
              <w:rPr>
                <w:webHidden/>
              </w:rPr>
              <w:t>23</w:t>
            </w:r>
            <w:r>
              <w:rPr>
                <w:webHidden/>
              </w:rPr>
              <w:fldChar w:fldCharType="end"/>
            </w:r>
          </w:hyperlink>
        </w:p>
        <w:p w14:paraId="35F5679D" w14:textId="5A09A9BA"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84" w:history="1">
            <w:r w:rsidRPr="00050B4B">
              <w:rPr>
                <w:rStyle w:val="Hyperlink"/>
                <w:lang w:val="es-ES_tradnl"/>
              </w:rPr>
              <w:t>Nota 7:</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Cobros anticipados</w:t>
            </w:r>
            <w:r>
              <w:rPr>
                <w:webHidden/>
              </w:rPr>
              <w:tab/>
            </w:r>
            <w:r>
              <w:rPr>
                <w:webHidden/>
              </w:rPr>
              <w:fldChar w:fldCharType="begin"/>
            </w:r>
            <w:r>
              <w:rPr>
                <w:webHidden/>
              </w:rPr>
              <w:instrText xml:space="preserve"> PAGEREF _Toc236922884 \h </w:instrText>
            </w:r>
            <w:r>
              <w:rPr>
                <w:webHidden/>
              </w:rPr>
            </w:r>
            <w:r>
              <w:rPr>
                <w:webHidden/>
              </w:rPr>
              <w:fldChar w:fldCharType="separate"/>
            </w:r>
            <w:r>
              <w:rPr>
                <w:webHidden/>
              </w:rPr>
              <w:t>28</w:t>
            </w:r>
            <w:r>
              <w:rPr>
                <w:webHidden/>
              </w:rPr>
              <w:fldChar w:fldCharType="end"/>
            </w:r>
          </w:hyperlink>
        </w:p>
        <w:p w14:paraId="2294CC67" w14:textId="7116F887"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85" w:history="1">
            <w:r w:rsidRPr="00050B4B">
              <w:rPr>
                <w:rStyle w:val="Hyperlink"/>
                <w:lang w:val="es-ES_tradnl"/>
              </w:rPr>
              <w:t>Nota 8:</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Otros pasivos corrientes</w:t>
            </w:r>
            <w:r>
              <w:rPr>
                <w:webHidden/>
              </w:rPr>
              <w:tab/>
            </w:r>
            <w:r>
              <w:rPr>
                <w:webHidden/>
              </w:rPr>
              <w:fldChar w:fldCharType="begin"/>
            </w:r>
            <w:r>
              <w:rPr>
                <w:webHidden/>
              </w:rPr>
              <w:instrText xml:space="preserve"> PAGEREF _Toc236922885 \h </w:instrText>
            </w:r>
            <w:r>
              <w:rPr>
                <w:webHidden/>
              </w:rPr>
            </w:r>
            <w:r>
              <w:rPr>
                <w:webHidden/>
              </w:rPr>
              <w:fldChar w:fldCharType="separate"/>
            </w:r>
            <w:r>
              <w:rPr>
                <w:webHidden/>
              </w:rPr>
              <w:t>28</w:t>
            </w:r>
            <w:r>
              <w:rPr>
                <w:webHidden/>
              </w:rPr>
              <w:fldChar w:fldCharType="end"/>
            </w:r>
          </w:hyperlink>
        </w:p>
        <w:p w14:paraId="41724124" w14:textId="2925F670"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86" w:history="1">
            <w:r w:rsidRPr="00050B4B">
              <w:rPr>
                <w:rStyle w:val="Hyperlink"/>
                <w:lang w:val="es-ES_tradnl"/>
              </w:rPr>
              <w:t>Nota 9:</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Pasivos contingentes</w:t>
            </w:r>
            <w:r>
              <w:rPr>
                <w:webHidden/>
              </w:rPr>
              <w:tab/>
            </w:r>
            <w:r>
              <w:rPr>
                <w:webHidden/>
              </w:rPr>
              <w:fldChar w:fldCharType="begin"/>
            </w:r>
            <w:r>
              <w:rPr>
                <w:webHidden/>
              </w:rPr>
              <w:instrText xml:space="preserve"> PAGEREF _Toc236922886 \h </w:instrText>
            </w:r>
            <w:r>
              <w:rPr>
                <w:webHidden/>
              </w:rPr>
            </w:r>
            <w:r>
              <w:rPr>
                <w:webHidden/>
              </w:rPr>
              <w:fldChar w:fldCharType="separate"/>
            </w:r>
            <w:r>
              <w:rPr>
                <w:webHidden/>
              </w:rPr>
              <w:t>28</w:t>
            </w:r>
            <w:r>
              <w:rPr>
                <w:webHidden/>
              </w:rPr>
              <w:fldChar w:fldCharType="end"/>
            </w:r>
          </w:hyperlink>
        </w:p>
        <w:p w14:paraId="5739E4FB" w14:textId="36215D79"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87" w:history="1">
            <w:r w:rsidRPr="00050B4B">
              <w:rPr>
                <w:rStyle w:val="Hyperlink"/>
                <w:lang w:val="es-ES_tradnl"/>
              </w:rPr>
              <w:t>Nota 10:</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Operaciones con partes relacionadas</w:t>
            </w:r>
            <w:r>
              <w:rPr>
                <w:webHidden/>
              </w:rPr>
              <w:tab/>
            </w:r>
            <w:r>
              <w:rPr>
                <w:webHidden/>
              </w:rPr>
              <w:fldChar w:fldCharType="begin"/>
            </w:r>
            <w:r>
              <w:rPr>
                <w:webHidden/>
              </w:rPr>
              <w:instrText xml:space="preserve"> PAGEREF _Toc236922887 \h </w:instrText>
            </w:r>
            <w:r>
              <w:rPr>
                <w:webHidden/>
              </w:rPr>
            </w:r>
            <w:r>
              <w:rPr>
                <w:webHidden/>
              </w:rPr>
              <w:fldChar w:fldCharType="separate"/>
            </w:r>
            <w:r>
              <w:rPr>
                <w:webHidden/>
              </w:rPr>
              <w:t>29</w:t>
            </w:r>
            <w:r>
              <w:rPr>
                <w:webHidden/>
              </w:rPr>
              <w:fldChar w:fldCharType="end"/>
            </w:r>
          </w:hyperlink>
        </w:p>
        <w:p w14:paraId="63126865" w14:textId="109599CC"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88" w:history="1">
            <w:r w:rsidRPr="00050B4B">
              <w:rPr>
                <w:rStyle w:val="Hyperlink"/>
                <w:lang w:val="es-ES_tradnl"/>
              </w:rPr>
              <w:t>Nota 11:</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Activo neto</w:t>
            </w:r>
            <w:r>
              <w:rPr>
                <w:webHidden/>
              </w:rPr>
              <w:tab/>
            </w:r>
            <w:r>
              <w:rPr>
                <w:webHidden/>
              </w:rPr>
              <w:fldChar w:fldCharType="begin"/>
            </w:r>
            <w:r>
              <w:rPr>
                <w:webHidden/>
              </w:rPr>
              <w:instrText xml:space="preserve"> PAGEREF _Toc236922888 \h </w:instrText>
            </w:r>
            <w:r>
              <w:rPr>
                <w:webHidden/>
              </w:rPr>
            </w:r>
            <w:r>
              <w:rPr>
                <w:webHidden/>
              </w:rPr>
              <w:fldChar w:fldCharType="separate"/>
            </w:r>
            <w:r>
              <w:rPr>
                <w:webHidden/>
              </w:rPr>
              <w:t>30</w:t>
            </w:r>
            <w:r>
              <w:rPr>
                <w:webHidden/>
              </w:rPr>
              <w:fldChar w:fldCharType="end"/>
            </w:r>
          </w:hyperlink>
        </w:p>
        <w:p w14:paraId="543BC428" w14:textId="05E50E43"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89" w:history="1">
            <w:r w:rsidRPr="00050B4B">
              <w:rPr>
                <w:rStyle w:val="Hyperlink"/>
                <w:lang w:val="es-ES_tradnl"/>
              </w:rPr>
              <w:t>Nota 12:</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Conciliación del estado comparativo de importes presupuestados y reales (estado financiero V) y del estado del rendimiento financiero (estado financiero II)</w:t>
            </w:r>
            <w:r>
              <w:rPr>
                <w:webHidden/>
              </w:rPr>
              <w:tab/>
            </w:r>
            <w:r>
              <w:rPr>
                <w:webHidden/>
              </w:rPr>
              <w:fldChar w:fldCharType="begin"/>
            </w:r>
            <w:r>
              <w:rPr>
                <w:webHidden/>
              </w:rPr>
              <w:instrText xml:space="preserve"> PAGEREF _Toc236922889 \h </w:instrText>
            </w:r>
            <w:r>
              <w:rPr>
                <w:webHidden/>
              </w:rPr>
            </w:r>
            <w:r>
              <w:rPr>
                <w:webHidden/>
              </w:rPr>
              <w:fldChar w:fldCharType="separate"/>
            </w:r>
            <w:r>
              <w:rPr>
                <w:webHidden/>
              </w:rPr>
              <w:t>30</w:t>
            </w:r>
            <w:r>
              <w:rPr>
                <w:webHidden/>
              </w:rPr>
              <w:fldChar w:fldCharType="end"/>
            </w:r>
          </w:hyperlink>
        </w:p>
        <w:p w14:paraId="13E107BA" w14:textId="7F603977"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90" w:history="1">
            <w:r w:rsidRPr="00050B4B">
              <w:rPr>
                <w:rStyle w:val="Hyperlink"/>
                <w:lang w:val="es-ES_tradnl"/>
              </w:rPr>
              <w:t>Nota 13:</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Ingresos</w:t>
            </w:r>
            <w:r>
              <w:rPr>
                <w:webHidden/>
              </w:rPr>
              <w:tab/>
            </w:r>
            <w:r>
              <w:rPr>
                <w:webHidden/>
              </w:rPr>
              <w:fldChar w:fldCharType="begin"/>
            </w:r>
            <w:r>
              <w:rPr>
                <w:webHidden/>
              </w:rPr>
              <w:instrText xml:space="preserve"> PAGEREF _Toc236922890 \h </w:instrText>
            </w:r>
            <w:r>
              <w:rPr>
                <w:webHidden/>
              </w:rPr>
            </w:r>
            <w:r>
              <w:rPr>
                <w:webHidden/>
              </w:rPr>
              <w:fldChar w:fldCharType="separate"/>
            </w:r>
            <w:r>
              <w:rPr>
                <w:webHidden/>
              </w:rPr>
              <w:t>32</w:t>
            </w:r>
            <w:r>
              <w:rPr>
                <w:webHidden/>
              </w:rPr>
              <w:fldChar w:fldCharType="end"/>
            </w:r>
          </w:hyperlink>
        </w:p>
        <w:p w14:paraId="3AF23234" w14:textId="1E879F84"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91" w:history="1">
            <w:r w:rsidRPr="00050B4B">
              <w:rPr>
                <w:rStyle w:val="Hyperlink"/>
                <w:lang w:val="es-ES_tradnl"/>
              </w:rPr>
              <w:t>Nota 14:</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Gastos</w:t>
            </w:r>
            <w:r>
              <w:rPr>
                <w:webHidden/>
              </w:rPr>
              <w:tab/>
            </w:r>
            <w:r>
              <w:rPr>
                <w:webHidden/>
              </w:rPr>
              <w:fldChar w:fldCharType="begin"/>
            </w:r>
            <w:r>
              <w:rPr>
                <w:webHidden/>
              </w:rPr>
              <w:instrText xml:space="preserve"> PAGEREF _Toc236922891 \h </w:instrText>
            </w:r>
            <w:r>
              <w:rPr>
                <w:webHidden/>
              </w:rPr>
            </w:r>
            <w:r>
              <w:rPr>
                <w:webHidden/>
              </w:rPr>
              <w:fldChar w:fldCharType="separate"/>
            </w:r>
            <w:r>
              <w:rPr>
                <w:webHidden/>
              </w:rPr>
              <w:t>32</w:t>
            </w:r>
            <w:r>
              <w:rPr>
                <w:webHidden/>
              </w:rPr>
              <w:fldChar w:fldCharType="end"/>
            </w:r>
          </w:hyperlink>
        </w:p>
        <w:p w14:paraId="787CC13D" w14:textId="05384F0A"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92" w:history="1">
            <w:r w:rsidRPr="00050B4B">
              <w:rPr>
                <w:rStyle w:val="Hyperlink"/>
                <w:lang w:val="es-ES_tradnl"/>
              </w:rPr>
              <w:t>Nota 15:</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Instrumentos financieros</w:t>
            </w:r>
            <w:r>
              <w:rPr>
                <w:webHidden/>
              </w:rPr>
              <w:tab/>
            </w:r>
            <w:r>
              <w:rPr>
                <w:webHidden/>
              </w:rPr>
              <w:fldChar w:fldCharType="begin"/>
            </w:r>
            <w:r>
              <w:rPr>
                <w:webHidden/>
              </w:rPr>
              <w:instrText xml:space="preserve"> PAGEREF _Toc236922892 \h </w:instrText>
            </w:r>
            <w:r>
              <w:rPr>
                <w:webHidden/>
              </w:rPr>
            </w:r>
            <w:r>
              <w:rPr>
                <w:webHidden/>
              </w:rPr>
              <w:fldChar w:fldCharType="separate"/>
            </w:r>
            <w:r>
              <w:rPr>
                <w:webHidden/>
              </w:rPr>
              <w:t>33</w:t>
            </w:r>
            <w:r>
              <w:rPr>
                <w:webHidden/>
              </w:rPr>
              <w:fldChar w:fldCharType="end"/>
            </w:r>
          </w:hyperlink>
        </w:p>
        <w:p w14:paraId="650E44E2" w14:textId="24F60D22" w:rsidR="00C3209A" w:rsidRDefault="00C3209A">
          <w:pPr>
            <w:pStyle w:val="TOC2"/>
            <w:rPr>
              <w:rFonts w:asciiTheme="minorHAnsi" w:eastAsiaTheme="minorEastAsia" w:hAnsiTheme="minorHAnsi" w:cstheme="minorBidi"/>
              <w:kern w:val="2"/>
              <w:sz w:val="24"/>
              <w:szCs w:val="24"/>
              <w:lang w:val="en-GB" w:eastAsia="zh-CN"/>
              <w14:ligatures w14:val="standardContextual"/>
            </w:rPr>
          </w:pPr>
          <w:hyperlink w:anchor="_Toc236922893" w:history="1">
            <w:r w:rsidRPr="00050B4B">
              <w:rPr>
                <w:rStyle w:val="Hyperlink"/>
                <w:lang w:val="es-ES_tradnl"/>
              </w:rPr>
              <w:t>Nota 16:</w:t>
            </w:r>
            <w:r>
              <w:rPr>
                <w:rFonts w:asciiTheme="minorHAnsi" w:eastAsiaTheme="minorEastAsia" w:hAnsiTheme="minorHAnsi" w:cstheme="minorBidi"/>
                <w:kern w:val="2"/>
                <w:sz w:val="24"/>
                <w:szCs w:val="24"/>
                <w:lang w:val="en-GB" w:eastAsia="zh-CN"/>
                <w14:ligatures w14:val="standardContextual"/>
              </w:rPr>
              <w:tab/>
            </w:r>
            <w:r w:rsidRPr="00050B4B">
              <w:rPr>
                <w:rStyle w:val="Hyperlink"/>
                <w:lang w:val="es-ES_tradnl"/>
              </w:rPr>
              <w:t>Acontecimientos posteriores a la fecha del informe</w:t>
            </w:r>
            <w:r>
              <w:rPr>
                <w:webHidden/>
              </w:rPr>
              <w:tab/>
            </w:r>
            <w:r>
              <w:rPr>
                <w:webHidden/>
              </w:rPr>
              <w:fldChar w:fldCharType="begin"/>
            </w:r>
            <w:r>
              <w:rPr>
                <w:webHidden/>
              </w:rPr>
              <w:instrText xml:space="preserve"> PAGEREF _Toc236922893 \h </w:instrText>
            </w:r>
            <w:r>
              <w:rPr>
                <w:webHidden/>
              </w:rPr>
            </w:r>
            <w:r>
              <w:rPr>
                <w:webHidden/>
              </w:rPr>
              <w:fldChar w:fldCharType="separate"/>
            </w:r>
            <w:r>
              <w:rPr>
                <w:webHidden/>
              </w:rPr>
              <w:t>34</w:t>
            </w:r>
            <w:r>
              <w:rPr>
                <w:webHidden/>
              </w:rPr>
              <w:fldChar w:fldCharType="end"/>
            </w:r>
          </w:hyperlink>
        </w:p>
        <w:p w14:paraId="76A3196C" w14:textId="6F757887" w:rsidR="000357D6" w:rsidRPr="00384A1E" w:rsidRDefault="000357D6">
          <w:pPr>
            <w:rPr>
              <w:rFonts w:cs="Arial"/>
              <w:lang w:val="es-ES_tradnl"/>
            </w:rPr>
          </w:pPr>
          <w:r w:rsidRPr="00384A1E">
            <w:rPr>
              <w:rFonts w:cs="Arial"/>
              <w:b/>
              <w:lang w:val="es-ES_tradnl"/>
            </w:rPr>
            <w:fldChar w:fldCharType="end"/>
          </w:r>
        </w:p>
      </w:sdtContent>
    </w:sdt>
    <w:p w14:paraId="7975DC77" w14:textId="6131A676" w:rsidR="00C3209A" w:rsidRDefault="00C3209A">
      <w:pPr>
        <w:jc w:val="left"/>
        <w:rPr>
          <w:lang w:val="es-ES_tradnl"/>
        </w:rPr>
      </w:pPr>
      <w:bookmarkStart w:id="2" w:name="_Toc477872937"/>
      <w:bookmarkStart w:id="3" w:name="_Toc84329879"/>
      <w:r w:rsidRPr="00C3209A">
        <w:rPr>
          <w:lang w:val="es-ES_tradnl"/>
        </w:rPr>
        <w:t>APÉNDICE – PAGOS A TÍTULO GRACIABLE (información auditada)</w:t>
      </w:r>
    </w:p>
    <w:p w14:paraId="1CB5D363" w14:textId="69839EF4" w:rsidR="007704C6" w:rsidRPr="00384A1E" w:rsidRDefault="007704C6">
      <w:pPr>
        <w:jc w:val="left"/>
        <w:rPr>
          <w:rFonts w:cs="Arial"/>
          <w:b/>
          <w:caps/>
          <w:lang w:val="es-ES_tradnl"/>
        </w:rPr>
      </w:pPr>
      <w:r w:rsidRPr="00384A1E">
        <w:rPr>
          <w:lang w:val="es-ES_tradnl"/>
        </w:rPr>
        <w:br w:type="page"/>
      </w:r>
    </w:p>
    <w:p w14:paraId="79A7133C" w14:textId="77777777" w:rsidR="00A824AF" w:rsidRPr="00384A1E" w:rsidRDefault="00A824AF" w:rsidP="000357D6">
      <w:pPr>
        <w:pStyle w:val="Heading1"/>
        <w:rPr>
          <w:rFonts w:cs="Arial"/>
          <w:lang w:val="es-ES_tradnl"/>
        </w:rPr>
      </w:pPr>
      <w:bookmarkStart w:id="4" w:name="_Toc236922865"/>
      <w:r w:rsidRPr="00384A1E">
        <w:rPr>
          <w:lang w:val="es-ES_tradnl"/>
        </w:rPr>
        <w:lastRenderedPageBreak/>
        <w:t>Introducción</w:t>
      </w:r>
      <w:bookmarkEnd w:id="2"/>
      <w:bookmarkEnd w:id="3"/>
      <w:bookmarkEnd w:id="4"/>
    </w:p>
    <w:p w14:paraId="1999D617" w14:textId="77777777" w:rsidR="00D67D80" w:rsidRPr="00384A1E" w:rsidRDefault="00D67D80" w:rsidP="00D67D80">
      <w:pPr>
        <w:rPr>
          <w:rFonts w:cs="Arial"/>
          <w:lang w:val="es-ES_tradnl"/>
        </w:rPr>
      </w:pPr>
    </w:p>
    <w:p w14:paraId="3DB6FC68" w14:textId="1214FD2C" w:rsidR="00A824AF" w:rsidRPr="00384A1E" w:rsidRDefault="00A824AF" w:rsidP="00A824AF">
      <w:pPr>
        <w:numPr>
          <w:ilvl w:val="0"/>
          <w:numId w:val="12"/>
        </w:numPr>
        <w:tabs>
          <w:tab w:val="clear" w:pos="1080"/>
        </w:tabs>
        <w:ind w:left="550" w:hanging="550"/>
        <w:rPr>
          <w:rFonts w:cs="Arial"/>
          <w:lang w:val="es-ES_tradnl"/>
        </w:rPr>
      </w:pPr>
      <w:r w:rsidRPr="00384A1E">
        <w:rPr>
          <w:lang w:val="es-ES_tradnl"/>
        </w:rPr>
        <w:t>Los estados financieros de la Unión Internacional para la Protección de las Obtenciones Vegetales (UPOV) correspondientes al ejercicio concluido el 31 de diciembre de 2025 se presentan al Consejo de la Unión de conformidad con el artículo 6.5 del Reglamento Financiero y la Reglamentación Financiera de la UPOV (documento UPOV/INF/4/7):</w:t>
      </w:r>
    </w:p>
    <w:p w14:paraId="2FFE09A2" w14:textId="77777777" w:rsidR="00A824AF" w:rsidRPr="00384A1E" w:rsidRDefault="00A824AF" w:rsidP="00A824AF">
      <w:pPr>
        <w:rPr>
          <w:rFonts w:cs="Arial"/>
          <w:lang w:val="es-ES_tradnl"/>
        </w:rPr>
      </w:pPr>
    </w:p>
    <w:p w14:paraId="3FC45C40" w14:textId="77777777" w:rsidR="00D67D80" w:rsidRPr="00384A1E" w:rsidRDefault="00D67D80" w:rsidP="00D67D80">
      <w:pPr>
        <w:spacing w:after="120"/>
        <w:ind w:left="550"/>
        <w:rPr>
          <w:rFonts w:cs="Arial"/>
          <w:b/>
          <w:lang w:val="es-ES_tradnl"/>
        </w:rPr>
      </w:pPr>
      <w:r w:rsidRPr="00384A1E">
        <w:rPr>
          <w:b/>
          <w:lang w:val="es-ES_tradnl"/>
        </w:rPr>
        <w:t>Artículo 6.5</w:t>
      </w:r>
    </w:p>
    <w:p w14:paraId="6B13D944" w14:textId="77777777" w:rsidR="00D67D80" w:rsidRPr="00384A1E" w:rsidRDefault="00D67D80" w:rsidP="00D67D80">
      <w:pPr>
        <w:spacing w:after="120"/>
        <w:ind w:left="550"/>
        <w:rPr>
          <w:rFonts w:cs="Arial"/>
          <w:lang w:val="es-ES_tradnl"/>
        </w:rPr>
      </w:pPr>
      <w:r w:rsidRPr="00384A1E">
        <w:rPr>
          <w:lang w:val="es-ES_tradnl"/>
        </w:rPr>
        <w:t>1)</w:t>
      </w:r>
      <w:r w:rsidRPr="00384A1E">
        <w:rPr>
          <w:lang w:val="es-ES_tradnl"/>
        </w:rPr>
        <w:tab/>
        <w:t>El Secretario General presentará al Auditor Externo los estados financieros anuales correspondientes a cada año civil del ejercicio económico a más tardar el 31 de marzo siguiente a la finalización del año civil al que se refieren.</w:t>
      </w:r>
    </w:p>
    <w:p w14:paraId="7382F39F" w14:textId="77777777" w:rsidR="00D67D80" w:rsidRPr="00384A1E" w:rsidRDefault="00D67D80" w:rsidP="00D67D80">
      <w:pPr>
        <w:spacing w:after="120"/>
        <w:ind w:left="550"/>
        <w:rPr>
          <w:rFonts w:cs="Arial"/>
          <w:lang w:val="es-ES_tradnl"/>
        </w:rPr>
      </w:pPr>
      <w:r w:rsidRPr="00384A1E">
        <w:rPr>
          <w:lang w:val="es-ES_tradnl"/>
        </w:rPr>
        <w:t>2)</w:t>
      </w:r>
      <w:r w:rsidRPr="00384A1E">
        <w:rPr>
          <w:lang w:val="es-ES_tradnl"/>
        </w:rPr>
        <w:tab/>
        <w:t>En el plazo de ocho meses desde el cierre de cada año civil, el Secretario General someterá al Consejo los estados financieros anuales y el informe de auditoría emitido por el Auditor Externo.</w:t>
      </w:r>
    </w:p>
    <w:p w14:paraId="01C90696" w14:textId="77777777" w:rsidR="00D67D80" w:rsidRPr="00384A1E" w:rsidRDefault="00D67D80" w:rsidP="00D67D80">
      <w:pPr>
        <w:spacing w:after="120"/>
        <w:ind w:left="550"/>
        <w:rPr>
          <w:rFonts w:cs="Arial"/>
          <w:lang w:val="es-ES_tradnl"/>
        </w:rPr>
      </w:pPr>
      <w:r w:rsidRPr="00384A1E">
        <w:rPr>
          <w:lang w:val="es-ES_tradnl"/>
        </w:rPr>
        <w:t>3)</w:t>
      </w:r>
      <w:r w:rsidRPr="00384A1E">
        <w:rPr>
          <w:lang w:val="es-ES_tradnl"/>
        </w:rPr>
        <w:tab/>
        <w:t>El Consejo examinará los estados financieros anuales. Si apreciase que el Secretario General no ha determinado correctamente la cuota de los gastos comunes que corresponda a la UPOV, podrá señalar los ajustes que se consideren oportunos. En tal supuesto, previa consulta con el Comité de Coordinación de la OMPI, el Consejo establecerá la asignación definitiva.</w:t>
      </w:r>
    </w:p>
    <w:p w14:paraId="180E6AA8" w14:textId="77777777" w:rsidR="00D67D80" w:rsidRPr="00384A1E" w:rsidRDefault="00D67D80" w:rsidP="00D67D80">
      <w:pPr>
        <w:ind w:left="550"/>
        <w:rPr>
          <w:rFonts w:cs="Arial"/>
          <w:lang w:val="es-ES_tradnl"/>
        </w:rPr>
      </w:pPr>
      <w:r w:rsidRPr="00384A1E">
        <w:rPr>
          <w:lang w:val="es-ES_tradnl"/>
        </w:rPr>
        <w:t>4)</w:t>
      </w:r>
      <w:r w:rsidRPr="00384A1E">
        <w:rPr>
          <w:lang w:val="es-ES_tradnl"/>
        </w:rPr>
        <w:tab/>
        <w:t>El Consejo aprobará los estados financieros anuales una vez auditados de conformidad con el artículo 24 del Convenio de 1961, el artículo 25 del Acta de 1978 y el artículo 29.6) del Acta de 1991.</w:t>
      </w:r>
    </w:p>
    <w:p w14:paraId="7C1E716B" w14:textId="77777777" w:rsidR="00A824AF" w:rsidRPr="00384A1E" w:rsidRDefault="00A824AF" w:rsidP="00A824AF">
      <w:pPr>
        <w:rPr>
          <w:rFonts w:cs="Arial"/>
          <w:lang w:val="es-ES_tradnl"/>
        </w:rPr>
      </w:pPr>
    </w:p>
    <w:p w14:paraId="36F2042B" w14:textId="69C22BDB" w:rsidR="00A824AF" w:rsidRPr="00384A1E" w:rsidRDefault="00A824AF" w:rsidP="00A824AF">
      <w:pPr>
        <w:ind w:left="550" w:hanging="550"/>
        <w:rPr>
          <w:rFonts w:cs="Arial"/>
          <w:lang w:val="es-ES_tradnl"/>
        </w:rPr>
      </w:pPr>
      <w:r w:rsidRPr="00384A1E">
        <w:rPr>
          <w:lang w:val="es-ES_tradnl"/>
        </w:rPr>
        <w:t>2.</w:t>
      </w:r>
      <w:r w:rsidRPr="00384A1E">
        <w:rPr>
          <w:lang w:val="es-ES_tradnl"/>
        </w:rPr>
        <w:tab/>
        <w:t>El informe del auditor externo sobre los estados financieros de 2025, junto con su dictamen, se presentan también al Consejo de la Unión según lo dispuesto en el artículo 6.5 y en el Anexo II del Reglamento Financiero y la Reglamentación Financiera de la UPOV.</w:t>
      </w:r>
    </w:p>
    <w:p w14:paraId="7D96A77B" w14:textId="77777777" w:rsidR="00A824AF" w:rsidRPr="00384A1E" w:rsidRDefault="00A824AF" w:rsidP="00A824AF">
      <w:pPr>
        <w:ind w:left="720" w:hanging="720"/>
        <w:rPr>
          <w:rFonts w:cs="Arial"/>
          <w:lang w:val="es-ES_tradnl"/>
        </w:rPr>
      </w:pPr>
    </w:p>
    <w:p w14:paraId="17A40CED" w14:textId="3D2F0B42" w:rsidR="00A824AF" w:rsidRPr="00384A1E" w:rsidRDefault="00A824AF" w:rsidP="00A824AF">
      <w:pPr>
        <w:ind w:left="550" w:hanging="550"/>
        <w:rPr>
          <w:rFonts w:cs="Arial"/>
          <w:lang w:val="es-ES_tradnl"/>
        </w:rPr>
      </w:pPr>
      <w:r w:rsidRPr="00384A1E">
        <w:rPr>
          <w:lang w:val="es-ES_tradnl"/>
        </w:rPr>
        <w:t>3.</w:t>
      </w:r>
      <w:r w:rsidRPr="00384A1E">
        <w:rPr>
          <w:lang w:val="es-ES_tradnl"/>
        </w:rPr>
        <w:tab/>
        <w:t xml:space="preserve">Los estados financieros de 2025 se han preparado de conformidad con las normas internacionales de contabilidad del sector público (IPSAS). </w:t>
      </w:r>
    </w:p>
    <w:p w14:paraId="0B90A1AA" w14:textId="77777777" w:rsidR="00A824AF" w:rsidRPr="00384A1E" w:rsidRDefault="00A824AF" w:rsidP="00A824AF">
      <w:pPr>
        <w:rPr>
          <w:rFonts w:cs="Arial"/>
          <w:lang w:val="es-ES_tradnl"/>
        </w:rPr>
      </w:pPr>
    </w:p>
    <w:p w14:paraId="4696A7C3" w14:textId="77777777" w:rsidR="00332D7A" w:rsidRPr="00384A1E" w:rsidRDefault="00332D7A" w:rsidP="00D67D80">
      <w:pPr>
        <w:pStyle w:val="Heading1"/>
        <w:rPr>
          <w:rFonts w:cs="Arial"/>
          <w:lang w:val="es-ES_tradnl"/>
        </w:rPr>
      </w:pPr>
      <w:bookmarkStart w:id="5" w:name="_Toc477872938"/>
    </w:p>
    <w:p w14:paraId="1CAEB5BD" w14:textId="50CFC1C3" w:rsidR="00A824AF" w:rsidRPr="00384A1E" w:rsidRDefault="00A824AF" w:rsidP="00D67D80">
      <w:pPr>
        <w:pStyle w:val="Heading1"/>
        <w:rPr>
          <w:rFonts w:cs="Arial"/>
          <w:lang w:val="es-ES_tradnl"/>
        </w:rPr>
      </w:pPr>
      <w:bookmarkStart w:id="6" w:name="_Toc84329880"/>
      <w:bookmarkStart w:id="7" w:name="_Toc236922866"/>
      <w:r w:rsidRPr="00384A1E">
        <w:rPr>
          <w:lang w:val="es-ES_tradnl"/>
        </w:rPr>
        <w:t>Resultados financieros del ejercicio</w:t>
      </w:r>
      <w:bookmarkEnd w:id="5"/>
      <w:r w:rsidRPr="00384A1E">
        <w:rPr>
          <w:lang w:val="es-ES_tradnl"/>
        </w:rPr>
        <w:t xml:space="preserve"> finalizado el 31 de diciembre de 2025</w:t>
      </w:r>
      <w:bookmarkEnd w:id="6"/>
      <w:bookmarkEnd w:id="7"/>
    </w:p>
    <w:p w14:paraId="757EDB97" w14:textId="77777777" w:rsidR="00D67D80" w:rsidRPr="00384A1E" w:rsidRDefault="00D67D80" w:rsidP="00D67D80">
      <w:pPr>
        <w:rPr>
          <w:rFonts w:cs="Arial"/>
          <w:lang w:val="es-ES_tradnl"/>
        </w:rPr>
      </w:pPr>
    </w:p>
    <w:p w14:paraId="1EBB1815" w14:textId="4D492710" w:rsidR="00A824AF" w:rsidRPr="00384A1E" w:rsidRDefault="00395C67" w:rsidP="00D40825">
      <w:pPr>
        <w:pStyle w:val="Heading2"/>
        <w:rPr>
          <w:rFonts w:ascii="Arial" w:hAnsi="Arial" w:cs="Arial"/>
          <w:lang w:val="es-ES_tradnl"/>
        </w:rPr>
      </w:pPr>
      <w:bookmarkStart w:id="8" w:name="_Toc236922867"/>
      <w:r w:rsidRPr="00384A1E">
        <w:rPr>
          <w:rFonts w:ascii="Arial" w:hAnsi="Arial"/>
          <w:lang w:val="es-ES_tradnl"/>
        </w:rPr>
        <w:t>Presentación de información financiera de 2025</w:t>
      </w:r>
      <w:bookmarkEnd w:id="8"/>
    </w:p>
    <w:p w14:paraId="0A97AA95" w14:textId="77777777" w:rsidR="00A824AF" w:rsidRPr="00384A1E" w:rsidRDefault="00A824AF" w:rsidP="00A824AF">
      <w:pPr>
        <w:rPr>
          <w:rFonts w:cs="Arial"/>
          <w:lang w:val="es-ES_tradnl"/>
        </w:rPr>
      </w:pPr>
    </w:p>
    <w:p w14:paraId="7777DE82" w14:textId="0876D546" w:rsidR="00A824AF" w:rsidRPr="00384A1E" w:rsidRDefault="00A824AF" w:rsidP="00A824AF">
      <w:pPr>
        <w:numPr>
          <w:ilvl w:val="0"/>
          <w:numId w:val="18"/>
        </w:numPr>
        <w:tabs>
          <w:tab w:val="num" w:pos="550"/>
        </w:tabs>
        <w:autoSpaceDE w:val="0"/>
        <w:autoSpaceDN w:val="0"/>
        <w:adjustRightInd w:val="0"/>
        <w:ind w:left="550" w:hanging="550"/>
        <w:rPr>
          <w:rFonts w:cs="Arial"/>
          <w:lang w:val="es-ES_tradnl"/>
        </w:rPr>
      </w:pPr>
      <w:r w:rsidRPr="00384A1E">
        <w:rPr>
          <w:lang w:val="es-ES_tradnl"/>
        </w:rPr>
        <w:t>Las IPSAS exigen aplicar el criterio contable de devengo pleno. La contabilidad con arreglo al principio de devengo implica el reconocimiento de las transacciones y los hechos cuando se producen. Como tales, se registran en los libros contables y se presentan en los estados financieros de los ejercicios a los que se refieren, y no solo cuando se recibe o se paga el efectivo o su equivalente.</w:t>
      </w:r>
    </w:p>
    <w:p w14:paraId="4CA00CE6" w14:textId="77777777" w:rsidR="00A824AF" w:rsidRPr="00384A1E" w:rsidRDefault="00A824AF" w:rsidP="00A824AF">
      <w:pPr>
        <w:autoSpaceDE w:val="0"/>
        <w:autoSpaceDN w:val="0"/>
        <w:adjustRightInd w:val="0"/>
        <w:rPr>
          <w:rFonts w:cs="Arial"/>
          <w:lang w:val="es-ES_tradnl"/>
        </w:rPr>
      </w:pPr>
    </w:p>
    <w:p w14:paraId="331BAE25" w14:textId="2902C77B" w:rsidR="00A824AF" w:rsidRPr="00384A1E" w:rsidRDefault="00A824AF">
      <w:pPr>
        <w:numPr>
          <w:ilvl w:val="0"/>
          <w:numId w:val="18"/>
        </w:numPr>
        <w:tabs>
          <w:tab w:val="num" w:pos="550"/>
        </w:tabs>
        <w:autoSpaceDE w:val="0"/>
        <w:autoSpaceDN w:val="0"/>
        <w:adjustRightInd w:val="0"/>
        <w:ind w:left="550" w:hanging="550"/>
        <w:rPr>
          <w:rFonts w:cs="Arial"/>
          <w:lang w:val="es-ES_tradnl"/>
        </w:rPr>
      </w:pPr>
      <w:r w:rsidRPr="00384A1E">
        <w:rPr>
          <w:lang w:val="es-ES_tradnl"/>
        </w:rPr>
        <w:t xml:space="preserve">Conforme a las IPSAS, los ingresos procedentes de las contribuciones y de los fondos extrapresupuestarios (fondos fiduciarios) se reconocen cuando la UPOV adquiere el derecho a percibir la contribución. Cuando las contribuciones adeudadas a la UPOV por parte de algún miembro son anteriores al último bienio, se constituye una provisión por la totalidad de las contribuciones por cobrar. Los acuerdos relativos a fondos extrapresupuestarios se examinan para determinar si la UPOV debe cumplir determinadas condiciones de desempeño; de ser así, los ingresos se reconocen únicamente cuando se satisfacen esas condiciones. </w:t>
      </w:r>
    </w:p>
    <w:p w14:paraId="47F48C12" w14:textId="77777777" w:rsidR="00A824AF" w:rsidRPr="00384A1E" w:rsidRDefault="00A824AF" w:rsidP="00A824AF">
      <w:pPr>
        <w:rPr>
          <w:rFonts w:cs="Arial"/>
          <w:lang w:val="es-ES_tradnl"/>
        </w:rPr>
      </w:pPr>
    </w:p>
    <w:p w14:paraId="0BAE6516" w14:textId="77777777" w:rsidR="00A824AF" w:rsidRPr="00384A1E" w:rsidRDefault="00A824AF" w:rsidP="00A824AF">
      <w:pPr>
        <w:numPr>
          <w:ilvl w:val="0"/>
          <w:numId w:val="18"/>
        </w:numPr>
        <w:tabs>
          <w:tab w:val="num" w:pos="550"/>
        </w:tabs>
        <w:ind w:left="550" w:hanging="550"/>
        <w:rPr>
          <w:rFonts w:cs="Arial"/>
          <w:lang w:val="es-ES_tradnl"/>
        </w:rPr>
      </w:pPr>
      <w:r w:rsidRPr="00384A1E">
        <w:rPr>
          <w:lang w:val="es-ES_tradnl"/>
        </w:rPr>
        <w:t xml:space="preserve">El valor de las prestaciones futuras a los empleados (por ejemplo, las vacaciones anuales acumuladas, las primas de repatriación o el seguro médico de los antiguos empleados), devengadas por el personal de la UPOV pero aún no percibidas, se registra para reflejar el coste total de emplear personal. </w:t>
      </w:r>
    </w:p>
    <w:p w14:paraId="3C68A89A" w14:textId="77777777" w:rsidR="00A824AF" w:rsidRPr="00384A1E" w:rsidRDefault="00A824AF" w:rsidP="00A824AF">
      <w:pPr>
        <w:rPr>
          <w:rFonts w:cs="Arial"/>
          <w:lang w:val="es-ES_tradnl"/>
        </w:rPr>
      </w:pPr>
    </w:p>
    <w:p w14:paraId="1618EAD9" w14:textId="77777777" w:rsidR="00A824AF" w:rsidRPr="00384A1E" w:rsidRDefault="00A824AF" w:rsidP="00A824AF">
      <w:pPr>
        <w:numPr>
          <w:ilvl w:val="0"/>
          <w:numId w:val="18"/>
        </w:numPr>
        <w:tabs>
          <w:tab w:val="num" w:pos="550"/>
        </w:tabs>
        <w:ind w:left="550" w:hanging="550"/>
        <w:rPr>
          <w:rFonts w:cs="Arial"/>
          <w:lang w:val="es-ES_tradnl"/>
        </w:rPr>
      </w:pPr>
      <w:r w:rsidRPr="00384A1E">
        <w:rPr>
          <w:lang w:val="es-ES_tradnl"/>
        </w:rPr>
        <w:t>En la actualidad, la aplicación de las IPSAS no afecta a la elaboración del Programa y Presupuesto, que se presenta aún según el criterio de devengo modificado. Dado que este criterio difiere del criterio contable de devengo pleno aplicado a los estados financieros, se presenta una conciliación entre el presupuesto y los estados financieros principales de conformidad con los requisitos de las IPSAS.</w:t>
      </w:r>
    </w:p>
    <w:p w14:paraId="54F64492" w14:textId="77777777" w:rsidR="00A824AF" w:rsidRPr="00384A1E" w:rsidRDefault="00A824AF" w:rsidP="00A824AF">
      <w:pPr>
        <w:rPr>
          <w:rFonts w:cs="Arial"/>
          <w:lang w:val="es-ES_tradnl"/>
        </w:rPr>
      </w:pPr>
    </w:p>
    <w:p w14:paraId="40446EF9" w14:textId="0A6C66C2" w:rsidR="009B2799" w:rsidRPr="00384A1E" w:rsidRDefault="00A824AF" w:rsidP="007A0D14">
      <w:pPr>
        <w:pStyle w:val="ListParagraph"/>
        <w:numPr>
          <w:ilvl w:val="0"/>
          <w:numId w:val="18"/>
        </w:numPr>
        <w:jc w:val="both"/>
        <w:rPr>
          <w:sz w:val="20"/>
          <w:lang w:val="es-ES_tradnl"/>
        </w:rPr>
      </w:pPr>
      <w:r w:rsidRPr="00384A1E">
        <w:rPr>
          <w:sz w:val="20"/>
          <w:lang w:val="es-ES_tradnl"/>
        </w:rPr>
        <w:t xml:space="preserve">Las IPSAS exigen incluir información más detallada en las notas a los estados financieros, en aras de la transparencia. Por ello, la UPOV proporciona información sobre la remuneración del personal directivo clave. </w:t>
      </w:r>
    </w:p>
    <w:p w14:paraId="0A9D6F69" w14:textId="77777777" w:rsidR="007A0D14" w:rsidRPr="00384A1E" w:rsidRDefault="007A0D14" w:rsidP="00CF1845">
      <w:pPr>
        <w:rPr>
          <w:rFonts w:cs="Arial"/>
          <w:lang w:val="es-ES_tradnl"/>
        </w:rPr>
      </w:pPr>
    </w:p>
    <w:p w14:paraId="3AA3ED32" w14:textId="33AB7429" w:rsidR="004C462E" w:rsidRPr="00384A1E" w:rsidRDefault="0026516C" w:rsidP="006B7B45">
      <w:pPr>
        <w:pStyle w:val="ListParagraph"/>
        <w:keepLines/>
        <w:numPr>
          <w:ilvl w:val="0"/>
          <w:numId w:val="18"/>
        </w:numPr>
        <w:jc w:val="both"/>
        <w:rPr>
          <w:sz w:val="20"/>
          <w:lang w:val="es-ES_tradnl"/>
        </w:rPr>
      </w:pPr>
      <w:r w:rsidRPr="00384A1E">
        <w:rPr>
          <w:sz w:val="20"/>
          <w:lang w:val="es-ES_tradnl"/>
        </w:rPr>
        <w:lastRenderedPageBreak/>
        <w:t xml:space="preserve">Tras la aprobación del Comité Consultivo de la UPOV en su </w:t>
      </w:r>
      <w:r w:rsidR="006B7B45">
        <w:rPr>
          <w:sz w:val="20"/>
          <w:lang w:val="es-ES_tradnl"/>
        </w:rPr>
        <w:t>centésima primera</w:t>
      </w:r>
      <w:r w:rsidRPr="00384A1E">
        <w:rPr>
          <w:sz w:val="20"/>
          <w:lang w:val="es-ES_tradnl"/>
        </w:rPr>
        <w:t xml:space="preserve"> sesión, celebrada en octubre de 2023, las Asambleas de los Estados miembros de la OMPI aprobaron, en julio de 2024, la creación de una entidad independiente, que se establecería como plan </w:t>
      </w:r>
      <w:proofErr w:type="spellStart"/>
      <w:r w:rsidRPr="00384A1E">
        <w:rPr>
          <w:sz w:val="20"/>
          <w:lang w:val="es-ES_tradnl"/>
        </w:rPr>
        <w:t>multiempleador</w:t>
      </w:r>
      <w:proofErr w:type="spellEnd"/>
      <w:r w:rsidRPr="00384A1E">
        <w:rPr>
          <w:sz w:val="20"/>
          <w:lang w:val="es-ES_tradnl"/>
        </w:rPr>
        <w:t xml:space="preserve"> y se encargaría de gestionar los fondos reservados para financiar el seguro médico de los antiguos empleados. Posteriormente, el plan de seguro médico para los antiguos empleados de la OMPI/UPOV se estableció con efecto a partir del 1 de enero de 2025. Tanto la OMPI como la UPOV participan en el plan de seguro médico para los antiguos empleados, y las repercusiones en la presentación de los estados financieros de la UPOV se detallan en la nota 2 del presente documento.</w:t>
      </w:r>
    </w:p>
    <w:p w14:paraId="637E02EC" w14:textId="77777777" w:rsidR="00147DA5" w:rsidRPr="00384A1E" w:rsidRDefault="00147DA5" w:rsidP="00147DA5">
      <w:pPr>
        <w:rPr>
          <w:rFonts w:cs="Arial"/>
          <w:lang w:val="es-ES_tradnl"/>
        </w:rPr>
      </w:pPr>
    </w:p>
    <w:p w14:paraId="0851FAD5" w14:textId="53181107" w:rsidR="00B86F58" w:rsidRPr="00384A1E" w:rsidRDefault="00B86F58" w:rsidP="00F06A37">
      <w:pPr>
        <w:pStyle w:val="Heading2"/>
        <w:rPr>
          <w:rFonts w:ascii="Arial" w:hAnsi="Arial" w:cs="Arial"/>
          <w:lang w:val="es-ES_tradnl"/>
        </w:rPr>
      </w:pPr>
      <w:bookmarkStart w:id="9" w:name="_Toc84329883"/>
      <w:bookmarkStart w:id="10" w:name="_Toc236922868"/>
      <w:r w:rsidRPr="00384A1E">
        <w:rPr>
          <w:rFonts w:ascii="Arial" w:hAnsi="Arial"/>
          <w:lang w:val="es-ES_tradnl"/>
        </w:rPr>
        <w:t>Rendimiento financiero</w:t>
      </w:r>
      <w:bookmarkEnd w:id="9"/>
      <w:bookmarkEnd w:id="10"/>
    </w:p>
    <w:p w14:paraId="1BB3ED28" w14:textId="77777777" w:rsidR="00CC7347" w:rsidRPr="00384A1E" w:rsidRDefault="00CC7347" w:rsidP="00363791">
      <w:pPr>
        <w:rPr>
          <w:rFonts w:cs="Arial"/>
          <w:lang w:val="es-ES_tradnl"/>
        </w:rPr>
      </w:pPr>
    </w:p>
    <w:p w14:paraId="2E4D6D27" w14:textId="689B6B59" w:rsidR="00A824AF" w:rsidRPr="00384A1E" w:rsidRDefault="00A824AF" w:rsidP="00363791">
      <w:pPr>
        <w:pStyle w:val="ListParagraph"/>
        <w:numPr>
          <w:ilvl w:val="0"/>
          <w:numId w:val="18"/>
        </w:numPr>
        <w:jc w:val="both"/>
        <w:rPr>
          <w:sz w:val="20"/>
          <w:lang w:val="es-ES_tradnl"/>
        </w:rPr>
      </w:pPr>
      <w:r w:rsidRPr="00384A1E">
        <w:rPr>
          <w:sz w:val="20"/>
          <w:lang w:val="es-ES_tradnl"/>
        </w:rPr>
        <w:t>Los resultados de la UPOV arrojaron un déficit anual de 131 982 francos suizos, con unos ingresos totales de 4 004 004 francos suizos y unos gastos totales de 4 135 986 francos suizos, frente al superávit de 260 433 francos suizos registrado en 2024. Esta diferencia en el resultado se debe principalmente a la disminución de las contribuciones voluntarias y al aumento de los gastos de personal y de los servicios contractuales, compensados en parte por la reducción de los gastos de viaje. Los resultados financieros de la UPOV por fuente de financiación se resumen del siguiente modo:</w:t>
      </w:r>
    </w:p>
    <w:p w14:paraId="1F9018E9" w14:textId="024051A4" w:rsidR="00974F61" w:rsidRPr="00384A1E" w:rsidRDefault="00974F61">
      <w:pPr>
        <w:jc w:val="left"/>
        <w:rPr>
          <w:rFonts w:cs="Arial"/>
          <w:b/>
          <w:i/>
          <w:lang w:val="es-ES_tradnl"/>
        </w:rPr>
      </w:pPr>
    </w:p>
    <w:p w14:paraId="447AF7B3" w14:textId="16E6909F" w:rsidR="00AD74C0" w:rsidRPr="00384A1E" w:rsidRDefault="00A824AF" w:rsidP="00A824AF">
      <w:pPr>
        <w:autoSpaceDE w:val="0"/>
        <w:autoSpaceDN w:val="0"/>
        <w:adjustRightInd w:val="0"/>
        <w:rPr>
          <w:rFonts w:cs="Arial"/>
          <w:b/>
          <w:i/>
          <w:lang w:val="es-ES_tradnl"/>
        </w:rPr>
      </w:pPr>
      <w:r w:rsidRPr="00384A1E">
        <w:rPr>
          <w:b/>
          <w:i/>
          <w:lang w:val="es-ES_tradnl"/>
        </w:rPr>
        <w:t>Cuadro 1. Resumen del rendimiento financiero por fuente de financiación</w:t>
      </w:r>
    </w:p>
    <w:p w14:paraId="14B302B5" w14:textId="0CAB71ED" w:rsidR="00544005" w:rsidRPr="00384A1E" w:rsidRDefault="00544005" w:rsidP="00D812DE">
      <w:pPr>
        <w:autoSpaceDE w:val="0"/>
        <w:autoSpaceDN w:val="0"/>
        <w:adjustRightInd w:val="0"/>
        <w:rPr>
          <w:rFonts w:cs="Arial"/>
          <w:lang w:val="es-ES_tradnl"/>
        </w:rPr>
      </w:pPr>
    </w:p>
    <w:p w14:paraId="273971E2" w14:textId="6F27F0E5" w:rsidR="008C7158" w:rsidRPr="00384A1E" w:rsidRDefault="008C7158" w:rsidP="00D812DE">
      <w:pPr>
        <w:autoSpaceDE w:val="0"/>
        <w:autoSpaceDN w:val="0"/>
        <w:adjustRightInd w:val="0"/>
        <w:rPr>
          <w:rFonts w:cs="Arial"/>
          <w:lang w:val="es-ES_tradnl"/>
        </w:rPr>
      </w:pPr>
      <w:r w:rsidRPr="00384A1E">
        <w:rPr>
          <w:noProof/>
          <w:lang w:val="es-ES_tradnl"/>
        </w:rPr>
        <w:drawing>
          <wp:inline distT="0" distB="0" distL="0" distR="0" wp14:anchorId="5BC3D3E1" wp14:editId="16FC7BD9">
            <wp:extent cx="6076950" cy="2315210"/>
            <wp:effectExtent l="0" t="0" r="0" b="0"/>
            <wp:docPr id="1477711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6950" cy="2315210"/>
                    </a:xfrm>
                    <a:prstGeom prst="rect">
                      <a:avLst/>
                    </a:prstGeom>
                    <a:noFill/>
                    <a:ln>
                      <a:noFill/>
                    </a:ln>
                  </pic:spPr>
                </pic:pic>
              </a:graphicData>
            </a:graphic>
          </wp:inline>
        </w:drawing>
      </w:r>
    </w:p>
    <w:p w14:paraId="0F31E8DD" w14:textId="77777777" w:rsidR="007C4A37" w:rsidRPr="00384A1E" w:rsidRDefault="007C4A37" w:rsidP="00D812DE">
      <w:pPr>
        <w:autoSpaceDE w:val="0"/>
        <w:autoSpaceDN w:val="0"/>
        <w:adjustRightInd w:val="0"/>
        <w:rPr>
          <w:rFonts w:cs="Arial"/>
          <w:lang w:val="es-ES_tradnl"/>
        </w:rPr>
      </w:pPr>
    </w:p>
    <w:p w14:paraId="235896EE" w14:textId="39A6C638" w:rsidR="00D561C8" w:rsidRPr="00384A1E" w:rsidRDefault="00D561C8" w:rsidP="005248DD">
      <w:pPr>
        <w:pStyle w:val="ListParagraph"/>
        <w:numPr>
          <w:ilvl w:val="0"/>
          <w:numId w:val="18"/>
        </w:numPr>
        <w:autoSpaceDE w:val="0"/>
        <w:autoSpaceDN w:val="0"/>
        <w:adjustRightInd w:val="0"/>
        <w:jc w:val="both"/>
        <w:rPr>
          <w:sz w:val="20"/>
          <w:lang w:val="es-ES_tradnl"/>
        </w:rPr>
      </w:pPr>
      <w:r w:rsidRPr="00384A1E">
        <w:rPr>
          <w:sz w:val="20"/>
          <w:lang w:val="es-ES_tradnl"/>
        </w:rPr>
        <w:t>Las actividades de la UPOV se financian principalmente a partir de tres fuentes: contribuciones, fondos</w:t>
      </w:r>
      <w:r w:rsidR="0079203F">
        <w:rPr>
          <w:sz w:val="20"/>
          <w:lang w:val="es-ES_tradnl"/>
        </w:rPr>
        <w:t> </w:t>
      </w:r>
      <w:r w:rsidRPr="00384A1E">
        <w:rPr>
          <w:sz w:val="20"/>
          <w:lang w:val="es-ES_tradnl"/>
        </w:rPr>
        <w:t xml:space="preserve">extrapresupuestarios (fondos fiduciarios) y tasas de </w:t>
      </w:r>
      <w:r w:rsidR="00C83503">
        <w:rPr>
          <w:sz w:val="20"/>
          <w:lang w:val="es-ES_tradnl"/>
        </w:rPr>
        <w:t>UPOV PRISMA</w:t>
      </w:r>
      <w:r w:rsidRPr="00384A1E">
        <w:rPr>
          <w:sz w:val="20"/>
          <w:lang w:val="es-ES_tradnl"/>
        </w:rPr>
        <w:t>. Las contribuciones de 3 623 438</w:t>
      </w:r>
      <w:r w:rsidR="0079203F">
        <w:rPr>
          <w:sz w:val="20"/>
          <w:lang w:val="es-ES_tradnl"/>
        </w:rPr>
        <w:t> </w:t>
      </w:r>
      <w:r w:rsidRPr="00384A1E">
        <w:rPr>
          <w:sz w:val="20"/>
          <w:lang w:val="es-ES_tradnl"/>
        </w:rPr>
        <w:t>francos suizos, incluido el efecto de los movimientos en las provisiones, representan el 90,5 % de los ingresos totales de la UPOV en 2025. Las contribuciones se mantuvieron en la misma línea que las de</w:t>
      </w:r>
      <w:r w:rsidR="00F52859" w:rsidRPr="00384A1E">
        <w:rPr>
          <w:sz w:val="20"/>
          <w:lang w:val="es-ES_tradnl"/>
        </w:rPr>
        <w:t> </w:t>
      </w:r>
      <w:r w:rsidRPr="00384A1E">
        <w:rPr>
          <w:sz w:val="20"/>
          <w:lang w:val="es-ES_tradnl"/>
        </w:rPr>
        <w:t xml:space="preserve">2024. En 2025, la UPOV recibió fondos extrapresupuestarios del Gobierno del Japón para el desarrollo, la actualización y la ampliación de la cobertura de los servicios </w:t>
      </w:r>
      <w:r w:rsidR="00C83503">
        <w:rPr>
          <w:sz w:val="20"/>
          <w:lang w:val="es-ES_tradnl"/>
        </w:rPr>
        <w:t>UPOV e</w:t>
      </w:r>
      <w:r w:rsidR="00C83503">
        <w:rPr>
          <w:sz w:val="20"/>
          <w:lang w:val="es-ES_tradnl"/>
        </w:rPr>
        <w:noBreakHyphen/>
        <w:t>PVP</w:t>
      </w:r>
      <w:r w:rsidRPr="00384A1E">
        <w:rPr>
          <w:sz w:val="20"/>
          <w:lang w:val="es-ES_tradnl"/>
        </w:rPr>
        <w:t>, así como para actividades de formación y asistencia. También se recibió apoyo adicional del Ministerio de Agricultura, Silvicultura y Pesca del Japón mediante los “Fondos fiduciarios para actividades de comunicación y sensibilización de la UPOV”. La Administración Nacional de Propiedad Intelectual de China también contribuyó mediante la creación de un fondo fiduciario destinado a apoyar la contratación de personal para la recopilación de datos sobre protección de las obtenciones vegetales, respaldar la labor en el ámbito técnico y desarrollar programas de formación en protección de las obtenciones vegetales. Los ingresos contabilizados procedentes de fondos extrapresupuestarios (fondos fiduciarios) alcanzaron en este ejercicio un total de 297 631 francos suizos, lo que representa el 7,4 % de los ingresos totales. Asimismo, la UPOV dispone de saldos de 618 784 francos suizos correspondientes a contribuciones percibidas por anticipado. Esos saldos se mantuvieron en niveles similares a los de</w:t>
      </w:r>
      <w:r w:rsidR="00471FF0">
        <w:rPr>
          <w:sz w:val="20"/>
          <w:lang w:val="es-ES_tradnl"/>
        </w:rPr>
        <w:t> </w:t>
      </w:r>
      <w:r w:rsidRPr="00384A1E">
        <w:rPr>
          <w:sz w:val="20"/>
          <w:lang w:val="es-ES_tradnl"/>
        </w:rPr>
        <w:t xml:space="preserve">2024. Estos saldos figuran actualmente como pasivo y se contabilizarán como ingresos en el año en que se hayan satisfecho las obligaciones correspondientes. </w:t>
      </w:r>
    </w:p>
    <w:p w14:paraId="47D1E635" w14:textId="77777777" w:rsidR="00EB0BB6" w:rsidRPr="00384A1E" w:rsidRDefault="00EB0BB6" w:rsidP="00EB0BB6">
      <w:pPr>
        <w:rPr>
          <w:rFonts w:cs="Arial"/>
          <w:lang w:val="es-ES_tradnl"/>
        </w:rPr>
      </w:pPr>
    </w:p>
    <w:p w14:paraId="3C1D2C2B" w14:textId="386F299E" w:rsidR="00CE1B44" w:rsidRPr="00384A1E" w:rsidRDefault="00D561C8" w:rsidP="00CE1B44">
      <w:pPr>
        <w:pStyle w:val="ListParagraph"/>
        <w:numPr>
          <w:ilvl w:val="0"/>
          <w:numId w:val="18"/>
        </w:numPr>
        <w:jc w:val="both"/>
        <w:rPr>
          <w:sz w:val="20"/>
          <w:lang w:val="es-ES_tradnl"/>
        </w:rPr>
      </w:pPr>
      <w:r w:rsidRPr="00384A1E">
        <w:rPr>
          <w:sz w:val="20"/>
          <w:lang w:val="es-ES_tradnl"/>
        </w:rPr>
        <w:t xml:space="preserve">En 2017, la UPOV puso en marcha la herramienta para la presentación de solicitudes de derechos de obtentor </w:t>
      </w:r>
      <w:r w:rsidR="00C83503">
        <w:rPr>
          <w:sz w:val="20"/>
          <w:lang w:val="es-ES_tradnl"/>
        </w:rPr>
        <w:t>UPOV PRISMA</w:t>
      </w:r>
      <w:r w:rsidRPr="00384A1E">
        <w:rPr>
          <w:sz w:val="20"/>
          <w:lang w:val="es-ES_tradnl"/>
        </w:rPr>
        <w:t>. Esta herramienta en línea permite presentar los datos de las solicitudes a las oficinas de protección de las obtenciones vegetales de los miembros participantes de la Unión. La</w:t>
      </w:r>
      <w:r w:rsidR="00471FF0">
        <w:rPr>
          <w:sz w:val="20"/>
          <w:lang w:val="es-ES_tradnl"/>
        </w:rPr>
        <w:t> </w:t>
      </w:r>
      <w:r w:rsidRPr="00384A1E">
        <w:rPr>
          <w:sz w:val="20"/>
          <w:lang w:val="es-ES_tradnl"/>
        </w:rPr>
        <w:t>herramienta se facilitó de manera gratuita durante un período introductorio hasta el 31 de diciembre de</w:t>
      </w:r>
      <w:r w:rsidR="00F52859" w:rsidRPr="00384A1E">
        <w:rPr>
          <w:sz w:val="20"/>
          <w:lang w:val="es-ES_tradnl"/>
        </w:rPr>
        <w:t> </w:t>
      </w:r>
      <w:r w:rsidRPr="00384A1E">
        <w:rPr>
          <w:sz w:val="20"/>
          <w:lang w:val="es-ES_tradnl"/>
        </w:rPr>
        <w:t xml:space="preserve">2019. En su quincuagésima tercera sesión ordinaria, el Consejo decidió introducir una tasa de </w:t>
      </w:r>
      <w:r w:rsidR="00C83503">
        <w:rPr>
          <w:sz w:val="20"/>
          <w:lang w:val="es-ES_tradnl"/>
        </w:rPr>
        <w:t>UPOV PRISMA</w:t>
      </w:r>
      <w:r w:rsidRPr="00384A1E">
        <w:rPr>
          <w:sz w:val="20"/>
          <w:lang w:val="es-ES_tradnl"/>
        </w:rPr>
        <w:t xml:space="preserve"> de 90 francos suizos por cada presentación, a partir de enero de 2020. Los ingresos contabilizados en concepto de tasas de </w:t>
      </w:r>
      <w:r w:rsidR="00C83503">
        <w:rPr>
          <w:sz w:val="20"/>
          <w:lang w:val="es-ES_tradnl"/>
        </w:rPr>
        <w:t>UPOV PRISMA</w:t>
      </w:r>
      <w:r w:rsidRPr="00384A1E">
        <w:rPr>
          <w:sz w:val="20"/>
          <w:lang w:val="es-ES_tradnl"/>
        </w:rPr>
        <w:t xml:space="preserve"> ascendieron a 124 650 francos suizos en 2025 </w:t>
      </w:r>
      <w:r w:rsidRPr="00384A1E">
        <w:rPr>
          <w:sz w:val="20"/>
          <w:lang w:val="es-ES_tradnl"/>
        </w:rPr>
        <w:lastRenderedPageBreak/>
        <w:t xml:space="preserve">(134 190 francos suizos en 2024), lo que representa el 3,1 % de los ingresos totales de la UPOV en el ejercicio. A partir de 2024, los miembros de la UPOV acordaron que, cuando se presente la misma variedad tanto para la concesión de derechos de obtentor como para el registro nacional ante el mismo miembro participante de la Unión, se cobrará una única tasa en el momento de la primera presentación de la variedad. El número de presentaciones de pago mediante </w:t>
      </w:r>
      <w:r w:rsidR="00C83503">
        <w:rPr>
          <w:sz w:val="20"/>
          <w:lang w:val="es-ES_tradnl"/>
        </w:rPr>
        <w:t>UPOV PRISMA</w:t>
      </w:r>
      <w:r w:rsidRPr="00384A1E">
        <w:rPr>
          <w:sz w:val="20"/>
          <w:lang w:val="es-ES_tradnl"/>
        </w:rPr>
        <w:t xml:space="preserve"> disminuyó un 7,1 % en 2025 (1 385 presentaciones de pago en 2025 frente a 1 491 presentaciones de pago en 2024).</w:t>
      </w:r>
    </w:p>
    <w:p w14:paraId="6039E104" w14:textId="77777777" w:rsidR="00DD5B0D" w:rsidRPr="00384A1E" w:rsidRDefault="00DD5B0D" w:rsidP="00DD5B0D">
      <w:pPr>
        <w:rPr>
          <w:rFonts w:cs="Arial"/>
          <w:lang w:val="es-ES_tradnl"/>
        </w:rPr>
      </w:pPr>
    </w:p>
    <w:p w14:paraId="6E95313F" w14:textId="6A5B86AA" w:rsidR="00B047D4" w:rsidRPr="00384A1E" w:rsidRDefault="00B047D4" w:rsidP="00B047D4">
      <w:pPr>
        <w:pStyle w:val="ListParagraph"/>
        <w:numPr>
          <w:ilvl w:val="0"/>
          <w:numId w:val="18"/>
        </w:numPr>
        <w:jc w:val="both"/>
        <w:rPr>
          <w:sz w:val="20"/>
          <w:lang w:val="es-ES_tradnl"/>
        </w:rPr>
      </w:pPr>
      <w:r w:rsidRPr="00384A1E">
        <w:rPr>
          <w:sz w:val="20"/>
          <w:lang w:val="es-ES_tradnl"/>
        </w:rPr>
        <w:t>Los gastos de personal ascendieron a 2 581 550 francos suizos y representan el 62,4 % de los gastos</w:t>
      </w:r>
      <w:r w:rsidR="00C87477">
        <w:rPr>
          <w:sz w:val="20"/>
          <w:lang w:val="es-ES_tradnl"/>
        </w:rPr>
        <w:t> </w:t>
      </w:r>
      <w:r w:rsidRPr="00384A1E">
        <w:rPr>
          <w:sz w:val="20"/>
          <w:lang w:val="es-ES_tradnl"/>
        </w:rPr>
        <w:t>totales (4 135 986 francos suizos) registrados en el ejercicio 2025. Esta partida aumentó en 282 064</w:t>
      </w:r>
      <w:r w:rsidR="00C87477">
        <w:rPr>
          <w:sz w:val="20"/>
          <w:lang w:val="es-ES_tradnl"/>
        </w:rPr>
        <w:t> </w:t>
      </w:r>
      <w:r w:rsidRPr="00384A1E">
        <w:rPr>
          <w:sz w:val="20"/>
          <w:lang w:val="es-ES_tradnl"/>
        </w:rPr>
        <w:t>francos suizos con respecto a la cifra de 2024, de 2 299 485 francos suizos, debido al incremento de los costes salariales y de los ajustes por lugar de destino derivados de la cobertura de puestos vacantes y de la contratación de un funcionario profesional subalterno.</w:t>
      </w:r>
    </w:p>
    <w:p w14:paraId="73CA6C19" w14:textId="77777777" w:rsidR="004C0918" w:rsidRPr="00384A1E" w:rsidRDefault="004C0918" w:rsidP="00CF1845">
      <w:pPr>
        <w:rPr>
          <w:rFonts w:cs="Arial"/>
          <w:lang w:val="es-ES_tradnl"/>
        </w:rPr>
      </w:pPr>
      <w:bookmarkStart w:id="11" w:name="_Toc84329884"/>
    </w:p>
    <w:p w14:paraId="5D397EEB" w14:textId="219A9896" w:rsidR="001D7630" w:rsidRPr="00384A1E" w:rsidRDefault="00D561C8" w:rsidP="001D7630">
      <w:pPr>
        <w:pStyle w:val="ListParagraph"/>
        <w:numPr>
          <w:ilvl w:val="0"/>
          <w:numId w:val="18"/>
        </w:numPr>
        <w:jc w:val="both"/>
        <w:rPr>
          <w:sz w:val="20"/>
          <w:lang w:val="es-ES_tradnl"/>
        </w:rPr>
      </w:pPr>
      <w:r w:rsidRPr="00384A1E">
        <w:rPr>
          <w:sz w:val="20"/>
          <w:lang w:val="es-ES_tradnl"/>
        </w:rPr>
        <w:t>Los gastos de viajes, formación y subsidios disminuyeron significativamente en 2025, ascendiendo a</w:t>
      </w:r>
      <w:r w:rsidR="00F52859" w:rsidRPr="00384A1E">
        <w:rPr>
          <w:sz w:val="20"/>
          <w:lang w:val="es-ES_tradnl"/>
        </w:rPr>
        <w:t> </w:t>
      </w:r>
      <w:r w:rsidRPr="00384A1E">
        <w:rPr>
          <w:sz w:val="20"/>
          <w:lang w:val="es-ES_tradnl"/>
        </w:rPr>
        <w:t>84 141 francos suizos, frente a 234 565 francos suizos en 2024. Las misiones del personal se mantuvieron estables (62 207 francos suizos en 2025, frente a 57 618 francos suizos en 2024); sin embargo, los gastos de viajes de terceros fueron muy inferiores a los del ejercicio anterior (21 934</w:t>
      </w:r>
      <w:r w:rsidR="00C87477">
        <w:rPr>
          <w:sz w:val="20"/>
          <w:lang w:val="es-ES_tradnl"/>
        </w:rPr>
        <w:t> </w:t>
      </w:r>
      <w:r w:rsidRPr="00384A1E">
        <w:rPr>
          <w:sz w:val="20"/>
          <w:lang w:val="es-ES_tradnl"/>
        </w:rPr>
        <w:t>francos suizos en 2025, frente a 176 946 francos suizos en 2024). Este cambio se debió a dos</w:t>
      </w:r>
      <w:r w:rsidR="00C87477">
        <w:rPr>
          <w:sz w:val="20"/>
          <w:lang w:val="es-ES_tradnl"/>
        </w:rPr>
        <w:t> </w:t>
      </w:r>
      <w:r w:rsidRPr="00384A1E">
        <w:rPr>
          <w:sz w:val="20"/>
          <w:lang w:val="es-ES_tradnl"/>
        </w:rPr>
        <w:t>eventos organizados en 2024 con el apoyo de los fondos fiduciarios establecidos con la USPTO: un programa ejecutivo centrado en la protección de las obtenciones vegetales para el desarrollo de la agricultura y un taller regional sobre la protección de los derechos de obtentor para los Estados miembros de la ARIPO. No se organizaron programas similares en 2025, ya que la contribución voluntaria de la USPTO prevista para 2025 no se materializó.</w:t>
      </w:r>
    </w:p>
    <w:p w14:paraId="0F6D98F3" w14:textId="38F68646" w:rsidR="00070695" w:rsidRPr="00384A1E" w:rsidRDefault="00070695" w:rsidP="00CF1845">
      <w:pPr>
        <w:rPr>
          <w:rFonts w:cs="Arial"/>
          <w:lang w:val="es-ES_tradnl"/>
        </w:rPr>
      </w:pPr>
    </w:p>
    <w:p w14:paraId="688EE3E3" w14:textId="71195546" w:rsidR="007D2903" w:rsidRPr="00384A1E" w:rsidRDefault="00F063CA" w:rsidP="007D2903">
      <w:pPr>
        <w:pStyle w:val="ListParagraph"/>
        <w:numPr>
          <w:ilvl w:val="0"/>
          <w:numId w:val="18"/>
        </w:numPr>
        <w:jc w:val="both"/>
        <w:rPr>
          <w:b/>
          <w:sz w:val="20"/>
          <w:lang w:val="es-ES_tradnl"/>
        </w:rPr>
      </w:pPr>
      <w:r w:rsidRPr="00384A1E">
        <w:rPr>
          <w:sz w:val="20"/>
          <w:lang w:val="es-ES_tradnl"/>
        </w:rPr>
        <w:t xml:space="preserve">Los servicios contractuales de 830 834 francos suizos representan el 20,1 % de los gastos totales de la UPOV en 2025 (791 349 francos suizos en 2024). El aumento con respecto a 2024 se atribuye principalmente a los trabajos de mantenimiento y desarrollo de los servicios </w:t>
      </w:r>
      <w:r w:rsidR="00C83503">
        <w:rPr>
          <w:sz w:val="20"/>
          <w:lang w:val="es-ES_tradnl"/>
        </w:rPr>
        <w:t>UPOV e</w:t>
      </w:r>
      <w:r w:rsidR="00C83503">
        <w:rPr>
          <w:sz w:val="20"/>
          <w:lang w:val="es-ES_tradnl"/>
        </w:rPr>
        <w:noBreakHyphen/>
        <w:t>PVP</w:t>
      </w:r>
      <w:r w:rsidRPr="00384A1E">
        <w:rPr>
          <w:sz w:val="20"/>
          <w:lang w:val="es-ES_tradnl"/>
        </w:rPr>
        <w:t xml:space="preserve"> (</w:t>
      </w:r>
      <w:r w:rsidR="00C83503">
        <w:rPr>
          <w:sz w:val="20"/>
          <w:lang w:val="es-ES_tradnl"/>
        </w:rPr>
        <w:t>UPOV PRISMA</w:t>
      </w:r>
      <w:r w:rsidRPr="00384A1E">
        <w:rPr>
          <w:sz w:val="20"/>
          <w:lang w:val="es-ES_tradnl"/>
        </w:rPr>
        <w:t>, módulo de intercambio de informes DHE y módulo administrativo), así como a los trabajos en el sitio web de la UPOV, las API de generación de documentos para las directrices de examen de la UPOV y los paneles de control que permiten recuperar datos de las bases de datos PLUTO y GENIE con el fin de supervisar y elaborar indicadores para el informe de rendimiento de la</w:t>
      </w:r>
      <w:r w:rsidR="00593C1B">
        <w:rPr>
          <w:sz w:val="20"/>
          <w:lang w:val="es-ES_tradnl"/>
        </w:rPr>
        <w:t> </w:t>
      </w:r>
      <w:r w:rsidRPr="00384A1E">
        <w:rPr>
          <w:sz w:val="20"/>
          <w:lang w:val="es-ES_tradnl"/>
        </w:rPr>
        <w:t>UPOV.</w:t>
      </w:r>
    </w:p>
    <w:p w14:paraId="54F06881" w14:textId="30D6559B" w:rsidR="00407750" w:rsidRPr="00384A1E" w:rsidRDefault="00407750" w:rsidP="00C21351">
      <w:pPr>
        <w:rPr>
          <w:rFonts w:cs="Arial"/>
          <w:b/>
          <w:lang w:val="es-ES_tradnl"/>
        </w:rPr>
      </w:pPr>
    </w:p>
    <w:p w14:paraId="3CC3A3A5" w14:textId="77A375F0" w:rsidR="00A824AF" w:rsidRPr="00384A1E" w:rsidRDefault="00A824AF" w:rsidP="00191695">
      <w:pPr>
        <w:pStyle w:val="Heading2"/>
        <w:rPr>
          <w:rFonts w:ascii="Arial" w:hAnsi="Arial" w:cs="Arial"/>
          <w:lang w:val="es-ES_tradnl"/>
        </w:rPr>
      </w:pPr>
      <w:bookmarkStart w:id="12" w:name="_Toc236922869"/>
      <w:r w:rsidRPr="00384A1E">
        <w:rPr>
          <w:rFonts w:ascii="Arial" w:hAnsi="Arial"/>
          <w:lang w:val="es-ES_tradnl"/>
        </w:rPr>
        <w:t>Situación financiera</w:t>
      </w:r>
      <w:bookmarkEnd w:id="11"/>
      <w:bookmarkEnd w:id="12"/>
    </w:p>
    <w:p w14:paraId="3869B2CE" w14:textId="77777777" w:rsidR="00A824AF" w:rsidRPr="00384A1E" w:rsidRDefault="00A824AF" w:rsidP="00AC4C67">
      <w:pPr>
        <w:ind w:left="567" w:hanging="567"/>
        <w:rPr>
          <w:rFonts w:cs="Arial"/>
          <w:lang w:val="es-ES_tradnl"/>
        </w:rPr>
      </w:pPr>
    </w:p>
    <w:p w14:paraId="49FD55B6" w14:textId="2D2E0381" w:rsidR="00A824AF" w:rsidRPr="00384A1E" w:rsidRDefault="00A824AF" w:rsidP="005B722A">
      <w:pPr>
        <w:pStyle w:val="ListParagraph"/>
        <w:numPr>
          <w:ilvl w:val="0"/>
          <w:numId w:val="18"/>
        </w:numPr>
        <w:jc w:val="both"/>
        <w:rPr>
          <w:sz w:val="20"/>
          <w:lang w:val="es-ES_tradnl"/>
        </w:rPr>
      </w:pPr>
      <w:r w:rsidRPr="00384A1E">
        <w:rPr>
          <w:sz w:val="20"/>
          <w:lang w:val="es-ES_tradnl"/>
        </w:rPr>
        <w:t>A 31 de diciembre de 2025, la UPOV presentaba una posición de activo neto negativa de</w:t>
      </w:r>
      <w:r w:rsidR="00593C1B">
        <w:rPr>
          <w:sz w:val="20"/>
          <w:lang w:val="es-ES_tradnl"/>
        </w:rPr>
        <w:t xml:space="preserve"> </w:t>
      </w:r>
      <w:r w:rsidRPr="00384A1E">
        <w:rPr>
          <w:sz w:val="20"/>
          <w:lang w:val="es-ES_tradnl"/>
        </w:rPr>
        <w:t>579 953</w:t>
      </w:r>
      <w:r w:rsidR="00593C1B">
        <w:rPr>
          <w:sz w:val="20"/>
          <w:lang w:val="es-ES_tradnl"/>
        </w:rPr>
        <w:t> </w:t>
      </w:r>
      <w:r w:rsidRPr="00384A1E">
        <w:rPr>
          <w:sz w:val="20"/>
          <w:lang w:val="es-ES_tradnl"/>
        </w:rPr>
        <w:t xml:space="preserve">francos suizos, frente a una posición de activo neto negativa de 1 158 850 francos suizos a finales de 2024. La reducción de la posición negativa de activo neto se debe principalmente a ganancias actuariales de 709 212 francos suizos derivadas de la valoración del pasivo de la UPOV por el seguro médico de los antiguos empleados. Esta ganancia se ve parcialmente compensada por el déficit del ejercicio, de 131 982 francos suizos. El fondo de operaciones aumentó en 1 667 francos suizos, debido a un pago único efectuado tras la adhesión de un nuevo país miembro de la UPOV. La situación financiera de la UPOV por fuente de financiación puede resumirse como sigue: </w:t>
      </w:r>
    </w:p>
    <w:p w14:paraId="16CE0EE5" w14:textId="77777777" w:rsidR="00CC0DE7" w:rsidRPr="00384A1E" w:rsidRDefault="00CC0DE7" w:rsidP="00A824AF">
      <w:pPr>
        <w:autoSpaceDE w:val="0"/>
        <w:autoSpaceDN w:val="0"/>
        <w:adjustRightInd w:val="0"/>
        <w:rPr>
          <w:rFonts w:cs="Arial"/>
          <w:b/>
          <w:i/>
          <w:lang w:val="es-ES_tradnl"/>
        </w:rPr>
      </w:pPr>
    </w:p>
    <w:p w14:paraId="7A1E309E" w14:textId="77777777" w:rsidR="00A824AF" w:rsidRDefault="00A824AF" w:rsidP="00A824AF">
      <w:pPr>
        <w:autoSpaceDE w:val="0"/>
        <w:autoSpaceDN w:val="0"/>
        <w:adjustRightInd w:val="0"/>
        <w:rPr>
          <w:b/>
          <w:i/>
          <w:lang w:val="es-ES_tradnl"/>
        </w:rPr>
      </w:pPr>
      <w:r w:rsidRPr="00384A1E">
        <w:rPr>
          <w:b/>
          <w:i/>
          <w:lang w:val="es-ES_tradnl"/>
        </w:rPr>
        <w:t>Cuadro 2. Resumen de la situación financiera por fuente de financiación</w:t>
      </w:r>
    </w:p>
    <w:p w14:paraId="61101F9A" w14:textId="77777777" w:rsidR="007C0052" w:rsidRPr="00384A1E" w:rsidRDefault="007C0052" w:rsidP="00A824AF">
      <w:pPr>
        <w:autoSpaceDE w:val="0"/>
        <w:autoSpaceDN w:val="0"/>
        <w:adjustRightInd w:val="0"/>
        <w:rPr>
          <w:rFonts w:cs="Arial"/>
          <w:b/>
          <w:i/>
          <w:lang w:val="es-ES_tradnl"/>
        </w:rPr>
      </w:pPr>
    </w:p>
    <w:p w14:paraId="60A786FF" w14:textId="460E5D39" w:rsidR="00A824AF" w:rsidRPr="00384A1E" w:rsidRDefault="00D50501" w:rsidP="005B722A">
      <w:pPr>
        <w:autoSpaceDE w:val="0"/>
        <w:autoSpaceDN w:val="0"/>
        <w:adjustRightInd w:val="0"/>
        <w:rPr>
          <w:rFonts w:cs="Arial"/>
          <w:lang w:val="es-ES_tradnl"/>
        </w:rPr>
      </w:pPr>
      <w:r w:rsidRPr="00384A1E">
        <w:rPr>
          <w:noProof/>
          <w:lang w:val="es-ES_tradnl"/>
        </w:rPr>
        <w:drawing>
          <wp:inline distT="0" distB="0" distL="0" distR="0" wp14:anchorId="42044440" wp14:editId="1D86F356">
            <wp:extent cx="6137910" cy="1966430"/>
            <wp:effectExtent l="0" t="0" r="0" b="0"/>
            <wp:docPr id="2080618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a:extLst>
                        <a:ext uri="{28A0092B-C50C-407E-A947-70E740481C1C}">
                          <a14:useLocalDpi xmlns:a14="http://schemas.microsoft.com/office/drawing/2010/main" val="0"/>
                        </a:ext>
                      </a:extLst>
                    </a:blip>
                    <a:srcRect t="12398"/>
                    <a:stretch>
                      <a:fillRect/>
                    </a:stretch>
                  </pic:blipFill>
                  <pic:spPr bwMode="auto">
                    <a:xfrm>
                      <a:off x="0" y="0"/>
                      <a:ext cx="6137910" cy="1966430"/>
                    </a:xfrm>
                    <a:prstGeom prst="rect">
                      <a:avLst/>
                    </a:prstGeom>
                    <a:noFill/>
                    <a:ln>
                      <a:noFill/>
                    </a:ln>
                    <a:extLst>
                      <a:ext uri="{53640926-AAD7-44D8-BBD7-CCE9431645EC}">
                        <a14:shadowObscured xmlns:a14="http://schemas.microsoft.com/office/drawing/2010/main"/>
                      </a:ext>
                    </a:extLst>
                  </pic:spPr>
                </pic:pic>
              </a:graphicData>
            </a:graphic>
          </wp:inline>
        </w:drawing>
      </w:r>
    </w:p>
    <w:p w14:paraId="076FBBAF" w14:textId="77777777" w:rsidR="00375624" w:rsidRPr="00384A1E" w:rsidRDefault="00375624" w:rsidP="005B722A">
      <w:pPr>
        <w:autoSpaceDE w:val="0"/>
        <w:autoSpaceDN w:val="0"/>
        <w:adjustRightInd w:val="0"/>
        <w:rPr>
          <w:rFonts w:cs="Arial"/>
          <w:lang w:val="es-ES_tradnl"/>
        </w:rPr>
      </w:pPr>
    </w:p>
    <w:p w14:paraId="7CED1F52" w14:textId="77777777" w:rsidR="000C009F" w:rsidRDefault="000C009F">
      <w:pPr>
        <w:jc w:val="left"/>
        <w:rPr>
          <w:rFonts w:cs="Arial"/>
          <w:lang w:val="es-ES_tradnl"/>
        </w:rPr>
      </w:pPr>
      <w:r>
        <w:rPr>
          <w:lang w:val="es-ES_tradnl"/>
        </w:rPr>
        <w:br w:type="page"/>
      </w:r>
    </w:p>
    <w:p w14:paraId="15F2BEC7" w14:textId="44CE74A5" w:rsidR="00A824AF" w:rsidRPr="00384A1E" w:rsidRDefault="00A824AF" w:rsidP="005B722A">
      <w:pPr>
        <w:pStyle w:val="ListParagraph"/>
        <w:numPr>
          <w:ilvl w:val="0"/>
          <w:numId w:val="18"/>
        </w:numPr>
        <w:jc w:val="both"/>
        <w:rPr>
          <w:sz w:val="20"/>
          <w:lang w:val="es-ES_tradnl"/>
        </w:rPr>
      </w:pPr>
      <w:r w:rsidRPr="00384A1E">
        <w:rPr>
          <w:sz w:val="20"/>
          <w:lang w:val="es-ES_tradnl"/>
        </w:rPr>
        <w:lastRenderedPageBreak/>
        <w:t>El capital de operaciones neto (activos corrientes menos pasivos corrientes) de la UPOV era de 3 048 301 francos suizos a 31 de diciembre de 2025 (4 200 686 francos suizos a 31 de diciembre de 2024). El saldo de efectivo y equivalentes de efectivo pasó de 5 819 625 francos suizos a</w:t>
      </w:r>
      <w:r w:rsidR="000C009F">
        <w:rPr>
          <w:sz w:val="20"/>
          <w:lang w:val="es-ES_tradnl"/>
        </w:rPr>
        <w:t xml:space="preserve"> </w:t>
      </w:r>
      <w:r w:rsidR="000C009F">
        <w:rPr>
          <w:sz w:val="20"/>
          <w:lang w:val="es-ES_tradnl"/>
        </w:rPr>
        <w:br/>
      </w:r>
      <w:r w:rsidRPr="00384A1E">
        <w:rPr>
          <w:sz w:val="20"/>
          <w:lang w:val="es-ES_tradnl"/>
        </w:rPr>
        <w:t>31 de diciembre de 2024 a 5 016 551 francos suizos a 31 de diciembre de 2025. Tras la creación del plan de seguro médico para los antiguos empleados, los fondos de la UPOV asignados a la financiación de dicho seguro se reclasifican del efectivo y se compensan con los pasivos a largo plazo por prestaciones a los empleados en el estado de situación financiera.</w:t>
      </w:r>
    </w:p>
    <w:p w14:paraId="1C8D9F7A" w14:textId="77777777" w:rsidR="00A824AF" w:rsidRPr="00384A1E" w:rsidRDefault="00A824AF" w:rsidP="00BC6E60">
      <w:pPr>
        <w:ind w:left="567" w:hanging="567"/>
        <w:rPr>
          <w:rFonts w:cs="Arial"/>
          <w:lang w:val="es-ES_tradnl"/>
        </w:rPr>
      </w:pPr>
    </w:p>
    <w:p w14:paraId="2EF338BA" w14:textId="6EB3DB07" w:rsidR="00C12878" w:rsidRPr="00384A1E" w:rsidRDefault="00A824AF" w:rsidP="00C12878">
      <w:pPr>
        <w:numPr>
          <w:ilvl w:val="0"/>
          <w:numId w:val="18"/>
        </w:numPr>
        <w:rPr>
          <w:rFonts w:cs="Arial"/>
          <w:lang w:val="es-ES_tradnl"/>
        </w:rPr>
      </w:pPr>
      <w:r w:rsidRPr="00384A1E">
        <w:rPr>
          <w:lang w:val="es-ES_tradnl"/>
        </w:rPr>
        <w:t>El total de las cuentas por cobrar era de 194 833 francos suizos al</w:t>
      </w:r>
      <w:r w:rsidR="002F4A7D">
        <w:rPr>
          <w:lang w:val="es-ES_tradnl"/>
        </w:rPr>
        <w:t xml:space="preserve"> </w:t>
      </w:r>
      <w:r w:rsidRPr="00384A1E">
        <w:rPr>
          <w:lang w:val="es-ES_tradnl"/>
        </w:rPr>
        <w:t xml:space="preserve">31 de diciembre de 2025, frente a 100 406 francos suizos al 31 de diciembre de 2024. El saldo de cuentas por cobrar al cierre de 2025 incluye contribuciones por valor de 179 560 francos suizos, saldos pendientes de cobro correspondientes a las presentaciones sujetas a pago del sistema </w:t>
      </w:r>
      <w:r w:rsidR="00C83503">
        <w:rPr>
          <w:lang w:val="es-ES_tradnl"/>
        </w:rPr>
        <w:t>UPOV PRISMA</w:t>
      </w:r>
      <w:r w:rsidRPr="00384A1E">
        <w:rPr>
          <w:lang w:val="es-ES_tradnl"/>
        </w:rPr>
        <w:t xml:space="preserve"> y a la base de datos del servicio PLUTO Premium, por un importe de 9 010 francos suizos, y deudores diversos por valor de</w:t>
      </w:r>
      <w:r w:rsidR="00D50501" w:rsidRPr="00384A1E">
        <w:rPr>
          <w:lang w:val="es-ES_tradnl"/>
        </w:rPr>
        <w:t> </w:t>
      </w:r>
      <w:r w:rsidRPr="00384A1E">
        <w:rPr>
          <w:lang w:val="es-ES_tradnl"/>
        </w:rPr>
        <w:t>6 263 francos suizos.</w:t>
      </w:r>
    </w:p>
    <w:p w14:paraId="2C7984CC" w14:textId="77777777" w:rsidR="00191695" w:rsidRPr="00384A1E" w:rsidRDefault="00191695" w:rsidP="00CF1845">
      <w:pPr>
        <w:rPr>
          <w:rFonts w:cs="Arial"/>
          <w:lang w:val="es-ES_tradnl"/>
        </w:rPr>
      </w:pPr>
    </w:p>
    <w:p w14:paraId="65C1E2AD" w14:textId="1ADCD8B8" w:rsidR="00775C3C" w:rsidRPr="00384A1E" w:rsidRDefault="00A824AF" w:rsidP="0096631B">
      <w:pPr>
        <w:pStyle w:val="ListParagraph"/>
        <w:numPr>
          <w:ilvl w:val="0"/>
          <w:numId w:val="18"/>
        </w:numPr>
        <w:jc w:val="both"/>
        <w:rPr>
          <w:sz w:val="20"/>
          <w:lang w:val="es-ES_tradnl"/>
        </w:rPr>
      </w:pPr>
      <w:r w:rsidRPr="00384A1E">
        <w:rPr>
          <w:sz w:val="20"/>
          <w:lang w:val="es-ES_tradnl"/>
        </w:rPr>
        <w:t>La UPOV registró un pasivo total por prestaciones pagaderas a los empleados de 3 916 048 francos suizos al 31 de diciembre de 2025, frente a 5 581 482 francos suizos al 31 de diciembre de 2024. A partir de 2025, tras la creación del plan de seguro médico para los antiguos empleados, el pasivo bruto relativo al seguro médico de los antiguos empleados (obligación por prestaciones definidas), de 4 782 722 francos suizos, se presenta neto de los activos del plan, que ascienden a</w:t>
      </w:r>
      <w:r w:rsidR="009C1C77">
        <w:rPr>
          <w:sz w:val="20"/>
          <w:lang w:val="es-ES_tradnl"/>
        </w:rPr>
        <w:t xml:space="preserve"> </w:t>
      </w:r>
      <w:r w:rsidRPr="00384A1E">
        <w:rPr>
          <w:sz w:val="20"/>
          <w:lang w:val="es-ES_tradnl"/>
        </w:rPr>
        <w:t>1 159 060</w:t>
      </w:r>
      <w:r w:rsidR="009C1C77">
        <w:rPr>
          <w:sz w:val="20"/>
          <w:lang w:val="es-ES_tradnl"/>
        </w:rPr>
        <w:t> </w:t>
      </w:r>
      <w:r w:rsidRPr="00384A1E">
        <w:rPr>
          <w:sz w:val="20"/>
          <w:lang w:val="es-ES_tradnl"/>
        </w:rPr>
        <w:t>francos suizos. La obligación por prestaciones definidas al 31 de diciembre de 2025 disminuyó en 570 213 francos suizos con respecto al saldo de 2024, de 5 352 935 francos suizos. El</w:t>
      </w:r>
      <w:r w:rsidR="008D5F72">
        <w:rPr>
          <w:sz w:val="20"/>
          <w:lang w:val="es-ES_tradnl"/>
        </w:rPr>
        <w:t> </w:t>
      </w:r>
      <w:r w:rsidRPr="00384A1E">
        <w:rPr>
          <w:sz w:val="20"/>
          <w:lang w:val="es-ES_tradnl"/>
        </w:rPr>
        <w:t>cálculo del pasivo relativo al seguro médico de los antiguos empleados lo realiza un actuario independiente. De acuerdo con los requisitos de las IPSAS, dicho pasivo reconocido en los estados financieros representa el valor actual de todas las prestaciones futuras previstas para los jubilados actuales y sus familiares a cargo, así como de todas las prestaciones posteriores al empleo devengadas por el personal en activo. Por término medio, los gastos médicos aumentan con la edad, por lo que los gastos médicos previstos más significativos deberán sufragarse en el futuro. El personal de la UPOV y los jubilados participan en el plan de seguro médico de la OMPI. Para gestionar el coste y el riesgo del plan de seguro médico, la OMPI ha suscrito un contrato de seguro que permite pagar una prima uniforme por persona para todos los jubilados actuales y el personal en activo, reduciendo así los pagos en efectivo efectuados por cuenta de los jubilados de más edad en relación con los gastos médicos en que incurren.</w:t>
      </w:r>
    </w:p>
    <w:p w14:paraId="057CFDF7" w14:textId="6989C7C6" w:rsidR="00FA2EAD" w:rsidRPr="00384A1E" w:rsidRDefault="00FA2EAD" w:rsidP="00BC6E60">
      <w:pPr>
        <w:pStyle w:val="ListParagraph"/>
        <w:ind w:hanging="567"/>
        <w:jc w:val="both"/>
        <w:rPr>
          <w:sz w:val="20"/>
          <w:lang w:val="es-ES_tradnl"/>
        </w:rPr>
      </w:pPr>
    </w:p>
    <w:p w14:paraId="611F3BDC" w14:textId="6CE08E46" w:rsidR="00CD08F2" w:rsidRPr="00384A1E" w:rsidRDefault="00FA2EAD" w:rsidP="005B722A">
      <w:pPr>
        <w:pStyle w:val="ListParagraph"/>
        <w:numPr>
          <w:ilvl w:val="0"/>
          <w:numId w:val="18"/>
        </w:numPr>
        <w:jc w:val="both"/>
        <w:rPr>
          <w:rFonts w:eastAsia="SimSun"/>
          <w:sz w:val="20"/>
          <w:lang w:val="es-ES_tradnl"/>
        </w:rPr>
      </w:pPr>
      <w:r w:rsidRPr="00384A1E">
        <w:rPr>
          <w:sz w:val="20"/>
          <w:lang w:val="es-ES_tradnl"/>
        </w:rPr>
        <w:t xml:space="preserve">El cálculo del pasivo neto relativo al seguro médico de los antiguos empleados incorpora una serie de hipótesis actuariales. Entre ellas figuran la tasa de descuento, las tasas de evolución de los gastos médicos, el coste anual de las solicitudes de reembolso de gastos médicos, las tasas de jubilación y las tasas de mortalidad. Las variaciones interanuales de esas hipótesis dan lugar a ganancias y pérdidas actuariales, que se reconocen como parte del pasivo en el estado de situación financiera. El desglose del movimiento del pasivo debido a las ganancias y pérdidas actuariales se presenta en la nota 6 de los presentes estados financieros. </w:t>
      </w:r>
      <w:bookmarkStart w:id="13" w:name="_Hlk192858059"/>
      <w:r w:rsidRPr="00384A1E">
        <w:rPr>
          <w:sz w:val="20"/>
          <w:lang w:val="es-ES_tradnl"/>
        </w:rPr>
        <w:t>La disminución del pasivo en 2025 se debió en parte al aumento de la tasa de descuento, que pasó del 1,50 % al 1,90 %. La tasa de descuento se determinó utilizando curvas de rendimiento de bonos corporativos AA. Además, la tasa de evolución de los gastos médicos disminuyó del 2,40 % al 2,20 % en la valoración de 2025. El siguiente gráfico muestra la evolución del pasivo relativo al seguro médico de los antiguos empleados desde 2021 e incluye las previsiones actuariales para 2026-2029 (aplicando las mismas hipótesis que en el cálculo de 2025). El gráfico muestra también cómo han variado las tasas de descuento y las tasas de evolución de los gastos médicos desde 2021, y a partir de 2025 presenta el saldo y la previsión de los activos del plan:</w:t>
      </w:r>
    </w:p>
    <w:bookmarkEnd w:id="13"/>
    <w:p w14:paraId="064CF7C5" w14:textId="01C865BB" w:rsidR="004937D3" w:rsidRPr="00384A1E" w:rsidRDefault="004937D3">
      <w:pPr>
        <w:jc w:val="left"/>
        <w:rPr>
          <w:rFonts w:cs="Arial"/>
          <w:b/>
          <w:i/>
          <w:lang w:val="es-ES_tradnl"/>
        </w:rPr>
      </w:pPr>
    </w:p>
    <w:p w14:paraId="78332C9B" w14:textId="7B84B836" w:rsidR="009E2118" w:rsidRPr="00384A1E" w:rsidRDefault="009E2118" w:rsidP="00AD16D9">
      <w:pPr>
        <w:keepNext/>
        <w:keepLines/>
        <w:autoSpaceDE w:val="0"/>
        <w:autoSpaceDN w:val="0"/>
        <w:adjustRightInd w:val="0"/>
        <w:jc w:val="center"/>
        <w:rPr>
          <w:rFonts w:cs="Arial"/>
          <w:b/>
          <w:i/>
          <w:lang w:val="es-ES_tradnl"/>
        </w:rPr>
      </w:pPr>
      <w:r w:rsidRPr="00384A1E">
        <w:rPr>
          <w:b/>
          <w:i/>
          <w:lang w:val="es-ES_tradnl"/>
        </w:rPr>
        <w:lastRenderedPageBreak/>
        <w:t>Evolución del pasivo relativo al seguro médico de los antiguos empleados y de los activos del plan entre 2021 y 2029 (31 de diciembre)</w:t>
      </w:r>
    </w:p>
    <w:p w14:paraId="222A0F25" w14:textId="49C3855F" w:rsidR="00F95599" w:rsidRPr="00384A1E" w:rsidRDefault="00E65A38" w:rsidP="00AD16D9">
      <w:pPr>
        <w:keepNext/>
        <w:keepLines/>
        <w:autoSpaceDE w:val="0"/>
        <w:autoSpaceDN w:val="0"/>
        <w:adjustRightInd w:val="0"/>
        <w:rPr>
          <w:rFonts w:cs="Arial"/>
          <w:lang w:val="es-ES_tradnl"/>
        </w:rPr>
      </w:pPr>
      <w:r w:rsidRPr="00384A1E">
        <w:rPr>
          <w:noProof/>
          <w:lang w:val="es-ES_tradnl"/>
        </w:rPr>
        <w:drawing>
          <wp:inline distT="0" distB="0" distL="0" distR="0" wp14:anchorId="11B2978E" wp14:editId="3D3117D8">
            <wp:extent cx="6137910" cy="3007995"/>
            <wp:effectExtent l="0" t="0" r="0" b="1905"/>
            <wp:docPr id="18560484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37910" cy="3007995"/>
                    </a:xfrm>
                    <a:prstGeom prst="rect">
                      <a:avLst/>
                    </a:prstGeom>
                    <a:noFill/>
                    <a:ln>
                      <a:noFill/>
                    </a:ln>
                  </pic:spPr>
                </pic:pic>
              </a:graphicData>
            </a:graphic>
          </wp:inline>
        </w:drawing>
      </w:r>
    </w:p>
    <w:p w14:paraId="51E513FD" w14:textId="1F6C87C5" w:rsidR="00F95599" w:rsidRPr="00384A1E" w:rsidRDefault="00F95599" w:rsidP="005B722A">
      <w:pPr>
        <w:autoSpaceDE w:val="0"/>
        <w:autoSpaceDN w:val="0"/>
        <w:adjustRightInd w:val="0"/>
        <w:rPr>
          <w:rFonts w:cs="Arial"/>
          <w:lang w:val="es-ES_tradnl"/>
        </w:rPr>
      </w:pPr>
    </w:p>
    <w:p w14:paraId="4F8133EE" w14:textId="476AD5BD" w:rsidR="00A7529B" w:rsidRPr="00384A1E" w:rsidRDefault="00A7529B" w:rsidP="00DC2937">
      <w:pPr>
        <w:pStyle w:val="ListParagraph"/>
        <w:numPr>
          <w:ilvl w:val="0"/>
          <w:numId w:val="18"/>
        </w:numPr>
        <w:jc w:val="both"/>
        <w:rPr>
          <w:rFonts w:eastAsia="SimSun"/>
          <w:sz w:val="20"/>
          <w:lang w:val="es-ES_tradnl"/>
        </w:rPr>
      </w:pPr>
      <w:r w:rsidRPr="00384A1E">
        <w:rPr>
          <w:sz w:val="20"/>
          <w:lang w:val="es-ES_tradnl"/>
        </w:rPr>
        <w:t>Las proyecciones del pasivo relativo al seguro médico de los antiguos empleados para 2026-2029 se calculan sobre la base de las hipótesis actuariales y los datos censales aplicados para la valoración de</w:t>
      </w:r>
      <w:r w:rsidR="00E65A38" w:rsidRPr="00384A1E">
        <w:rPr>
          <w:sz w:val="20"/>
          <w:lang w:val="es-ES_tradnl"/>
        </w:rPr>
        <w:t> </w:t>
      </w:r>
      <w:r w:rsidRPr="00384A1E">
        <w:rPr>
          <w:sz w:val="20"/>
          <w:lang w:val="es-ES_tradnl"/>
        </w:rPr>
        <w:t xml:space="preserve">2025, y no tienen en cuenta las ganancias o pérdidas derivadas de posibles cambios futuros en las hipótesis actuariales o en la composición demográfica del plan, que podrían repercutir considerablemente en los cálculos de los años siguientes. </w:t>
      </w:r>
    </w:p>
    <w:p w14:paraId="125AEB72" w14:textId="77777777" w:rsidR="00A7529B" w:rsidRPr="00384A1E" w:rsidRDefault="00A7529B" w:rsidP="00BC6E60">
      <w:pPr>
        <w:pStyle w:val="ListParagraph"/>
        <w:ind w:hanging="567"/>
        <w:jc w:val="both"/>
        <w:rPr>
          <w:rFonts w:eastAsia="SimSun"/>
          <w:sz w:val="20"/>
          <w:lang w:val="es-ES_tradnl" w:eastAsia="zh-CN"/>
        </w:rPr>
      </w:pPr>
    </w:p>
    <w:p w14:paraId="248416F5" w14:textId="0B222867" w:rsidR="00BF6E21" w:rsidRPr="00384A1E" w:rsidRDefault="00ED7558" w:rsidP="00CF1845">
      <w:pPr>
        <w:pStyle w:val="ListParagraph"/>
        <w:numPr>
          <w:ilvl w:val="0"/>
          <w:numId w:val="18"/>
        </w:numPr>
        <w:jc w:val="both"/>
        <w:rPr>
          <w:sz w:val="20"/>
          <w:lang w:val="es-ES_tradnl"/>
        </w:rPr>
      </w:pPr>
      <w:r w:rsidRPr="00384A1E">
        <w:rPr>
          <w:sz w:val="20"/>
          <w:lang w:val="es-ES_tradnl"/>
        </w:rPr>
        <w:t>En su trigésima tercera sesión extraordinaria, celebrada el 17 de marzo de 2016, el Consejo decidió mantener en una cuenta aparte los fondos asignados a la futura financiación del pasivo por prestaciones de seguro médico pagaderas a los antiguos empleados. A 31 de diciembre de 2025, el saldo total de estos fondos era de 1 159 060 francos suizos (1 105 527 francos suizos a 31 de diciembre de 2024). Tras la creación del plan de seguro médico para los antiguos empleados en 2025, esos fondos se designan como activos del plan de dicho seguro y se reclasifican del efectivo al pasivo por prestaciones a los empleados en los estados financieros. Los fondos se mantienen en una de las cuentas bancarias principales de la UPOV, pero se gestionan independientemente de los fondos de explotación gracias a una orden de bloqueo cursada al banco.</w:t>
      </w:r>
    </w:p>
    <w:p w14:paraId="5C060B13" w14:textId="0C3A0543" w:rsidR="001776DA" w:rsidRPr="00384A1E" w:rsidRDefault="001776DA">
      <w:pPr>
        <w:jc w:val="left"/>
        <w:rPr>
          <w:rFonts w:cs="Arial"/>
          <w:b/>
          <w:caps/>
          <w:lang w:val="es-ES_tradnl"/>
        </w:rPr>
      </w:pPr>
      <w:bookmarkStart w:id="14" w:name="_Toc161842415"/>
    </w:p>
    <w:bookmarkEnd w:id="14"/>
    <w:p w14:paraId="12BBD83C" w14:textId="77777777" w:rsidR="00C317C9" w:rsidRDefault="00C317C9">
      <w:pPr>
        <w:jc w:val="left"/>
        <w:rPr>
          <w:b/>
          <w:caps/>
          <w:lang w:val="es-ES_tradnl"/>
        </w:rPr>
      </w:pPr>
      <w:r>
        <w:rPr>
          <w:lang w:val="es-ES_tradnl"/>
        </w:rPr>
        <w:br w:type="page"/>
      </w:r>
    </w:p>
    <w:p w14:paraId="7E38EDCC" w14:textId="10F499C5" w:rsidR="00FC4C46" w:rsidRPr="00384A1E" w:rsidRDefault="00FC4C46" w:rsidP="00FC4C46">
      <w:pPr>
        <w:pStyle w:val="Heading1"/>
        <w:jc w:val="left"/>
        <w:rPr>
          <w:rFonts w:cs="Arial"/>
          <w:lang w:val="es-ES_tradnl"/>
        </w:rPr>
      </w:pPr>
      <w:bookmarkStart w:id="15" w:name="_Toc236922870"/>
      <w:r w:rsidRPr="00384A1E">
        <w:rPr>
          <w:lang w:val="es-ES_tradnl"/>
        </w:rPr>
        <w:lastRenderedPageBreak/>
        <w:t>DECLARACIÓN SOBRE EL CONTROL INTERNO, 2025</w:t>
      </w:r>
      <w:bookmarkEnd w:id="15"/>
    </w:p>
    <w:p w14:paraId="6907A5EA" w14:textId="77777777" w:rsidR="00FC4C46" w:rsidRPr="00384A1E" w:rsidRDefault="00FC4C46" w:rsidP="00FC4C46">
      <w:pPr>
        <w:pStyle w:val="BodyText"/>
        <w:rPr>
          <w:rFonts w:cs="Arial"/>
          <w:lang w:val="es-ES_tradnl"/>
        </w:rPr>
      </w:pPr>
    </w:p>
    <w:p w14:paraId="34590EF7" w14:textId="77777777" w:rsidR="003568AB" w:rsidRPr="00384A1E" w:rsidRDefault="003568AB" w:rsidP="003568AB">
      <w:pPr>
        <w:pStyle w:val="BodyText"/>
        <w:rPr>
          <w:rFonts w:cs="Arial"/>
          <w:lang w:val="es-ES_tradnl"/>
        </w:rPr>
      </w:pPr>
    </w:p>
    <w:p w14:paraId="579FFB23" w14:textId="77777777" w:rsidR="003568AB" w:rsidRPr="00384A1E" w:rsidRDefault="003568AB" w:rsidP="003568AB">
      <w:pPr>
        <w:pStyle w:val="BodyText"/>
        <w:rPr>
          <w:rFonts w:cs="Arial"/>
          <w:b/>
          <w:bCs/>
          <w:lang w:val="es-ES_tradnl"/>
        </w:rPr>
      </w:pPr>
      <w:r w:rsidRPr="00384A1E">
        <w:rPr>
          <w:b/>
          <w:lang w:val="es-ES_tradnl"/>
        </w:rPr>
        <w:t>Ámbito de responsabilidad</w:t>
      </w:r>
    </w:p>
    <w:p w14:paraId="2F724CA6" w14:textId="77777777" w:rsidR="003568AB" w:rsidRPr="00384A1E" w:rsidRDefault="003568AB" w:rsidP="003568AB">
      <w:pPr>
        <w:pStyle w:val="BodyText"/>
        <w:rPr>
          <w:rFonts w:cs="Arial"/>
          <w:lang w:val="es-ES_tradnl"/>
        </w:rPr>
      </w:pPr>
    </w:p>
    <w:p w14:paraId="4EF35B77" w14:textId="143095B8" w:rsidR="003568AB" w:rsidRPr="00384A1E" w:rsidRDefault="003568AB" w:rsidP="003568AB">
      <w:pPr>
        <w:ind w:right="-167"/>
        <w:rPr>
          <w:rFonts w:cs="Arial"/>
          <w:lang w:val="es-ES_tradnl"/>
        </w:rPr>
      </w:pPr>
      <w:r w:rsidRPr="00384A1E">
        <w:rPr>
          <w:lang w:val="es-ES_tradnl"/>
        </w:rPr>
        <w:t xml:space="preserve">En calidad de </w:t>
      </w:r>
      <w:r w:rsidR="00C317C9" w:rsidRPr="00384A1E">
        <w:rPr>
          <w:lang w:val="es-ES_tradnl"/>
        </w:rPr>
        <w:t xml:space="preserve">Secretario General </w:t>
      </w:r>
      <w:r w:rsidRPr="00384A1E">
        <w:rPr>
          <w:lang w:val="es-ES_tradnl"/>
        </w:rPr>
        <w:t>de la Unión Internacional para la Protección de las Obtenciones Vegetales (UPOV), es mi responsabilidad, conforme al mandato que se me ha confiado, en particular, en virtud del artículo 5.8.d) del Reglamento Financiero y la Reglamentación Financiera, mantener un sistema de control financiero interno que garantice:</w:t>
      </w:r>
    </w:p>
    <w:p w14:paraId="6908B1EE" w14:textId="77777777" w:rsidR="003568AB" w:rsidRPr="00384A1E" w:rsidRDefault="003568AB" w:rsidP="003568AB">
      <w:pPr>
        <w:rPr>
          <w:rFonts w:cs="Arial"/>
          <w:lang w:val="es-ES_tradnl"/>
        </w:rPr>
      </w:pPr>
    </w:p>
    <w:p w14:paraId="0D9EDF2A" w14:textId="77777777" w:rsidR="003568AB" w:rsidRPr="00384A1E" w:rsidRDefault="003568AB" w:rsidP="003568AB">
      <w:pPr>
        <w:numPr>
          <w:ilvl w:val="0"/>
          <w:numId w:val="58"/>
        </w:numPr>
        <w:jc w:val="left"/>
        <w:rPr>
          <w:rFonts w:cs="Arial"/>
          <w:lang w:val="es-ES_tradnl"/>
        </w:rPr>
      </w:pPr>
      <w:r w:rsidRPr="00384A1E">
        <w:rPr>
          <w:lang w:val="es-ES_tradnl"/>
        </w:rPr>
        <w:t>la regularidad de las operaciones de recepción, custodia y disposición de todos los fondos y demás recursos financieros de la UPOV;</w:t>
      </w:r>
    </w:p>
    <w:p w14:paraId="22E410B9" w14:textId="77777777" w:rsidR="003568AB" w:rsidRPr="00384A1E" w:rsidRDefault="003568AB" w:rsidP="003568AB">
      <w:pPr>
        <w:numPr>
          <w:ilvl w:val="0"/>
          <w:numId w:val="58"/>
        </w:numPr>
        <w:jc w:val="left"/>
        <w:rPr>
          <w:rFonts w:cs="Arial"/>
          <w:lang w:val="es-ES_tradnl"/>
        </w:rPr>
      </w:pPr>
      <w:r w:rsidRPr="00384A1E">
        <w:rPr>
          <w:lang w:val="es-ES_tradnl"/>
        </w:rPr>
        <w:t>la conformidad de las obligaciones y los gastos con las consignaciones u otras disposiciones financieras aprobadas por el Consejo o con las finalidades y las normas relativas a determinados fondos fiduciarios; y</w:t>
      </w:r>
    </w:p>
    <w:p w14:paraId="2262411B" w14:textId="77777777" w:rsidR="003568AB" w:rsidRPr="00384A1E" w:rsidRDefault="003568AB" w:rsidP="003568AB">
      <w:pPr>
        <w:numPr>
          <w:ilvl w:val="0"/>
          <w:numId w:val="58"/>
        </w:numPr>
        <w:jc w:val="left"/>
        <w:rPr>
          <w:rFonts w:cs="Arial"/>
          <w:lang w:val="es-ES_tradnl"/>
        </w:rPr>
      </w:pPr>
      <w:r w:rsidRPr="00384A1E">
        <w:rPr>
          <w:lang w:val="es-ES_tradnl"/>
        </w:rPr>
        <w:t>la utilización eficaz, eficiente y económica de los recursos de la UPOV.</w:t>
      </w:r>
    </w:p>
    <w:p w14:paraId="2E686F9E" w14:textId="77777777" w:rsidR="003568AB" w:rsidRPr="00384A1E" w:rsidRDefault="003568AB" w:rsidP="003568AB">
      <w:pPr>
        <w:rPr>
          <w:rFonts w:cs="Arial"/>
          <w:lang w:val="es-ES_tradnl"/>
        </w:rPr>
      </w:pPr>
    </w:p>
    <w:p w14:paraId="778ECCD2" w14:textId="46A4E36E" w:rsidR="003568AB" w:rsidRPr="00384A1E" w:rsidRDefault="003568AB" w:rsidP="003568AB">
      <w:pPr>
        <w:rPr>
          <w:rFonts w:cs="Arial"/>
          <w:lang w:val="es-ES_tradnl"/>
        </w:rPr>
      </w:pPr>
      <w:r w:rsidRPr="00384A1E">
        <w:rPr>
          <w:lang w:val="es-ES_tradnl"/>
        </w:rPr>
        <w:t xml:space="preserve">Al firmar la presente declaración, me baso en particular en las garantías que me han sido proporcionadas en la carta de manifestaciones de la </w:t>
      </w:r>
      <w:r w:rsidR="00423F20">
        <w:rPr>
          <w:lang w:val="es-ES_tradnl"/>
        </w:rPr>
        <w:t>Secretaria General Adjunta</w:t>
      </w:r>
      <w:r w:rsidRPr="00384A1E">
        <w:rPr>
          <w:lang w:val="es-ES_tradnl"/>
        </w:rPr>
        <w:t>, en el resumen de garantías de la UPOV y en las funciones de garantía de la OMPI establecidas en el Acuerdo entre la Organización Mundial de la Propiedad Intelectual (OMPI) y la UPOV.</w:t>
      </w:r>
      <w:r w:rsidRPr="00384A1E">
        <w:rPr>
          <w:rStyle w:val="FootnoteReference"/>
          <w:rFonts w:cs="Arial"/>
          <w:lang w:val="es-ES_tradnl"/>
        </w:rPr>
        <w:footnoteReference w:id="2"/>
      </w:r>
    </w:p>
    <w:p w14:paraId="3C549EFB" w14:textId="77777777" w:rsidR="003568AB" w:rsidRPr="00384A1E" w:rsidRDefault="003568AB" w:rsidP="003568AB">
      <w:pPr>
        <w:pStyle w:val="BodyText"/>
        <w:rPr>
          <w:rFonts w:cs="Arial"/>
          <w:lang w:val="es-ES_tradnl"/>
        </w:rPr>
      </w:pPr>
    </w:p>
    <w:p w14:paraId="1563E56B" w14:textId="77777777" w:rsidR="003568AB" w:rsidRPr="00384A1E" w:rsidRDefault="003568AB" w:rsidP="00051DDF">
      <w:pPr>
        <w:pStyle w:val="BodyText"/>
        <w:rPr>
          <w:rFonts w:cs="Arial"/>
          <w:b/>
          <w:bCs/>
          <w:lang w:val="es-ES_tradnl"/>
        </w:rPr>
      </w:pPr>
      <w:r w:rsidRPr="00384A1E">
        <w:rPr>
          <w:b/>
          <w:lang w:val="es-ES_tradnl"/>
        </w:rPr>
        <w:t>Propósito del sistema de control interno</w:t>
      </w:r>
    </w:p>
    <w:p w14:paraId="3464F25E" w14:textId="77777777" w:rsidR="003568AB" w:rsidRPr="00384A1E" w:rsidRDefault="003568AB" w:rsidP="003568AB">
      <w:pPr>
        <w:pStyle w:val="BodyText"/>
        <w:rPr>
          <w:rFonts w:cs="Arial"/>
          <w:lang w:val="es-ES_tradnl"/>
        </w:rPr>
      </w:pPr>
    </w:p>
    <w:p w14:paraId="1FB2D857" w14:textId="1305E3B9" w:rsidR="003568AB" w:rsidRPr="00384A1E" w:rsidRDefault="003568AB" w:rsidP="003568AB">
      <w:pPr>
        <w:pStyle w:val="BodyText"/>
        <w:rPr>
          <w:rFonts w:cs="Arial"/>
          <w:lang w:val="es-ES_tradnl"/>
        </w:rPr>
      </w:pPr>
      <w:r w:rsidRPr="00384A1E">
        <w:rPr>
          <w:lang w:val="es-ES_tradnl"/>
        </w:rPr>
        <w:t xml:space="preserve">Nuestro sistema de control interno es un proceso en el que participan el Consejo, el Comité Consultivo, el </w:t>
      </w:r>
      <w:r w:rsidR="00DF14E9" w:rsidRPr="00384A1E">
        <w:rPr>
          <w:lang w:val="es-ES_tradnl"/>
        </w:rPr>
        <w:t>Secretario General</w:t>
      </w:r>
      <w:r w:rsidRPr="00384A1E">
        <w:rPr>
          <w:lang w:val="es-ES_tradnl"/>
        </w:rPr>
        <w:t xml:space="preserve">, la </w:t>
      </w:r>
      <w:r w:rsidR="00DF14E9" w:rsidRPr="00384A1E">
        <w:rPr>
          <w:lang w:val="es-ES_tradnl"/>
        </w:rPr>
        <w:t xml:space="preserve">Secretaria General Adjunta </w:t>
      </w:r>
      <w:r w:rsidRPr="00384A1E">
        <w:rPr>
          <w:lang w:val="es-ES_tradnl"/>
        </w:rPr>
        <w:t>y otros cargos directivos, concebido para proporcionar garantías razonables de la capacidad de la UPOV para alcanzar sus metas, objetivos y políticas conexas. El objetivo de este sistema de control interno es gestionar el riesgo hasta un nivel tolerable en lugar de eliminarlo por completo. Como tal, su objetivo es proporcionar garantías razonables respecto a los tres ámbitos siguientes:</w:t>
      </w:r>
    </w:p>
    <w:p w14:paraId="2B22536E" w14:textId="77777777" w:rsidR="003568AB" w:rsidRPr="00384A1E" w:rsidRDefault="003568AB" w:rsidP="003568AB">
      <w:pPr>
        <w:pStyle w:val="BodyText"/>
        <w:rPr>
          <w:rFonts w:cs="Arial"/>
          <w:lang w:val="es-ES_tradnl"/>
        </w:rPr>
      </w:pPr>
    </w:p>
    <w:p w14:paraId="5EE763EC" w14:textId="77777777" w:rsidR="003568AB" w:rsidRPr="00384A1E" w:rsidRDefault="003568AB" w:rsidP="003568AB">
      <w:pPr>
        <w:pStyle w:val="ListParagraph"/>
        <w:widowControl w:val="0"/>
        <w:numPr>
          <w:ilvl w:val="1"/>
          <w:numId w:val="57"/>
        </w:numPr>
        <w:autoSpaceDE w:val="0"/>
        <w:autoSpaceDN w:val="0"/>
        <w:rPr>
          <w:sz w:val="20"/>
          <w:lang w:val="es-ES_tradnl"/>
        </w:rPr>
      </w:pPr>
      <w:r w:rsidRPr="00384A1E">
        <w:rPr>
          <w:sz w:val="20"/>
          <w:lang w:val="es-ES_tradnl"/>
        </w:rPr>
        <w:t>la fiabilidad de la información financiera: las transacciones se autorizan y se registran debidamente y los errores o las irregularidades sustanciales se previenen o se detectan a tiempo;</w:t>
      </w:r>
    </w:p>
    <w:p w14:paraId="6DF14114" w14:textId="77777777" w:rsidR="003568AB" w:rsidRPr="00384A1E" w:rsidRDefault="003568AB" w:rsidP="003568AB">
      <w:pPr>
        <w:pStyle w:val="ListParagraph"/>
        <w:widowControl w:val="0"/>
        <w:numPr>
          <w:ilvl w:val="1"/>
          <w:numId w:val="57"/>
        </w:numPr>
        <w:autoSpaceDE w:val="0"/>
        <w:autoSpaceDN w:val="0"/>
        <w:rPr>
          <w:sz w:val="20"/>
          <w:lang w:val="es-ES_tradnl"/>
        </w:rPr>
      </w:pPr>
      <w:r w:rsidRPr="00384A1E">
        <w:rPr>
          <w:sz w:val="20"/>
          <w:lang w:val="es-ES_tradnl"/>
        </w:rPr>
        <w:t>la eficacia y eficiencia de los procesos operativos, la salvaguarda de los activos y la práctica de la economía; y</w:t>
      </w:r>
    </w:p>
    <w:p w14:paraId="5B5A8F21" w14:textId="77777777" w:rsidR="003568AB" w:rsidRPr="00384A1E" w:rsidRDefault="003568AB" w:rsidP="003568AB">
      <w:pPr>
        <w:pStyle w:val="ListParagraph"/>
        <w:widowControl w:val="0"/>
        <w:numPr>
          <w:ilvl w:val="1"/>
          <w:numId w:val="57"/>
        </w:numPr>
        <w:autoSpaceDE w:val="0"/>
        <w:autoSpaceDN w:val="0"/>
        <w:rPr>
          <w:sz w:val="20"/>
          <w:lang w:val="es-ES_tradnl"/>
        </w:rPr>
      </w:pPr>
      <w:r w:rsidRPr="00384A1E">
        <w:rPr>
          <w:sz w:val="20"/>
          <w:lang w:val="es-ES_tradnl"/>
        </w:rPr>
        <w:t>el cumplimiento del marco normativo de la UPOV.</w:t>
      </w:r>
    </w:p>
    <w:p w14:paraId="3C31D05C" w14:textId="77777777" w:rsidR="003568AB" w:rsidRPr="00384A1E" w:rsidRDefault="003568AB" w:rsidP="003568AB">
      <w:pPr>
        <w:keepNext/>
        <w:keepLines/>
        <w:rPr>
          <w:rFonts w:cs="Arial"/>
          <w:lang w:val="es-ES_tradnl"/>
        </w:rPr>
      </w:pPr>
    </w:p>
    <w:p w14:paraId="5E133E6C" w14:textId="77777777" w:rsidR="003568AB" w:rsidRPr="00384A1E" w:rsidRDefault="003568AB" w:rsidP="003568AB">
      <w:pPr>
        <w:rPr>
          <w:rFonts w:cs="Arial"/>
          <w:lang w:val="es-ES_tradnl"/>
        </w:rPr>
      </w:pPr>
      <w:r w:rsidRPr="00384A1E">
        <w:rPr>
          <w:lang w:val="es-ES_tradnl"/>
        </w:rPr>
        <w:t xml:space="preserve">En consecuencia, a nivel operativo, el sistema de control interno de la UPOV no consiste únicamente en una política o un procedimiento que se aplica en determinados momentos, sino que funciona de forma continua a todos los niveles de la UPOV mediante procesos de control interno para garantizar los objetivos anteriormente mencionados. </w:t>
      </w:r>
    </w:p>
    <w:p w14:paraId="234EAFBF" w14:textId="77777777" w:rsidR="003568AB" w:rsidRPr="00384A1E" w:rsidRDefault="003568AB" w:rsidP="003568AB">
      <w:pPr>
        <w:pStyle w:val="BodyText"/>
        <w:rPr>
          <w:rFonts w:cs="Arial"/>
          <w:lang w:val="es-ES_tradnl"/>
        </w:rPr>
      </w:pPr>
    </w:p>
    <w:p w14:paraId="1CB8E531" w14:textId="77777777" w:rsidR="003568AB" w:rsidRPr="00384A1E" w:rsidRDefault="003568AB" w:rsidP="003568AB">
      <w:pPr>
        <w:pStyle w:val="BodyText"/>
        <w:rPr>
          <w:rFonts w:cs="Arial"/>
          <w:lang w:val="es-ES_tradnl"/>
        </w:rPr>
      </w:pPr>
      <w:r w:rsidRPr="00384A1E">
        <w:rPr>
          <w:lang w:val="es-ES_tradnl"/>
        </w:rPr>
        <w:t>Esta declaración se presenta en consonancia con los siete componentes del marco de rendición de cuentas de la UPOV (documento CC/98/13), que a su vez se ajusta al marco de control interno del COSO</w:t>
      </w:r>
      <w:r w:rsidRPr="00384A1E">
        <w:rPr>
          <w:rStyle w:val="FootnoteReference"/>
          <w:rFonts w:cs="Arial"/>
          <w:lang w:val="es-ES_tradnl"/>
        </w:rPr>
        <w:footnoteReference w:id="3"/>
      </w:r>
      <w:r w:rsidRPr="00384A1E">
        <w:rPr>
          <w:lang w:val="es-ES_tradnl"/>
        </w:rPr>
        <w:t xml:space="preserve"> y al modelo de las tres líneas</w:t>
      </w:r>
      <w:r w:rsidRPr="00384A1E">
        <w:rPr>
          <w:rStyle w:val="FootnoteReference"/>
          <w:rFonts w:cs="Arial"/>
          <w:lang w:val="es-ES_tradnl"/>
        </w:rPr>
        <w:footnoteReference w:id="4"/>
      </w:r>
      <w:r w:rsidRPr="00384A1E">
        <w:rPr>
          <w:lang w:val="es-ES_tradnl"/>
        </w:rPr>
        <w:t>.</w:t>
      </w:r>
    </w:p>
    <w:p w14:paraId="7C3D421E" w14:textId="77777777" w:rsidR="003568AB" w:rsidRPr="00384A1E" w:rsidRDefault="003568AB" w:rsidP="003568AB">
      <w:pPr>
        <w:pStyle w:val="BodyText"/>
        <w:rPr>
          <w:rFonts w:cs="Arial"/>
          <w:lang w:val="es-ES_tradnl"/>
        </w:rPr>
      </w:pPr>
    </w:p>
    <w:p w14:paraId="551E7760" w14:textId="77777777" w:rsidR="003568AB" w:rsidRPr="00384A1E" w:rsidRDefault="003568AB" w:rsidP="003568AB">
      <w:pPr>
        <w:pStyle w:val="BodyText"/>
        <w:rPr>
          <w:rFonts w:cs="Arial"/>
          <w:lang w:val="es-ES_tradnl"/>
        </w:rPr>
      </w:pPr>
      <w:r w:rsidRPr="00384A1E">
        <w:rPr>
          <w:lang w:val="es-ES_tradnl"/>
        </w:rPr>
        <w:t>La presente declaración sobre los procesos de control interno de la UPOV, tal como se describen anteriormente, se aplica al ejercicio concluido el 31 de diciembre de 2025, y hasta la fecha de aprobación de los estados financieros de 2025 de la UPOV.</w:t>
      </w:r>
    </w:p>
    <w:p w14:paraId="0CD68F18" w14:textId="77777777" w:rsidR="003568AB" w:rsidRPr="00384A1E" w:rsidRDefault="003568AB" w:rsidP="003568AB">
      <w:pPr>
        <w:pStyle w:val="BodyText"/>
        <w:rPr>
          <w:rFonts w:cs="Arial"/>
          <w:lang w:val="es-ES_tradnl"/>
        </w:rPr>
      </w:pPr>
    </w:p>
    <w:p w14:paraId="1883D91A" w14:textId="77777777" w:rsidR="003568AB" w:rsidRPr="00384A1E" w:rsidRDefault="003568AB" w:rsidP="003568AB">
      <w:pPr>
        <w:rPr>
          <w:rFonts w:eastAsiaTheme="majorEastAsia" w:cs="Arial"/>
          <w:b/>
          <w:lang w:val="es-ES_tradnl"/>
        </w:rPr>
      </w:pPr>
    </w:p>
    <w:p w14:paraId="248D63F7" w14:textId="77777777" w:rsidR="00C511E0" w:rsidRDefault="00C511E0">
      <w:pPr>
        <w:jc w:val="left"/>
        <w:rPr>
          <w:b/>
          <w:lang w:val="es-ES_tradnl"/>
        </w:rPr>
      </w:pPr>
      <w:r>
        <w:rPr>
          <w:b/>
          <w:lang w:val="es-ES_tradnl"/>
        </w:rPr>
        <w:br w:type="page"/>
      </w:r>
    </w:p>
    <w:p w14:paraId="0AF4B473" w14:textId="6A88FE37" w:rsidR="003568AB" w:rsidRPr="00384A1E" w:rsidRDefault="003568AB" w:rsidP="003568AB">
      <w:pPr>
        <w:pStyle w:val="BodyText"/>
        <w:widowControl w:val="0"/>
        <w:numPr>
          <w:ilvl w:val="0"/>
          <w:numId w:val="67"/>
        </w:numPr>
        <w:autoSpaceDE w:val="0"/>
        <w:autoSpaceDN w:val="0"/>
        <w:jc w:val="left"/>
        <w:rPr>
          <w:rFonts w:cs="Arial"/>
          <w:b/>
          <w:bCs/>
          <w:lang w:val="es-ES_tradnl"/>
        </w:rPr>
      </w:pPr>
      <w:r w:rsidRPr="00384A1E">
        <w:rPr>
          <w:b/>
          <w:lang w:val="es-ES_tradnl"/>
        </w:rPr>
        <w:lastRenderedPageBreak/>
        <w:t xml:space="preserve">Planificación por resultados </w:t>
      </w:r>
    </w:p>
    <w:p w14:paraId="68BB496F" w14:textId="77777777" w:rsidR="003568AB" w:rsidRPr="00384A1E" w:rsidRDefault="003568AB" w:rsidP="003568AB">
      <w:pPr>
        <w:pStyle w:val="Heading1"/>
        <w:rPr>
          <w:rFonts w:cs="Arial"/>
          <w:b w:val="0"/>
          <w:lang w:val="es-ES_tradnl"/>
        </w:rPr>
      </w:pPr>
    </w:p>
    <w:p w14:paraId="73FD2739" w14:textId="668D8F49" w:rsidR="003568AB" w:rsidRPr="00384A1E" w:rsidRDefault="003568AB" w:rsidP="003568AB">
      <w:pPr>
        <w:rPr>
          <w:rFonts w:cs="Arial"/>
          <w:lang w:val="es-ES_tradnl"/>
        </w:rPr>
      </w:pPr>
      <w:r w:rsidRPr="00384A1E">
        <w:rPr>
          <w:lang w:val="es-ES_tradnl"/>
        </w:rPr>
        <w:t xml:space="preserve">La UPOV cuenta con procesos de gestión basada en resultados, orientados por el Plan Operativo Estratégico y plasmados en un programa y presupuesto bienal aprobado por el Consejo de la UPOV. El examen y la aprobación del Programa y Presupuesto de la UPOV comprenden la aprobación del programa de trabajo expuesto en el Edificio de la Estrategia de la UPOV y de los recursos conexos vinculados a los resultados previstos. </w:t>
      </w:r>
    </w:p>
    <w:p w14:paraId="51D6B83B" w14:textId="77777777" w:rsidR="003568AB" w:rsidRPr="00384A1E" w:rsidRDefault="003568AB" w:rsidP="003568AB">
      <w:pPr>
        <w:rPr>
          <w:rFonts w:cs="Arial"/>
          <w:lang w:val="es-ES_tradnl"/>
        </w:rPr>
      </w:pPr>
    </w:p>
    <w:p w14:paraId="35669975" w14:textId="52BD5132" w:rsidR="003568AB" w:rsidRPr="00384A1E" w:rsidRDefault="003568AB" w:rsidP="003568AB">
      <w:pPr>
        <w:jc w:val="left"/>
        <w:rPr>
          <w:rFonts w:cs="Arial"/>
          <w:b/>
          <w:bCs/>
          <w:lang w:val="es-ES_tradnl"/>
        </w:rPr>
      </w:pPr>
    </w:p>
    <w:p w14:paraId="3C19F82B" w14:textId="77777777" w:rsidR="003568AB" w:rsidRPr="00384A1E" w:rsidRDefault="003568AB" w:rsidP="003568AB">
      <w:pPr>
        <w:pStyle w:val="BodyText"/>
        <w:widowControl w:val="0"/>
        <w:numPr>
          <w:ilvl w:val="0"/>
          <w:numId w:val="67"/>
        </w:numPr>
        <w:autoSpaceDE w:val="0"/>
        <w:autoSpaceDN w:val="0"/>
        <w:jc w:val="left"/>
        <w:rPr>
          <w:rFonts w:cs="Arial"/>
          <w:b/>
          <w:bCs/>
          <w:lang w:val="es-ES_tradnl"/>
        </w:rPr>
      </w:pPr>
      <w:r w:rsidRPr="00384A1E">
        <w:rPr>
          <w:b/>
          <w:lang w:val="es-ES_tradnl"/>
        </w:rPr>
        <w:t>Rendimiento y gestión de riesgos</w:t>
      </w:r>
    </w:p>
    <w:p w14:paraId="4B525B38" w14:textId="77777777" w:rsidR="003568AB" w:rsidRPr="00384A1E" w:rsidRDefault="003568AB" w:rsidP="003568AB">
      <w:pPr>
        <w:pStyle w:val="Heading1"/>
        <w:rPr>
          <w:rFonts w:cs="Arial"/>
          <w:b w:val="0"/>
          <w:lang w:val="es-ES_tradnl"/>
        </w:rPr>
      </w:pPr>
    </w:p>
    <w:p w14:paraId="318245C4" w14:textId="77777777" w:rsidR="003568AB" w:rsidRPr="00384A1E" w:rsidRDefault="003568AB" w:rsidP="003568AB">
      <w:pPr>
        <w:rPr>
          <w:rFonts w:cs="Arial"/>
          <w:lang w:val="es-ES_tradnl"/>
        </w:rPr>
      </w:pPr>
      <w:r w:rsidRPr="00384A1E">
        <w:rPr>
          <w:lang w:val="es-ES_tradnl"/>
        </w:rPr>
        <w:t>El informe de rendimiento de la UPOV proporciona a los miembros información exhaustiva y detallada, de conformidad con el Reglamento Financiero y la Reglamentación Financiera de la UPOV, y aporta claridad y transparencia sobre el rendimiento financiero y programático de la Organización.</w:t>
      </w:r>
    </w:p>
    <w:p w14:paraId="6DBB428C" w14:textId="77777777" w:rsidR="003568AB" w:rsidRPr="00384A1E" w:rsidRDefault="003568AB" w:rsidP="003568AB">
      <w:pPr>
        <w:rPr>
          <w:rFonts w:cs="Arial"/>
          <w:lang w:val="es-ES_tradnl"/>
        </w:rPr>
      </w:pPr>
    </w:p>
    <w:p w14:paraId="43F4E69A" w14:textId="5A7A5E7C" w:rsidR="003568AB" w:rsidRDefault="003568AB" w:rsidP="003568AB">
      <w:pPr>
        <w:rPr>
          <w:lang w:val="es-ES_tradnl"/>
        </w:rPr>
      </w:pPr>
      <w:r w:rsidRPr="00384A1E">
        <w:rPr>
          <w:lang w:val="es-ES_tradnl"/>
        </w:rPr>
        <w:t>La UPOV siguió supervisando sus riesgos principales a lo largo de 2025, que se registran en el sistema de gestión del riesgo institucional de la OMPI y seguirán siendo gestionados y reevaluados con el tiempo. Se examinaron periódicamente los riesgos principales y las respuestas adecuadas. Entre ellos figuran los siguientes riesgos principales que afrontamos en 2025 y en adelante:</w:t>
      </w:r>
    </w:p>
    <w:p w14:paraId="79D3340D" w14:textId="77777777" w:rsidR="00384A1E" w:rsidRPr="00384A1E" w:rsidRDefault="00384A1E" w:rsidP="003568AB">
      <w:pPr>
        <w:rPr>
          <w:rFonts w:cs="Arial"/>
          <w:lang w:val="es-ES_tradnl"/>
        </w:rPr>
      </w:pPr>
    </w:p>
    <w:tbl>
      <w:tblPr>
        <w:tblW w:w="9752" w:type="dxa"/>
        <w:tblCellMar>
          <w:left w:w="0" w:type="dxa"/>
          <w:right w:w="0" w:type="dxa"/>
        </w:tblCellMar>
        <w:tblLook w:val="04A0" w:firstRow="1" w:lastRow="0" w:firstColumn="1" w:lastColumn="0" w:noHBand="0" w:noVBand="1"/>
      </w:tblPr>
      <w:tblGrid>
        <w:gridCol w:w="2097"/>
        <w:gridCol w:w="3299"/>
        <w:gridCol w:w="4356"/>
      </w:tblGrid>
      <w:tr w:rsidR="00762585" w:rsidRPr="00384A1E" w14:paraId="4423D29D" w14:textId="77777777">
        <w:trPr>
          <w:trHeight w:val="228"/>
        </w:trPr>
        <w:tc>
          <w:tcPr>
            <w:tcW w:w="2097" w:type="dxa"/>
            <w:tcBorders>
              <w:top w:val="single" w:sz="8" w:space="0" w:color="FFFFFF"/>
              <w:left w:val="single" w:sz="8" w:space="0" w:color="FFFFFF"/>
              <w:bottom w:val="single" w:sz="24" w:space="0" w:color="FFFFFF"/>
              <w:right w:val="single" w:sz="8" w:space="0" w:color="FFFFFF"/>
            </w:tcBorders>
            <w:shd w:val="clear" w:color="auto" w:fill="17365D" w:themeFill="text2" w:themeFillShade="BF"/>
            <w:tcMar>
              <w:top w:w="15" w:type="dxa"/>
              <w:left w:w="108" w:type="dxa"/>
              <w:bottom w:w="0" w:type="dxa"/>
              <w:right w:w="108" w:type="dxa"/>
            </w:tcMar>
            <w:vAlign w:val="center"/>
            <w:hideMark/>
          </w:tcPr>
          <w:p w14:paraId="0DF5B148" w14:textId="77777777" w:rsidR="003568AB" w:rsidRPr="00384A1E" w:rsidRDefault="003568AB" w:rsidP="00384A1E">
            <w:pPr>
              <w:pStyle w:val="BodyText"/>
              <w:keepNext/>
              <w:keepLines/>
              <w:spacing w:before="20" w:after="60"/>
              <w:rPr>
                <w:rFonts w:cs="Arial"/>
                <w:lang w:val="es-ES_tradnl"/>
              </w:rPr>
            </w:pPr>
            <w:r w:rsidRPr="00384A1E">
              <w:rPr>
                <w:b/>
                <w:lang w:val="es-ES_tradnl"/>
              </w:rPr>
              <w:t>Pilar estratégico</w:t>
            </w:r>
          </w:p>
        </w:tc>
        <w:tc>
          <w:tcPr>
            <w:tcW w:w="3299" w:type="dxa"/>
            <w:tcBorders>
              <w:top w:val="single" w:sz="8" w:space="0" w:color="FFFFFF"/>
              <w:left w:val="single" w:sz="8" w:space="0" w:color="FFFFFF"/>
              <w:bottom w:val="single" w:sz="24" w:space="0" w:color="FFFFFF"/>
              <w:right w:val="single" w:sz="8" w:space="0" w:color="FFFFFF"/>
            </w:tcBorders>
            <w:shd w:val="clear" w:color="auto" w:fill="17365D" w:themeFill="text2" w:themeFillShade="BF"/>
            <w:tcMar>
              <w:top w:w="15" w:type="dxa"/>
              <w:left w:w="108" w:type="dxa"/>
              <w:bottom w:w="0" w:type="dxa"/>
              <w:right w:w="108" w:type="dxa"/>
            </w:tcMar>
            <w:vAlign w:val="center"/>
            <w:hideMark/>
          </w:tcPr>
          <w:p w14:paraId="259EE190" w14:textId="77777777" w:rsidR="003568AB" w:rsidRPr="00384A1E" w:rsidRDefault="003568AB" w:rsidP="00384A1E">
            <w:pPr>
              <w:pStyle w:val="BodyText"/>
              <w:keepNext/>
              <w:keepLines/>
              <w:spacing w:before="20" w:after="60"/>
              <w:rPr>
                <w:rFonts w:cs="Arial"/>
                <w:lang w:val="es-ES_tradnl"/>
              </w:rPr>
            </w:pPr>
            <w:r w:rsidRPr="00384A1E">
              <w:rPr>
                <w:b/>
                <w:lang w:val="es-ES_tradnl"/>
              </w:rPr>
              <w:t>Descripción del riesgo</w:t>
            </w:r>
          </w:p>
        </w:tc>
        <w:tc>
          <w:tcPr>
            <w:tcW w:w="4356" w:type="dxa"/>
            <w:tcBorders>
              <w:top w:val="single" w:sz="8" w:space="0" w:color="FFFFFF"/>
              <w:left w:val="single" w:sz="8" w:space="0" w:color="FFFFFF"/>
              <w:bottom w:val="single" w:sz="24" w:space="0" w:color="FFFFFF"/>
              <w:right w:val="single" w:sz="8" w:space="0" w:color="FFFFFF"/>
            </w:tcBorders>
            <w:shd w:val="clear" w:color="auto" w:fill="17365D" w:themeFill="text2" w:themeFillShade="BF"/>
            <w:tcMar>
              <w:top w:w="15" w:type="dxa"/>
              <w:left w:w="108" w:type="dxa"/>
              <w:bottom w:w="0" w:type="dxa"/>
              <w:right w:w="108" w:type="dxa"/>
            </w:tcMar>
            <w:vAlign w:val="center"/>
            <w:hideMark/>
          </w:tcPr>
          <w:p w14:paraId="5B4012F3" w14:textId="77777777" w:rsidR="003568AB" w:rsidRPr="00384A1E" w:rsidRDefault="003568AB" w:rsidP="00384A1E">
            <w:pPr>
              <w:pStyle w:val="BodyText"/>
              <w:keepNext/>
              <w:keepLines/>
              <w:spacing w:before="20" w:after="60"/>
              <w:rPr>
                <w:rFonts w:cs="Arial"/>
                <w:lang w:val="es-ES_tradnl"/>
              </w:rPr>
            </w:pPr>
            <w:r w:rsidRPr="00384A1E">
              <w:rPr>
                <w:b/>
                <w:lang w:val="es-ES_tradnl"/>
              </w:rPr>
              <w:t>Control y mitigación</w:t>
            </w:r>
          </w:p>
        </w:tc>
      </w:tr>
      <w:tr w:rsidR="00762585" w:rsidRPr="00384A1E" w14:paraId="59F02154" w14:textId="77777777">
        <w:trPr>
          <w:trHeight w:val="1717"/>
        </w:trPr>
        <w:tc>
          <w:tcPr>
            <w:tcW w:w="2097" w:type="dxa"/>
            <w:tcBorders>
              <w:top w:val="single" w:sz="24"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hideMark/>
          </w:tcPr>
          <w:p w14:paraId="2D539ED0" w14:textId="77777777" w:rsidR="003568AB" w:rsidRPr="00384A1E" w:rsidRDefault="003568AB">
            <w:pPr>
              <w:pStyle w:val="BodyText"/>
              <w:spacing w:before="60" w:after="120"/>
              <w:jc w:val="left"/>
              <w:rPr>
                <w:rFonts w:cs="Arial"/>
                <w:b/>
                <w:sz w:val="18"/>
                <w:szCs w:val="18"/>
                <w:lang w:val="es-ES_tradnl"/>
              </w:rPr>
            </w:pPr>
            <w:r w:rsidRPr="00384A1E">
              <w:rPr>
                <w:b/>
                <w:sz w:val="18"/>
                <w:lang w:val="es-ES_tradnl"/>
              </w:rPr>
              <w:t>Pilar 1: Reunir a las partes interesadas para que contribuyan a dar forma al sistema de la UPOV</w:t>
            </w:r>
          </w:p>
        </w:tc>
        <w:tc>
          <w:tcPr>
            <w:tcW w:w="3299" w:type="dxa"/>
            <w:tcBorders>
              <w:top w:val="single" w:sz="24"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hideMark/>
          </w:tcPr>
          <w:p w14:paraId="7C0059DD" w14:textId="77777777" w:rsidR="003568AB" w:rsidRPr="00384A1E" w:rsidRDefault="003568AB">
            <w:pPr>
              <w:rPr>
                <w:rFonts w:cs="Arial"/>
                <w:sz w:val="18"/>
                <w:szCs w:val="18"/>
                <w:lang w:val="es-ES_tradnl"/>
              </w:rPr>
            </w:pPr>
            <w:r w:rsidRPr="00384A1E">
              <w:rPr>
                <w:sz w:val="18"/>
                <w:lang w:val="es-ES_tradnl"/>
              </w:rPr>
              <w:t>Los avances en materia de políticas y legislación retrasan o impiden la adhesión al Acta de 1991 del Convenio de la UPOV o su ratificación. </w:t>
            </w:r>
          </w:p>
        </w:tc>
        <w:tc>
          <w:tcPr>
            <w:tcW w:w="4356" w:type="dxa"/>
            <w:tcBorders>
              <w:top w:val="single" w:sz="24"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hideMark/>
          </w:tcPr>
          <w:p w14:paraId="34847E5A" w14:textId="35C36974" w:rsidR="003568AB" w:rsidRPr="00384A1E" w:rsidRDefault="003568AB">
            <w:pPr>
              <w:pStyle w:val="BodyText"/>
              <w:spacing w:before="60" w:after="120"/>
              <w:rPr>
                <w:rFonts w:cs="Arial"/>
                <w:sz w:val="18"/>
                <w:szCs w:val="18"/>
                <w:lang w:val="es-ES_tradnl"/>
              </w:rPr>
            </w:pPr>
            <w:r w:rsidRPr="00384A1E">
              <w:rPr>
                <w:sz w:val="18"/>
                <w:lang w:val="es-ES_tradnl"/>
              </w:rPr>
              <w:t xml:space="preserve">Reforzar la orientación legislativa y las actividades de divulgación para mostrar los beneficios de la UPOV, apoyando al mismo tiempo los objetivos de desarrollo de los países mediante programas de participación y foros que demuestren la contribución de la pertenencia a la UPOV al desarrollo agrícola. </w:t>
            </w:r>
          </w:p>
        </w:tc>
      </w:tr>
      <w:tr w:rsidR="00762585" w:rsidRPr="00384A1E" w14:paraId="7EAF7107" w14:textId="77777777">
        <w:trPr>
          <w:trHeight w:val="1495"/>
        </w:trPr>
        <w:tc>
          <w:tcPr>
            <w:tcW w:w="2097"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6C3B7D2A" w14:textId="77777777" w:rsidR="003568AB" w:rsidRPr="00384A1E" w:rsidRDefault="003568AB">
            <w:pPr>
              <w:pStyle w:val="BodyText"/>
              <w:spacing w:before="60" w:after="120"/>
              <w:jc w:val="left"/>
              <w:rPr>
                <w:rFonts w:cs="Arial"/>
                <w:b/>
                <w:sz w:val="18"/>
                <w:szCs w:val="18"/>
                <w:lang w:val="es-ES_tradnl"/>
              </w:rPr>
            </w:pPr>
            <w:r w:rsidRPr="00384A1E">
              <w:rPr>
                <w:b/>
                <w:sz w:val="18"/>
                <w:lang w:val="es-ES_tradnl"/>
              </w:rPr>
              <w:t>Pilar 2: Proporcionar orientación y asistencia y facilitar la cooperación para la puesta en práctica del sistema de la UPOV</w:t>
            </w:r>
          </w:p>
        </w:tc>
        <w:tc>
          <w:tcPr>
            <w:tcW w:w="3299"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413D9271" w14:textId="4313582B" w:rsidR="003568AB" w:rsidRPr="00384A1E" w:rsidRDefault="003568AB">
            <w:pPr>
              <w:pStyle w:val="BodyText"/>
              <w:spacing w:before="60" w:after="120"/>
              <w:rPr>
                <w:rFonts w:cs="Arial"/>
                <w:sz w:val="18"/>
                <w:szCs w:val="18"/>
                <w:lang w:val="es-ES_tradnl"/>
              </w:rPr>
            </w:pPr>
            <w:r w:rsidRPr="00384A1E">
              <w:rPr>
                <w:sz w:val="18"/>
                <w:lang w:val="es-ES_tradnl"/>
              </w:rPr>
              <w:t xml:space="preserve">La menor visibilidad y comprensión de la función y los beneficios de la UPOV repercuten en su expansión. </w:t>
            </w:r>
          </w:p>
        </w:tc>
        <w:tc>
          <w:tcPr>
            <w:tcW w:w="4356"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7227DF53" w14:textId="66D2A9E7" w:rsidR="003568AB" w:rsidRPr="00384A1E" w:rsidRDefault="003568AB">
            <w:pPr>
              <w:pStyle w:val="BodyText"/>
              <w:spacing w:before="60" w:after="120"/>
              <w:rPr>
                <w:rFonts w:cs="Arial"/>
                <w:sz w:val="18"/>
                <w:szCs w:val="18"/>
                <w:lang w:val="es-ES_tradnl"/>
              </w:rPr>
            </w:pPr>
            <w:r w:rsidRPr="00384A1E">
              <w:rPr>
                <w:sz w:val="18"/>
                <w:lang w:val="es-ES_tradnl"/>
              </w:rPr>
              <w:t xml:space="preserve">Aplicar una estrategia de comunicación específica a través de múltiples canales (sitio web, redes sociales y eventos), elaborando contenidos atractivos que muestren las ventajas del sistema de la UPOV mediante casos prácticos y experiencias satisfactorias. </w:t>
            </w:r>
          </w:p>
        </w:tc>
      </w:tr>
      <w:tr w:rsidR="00762585" w:rsidRPr="00384A1E" w14:paraId="66A76E71" w14:textId="77777777">
        <w:trPr>
          <w:trHeight w:val="1966"/>
        </w:trPr>
        <w:tc>
          <w:tcPr>
            <w:tcW w:w="2097"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2B901FBE" w14:textId="77777777" w:rsidR="003568AB" w:rsidRPr="00384A1E" w:rsidRDefault="003568AB">
            <w:pPr>
              <w:pStyle w:val="BodyText"/>
              <w:spacing w:before="60" w:after="120"/>
              <w:jc w:val="left"/>
              <w:rPr>
                <w:rFonts w:cs="Arial"/>
                <w:b/>
                <w:sz w:val="18"/>
                <w:szCs w:val="18"/>
                <w:lang w:val="es-ES_tradnl"/>
              </w:rPr>
            </w:pPr>
            <w:r w:rsidRPr="00384A1E">
              <w:rPr>
                <w:b/>
                <w:sz w:val="18"/>
                <w:lang w:val="es-ES_tradnl"/>
              </w:rPr>
              <w:t>Pilar 3: Proporcionar servicios de alta calidad a los miembros de la UPOV y a los usuarios del sistema de la UPOV</w:t>
            </w:r>
          </w:p>
        </w:tc>
        <w:tc>
          <w:tcPr>
            <w:tcW w:w="3299"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531E7BC9" w14:textId="0B91780F" w:rsidR="003568AB" w:rsidRPr="00384A1E" w:rsidRDefault="003568AB">
            <w:pPr>
              <w:pStyle w:val="BodyText"/>
              <w:spacing w:before="60" w:after="120"/>
              <w:rPr>
                <w:rFonts w:cs="Arial"/>
                <w:sz w:val="18"/>
                <w:szCs w:val="18"/>
                <w:lang w:val="es-ES_tradnl"/>
              </w:rPr>
            </w:pPr>
            <w:r w:rsidRPr="00384A1E">
              <w:rPr>
                <w:sz w:val="18"/>
                <w:lang w:val="es-ES_tradnl"/>
              </w:rPr>
              <w:t xml:space="preserve">La complejidad técnica y las limitaciones de recursos afectan al desarrollo y la implantación de los servicios </w:t>
            </w:r>
            <w:r w:rsidR="00C83503">
              <w:rPr>
                <w:sz w:val="18"/>
                <w:lang w:val="es-ES_tradnl"/>
              </w:rPr>
              <w:t>UPOV e</w:t>
            </w:r>
            <w:r w:rsidR="00C83503">
              <w:rPr>
                <w:sz w:val="18"/>
                <w:lang w:val="es-ES_tradnl"/>
              </w:rPr>
              <w:noBreakHyphen/>
              <w:t>PVP</w:t>
            </w:r>
            <w:r w:rsidRPr="00384A1E">
              <w:rPr>
                <w:sz w:val="18"/>
                <w:lang w:val="es-ES_tradnl"/>
              </w:rPr>
              <w:t xml:space="preserve">. </w:t>
            </w:r>
          </w:p>
        </w:tc>
        <w:tc>
          <w:tcPr>
            <w:tcW w:w="4356"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537FBDF6" w14:textId="4F6DC924" w:rsidR="003568AB" w:rsidRPr="00384A1E" w:rsidRDefault="003568AB">
            <w:pPr>
              <w:pStyle w:val="BodyText"/>
              <w:spacing w:before="60" w:after="120"/>
              <w:rPr>
                <w:rFonts w:cs="Arial"/>
                <w:sz w:val="18"/>
                <w:szCs w:val="18"/>
                <w:lang w:val="es-ES_tradnl"/>
              </w:rPr>
            </w:pPr>
            <w:r w:rsidRPr="00384A1E">
              <w:rPr>
                <w:sz w:val="18"/>
                <w:lang w:val="es-ES_tradnl"/>
              </w:rPr>
              <w:t>Dar prioridad a los componentes de</w:t>
            </w:r>
            <w:r w:rsidR="003C7FDB">
              <w:rPr>
                <w:sz w:val="18"/>
                <w:lang w:val="es-ES_tradnl"/>
              </w:rPr>
              <w:t xml:space="preserve"> los</w:t>
            </w:r>
            <w:r w:rsidRPr="00384A1E">
              <w:rPr>
                <w:sz w:val="18"/>
                <w:lang w:val="es-ES_tradnl"/>
              </w:rPr>
              <w:t xml:space="preserve"> servicio</w:t>
            </w:r>
            <w:r w:rsidR="003C7FDB">
              <w:rPr>
                <w:sz w:val="18"/>
                <w:lang w:val="es-ES_tradnl"/>
              </w:rPr>
              <w:t>s</w:t>
            </w:r>
            <w:r w:rsidRPr="00384A1E">
              <w:rPr>
                <w:sz w:val="18"/>
                <w:lang w:val="es-ES_tradnl"/>
              </w:rPr>
              <w:t xml:space="preserve"> </w:t>
            </w:r>
            <w:r w:rsidR="00C83503">
              <w:rPr>
                <w:sz w:val="18"/>
                <w:lang w:val="es-ES_tradnl"/>
              </w:rPr>
              <w:t>UPOV e</w:t>
            </w:r>
            <w:r w:rsidR="00C83503">
              <w:rPr>
                <w:sz w:val="18"/>
                <w:lang w:val="es-ES_tradnl"/>
              </w:rPr>
              <w:noBreakHyphen/>
              <w:t>PVP</w:t>
            </w:r>
            <w:r w:rsidRPr="00384A1E">
              <w:rPr>
                <w:sz w:val="18"/>
                <w:lang w:val="es-ES_tradnl"/>
              </w:rPr>
              <w:t xml:space="preserve"> (</w:t>
            </w:r>
            <w:r w:rsidR="00C83503">
              <w:rPr>
                <w:sz w:val="18"/>
                <w:lang w:val="es-ES_tradnl"/>
              </w:rPr>
              <w:t>UPOV PRISMA</w:t>
            </w:r>
            <w:r w:rsidRPr="00384A1E">
              <w:rPr>
                <w:sz w:val="18"/>
                <w:lang w:val="es-ES_tradnl"/>
              </w:rPr>
              <w:t>, módulo de administración, plataforma de intercambio de informes DHE y PLUTO) en función de las necesidades de los miembros y los recursos disponibles, aplicando un desarrollo incremental para gestionar la complejidad. Apoyar el uso por parte de los miembros mediante asistencia y formación e incorporar los comentarios de los usuarios para orientar las prioridades de desarrollo del sistema. </w:t>
            </w:r>
          </w:p>
        </w:tc>
      </w:tr>
      <w:tr w:rsidR="003568AB" w:rsidRPr="00384A1E" w14:paraId="4B2F0513" w14:textId="77777777">
        <w:trPr>
          <w:trHeight w:val="1966"/>
        </w:trPr>
        <w:tc>
          <w:tcPr>
            <w:tcW w:w="2097"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4044CA5B" w14:textId="77777777" w:rsidR="003568AB" w:rsidRPr="00384A1E" w:rsidRDefault="003568AB">
            <w:pPr>
              <w:pStyle w:val="BodyText"/>
              <w:spacing w:before="60" w:after="120"/>
              <w:jc w:val="left"/>
              <w:rPr>
                <w:rFonts w:cs="Arial"/>
                <w:b/>
                <w:sz w:val="18"/>
                <w:szCs w:val="18"/>
                <w:lang w:val="es-ES_tradnl"/>
              </w:rPr>
            </w:pPr>
            <w:r w:rsidRPr="00384A1E">
              <w:rPr>
                <w:b/>
                <w:sz w:val="18"/>
                <w:lang w:val="es-ES_tradnl"/>
              </w:rPr>
              <w:t>Fundamento: Velar por que nuestro personal tenga los medios de trabajar de forma eficaz, colaborativa e innovadora, y proporcionarle con ese fin los recursos, la formación y un entorno adecuados </w:t>
            </w:r>
          </w:p>
        </w:tc>
        <w:tc>
          <w:tcPr>
            <w:tcW w:w="3299"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2A13CEB7" w14:textId="77777777" w:rsidR="003568AB" w:rsidRPr="00384A1E" w:rsidRDefault="003568AB">
            <w:pPr>
              <w:pStyle w:val="BodyText"/>
              <w:spacing w:before="60" w:after="120"/>
              <w:rPr>
                <w:rFonts w:cs="Arial"/>
                <w:sz w:val="18"/>
                <w:szCs w:val="18"/>
                <w:lang w:val="es-ES_tradnl"/>
              </w:rPr>
            </w:pPr>
            <w:r w:rsidRPr="00384A1E">
              <w:rPr>
                <w:sz w:val="18"/>
                <w:lang w:val="es-ES_tradnl"/>
              </w:rPr>
              <w:t>Las condiciones económicas inciertas y la disminución de los recursos afectan a la capacidad de la UPOV para mantener y reforzar su capacidad operativa y atender la creciente demanda de los miembros. </w:t>
            </w:r>
          </w:p>
        </w:tc>
        <w:tc>
          <w:tcPr>
            <w:tcW w:w="4356"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54EE0B29" w14:textId="77777777" w:rsidR="003568AB" w:rsidRPr="00384A1E" w:rsidRDefault="003568AB">
            <w:pPr>
              <w:rPr>
                <w:rFonts w:cs="Arial"/>
                <w:sz w:val="18"/>
                <w:szCs w:val="18"/>
                <w:lang w:val="es-ES_tradnl"/>
              </w:rPr>
            </w:pPr>
            <w:r w:rsidRPr="00384A1E">
              <w:rPr>
                <w:sz w:val="18"/>
                <w:lang w:val="es-ES_tradnl"/>
              </w:rPr>
              <w:t>Diversificar los ingresos mediante la ampliación de los servicios de pago, los fondos fiduciarios y las iniciativas con múltiples donantes. Evaluar el valor de la unidad de contribución. Supervisar continuamente los ingresos en relación con las previsiones y ajustar los planes operativos en consecuencia, centrándose en los servicios básicos y las prioridades estratégicas. </w:t>
            </w:r>
          </w:p>
        </w:tc>
      </w:tr>
    </w:tbl>
    <w:p w14:paraId="397DC425" w14:textId="77777777" w:rsidR="003568AB" w:rsidRPr="00384A1E" w:rsidRDefault="003568AB" w:rsidP="00483AEF">
      <w:pPr>
        <w:pStyle w:val="BodyText"/>
        <w:keepNext/>
        <w:widowControl w:val="0"/>
        <w:numPr>
          <w:ilvl w:val="0"/>
          <w:numId w:val="67"/>
        </w:numPr>
        <w:autoSpaceDE w:val="0"/>
        <w:autoSpaceDN w:val="0"/>
        <w:spacing w:before="360"/>
        <w:ind w:left="714" w:hanging="357"/>
        <w:jc w:val="left"/>
        <w:rPr>
          <w:b/>
          <w:bCs/>
          <w:lang w:val="es-ES_tradnl"/>
        </w:rPr>
      </w:pPr>
      <w:r w:rsidRPr="00384A1E">
        <w:rPr>
          <w:b/>
          <w:lang w:val="es-ES_tradnl"/>
        </w:rPr>
        <w:lastRenderedPageBreak/>
        <w:t>Mecanismos de supervisión, vigilancia, reclamación y respuesta</w:t>
      </w:r>
    </w:p>
    <w:p w14:paraId="28DA8B58" w14:textId="77777777" w:rsidR="003568AB" w:rsidRPr="00384A1E" w:rsidRDefault="003568AB" w:rsidP="00483AEF">
      <w:pPr>
        <w:pStyle w:val="BodyText"/>
        <w:keepNext/>
        <w:rPr>
          <w:b/>
          <w:bCs/>
          <w:lang w:val="es-ES_tradnl"/>
        </w:rPr>
      </w:pPr>
    </w:p>
    <w:p w14:paraId="632088E2" w14:textId="7BE80BB8" w:rsidR="003568AB" w:rsidRPr="00384A1E" w:rsidRDefault="003568AB" w:rsidP="00446D93">
      <w:pPr>
        <w:pStyle w:val="BodyText"/>
        <w:rPr>
          <w:rFonts w:cs="Arial"/>
          <w:lang w:val="es-ES_tradnl"/>
        </w:rPr>
      </w:pPr>
      <w:r w:rsidRPr="00384A1E">
        <w:rPr>
          <w:lang w:val="es-ES_tradnl"/>
        </w:rPr>
        <w:t xml:space="preserve">Como </w:t>
      </w:r>
      <w:r w:rsidR="00446D93" w:rsidRPr="00384A1E">
        <w:rPr>
          <w:lang w:val="es-ES_tradnl"/>
        </w:rPr>
        <w:t xml:space="preserve">Secretario General </w:t>
      </w:r>
      <w:r w:rsidRPr="00384A1E">
        <w:rPr>
          <w:lang w:val="es-ES_tradnl"/>
        </w:rPr>
        <w:t xml:space="preserve">de la UPOV, soy responsable en última instancia de la eficacia del sistema de controles internos. Mi afirmación, estructurada por las “tres líneas” que siguen, se apoya y fundamenta en: </w:t>
      </w:r>
    </w:p>
    <w:p w14:paraId="5248EF92" w14:textId="77777777" w:rsidR="00F43015" w:rsidRPr="00384A1E" w:rsidRDefault="00F43015" w:rsidP="003568AB">
      <w:pPr>
        <w:pStyle w:val="BodyText"/>
        <w:jc w:val="left"/>
        <w:rPr>
          <w:rFonts w:cs="Arial"/>
          <w:lang w:val="es-ES_tradnl"/>
        </w:rPr>
      </w:pPr>
    </w:p>
    <w:p w14:paraId="72301EBD" w14:textId="77777777" w:rsidR="003568AB" w:rsidRPr="00384A1E" w:rsidRDefault="003568AB" w:rsidP="003568AB">
      <w:pPr>
        <w:rPr>
          <w:rFonts w:cs="Arial"/>
          <w:lang w:val="es-ES_tradnl"/>
        </w:rPr>
      </w:pPr>
      <w:r w:rsidRPr="00384A1E">
        <w:rPr>
          <w:noProof/>
          <w:lang w:val="es-ES_tradnl"/>
        </w:rPr>
        <mc:AlternateContent>
          <mc:Choice Requires="wpg">
            <w:drawing>
              <wp:inline distT="0" distB="0" distL="0" distR="0" wp14:anchorId="6884553C" wp14:editId="42BF6CD2">
                <wp:extent cx="6276975" cy="3171825"/>
                <wp:effectExtent l="0" t="0" r="28575" b="28575"/>
                <wp:docPr id="896084686" name="Group 7"/>
                <wp:cNvGraphicFramePr/>
                <a:graphic xmlns:a="http://schemas.openxmlformats.org/drawingml/2006/main">
                  <a:graphicData uri="http://schemas.microsoft.com/office/word/2010/wordprocessingGroup">
                    <wpg:wgp>
                      <wpg:cNvGrpSpPr/>
                      <wpg:grpSpPr>
                        <a:xfrm>
                          <a:off x="0" y="0"/>
                          <a:ext cx="6276975" cy="3171825"/>
                          <a:chOff x="-4630" y="-4560"/>
                          <a:chExt cx="8551022" cy="3320668"/>
                        </a:xfrm>
                      </wpg:grpSpPr>
                      <wps:wsp>
                        <wps:cNvPr id="462451251" name="Rettangolo con angoli arrotondati 43"/>
                        <wps:cNvSpPr/>
                        <wps:spPr>
                          <a:xfrm>
                            <a:off x="-4630" y="-4560"/>
                            <a:ext cx="2609042" cy="430253"/>
                          </a:xfrm>
                          <a:prstGeom prst="roundRect">
                            <a:avLst>
                              <a:gd name="adj" fmla="val 8559"/>
                            </a:avLst>
                          </a:prstGeom>
                          <a:solidFill>
                            <a:schemeClr val="bg1"/>
                          </a:solidFill>
                          <a:ln w="25400" cap="flat" cmpd="sng" algn="ctr">
                            <a:solidFill>
                              <a:schemeClr val="accent1">
                                <a:lumMod val="40000"/>
                                <a:lumOff val="60000"/>
                              </a:schemeClr>
                            </a:solidFill>
                            <a:prstDash val="solid"/>
                          </a:ln>
                          <a:effectLst/>
                        </wps:spPr>
                        <wps:txbx>
                          <w:txbxContent>
                            <w:p w14:paraId="5382E4CB" w14:textId="77777777" w:rsidR="003568AB" w:rsidRPr="00251458" w:rsidRDefault="003568AB" w:rsidP="003568AB">
                              <w:pPr>
                                <w:pStyle w:val="NormalWeb"/>
                                <w:spacing w:after="0"/>
                                <w:jc w:val="center"/>
                                <w:textAlignment w:val="baseline"/>
                                <w:rPr>
                                  <w:rFonts w:ascii="Arial" w:hAnsi="Arial" w:cs="Arial"/>
                                  <w:sz w:val="16"/>
                                </w:rPr>
                              </w:pPr>
                              <w:r>
                                <w:rPr>
                                  <w:rFonts w:ascii="Arial" w:hAnsi="Arial"/>
                                  <w:b/>
                                  <w:sz w:val="32"/>
                                </w:rPr>
                                <w:t>Primera línea</w:t>
                              </w:r>
                            </w:p>
                          </w:txbxContent>
                        </wps:txbx>
                        <wps:bodyPr lIns="40500" tIns="40500" rIns="40500" bIns="40500" rtlCol="0" anchor="ctr" anchorCtr="1"/>
                      </wps:wsp>
                      <wps:wsp>
                        <wps:cNvPr id="438584069" name="Rettangolo con angoli arrotondati 43"/>
                        <wps:cNvSpPr/>
                        <wps:spPr>
                          <a:xfrm>
                            <a:off x="-4630" y="507220"/>
                            <a:ext cx="2609042" cy="2806940"/>
                          </a:xfrm>
                          <a:prstGeom prst="roundRect">
                            <a:avLst>
                              <a:gd name="adj" fmla="val 2232"/>
                            </a:avLst>
                          </a:prstGeom>
                          <a:solidFill>
                            <a:schemeClr val="bg1"/>
                          </a:solidFill>
                          <a:ln w="25400" cap="flat" cmpd="sng" algn="ctr">
                            <a:solidFill>
                              <a:schemeClr val="accent1">
                                <a:lumMod val="40000"/>
                                <a:lumOff val="60000"/>
                              </a:schemeClr>
                            </a:solidFill>
                            <a:prstDash val="solid"/>
                          </a:ln>
                          <a:effectLst/>
                        </wps:spPr>
                        <wps:txbx>
                          <w:txbxContent>
                            <w:p w14:paraId="3990BA5E" w14:textId="2846A8AE" w:rsidR="003568AB" w:rsidRPr="00DA12FC" w:rsidRDefault="003568AB" w:rsidP="003568AB">
                              <w:pPr>
                                <w:pStyle w:val="NormalWeb"/>
                                <w:spacing w:before="144" w:beforeAutospacing="0" w:after="0" w:afterAutospacing="0"/>
                                <w:jc w:val="center"/>
                                <w:textAlignment w:val="baseline"/>
                                <w:rPr>
                                  <w:rFonts w:ascii="Arial" w:hAnsi="Arial" w:cs="Arial"/>
                                  <w:color w:val="000000" w:themeColor="text1"/>
                                  <w:sz w:val="18"/>
                                  <w:szCs w:val="20"/>
                                </w:rPr>
                              </w:pPr>
                              <w:r>
                                <w:rPr>
                                  <w:rFonts w:ascii="Arial" w:hAnsi="Arial"/>
                                  <w:color w:val="000000" w:themeColor="text1"/>
                                  <w:sz w:val="18"/>
                                </w:rPr>
                                <w:t xml:space="preserve">La </w:t>
                              </w:r>
                              <w:r w:rsidR="00446D93">
                                <w:rPr>
                                  <w:rFonts w:ascii="Arial" w:hAnsi="Arial"/>
                                  <w:color w:val="000000" w:themeColor="text1"/>
                                  <w:sz w:val="18"/>
                                </w:rPr>
                                <w:t xml:space="preserve">Secretaria General Adjunta </w:t>
                              </w:r>
                              <w:r>
                                <w:rPr>
                                  <w:rFonts w:ascii="Arial" w:hAnsi="Arial"/>
                                  <w:color w:val="000000" w:themeColor="text1"/>
                                  <w:sz w:val="18"/>
                                </w:rPr>
                                <w:t xml:space="preserve">de la UPOV es responsable de lograr los resultados previstos, ejecutar las actividades previstas en el mandato de la UPOV y gestionar los recursos que se le han confiado. En la carta de manifestaciones de la </w:t>
                              </w:r>
                              <w:r w:rsidR="00446D93">
                                <w:rPr>
                                  <w:rFonts w:ascii="Arial" w:hAnsi="Arial"/>
                                  <w:color w:val="000000" w:themeColor="text1"/>
                                  <w:sz w:val="18"/>
                                </w:rPr>
                                <w:t xml:space="preserve">Secretaria General Adjunta </w:t>
                              </w:r>
                              <w:r>
                                <w:rPr>
                                  <w:rFonts w:ascii="Arial" w:hAnsi="Arial"/>
                                  <w:color w:val="000000" w:themeColor="text1"/>
                                  <w:sz w:val="18"/>
                                </w:rPr>
                                <w:t>se confirma su responsabilidad de establecer y mantener unos sistemas que funcionen correctamente y un mecanismo de control interno destinado a prevenir o detectar los casos de fraude y los errores graves.</w:t>
                              </w:r>
                            </w:p>
                          </w:txbxContent>
                        </wps:txbx>
                        <wps:bodyPr lIns="40500" tIns="40500" rIns="40500" bIns="40500" rtlCol="0" anchor="t"/>
                      </wps:wsp>
                      <wps:wsp>
                        <wps:cNvPr id="12374268" name="Rectangle 12374268"/>
                        <wps:cNvSpPr/>
                        <wps:spPr bwMode="auto">
                          <a:xfrm>
                            <a:off x="2464351" y="1123853"/>
                            <a:ext cx="45719" cy="72008"/>
                          </a:xfrm>
                          <a:prstGeom prst="rect">
                            <a:avLst/>
                          </a:prstGeom>
                          <a:noFill/>
                          <a:ln>
                            <a:noFill/>
                          </a:ln>
                          <a:effectLst/>
                          <a:extLst>
                            <a:ext uri="{909E8E84-426E-40dd-AFC4-6F175D3DCCD1}">
                              <a14:hiddenFill xmlns:lc="http://schemas.openxmlformats.org/drawingml/2006/lockedCanvas"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a:solidFill>
                                  <a:schemeClr val="accent1"/>
                                </a:solidFill>
                              </a14:hiddenFill>
                            </a:ext>
                            <a:ext uri="{91240B29-F687-4f45-9708-019B960494DF}">
                              <a14:hiddenLine xmlns:lc="http://schemas.openxmlformats.org/drawingml/2006/lockedCanvas"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w="9525" cap="flat" cmpd="sng" algn="ctr">
                                <a:solidFill>
                                  <a:schemeClr val="tx1"/>
                                </a:solidFill>
                                <a:prstDash val="solid"/>
                                <a:round/>
                                <a:headEnd type="none" w="med" len="med"/>
                                <a:tailEnd type="none" w="med" len="med"/>
                              </a14:hiddenLine>
                            </a:ext>
                            <a:ext uri="{AF507438-7753-43e0-B8FC-AC1667EBCBE1}">
                              <a14:hiddenEffects xmlns:lc="http://schemas.openxmlformats.org/drawingml/2006/lockedCanvas"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a:effectLst>
                                  <a:outerShdw dist="35921" dir="2700000" algn="ctr" rotWithShape="0">
                                    <a:schemeClr val="bg2"/>
                                  </a:outerShdw>
                                </a:effectLst>
                              </a14:hiddenEffects>
                            </a:ext>
                          </a:extLst>
                        </wps:spPr>
                        <wps:bodyPr rot="0" spcFirstLastPara="0" vert="horz" wrap="square" lIns="91440" tIns="45720" rIns="91440" bIns="45720" numCol="1" spcCol="0" rtlCol="0" fromWordArt="0" anchor="t" anchorCtr="0" forceAA="0" compatLnSpc="1">
                          <a:prstTxWarp prst="textNoShape">
                            <a:avLst/>
                          </a:prstTxWarp>
                          <a:noAutofit/>
                        </wps:bodyPr>
                      </wps:wsp>
                      <wps:wsp>
                        <wps:cNvPr id="684864209" name="Rectangle 684864209"/>
                        <wps:cNvSpPr/>
                        <wps:spPr bwMode="auto">
                          <a:xfrm>
                            <a:off x="2892157" y="727866"/>
                            <a:ext cx="914400" cy="914400"/>
                          </a:xfrm>
                          <a:prstGeom prst="rect">
                            <a:avLst/>
                          </a:prstGeom>
                          <a:noFill/>
                          <a:ln>
                            <a:noFill/>
                          </a:ln>
                          <a:effectLst/>
                          <a:extLst>
                            <a:ext uri="{909E8E84-426E-40dd-AFC4-6F175D3DCCD1}">
                              <a14:hiddenFill xmlns:lc="http://schemas.openxmlformats.org/drawingml/2006/lockedCanvas"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a:solidFill>
                                  <a:schemeClr val="accent1"/>
                                </a:solidFill>
                              </a14:hiddenFill>
                            </a:ext>
                            <a:ext uri="{91240B29-F687-4f45-9708-019B960494DF}">
                              <a14:hiddenLine xmlns:lc="http://schemas.openxmlformats.org/drawingml/2006/lockedCanvas"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w="9525" cap="flat" cmpd="sng" algn="ctr">
                                <a:solidFill>
                                  <a:schemeClr val="tx1"/>
                                </a:solidFill>
                                <a:prstDash val="solid"/>
                                <a:round/>
                                <a:headEnd type="none" w="med" len="med"/>
                                <a:tailEnd type="none" w="med" len="med"/>
                              </a14:hiddenLine>
                            </a:ext>
                            <a:ext uri="{AF507438-7753-43e0-B8FC-AC1667EBCBE1}">
                              <a14:hiddenEffects xmlns:lc="http://schemas.openxmlformats.org/drawingml/2006/lockedCanvas"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a:effectLst>
                                  <a:outerShdw dist="35921" dir="2700000" algn="ctr" rotWithShape="0">
                                    <a:schemeClr val="bg2"/>
                                  </a:outerShdw>
                                </a:effectLst>
                              </a14:hiddenEffects>
                            </a:ext>
                          </a:extLst>
                        </wps:spPr>
                        <wps:bodyPr rot="0" spcFirstLastPara="0" vert="horz" wrap="square" lIns="91440" tIns="45720" rIns="91440" bIns="45720" numCol="1" spcCol="0" rtlCol="0" fromWordArt="0" anchor="t" anchorCtr="0" forceAA="0" compatLnSpc="1">
                          <a:prstTxWarp prst="textNoShape">
                            <a:avLst/>
                          </a:prstTxWarp>
                          <a:noAutofit/>
                        </wps:bodyPr>
                      </wps:wsp>
                      <wps:wsp>
                        <wps:cNvPr id="1225835632" name="Rettangolo con angoli arrotondati 43"/>
                        <wps:cNvSpPr/>
                        <wps:spPr>
                          <a:xfrm>
                            <a:off x="2710531" y="8608"/>
                            <a:ext cx="2597680" cy="417081"/>
                          </a:xfrm>
                          <a:prstGeom prst="roundRect">
                            <a:avLst>
                              <a:gd name="adj" fmla="val 8559"/>
                            </a:avLst>
                          </a:prstGeom>
                          <a:solidFill>
                            <a:schemeClr val="bg1"/>
                          </a:solidFill>
                          <a:ln w="25400" cap="flat" cmpd="sng" algn="ctr">
                            <a:solidFill>
                              <a:schemeClr val="bg1">
                                <a:lumMod val="75000"/>
                              </a:schemeClr>
                            </a:solidFill>
                            <a:prstDash val="solid"/>
                          </a:ln>
                          <a:effectLst/>
                        </wps:spPr>
                        <wps:txbx>
                          <w:txbxContent>
                            <w:p w14:paraId="440AE85C" w14:textId="77777777" w:rsidR="003568AB" w:rsidRPr="00251458" w:rsidRDefault="003568AB" w:rsidP="003568AB">
                              <w:pPr>
                                <w:pStyle w:val="NormalWeb"/>
                                <w:spacing w:after="0"/>
                                <w:jc w:val="center"/>
                                <w:textAlignment w:val="baseline"/>
                                <w:rPr>
                                  <w:rFonts w:ascii="Arial" w:hAnsi="Arial" w:cs="Arial"/>
                                  <w:b/>
                                  <w:bCs/>
                                  <w:kern w:val="24"/>
                                  <w:sz w:val="32"/>
                                  <w:szCs w:val="48"/>
                                </w:rPr>
                              </w:pPr>
                              <w:r>
                                <w:rPr>
                                  <w:rFonts w:ascii="Arial" w:hAnsi="Arial"/>
                                  <w:b/>
                                  <w:sz w:val="32"/>
                                </w:rPr>
                                <w:t>Segunda línea</w:t>
                              </w:r>
                            </w:p>
                          </w:txbxContent>
                        </wps:txbx>
                        <wps:bodyPr lIns="40500" tIns="40500" rIns="40500" bIns="40500" rtlCol="0" anchor="ctr" anchorCtr="1"/>
                      </wps:wsp>
                      <wps:wsp>
                        <wps:cNvPr id="1200665349" name="Rettangolo con angoli arrotondati 43"/>
                        <wps:cNvSpPr/>
                        <wps:spPr>
                          <a:xfrm>
                            <a:off x="2710533" y="515829"/>
                            <a:ext cx="2597678" cy="2800279"/>
                          </a:xfrm>
                          <a:prstGeom prst="roundRect">
                            <a:avLst>
                              <a:gd name="adj" fmla="val 2232"/>
                            </a:avLst>
                          </a:prstGeom>
                          <a:solidFill>
                            <a:schemeClr val="bg1"/>
                          </a:solidFill>
                          <a:ln w="25400" cap="flat" cmpd="sng" algn="ctr">
                            <a:solidFill>
                              <a:schemeClr val="bg1">
                                <a:lumMod val="75000"/>
                              </a:schemeClr>
                            </a:solidFill>
                            <a:prstDash val="solid"/>
                          </a:ln>
                          <a:effectLst/>
                        </wps:spPr>
                        <wps:txbx>
                          <w:txbxContent>
                            <w:p w14:paraId="7A584330" w14:textId="201E60E3" w:rsidR="003568AB" w:rsidRPr="00A155B1" w:rsidRDefault="003568AB" w:rsidP="003568AB">
                              <w:pPr>
                                <w:pStyle w:val="NormalWeb"/>
                                <w:spacing w:before="144" w:beforeAutospacing="0" w:after="0" w:afterAutospacing="0"/>
                                <w:jc w:val="center"/>
                                <w:textAlignment w:val="baseline"/>
                                <w:rPr>
                                  <w:rFonts w:ascii="Arial" w:hAnsi="Arial" w:cs="Arial"/>
                                  <w:sz w:val="18"/>
                                  <w:szCs w:val="18"/>
                                </w:rPr>
                              </w:pPr>
                              <w:r>
                                <w:rPr>
                                  <w:rFonts w:ascii="Arial" w:hAnsi="Arial"/>
                                  <w:sz w:val="18"/>
                                </w:rPr>
                                <w:t>La función de la Dirección en la gestión de los riesgos institucionales, incluido el cumplimiento de nuestro marco normativo, el comportamiento ético, el control interno, la seguridad de la información y la tecnología, la sostenibilidad y la garantía de calidad. Esas garantías se sustentan en un proceso sistemático de autoevaluación y validación interna de los controles a nivel de entidad, así como de los controles a nivel de los procesos esenciales establecidos en la OMPI.</w:t>
                              </w:r>
                            </w:p>
                          </w:txbxContent>
                        </wps:txbx>
                        <wps:bodyPr lIns="40500" tIns="40500" rIns="40500" bIns="40500" rtlCol="0" anchor="t"/>
                      </wps:wsp>
                      <wps:wsp>
                        <wps:cNvPr id="1389524135" name="Rettangolo con angoli arrotondati 43"/>
                        <wps:cNvSpPr/>
                        <wps:spPr>
                          <a:xfrm>
                            <a:off x="5386534" y="8608"/>
                            <a:ext cx="3159858" cy="417078"/>
                          </a:xfrm>
                          <a:prstGeom prst="roundRect">
                            <a:avLst>
                              <a:gd name="adj" fmla="val 8559"/>
                            </a:avLst>
                          </a:prstGeom>
                          <a:solidFill>
                            <a:schemeClr val="bg1"/>
                          </a:solidFill>
                          <a:ln w="25400" cap="flat" cmpd="sng" algn="ctr">
                            <a:solidFill>
                              <a:schemeClr val="accent2">
                                <a:lumMod val="60000"/>
                                <a:lumOff val="40000"/>
                              </a:schemeClr>
                            </a:solidFill>
                            <a:prstDash val="solid"/>
                          </a:ln>
                          <a:effectLst/>
                        </wps:spPr>
                        <wps:txbx>
                          <w:txbxContent>
                            <w:p w14:paraId="24DB6078" w14:textId="77777777" w:rsidR="003568AB" w:rsidRPr="00251458" w:rsidRDefault="003568AB" w:rsidP="003568AB">
                              <w:pPr>
                                <w:pStyle w:val="NormalWeb"/>
                                <w:spacing w:after="0"/>
                                <w:jc w:val="center"/>
                                <w:textAlignment w:val="baseline"/>
                                <w:rPr>
                                  <w:rFonts w:ascii="Arial" w:hAnsi="Arial" w:cs="Arial"/>
                                  <w:b/>
                                  <w:bCs/>
                                  <w:kern w:val="24"/>
                                  <w:sz w:val="40"/>
                                  <w:szCs w:val="48"/>
                                </w:rPr>
                              </w:pPr>
                              <w:r>
                                <w:rPr>
                                  <w:rFonts w:ascii="Arial" w:hAnsi="Arial"/>
                                  <w:b/>
                                  <w:sz w:val="32"/>
                                </w:rPr>
                                <w:t>Tercera</w:t>
                              </w:r>
                              <w:r>
                                <w:rPr>
                                  <w:rFonts w:ascii="Arial" w:hAnsi="Arial"/>
                                  <w:b/>
                                  <w:sz w:val="40"/>
                                </w:rPr>
                                <w:t xml:space="preserve"> </w:t>
                              </w:r>
                              <w:r>
                                <w:rPr>
                                  <w:rFonts w:ascii="Arial" w:hAnsi="Arial"/>
                                  <w:b/>
                                  <w:sz w:val="32"/>
                                </w:rPr>
                                <w:t>línea</w:t>
                              </w:r>
                            </w:p>
                          </w:txbxContent>
                        </wps:txbx>
                        <wps:bodyPr lIns="40500" tIns="40500" rIns="40500" bIns="40500" rtlCol="0" anchor="ctr" anchorCtr="1"/>
                      </wps:wsp>
                      <wps:wsp>
                        <wps:cNvPr id="1903921526" name="Rettangolo con angoli arrotondati 43"/>
                        <wps:cNvSpPr/>
                        <wps:spPr>
                          <a:xfrm>
                            <a:off x="5386534" y="515831"/>
                            <a:ext cx="3155228" cy="2800277"/>
                          </a:xfrm>
                          <a:prstGeom prst="roundRect">
                            <a:avLst>
                              <a:gd name="adj" fmla="val 2232"/>
                            </a:avLst>
                          </a:prstGeom>
                          <a:solidFill>
                            <a:schemeClr val="bg1"/>
                          </a:solidFill>
                          <a:ln w="25400" cap="flat" cmpd="sng" algn="ctr">
                            <a:solidFill>
                              <a:schemeClr val="accent2">
                                <a:lumMod val="60000"/>
                                <a:lumOff val="40000"/>
                              </a:schemeClr>
                            </a:solidFill>
                            <a:prstDash val="solid"/>
                          </a:ln>
                          <a:effectLst/>
                        </wps:spPr>
                        <wps:txbx>
                          <w:txbxContent>
                            <w:p w14:paraId="09B212B0" w14:textId="442269DB" w:rsidR="003568AB" w:rsidRPr="00A155B1" w:rsidRDefault="003568AB" w:rsidP="003568AB">
                              <w:pPr>
                                <w:pStyle w:val="NormalWeb"/>
                                <w:spacing w:before="144" w:beforeAutospacing="0" w:after="0" w:afterAutospacing="0"/>
                                <w:jc w:val="center"/>
                                <w:textAlignment w:val="baseline"/>
                                <w:rPr>
                                  <w:rFonts w:ascii="Arial" w:hAnsi="Arial" w:cs="Arial"/>
                                  <w:sz w:val="18"/>
                                  <w:szCs w:val="20"/>
                                </w:rPr>
                              </w:pPr>
                              <w:r>
                                <w:rPr>
                                  <w:rFonts w:ascii="Arial" w:hAnsi="Arial"/>
                                  <w:sz w:val="18"/>
                                </w:rPr>
                                <w:t>La División de Supervisión Interna (DSI) de la OMPI, en cuyos servicios de garantía y asesoramiento me apoyo a través del informe anual que el director de la DSI presenta a la OMPI, los informes de auditoría interna y evaluación, los informes sobre las consecuencias para la Dirección derivados de investigaciones, así como los informes de la DSI, si los hubiera, sobre la UPOV. La seguridad que expreso se basa en la opinión independiente del director de la DSI sobre la gobernanza, la gestión de riesgos y los controles internos de la OMPI. Esta opinión se basa en el trabajo de auditoría realizado por la DSI en 2025, así como en un análisis exhaustivo de los procesos de gobernanza, gestión de riesgos y control.</w:t>
                              </w:r>
                            </w:p>
                          </w:txbxContent>
                        </wps:txbx>
                        <wps:bodyPr lIns="40500" tIns="40500" rIns="40500" bIns="40500" rtlCol="0" anchor="t"/>
                      </wps:wsp>
                    </wpg:wgp>
                  </a:graphicData>
                </a:graphic>
              </wp:inline>
            </w:drawing>
          </mc:Choice>
          <mc:Fallback>
            <w:pict>
              <v:group w14:anchorId="6884553C" id="Group 7" o:spid="_x0000_s1026" style="width:494.25pt;height:249.75pt;mso-position-horizontal-relative:char;mso-position-vertical-relative:line" coordorigin="-46,-45" coordsize="85510,33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pF+wQAAFgZAAAOAAAAZHJzL2Uyb0RvYy54bWzsWeFvozYc/T5p/4PF9zZgMJCo6alq12pS&#10;d6uuN91nx0DCBJgZt8ntr9+zMSRpe5t2l3ZVd18SjO0f9vPz+z3MybtNXZH7XHWlbOZecOx7JG+E&#10;zMpmOfd++3h5lHqk07zJeCWbfO59zjvv3emPP5ys21lO5UpWWa4IgjTdbN3OvZXW7Wwy6cQqr3l3&#10;LNu8QWUhVc01imo5yRRfI3pdTajvx5O1VFmrpMi7Dncv+krv1MYvilzoX4uiyzWp5h7Gpu2vsr8L&#10;8zs5PeGzpeLtqhRuGPwrRlHzssFDx1AXXHNyp8pHoepSKNnJQh8LWU9kUZQit3PAbAL/wWyulLxr&#10;7VyWs/WyHWECtA9w+uqw4v39lWpv2xsFJNbtEljYkpnLplC1+ccoycZC9nmELN9oInAzpkk8TZhH&#10;BOrCIAlSynpQxQrIm35HURwCetQfRSx2kIvVTy5CyljgU+oihNSP49REmAwDmOwNa92CKN0Wi+7b&#10;sLhd8Ta3EHczYHGjSJnNvSimEQsoCzzS8Bq0/ZBrkHgpK0mEbIi9LAlXSmoJbuuSRKEZtBkdwox4&#10;drMO0D4B5pOgDKDS2J/6kYMkCn3KbPARET5rVaevclkTczH3wJMm+wCyWw7y++tOWzJmbvg8+90j&#10;RV2B2ve8IoB86iB2bRF6CGk6drIqs8uyqmzB7MX8vFIEfefeYhm4vnutqoas5x5lkY+1Fhxbuai4&#10;xmXdAtCuWXqEV0tohNDKjnKvt93v22dwIfJGB7ZddVf/IrP+2QiO8HbP4rbhlx1SPNzGNMZIlkF7&#10;DzEzvODdqu9kq9xMqsZMNLd6AewM+8xK9mtnrvRmsXHLu5DZZ9Ck+rkB9SKfmfnq3YLaLSx2C0pX&#10;57IXIt6IlYQOGTRAJ1M41yj32DqS93x6fraHKUsjP56+ANuZn1DqlvBJutMUA4lsi4PxndKQfue7&#10;2dP/hu9WCS0fDR0PS3ttB/KyNA9omEQUyWXUdGE0vcrJWPNFBSeLNUQIiYDfaWll6UFypFEchSZf&#10;IM0FiJf2kg1RcWkuYkmADWbSZALjsp/ituo7CPqelhs92jYxUtVIo864z2e9do030PAf1cytJZKX&#10;zepdKy5LaOM17/QNV0gSkDR4OtRClv70yBr+CBr+xx1XueeUbxpE2KWD8jHMySO98rkap3x9TXNX&#10;W+UDQHjaIII7elgoWX+ClTszT0WoQR+RQXbUERWwgiI/O7ONYKFarq+b21YY5TRoGI3/uPnEVeuQ&#10;1FiA93JI83xmE94W0L5tD+kZ1rYoR/XvUXKpACL8Qmocp1EaR9TfUeOBp9uqbyBqOqUBSyxRE5qk&#10;cWy24pandvWAsyGqu+7RGgg/+ITvTP2/MzWglKUhi5FcR0k9sE2mSeCzsJfVNO5Vc8tVyqZJnDqy&#10;RkHip4M1/RJZ35hPNl7c5oAdj5zAkQ726fnMsDUH1lQd3hy8Bk8cmMOFmIXRjgw/C7dDq8QsYCm1&#10;72QP2J3Arhgphi32aTK8tR2G3q/eFv/H9B7f6N+A9w3TKaNREOKk5plONFiYmv1i6fxYqsOATfGW&#10;2ZPZSDWI/fe+4o1JdX+kQR/J9Xh2Ad++c6QxnnQ865FGf9hlFuKNqvjUD43dpfGL0N6oOMzKnp8G&#10;8RmleyqeHJT5r17FXy/z7Un14Zn/4HDDnl/j+N6+xLtPDeb7wG7ZvmVuP4ic/gUAAP//AwBQSwME&#10;FAAGAAgAAAAhAP0ntP3dAAAABQEAAA8AAABkcnMvZG93bnJldi54bWxMj0FLw0AQhe+C/2EZwZvd&#10;RI0kMZtSinoqQltBvE2z0yQ0Oxuy2yT9965e9DLweI/3vimWs+nESINrLSuIFxEI4srqlmsFH/vX&#10;uxSE88gaO8uk4EIOluX1VYG5thNvadz5WoQSdjkqaLzvcyld1ZBBt7A9cfCOdjDogxxqqQecQrnp&#10;5H0UPUmDLYeFBntaN1Sddmej4G3CafUQv4yb03F9+don75+bmJS6vZlXzyA8zf4vDD/4AR3KwHSw&#10;Z9ZOdArCI/73Bi9L0wTEQcFjliUgy0L+py+/AQAA//8DAFBLAQItABQABgAIAAAAIQC2gziS/gAA&#10;AOEBAAATAAAAAAAAAAAAAAAAAAAAAABbQ29udGVudF9UeXBlc10ueG1sUEsBAi0AFAAGAAgAAAAh&#10;ADj9If/WAAAAlAEAAAsAAAAAAAAAAAAAAAAALwEAAF9yZWxzLy5yZWxzUEsBAi0AFAAGAAgAAAAh&#10;AMdt6kX7BAAAWBkAAA4AAAAAAAAAAAAAAAAALgIAAGRycy9lMm9Eb2MueG1sUEsBAi0AFAAGAAgA&#10;AAAhAP0ntP3dAAAABQEAAA8AAAAAAAAAAAAAAAAAVQcAAGRycy9kb3ducmV2LnhtbFBLBQYAAAAA&#10;BAAEAPMAAABfCAAAAAA=&#10;">
                <v:roundrect id="Rettangolo con angoli arrotondati 43" o:spid="_x0000_s1027" style="position:absolute;left:-46;top:-45;width:26090;height:4301;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u9zAAAAOIAAAAPAAAAZHJzL2Rvd25yZXYueG1sRI9BS8NA&#10;FITvQv/D8gpexGySpqXEbosoQitUsQrm+Mi+JqnZtyG7NvHfu0LB4zAz3zCrzWhacabeNZYVJFEM&#10;gri0uuFKwcf70+0ShPPIGlvLpOCHHGzWk6sV5toO/Ebng69EgLDLUUHtfZdL6cqaDLrIdsTBO9re&#10;oA+yr6TucQhw08o0jhfSYMNhocaOHmoqvw7fRsGucDcv2+5x337Gr8UMT9mwfM6Uup6O93cgPI3+&#10;P3xpb7WCbJFm8ySdJ/B3KdwBuf4FAAD//wMAUEsBAi0AFAAGAAgAAAAhANvh9svuAAAAhQEAABMA&#10;AAAAAAAAAAAAAAAAAAAAAFtDb250ZW50X1R5cGVzXS54bWxQSwECLQAUAAYACAAAACEAWvQsW78A&#10;AAAVAQAACwAAAAAAAAAAAAAAAAAfAQAAX3JlbHMvLnJlbHNQSwECLQAUAAYACAAAACEABVg7vcwA&#10;AADiAAAADwAAAAAAAAAAAAAAAAAHAgAAZHJzL2Rvd25yZXYueG1sUEsFBgAAAAADAAMAtwAAAAAD&#10;AAAAAA==&#10;" fillcolor="white [3212]" strokecolor="#b8cce4 [1300]" strokeweight="2pt">
                  <v:textbox inset="1.125mm,1.125mm,1.125mm,1.125mm">
                    <w:txbxContent>
                      <w:p w14:paraId="5382E4CB" w14:textId="77777777" w:rsidR="003568AB" w:rsidRPr="00251458" w:rsidRDefault="003568AB" w:rsidP="003568AB">
                        <w:pPr>
                          <w:pStyle w:val="NormalWeb"/>
                          <w:spacing w:after="0"/>
                          <w:jc w:val="center"/>
                          <w:textAlignment w:val="baseline"/>
                          <w:rPr>
                            <w:rFonts w:ascii="Arial" w:hAnsi="Arial" w:cs="Arial"/>
                            <w:sz w:val="16"/>
                          </w:rPr>
                        </w:pPr>
                        <w:r>
                          <w:rPr>
                            <w:rFonts w:ascii="Arial" w:hAnsi="Arial"/>
                            <w:b/>
                            <w:sz w:val="32"/>
                          </w:rPr>
                          <w:t>Primera línea</w:t>
                        </w:r>
                      </w:p>
                    </w:txbxContent>
                  </v:textbox>
                </v:roundrect>
                <v:roundrect id="Rettangolo con angoli arrotondati 43" o:spid="_x0000_s1028" style="position:absolute;left:-46;top:5072;width:26090;height:28069;visibility:visible;mso-wrap-style:square;v-text-anchor:top" arcsize="1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vLlywAAAOIAAAAPAAAAZHJzL2Rvd25yZXYueG1sRI9RS8Mw&#10;FIXfBf9DuIIvwyVqnbUuGyIK7mGg3X7Apbk2xeamJrGr/nozEHw8nHO+w1muJ9eLkULsPGu4nCsQ&#10;xI03Hbca9rvnixJETMgGe8+k4ZsirFenJ0usjD/wG411akWGcKxQg01pqKSMjSWHce4H4uy9++Aw&#10;ZRlaaQIeMtz18kqphXTYcV6wONCjpeaj/nIa6tmusD/7cVY8BTW+brbD9vZzo/X52fRwDyLRlP7D&#10;f+0Xo6G4Lm/KQi3u4Hgp3wG5+gUAAP//AwBQSwECLQAUAAYACAAAACEA2+H2y+4AAACFAQAAEwAA&#10;AAAAAAAAAAAAAAAAAAAAW0NvbnRlbnRfVHlwZXNdLnhtbFBLAQItABQABgAIAAAAIQBa9CxbvwAA&#10;ABUBAAALAAAAAAAAAAAAAAAAAB8BAABfcmVscy8ucmVsc1BLAQItABQABgAIAAAAIQBzAvLlywAA&#10;AOIAAAAPAAAAAAAAAAAAAAAAAAcCAABkcnMvZG93bnJldi54bWxQSwUGAAAAAAMAAwC3AAAA/wIA&#10;AAAA&#10;" fillcolor="white [3212]" strokecolor="#b8cce4 [1300]" strokeweight="2pt">
                  <v:textbox inset="1.125mm,1.125mm,1.125mm,1.125mm">
                    <w:txbxContent>
                      <w:p w14:paraId="3990BA5E" w14:textId="2846A8AE" w:rsidR="003568AB" w:rsidRPr="00DA12FC" w:rsidRDefault="003568AB" w:rsidP="003568AB">
                        <w:pPr>
                          <w:pStyle w:val="NormalWeb"/>
                          <w:spacing w:before="144" w:beforeAutospacing="0" w:after="0" w:afterAutospacing="0"/>
                          <w:jc w:val="center"/>
                          <w:textAlignment w:val="baseline"/>
                          <w:rPr>
                            <w:rFonts w:ascii="Arial" w:hAnsi="Arial" w:cs="Arial"/>
                            <w:color w:val="000000" w:themeColor="text1"/>
                            <w:sz w:val="18"/>
                            <w:szCs w:val="20"/>
                          </w:rPr>
                        </w:pPr>
                        <w:r>
                          <w:rPr>
                            <w:rFonts w:ascii="Arial" w:hAnsi="Arial"/>
                            <w:color w:val="000000" w:themeColor="text1"/>
                            <w:sz w:val="18"/>
                          </w:rPr>
                          <w:t xml:space="preserve">La </w:t>
                        </w:r>
                        <w:r w:rsidR="00446D93">
                          <w:rPr>
                            <w:rFonts w:ascii="Arial" w:hAnsi="Arial"/>
                            <w:color w:val="000000" w:themeColor="text1"/>
                            <w:sz w:val="18"/>
                          </w:rPr>
                          <w:t xml:space="preserve">Secretaria General Adjunta </w:t>
                        </w:r>
                        <w:r>
                          <w:rPr>
                            <w:rFonts w:ascii="Arial" w:hAnsi="Arial"/>
                            <w:color w:val="000000" w:themeColor="text1"/>
                            <w:sz w:val="18"/>
                          </w:rPr>
                          <w:t xml:space="preserve">de la UPOV es responsable de lograr los resultados previstos, ejecutar las actividades previstas en el mandato de la UPOV y gestionar los recursos que se le han confiado. En la carta de manifestaciones de la </w:t>
                        </w:r>
                        <w:r w:rsidR="00446D93">
                          <w:rPr>
                            <w:rFonts w:ascii="Arial" w:hAnsi="Arial"/>
                            <w:color w:val="000000" w:themeColor="text1"/>
                            <w:sz w:val="18"/>
                          </w:rPr>
                          <w:t xml:space="preserve">Secretaria General Adjunta </w:t>
                        </w:r>
                        <w:r>
                          <w:rPr>
                            <w:rFonts w:ascii="Arial" w:hAnsi="Arial"/>
                            <w:color w:val="000000" w:themeColor="text1"/>
                            <w:sz w:val="18"/>
                          </w:rPr>
                          <w:t>se confirma su responsabilidad de establecer y mantener unos sistemas que funcionen correctamente y un mecanismo de control interno destinado a prevenir o detectar los casos de fraude y los errores graves.</w:t>
                        </w:r>
                      </w:p>
                    </w:txbxContent>
                  </v:textbox>
                </v:roundrect>
                <v:rect id="Rectangle 12374268" o:spid="_x0000_s1029" style="position:absolute;left:24643;top:11238;width:45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5y9xgAAAOEAAAAPAAAAZHJzL2Rvd25yZXYueG1sRE9NS8NA&#10;EL0L/odlCl7EbozSSuy2SEEMIpSm2vOQHZPQ7GyaXZP4752D0OPjfa82k2vVQH1oPBu4nyegiEtv&#10;G64MfB5e755AhYhssfVMBn4pwGZ9fbXCzPqR9zQUsVISwiFDA3WMXaZ1KGtyGOa+Ixbu2/cOo8C+&#10;0rbHUcJdq9MkWWiHDUtDjR1taypPxY8zMJa74Xj4eNO722Pu+Zyft8XXuzE3s+nlGVSkKV7E/+7c&#10;yvz0YfmYLmSyPBIIev0HAAD//wMAUEsBAi0AFAAGAAgAAAAhANvh9svuAAAAhQEAABMAAAAAAAAA&#10;AAAAAAAAAAAAAFtDb250ZW50X1R5cGVzXS54bWxQSwECLQAUAAYACAAAACEAWvQsW78AAAAVAQAA&#10;CwAAAAAAAAAAAAAAAAAfAQAAX3JlbHMvLnJlbHNQSwECLQAUAAYACAAAACEA8ZecvcYAAADhAAAA&#10;DwAAAAAAAAAAAAAAAAAHAgAAZHJzL2Rvd25yZXYueG1sUEsFBgAAAAADAAMAtwAAAPoCAAAAAA==&#10;" filled="f" stroked="f"/>
                <v:rect id="Rectangle 684864209" o:spid="_x0000_s1030" style="position:absolute;left:28921;top:7278;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Z2IywAAAOIAAAAPAAAAZHJzL2Rvd25yZXYueG1sRI9Ba8JA&#10;FITvhf6H5RW8lLqpSEhTVymCGESQxtbzI/uahGbfxuyaxH/vFgoeh5n5hlmsRtOInjpXW1bwOo1A&#10;EBdW11wq+DpuXhIQziNrbCyTgis5WC0fHxaYajvwJ/W5L0WAsEtRQeV9m0rpiooMuqltiYP3YzuD&#10;PsiulLrDIcBNI2dRFEuDNYeFCltaV1T85hejYCgO/em438rD8ymzfM7O6/x7p9Tkafx4B+Fp9Pfw&#10;fzvTCuJknsTzWfQGf5fCHZDLGwAAAP//AwBQSwECLQAUAAYACAAAACEA2+H2y+4AAACFAQAAEwAA&#10;AAAAAAAAAAAAAAAAAAAAW0NvbnRlbnRfVHlwZXNdLnhtbFBLAQItABQABgAIAAAAIQBa9CxbvwAA&#10;ABUBAAALAAAAAAAAAAAAAAAAAB8BAABfcmVscy8ucmVsc1BLAQItABQABgAIAAAAIQCO1Z2IywAA&#10;AOIAAAAPAAAAAAAAAAAAAAAAAAcCAABkcnMvZG93bnJldi54bWxQSwUGAAAAAAMAAwC3AAAA/wIA&#10;AAAA&#10;" filled="f" stroked="f"/>
                <v:roundrect id="Rettangolo con angoli arrotondati 43" o:spid="_x0000_s1031" style="position:absolute;left:27105;top:86;width:25977;height:4170;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JdcxwAAAOMAAAAPAAAAZHJzL2Rvd25yZXYueG1sRE9Li8Iw&#10;EL4v7H8II+xtTY0ooRpFhIKHPez6OHgbmrEtNpPSRO3++82C4HG+9yzXg2vFnfrQeDYwGWcgiEtv&#10;G64MHA/FpwYRIrLF1jMZ+KUA69X72xJz6x/8Q/d9rEQK4ZCjgTrGLpcylDU5DGPfESfu4nuHMZ19&#10;JW2PjxTuWqmybC4dNpwaauxoW1N53d+cgU1hv/F22Cl5mpyLrSZ90tcvYz5Gw2YBItIQX+Kne2fT&#10;fKVmejqbTxX8/5QAkKs/AAAA//8DAFBLAQItABQABgAIAAAAIQDb4fbL7gAAAIUBAAATAAAAAAAA&#10;AAAAAAAAAAAAAABbQ29udGVudF9UeXBlc10ueG1sUEsBAi0AFAAGAAgAAAAhAFr0LFu/AAAAFQEA&#10;AAsAAAAAAAAAAAAAAAAAHwEAAF9yZWxzLy5yZWxzUEsBAi0AFAAGAAgAAAAhAE2sl1zHAAAA4wAA&#10;AA8AAAAAAAAAAAAAAAAABwIAAGRycy9kb3ducmV2LnhtbFBLBQYAAAAAAwADALcAAAD7AgAAAAA=&#10;" fillcolor="white [3212]" strokecolor="#bfbfbf [2412]" strokeweight="2pt">
                  <v:textbox inset="1.125mm,1.125mm,1.125mm,1.125mm">
                    <w:txbxContent>
                      <w:p w14:paraId="440AE85C" w14:textId="77777777" w:rsidR="003568AB" w:rsidRPr="00251458" w:rsidRDefault="003568AB" w:rsidP="003568AB">
                        <w:pPr>
                          <w:pStyle w:val="NormalWeb"/>
                          <w:spacing w:after="0"/>
                          <w:jc w:val="center"/>
                          <w:textAlignment w:val="baseline"/>
                          <w:rPr>
                            <w:rFonts w:ascii="Arial" w:hAnsi="Arial" w:cs="Arial"/>
                            <w:b/>
                            <w:bCs/>
                            <w:kern w:val="24"/>
                            <w:sz w:val="32"/>
                            <w:szCs w:val="48"/>
                          </w:rPr>
                        </w:pPr>
                        <w:r>
                          <w:rPr>
                            <w:rFonts w:ascii="Arial" w:hAnsi="Arial"/>
                            <w:b/>
                            <w:sz w:val="32"/>
                          </w:rPr>
                          <w:t>Segunda línea</w:t>
                        </w:r>
                      </w:p>
                    </w:txbxContent>
                  </v:textbox>
                </v:roundrect>
                <v:roundrect id="Rettangolo con angoli arrotondati 43" o:spid="_x0000_s1032" style="position:absolute;left:27105;top:5158;width:25977;height:28003;visibility:visible;mso-wrap-style:square;v-text-anchor:top" arcsize="1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pQbzAAAAOMAAAAPAAAAZHJzL2Rvd25yZXYueG1sRI9bawIx&#10;EIXfC/0PYYS+FM22XtDVKKViURDFC/g6bMbdtZvJkkTd/vtGKPRx5pzzzZnJrDGVuJHzpWUFb50E&#10;BHFmdcm5guNh0R6C8AFZY2WZFPyQh9n0+WmCqbZ33tFtH3IRIexTVFCEUKdS+qwgg75ja+Kona0z&#10;GOLocqkd3iPcVPI9SQbSYMnxQoE1fRaUfe+vRoFbX1abbP51qkaXeTfxi+3r1Z6Vemk1H2MQgZrw&#10;b/5LL3Ws/0AO+t3eCB4/xQXI6S8AAAD//wMAUEsBAi0AFAAGAAgAAAAhANvh9svuAAAAhQEAABMA&#10;AAAAAAAAAAAAAAAAAAAAAFtDb250ZW50X1R5cGVzXS54bWxQSwECLQAUAAYACAAAACEAWvQsW78A&#10;AAAVAQAACwAAAAAAAAAAAAAAAAAfAQAAX3JlbHMvLnJlbHNQSwECLQAUAAYACAAAACEAxuqUG8wA&#10;AADjAAAADwAAAAAAAAAAAAAAAAAHAgAAZHJzL2Rvd25yZXYueG1sUEsFBgAAAAADAAMAtwAAAAAD&#10;AAAAAA==&#10;" fillcolor="white [3212]" strokecolor="#bfbfbf [2412]" strokeweight="2pt">
                  <v:textbox inset="1.125mm,1.125mm,1.125mm,1.125mm">
                    <w:txbxContent>
                      <w:p w14:paraId="7A584330" w14:textId="201E60E3" w:rsidR="003568AB" w:rsidRPr="00A155B1" w:rsidRDefault="003568AB" w:rsidP="003568AB">
                        <w:pPr>
                          <w:pStyle w:val="NormalWeb"/>
                          <w:spacing w:before="144" w:beforeAutospacing="0" w:after="0" w:afterAutospacing="0"/>
                          <w:jc w:val="center"/>
                          <w:textAlignment w:val="baseline"/>
                          <w:rPr>
                            <w:rFonts w:ascii="Arial" w:hAnsi="Arial" w:cs="Arial"/>
                            <w:sz w:val="18"/>
                            <w:szCs w:val="18"/>
                          </w:rPr>
                        </w:pPr>
                        <w:r>
                          <w:rPr>
                            <w:rFonts w:ascii="Arial" w:hAnsi="Arial"/>
                            <w:sz w:val="18"/>
                          </w:rPr>
                          <w:t>La función de la Dirección en la gestión de los riesgos institucionales, incluido el cumplimiento de nuestro marco normativo, el comportamiento ético, el control interno, la seguridad de la información y la tecnología, la sostenibilidad y la garantía de calidad. Esas garantías se sustentan en un proceso sistemático de autoevaluación y validación interna de los controles a nivel de entidad, así como de los controles a nivel de los procesos esenciales establecidos en la OMPI.</w:t>
                        </w:r>
                      </w:p>
                    </w:txbxContent>
                  </v:textbox>
                </v:roundrect>
                <v:roundrect id="Rettangolo con angoli arrotondati 43" o:spid="_x0000_s1033" style="position:absolute;left:53865;top:86;width:31598;height:4170;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17yyAAAAOMAAAAPAAAAZHJzL2Rvd25yZXYueG1sRE/NasJA&#10;EL4LfYdlCr3VjT8RTV1FCi05FNS0DzBkx2TT7Gya3Wp8+65Q8Djf/6y3g23FmXpvHCuYjBMQxKXT&#10;hisFX59vz0sQPiBrbB2Tgit52G4eRmvMtLvwkc5FqEQMYZ+hgjqELpPSlzVZ9GPXEUfu5HqLIZ59&#10;JXWPlxhuWzlNkoW0aDg21NjRa03ld/FrFXz8YH4wdlcsmqYx+6JJ33OfKvX0OOxeQAQawl387851&#10;nD9brtLpfDJL4fZTBEBu/gAAAP//AwBQSwECLQAUAAYACAAAACEA2+H2y+4AAACFAQAAEwAAAAAA&#10;AAAAAAAAAAAAAAAAW0NvbnRlbnRfVHlwZXNdLnhtbFBLAQItABQABgAIAAAAIQBa9CxbvwAAABUB&#10;AAALAAAAAAAAAAAAAAAAAB8BAABfcmVscy8ucmVsc1BLAQItABQABgAIAAAAIQA6Z17yyAAAAOMA&#10;AAAPAAAAAAAAAAAAAAAAAAcCAABkcnMvZG93bnJldi54bWxQSwUGAAAAAAMAAwC3AAAA/AIAAAAA&#10;" fillcolor="white [3212]" strokecolor="#d99594 [1941]" strokeweight="2pt">
                  <v:textbox inset="1.125mm,1.125mm,1.125mm,1.125mm">
                    <w:txbxContent>
                      <w:p w14:paraId="24DB6078" w14:textId="77777777" w:rsidR="003568AB" w:rsidRPr="00251458" w:rsidRDefault="003568AB" w:rsidP="003568AB">
                        <w:pPr>
                          <w:pStyle w:val="NormalWeb"/>
                          <w:spacing w:after="0"/>
                          <w:jc w:val="center"/>
                          <w:textAlignment w:val="baseline"/>
                          <w:rPr>
                            <w:rFonts w:ascii="Arial" w:hAnsi="Arial" w:cs="Arial"/>
                            <w:b/>
                            <w:bCs/>
                            <w:kern w:val="24"/>
                            <w:sz w:val="40"/>
                            <w:szCs w:val="48"/>
                          </w:rPr>
                        </w:pPr>
                        <w:r>
                          <w:rPr>
                            <w:rFonts w:ascii="Arial" w:hAnsi="Arial"/>
                            <w:b/>
                            <w:sz w:val="32"/>
                          </w:rPr>
                          <w:t>Tercera</w:t>
                        </w:r>
                        <w:r>
                          <w:rPr>
                            <w:rFonts w:ascii="Arial" w:hAnsi="Arial"/>
                            <w:b/>
                            <w:sz w:val="40"/>
                          </w:rPr>
                          <w:t xml:space="preserve"> </w:t>
                        </w:r>
                        <w:r>
                          <w:rPr>
                            <w:rFonts w:ascii="Arial" w:hAnsi="Arial"/>
                            <w:b/>
                            <w:sz w:val="32"/>
                          </w:rPr>
                          <w:t>línea</w:t>
                        </w:r>
                      </w:p>
                    </w:txbxContent>
                  </v:textbox>
                </v:roundrect>
                <v:roundrect id="Rettangolo con angoli arrotondati 43" o:spid="_x0000_s1034" style="position:absolute;left:53865;top:5158;width:31552;height:28003;visibility:visible;mso-wrap-style:square;v-text-anchor:top" arcsize="1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4XxgAAAOMAAAAPAAAAZHJzL2Rvd25yZXYueG1sRE9fa8Iw&#10;EH8f7DuEG+xtplYqtTPKEAbCUKbbBziaWxtsLiXJbOenN4Kwx/v9v+V6tJ04kw/GsYLpJANBXDtt&#10;uFHw/fX+UoIIEVlj55gU/FGA9erxYYmVdgMf6HyMjUghHCpU0MbYV1KGuiWLYeJ64sT9OG8xptM3&#10;UnscUrjtZJ5lc2nRcGposadNS/Xp+GsV8I4Kw6a4nLZ62Osw+yg/N16p56fx7RVEpDH+i+/urU7z&#10;F9lskU+LfA63nxIAcnUFAAD//wMAUEsBAi0AFAAGAAgAAAAhANvh9svuAAAAhQEAABMAAAAAAAAA&#10;AAAAAAAAAAAAAFtDb250ZW50X1R5cGVzXS54bWxQSwECLQAUAAYACAAAACEAWvQsW78AAAAVAQAA&#10;CwAAAAAAAAAAAAAAAAAfAQAAX3JlbHMvLnJlbHNQSwECLQAUAAYACAAAACEA/0duF8YAAADjAAAA&#10;DwAAAAAAAAAAAAAAAAAHAgAAZHJzL2Rvd25yZXYueG1sUEsFBgAAAAADAAMAtwAAAPoCAAAAAA==&#10;" fillcolor="white [3212]" strokecolor="#d99594 [1941]" strokeweight="2pt">
                  <v:textbox inset="1.125mm,1.125mm,1.125mm,1.125mm">
                    <w:txbxContent>
                      <w:p w14:paraId="09B212B0" w14:textId="442269DB" w:rsidR="003568AB" w:rsidRPr="00A155B1" w:rsidRDefault="003568AB" w:rsidP="003568AB">
                        <w:pPr>
                          <w:pStyle w:val="NormalWeb"/>
                          <w:spacing w:before="144" w:beforeAutospacing="0" w:after="0" w:afterAutospacing="0"/>
                          <w:jc w:val="center"/>
                          <w:textAlignment w:val="baseline"/>
                          <w:rPr>
                            <w:rFonts w:ascii="Arial" w:hAnsi="Arial" w:cs="Arial"/>
                            <w:sz w:val="18"/>
                            <w:szCs w:val="20"/>
                          </w:rPr>
                        </w:pPr>
                        <w:r>
                          <w:rPr>
                            <w:rFonts w:ascii="Arial" w:hAnsi="Arial"/>
                            <w:sz w:val="18"/>
                          </w:rPr>
                          <w:t>La División de Supervisión Interna (DSI) de la OMPI, en cuyos servicios de garantía y asesoramiento me apoyo a través del informe anual que el director de la DSI presenta a la OMPI, los informes de auditoría interna y evaluación, los informes sobre las consecuencias para la Dirección derivados de investigaciones, así como los informes de la DSI, si los hubiera, sobre la UPOV. La seguridad que expreso se basa en la opinión independiente del director de la DSI sobre la gobernanza, la gestión de riesgos y los controles internos de la OMPI. Esta opinión se basa en el trabajo de auditoría realizado por la DSI en 2025, así como en un análisis exhaustivo de los procesos de gobernanza, gestión de riesgos y control.</w:t>
                        </w:r>
                      </w:p>
                    </w:txbxContent>
                  </v:textbox>
                </v:roundrect>
                <w10:anchorlock/>
              </v:group>
            </w:pict>
          </mc:Fallback>
        </mc:AlternateContent>
      </w:r>
    </w:p>
    <w:p w14:paraId="3B18344B" w14:textId="77777777" w:rsidR="003568AB" w:rsidRPr="00384A1E" w:rsidRDefault="003568AB" w:rsidP="003568AB">
      <w:pPr>
        <w:rPr>
          <w:rFonts w:cs="Arial"/>
          <w:lang w:val="es-ES_tradnl"/>
        </w:rPr>
      </w:pPr>
    </w:p>
    <w:p w14:paraId="2A9AEFFF" w14:textId="77777777" w:rsidR="003568AB" w:rsidRPr="00384A1E" w:rsidRDefault="003568AB" w:rsidP="003568AB">
      <w:pPr>
        <w:rPr>
          <w:rFonts w:cs="Arial"/>
          <w:lang w:val="es-ES_tradnl"/>
        </w:rPr>
      </w:pPr>
      <w:r w:rsidRPr="00384A1E">
        <w:rPr>
          <w:lang w:val="es-ES_tradnl"/>
        </w:rPr>
        <w:t>Mi declaración también se apoya y fundamenta en:</w:t>
      </w:r>
    </w:p>
    <w:p w14:paraId="14F5DFCF" w14:textId="77777777" w:rsidR="003568AB" w:rsidRPr="00384A1E" w:rsidRDefault="003568AB" w:rsidP="003568AB">
      <w:pPr>
        <w:rPr>
          <w:rFonts w:cs="Arial"/>
          <w:lang w:val="es-ES_tradnl"/>
        </w:rPr>
      </w:pPr>
    </w:p>
    <w:p w14:paraId="3797B754" w14:textId="77777777" w:rsidR="003568AB" w:rsidRPr="00384A1E" w:rsidRDefault="003568AB" w:rsidP="003568AB">
      <w:pPr>
        <w:rPr>
          <w:rFonts w:cs="Arial"/>
          <w:lang w:val="es-ES_tradnl"/>
        </w:rPr>
      </w:pPr>
      <w:r w:rsidRPr="00384A1E">
        <w:rPr>
          <w:noProof/>
          <w:lang w:val="es-ES_tradnl"/>
        </w:rPr>
        <mc:AlternateContent>
          <mc:Choice Requires="wpg">
            <w:drawing>
              <wp:inline distT="0" distB="0" distL="0" distR="0" wp14:anchorId="62044494" wp14:editId="58C7C352">
                <wp:extent cx="6175170" cy="1762125"/>
                <wp:effectExtent l="0" t="0" r="16510" b="28575"/>
                <wp:docPr id="158224788" name="Group 2"/>
                <wp:cNvGraphicFramePr/>
                <a:graphic xmlns:a="http://schemas.openxmlformats.org/drawingml/2006/main">
                  <a:graphicData uri="http://schemas.microsoft.com/office/word/2010/wordprocessingGroup">
                    <wpg:wgp>
                      <wpg:cNvGrpSpPr/>
                      <wpg:grpSpPr>
                        <a:xfrm>
                          <a:off x="0" y="0"/>
                          <a:ext cx="6175170" cy="1762125"/>
                          <a:chOff x="4531" y="-2"/>
                          <a:chExt cx="8282195" cy="3083839"/>
                        </a:xfrm>
                      </wpg:grpSpPr>
                      <wps:wsp>
                        <wps:cNvPr id="2091969282" name="Rettangolo con angoli arrotondati 45"/>
                        <wps:cNvSpPr/>
                        <wps:spPr>
                          <a:xfrm>
                            <a:off x="4531" y="705302"/>
                            <a:ext cx="3961212" cy="2378534"/>
                          </a:xfrm>
                          <a:prstGeom prst="roundRect">
                            <a:avLst>
                              <a:gd name="adj" fmla="val 4650"/>
                            </a:avLst>
                          </a:prstGeom>
                          <a:solidFill>
                            <a:schemeClr val="bg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8B0E0C" w14:textId="77777777" w:rsidR="003568AB" w:rsidRPr="00251458" w:rsidRDefault="003568AB" w:rsidP="003568AB">
                              <w:pPr>
                                <w:pStyle w:val="NormalWeb"/>
                                <w:spacing w:before="60"/>
                                <w:jc w:val="center"/>
                                <w:textAlignment w:val="baseline"/>
                                <w:rPr>
                                  <w:rFonts w:ascii="Arial" w:hAnsi="Arial" w:cs="Arial"/>
                                  <w:color w:val="000000" w:themeColor="text1"/>
                                  <w:sz w:val="20"/>
                                  <w:szCs w:val="20"/>
                                </w:rPr>
                              </w:pPr>
                              <w:r>
                                <w:rPr>
                                  <w:rFonts w:ascii="Arial" w:hAnsi="Arial"/>
                                  <w:b/>
                                  <w:color w:val="000000" w:themeColor="text1"/>
                                  <w:sz w:val="20"/>
                                </w:rPr>
                                <w:t>Auditor externo</w:t>
                              </w:r>
                            </w:p>
                            <w:p w14:paraId="19A6CC50" w14:textId="7EBEE4C7" w:rsidR="003568AB" w:rsidRPr="00251458" w:rsidRDefault="003568AB" w:rsidP="003568AB">
                              <w:pPr>
                                <w:jc w:val="center"/>
                                <w:rPr>
                                  <w:color w:val="000000" w:themeColor="text1"/>
                                </w:rPr>
                              </w:pPr>
                              <w:r>
                                <w:rPr>
                                  <w:color w:val="000000" w:themeColor="text1"/>
                                </w:rPr>
                                <w:t>El auditor externo, cuyo informe, que contiene su dictamen, observaciones y comentarios, se presenta al Comité Consultivo y al Consejo de la</w:t>
                              </w:r>
                              <w:r w:rsidR="00167516">
                                <w:rPr>
                                  <w:color w:val="000000" w:themeColor="text1"/>
                                </w:rPr>
                                <w:t> </w:t>
                              </w:r>
                              <w:r>
                                <w:rPr>
                                  <w:color w:val="000000" w:themeColor="text1"/>
                                </w:rPr>
                                <w:t>UPOV, formula recomendaciones que tengo en cuenta y cuyo trabajo me proporciona garantías.</w:t>
                              </w:r>
                            </w:p>
                          </w:txbxContent>
                        </wps:txbx>
                        <wps:bodyPr lIns="40500" tIns="40500" rIns="40500" bIns="40500" rtlCol="0" anchor="t"/>
                      </wps:wsp>
                      <wps:wsp>
                        <wps:cNvPr id="798188336" name="Rettangolo con angoli arrotondati 44"/>
                        <wps:cNvSpPr/>
                        <wps:spPr>
                          <a:xfrm>
                            <a:off x="4059304" y="705510"/>
                            <a:ext cx="4226022" cy="2378327"/>
                          </a:xfrm>
                          <a:prstGeom prst="roundRect">
                            <a:avLst>
                              <a:gd name="adj" fmla="val 3908"/>
                            </a:avLst>
                          </a:prstGeom>
                          <a:solidFill>
                            <a:schemeClr val="bg1"/>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DFE669" w14:textId="77777777" w:rsidR="003568AB" w:rsidRPr="00251458" w:rsidRDefault="003568AB" w:rsidP="003568AB">
                              <w:pPr>
                                <w:pStyle w:val="NormalWeb"/>
                                <w:spacing w:before="60"/>
                                <w:jc w:val="center"/>
                                <w:textAlignment w:val="baseline"/>
                                <w:rPr>
                                  <w:rFonts w:ascii="Arial" w:hAnsi="Arial" w:cs="Arial"/>
                                  <w:color w:val="000000" w:themeColor="text1"/>
                                  <w:sz w:val="20"/>
                                  <w:szCs w:val="20"/>
                                </w:rPr>
                              </w:pPr>
                              <w:r>
                                <w:rPr>
                                  <w:rFonts w:ascii="Arial" w:hAnsi="Arial"/>
                                  <w:b/>
                                  <w:color w:val="000000" w:themeColor="text1"/>
                                  <w:sz w:val="20"/>
                                </w:rPr>
                                <w:t>Comité Consultivo</w:t>
                              </w:r>
                              <w:r>
                                <w:rPr>
                                  <w:rFonts w:ascii="Arial" w:hAnsi="Arial"/>
                                  <w:color w:val="000000" w:themeColor="text1"/>
                                  <w:sz w:val="20"/>
                                </w:rPr>
                                <w:t xml:space="preserve"> y Consejo de la UPOV</w:t>
                              </w:r>
                            </w:p>
                            <w:p w14:paraId="60971C30" w14:textId="77777777" w:rsidR="003568AB" w:rsidRPr="00251458" w:rsidRDefault="003568AB" w:rsidP="003568AB">
                              <w:pPr>
                                <w:jc w:val="center"/>
                                <w:rPr>
                                  <w:sz w:val="22"/>
                                  <w:szCs w:val="22"/>
                                </w:rPr>
                              </w:pPr>
                              <w:r>
                                <w:rPr>
                                  <w:color w:val="000000" w:themeColor="text1"/>
                                </w:rPr>
                                <w:t>Las observaciones del Comité Consultivo y del Consejo de la UPOV.</w:t>
                              </w:r>
                              <w:r>
                                <w:rPr>
                                  <w:sz w:val="22"/>
                                </w:rPr>
                                <w:br/>
                              </w:r>
                            </w:p>
                            <w:p w14:paraId="202159AC" w14:textId="77777777" w:rsidR="003568AB" w:rsidRPr="00373DED" w:rsidRDefault="003568AB" w:rsidP="003568AB">
                              <w:pPr>
                                <w:rPr>
                                  <w:sz w:val="22"/>
                                  <w:szCs w:val="22"/>
                                </w:rPr>
                              </w:pPr>
                            </w:p>
                          </w:txbxContent>
                        </wps:txbx>
                        <wps:bodyPr lIns="40500" tIns="40500" rIns="40500" bIns="40500" rtlCol="0" anchor="t"/>
                      </wps:wsp>
                      <wps:wsp>
                        <wps:cNvPr id="859157854" name="Rettangolo con angoli arrotondati 45"/>
                        <wps:cNvSpPr/>
                        <wps:spPr>
                          <a:xfrm>
                            <a:off x="32668" y="-2"/>
                            <a:ext cx="8254058" cy="607941"/>
                          </a:xfrm>
                          <a:prstGeom prst="roundRect">
                            <a:avLst>
                              <a:gd name="adj" fmla="val 8559"/>
                            </a:avLst>
                          </a:prstGeom>
                          <a:solidFill>
                            <a:schemeClr val="bg1"/>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F13A6F" w14:textId="77777777" w:rsidR="003568AB" w:rsidRDefault="003568AB" w:rsidP="003568AB">
                              <w:pPr>
                                <w:pStyle w:val="NormalWeb"/>
                                <w:spacing w:before="0" w:after="0"/>
                                <w:jc w:val="center"/>
                                <w:textAlignment w:val="baseline"/>
                              </w:pPr>
                              <w:r>
                                <w:rPr>
                                  <w:rFonts w:asciiTheme="minorHAnsi" w:hAnsi="Calibri"/>
                                  <w:b/>
                                  <w:color w:val="000000" w:themeColor="text1"/>
                                  <w:sz w:val="36"/>
                                </w:rPr>
                                <w:t>Gobernanza</w:t>
                              </w:r>
                            </w:p>
                          </w:txbxContent>
                        </wps:txbx>
                        <wps:bodyPr lIns="40500" tIns="40500" rIns="40500" bIns="40500" rtlCol="0" anchor="ctr" anchorCtr="1"/>
                      </wps:wsp>
                    </wpg:wgp>
                  </a:graphicData>
                </a:graphic>
              </wp:inline>
            </w:drawing>
          </mc:Choice>
          <mc:Fallback>
            <w:pict>
              <v:group w14:anchorId="62044494" id="Group 2" o:spid="_x0000_s1035" style="width:486.25pt;height:138.75pt;mso-position-horizontal-relative:char;mso-position-vertical-relative:line" coordorigin="45" coordsize="82821,3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0mGcgMAANwNAAAOAAAAZHJzL2Uyb0RvYy54bWzsV9lO3DAUfa/Uf7DyDtkzyYgMD1BQpS4I&#10;2g/wOM5MKseObDPL3/faTkKg0IUClSp4CPFyF5855/rm6HjXMrShUjWCl154GHiIciKqhq9K7+uX&#10;s4PcQ0pjXmEmOC29PVXe8eLtm6NtN6eRWAtWUYnACVfzbVd6a627ue8rsqYtVoeioxwWayFbrGEo&#10;V34l8Ra8t8yPgiDzt0JWnRSEKgWzp27RW1j/dU2J/lzXimrESg9y0/Yp7XNpnv7iCM9XEnfrhvRp&#10;4Edk0eKGQ9DR1SnWGF3L5gdXbUOkUKLWh0S0vqjrhlB7BjhNGNw5zbkU1509y2q+XXUjTADtHZwe&#10;7ZZ82pzL7qq7kIDEtlsBFnZkzrKrZWv+Q5ZoZyHbj5DRnUYEJrNwloYzQJbAWjjLojBKHahkDcgb&#10;uySNQw/B8kE0rLzrrfMoj8IiddZxkMd5XJg9/hDcv5XStgOSqBsc1N/hcLXGHbXwqjngcCFRU5Ve&#10;FBRhkRWQmYc4boGzl1QDg1eCCUQER/a1QVhKoQUQWzcosWc26YGfEUw1V4DrPUiOiMyCNA56VAZE&#10;4yILAUWHSRTP8jRObmGC551U+pyKFpmX0gOW8OoSqG4ZiDcflLZUrPr8cfXNQ3XLgNgbzFCSpZb3&#10;AHK/F94Gl8ZQCdZUZw1jdmCUSE+YRGBbestV2CdzaxfjvzLEhFCuQ5siu24/iso5TAL4c7yAaUMZ&#10;GycbpiE3WwxMCpYYk7iwZgIDSQao7ZveM2rSYfyS1vCbAgcjG3d05GJMU1JrXFE3nT4Y2jo0nmsA&#10;Z/TtzvSAb0fmfr8xpbYojcbBzxJzxqOFjSy4Ho3bhgt5nwMGQPeR3f4BJAeNQUnvljvL98zsNDNL&#10;Ue1BA+w9B10lAcAA9XI6kNPBcjqQmp0IV2ExJ2sBBVbbBIxfUKwL8OzSnRV5mOdxnP2Bcq22TJq/&#10;p9wgLeIgseUMxJuGPXUH8SZRlAXRRLxxNOt/iaGaDkp7nHjjIsh7hy8uXieiqXhHlYLYJuIdNf0q&#10;3mcWryXX/yHePC3CFG47ENczXbtxlGXQjk46kUG2eZRCwYM108VkwaxIhvr5NKrN03Toa15QtXr3&#10;qthRf64P+PfXra3eT69YoqUHnam5e080XL+Ov+P1a/to+ISwHVT/uWO+UaZj2yPcfJQtvgMAAP//&#10;AwBQSwMEFAAGAAgAAAAhAHn69aDdAAAABQEAAA8AAABkcnMvZG93bnJldi54bWxMj0FLw0AQhe+C&#10;/2EZwZvdJBKjMZtSinoqQltBvE2z0yQ0Oxuy2yT9965e9DLweI/3vimWs+nESINrLSuIFxEI4srq&#10;lmsFH/vXu0cQziNr7CyTggs5WJbXVwXm2k68pXHnaxFK2OWooPG+z6V0VUMG3cL2xME72sGgD3Ko&#10;pR5wCuWmk0kUPUiDLYeFBntaN1Sddmej4G3CaXUfv4yb03F9+dqn75+bmJS6vZlXzyA8zf4vDD/4&#10;AR3KwHSwZ9ZOdArCI/73Bu8pS1IQBwVJlqUgy0L+py+/AQAA//8DAFBLAQItABQABgAIAAAAIQC2&#10;gziS/gAAAOEBAAATAAAAAAAAAAAAAAAAAAAAAABbQ29udGVudF9UeXBlc10ueG1sUEsBAi0AFAAG&#10;AAgAAAAhADj9If/WAAAAlAEAAAsAAAAAAAAAAAAAAAAALwEAAF9yZWxzLy5yZWxzUEsBAi0AFAAG&#10;AAgAAAAhAM+jSYZyAwAA3A0AAA4AAAAAAAAAAAAAAAAALgIAAGRycy9lMm9Eb2MueG1sUEsBAi0A&#10;FAAGAAgAAAAhAHn69aDdAAAABQEAAA8AAAAAAAAAAAAAAAAAzAUAAGRycy9kb3ducmV2LnhtbFBL&#10;BQYAAAAABAAEAPMAAADWBgAAAAA=&#10;">
                <v:roundrect id="Rettangolo con angoli arrotondati 45" o:spid="_x0000_s1036" style="position:absolute;left:45;top:7053;width:39612;height:23785;visibility:visible;mso-wrap-style:square;v-text-anchor:top" arcsize="30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m6zAAAAOMAAAAPAAAAZHJzL2Rvd25yZXYueG1sRI/RasJA&#10;FETfC/2H5Rb6IroxiCTRVYJQaIsKTf2Aa/aaBLN30+w2pn/fLQh9HGbmDLPejqYVA/WusaxgPotA&#10;EJdWN1wpOH2+TBMQziNrbC2Tgh9ysN08Pqwx0/bGHzQUvhIBwi5DBbX3XSalK2sy6Ga2Iw7exfYG&#10;fZB9JXWPtwA3rYyjaCkNNhwWauxoV1N5Lb6NgmGfT94Wu6P/muTvh6Q428W+sko9P435CoSn0f+H&#10;7+1XrSCO0nm6TOMkhr9P4Q/IzS8AAAD//wMAUEsBAi0AFAAGAAgAAAAhANvh9svuAAAAhQEAABMA&#10;AAAAAAAAAAAAAAAAAAAAAFtDb250ZW50X1R5cGVzXS54bWxQSwECLQAUAAYACAAAACEAWvQsW78A&#10;AAAVAQAACwAAAAAAAAAAAAAAAAAfAQAAX3JlbHMvLnJlbHNQSwECLQAUAAYACAAAACEAjB55uswA&#10;AADjAAAADwAAAAAAAAAAAAAAAAAHAgAAZHJzL2Rvd25yZXYueG1sUEsFBgAAAAADAAMAtwAAAAAD&#10;AAAAAA==&#10;" fillcolor="white [3212]" strokecolor="#b8cce4 [1300]" strokeweight="2pt">
                  <v:textbox inset="1.125mm,1.125mm,1.125mm,1.125mm">
                    <w:txbxContent>
                      <w:p w14:paraId="488B0E0C" w14:textId="77777777" w:rsidR="003568AB" w:rsidRPr="00251458" w:rsidRDefault="003568AB" w:rsidP="003568AB">
                        <w:pPr>
                          <w:pStyle w:val="NormalWeb"/>
                          <w:spacing w:before="60"/>
                          <w:jc w:val="center"/>
                          <w:textAlignment w:val="baseline"/>
                          <w:rPr>
                            <w:rFonts w:ascii="Arial" w:hAnsi="Arial" w:cs="Arial"/>
                            <w:color w:val="000000" w:themeColor="text1"/>
                            <w:sz w:val="20"/>
                            <w:szCs w:val="20"/>
                          </w:rPr>
                        </w:pPr>
                        <w:r>
                          <w:rPr>
                            <w:rFonts w:ascii="Arial" w:hAnsi="Arial"/>
                            <w:b/>
                            <w:color w:val="000000" w:themeColor="text1"/>
                            <w:sz w:val="20"/>
                          </w:rPr>
                          <w:t>Auditor externo</w:t>
                        </w:r>
                      </w:p>
                      <w:p w14:paraId="19A6CC50" w14:textId="7EBEE4C7" w:rsidR="003568AB" w:rsidRPr="00251458" w:rsidRDefault="003568AB" w:rsidP="003568AB">
                        <w:pPr>
                          <w:jc w:val="center"/>
                          <w:rPr>
                            <w:color w:val="000000" w:themeColor="text1"/>
                          </w:rPr>
                        </w:pPr>
                        <w:r>
                          <w:rPr>
                            <w:color w:val="000000" w:themeColor="text1"/>
                          </w:rPr>
                          <w:t>El auditor externo, cuyo informe, que contiene su dictamen, observaciones y comentarios, se presenta al Comité Consultivo y al Consejo de la</w:t>
                        </w:r>
                        <w:r w:rsidR="00167516">
                          <w:rPr>
                            <w:color w:val="000000" w:themeColor="text1"/>
                          </w:rPr>
                          <w:t> </w:t>
                        </w:r>
                        <w:r>
                          <w:rPr>
                            <w:color w:val="000000" w:themeColor="text1"/>
                          </w:rPr>
                          <w:t>UPOV, formula recomendaciones que tengo en cuenta y cuyo trabajo me proporciona garantías.</w:t>
                        </w:r>
                      </w:p>
                    </w:txbxContent>
                  </v:textbox>
                </v:roundrect>
                <v:roundrect id="Rettangolo con angoli arrotondati 44" o:spid="_x0000_s1037" style="position:absolute;left:40593;top:7055;width:42260;height:23783;visibility:visible;mso-wrap-style:square;v-text-anchor:top" arcsize="25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tjzAAAAOIAAAAPAAAAZHJzL2Rvd25yZXYueG1sRI/dSsNA&#10;FITvBd9hOYJ3dhMLNY3dlhAQLLXF/lB6ecwek2D2bMhum/j23YLg5TAz3zCzxWAacaHO1ZYVxKMI&#10;BHFhdc2lgsP+7SkB4TyyxsYyKfglB4v5/d0MU2173tJl50sRIOxSVFB536ZSuqIig25kW+LgfdvO&#10;oA+yK6XusA9w08jnKJpIgzWHhQpbyisqfnZnoyDP+k18LtbLTfmRf64os9nX8aTU48OQvYLwNPj/&#10;8F/7XSt4mSZxkozHE7hdCndAzq8AAAD//wMAUEsBAi0AFAAGAAgAAAAhANvh9svuAAAAhQEAABMA&#10;AAAAAAAAAAAAAAAAAAAAAFtDb250ZW50X1R5cGVzXS54bWxQSwECLQAUAAYACAAAACEAWvQsW78A&#10;AAAVAQAACwAAAAAAAAAAAAAAAAAfAQAAX3JlbHMvLnJlbHNQSwECLQAUAAYACAAAACEAjUrLY8wA&#10;AADiAAAADwAAAAAAAAAAAAAAAAAHAgAAZHJzL2Rvd25yZXYueG1sUEsFBgAAAAADAAMAtwAAAAAD&#10;AAAAAA==&#10;" fillcolor="white [3212]" strokecolor="#d99594 [1941]" strokeweight="2pt">
                  <v:textbox inset="1.125mm,1.125mm,1.125mm,1.125mm">
                    <w:txbxContent>
                      <w:p w14:paraId="18DFE669" w14:textId="77777777" w:rsidR="003568AB" w:rsidRPr="00251458" w:rsidRDefault="003568AB" w:rsidP="003568AB">
                        <w:pPr>
                          <w:pStyle w:val="NormalWeb"/>
                          <w:spacing w:before="60"/>
                          <w:jc w:val="center"/>
                          <w:textAlignment w:val="baseline"/>
                          <w:rPr>
                            <w:rFonts w:ascii="Arial" w:hAnsi="Arial" w:cs="Arial"/>
                            <w:color w:val="000000" w:themeColor="text1"/>
                            <w:sz w:val="20"/>
                            <w:szCs w:val="20"/>
                          </w:rPr>
                        </w:pPr>
                        <w:r>
                          <w:rPr>
                            <w:rFonts w:ascii="Arial" w:hAnsi="Arial"/>
                            <w:b/>
                            <w:color w:val="000000" w:themeColor="text1"/>
                            <w:sz w:val="20"/>
                          </w:rPr>
                          <w:t>Comité Consultivo</w:t>
                        </w:r>
                        <w:r>
                          <w:rPr>
                            <w:rFonts w:ascii="Arial" w:hAnsi="Arial"/>
                            <w:color w:val="000000" w:themeColor="text1"/>
                            <w:sz w:val="20"/>
                          </w:rPr>
                          <w:t xml:space="preserve"> y Consejo de la UPOV</w:t>
                        </w:r>
                      </w:p>
                      <w:p w14:paraId="60971C30" w14:textId="77777777" w:rsidR="003568AB" w:rsidRPr="00251458" w:rsidRDefault="003568AB" w:rsidP="003568AB">
                        <w:pPr>
                          <w:jc w:val="center"/>
                          <w:rPr>
                            <w:sz w:val="22"/>
                            <w:szCs w:val="22"/>
                          </w:rPr>
                        </w:pPr>
                        <w:r>
                          <w:rPr>
                            <w:color w:val="000000" w:themeColor="text1"/>
                          </w:rPr>
                          <w:t>Las observaciones del Comité Consultivo y del Consejo de la UPOV.</w:t>
                        </w:r>
                        <w:r>
                          <w:rPr>
                            <w:sz w:val="22"/>
                          </w:rPr>
                          <w:br/>
                        </w:r>
                      </w:p>
                      <w:p w14:paraId="202159AC" w14:textId="77777777" w:rsidR="003568AB" w:rsidRPr="00373DED" w:rsidRDefault="003568AB" w:rsidP="003568AB">
                        <w:pPr>
                          <w:rPr>
                            <w:sz w:val="22"/>
                            <w:szCs w:val="22"/>
                          </w:rPr>
                        </w:pPr>
                      </w:p>
                    </w:txbxContent>
                  </v:textbox>
                </v:roundrect>
                <v:roundrect id="Rettangolo con angoli arrotondati 45" o:spid="_x0000_s1038" style="position:absolute;left:326;width:82541;height:6079;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IpaxwAAAOIAAAAPAAAAZHJzL2Rvd25yZXYueG1sRI9fa8Iw&#10;FMXfB/sO4Q58m6nDzlqNIhNhT8J08/nSXJvS5qY00dZvvwiCj4fz58dZrgfbiCt1vnKsYDJOQBAX&#10;TldcKvg97t4zED4ga2wck4IbeVivXl+WmGvX8w9dD6EUcYR9jgpMCG0upS8MWfRj1xJH7+w6iyHK&#10;rpS6wz6O20Z+JMmntFhxJBhs6ctQUR8uNnJ3ezds/8oTz/oNtjdTW1fVSo3ehs0CRKAhPMOP9rdW&#10;kKXzSTrL0incL8U7IFf/AAAA//8DAFBLAQItABQABgAIAAAAIQDb4fbL7gAAAIUBAAATAAAAAAAA&#10;AAAAAAAAAAAAAABbQ29udGVudF9UeXBlc10ueG1sUEsBAi0AFAAGAAgAAAAhAFr0LFu/AAAAFQEA&#10;AAsAAAAAAAAAAAAAAAAAHwEAAF9yZWxzLy5yZWxzUEsBAi0AFAAGAAgAAAAhAProilrHAAAA4gAA&#10;AA8AAAAAAAAAAAAAAAAABwIAAGRycy9kb3ducmV2LnhtbFBLBQYAAAAAAwADALcAAAD7AgAAAAA=&#10;" fillcolor="white [3212]" strokecolor="#548dd4 [1951]" strokeweight="2pt">
                  <v:textbox inset="1.125mm,1.125mm,1.125mm,1.125mm">
                    <w:txbxContent>
                      <w:p w14:paraId="6EF13A6F" w14:textId="77777777" w:rsidR="003568AB" w:rsidRDefault="003568AB" w:rsidP="003568AB">
                        <w:pPr>
                          <w:pStyle w:val="NormalWeb"/>
                          <w:spacing w:before="0" w:after="0"/>
                          <w:jc w:val="center"/>
                          <w:textAlignment w:val="baseline"/>
                        </w:pPr>
                        <w:r>
                          <w:rPr>
                            <w:rFonts w:asciiTheme="minorHAnsi" w:hAnsi="Calibri"/>
                            <w:b/>
                            <w:color w:val="000000" w:themeColor="text1"/>
                            <w:sz w:val="36"/>
                          </w:rPr>
                          <w:t>Gobernanza</w:t>
                        </w:r>
                      </w:p>
                    </w:txbxContent>
                  </v:textbox>
                </v:roundrect>
                <w10:anchorlock/>
              </v:group>
            </w:pict>
          </mc:Fallback>
        </mc:AlternateContent>
      </w:r>
    </w:p>
    <w:p w14:paraId="5260F505" w14:textId="77777777" w:rsidR="003568AB" w:rsidRPr="00384A1E" w:rsidRDefault="003568AB" w:rsidP="003568AB">
      <w:pPr>
        <w:rPr>
          <w:rFonts w:cs="Arial"/>
          <w:lang w:val="es-ES_tradnl"/>
        </w:rPr>
      </w:pPr>
    </w:p>
    <w:p w14:paraId="6CA4A30C" w14:textId="77777777" w:rsidR="003568AB" w:rsidRPr="00384A1E" w:rsidRDefault="003568AB" w:rsidP="003568AB">
      <w:pPr>
        <w:rPr>
          <w:rFonts w:cs="Arial"/>
          <w:lang w:val="es-ES_tradnl"/>
        </w:rPr>
      </w:pPr>
      <w:r w:rsidRPr="00384A1E">
        <w:rPr>
          <w:lang w:val="es-ES_tradnl"/>
        </w:rPr>
        <w:t>Además, me aseguro de que existan mecanismos que permitan recabar la opinión de los miembros, de que se presten servicios de resolución de quejas de los clientes a través de la Oficina de la UPOV y de que, para el personal de la UPOV, existan diversos mecanismos formales e informales de resolución de conflictos, por medio de la OMPI.</w:t>
      </w:r>
    </w:p>
    <w:p w14:paraId="030FE239" w14:textId="77777777" w:rsidR="003568AB" w:rsidRPr="00384A1E" w:rsidRDefault="003568AB" w:rsidP="003568AB">
      <w:pPr>
        <w:rPr>
          <w:rFonts w:eastAsiaTheme="majorEastAsia" w:cs="Arial"/>
          <w:b/>
          <w:lang w:val="es-ES_tradnl"/>
        </w:rPr>
      </w:pPr>
    </w:p>
    <w:p w14:paraId="136656B0" w14:textId="77777777" w:rsidR="003568AB" w:rsidRPr="00384A1E" w:rsidRDefault="003568AB" w:rsidP="003568AB">
      <w:pPr>
        <w:rPr>
          <w:rFonts w:eastAsiaTheme="majorEastAsia" w:cs="Arial"/>
          <w:b/>
          <w:lang w:val="es-ES_tradnl"/>
        </w:rPr>
      </w:pPr>
    </w:p>
    <w:p w14:paraId="58185755" w14:textId="77777777" w:rsidR="003568AB" w:rsidRPr="00384A1E" w:rsidRDefault="003568AB" w:rsidP="003568AB">
      <w:pPr>
        <w:pStyle w:val="BodyText"/>
        <w:widowControl w:val="0"/>
        <w:numPr>
          <w:ilvl w:val="0"/>
          <w:numId w:val="67"/>
        </w:numPr>
        <w:autoSpaceDE w:val="0"/>
        <w:autoSpaceDN w:val="0"/>
        <w:jc w:val="left"/>
        <w:rPr>
          <w:rFonts w:cs="Arial"/>
          <w:b/>
          <w:bCs/>
          <w:lang w:val="es-ES_tradnl"/>
        </w:rPr>
      </w:pPr>
      <w:r w:rsidRPr="00384A1E">
        <w:rPr>
          <w:b/>
          <w:lang w:val="es-ES_tradnl"/>
        </w:rPr>
        <w:t>Actividades de control</w:t>
      </w:r>
    </w:p>
    <w:p w14:paraId="38DB4DF7" w14:textId="77777777" w:rsidR="003568AB" w:rsidRPr="00384A1E" w:rsidRDefault="003568AB" w:rsidP="003568AB">
      <w:pPr>
        <w:rPr>
          <w:rFonts w:cs="Arial"/>
          <w:lang w:val="es-ES_tradnl"/>
        </w:rPr>
      </w:pPr>
    </w:p>
    <w:p w14:paraId="504AE0C2" w14:textId="77777777" w:rsidR="003568AB" w:rsidRPr="00384A1E" w:rsidRDefault="003568AB" w:rsidP="003568AB">
      <w:pPr>
        <w:pStyle w:val="BodyText"/>
        <w:rPr>
          <w:rFonts w:cs="Arial"/>
          <w:lang w:val="es-ES_tradnl"/>
        </w:rPr>
      </w:pPr>
      <w:r w:rsidRPr="00384A1E">
        <w:rPr>
          <w:lang w:val="es-ES_tradnl"/>
        </w:rPr>
        <w:t>La UPOV se beneficia de la mejora continua de los procesos de control de la OMPI, y el marco de control interno se ha reforzado en 2025 mediante una revisión exhaustiva de los controles esenciales. La revisión se centró en determinar y simplificar los controles esenciales para la gestión de los principales riesgos.</w:t>
      </w:r>
    </w:p>
    <w:p w14:paraId="639D5F1F" w14:textId="77777777" w:rsidR="003568AB" w:rsidRPr="00384A1E" w:rsidRDefault="003568AB" w:rsidP="003568AB">
      <w:pPr>
        <w:pStyle w:val="BodyText"/>
        <w:widowControl w:val="0"/>
        <w:autoSpaceDE w:val="0"/>
        <w:autoSpaceDN w:val="0"/>
        <w:jc w:val="left"/>
        <w:rPr>
          <w:rFonts w:cs="Arial"/>
          <w:lang w:val="es-ES_tradnl"/>
        </w:rPr>
      </w:pPr>
    </w:p>
    <w:p w14:paraId="275710A3" w14:textId="77777777" w:rsidR="003568AB" w:rsidRPr="00384A1E" w:rsidRDefault="003568AB" w:rsidP="003568AB">
      <w:pPr>
        <w:pStyle w:val="BodyText"/>
        <w:widowControl w:val="0"/>
        <w:autoSpaceDE w:val="0"/>
        <w:autoSpaceDN w:val="0"/>
        <w:rPr>
          <w:rFonts w:cs="Arial"/>
          <w:lang w:val="es-ES_tradnl"/>
        </w:rPr>
      </w:pPr>
      <w:r w:rsidRPr="00384A1E">
        <w:rPr>
          <w:lang w:val="es-ES_tradnl"/>
        </w:rPr>
        <w:t>Los principales resultados del examen de los controles esenciales son los siguientes: </w:t>
      </w:r>
    </w:p>
    <w:p w14:paraId="52261807" w14:textId="77777777" w:rsidR="003568AB" w:rsidRPr="00384A1E" w:rsidRDefault="003568AB" w:rsidP="003568AB">
      <w:pPr>
        <w:pStyle w:val="BodyText"/>
        <w:widowControl w:val="0"/>
        <w:autoSpaceDE w:val="0"/>
        <w:autoSpaceDN w:val="0"/>
        <w:rPr>
          <w:rFonts w:cs="Arial"/>
          <w:lang w:val="es-ES_tradnl"/>
        </w:rPr>
      </w:pPr>
    </w:p>
    <w:p w14:paraId="1A74A414" w14:textId="77777777" w:rsidR="003568AB" w:rsidRPr="00384A1E" w:rsidRDefault="003568AB" w:rsidP="003568AB">
      <w:pPr>
        <w:pStyle w:val="BodyText"/>
        <w:widowControl w:val="0"/>
        <w:numPr>
          <w:ilvl w:val="0"/>
          <w:numId w:val="68"/>
        </w:numPr>
        <w:autoSpaceDE w:val="0"/>
        <w:autoSpaceDN w:val="0"/>
        <w:rPr>
          <w:rFonts w:cs="Arial"/>
          <w:lang w:val="es-ES_tradnl"/>
        </w:rPr>
      </w:pPr>
      <w:r w:rsidRPr="00384A1E">
        <w:rPr>
          <w:lang w:val="es-ES_tradnl"/>
        </w:rPr>
        <w:t>Mayor adecuación de los controles esenciales a los principios del Comité de Organizaciones Patrocinadoras de la Comisión Treadway (COSO), lo que garantiza una cobertura completa de los cinco componentes y principios del COSO; </w:t>
      </w:r>
    </w:p>
    <w:p w14:paraId="07C75D73" w14:textId="77777777" w:rsidR="003568AB" w:rsidRPr="00384A1E" w:rsidRDefault="003568AB" w:rsidP="003568AB">
      <w:pPr>
        <w:pStyle w:val="BodyText"/>
        <w:widowControl w:val="0"/>
        <w:autoSpaceDE w:val="0"/>
        <w:autoSpaceDN w:val="0"/>
        <w:ind w:left="360" w:firstLine="60"/>
        <w:rPr>
          <w:rFonts w:cs="Arial"/>
          <w:lang w:val="es-ES_tradnl"/>
        </w:rPr>
      </w:pPr>
    </w:p>
    <w:p w14:paraId="0658B183" w14:textId="77777777" w:rsidR="003568AB" w:rsidRPr="00384A1E" w:rsidRDefault="003568AB" w:rsidP="00167516">
      <w:pPr>
        <w:pStyle w:val="BodyText"/>
        <w:keepLines/>
        <w:widowControl w:val="0"/>
        <w:numPr>
          <w:ilvl w:val="0"/>
          <w:numId w:val="68"/>
        </w:numPr>
        <w:autoSpaceDE w:val="0"/>
        <w:autoSpaceDN w:val="0"/>
        <w:rPr>
          <w:rFonts w:cs="Arial"/>
          <w:lang w:val="es-ES_tradnl"/>
        </w:rPr>
      </w:pPr>
      <w:r w:rsidRPr="00384A1E">
        <w:rPr>
          <w:lang w:val="es-ES_tradnl"/>
        </w:rPr>
        <w:lastRenderedPageBreak/>
        <w:t>Mejora de las descripciones de los controles, centradas en las actividades de control más que en la descripción de procesos, lo que da lugar a un marco de control más preciso; </w:t>
      </w:r>
    </w:p>
    <w:p w14:paraId="139EB2ED" w14:textId="77777777" w:rsidR="003568AB" w:rsidRPr="00384A1E" w:rsidRDefault="003568AB" w:rsidP="003568AB">
      <w:pPr>
        <w:pStyle w:val="BodyText"/>
        <w:widowControl w:val="0"/>
        <w:autoSpaceDE w:val="0"/>
        <w:autoSpaceDN w:val="0"/>
        <w:ind w:left="360" w:firstLine="60"/>
        <w:rPr>
          <w:rFonts w:cs="Arial"/>
          <w:lang w:val="es-ES_tradnl"/>
        </w:rPr>
      </w:pPr>
    </w:p>
    <w:p w14:paraId="4A42FAC0" w14:textId="77777777" w:rsidR="003568AB" w:rsidRPr="00384A1E" w:rsidRDefault="003568AB" w:rsidP="003568AB">
      <w:pPr>
        <w:pStyle w:val="BodyText"/>
        <w:widowControl w:val="0"/>
        <w:numPr>
          <w:ilvl w:val="0"/>
          <w:numId w:val="68"/>
        </w:numPr>
        <w:autoSpaceDE w:val="0"/>
        <w:autoSpaceDN w:val="0"/>
        <w:rPr>
          <w:rFonts w:cs="Arial"/>
          <w:lang w:val="es-ES_tradnl"/>
        </w:rPr>
      </w:pPr>
      <w:r w:rsidRPr="00384A1E">
        <w:rPr>
          <w:lang w:val="es-ES_tradnl"/>
        </w:rPr>
        <w:t>Refuerzo de los vínculos entre los controles esenciales y los riesgos principales, lo que mejora la eficacia de la gestión de riesgos. </w:t>
      </w:r>
    </w:p>
    <w:p w14:paraId="069A6AA0" w14:textId="77777777" w:rsidR="003568AB" w:rsidRPr="00384A1E" w:rsidRDefault="003568AB" w:rsidP="003568AB">
      <w:pPr>
        <w:pStyle w:val="BodyText"/>
        <w:rPr>
          <w:rFonts w:cs="Arial"/>
          <w:lang w:val="es-ES_tradnl"/>
        </w:rPr>
      </w:pPr>
    </w:p>
    <w:p w14:paraId="6CF92B8D" w14:textId="77777777" w:rsidR="003568AB" w:rsidRPr="00384A1E" w:rsidRDefault="003568AB" w:rsidP="003568AB">
      <w:pPr>
        <w:rPr>
          <w:rFonts w:eastAsiaTheme="majorEastAsia" w:cs="Arial"/>
          <w:b/>
          <w:lang w:val="es-ES_tradnl"/>
        </w:rPr>
      </w:pPr>
    </w:p>
    <w:p w14:paraId="2E08BF9A" w14:textId="77777777" w:rsidR="003568AB" w:rsidRPr="00384A1E" w:rsidRDefault="003568AB" w:rsidP="003568AB">
      <w:pPr>
        <w:pStyle w:val="BodyText"/>
        <w:widowControl w:val="0"/>
        <w:numPr>
          <w:ilvl w:val="0"/>
          <w:numId w:val="67"/>
        </w:numPr>
        <w:autoSpaceDE w:val="0"/>
        <w:autoSpaceDN w:val="0"/>
        <w:jc w:val="left"/>
        <w:rPr>
          <w:rFonts w:cs="Arial"/>
          <w:b/>
          <w:bCs/>
          <w:lang w:val="es-ES_tradnl"/>
        </w:rPr>
      </w:pPr>
      <w:r w:rsidRPr="00384A1E">
        <w:rPr>
          <w:b/>
          <w:lang w:val="es-ES_tradnl"/>
        </w:rPr>
        <w:t>Información y comunicación</w:t>
      </w:r>
    </w:p>
    <w:p w14:paraId="20AB48B2" w14:textId="77777777" w:rsidR="003568AB" w:rsidRPr="00384A1E" w:rsidRDefault="003568AB" w:rsidP="003568AB">
      <w:pPr>
        <w:pStyle w:val="BodyText"/>
        <w:rPr>
          <w:rFonts w:cs="Arial"/>
          <w:lang w:val="es-ES_tradnl"/>
        </w:rPr>
      </w:pPr>
    </w:p>
    <w:p w14:paraId="66108EA8" w14:textId="77777777" w:rsidR="003568AB" w:rsidRPr="00384A1E" w:rsidRDefault="003568AB" w:rsidP="003568AB">
      <w:pPr>
        <w:pStyle w:val="BodyText"/>
        <w:rPr>
          <w:rFonts w:cs="Arial"/>
          <w:lang w:val="es-ES_tradnl"/>
        </w:rPr>
      </w:pPr>
      <w:r w:rsidRPr="00384A1E">
        <w:rPr>
          <w:lang w:val="es-ES_tradnl"/>
        </w:rPr>
        <w:t xml:space="preserve">El jefe de datos y oficial de protección de datos de la OMPI supervisa las cuestiones en constante evolución de la gobernanza de datos y la privacidad, que siguen reforzándose mediante una estrategia de gobernanza de datos y una mayor atención a la protección de datos.  </w:t>
      </w:r>
    </w:p>
    <w:p w14:paraId="243DB380" w14:textId="77777777" w:rsidR="003568AB" w:rsidRPr="00384A1E" w:rsidRDefault="003568AB" w:rsidP="003568AB">
      <w:pPr>
        <w:pStyle w:val="BodyText"/>
        <w:rPr>
          <w:rFonts w:cs="Arial"/>
          <w:lang w:val="es-ES_tradnl"/>
        </w:rPr>
      </w:pPr>
    </w:p>
    <w:p w14:paraId="7AE96FB9" w14:textId="77777777" w:rsidR="00686B97" w:rsidRPr="00384A1E" w:rsidRDefault="003568AB" w:rsidP="003568AB">
      <w:pPr>
        <w:pStyle w:val="BodyText"/>
        <w:rPr>
          <w:rFonts w:cs="Arial"/>
          <w:lang w:val="es-ES_tradnl"/>
        </w:rPr>
      </w:pPr>
      <w:r w:rsidRPr="00384A1E">
        <w:rPr>
          <w:lang w:val="es-ES_tradnl"/>
        </w:rPr>
        <w:t xml:space="preserve">La cartera de soluciones de planificación de los recursos institucionales proporciona un alto nivel de control, que incluye controles del sistema a nivel de las operaciones y análisis de datos.  Se está llevando a cabo un proyecto de transformación del sistema de planificación de los recursos institucionales para actualizarlo a una nueva solución de software como servicio en la nube, lo que brinda la oportunidad de agilizar los procesos administrativos. La UPOV mantiene un registro de los principales riesgos, y la OMPI registra los controles en el sistema de gestión de riesgos institucionales de la OMPI. </w:t>
      </w:r>
    </w:p>
    <w:p w14:paraId="437745F2" w14:textId="1926A736" w:rsidR="003568AB" w:rsidRPr="00384A1E" w:rsidRDefault="003568AB" w:rsidP="003568AB">
      <w:pPr>
        <w:pStyle w:val="BodyText"/>
        <w:rPr>
          <w:rFonts w:cs="Arial"/>
          <w:lang w:val="es-ES_tradnl"/>
        </w:rPr>
      </w:pPr>
    </w:p>
    <w:p w14:paraId="51C32144" w14:textId="77777777" w:rsidR="003568AB" w:rsidRPr="00384A1E" w:rsidRDefault="003568AB" w:rsidP="003568AB">
      <w:pPr>
        <w:pStyle w:val="BodyText"/>
        <w:rPr>
          <w:rFonts w:cs="Arial"/>
          <w:lang w:val="es-ES_tradnl"/>
        </w:rPr>
      </w:pPr>
    </w:p>
    <w:p w14:paraId="45E00B10" w14:textId="77777777" w:rsidR="003568AB" w:rsidRPr="00384A1E" w:rsidRDefault="003568AB" w:rsidP="003568AB">
      <w:pPr>
        <w:pStyle w:val="BodyText"/>
        <w:widowControl w:val="0"/>
        <w:numPr>
          <w:ilvl w:val="0"/>
          <w:numId w:val="67"/>
        </w:numPr>
        <w:autoSpaceDE w:val="0"/>
        <w:autoSpaceDN w:val="0"/>
        <w:jc w:val="left"/>
        <w:rPr>
          <w:rFonts w:cs="Arial"/>
          <w:b/>
          <w:bCs/>
          <w:lang w:val="es-ES_tradnl"/>
        </w:rPr>
      </w:pPr>
      <w:r w:rsidRPr="00384A1E">
        <w:rPr>
          <w:b/>
          <w:lang w:val="es-ES_tradnl"/>
        </w:rPr>
        <w:t>Normas éticas e integridad</w:t>
      </w:r>
    </w:p>
    <w:p w14:paraId="3F154B17" w14:textId="77777777" w:rsidR="003568AB" w:rsidRPr="00384A1E" w:rsidRDefault="003568AB" w:rsidP="003568AB">
      <w:pPr>
        <w:rPr>
          <w:rFonts w:cs="Arial"/>
          <w:lang w:val="es-ES_tradnl"/>
        </w:rPr>
      </w:pPr>
    </w:p>
    <w:p w14:paraId="315047D2" w14:textId="77777777" w:rsidR="00686B97" w:rsidRPr="00384A1E" w:rsidRDefault="003568AB" w:rsidP="003568AB">
      <w:pPr>
        <w:rPr>
          <w:rFonts w:cs="Arial"/>
          <w:lang w:val="es-ES_tradnl"/>
        </w:rPr>
      </w:pPr>
      <w:r w:rsidRPr="00384A1E">
        <w:rPr>
          <w:lang w:val="es-ES_tradnl"/>
        </w:rPr>
        <w:t>La Oficina de Ética Profesional de la OMPI, que goza de independencia funcional y operativa respecto de la Dirección, me ayuda a garantizar que todo el personal de la UPOV desempeñe sus funciones de conformidad con las normas más estrictas de integridad, según exige el marco normativo de la OMPI, incluidos el Convenio de la OMPI, el Estatuto y Reglamento del Personal de la OMPI, las normas de conducta de la CAPI y el Código de Ética Profesional de la OMPI. </w:t>
      </w:r>
    </w:p>
    <w:p w14:paraId="1005B2D9" w14:textId="7E7388B3" w:rsidR="003568AB" w:rsidRPr="00384A1E" w:rsidRDefault="003568AB" w:rsidP="003568AB">
      <w:pPr>
        <w:rPr>
          <w:rFonts w:cs="Arial"/>
          <w:lang w:val="es-ES_tradnl"/>
        </w:rPr>
      </w:pPr>
    </w:p>
    <w:p w14:paraId="1468CCE1" w14:textId="77777777" w:rsidR="00686B97" w:rsidRPr="00384A1E" w:rsidRDefault="003568AB" w:rsidP="003568AB">
      <w:pPr>
        <w:rPr>
          <w:rFonts w:cs="Arial"/>
          <w:lang w:val="es-ES_tradnl"/>
        </w:rPr>
      </w:pPr>
      <w:r w:rsidRPr="00384A1E">
        <w:rPr>
          <w:lang w:val="es-ES_tradnl"/>
        </w:rPr>
        <w:t>De acuerdo con su mandato, y en relación con la ética profesional y la integridad, la Oficina de Ética Profesional administra la formación obligatoria; desarrolla programas de divulgación; proporciona orientación confidencial a todo el personal de la OMPI y la UPOV; gestiona el programa de divulgación de intereses financieros y de otro tipo; recibe y examina las denuncias de represalias y formula determinaciones y recomendaciones objetivas al respecto. </w:t>
      </w:r>
    </w:p>
    <w:p w14:paraId="498D4D4A" w14:textId="290087DC" w:rsidR="003568AB" w:rsidRPr="00384A1E" w:rsidRDefault="003568AB" w:rsidP="003568AB">
      <w:pPr>
        <w:rPr>
          <w:rFonts w:cs="Arial"/>
          <w:lang w:val="es-ES_tradnl"/>
        </w:rPr>
      </w:pPr>
    </w:p>
    <w:p w14:paraId="4CDAFC14" w14:textId="77777777" w:rsidR="003568AB" w:rsidRPr="00384A1E" w:rsidRDefault="003568AB" w:rsidP="003568AB">
      <w:pPr>
        <w:rPr>
          <w:rFonts w:eastAsiaTheme="majorEastAsia" w:cs="Arial"/>
          <w:b/>
          <w:lang w:val="es-ES_tradnl"/>
        </w:rPr>
      </w:pPr>
    </w:p>
    <w:p w14:paraId="08057033" w14:textId="77777777" w:rsidR="003568AB" w:rsidRPr="00384A1E" w:rsidRDefault="003568AB" w:rsidP="003568AB">
      <w:pPr>
        <w:pStyle w:val="BodyText"/>
        <w:widowControl w:val="0"/>
        <w:numPr>
          <w:ilvl w:val="0"/>
          <w:numId w:val="67"/>
        </w:numPr>
        <w:autoSpaceDE w:val="0"/>
        <w:autoSpaceDN w:val="0"/>
        <w:jc w:val="left"/>
        <w:rPr>
          <w:rFonts w:cs="Arial"/>
          <w:b/>
          <w:bCs/>
          <w:lang w:val="es-ES_tradnl"/>
        </w:rPr>
      </w:pPr>
      <w:r w:rsidRPr="00384A1E">
        <w:rPr>
          <w:b/>
          <w:lang w:val="es-ES_tradnl"/>
        </w:rPr>
        <w:t>Entorno de control</w:t>
      </w:r>
    </w:p>
    <w:p w14:paraId="53ADFB57" w14:textId="77777777" w:rsidR="003568AB" w:rsidRPr="00384A1E" w:rsidRDefault="003568AB" w:rsidP="003568AB">
      <w:pPr>
        <w:pStyle w:val="BodyText"/>
        <w:rPr>
          <w:rFonts w:cs="Arial"/>
          <w:lang w:val="es-ES_tradnl"/>
        </w:rPr>
      </w:pPr>
    </w:p>
    <w:p w14:paraId="549015E4" w14:textId="0548706F" w:rsidR="003568AB" w:rsidRPr="00384A1E" w:rsidRDefault="003568AB" w:rsidP="003568AB">
      <w:pPr>
        <w:pStyle w:val="BodyText"/>
        <w:rPr>
          <w:rFonts w:cs="Arial"/>
          <w:lang w:val="es-ES_tradnl"/>
        </w:rPr>
      </w:pPr>
      <w:r w:rsidRPr="00384A1E">
        <w:rPr>
          <w:lang w:val="es-ES_tradnl"/>
        </w:rPr>
        <w:t>El marco de rendición de cuentas de la UPOV establece los componentes que garantizan el buen gobierno mediante una garantía razonable sobre la fiabilidad de la presentación de informes, la eficacia y eficiencia de las operaciones, el cumplimiento de las políticas, reglamentos y normas aplicables y la salvaguardia de los recursos. El entorno de control incluye una serie de controles esenciales a nivel de entidad y de proceso que permiten realizar un control exhaustivo de todas las áreas incluidas en el marco del COSO.</w:t>
      </w:r>
    </w:p>
    <w:p w14:paraId="36A4AB23" w14:textId="77777777" w:rsidR="003568AB" w:rsidRPr="00384A1E" w:rsidRDefault="003568AB" w:rsidP="003568AB">
      <w:pPr>
        <w:pStyle w:val="BodyText"/>
        <w:rPr>
          <w:rFonts w:cs="Arial"/>
          <w:i/>
          <w:lang w:val="es-ES_tradnl"/>
        </w:rPr>
      </w:pPr>
    </w:p>
    <w:p w14:paraId="6646395A" w14:textId="77777777" w:rsidR="003568AB" w:rsidRPr="00384A1E" w:rsidRDefault="003568AB" w:rsidP="003568AB">
      <w:pPr>
        <w:pStyle w:val="BodyText"/>
        <w:rPr>
          <w:rFonts w:cs="Arial"/>
          <w:lang w:val="es-ES_tradnl"/>
        </w:rPr>
      </w:pPr>
      <w:r w:rsidRPr="00384A1E">
        <w:rPr>
          <w:lang w:val="es-ES_tradnl"/>
        </w:rPr>
        <w:t xml:space="preserve">En lo que respecta a la administración financiera de la UPOV, el Acuerdo OMPI/UPOV, firmado el 26 de noviembre de 1982, establece lo siguiente: </w:t>
      </w:r>
    </w:p>
    <w:p w14:paraId="2F131128" w14:textId="77777777" w:rsidR="003568AB" w:rsidRPr="00384A1E" w:rsidRDefault="003568AB" w:rsidP="003568AB">
      <w:pPr>
        <w:pStyle w:val="BodyText"/>
        <w:rPr>
          <w:rFonts w:cs="Arial"/>
          <w:lang w:val="es-ES_tradnl"/>
        </w:rPr>
      </w:pPr>
    </w:p>
    <w:p w14:paraId="0985EEBF" w14:textId="77777777" w:rsidR="003568AB" w:rsidRPr="00384A1E" w:rsidRDefault="003568AB" w:rsidP="003568AB">
      <w:pPr>
        <w:pStyle w:val="BodyText"/>
        <w:rPr>
          <w:rFonts w:cs="Arial"/>
          <w:lang w:val="es-ES_tradnl"/>
        </w:rPr>
      </w:pPr>
      <w:r w:rsidRPr="00384A1E">
        <w:rPr>
          <w:lang w:val="es-ES_tradnl"/>
        </w:rPr>
        <w:tab/>
        <w:t>“Artículo 1: Necesidades de la UPOV</w:t>
      </w:r>
    </w:p>
    <w:p w14:paraId="7224C63D" w14:textId="77777777" w:rsidR="003568AB" w:rsidRPr="00384A1E" w:rsidRDefault="003568AB" w:rsidP="003568AB">
      <w:pPr>
        <w:pStyle w:val="BodyText"/>
        <w:rPr>
          <w:rFonts w:cs="Arial"/>
          <w:lang w:val="es-ES_tradnl"/>
        </w:rPr>
      </w:pPr>
      <w:r w:rsidRPr="00384A1E">
        <w:rPr>
          <w:lang w:val="es-ES_tradnl"/>
        </w:rPr>
        <w:tab/>
      </w:r>
      <w:r w:rsidRPr="00384A1E">
        <w:rPr>
          <w:lang w:val="es-ES_tradnl"/>
        </w:rPr>
        <w:tab/>
        <w:t xml:space="preserve">1) La OMPI satisfará las necesidades de la UPOV en lo relativo a </w:t>
      </w:r>
    </w:p>
    <w:p w14:paraId="07D5FC7D" w14:textId="77777777" w:rsidR="003568AB" w:rsidRPr="00384A1E" w:rsidRDefault="003568AB" w:rsidP="003568AB">
      <w:pPr>
        <w:pStyle w:val="BodyText"/>
        <w:rPr>
          <w:rFonts w:cs="Arial"/>
          <w:lang w:val="es-ES_tradnl"/>
        </w:rPr>
      </w:pPr>
      <w:r w:rsidRPr="00384A1E">
        <w:rPr>
          <w:lang w:val="es-ES_tradnl"/>
        </w:rPr>
        <w:tab/>
      </w:r>
      <w:r w:rsidRPr="00384A1E">
        <w:rPr>
          <w:lang w:val="es-ES_tradnl"/>
        </w:rPr>
        <w:tab/>
        <w:t>[…]</w:t>
      </w:r>
    </w:p>
    <w:p w14:paraId="3743F14C" w14:textId="77777777" w:rsidR="003568AB" w:rsidRPr="00384A1E" w:rsidRDefault="003568AB" w:rsidP="003568AB">
      <w:pPr>
        <w:pStyle w:val="BodyText"/>
        <w:rPr>
          <w:rFonts w:cs="Arial"/>
          <w:lang w:val="es-ES_tradnl"/>
        </w:rPr>
      </w:pPr>
      <w:proofErr w:type="spellStart"/>
      <w:r w:rsidRPr="00384A1E">
        <w:rPr>
          <w:lang w:val="es-ES_tradnl"/>
        </w:rPr>
        <w:t>iv</w:t>
      </w:r>
      <w:proofErr w:type="spellEnd"/>
      <w:r w:rsidRPr="00384A1E">
        <w:rPr>
          <w:lang w:val="es-ES_tradnl"/>
        </w:rPr>
        <w:t>) administración financiera de la UPOV (recepción y pago de fondos, contabilidad, control financiero interno, etc.),</w:t>
      </w:r>
    </w:p>
    <w:p w14:paraId="448CB8B1" w14:textId="77777777" w:rsidR="003568AB" w:rsidRPr="00384A1E" w:rsidRDefault="003568AB" w:rsidP="003568AB">
      <w:pPr>
        <w:pStyle w:val="BodyText"/>
        <w:rPr>
          <w:rFonts w:cs="Arial"/>
          <w:lang w:val="es-ES_tradnl"/>
        </w:rPr>
      </w:pPr>
      <w:r w:rsidRPr="00384A1E">
        <w:rPr>
          <w:lang w:val="es-ES_tradnl"/>
        </w:rPr>
        <w:tab/>
      </w:r>
      <w:r w:rsidRPr="00384A1E">
        <w:rPr>
          <w:lang w:val="es-ES_tradnl"/>
        </w:rPr>
        <w:tab/>
        <w:t>[…]</w:t>
      </w:r>
    </w:p>
    <w:p w14:paraId="65962E19" w14:textId="77777777" w:rsidR="003568AB" w:rsidRPr="00384A1E" w:rsidRDefault="003568AB" w:rsidP="003568AB">
      <w:pPr>
        <w:pStyle w:val="BodyText"/>
        <w:rPr>
          <w:rFonts w:cs="Arial"/>
          <w:lang w:val="es-ES_tradnl"/>
        </w:rPr>
      </w:pPr>
      <w:r w:rsidRPr="00384A1E">
        <w:rPr>
          <w:lang w:val="es-ES_tradnl"/>
        </w:rPr>
        <w:t>2) Las necesidades de la UPOV se satisfarán en estricta igualdad con las necesidades de las diversas Uniones administradas por la OMPI.”</w:t>
      </w:r>
    </w:p>
    <w:p w14:paraId="4D736014" w14:textId="77777777" w:rsidR="003568AB" w:rsidRPr="00384A1E" w:rsidRDefault="003568AB" w:rsidP="003568AB">
      <w:pPr>
        <w:pStyle w:val="BodyText"/>
        <w:rPr>
          <w:rFonts w:cs="Arial"/>
          <w:lang w:val="es-ES_tradnl"/>
        </w:rPr>
      </w:pPr>
    </w:p>
    <w:p w14:paraId="5E39C7CA" w14:textId="77777777" w:rsidR="003568AB" w:rsidRPr="00384A1E" w:rsidRDefault="003568AB" w:rsidP="003568AB">
      <w:pPr>
        <w:pStyle w:val="BodyText"/>
        <w:rPr>
          <w:rFonts w:cs="Arial"/>
          <w:lang w:val="es-ES_tradnl"/>
        </w:rPr>
      </w:pPr>
      <w:r w:rsidRPr="00384A1E">
        <w:rPr>
          <w:lang w:val="es-ES_tradnl"/>
        </w:rPr>
        <w:t>“Artículo 8: Reglamento administrativo y financiero de la UPOV</w:t>
      </w:r>
    </w:p>
    <w:p w14:paraId="69B27921" w14:textId="77777777" w:rsidR="003568AB" w:rsidRPr="00384A1E" w:rsidRDefault="003568AB" w:rsidP="003568AB">
      <w:pPr>
        <w:pStyle w:val="BodyText"/>
        <w:ind w:left="567"/>
        <w:rPr>
          <w:rFonts w:cs="Arial"/>
          <w:lang w:val="es-ES_tradnl"/>
        </w:rPr>
      </w:pPr>
      <w:r w:rsidRPr="00384A1E">
        <w:rPr>
          <w:lang w:val="es-ES_tradnl"/>
        </w:rPr>
        <w:t xml:space="preserve">1) Con sujeción a los demás artículos de este Acuerdo y a los párrafos 2) y 3) del presente artículo, las disposiciones del Estatuto y Reglamento de personal de la OMPI y las disposiciones del Reglamento Financiero de la OMPI, incluidas las futuras modificaciones de los mismos, también se aplicarán </w:t>
      </w:r>
      <w:r w:rsidRPr="00384A1E">
        <w:rPr>
          <w:i/>
          <w:iCs/>
          <w:lang w:val="es-ES_tradnl"/>
        </w:rPr>
        <w:t>mutatis mutandis</w:t>
      </w:r>
      <w:r w:rsidRPr="00384A1E">
        <w:rPr>
          <w:lang w:val="es-ES_tradnl"/>
        </w:rPr>
        <w:t xml:space="preserve"> respecto del personal de la Oficina de la UPOV y de las finanzas de la UPOV, con la salvedad de que el Consejo de la UPOV podrá acordar con el Director General de la OMPI cualquier excepción </w:t>
      </w:r>
      <w:r w:rsidRPr="00384A1E">
        <w:rPr>
          <w:lang w:val="es-ES_tradnl"/>
        </w:rPr>
        <w:lastRenderedPageBreak/>
        <w:t>o adición a los mismos, en cuyo caso prevalecerá la excepción o adición acordada. Se considerará que dichos textos constituyen el Reglamento administrativo y financiero de la UPOV, mencionado en el Artículo 20 del Convenio de la UPOV.</w:t>
      </w:r>
    </w:p>
    <w:p w14:paraId="7EDDE4A4" w14:textId="77777777" w:rsidR="003568AB" w:rsidRPr="00384A1E" w:rsidRDefault="003568AB" w:rsidP="003568AB">
      <w:pPr>
        <w:pStyle w:val="BodyText"/>
        <w:ind w:firstLine="567"/>
        <w:rPr>
          <w:rFonts w:cs="Arial"/>
          <w:lang w:val="es-ES_tradnl"/>
        </w:rPr>
      </w:pPr>
      <w:r w:rsidRPr="00384A1E">
        <w:rPr>
          <w:lang w:val="es-ES_tradnl"/>
        </w:rPr>
        <w:t>[…]</w:t>
      </w:r>
    </w:p>
    <w:p w14:paraId="219958DF" w14:textId="77777777" w:rsidR="003568AB" w:rsidRPr="00384A1E" w:rsidRDefault="003568AB" w:rsidP="003568AB">
      <w:pPr>
        <w:pStyle w:val="BodyText"/>
        <w:rPr>
          <w:rFonts w:cs="Arial"/>
          <w:lang w:val="es-ES_tradnl"/>
        </w:rPr>
      </w:pPr>
      <w:r w:rsidRPr="00384A1E">
        <w:rPr>
          <w:lang w:val="es-ES_tradnl"/>
        </w:rPr>
        <w:t>3) En todos los asuntos financieros relativos a la UPOV, el Interventor de la OMPI será responsable ante el Consejo de la UPOV.”</w:t>
      </w:r>
    </w:p>
    <w:p w14:paraId="12F32F11" w14:textId="77777777" w:rsidR="003568AB" w:rsidRPr="00384A1E" w:rsidRDefault="003568AB" w:rsidP="003568AB">
      <w:pPr>
        <w:pStyle w:val="BodyText"/>
        <w:rPr>
          <w:rFonts w:cs="Arial"/>
          <w:lang w:val="es-ES_tradnl"/>
        </w:rPr>
      </w:pPr>
    </w:p>
    <w:p w14:paraId="30C62A28" w14:textId="5F266A2E" w:rsidR="003568AB" w:rsidRPr="00384A1E" w:rsidRDefault="003568AB" w:rsidP="003568AB">
      <w:pPr>
        <w:jc w:val="left"/>
        <w:rPr>
          <w:rFonts w:cs="Arial"/>
          <w:b/>
          <w:bCs/>
          <w:lang w:val="es-ES_tradnl"/>
        </w:rPr>
      </w:pPr>
    </w:p>
    <w:p w14:paraId="3D4C168D" w14:textId="77777777" w:rsidR="003568AB" w:rsidRPr="00384A1E" w:rsidRDefault="003568AB" w:rsidP="003568AB">
      <w:pPr>
        <w:pStyle w:val="Caption"/>
        <w:rPr>
          <w:sz w:val="20"/>
          <w:lang w:val="es-ES_tradnl"/>
        </w:rPr>
      </w:pPr>
      <w:r w:rsidRPr="00384A1E">
        <w:rPr>
          <w:sz w:val="20"/>
          <w:lang w:val="es-ES_tradnl"/>
        </w:rPr>
        <w:t>Conclusión</w:t>
      </w:r>
    </w:p>
    <w:p w14:paraId="2B09E6C8" w14:textId="77777777" w:rsidR="003568AB" w:rsidRPr="00384A1E" w:rsidRDefault="003568AB" w:rsidP="003568AB">
      <w:pPr>
        <w:pStyle w:val="BodyText"/>
        <w:rPr>
          <w:rFonts w:cs="Arial"/>
          <w:lang w:val="es-ES_tradnl"/>
        </w:rPr>
      </w:pPr>
    </w:p>
    <w:p w14:paraId="35E74C0A" w14:textId="77777777" w:rsidR="003568AB" w:rsidRPr="00384A1E" w:rsidRDefault="003568AB" w:rsidP="003568AB">
      <w:pPr>
        <w:pStyle w:val="BodyText"/>
        <w:rPr>
          <w:rFonts w:cs="Arial"/>
          <w:lang w:val="es-ES_tradnl"/>
        </w:rPr>
      </w:pPr>
      <w:r w:rsidRPr="00384A1E">
        <w:rPr>
          <w:lang w:val="es-ES_tradnl"/>
        </w:rPr>
        <w:t xml:space="preserve">Sobre la base del contenido de esta declaración y de las pruebas que la sustentan, concluyo que, a mi leal saber y entender, y según la información de que dispongo, no se han producido deficiencias significativas que afecten a la fiabilidad de los estados financieros de la Organización, ni existen cuestiones importantes que deban señalarse en el presente documento respecto del periodo sobre el que se informa. </w:t>
      </w:r>
    </w:p>
    <w:p w14:paraId="055CFD1E" w14:textId="77777777" w:rsidR="003568AB" w:rsidRPr="00384A1E" w:rsidRDefault="003568AB" w:rsidP="003568AB">
      <w:pPr>
        <w:rPr>
          <w:rFonts w:cs="Arial"/>
          <w:lang w:val="es-ES_tradnl"/>
        </w:rPr>
      </w:pPr>
    </w:p>
    <w:p w14:paraId="5B672770" w14:textId="77777777" w:rsidR="003568AB" w:rsidRPr="00384A1E" w:rsidRDefault="003568AB" w:rsidP="003568AB">
      <w:pPr>
        <w:rPr>
          <w:rFonts w:cs="Arial"/>
          <w:lang w:val="es-ES_tradnl"/>
        </w:rPr>
      </w:pPr>
    </w:p>
    <w:p w14:paraId="1F60CEBA" w14:textId="689694EA" w:rsidR="003568AB" w:rsidRPr="00384A1E" w:rsidRDefault="003568AB" w:rsidP="00E65A38">
      <w:pPr>
        <w:ind w:left="5529"/>
        <w:rPr>
          <w:rFonts w:cs="Arial"/>
          <w:lang w:val="es-ES_tradnl"/>
        </w:rPr>
      </w:pPr>
      <w:r w:rsidRPr="00384A1E">
        <w:rPr>
          <w:lang w:val="es-ES_tradnl"/>
        </w:rPr>
        <w:t>Daren Tang</w:t>
      </w:r>
    </w:p>
    <w:p w14:paraId="5FE783A5" w14:textId="3C2E8EBA" w:rsidR="003568AB" w:rsidRPr="00384A1E" w:rsidRDefault="003568AB" w:rsidP="00BC774D">
      <w:pPr>
        <w:spacing w:after="240"/>
        <w:ind w:left="5528"/>
        <w:rPr>
          <w:rFonts w:cs="Arial"/>
          <w:lang w:val="es-ES_tradnl"/>
        </w:rPr>
      </w:pPr>
      <w:r w:rsidRPr="00384A1E">
        <w:rPr>
          <w:lang w:val="es-ES_tradnl"/>
        </w:rPr>
        <w:t xml:space="preserve">Secretario </w:t>
      </w:r>
      <w:r w:rsidR="00BB72F7" w:rsidRPr="00384A1E">
        <w:rPr>
          <w:lang w:val="es-ES_tradnl"/>
        </w:rPr>
        <w:t>General</w:t>
      </w:r>
    </w:p>
    <w:p w14:paraId="02ACBA7C" w14:textId="523C198C" w:rsidR="003568AB" w:rsidRPr="00384A1E" w:rsidRDefault="003568AB" w:rsidP="00E65A38">
      <w:pPr>
        <w:ind w:left="5529"/>
        <w:rPr>
          <w:rFonts w:cs="Arial"/>
          <w:lang w:val="es-ES_tradnl"/>
        </w:rPr>
      </w:pPr>
      <w:r w:rsidRPr="00384A1E">
        <w:rPr>
          <w:lang w:val="es-ES_tradnl"/>
        </w:rPr>
        <w:t>Fecha: 2 de julio de 2026</w:t>
      </w:r>
    </w:p>
    <w:p w14:paraId="1D342C45" w14:textId="6658C323" w:rsidR="00AF6E23" w:rsidRPr="00384A1E" w:rsidRDefault="00AF6E23">
      <w:pPr>
        <w:jc w:val="left"/>
        <w:rPr>
          <w:rFonts w:cs="Arial"/>
          <w:b/>
          <w:caps/>
          <w:lang w:val="es-ES_tradnl"/>
        </w:rPr>
      </w:pPr>
      <w:bookmarkStart w:id="16" w:name="_Toc84329886"/>
      <w:r w:rsidRPr="00384A1E">
        <w:rPr>
          <w:lang w:val="es-ES_tradnl"/>
        </w:rPr>
        <w:br w:type="page"/>
      </w:r>
    </w:p>
    <w:p w14:paraId="1A6B4C67" w14:textId="7864E42C" w:rsidR="00191695" w:rsidRPr="00384A1E" w:rsidRDefault="00383939" w:rsidP="000357D6">
      <w:pPr>
        <w:pStyle w:val="Heading1"/>
        <w:jc w:val="center"/>
        <w:rPr>
          <w:rFonts w:cs="Arial"/>
          <w:lang w:val="es-ES_tradnl"/>
        </w:rPr>
      </w:pPr>
      <w:bookmarkStart w:id="17" w:name="_Toc236922871"/>
      <w:r w:rsidRPr="00384A1E">
        <w:rPr>
          <w:lang w:val="es-ES_tradnl"/>
        </w:rPr>
        <w:lastRenderedPageBreak/>
        <w:t>ESTADO FINANCIERO I: SITUACIÓN FINANCIERA</w:t>
      </w:r>
      <w:bookmarkEnd w:id="16"/>
      <w:bookmarkEnd w:id="17"/>
    </w:p>
    <w:p w14:paraId="215EBB73" w14:textId="060E9129" w:rsidR="00A824AF" w:rsidRPr="00384A1E" w:rsidRDefault="00F67FE4" w:rsidP="00191695">
      <w:pPr>
        <w:jc w:val="center"/>
        <w:rPr>
          <w:rFonts w:cs="Arial"/>
          <w:b/>
          <w:lang w:val="es-ES_tradnl"/>
        </w:rPr>
      </w:pPr>
      <w:r w:rsidRPr="00384A1E">
        <w:rPr>
          <w:b/>
          <w:lang w:val="es-ES_tradnl"/>
        </w:rPr>
        <w:t>a 31 de diciembre de 2025</w:t>
      </w:r>
    </w:p>
    <w:p w14:paraId="4A49EED0" w14:textId="77777777" w:rsidR="006606EB" w:rsidRPr="00384A1E" w:rsidRDefault="000357D6" w:rsidP="000357D6">
      <w:pPr>
        <w:jc w:val="center"/>
        <w:rPr>
          <w:rFonts w:cs="Arial"/>
          <w:i/>
          <w:lang w:val="es-ES_tradnl"/>
        </w:rPr>
      </w:pPr>
      <w:r w:rsidRPr="00384A1E">
        <w:rPr>
          <w:i/>
          <w:lang w:val="es-ES_tradnl"/>
        </w:rPr>
        <w:t>(francos suizos)</w:t>
      </w:r>
    </w:p>
    <w:p w14:paraId="38853625" w14:textId="77777777" w:rsidR="00FC05AA" w:rsidRPr="00384A1E" w:rsidRDefault="00FC05AA" w:rsidP="00FC05AA">
      <w:pPr>
        <w:rPr>
          <w:rFonts w:cs="Arial"/>
          <w:iCs/>
          <w:lang w:val="es-ES_tradnl"/>
        </w:rPr>
      </w:pPr>
    </w:p>
    <w:p w14:paraId="5331CF1D" w14:textId="06EC477E" w:rsidR="00FC05AA" w:rsidRPr="00384A1E" w:rsidRDefault="0094756A" w:rsidP="0094756A">
      <w:pPr>
        <w:jc w:val="center"/>
        <w:rPr>
          <w:rFonts w:cs="Arial"/>
          <w:iCs/>
          <w:lang w:val="es-ES_tradnl"/>
        </w:rPr>
      </w:pPr>
      <w:r w:rsidRPr="0094756A">
        <w:rPr>
          <w:noProof/>
        </w:rPr>
        <w:drawing>
          <wp:inline distT="0" distB="0" distL="0" distR="0" wp14:anchorId="139D424F" wp14:editId="7F1C977B">
            <wp:extent cx="5876290" cy="4913630"/>
            <wp:effectExtent l="0" t="0" r="0" b="0"/>
            <wp:docPr id="1270553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6290" cy="4913630"/>
                    </a:xfrm>
                    <a:prstGeom prst="rect">
                      <a:avLst/>
                    </a:prstGeom>
                    <a:noFill/>
                    <a:ln>
                      <a:noFill/>
                    </a:ln>
                  </pic:spPr>
                </pic:pic>
              </a:graphicData>
            </a:graphic>
          </wp:inline>
        </w:drawing>
      </w:r>
    </w:p>
    <w:p w14:paraId="64943656" w14:textId="77777777" w:rsidR="009E34B7" w:rsidRPr="00384A1E" w:rsidRDefault="009E34B7" w:rsidP="00FC05AA">
      <w:pPr>
        <w:pStyle w:val="Caption"/>
        <w:rPr>
          <w:sz w:val="20"/>
          <w:lang w:val="es-ES_tradnl"/>
        </w:rPr>
      </w:pPr>
      <w:bookmarkStart w:id="18" w:name="_1834646919"/>
      <w:bookmarkStart w:id="19" w:name="_1834651546"/>
      <w:bookmarkEnd w:id="18"/>
      <w:bookmarkEnd w:id="19"/>
    </w:p>
    <w:p w14:paraId="22D74C1F" w14:textId="77777777" w:rsidR="00FC05AA" w:rsidRPr="00384A1E" w:rsidRDefault="00FC05AA" w:rsidP="00FC05AA">
      <w:pPr>
        <w:rPr>
          <w:lang w:val="es-ES_tradnl"/>
        </w:rPr>
      </w:pPr>
    </w:p>
    <w:p w14:paraId="2F143B21" w14:textId="71A3974A" w:rsidR="009E34B7" w:rsidRPr="00002DDB" w:rsidRDefault="00736C79" w:rsidP="00620135">
      <w:pPr>
        <w:ind w:left="567"/>
        <w:rPr>
          <w:i/>
          <w:iCs/>
          <w:sz w:val="16"/>
          <w:szCs w:val="16"/>
          <w:lang w:val="es-ES_tradnl"/>
        </w:rPr>
      </w:pPr>
      <w:r w:rsidRPr="00002DDB">
        <w:rPr>
          <w:i/>
          <w:sz w:val="16"/>
          <w:szCs w:val="16"/>
          <w:lang w:val="es-ES_tradnl"/>
        </w:rPr>
        <w:t>Las notas adjuntas son parte integrante de los estados financieros.</w:t>
      </w:r>
    </w:p>
    <w:p w14:paraId="29227461" w14:textId="77777777" w:rsidR="00736C79" w:rsidRPr="00002DDB" w:rsidRDefault="00736C79" w:rsidP="009E34B7">
      <w:pPr>
        <w:rPr>
          <w:i/>
          <w:iCs/>
          <w:sz w:val="16"/>
          <w:szCs w:val="16"/>
          <w:lang w:val="es-ES_tradnl"/>
        </w:rPr>
      </w:pPr>
    </w:p>
    <w:p w14:paraId="14BB2934" w14:textId="5EDD7CD7" w:rsidR="00736C79" w:rsidRPr="00002DDB" w:rsidRDefault="00AB2C7F" w:rsidP="00620135">
      <w:pPr>
        <w:ind w:left="567"/>
        <w:rPr>
          <w:i/>
          <w:iCs/>
          <w:sz w:val="16"/>
          <w:szCs w:val="16"/>
          <w:lang w:val="es-ES_tradnl"/>
        </w:rPr>
      </w:pPr>
      <w:r w:rsidRPr="00002DDB">
        <w:rPr>
          <w:i/>
          <w:sz w:val="16"/>
          <w:szCs w:val="16"/>
          <w:lang w:val="es-ES_tradnl"/>
        </w:rPr>
        <w:t xml:space="preserve">Secretario </w:t>
      </w:r>
      <w:r w:rsidR="00002DDB" w:rsidRPr="00002DDB">
        <w:rPr>
          <w:i/>
          <w:sz w:val="16"/>
          <w:szCs w:val="16"/>
          <w:lang w:val="es-ES_tradnl"/>
        </w:rPr>
        <w:t>General</w:t>
      </w:r>
    </w:p>
    <w:p w14:paraId="6493D89E" w14:textId="2693140C" w:rsidR="00191695" w:rsidRPr="00384A1E" w:rsidRDefault="00A824AF" w:rsidP="000357D6">
      <w:pPr>
        <w:pStyle w:val="Caption"/>
        <w:jc w:val="center"/>
        <w:rPr>
          <w:rStyle w:val="Heading1Char"/>
          <w:b/>
          <w:sz w:val="20"/>
          <w:lang w:val="es-ES_tradnl"/>
        </w:rPr>
      </w:pPr>
      <w:r w:rsidRPr="00384A1E">
        <w:rPr>
          <w:lang w:val="es-ES_tradnl"/>
        </w:rPr>
        <w:br w:type="page"/>
      </w:r>
    </w:p>
    <w:p w14:paraId="16EA1006" w14:textId="786FE937" w:rsidR="00A824AF" w:rsidRPr="00384A1E" w:rsidRDefault="00DE3D35" w:rsidP="00DE3D35">
      <w:pPr>
        <w:pStyle w:val="Heading1"/>
        <w:jc w:val="center"/>
        <w:rPr>
          <w:rFonts w:cs="Arial"/>
          <w:lang w:val="es-ES_tradnl"/>
        </w:rPr>
      </w:pPr>
      <w:bookmarkStart w:id="20" w:name="_Toc236922872"/>
      <w:r w:rsidRPr="00384A1E">
        <w:rPr>
          <w:lang w:val="es-ES_tradnl"/>
        </w:rPr>
        <w:lastRenderedPageBreak/>
        <w:t>ESTADO FINANCIERO II: RENDIMIENTO FINANCIERO</w:t>
      </w:r>
      <w:bookmarkEnd w:id="20"/>
    </w:p>
    <w:p w14:paraId="2C757BDD" w14:textId="23A383BB" w:rsidR="00DE3D35" w:rsidRPr="00384A1E" w:rsidRDefault="00DE3D35" w:rsidP="00DE3D35">
      <w:pPr>
        <w:jc w:val="center"/>
        <w:rPr>
          <w:rFonts w:cs="Arial"/>
          <w:b/>
          <w:lang w:val="es-ES_tradnl"/>
        </w:rPr>
      </w:pPr>
      <w:r w:rsidRPr="00384A1E">
        <w:rPr>
          <w:b/>
          <w:lang w:val="es-ES_tradnl"/>
        </w:rPr>
        <w:t>del ejercicio concluido el 31 de diciembre de 2025</w:t>
      </w:r>
    </w:p>
    <w:p w14:paraId="321DA447" w14:textId="77777777" w:rsidR="00DE3D35" w:rsidRPr="00384A1E" w:rsidRDefault="00DE3D35" w:rsidP="00DE3D35">
      <w:pPr>
        <w:jc w:val="center"/>
        <w:rPr>
          <w:rFonts w:cs="Arial"/>
          <w:i/>
          <w:lang w:val="es-ES_tradnl"/>
        </w:rPr>
      </w:pPr>
      <w:r w:rsidRPr="00384A1E">
        <w:rPr>
          <w:i/>
          <w:lang w:val="es-ES_tradnl"/>
        </w:rPr>
        <w:t>(francos suizos)</w:t>
      </w:r>
    </w:p>
    <w:p w14:paraId="3F70A4AC" w14:textId="77777777" w:rsidR="00686B97" w:rsidRPr="00384A1E" w:rsidRDefault="00686B97" w:rsidP="006D30A8">
      <w:pPr>
        <w:rPr>
          <w:rFonts w:cs="Arial"/>
          <w:iCs/>
          <w:lang w:val="es-ES_tradnl"/>
        </w:rPr>
      </w:pPr>
    </w:p>
    <w:p w14:paraId="385A3A59" w14:textId="0646835B" w:rsidR="00B50986" w:rsidRPr="00384A1E" w:rsidRDefault="00BB37A2" w:rsidP="00BB37A2">
      <w:pPr>
        <w:jc w:val="center"/>
        <w:rPr>
          <w:rFonts w:cs="Arial"/>
          <w:iCs/>
          <w:lang w:val="es-ES_tradnl"/>
        </w:rPr>
      </w:pPr>
      <w:r w:rsidRPr="00BB37A2">
        <w:rPr>
          <w:noProof/>
        </w:rPr>
        <w:drawing>
          <wp:inline distT="0" distB="0" distL="0" distR="0" wp14:anchorId="4A1A8913" wp14:editId="6E45C940">
            <wp:extent cx="5772785" cy="3498850"/>
            <wp:effectExtent l="0" t="0" r="0" b="0"/>
            <wp:docPr id="18234564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2785" cy="3498850"/>
                    </a:xfrm>
                    <a:prstGeom prst="rect">
                      <a:avLst/>
                    </a:prstGeom>
                    <a:noFill/>
                    <a:ln>
                      <a:noFill/>
                    </a:ln>
                  </pic:spPr>
                </pic:pic>
              </a:graphicData>
            </a:graphic>
          </wp:inline>
        </w:drawing>
      </w:r>
    </w:p>
    <w:p w14:paraId="3D5E9785" w14:textId="77777777" w:rsidR="005D3AB8" w:rsidRPr="00384A1E" w:rsidRDefault="005D3AB8" w:rsidP="00B50986">
      <w:pPr>
        <w:rPr>
          <w:rFonts w:cs="Arial"/>
          <w:iCs/>
          <w:lang w:val="es-ES_tradnl"/>
        </w:rPr>
      </w:pPr>
    </w:p>
    <w:p w14:paraId="289E17F5" w14:textId="77777777" w:rsidR="00706113" w:rsidRPr="00384A1E" w:rsidRDefault="00A824AF" w:rsidP="000357D6">
      <w:pPr>
        <w:pStyle w:val="Caption"/>
        <w:jc w:val="center"/>
        <w:rPr>
          <w:rStyle w:val="Heading1Char"/>
          <w:b/>
          <w:sz w:val="20"/>
          <w:lang w:val="es-ES_tradnl"/>
        </w:rPr>
      </w:pPr>
      <w:r w:rsidRPr="00384A1E">
        <w:rPr>
          <w:lang w:val="es-ES_tradnl"/>
        </w:rPr>
        <w:br w:type="page"/>
      </w:r>
    </w:p>
    <w:p w14:paraId="5409DA3C" w14:textId="1CB78CDC" w:rsidR="00DE3D35" w:rsidRPr="00384A1E" w:rsidRDefault="00DE3D35" w:rsidP="00DE3D35">
      <w:pPr>
        <w:pStyle w:val="Heading1"/>
        <w:jc w:val="center"/>
        <w:rPr>
          <w:rFonts w:cs="Arial"/>
          <w:lang w:val="es-ES_tradnl"/>
        </w:rPr>
      </w:pPr>
      <w:bookmarkStart w:id="21" w:name="_Toc236922873"/>
      <w:r w:rsidRPr="00384A1E">
        <w:rPr>
          <w:lang w:val="es-ES_tradnl"/>
        </w:rPr>
        <w:lastRenderedPageBreak/>
        <w:t>ESTADO FINANCIERO III: CAMBIOS EN EL ACTIVO NETO</w:t>
      </w:r>
      <w:bookmarkEnd w:id="21"/>
    </w:p>
    <w:p w14:paraId="19060D89" w14:textId="769BA51D" w:rsidR="00A824AF" w:rsidRPr="00384A1E" w:rsidRDefault="00A824AF" w:rsidP="00DE3D35">
      <w:pPr>
        <w:jc w:val="center"/>
        <w:rPr>
          <w:rFonts w:cs="Arial"/>
          <w:b/>
          <w:lang w:val="es-ES_tradnl"/>
        </w:rPr>
      </w:pPr>
      <w:r w:rsidRPr="00384A1E">
        <w:rPr>
          <w:b/>
          <w:lang w:val="es-ES_tradnl"/>
        </w:rPr>
        <w:t>del ejercicio concluido el 31 de diciembre de 2025</w:t>
      </w:r>
    </w:p>
    <w:p w14:paraId="1841FD2A" w14:textId="7A7D5F6C" w:rsidR="00A824AF" w:rsidRPr="00384A1E" w:rsidRDefault="00A824AF" w:rsidP="00A824AF">
      <w:pPr>
        <w:jc w:val="center"/>
        <w:rPr>
          <w:rFonts w:cs="Arial"/>
          <w:i/>
          <w:lang w:val="es-ES_tradnl"/>
        </w:rPr>
      </w:pPr>
      <w:r w:rsidRPr="00384A1E">
        <w:rPr>
          <w:i/>
          <w:lang w:val="es-ES_tradnl"/>
        </w:rPr>
        <w:t>(francos suizos)</w:t>
      </w:r>
    </w:p>
    <w:p w14:paraId="6A4B596D" w14:textId="08382A17" w:rsidR="001830B9" w:rsidRPr="00384A1E" w:rsidRDefault="001830B9" w:rsidP="00BD078C">
      <w:pPr>
        <w:pStyle w:val="Caption"/>
        <w:rPr>
          <w:b w:val="0"/>
          <w:bCs w:val="0"/>
          <w:sz w:val="20"/>
          <w:lang w:val="es-ES_tradnl"/>
        </w:rPr>
      </w:pPr>
    </w:p>
    <w:p w14:paraId="79357A13" w14:textId="73A7BCB2" w:rsidR="00F7776E" w:rsidRPr="00384A1E" w:rsidRDefault="00224CD4" w:rsidP="00224CD4">
      <w:pPr>
        <w:jc w:val="center"/>
        <w:rPr>
          <w:lang w:val="es-ES_tradnl"/>
        </w:rPr>
      </w:pPr>
      <w:r w:rsidRPr="00224CD4">
        <w:rPr>
          <w:noProof/>
        </w:rPr>
        <w:drawing>
          <wp:inline distT="0" distB="0" distL="0" distR="0" wp14:anchorId="0DFA8347" wp14:editId="7E2E8148">
            <wp:extent cx="6120765" cy="5729605"/>
            <wp:effectExtent l="0" t="0" r="0" b="0"/>
            <wp:docPr id="4822903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765" cy="5729605"/>
                    </a:xfrm>
                    <a:prstGeom prst="rect">
                      <a:avLst/>
                    </a:prstGeom>
                    <a:noFill/>
                    <a:ln>
                      <a:noFill/>
                    </a:ln>
                  </pic:spPr>
                </pic:pic>
              </a:graphicData>
            </a:graphic>
          </wp:inline>
        </w:drawing>
      </w:r>
    </w:p>
    <w:p w14:paraId="4BAC0E54" w14:textId="6F024196" w:rsidR="006D30A8" w:rsidRPr="00384A1E" w:rsidRDefault="006D30A8" w:rsidP="006D30A8">
      <w:pPr>
        <w:rPr>
          <w:rFonts w:cs="Arial"/>
          <w:i/>
          <w:lang w:val="es-ES_tradnl"/>
        </w:rPr>
      </w:pPr>
    </w:p>
    <w:p w14:paraId="22AE80F6" w14:textId="33EEE3B7" w:rsidR="005D3AB8" w:rsidRPr="00384A1E" w:rsidRDefault="005D3AB8" w:rsidP="00A824AF">
      <w:pPr>
        <w:jc w:val="center"/>
        <w:rPr>
          <w:rFonts w:cs="Arial"/>
          <w:i/>
          <w:lang w:val="es-ES_tradnl"/>
        </w:rPr>
      </w:pPr>
    </w:p>
    <w:p w14:paraId="33B05A10" w14:textId="77777777" w:rsidR="00A824AF" w:rsidRPr="00384A1E" w:rsidRDefault="00A824AF" w:rsidP="005D7523">
      <w:pPr>
        <w:pStyle w:val="Caption"/>
        <w:rPr>
          <w:sz w:val="20"/>
          <w:lang w:val="es-ES_tradnl"/>
        </w:rPr>
      </w:pPr>
      <w:r w:rsidRPr="00384A1E">
        <w:rPr>
          <w:lang w:val="es-ES_tradnl"/>
        </w:rPr>
        <w:br w:type="page"/>
      </w:r>
    </w:p>
    <w:p w14:paraId="0F7BEBE3" w14:textId="450CA009" w:rsidR="00706113" w:rsidRPr="00384A1E" w:rsidRDefault="00706113" w:rsidP="000357D6">
      <w:pPr>
        <w:pStyle w:val="Heading1"/>
        <w:jc w:val="center"/>
        <w:rPr>
          <w:rFonts w:cs="Arial"/>
          <w:lang w:val="es-ES_tradnl"/>
        </w:rPr>
      </w:pPr>
      <w:bookmarkStart w:id="22" w:name="_Toc336009926"/>
      <w:bookmarkStart w:id="23" w:name="_Toc457491912"/>
      <w:bookmarkStart w:id="24" w:name="_Toc84329889"/>
      <w:bookmarkStart w:id="25" w:name="_Toc236922874"/>
      <w:r w:rsidRPr="00384A1E">
        <w:rPr>
          <w:lang w:val="es-ES_tradnl"/>
        </w:rPr>
        <w:lastRenderedPageBreak/>
        <w:t>ESTADO FINANCIERO IV: FLUJOS DE EFECTIVO</w:t>
      </w:r>
      <w:bookmarkEnd w:id="22"/>
      <w:bookmarkEnd w:id="23"/>
      <w:bookmarkEnd w:id="24"/>
      <w:bookmarkEnd w:id="25"/>
    </w:p>
    <w:p w14:paraId="20150F4D" w14:textId="7761E2E5" w:rsidR="00A824AF" w:rsidRPr="00384A1E" w:rsidRDefault="00A824AF" w:rsidP="00A824AF">
      <w:pPr>
        <w:jc w:val="center"/>
        <w:rPr>
          <w:rFonts w:cs="Arial"/>
          <w:b/>
          <w:lang w:val="es-ES_tradnl"/>
        </w:rPr>
      </w:pPr>
      <w:r w:rsidRPr="00384A1E">
        <w:rPr>
          <w:b/>
          <w:lang w:val="es-ES_tradnl"/>
        </w:rPr>
        <w:t>del ejercicio concluido el 31 de diciembre de 2025</w:t>
      </w:r>
    </w:p>
    <w:p w14:paraId="62F8BA69" w14:textId="77777777" w:rsidR="00A824AF" w:rsidRPr="00384A1E" w:rsidRDefault="00A824AF" w:rsidP="00A824AF">
      <w:pPr>
        <w:jc w:val="center"/>
        <w:rPr>
          <w:rFonts w:cs="Arial"/>
          <w:i/>
          <w:lang w:val="es-ES_tradnl"/>
        </w:rPr>
      </w:pPr>
      <w:r w:rsidRPr="00384A1E">
        <w:rPr>
          <w:i/>
          <w:lang w:val="es-ES_tradnl"/>
        </w:rPr>
        <w:t>(francos suizos)</w:t>
      </w:r>
    </w:p>
    <w:p w14:paraId="51D813B8" w14:textId="77777777" w:rsidR="00775C3C" w:rsidRPr="00384A1E" w:rsidRDefault="00775C3C" w:rsidP="008955D0">
      <w:pPr>
        <w:rPr>
          <w:rFonts w:cs="Arial"/>
          <w:iCs/>
          <w:lang w:val="es-ES_tradnl"/>
        </w:rPr>
      </w:pPr>
    </w:p>
    <w:p w14:paraId="6E6A832E" w14:textId="223CF3B2" w:rsidR="00C84394" w:rsidRPr="00384A1E" w:rsidRDefault="00893F79" w:rsidP="00893F79">
      <w:pPr>
        <w:jc w:val="center"/>
        <w:rPr>
          <w:rFonts w:cs="Arial"/>
          <w:iCs/>
          <w:lang w:val="es-ES_tradnl"/>
        </w:rPr>
      </w:pPr>
      <w:r w:rsidRPr="00893F79">
        <w:rPr>
          <w:noProof/>
        </w:rPr>
        <w:drawing>
          <wp:inline distT="0" distB="0" distL="0" distR="0" wp14:anchorId="493CDB98" wp14:editId="4BDB7DD2">
            <wp:extent cx="6120765" cy="3279140"/>
            <wp:effectExtent l="0" t="0" r="0" b="0"/>
            <wp:docPr id="4660351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3279140"/>
                    </a:xfrm>
                    <a:prstGeom prst="rect">
                      <a:avLst/>
                    </a:prstGeom>
                    <a:noFill/>
                    <a:ln>
                      <a:noFill/>
                    </a:ln>
                  </pic:spPr>
                </pic:pic>
              </a:graphicData>
            </a:graphic>
          </wp:inline>
        </w:drawing>
      </w:r>
    </w:p>
    <w:p w14:paraId="0DA3B0EF" w14:textId="4BAEB379" w:rsidR="008955D0" w:rsidRPr="00384A1E" w:rsidRDefault="008955D0" w:rsidP="008955D0">
      <w:pPr>
        <w:rPr>
          <w:rFonts w:cs="Arial"/>
          <w:iCs/>
          <w:lang w:val="es-ES_tradnl"/>
        </w:rPr>
      </w:pPr>
    </w:p>
    <w:p w14:paraId="67B38938" w14:textId="77777777" w:rsidR="00706113" w:rsidRPr="00384A1E" w:rsidRDefault="00A824AF" w:rsidP="000357D6">
      <w:pPr>
        <w:pStyle w:val="Caption"/>
        <w:jc w:val="center"/>
        <w:rPr>
          <w:rStyle w:val="Heading1Char"/>
          <w:b/>
          <w:sz w:val="20"/>
          <w:lang w:val="es-ES_tradnl"/>
        </w:rPr>
      </w:pPr>
      <w:r w:rsidRPr="00384A1E">
        <w:rPr>
          <w:lang w:val="es-ES_tradnl"/>
        </w:rPr>
        <w:br w:type="page"/>
      </w:r>
      <w:bookmarkStart w:id="26" w:name="_Toc336009927"/>
    </w:p>
    <w:p w14:paraId="6DA41790" w14:textId="72F0704F" w:rsidR="00DE3D35" w:rsidRPr="00384A1E" w:rsidRDefault="00E45EF0" w:rsidP="00DE3D35">
      <w:pPr>
        <w:pStyle w:val="Heading1"/>
        <w:jc w:val="center"/>
        <w:rPr>
          <w:rFonts w:cs="Arial"/>
          <w:lang w:val="es-ES_tradnl"/>
        </w:rPr>
      </w:pPr>
      <w:bookmarkStart w:id="27" w:name="_Toc236922875"/>
      <w:r w:rsidRPr="00384A1E">
        <w:rPr>
          <w:lang w:val="es-ES_tradnl"/>
        </w:rPr>
        <w:lastRenderedPageBreak/>
        <w:t xml:space="preserve">ESTADO FINANCIERO V: </w:t>
      </w:r>
      <w:r w:rsidR="00132EF6" w:rsidRPr="00384A1E">
        <w:rPr>
          <w:lang w:val="es-ES_tradnl"/>
        </w:rPr>
        <w:t>COMPARACIÓN</w:t>
      </w:r>
      <w:r w:rsidRPr="00384A1E">
        <w:rPr>
          <w:lang w:val="es-ES_tradnl"/>
        </w:rPr>
        <w:t xml:space="preserve"> DE IMPORTES PRESUPUESTADOS Y REALES DE 2025</w:t>
      </w:r>
      <w:bookmarkEnd w:id="27"/>
    </w:p>
    <w:p w14:paraId="4B28D092" w14:textId="04CDD73E" w:rsidR="00A824AF" w:rsidRPr="00384A1E" w:rsidRDefault="00A824AF" w:rsidP="00706113">
      <w:pPr>
        <w:jc w:val="center"/>
        <w:rPr>
          <w:rFonts w:cs="Arial"/>
          <w:b/>
          <w:lang w:val="es-ES_tradnl"/>
        </w:rPr>
      </w:pPr>
      <w:r w:rsidRPr="00384A1E">
        <w:rPr>
          <w:b/>
          <w:lang w:val="es-ES_tradnl"/>
        </w:rPr>
        <w:t>del ejercicio concluido el 31 de diciembre de 2025</w:t>
      </w:r>
    </w:p>
    <w:p w14:paraId="77D6422F" w14:textId="3EF17416" w:rsidR="00A824AF" w:rsidRPr="00384A1E" w:rsidRDefault="00A824AF" w:rsidP="00A824AF">
      <w:pPr>
        <w:jc w:val="center"/>
        <w:rPr>
          <w:rFonts w:cs="Arial"/>
          <w:i/>
          <w:lang w:val="es-ES_tradnl"/>
        </w:rPr>
      </w:pPr>
      <w:r w:rsidRPr="00384A1E">
        <w:rPr>
          <w:i/>
          <w:lang w:val="es-ES_tradnl"/>
        </w:rPr>
        <w:t>(miles de francos suizos)</w:t>
      </w:r>
    </w:p>
    <w:p w14:paraId="52A83060" w14:textId="77777777" w:rsidR="00775C3C" w:rsidRPr="00384A1E" w:rsidRDefault="00775C3C" w:rsidP="00A824AF">
      <w:pPr>
        <w:jc w:val="center"/>
        <w:rPr>
          <w:rFonts w:cs="Arial"/>
          <w:i/>
          <w:lang w:val="es-ES_tradnl"/>
        </w:rPr>
      </w:pPr>
    </w:p>
    <w:p w14:paraId="06CE94E5" w14:textId="6305A222" w:rsidR="00746563" w:rsidRPr="00384A1E" w:rsidRDefault="00D0231F" w:rsidP="00D0231F">
      <w:pPr>
        <w:jc w:val="center"/>
        <w:rPr>
          <w:rFonts w:cs="Arial"/>
          <w:iCs/>
          <w:lang w:val="es-ES_tradnl"/>
        </w:rPr>
      </w:pPr>
      <w:r w:rsidRPr="00D0231F">
        <w:rPr>
          <w:noProof/>
        </w:rPr>
        <w:drawing>
          <wp:inline distT="0" distB="0" distL="0" distR="0" wp14:anchorId="628F9B80" wp14:editId="61717F7E">
            <wp:extent cx="6120765" cy="3945890"/>
            <wp:effectExtent l="0" t="0" r="0" b="0"/>
            <wp:docPr id="15974277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3945890"/>
                    </a:xfrm>
                    <a:prstGeom prst="rect">
                      <a:avLst/>
                    </a:prstGeom>
                    <a:noFill/>
                    <a:ln>
                      <a:noFill/>
                    </a:ln>
                  </pic:spPr>
                </pic:pic>
              </a:graphicData>
            </a:graphic>
          </wp:inline>
        </w:drawing>
      </w:r>
    </w:p>
    <w:p w14:paraId="731A2231" w14:textId="4C8BCD3E" w:rsidR="00CE23D2" w:rsidRPr="00384A1E" w:rsidRDefault="00CE23D2" w:rsidP="0056765C">
      <w:pPr>
        <w:rPr>
          <w:rFonts w:cs="Arial"/>
          <w:iCs/>
          <w:lang w:val="es-ES_tradnl"/>
        </w:rPr>
      </w:pPr>
    </w:p>
    <w:p w14:paraId="4E6948C2" w14:textId="77777777" w:rsidR="00F01B83" w:rsidRDefault="00F01B83" w:rsidP="0056765C">
      <w:pPr>
        <w:rPr>
          <w:rFonts w:cs="Arial"/>
          <w:iCs/>
          <w:lang w:val="es-ES_tradnl"/>
        </w:rPr>
      </w:pPr>
    </w:p>
    <w:p w14:paraId="43600A5F" w14:textId="77777777" w:rsidR="00C847D2" w:rsidRPr="00384A1E" w:rsidRDefault="00C847D2" w:rsidP="0056765C">
      <w:pPr>
        <w:rPr>
          <w:rFonts w:cs="Arial"/>
          <w:iCs/>
          <w:lang w:val="es-ES_tradnl"/>
        </w:rPr>
      </w:pPr>
    </w:p>
    <w:p w14:paraId="47E9BBE4" w14:textId="0B1DB32A" w:rsidR="00D61512" w:rsidRPr="00083DFD" w:rsidRDefault="00C847D2" w:rsidP="00C847D2">
      <w:pPr>
        <w:pStyle w:val="Default"/>
        <w:ind w:left="360" w:hanging="360"/>
        <w:rPr>
          <w:color w:val="auto"/>
          <w:sz w:val="16"/>
          <w:szCs w:val="16"/>
          <w:lang w:val="es-ES_tradnl"/>
        </w:rPr>
      </w:pPr>
      <w:r>
        <w:rPr>
          <w:color w:val="auto"/>
          <w:sz w:val="16"/>
          <w:szCs w:val="20"/>
          <w:lang w:val="es-ES_tradnl"/>
        </w:rPr>
        <w:t>(1)</w:t>
      </w:r>
      <w:r>
        <w:rPr>
          <w:color w:val="auto"/>
          <w:sz w:val="16"/>
          <w:szCs w:val="20"/>
          <w:lang w:val="es-ES_tradnl"/>
        </w:rPr>
        <w:tab/>
      </w:r>
      <w:r w:rsidR="00EC0F51" w:rsidRPr="00083DFD">
        <w:rPr>
          <w:color w:val="auto"/>
          <w:sz w:val="16"/>
          <w:szCs w:val="20"/>
          <w:lang w:val="es-ES_tradnl"/>
        </w:rPr>
        <w:t>El presupuesto original representa el presupuesto del segundo año del Programa y Presupuesto aprobado para el bienio</w:t>
      </w:r>
      <w:r w:rsidR="00083DFD">
        <w:rPr>
          <w:color w:val="auto"/>
          <w:sz w:val="16"/>
          <w:szCs w:val="20"/>
          <w:lang w:val="es-ES_tradnl"/>
        </w:rPr>
        <w:t> </w:t>
      </w:r>
      <w:r w:rsidR="00EC0F51" w:rsidRPr="00083DFD">
        <w:rPr>
          <w:color w:val="auto"/>
          <w:sz w:val="16"/>
          <w:szCs w:val="20"/>
          <w:lang w:val="es-ES_tradnl"/>
        </w:rPr>
        <w:t>2024/25.</w:t>
      </w:r>
    </w:p>
    <w:p w14:paraId="6CD9EDE5" w14:textId="55B70F00" w:rsidR="00D61512" w:rsidRPr="00083DFD" w:rsidRDefault="00C847D2" w:rsidP="00C847D2">
      <w:pPr>
        <w:pStyle w:val="Default"/>
        <w:ind w:left="360" w:hanging="360"/>
        <w:rPr>
          <w:color w:val="auto"/>
          <w:sz w:val="16"/>
          <w:szCs w:val="16"/>
          <w:lang w:val="es-ES_tradnl"/>
        </w:rPr>
      </w:pPr>
      <w:r>
        <w:rPr>
          <w:color w:val="auto"/>
          <w:sz w:val="16"/>
          <w:szCs w:val="20"/>
          <w:lang w:val="es-ES_tradnl"/>
        </w:rPr>
        <w:t>(2)</w:t>
      </w:r>
      <w:r>
        <w:rPr>
          <w:color w:val="auto"/>
          <w:sz w:val="16"/>
          <w:szCs w:val="20"/>
          <w:lang w:val="es-ES_tradnl"/>
        </w:rPr>
        <w:tab/>
      </w:r>
      <w:r w:rsidR="00D61512" w:rsidRPr="00083DFD">
        <w:rPr>
          <w:color w:val="auto"/>
          <w:sz w:val="16"/>
          <w:szCs w:val="20"/>
          <w:lang w:val="es-ES_tradnl"/>
        </w:rPr>
        <w:t xml:space="preserve">Representa la diferencia entre el presupuesto final y los ingresos y gastos reales sobre una base comparable (antes de los ajustes de las IPSAS) del ejercicio concluido el 31 de diciembre de 2025. </w:t>
      </w:r>
    </w:p>
    <w:p w14:paraId="7BFAEB82" w14:textId="31858E16" w:rsidR="00D61512" w:rsidRPr="00083DFD" w:rsidRDefault="00C847D2" w:rsidP="00C847D2">
      <w:pPr>
        <w:pStyle w:val="Default"/>
        <w:ind w:left="360" w:hanging="360"/>
        <w:rPr>
          <w:color w:val="auto"/>
          <w:sz w:val="16"/>
          <w:szCs w:val="16"/>
          <w:lang w:val="es-ES_tradnl"/>
        </w:rPr>
      </w:pPr>
      <w:r>
        <w:rPr>
          <w:color w:val="auto"/>
          <w:sz w:val="16"/>
          <w:szCs w:val="20"/>
          <w:lang w:val="es-ES_tradnl"/>
        </w:rPr>
        <w:t>(3)</w:t>
      </w:r>
      <w:r>
        <w:rPr>
          <w:color w:val="auto"/>
          <w:sz w:val="16"/>
          <w:szCs w:val="20"/>
          <w:lang w:val="es-ES_tradnl"/>
        </w:rPr>
        <w:tab/>
      </w:r>
      <w:r w:rsidR="00D61512" w:rsidRPr="00083DFD">
        <w:rPr>
          <w:color w:val="auto"/>
          <w:sz w:val="16"/>
          <w:szCs w:val="20"/>
          <w:lang w:val="es-ES_tradnl"/>
        </w:rPr>
        <w:t xml:space="preserve">Los ajustes efectuados en el superávit con arreglo a las IPSAS se detallan en la nota 12 de los presentes estados financieros. </w:t>
      </w:r>
    </w:p>
    <w:p w14:paraId="26607418" w14:textId="77777777" w:rsidR="007E35FA" w:rsidRPr="00384A1E" w:rsidRDefault="007E35FA" w:rsidP="007E35FA">
      <w:pPr>
        <w:pStyle w:val="Default"/>
        <w:rPr>
          <w:color w:val="auto"/>
          <w:sz w:val="20"/>
          <w:szCs w:val="20"/>
          <w:lang w:val="es-ES_tradnl"/>
        </w:rPr>
      </w:pPr>
    </w:p>
    <w:p w14:paraId="25529ED9" w14:textId="00D4FF4D" w:rsidR="00D7364C" w:rsidRPr="00384A1E" w:rsidRDefault="007E35FA" w:rsidP="00D7364C">
      <w:pPr>
        <w:pStyle w:val="Heading1"/>
        <w:jc w:val="center"/>
        <w:rPr>
          <w:rFonts w:cs="Arial"/>
          <w:lang w:val="es-ES_tradnl"/>
        </w:rPr>
      </w:pPr>
      <w:bookmarkStart w:id="28" w:name="_Toc109138977"/>
      <w:r w:rsidRPr="00384A1E">
        <w:rPr>
          <w:lang w:val="es-ES_tradnl"/>
        </w:rPr>
        <w:br w:type="page"/>
      </w:r>
      <w:bookmarkStart w:id="29" w:name="_Toc236922876"/>
      <w:r w:rsidRPr="00384A1E">
        <w:rPr>
          <w:lang w:val="es-ES_tradnl"/>
        </w:rPr>
        <w:lastRenderedPageBreak/>
        <w:t xml:space="preserve">ESTADO FINANCIERO V: </w:t>
      </w:r>
      <w:r w:rsidR="001B790F" w:rsidRPr="00384A1E">
        <w:rPr>
          <w:lang w:val="es-ES_tradnl"/>
        </w:rPr>
        <w:t xml:space="preserve">COMPARACIÓN </w:t>
      </w:r>
      <w:r w:rsidRPr="00384A1E">
        <w:rPr>
          <w:lang w:val="es-ES_tradnl"/>
        </w:rPr>
        <w:t>DE IMPORTES PRESUPUESTADOS Y REALES 2024/25</w:t>
      </w:r>
      <w:bookmarkEnd w:id="29"/>
    </w:p>
    <w:p w14:paraId="6DA4AD37" w14:textId="6DD473D2" w:rsidR="00D7364C" w:rsidRPr="00384A1E" w:rsidRDefault="00D7364C" w:rsidP="00D7364C">
      <w:pPr>
        <w:jc w:val="center"/>
        <w:rPr>
          <w:rFonts w:cs="Arial"/>
          <w:b/>
          <w:lang w:val="es-ES_tradnl"/>
        </w:rPr>
      </w:pPr>
      <w:r w:rsidRPr="00384A1E">
        <w:rPr>
          <w:b/>
          <w:lang w:val="es-ES_tradnl"/>
        </w:rPr>
        <w:t>del bienio concluido el 31 de diciembre de 2025</w:t>
      </w:r>
    </w:p>
    <w:p w14:paraId="619614A2" w14:textId="77777777" w:rsidR="00D7364C" w:rsidRPr="00384A1E" w:rsidRDefault="00D7364C" w:rsidP="00D7364C">
      <w:pPr>
        <w:jc w:val="center"/>
        <w:rPr>
          <w:rFonts w:cs="Arial"/>
          <w:i/>
          <w:lang w:val="es-ES_tradnl"/>
        </w:rPr>
      </w:pPr>
      <w:r w:rsidRPr="00384A1E">
        <w:rPr>
          <w:i/>
          <w:lang w:val="es-ES_tradnl"/>
        </w:rPr>
        <w:t>(miles de francos suizos)</w:t>
      </w:r>
    </w:p>
    <w:p w14:paraId="2D3E1A22" w14:textId="55A27C38" w:rsidR="007E35FA" w:rsidRPr="00384A1E" w:rsidRDefault="007E35FA">
      <w:pPr>
        <w:jc w:val="left"/>
        <w:rPr>
          <w:rFonts w:cs="Arial"/>
          <w:bCs/>
          <w:caps/>
          <w:lang w:val="es-ES_tradnl"/>
        </w:rPr>
      </w:pPr>
    </w:p>
    <w:p w14:paraId="686816B0" w14:textId="6BE5A610" w:rsidR="00887E66" w:rsidRPr="00384A1E" w:rsidRDefault="0046383B" w:rsidP="00A11D82">
      <w:pPr>
        <w:jc w:val="center"/>
        <w:rPr>
          <w:rFonts w:cs="Arial"/>
          <w:bCs/>
          <w:caps/>
          <w:lang w:val="es-ES_tradnl"/>
        </w:rPr>
      </w:pPr>
      <w:r w:rsidRPr="0046383B">
        <w:rPr>
          <w:noProof/>
        </w:rPr>
        <w:drawing>
          <wp:inline distT="0" distB="0" distL="0" distR="0" wp14:anchorId="6D91A773" wp14:editId="27531FFB">
            <wp:extent cx="6120765" cy="4316730"/>
            <wp:effectExtent l="0" t="0" r="0" b="0"/>
            <wp:docPr id="18487315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765" cy="4316730"/>
                    </a:xfrm>
                    <a:prstGeom prst="rect">
                      <a:avLst/>
                    </a:prstGeom>
                    <a:noFill/>
                    <a:ln>
                      <a:noFill/>
                    </a:ln>
                  </pic:spPr>
                </pic:pic>
              </a:graphicData>
            </a:graphic>
          </wp:inline>
        </w:drawing>
      </w:r>
    </w:p>
    <w:p w14:paraId="50D2C3BE" w14:textId="77777777" w:rsidR="00840BC0" w:rsidRPr="00384A1E" w:rsidRDefault="00840BC0">
      <w:pPr>
        <w:jc w:val="left"/>
        <w:rPr>
          <w:rFonts w:cs="Arial"/>
          <w:lang w:val="es-ES_tradnl"/>
        </w:rPr>
      </w:pPr>
      <w:bookmarkStart w:id="30" w:name="_1834644757"/>
      <w:bookmarkStart w:id="31" w:name="_1834574917"/>
      <w:bookmarkStart w:id="32" w:name="_1834646942"/>
      <w:bookmarkStart w:id="33" w:name="_1834651570"/>
      <w:bookmarkStart w:id="34" w:name="_Toc336009929"/>
      <w:bookmarkStart w:id="35" w:name="_Toc457491914"/>
      <w:bookmarkStart w:id="36" w:name="_Toc84329891"/>
      <w:bookmarkEnd w:id="26"/>
      <w:bookmarkEnd w:id="28"/>
      <w:bookmarkEnd w:id="30"/>
      <w:bookmarkEnd w:id="31"/>
      <w:bookmarkEnd w:id="32"/>
      <w:bookmarkEnd w:id="33"/>
    </w:p>
    <w:p w14:paraId="30CC33B2" w14:textId="77777777" w:rsidR="00840BC0" w:rsidRPr="00384A1E" w:rsidRDefault="00840BC0" w:rsidP="00840BC0">
      <w:pPr>
        <w:rPr>
          <w:rFonts w:cs="Arial"/>
          <w:lang w:val="es-ES_tradnl"/>
        </w:rPr>
      </w:pPr>
    </w:p>
    <w:p w14:paraId="32F9BD22" w14:textId="39D53196" w:rsidR="004C6FE1" w:rsidRPr="00E719FA" w:rsidRDefault="00E719FA" w:rsidP="00E719FA">
      <w:pPr>
        <w:pStyle w:val="Default"/>
        <w:ind w:left="360" w:hanging="360"/>
        <w:rPr>
          <w:color w:val="auto"/>
          <w:sz w:val="16"/>
          <w:szCs w:val="16"/>
          <w:lang w:val="es-ES_tradnl"/>
        </w:rPr>
      </w:pPr>
      <w:r>
        <w:rPr>
          <w:color w:val="auto"/>
          <w:sz w:val="16"/>
          <w:szCs w:val="20"/>
          <w:lang w:val="es-ES_tradnl"/>
        </w:rPr>
        <w:t>(1)</w:t>
      </w:r>
      <w:r>
        <w:rPr>
          <w:color w:val="auto"/>
          <w:sz w:val="16"/>
          <w:szCs w:val="20"/>
          <w:lang w:val="es-ES_tradnl"/>
        </w:rPr>
        <w:tab/>
      </w:r>
      <w:r w:rsidR="004C6FE1" w:rsidRPr="00E719FA">
        <w:rPr>
          <w:color w:val="auto"/>
          <w:sz w:val="16"/>
          <w:szCs w:val="20"/>
          <w:lang w:val="es-ES_tradnl"/>
        </w:rPr>
        <w:t>El presupuesto original representa el presupuesto del Programa y Presupuesto aprobado para el bienio 2024/25.</w:t>
      </w:r>
    </w:p>
    <w:p w14:paraId="739793D6" w14:textId="0F7B897D" w:rsidR="00840BC0" w:rsidRPr="00E719FA" w:rsidRDefault="00E719FA" w:rsidP="00E719FA">
      <w:pPr>
        <w:pStyle w:val="Default"/>
        <w:ind w:left="360" w:hanging="360"/>
        <w:rPr>
          <w:color w:val="auto"/>
          <w:sz w:val="16"/>
          <w:szCs w:val="16"/>
          <w:lang w:val="es-ES_tradnl"/>
        </w:rPr>
      </w:pPr>
      <w:r>
        <w:rPr>
          <w:color w:val="auto"/>
          <w:sz w:val="16"/>
          <w:szCs w:val="20"/>
          <w:lang w:val="es-ES_tradnl"/>
        </w:rPr>
        <w:t>(2)</w:t>
      </w:r>
      <w:r>
        <w:rPr>
          <w:color w:val="auto"/>
          <w:sz w:val="16"/>
          <w:szCs w:val="20"/>
          <w:lang w:val="es-ES_tradnl"/>
        </w:rPr>
        <w:tab/>
      </w:r>
      <w:r w:rsidR="00B463EA" w:rsidRPr="00E719FA">
        <w:rPr>
          <w:color w:val="auto"/>
          <w:sz w:val="16"/>
          <w:szCs w:val="20"/>
          <w:lang w:val="es-ES_tradnl"/>
        </w:rPr>
        <w:t xml:space="preserve">Representa la diferencia entre el presupuesto final y los ingresos y gastos reales sobre una base comparable (antes de los ajustes de las IPSAS) en el bienio concluido el 31 de diciembre de 2025. </w:t>
      </w:r>
    </w:p>
    <w:p w14:paraId="190F7354" w14:textId="33362A8A" w:rsidR="00840BC0" w:rsidRPr="00E719FA" w:rsidRDefault="00E719FA" w:rsidP="00E719FA">
      <w:pPr>
        <w:pStyle w:val="Default"/>
        <w:ind w:left="360" w:hanging="360"/>
        <w:rPr>
          <w:color w:val="auto"/>
          <w:sz w:val="16"/>
          <w:szCs w:val="16"/>
          <w:lang w:val="es-ES_tradnl"/>
        </w:rPr>
      </w:pPr>
      <w:r>
        <w:rPr>
          <w:color w:val="auto"/>
          <w:sz w:val="16"/>
          <w:szCs w:val="20"/>
          <w:lang w:val="es-ES_tradnl"/>
        </w:rPr>
        <w:t>(3)</w:t>
      </w:r>
      <w:r>
        <w:rPr>
          <w:color w:val="auto"/>
          <w:sz w:val="16"/>
          <w:szCs w:val="20"/>
          <w:lang w:val="es-ES_tradnl"/>
        </w:rPr>
        <w:tab/>
      </w:r>
      <w:r w:rsidR="00840BC0" w:rsidRPr="00E719FA">
        <w:rPr>
          <w:color w:val="auto"/>
          <w:sz w:val="16"/>
          <w:szCs w:val="20"/>
          <w:lang w:val="es-ES_tradnl"/>
        </w:rPr>
        <w:t xml:space="preserve">Los ajustes efectuados en el superávit con arreglo a las IPSAS se detallan en la nota 12 de los presentes estados financieros. </w:t>
      </w:r>
    </w:p>
    <w:p w14:paraId="42D4F721" w14:textId="25914362" w:rsidR="00D7364C" w:rsidRPr="00384A1E" w:rsidRDefault="00D7364C">
      <w:pPr>
        <w:jc w:val="left"/>
        <w:rPr>
          <w:rFonts w:cs="Arial"/>
          <w:b/>
          <w:caps/>
          <w:lang w:val="es-ES_tradnl"/>
        </w:rPr>
      </w:pPr>
      <w:r w:rsidRPr="00384A1E">
        <w:rPr>
          <w:lang w:val="es-ES_tradnl"/>
        </w:rPr>
        <w:br w:type="page"/>
      </w:r>
    </w:p>
    <w:p w14:paraId="0BA196A2" w14:textId="1C7EAD8F" w:rsidR="00B61C54" w:rsidRPr="00384A1E" w:rsidRDefault="00B61C54" w:rsidP="00B61C54">
      <w:pPr>
        <w:pStyle w:val="Heading1"/>
        <w:jc w:val="center"/>
        <w:rPr>
          <w:rFonts w:cs="Arial"/>
          <w:lang w:val="es-ES_tradnl"/>
        </w:rPr>
      </w:pPr>
      <w:bookmarkStart w:id="37" w:name="_Toc236922877"/>
      <w:r w:rsidRPr="00384A1E">
        <w:rPr>
          <w:lang w:val="es-ES_tradnl"/>
        </w:rPr>
        <w:lastRenderedPageBreak/>
        <w:t>Notas sobre los estados financieros</w:t>
      </w:r>
      <w:bookmarkEnd w:id="34"/>
      <w:bookmarkEnd w:id="35"/>
      <w:bookmarkEnd w:id="36"/>
      <w:bookmarkEnd w:id="37"/>
    </w:p>
    <w:p w14:paraId="511C73AE" w14:textId="77777777" w:rsidR="00B61C54" w:rsidRPr="00384A1E" w:rsidRDefault="00B61C54" w:rsidP="00B61C54">
      <w:pPr>
        <w:rPr>
          <w:rFonts w:cs="Arial"/>
          <w:lang w:val="es-ES_tradnl"/>
        </w:rPr>
      </w:pPr>
    </w:p>
    <w:p w14:paraId="4B8EC835" w14:textId="6EC97546" w:rsidR="00B61C54" w:rsidRPr="00384A1E" w:rsidRDefault="00B61C54" w:rsidP="00B61C54">
      <w:pPr>
        <w:pStyle w:val="Heading2Notes"/>
        <w:rPr>
          <w:rFonts w:ascii="Arial" w:hAnsi="Arial" w:cs="Arial"/>
          <w:lang w:val="es-ES_tradnl"/>
        </w:rPr>
      </w:pPr>
      <w:bookmarkStart w:id="38" w:name="_Toc336009930"/>
      <w:bookmarkStart w:id="39" w:name="_Toc457491915"/>
      <w:bookmarkStart w:id="40" w:name="_Toc84329892"/>
      <w:bookmarkStart w:id="41" w:name="_Toc236922878"/>
      <w:r w:rsidRPr="00384A1E">
        <w:rPr>
          <w:rFonts w:ascii="Arial" w:hAnsi="Arial"/>
          <w:lang w:val="es-ES_tradnl"/>
        </w:rPr>
        <w:t>Nota 1:</w:t>
      </w:r>
      <w:r w:rsidRPr="00384A1E">
        <w:rPr>
          <w:rFonts w:ascii="Arial" w:hAnsi="Arial"/>
          <w:lang w:val="es-ES_tradnl"/>
        </w:rPr>
        <w:tab/>
        <w:t>Objetivos, gobernanza y presupuesto de la UPOV</w:t>
      </w:r>
      <w:bookmarkEnd w:id="38"/>
      <w:bookmarkEnd w:id="39"/>
      <w:bookmarkEnd w:id="40"/>
      <w:bookmarkEnd w:id="41"/>
    </w:p>
    <w:p w14:paraId="3FA3659B" w14:textId="77777777" w:rsidR="00B61C54" w:rsidRPr="00384A1E" w:rsidRDefault="00B61C54" w:rsidP="00B61C54">
      <w:pPr>
        <w:rPr>
          <w:rFonts w:cs="Arial"/>
          <w:lang w:val="es-ES_tradnl"/>
        </w:rPr>
      </w:pPr>
    </w:p>
    <w:p w14:paraId="7A7DC8AA" w14:textId="77777777" w:rsidR="00A824AF" w:rsidRPr="00384A1E" w:rsidRDefault="00A824AF" w:rsidP="009A1AA5">
      <w:pPr>
        <w:rPr>
          <w:rFonts w:cs="Arial"/>
          <w:lang w:val="es-ES_tradnl"/>
        </w:rPr>
      </w:pPr>
      <w:r w:rsidRPr="00384A1E">
        <w:rPr>
          <w:lang w:val="es-ES_tradnl"/>
        </w:rPr>
        <w:t>La Unión Internacional para la Protección de las Obtenciones Vegetales (UPOV) es una organización intergubernamental con sede en Ginebra. La misión de la UPOV es proporcionar y fomentar un sistema eficaz para la protección de las obtenciones vegetales, con miras al desarrollo de nuevas variedades vegetales para beneficio de la sociedad.</w:t>
      </w:r>
    </w:p>
    <w:p w14:paraId="46882E66" w14:textId="77777777" w:rsidR="00A824AF" w:rsidRPr="00384A1E" w:rsidRDefault="00A824AF" w:rsidP="00A824AF">
      <w:pPr>
        <w:rPr>
          <w:rFonts w:cs="Arial"/>
          <w:lang w:val="es-ES_tradnl"/>
        </w:rPr>
      </w:pPr>
    </w:p>
    <w:p w14:paraId="7168D6A5" w14:textId="27331AAE" w:rsidR="00A824AF" w:rsidRPr="00384A1E" w:rsidRDefault="00A824AF" w:rsidP="00A824AF">
      <w:pPr>
        <w:rPr>
          <w:rFonts w:cs="Arial"/>
          <w:lang w:val="es-ES_tradnl"/>
        </w:rPr>
      </w:pPr>
      <w:r w:rsidRPr="00384A1E">
        <w:rPr>
          <w:lang w:val="es-ES_tradnl"/>
        </w:rPr>
        <w:t>La UPOV fue establecida por el Convenio Internacional para la Protección de las Obtenciones Vegetales (Convenio de la UPOV), firmado en París en 1961. El Convenio entró en vigor en 1968. Se revisó en Ginebra en</w:t>
      </w:r>
      <w:r w:rsidR="00B52D8F" w:rsidRPr="00384A1E">
        <w:rPr>
          <w:lang w:val="es-ES_tradnl"/>
        </w:rPr>
        <w:t> </w:t>
      </w:r>
      <w:r w:rsidRPr="00384A1E">
        <w:rPr>
          <w:lang w:val="es-ES_tradnl"/>
        </w:rPr>
        <w:t>1972, 1978 y 1991. El Acta de 1991 entró en vigor el 24 de abril de 1998. Los principales objetivos de la Unión, de conformidad con el Convenio de la UPOV, son los siguientes:</w:t>
      </w:r>
    </w:p>
    <w:p w14:paraId="5DFF5EBE" w14:textId="77777777" w:rsidR="00A824AF" w:rsidRPr="00384A1E" w:rsidRDefault="00A824AF" w:rsidP="00A824AF">
      <w:pPr>
        <w:rPr>
          <w:rFonts w:cs="Arial"/>
          <w:lang w:val="es-ES_tradnl"/>
        </w:rPr>
      </w:pPr>
    </w:p>
    <w:p w14:paraId="28E280F5" w14:textId="77777777" w:rsidR="00A824AF" w:rsidRPr="00384A1E" w:rsidRDefault="00A824AF" w:rsidP="00A824AF">
      <w:pPr>
        <w:numPr>
          <w:ilvl w:val="0"/>
          <w:numId w:val="16"/>
        </w:numPr>
        <w:ind w:right="713"/>
        <w:rPr>
          <w:rFonts w:cs="Arial"/>
          <w:lang w:val="es-ES_tradnl"/>
        </w:rPr>
      </w:pPr>
      <w:r w:rsidRPr="00384A1E">
        <w:rPr>
          <w:lang w:val="es-ES_tradnl"/>
        </w:rPr>
        <w:t>proporcionar y desarrollar las bases jurídicas, administrativas y técnicas para la cooperación internacional en materia de protección de las obtenciones vegetales;</w:t>
      </w:r>
    </w:p>
    <w:p w14:paraId="1479F9FE" w14:textId="77777777" w:rsidR="00A824AF" w:rsidRPr="00384A1E" w:rsidRDefault="00A824AF" w:rsidP="00A824AF">
      <w:pPr>
        <w:ind w:right="713"/>
        <w:rPr>
          <w:rFonts w:cs="Arial"/>
          <w:lang w:val="es-ES_tradnl"/>
        </w:rPr>
      </w:pPr>
    </w:p>
    <w:p w14:paraId="26784796" w14:textId="77777777" w:rsidR="00A824AF" w:rsidRPr="00384A1E" w:rsidRDefault="00A824AF" w:rsidP="00A824AF">
      <w:pPr>
        <w:numPr>
          <w:ilvl w:val="0"/>
          <w:numId w:val="16"/>
        </w:numPr>
        <w:ind w:right="713"/>
        <w:rPr>
          <w:rFonts w:cs="Arial"/>
          <w:lang w:val="es-ES_tradnl"/>
        </w:rPr>
      </w:pPr>
      <w:r w:rsidRPr="00384A1E">
        <w:rPr>
          <w:lang w:val="es-ES_tradnl"/>
        </w:rPr>
        <w:t>prestar asistencia a los Estados y las organizaciones en la elaboración de legislación y en la aplicación de un sistema eficaz de protección de las obtenciones vegetales; y</w:t>
      </w:r>
    </w:p>
    <w:p w14:paraId="6F5F15D0" w14:textId="77777777" w:rsidR="00A824AF" w:rsidRPr="00384A1E" w:rsidRDefault="00A824AF" w:rsidP="00A824AF">
      <w:pPr>
        <w:ind w:right="713"/>
        <w:rPr>
          <w:rFonts w:cs="Arial"/>
          <w:lang w:val="es-ES_tradnl"/>
        </w:rPr>
      </w:pPr>
    </w:p>
    <w:p w14:paraId="2DD4C1FA" w14:textId="77777777" w:rsidR="00A824AF" w:rsidRPr="00384A1E" w:rsidRDefault="00A824AF" w:rsidP="00A824AF">
      <w:pPr>
        <w:numPr>
          <w:ilvl w:val="0"/>
          <w:numId w:val="16"/>
        </w:numPr>
        <w:ind w:right="713"/>
        <w:rPr>
          <w:rFonts w:cs="Arial"/>
          <w:lang w:val="es-ES_tradnl"/>
        </w:rPr>
      </w:pPr>
      <w:r w:rsidRPr="00384A1E">
        <w:rPr>
          <w:lang w:val="es-ES_tradnl"/>
        </w:rPr>
        <w:t>mejorar la comprensión del público en general y sensibilizarlo en relación con el sistema de la UPOV de protección de las variedades vegetales.</w:t>
      </w:r>
    </w:p>
    <w:p w14:paraId="56225F92" w14:textId="77777777" w:rsidR="00A824AF" w:rsidRPr="00384A1E" w:rsidRDefault="00A824AF" w:rsidP="00A824AF">
      <w:pPr>
        <w:rPr>
          <w:rFonts w:cs="Arial"/>
          <w:lang w:val="es-ES_tradnl"/>
        </w:rPr>
      </w:pPr>
    </w:p>
    <w:p w14:paraId="7FB95660" w14:textId="77777777" w:rsidR="00A824AF" w:rsidRPr="00384A1E" w:rsidRDefault="00A824AF" w:rsidP="00A824AF">
      <w:pPr>
        <w:rPr>
          <w:rFonts w:cs="Arial"/>
          <w:lang w:val="es-ES_tradnl"/>
        </w:rPr>
      </w:pPr>
      <w:r w:rsidRPr="00384A1E">
        <w:rPr>
          <w:lang w:val="es-ES_tradnl"/>
        </w:rPr>
        <w:t>Según se establece en el artículo 25 del Acta de 1991 y el artículo 15 del Acta de 1978, los órganos permanentes de la UPOV son el Consejo y la Oficina de la Unión.</w:t>
      </w:r>
    </w:p>
    <w:p w14:paraId="0433A820" w14:textId="77777777" w:rsidR="00A824AF" w:rsidRPr="00384A1E" w:rsidRDefault="00A824AF" w:rsidP="00A824AF">
      <w:pPr>
        <w:rPr>
          <w:rFonts w:cs="Arial"/>
          <w:lang w:val="es-ES_tradnl"/>
        </w:rPr>
      </w:pPr>
    </w:p>
    <w:p w14:paraId="4CC581DB" w14:textId="77777777" w:rsidR="00A824AF" w:rsidRPr="00384A1E" w:rsidRDefault="00A824AF" w:rsidP="00A824AF">
      <w:pPr>
        <w:rPr>
          <w:rFonts w:cs="Arial"/>
          <w:lang w:val="es-ES_tradnl"/>
        </w:rPr>
      </w:pPr>
      <w:r w:rsidRPr="00384A1E">
        <w:rPr>
          <w:lang w:val="es-ES_tradnl"/>
        </w:rPr>
        <w:t xml:space="preserve">El Consejo dirige la UPOV y está compuesto por los representantes de los miembros de la Unión. El Consejo es responsable de salvaguardar los intereses y favorecer el desarrollo de la UPOV, de aprobar su Programa y Presupuesto y de adoptar todas las decisiones necesarias para el buen funcionamiento de la UPOV. El Consejo se reúne en sesión ordinaria una vez al año. Si es necesario, también puede convocarse en sesión extraordinaria. El Consejo ha creado varios órganos, que se reúnen una vez al año. </w:t>
      </w:r>
    </w:p>
    <w:p w14:paraId="50138B2B" w14:textId="77777777" w:rsidR="00A824AF" w:rsidRPr="00384A1E" w:rsidRDefault="00A824AF" w:rsidP="00A824AF">
      <w:pPr>
        <w:rPr>
          <w:rFonts w:cs="Arial"/>
          <w:lang w:val="es-ES_tradnl"/>
        </w:rPr>
      </w:pPr>
    </w:p>
    <w:p w14:paraId="18CEDDF2" w14:textId="518AC452" w:rsidR="00A824AF" w:rsidRPr="00384A1E" w:rsidRDefault="00A824AF" w:rsidP="00A824AF">
      <w:pPr>
        <w:rPr>
          <w:rFonts w:cs="Arial"/>
          <w:lang w:val="es-ES_tradnl"/>
        </w:rPr>
      </w:pPr>
      <w:r w:rsidRPr="00384A1E">
        <w:rPr>
          <w:lang w:val="es-ES_tradnl"/>
        </w:rPr>
        <w:t xml:space="preserve">La Oficina de la Unión es la Secretaría de la UPOV y está dirigida por el </w:t>
      </w:r>
      <w:r w:rsidR="005D6F57" w:rsidRPr="00384A1E">
        <w:rPr>
          <w:lang w:val="es-ES_tradnl"/>
        </w:rPr>
        <w:t>Secretario General</w:t>
      </w:r>
      <w:r w:rsidRPr="00384A1E">
        <w:rPr>
          <w:lang w:val="es-ES_tradnl"/>
        </w:rPr>
        <w:t xml:space="preserve">. El personal de la Oficina de la UPOV, salvo la </w:t>
      </w:r>
      <w:r w:rsidR="005D6F57" w:rsidRPr="00384A1E">
        <w:rPr>
          <w:lang w:val="es-ES_tradnl"/>
        </w:rPr>
        <w:t>Secretaria General Adjunta</w:t>
      </w:r>
      <w:r w:rsidRPr="00384A1E">
        <w:rPr>
          <w:lang w:val="es-ES_tradnl"/>
        </w:rPr>
        <w:t xml:space="preserve">, está bajo la dirección de esta. En 1982 se firmó un acuerdo de cooperación entre la UPOV y la Organización Mundial de la Propiedad Intelectual (OMPI), un organismo especializado de las Naciones Unidas. En virtud de este Acuerdo, el Consejo de la UPOV </w:t>
      </w:r>
      <w:proofErr w:type="gramStart"/>
      <w:r w:rsidRPr="00384A1E">
        <w:rPr>
          <w:lang w:val="es-ES_tradnl"/>
        </w:rPr>
        <w:t>nombra como</w:t>
      </w:r>
      <w:proofErr w:type="gramEnd"/>
      <w:r w:rsidRPr="00384A1E">
        <w:rPr>
          <w:lang w:val="es-ES_tradnl"/>
        </w:rPr>
        <w:t xml:space="preserve"> </w:t>
      </w:r>
      <w:r w:rsidR="00B30D52" w:rsidRPr="00384A1E">
        <w:rPr>
          <w:lang w:val="es-ES_tradnl"/>
        </w:rPr>
        <w:t xml:space="preserve">Secretario General </w:t>
      </w:r>
      <w:r w:rsidRPr="00384A1E">
        <w:rPr>
          <w:lang w:val="es-ES_tradnl"/>
        </w:rPr>
        <w:t xml:space="preserve">de la UPOV al </w:t>
      </w:r>
      <w:r w:rsidR="00B30D52" w:rsidRPr="00384A1E">
        <w:rPr>
          <w:lang w:val="es-ES_tradnl"/>
        </w:rPr>
        <w:t xml:space="preserve">Director General </w:t>
      </w:r>
      <w:r w:rsidRPr="00384A1E">
        <w:rPr>
          <w:lang w:val="es-ES_tradnl"/>
        </w:rPr>
        <w:t xml:space="preserve">de la OMPI. </w:t>
      </w:r>
      <w:r w:rsidR="00B30D52">
        <w:rPr>
          <w:lang w:val="es-ES_tradnl"/>
        </w:rPr>
        <w:t>La</w:t>
      </w:r>
      <w:r w:rsidRPr="00384A1E">
        <w:rPr>
          <w:lang w:val="es-ES_tradnl"/>
        </w:rPr>
        <w:t xml:space="preserve"> </w:t>
      </w:r>
      <w:r w:rsidR="00B30D52" w:rsidRPr="00384A1E">
        <w:rPr>
          <w:lang w:val="es-ES_tradnl"/>
        </w:rPr>
        <w:t>Secretari</w:t>
      </w:r>
      <w:r w:rsidR="00B30D52">
        <w:rPr>
          <w:lang w:val="es-ES_tradnl"/>
        </w:rPr>
        <w:t>a</w:t>
      </w:r>
      <w:r w:rsidR="00B30D52" w:rsidRPr="00384A1E">
        <w:rPr>
          <w:lang w:val="es-ES_tradnl"/>
        </w:rPr>
        <w:t xml:space="preserve"> General Adjunt</w:t>
      </w:r>
      <w:r w:rsidR="00B30D52">
        <w:rPr>
          <w:lang w:val="es-ES_tradnl"/>
        </w:rPr>
        <w:t>a</w:t>
      </w:r>
      <w:r w:rsidR="00B30D52" w:rsidRPr="00384A1E">
        <w:rPr>
          <w:lang w:val="es-ES_tradnl"/>
        </w:rPr>
        <w:t xml:space="preserve"> </w:t>
      </w:r>
      <w:r w:rsidRPr="00384A1E">
        <w:rPr>
          <w:lang w:val="es-ES_tradnl"/>
        </w:rPr>
        <w:t>es responsable de la obtención de los resultados indicados en el Programa y Presupuesto aprobados. De conformidad con dicho acuerdo, la OMPI satisface las necesidades de la UPOV en materia de espacio de oficina, administración de personal, administración financiera, servicios de compras y otro tipo de apoyo administrativo. La UPOV indemniza a la OMPI por todo servicio prestado a la UPOV y por cualquier gasto en que se haya incurrido en su nombre.</w:t>
      </w:r>
    </w:p>
    <w:p w14:paraId="532540EA" w14:textId="77777777" w:rsidR="00A824AF" w:rsidRPr="00384A1E" w:rsidRDefault="00A824AF" w:rsidP="00A824AF">
      <w:pPr>
        <w:rPr>
          <w:rFonts w:cs="Arial"/>
          <w:lang w:val="es-ES_tradnl"/>
        </w:rPr>
      </w:pPr>
    </w:p>
    <w:p w14:paraId="2126D4A0" w14:textId="6708E027" w:rsidR="00A824AF" w:rsidRPr="00384A1E" w:rsidRDefault="00A824AF" w:rsidP="00A824AF">
      <w:pPr>
        <w:rPr>
          <w:rFonts w:cs="Arial"/>
          <w:lang w:val="es-ES_tradnl"/>
        </w:rPr>
      </w:pPr>
      <w:r w:rsidRPr="00384A1E">
        <w:rPr>
          <w:lang w:val="es-ES_tradnl"/>
        </w:rPr>
        <w:t xml:space="preserve">La UPOV se financia principalmente con las contribuciones y los fondos extrapresupuestarios (fondos fiduciarios) de sus miembros. La UPOV funciona en el marco de un Programa y Presupuesto bienal. En la propuesta de Programa y Presupuesto constan las previsiones de ingresos y gastos correspondientes al ejercicio económico en cuestión. El </w:t>
      </w:r>
      <w:r w:rsidR="00B30D52" w:rsidRPr="00384A1E">
        <w:rPr>
          <w:lang w:val="es-ES_tradnl"/>
        </w:rPr>
        <w:t xml:space="preserve">Secretario General </w:t>
      </w:r>
      <w:r w:rsidRPr="00384A1E">
        <w:rPr>
          <w:lang w:val="es-ES_tradnl"/>
        </w:rPr>
        <w:t>presenta dicha propuesta al Comité Consultivo para que la examine y formule comentarios y recomendaciones, tales como posibles modificaciones. El Consejo aprueba el Programa y Presupuesto tras examinar la propuesta y las recomendaciones del Comité Consultivo.</w:t>
      </w:r>
    </w:p>
    <w:p w14:paraId="69B7CEF8" w14:textId="77777777" w:rsidR="00A824AF" w:rsidRPr="00384A1E" w:rsidRDefault="00A824AF" w:rsidP="00A824AF">
      <w:pPr>
        <w:rPr>
          <w:rFonts w:cs="Arial"/>
          <w:b/>
          <w:bCs/>
          <w:caps/>
          <w:lang w:val="es-ES_tradnl"/>
        </w:rPr>
      </w:pPr>
      <w:r w:rsidRPr="00384A1E">
        <w:rPr>
          <w:lang w:val="es-ES_tradnl"/>
        </w:rPr>
        <w:br w:type="page"/>
      </w:r>
    </w:p>
    <w:p w14:paraId="4B8BFFEC" w14:textId="77777777" w:rsidR="00A824AF" w:rsidRPr="00384A1E" w:rsidRDefault="009A1AA5" w:rsidP="009A1AA5">
      <w:pPr>
        <w:pStyle w:val="Heading2Notes"/>
        <w:rPr>
          <w:rFonts w:ascii="Arial" w:hAnsi="Arial" w:cs="Arial"/>
          <w:lang w:val="es-ES_tradnl"/>
        </w:rPr>
      </w:pPr>
      <w:bookmarkStart w:id="42" w:name="_Toc84329893"/>
      <w:bookmarkStart w:id="43" w:name="_Toc236922879"/>
      <w:r w:rsidRPr="00384A1E">
        <w:rPr>
          <w:rFonts w:ascii="Arial" w:hAnsi="Arial"/>
          <w:lang w:val="es-ES_tradnl"/>
        </w:rPr>
        <w:lastRenderedPageBreak/>
        <w:t>Nota 2:</w:t>
      </w:r>
      <w:r w:rsidRPr="00384A1E">
        <w:rPr>
          <w:rFonts w:ascii="Arial" w:hAnsi="Arial"/>
          <w:lang w:val="es-ES_tradnl"/>
        </w:rPr>
        <w:tab/>
        <w:t>Políticas contables significativas</w:t>
      </w:r>
      <w:bookmarkEnd w:id="42"/>
      <w:bookmarkEnd w:id="43"/>
    </w:p>
    <w:p w14:paraId="54E5D5ED" w14:textId="77777777" w:rsidR="009A1AA5" w:rsidRPr="00384A1E" w:rsidRDefault="009A1AA5" w:rsidP="00A824AF">
      <w:pPr>
        <w:rPr>
          <w:rFonts w:cs="Arial"/>
          <w:b/>
          <w:lang w:val="es-ES_tradnl"/>
        </w:rPr>
      </w:pPr>
    </w:p>
    <w:p w14:paraId="104CD318" w14:textId="77777777" w:rsidR="00A824AF" w:rsidRPr="00384A1E" w:rsidRDefault="00A824AF" w:rsidP="00A824AF">
      <w:pPr>
        <w:rPr>
          <w:rFonts w:cs="Arial"/>
          <w:b/>
          <w:lang w:val="es-ES_tradnl"/>
        </w:rPr>
      </w:pPr>
      <w:r w:rsidRPr="00384A1E">
        <w:rPr>
          <w:b/>
          <w:lang w:val="es-ES_tradnl"/>
        </w:rPr>
        <w:t>Base de preparación</w:t>
      </w:r>
    </w:p>
    <w:p w14:paraId="6E4B0C11" w14:textId="77777777" w:rsidR="00A824AF" w:rsidRPr="00384A1E" w:rsidRDefault="00A824AF" w:rsidP="00A824AF">
      <w:pPr>
        <w:rPr>
          <w:rFonts w:cs="Arial"/>
          <w:b/>
          <w:lang w:val="es-ES_tradnl"/>
        </w:rPr>
      </w:pPr>
    </w:p>
    <w:p w14:paraId="501AEBE6" w14:textId="77777777" w:rsidR="00A824AF" w:rsidRPr="00384A1E" w:rsidRDefault="00A824AF">
      <w:pPr>
        <w:pStyle w:val="Style3"/>
        <w:spacing w:after="0"/>
        <w:rPr>
          <w:rFonts w:cs="Arial"/>
          <w:sz w:val="20"/>
          <w:lang w:val="es-ES_tradnl"/>
        </w:rPr>
      </w:pPr>
      <w:r w:rsidRPr="00384A1E">
        <w:rPr>
          <w:sz w:val="20"/>
          <w:lang w:val="es-ES_tradnl"/>
        </w:rPr>
        <w:t xml:space="preserve">Los presentes estados financieros se han preparado de conformidad con las Normas Internacionales de Contabilidad del Sector Público (IPSAS) y cumplen sus requisitos. Los estados financieros se presentan en francos suizos, que es la moneda de referencia y funcional de la UPOV. Las políticas contables se han aplicado de forma coherente a todos los años presentados. </w:t>
      </w:r>
    </w:p>
    <w:p w14:paraId="33D8BCFC" w14:textId="77777777" w:rsidR="00A824AF" w:rsidRPr="00384A1E" w:rsidRDefault="00A824AF">
      <w:pPr>
        <w:pStyle w:val="Style3"/>
        <w:spacing w:after="0"/>
        <w:rPr>
          <w:rFonts w:cs="Arial"/>
          <w:sz w:val="20"/>
          <w:lang w:val="es-ES_tradnl"/>
        </w:rPr>
      </w:pPr>
    </w:p>
    <w:p w14:paraId="2E30021A" w14:textId="0401E208" w:rsidR="002564D5" w:rsidRPr="00384A1E" w:rsidRDefault="00A824AF" w:rsidP="002564D5">
      <w:pPr>
        <w:pStyle w:val="Style3"/>
        <w:spacing w:after="0"/>
        <w:rPr>
          <w:sz w:val="20"/>
          <w:lang w:val="es-ES_tradnl"/>
        </w:rPr>
      </w:pPr>
      <w:r w:rsidRPr="00384A1E">
        <w:rPr>
          <w:sz w:val="20"/>
          <w:lang w:val="es-ES_tradnl"/>
        </w:rPr>
        <w:t>Los estados financieros se han preparado sobre la base del costo histórico, salvo que se indique lo contrario. El estado de flujos de efectivo se ha preparado utilizando el método indirecto. Los estados financieros se han elaborado con arreglo al criterio del devengo y al principio de empresa en funcionamiento. A 31 de diciembre de</w:t>
      </w:r>
      <w:r w:rsidR="00B52D8F" w:rsidRPr="00384A1E">
        <w:rPr>
          <w:sz w:val="20"/>
          <w:lang w:val="es-ES_tradnl"/>
        </w:rPr>
        <w:t> </w:t>
      </w:r>
      <w:r w:rsidRPr="00384A1E">
        <w:rPr>
          <w:sz w:val="20"/>
          <w:lang w:val="es-ES_tradnl"/>
        </w:rPr>
        <w:t>2025, el estado de situación financiera muestra un saldo de activo neto negativo debido a los pasivos a largo plazo por prestaciones pagaderas a los empleados. Esto no afecta a la capacidad de la UPOV para continuar como empresa en funcionamiento. El Consejo de la UPOV ha aprobado el Programa y Presupuesto de la Unión para el bienio 2026-2027 y no hay intención de cambiar las actividades de la UPOV.</w:t>
      </w:r>
    </w:p>
    <w:p w14:paraId="795E562D" w14:textId="77777777" w:rsidR="00EC55DF" w:rsidRPr="00384A1E" w:rsidRDefault="00EC55DF" w:rsidP="002564D5">
      <w:pPr>
        <w:pStyle w:val="Style3"/>
        <w:spacing w:after="0"/>
        <w:rPr>
          <w:sz w:val="20"/>
          <w:lang w:val="es-ES_tradnl"/>
        </w:rPr>
      </w:pPr>
    </w:p>
    <w:p w14:paraId="60B5E19D" w14:textId="6EAB26B5" w:rsidR="0015217B" w:rsidRPr="00384A1E" w:rsidRDefault="00101170" w:rsidP="0015217B">
      <w:pPr>
        <w:rPr>
          <w:lang w:val="es-ES_tradnl"/>
        </w:rPr>
      </w:pPr>
      <w:r w:rsidRPr="00384A1E">
        <w:rPr>
          <w:lang w:val="es-ES_tradnl"/>
        </w:rPr>
        <w:t>La norma IPSAS 47, sobre ingresos, se publicó en mayo de 2023, con fecha de aplicación el 1 de enero de</w:t>
      </w:r>
      <w:r w:rsidR="00B52D8F" w:rsidRPr="00384A1E">
        <w:rPr>
          <w:lang w:val="es-ES_tradnl"/>
        </w:rPr>
        <w:t> </w:t>
      </w:r>
      <w:r w:rsidRPr="00384A1E">
        <w:rPr>
          <w:lang w:val="es-ES_tradnl"/>
        </w:rPr>
        <w:t>2026. Esta norma ha sido aplicada por la UPOV en 2025 y no tiene un efecto material en sus estados financieros.</w:t>
      </w:r>
    </w:p>
    <w:p w14:paraId="5D987A99" w14:textId="15913196" w:rsidR="0041403D" w:rsidRPr="00384A1E" w:rsidRDefault="0041403D" w:rsidP="0041403D">
      <w:pPr>
        <w:rPr>
          <w:lang w:val="es-ES_tradnl"/>
        </w:rPr>
      </w:pPr>
    </w:p>
    <w:p w14:paraId="216A86AD" w14:textId="2A31C48F" w:rsidR="002666D3" w:rsidRPr="00384A1E" w:rsidRDefault="00101170" w:rsidP="002666D3">
      <w:pPr>
        <w:rPr>
          <w:lang w:val="es-ES_tradnl"/>
        </w:rPr>
      </w:pPr>
      <w:r w:rsidRPr="00384A1E">
        <w:rPr>
          <w:lang w:val="es-ES_tradnl"/>
        </w:rPr>
        <w:t>La norma IPSAS 48, sobre gastos de transferencia, se publicó en mayo de 2023, con fecha de aplicación el 1 de enero de 2026. Esta norma ha sido aplicada por la UPOV en 2025 y no tiene un efecto material en sus estados financieros.</w:t>
      </w:r>
    </w:p>
    <w:p w14:paraId="042AA849" w14:textId="77777777" w:rsidR="002666D3" w:rsidRPr="00384A1E" w:rsidRDefault="002666D3" w:rsidP="00394906">
      <w:pPr>
        <w:rPr>
          <w:lang w:val="es-ES_tradnl"/>
        </w:rPr>
      </w:pPr>
    </w:p>
    <w:p w14:paraId="16A70375" w14:textId="594F21A3" w:rsidR="00101170" w:rsidRPr="00384A1E" w:rsidRDefault="00101170" w:rsidP="00394906">
      <w:pPr>
        <w:rPr>
          <w:lang w:val="es-ES_tradnl"/>
        </w:rPr>
      </w:pPr>
      <w:r w:rsidRPr="00384A1E">
        <w:rPr>
          <w:lang w:val="es-ES_tradnl"/>
        </w:rPr>
        <w:t>La norma IPSAS 49, sobre planes de prestaciones de jubilación, se publicó en noviembre de 2023, con fecha de aplicación el 1 de enero de 2026. No se prevé que esta norma repercuta en los estados financieros de la UPOV.</w:t>
      </w:r>
    </w:p>
    <w:p w14:paraId="7FC6A404" w14:textId="77777777" w:rsidR="003B5781" w:rsidRPr="00384A1E" w:rsidRDefault="003B5781" w:rsidP="00394906">
      <w:pPr>
        <w:rPr>
          <w:lang w:val="es-ES_tradnl"/>
        </w:rPr>
      </w:pPr>
    </w:p>
    <w:p w14:paraId="0A1FD63D" w14:textId="38341A3D" w:rsidR="003B5781" w:rsidRPr="00384A1E" w:rsidRDefault="003B5781" w:rsidP="00394906">
      <w:pPr>
        <w:rPr>
          <w:lang w:val="es-ES_tradnl"/>
        </w:rPr>
      </w:pPr>
      <w:r w:rsidRPr="00384A1E">
        <w:rPr>
          <w:lang w:val="es-ES_tradnl"/>
        </w:rPr>
        <w:t xml:space="preserve">La norma IPSAS 50, sobre exploración y evaluación de recursos minerales, se publicó en noviembre de 2024, con fecha de aplicación el 1 de enero de 2027. No se prevé que esta norma repercuta en los estados financieros de la UPOV. </w:t>
      </w:r>
    </w:p>
    <w:p w14:paraId="6A860EBC" w14:textId="77777777" w:rsidR="008469FC" w:rsidRPr="00384A1E" w:rsidRDefault="008469FC" w:rsidP="00394906">
      <w:pPr>
        <w:rPr>
          <w:lang w:val="es-ES_tradnl"/>
        </w:rPr>
      </w:pPr>
    </w:p>
    <w:p w14:paraId="7F3E435B" w14:textId="68F57A1F" w:rsidR="003B5781" w:rsidRPr="00384A1E" w:rsidRDefault="0078695D" w:rsidP="00394906">
      <w:pPr>
        <w:rPr>
          <w:lang w:val="es-ES_tradnl"/>
        </w:rPr>
      </w:pPr>
      <w:r w:rsidRPr="00384A1E">
        <w:rPr>
          <w:lang w:val="es-ES_tradnl"/>
        </w:rPr>
        <w:t>La IPSAS 51, sobre recursos naturales tangibles mantenidos para su conservación, se publicó en enero de</w:t>
      </w:r>
      <w:r w:rsidR="00B52D8F" w:rsidRPr="00384A1E">
        <w:rPr>
          <w:lang w:val="es-ES_tradnl"/>
        </w:rPr>
        <w:t> </w:t>
      </w:r>
      <w:r w:rsidRPr="00384A1E">
        <w:rPr>
          <w:lang w:val="es-ES_tradnl"/>
        </w:rPr>
        <w:t>2026, con fecha de aplicación el 1 de enero de 2028. No se prevé que esta norma repercuta en los estados financieros de la UPOV.</w:t>
      </w:r>
    </w:p>
    <w:p w14:paraId="2CF145FA" w14:textId="77777777" w:rsidR="0078695D" w:rsidRPr="00384A1E" w:rsidRDefault="0078695D" w:rsidP="00394906">
      <w:pPr>
        <w:rPr>
          <w:lang w:val="es-ES_tradnl"/>
        </w:rPr>
      </w:pPr>
    </w:p>
    <w:p w14:paraId="4F8AABF5" w14:textId="75441BCC" w:rsidR="003B5781" w:rsidRPr="00384A1E" w:rsidRDefault="003B5781" w:rsidP="00394906">
      <w:pPr>
        <w:rPr>
          <w:lang w:val="es-ES_tradnl"/>
        </w:rPr>
      </w:pPr>
      <w:r w:rsidRPr="00384A1E">
        <w:rPr>
          <w:lang w:val="es-ES_tradnl"/>
        </w:rPr>
        <w:t>Las modificaciones de las IPSAS 43, 47 y 48, sobre arrendamientos en concesión y otros acuerdos que transmiten derechos sobre activos, se publicaron en octubre de 2024, con fecha de aplicación el 1 de enero de</w:t>
      </w:r>
      <w:r w:rsidR="00B52D8F" w:rsidRPr="00384A1E">
        <w:rPr>
          <w:lang w:val="es-ES_tradnl"/>
        </w:rPr>
        <w:t> </w:t>
      </w:r>
      <w:r w:rsidRPr="00384A1E">
        <w:rPr>
          <w:lang w:val="es-ES_tradnl"/>
        </w:rPr>
        <w:t>2027. La UPOV está analizando la repercusión de esas modificaciones.</w:t>
      </w:r>
    </w:p>
    <w:p w14:paraId="5B4FED59" w14:textId="77777777" w:rsidR="00D74D5A" w:rsidRPr="00384A1E" w:rsidRDefault="00D74D5A" w:rsidP="00A824AF">
      <w:pPr>
        <w:rPr>
          <w:rFonts w:cs="Arial"/>
          <w:b/>
          <w:lang w:val="es-ES_tradnl"/>
        </w:rPr>
      </w:pPr>
    </w:p>
    <w:p w14:paraId="0B4356DE" w14:textId="77777777" w:rsidR="00A824AF" w:rsidRPr="00384A1E" w:rsidRDefault="00A824AF" w:rsidP="00A824AF">
      <w:pPr>
        <w:rPr>
          <w:rFonts w:cs="Arial"/>
          <w:b/>
          <w:lang w:val="es-ES_tradnl"/>
        </w:rPr>
      </w:pPr>
      <w:r w:rsidRPr="00384A1E">
        <w:rPr>
          <w:b/>
          <w:lang w:val="es-ES_tradnl"/>
        </w:rPr>
        <w:t>Moneda extranjera</w:t>
      </w:r>
    </w:p>
    <w:p w14:paraId="31684BEE" w14:textId="77777777" w:rsidR="00A824AF" w:rsidRPr="00384A1E" w:rsidRDefault="00A824AF" w:rsidP="00A824AF">
      <w:pPr>
        <w:rPr>
          <w:rFonts w:cs="Arial"/>
          <w:b/>
          <w:lang w:val="es-ES_tradnl"/>
        </w:rPr>
      </w:pPr>
    </w:p>
    <w:p w14:paraId="0935B5AB" w14:textId="3C1CE3D5" w:rsidR="00A824AF" w:rsidRPr="00384A1E" w:rsidRDefault="00A824AF" w:rsidP="00A824AF">
      <w:pPr>
        <w:pStyle w:val="Style3"/>
        <w:spacing w:after="0"/>
        <w:rPr>
          <w:rFonts w:cs="Arial"/>
          <w:sz w:val="20"/>
          <w:lang w:val="es-ES_tradnl"/>
        </w:rPr>
      </w:pPr>
      <w:r w:rsidRPr="00384A1E">
        <w:rPr>
          <w:sz w:val="20"/>
          <w:lang w:val="es-ES_tradnl"/>
        </w:rPr>
        <w:t>La moneda funcional de la UPOV es el franco suizo y los presentes estados financieros se presentan en esa moneda. Todas las transacciones efectuadas en otras divisas se transforman en francos suizos utilizando los tipos de cambio de las Naciones Unidas (UNORE) vigentes en la fecha de las operaciones. Las ganancias y pérdidas realizadas y no realizadas derivadas de la liquidación de dichas operaciones y de la conversión, en la fecha de cierre, de los activos y pasivos denominados en monedas distintas de la moneda funcional de la UPOV se reconocen en el estado de rendimiento financiero.</w:t>
      </w:r>
    </w:p>
    <w:p w14:paraId="6C870A2E" w14:textId="77777777" w:rsidR="00716BA5" w:rsidRPr="00384A1E" w:rsidRDefault="00716BA5" w:rsidP="00A824AF">
      <w:pPr>
        <w:pStyle w:val="Style3"/>
        <w:spacing w:after="0"/>
        <w:rPr>
          <w:rFonts w:cs="Arial"/>
          <w:sz w:val="20"/>
          <w:lang w:val="es-ES_tradnl"/>
        </w:rPr>
      </w:pPr>
    </w:p>
    <w:p w14:paraId="139E753C" w14:textId="77777777" w:rsidR="00716BA5" w:rsidRPr="00384A1E" w:rsidRDefault="00716BA5" w:rsidP="00716BA5">
      <w:pPr>
        <w:pStyle w:val="Style3"/>
        <w:rPr>
          <w:rFonts w:cs="Arial"/>
          <w:b/>
          <w:sz w:val="20"/>
          <w:lang w:val="es-ES_tradnl"/>
        </w:rPr>
      </w:pPr>
      <w:r w:rsidRPr="00384A1E">
        <w:rPr>
          <w:b/>
          <w:sz w:val="20"/>
          <w:lang w:val="es-ES_tradnl"/>
        </w:rPr>
        <w:t>Información financiera por segmentos</w:t>
      </w:r>
    </w:p>
    <w:p w14:paraId="0EF8D8A9" w14:textId="139A5952" w:rsidR="003C0736" w:rsidRPr="00384A1E" w:rsidRDefault="00716BA5" w:rsidP="005B722A">
      <w:pPr>
        <w:pStyle w:val="Style3"/>
        <w:spacing w:after="0"/>
        <w:rPr>
          <w:rFonts w:cs="Arial"/>
          <w:sz w:val="20"/>
          <w:lang w:val="es-ES_tradnl"/>
        </w:rPr>
      </w:pPr>
      <w:r w:rsidRPr="00384A1E">
        <w:rPr>
          <w:sz w:val="20"/>
          <w:lang w:val="es-ES_tradnl"/>
        </w:rPr>
        <w:t>Un segmento es una actividad o un grupo de actividades con características diferenciadas, cuya información financiera resulta conveniente presentar por separado. En la UPOV, la información por segmentos se basa en las principales actividades y fuentes de financiación de la UPOV. Por ello, la UPOV presenta información financiera separada en dos segmentos: 1) el Programa y Presupuesto ordinario y 2) los fondos fiduciarios. El</w:t>
      </w:r>
      <w:r w:rsidR="00413EBC">
        <w:rPr>
          <w:sz w:val="20"/>
          <w:lang w:val="es-ES_tradnl"/>
        </w:rPr>
        <w:t> </w:t>
      </w:r>
      <w:r w:rsidRPr="00384A1E">
        <w:rPr>
          <w:sz w:val="20"/>
          <w:lang w:val="es-ES_tradnl"/>
        </w:rPr>
        <w:t>rendimiento de la UPOV por segmentos figura en las notas 13 y 14. Puesto que los activos y pasivos de la</w:t>
      </w:r>
      <w:r w:rsidR="00413EBC">
        <w:rPr>
          <w:sz w:val="20"/>
          <w:lang w:val="es-ES_tradnl"/>
        </w:rPr>
        <w:t> </w:t>
      </w:r>
      <w:r w:rsidRPr="00384A1E">
        <w:rPr>
          <w:sz w:val="20"/>
          <w:lang w:val="es-ES_tradnl"/>
        </w:rPr>
        <w:t xml:space="preserve">UPOV no se gestionan por segmentos, esta información no figura en las notas de los estados financieros. </w:t>
      </w:r>
    </w:p>
    <w:p w14:paraId="3BB1035E" w14:textId="77777777" w:rsidR="008F67E0" w:rsidRPr="00384A1E" w:rsidRDefault="008F67E0" w:rsidP="005B722A">
      <w:pPr>
        <w:pStyle w:val="Style3"/>
        <w:spacing w:after="0"/>
        <w:rPr>
          <w:sz w:val="20"/>
          <w:lang w:val="es-ES_tradnl"/>
        </w:rPr>
      </w:pPr>
    </w:p>
    <w:p w14:paraId="20772836" w14:textId="5A4E755A" w:rsidR="00A824AF" w:rsidRPr="00384A1E" w:rsidRDefault="00A824AF" w:rsidP="00384A1E">
      <w:pPr>
        <w:keepNext/>
        <w:keepLines/>
        <w:rPr>
          <w:rFonts w:cs="Arial"/>
          <w:b/>
          <w:lang w:val="es-ES_tradnl"/>
        </w:rPr>
      </w:pPr>
      <w:r w:rsidRPr="00384A1E">
        <w:rPr>
          <w:b/>
          <w:lang w:val="es-ES_tradnl"/>
        </w:rPr>
        <w:lastRenderedPageBreak/>
        <w:t>Efectivo y equivalentes de efectivo</w:t>
      </w:r>
    </w:p>
    <w:p w14:paraId="164E5EDC" w14:textId="77777777" w:rsidR="00A824AF" w:rsidRPr="00384A1E" w:rsidRDefault="00A824AF" w:rsidP="00384A1E">
      <w:pPr>
        <w:keepNext/>
        <w:keepLines/>
        <w:rPr>
          <w:rFonts w:cs="Arial"/>
          <w:lang w:val="es-ES_tradnl"/>
        </w:rPr>
      </w:pPr>
    </w:p>
    <w:p w14:paraId="21306316" w14:textId="44F26E37" w:rsidR="00FC066A" w:rsidRDefault="00A824AF" w:rsidP="00B3467E">
      <w:pPr>
        <w:rPr>
          <w:lang w:val="es-ES_tradnl"/>
        </w:rPr>
      </w:pPr>
      <w:r w:rsidRPr="00384A1E">
        <w:rPr>
          <w:lang w:val="es-ES_tradnl"/>
        </w:rPr>
        <w:t>Forman parte del efectivo y de los equivalentes de efectivo el dinero en caja, los depósitos bancarios a la vista, los depósitos mantenidos hasta 90 días y otras inversiones a corto plazo de gran liquidez, que son fácilmente convertibles en efectivo y están sujetas a un riesgo insignificante de cambios en su valor.</w:t>
      </w:r>
    </w:p>
    <w:p w14:paraId="663C3C48" w14:textId="77777777" w:rsidR="00413EBC" w:rsidRPr="00384A1E" w:rsidRDefault="00413EBC" w:rsidP="00B3467E">
      <w:pPr>
        <w:rPr>
          <w:rFonts w:cs="Arial"/>
          <w:b/>
          <w:lang w:val="es-ES_tradnl"/>
        </w:rPr>
      </w:pPr>
    </w:p>
    <w:p w14:paraId="1934CAE8" w14:textId="39086A83" w:rsidR="00A824AF" w:rsidRPr="00384A1E" w:rsidRDefault="00A824AF" w:rsidP="00A824AF">
      <w:pPr>
        <w:rPr>
          <w:rFonts w:cs="Arial"/>
          <w:b/>
          <w:lang w:val="es-ES_tradnl"/>
        </w:rPr>
      </w:pPr>
      <w:r w:rsidRPr="00384A1E">
        <w:rPr>
          <w:b/>
          <w:lang w:val="es-ES_tradnl"/>
        </w:rPr>
        <w:t>Cuentas por cobrar</w:t>
      </w:r>
    </w:p>
    <w:p w14:paraId="1958E23A" w14:textId="77777777" w:rsidR="00A824AF" w:rsidRPr="00384A1E" w:rsidRDefault="00A824AF" w:rsidP="00A824AF">
      <w:pPr>
        <w:rPr>
          <w:rFonts w:cs="Arial"/>
          <w:b/>
          <w:lang w:val="es-ES_tradnl"/>
        </w:rPr>
      </w:pPr>
    </w:p>
    <w:p w14:paraId="01EB8A8A" w14:textId="77777777" w:rsidR="00A824AF" w:rsidRPr="00384A1E" w:rsidRDefault="00A824AF" w:rsidP="006C632B">
      <w:pPr>
        <w:pStyle w:val="Style3"/>
        <w:spacing w:after="0"/>
        <w:rPr>
          <w:rFonts w:cs="Arial"/>
          <w:sz w:val="20"/>
          <w:lang w:val="es-ES_tradnl"/>
        </w:rPr>
      </w:pPr>
      <w:r w:rsidRPr="00384A1E">
        <w:rPr>
          <w:sz w:val="20"/>
          <w:lang w:val="es-ES_tradnl"/>
        </w:rPr>
        <w:t>Las contribuciones se consignan como ingresos al inicio del ejercicio económico. Se constituye una provisión íntegra para cuentas por cobrar respecto de todo miembro que tenga contribuciones por cobrar cuando una parte de los atrasos corresponda a ejercicios anteriores al último bienio.</w:t>
      </w:r>
    </w:p>
    <w:p w14:paraId="148DA75D" w14:textId="77777777" w:rsidR="0078695D" w:rsidRPr="00384A1E" w:rsidRDefault="0078695D" w:rsidP="00A824AF">
      <w:pPr>
        <w:rPr>
          <w:rFonts w:cs="Arial"/>
          <w:lang w:val="es-ES_tradnl"/>
        </w:rPr>
      </w:pPr>
    </w:p>
    <w:p w14:paraId="469E734E" w14:textId="7DEB772D" w:rsidR="00A824AF" w:rsidRPr="00384A1E" w:rsidRDefault="00A824AF" w:rsidP="00CF1845">
      <w:pPr>
        <w:jc w:val="left"/>
        <w:rPr>
          <w:rFonts w:cs="Arial"/>
          <w:b/>
          <w:lang w:val="es-ES_tradnl"/>
        </w:rPr>
      </w:pPr>
      <w:r w:rsidRPr="00384A1E">
        <w:rPr>
          <w:b/>
          <w:lang w:val="es-ES_tradnl"/>
        </w:rPr>
        <w:t>Equipo</w:t>
      </w:r>
    </w:p>
    <w:p w14:paraId="47BA4BC8" w14:textId="77777777" w:rsidR="00A824AF" w:rsidRPr="00384A1E" w:rsidRDefault="00A824AF" w:rsidP="00A824AF">
      <w:pPr>
        <w:rPr>
          <w:rFonts w:cs="Arial"/>
          <w:b/>
          <w:lang w:val="es-ES_tradnl"/>
        </w:rPr>
      </w:pPr>
    </w:p>
    <w:p w14:paraId="50FA0655" w14:textId="20A56E09" w:rsidR="00AD6F6A" w:rsidRPr="00384A1E" w:rsidRDefault="00A824AF" w:rsidP="004017D6">
      <w:pPr>
        <w:pStyle w:val="Style3"/>
        <w:spacing w:after="0"/>
        <w:rPr>
          <w:rFonts w:cs="Arial"/>
          <w:sz w:val="20"/>
          <w:lang w:val="es-ES_tradnl"/>
        </w:rPr>
      </w:pPr>
      <w:r w:rsidRPr="00384A1E">
        <w:rPr>
          <w:sz w:val="20"/>
          <w:lang w:val="es-ES_tradnl"/>
        </w:rPr>
        <w:t xml:space="preserve">El equipo se valora al costo menos la depreciación acumulada y las pérdidas por deterioro acumuladas. </w:t>
      </w:r>
      <w:r w:rsidR="009B3AEA">
        <w:rPr>
          <w:sz w:val="20"/>
          <w:lang w:val="es-ES_tradnl"/>
        </w:rPr>
        <w:br/>
      </w:r>
      <w:r w:rsidRPr="00384A1E">
        <w:rPr>
          <w:sz w:val="20"/>
          <w:lang w:val="es-ES_tradnl"/>
        </w:rPr>
        <w:t>El</w:t>
      </w:r>
      <w:r w:rsidR="009B3AEA">
        <w:rPr>
          <w:sz w:val="20"/>
          <w:lang w:val="es-ES_tradnl"/>
        </w:rPr>
        <w:t xml:space="preserve"> </w:t>
      </w:r>
      <w:r w:rsidRPr="00384A1E">
        <w:rPr>
          <w:sz w:val="20"/>
          <w:lang w:val="es-ES_tradnl"/>
        </w:rPr>
        <w:t xml:space="preserve">equipo se reconoce como activo si su costo es de 10 000 francos suizos o más por unidad. </w:t>
      </w:r>
      <w:r w:rsidR="00413EBC">
        <w:rPr>
          <w:sz w:val="20"/>
          <w:lang w:val="es-ES_tradnl"/>
        </w:rPr>
        <w:br/>
      </w:r>
      <w:r w:rsidRPr="00384A1E">
        <w:rPr>
          <w:sz w:val="20"/>
          <w:lang w:val="es-ES_tradnl"/>
        </w:rPr>
        <w:t>Al 31 de diciembre de 2025, no se había capitalizado ningún elemento como equipo.</w:t>
      </w:r>
    </w:p>
    <w:p w14:paraId="56A36C12" w14:textId="30680A5D" w:rsidR="00194C8C" w:rsidRPr="00384A1E" w:rsidRDefault="00194C8C">
      <w:pPr>
        <w:jc w:val="left"/>
        <w:rPr>
          <w:rFonts w:cs="Arial"/>
          <w:b/>
          <w:lang w:val="es-ES_tradnl"/>
        </w:rPr>
      </w:pPr>
    </w:p>
    <w:p w14:paraId="62DC6AE1" w14:textId="622593C9" w:rsidR="00A824AF" w:rsidRPr="00384A1E" w:rsidRDefault="00A824AF" w:rsidP="00A824AF">
      <w:pPr>
        <w:pStyle w:val="Style3"/>
        <w:spacing w:after="0"/>
        <w:rPr>
          <w:rFonts w:cs="Arial"/>
          <w:sz w:val="20"/>
          <w:lang w:val="es-ES_tradnl"/>
        </w:rPr>
      </w:pPr>
      <w:r w:rsidRPr="00384A1E">
        <w:rPr>
          <w:b/>
          <w:sz w:val="20"/>
          <w:lang w:val="es-ES_tradnl"/>
        </w:rPr>
        <w:t>Activo intangible</w:t>
      </w:r>
    </w:p>
    <w:p w14:paraId="3CFD1CDE" w14:textId="77777777" w:rsidR="00A824AF" w:rsidRPr="00384A1E" w:rsidRDefault="00A824AF" w:rsidP="00A824AF">
      <w:pPr>
        <w:pStyle w:val="Style3"/>
        <w:spacing w:after="0"/>
        <w:rPr>
          <w:rFonts w:cs="Arial"/>
          <w:b/>
          <w:sz w:val="20"/>
          <w:lang w:val="es-ES_tradnl"/>
        </w:rPr>
      </w:pPr>
    </w:p>
    <w:p w14:paraId="55495666" w14:textId="057B0E4A" w:rsidR="00A824AF" w:rsidRPr="00384A1E" w:rsidRDefault="00A824AF" w:rsidP="006519FD">
      <w:pPr>
        <w:pStyle w:val="Style3"/>
        <w:spacing w:after="0"/>
        <w:rPr>
          <w:rFonts w:cs="Arial"/>
          <w:i/>
          <w:sz w:val="20"/>
          <w:lang w:val="es-ES_tradnl"/>
        </w:rPr>
      </w:pPr>
      <w:r w:rsidRPr="00384A1E">
        <w:rPr>
          <w:sz w:val="20"/>
          <w:lang w:val="es-ES_tradnl"/>
        </w:rPr>
        <w:t xml:space="preserve">Los activos intangibles se valoran al costo menos la amortización acumulada y las pérdidas por deterioro acumuladas. Las licencias adquiridas de programas informáticos se capitalizan sobre la base de los gastos de adquisición y puesta en funcionamiento de dichos programas informáticos. Los gastos relacionados directamente con el desarrollo de programas informáticos para su utilización por la UPOV se capitalizan como activo intangible si se cumplen los criterios contables establecidos en la norma IPSAS 31. Los gastos directos corresponden a los gastos de personal derivados del desarrollo de los programas informáticos. </w:t>
      </w:r>
      <w:r w:rsidR="009B3AEA">
        <w:rPr>
          <w:sz w:val="20"/>
          <w:lang w:val="es-ES_tradnl"/>
        </w:rPr>
        <w:br/>
      </w:r>
      <w:r w:rsidRPr="00384A1E">
        <w:rPr>
          <w:sz w:val="20"/>
          <w:lang w:val="es-ES_tradnl"/>
        </w:rPr>
        <w:t>A 31 de diciembre de 2025 no se había capitalizado ningún gasto como activo intangible.</w:t>
      </w:r>
    </w:p>
    <w:p w14:paraId="79847A84" w14:textId="689DCD21" w:rsidR="00B661F6" w:rsidRPr="00384A1E" w:rsidRDefault="00B661F6" w:rsidP="00A824AF">
      <w:pPr>
        <w:pStyle w:val="Style3Bold"/>
        <w:spacing w:after="0"/>
        <w:rPr>
          <w:rFonts w:cs="Arial"/>
          <w:i/>
          <w:sz w:val="20"/>
          <w:lang w:val="es-ES_tradnl"/>
        </w:rPr>
      </w:pPr>
    </w:p>
    <w:p w14:paraId="103A2849" w14:textId="77777777" w:rsidR="00A824AF" w:rsidRPr="00384A1E" w:rsidRDefault="00A824AF" w:rsidP="00A824AF">
      <w:pPr>
        <w:pStyle w:val="Style3Bold"/>
        <w:spacing w:after="0"/>
        <w:rPr>
          <w:rFonts w:cs="Arial"/>
          <w:sz w:val="20"/>
          <w:lang w:val="es-ES_tradnl"/>
        </w:rPr>
      </w:pPr>
      <w:r w:rsidRPr="00384A1E">
        <w:rPr>
          <w:sz w:val="20"/>
          <w:lang w:val="es-ES_tradnl"/>
        </w:rPr>
        <w:t>Prestaciones a los empleados</w:t>
      </w:r>
    </w:p>
    <w:p w14:paraId="22282D6C" w14:textId="77777777" w:rsidR="00A824AF" w:rsidRPr="00384A1E" w:rsidRDefault="00A824AF" w:rsidP="00A824AF">
      <w:pPr>
        <w:pStyle w:val="Style3"/>
        <w:spacing w:after="0"/>
        <w:rPr>
          <w:rFonts w:cs="Arial"/>
          <w:sz w:val="20"/>
          <w:lang w:val="es-ES_tradnl"/>
        </w:rPr>
      </w:pPr>
    </w:p>
    <w:p w14:paraId="7A6344D9" w14:textId="3651DDA1" w:rsidR="00D760AE" w:rsidRPr="00384A1E" w:rsidRDefault="00D760AE" w:rsidP="00D760AE">
      <w:pPr>
        <w:rPr>
          <w:rFonts w:cs="Arial"/>
          <w:lang w:val="es-ES_tradnl"/>
        </w:rPr>
      </w:pPr>
      <w:r w:rsidRPr="00384A1E">
        <w:rPr>
          <w:lang w:val="es-ES_tradnl"/>
        </w:rPr>
        <w:t>Se constituyen pasivos por el seguro médico de los antiguos empleados, la prima de repatriación y los gastos de viaje, y las vacaciones anuales acumuladas a largo plazo, determinados anualmente por un actuario independiente mediante el método de valoración del crédito unitario proyectado. El pasivo relativo al seguro médico de los antiguos empleados se presenta neto del valor razonable de los activos del plan, y las ganancias y pérdidas actuariales se reconocen en el activo neto. Además, se constituyen pasivos por el valor de las vacaciones anuales acumuladas a corto plazo, las vacaciones en el país de origen no disfrutadas, las horas extraordinarias devengadas pero no pagadas, las prestaciones por separación del servicio, las recompensas por reconocimiento del desempeño del personal y los subsidios de educación pagaderos en la fecha de cierre que no se hayan incluido en el gasto corriente. Los anticipos para subsidios de educación pagados al personal de la UPOV son reconocidos por la OMPI y cargados a la UPOV a lo largo del año escolar. A 31 de diciembre de 2025, la OMPI había adelantado 102 353 francos suizos al personal de la UPOV en concepto de subsidios de educación correspondientes al año escolar 2025-2026.</w:t>
      </w:r>
    </w:p>
    <w:p w14:paraId="4D553703" w14:textId="77777777" w:rsidR="00AF5B1B" w:rsidRPr="00384A1E" w:rsidRDefault="00AF5B1B" w:rsidP="00D760AE">
      <w:pPr>
        <w:rPr>
          <w:rFonts w:cs="Arial"/>
          <w:lang w:val="es-ES_tradnl"/>
        </w:rPr>
      </w:pPr>
    </w:p>
    <w:p w14:paraId="592C436F" w14:textId="77777777" w:rsidR="00BB0E72" w:rsidRPr="00384A1E" w:rsidRDefault="00245D32" w:rsidP="00BB0E72">
      <w:pPr>
        <w:rPr>
          <w:rFonts w:cs="Arial"/>
          <w:lang w:val="es-ES_tradnl"/>
        </w:rPr>
      </w:pPr>
      <w:r w:rsidRPr="00384A1E">
        <w:rPr>
          <w:lang w:val="es-ES_tradnl"/>
        </w:rPr>
        <w:t>En aplicación del Acuerdo OMPI-UPOV, de fecha 26 de noviembre de 1982, la UPOV es una organización que participa en la Caja Común de Pensiones del Personal de las Naciones Unidas, establecida por la Asamblea General de las Naciones Unidas para proporcionar a los empleados prestaciones por jubilación, fallecimiento, incapacidad y prestaciones conexas. La Caja es un plan de prestaciones definidas financiado y de múltiples empleadores. Como se especifica en el artículo 3.b) del reglamento de la Caja Común, podrán afiliarse a ella los organismos especializados y cualquier otra organización intergubernamental internacional que participe en el régimen común de sueldos, prestaciones y otras condiciones de servicio de las Naciones Unidas y de los organismos especializados.</w:t>
      </w:r>
    </w:p>
    <w:p w14:paraId="1223CEE5" w14:textId="77777777" w:rsidR="00BB0E72" w:rsidRPr="00384A1E" w:rsidRDefault="00BB0E72" w:rsidP="00BB0E72">
      <w:pPr>
        <w:rPr>
          <w:rFonts w:cs="Arial"/>
          <w:lang w:val="es-ES_tradnl"/>
        </w:rPr>
      </w:pPr>
    </w:p>
    <w:p w14:paraId="02C4EB4E" w14:textId="7A6CE99C" w:rsidR="00D760AE" w:rsidRPr="00384A1E" w:rsidRDefault="00BB0E72" w:rsidP="00BB0E72">
      <w:pPr>
        <w:rPr>
          <w:rFonts w:cs="Arial"/>
          <w:lang w:val="es-ES_tradnl"/>
        </w:rPr>
      </w:pPr>
      <w:r w:rsidRPr="00384A1E">
        <w:rPr>
          <w:lang w:val="es-ES_tradnl"/>
        </w:rPr>
        <w:t>En la Caja Común, las organizaciones afiliadas están expuestas colectivamente a los riesgos actuariales asociados a los empleados en activo y jubilados de otras organizaciones participantes en la Caja, por lo que no existe una base uniforme y fiable para asignar la obligación, el activo del plan y los gastos a cada una de las organizaciones afiliadas. La UPOV y la Caja Común, así como las demás organizaciones participantes, no están en condiciones de determinar el porcentaje de la obligación por prestaciones definidas que corresponde pagar a la UPOV, el activo del plan y los gastos asociados a este con suficiente fiabilidad a efectos contables. Por lo tanto, la UPOV ha contabilizado las contribuciones a la Caja como si correspondieran a un plan de contribuciones definidas, conforme a los requisitos de la norma IPSAS 39, relativa a las prestaciones a los empleados. Las contribuciones efectuadas por la UPOV a la Caja durante el ejercicio financiero se reconocen como gastos en el estado de rendimiento financiero.</w:t>
      </w:r>
    </w:p>
    <w:p w14:paraId="5783C715" w14:textId="77777777" w:rsidR="00BB0E72" w:rsidRPr="00384A1E" w:rsidRDefault="00BB0E72" w:rsidP="00A824AF">
      <w:pPr>
        <w:pStyle w:val="Style3"/>
        <w:spacing w:after="0"/>
        <w:rPr>
          <w:rFonts w:cs="Arial"/>
          <w:b/>
          <w:sz w:val="20"/>
          <w:lang w:val="es-ES_tradnl"/>
        </w:rPr>
      </w:pPr>
    </w:p>
    <w:p w14:paraId="75794FDD" w14:textId="77777777" w:rsidR="00A824AF" w:rsidRPr="00384A1E" w:rsidRDefault="00A824AF" w:rsidP="00A824AF">
      <w:pPr>
        <w:pStyle w:val="Style3"/>
        <w:spacing w:after="0"/>
        <w:rPr>
          <w:rFonts w:cs="Arial"/>
          <w:b/>
          <w:sz w:val="20"/>
          <w:lang w:val="es-ES_tradnl"/>
        </w:rPr>
      </w:pPr>
      <w:r w:rsidRPr="00384A1E">
        <w:rPr>
          <w:b/>
          <w:sz w:val="20"/>
          <w:lang w:val="es-ES_tradnl"/>
        </w:rPr>
        <w:t>Provisiones</w:t>
      </w:r>
    </w:p>
    <w:p w14:paraId="49F9BCF5" w14:textId="77777777" w:rsidR="00A824AF" w:rsidRPr="00384A1E" w:rsidRDefault="00A824AF" w:rsidP="00A824AF">
      <w:pPr>
        <w:rPr>
          <w:rFonts w:cs="Arial"/>
          <w:lang w:val="es-ES_tradnl"/>
        </w:rPr>
      </w:pPr>
    </w:p>
    <w:p w14:paraId="0CD2DD98" w14:textId="3F4AFB4F" w:rsidR="00A824AF" w:rsidRPr="00384A1E" w:rsidRDefault="00A824AF" w:rsidP="00A824AF">
      <w:pPr>
        <w:pStyle w:val="Style3"/>
        <w:spacing w:after="0"/>
        <w:rPr>
          <w:rFonts w:cs="Arial"/>
          <w:sz w:val="20"/>
          <w:lang w:val="es-ES_tradnl"/>
        </w:rPr>
      </w:pPr>
      <w:r w:rsidRPr="00384A1E">
        <w:rPr>
          <w:sz w:val="20"/>
          <w:lang w:val="es-ES_tradnl"/>
        </w:rPr>
        <w:t>Las provisiones se reconocen cuando la UPOV tiene una obligación legal o implícita como consecuencia de un hecho pasado, cuando es probable que sea necesaria una salida de recursos para liquidar la obligación y cuando puede efectuarse una estimación fiable de su importe.</w:t>
      </w:r>
    </w:p>
    <w:p w14:paraId="108BDADA" w14:textId="77777777" w:rsidR="00A824AF" w:rsidRPr="00384A1E" w:rsidRDefault="00A824AF" w:rsidP="00A824AF">
      <w:pPr>
        <w:rPr>
          <w:rFonts w:cs="Arial"/>
          <w:b/>
          <w:lang w:val="es-ES_tradnl"/>
        </w:rPr>
      </w:pPr>
    </w:p>
    <w:p w14:paraId="60578D5F" w14:textId="77777777" w:rsidR="00A824AF" w:rsidRPr="00384A1E" w:rsidRDefault="00A824AF" w:rsidP="00B3467E">
      <w:pPr>
        <w:pStyle w:val="Style3Bold"/>
        <w:keepNext/>
        <w:spacing w:after="0"/>
        <w:rPr>
          <w:rFonts w:cs="Arial"/>
          <w:sz w:val="20"/>
          <w:lang w:val="es-ES_tradnl"/>
        </w:rPr>
      </w:pPr>
      <w:r w:rsidRPr="00384A1E">
        <w:rPr>
          <w:sz w:val="20"/>
          <w:lang w:val="es-ES_tradnl"/>
        </w:rPr>
        <w:t>Reconocimiento de ingresos</w:t>
      </w:r>
    </w:p>
    <w:p w14:paraId="19D76DD9" w14:textId="77777777" w:rsidR="00A824AF" w:rsidRPr="00384A1E" w:rsidRDefault="00A824AF" w:rsidP="00A824AF">
      <w:pPr>
        <w:rPr>
          <w:rFonts w:cs="Arial"/>
          <w:lang w:val="es-ES_tradnl"/>
        </w:rPr>
      </w:pPr>
    </w:p>
    <w:p w14:paraId="5CCDCF06" w14:textId="3B8815C3" w:rsidR="00E13329" w:rsidRPr="00384A1E" w:rsidRDefault="00E13329" w:rsidP="00A824AF">
      <w:pPr>
        <w:pStyle w:val="Style3"/>
        <w:spacing w:after="0"/>
        <w:rPr>
          <w:rFonts w:cs="Arial"/>
          <w:sz w:val="20"/>
          <w:lang w:val="es-ES_tradnl"/>
        </w:rPr>
      </w:pPr>
      <w:r w:rsidRPr="00384A1E">
        <w:rPr>
          <w:sz w:val="20"/>
          <w:lang w:val="es-ES_tradnl"/>
        </w:rPr>
        <w:t>De conformidad con la IPSAS 47, las contribuciones se identifican como ingresos procedentes de transacciones con acuerdos vinculantes, mientras que todas las demás categorías de ingresos, incluidas las tasas y los fondos extrapresupuestarios (fondos fiduciarios), se identifican como ingresos procedentes de transacciones sin acuerdos vinculantes.</w:t>
      </w:r>
    </w:p>
    <w:p w14:paraId="7ED7CDA3" w14:textId="77777777" w:rsidR="00E13329" w:rsidRPr="00384A1E" w:rsidRDefault="00E13329" w:rsidP="00A824AF">
      <w:pPr>
        <w:pStyle w:val="Style3"/>
        <w:spacing w:after="0"/>
        <w:rPr>
          <w:rFonts w:cs="Arial"/>
          <w:sz w:val="20"/>
          <w:lang w:val="es-ES_tradnl"/>
        </w:rPr>
      </w:pPr>
    </w:p>
    <w:p w14:paraId="789DECBA" w14:textId="19529A2F" w:rsidR="00A824AF" w:rsidRPr="00384A1E" w:rsidRDefault="00A824AF" w:rsidP="00A824AF">
      <w:pPr>
        <w:pStyle w:val="Style3"/>
        <w:spacing w:after="0"/>
        <w:rPr>
          <w:rFonts w:cs="Arial"/>
          <w:sz w:val="20"/>
          <w:lang w:val="es-ES_tradnl"/>
        </w:rPr>
      </w:pPr>
      <w:r w:rsidRPr="00384A1E">
        <w:rPr>
          <w:sz w:val="20"/>
          <w:lang w:val="es-ES_tradnl"/>
        </w:rPr>
        <w:t>Los ingresos procedentes de fondos extrapresupuestarios (fondos fiduciarios) se contabilizan como ingresos en el momento de la recepción del efectivo, salvo que el acuerdo incluya condiciones relativas a resultados específicos. Estos acuerdos requieren el reconocimiento inicial de un pasivo para aplazar la contabilización de los ingresos, que se registran posteriormente a medida que se cumple la obligación de prestar el servicio, en función de los gastos incurridos.</w:t>
      </w:r>
    </w:p>
    <w:p w14:paraId="39E7D3CE" w14:textId="77777777" w:rsidR="0023773A" w:rsidRPr="00384A1E" w:rsidRDefault="0023773A" w:rsidP="00A824AF">
      <w:pPr>
        <w:pStyle w:val="Style3"/>
        <w:spacing w:after="0"/>
        <w:rPr>
          <w:rFonts w:cs="Arial"/>
          <w:sz w:val="20"/>
          <w:lang w:val="es-ES_tradnl"/>
        </w:rPr>
      </w:pPr>
    </w:p>
    <w:p w14:paraId="4BB6E265" w14:textId="1EBAB8DD" w:rsidR="00A824AF" w:rsidRPr="00384A1E" w:rsidRDefault="00A824AF" w:rsidP="00A824AF">
      <w:pPr>
        <w:pStyle w:val="Style3Bold"/>
        <w:spacing w:after="0"/>
        <w:rPr>
          <w:rFonts w:cs="Arial"/>
          <w:b w:val="0"/>
          <w:sz w:val="20"/>
          <w:lang w:val="es-ES_tradnl"/>
        </w:rPr>
      </w:pPr>
      <w:r w:rsidRPr="00384A1E">
        <w:rPr>
          <w:b w:val="0"/>
          <w:sz w:val="20"/>
          <w:lang w:val="es-ES_tradnl"/>
        </w:rPr>
        <w:t xml:space="preserve">Las contribuciones se consignan como ingresos al inicio del ejercicio presupuestario con el que guardan relación. Las tasas de </w:t>
      </w:r>
      <w:r w:rsidR="00C83503">
        <w:rPr>
          <w:b w:val="0"/>
          <w:sz w:val="20"/>
          <w:lang w:val="es-ES_tradnl"/>
        </w:rPr>
        <w:t>UPOV PRISMA</w:t>
      </w:r>
      <w:r w:rsidRPr="00384A1E">
        <w:rPr>
          <w:b w:val="0"/>
          <w:sz w:val="20"/>
          <w:lang w:val="es-ES_tradnl"/>
        </w:rPr>
        <w:t xml:space="preserve"> se contabilizan como ingresos en el momento de presentar la solicitud de protección de las obtenciones vegetales. Las tasas de UPOV PLUTO se contabilizan como ingresos en el momento de la facturación tras la suscripción. Las contribuciones de servicios en especie no se contabilizan en los estados financieros.</w:t>
      </w:r>
    </w:p>
    <w:p w14:paraId="421826B7" w14:textId="77777777" w:rsidR="00333C97" w:rsidRPr="00384A1E" w:rsidRDefault="00333C97" w:rsidP="00A824AF">
      <w:pPr>
        <w:pStyle w:val="Style3Bold"/>
        <w:spacing w:after="0"/>
        <w:rPr>
          <w:rFonts w:cs="Arial"/>
          <w:sz w:val="20"/>
          <w:lang w:val="es-ES_tradnl"/>
        </w:rPr>
      </w:pPr>
    </w:p>
    <w:p w14:paraId="33921525" w14:textId="1C1FEC96" w:rsidR="00A824AF" w:rsidRPr="00384A1E" w:rsidRDefault="00A824AF" w:rsidP="00CF1845">
      <w:pPr>
        <w:jc w:val="left"/>
        <w:rPr>
          <w:lang w:val="es-ES_tradnl"/>
        </w:rPr>
      </w:pPr>
      <w:r w:rsidRPr="00384A1E">
        <w:rPr>
          <w:b/>
          <w:lang w:val="es-ES_tradnl"/>
        </w:rPr>
        <w:t>Reconocimiento de gastos</w:t>
      </w:r>
    </w:p>
    <w:p w14:paraId="0641FE0B" w14:textId="77777777" w:rsidR="00A824AF" w:rsidRPr="00384A1E" w:rsidRDefault="00A824AF" w:rsidP="00A824AF">
      <w:pPr>
        <w:pStyle w:val="Style3"/>
        <w:spacing w:after="0"/>
        <w:rPr>
          <w:rFonts w:cs="Arial"/>
          <w:sz w:val="20"/>
          <w:lang w:val="es-ES_tradnl"/>
        </w:rPr>
      </w:pPr>
    </w:p>
    <w:p w14:paraId="50CC63FD" w14:textId="4B7E4A61" w:rsidR="00F73707" w:rsidRPr="00384A1E" w:rsidRDefault="00A824AF" w:rsidP="00A824AF">
      <w:pPr>
        <w:pStyle w:val="Style3"/>
        <w:spacing w:after="0"/>
        <w:rPr>
          <w:rFonts w:cs="Arial"/>
          <w:sz w:val="20"/>
          <w:lang w:val="es-ES_tradnl"/>
        </w:rPr>
      </w:pPr>
      <w:r w:rsidRPr="00384A1E">
        <w:rPr>
          <w:sz w:val="20"/>
          <w:lang w:val="es-ES_tradnl"/>
        </w:rPr>
        <w:t>Los gastos se consignan a medida que se reciben los productos y se prestan los servicios.</w:t>
      </w:r>
    </w:p>
    <w:p w14:paraId="2451F0B4" w14:textId="2D63AAA0" w:rsidR="00194C8C" w:rsidRPr="00384A1E" w:rsidRDefault="00194C8C">
      <w:pPr>
        <w:jc w:val="left"/>
        <w:rPr>
          <w:rFonts w:cs="Arial"/>
          <w:b/>
          <w:bCs/>
          <w:lang w:val="es-ES_tradnl"/>
        </w:rPr>
      </w:pPr>
    </w:p>
    <w:p w14:paraId="2CED24B4" w14:textId="4D0A6F05" w:rsidR="00A824AF" w:rsidRPr="00384A1E" w:rsidRDefault="00A824AF" w:rsidP="00A824AF">
      <w:pPr>
        <w:pStyle w:val="Style3Bold"/>
        <w:spacing w:after="0"/>
        <w:rPr>
          <w:rFonts w:cs="Arial"/>
          <w:sz w:val="20"/>
          <w:lang w:val="es-ES_tradnl"/>
        </w:rPr>
      </w:pPr>
      <w:r w:rsidRPr="00384A1E">
        <w:rPr>
          <w:sz w:val="20"/>
          <w:lang w:val="es-ES_tradnl"/>
        </w:rPr>
        <w:t>Instrumentos financieros</w:t>
      </w:r>
    </w:p>
    <w:p w14:paraId="20A5DCE4" w14:textId="77777777" w:rsidR="00A824AF" w:rsidRPr="00384A1E" w:rsidRDefault="00A824AF" w:rsidP="00A824AF">
      <w:pPr>
        <w:pStyle w:val="Style3"/>
        <w:spacing w:after="0"/>
        <w:rPr>
          <w:rFonts w:cs="Arial"/>
          <w:sz w:val="20"/>
          <w:lang w:val="es-ES_tradnl"/>
        </w:rPr>
      </w:pPr>
    </w:p>
    <w:p w14:paraId="1617E5F5" w14:textId="77777777" w:rsidR="00A824AF" w:rsidRPr="00384A1E" w:rsidRDefault="00A824AF" w:rsidP="00A824AF">
      <w:pPr>
        <w:pStyle w:val="Style3"/>
        <w:spacing w:after="0"/>
        <w:rPr>
          <w:rFonts w:cs="Arial"/>
          <w:b/>
          <w:i/>
          <w:sz w:val="20"/>
          <w:lang w:val="es-ES_tradnl"/>
        </w:rPr>
      </w:pPr>
      <w:r w:rsidRPr="00384A1E">
        <w:rPr>
          <w:b/>
          <w:i/>
          <w:sz w:val="20"/>
          <w:lang w:val="es-ES_tradnl"/>
        </w:rPr>
        <w:t>Activo financiero</w:t>
      </w:r>
    </w:p>
    <w:p w14:paraId="2B17291D" w14:textId="77777777" w:rsidR="009B3AEA" w:rsidRDefault="009B3AEA" w:rsidP="009B3AEA">
      <w:pPr>
        <w:rPr>
          <w:lang w:val="es-ES_tradnl"/>
        </w:rPr>
      </w:pPr>
    </w:p>
    <w:p w14:paraId="01FAB9F3" w14:textId="6F47A879" w:rsidR="00B86F58" w:rsidRPr="00384A1E" w:rsidRDefault="003E3776" w:rsidP="009B3AEA">
      <w:pPr>
        <w:rPr>
          <w:rFonts w:cs="Arial"/>
          <w:b/>
          <w:bCs/>
          <w:i/>
          <w:lang w:val="es-ES_tradnl"/>
        </w:rPr>
      </w:pPr>
      <w:r w:rsidRPr="00384A1E">
        <w:rPr>
          <w:lang w:val="es-ES_tradnl"/>
        </w:rPr>
        <w:t>Los activos financieros se reconocen inicialmente a valor razonable, que normalmente corresponde al precio de la transacción. Tras la consignación inicial, la UPOV valora sus activos financieros a coste amortizado. La clasificación depende del modelo de gestión de la UPOV para los activos financieros y de las características contractuales de los activos financieros en cuanto a los flujos de efectivo. La UPOV estima las pérdidas crediticias futuras previstas para sus activos financieros valorados a coste amortizado.</w:t>
      </w:r>
    </w:p>
    <w:p w14:paraId="0ABC498A" w14:textId="77777777" w:rsidR="00230E3B" w:rsidRPr="00384A1E" w:rsidRDefault="00230E3B" w:rsidP="00230E3B">
      <w:pPr>
        <w:autoSpaceDE w:val="0"/>
        <w:autoSpaceDN w:val="0"/>
        <w:adjustRightInd w:val="0"/>
        <w:spacing w:before="200" w:after="120" w:line="276" w:lineRule="auto"/>
        <w:jc w:val="left"/>
        <w:rPr>
          <w:rFonts w:cs="Arial"/>
          <w:b/>
          <w:bCs/>
          <w:i/>
          <w:lang w:val="es-ES_tradnl"/>
        </w:rPr>
      </w:pPr>
      <w:r w:rsidRPr="00384A1E">
        <w:rPr>
          <w:b/>
          <w:i/>
          <w:lang w:val="es-ES_tradnl"/>
        </w:rPr>
        <w:t>Pasivo financiero</w:t>
      </w:r>
    </w:p>
    <w:p w14:paraId="745DF7B1" w14:textId="77777777" w:rsidR="00BF7DEA" w:rsidRPr="00384A1E" w:rsidRDefault="00BF7DEA" w:rsidP="006078F7">
      <w:pPr>
        <w:pStyle w:val="Style3"/>
        <w:spacing w:after="0"/>
        <w:rPr>
          <w:rFonts w:cs="Arial"/>
          <w:bCs/>
          <w:sz w:val="20"/>
          <w:lang w:val="es-ES_tradnl"/>
        </w:rPr>
      </w:pPr>
      <w:r w:rsidRPr="00384A1E">
        <w:rPr>
          <w:sz w:val="20"/>
          <w:lang w:val="es-ES_tradnl"/>
        </w:rPr>
        <w:t>La UPOV consigna inicialmente su pasivo financiero a valor razonable. Tras esa consignación inicial, el pasivo financiero se valora a coste amortizado.</w:t>
      </w:r>
    </w:p>
    <w:p w14:paraId="53F439DA" w14:textId="77777777" w:rsidR="00BF7DEA" w:rsidRPr="00384A1E" w:rsidRDefault="00BF7DEA" w:rsidP="006078F7">
      <w:pPr>
        <w:pStyle w:val="Style3"/>
        <w:spacing w:after="0"/>
        <w:rPr>
          <w:rFonts w:cs="Arial"/>
          <w:b/>
          <w:sz w:val="20"/>
          <w:lang w:val="es-ES_tradnl"/>
        </w:rPr>
      </w:pPr>
    </w:p>
    <w:p w14:paraId="478D9619" w14:textId="77777777" w:rsidR="00A824AF" w:rsidRPr="00384A1E" w:rsidRDefault="00A824AF" w:rsidP="00A824AF">
      <w:pPr>
        <w:pStyle w:val="Style3"/>
        <w:spacing w:after="0"/>
        <w:rPr>
          <w:rFonts w:cs="Arial"/>
          <w:b/>
          <w:sz w:val="20"/>
          <w:lang w:val="es-ES_tradnl"/>
        </w:rPr>
      </w:pPr>
      <w:r w:rsidRPr="00384A1E">
        <w:rPr>
          <w:b/>
          <w:sz w:val="20"/>
          <w:lang w:val="es-ES_tradnl"/>
        </w:rPr>
        <w:t>Uso de estimaciones</w:t>
      </w:r>
    </w:p>
    <w:p w14:paraId="1DC42084" w14:textId="77777777" w:rsidR="00A824AF" w:rsidRPr="00384A1E" w:rsidRDefault="00A824AF" w:rsidP="00A824AF">
      <w:pPr>
        <w:rPr>
          <w:rFonts w:cs="Arial"/>
          <w:lang w:val="es-ES_tradnl"/>
        </w:rPr>
      </w:pPr>
    </w:p>
    <w:p w14:paraId="52FFBA2D" w14:textId="466BB35C" w:rsidR="007C0E44" w:rsidRPr="00384A1E" w:rsidRDefault="00A824AF" w:rsidP="00A824AF">
      <w:pPr>
        <w:pStyle w:val="Style3"/>
        <w:spacing w:after="0"/>
        <w:rPr>
          <w:rFonts w:cs="Arial"/>
          <w:sz w:val="20"/>
          <w:lang w:val="es-ES_tradnl"/>
        </w:rPr>
      </w:pPr>
      <w:r w:rsidRPr="00384A1E">
        <w:rPr>
          <w:sz w:val="20"/>
          <w:lang w:val="es-ES_tradnl"/>
        </w:rPr>
        <w:t>En los estados financieros figuran necesariamente importes basados en estimaciones e hipótesis efectuadas por la Dirección. Las estimaciones incluyen, entre otras cosas: el seguro médico de los antiguos empleados y la prima de repatriación y gastos de viaje (cuyo valor calcula un actuario independiente), pasivos por otras prestaciones pagaderas a los empleados, el riesgo financiero de las cuentas por cobrar y cargos devengados. Los resultados reales pueden diferir de esas estimaciones. Los cambios en las estimaciones se reflejan en el ejercicio en que se conocen.</w:t>
      </w:r>
    </w:p>
    <w:p w14:paraId="51348899" w14:textId="77777777" w:rsidR="00AD6887" w:rsidRPr="00384A1E" w:rsidRDefault="00AD6887" w:rsidP="00A824AF">
      <w:pPr>
        <w:pStyle w:val="Style3"/>
        <w:spacing w:after="0"/>
        <w:rPr>
          <w:rFonts w:cs="Arial"/>
          <w:sz w:val="20"/>
          <w:lang w:val="es-ES_tradnl"/>
        </w:rPr>
      </w:pPr>
    </w:p>
    <w:p w14:paraId="1D60A06B" w14:textId="2C493753" w:rsidR="00565C65" w:rsidRPr="00384A1E" w:rsidRDefault="00565C65" w:rsidP="00565C65">
      <w:pPr>
        <w:pStyle w:val="Style3"/>
        <w:spacing w:after="0"/>
        <w:rPr>
          <w:rFonts w:cs="Arial"/>
          <w:b/>
          <w:sz w:val="20"/>
          <w:lang w:val="es-ES_tradnl"/>
        </w:rPr>
      </w:pPr>
      <w:r w:rsidRPr="00384A1E">
        <w:rPr>
          <w:b/>
          <w:sz w:val="20"/>
          <w:lang w:val="es-ES_tradnl"/>
        </w:rPr>
        <w:t>Cambio en la presentación</w:t>
      </w:r>
    </w:p>
    <w:p w14:paraId="02BD0447" w14:textId="77777777" w:rsidR="00565C65" w:rsidRPr="00384A1E" w:rsidRDefault="00565C65" w:rsidP="00A824AF">
      <w:pPr>
        <w:pStyle w:val="Style3"/>
        <w:spacing w:after="0"/>
        <w:rPr>
          <w:rFonts w:cs="Arial"/>
          <w:sz w:val="20"/>
          <w:lang w:val="es-ES_tradnl"/>
        </w:rPr>
      </w:pPr>
    </w:p>
    <w:p w14:paraId="78FC21ED" w14:textId="282B3578" w:rsidR="00565C65" w:rsidRPr="00384A1E" w:rsidRDefault="005941CA" w:rsidP="00565C65">
      <w:pPr>
        <w:rPr>
          <w:rFonts w:eastAsia="SimSun"/>
          <w:lang w:val="es-ES_tradnl"/>
        </w:rPr>
      </w:pPr>
      <w:r w:rsidRPr="00384A1E">
        <w:rPr>
          <w:lang w:val="es-ES_tradnl"/>
        </w:rPr>
        <w:t xml:space="preserve">Tras la aprobación del Comité Consultivo de la UPOV en su </w:t>
      </w:r>
      <w:r w:rsidR="009B3AEA">
        <w:rPr>
          <w:lang w:val="es-ES_tradnl"/>
        </w:rPr>
        <w:t xml:space="preserve">centésima primera </w:t>
      </w:r>
      <w:r w:rsidRPr="00384A1E">
        <w:rPr>
          <w:lang w:val="es-ES_tradnl"/>
        </w:rPr>
        <w:t xml:space="preserve">sesión, celebrada en octubre de 2023, las Asambleas de los Estados miembros de la OMPI aprobaron, en julio de 2024, la creación de una entidad independiente, que se establecerá como plan </w:t>
      </w:r>
      <w:proofErr w:type="spellStart"/>
      <w:r w:rsidRPr="00384A1E">
        <w:rPr>
          <w:lang w:val="es-ES_tradnl"/>
        </w:rPr>
        <w:t>multiempleador</w:t>
      </w:r>
      <w:proofErr w:type="spellEnd"/>
      <w:r w:rsidRPr="00384A1E">
        <w:rPr>
          <w:lang w:val="es-ES_tradnl"/>
        </w:rPr>
        <w:t xml:space="preserve"> y se encargará de los fondos reservados para financiar el seguro médico de los antiguos empleados. En consecuencia, el plan de seguro médico para los antiguos empleados de la OMPI/UPOV se estableció con efecto a partir del 1 de enero de 2025. El mantenimiento de estos fondos en una entidad independiente permite designarlos como activos del plan, conforme a lo establecido en la IPSAS 39, y modificar la presentación de los estados financieros para </w:t>
      </w:r>
      <w:r w:rsidRPr="00384A1E">
        <w:rPr>
          <w:lang w:val="es-ES_tradnl"/>
        </w:rPr>
        <w:lastRenderedPageBreak/>
        <w:t>mostrar el pasivo relativo al seguro médico de los antiguos empleados neto de los fondos acumulados, reclasificando una parte del efectivo de la UPOV como pasivos por prestaciones a los empleados. Además, las ganancias por inversiones relacionadas con estos activos del plan se reclasifican como gastos de personal, y las ganancias o pérdidas actuariales se reconocen a través del activo neto, sobre la base de los cálculos realizados por un actuario externo. A continuación se detalla el total del efectivo estratégico de la UPOV y del pasivo neto relativo al seguro médico de los antiguos empleados reconocido en el estado de situación financiera a 31 de diciembre de 2025:</w:t>
      </w:r>
    </w:p>
    <w:p w14:paraId="5B4CD24A" w14:textId="51978961" w:rsidR="00AD6887" w:rsidRPr="00384A1E" w:rsidRDefault="00AD6887" w:rsidP="00A824AF">
      <w:pPr>
        <w:pStyle w:val="Style3"/>
        <w:spacing w:after="0"/>
        <w:rPr>
          <w:rFonts w:cs="Arial"/>
          <w:sz w:val="20"/>
          <w:lang w:val="es-ES_tradnl"/>
        </w:rPr>
      </w:pPr>
    </w:p>
    <w:p w14:paraId="63053C37" w14:textId="77777777" w:rsidR="00372E18" w:rsidRPr="00384A1E" w:rsidRDefault="00372E18" w:rsidP="00A824AF">
      <w:pPr>
        <w:pStyle w:val="Style3"/>
        <w:spacing w:after="0"/>
        <w:rPr>
          <w:rFonts w:cs="Arial"/>
          <w:sz w:val="20"/>
          <w:lang w:val="es-ES_tradnl"/>
        </w:rPr>
      </w:pPr>
    </w:p>
    <w:p w14:paraId="74EF7237" w14:textId="69BF93A3" w:rsidR="00372E18" w:rsidRPr="00384A1E" w:rsidRDefault="000617DA" w:rsidP="00A824AF">
      <w:pPr>
        <w:pStyle w:val="Style3"/>
        <w:spacing w:after="0"/>
        <w:rPr>
          <w:rFonts w:cs="Arial"/>
          <w:sz w:val="20"/>
          <w:lang w:val="es-ES_tradnl"/>
        </w:rPr>
      </w:pPr>
      <w:r w:rsidRPr="00384A1E">
        <w:rPr>
          <w:noProof/>
          <w:lang w:val="es-ES_tradnl"/>
        </w:rPr>
        <w:drawing>
          <wp:inline distT="0" distB="0" distL="0" distR="0" wp14:anchorId="69502E74" wp14:editId="1FE152D9">
            <wp:extent cx="6137910" cy="1903730"/>
            <wp:effectExtent l="0" t="0" r="0" b="1270"/>
            <wp:docPr id="19252252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37910" cy="1903730"/>
                    </a:xfrm>
                    <a:prstGeom prst="rect">
                      <a:avLst/>
                    </a:prstGeom>
                    <a:noFill/>
                    <a:ln>
                      <a:noFill/>
                    </a:ln>
                  </pic:spPr>
                </pic:pic>
              </a:graphicData>
            </a:graphic>
          </wp:inline>
        </w:drawing>
      </w:r>
    </w:p>
    <w:p w14:paraId="69910F68" w14:textId="237B07FA" w:rsidR="007C766E" w:rsidRPr="00384A1E" w:rsidRDefault="007C766E">
      <w:pPr>
        <w:jc w:val="left"/>
        <w:rPr>
          <w:rFonts w:cs="Arial"/>
          <w:b/>
          <w:caps/>
          <w:lang w:val="es-ES_tradnl"/>
        </w:rPr>
      </w:pPr>
      <w:bookmarkStart w:id="44" w:name="_Toc84329894"/>
    </w:p>
    <w:p w14:paraId="5AE02D49" w14:textId="77777777" w:rsidR="00B3467E" w:rsidRPr="00384A1E" w:rsidRDefault="00B3467E">
      <w:pPr>
        <w:jc w:val="left"/>
        <w:rPr>
          <w:rFonts w:cs="Arial"/>
          <w:b/>
          <w:caps/>
          <w:lang w:val="es-ES_tradnl"/>
        </w:rPr>
      </w:pPr>
    </w:p>
    <w:p w14:paraId="168FA89B" w14:textId="4E63E690" w:rsidR="00A824AF" w:rsidRPr="00384A1E" w:rsidRDefault="002D58CC" w:rsidP="002D58CC">
      <w:pPr>
        <w:pStyle w:val="Heading2Notes"/>
        <w:rPr>
          <w:rFonts w:ascii="Arial" w:hAnsi="Arial" w:cs="Arial"/>
          <w:lang w:val="es-ES_tradnl"/>
        </w:rPr>
      </w:pPr>
      <w:bookmarkStart w:id="45" w:name="_Toc236922880"/>
      <w:r w:rsidRPr="00384A1E">
        <w:rPr>
          <w:rFonts w:ascii="Arial" w:hAnsi="Arial"/>
          <w:lang w:val="es-ES_tradnl"/>
        </w:rPr>
        <w:t>Nota 3:</w:t>
      </w:r>
      <w:r w:rsidRPr="00384A1E">
        <w:rPr>
          <w:rFonts w:ascii="Arial" w:hAnsi="Arial"/>
          <w:lang w:val="es-ES_tradnl"/>
        </w:rPr>
        <w:tab/>
        <w:t>Efectivo y equivalentes de efectivo</w:t>
      </w:r>
      <w:bookmarkEnd w:id="44"/>
      <w:bookmarkEnd w:id="45"/>
    </w:p>
    <w:p w14:paraId="17EF58ED" w14:textId="0E70AB0C" w:rsidR="00C643AD" w:rsidRPr="00384A1E" w:rsidRDefault="00C643AD" w:rsidP="00A824AF">
      <w:pPr>
        <w:pStyle w:val="Style3"/>
        <w:spacing w:after="0"/>
        <w:rPr>
          <w:rFonts w:cs="Arial"/>
          <w:sz w:val="20"/>
          <w:lang w:val="es-ES_tradnl"/>
        </w:rPr>
      </w:pPr>
    </w:p>
    <w:p w14:paraId="017DDDC8" w14:textId="4D1CD0CF" w:rsidR="000617DA" w:rsidRPr="00384A1E" w:rsidRDefault="00143ED4" w:rsidP="00A824AF">
      <w:pPr>
        <w:pStyle w:val="Style3"/>
        <w:spacing w:after="0"/>
        <w:rPr>
          <w:rFonts w:cs="Arial"/>
          <w:sz w:val="20"/>
          <w:lang w:val="es-ES_tradnl"/>
        </w:rPr>
      </w:pPr>
      <w:r w:rsidRPr="00384A1E">
        <w:rPr>
          <w:noProof/>
          <w:lang w:val="es-ES_tradnl"/>
        </w:rPr>
        <w:drawing>
          <wp:inline distT="0" distB="0" distL="0" distR="0" wp14:anchorId="3CBA551B" wp14:editId="0D854E94">
            <wp:extent cx="6137910" cy="2360295"/>
            <wp:effectExtent l="0" t="0" r="0" b="1905"/>
            <wp:docPr id="6906643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37910" cy="2360295"/>
                    </a:xfrm>
                    <a:prstGeom prst="rect">
                      <a:avLst/>
                    </a:prstGeom>
                    <a:noFill/>
                    <a:ln>
                      <a:noFill/>
                    </a:ln>
                  </pic:spPr>
                </pic:pic>
              </a:graphicData>
            </a:graphic>
          </wp:inline>
        </w:drawing>
      </w:r>
    </w:p>
    <w:p w14:paraId="543334F8" w14:textId="4E242B8D" w:rsidR="006A2185" w:rsidRPr="00384A1E" w:rsidRDefault="006A2185" w:rsidP="00A824AF">
      <w:pPr>
        <w:pStyle w:val="Style3"/>
        <w:spacing w:after="0"/>
        <w:rPr>
          <w:rFonts w:cs="Arial"/>
          <w:sz w:val="20"/>
          <w:lang w:val="es-ES_tradnl"/>
        </w:rPr>
      </w:pPr>
    </w:p>
    <w:p w14:paraId="4B83E2C3" w14:textId="77777777" w:rsidR="006A2185" w:rsidRPr="00384A1E" w:rsidRDefault="006A2185" w:rsidP="00A824AF">
      <w:pPr>
        <w:pStyle w:val="Style3"/>
        <w:spacing w:after="0"/>
        <w:rPr>
          <w:rFonts w:cs="Arial"/>
          <w:sz w:val="20"/>
          <w:lang w:val="es-ES_tradnl"/>
        </w:rPr>
      </w:pPr>
    </w:p>
    <w:p w14:paraId="1D9F366C" w14:textId="77777777" w:rsidR="00A824AF" w:rsidRPr="00384A1E" w:rsidRDefault="00A824AF" w:rsidP="00A824AF">
      <w:pPr>
        <w:pStyle w:val="Style3"/>
        <w:spacing w:after="0"/>
        <w:rPr>
          <w:rFonts w:cs="Arial"/>
          <w:sz w:val="20"/>
          <w:lang w:val="es-ES_tradnl"/>
        </w:rPr>
      </w:pPr>
      <w:r w:rsidRPr="00384A1E">
        <w:rPr>
          <w:sz w:val="20"/>
          <w:lang w:val="es-ES_tradnl"/>
        </w:rPr>
        <w:t xml:space="preserve">Los depósitos en efectivo se mantienen por lo general en cuentas bancarias de acceso inmediato. </w:t>
      </w:r>
    </w:p>
    <w:p w14:paraId="7FF79011" w14:textId="77777777" w:rsidR="009A6907" w:rsidRPr="00384A1E" w:rsidRDefault="009A6907" w:rsidP="00A824AF">
      <w:pPr>
        <w:pStyle w:val="Style3"/>
        <w:spacing w:after="0"/>
        <w:rPr>
          <w:rFonts w:cs="Arial"/>
          <w:sz w:val="20"/>
          <w:lang w:val="es-ES_tradnl"/>
        </w:rPr>
      </w:pPr>
    </w:p>
    <w:p w14:paraId="575EDD47" w14:textId="42764C64" w:rsidR="00A824AF" w:rsidRPr="00384A1E" w:rsidRDefault="00A824AF" w:rsidP="00A824AF">
      <w:pPr>
        <w:pStyle w:val="Style3"/>
        <w:spacing w:after="0"/>
        <w:rPr>
          <w:rFonts w:cs="Arial"/>
          <w:sz w:val="20"/>
          <w:lang w:val="es-ES_tradnl"/>
        </w:rPr>
      </w:pPr>
      <w:r w:rsidRPr="00384A1E">
        <w:rPr>
          <w:sz w:val="20"/>
          <w:lang w:val="es-ES_tradnl"/>
        </w:rPr>
        <w:t>Los saldos del fondo de operaciones se consideran restringidos, aunque los intereses percibidos sobre dichos saldos se acreditan al fondo general de la UPOV. Los fondos fiduciarios mantenidos en nombre de donantes de fondos extrapresupuestarios se depositan en la moneda en que se presentarán los gastos, de conformidad con los acuerdos concertados con los donantes. Tras la creación del plan de seguro médico para los antiguos empleados, los fondos mantenidos para financiar el pasivo relativo a dicho seguro se reclasifican como pasivos por prestaciones a los empleados.</w:t>
      </w:r>
    </w:p>
    <w:p w14:paraId="46ED6956" w14:textId="77777777" w:rsidR="00B437E4" w:rsidRPr="00384A1E" w:rsidRDefault="00B437E4" w:rsidP="005D7523">
      <w:pPr>
        <w:rPr>
          <w:lang w:val="es-ES_tradnl"/>
        </w:rPr>
      </w:pPr>
    </w:p>
    <w:p w14:paraId="0FC8828E" w14:textId="77777777" w:rsidR="00AD74C0" w:rsidRPr="00384A1E" w:rsidRDefault="00AD74C0" w:rsidP="005D7523">
      <w:pPr>
        <w:rPr>
          <w:lang w:val="es-ES_tradnl"/>
        </w:rPr>
      </w:pPr>
      <w:bookmarkStart w:id="46" w:name="_Toc84329895"/>
    </w:p>
    <w:p w14:paraId="504A8F17" w14:textId="0F236216" w:rsidR="00170616" w:rsidRPr="00384A1E" w:rsidRDefault="002D58CC" w:rsidP="00384A1E">
      <w:pPr>
        <w:pStyle w:val="Heading2Notes"/>
        <w:keepLines/>
        <w:rPr>
          <w:rFonts w:cs="Arial"/>
          <w:lang w:val="es-ES_tradnl"/>
        </w:rPr>
      </w:pPr>
      <w:bookmarkStart w:id="47" w:name="_Toc236922881"/>
      <w:r w:rsidRPr="00384A1E">
        <w:rPr>
          <w:rFonts w:ascii="Arial" w:hAnsi="Arial"/>
          <w:lang w:val="es-ES_tradnl"/>
        </w:rPr>
        <w:lastRenderedPageBreak/>
        <w:t>Nota 4:</w:t>
      </w:r>
      <w:r w:rsidRPr="00384A1E">
        <w:rPr>
          <w:rFonts w:ascii="Arial" w:hAnsi="Arial"/>
          <w:lang w:val="es-ES_tradnl"/>
        </w:rPr>
        <w:tab/>
        <w:t>Cuentas por cobrar</w:t>
      </w:r>
      <w:bookmarkEnd w:id="46"/>
      <w:bookmarkEnd w:id="47"/>
    </w:p>
    <w:p w14:paraId="0481C982" w14:textId="77777777" w:rsidR="007742C1" w:rsidRPr="00384A1E" w:rsidRDefault="007742C1" w:rsidP="00384A1E">
      <w:pPr>
        <w:keepNext/>
        <w:keepLines/>
        <w:rPr>
          <w:rFonts w:cs="Arial"/>
          <w:lang w:val="es-ES_tradnl"/>
        </w:rPr>
      </w:pPr>
      <w:bookmarkStart w:id="48" w:name="_1834646946"/>
      <w:bookmarkStart w:id="49" w:name="_1834651575"/>
      <w:bookmarkStart w:id="50" w:name="_1834644766"/>
      <w:bookmarkEnd w:id="48"/>
      <w:bookmarkEnd w:id="49"/>
      <w:bookmarkEnd w:id="50"/>
    </w:p>
    <w:p w14:paraId="27662B9D" w14:textId="7C6315ED" w:rsidR="00143ED4" w:rsidRPr="00384A1E" w:rsidRDefault="00B52D8F" w:rsidP="00A824AF">
      <w:pPr>
        <w:rPr>
          <w:rFonts w:cs="Arial"/>
          <w:lang w:val="es-ES_tradnl"/>
        </w:rPr>
      </w:pPr>
      <w:r w:rsidRPr="00384A1E">
        <w:rPr>
          <w:noProof/>
          <w:lang w:val="es-ES_tradnl"/>
        </w:rPr>
        <w:drawing>
          <wp:inline distT="0" distB="0" distL="0" distR="0" wp14:anchorId="4148FD95" wp14:editId="1CFEF754">
            <wp:extent cx="6082665" cy="1226820"/>
            <wp:effectExtent l="0" t="0" r="0" b="0"/>
            <wp:docPr id="7811991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82665" cy="1226820"/>
                    </a:xfrm>
                    <a:prstGeom prst="rect">
                      <a:avLst/>
                    </a:prstGeom>
                    <a:noFill/>
                    <a:ln>
                      <a:noFill/>
                    </a:ln>
                  </pic:spPr>
                </pic:pic>
              </a:graphicData>
            </a:graphic>
          </wp:inline>
        </w:drawing>
      </w:r>
    </w:p>
    <w:p w14:paraId="3F44C494" w14:textId="77777777" w:rsidR="00B40D0D" w:rsidRPr="00384A1E" w:rsidRDefault="00B40D0D" w:rsidP="00A824AF">
      <w:pPr>
        <w:rPr>
          <w:rFonts w:cs="Arial"/>
          <w:lang w:val="es-ES_tradnl"/>
        </w:rPr>
      </w:pPr>
    </w:p>
    <w:p w14:paraId="19C1F39A" w14:textId="015330A7" w:rsidR="0058181D" w:rsidRPr="00384A1E" w:rsidRDefault="00A824AF" w:rsidP="00A824AF">
      <w:pPr>
        <w:rPr>
          <w:rFonts w:cs="Arial"/>
          <w:lang w:val="es-ES_tradnl"/>
        </w:rPr>
      </w:pPr>
      <w:r w:rsidRPr="00384A1E">
        <w:rPr>
          <w:lang w:val="es-ES_tradnl"/>
        </w:rPr>
        <w:t>Las contribuciones representan ingresos pendientes de cobro relacionados con el sistema de contribuciones de la UPOV. El importe de la contribución anual de cada miembro de la Unión se calcula sobre la base de la cantidad de unidades de contribución que se le aplican (artículo 26 del Acta de 1978 y artículo 29 del Acta</w:t>
      </w:r>
      <w:r w:rsidR="009B3AEA">
        <w:rPr>
          <w:lang w:val="es-ES_tradnl"/>
        </w:rPr>
        <w:t> </w:t>
      </w:r>
      <w:r w:rsidRPr="00384A1E">
        <w:rPr>
          <w:lang w:val="es-ES_tradnl"/>
        </w:rPr>
        <w:t>de</w:t>
      </w:r>
      <w:r w:rsidR="00B52D8F" w:rsidRPr="00384A1E">
        <w:rPr>
          <w:lang w:val="es-ES_tradnl"/>
        </w:rPr>
        <w:t> </w:t>
      </w:r>
      <w:r w:rsidRPr="00384A1E">
        <w:rPr>
          <w:lang w:val="es-ES_tradnl"/>
        </w:rPr>
        <w:t xml:space="preserve">1991 del Convenio). Cuando procede, se constituye una provisión para compensar el valor de las cuentas por cobrar correspondientes a contribuciones. Dicha provisión cubre los importes adeudados correspondientes a ejercicios anteriores al último bienio. </w:t>
      </w:r>
    </w:p>
    <w:p w14:paraId="56AECFB9" w14:textId="22CAAAD0" w:rsidR="007D3CA7" w:rsidRDefault="007D3CA7">
      <w:pPr>
        <w:jc w:val="left"/>
        <w:rPr>
          <w:rFonts w:cs="Arial"/>
          <w:b/>
          <w:caps/>
          <w:lang w:val="es-ES_tradnl"/>
        </w:rPr>
      </w:pPr>
    </w:p>
    <w:p w14:paraId="52F623B6" w14:textId="77777777" w:rsidR="009B3AEA" w:rsidRPr="00384A1E" w:rsidRDefault="009B3AEA">
      <w:pPr>
        <w:jc w:val="left"/>
        <w:rPr>
          <w:rFonts w:cs="Arial"/>
          <w:b/>
          <w:caps/>
          <w:lang w:val="es-ES_tradnl"/>
        </w:rPr>
      </w:pPr>
    </w:p>
    <w:p w14:paraId="13683C17" w14:textId="711ED3AB" w:rsidR="00252B72" w:rsidRPr="00384A1E" w:rsidRDefault="00252B72" w:rsidP="00252B72">
      <w:pPr>
        <w:pStyle w:val="Heading2Notes"/>
        <w:rPr>
          <w:rFonts w:ascii="Arial" w:hAnsi="Arial" w:cs="Arial"/>
          <w:lang w:val="es-ES_tradnl"/>
        </w:rPr>
      </w:pPr>
      <w:bookmarkStart w:id="51" w:name="_Toc236922882"/>
      <w:r w:rsidRPr="00384A1E">
        <w:rPr>
          <w:rFonts w:ascii="Arial" w:hAnsi="Arial"/>
          <w:lang w:val="es-ES_tradnl"/>
        </w:rPr>
        <w:t>Nota 5:</w:t>
      </w:r>
      <w:r w:rsidRPr="00384A1E">
        <w:rPr>
          <w:rFonts w:ascii="Arial" w:hAnsi="Arial"/>
          <w:lang w:val="es-ES_tradnl"/>
        </w:rPr>
        <w:tab/>
        <w:t>Cuentas por pagar y gastos devengados</w:t>
      </w:r>
      <w:bookmarkEnd w:id="51"/>
    </w:p>
    <w:p w14:paraId="108AB4F4" w14:textId="77777777" w:rsidR="0020503E" w:rsidRPr="00384A1E" w:rsidRDefault="0020503E" w:rsidP="005B722A">
      <w:pPr>
        <w:jc w:val="left"/>
        <w:rPr>
          <w:rFonts w:cs="Arial"/>
          <w:lang w:val="es-ES_tradnl"/>
        </w:rPr>
      </w:pPr>
    </w:p>
    <w:p w14:paraId="23E0C7DB" w14:textId="660BC457" w:rsidR="00B52D8F" w:rsidRPr="00384A1E" w:rsidRDefault="00A72956" w:rsidP="005B722A">
      <w:pPr>
        <w:jc w:val="left"/>
        <w:rPr>
          <w:rFonts w:cs="Arial"/>
          <w:lang w:val="es-ES_tradnl"/>
        </w:rPr>
      </w:pPr>
      <w:r w:rsidRPr="00384A1E">
        <w:rPr>
          <w:noProof/>
          <w:lang w:val="es-ES_tradnl"/>
        </w:rPr>
        <w:drawing>
          <wp:inline distT="0" distB="0" distL="0" distR="0" wp14:anchorId="75482279" wp14:editId="204A734A">
            <wp:extent cx="6137910" cy="1127760"/>
            <wp:effectExtent l="0" t="0" r="0" b="0"/>
            <wp:docPr id="6891531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37910" cy="1127760"/>
                    </a:xfrm>
                    <a:prstGeom prst="rect">
                      <a:avLst/>
                    </a:prstGeom>
                    <a:noFill/>
                    <a:ln>
                      <a:noFill/>
                    </a:ln>
                  </pic:spPr>
                </pic:pic>
              </a:graphicData>
            </a:graphic>
          </wp:inline>
        </w:drawing>
      </w:r>
    </w:p>
    <w:p w14:paraId="05A8B088" w14:textId="77777777" w:rsidR="00E9604E" w:rsidRPr="00384A1E" w:rsidRDefault="00E9604E">
      <w:pPr>
        <w:jc w:val="left"/>
        <w:rPr>
          <w:rFonts w:cs="Arial"/>
          <w:lang w:val="es-ES_tradnl"/>
        </w:rPr>
      </w:pPr>
      <w:bookmarkStart w:id="52" w:name="_Toc84329896"/>
    </w:p>
    <w:p w14:paraId="3800EC49" w14:textId="77777777" w:rsidR="00E9604E" w:rsidRPr="00384A1E" w:rsidRDefault="00E9604E" w:rsidP="00E9604E">
      <w:pPr>
        <w:rPr>
          <w:lang w:val="es-ES_tradnl"/>
        </w:rPr>
      </w:pPr>
      <w:r w:rsidRPr="00384A1E">
        <w:rPr>
          <w:lang w:val="es-ES_tradnl"/>
        </w:rPr>
        <w:t>En “Cuentas por pagar y gastos devengados” se incluyen las facturas recibidas de proveedores que aún no han sido saldadas, así como la revaluación de las facturas pagaderas en divisas distintas del franco suizo.</w:t>
      </w:r>
    </w:p>
    <w:p w14:paraId="131C6B1B" w14:textId="6DD4FFF8" w:rsidR="00972E06" w:rsidRPr="00384A1E" w:rsidRDefault="00972E06">
      <w:pPr>
        <w:jc w:val="left"/>
        <w:rPr>
          <w:rFonts w:cs="Arial"/>
          <w:b/>
          <w:caps/>
          <w:lang w:val="es-ES_tradnl"/>
        </w:rPr>
      </w:pPr>
    </w:p>
    <w:p w14:paraId="296EEC91" w14:textId="77777777" w:rsidR="004740F3" w:rsidRPr="00384A1E" w:rsidRDefault="004740F3">
      <w:pPr>
        <w:jc w:val="left"/>
        <w:rPr>
          <w:rFonts w:cs="Arial"/>
          <w:b/>
          <w:caps/>
          <w:lang w:val="es-ES_tradnl"/>
        </w:rPr>
      </w:pPr>
    </w:p>
    <w:p w14:paraId="33AEF6D0" w14:textId="5407B44B" w:rsidR="00AD74C0" w:rsidRPr="00384A1E" w:rsidRDefault="0020503E" w:rsidP="006C0171">
      <w:pPr>
        <w:pStyle w:val="Heading2Notes"/>
        <w:rPr>
          <w:rFonts w:ascii="Arial" w:hAnsi="Arial" w:cs="Arial"/>
          <w:lang w:val="es-ES_tradnl"/>
        </w:rPr>
      </w:pPr>
      <w:bookmarkStart w:id="53" w:name="_Toc236922883"/>
      <w:r w:rsidRPr="00384A1E">
        <w:rPr>
          <w:rFonts w:ascii="Arial" w:hAnsi="Arial"/>
          <w:lang w:val="es-ES_tradnl"/>
        </w:rPr>
        <w:t>Nota 6:</w:t>
      </w:r>
      <w:r w:rsidRPr="00384A1E">
        <w:rPr>
          <w:rFonts w:ascii="Arial" w:hAnsi="Arial"/>
          <w:lang w:val="es-ES_tradnl"/>
        </w:rPr>
        <w:tab/>
        <w:t>Prestaciones pagaderas a los empleados</w:t>
      </w:r>
      <w:bookmarkEnd w:id="52"/>
      <w:bookmarkEnd w:id="53"/>
    </w:p>
    <w:p w14:paraId="738F1B7E" w14:textId="77777777" w:rsidR="008978C8" w:rsidRPr="00384A1E" w:rsidRDefault="008978C8" w:rsidP="006C0171">
      <w:pPr>
        <w:pStyle w:val="Heading2Notes"/>
        <w:rPr>
          <w:rFonts w:ascii="Arial" w:hAnsi="Arial" w:cs="Arial"/>
          <w:b w:val="0"/>
          <w:bCs/>
          <w:lang w:val="es-ES_tradnl"/>
        </w:rPr>
      </w:pPr>
    </w:p>
    <w:p w14:paraId="0E934779" w14:textId="179B5320" w:rsidR="00A72956" w:rsidRPr="00384A1E" w:rsidRDefault="0037657E" w:rsidP="00A01863">
      <w:pPr>
        <w:rPr>
          <w:rFonts w:cs="Arial"/>
          <w:b/>
          <w:bCs/>
          <w:lang w:val="es-ES_tradnl"/>
        </w:rPr>
      </w:pPr>
      <w:r w:rsidRPr="00384A1E">
        <w:rPr>
          <w:noProof/>
          <w:lang w:val="es-ES_tradnl"/>
        </w:rPr>
        <w:drawing>
          <wp:inline distT="0" distB="0" distL="0" distR="0" wp14:anchorId="6BD6F73B" wp14:editId="63C5A110">
            <wp:extent cx="6137910" cy="3222625"/>
            <wp:effectExtent l="0" t="0" r="0" b="0"/>
            <wp:docPr id="21370751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37910" cy="3222625"/>
                    </a:xfrm>
                    <a:prstGeom prst="rect">
                      <a:avLst/>
                    </a:prstGeom>
                    <a:noFill/>
                    <a:ln>
                      <a:noFill/>
                    </a:ln>
                  </pic:spPr>
                </pic:pic>
              </a:graphicData>
            </a:graphic>
          </wp:inline>
        </w:drawing>
      </w:r>
    </w:p>
    <w:p w14:paraId="4B31CACD" w14:textId="2FC0D993" w:rsidR="00E45414" w:rsidRPr="00384A1E" w:rsidRDefault="00E45414" w:rsidP="00A01863">
      <w:pPr>
        <w:rPr>
          <w:lang w:val="es-ES_tradnl"/>
        </w:rPr>
      </w:pPr>
      <w:bookmarkStart w:id="54" w:name="_1834646951"/>
      <w:bookmarkStart w:id="55" w:name="_1834651579"/>
      <w:bookmarkStart w:id="56" w:name="_1834644773"/>
      <w:bookmarkEnd w:id="54"/>
      <w:bookmarkEnd w:id="55"/>
      <w:bookmarkEnd w:id="56"/>
    </w:p>
    <w:p w14:paraId="44D57124" w14:textId="469C8D11" w:rsidR="00AC3CB0" w:rsidRPr="00384A1E" w:rsidRDefault="00AC3CB0" w:rsidP="00A01863">
      <w:pPr>
        <w:rPr>
          <w:lang w:val="es-ES_tradnl"/>
        </w:rPr>
      </w:pPr>
    </w:p>
    <w:p w14:paraId="0FB98B06" w14:textId="7EDCAD9F" w:rsidR="00851447" w:rsidRPr="00384A1E" w:rsidRDefault="00851447" w:rsidP="00384A1E">
      <w:pPr>
        <w:pStyle w:val="Style3"/>
        <w:keepNext/>
        <w:keepLines/>
        <w:rPr>
          <w:rFonts w:cs="Arial"/>
          <w:sz w:val="20"/>
          <w:lang w:val="es-ES_tradnl"/>
        </w:rPr>
      </w:pPr>
      <w:r w:rsidRPr="00384A1E">
        <w:rPr>
          <w:sz w:val="20"/>
          <w:lang w:val="es-ES_tradnl"/>
        </w:rPr>
        <w:lastRenderedPageBreak/>
        <w:t>Las prestaciones a largo plazo pagaderas a los empleados incluyen el seguro médico de los antiguos empleados, la prima de repatriación y los gastos de viaje, y las vacaciones acumuladas del personal fijo:</w:t>
      </w:r>
    </w:p>
    <w:p w14:paraId="7BA6E762" w14:textId="0A1203C6" w:rsidR="00851447" w:rsidRPr="00384A1E" w:rsidRDefault="00851447" w:rsidP="00851447">
      <w:pPr>
        <w:pStyle w:val="Style3"/>
        <w:rPr>
          <w:rFonts w:cs="Arial"/>
          <w:sz w:val="20"/>
          <w:lang w:val="es-ES_tradnl"/>
        </w:rPr>
      </w:pPr>
      <w:r w:rsidRPr="00384A1E">
        <w:rPr>
          <w:b/>
          <w:i/>
          <w:sz w:val="20"/>
          <w:lang w:val="es-ES_tradnl"/>
        </w:rPr>
        <w:t>Seguro médico de los antiguos empleados:</w:t>
      </w:r>
      <w:r w:rsidRPr="00384A1E">
        <w:rPr>
          <w:i/>
          <w:sz w:val="20"/>
          <w:lang w:val="es-ES_tradnl"/>
        </w:rPr>
        <w:t xml:space="preserve"> </w:t>
      </w:r>
      <w:r w:rsidRPr="00384A1E">
        <w:rPr>
          <w:sz w:val="20"/>
          <w:lang w:val="es-ES_tradnl"/>
        </w:rPr>
        <w:t>Los funcionarios que se jubilan (y sus cónyuges, hijos a cargo y causahabientes) tienen derecho a la cobertura del seguro médico si continúan en el plan tras dejar el servicio. Conforme al Estatuto y el Reglamento del Personal, la UPOV sufraga el 65 % de la prima mensual de seguro médico.</w:t>
      </w:r>
    </w:p>
    <w:p w14:paraId="4D0794E2" w14:textId="6B158109" w:rsidR="00851447" w:rsidRPr="00384A1E" w:rsidRDefault="00851447" w:rsidP="00851447">
      <w:pPr>
        <w:pStyle w:val="Style3"/>
        <w:rPr>
          <w:rFonts w:cs="Arial"/>
          <w:sz w:val="20"/>
          <w:lang w:val="es-ES_tradnl"/>
        </w:rPr>
      </w:pPr>
      <w:r w:rsidRPr="00384A1E">
        <w:rPr>
          <w:b/>
          <w:i/>
          <w:sz w:val="20"/>
          <w:lang w:val="es-ES_tradnl"/>
        </w:rPr>
        <w:t>Prima de repatriación y gastos de viaje:</w:t>
      </w:r>
      <w:r w:rsidRPr="00384A1E">
        <w:rPr>
          <w:sz w:val="20"/>
          <w:lang w:val="es-ES_tradnl"/>
        </w:rPr>
        <w:t xml:space="preserve"> La UPOV tiene la obligación contractual de proporcionar a determinados miembros del personal, contratados internacionalmente, prestaciones como el pago de primas de repatriación y gastos de viaje y traslado en el momento de la separación del servicio.</w:t>
      </w:r>
    </w:p>
    <w:p w14:paraId="36E78CBA" w14:textId="63596038" w:rsidR="00851447" w:rsidRPr="00384A1E" w:rsidRDefault="00851447" w:rsidP="00851447">
      <w:pPr>
        <w:pStyle w:val="Style3"/>
        <w:rPr>
          <w:rFonts w:cs="Arial"/>
          <w:sz w:val="20"/>
          <w:lang w:val="es-ES_tradnl"/>
        </w:rPr>
      </w:pPr>
      <w:r w:rsidRPr="00384A1E">
        <w:rPr>
          <w:b/>
          <w:i/>
          <w:sz w:val="20"/>
          <w:lang w:val="es-ES_tradnl"/>
        </w:rPr>
        <w:t>Vacaciones acumuladas (personal fijo):</w:t>
      </w:r>
      <w:r w:rsidRPr="00384A1E">
        <w:rPr>
          <w:sz w:val="20"/>
          <w:lang w:val="es-ES_tradnl"/>
        </w:rPr>
        <w:t xml:space="preserve"> Los días de vacaciones anuales acumulados se clasifican como prestaciones a largo plazo pagaderas a los funcionarios con contratos permanentes, continuos o de plazo fijo. El personal con puesto fijo podrá acumular hasta 15 días de vacaciones anuales en un año determinado y tener un saldo acumulado de 60 días. Tras la separación del servicio, el personal con puesto fijo que haya acumulado vacaciones anuales puede recibir una suma equivalente al sueldo que percibiría de haber trabajado durante el período de vacaciones anuales acumuladas, hasta un máximo de 60 días.</w:t>
      </w:r>
    </w:p>
    <w:p w14:paraId="673DA40D" w14:textId="47470B49" w:rsidR="00851447" w:rsidRPr="00384A1E" w:rsidRDefault="00851447" w:rsidP="00CF1845">
      <w:pPr>
        <w:rPr>
          <w:lang w:val="es-ES_tradnl"/>
        </w:rPr>
      </w:pPr>
      <w:r w:rsidRPr="00384A1E">
        <w:rPr>
          <w:lang w:val="es-ES_tradnl"/>
        </w:rPr>
        <w:t>El pasivo relativo al seguro médico de los antiguos empleados, las primas de repatriación y gastos de viaje, y las vacaciones acumuladas del personal fijo es calculado por un actuario independiente. El valor actual del pasivo se determina mediante el método del crédito unitario proyectado, que incluye el descuento de las salidas de efectivo futuras estimadas. Las hipótesis actuariales tienen un efecto considerable en los importes calculados para el pasivo por prestaciones pagaderas a los empleados. En la exposición y el análisis que preceden a estos estados financieros se incluye una descripción de los factores que repercuten en la cuantía del pasivo relativo al seguro médico de los antiguos empleados. Las principales hipótesis actuariales aplicadas en la determinación del pasivo por prestaciones a largo plazo pagaderas a los empleados se exponen detalladamente más abajo. Las tasas de descuento se determinaron utilizando las curvas de rendimiento de los bonos corporativos de calificación crediticia AA:</w:t>
      </w:r>
    </w:p>
    <w:p w14:paraId="4445408F" w14:textId="77777777" w:rsidR="00775C3C" w:rsidRPr="00384A1E" w:rsidRDefault="00775C3C" w:rsidP="00851447">
      <w:pPr>
        <w:pStyle w:val="Style3"/>
        <w:spacing w:after="0"/>
        <w:rPr>
          <w:rFonts w:cs="Arial"/>
          <w:sz w:val="20"/>
          <w:lang w:val="es-ES_tradnl"/>
        </w:rPr>
      </w:pPr>
    </w:p>
    <w:p w14:paraId="368C991F" w14:textId="3494E5DA" w:rsidR="004A632C" w:rsidRPr="00384A1E" w:rsidRDefault="00961005" w:rsidP="00961005">
      <w:pPr>
        <w:pStyle w:val="Style3"/>
        <w:spacing w:after="0"/>
        <w:jc w:val="center"/>
        <w:rPr>
          <w:rFonts w:cs="Arial"/>
          <w:sz w:val="20"/>
          <w:lang w:val="es-ES_tradnl"/>
        </w:rPr>
      </w:pPr>
      <w:r w:rsidRPr="00961005">
        <w:rPr>
          <w:noProof/>
        </w:rPr>
        <w:drawing>
          <wp:inline distT="0" distB="0" distL="0" distR="0" wp14:anchorId="4E48F173" wp14:editId="08A900B8">
            <wp:extent cx="6120765" cy="4055110"/>
            <wp:effectExtent l="0" t="0" r="0" b="2540"/>
            <wp:docPr id="16893669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765" cy="4055110"/>
                    </a:xfrm>
                    <a:prstGeom prst="rect">
                      <a:avLst/>
                    </a:prstGeom>
                    <a:noFill/>
                    <a:ln>
                      <a:noFill/>
                    </a:ln>
                  </pic:spPr>
                </pic:pic>
              </a:graphicData>
            </a:graphic>
          </wp:inline>
        </w:drawing>
      </w:r>
    </w:p>
    <w:p w14:paraId="5201BF21" w14:textId="77777777" w:rsidR="005E1412" w:rsidRPr="00384A1E" w:rsidRDefault="005E1412" w:rsidP="00851447">
      <w:pPr>
        <w:pStyle w:val="Style3"/>
        <w:spacing w:after="0"/>
        <w:rPr>
          <w:rFonts w:cs="Arial"/>
          <w:sz w:val="20"/>
          <w:lang w:val="es-ES_tradnl"/>
        </w:rPr>
      </w:pPr>
    </w:p>
    <w:p w14:paraId="3CA3EF4C" w14:textId="77777777" w:rsidR="00CB53C6" w:rsidRPr="00384A1E" w:rsidRDefault="00CB53C6" w:rsidP="0093068A">
      <w:pPr>
        <w:rPr>
          <w:rFonts w:cs="Arial"/>
          <w:lang w:val="es-ES_tradnl"/>
        </w:rPr>
      </w:pPr>
      <w:r w:rsidRPr="00384A1E">
        <w:rPr>
          <w:lang w:val="es-ES_tradnl"/>
        </w:rPr>
        <w:t>En el siguiente cuadro figuran los gastos correspondientes al seguro médico de los antiguos empleados, que se han contabilizado en el estado de rendimiento financiero:</w:t>
      </w:r>
    </w:p>
    <w:p w14:paraId="13B96658" w14:textId="77777777" w:rsidR="00775C3C" w:rsidRPr="00384A1E" w:rsidRDefault="00775C3C" w:rsidP="0093068A">
      <w:pPr>
        <w:rPr>
          <w:rFonts w:cs="Arial"/>
          <w:lang w:val="es-ES_tradnl"/>
        </w:rPr>
      </w:pPr>
    </w:p>
    <w:p w14:paraId="58107A40" w14:textId="656260DA" w:rsidR="00D33981" w:rsidRPr="00384A1E" w:rsidRDefault="00E73EEC" w:rsidP="00E73EEC">
      <w:pPr>
        <w:jc w:val="center"/>
        <w:rPr>
          <w:rFonts w:cs="Arial"/>
          <w:lang w:val="es-ES_tradnl"/>
        </w:rPr>
      </w:pPr>
      <w:r w:rsidRPr="00E73EEC">
        <w:rPr>
          <w:noProof/>
        </w:rPr>
        <w:lastRenderedPageBreak/>
        <w:drawing>
          <wp:inline distT="0" distB="0" distL="0" distR="0" wp14:anchorId="111EE1A2" wp14:editId="44B8174B">
            <wp:extent cx="5923915" cy="1510665"/>
            <wp:effectExtent l="0" t="0" r="635" b="0"/>
            <wp:docPr id="1814631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23915" cy="1510665"/>
                    </a:xfrm>
                    <a:prstGeom prst="rect">
                      <a:avLst/>
                    </a:prstGeom>
                    <a:noFill/>
                    <a:ln>
                      <a:noFill/>
                    </a:ln>
                  </pic:spPr>
                </pic:pic>
              </a:graphicData>
            </a:graphic>
          </wp:inline>
        </w:drawing>
      </w:r>
    </w:p>
    <w:p w14:paraId="26F1391D" w14:textId="5BBF6C64" w:rsidR="00AD74C0" w:rsidRPr="00384A1E" w:rsidRDefault="00AD74C0" w:rsidP="005B722A">
      <w:pPr>
        <w:jc w:val="center"/>
        <w:rPr>
          <w:rFonts w:cs="Arial"/>
          <w:lang w:val="es-ES_tradnl"/>
        </w:rPr>
      </w:pPr>
    </w:p>
    <w:p w14:paraId="01268A86" w14:textId="77777777" w:rsidR="007F5A07" w:rsidRPr="00384A1E" w:rsidRDefault="007F5A07" w:rsidP="006519FD">
      <w:pPr>
        <w:rPr>
          <w:rFonts w:cs="Arial"/>
          <w:lang w:val="es-ES_tradnl"/>
        </w:rPr>
      </w:pPr>
    </w:p>
    <w:p w14:paraId="24A79404" w14:textId="55FAAE78" w:rsidR="007F5A07" w:rsidRPr="00384A1E" w:rsidRDefault="007F5A07" w:rsidP="006519FD">
      <w:pPr>
        <w:rPr>
          <w:rFonts w:cs="Arial"/>
          <w:lang w:val="es-ES_tradnl"/>
        </w:rPr>
      </w:pPr>
      <w:r w:rsidRPr="00384A1E">
        <w:rPr>
          <w:lang w:val="es-ES_tradnl"/>
        </w:rPr>
        <w:t>En el cuadro siguiente se detallan las variaciones del pasivo neto del seguro médico de los antiguos empleados, incluyendo la repercusión de las ganancias/(pérdidas) actuariales registradas en el estado de situación financiera:</w:t>
      </w:r>
    </w:p>
    <w:p w14:paraId="5B677998" w14:textId="1430CEC1" w:rsidR="004937D3" w:rsidRPr="00384A1E" w:rsidRDefault="004937D3" w:rsidP="006519FD">
      <w:pPr>
        <w:rPr>
          <w:rFonts w:cs="Arial"/>
          <w:lang w:val="es-ES_tradnl"/>
        </w:rPr>
      </w:pPr>
    </w:p>
    <w:p w14:paraId="05F60D8E" w14:textId="30EC519B" w:rsidR="007B7F30" w:rsidRPr="00384A1E" w:rsidRDefault="00475B18" w:rsidP="00475B18">
      <w:pPr>
        <w:jc w:val="center"/>
        <w:rPr>
          <w:rFonts w:cs="Arial"/>
          <w:lang w:val="es-ES_tradnl"/>
        </w:rPr>
      </w:pPr>
      <w:r w:rsidRPr="00475B18">
        <w:rPr>
          <w:noProof/>
        </w:rPr>
        <w:drawing>
          <wp:inline distT="0" distB="0" distL="0" distR="0" wp14:anchorId="73485364" wp14:editId="714CEBB3">
            <wp:extent cx="6120765" cy="5873750"/>
            <wp:effectExtent l="0" t="0" r="0" b="0"/>
            <wp:docPr id="3413968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765" cy="5873750"/>
                    </a:xfrm>
                    <a:prstGeom prst="rect">
                      <a:avLst/>
                    </a:prstGeom>
                    <a:noFill/>
                    <a:ln>
                      <a:noFill/>
                    </a:ln>
                  </pic:spPr>
                </pic:pic>
              </a:graphicData>
            </a:graphic>
          </wp:inline>
        </w:drawing>
      </w:r>
    </w:p>
    <w:p w14:paraId="22C645DF" w14:textId="062A1ADC" w:rsidR="0044289F" w:rsidRPr="00384A1E" w:rsidRDefault="0044289F" w:rsidP="007A5CB1">
      <w:pPr>
        <w:rPr>
          <w:rFonts w:cs="Arial"/>
          <w:lang w:val="es-ES_tradnl"/>
        </w:rPr>
      </w:pPr>
      <w:bookmarkStart w:id="57" w:name="_1834646965"/>
      <w:bookmarkStart w:id="58" w:name="_1834651595"/>
      <w:bookmarkStart w:id="59" w:name="_1834644797"/>
      <w:bookmarkEnd w:id="57"/>
      <w:bookmarkEnd w:id="58"/>
      <w:bookmarkEnd w:id="59"/>
    </w:p>
    <w:p w14:paraId="0F5ADC5A" w14:textId="6F6DAE61" w:rsidR="006D4376" w:rsidRPr="00384A1E" w:rsidRDefault="006D4376" w:rsidP="009B2091">
      <w:pPr>
        <w:rPr>
          <w:lang w:val="es-ES_tradnl"/>
        </w:rPr>
      </w:pPr>
      <w:bookmarkStart w:id="60" w:name="_Hlk192858195"/>
      <w:r w:rsidRPr="00384A1E">
        <w:rPr>
          <w:lang w:val="es-ES_tradnl"/>
        </w:rPr>
        <w:t>Como se puede observar en el cuadro anterior, las ganancias actuariales más significativas que repercutieron en la obligación por prestaciones definidas en 2025 se debieron a un aumento de la tasa de descuento, que pasó del 1,50 % al 1,90 %, y también a una disminución de la tasa de evolución de los gastos médicos, que bajó del 2,40 % al 2,20 %. A 31 de diciembre de 2025, la duración media ponderada de la obligación por prestaciones definidas era de 17 años.</w:t>
      </w:r>
    </w:p>
    <w:p w14:paraId="2BD13749" w14:textId="77777777" w:rsidR="006D4376" w:rsidRPr="00384A1E" w:rsidRDefault="006D4376" w:rsidP="009B2091">
      <w:pPr>
        <w:rPr>
          <w:rFonts w:cs="Arial"/>
          <w:lang w:val="es-ES_tradnl"/>
        </w:rPr>
      </w:pPr>
    </w:p>
    <w:bookmarkEnd w:id="60"/>
    <w:p w14:paraId="07B9C63A" w14:textId="62AFFC50" w:rsidR="00D71E1E" w:rsidRPr="00384A1E" w:rsidRDefault="007F5A07" w:rsidP="006519FD">
      <w:pPr>
        <w:rPr>
          <w:rFonts w:cs="Arial"/>
          <w:lang w:val="es-ES_tradnl"/>
        </w:rPr>
      </w:pPr>
      <w:r w:rsidRPr="00384A1E">
        <w:rPr>
          <w:lang w:val="es-ES_tradnl"/>
        </w:rPr>
        <w:t>Las aportaciones correspondientes a la parte de la prima pagada por la UPOV a favor del seguro médico ascendieron a 82 852 francos suizos en 2025 (69 947 francos suizos en 2024). En el cuadro siguiente figuran el valor actual de las obligaciones por prestaciones definidas y los ajustes por experiencia efectuados en el pasivo relativo al seguro médico de los antiguos empleados en 2025 y en los cuatro años anteriores:</w:t>
      </w:r>
    </w:p>
    <w:p w14:paraId="46300F15" w14:textId="77777777" w:rsidR="004B1A57" w:rsidRPr="00384A1E" w:rsidRDefault="004B1A57" w:rsidP="006519FD">
      <w:pPr>
        <w:rPr>
          <w:rFonts w:cs="Arial"/>
          <w:lang w:val="es-ES_tradnl"/>
        </w:rPr>
      </w:pPr>
    </w:p>
    <w:p w14:paraId="5DF00362" w14:textId="084F8ABE" w:rsidR="007A5CB1" w:rsidRPr="00384A1E" w:rsidRDefault="003460FC" w:rsidP="003460FC">
      <w:pPr>
        <w:spacing w:after="240"/>
        <w:jc w:val="center"/>
        <w:rPr>
          <w:rFonts w:cs="Arial"/>
          <w:lang w:val="es-ES_tradnl"/>
        </w:rPr>
      </w:pPr>
      <w:r w:rsidRPr="003460FC">
        <w:rPr>
          <w:noProof/>
        </w:rPr>
        <w:drawing>
          <wp:inline distT="0" distB="0" distL="0" distR="0" wp14:anchorId="0EF4CD83" wp14:editId="57C07B16">
            <wp:extent cx="6120765" cy="1017905"/>
            <wp:effectExtent l="0" t="0" r="0" b="0"/>
            <wp:docPr id="8844216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765" cy="1017905"/>
                    </a:xfrm>
                    <a:prstGeom prst="rect">
                      <a:avLst/>
                    </a:prstGeom>
                    <a:noFill/>
                    <a:ln>
                      <a:noFill/>
                    </a:ln>
                  </pic:spPr>
                </pic:pic>
              </a:graphicData>
            </a:graphic>
          </wp:inline>
        </w:drawing>
      </w:r>
    </w:p>
    <w:p w14:paraId="00C58838" w14:textId="77777777" w:rsidR="007A5CB1" w:rsidRPr="00384A1E" w:rsidRDefault="007A5CB1" w:rsidP="006519FD">
      <w:pPr>
        <w:rPr>
          <w:rFonts w:cs="Arial"/>
          <w:lang w:val="es-ES_tradnl"/>
        </w:rPr>
      </w:pPr>
    </w:p>
    <w:p w14:paraId="3C77BE22" w14:textId="11D2D6D7" w:rsidR="000E346C" w:rsidRPr="00384A1E" w:rsidRDefault="000E346C" w:rsidP="000E346C">
      <w:pPr>
        <w:rPr>
          <w:lang w:val="es-ES_tradnl"/>
        </w:rPr>
      </w:pPr>
      <w:bookmarkStart w:id="61" w:name="_1834646970"/>
      <w:bookmarkStart w:id="62" w:name="_1834651599"/>
      <w:bookmarkStart w:id="63" w:name="_1834644804"/>
      <w:bookmarkEnd w:id="61"/>
      <w:bookmarkEnd w:id="62"/>
      <w:bookmarkEnd w:id="63"/>
      <w:r w:rsidRPr="00384A1E">
        <w:rPr>
          <w:lang w:val="es-ES_tradnl"/>
        </w:rPr>
        <w:t xml:space="preserve">El plan de seguro médico para antiguos empleados de la OMPI y la UPOV se creó el 1 de enero de 2025 como una entidad independiente constituida como plan </w:t>
      </w:r>
      <w:proofErr w:type="spellStart"/>
      <w:r w:rsidRPr="00384A1E">
        <w:rPr>
          <w:lang w:val="es-ES_tradnl"/>
        </w:rPr>
        <w:t>multiempleador</w:t>
      </w:r>
      <w:proofErr w:type="spellEnd"/>
      <w:r w:rsidRPr="00384A1E">
        <w:rPr>
          <w:lang w:val="es-ES_tradnl"/>
        </w:rPr>
        <w:t xml:space="preserve">, en el que participan ambas organizaciones. El plan de seguro médico para antiguos empleados se encarga de gestionar los fondos aportados por los Estados miembros de la OMPI y los miembros de la UPOV para financiar el pasivo relativo al seguro médico de los antiguos empleados de cada organización. El pasivo relativo al seguro médico de los antiguos empleados sigue siendo un pasivo de la OMPI y de la UPOV, respectivamente, y no del plan de seguro médico para los antiguos empleados, que solo es responsable de la gestión de los fondos. De conformidad con la IPSAS 39, desde la fecha de constitución del plan de seguro médico de los antiguos empleados, los fondos de la UPOV destinados a financiar dicho seguro cumplen los requisitos para ser reconocidos como activos del plan y, para 2025, el pasivo de la UPOV relativo al seguro médico de los antiguos empleados se presenta neto de esos fondos. </w:t>
      </w:r>
    </w:p>
    <w:p w14:paraId="58C5EDD9" w14:textId="77777777" w:rsidR="000E346C" w:rsidRPr="00384A1E" w:rsidRDefault="000E346C" w:rsidP="000E346C">
      <w:pPr>
        <w:rPr>
          <w:lang w:val="es-ES_tradnl"/>
        </w:rPr>
      </w:pPr>
    </w:p>
    <w:p w14:paraId="3C429352" w14:textId="2F85B832" w:rsidR="000E346C" w:rsidRPr="00384A1E" w:rsidRDefault="001D5D82" w:rsidP="000E346C">
      <w:pPr>
        <w:rPr>
          <w:lang w:val="es-ES_tradnl"/>
        </w:rPr>
      </w:pPr>
      <w:r w:rsidRPr="00384A1E">
        <w:rPr>
          <w:lang w:val="es-ES_tradnl"/>
        </w:rPr>
        <w:t>Las contribuciones de la UPOV a los activos del plan se basan en un porcentaje de los gastos reales de personal, que en 2025 se fijó en el 6 %, menos la parte de la prima abonada por la Unión para el seguro médico de los antiguos empleados. La clase de activos y el valor razonable de los activos del plan a 31 de diciembre de 2025 se muestran en el siguiente cuadro:</w:t>
      </w:r>
    </w:p>
    <w:p w14:paraId="611A836F" w14:textId="77777777" w:rsidR="000E346C" w:rsidRPr="00384A1E" w:rsidRDefault="000E346C" w:rsidP="000E346C">
      <w:pPr>
        <w:rPr>
          <w:lang w:val="es-ES_tradnl"/>
        </w:rPr>
      </w:pPr>
    </w:p>
    <w:p w14:paraId="7ADD5EAF" w14:textId="7BE81CFB" w:rsidR="003A1044" w:rsidRPr="00384A1E" w:rsidRDefault="00BE503E" w:rsidP="000E346C">
      <w:pPr>
        <w:rPr>
          <w:lang w:val="es-ES_tradnl"/>
        </w:rPr>
      </w:pPr>
      <w:r w:rsidRPr="00384A1E">
        <w:rPr>
          <w:noProof/>
          <w:lang w:val="es-ES_tradnl"/>
        </w:rPr>
        <w:drawing>
          <wp:inline distT="0" distB="0" distL="0" distR="0" wp14:anchorId="192A1B5C" wp14:editId="67424557">
            <wp:extent cx="6206589" cy="1331089"/>
            <wp:effectExtent l="0" t="0" r="3810" b="2540"/>
            <wp:docPr id="5966245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39572" cy="1338163"/>
                    </a:xfrm>
                    <a:prstGeom prst="rect">
                      <a:avLst/>
                    </a:prstGeom>
                    <a:noFill/>
                    <a:ln>
                      <a:noFill/>
                    </a:ln>
                  </pic:spPr>
                </pic:pic>
              </a:graphicData>
            </a:graphic>
          </wp:inline>
        </w:drawing>
      </w:r>
    </w:p>
    <w:p w14:paraId="52013374" w14:textId="77777777" w:rsidR="003A1044" w:rsidRDefault="003A1044" w:rsidP="000E346C">
      <w:pPr>
        <w:rPr>
          <w:lang w:val="es-ES_tradnl"/>
        </w:rPr>
      </w:pPr>
    </w:p>
    <w:p w14:paraId="66E254B6" w14:textId="77777777" w:rsidR="003460FC" w:rsidRPr="00384A1E" w:rsidRDefault="003460FC" w:rsidP="000E346C">
      <w:pPr>
        <w:rPr>
          <w:lang w:val="es-ES_tradnl"/>
        </w:rPr>
      </w:pPr>
    </w:p>
    <w:p w14:paraId="5B04DBC3" w14:textId="24E217AB" w:rsidR="00F53E82" w:rsidRPr="00384A1E" w:rsidRDefault="00F53E82" w:rsidP="006519FD">
      <w:pPr>
        <w:rPr>
          <w:rFonts w:cs="Arial"/>
          <w:lang w:val="es-ES_tradnl"/>
        </w:rPr>
      </w:pPr>
      <w:r w:rsidRPr="00384A1E">
        <w:rPr>
          <w:lang w:val="es-ES_tradnl"/>
        </w:rPr>
        <w:t>En el análisis de sensibilidad que figura a continuación puede observarse cómo afectan a la obligación por prestaciones definidas los cambios en hipótesis actuariales significativas, la tasa de descuento y la evolución de los gastos médicos. A tenor de las variaciones registradas en el pasado, los porcentajes utilizados en el análisis se consideran razonables:</w:t>
      </w:r>
    </w:p>
    <w:p w14:paraId="191B65BE" w14:textId="7D656C42" w:rsidR="003460FC" w:rsidRDefault="003460FC">
      <w:pPr>
        <w:jc w:val="left"/>
        <w:rPr>
          <w:rFonts w:cs="Arial"/>
          <w:lang w:val="es-ES_tradnl"/>
        </w:rPr>
      </w:pPr>
      <w:r>
        <w:rPr>
          <w:rFonts w:cs="Arial"/>
          <w:lang w:val="es-ES_tradnl"/>
        </w:rPr>
        <w:br w:type="page"/>
      </w:r>
    </w:p>
    <w:p w14:paraId="36F71AB6" w14:textId="77777777" w:rsidR="00775C3C" w:rsidRPr="00384A1E" w:rsidRDefault="00775C3C" w:rsidP="006519FD">
      <w:pPr>
        <w:rPr>
          <w:rFonts w:cs="Arial"/>
          <w:lang w:val="es-ES_tradnl"/>
        </w:rPr>
      </w:pPr>
    </w:p>
    <w:p w14:paraId="0534B3FF" w14:textId="4D80C8F6" w:rsidR="00D13862" w:rsidRPr="00384A1E" w:rsidRDefault="00D13862" w:rsidP="006519FD">
      <w:pPr>
        <w:rPr>
          <w:rFonts w:cs="Arial"/>
          <w:lang w:val="es-ES_tradnl"/>
        </w:rPr>
      </w:pPr>
      <w:r w:rsidRPr="00384A1E">
        <w:rPr>
          <w:noProof/>
          <w:lang w:val="es-ES_tradnl"/>
        </w:rPr>
        <w:drawing>
          <wp:inline distT="0" distB="0" distL="0" distR="0" wp14:anchorId="3D156E36" wp14:editId="1B9F8F1C">
            <wp:extent cx="6137910" cy="1441450"/>
            <wp:effectExtent l="0" t="0" r="0" b="6350"/>
            <wp:docPr id="38284195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37910" cy="1441450"/>
                    </a:xfrm>
                    <a:prstGeom prst="rect">
                      <a:avLst/>
                    </a:prstGeom>
                    <a:noFill/>
                    <a:ln>
                      <a:noFill/>
                    </a:ln>
                  </pic:spPr>
                </pic:pic>
              </a:graphicData>
            </a:graphic>
          </wp:inline>
        </w:drawing>
      </w:r>
    </w:p>
    <w:p w14:paraId="18E49F6A" w14:textId="77777777" w:rsidR="00D13862" w:rsidRPr="00384A1E" w:rsidRDefault="00D13862" w:rsidP="006519FD">
      <w:pPr>
        <w:rPr>
          <w:rFonts w:cs="Arial"/>
          <w:lang w:val="es-ES_tradnl"/>
        </w:rPr>
      </w:pPr>
    </w:p>
    <w:p w14:paraId="32342426" w14:textId="256288CA" w:rsidR="00BE503E" w:rsidRPr="00384A1E" w:rsidRDefault="004B1A57" w:rsidP="006519FD">
      <w:pPr>
        <w:rPr>
          <w:rFonts w:cs="Arial"/>
          <w:lang w:val="es-ES_tradnl"/>
        </w:rPr>
      </w:pPr>
      <w:r w:rsidRPr="00384A1E">
        <w:rPr>
          <w:noProof/>
          <w:lang w:val="es-ES_tradnl"/>
        </w:rPr>
        <w:drawing>
          <wp:inline distT="0" distB="0" distL="0" distR="0" wp14:anchorId="3CE6844E" wp14:editId="69D5C8FF">
            <wp:extent cx="6137910" cy="1492885"/>
            <wp:effectExtent l="0" t="0" r="0" b="0"/>
            <wp:docPr id="89168453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37910" cy="1492885"/>
                    </a:xfrm>
                    <a:prstGeom prst="rect">
                      <a:avLst/>
                    </a:prstGeom>
                    <a:noFill/>
                    <a:ln>
                      <a:noFill/>
                    </a:ln>
                  </pic:spPr>
                </pic:pic>
              </a:graphicData>
            </a:graphic>
          </wp:inline>
        </w:drawing>
      </w:r>
    </w:p>
    <w:p w14:paraId="753C634D" w14:textId="77777777" w:rsidR="00BE503E" w:rsidRPr="00384A1E" w:rsidRDefault="00BE503E" w:rsidP="006519FD">
      <w:pPr>
        <w:rPr>
          <w:rFonts w:cs="Arial"/>
          <w:lang w:val="es-ES_tradnl"/>
        </w:rPr>
      </w:pPr>
    </w:p>
    <w:p w14:paraId="4880933A" w14:textId="28F2F3CC" w:rsidR="001721A7" w:rsidRPr="00384A1E" w:rsidRDefault="001721A7">
      <w:pPr>
        <w:jc w:val="left"/>
        <w:rPr>
          <w:rFonts w:cs="Arial"/>
          <w:b/>
          <w:lang w:val="es-ES_tradnl"/>
        </w:rPr>
      </w:pPr>
    </w:p>
    <w:p w14:paraId="74B24D7A" w14:textId="649879AB" w:rsidR="00A824AF" w:rsidRPr="00384A1E" w:rsidRDefault="00A824AF" w:rsidP="00A824AF">
      <w:pPr>
        <w:pStyle w:val="Style3"/>
        <w:spacing w:after="0"/>
        <w:rPr>
          <w:rFonts w:cs="Arial"/>
          <w:b/>
          <w:sz w:val="20"/>
          <w:lang w:val="es-ES_tradnl"/>
        </w:rPr>
      </w:pPr>
      <w:r w:rsidRPr="00384A1E">
        <w:rPr>
          <w:b/>
          <w:sz w:val="20"/>
          <w:lang w:val="es-ES_tradnl"/>
        </w:rPr>
        <w:t>Caja Común de Pensiones del Personal de las Naciones Unidas</w:t>
      </w:r>
    </w:p>
    <w:p w14:paraId="27659A5A" w14:textId="77777777" w:rsidR="00641335" w:rsidRPr="00384A1E" w:rsidRDefault="00641335" w:rsidP="00A824AF">
      <w:pPr>
        <w:pStyle w:val="Style3"/>
        <w:spacing w:after="0"/>
        <w:rPr>
          <w:rFonts w:cs="Arial"/>
          <w:b/>
          <w:sz w:val="20"/>
          <w:lang w:val="es-ES_tradnl"/>
        </w:rPr>
      </w:pPr>
    </w:p>
    <w:p w14:paraId="03586FEB" w14:textId="77777777" w:rsidR="00944C8F" w:rsidRPr="00384A1E" w:rsidRDefault="00944C8F" w:rsidP="00944C8F">
      <w:pPr>
        <w:pStyle w:val="BodyText"/>
        <w:rPr>
          <w:lang w:val="es-ES_tradnl"/>
        </w:rPr>
      </w:pPr>
      <w:bookmarkStart w:id="64" w:name="_Hlk160643002"/>
      <w:bookmarkStart w:id="65" w:name="_Hlk192765778"/>
      <w:bookmarkStart w:id="66" w:name="_Hlk160646956"/>
      <w:bookmarkStart w:id="67" w:name="_Hlk192765153"/>
      <w:r w:rsidRPr="00384A1E">
        <w:rPr>
          <w:lang w:val="es-ES_tradnl"/>
        </w:rPr>
        <w:t>En el reglamento de la Caja Común se establece que el Comité Mixto encargará al actuario consultor que realice una evaluación de la Caja al menos una vez cada tres años. El Comité Mixto viene realizando una evaluación actuarial cada dos años. El objetivo principal de la evaluación actuarial consiste en determinar si el activo actual de la Caja Común y el que se prevé para el futuro serán suficientes para hacer frente a su pasivo a perpetuidad. La política de financiación de la Caja Común (disponible en el sitio web de la Caja) establece los métodos, procesos y objetivos utilizados para supervisar la posición financiera y los riesgos conexos. Ello incluye la práctica de utilizar un valor actuarial de los activos, que suaviza las ganancias y pérdidas por inversiones a corto plazo con el fin de obtener la solvencia a largo plazo.</w:t>
      </w:r>
    </w:p>
    <w:bookmarkEnd w:id="64"/>
    <w:p w14:paraId="65C984B5" w14:textId="77777777" w:rsidR="006602B0" w:rsidRPr="00384A1E" w:rsidRDefault="006602B0" w:rsidP="005D7523">
      <w:pPr>
        <w:pStyle w:val="Style3"/>
        <w:spacing w:after="0"/>
        <w:rPr>
          <w:rFonts w:cs="Arial"/>
          <w:sz w:val="20"/>
          <w:lang w:val="es-ES_tradnl"/>
        </w:rPr>
      </w:pPr>
    </w:p>
    <w:p w14:paraId="0A0D3A30" w14:textId="16AB81E0" w:rsidR="00944C8F" w:rsidRPr="00384A1E" w:rsidRDefault="003D0BA1" w:rsidP="005B722A">
      <w:pPr>
        <w:pStyle w:val="Style3"/>
        <w:spacing w:after="0"/>
        <w:rPr>
          <w:rFonts w:cs="Arial"/>
          <w:sz w:val="20"/>
          <w:lang w:val="es-ES_tradnl"/>
        </w:rPr>
      </w:pPr>
      <w:bookmarkStart w:id="68" w:name="_Hlk160643061"/>
      <w:r w:rsidRPr="00384A1E">
        <w:rPr>
          <w:sz w:val="20"/>
          <w:lang w:val="es-ES_tradnl"/>
        </w:rPr>
        <w:t>La obligación financiera de la UPOV para con la Caja Común consiste en la contribución estipulada que debe efectuar con arreglo al porcentaje establecido por la Asamblea General de las Naciones Unidas (actualmente el</w:t>
      </w:r>
      <w:r w:rsidR="004B1A57" w:rsidRPr="00384A1E">
        <w:rPr>
          <w:sz w:val="20"/>
          <w:lang w:val="es-ES_tradnl"/>
        </w:rPr>
        <w:t> </w:t>
      </w:r>
      <w:r w:rsidRPr="00384A1E">
        <w:rPr>
          <w:sz w:val="20"/>
          <w:lang w:val="es-ES_tradnl"/>
        </w:rPr>
        <w:t>7,9 % de la remuneración pensionable para los participantes y el 15,8 % para las organizaciones) y en el porcentaje correspondiente a los pagos que pudiesen ser necesarios para enjugar el déficit actuarial conforme a lo dispuesto en el artículo 26 del reglamento de la Caja. Los pagos necesarios para enjugar el déficit actuarial se efectúan únicamente cuando la Asamblea General de las Naciones Unidas hace valer la disposición del artículo 26, tras determinar que es necesario efectuar pagos para enjugar el déficit teniendo en cuenta la evaluación de la suficiencia actuarial de la Caja Común en la fecha de la evaluación. Cada organización afiliada contribuirá a esa suma con una cantidad proporcional al total de las aportaciones que haya pagado durante los tres años anteriores a la fecha de la evaluación. Nunca ha sido necesario invocar el artículo 26 y nunca se ha solicitado ningún pago compensatorio.</w:t>
      </w:r>
    </w:p>
    <w:p w14:paraId="395C0CB7" w14:textId="77777777" w:rsidR="006602B0" w:rsidRPr="00384A1E" w:rsidRDefault="006602B0" w:rsidP="005D7523">
      <w:pPr>
        <w:pStyle w:val="Style3"/>
        <w:spacing w:after="0"/>
        <w:rPr>
          <w:rFonts w:cs="Arial"/>
          <w:sz w:val="20"/>
          <w:lang w:val="es-ES_tradnl"/>
        </w:rPr>
      </w:pPr>
    </w:p>
    <w:p w14:paraId="1A09EB22" w14:textId="47779FC6" w:rsidR="00610986" w:rsidRPr="00384A1E" w:rsidRDefault="00610986" w:rsidP="00610986">
      <w:pPr>
        <w:pStyle w:val="BodyText"/>
        <w:rPr>
          <w:lang w:val="es-ES_tradnl"/>
        </w:rPr>
      </w:pPr>
      <w:bookmarkStart w:id="69" w:name="_Hlk160645787"/>
      <w:bookmarkEnd w:id="68"/>
      <w:r w:rsidRPr="00384A1E">
        <w:rPr>
          <w:lang w:val="es-ES_tradnl"/>
        </w:rPr>
        <w:t>La última valoración actuarial de la Caja Común se finalizó el 31 de diciembre de 2023 y la correspondiente al</w:t>
      </w:r>
      <w:r w:rsidR="004B1A57" w:rsidRPr="00384A1E">
        <w:rPr>
          <w:lang w:val="es-ES_tradnl"/>
        </w:rPr>
        <w:t> </w:t>
      </w:r>
      <w:r w:rsidRPr="00384A1E">
        <w:rPr>
          <w:lang w:val="es-ES_tradnl"/>
        </w:rPr>
        <w:t>31 de diciembre de 2025 está en curso. La Caja utilizó una proyección de los datos de participación entre el</w:t>
      </w:r>
      <w:r w:rsidR="004B1A57" w:rsidRPr="00384A1E">
        <w:rPr>
          <w:lang w:val="es-ES_tradnl"/>
        </w:rPr>
        <w:t> </w:t>
      </w:r>
      <w:r w:rsidRPr="00384A1E">
        <w:rPr>
          <w:lang w:val="es-ES_tradnl"/>
        </w:rPr>
        <w:t xml:space="preserve">31 de diciembre de 2023 y el 31 de diciembre de 2024 para elaborar sus estados financieros de 2024. </w:t>
      </w:r>
    </w:p>
    <w:bookmarkEnd w:id="69"/>
    <w:p w14:paraId="1BC57C7F" w14:textId="0E2EB57C" w:rsidR="00B01557" w:rsidRPr="00384A1E" w:rsidRDefault="00B01557">
      <w:pPr>
        <w:rPr>
          <w:rFonts w:cs="Arial"/>
          <w:lang w:val="es-ES_tradnl"/>
        </w:rPr>
      </w:pPr>
    </w:p>
    <w:p w14:paraId="0A8C2045" w14:textId="56678DB9" w:rsidR="00E859D8" w:rsidRPr="00384A1E" w:rsidRDefault="00E859D8" w:rsidP="00E859D8">
      <w:pPr>
        <w:rPr>
          <w:lang w:val="es-ES_tradnl"/>
        </w:rPr>
      </w:pPr>
      <w:bookmarkStart w:id="70" w:name="_Hlk160645805"/>
      <w:r w:rsidRPr="00384A1E">
        <w:rPr>
          <w:lang w:val="es-ES_tradnl"/>
        </w:rPr>
        <w:t>La valoración actuarial a 31 de diciembre de 2023 arrojaba un coeficiente de capitalización del activo actuarial con respecto al pasivo actuarial del 111,0 %, teniendo en cuenta los futuros ajustes previstos de las pensiones (indexación del coste de la vida sobre las prestaciones). El coeficiente de capitalización declarado es del</w:t>
      </w:r>
      <w:r w:rsidR="004B1A57" w:rsidRPr="00384A1E">
        <w:rPr>
          <w:lang w:val="es-ES_tradnl"/>
        </w:rPr>
        <w:t> </w:t>
      </w:r>
      <w:r w:rsidRPr="00384A1E">
        <w:rPr>
          <w:lang w:val="es-ES_tradnl"/>
        </w:rPr>
        <w:t>152,0 % si no se tiene en cuenta el sistema actual de ajustes de las pensiones, que es la medida por la que se establece la suficiencia actuarial, según el artículo 26.</w:t>
      </w:r>
    </w:p>
    <w:p w14:paraId="1D9D54AE" w14:textId="0694C913" w:rsidR="00944C8F" w:rsidRPr="00384A1E" w:rsidRDefault="00944C8F" w:rsidP="00944C8F">
      <w:pPr>
        <w:pStyle w:val="BodyText"/>
        <w:rPr>
          <w:lang w:val="es-ES_tradnl"/>
        </w:rPr>
      </w:pPr>
    </w:p>
    <w:p w14:paraId="2525AA70" w14:textId="39B98BB7" w:rsidR="009A6692" w:rsidRPr="00384A1E" w:rsidRDefault="003D0BA1" w:rsidP="005D7523">
      <w:pPr>
        <w:pStyle w:val="Style3"/>
        <w:spacing w:after="0"/>
        <w:rPr>
          <w:rFonts w:cs="Arial"/>
          <w:sz w:val="20"/>
          <w:lang w:val="es-ES_tradnl"/>
        </w:rPr>
      </w:pPr>
      <w:bookmarkStart w:id="71" w:name="_Hlk160645924"/>
      <w:bookmarkEnd w:id="70"/>
      <w:r w:rsidRPr="00384A1E">
        <w:rPr>
          <w:sz w:val="20"/>
          <w:lang w:val="es-ES_tradnl"/>
        </w:rPr>
        <w:t>Tras evaluar la suficiencia actuarial de la Caja Común, el actuario consultor llegó a la conclusión de que, a 31</w:t>
      </w:r>
      <w:r w:rsidR="00F10DF9">
        <w:rPr>
          <w:sz w:val="20"/>
          <w:lang w:val="es-ES_tradnl"/>
        </w:rPr>
        <w:t> </w:t>
      </w:r>
      <w:r w:rsidRPr="00384A1E">
        <w:rPr>
          <w:sz w:val="20"/>
          <w:lang w:val="es-ES_tradnl"/>
        </w:rPr>
        <w:t>de diciembre de 2023, no era necesario realizar pagos para compensar el déficit, según lo dispuesto en el artículo 26 del reglamento de la Caja, ya que el valor actuarial del activo superaba al del pasivo acumulado de acuerdo con el plan. En el momento de elaborar el presente informe, la Asamblea General no ha hecho valer la disposición del artículo 26.</w:t>
      </w:r>
      <w:bookmarkEnd w:id="71"/>
    </w:p>
    <w:p w14:paraId="20720E59" w14:textId="77777777" w:rsidR="001E09D0" w:rsidRPr="00384A1E" w:rsidRDefault="001E09D0" w:rsidP="005D7523">
      <w:pPr>
        <w:pStyle w:val="Style3"/>
        <w:spacing w:after="0"/>
        <w:rPr>
          <w:rFonts w:cs="Arial"/>
          <w:sz w:val="20"/>
          <w:lang w:val="es-ES_tradnl"/>
        </w:rPr>
      </w:pPr>
    </w:p>
    <w:p w14:paraId="2E5944CE" w14:textId="0394BA02" w:rsidR="006602B0" w:rsidRPr="00384A1E" w:rsidRDefault="00324082" w:rsidP="005D7523">
      <w:pPr>
        <w:pStyle w:val="Style3"/>
        <w:spacing w:after="0"/>
        <w:rPr>
          <w:sz w:val="20"/>
          <w:lang w:val="es-ES_tradnl"/>
        </w:rPr>
      </w:pPr>
      <w:r w:rsidRPr="00384A1E">
        <w:rPr>
          <w:sz w:val="20"/>
          <w:lang w:val="es-ES_tradnl"/>
        </w:rPr>
        <w:t>De hacerse valer el artículo 26 debido a una deficiencia actuarial, ya fuese durante el funcionamiento corriente del plan de pensiones de la Caja o como consecuencia de su rescisión, los pagos que se exigirían a cada organización afiliada para enjugar el déficit se calcularían con arreglo a la proporción de su contribución al total aportado a la Caja durante los tres años anteriores a la fecha de la evaluación. Las aportaciones efectuadas a la Caja Común durante los tres años anteriores (2022, 2023 y 2024) ascienden a un total de 10 191,93 millones de dólares de los Estados Unidos, de los cuales el 0,016 % corresponde a las aportaciones de la UPOV (que comprenden las aportaciones de los afiliados y las de la Unión).</w:t>
      </w:r>
    </w:p>
    <w:p w14:paraId="13870DB8" w14:textId="77777777" w:rsidR="006602B0" w:rsidRPr="00384A1E" w:rsidRDefault="006602B0" w:rsidP="005D7523">
      <w:pPr>
        <w:pStyle w:val="Style3"/>
        <w:spacing w:after="0"/>
        <w:rPr>
          <w:rFonts w:cs="Arial"/>
          <w:sz w:val="20"/>
          <w:lang w:val="es-ES_tradnl"/>
        </w:rPr>
      </w:pPr>
    </w:p>
    <w:p w14:paraId="5D38CD6F" w14:textId="3DBFCBE4" w:rsidR="00324082" w:rsidRPr="00384A1E" w:rsidRDefault="00324082" w:rsidP="005D7523">
      <w:pPr>
        <w:pStyle w:val="Style3"/>
        <w:spacing w:after="0"/>
        <w:rPr>
          <w:sz w:val="20"/>
          <w:lang w:val="es-ES_tradnl"/>
        </w:rPr>
      </w:pPr>
      <w:r w:rsidRPr="00384A1E">
        <w:rPr>
          <w:sz w:val="20"/>
          <w:lang w:val="es-ES_tradnl"/>
        </w:rPr>
        <w:t>Las aportaciones a la Caja Común efectuadas por la UPOV en 2025 ascendieron a 326 950 francos suizos (301 445 francos suizos en</w:t>
      </w:r>
      <w:r w:rsidR="00F10DF9">
        <w:rPr>
          <w:sz w:val="20"/>
          <w:lang w:val="es-ES_tradnl"/>
        </w:rPr>
        <w:t xml:space="preserve"> </w:t>
      </w:r>
      <w:r w:rsidRPr="00384A1E">
        <w:rPr>
          <w:sz w:val="20"/>
          <w:lang w:val="es-ES_tradnl"/>
        </w:rPr>
        <w:t xml:space="preserve">2024). </w:t>
      </w:r>
      <w:bookmarkStart w:id="72" w:name="_Hlk161157816"/>
      <w:r w:rsidRPr="00384A1E">
        <w:rPr>
          <w:sz w:val="20"/>
          <w:lang w:val="es-ES_tradnl"/>
        </w:rPr>
        <w:t>Las aportaciones previstas para</w:t>
      </w:r>
      <w:r w:rsidR="00F10DF9">
        <w:rPr>
          <w:sz w:val="20"/>
          <w:lang w:val="es-ES_tradnl"/>
        </w:rPr>
        <w:t xml:space="preserve"> </w:t>
      </w:r>
      <w:r w:rsidRPr="00384A1E">
        <w:rPr>
          <w:sz w:val="20"/>
          <w:lang w:val="es-ES_tradnl"/>
        </w:rPr>
        <w:t>2026 son de aproximadamente</w:t>
      </w:r>
      <w:r w:rsidR="00F10DF9">
        <w:rPr>
          <w:sz w:val="20"/>
          <w:lang w:val="es-ES_tradnl"/>
        </w:rPr>
        <w:t xml:space="preserve"> </w:t>
      </w:r>
      <w:r w:rsidRPr="00384A1E">
        <w:rPr>
          <w:sz w:val="20"/>
          <w:lang w:val="es-ES_tradnl"/>
        </w:rPr>
        <w:t>337</w:t>
      </w:r>
      <w:r w:rsidR="00F10DF9">
        <w:rPr>
          <w:sz w:val="20"/>
          <w:lang w:val="es-ES_tradnl"/>
        </w:rPr>
        <w:t> </w:t>
      </w:r>
      <w:r w:rsidRPr="00384A1E">
        <w:rPr>
          <w:sz w:val="20"/>
          <w:lang w:val="es-ES_tradnl"/>
        </w:rPr>
        <w:t>557</w:t>
      </w:r>
      <w:r w:rsidR="00F10DF9">
        <w:rPr>
          <w:sz w:val="20"/>
          <w:lang w:val="es-ES_tradnl"/>
        </w:rPr>
        <w:t> </w:t>
      </w:r>
      <w:r w:rsidRPr="00384A1E">
        <w:rPr>
          <w:sz w:val="20"/>
          <w:lang w:val="es-ES_tradnl"/>
        </w:rPr>
        <w:t>francos suizos</w:t>
      </w:r>
      <w:bookmarkEnd w:id="72"/>
      <w:r w:rsidRPr="00384A1E">
        <w:rPr>
          <w:sz w:val="20"/>
          <w:lang w:val="es-ES_tradnl"/>
        </w:rPr>
        <w:t>.</w:t>
      </w:r>
    </w:p>
    <w:p w14:paraId="6DF41ED1" w14:textId="77777777" w:rsidR="00324082" w:rsidRPr="00384A1E" w:rsidRDefault="00324082" w:rsidP="005D7523">
      <w:pPr>
        <w:pStyle w:val="Style3"/>
        <w:spacing w:after="0"/>
        <w:rPr>
          <w:rFonts w:cs="Arial"/>
          <w:sz w:val="20"/>
          <w:lang w:val="es-ES_tradnl"/>
        </w:rPr>
      </w:pPr>
    </w:p>
    <w:p w14:paraId="77D70649" w14:textId="1E22B858" w:rsidR="003D0BA1" w:rsidRPr="00384A1E" w:rsidRDefault="003D0BA1" w:rsidP="005D7523">
      <w:pPr>
        <w:pStyle w:val="Style3"/>
        <w:spacing w:after="0"/>
        <w:rPr>
          <w:rFonts w:cs="Arial"/>
          <w:sz w:val="20"/>
          <w:lang w:val="es-ES_tradnl"/>
        </w:rPr>
      </w:pPr>
      <w:r w:rsidRPr="00384A1E">
        <w:rPr>
          <w:sz w:val="20"/>
          <w:lang w:val="es-ES_tradnl"/>
        </w:rPr>
        <w:t>La Asamblea General de las Naciones Unidas podrá decidir poner fin a la afiliación a la Caja Común, previa recomendación afirmativa del Comité Mixto. Se pagará una parte proporcional del activo total de la Caja en la fecha de rescisión a la organización previamente afiliada en beneficio exclusivo del personal de esta que estuviera afiliado a la Caja en dicha fecha, de conformidad con un arreglo mutuamente convenido entre la organización y el Comité Mixto. La cuantía del citado pago será determinada por el Comité Mixto sobre la base de una evaluación actuarial del activo y del pasivo de la Caja en la fecha de rescisión; en esa cuantía no se incluye la parte del activo que supere el pasivo.</w:t>
      </w:r>
    </w:p>
    <w:p w14:paraId="27F26E4C" w14:textId="77777777" w:rsidR="00034C24" w:rsidRPr="00384A1E" w:rsidRDefault="00034C24" w:rsidP="005D7523">
      <w:pPr>
        <w:pStyle w:val="Style3"/>
        <w:spacing w:after="0"/>
        <w:rPr>
          <w:rFonts w:cs="Arial"/>
          <w:sz w:val="20"/>
          <w:lang w:val="es-ES_tradnl"/>
        </w:rPr>
      </w:pPr>
    </w:p>
    <w:p w14:paraId="1B60A580" w14:textId="461ED2A7" w:rsidR="00A40D65" w:rsidRPr="00384A1E" w:rsidRDefault="003D0BA1" w:rsidP="00384A1E">
      <w:pPr>
        <w:pStyle w:val="BodyText"/>
        <w:spacing w:after="600"/>
        <w:rPr>
          <w:rFonts w:cs="Arial"/>
          <w:b/>
          <w:caps/>
          <w:lang w:val="es-ES_tradnl"/>
        </w:rPr>
      </w:pPr>
      <w:r w:rsidRPr="00384A1E">
        <w:rPr>
          <w:lang w:val="es-ES_tradnl"/>
        </w:rPr>
        <w:t>La Junta de Auditores de las Naciones Unidas lleva a cabo una auditoría anual de la Caja Común y todos los años informa de ello al Comité Mixto y a la Asamblea General de las Naciones Unidas. La Caja facilita información semanal sobre sus inversiones, que puede consultarse en www.unjspf.org.</w:t>
      </w:r>
      <w:bookmarkStart w:id="73" w:name="_Toc84329898"/>
      <w:bookmarkEnd w:id="65"/>
      <w:bookmarkEnd w:id="66"/>
      <w:bookmarkEnd w:id="67"/>
    </w:p>
    <w:p w14:paraId="005011FB" w14:textId="3506BB12" w:rsidR="00A824AF" w:rsidRPr="00384A1E" w:rsidRDefault="004A5EBA" w:rsidP="00BB0E72">
      <w:pPr>
        <w:pStyle w:val="Heading2Notes"/>
        <w:rPr>
          <w:rFonts w:ascii="Arial" w:hAnsi="Arial" w:cs="Arial"/>
          <w:lang w:val="es-ES_tradnl"/>
        </w:rPr>
      </w:pPr>
      <w:bookmarkStart w:id="74" w:name="_Toc236922884"/>
      <w:r w:rsidRPr="00384A1E">
        <w:rPr>
          <w:rFonts w:ascii="Arial" w:hAnsi="Arial"/>
          <w:lang w:val="es-ES_tradnl"/>
        </w:rPr>
        <w:t>Nota 7:</w:t>
      </w:r>
      <w:r w:rsidRPr="00384A1E">
        <w:rPr>
          <w:rFonts w:ascii="Arial" w:hAnsi="Arial"/>
          <w:lang w:val="es-ES_tradnl"/>
        </w:rPr>
        <w:tab/>
        <w:t>Cobros anticipados</w:t>
      </w:r>
      <w:bookmarkEnd w:id="73"/>
      <w:bookmarkEnd w:id="74"/>
    </w:p>
    <w:p w14:paraId="1ACE7F89" w14:textId="77777777" w:rsidR="00036458" w:rsidRPr="00384A1E" w:rsidRDefault="00036458" w:rsidP="00A824AF">
      <w:pPr>
        <w:pStyle w:val="Style3"/>
        <w:spacing w:after="0"/>
        <w:rPr>
          <w:rFonts w:cs="Arial"/>
          <w:sz w:val="20"/>
          <w:lang w:val="es-ES_tradnl"/>
        </w:rPr>
      </w:pPr>
    </w:p>
    <w:p w14:paraId="7C2178BC" w14:textId="23E1928F" w:rsidR="004B1A57" w:rsidRPr="00384A1E" w:rsidRDefault="00A54152" w:rsidP="00A824AF">
      <w:pPr>
        <w:pStyle w:val="Style3"/>
        <w:spacing w:after="0"/>
        <w:rPr>
          <w:rFonts w:cs="Arial"/>
          <w:sz w:val="20"/>
          <w:lang w:val="es-ES_tradnl"/>
        </w:rPr>
      </w:pPr>
      <w:r w:rsidRPr="00384A1E">
        <w:rPr>
          <w:noProof/>
          <w:lang w:val="es-ES_tradnl"/>
        </w:rPr>
        <w:drawing>
          <wp:inline distT="0" distB="0" distL="0" distR="0" wp14:anchorId="7CB026DA" wp14:editId="7CEC5AD8">
            <wp:extent cx="6137910" cy="1034415"/>
            <wp:effectExtent l="0" t="0" r="0" b="0"/>
            <wp:docPr id="191905298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37910" cy="1034415"/>
                    </a:xfrm>
                    <a:prstGeom prst="rect">
                      <a:avLst/>
                    </a:prstGeom>
                    <a:noFill/>
                    <a:ln>
                      <a:noFill/>
                    </a:ln>
                  </pic:spPr>
                </pic:pic>
              </a:graphicData>
            </a:graphic>
          </wp:inline>
        </w:drawing>
      </w:r>
    </w:p>
    <w:p w14:paraId="48FDB9F0" w14:textId="77777777" w:rsidR="004B1A57" w:rsidRPr="00384A1E" w:rsidRDefault="004B1A57" w:rsidP="00A824AF">
      <w:pPr>
        <w:pStyle w:val="Style3"/>
        <w:spacing w:after="0"/>
        <w:rPr>
          <w:rFonts w:cs="Arial"/>
          <w:sz w:val="20"/>
          <w:lang w:val="es-ES_tradnl"/>
        </w:rPr>
      </w:pPr>
    </w:p>
    <w:p w14:paraId="57EFD7BF" w14:textId="116C2DC5" w:rsidR="004B45AE" w:rsidRPr="00384A1E" w:rsidRDefault="00A824AF" w:rsidP="003478E3">
      <w:pPr>
        <w:pStyle w:val="Style3"/>
        <w:spacing w:after="0"/>
        <w:rPr>
          <w:rFonts w:cs="Arial"/>
          <w:sz w:val="20"/>
          <w:lang w:val="es-ES_tradnl"/>
        </w:rPr>
      </w:pPr>
      <w:bookmarkStart w:id="75" w:name="_1834646984"/>
      <w:bookmarkStart w:id="76" w:name="_1834651614"/>
      <w:bookmarkStart w:id="77" w:name="_1834644837"/>
      <w:bookmarkEnd w:id="75"/>
      <w:bookmarkEnd w:id="76"/>
      <w:bookmarkEnd w:id="77"/>
      <w:r w:rsidRPr="00384A1E">
        <w:rPr>
          <w:sz w:val="20"/>
          <w:lang w:val="es-ES_tradnl"/>
        </w:rPr>
        <w:t>Las contribuciones percibidas por anticipado se registran como pasivo por cobros anticipados y se contabilizan como ingresos en el ejercicio al que corresponden. Los fondos extrapresupuestarios aportados por donantes a fondos fiduciarios que estén sujetos a condiciones que prevean la prestación de servicios por parte de la UPOV a los gobiernos destinatarios u otras partes interesadas se procesan como ingresos diferidos, y únicamente se consignan tales ingresos tras la prestación efectiva de los servicios.</w:t>
      </w:r>
      <w:bookmarkStart w:id="78" w:name="_Toc84329899"/>
    </w:p>
    <w:p w14:paraId="56A13082" w14:textId="77777777" w:rsidR="004B45AE" w:rsidRPr="00384A1E" w:rsidRDefault="004B45AE" w:rsidP="003478E3">
      <w:pPr>
        <w:pStyle w:val="Style3"/>
        <w:spacing w:after="0"/>
        <w:rPr>
          <w:rFonts w:cs="Arial"/>
          <w:sz w:val="20"/>
          <w:lang w:val="es-ES_tradnl"/>
        </w:rPr>
      </w:pPr>
    </w:p>
    <w:p w14:paraId="0C71E9D7" w14:textId="77777777" w:rsidR="003478E3" w:rsidRPr="00384A1E" w:rsidRDefault="003478E3" w:rsidP="005D7523">
      <w:pPr>
        <w:pStyle w:val="Style3"/>
        <w:spacing w:after="0"/>
        <w:rPr>
          <w:sz w:val="20"/>
          <w:lang w:val="es-ES_tradnl"/>
        </w:rPr>
      </w:pPr>
    </w:p>
    <w:p w14:paraId="09249455" w14:textId="5659FFEC" w:rsidR="00A824AF" w:rsidRPr="00384A1E" w:rsidRDefault="004A5EBA" w:rsidP="004A5EBA">
      <w:pPr>
        <w:pStyle w:val="Heading2Notes"/>
        <w:rPr>
          <w:rFonts w:ascii="Arial" w:hAnsi="Arial" w:cs="Arial"/>
          <w:lang w:val="es-ES_tradnl"/>
        </w:rPr>
      </w:pPr>
      <w:bookmarkStart w:id="79" w:name="_Toc236922885"/>
      <w:r w:rsidRPr="00384A1E">
        <w:rPr>
          <w:rFonts w:ascii="Arial" w:hAnsi="Arial"/>
          <w:lang w:val="es-ES_tradnl"/>
        </w:rPr>
        <w:t>Nota 8:</w:t>
      </w:r>
      <w:r w:rsidRPr="00384A1E">
        <w:rPr>
          <w:rFonts w:ascii="Arial" w:hAnsi="Arial"/>
          <w:lang w:val="es-ES_tradnl"/>
        </w:rPr>
        <w:tab/>
        <w:t>Otros pasivos corrientes</w:t>
      </w:r>
      <w:bookmarkEnd w:id="78"/>
      <w:bookmarkEnd w:id="79"/>
    </w:p>
    <w:p w14:paraId="12266187" w14:textId="31313127" w:rsidR="00775C3C" w:rsidRPr="00384A1E" w:rsidRDefault="00A54152" w:rsidP="005D7523">
      <w:pPr>
        <w:pStyle w:val="Caption"/>
        <w:rPr>
          <w:sz w:val="20"/>
          <w:lang w:val="es-ES_tradnl"/>
        </w:rPr>
      </w:pPr>
      <w:r w:rsidRPr="00384A1E">
        <w:rPr>
          <w:noProof/>
          <w:lang w:val="es-ES_tradnl"/>
        </w:rPr>
        <w:drawing>
          <wp:inline distT="0" distB="0" distL="0" distR="0" wp14:anchorId="67816D12" wp14:editId="3822FC2E">
            <wp:extent cx="6129020" cy="902970"/>
            <wp:effectExtent l="0" t="0" r="5080" b="0"/>
            <wp:docPr id="13483008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9020" cy="902970"/>
                    </a:xfrm>
                    <a:prstGeom prst="rect">
                      <a:avLst/>
                    </a:prstGeom>
                    <a:noFill/>
                    <a:ln>
                      <a:noFill/>
                    </a:ln>
                  </pic:spPr>
                </pic:pic>
              </a:graphicData>
            </a:graphic>
          </wp:inline>
        </w:drawing>
      </w:r>
    </w:p>
    <w:p w14:paraId="3D9B0DBC" w14:textId="77777777" w:rsidR="00CE23D2" w:rsidRPr="00384A1E" w:rsidRDefault="00CE23D2" w:rsidP="00A54152">
      <w:pPr>
        <w:spacing w:after="120"/>
        <w:rPr>
          <w:rFonts w:cs="Arial"/>
          <w:lang w:val="es-ES_tradnl"/>
        </w:rPr>
      </w:pPr>
      <w:bookmarkStart w:id="80" w:name="_1834646988"/>
      <w:bookmarkStart w:id="81" w:name="_1834651619"/>
      <w:bookmarkStart w:id="82" w:name="_1834644847"/>
      <w:bookmarkEnd w:id="80"/>
      <w:bookmarkEnd w:id="81"/>
      <w:bookmarkEnd w:id="82"/>
    </w:p>
    <w:p w14:paraId="2954BE85" w14:textId="55BF3C27" w:rsidR="005E3B7B" w:rsidRPr="00384A1E" w:rsidRDefault="00A824AF" w:rsidP="005E3B7B">
      <w:pPr>
        <w:rPr>
          <w:rFonts w:cs="Arial"/>
          <w:lang w:val="es-ES_tradnl"/>
        </w:rPr>
      </w:pPr>
      <w:r w:rsidRPr="00384A1E">
        <w:rPr>
          <w:lang w:val="es-ES_tradnl"/>
        </w:rPr>
        <w:t>Otros pasivos corrientes son los importes pagaderos a la OMPI correspondientes a los servicios prestados en el marco del Acuerdo OMPI</w:t>
      </w:r>
      <w:r w:rsidR="008F6336">
        <w:rPr>
          <w:lang w:val="es-ES_tradnl"/>
        </w:rPr>
        <w:t>/</w:t>
      </w:r>
      <w:r w:rsidRPr="00384A1E">
        <w:rPr>
          <w:lang w:val="es-ES_tradnl"/>
        </w:rPr>
        <w:t>UPOV.</w:t>
      </w:r>
    </w:p>
    <w:p w14:paraId="331DCADC" w14:textId="671F4683" w:rsidR="005E3B7B" w:rsidRPr="00384A1E" w:rsidRDefault="005E3B7B" w:rsidP="005E3B7B">
      <w:pPr>
        <w:rPr>
          <w:rFonts w:cs="Arial"/>
          <w:lang w:val="es-ES_tradnl"/>
        </w:rPr>
      </w:pPr>
    </w:p>
    <w:p w14:paraId="35E10993" w14:textId="36ED517C" w:rsidR="00885DCE" w:rsidRPr="00384A1E" w:rsidRDefault="00885DCE" w:rsidP="005E3B7B">
      <w:pPr>
        <w:rPr>
          <w:rFonts w:cs="Arial"/>
          <w:lang w:val="es-ES_tradnl"/>
        </w:rPr>
      </w:pPr>
    </w:p>
    <w:p w14:paraId="495BC961" w14:textId="249A359C" w:rsidR="00885DCE" w:rsidRPr="00384A1E" w:rsidRDefault="00885DCE" w:rsidP="005D7523">
      <w:pPr>
        <w:pStyle w:val="Heading2Notes"/>
        <w:rPr>
          <w:lang w:val="es-ES_tradnl"/>
        </w:rPr>
      </w:pPr>
      <w:bookmarkStart w:id="83" w:name="_Toc236922886"/>
      <w:r w:rsidRPr="00384A1E">
        <w:rPr>
          <w:lang w:val="es-ES_tradnl"/>
        </w:rPr>
        <w:t>Nota 9:</w:t>
      </w:r>
      <w:r w:rsidRPr="00384A1E">
        <w:rPr>
          <w:lang w:val="es-ES_tradnl"/>
        </w:rPr>
        <w:tab/>
        <w:t>Pasivos contingentes</w:t>
      </w:r>
      <w:bookmarkEnd w:id="83"/>
    </w:p>
    <w:p w14:paraId="2AFE7A13" w14:textId="4B42E7D3" w:rsidR="00885DCE" w:rsidRPr="00384A1E" w:rsidRDefault="00885DCE" w:rsidP="005E3B7B">
      <w:pPr>
        <w:rPr>
          <w:rFonts w:cs="Arial"/>
          <w:lang w:val="es-ES_tradnl"/>
        </w:rPr>
      </w:pPr>
    </w:p>
    <w:p w14:paraId="076BA43B" w14:textId="4B075B24" w:rsidR="005E1412" w:rsidRPr="00384A1E" w:rsidRDefault="00E74A87" w:rsidP="005E3B7B">
      <w:pPr>
        <w:rPr>
          <w:rFonts w:cs="Arial"/>
          <w:lang w:val="es-ES_tradnl"/>
        </w:rPr>
      </w:pPr>
      <w:r w:rsidRPr="00384A1E">
        <w:rPr>
          <w:lang w:val="es-ES_tradnl"/>
        </w:rPr>
        <w:t>La UPOV no tiene pasivos contingentes a 31 de diciembre de 2025.</w:t>
      </w:r>
    </w:p>
    <w:p w14:paraId="69D04CA4" w14:textId="77777777" w:rsidR="005E1412" w:rsidRPr="00384A1E" w:rsidRDefault="005E1412" w:rsidP="005E3B7B">
      <w:pPr>
        <w:rPr>
          <w:rFonts w:cs="Arial"/>
          <w:lang w:val="es-ES_tradnl"/>
        </w:rPr>
      </w:pPr>
    </w:p>
    <w:p w14:paraId="3F8E2EC7" w14:textId="74405A21" w:rsidR="005D0C9E" w:rsidRPr="00384A1E" w:rsidRDefault="005D0C9E">
      <w:pPr>
        <w:jc w:val="left"/>
        <w:rPr>
          <w:rFonts w:cs="Arial"/>
          <w:b/>
          <w:caps/>
          <w:lang w:val="es-ES_tradnl"/>
        </w:rPr>
      </w:pPr>
      <w:bookmarkStart w:id="84" w:name="_Toc84329900"/>
    </w:p>
    <w:p w14:paraId="1D2CBF18" w14:textId="63CE8CF6" w:rsidR="00A824AF" w:rsidRPr="00384A1E" w:rsidRDefault="004A5EBA" w:rsidP="004A5EBA">
      <w:pPr>
        <w:pStyle w:val="Heading2Notes"/>
        <w:rPr>
          <w:rFonts w:ascii="Arial" w:hAnsi="Arial" w:cs="Arial"/>
          <w:lang w:val="es-ES_tradnl"/>
        </w:rPr>
      </w:pPr>
      <w:bookmarkStart w:id="85" w:name="_Toc236922887"/>
      <w:r w:rsidRPr="00384A1E">
        <w:rPr>
          <w:rFonts w:ascii="Arial" w:hAnsi="Arial"/>
          <w:lang w:val="es-ES_tradnl"/>
        </w:rPr>
        <w:lastRenderedPageBreak/>
        <w:t>Nota 10:</w:t>
      </w:r>
      <w:r w:rsidRPr="00384A1E">
        <w:rPr>
          <w:rFonts w:ascii="Arial" w:hAnsi="Arial"/>
          <w:lang w:val="es-ES_tradnl"/>
        </w:rPr>
        <w:tab/>
        <w:t>Operaciones con partes relacionadas</w:t>
      </w:r>
      <w:bookmarkEnd w:id="84"/>
      <w:bookmarkEnd w:id="85"/>
    </w:p>
    <w:p w14:paraId="58ABB975" w14:textId="77777777" w:rsidR="00A824AF" w:rsidRPr="00384A1E" w:rsidRDefault="00A824AF" w:rsidP="004A5EBA">
      <w:pPr>
        <w:rPr>
          <w:rFonts w:cs="Arial"/>
          <w:lang w:val="es-ES_tradnl"/>
        </w:rPr>
      </w:pPr>
    </w:p>
    <w:p w14:paraId="4EF6B11E" w14:textId="1D048FDD" w:rsidR="00A824AF" w:rsidRPr="00384A1E" w:rsidRDefault="00A824AF" w:rsidP="00A824AF">
      <w:pPr>
        <w:pStyle w:val="Style3"/>
        <w:spacing w:after="0"/>
        <w:rPr>
          <w:rFonts w:cs="Arial"/>
          <w:sz w:val="20"/>
          <w:lang w:val="es-ES_tradnl"/>
        </w:rPr>
      </w:pPr>
      <w:r w:rsidRPr="00384A1E">
        <w:rPr>
          <w:sz w:val="20"/>
          <w:lang w:val="es-ES_tradnl"/>
        </w:rPr>
        <w:t xml:space="preserve">El Consejo está compuesto por los representantes de los miembros de la Unión. No reciben remuneración de la UPOV. </w:t>
      </w:r>
    </w:p>
    <w:p w14:paraId="68F5B026" w14:textId="77777777" w:rsidR="00A824AF" w:rsidRPr="00384A1E" w:rsidRDefault="00A824AF" w:rsidP="00A824AF">
      <w:pPr>
        <w:pStyle w:val="Style3"/>
        <w:spacing w:after="0"/>
        <w:rPr>
          <w:rFonts w:cs="Arial"/>
          <w:sz w:val="20"/>
          <w:lang w:val="es-ES_tradnl"/>
        </w:rPr>
      </w:pPr>
    </w:p>
    <w:p w14:paraId="7AAF9B29" w14:textId="1D3E1477" w:rsidR="00386505" w:rsidRPr="00384A1E" w:rsidRDefault="00A824AF" w:rsidP="00386505">
      <w:pPr>
        <w:rPr>
          <w:lang w:val="es-ES_tradnl"/>
        </w:rPr>
      </w:pPr>
      <w:r w:rsidRPr="00384A1E">
        <w:rPr>
          <w:lang w:val="es-ES_tradnl"/>
        </w:rPr>
        <w:t xml:space="preserve">La UPOV no posee ninguna participación en asociaciones o negocios conjuntos ni en ninguna entidad controlada. En 1982, se firmó un acuerdo de cooperación entre la UPOV y la OMPI. En virtud de este Acuerdo, el Consejo de la UPOV </w:t>
      </w:r>
      <w:proofErr w:type="gramStart"/>
      <w:r w:rsidRPr="00384A1E">
        <w:rPr>
          <w:lang w:val="es-ES_tradnl"/>
        </w:rPr>
        <w:t>nombra como</w:t>
      </w:r>
      <w:proofErr w:type="gramEnd"/>
      <w:r w:rsidRPr="00384A1E">
        <w:rPr>
          <w:lang w:val="es-ES_tradnl"/>
        </w:rPr>
        <w:t xml:space="preserve"> </w:t>
      </w:r>
      <w:r w:rsidR="00423F20">
        <w:rPr>
          <w:lang w:val="es-ES_tradnl"/>
        </w:rPr>
        <w:t>Secretario General</w:t>
      </w:r>
      <w:r w:rsidRPr="00384A1E">
        <w:rPr>
          <w:lang w:val="es-ES_tradnl"/>
        </w:rPr>
        <w:t xml:space="preserve"> de la UPOV al director general de la OMPI. De conformidad con dicho Acuerdo, la OMPI satisface las necesidades de la UPOV en materia de espacio de oficina, administración de personal, administración financiera, servicios de adquisiciones y otro tipo de apoyo administrativo. La UPOV indemniza a la OMPI por el costo de esos servicios de conformidad con las cláusulas del citado Acuerdo. En 2025, la UPOV pagó 618 000 francos suizos a la OMPI para sufragar esos servicios, que la UPOV contabilizó en los gastos de explotación del ejercicio. Además, la UPOV reembolsó a la OMPI los fondos desembolsados en su nombre. A tenor del Acuerdo, la Oficina de la Unión ejerce sus funciones en completa independencia de la OMPI. La OMPI y la UPOV participan en un plan </w:t>
      </w:r>
      <w:proofErr w:type="spellStart"/>
      <w:r w:rsidRPr="00384A1E">
        <w:rPr>
          <w:lang w:val="es-ES_tradnl"/>
        </w:rPr>
        <w:t>multiempleador</w:t>
      </w:r>
      <w:proofErr w:type="spellEnd"/>
      <w:r w:rsidRPr="00384A1E">
        <w:rPr>
          <w:lang w:val="es-ES_tradnl"/>
        </w:rPr>
        <w:t xml:space="preserve"> de prestaciones pagaderas a los empleados: el plan de seguro médico para antiguos empleados de la OMPI/UPOV, creado para gestionar los fondos destinados a financiar dicho seguro. El Comité Asesor del plan tiene por finalidad asesorar al </w:t>
      </w:r>
      <w:r w:rsidR="00225027" w:rsidRPr="00384A1E">
        <w:rPr>
          <w:lang w:val="es-ES_tradnl"/>
        </w:rPr>
        <w:t xml:space="preserve">Director General </w:t>
      </w:r>
      <w:r w:rsidRPr="00384A1E">
        <w:rPr>
          <w:lang w:val="es-ES_tradnl"/>
        </w:rPr>
        <w:t>de la OMPI y a</w:t>
      </w:r>
      <w:r w:rsidR="00225027">
        <w:rPr>
          <w:lang w:val="es-ES_tradnl"/>
        </w:rPr>
        <w:t xml:space="preserve"> </w:t>
      </w:r>
      <w:r w:rsidRPr="00384A1E">
        <w:rPr>
          <w:lang w:val="es-ES_tradnl"/>
        </w:rPr>
        <w:t>l</w:t>
      </w:r>
      <w:r w:rsidR="00225027">
        <w:rPr>
          <w:lang w:val="es-ES_tradnl"/>
        </w:rPr>
        <w:t>a</w:t>
      </w:r>
      <w:r w:rsidRPr="00384A1E">
        <w:rPr>
          <w:lang w:val="es-ES_tradnl"/>
        </w:rPr>
        <w:t xml:space="preserve"> </w:t>
      </w:r>
      <w:r w:rsidR="00225027" w:rsidRPr="00384A1E">
        <w:rPr>
          <w:lang w:val="es-ES_tradnl"/>
        </w:rPr>
        <w:t>Secretari</w:t>
      </w:r>
      <w:r w:rsidR="00225027">
        <w:rPr>
          <w:lang w:val="es-ES_tradnl"/>
        </w:rPr>
        <w:t>a</w:t>
      </w:r>
      <w:r w:rsidR="00225027" w:rsidRPr="00384A1E">
        <w:rPr>
          <w:lang w:val="es-ES_tradnl"/>
        </w:rPr>
        <w:t xml:space="preserve"> General Adjunt</w:t>
      </w:r>
      <w:r w:rsidR="00225027">
        <w:rPr>
          <w:lang w:val="es-ES_tradnl"/>
        </w:rPr>
        <w:t>a</w:t>
      </w:r>
      <w:r w:rsidR="00225027" w:rsidRPr="00384A1E">
        <w:rPr>
          <w:lang w:val="es-ES_tradnl"/>
        </w:rPr>
        <w:t xml:space="preserve"> </w:t>
      </w:r>
      <w:r w:rsidRPr="00384A1E">
        <w:rPr>
          <w:lang w:val="es-ES_tradnl"/>
        </w:rPr>
        <w:t xml:space="preserve">de la UPOV sobre la gestión y el funcionamiento </w:t>
      </w:r>
      <w:proofErr w:type="gramStart"/>
      <w:r w:rsidRPr="00384A1E">
        <w:rPr>
          <w:lang w:val="es-ES_tradnl"/>
        </w:rPr>
        <w:t>del mismo</w:t>
      </w:r>
      <w:proofErr w:type="gramEnd"/>
      <w:r w:rsidRPr="00384A1E">
        <w:rPr>
          <w:lang w:val="es-ES_tradnl"/>
        </w:rPr>
        <w:t xml:space="preserve">. Dicho comité está compuesto por dos miembros del Comité del Programa y Presupuesto de la OMPI, tres funcionarios de la OMPI y/o de la UPOV, un antiguo funcionario de la OMPI o de la UPOV, el </w:t>
      </w:r>
      <w:r w:rsidR="00225027" w:rsidRPr="00384A1E">
        <w:rPr>
          <w:lang w:val="es-ES_tradnl"/>
        </w:rPr>
        <w:t xml:space="preserve">Subdirector General </w:t>
      </w:r>
      <w:r w:rsidRPr="00384A1E">
        <w:rPr>
          <w:lang w:val="es-ES_tradnl"/>
        </w:rPr>
        <w:t xml:space="preserve">de la OMPI encargado del Sector de Administración, Finanzas y Gestión, y el </w:t>
      </w:r>
      <w:r w:rsidR="00225027" w:rsidRPr="00384A1E">
        <w:rPr>
          <w:lang w:val="es-ES_tradnl"/>
        </w:rPr>
        <w:t xml:space="preserve">Contralor </w:t>
      </w:r>
      <w:r w:rsidRPr="00384A1E">
        <w:rPr>
          <w:lang w:val="es-ES_tradnl"/>
        </w:rPr>
        <w:t>de la OMPI.</w:t>
      </w:r>
    </w:p>
    <w:p w14:paraId="7D834878" w14:textId="155CCBB4" w:rsidR="00BB3602" w:rsidRPr="00384A1E" w:rsidRDefault="00BB3602" w:rsidP="00386505">
      <w:pPr>
        <w:pStyle w:val="Style3"/>
        <w:rPr>
          <w:rFonts w:cs="Arial"/>
          <w:sz w:val="20"/>
          <w:lang w:val="es-ES_tradnl"/>
        </w:rPr>
      </w:pPr>
    </w:p>
    <w:p w14:paraId="0DABAC7B" w14:textId="64540546" w:rsidR="00A824AF" w:rsidRPr="00384A1E" w:rsidRDefault="00A824AF" w:rsidP="00A824AF">
      <w:pPr>
        <w:pStyle w:val="Style3"/>
        <w:spacing w:after="0"/>
        <w:rPr>
          <w:rFonts w:cs="Arial"/>
          <w:sz w:val="20"/>
          <w:lang w:val="es-ES_tradnl"/>
        </w:rPr>
      </w:pPr>
      <w:r w:rsidRPr="00384A1E">
        <w:rPr>
          <w:sz w:val="20"/>
          <w:lang w:val="es-ES_tradnl"/>
        </w:rPr>
        <w:t xml:space="preserve">El personal directivo clave lo constituyen el </w:t>
      </w:r>
      <w:r w:rsidR="00225027" w:rsidRPr="00384A1E">
        <w:rPr>
          <w:sz w:val="20"/>
          <w:lang w:val="es-ES_tradnl"/>
        </w:rPr>
        <w:t>Secretario General</w:t>
      </w:r>
      <w:r w:rsidRPr="00384A1E">
        <w:rPr>
          <w:sz w:val="20"/>
          <w:lang w:val="es-ES_tradnl"/>
        </w:rPr>
        <w:t xml:space="preserve">, la </w:t>
      </w:r>
      <w:r w:rsidR="00225027" w:rsidRPr="00384A1E">
        <w:rPr>
          <w:sz w:val="20"/>
          <w:lang w:val="es-ES_tradnl"/>
        </w:rPr>
        <w:t xml:space="preserve">Secretaria General Adjunta </w:t>
      </w:r>
      <w:r w:rsidRPr="00384A1E">
        <w:rPr>
          <w:sz w:val="20"/>
          <w:lang w:val="es-ES_tradnl"/>
        </w:rPr>
        <w:t xml:space="preserve">y los funcionarios con puesto fijo. El actual </w:t>
      </w:r>
      <w:r w:rsidR="00225027" w:rsidRPr="00384A1E">
        <w:rPr>
          <w:sz w:val="20"/>
          <w:lang w:val="es-ES_tradnl"/>
        </w:rPr>
        <w:t xml:space="preserve">Director General </w:t>
      </w:r>
      <w:r w:rsidRPr="00384A1E">
        <w:rPr>
          <w:sz w:val="20"/>
          <w:lang w:val="es-ES_tradnl"/>
        </w:rPr>
        <w:t xml:space="preserve">de la OMPI ha declinado recibir sueldo o asignación alguna como </w:t>
      </w:r>
      <w:r w:rsidR="00225027" w:rsidRPr="00384A1E">
        <w:rPr>
          <w:sz w:val="20"/>
          <w:lang w:val="es-ES_tradnl"/>
        </w:rPr>
        <w:t xml:space="preserve">Secretario General </w:t>
      </w:r>
      <w:r w:rsidRPr="00384A1E">
        <w:rPr>
          <w:sz w:val="20"/>
          <w:lang w:val="es-ES_tradnl"/>
        </w:rPr>
        <w:t xml:space="preserve">de la UPOV. Los demás miembros del personal directivo clave son remunerados por la UPOV. La remuneración total que perciben incluye salarios, subsidios, viajes reglamentarios y otras prestaciones pagadas de conformidad con el Estatuto y el Reglamento del Personal. Los miembros del personal directivo clave están afiliados a la Caja Común de Pensiones del Personal de las Naciones Unidas, a la cual contribuyen el personal y la UPOV, y también tienen derecho a participar en el plan colectivo de seguro médico. </w:t>
      </w:r>
    </w:p>
    <w:p w14:paraId="0E04994B" w14:textId="77777777" w:rsidR="00A824AF" w:rsidRPr="00384A1E" w:rsidRDefault="00A824AF" w:rsidP="00A824AF">
      <w:pPr>
        <w:pStyle w:val="Style3"/>
        <w:spacing w:after="0"/>
        <w:rPr>
          <w:rFonts w:cs="Arial"/>
          <w:sz w:val="20"/>
          <w:lang w:val="es-ES_tradnl"/>
        </w:rPr>
      </w:pPr>
    </w:p>
    <w:p w14:paraId="617984F9" w14:textId="34D9E2F4" w:rsidR="00A824AF" w:rsidRPr="00384A1E" w:rsidRDefault="00A824AF" w:rsidP="009A7611">
      <w:pPr>
        <w:jc w:val="left"/>
        <w:rPr>
          <w:rFonts w:cs="Arial"/>
          <w:lang w:val="es-ES_tradnl"/>
        </w:rPr>
      </w:pPr>
      <w:r w:rsidRPr="00384A1E">
        <w:rPr>
          <w:lang w:val="es-ES_tradnl"/>
        </w:rPr>
        <w:t xml:space="preserve">A continuación se indica la remuneración total del personal directivo clave (cabe señalar que no se incluye en el cuadro la remuneración del </w:t>
      </w:r>
      <w:r w:rsidR="00423F20">
        <w:rPr>
          <w:lang w:val="es-ES_tradnl"/>
        </w:rPr>
        <w:t>Secretario General</w:t>
      </w:r>
      <w:r w:rsidRPr="00384A1E">
        <w:rPr>
          <w:lang w:val="es-ES_tradnl"/>
        </w:rPr>
        <w:t>, dado que no recibe remuneración de la UPOV):</w:t>
      </w:r>
    </w:p>
    <w:p w14:paraId="02D725AC" w14:textId="77777777" w:rsidR="00775C3C" w:rsidRPr="00384A1E" w:rsidRDefault="00775C3C" w:rsidP="00036458">
      <w:pPr>
        <w:pStyle w:val="Style3"/>
        <w:spacing w:after="0"/>
        <w:rPr>
          <w:rFonts w:cs="Arial"/>
          <w:sz w:val="20"/>
          <w:lang w:val="es-ES_tradnl"/>
        </w:rPr>
      </w:pPr>
    </w:p>
    <w:p w14:paraId="6863520A" w14:textId="7D2D4E0E" w:rsidR="00DB5252" w:rsidRPr="00384A1E" w:rsidRDefault="00D80EA6" w:rsidP="00D80EA6">
      <w:pPr>
        <w:rPr>
          <w:rFonts w:cs="Arial"/>
          <w:lang w:val="es-ES_tradnl"/>
        </w:rPr>
      </w:pPr>
      <w:r w:rsidRPr="00384A1E">
        <w:rPr>
          <w:noProof/>
          <w:lang w:val="es-ES_tradnl"/>
        </w:rPr>
        <w:drawing>
          <wp:inline distT="0" distB="0" distL="0" distR="0" wp14:anchorId="4DADFDDB" wp14:editId="726EC542">
            <wp:extent cx="6137910" cy="1253490"/>
            <wp:effectExtent l="0" t="0" r="0" b="0"/>
            <wp:docPr id="183769693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37910" cy="1253490"/>
                    </a:xfrm>
                    <a:prstGeom prst="rect">
                      <a:avLst/>
                    </a:prstGeom>
                    <a:noFill/>
                    <a:ln>
                      <a:noFill/>
                    </a:ln>
                  </pic:spPr>
                </pic:pic>
              </a:graphicData>
            </a:graphic>
          </wp:inline>
        </w:drawing>
      </w:r>
    </w:p>
    <w:p w14:paraId="06942ED6" w14:textId="77777777" w:rsidR="00D80EA6" w:rsidRPr="00384A1E" w:rsidRDefault="00D80EA6" w:rsidP="00D80EA6">
      <w:pPr>
        <w:rPr>
          <w:rFonts w:cs="Arial"/>
          <w:lang w:val="es-ES_tradnl"/>
        </w:rPr>
      </w:pPr>
    </w:p>
    <w:p w14:paraId="131F9180" w14:textId="7A6723C7" w:rsidR="00BC6E60" w:rsidRPr="00384A1E" w:rsidRDefault="00A824AF" w:rsidP="00C21351">
      <w:pPr>
        <w:rPr>
          <w:rFonts w:cs="Arial"/>
          <w:lang w:val="es-ES_tradnl"/>
        </w:rPr>
      </w:pPr>
      <w:bookmarkStart w:id="86" w:name="_1834646993"/>
      <w:bookmarkStart w:id="87" w:name="_1834651624"/>
      <w:bookmarkStart w:id="88" w:name="_1834644854"/>
      <w:bookmarkStart w:id="89" w:name="_Toc84329901"/>
      <w:bookmarkEnd w:id="86"/>
      <w:bookmarkEnd w:id="87"/>
      <w:bookmarkEnd w:id="88"/>
      <w:r w:rsidRPr="00384A1E">
        <w:rPr>
          <w:lang w:val="es-ES_tradnl"/>
        </w:rPr>
        <w:t>No se ha concedido ninguna otra remuneración o compensación al personal directivo clave ni a sus familiares cercanos.</w:t>
      </w:r>
    </w:p>
    <w:p w14:paraId="698A0706" w14:textId="77777777" w:rsidR="00B026C1" w:rsidRPr="00384A1E" w:rsidRDefault="00B026C1" w:rsidP="00C21351">
      <w:pPr>
        <w:rPr>
          <w:rFonts w:cs="Arial"/>
          <w:lang w:val="es-ES_tradnl"/>
        </w:rPr>
      </w:pPr>
    </w:p>
    <w:p w14:paraId="20B61712" w14:textId="6D54B1E9" w:rsidR="00FC6B69" w:rsidRPr="00384A1E" w:rsidRDefault="00FC6B69">
      <w:pPr>
        <w:jc w:val="left"/>
        <w:rPr>
          <w:rFonts w:cs="Arial"/>
          <w:b/>
          <w:caps/>
          <w:lang w:val="es-ES_tradnl"/>
        </w:rPr>
      </w:pPr>
    </w:p>
    <w:p w14:paraId="5DB4246D" w14:textId="77777777" w:rsidR="00775C3C" w:rsidRPr="00384A1E" w:rsidRDefault="004A5EBA" w:rsidP="004A5EBA">
      <w:pPr>
        <w:pStyle w:val="Heading2Notes"/>
        <w:rPr>
          <w:rFonts w:ascii="Arial" w:hAnsi="Arial" w:cs="Arial"/>
          <w:lang w:val="es-ES_tradnl"/>
        </w:rPr>
      </w:pPr>
      <w:bookmarkStart w:id="90" w:name="_Toc236922888"/>
      <w:r w:rsidRPr="00384A1E">
        <w:rPr>
          <w:rFonts w:ascii="Arial" w:hAnsi="Arial"/>
          <w:lang w:val="es-ES_tradnl"/>
        </w:rPr>
        <w:lastRenderedPageBreak/>
        <w:t>Nota 11:</w:t>
      </w:r>
      <w:r w:rsidRPr="00384A1E">
        <w:rPr>
          <w:rFonts w:ascii="Arial" w:hAnsi="Arial"/>
          <w:lang w:val="es-ES_tradnl"/>
        </w:rPr>
        <w:tab/>
        <w:t>Activo neto</w:t>
      </w:r>
      <w:bookmarkEnd w:id="89"/>
      <w:bookmarkEnd w:id="90"/>
    </w:p>
    <w:p w14:paraId="2A062994" w14:textId="638418B1" w:rsidR="00584923" w:rsidRPr="00384A1E" w:rsidRDefault="00584923" w:rsidP="00881196">
      <w:pPr>
        <w:keepNext/>
        <w:rPr>
          <w:rFonts w:cs="Arial"/>
          <w:lang w:val="es-ES_tradnl"/>
        </w:rPr>
      </w:pPr>
    </w:p>
    <w:p w14:paraId="232C573C" w14:textId="7414A5B0" w:rsidR="00D80EA6" w:rsidRPr="00384A1E" w:rsidRDefault="005F528D" w:rsidP="00CF1845">
      <w:pPr>
        <w:rPr>
          <w:rFonts w:cs="Arial"/>
          <w:lang w:val="es-ES_tradnl"/>
        </w:rPr>
      </w:pPr>
      <w:r w:rsidRPr="00384A1E">
        <w:rPr>
          <w:noProof/>
          <w:lang w:val="es-ES_tradnl"/>
        </w:rPr>
        <w:drawing>
          <wp:inline distT="0" distB="0" distL="0" distR="0" wp14:anchorId="164D7C11" wp14:editId="68EBF378">
            <wp:extent cx="6137910" cy="3478192"/>
            <wp:effectExtent l="0" t="0" r="0" b="0"/>
            <wp:docPr id="206338882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58370" cy="3489786"/>
                    </a:xfrm>
                    <a:prstGeom prst="rect">
                      <a:avLst/>
                    </a:prstGeom>
                    <a:noFill/>
                    <a:ln>
                      <a:noFill/>
                    </a:ln>
                  </pic:spPr>
                </pic:pic>
              </a:graphicData>
            </a:graphic>
          </wp:inline>
        </w:drawing>
      </w:r>
    </w:p>
    <w:p w14:paraId="7B0020A8" w14:textId="77777777" w:rsidR="000F5F05" w:rsidRPr="00384A1E" w:rsidRDefault="000F5F05" w:rsidP="00A824AF">
      <w:pPr>
        <w:rPr>
          <w:rFonts w:cs="Arial"/>
          <w:lang w:val="es-ES_tradnl"/>
        </w:rPr>
      </w:pPr>
      <w:bookmarkStart w:id="91" w:name="_1834646998"/>
      <w:bookmarkStart w:id="92" w:name="_1834651629"/>
      <w:bookmarkEnd w:id="91"/>
      <w:bookmarkEnd w:id="92"/>
    </w:p>
    <w:p w14:paraId="4E48133C" w14:textId="77777777" w:rsidR="00881196" w:rsidRDefault="00881196" w:rsidP="00A824AF">
      <w:pPr>
        <w:rPr>
          <w:lang w:val="es-ES_tradnl"/>
        </w:rPr>
      </w:pPr>
    </w:p>
    <w:p w14:paraId="535650CE" w14:textId="54D6C4C8" w:rsidR="00BC2FA1" w:rsidRPr="00384A1E" w:rsidRDefault="00A824AF" w:rsidP="00A824AF">
      <w:pPr>
        <w:rPr>
          <w:rFonts w:cs="Arial"/>
          <w:lang w:val="es-ES_tradnl"/>
        </w:rPr>
      </w:pPr>
      <w:r w:rsidRPr="00384A1E">
        <w:rPr>
          <w:lang w:val="es-ES_tradnl"/>
        </w:rPr>
        <w:t>De conformidad con el artículo 4.2 del Reglamento Financiero y la Reglamentación Financiera de la UPOV, la UPOV tiene un fondo de operaciones. A 31 de diciembre de 2025, el fondo de operaciones asciende a 580 012 francos suizos. Según el artículo 4.2, el fondo de operaciones se destina a los siguientes fines:</w:t>
      </w:r>
    </w:p>
    <w:p w14:paraId="370F88A7" w14:textId="77777777" w:rsidR="00A824AF" w:rsidRPr="00384A1E" w:rsidRDefault="00A824AF" w:rsidP="00A824AF">
      <w:pPr>
        <w:rPr>
          <w:rFonts w:cs="Arial"/>
          <w:lang w:val="es-ES_tradnl"/>
        </w:rPr>
      </w:pPr>
    </w:p>
    <w:p w14:paraId="69FA2F7B" w14:textId="77777777" w:rsidR="00A824AF" w:rsidRPr="00384A1E" w:rsidRDefault="00A824AF" w:rsidP="006C4810">
      <w:pPr>
        <w:numPr>
          <w:ilvl w:val="0"/>
          <w:numId w:val="74"/>
        </w:numPr>
        <w:tabs>
          <w:tab w:val="clear" w:pos="418"/>
          <w:tab w:val="num" w:pos="1134"/>
        </w:tabs>
        <w:ind w:left="1134" w:hanging="567"/>
        <w:jc w:val="left"/>
        <w:rPr>
          <w:rFonts w:cs="Arial"/>
          <w:lang w:val="es-ES_tradnl"/>
        </w:rPr>
      </w:pPr>
      <w:r w:rsidRPr="00384A1E">
        <w:rPr>
          <w:lang w:val="es-ES_tradnl"/>
        </w:rPr>
        <w:t>atender los gastos presupuestados hasta que se reciban las contribuciones de los miembros de la UPOV;</w:t>
      </w:r>
    </w:p>
    <w:p w14:paraId="3DFC6018" w14:textId="77777777" w:rsidR="00A824AF" w:rsidRPr="006C4810" w:rsidRDefault="00A824AF" w:rsidP="006C4810">
      <w:pPr>
        <w:numPr>
          <w:ilvl w:val="0"/>
          <w:numId w:val="74"/>
        </w:numPr>
        <w:tabs>
          <w:tab w:val="clear" w:pos="418"/>
          <w:tab w:val="num" w:pos="1134"/>
        </w:tabs>
        <w:ind w:left="1134" w:hanging="567"/>
        <w:jc w:val="left"/>
        <w:rPr>
          <w:lang w:val="es-ES_tradnl"/>
        </w:rPr>
      </w:pPr>
      <w:r w:rsidRPr="00384A1E">
        <w:rPr>
          <w:lang w:val="es-ES_tradnl"/>
        </w:rPr>
        <w:t>atender los gastos imprevistos inevitables que resulten de la ejecución del programa aprobado;</w:t>
      </w:r>
    </w:p>
    <w:p w14:paraId="15FF4D77" w14:textId="77777777" w:rsidR="00A824AF" w:rsidRPr="00384A1E" w:rsidRDefault="00A824AF" w:rsidP="006C4810">
      <w:pPr>
        <w:numPr>
          <w:ilvl w:val="0"/>
          <w:numId w:val="74"/>
        </w:numPr>
        <w:tabs>
          <w:tab w:val="clear" w:pos="418"/>
          <w:tab w:val="num" w:pos="1134"/>
        </w:tabs>
        <w:ind w:left="1134" w:hanging="567"/>
        <w:jc w:val="left"/>
        <w:rPr>
          <w:rFonts w:cs="Arial"/>
          <w:lang w:val="es-ES_tradnl"/>
        </w:rPr>
      </w:pPr>
      <w:r w:rsidRPr="00384A1E">
        <w:rPr>
          <w:lang w:val="es-ES_tradnl"/>
        </w:rPr>
        <w:t>atender los demás gastos que determine el Consejo.</w:t>
      </w:r>
    </w:p>
    <w:p w14:paraId="7E4B9269" w14:textId="77777777" w:rsidR="00A824AF" w:rsidRPr="00384A1E" w:rsidRDefault="00A824AF" w:rsidP="00A824AF">
      <w:pPr>
        <w:rPr>
          <w:rFonts w:cs="Arial"/>
          <w:lang w:val="es-ES_tradnl"/>
        </w:rPr>
      </w:pPr>
    </w:p>
    <w:p w14:paraId="343CD196" w14:textId="77777777" w:rsidR="00A824AF" w:rsidRPr="00384A1E" w:rsidRDefault="00A824AF" w:rsidP="00A824AF">
      <w:pPr>
        <w:rPr>
          <w:rFonts w:cs="Arial"/>
          <w:lang w:val="es-ES_tradnl"/>
        </w:rPr>
      </w:pPr>
      <w:r w:rsidRPr="00384A1E">
        <w:rPr>
          <w:lang w:val="es-ES_tradnl"/>
        </w:rPr>
        <w:t>Los anticipos que se hagan con cargo al fondo de operaciones para atender las necesidades de gasto antedichas deben reembolsarse con arreglo al artículo 4.2.</w:t>
      </w:r>
    </w:p>
    <w:p w14:paraId="1C4142AF" w14:textId="77777777" w:rsidR="00A824AF" w:rsidRPr="00384A1E" w:rsidRDefault="00A824AF" w:rsidP="00A824AF">
      <w:pPr>
        <w:rPr>
          <w:rFonts w:cs="Arial"/>
          <w:lang w:val="es-ES_tradnl"/>
        </w:rPr>
      </w:pPr>
    </w:p>
    <w:p w14:paraId="0EA7E93A" w14:textId="3B04B5FF" w:rsidR="0051183F" w:rsidRPr="00384A1E" w:rsidRDefault="00A824AF" w:rsidP="00A824AF">
      <w:pPr>
        <w:rPr>
          <w:rFonts w:cs="Arial"/>
          <w:lang w:val="es-ES_tradnl"/>
        </w:rPr>
      </w:pPr>
      <w:r w:rsidRPr="00384A1E">
        <w:rPr>
          <w:lang w:val="es-ES_tradnl"/>
        </w:rPr>
        <w:t>El fondo de reserva representa el superávit y el déficit acumulados de la UPOV. De acuerdo con el artículo</w:t>
      </w:r>
      <w:r w:rsidR="005F528D" w:rsidRPr="00384A1E">
        <w:rPr>
          <w:lang w:val="es-ES_tradnl"/>
        </w:rPr>
        <w:t> </w:t>
      </w:r>
      <w:r w:rsidRPr="00384A1E">
        <w:rPr>
          <w:lang w:val="es-ES_tradnl"/>
        </w:rPr>
        <w:t>4.6 del Reglamento Financiero y la Reglamentación Financiera de la UPOV, revisado por el Consejo en octubre de</w:t>
      </w:r>
      <w:r w:rsidR="005F528D" w:rsidRPr="00384A1E">
        <w:rPr>
          <w:lang w:val="es-ES_tradnl"/>
        </w:rPr>
        <w:t> </w:t>
      </w:r>
      <w:r w:rsidRPr="00384A1E">
        <w:rPr>
          <w:lang w:val="es-ES_tradnl"/>
        </w:rPr>
        <w:t>2020, el uso del fondo de reserva, salvo para cubrir posibles déficits, es una cuestión que debe decidir el Consejo. Si, tras el cierre del ejercicio financiero, el importe del fondo de reserva supera el 15 % de los ingresos totales del ejercicio financiero, el Consejo decidirá sobre la utilización de los ingresos que excedan de los gastos del ejercicio financiero.</w:t>
      </w:r>
    </w:p>
    <w:p w14:paraId="5AAB0BA5" w14:textId="77777777" w:rsidR="00A824AF" w:rsidRPr="00384A1E" w:rsidRDefault="00A824AF" w:rsidP="00A824AF">
      <w:pPr>
        <w:rPr>
          <w:rFonts w:cs="Arial"/>
          <w:lang w:val="es-ES_tradnl"/>
        </w:rPr>
      </w:pPr>
    </w:p>
    <w:p w14:paraId="6EEA8DE8" w14:textId="328EE7FE" w:rsidR="00174C1A" w:rsidRPr="00384A1E" w:rsidRDefault="00174C1A" w:rsidP="00A824AF">
      <w:pPr>
        <w:rPr>
          <w:rFonts w:cs="Arial"/>
          <w:lang w:val="es-ES_tradnl"/>
        </w:rPr>
      </w:pPr>
      <w:r w:rsidRPr="00384A1E">
        <w:rPr>
          <w:lang w:val="es-ES_tradnl"/>
        </w:rPr>
        <w:t xml:space="preserve">Tras la aplicación de la IPSAS 39 en 2017, las pérdidas y ganancias actuariales correspondientes al seguro médico de los antiguos empleados deben consignarse directamente en el activo neto. El importe de las pérdidas actuariales en los activos netos a 31 de diciembre de 2025 es de 2 155 860 francos suizos debido a las ganancias actuariales de 709 212 francos suizos registradas en 2025. </w:t>
      </w:r>
    </w:p>
    <w:p w14:paraId="3752FCBC" w14:textId="77777777" w:rsidR="00A824AF" w:rsidRPr="00384A1E" w:rsidRDefault="00A824AF" w:rsidP="00A824AF">
      <w:pPr>
        <w:rPr>
          <w:rFonts w:cs="Arial"/>
          <w:lang w:val="es-ES_tradnl"/>
        </w:rPr>
      </w:pPr>
    </w:p>
    <w:p w14:paraId="2AEC6A21" w14:textId="2F66C5AE" w:rsidR="009039A5" w:rsidRPr="00384A1E" w:rsidRDefault="009039A5">
      <w:pPr>
        <w:jc w:val="left"/>
        <w:rPr>
          <w:rFonts w:cs="Arial"/>
          <w:b/>
          <w:caps/>
          <w:lang w:val="es-ES_tradnl"/>
        </w:rPr>
      </w:pPr>
      <w:bookmarkStart w:id="93" w:name="_Toc84329902"/>
    </w:p>
    <w:p w14:paraId="47E8DC32" w14:textId="16C8352A" w:rsidR="00A824AF" w:rsidRPr="00384A1E" w:rsidRDefault="004A5EBA" w:rsidP="00E52C13">
      <w:pPr>
        <w:pStyle w:val="Heading2Notes"/>
        <w:rPr>
          <w:rFonts w:ascii="Arial" w:hAnsi="Arial" w:cs="Arial"/>
          <w:lang w:val="es-ES_tradnl"/>
        </w:rPr>
      </w:pPr>
      <w:bookmarkStart w:id="94" w:name="_Toc236922889"/>
      <w:r w:rsidRPr="00384A1E">
        <w:rPr>
          <w:rFonts w:ascii="Arial" w:hAnsi="Arial"/>
          <w:lang w:val="es-ES_tradnl"/>
        </w:rPr>
        <w:t>Nota 12:</w:t>
      </w:r>
      <w:r w:rsidRPr="00384A1E">
        <w:rPr>
          <w:rFonts w:ascii="Arial" w:hAnsi="Arial"/>
          <w:lang w:val="es-ES_tradnl"/>
        </w:rPr>
        <w:tab/>
        <w:t>Conciliación del estado comparativo de importes presupuestados y reales (estado financiero V) y del estado del rendimiento financiero (estado</w:t>
      </w:r>
      <w:r w:rsidR="00B00761">
        <w:rPr>
          <w:rFonts w:ascii="Arial" w:hAnsi="Arial"/>
          <w:lang w:val="es-ES_tradnl"/>
        </w:rPr>
        <w:t> </w:t>
      </w:r>
      <w:r w:rsidRPr="00384A1E">
        <w:rPr>
          <w:rFonts w:ascii="Arial" w:hAnsi="Arial"/>
          <w:lang w:val="es-ES_tradnl"/>
        </w:rPr>
        <w:t>financiero II)</w:t>
      </w:r>
      <w:bookmarkEnd w:id="93"/>
      <w:bookmarkEnd w:id="94"/>
    </w:p>
    <w:p w14:paraId="4B5456E2" w14:textId="77777777" w:rsidR="00A824AF" w:rsidRPr="00384A1E" w:rsidRDefault="00A824AF" w:rsidP="004A5EBA">
      <w:pPr>
        <w:rPr>
          <w:rFonts w:cs="Arial"/>
          <w:lang w:val="es-ES_tradnl"/>
        </w:rPr>
      </w:pPr>
    </w:p>
    <w:p w14:paraId="7D960B71" w14:textId="3A8A8658" w:rsidR="00A824AF" w:rsidRPr="00384A1E" w:rsidRDefault="00A824AF" w:rsidP="00A824AF">
      <w:pPr>
        <w:rPr>
          <w:rFonts w:cs="Arial"/>
          <w:lang w:val="es-ES_tradnl"/>
        </w:rPr>
      </w:pPr>
      <w:r w:rsidRPr="00384A1E">
        <w:rPr>
          <w:lang w:val="es-ES_tradnl"/>
        </w:rPr>
        <w:t>El Programa y Presupuesto de la UPOV se establece sobre la base contable de acumulación (o devengo) modificada de conformidad con el Reglamento Financiero y la Reglamentación Financiera de la UPOV, y es aprobado por el Consejo. El Programa y Presupuesto ordinario para el bienio 2024-2025 establece una estimación presupuestaria de ingresos y gastos para el bienio de 7 901 307 francos suizos.</w:t>
      </w:r>
    </w:p>
    <w:p w14:paraId="5E2EA766" w14:textId="77777777" w:rsidR="00B326CD" w:rsidRPr="00384A1E" w:rsidRDefault="00B326CD" w:rsidP="00A824AF">
      <w:pPr>
        <w:rPr>
          <w:rFonts w:cs="Arial"/>
          <w:lang w:val="es-ES_tradnl"/>
        </w:rPr>
      </w:pPr>
    </w:p>
    <w:p w14:paraId="28EDFAA2" w14:textId="02ED2041" w:rsidR="00A824AF" w:rsidRPr="00384A1E" w:rsidRDefault="00A824AF" w:rsidP="00CF1845">
      <w:pPr>
        <w:rPr>
          <w:lang w:val="es-ES_tradnl"/>
        </w:rPr>
      </w:pPr>
      <w:r w:rsidRPr="00384A1E">
        <w:rPr>
          <w:lang w:val="es-ES_tradnl"/>
        </w:rPr>
        <w:lastRenderedPageBreak/>
        <w:t>El presupuesto de la UPOV y las cuentas financieras se preparan utilizando dos bases contables distintas. El</w:t>
      </w:r>
      <w:r w:rsidR="00B00761">
        <w:rPr>
          <w:lang w:val="es-ES_tradnl"/>
        </w:rPr>
        <w:t> </w:t>
      </w:r>
      <w:r w:rsidRPr="00384A1E">
        <w:rPr>
          <w:lang w:val="es-ES_tradnl"/>
        </w:rPr>
        <w:t xml:space="preserve">estado de la situación financiera, el estado de rendimiento financiero, el estado de cambios en el activo neto y el estado de flujos de efectivo se preparan sobre la base contable integral de acumulación (o devengo), mientras que el estado comparativo de importes presupuestados y reales (estado financiero V) se prepara sobre la base contable de acumulación (o devengo) modificada. </w:t>
      </w:r>
    </w:p>
    <w:p w14:paraId="4CB4DAA3" w14:textId="77777777" w:rsidR="00A824AF" w:rsidRPr="00384A1E" w:rsidRDefault="00A824AF" w:rsidP="00A824AF">
      <w:pPr>
        <w:pStyle w:val="STYLEDUTEXTE"/>
        <w:rPr>
          <w:rFonts w:cs="Arial"/>
          <w:sz w:val="20"/>
          <w:lang w:val="es-ES_tradnl"/>
        </w:rPr>
      </w:pPr>
    </w:p>
    <w:p w14:paraId="52B8ABFF" w14:textId="16BFEBE8" w:rsidR="00723AB8" w:rsidRPr="00384A1E" w:rsidRDefault="00A824AF" w:rsidP="00A824AF">
      <w:pPr>
        <w:pStyle w:val="STYLEDUTEXTE"/>
        <w:rPr>
          <w:rFonts w:cs="Arial"/>
          <w:sz w:val="20"/>
          <w:lang w:val="es-ES_tradnl"/>
        </w:rPr>
      </w:pPr>
      <w:r w:rsidRPr="00384A1E">
        <w:rPr>
          <w:sz w:val="20"/>
          <w:lang w:val="es-ES_tradnl"/>
        </w:rPr>
        <w:t xml:space="preserve">Tal como exige la IPSAS 24, se suministra una conciliación, en términos comparables con el presupuesto, entre los importes reales expuestos en el estado financiero V y los importes reales indicados en las cuentas financieras, señalando por separado las diferencias existentes en cuanto a la base, el periodo y la entidad. </w:t>
      </w:r>
    </w:p>
    <w:p w14:paraId="6040A6A7" w14:textId="77777777" w:rsidR="00723AB8" w:rsidRPr="00384A1E" w:rsidRDefault="00723AB8" w:rsidP="00A824AF">
      <w:pPr>
        <w:pStyle w:val="STYLEDUTEXTE"/>
        <w:rPr>
          <w:rFonts w:cs="Arial"/>
          <w:sz w:val="20"/>
          <w:lang w:val="es-ES_tradnl"/>
        </w:rPr>
      </w:pPr>
    </w:p>
    <w:p w14:paraId="72EA1FC8" w14:textId="4D9B74A4" w:rsidR="00E15ABE" w:rsidRPr="00384A1E" w:rsidRDefault="00E15ABE" w:rsidP="00A824AF">
      <w:pPr>
        <w:pStyle w:val="STYLEDUTEXTE"/>
        <w:rPr>
          <w:rFonts w:cs="Arial"/>
          <w:b/>
          <w:bCs/>
          <w:sz w:val="20"/>
          <w:lang w:val="es-ES_tradnl"/>
        </w:rPr>
      </w:pPr>
      <w:r w:rsidRPr="00384A1E">
        <w:rPr>
          <w:b/>
          <w:sz w:val="20"/>
          <w:lang w:val="es-ES_tradnl"/>
        </w:rPr>
        <w:t>Conciliación para el año 2025</w:t>
      </w:r>
    </w:p>
    <w:p w14:paraId="47D3FD60" w14:textId="77777777" w:rsidR="00584923" w:rsidRPr="00384A1E" w:rsidRDefault="00584923" w:rsidP="00A824AF">
      <w:pPr>
        <w:pStyle w:val="STYLEDUTEXTE"/>
        <w:rPr>
          <w:rFonts w:cs="Arial"/>
          <w:b/>
          <w:bCs/>
          <w:sz w:val="20"/>
          <w:lang w:val="es-ES_tradnl"/>
        </w:rPr>
      </w:pPr>
    </w:p>
    <w:p w14:paraId="2E3A5207" w14:textId="3517D7C2" w:rsidR="005F528D" w:rsidRPr="00384A1E" w:rsidRDefault="00CF72EB" w:rsidP="00A824AF">
      <w:pPr>
        <w:pStyle w:val="STYLEDUTEXTE"/>
        <w:rPr>
          <w:rFonts w:cs="Arial"/>
          <w:sz w:val="20"/>
          <w:lang w:val="es-ES_tradnl"/>
        </w:rPr>
      </w:pPr>
      <w:r w:rsidRPr="00384A1E">
        <w:rPr>
          <w:noProof/>
          <w:lang w:val="es-ES_tradnl"/>
        </w:rPr>
        <w:drawing>
          <wp:inline distT="0" distB="0" distL="0" distR="0" wp14:anchorId="781C40D4" wp14:editId="6EE1C97E">
            <wp:extent cx="6137910" cy="2190115"/>
            <wp:effectExtent l="0" t="0" r="0" b="635"/>
            <wp:docPr id="146835968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37910" cy="2190115"/>
                    </a:xfrm>
                    <a:prstGeom prst="rect">
                      <a:avLst/>
                    </a:prstGeom>
                    <a:noFill/>
                    <a:ln>
                      <a:noFill/>
                    </a:ln>
                  </pic:spPr>
                </pic:pic>
              </a:graphicData>
            </a:graphic>
          </wp:inline>
        </w:drawing>
      </w:r>
    </w:p>
    <w:p w14:paraId="7635C9F1" w14:textId="3F88D359" w:rsidR="00775C3C" w:rsidRPr="00384A1E" w:rsidRDefault="00775C3C" w:rsidP="00A824AF">
      <w:pPr>
        <w:pStyle w:val="STYLEDUTEXTE"/>
        <w:rPr>
          <w:rFonts w:cs="Arial"/>
          <w:b/>
          <w:bCs/>
          <w:sz w:val="20"/>
          <w:lang w:val="es-ES_tradnl"/>
        </w:rPr>
      </w:pPr>
      <w:bookmarkStart w:id="95" w:name="_1834647002"/>
      <w:bookmarkStart w:id="96" w:name="_1834651633"/>
      <w:bookmarkEnd w:id="95"/>
      <w:bookmarkEnd w:id="96"/>
    </w:p>
    <w:p w14:paraId="686F9389" w14:textId="7602E664" w:rsidR="00723AB8" w:rsidRPr="00384A1E" w:rsidRDefault="00723AB8" w:rsidP="005B722A">
      <w:pPr>
        <w:pStyle w:val="STYLEDUTEXTE"/>
        <w:rPr>
          <w:sz w:val="20"/>
          <w:lang w:val="es-ES_tradnl"/>
        </w:rPr>
      </w:pPr>
    </w:p>
    <w:p w14:paraId="75789FE0" w14:textId="77777777" w:rsidR="00D36EEA" w:rsidRPr="00384A1E" w:rsidRDefault="00F6470B" w:rsidP="007C0C77">
      <w:pPr>
        <w:keepNext/>
        <w:keepLines/>
        <w:jc w:val="left"/>
        <w:rPr>
          <w:b/>
          <w:lang w:val="es-ES_tradnl"/>
        </w:rPr>
      </w:pPr>
      <w:bookmarkStart w:id="97" w:name="_Toc84329903"/>
      <w:r w:rsidRPr="00384A1E">
        <w:rPr>
          <w:b/>
          <w:lang w:val="es-ES_tradnl"/>
        </w:rPr>
        <w:t>Conciliación para el bienio 2024/2025</w:t>
      </w:r>
    </w:p>
    <w:p w14:paraId="465F451C" w14:textId="77777777" w:rsidR="009B431C" w:rsidRPr="00384A1E" w:rsidRDefault="009B431C" w:rsidP="007C0C77">
      <w:pPr>
        <w:keepNext/>
        <w:keepLines/>
        <w:jc w:val="left"/>
        <w:rPr>
          <w:rFonts w:cs="Arial"/>
          <w:b/>
          <w:bCs/>
          <w:lang w:val="es-ES_tradnl"/>
        </w:rPr>
      </w:pPr>
    </w:p>
    <w:p w14:paraId="7A0A2C0D" w14:textId="2194D008" w:rsidR="00D36EEA" w:rsidRPr="00384A1E" w:rsidRDefault="00EB3FFF" w:rsidP="007C0C77">
      <w:pPr>
        <w:keepNext/>
        <w:keepLines/>
        <w:jc w:val="left"/>
        <w:rPr>
          <w:rFonts w:cs="Arial"/>
          <w:lang w:val="es-ES_tradnl"/>
        </w:rPr>
      </w:pPr>
      <w:r w:rsidRPr="00384A1E">
        <w:rPr>
          <w:noProof/>
          <w:lang w:val="es-ES_tradnl"/>
        </w:rPr>
        <w:drawing>
          <wp:inline distT="0" distB="0" distL="0" distR="0" wp14:anchorId="0C00E548" wp14:editId="27639520">
            <wp:extent cx="6137910" cy="1886585"/>
            <wp:effectExtent l="0" t="0" r="0" b="0"/>
            <wp:docPr id="208674399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37910" cy="1886585"/>
                    </a:xfrm>
                    <a:prstGeom prst="rect">
                      <a:avLst/>
                    </a:prstGeom>
                    <a:noFill/>
                    <a:ln>
                      <a:noFill/>
                    </a:ln>
                  </pic:spPr>
                </pic:pic>
              </a:graphicData>
            </a:graphic>
          </wp:inline>
        </w:drawing>
      </w:r>
    </w:p>
    <w:p w14:paraId="2DC9CAC5" w14:textId="325CAE30" w:rsidR="007C0C77" w:rsidRPr="00F56A5C" w:rsidRDefault="007C0C77" w:rsidP="00F56A5C"/>
    <w:p w14:paraId="793182AE" w14:textId="5DFB09D2" w:rsidR="005B42AD" w:rsidRPr="00F56A5C" w:rsidRDefault="005B42AD" w:rsidP="00F56A5C">
      <w:bookmarkStart w:id="98" w:name="_1834647007"/>
      <w:bookmarkStart w:id="99" w:name="_1834651639"/>
      <w:bookmarkEnd w:id="98"/>
      <w:bookmarkEnd w:id="99"/>
    </w:p>
    <w:p w14:paraId="59AFC7E1" w14:textId="77777777" w:rsidR="00C95D62" w:rsidRDefault="00C95D62">
      <w:pPr>
        <w:jc w:val="left"/>
        <w:rPr>
          <w:b/>
          <w:caps/>
          <w:lang w:val="es-ES_tradnl"/>
        </w:rPr>
      </w:pPr>
      <w:r>
        <w:rPr>
          <w:lang w:val="es-ES_tradnl"/>
        </w:rPr>
        <w:br w:type="page"/>
      </w:r>
    </w:p>
    <w:p w14:paraId="114F9449" w14:textId="28B2428C" w:rsidR="00723AB8" w:rsidRPr="00384A1E" w:rsidRDefault="00CB1F12" w:rsidP="00F56A5C">
      <w:pPr>
        <w:pStyle w:val="Heading2Notes"/>
        <w:rPr>
          <w:rFonts w:ascii="Arial" w:hAnsi="Arial" w:cs="Arial"/>
          <w:lang w:val="es-ES_tradnl"/>
        </w:rPr>
      </w:pPr>
      <w:bookmarkStart w:id="100" w:name="_Toc236922890"/>
      <w:r w:rsidRPr="00384A1E">
        <w:rPr>
          <w:rFonts w:ascii="Arial" w:hAnsi="Arial"/>
          <w:lang w:val="es-ES_tradnl"/>
        </w:rPr>
        <w:lastRenderedPageBreak/>
        <w:t>Nota 13:</w:t>
      </w:r>
      <w:r w:rsidRPr="00384A1E">
        <w:rPr>
          <w:rFonts w:ascii="Arial" w:hAnsi="Arial"/>
          <w:lang w:val="es-ES_tradnl"/>
        </w:rPr>
        <w:tab/>
        <w:t>Ingresos</w:t>
      </w:r>
      <w:bookmarkEnd w:id="97"/>
      <w:bookmarkEnd w:id="100"/>
    </w:p>
    <w:p w14:paraId="34F881B2" w14:textId="4E0D3122" w:rsidR="001F374E" w:rsidRPr="00384A1E" w:rsidRDefault="001F374E" w:rsidP="00187DDC">
      <w:pPr>
        <w:pStyle w:val="Styletexte"/>
        <w:spacing w:after="0"/>
        <w:rPr>
          <w:rFonts w:cs="Arial"/>
          <w:sz w:val="20"/>
          <w:lang w:val="es-ES_tradnl"/>
        </w:rPr>
      </w:pPr>
    </w:p>
    <w:p w14:paraId="67DBF778" w14:textId="3622CE00" w:rsidR="0088345F" w:rsidRPr="00384A1E" w:rsidRDefault="00742F19" w:rsidP="00C95D62">
      <w:pPr>
        <w:pStyle w:val="Styletexte"/>
        <w:jc w:val="center"/>
        <w:rPr>
          <w:rFonts w:cs="Arial"/>
          <w:sz w:val="20"/>
          <w:lang w:val="es-ES_tradnl"/>
        </w:rPr>
      </w:pPr>
      <w:r w:rsidRPr="00742F19">
        <w:rPr>
          <w:noProof/>
        </w:rPr>
        <w:drawing>
          <wp:inline distT="0" distB="0" distL="0" distR="0" wp14:anchorId="3683E57C" wp14:editId="79831E00">
            <wp:extent cx="6019165" cy="2369185"/>
            <wp:effectExtent l="0" t="0" r="635" b="0"/>
            <wp:docPr id="2056203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19165" cy="2369185"/>
                    </a:xfrm>
                    <a:prstGeom prst="rect">
                      <a:avLst/>
                    </a:prstGeom>
                    <a:noFill/>
                    <a:ln>
                      <a:noFill/>
                    </a:ln>
                  </pic:spPr>
                </pic:pic>
              </a:graphicData>
            </a:graphic>
          </wp:inline>
        </w:drawing>
      </w:r>
    </w:p>
    <w:p w14:paraId="68B3AA87" w14:textId="77777777" w:rsidR="001F374E" w:rsidRPr="00384A1E" w:rsidRDefault="001F374E" w:rsidP="00187DDC">
      <w:pPr>
        <w:pStyle w:val="Styletexte"/>
        <w:spacing w:after="0"/>
        <w:rPr>
          <w:rFonts w:cs="Arial"/>
          <w:sz w:val="20"/>
          <w:lang w:val="es-ES_tradnl"/>
        </w:rPr>
      </w:pPr>
    </w:p>
    <w:p w14:paraId="03223874" w14:textId="61EEAB59" w:rsidR="00C77C07" w:rsidRPr="00384A1E" w:rsidRDefault="00A824AF" w:rsidP="00C21351">
      <w:pPr>
        <w:pStyle w:val="Styletexte"/>
        <w:spacing w:after="0"/>
        <w:rPr>
          <w:sz w:val="20"/>
          <w:lang w:val="es-ES_tradnl"/>
        </w:rPr>
      </w:pPr>
      <w:r w:rsidRPr="00384A1E">
        <w:rPr>
          <w:sz w:val="20"/>
          <w:lang w:val="es-ES_tradnl"/>
        </w:rPr>
        <w:t xml:space="preserve">Las contribuciones en el marco del Programa y Presupuesto ordinario corresponden a las cantidades pagaderas en enero de 2025. Los fondos extrapresupuestarios procedentes de fondos fiduciarios representan ingresos percibidos en relación con las aportaciones efectuadas por donantes a proyectos concretos no incluidos en el Programa y Presupuesto ordinario. Los ingresos derivados de los fondos extrapresupuestarios (fondos fiduciarios) se aplazan hasta su devengo mediante la prestación de los servicios concretos estipulados en el plan de trabajo acordado con el donante. </w:t>
      </w:r>
      <w:bookmarkStart w:id="101" w:name="_Toc84329904"/>
    </w:p>
    <w:p w14:paraId="74617B05" w14:textId="74A6BE0B" w:rsidR="00CC5B48" w:rsidRPr="00384A1E" w:rsidRDefault="00CC5B48">
      <w:pPr>
        <w:jc w:val="left"/>
        <w:rPr>
          <w:rFonts w:cs="Arial"/>
          <w:lang w:val="es-ES_tradnl"/>
        </w:rPr>
      </w:pPr>
    </w:p>
    <w:p w14:paraId="1A05FAA3" w14:textId="377A96F8" w:rsidR="00B326CD" w:rsidRPr="00384A1E" w:rsidRDefault="00B326CD">
      <w:pPr>
        <w:jc w:val="left"/>
        <w:rPr>
          <w:rFonts w:ascii="Arial Bold" w:hAnsi="Arial Bold" w:cs="Arial"/>
          <w:lang w:val="es-ES_tradnl"/>
        </w:rPr>
      </w:pPr>
    </w:p>
    <w:p w14:paraId="45FA187F" w14:textId="1C30686D" w:rsidR="00A824AF" w:rsidRPr="00384A1E" w:rsidRDefault="00F45269" w:rsidP="00FF130A">
      <w:pPr>
        <w:pStyle w:val="Heading2Notes"/>
        <w:rPr>
          <w:rFonts w:ascii="Arial" w:hAnsi="Arial" w:cs="Arial"/>
          <w:lang w:val="es-ES_tradnl"/>
        </w:rPr>
      </w:pPr>
      <w:bookmarkStart w:id="102" w:name="_Toc236922891"/>
      <w:r w:rsidRPr="00384A1E">
        <w:rPr>
          <w:rFonts w:ascii="Arial" w:hAnsi="Arial"/>
          <w:lang w:val="es-ES_tradnl"/>
        </w:rPr>
        <w:t>Nota 14:</w:t>
      </w:r>
      <w:r w:rsidRPr="00384A1E">
        <w:rPr>
          <w:rFonts w:ascii="Arial" w:hAnsi="Arial"/>
          <w:lang w:val="es-ES_tradnl"/>
        </w:rPr>
        <w:tab/>
        <w:t>Gastos</w:t>
      </w:r>
      <w:bookmarkEnd w:id="101"/>
      <w:bookmarkEnd w:id="102"/>
    </w:p>
    <w:p w14:paraId="52DC7B41" w14:textId="762307DE" w:rsidR="00483FD7" w:rsidRPr="00384A1E" w:rsidRDefault="00483FD7" w:rsidP="00A824AF">
      <w:pPr>
        <w:pStyle w:val="Styletexte"/>
        <w:spacing w:after="0"/>
        <w:rPr>
          <w:rFonts w:cs="Arial"/>
          <w:sz w:val="20"/>
          <w:lang w:val="es-ES_tradnl"/>
        </w:rPr>
      </w:pPr>
    </w:p>
    <w:p w14:paraId="3652604A" w14:textId="45710CAC" w:rsidR="0088345F" w:rsidRPr="00384A1E" w:rsidRDefault="00286D11" w:rsidP="00286D11">
      <w:pPr>
        <w:pStyle w:val="Styletexte"/>
        <w:rPr>
          <w:rFonts w:cs="Arial"/>
          <w:sz w:val="20"/>
          <w:lang w:val="es-ES_tradnl"/>
        </w:rPr>
      </w:pPr>
      <w:r w:rsidRPr="00384A1E">
        <w:rPr>
          <w:noProof/>
          <w:lang w:val="es-ES_tradnl"/>
        </w:rPr>
        <w:drawing>
          <wp:inline distT="0" distB="0" distL="0" distR="0" wp14:anchorId="7F8C1A37" wp14:editId="74BDB47C">
            <wp:extent cx="6137910" cy="2357120"/>
            <wp:effectExtent l="0" t="0" r="0" b="0"/>
            <wp:docPr id="14074076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37910" cy="2357120"/>
                    </a:xfrm>
                    <a:prstGeom prst="rect">
                      <a:avLst/>
                    </a:prstGeom>
                    <a:noFill/>
                    <a:ln>
                      <a:noFill/>
                    </a:ln>
                  </pic:spPr>
                </pic:pic>
              </a:graphicData>
            </a:graphic>
          </wp:inline>
        </w:drawing>
      </w:r>
    </w:p>
    <w:p w14:paraId="7D054BA4" w14:textId="77777777" w:rsidR="00E15ABE" w:rsidRPr="00384A1E" w:rsidRDefault="00E15ABE" w:rsidP="00A824AF">
      <w:pPr>
        <w:pStyle w:val="Styletexte"/>
        <w:spacing w:after="0"/>
        <w:rPr>
          <w:rFonts w:cs="Arial"/>
          <w:sz w:val="20"/>
          <w:lang w:val="es-ES_tradnl"/>
        </w:rPr>
      </w:pPr>
      <w:bookmarkStart w:id="103" w:name="_1834651644"/>
      <w:bookmarkEnd w:id="103"/>
    </w:p>
    <w:p w14:paraId="27A56176" w14:textId="4DCD8236" w:rsidR="00A824AF" w:rsidRPr="00384A1E" w:rsidRDefault="00A824AF" w:rsidP="00A824AF">
      <w:pPr>
        <w:pStyle w:val="Styletexte"/>
        <w:spacing w:after="0"/>
        <w:rPr>
          <w:rFonts w:cs="Arial"/>
          <w:sz w:val="20"/>
          <w:lang w:val="es-ES_tradnl"/>
        </w:rPr>
      </w:pPr>
      <w:r w:rsidRPr="00384A1E">
        <w:rPr>
          <w:sz w:val="20"/>
          <w:lang w:val="es-ES_tradnl"/>
        </w:rPr>
        <w:t>En los gastos de personal se incluyen las prestaciones a corto plazo tales como el sueldo de base, el ajuste por lugar de destino, el subsidio por personas a cargo, la aportación al fondo de pensiones, las aportaciones al seguro médico y a otros seguros, las vacaciones en el país de origen y otras prestaciones para el personal fijo o temporal. Como consecuencia de la aplicación de las IPSAS, los gastos de personal incluyen también los importes correspondientes a los movimientos registrados en el pasivo por prestaciones pagaderas a los empleados. Las pasantías y becas incluyen los pagos a pasantes y becarios, así como los gastos relacionados con los viajes.</w:t>
      </w:r>
    </w:p>
    <w:p w14:paraId="0E98B05B" w14:textId="77777777" w:rsidR="00A824AF" w:rsidRPr="00384A1E" w:rsidRDefault="00A824AF" w:rsidP="00A824AF">
      <w:pPr>
        <w:pStyle w:val="Styletexte"/>
        <w:spacing w:after="0"/>
        <w:rPr>
          <w:rFonts w:cs="Arial"/>
          <w:sz w:val="20"/>
          <w:lang w:val="es-ES_tradnl"/>
        </w:rPr>
      </w:pPr>
    </w:p>
    <w:p w14:paraId="64046E70" w14:textId="77777777" w:rsidR="00743879" w:rsidRPr="00384A1E" w:rsidRDefault="00A824AF" w:rsidP="00F7082F">
      <w:pPr>
        <w:rPr>
          <w:rFonts w:cs="Arial"/>
          <w:lang w:val="es-ES_tradnl"/>
        </w:rPr>
      </w:pPr>
      <w:r w:rsidRPr="00384A1E">
        <w:rPr>
          <w:lang w:val="es-ES_tradnl"/>
        </w:rPr>
        <w:t xml:space="preserve">En los gastos de viajes, formación y subsidios se incluyen los gastos del pasaje aéreo, las dietas, los pequeños gastos de salida y llegada y otros gastos de viaje del personal en misión oficial, así como los gastos de viaje de participantes y conferenciantes para actividades de formación. </w:t>
      </w:r>
    </w:p>
    <w:p w14:paraId="6E144853" w14:textId="77777777" w:rsidR="00743879" w:rsidRPr="00384A1E" w:rsidRDefault="00743879" w:rsidP="00F7082F">
      <w:pPr>
        <w:rPr>
          <w:rFonts w:cs="Arial"/>
          <w:lang w:val="es-ES_tradnl"/>
        </w:rPr>
      </w:pPr>
    </w:p>
    <w:p w14:paraId="58EE9740" w14:textId="4E354E93" w:rsidR="00584923" w:rsidRPr="00384A1E" w:rsidRDefault="00A824AF" w:rsidP="00F7082F">
      <w:pPr>
        <w:rPr>
          <w:rFonts w:cs="Arial"/>
          <w:lang w:val="es-ES_tradnl"/>
        </w:rPr>
      </w:pPr>
      <w:r w:rsidRPr="00384A1E">
        <w:rPr>
          <w:lang w:val="es-ES_tradnl"/>
        </w:rPr>
        <w:t xml:space="preserve">En los servicios contractuales se incluyen los honorarios de los traductores e intérpretes y los correspondientes a otros acuerdos de servicios externos. </w:t>
      </w:r>
      <w:bookmarkStart w:id="104" w:name="_Hlk161157249"/>
    </w:p>
    <w:p w14:paraId="1F504BC1" w14:textId="77777777" w:rsidR="00584923" w:rsidRPr="00384A1E" w:rsidRDefault="00584923" w:rsidP="00F7082F">
      <w:pPr>
        <w:rPr>
          <w:rFonts w:cs="Arial"/>
          <w:lang w:val="es-ES_tradnl"/>
        </w:rPr>
      </w:pPr>
    </w:p>
    <w:p w14:paraId="17CC86B9" w14:textId="77777777" w:rsidR="00F7082F" w:rsidRDefault="00A824AF" w:rsidP="00F7082F">
      <w:pPr>
        <w:rPr>
          <w:lang w:val="es-ES_tradnl"/>
        </w:rPr>
      </w:pPr>
      <w:r w:rsidRPr="00384A1E">
        <w:rPr>
          <w:lang w:val="es-ES_tradnl"/>
        </w:rPr>
        <w:lastRenderedPageBreak/>
        <w:t>En los gastos de explotación se incluyen gastos enmarcados en el acuerdo suscrito entre la OMPI y la UPOV, tales como el mantenimiento de las instalaciones, la gestión del personal, la administración financiera, los servicios de adquisiciones y el apoyo administrativo.</w:t>
      </w:r>
      <w:bookmarkStart w:id="105" w:name="_Toc84329905"/>
      <w:bookmarkEnd w:id="104"/>
    </w:p>
    <w:p w14:paraId="252D1189" w14:textId="77777777" w:rsidR="00F7082F" w:rsidRDefault="00F7082F" w:rsidP="00F7082F">
      <w:pPr>
        <w:rPr>
          <w:lang w:val="es-ES_tradnl"/>
        </w:rPr>
      </w:pPr>
    </w:p>
    <w:p w14:paraId="0DC25D8E" w14:textId="77777777" w:rsidR="00F7082F" w:rsidRDefault="00F7082F" w:rsidP="00F7082F">
      <w:pPr>
        <w:rPr>
          <w:lang w:val="es-ES_tradnl"/>
        </w:rPr>
      </w:pPr>
    </w:p>
    <w:p w14:paraId="2AA9C64E" w14:textId="3ABB9793" w:rsidR="00A824AF" w:rsidRPr="00384A1E" w:rsidRDefault="00F45269" w:rsidP="00F45269">
      <w:pPr>
        <w:pStyle w:val="Heading2Notes"/>
        <w:rPr>
          <w:rFonts w:ascii="Arial" w:hAnsi="Arial" w:cs="Arial"/>
          <w:lang w:val="es-ES_tradnl"/>
        </w:rPr>
      </w:pPr>
      <w:bookmarkStart w:id="106" w:name="_Toc236922892"/>
      <w:r w:rsidRPr="00384A1E">
        <w:rPr>
          <w:rFonts w:ascii="Arial" w:hAnsi="Arial"/>
          <w:lang w:val="es-ES_tradnl"/>
        </w:rPr>
        <w:t>Nota 15:</w:t>
      </w:r>
      <w:r w:rsidRPr="00384A1E">
        <w:rPr>
          <w:rFonts w:ascii="Arial" w:hAnsi="Arial"/>
          <w:lang w:val="es-ES_tradnl"/>
        </w:rPr>
        <w:tab/>
        <w:t>Instrumentos financieros</w:t>
      </w:r>
      <w:bookmarkEnd w:id="105"/>
      <w:bookmarkEnd w:id="106"/>
    </w:p>
    <w:p w14:paraId="4E296D3C" w14:textId="77777777" w:rsidR="00A824AF" w:rsidRPr="00384A1E" w:rsidRDefault="00A824AF" w:rsidP="00F45269">
      <w:pPr>
        <w:rPr>
          <w:rFonts w:cs="Arial"/>
          <w:lang w:val="es-ES_tradnl"/>
        </w:rPr>
      </w:pPr>
      <w:bookmarkStart w:id="107" w:name="_Hlk164101904"/>
    </w:p>
    <w:p w14:paraId="7887BD2A" w14:textId="56A00A5E" w:rsidR="00A824AF" w:rsidRPr="00384A1E" w:rsidRDefault="00A824AF" w:rsidP="00A824AF">
      <w:pPr>
        <w:autoSpaceDE w:val="0"/>
        <w:autoSpaceDN w:val="0"/>
        <w:adjustRightInd w:val="0"/>
        <w:rPr>
          <w:rFonts w:cs="Arial"/>
          <w:lang w:val="es-ES_tradnl"/>
        </w:rPr>
      </w:pPr>
      <w:r w:rsidRPr="00384A1E">
        <w:rPr>
          <w:lang w:val="es-ES_tradnl"/>
        </w:rPr>
        <w:t xml:space="preserve">La UPOV está expuesta en cierta medida a los riesgos de liquidez, de tipo de interés, cambiario y de crédito que se generan en el curso ordinario de sus actividades. </w:t>
      </w:r>
    </w:p>
    <w:p w14:paraId="7EA52856" w14:textId="77777777" w:rsidR="0006769B" w:rsidRPr="00384A1E" w:rsidRDefault="0006769B" w:rsidP="00A824AF">
      <w:pPr>
        <w:autoSpaceDE w:val="0"/>
        <w:autoSpaceDN w:val="0"/>
        <w:adjustRightInd w:val="0"/>
        <w:rPr>
          <w:rFonts w:cs="Arial"/>
          <w:lang w:val="es-ES_tradnl"/>
        </w:rPr>
      </w:pPr>
    </w:p>
    <w:p w14:paraId="2BEEB2B7" w14:textId="089E39E7" w:rsidR="00A824AF" w:rsidRPr="00384A1E" w:rsidRDefault="00EF5457" w:rsidP="00A824AF">
      <w:pPr>
        <w:autoSpaceDE w:val="0"/>
        <w:autoSpaceDN w:val="0"/>
        <w:adjustRightInd w:val="0"/>
        <w:rPr>
          <w:rFonts w:cs="Arial"/>
          <w:lang w:val="es-ES_tradnl"/>
        </w:rPr>
      </w:pPr>
      <w:r w:rsidRPr="00384A1E">
        <w:rPr>
          <w:lang w:val="es-ES_tradnl"/>
        </w:rPr>
        <w:t xml:space="preserve">La Unión gestiona sus inversiones de acuerdo con su política de inversiones, y el Secretario General puede disponer la realización de inversiones a corto plazo con los fondos que no se necesiten de manera inmediata, como se establece en la política en materia de inversiones de la UPOV. Salvo que el Consejo acuerde otro extremo, la UPOV se regirá por la misma política de inversiones de la OMPI para el efectivo para gastos de explotación. El </w:t>
      </w:r>
      <w:r w:rsidR="00423F20">
        <w:rPr>
          <w:lang w:val="es-ES_tradnl"/>
        </w:rPr>
        <w:t>Secretario General</w:t>
      </w:r>
      <w:r w:rsidRPr="00384A1E">
        <w:rPr>
          <w:lang w:val="es-ES_tradnl"/>
        </w:rPr>
        <w:t xml:space="preserve"> podrá solicitar el asesoramiento de la Comisión Asesora sobre Inversiones de la OMPI para asuntos relacionados exclusivamente con la UPOV. El </w:t>
      </w:r>
      <w:r w:rsidR="00423F20">
        <w:rPr>
          <w:lang w:val="es-ES_tradnl"/>
        </w:rPr>
        <w:t>Secretario General</w:t>
      </w:r>
      <w:r w:rsidRPr="00384A1E">
        <w:rPr>
          <w:lang w:val="es-ES_tradnl"/>
        </w:rPr>
        <w:t xml:space="preserve"> informará periódicamente al Comité Consultivo de las inversiones realizadas. </w:t>
      </w:r>
      <w:bookmarkEnd w:id="107"/>
    </w:p>
    <w:p w14:paraId="4EA45947" w14:textId="77777777" w:rsidR="00EF5457" w:rsidRPr="00384A1E" w:rsidRDefault="00EF5457" w:rsidP="00A824AF">
      <w:pPr>
        <w:autoSpaceDE w:val="0"/>
        <w:autoSpaceDN w:val="0"/>
        <w:adjustRightInd w:val="0"/>
        <w:rPr>
          <w:rFonts w:cs="Arial"/>
          <w:lang w:val="es-ES_tradnl"/>
        </w:rPr>
      </w:pPr>
    </w:p>
    <w:p w14:paraId="7F4ADA10" w14:textId="77777777" w:rsidR="00733550" w:rsidRPr="00384A1E" w:rsidRDefault="00733550" w:rsidP="00733550">
      <w:pPr>
        <w:autoSpaceDE w:val="0"/>
        <w:autoSpaceDN w:val="0"/>
        <w:adjustRightInd w:val="0"/>
        <w:rPr>
          <w:rFonts w:cs="Arial"/>
          <w:b/>
          <w:lang w:val="es-ES_tradnl"/>
        </w:rPr>
      </w:pPr>
      <w:r w:rsidRPr="00384A1E">
        <w:rPr>
          <w:b/>
          <w:lang w:val="es-ES_tradnl"/>
        </w:rPr>
        <w:t>Resumen de los instrumentos financieros</w:t>
      </w:r>
    </w:p>
    <w:p w14:paraId="759C91DE" w14:textId="77777777" w:rsidR="00733550" w:rsidRPr="00384A1E" w:rsidRDefault="00733550" w:rsidP="00733550">
      <w:pPr>
        <w:autoSpaceDE w:val="0"/>
        <w:autoSpaceDN w:val="0"/>
        <w:adjustRightInd w:val="0"/>
        <w:rPr>
          <w:rFonts w:cs="Arial"/>
          <w:b/>
          <w:lang w:val="es-ES_tradnl" w:eastAsia="en-GB"/>
        </w:rPr>
      </w:pPr>
    </w:p>
    <w:p w14:paraId="1294EDCF" w14:textId="77777777" w:rsidR="00733550" w:rsidRPr="00384A1E" w:rsidRDefault="00733550" w:rsidP="00733550">
      <w:pPr>
        <w:autoSpaceDE w:val="0"/>
        <w:autoSpaceDN w:val="0"/>
        <w:adjustRightInd w:val="0"/>
        <w:rPr>
          <w:rFonts w:cs="Arial"/>
          <w:lang w:val="es-ES_tradnl"/>
        </w:rPr>
      </w:pPr>
      <w:r w:rsidRPr="00384A1E">
        <w:rPr>
          <w:lang w:val="es-ES_tradnl"/>
        </w:rPr>
        <w:t>Los instrumentos financieros se clasifican conforme a las categorías siguientes:</w:t>
      </w:r>
    </w:p>
    <w:p w14:paraId="7673D0EC" w14:textId="77777777" w:rsidR="0093752D" w:rsidRPr="00384A1E" w:rsidRDefault="0093752D" w:rsidP="00A824AF">
      <w:pPr>
        <w:autoSpaceDE w:val="0"/>
        <w:autoSpaceDN w:val="0"/>
        <w:adjustRightInd w:val="0"/>
        <w:rPr>
          <w:rFonts w:cs="Arial"/>
          <w:lang w:val="es-ES_tradnl" w:eastAsia="en-GB"/>
        </w:rPr>
      </w:pPr>
    </w:p>
    <w:p w14:paraId="138C5F15" w14:textId="796303F0" w:rsidR="00286D11" w:rsidRPr="00384A1E" w:rsidRDefault="00126B32" w:rsidP="00126B32">
      <w:pPr>
        <w:autoSpaceDE w:val="0"/>
        <w:autoSpaceDN w:val="0"/>
        <w:adjustRightInd w:val="0"/>
        <w:spacing w:after="120"/>
        <w:rPr>
          <w:rFonts w:cs="Arial"/>
          <w:lang w:val="es-ES_tradnl" w:eastAsia="en-GB"/>
        </w:rPr>
      </w:pPr>
      <w:r w:rsidRPr="00384A1E">
        <w:rPr>
          <w:noProof/>
          <w:lang w:val="es-ES_tradnl"/>
        </w:rPr>
        <w:drawing>
          <wp:inline distT="0" distB="0" distL="0" distR="0" wp14:anchorId="764796DF" wp14:editId="58EF8F8D">
            <wp:extent cx="6116955" cy="630555"/>
            <wp:effectExtent l="0" t="0" r="0" b="0"/>
            <wp:docPr id="207088908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6955" cy="630555"/>
                    </a:xfrm>
                    <a:prstGeom prst="rect">
                      <a:avLst/>
                    </a:prstGeom>
                    <a:noFill/>
                    <a:ln>
                      <a:noFill/>
                    </a:ln>
                  </pic:spPr>
                </pic:pic>
              </a:graphicData>
            </a:graphic>
          </wp:inline>
        </w:drawing>
      </w:r>
    </w:p>
    <w:p w14:paraId="19177416" w14:textId="30E053E0" w:rsidR="00BB0DEA" w:rsidRPr="00384A1E" w:rsidRDefault="00BB0DEA">
      <w:pPr>
        <w:jc w:val="left"/>
        <w:rPr>
          <w:rFonts w:cs="Arial"/>
          <w:lang w:val="es-ES_tradnl" w:eastAsia="en-GB"/>
        </w:rPr>
      </w:pPr>
    </w:p>
    <w:p w14:paraId="6EDB59F3" w14:textId="3933F3A9" w:rsidR="0093752D" w:rsidRPr="00384A1E" w:rsidRDefault="00733550" w:rsidP="00A824AF">
      <w:pPr>
        <w:autoSpaceDE w:val="0"/>
        <w:autoSpaceDN w:val="0"/>
        <w:adjustRightInd w:val="0"/>
        <w:rPr>
          <w:rFonts w:cs="Arial"/>
          <w:lang w:val="es-ES_tradnl"/>
        </w:rPr>
      </w:pPr>
      <w:r w:rsidRPr="00384A1E">
        <w:rPr>
          <w:lang w:val="es-ES_tradnl"/>
        </w:rPr>
        <w:t>El importe contable de las categorías de activos y pasivos financieros se muestra a continuación:</w:t>
      </w:r>
    </w:p>
    <w:p w14:paraId="275717AD" w14:textId="77777777" w:rsidR="00520C04" w:rsidRPr="00384A1E" w:rsidRDefault="00520C04" w:rsidP="00A824AF">
      <w:pPr>
        <w:autoSpaceDE w:val="0"/>
        <w:autoSpaceDN w:val="0"/>
        <w:adjustRightInd w:val="0"/>
        <w:rPr>
          <w:rFonts w:cs="Arial"/>
          <w:lang w:val="es-ES_tradnl" w:eastAsia="en-GB"/>
        </w:rPr>
      </w:pPr>
    </w:p>
    <w:p w14:paraId="16DA692E" w14:textId="2313D107" w:rsidR="00126B32" w:rsidRPr="00384A1E" w:rsidRDefault="00D86C82" w:rsidP="00A824AF">
      <w:pPr>
        <w:autoSpaceDE w:val="0"/>
        <w:autoSpaceDN w:val="0"/>
        <w:adjustRightInd w:val="0"/>
        <w:rPr>
          <w:rFonts w:cs="Arial"/>
          <w:lang w:val="es-ES_tradnl" w:eastAsia="en-GB"/>
        </w:rPr>
      </w:pPr>
      <w:r w:rsidRPr="00384A1E">
        <w:rPr>
          <w:noProof/>
          <w:lang w:val="es-ES_tradnl"/>
        </w:rPr>
        <w:drawing>
          <wp:inline distT="0" distB="0" distL="0" distR="0" wp14:anchorId="1DABF240" wp14:editId="52585DD0">
            <wp:extent cx="6111240" cy="1551305"/>
            <wp:effectExtent l="0" t="0" r="3810" b="0"/>
            <wp:docPr id="12759896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1240" cy="1551305"/>
                    </a:xfrm>
                    <a:prstGeom prst="rect">
                      <a:avLst/>
                    </a:prstGeom>
                    <a:noFill/>
                    <a:ln>
                      <a:noFill/>
                    </a:ln>
                  </pic:spPr>
                </pic:pic>
              </a:graphicData>
            </a:graphic>
          </wp:inline>
        </w:drawing>
      </w:r>
    </w:p>
    <w:p w14:paraId="7016AE3E" w14:textId="4A46B290" w:rsidR="0060332C" w:rsidRPr="00384A1E" w:rsidRDefault="0060332C" w:rsidP="00A824AF">
      <w:pPr>
        <w:autoSpaceDE w:val="0"/>
        <w:autoSpaceDN w:val="0"/>
        <w:adjustRightInd w:val="0"/>
        <w:rPr>
          <w:rFonts w:cs="Arial"/>
          <w:lang w:val="es-ES_tradnl"/>
        </w:rPr>
      </w:pPr>
      <w:bookmarkStart w:id="108" w:name="_1834651648"/>
      <w:bookmarkEnd w:id="108"/>
    </w:p>
    <w:p w14:paraId="6739A13A" w14:textId="77777777" w:rsidR="00E45414" w:rsidRPr="00384A1E" w:rsidRDefault="00E45414" w:rsidP="00A824AF">
      <w:pPr>
        <w:autoSpaceDE w:val="0"/>
        <w:autoSpaceDN w:val="0"/>
        <w:adjustRightInd w:val="0"/>
        <w:rPr>
          <w:rFonts w:cs="Arial"/>
          <w:b/>
          <w:lang w:val="es-ES_tradnl" w:eastAsia="en-GB"/>
        </w:rPr>
      </w:pPr>
    </w:p>
    <w:p w14:paraId="35B098F8" w14:textId="7D66AE4C" w:rsidR="00733550" w:rsidRPr="00384A1E" w:rsidRDefault="00733550" w:rsidP="00A824AF">
      <w:pPr>
        <w:autoSpaceDE w:val="0"/>
        <w:autoSpaceDN w:val="0"/>
        <w:adjustRightInd w:val="0"/>
        <w:rPr>
          <w:rFonts w:cs="Arial"/>
          <w:b/>
          <w:lang w:val="es-ES_tradnl"/>
        </w:rPr>
      </w:pPr>
      <w:r w:rsidRPr="00384A1E">
        <w:rPr>
          <w:b/>
          <w:lang w:val="es-ES_tradnl"/>
        </w:rPr>
        <w:t>Valores razonables</w:t>
      </w:r>
    </w:p>
    <w:p w14:paraId="52E92228" w14:textId="77777777" w:rsidR="00733550" w:rsidRPr="00384A1E" w:rsidRDefault="00733550" w:rsidP="00A824AF">
      <w:pPr>
        <w:autoSpaceDE w:val="0"/>
        <w:autoSpaceDN w:val="0"/>
        <w:adjustRightInd w:val="0"/>
        <w:rPr>
          <w:rFonts w:cs="Arial"/>
          <w:b/>
          <w:lang w:val="es-ES_tradnl" w:eastAsia="en-GB"/>
        </w:rPr>
      </w:pPr>
    </w:p>
    <w:p w14:paraId="54D03DFC" w14:textId="286F5A69" w:rsidR="00733550" w:rsidRPr="00384A1E" w:rsidRDefault="00733550" w:rsidP="00733550">
      <w:pPr>
        <w:autoSpaceDE w:val="0"/>
        <w:autoSpaceDN w:val="0"/>
        <w:adjustRightInd w:val="0"/>
        <w:rPr>
          <w:rFonts w:cs="Arial"/>
          <w:lang w:val="es-ES_tradnl"/>
        </w:rPr>
      </w:pPr>
      <w:r w:rsidRPr="00384A1E">
        <w:rPr>
          <w:lang w:val="es-ES_tradnl"/>
        </w:rPr>
        <w:t>El valor razonable de los activos y los pasivos financieros es el importe al que podría intercambiarse el instrumento en una transacción actual entre dos partes interesadas que no constituya una venta forzada o de liquidación. El efectivo y los depósitos a corto plazo, las cuentas por cobrar, las cuentas por pagar y otros pasivos corrientes se aproximan a su importe en libros debido principalmente a los vencimientos a corto plazo de esos instrumentos. Cuando procede, se constituye una provisión para compensar el valor de las cuentas por cobrar correspondientes a contribuciones. Dicha provisión cubre los importes de las contribuciones en mora correspondientes a ejercicios anteriores al último bienio. En la fecha de cierre de los estados financieros, respecto de los activos y pasivos financieros, el importe en libros equivale al valor razonable.</w:t>
      </w:r>
    </w:p>
    <w:p w14:paraId="53E6C423" w14:textId="77777777" w:rsidR="00010786" w:rsidRPr="00384A1E" w:rsidRDefault="00010786" w:rsidP="00733550">
      <w:pPr>
        <w:autoSpaceDE w:val="0"/>
        <w:autoSpaceDN w:val="0"/>
        <w:adjustRightInd w:val="0"/>
        <w:rPr>
          <w:rFonts w:cs="Arial"/>
          <w:b/>
          <w:lang w:val="es-ES_tradnl" w:eastAsia="en-GB"/>
        </w:rPr>
      </w:pPr>
    </w:p>
    <w:p w14:paraId="56FF5984" w14:textId="77777777" w:rsidR="00A824AF" w:rsidRPr="00384A1E" w:rsidRDefault="00A824AF" w:rsidP="00A824AF">
      <w:pPr>
        <w:rPr>
          <w:rFonts w:cs="Arial"/>
          <w:b/>
          <w:lang w:val="es-ES_tradnl"/>
        </w:rPr>
      </w:pPr>
      <w:r w:rsidRPr="00384A1E">
        <w:rPr>
          <w:b/>
          <w:lang w:val="es-ES_tradnl"/>
        </w:rPr>
        <w:t>Riesgo de crédito</w:t>
      </w:r>
    </w:p>
    <w:p w14:paraId="1D19FEE3" w14:textId="77777777" w:rsidR="00A824AF" w:rsidRPr="00384A1E" w:rsidRDefault="00A824AF" w:rsidP="00A824AF">
      <w:pPr>
        <w:rPr>
          <w:rFonts w:cs="Arial"/>
          <w:b/>
          <w:lang w:val="es-ES_tradnl"/>
        </w:rPr>
      </w:pPr>
    </w:p>
    <w:p w14:paraId="09540D74" w14:textId="77777777" w:rsidR="00A824AF" w:rsidRPr="00384A1E" w:rsidRDefault="00A824AF">
      <w:pPr>
        <w:autoSpaceDE w:val="0"/>
        <w:autoSpaceDN w:val="0"/>
        <w:adjustRightInd w:val="0"/>
        <w:rPr>
          <w:rFonts w:cs="Arial"/>
          <w:lang w:val="es-ES_tradnl"/>
        </w:rPr>
      </w:pPr>
      <w:r w:rsidRPr="00384A1E">
        <w:rPr>
          <w:lang w:val="es-ES_tradnl"/>
        </w:rPr>
        <w:t>El riesgo de crédito es el riesgo de que la UPOV incurra en pérdidas financieras si las contrapartes de los instrumentos financieros incumplen sus obligaciones contractuales, y se deriva principalmente de las cuentas por cobrar, así como del efectivo y los equivalentes de efectivo. El valor contable del activo financiero refleja la máxima exposición a este riesgo. A los efectos de la presentación de información financiera, la UPOV calcula provisiones por pérdidas crediticias esperadas asociadas a sus activos financieros.</w:t>
      </w:r>
    </w:p>
    <w:p w14:paraId="7894DD73" w14:textId="77777777" w:rsidR="00A824AF" w:rsidRPr="00384A1E" w:rsidRDefault="00A824AF">
      <w:pPr>
        <w:rPr>
          <w:rFonts w:cs="Arial"/>
          <w:lang w:val="es-ES_tradnl"/>
        </w:rPr>
      </w:pPr>
    </w:p>
    <w:p w14:paraId="02007B78" w14:textId="77777777" w:rsidR="005372FB" w:rsidRPr="00384A1E" w:rsidRDefault="00A824AF">
      <w:pPr>
        <w:rPr>
          <w:rFonts w:cs="Arial"/>
          <w:lang w:val="es-ES_tradnl"/>
        </w:rPr>
      </w:pPr>
      <w:r w:rsidRPr="00384A1E">
        <w:rPr>
          <w:lang w:val="es-ES_tradnl"/>
        </w:rPr>
        <w:lastRenderedPageBreak/>
        <w:t xml:space="preserve">Las cuentas por cobrar de la UPOV corresponden casi exclusivamente a los miembros de la Unión, que representan Estados soberanos y organizaciones intergubernamentales pertinentes, de modo que los riesgos relacionados con el crédito se consideran menores. </w:t>
      </w:r>
    </w:p>
    <w:p w14:paraId="678D5347" w14:textId="77777777" w:rsidR="005372FB" w:rsidRPr="00384A1E" w:rsidRDefault="005372FB">
      <w:pPr>
        <w:rPr>
          <w:rFonts w:cs="Arial"/>
          <w:lang w:val="es-ES_tradnl"/>
        </w:rPr>
      </w:pPr>
    </w:p>
    <w:p w14:paraId="33C0BCD6" w14:textId="52EC3301" w:rsidR="00A824AF" w:rsidRPr="00384A1E" w:rsidRDefault="00A824AF">
      <w:pPr>
        <w:rPr>
          <w:rFonts w:cs="Arial"/>
          <w:lang w:val="es-ES_tradnl"/>
        </w:rPr>
      </w:pPr>
      <w:r w:rsidRPr="00384A1E">
        <w:rPr>
          <w:lang w:val="es-ES_tradnl"/>
        </w:rPr>
        <w:t>El efectivo y los equivalentes de efectivo solo pueden mantenerse en instituciones que posean una calificación crediticia mínima a corto plazo de A-2/P-2, o de A/A2 a largo plazo. En consecuencia, las calificaciones crediticias asignadas al efectivo y equivalentes de efectivo a 31 de diciembre de 2025 son las que se indican en el cuadro de la página siguiente:</w:t>
      </w:r>
    </w:p>
    <w:p w14:paraId="25BEAD1B" w14:textId="77777777" w:rsidR="00775C3C" w:rsidRPr="00384A1E" w:rsidRDefault="00775C3C" w:rsidP="00A824AF">
      <w:pPr>
        <w:rPr>
          <w:rFonts w:cs="Arial"/>
          <w:b/>
          <w:lang w:val="es-ES_tradnl"/>
        </w:rPr>
      </w:pPr>
    </w:p>
    <w:p w14:paraId="3942D416" w14:textId="6CFB0343" w:rsidR="00D86C82" w:rsidRPr="00384A1E" w:rsidRDefault="00384A1E" w:rsidP="00384A1E">
      <w:pPr>
        <w:jc w:val="center"/>
        <w:rPr>
          <w:rFonts w:cs="Arial"/>
          <w:b/>
          <w:lang w:val="es-ES_tradnl"/>
        </w:rPr>
      </w:pPr>
      <w:r w:rsidRPr="00384A1E">
        <w:rPr>
          <w:noProof/>
          <w:lang w:val="es-ES_tradnl"/>
        </w:rPr>
        <w:drawing>
          <wp:inline distT="0" distB="0" distL="0" distR="0" wp14:anchorId="44726C08" wp14:editId="0B9EFA75">
            <wp:extent cx="4369435" cy="1116965"/>
            <wp:effectExtent l="0" t="0" r="0" b="6985"/>
            <wp:docPr id="1264636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69435" cy="1116965"/>
                    </a:xfrm>
                    <a:prstGeom prst="rect">
                      <a:avLst/>
                    </a:prstGeom>
                    <a:noFill/>
                    <a:ln>
                      <a:noFill/>
                    </a:ln>
                  </pic:spPr>
                </pic:pic>
              </a:graphicData>
            </a:graphic>
          </wp:inline>
        </w:drawing>
      </w:r>
    </w:p>
    <w:p w14:paraId="56C97D0D" w14:textId="74B91A59" w:rsidR="0060332C" w:rsidRPr="00384A1E" w:rsidRDefault="0060332C" w:rsidP="00384A1E">
      <w:pPr>
        <w:rPr>
          <w:rFonts w:cs="Arial"/>
          <w:b/>
          <w:lang w:val="es-ES_tradnl"/>
        </w:rPr>
      </w:pPr>
      <w:bookmarkStart w:id="109" w:name="_1834651653"/>
      <w:bookmarkEnd w:id="109"/>
    </w:p>
    <w:p w14:paraId="0ACF30B2" w14:textId="77777777" w:rsidR="00617423" w:rsidRPr="00384A1E" w:rsidRDefault="00617423" w:rsidP="00384A1E">
      <w:pPr>
        <w:autoSpaceDE w:val="0"/>
        <w:autoSpaceDN w:val="0"/>
        <w:adjustRightInd w:val="0"/>
        <w:rPr>
          <w:rFonts w:cs="Arial"/>
          <w:lang w:val="es-ES_tradnl" w:eastAsia="en-GB"/>
        </w:rPr>
      </w:pPr>
    </w:p>
    <w:p w14:paraId="7D616A3B" w14:textId="77777777" w:rsidR="00617423" w:rsidRPr="00384A1E" w:rsidRDefault="00617423" w:rsidP="00617423">
      <w:pPr>
        <w:autoSpaceDE w:val="0"/>
        <w:autoSpaceDN w:val="0"/>
        <w:adjustRightInd w:val="0"/>
        <w:jc w:val="left"/>
        <w:rPr>
          <w:rFonts w:cs="Arial"/>
          <w:b/>
          <w:lang w:val="es-ES_tradnl"/>
        </w:rPr>
      </w:pPr>
      <w:r w:rsidRPr="00384A1E">
        <w:rPr>
          <w:b/>
          <w:lang w:val="es-ES_tradnl"/>
        </w:rPr>
        <w:t>Riesgo de liquidez</w:t>
      </w:r>
    </w:p>
    <w:p w14:paraId="1D354A47" w14:textId="77777777" w:rsidR="00617423" w:rsidRPr="00384A1E" w:rsidRDefault="00617423" w:rsidP="00A824AF">
      <w:pPr>
        <w:autoSpaceDE w:val="0"/>
        <w:autoSpaceDN w:val="0"/>
        <w:adjustRightInd w:val="0"/>
        <w:rPr>
          <w:rFonts w:cs="Arial"/>
          <w:lang w:val="es-ES_tradnl" w:eastAsia="en-GB"/>
        </w:rPr>
      </w:pPr>
    </w:p>
    <w:p w14:paraId="1584FCE6" w14:textId="1867CCEF" w:rsidR="00DF048C" w:rsidRPr="00384A1E" w:rsidRDefault="00A824AF" w:rsidP="005B722A">
      <w:pPr>
        <w:autoSpaceDE w:val="0"/>
        <w:autoSpaceDN w:val="0"/>
        <w:adjustRightInd w:val="0"/>
        <w:rPr>
          <w:rFonts w:cs="Arial"/>
          <w:b/>
          <w:lang w:val="es-ES_tradnl"/>
        </w:rPr>
      </w:pPr>
      <w:r w:rsidRPr="00384A1E">
        <w:rPr>
          <w:lang w:val="es-ES_tradnl"/>
        </w:rPr>
        <w:t>El riesgo de liquidez es el riesgo de que la UPOV no pueda hacer frente a sus obligaciones financieras a su vencimiento. La UPOV no está expuesta a grandes riesgos de liquidez, ya que dispone de importantes recursos en efectivo sin restricciones. La política de inversiones exige que el efectivo básico y de funcionamiento se invierta de manera que se garantice la liquidez necesaria para satisfacer las necesidades de tesorería de la UPOV. Los saldos de efectivo para gastos de explotación se invierten a corto plazo (vencimientos que no excedan los 12 meses) en activos de bajo riesgo que puedan liquidarse fácilmente a bajo coste o sin coste alguno. El efectivo básico se invierte a medio plazo (vencimientos superiores a</w:t>
      </w:r>
      <w:r w:rsidR="00423F20">
        <w:rPr>
          <w:lang w:val="es-ES_tradnl"/>
        </w:rPr>
        <w:t xml:space="preserve"> </w:t>
      </w:r>
      <w:r w:rsidRPr="00384A1E">
        <w:rPr>
          <w:lang w:val="es-ES_tradnl"/>
        </w:rPr>
        <w:t>12</w:t>
      </w:r>
      <w:r w:rsidR="00423F20">
        <w:rPr>
          <w:lang w:val="es-ES_tradnl"/>
        </w:rPr>
        <w:t> </w:t>
      </w:r>
      <w:r w:rsidRPr="00384A1E">
        <w:rPr>
          <w:lang w:val="es-ES_tradnl"/>
        </w:rPr>
        <w:t>meses), si es posible de manera que se pueda tener ocasionalmente acceso a una parte de los fondos, lo que facilita la realización de grandes pagos programados. El efectivo estratégico se invierte a largo plazo, y en la actualidad no está sujeto a exigencias de liquidez a corto o medio plazo.</w:t>
      </w:r>
    </w:p>
    <w:p w14:paraId="5D5F511A" w14:textId="77777777" w:rsidR="00DF048C" w:rsidRPr="00384A1E" w:rsidRDefault="00DF048C" w:rsidP="00A824AF">
      <w:pPr>
        <w:rPr>
          <w:rFonts w:cs="Arial"/>
          <w:b/>
          <w:lang w:val="es-ES_tradnl"/>
        </w:rPr>
      </w:pPr>
    </w:p>
    <w:p w14:paraId="5408EDFF" w14:textId="46C5681F" w:rsidR="00A824AF" w:rsidRPr="00384A1E" w:rsidRDefault="00A824AF" w:rsidP="005B722A">
      <w:pPr>
        <w:jc w:val="left"/>
        <w:rPr>
          <w:rFonts w:cs="Arial"/>
          <w:b/>
          <w:lang w:val="es-ES_tradnl"/>
        </w:rPr>
      </w:pPr>
      <w:r w:rsidRPr="00384A1E">
        <w:rPr>
          <w:b/>
          <w:lang w:val="es-ES_tradnl"/>
        </w:rPr>
        <w:t>Riesgo cambiario</w:t>
      </w:r>
    </w:p>
    <w:p w14:paraId="759F3B88" w14:textId="77777777" w:rsidR="00A824AF" w:rsidRPr="00384A1E" w:rsidRDefault="00A824AF" w:rsidP="00A824AF">
      <w:pPr>
        <w:autoSpaceDE w:val="0"/>
        <w:autoSpaceDN w:val="0"/>
        <w:adjustRightInd w:val="0"/>
        <w:rPr>
          <w:rFonts w:cs="Arial"/>
          <w:lang w:val="es-ES_tradnl" w:eastAsia="en-GB"/>
        </w:rPr>
      </w:pPr>
    </w:p>
    <w:p w14:paraId="78BBBFD2" w14:textId="1643CAC0" w:rsidR="00A824AF" w:rsidRPr="00384A1E" w:rsidRDefault="00A824AF" w:rsidP="00A824AF">
      <w:pPr>
        <w:pStyle w:val="Style3"/>
        <w:spacing w:after="0"/>
        <w:rPr>
          <w:rFonts w:cs="Arial"/>
          <w:sz w:val="20"/>
          <w:lang w:val="es-ES_tradnl"/>
        </w:rPr>
      </w:pPr>
      <w:r w:rsidRPr="00384A1E">
        <w:rPr>
          <w:sz w:val="20"/>
          <w:lang w:val="es-ES_tradnl"/>
        </w:rPr>
        <w:t>La UPOV puede recibir ingresos procedentes de fondos extrapresupuestarios (fondos fiduciarios) en divisas e incurrir en gastos en divisas distintas de su moneda funcional (el franco suizo), por lo que está expuesta al riesgo cambiario derivado de las fluctuaciones de los tipos de cambio. La Unión no utiliza instrumentos financieros derivados para cubrir el riesgo cambiario.</w:t>
      </w:r>
    </w:p>
    <w:p w14:paraId="55BADF63" w14:textId="77777777" w:rsidR="00D27DCB" w:rsidRPr="00384A1E" w:rsidRDefault="00D27DCB" w:rsidP="00A824AF">
      <w:pPr>
        <w:rPr>
          <w:rFonts w:cs="Arial"/>
          <w:b/>
          <w:lang w:val="es-ES_tradnl"/>
        </w:rPr>
      </w:pPr>
    </w:p>
    <w:p w14:paraId="7D18BBCB" w14:textId="77777777" w:rsidR="00A824AF" w:rsidRPr="00384A1E" w:rsidRDefault="00A824AF" w:rsidP="00A824AF">
      <w:pPr>
        <w:rPr>
          <w:rFonts w:cs="Arial"/>
          <w:b/>
          <w:bCs/>
          <w:lang w:val="es-ES_tradnl"/>
        </w:rPr>
      </w:pPr>
      <w:r w:rsidRPr="00384A1E">
        <w:rPr>
          <w:b/>
          <w:lang w:val="es-ES_tradnl"/>
        </w:rPr>
        <w:t>Riesgo de mercado</w:t>
      </w:r>
    </w:p>
    <w:p w14:paraId="38E94AFD" w14:textId="77777777" w:rsidR="00A824AF" w:rsidRPr="00384A1E" w:rsidRDefault="00A824AF" w:rsidP="00A824AF">
      <w:pPr>
        <w:rPr>
          <w:rFonts w:cs="Arial"/>
          <w:lang w:val="es-ES_tradnl"/>
        </w:rPr>
      </w:pPr>
    </w:p>
    <w:p w14:paraId="68EEA9A5" w14:textId="77777777" w:rsidR="00A824AF" w:rsidRPr="00384A1E" w:rsidRDefault="00A824AF" w:rsidP="00A824AF">
      <w:pPr>
        <w:rPr>
          <w:rFonts w:cs="Arial"/>
          <w:lang w:val="es-ES_tradnl"/>
        </w:rPr>
      </w:pPr>
      <w:r w:rsidRPr="00384A1E">
        <w:rPr>
          <w:lang w:val="es-ES_tradnl"/>
        </w:rPr>
        <w:t xml:space="preserve">El riesgo de mercado es el riesgo de que varíen los precios de mercado (por ejemplo, los tipos de interés) y dicha variación repercuta en los ingresos o en el valor de los instrumentos financieros que se posean. La UPOV no está expuesta al riesgo de mercado. </w:t>
      </w:r>
    </w:p>
    <w:p w14:paraId="26EF01B3" w14:textId="77777777" w:rsidR="00A824AF" w:rsidRPr="00384A1E" w:rsidRDefault="00A824AF" w:rsidP="0027283B">
      <w:pPr>
        <w:rPr>
          <w:rFonts w:cs="Arial"/>
          <w:b/>
          <w:lang w:val="es-ES_tradnl"/>
        </w:rPr>
      </w:pPr>
    </w:p>
    <w:p w14:paraId="3A20F2F0" w14:textId="77777777" w:rsidR="00A824AF" w:rsidRPr="00384A1E" w:rsidRDefault="00A824AF" w:rsidP="00A824AF">
      <w:pPr>
        <w:rPr>
          <w:rFonts w:cs="Arial"/>
          <w:bCs/>
          <w:caps/>
          <w:lang w:val="es-ES_tradnl"/>
        </w:rPr>
      </w:pPr>
    </w:p>
    <w:p w14:paraId="1D14C2E5" w14:textId="41C5E81D" w:rsidR="00A824AF" w:rsidRPr="00384A1E" w:rsidRDefault="00F45269" w:rsidP="00F45269">
      <w:pPr>
        <w:pStyle w:val="Heading2Notes"/>
        <w:rPr>
          <w:rFonts w:ascii="Arial" w:hAnsi="Arial" w:cs="Arial"/>
          <w:lang w:val="es-ES_tradnl"/>
        </w:rPr>
      </w:pPr>
      <w:bookmarkStart w:id="110" w:name="_Toc84329906"/>
      <w:bookmarkStart w:id="111" w:name="_Toc236922893"/>
      <w:r w:rsidRPr="00384A1E">
        <w:rPr>
          <w:rFonts w:ascii="Arial" w:hAnsi="Arial"/>
          <w:lang w:val="es-ES_tradnl"/>
        </w:rPr>
        <w:t>Nota 16:</w:t>
      </w:r>
      <w:r w:rsidRPr="00384A1E">
        <w:rPr>
          <w:rFonts w:ascii="Arial" w:hAnsi="Arial"/>
          <w:lang w:val="es-ES_tradnl"/>
        </w:rPr>
        <w:tab/>
        <w:t>Acontecimientos posteriores a la fecha del informe</w:t>
      </w:r>
      <w:bookmarkEnd w:id="110"/>
      <w:bookmarkEnd w:id="111"/>
    </w:p>
    <w:p w14:paraId="1E2F659C" w14:textId="31736CB3" w:rsidR="00ED5C63" w:rsidRPr="00384A1E" w:rsidRDefault="00ED5C63" w:rsidP="00A824AF">
      <w:pPr>
        <w:pStyle w:val="Styletexte"/>
        <w:spacing w:after="0"/>
        <w:rPr>
          <w:rFonts w:cs="Arial"/>
          <w:sz w:val="20"/>
          <w:lang w:val="es-ES_tradnl"/>
        </w:rPr>
      </w:pPr>
    </w:p>
    <w:p w14:paraId="421D2ACE" w14:textId="60667B7F" w:rsidR="00ED5C63" w:rsidRPr="00384A1E" w:rsidRDefault="00ED5C63" w:rsidP="00ED5C63">
      <w:pPr>
        <w:rPr>
          <w:rFonts w:cs="Arial"/>
          <w:lang w:val="es-ES_tradnl"/>
        </w:rPr>
      </w:pPr>
      <w:r w:rsidRPr="00384A1E">
        <w:rPr>
          <w:lang w:val="es-ES_tradnl"/>
        </w:rPr>
        <w:t>La fecha de cierre de los estados financieros de la UPOV es el 31 de diciembre de 2025 y su publicación ha sido autorizada en la misma fecha que el dictamen del auditor externo.</w:t>
      </w:r>
    </w:p>
    <w:p w14:paraId="08A2AD64" w14:textId="77777777" w:rsidR="004F602A" w:rsidRPr="00384A1E" w:rsidRDefault="004F602A" w:rsidP="004F602A">
      <w:pPr>
        <w:rPr>
          <w:lang w:val="es-ES_tradnl"/>
        </w:rPr>
      </w:pPr>
    </w:p>
    <w:p w14:paraId="14F4CC3A" w14:textId="235A3E04" w:rsidR="00B86F58" w:rsidRPr="00384A1E" w:rsidRDefault="00ED5C63" w:rsidP="005B722A">
      <w:pPr>
        <w:rPr>
          <w:rFonts w:cs="Arial"/>
          <w:lang w:val="es-ES_tradnl"/>
        </w:rPr>
      </w:pPr>
      <w:r w:rsidRPr="00384A1E">
        <w:rPr>
          <w:lang w:val="es-ES_tradnl"/>
        </w:rPr>
        <w:t>No se ha producido ningún hecho, favorable o desfavorable, que haya podido incidir de manera significativa en los estados financieros entre la fecha de cierre y la fecha de autorización de su publicación.</w:t>
      </w:r>
    </w:p>
    <w:p w14:paraId="6233A614" w14:textId="77777777" w:rsidR="0083567E" w:rsidRPr="00384A1E" w:rsidRDefault="0083567E" w:rsidP="005B722A">
      <w:pPr>
        <w:rPr>
          <w:rFonts w:cs="Arial"/>
          <w:lang w:val="es-ES_tradnl"/>
        </w:rPr>
      </w:pPr>
    </w:p>
    <w:p w14:paraId="65346E27" w14:textId="77777777" w:rsidR="0083567E" w:rsidRPr="00384A1E" w:rsidRDefault="0083567E" w:rsidP="005B722A">
      <w:pPr>
        <w:rPr>
          <w:lang w:val="es-ES_tradnl"/>
        </w:rPr>
      </w:pPr>
    </w:p>
    <w:p w14:paraId="78B66264" w14:textId="696D1B05" w:rsidR="00FE36B7" w:rsidRPr="00384A1E" w:rsidRDefault="00325133" w:rsidP="00325133">
      <w:pPr>
        <w:jc w:val="right"/>
        <w:rPr>
          <w:rFonts w:cs="Arial"/>
          <w:lang w:val="es-ES_tradnl"/>
        </w:rPr>
      </w:pPr>
      <w:r w:rsidRPr="00384A1E">
        <w:rPr>
          <w:lang w:val="es-ES_tradnl"/>
        </w:rPr>
        <w:t>[Sigue el Apéndice]</w:t>
      </w:r>
    </w:p>
    <w:p w14:paraId="60E2CE12" w14:textId="77777777" w:rsidR="00FE36B7" w:rsidRPr="00384A1E" w:rsidRDefault="00FE36B7">
      <w:pPr>
        <w:jc w:val="left"/>
        <w:rPr>
          <w:rFonts w:cs="Arial"/>
          <w:lang w:val="es-ES_tradnl"/>
        </w:rPr>
      </w:pPr>
    </w:p>
    <w:p w14:paraId="760E3AD0" w14:textId="77777777" w:rsidR="006B2A71" w:rsidRPr="00384A1E" w:rsidRDefault="006B2A71">
      <w:pPr>
        <w:jc w:val="left"/>
        <w:rPr>
          <w:rFonts w:cs="Arial"/>
          <w:lang w:val="es-ES_tradnl"/>
        </w:rPr>
        <w:sectPr w:rsidR="006B2A71" w:rsidRPr="00384A1E" w:rsidSect="00384A1E">
          <w:headerReference w:type="even" r:id="rId48"/>
          <w:headerReference w:type="default" r:id="rId49"/>
          <w:footerReference w:type="even" r:id="rId50"/>
          <w:footerReference w:type="default" r:id="rId51"/>
          <w:headerReference w:type="first" r:id="rId52"/>
          <w:footerReference w:type="first" r:id="rId53"/>
          <w:footnotePr>
            <w:numRestart w:val="eachPage"/>
          </w:footnotePr>
          <w:pgSz w:w="11907" w:h="16840" w:code="9"/>
          <w:pgMar w:top="567" w:right="1134" w:bottom="1134" w:left="1134" w:header="510" w:footer="1021" w:gutter="0"/>
          <w:pgNumType w:start="1"/>
          <w:cols w:space="720"/>
          <w:titlePg/>
          <w:docGrid w:linePitch="272"/>
        </w:sectPr>
      </w:pPr>
    </w:p>
    <w:p w14:paraId="662C9B3D" w14:textId="77777777" w:rsidR="00E3221D" w:rsidRDefault="00A63A09" w:rsidP="00E3221D">
      <w:pPr>
        <w:jc w:val="center"/>
        <w:rPr>
          <w:lang w:val="es-ES_tradnl"/>
        </w:rPr>
      </w:pPr>
      <w:bookmarkStart w:id="112" w:name="_Toc225437486"/>
      <w:r w:rsidRPr="00E3221D">
        <w:rPr>
          <w:lang w:val="es-ES_tradnl"/>
        </w:rPr>
        <w:lastRenderedPageBreak/>
        <w:t>APÉNDICE</w:t>
      </w:r>
    </w:p>
    <w:p w14:paraId="079F2C36" w14:textId="77777777" w:rsidR="00E3221D" w:rsidRDefault="00E3221D" w:rsidP="00E3221D">
      <w:pPr>
        <w:jc w:val="center"/>
        <w:rPr>
          <w:lang w:val="es-ES_tradnl"/>
        </w:rPr>
      </w:pPr>
    </w:p>
    <w:p w14:paraId="0A8004C7" w14:textId="137B8548" w:rsidR="000A6447" w:rsidRPr="00384A1E" w:rsidRDefault="00A63A09" w:rsidP="00E3221D">
      <w:pPr>
        <w:jc w:val="center"/>
        <w:rPr>
          <w:rFonts w:cs="Arial"/>
          <w:lang w:val="es-ES_tradnl"/>
        </w:rPr>
      </w:pPr>
      <w:r w:rsidRPr="00E3221D">
        <w:rPr>
          <w:lang w:val="es-ES_tradnl"/>
        </w:rPr>
        <w:t xml:space="preserve">PAGOS A TÍTULO GRACIABLE </w:t>
      </w:r>
      <w:r w:rsidR="00E3221D">
        <w:rPr>
          <w:lang w:val="es-ES_tradnl"/>
        </w:rPr>
        <w:br/>
      </w:r>
      <w:r w:rsidRPr="00E3221D">
        <w:rPr>
          <w:lang w:val="es-ES_tradnl"/>
        </w:rPr>
        <w:t>(información auditada)</w:t>
      </w:r>
      <w:bookmarkEnd w:id="112"/>
    </w:p>
    <w:p w14:paraId="459B5298" w14:textId="77777777" w:rsidR="00325133" w:rsidRDefault="00325133" w:rsidP="000A6447">
      <w:pPr>
        <w:rPr>
          <w:lang w:val="es-ES_tradnl"/>
        </w:rPr>
      </w:pPr>
    </w:p>
    <w:p w14:paraId="30C7207D" w14:textId="77777777" w:rsidR="00423F20" w:rsidRPr="00384A1E" w:rsidRDefault="00423F20" w:rsidP="000A6447">
      <w:pPr>
        <w:rPr>
          <w:lang w:val="es-ES_tradnl"/>
        </w:rPr>
      </w:pPr>
    </w:p>
    <w:p w14:paraId="73A79A7A" w14:textId="4F93EDE5" w:rsidR="00A824AF" w:rsidRPr="00384A1E" w:rsidRDefault="000A6447" w:rsidP="00384A1E">
      <w:pPr>
        <w:spacing w:after="600"/>
        <w:rPr>
          <w:rFonts w:cs="Arial"/>
          <w:lang w:val="es-ES_tradnl"/>
        </w:rPr>
      </w:pPr>
      <w:r w:rsidRPr="00384A1E">
        <w:rPr>
          <w:lang w:val="es-ES_tradnl"/>
        </w:rPr>
        <w:t xml:space="preserve">En el artículo 5.10 del Reglamento Financiero se estipula que en los estados financieros anuales de la </w:t>
      </w:r>
      <w:r w:rsidR="00B76FC2">
        <w:rPr>
          <w:lang w:val="es-ES_tradnl"/>
        </w:rPr>
        <w:t xml:space="preserve">UPOV </w:t>
      </w:r>
      <w:r w:rsidRPr="00384A1E">
        <w:rPr>
          <w:lang w:val="es-ES_tradnl"/>
        </w:rPr>
        <w:t>deberá incluirse un estado resumido de todos los pagos a título graciable correspondientes al año civil. En</w:t>
      </w:r>
      <w:r w:rsidR="00B76FC2">
        <w:rPr>
          <w:lang w:val="es-ES_tradnl"/>
        </w:rPr>
        <w:t> </w:t>
      </w:r>
      <w:r w:rsidRPr="00384A1E">
        <w:rPr>
          <w:lang w:val="es-ES_tradnl"/>
        </w:rPr>
        <w:t>2025 no se realizaron pagos de ese tipo, por lo que no es necesario incluir un estado resumido al respecto.</w:t>
      </w:r>
    </w:p>
    <w:p w14:paraId="4FE80AB5" w14:textId="1E37026F" w:rsidR="00B76B83" w:rsidRPr="00384A1E" w:rsidRDefault="00B76B83">
      <w:pPr>
        <w:jc w:val="right"/>
        <w:rPr>
          <w:rFonts w:cs="Arial"/>
          <w:lang w:val="es-ES_tradnl"/>
        </w:rPr>
      </w:pPr>
      <w:r w:rsidRPr="00384A1E">
        <w:rPr>
          <w:lang w:val="es-ES_tradnl"/>
        </w:rPr>
        <w:t xml:space="preserve">[Fin del </w:t>
      </w:r>
      <w:r w:rsidR="00E3221D">
        <w:rPr>
          <w:lang w:val="es-ES_tradnl"/>
        </w:rPr>
        <w:t>Apéndice</w:t>
      </w:r>
      <w:r w:rsidRPr="00384A1E">
        <w:rPr>
          <w:lang w:val="es-ES_tradnl"/>
        </w:rPr>
        <w:t xml:space="preserve"> y del documento]</w:t>
      </w:r>
    </w:p>
    <w:sectPr w:rsidR="00B76B83" w:rsidRPr="00384A1E" w:rsidSect="00E3221D">
      <w:headerReference w:type="default" r:id="rId54"/>
      <w:headerReference w:type="first" r:id="rId55"/>
      <w:footnotePr>
        <w:numRestart w:val="eachPage"/>
      </w:footnotePr>
      <w:pgSz w:w="11907" w:h="16840" w:code="9"/>
      <w:pgMar w:top="510" w:right="1107" w:bottom="810" w:left="1134" w:header="51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354AA" w14:textId="77777777" w:rsidR="00851065" w:rsidRDefault="00851065" w:rsidP="006655D3">
      <w:r>
        <w:separator/>
      </w:r>
    </w:p>
    <w:p w14:paraId="43A3BC06" w14:textId="77777777" w:rsidR="00851065" w:rsidRDefault="00851065" w:rsidP="006655D3"/>
    <w:p w14:paraId="7B7109D8" w14:textId="77777777" w:rsidR="00851065" w:rsidRDefault="00851065" w:rsidP="006655D3"/>
  </w:endnote>
  <w:endnote w:type="continuationSeparator" w:id="0">
    <w:p w14:paraId="4A37AF0C" w14:textId="77777777" w:rsidR="00851065" w:rsidRDefault="00851065" w:rsidP="006655D3">
      <w:r>
        <w:separator/>
      </w:r>
    </w:p>
    <w:p w14:paraId="554329B0" w14:textId="77777777" w:rsidR="00851065" w:rsidRPr="00294751" w:rsidRDefault="00851065">
      <w:pPr>
        <w:pStyle w:val="Footer"/>
        <w:spacing w:after="60"/>
        <w:rPr>
          <w:sz w:val="18"/>
          <w:lang w:val="fr-FR"/>
        </w:rPr>
      </w:pPr>
      <w:r w:rsidRPr="00294751">
        <w:rPr>
          <w:sz w:val="18"/>
          <w:lang w:val="fr-FR"/>
        </w:rPr>
        <w:t>[Suite de la note de la page précédente]</w:t>
      </w:r>
    </w:p>
    <w:p w14:paraId="0CA325F9" w14:textId="77777777" w:rsidR="00851065" w:rsidRPr="00294751" w:rsidRDefault="00851065" w:rsidP="006655D3">
      <w:pPr>
        <w:rPr>
          <w:lang w:val="fr-FR"/>
        </w:rPr>
      </w:pPr>
    </w:p>
    <w:p w14:paraId="69F47D8C" w14:textId="77777777" w:rsidR="00851065" w:rsidRPr="00294751" w:rsidRDefault="00851065" w:rsidP="006655D3">
      <w:pPr>
        <w:rPr>
          <w:lang w:val="fr-FR"/>
        </w:rPr>
      </w:pPr>
    </w:p>
  </w:endnote>
  <w:endnote w:type="continuationNotice" w:id="1">
    <w:p w14:paraId="740B60F3" w14:textId="77777777" w:rsidR="00851065" w:rsidRPr="00294751" w:rsidRDefault="00851065" w:rsidP="006655D3">
      <w:pPr>
        <w:rPr>
          <w:lang w:val="fr-FR"/>
        </w:rPr>
      </w:pPr>
      <w:r w:rsidRPr="00294751">
        <w:rPr>
          <w:lang w:val="fr-FR"/>
        </w:rPr>
        <w:t>[Suite de la note page suivante]</w:t>
      </w:r>
    </w:p>
    <w:p w14:paraId="73934395" w14:textId="77777777" w:rsidR="00851065" w:rsidRPr="00294751" w:rsidRDefault="00851065" w:rsidP="006655D3">
      <w:pPr>
        <w:rPr>
          <w:lang w:val="fr-FR"/>
        </w:rPr>
      </w:pPr>
    </w:p>
    <w:p w14:paraId="7394AE53" w14:textId="77777777" w:rsidR="00851065" w:rsidRPr="00294751" w:rsidRDefault="00851065"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F85E5" w14:textId="37686A98" w:rsidR="006F75BE" w:rsidRDefault="006F75BE" w:rsidP="001C7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4999" w14:textId="6F2F1C17" w:rsidR="006F75BE" w:rsidRDefault="006F7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D9F1" w14:textId="3BCE2A07" w:rsidR="006F75BE" w:rsidRDefault="006F7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EEE6A" w14:textId="77777777" w:rsidR="00851065" w:rsidRDefault="00851065" w:rsidP="006655D3">
      <w:r>
        <w:separator/>
      </w:r>
    </w:p>
  </w:footnote>
  <w:footnote w:type="continuationSeparator" w:id="0">
    <w:p w14:paraId="009882A2" w14:textId="77777777" w:rsidR="00851065" w:rsidRDefault="00851065" w:rsidP="006655D3">
      <w:r>
        <w:separator/>
      </w:r>
    </w:p>
  </w:footnote>
  <w:footnote w:type="continuationNotice" w:id="1">
    <w:p w14:paraId="0489F31A" w14:textId="77777777" w:rsidR="00851065" w:rsidRPr="00AB530F" w:rsidRDefault="00851065" w:rsidP="00AB530F">
      <w:pPr>
        <w:pStyle w:val="Footer"/>
      </w:pPr>
    </w:p>
  </w:footnote>
  <w:footnote w:id="2">
    <w:p w14:paraId="029D0DAA" w14:textId="77777777" w:rsidR="003568AB" w:rsidRPr="00C511E0" w:rsidRDefault="003568AB" w:rsidP="003568AB">
      <w:pPr>
        <w:pStyle w:val="FootnoteText"/>
        <w:rPr>
          <w:sz w:val="14"/>
          <w:szCs w:val="18"/>
        </w:rPr>
      </w:pPr>
      <w:r>
        <w:rPr>
          <w:rStyle w:val="FootnoteReference"/>
        </w:rPr>
        <w:footnoteRef/>
      </w:r>
      <w:r>
        <w:t xml:space="preserve"> </w:t>
      </w:r>
      <w:r w:rsidRPr="00C511E0">
        <w:rPr>
          <w:szCs w:val="18"/>
        </w:rPr>
        <w:t>La sección 7 de este documento ofrece más detalles.</w:t>
      </w:r>
    </w:p>
  </w:footnote>
  <w:footnote w:id="3">
    <w:p w14:paraId="5E21E34F" w14:textId="77777777" w:rsidR="003568AB" w:rsidRPr="00C511E0" w:rsidRDefault="003568AB" w:rsidP="003568AB">
      <w:pPr>
        <w:pStyle w:val="FootnoteText"/>
        <w:rPr>
          <w:sz w:val="14"/>
          <w:szCs w:val="18"/>
          <w:lang w:val="en-US"/>
        </w:rPr>
      </w:pPr>
      <w:r>
        <w:rPr>
          <w:rStyle w:val="FootnoteReference"/>
        </w:rPr>
        <w:footnoteRef/>
      </w:r>
      <w:r w:rsidRPr="006C1646">
        <w:rPr>
          <w:lang w:val="en-US"/>
        </w:rPr>
        <w:t xml:space="preserve"> </w:t>
      </w:r>
      <w:r w:rsidRPr="00C511E0">
        <w:rPr>
          <w:i/>
          <w:iCs/>
          <w:szCs w:val="18"/>
          <w:lang w:val="en-US"/>
        </w:rPr>
        <w:t>Committee of Sponsoring Organizations of the Treadway Commission</w:t>
      </w:r>
    </w:p>
  </w:footnote>
  <w:footnote w:id="4">
    <w:p w14:paraId="551A4284" w14:textId="5EC7BBE3" w:rsidR="003568AB" w:rsidRPr="00C511E0" w:rsidRDefault="003568AB" w:rsidP="003568AB">
      <w:pPr>
        <w:pStyle w:val="FootnoteText"/>
        <w:rPr>
          <w:sz w:val="14"/>
          <w:szCs w:val="18"/>
          <w:lang w:val="en-US"/>
        </w:rPr>
      </w:pPr>
      <w:r>
        <w:rPr>
          <w:rStyle w:val="FootnoteReference"/>
        </w:rPr>
        <w:footnoteRef/>
      </w:r>
      <w:r w:rsidRPr="006C1646">
        <w:rPr>
          <w:lang w:val="en-US"/>
        </w:rPr>
        <w:t xml:space="preserve"> </w:t>
      </w:r>
      <w:hyperlink r:id="rId1" w:history="1">
        <w:r w:rsidR="00C511E0" w:rsidRPr="00D12D39">
          <w:rPr>
            <w:rStyle w:val="Hyperlink"/>
            <w:szCs w:val="18"/>
            <w:lang w:val="en-US"/>
          </w:rPr>
          <w:t>https://www.theiia.org/globalassets/site/about-us/advocacy/three-lines-model-updated.pdf</w:t>
        </w:r>
      </w:hyperlink>
      <w:r w:rsidR="00C511E0">
        <w:rPr>
          <w:szCs w:val="18"/>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4EE58" w14:textId="77777777" w:rsidR="006F75BE" w:rsidRPr="00C5280D" w:rsidRDefault="006F75BE" w:rsidP="001C7937">
    <w:pPr>
      <w:pStyle w:val="Header"/>
      <w:rPr>
        <w:rStyle w:val="PageNumber"/>
      </w:rPr>
    </w:pPr>
    <w:r>
      <w:rPr>
        <w:rStyle w:val="PageNumber"/>
      </w:rPr>
      <w:t>C/51/</w:t>
    </w:r>
  </w:p>
  <w:p w14:paraId="3578952A" w14:textId="470316A7" w:rsidR="006F75BE" w:rsidRPr="00C5280D" w:rsidRDefault="006F75BE" w:rsidP="001C7937">
    <w:pPr>
      <w:pStyle w:val="Header"/>
    </w:pPr>
    <w:r>
      <w:t xml:space="preserve">página </w:t>
    </w:r>
    <w:r w:rsidRPr="00C5280D">
      <w:rPr>
        <w:rStyle w:val="PageNumber"/>
      </w:rPr>
      <w:fldChar w:fldCharType="begin"/>
    </w:r>
    <w:r w:rsidRPr="00C5280D">
      <w:rPr>
        <w:rStyle w:val="PageNumber"/>
      </w:rPr>
      <w:instrText xml:space="preserve"> PAGE </w:instrText>
    </w:r>
    <w:r w:rsidRPr="00C5280D">
      <w:rPr>
        <w:rStyle w:val="PageNumber"/>
      </w:rPr>
      <w:fldChar w:fldCharType="separate"/>
    </w:r>
    <w:r>
      <w:rPr>
        <w:rStyle w:val="PageNumber"/>
      </w:rPr>
      <w:t>1</w:t>
    </w:r>
    <w:r w:rsidRPr="00C5280D">
      <w:rPr>
        <w:rStyle w:val="PageNumber"/>
      </w:rPr>
      <w:fldChar w:fldCharType="end"/>
    </w:r>
  </w:p>
  <w:p w14:paraId="6DFF3503" w14:textId="77777777" w:rsidR="006F75BE" w:rsidRPr="00C5280D" w:rsidRDefault="006F75BE" w:rsidP="001C79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3BC95" w14:textId="77777777" w:rsidR="006F75BE" w:rsidRPr="00C5280D" w:rsidRDefault="006F75BE" w:rsidP="00EB048E">
    <w:pPr>
      <w:pStyle w:val="Header"/>
      <w:rPr>
        <w:rStyle w:val="PageNumber"/>
      </w:rPr>
    </w:pPr>
    <w:r>
      <w:rPr>
        <w:rStyle w:val="PageNumber"/>
      </w:rPr>
      <w:t>C/51/</w:t>
    </w:r>
  </w:p>
  <w:p w14:paraId="6D9673AC" w14:textId="36604E3F" w:rsidR="006F75BE" w:rsidRPr="00C5280D" w:rsidRDefault="006F75BE" w:rsidP="00EB048E">
    <w:pPr>
      <w:pStyle w:val="Header"/>
    </w:pPr>
    <w:r>
      <w:t xml:space="preserve">página </w:t>
    </w:r>
    <w:r w:rsidRPr="00C5280D">
      <w:rPr>
        <w:rStyle w:val="PageNumber"/>
      </w:rPr>
      <w:fldChar w:fldCharType="begin"/>
    </w:r>
    <w:r w:rsidRPr="00C5280D">
      <w:rPr>
        <w:rStyle w:val="PageNumber"/>
      </w:rPr>
      <w:instrText xml:space="preserve"> PAGE </w:instrText>
    </w:r>
    <w:r w:rsidRPr="00C5280D">
      <w:rPr>
        <w:rStyle w:val="PageNumber"/>
      </w:rPr>
      <w:fldChar w:fldCharType="separate"/>
    </w:r>
    <w:r>
      <w:rPr>
        <w:rStyle w:val="PageNumber"/>
      </w:rPr>
      <w:t>1</w:t>
    </w:r>
    <w:r w:rsidRPr="00C5280D">
      <w:rPr>
        <w:rStyle w:val="PageNumber"/>
      </w:rPr>
      <w:fldChar w:fldCharType="end"/>
    </w:r>
  </w:p>
  <w:p w14:paraId="3FE07BA1" w14:textId="77777777" w:rsidR="006F75BE" w:rsidRPr="00C5280D" w:rsidRDefault="006F75BE" w:rsidP="006655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1DDE" w14:textId="25907D2B" w:rsidR="006F75BE" w:rsidRPr="00C5280D" w:rsidRDefault="006F75BE" w:rsidP="001C7937">
    <w:pPr>
      <w:pStyle w:val="Header"/>
      <w:rPr>
        <w:rStyle w:val="PageNumber"/>
      </w:rPr>
    </w:pPr>
    <w:r>
      <w:rPr>
        <w:rStyle w:val="PageNumber"/>
      </w:rPr>
      <w:t>C/60/9</w:t>
    </w:r>
  </w:p>
  <w:p w14:paraId="2B2F853F" w14:textId="74C48E19" w:rsidR="006F75BE" w:rsidRPr="00C5280D" w:rsidRDefault="006F75BE" w:rsidP="001C7937">
    <w:pPr>
      <w:pStyle w:val="Header"/>
    </w:pPr>
    <w:r>
      <w:t xml:space="preserve">Anexo, página </w:t>
    </w:r>
    <w:r w:rsidRPr="00C5280D">
      <w:rPr>
        <w:rStyle w:val="PageNumber"/>
      </w:rPr>
      <w:fldChar w:fldCharType="begin"/>
    </w:r>
    <w:r w:rsidRPr="00C5280D">
      <w:rPr>
        <w:rStyle w:val="PageNumber"/>
      </w:rPr>
      <w:instrText xml:space="preserve"> PAGE </w:instrText>
    </w:r>
    <w:r w:rsidRPr="00C5280D">
      <w:rPr>
        <w:rStyle w:val="PageNumber"/>
      </w:rPr>
      <w:fldChar w:fldCharType="separate"/>
    </w:r>
    <w:r w:rsidR="004937D3">
      <w:rPr>
        <w:rStyle w:val="PageNumber"/>
      </w:rPr>
      <w:t>30</w:t>
    </w:r>
    <w:r w:rsidRPr="00C5280D">
      <w:rPr>
        <w:rStyle w:val="PageNumber"/>
      </w:rPr>
      <w:fldChar w:fldCharType="end"/>
    </w:r>
  </w:p>
  <w:p w14:paraId="5917932F" w14:textId="77777777" w:rsidR="006F75BE" w:rsidRPr="00C5280D" w:rsidRDefault="006F75BE" w:rsidP="001C793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1EB8" w14:textId="5341D6FC" w:rsidR="00130D5E" w:rsidRPr="00C5280D" w:rsidRDefault="00130D5E" w:rsidP="00384A1E">
    <w:pPr>
      <w:pStyle w:val="Header"/>
      <w:rPr>
        <w:rStyle w:val="PageNumber"/>
      </w:rPr>
    </w:pPr>
    <w:r>
      <w:rPr>
        <w:rStyle w:val="PageNumber"/>
      </w:rPr>
      <w:t>C/60/9</w:t>
    </w:r>
  </w:p>
  <w:p w14:paraId="56B234EF" w14:textId="316F9D98" w:rsidR="00130D5E" w:rsidRPr="00C5280D" w:rsidRDefault="00FE09A1" w:rsidP="00384A1E">
    <w:pPr>
      <w:pStyle w:val="Header"/>
    </w:pPr>
    <w:r>
      <w:t xml:space="preserve">Anexo, página </w:t>
    </w:r>
    <w:r w:rsidR="00130D5E" w:rsidRPr="00C5280D">
      <w:rPr>
        <w:rStyle w:val="PageNumber"/>
      </w:rPr>
      <w:fldChar w:fldCharType="begin"/>
    </w:r>
    <w:r w:rsidR="00130D5E" w:rsidRPr="00C5280D">
      <w:rPr>
        <w:rStyle w:val="PageNumber"/>
      </w:rPr>
      <w:instrText xml:space="preserve"> PAGE </w:instrText>
    </w:r>
    <w:r w:rsidR="00130D5E" w:rsidRPr="00C5280D">
      <w:rPr>
        <w:rStyle w:val="PageNumber"/>
      </w:rPr>
      <w:fldChar w:fldCharType="separate"/>
    </w:r>
    <w:r w:rsidR="00130D5E">
      <w:rPr>
        <w:rStyle w:val="PageNumber"/>
      </w:rPr>
      <w:t>1</w:t>
    </w:r>
    <w:r w:rsidR="00130D5E" w:rsidRPr="00C5280D">
      <w:rPr>
        <w:rStyle w:val="PageNumber"/>
      </w:rPr>
      <w:fldChar w:fldCharType="end"/>
    </w:r>
  </w:p>
  <w:p w14:paraId="0DA5A898" w14:textId="77777777" w:rsidR="00130D5E" w:rsidRPr="00C5280D" w:rsidRDefault="00130D5E" w:rsidP="00384A1E">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D2B6" w14:textId="78960AB8" w:rsidR="006F75BE" w:rsidRDefault="006F75BE">
    <w:pPr>
      <w:pStyle w:val="Header"/>
    </w:pPr>
    <w:r>
      <w:t>C/60/9</w:t>
    </w:r>
  </w:p>
  <w:p w14:paraId="196E429F" w14:textId="77777777" w:rsidR="006F75BE" w:rsidRDefault="006F75BE">
    <w:pPr>
      <w:pStyle w:val="Header"/>
    </w:pPr>
  </w:p>
  <w:p w14:paraId="35FE9193" w14:textId="7CC95CCB" w:rsidR="006F75BE" w:rsidRDefault="006F75BE">
    <w:pPr>
      <w:pStyle w:val="Header"/>
    </w:pPr>
    <w:r>
      <w:t>ANEXO</w:t>
    </w:r>
  </w:p>
  <w:p w14:paraId="022376A5" w14:textId="77777777" w:rsidR="006F75BE" w:rsidRDefault="006F75BE">
    <w:pPr>
      <w:pStyle w:val="Header"/>
    </w:pPr>
  </w:p>
  <w:p w14:paraId="258B3AEF" w14:textId="77777777" w:rsidR="006F75BE" w:rsidRDefault="006F75B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B3E56" w14:textId="77777777" w:rsidR="00E3221D" w:rsidRPr="00C5280D" w:rsidRDefault="00E3221D" w:rsidP="00384A1E">
    <w:pPr>
      <w:pStyle w:val="Header"/>
      <w:rPr>
        <w:rStyle w:val="PageNumber"/>
      </w:rPr>
    </w:pPr>
    <w:r>
      <w:rPr>
        <w:rStyle w:val="PageNumber"/>
      </w:rPr>
      <w:t>C/60/9</w:t>
    </w:r>
  </w:p>
  <w:p w14:paraId="0E8348DB" w14:textId="77777777" w:rsidR="00E3221D" w:rsidRPr="00C5280D" w:rsidRDefault="00E3221D" w:rsidP="00384A1E">
    <w:pPr>
      <w:pStyle w:val="Header"/>
    </w:pPr>
    <w:r>
      <w:t xml:space="preserve">Anexo, página </w:t>
    </w:r>
    <w:r w:rsidRPr="00C5280D">
      <w:rPr>
        <w:rStyle w:val="PageNumber"/>
      </w:rPr>
      <w:fldChar w:fldCharType="begin"/>
    </w:r>
    <w:r w:rsidRPr="00C5280D">
      <w:rPr>
        <w:rStyle w:val="PageNumber"/>
      </w:rPr>
      <w:instrText xml:space="preserve"> PAGE </w:instrText>
    </w:r>
    <w:r w:rsidRPr="00C5280D">
      <w:rPr>
        <w:rStyle w:val="PageNumber"/>
      </w:rPr>
      <w:fldChar w:fldCharType="separate"/>
    </w:r>
    <w:r>
      <w:rPr>
        <w:rStyle w:val="PageNumber"/>
      </w:rPr>
      <w:t>1</w:t>
    </w:r>
    <w:r w:rsidRPr="00C5280D">
      <w:rPr>
        <w:rStyle w:val="PageNumber"/>
      </w:rPr>
      <w:fldChar w:fldCharType="end"/>
    </w:r>
  </w:p>
  <w:p w14:paraId="5D8EA457" w14:textId="77777777" w:rsidR="00E3221D" w:rsidRPr="00C5280D" w:rsidRDefault="00E3221D" w:rsidP="00384A1E">
    <w:pP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2FB3" w14:textId="77777777" w:rsidR="00F87612" w:rsidRDefault="00F87612">
    <w:pPr>
      <w:pStyle w:val="Header"/>
    </w:pPr>
    <w:r>
      <w:t>C/60/9</w:t>
    </w:r>
  </w:p>
  <w:p w14:paraId="7F41856B" w14:textId="77777777" w:rsidR="00F87612" w:rsidRDefault="00F876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1A71B59"/>
    <w:multiLevelType w:val="multilevel"/>
    <w:tmpl w:val="77EC272E"/>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5061A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85E3CB9"/>
    <w:multiLevelType w:val="hybridMultilevel"/>
    <w:tmpl w:val="435CAD46"/>
    <w:lvl w:ilvl="0" w:tplc="E9587A26">
      <w:start w:val="17"/>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990"/>
    <w:multiLevelType w:val="hybridMultilevel"/>
    <w:tmpl w:val="FDC4CC0A"/>
    <w:lvl w:ilvl="0" w:tplc="F8EE8656">
      <w:start w:val="20"/>
      <w:numFmt w:val="decimal"/>
      <w:lvlText w:val="%1."/>
      <w:lvlJc w:val="left"/>
      <w:pPr>
        <w:tabs>
          <w:tab w:val="num" w:pos="1080"/>
        </w:tabs>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1620A"/>
    <w:multiLevelType w:val="hybridMultilevel"/>
    <w:tmpl w:val="EEB07C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497991"/>
    <w:multiLevelType w:val="hybridMultilevel"/>
    <w:tmpl w:val="77EC272E"/>
    <w:lvl w:ilvl="0" w:tplc="A2B2309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501C7A"/>
    <w:multiLevelType w:val="hybridMultilevel"/>
    <w:tmpl w:val="F6B29018"/>
    <w:lvl w:ilvl="0" w:tplc="90BADC22">
      <w:start w:val="1"/>
      <w:numFmt w:val="decimal"/>
      <w:lvlText w:val="%1."/>
      <w:lvlJc w:val="left"/>
      <w:pPr>
        <w:ind w:left="720" w:hanging="360"/>
      </w:pPr>
      <w:rPr>
        <w:rFonts w:eastAsia="Times New Roman" w:hint="default"/>
        <w:b/>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F53B2"/>
    <w:multiLevelType w:val="hybridMultilevel"/>
    <w:tmpl w:val="12D4B8F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1506326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7414C1C"/>
    <w:multiLevelType w:val="hybridMultilevel"/>
    <w:tmpl w:val="A0AC9662"/>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7D50D2D"/>
    <w:multiLevelType w:val="hybridMultilevel"/>
    <w:tmpl w:val="E8C20A98"/>
    <w:lvl w:ilvl="0" w:tplc="44D4C52E">
      <w:start w:val="1"/>
      <w:numFmt w:val="lowerRoman"/>
      <w:lvlText w:val="%1)"/>
      <w:lvlJc w:val="left"/>
      <w:pPr>
        <w:ind w:left="720" w:hanging="360"/>
      </w:pPr>
      <w:rPr>
        <w:rFonts w:hint="default"/>
        <w:spacing w:val="-1"/>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004BC"/>
    <w:multiLevelType w:val="hybridMultilevel"/>
    <w:tmpl w:val="5CC8E256"/>
    <w:lvl w:ilvl="0" w:tplc="44D4C52E">
      <w:start w:val="1"/>
      <w:numFmt w:val="lowerRoman"/>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9F1709"/>
    <w:multiLevelType w:val="hybridMultilevel"/>
    <w:tmpl w:val="D7907222"/>
    <w:lvl w:ilvl="0" w:tplc="100C0001">
      <w:start w:val="1"/>
      <w:numFmt w:val="bullet"/>
      <w:lvlText w:val=""/>
      <w:lvlJc w:val="left"/>
      <w:pPr>
        <w:ind w:left="780" w:hanging="360"/>
      </w:pPr>
      <w:rPr>
        <w:rFonts w:ascii="Symbol" w:hAnsi="Symbol" w:hint="default"/>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15" w15:restartNumberingAfterBreak="0">
    <w:nsid w:val="19EC1EFB"/>
    <w:multiLevelType w:val="hybridMultilevel"/>
    <w:tmpl w:val="6966C6F4"/>
    <w:lvl w:ilvl="0" w:tplc="F50080AE">
      <w:start w:val="14"/>
      <w:numFmt w:val="decimal"/>
      <w:lvlText w:val="%1."/>
      <w:lvlJc w:val="left"/>
      <w:pPr>
        <w:ind w:left="720" w:hanging="360"/>
      </w:pPr>
      <w:rPr>
        <w:rFonts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F4DF7"/>
    <w:multiLevelType w:val="hybridMultilevel"/>
    <w:tmpl w:val="9D08B8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1D947070"/>
    <w:multiLevelType w:val="hybridMultilevel"/>
    <w:tmpl w:val="41CE0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D80BD2"/>
    <w:multiLevelType w:val="hybridMultilevel"/>
    <w:tmpl w:val="F82E8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1D7E5A"/>
    <w:multiLevelType w:val="multilevel"/>
    <w:tmpl w:val="EDCC48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F6C1E46"/>
    <w:multiLevelType w:val="hybridMultilevel"/>
    <w:tmpl w:val="A8509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2B544B"/>
    <w:multiLevelType w:val="hybridMultilevel"/>
    <w:tmpl w:val="594E9F74"/>
    <w:lvl w:ilvl="0" w:tplc="44D4C52E">
      <w:start w:val="1"/>
      <w:numFmt w:val="lowerRoman"/>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7BF0BB1"/>
    <w:multiLevelType w:val="hybridMultilevel"/>
    <w:tmpl w:val="2F0A18D4"/>
    <w:lvl w:ilvl="0" w:tplc="3376BD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2DCA6815"/>
    <w:multiLevelType w:val="hybridMultilevel"/>
    <w:tmpl w:val="8CDAE88E"/>
    <w:lvl w:ilvl="0" w:tplc="3D704154">
      <w:start w:val="16"/>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0B1DCD"/>
    <w:multiLevelType w:val="hybridMultilevel"/>
    <w:tmpl w:val="44B67EF2"/>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6E3B0A"/>
    <w:multiLevelType w:val="hybridMultilevel"/>
    <w:tmpl w:val="806085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319C6BC7"/>
    <w:multiLevelType w:val="multilevel"/>
    <w:tmpl w:val="C0A8748A"/>
    <w:lvl w:ilvl="0">
      <w:start w:val="1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2396207"/>
    <w:multiLevelType w:val="hybridMultilevel"/>
    <w:tmpl w:val="F3E06D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AA6329"/>
    <w:multiLevelType w:val="hybridMultilevel"/>
    <w:tmpl w:val="04929822"/>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BD2490"/>
    <w:multiLevelType w:val="multilevel"/>
    <w:tmpl w:val="BE821298"/>
    <w:styleLink w:val="CurrentList2"/>
    <w:lvl w:ilvl="0">
      <w:start w:val="4"/>
      <w:numFmt w:val="decimal"/>
      <w:lvlText w:val="%1."/>
      <w:lvlJc w:val="left"/>
      <w:pPr>
        <w:tabs>
          <w:tab w:val="num" w:pos="1080"/>
        </w:tabs>
        <w:ind w:left="567" w:hanging="567"/>
      </w:pPr>
      <w:rPr>
        <w:rFonts w:ascii="Arial" w:hAnsi="Arial" w:cs="Arial" w:hint="default"/>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60A6F1A"/>
    <w:multiLevelType w:val="hybridMultilevel"/>
    <w:tmpl w:val="F84E59F2"/>
    <w:lvl w:ilvl="0" w:tplc="3072FBD0">
      <w:start w:val="1"/>
      <w:numFmt w:val="lowerRoman"/>
      <w:lvlText w:val="(%1)"/>
      <w:lvlJc w:val="left"/>
      <w:pPr>
        <w:ind w:left="976" w:hanging="720"/>
      </w:pPr>
      <w:rPr>
        <w:rFonts w:ascii="Arial" w:eastAsia="Arial" w:hAnsi="Arial" w:cs="Arial" w:hint="default"/>
        <w:spacing w:val="-1"/>
        <w:w w:val="99"/>
        <w:sz w:val="20"/>
        <w:szCs w:val="20"/>
        <w:lang w:val="en-US" w:eastAsia="en-US" w:bidi="en-US"/>
      </w:rPr>
    </w:lvl>
    <w:lvl w:ilvl="1" w:tplc="19204E78">
      <w:numFmt w:val="bullet"/>
      <w:lvlText w:val=""/>
      <w:lvlJc w:val="left"/>
      <w:pPr>
        <w:ind w:left="976" w:hanging="360"/>
      </w:pPr>
      <w:rPr>
        <w:rFonts w:ascii="Symbol" w:eastAsia="Symbol" w:hAnsi="Symbol" w:cs="Symbol" w:hint="default"/>
        <w:w w:val="99"/>
        <w:sz w:val="20"/>
        <w:szCs w:val="20"/>
        <w:lang w:val="en-US" w:eastAsia="en-US" w:bidi="en-US"/>
      </w:rPr>
    </w:lvl>
    <w:lvl w:ilvl="2" w:tplc="B97A1492">
      <w:numFmt w:val="bullet"/>
      <w:lvlText w:val="•"/>
      <w:lvlJc w:val="left"/>
      <w:pPr>
        <w:ind w:left="2717" w:hanging="360"/>
      </w:pPr>
      <w:rPr>
        <w:lang w:val="en-US" w:eastAsia="en-US" w:bidi="en-US"/>
      </w:rPr>
    </w:lvl>
    <w:lvl w:ilvl="3" w:tplc="95765674">
      <w:numFmt w:val="bullet"/>
      <w:lvlText w:val="•"/>
      <w:lvlJc w:val="left"/>
      <w:pPr>
        <w:ind w:left="3585" w:hanging="360"/>
      </w:pPr>
      <w:rPr>
        <w:lang w:val="en-US" w:eastAsia="en-US" w:bidi="en-US"/>
      </w:rPr>
    </w:lvl>
    <w:lvl w:ilvl="4" w:tplc="F2CC0036">
      <w:numFmt w:val="bullet"/>
      <w:lvlText w:val="•"/>
      <w:lvlJc w:val="left"/>
      <w:pPr>
        <w:ind w:left="4454" w:hanging="360"/>
      </w:pPr>
      <w:rPr>
        <w:lang w:val="en-US" w:eastAsia="en-US" w:bidi="en-US"/>
      </w:rPr>
    </w:lvl>
    <w:lvl w:ilvl="5" w:tplc="5E9E4E36">
      <w:numFmt w:val="bullet"/>
      <w:lvlText w:val="•"/>
      <w:lvlJc w:val="left"/>
      <w:pPr>
        <w:ind w:left="5323" w:hanging="360"/>
      </w:pPr>
      <w:rPr>
        <w:lang w:val="en-US" w:eastAsia="en-US" w:bidi="en-US"/>
      </w:rPr>
    </w:lvl>
    <w:lvl w:ilvl="6" w:tplc="02CA5DE0">
      <w:numFmt w:val="bullet"/>
      <w:lvlText w:val="•"/>
      <w:lvlJc w:val="left"/>
      <w:pPr>
        <w:ind w:left="6191" w:hanging="360"/>
      </w:pPr>
      <w:rPr>
        <w:lang w:val="en-US" w:eastAsia="en-US" w:bidi="en-US"/>
      </w:rPr>
    </w:lvl>
    <w:lvl w:ilvl="7" w:tplc="F5848A9A">
      <w:numFmt w:val="bullet"/>
      <w:lvlText w:val="•"/>
      <w:lvlJc w:val="left"/>
      <w:pPr>
        <w:ind w:left="7060" w:hanging="360"/>
      </w:pPr>
      <w:rPr>
        <w:lang w:val="en-US" w:eastAsia="en-US" w:bidi="en-US"/>
      </w:rPr>
    </w:lvl>
    <w:lvl w:ilvl="8" w:tplc="C9B85180">
      <w:numFmt w:val="bullet"/>
      <w:lvlText w:val="•"/>
      <w:lvlJc w:val="left"/>
      <w:pPr>
        <w:ind w:left="7929" w:hanging="360"/>
      </w:pPr>
      <w:rPr>
        <w:lang w:val="en-US" w:eastAsia="en-US" w:bidi="en-US"/>
      </w:rPr>
    </w:lvl>
  </w:abstractNum>
  <w:abstractNum w:abstractNumId="31" w15:restartNumberingAfterBreak="0">
    <w:nsid w:val="377300E9"/>
    <w:multiLevelType w:val="hybridMultilevel"/>
    <w:tmpl w:val="1E560A1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38A13F76"/>
    <w:multiLevelType w:val="hybridMultilevel"/>
    <w:tmpl w:val="BDAA9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9577A9C"/>
    <w:multiLevelType w:val="hybridMultilevel"/>
    <w:tmpl w:val="41D6134A"/>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9BE7FB4"/>
    <w:multiLevelType w:val="hybridMultilevel"/>
    <w:tmpl w:val="FE860A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3B846A5B"/>
    <w:multiLevelType w:val="hybridMultilevel"/>
    <w:tmpl w:val="DB1EA112"/>
    <w:lvl w:ilvl="0" w:tplc="9A78682A">
      <w:numFmt w:val="bullet"/>
      <w:lvlText w:val=""/>
      <w:lvlJc w:val="left"/>
      <w:pPr>
        <w:ind w:left="360" w:hanging="360"/>
      </w:pPr>
      <w:rPr>
        <w:rFonts w:ascii="Symbol" w:eastAsia="Symbol" w:hAnsi="Symbol" w:cs="Symbol" w:hint="default"/>
        <w:w w:val="99"/>
        <w:sz w:val="20"/>
        <w:szCs w:val="20"/>
        <w:lang w:val="en-US" w:eastAsia="en-US" w:bidi="en-US"/>
      </w:rPr>
    </w:lvl>
    <w:lvl w:ilvl="1" w:tplc="7AA0E29E">
      <w:numFmt w:val="bullet"/>
      <w:lvlText w:val="•"/>
      <w:lvlJc w:val="left"/>
      <w:pPr>
        <w:ind w:left="1244" w:hanging="360"/>
      </w:pPr>
      <w:rPr>
        <w:lang w:val="en-US" w:eastAsia="en-US" w:bidi="en-US"/>
      </w:rPr>
    </w:lvl>
    <w:lvl w:ilvl="2" w:tplc="88F6DCEC">
      <w:numFmt w:val="bullet"/>
      <w:lvlText w:val="•"/>
      <w:lvlJc w:val="left"/>
      <w:pPr>
        <w:ind w:left="2129" w:hanging="360"/>
      </w:pPr>
      <w:rPr>
        <w:lang w:val="en-US" w:eastAsia="en-US" w:bidi="en-US"/>
      </w:rPr>
    </w:lvl>
    <w:lvl w:ilvl="3" w:tplc="C70E1C3A">
      <w:numFmt w:val="bullet"/>
      <w:lvlText w:val="•"/>
      <w:lvlJc w:val="left"/>
      <w:pPr>
        <w:ind w:left="3013" w:hanging="360"/>
      </w:pPr>
      <w:rPr>
        <w:lang w:val="en-US" w:eastAsia="en-US" w:bidi="en-US"/>
      </w:rPr>
    </w:lvl>
    <w:lvl w:ilvl="4" w:tplc="5764EB0C">
      <w:numFmt w:val="bullet"/>
      <w:lvlText w:val="•"/>
      <w:lvlJc w:val="left"/>
      <w:pPr>
        <w:ind w:left="3898" w:hanging="360"/>
      </w:pPr>
      <w:rPr>
        <w:lang w:val="en-US" w:eastAsia="en-US" w:bidi="en-US"/>
      </w:rPr>
    </w:lvl>
    <w:lvl w:ilvl="5" w:tplc="E25EE9CA">
      <w:numFmt w:val="bullet"/>
      <w:lvlText w:val="•"/>
      <w:lvlJc w:val="left"/>
      <w:pPr>
        <w:ind w:left="4783" w:hanging="360"/>
      </w:pPr>
      <w:rPr>
        <w:lang w:val="en-US" w:eastAsia="en-US" w:bidi="en-US"/>
      </w:rPr>
    </w:lvl>
    <w:lvl w:ilvl="6" w:tplc="9BB04594">
      <w:numFmt w:val="bullet"/>
      <w:lvlText w:val="•"/>
      <w:lvlJc w:val="left"/>
      <w:pPr>
        <w:ind w:left="5667" w:hanging="360"/>
      </w:pPr>
      <w:rPr>
        <w:lang w:val="en-US" w:eastAsia="en-US" w:bidi="en-US"/>
      </w:rPr>
    </w:lvl>
    <w:lvl w:ilvl="7" w:tplc="C138F298">
      <w:numFmt w:val="bullet"/>
      <w:lvlText w:val="•"/>
      <w:lvlJc w:val="left"/>
      <w:pPr>
        <w:ind w:left="6552" w:hanging="360"/>
      </w:pPr>
      <w:rPr>
        <w:lang w:val="en-US" w:eastAsia="en-US" w:bidi="en-US"/>
      </w:rPr>
    </w:lvl>
    <w:lvl w:ilvl="8" w:tplc="6DF49EEC">
      <w:numFmt w:val="bullet"/>
      <w:lvlText w:val="•"/>
      <w:lvlJc w:val="left"/>
      <w:pPr>
        <w:ind w:left="7437" w:hanging="360"/>
      </w:pPr>
      <w:rPr>
        <w:lang w:val="en-US" w:eastAsia="en-US" w:bidi="en-US"/>
      </w:rPr>
    </w:lvl>
  </w:abstractNum>
  <w:abstractNum w:abstractNumId="36" w15:restartNumberingAfterBreak="0">
    <w:nsid w:val="3BE332E7"/>
    <w:multiLevelType w:val="hybridMultilevel"/>
    <w:tmpl w:val="A0AC966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3F9459B9"/>
    <w:multiLevelType w:val="hybridMultilevel"/>
    <w:tmpl w:val="D35AA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B52EF0"/>
    <w:multiLevelType w:val="hybridMultilevel"/>
    <w:tmpl w:val="5F00F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4912CD"/>
    <w:multiLevelType w:val="hybridMultilevel"/>
    <w:tmpl w:val="D99A8604"/>
    <w:lvl w:ilvl="0" w:tplc="44D4C52E">
      <w:start w:val="1"/>
      <w:numFmt w:val="lowerRoman"/>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AA3140A"/>
    <w:multiLevelType w:val="hybridMultilevel"/>
    <w:tmpl w:val="8F38C232"/>
    <w:lvl w:ilvl="0" w:tplc="3154DE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681E54"/>
    <w:multiLevelType w:val="hybridMultilevel"/>
    <w:tmpl w:val="7AD834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4C7B488B"/>
    <w:multiLevelType w:val="hybridMultilevel"/>
    <w:tmpl w:val="41D6134A"/>
    <w:lvl w:ilvl="0" w:tplc="D9D8C6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EBC4971"/>
    <w:multiLevelType w:val="hybridMultilevel"/>
    <w:tmpl w:val="2D6ABD74"/>
    <w:lvl w:ilvl="0" w:tplc="6C28C788">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05A466F"/>
    <w:multiLevelType w:val="hybridMultilevel"/>
    <w:tmpl w:val="4B0EE148"/>
    <w:lvl w:ilvl="0" w:tplc="44D4C52E">
      <w:start w:val="1"/>
      <w:numFmt w:val="lowerRoman"/>
      <w:lvlText w:val="%1)"/>
      <w:lvlJc w:val="left"/>
      <w:pPr>
        <w:tabs>
          <w:tab w:val="num" w:pos="418"/>
        </w:tabs>
        <w:ind w:left="414" w:hanging="54"/>
      </w:pPr>
      <w:rPr>
        <w:rFonts w:hint="default"/>
      </w:rPr>
    </w:lvl>
    <w:lvl w:ilvl="1" w:tplc="04090019" w:tentative="1">
      <w:start w:val="1"/>
      <w:numFmt w:val="lowerLetter"/>
      <w:lvlText w:val="%2."/>
      <w:lvlJc w:val="left"/>
      <w:pPr>
        <w:tabs>
          <w:tab w:val="num" w:pos="1683"/>
        </w:tabs>
        <w:ind w:left="1683" w:hanging="360"/>
      </w:pPr>
    </w:lvl>
    <w:lvl w:ilvl="2" w:tplc="0409001B" w:tentative="1">
      <w:start w:val="1"/>
      <w:numFmt w:val="lowerRoman"/>
      <w:lvlText w:val="%3."/>
      <w:lvlJc w:val="right"/>
      <w:pPr>
        <w:tabs>
          <w:tab w:val="num" w:pos="2403"/>
        </w:tabs>
        <w:ind w:left="2403" w:hanging="180"/>
      </w:pPr>
    </w:lvl>
    <w:lvl w:ilvl="3" w:tplc="0409000F" w:tentative="1">
      <w:start w:val="1"/>
      <w:numFmt w:val="decimal"/>
      <w:lvlText w:val="%4."/>
      <w:lvlJc w:val="left"/>
      <w:pPr>
        <w:tabs>
          <w:tab w:val="num" w:pos="3123"/>
        </w:tabs>
        <w:ind w:left="3123" w:hanging="360"/>
      </w:pPr>
    </w:lvl>
    <w:lvl w:ilvl="4" w:tplc="04090019" w:tentative="1">
      <w:start w:val="1"/>
      <w:numFmt w:val="lowerLetter"/>
      <w:lvlText w:val="%5."/>
      <w:lvlJc w:val="left"/>
      <w:pPr>
        <w:tabs>
          <w:tab w:val="num" w:pos="3843"/>
        </w:tabs>
        <w:ind w:left="3843" w:hanging="360"/>
      </w:pPr>
    </w:lvl>
    <w:lvl w:ilvl="5" w:tplc="0409001B" w:tentative="1">
      <w:start w:val="1"/>
      <w:numFmt w:val="lowerRoman"/>
      <w:lvlText w:val="%6."/>
      <w:lvlJc w:val="right"/>
      <w:pPr>
        <w:tabs>
          <w:tab w:val="num" w:pos="4563"/>
        </w:tabs>
        <w:ind w:left="4563" w:hanging="180"/>
      </w:pPr>
    </w:lvl>
    <w:lvl w:ilvl="6" w:tplc="0409000F" w:tentative="1">
      <w:start w:val="1"/>
      <w:numFmt w:val="decimal"/>
      <w:lvlText w:val="%7."/>
      <w:lvlJc w:val="left"/>
      <w:pPr>
        <w:tabs>
          <w:tab w:val="num" w:pos="5283"/>
        </w:tabs>
        <w:ind w:left="5283" w:hanging="360"/>
      </w:pPr>
    </w:lvl>
    <w:lvl w:ilvl="7" w:tplc="04090019" w:tentative="1">
      <w:start w:val="1"/>
      <w:numFmt w:val="lowerLetter"/>
      <w:lvlText w:val="%8."/>
      <w:lvlJc w:val="left"/>
      <w:pPr>
        <w:tabs>
          <w:tab w:val="num" w:pos="6003"/>
        </w:tabs>
        <w:ind w:left="6003" w:hanging="360"/>
      </w:pPr>
    </w:lvl>
    <w:lvl w:ilvl="8" w:tplc="0409001B" w:tentative="1">
      <w:start w:val="1"/>
      <w:numFmt w:val="lowerRoman"/>
      <w:lvlText w:val="%9."/>
      <w:lvlJc w:val="right"/>
      <w:pPr>
        <w:tabs>
          <w:tab w:val="num" w:pos="6723"/>
        </w:tabs>
        <w:ind w:left="6723" w:hanging="180"/>
      </w:pPr>
    </w:lvl>
  </w:abstractNum>
  <w:abstractNum w:abstractNumId="46" w15:restartNumberingAfterBreak="0">
    <w:nsid w:val="50B45F12"/>
    <w:multiLevelType w:val="hybridMultilevel"/>
    <w:tmpl w:val="FB78D33A"/>
    <w:lvl w:ilvl="0" w:tplc="F3687F78">
      <w:start w:val="1"/>
      <w:numFmt w:val="decimal"/>
      <w:pStyle w:val="StylenumerotationpagedegardeLeft063cmHanging001cm"/>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2857450"/>
    <w:multiLevelType w:val="hybridMultilevel"/>
    <w:tmpl w:val="41D6134A"/>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50B586D"/>
    <w:multiLevelType w:val="hybridMultilevel"/>
    <w:tmpl w:val="2C4A9E2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9" w15:restartNumberingAfterBreak="0">
    <w:nsid w:val="55822B76"/>
    <w:multiLevelType w:val="hybridMultilevel"/>
    <w:tmpl w:val="154EC2C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0" w15:restartNumberingAfterBreak="0">
    <w:nsid w:val="56C45B33"/>
    <w:multiLevelType w:val="hybridMultilevel"/>
    <w:tmpl w:val="BE821298"/>
    <w:lvl w:ilvl="0" w:tplc="B852BC40">
      <w:start w:val="4"/>
      <w:numFmt w:val="decimal"/>
      <w:lvlText w:val="%1."/>
      <w:lvlJc w:val="left"/>
      <w:pPr>
        <w:tabs>
          <w:tab w:val="num" w:pos="1080"/>
        </w:tabs>
        <w:ind w:left="567" w:hanging="567"/>
      </w:pPr>
      <w:rPr>
        <w:rFonts w:ascii="Arial" w:hAnsi="Arial" w:cs="Arial"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AB10C0E"/>
    <w:multiLevelType w:val="hybridMultilevel"/>
    <w:tmpl w:val="2A044904"/>
    <w:lvl w:ilvl="0" w:tplc="AA82BD3E">
      <w:start w:val="1"/>
      <w:numFmt w:val="bullet"/>
      <w:lvlText w:val=""/>
      <w:lvlJc w:val="left"/>
      <w:pPr>
        <w:ind w:left="976" w:hanging="360"/>
      </w:pPr>
      <w:rPr>
        <w:rFonts w:ascii="Symbol" w:hAnsi="Symbol" w:hint="default"/>
      </w:rPr>
    </w:lvl>
    <w:lvl w:ilvl="1" w:tplc="04090003">
      <w:start w:val="1"/>
      <w:numFmt w:val="bullet"/>
      <w:lvlText w:val="o"/>
      <w:lvlJc w:val="left"/>
      <w:pPr>
        <w:ind w:left="1696" w:hanging="360"/>
      </w:pPr>
      <w:rPr>
        <w:rFonts w:ascii="Courier New" w:hAnsi="Courier New" w:cs="Courier New" w:hint="default"/>
      </w:rPr>
    </w:lvl>
    <w:lvl w:ilvl="2" w:tplc="04090005">
      <w:start w:val="1"/>
      <w:numFmt w:val="bullet"/>
      <w:lvlText w:val=""/>
      <w:lvlJc w:val="left"/>
      <w:pPr>
        <w:ind w:left="2416" w:hanging="360"/>
      </w:pPr>
      <w:rPr>
        <w:rFonts w:ascii="Wingdings" w:hAnsi="Wingdings" w:hint="default"/>
      </w:rPr>
    </w:lvl>
    <w:lvl w:ilvl="3" w:tplc="04090001">
      <w:start w:val="1"/>
      <w:numFmt w:val="bullet"/>
      <w:lvlText w:val=""/>
      <w:lvlJc w:val="left"/>
      <w:pPr>
        <w:ind w:left="3136" w:hanging="360"/>
      </w:pPr>
      <w:rPr>
        <w:rFonts w:ascii="Symbol" w:hAnsi="Symbol" w:hint="default"/>
      </w:rPr>
    </w:lvl>
    <w:lvl w:ilvl="4" w:tplc="04090003">
      <w:start w:val="1"/>
      <w:numFmt w:val="bullet"/>
      <w:lvlText w:val="o"/>
      <w:lvlJc w:val="left"/>
      <w:pPr>
        <w:ind w:left="3856" w:hanging="360"/>
      </w:pPr>
      <w:rPr>
        <w:rFonts w:ascii="Courier New" w:hAnsi="Courier New" w:cs="Courier New" w:hint="default"/>
      </w:rPr>
    </w:lvl>
    <w:lvl w:ilvl="5" w:tplc="04090005">
      <w:start w:val="1"/>
      <w:numFmt w:val="bullet"/>
      <w:lvlText w:val=""/>
      <w:lvlJc w:val="left"/>
      <w:pPr>
        <w:ind w:left="4576" w:hanging="360"/>
      </w:pPr>
      <w:rPr>
        <w:rFonts w:ascii="Wingdings" w:hAnsi="Wingdings" w:hint="default"/>
      </w:rPr>
    </w:lvl>
    <w:lvl w:ilvl="6" w:tplc="04090001">
      <w:start w:val="1"/>
      <w:numFmt w:val="bullet"/>
      <w:lvlText w:val=""/>
      <w:lvlJc w:val="left"/>
      <w:pPr>
        <w:ind w:left="5296" w:hanging="360"/>
      </w:pPr>
      <w:rPr>
        <w:rFonts w:ascii="Symbol" w:hAnsi="Symbol" w:hint="default"/>
      </w:rPr>
    </w:lvl>
    <w:lvl w:ilvl="7" w:tplc="04090003">
      <w:start w:val="1"/>
      <w:numFmt w:val="bullet"/>
      <w:lvlText w:val="o"/>
      <w:lvlJc w:val="left"/>
      <w:pPr>
        <w:ind w:left="6016" w:hanging="360"/>
      </w:pPr>
      <w:rPr>
        <w:rFonts w:ascii="Courier New" w:hAnsi="Courier New" w:cs="Courier New" w:hint="default"/>
      </w:rPr>
    </w:lvl>
    <w:lvl w:ilvl="8" w:tplc="04090005">
      <w:start w:val="1"/>
      <w:numFmt w:val="bullet"/>
      <w:lvlText w:val=""/>
      <w:lvlJc w:val="left"/>
      <w:pPr>
        <w:ind w:left="6736" w:hanging="360"/>
      </w:pPr>
      <w:rPr>
        <w:rFonts w:ascii="Wingdings" w:hAnsi="Wingdings" w:hint="default"/>
      </w:rPr>
    </w:lvl>
  </w:abstractNum>
  <w:abstractNum w:abstractNumId="52" w15:restartNumberingAfterBreak="0">
    <w:nsid w:val="5AB638A3"/>
    <w:multiLevelType w:val="hybridMultilevel"/>
    <w:tmpl w:val="C510B434"/>
    <w:lvl w:ilvl="0" w:tplc="0240BFA6">
      <w:start w:val="10"/>
      <w:numFmt w:val="decimal"/>
      <w:lvlText w:val="%1."/>
      <w:lvlJc w:val="left"/>
      <w:pPr>
        <w:tabs>
          <w:tab w:val="num" w:pos="720"/>
        </w:tabs>
        <w:ind w:left="720" w:hanging="720"/>
      </w:pPr>
      <w:rPr>
        <w:rFonts w:hint="default"/>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FA05AFB"/>
    <w:multiLevelType w:val="hybridMultilevel"/>
    <w:tmpl w:val="271259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3492C33"/>
    <w:multiLevelType w:val="hybridMultilevel"/>
    <w:tmpl w:val="41D6134A"/>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63A624FD"/>
    <w:multiLevelType w:val="hybridMultilevel"/>
    <w:tmpl w:val="6DD4D954"/>
    <w:lvl w:ilvl="0" w:tplc="04090017">
      <w:start w:val="1"/>
      <w:numFmt w:val="lowerLetter"/>
      <w:lvlText w:val="%1)"/>
      <w:lvlJc w:val="left"/>
      <w:pPr>
        <w:tabs>
          <w:tab w:val="num" w:pos="418"/>
        </w:tabs>
        <w:ind w:left="414" w:hanging="54"/>
      </w:pPr>
      <w:rPr>
        <w:rFonts w:hint="default"/>
      </w:rPr>
    </w:lvl>
    <w:lvl w:ilvl="1" w:tplc="FFFFFFFF" w:tentative="1">
      <w:start w:val="1"/>
      <w:numFmt w:val="lowerLetter"/>
      <w:lvlText w:val="%2."/>
      <w:lvlJc w:val="left"/>
      <w:pPr>
        <w:tabs>
          <w:tab w:val="num" w:pos="1683"/>
        </w:tabs>
        <w:ind w:left="1683" w:hanging="360"/>
      </w:pPr>
    </w:lvl>
    <w:lvl w:ilvl="2" w:tplc="FFFFFFFF" w:tentative="1">
      <w:start w:val="1"/>
      <w:numFmt w:val="lowerRoman"/>
      <w:lvlText w:val="%3."/>
      <w:lvlJc w:val="right"/>
      <w:pPr>
        <w:tabs>
          <w:tab w:val="num" w:pos="2403"/>
        </w:tabs>
        <w:ind w:left="2403" w:hanging="180"/>
      </w:pPr>
    </w:lvl>
    <w:lvl w:ilvl="3" w:tplc="FFFFFFFF" w:tentative="1">
      <w:start w:val="1"/>
      <w:numFmt w:val="decimal"/>
      <w:lvlText w:val="%4."/>
      <w:lvlJc w:val="left"/>
      <w:pPr>
        <w:tabs>
          <w:tab w:val="num" w:pos="3123"/>
        </w:tabs>
        <w:ind w:left="3123" w:hanging="360"/>
      </w:pPr>
    </w:lvl>
    <w:lvl w:ilvl="4" w:tplc="FFFFFFFF" w:tentative="1">
      <w:start w:val="1"/>
      <w:numFmt w:val="lowerLetter"/>
      <w:lvlText w:val="%5."/>
      <w:lvlJc w:val="left"/>
      <w:pPr>
        <w:tabs>
          <w:tab w:val="num" w:pos="3843"/>
        </w:tabs>
        <w:ind w:left="3843" w:hanging="360"/>
      </w:pPr>
    </w:lvl>
    <w:lvl w:ilvl="5" w:tplc="FFFFFFFF" w:tentative="1">
      <w:start w:val="1"/>
      <w:numFmt w:val="lowerRoman"/>
      <w:lvlText w:val="%6."/>
      <w:lvlJc w:val="right"/>
      <w:pPr>
        <w:tabs>
          <w:tab w:val="num" w:pos="4563"/>
        </w:tabs>
        <w:ind w:left="4563" w:hanging="180"/>
      </w:pPr>
    </w:lvl>
    <w:lvl w:ilvl="6" w:tplc="FFFFFFFF" w:tentative="1">
      <w:start w:val="1"/>
      <w:numFmt w:val="decimal"/>
      <w:lvlText w:val="%7."/>
      <w:lvlJc w:val="left"/>
      <w:pPr>
        <w:tabs>
          <w:tab w:val="num" w:pos="5283"/>
        </w:tabs>
        <w:ind w:left="5283" w:hanging="360"/>
      </w:pPr>
    </w:lvl>
    <w:lvl w:ilvl="7" w:tplc="FFFFFFFF" w:tentative="1">
      <w:start w:val="1"/>
      <w:numFmt w:val="lowerLetter"/>
      <w:lvlText w:val="%8."/>
      <w:lvlJc w:val="left"/>
      <w:pPr>
        <w:tabs>
          <w:tab w:val="num" w:pos="6003"/>
        </w:tabs>
        <w:ind w:left="6003" w:hanging="360"/>
      </w:pPr>
    </w:lvl>
    <w:lvl w:ilvl="8" w:tplc="FFFFFFFF" w:tentative="1">
      <w:start w:val="1"/>
      <w:numFmt w:val="lowerRoman"/>
      <w:lvlText w:val="%9."/>
      <w:lvlJc w:val="right"/>
      <w:pPr>
        <w:tabs>
          <w:tab w:val="num" w:pos="6723"/>
        </w:tabs>
        <w:ind w:left="6723" w:hanging="180"/>
      </w:pPr>
    </w:lvl>
  </w:abstractNum>
  <w:abstractNum w:abstractNumId="57" w15:restartNumberingAfterBreak="0">
    <w:nsid w:val="68E73E64"/>
    <w:multiLevelType w:val="hybridMultilevel"/>
    <w:tmpl w:val="531CD1B4"/>
    <w:lvl w:ilvl="0" w:tplc="BB5EB0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9344E1F"/>
    <w:multiLevelType w:val="hybridMultilevel"/>
    <w:tmpl w:val="D9DC8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0" w15:restartNumberingAfterBreak="0">
    <w:nsid w:val="69552E66"/>
    <w:multiLevelType w:val="hybridMultilevel"/>
    <w:tmpl w:val="6A3CE146"/>
    <w:lvl w:ilvl="0" w:tplc="57FE455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1" w15:restartNumberingAfterBreak="0">
    <w:nsid w:val="6F171A25"/>
    <w:multiLevelType w:val="hybridMultilevel"/>
    <w:tmpl w:val="788277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2" w15:restartNumberingAfterBreak="0">
    <w:nsid w:val="6FFA08D0"/>
    <w:multiLevelType w:val="hybridMultilevel"/>
    <w:tmpl w:val="41D6134A"/>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1132373"/>
    <w:multiLevelType w:val="hybridMultilevel"/>
    <w:tmpl w:val="4E22E4C2"/>
    <w:lvl w:ilvl="0" w:tplc="392E2B44">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19126E9"/>
    <w:multiLevelType w:val="hybridMultilevel"/>
    <w:tmpl w:val="9B46755E"/>
    <w:lvl w:ilvl="0" w:tplc="2A7898F4">
      <w:start w:val="1"/>
      <w:numFmt w:val="decimal"/>
      <w:lvlText w:val="%1."/>
      <w:lvlJc w:val="left"/>
      <w:pPr>
        <w:ind w:left="720" w:hanging="360"/>
      </w:pPr>
      <w:rPr>
        <w:rFonts w:eastAsiaTheme="majorEastAsia" w:hint="default"/>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6" w15:restartNumberingAfterBreak="0">
    <w:nsid w:val="7C8005B6"/>
    <w:multiLevelType w:val="hybridMultilevel"/>
    <w:tmpl w:val="4BD4702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D30738C"/>
    <w:multiLevelType w:val="hybridMultilevel"/>
    <w:tmpl w:val="D96A7A88"/>
    <w:lvl w:ilvl="0" w:tplc="34E801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6923BD"/>
    <w:multiLevelType w:val="hybridMultilevel"/>
    <w:tmpl w:val="A4FE2E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235238">
    <w:abstractNumId w:val="46"/>
  </w:num>
  <w:num w:numId="2" w16cid:durableId="160046363">
    <w:abstractNumId w:val="11"/>
  </w:num>
  <w:num w:numId="3" w16cid:durableId="1937051779">
    <w:abstractNumId w:val="40"/>
  </w:num>
  <w:num w:numId="4" w16cid:durableId="468130306">
    <w:abstractNumId w:val="65"/>
  </w:num>
  <w:num w:numId="5" w16cid:durableId="2053537396">
    <w:abstractNumId w:val="59"/>
  </w:num>
  <w:num w:numId="6" w16cid:durableId="1374498621">
    <w:abstractNumId w:val="0"/>
  </w:num>
  <w:num w:numId="7" w16cid:durableId="756747757">
    <w:abstractNumId w:val="53"/>
  </w:num>
  <w:num w:numId="8" w16cid:durableId="693305963">
    <w:abstractNumId w:val="44"/>
  </w:num>
  <w:num w:numId="9" w16cid:durableId="1872305143">
    <w:abstractNumId w:val="22"/>
  </w:num>
  <w:num w:numId="10" w16cid:durableId="1728147488">
    <w:abstractNumId w:val="68"/>
  </w:num>
  <w:num w:numId="11" w16cid:durableId="694887582">
    <w:abstractNumId w:val="42"/>
  </w:num>
  <w:num w:numId="12" w16cid:durableId="694648617">
    <w:abstractNumId w:val="6"/>
  </w:num>
  <w:num w:numId="13" w16cid:durableId="855077387">
    <w:abstractNumId w:val="2"/>
  </w:num>
  <w:num w:numId="14" w16cid:durableId="1077364114">
    <w:abstractNumId w:val="5"/>
  </w:num>
  <w:num w:numId="15" w16cid:durableId="284193334">
    <w:abstractNumId w:val="9"/>
  </w:num>
  <w:num w:numId="16" w16cid:durableId="216169699">
    <w:abstractNumId w:val="63"/>
  </w:num>
  <w:num w:numId="17" w16cid:durableId="220869135">
    <w:abstractNumId w:val="1"/>
  </w:num>
  <w:num w:numId="18" w16cid:durableId="1493401372">
    <w:abstractNumId w:val="50"/>
  </w:num>
  <w:num w:numId="19" w16cid:durableId="2067602298">
    <w:abstractNumId w:val="52"/>
  </w:num>
  <w:num w:numId="20" w16cid:durableId="19817273">
    <w:abstractNumId w:val="19"/>
  </w:num>
  <w:num w:numId="21" w16cid:durableId="873883399">
    <w:abstractNumId w:val="45"/>
  </w:num>
  <w:num w:numId="22" w16cid:durableId="702290563">
    <w:abstractNumId w:val="26"/>
  </w:num>
  <w:num w:numId="23" w16cid:durableId="1605260210">
    <w:abstractNumId w:val="13"/>
  </w:num>
  <w:num w:numId="24" w16cid:durableId="1756702186">
    <w:abstractNumId w:val="32"/>
  </w:num>
  <w:num w:numId="25" w16cid:durableId="228735006">
    <w:abstractNumId w:val="43"/>
  </w:num>
  <w:num w:numId="26" w16cid:durableId="1364281460">
    <w:abstractNumId w:val="4"/>
  </w:num>
  <w:num w:numId="27" w16cid:durableId="1504857093">
    <w:abstractNumId w:val="55"/>
  </w:num>
  <w:num w:numId="28" w16cid:durableId="1241522743">
    <w:abstractNumId w:val="33"/>
  </w:num>
  <w:num w:numId="29" w16cid:durableId="597979841">
    <w:abstractNumId w:val="47"/>
  </w:num>
  <w:num w:numId="30" w16cid:durableId="748767363">
    <w:abstractNumId w:val="62"/>
  </w:num>
  <w:num w:numId="31" w16cid:durableId="1578401085">
    <w:abstractNumId w:val="14"/>
  </w:num>
  <w:num w:numId="32" w16cid:durableId="38210559">
    <w:abstractNumId w:val="48"/>
  </w:num>
  <w:num w:numId="33" w16cid:durableId="923761812">
    <w:abstractNumId w:val="34"/>
  </w:num>
  <w:num w:numId="34" w16cid:durableId="1373771058">
    <w:abstractNumId w:val="37"/>
  </w:num>
  <w:num w:numId="35" w16cid:durableId="524487740">
    <w:abstractNumId w:val="16"/>
  </w:num>
  <w:num w:numId="36" w16cid:durableId="1400589042">
    <w:abstractNumId w:val="25"/>
  </w:num>
  <w:num w:numId="37" w16cid:durableId="5035951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3345940">
    <w:abstractNumId w:val="54"/>
  </w:num>
  <w:num w:numId="39" w16cid:durableId="1035695731">
    <w:abstractNumId w:val="27"/>
  </w:num>
  <w:num w:numId="40" w16cid:durableId="1175807663">
    <w:abstractNumId w:val="38"/>
  </w:num>
  <w:num w:numId="41" w16cid:durableId="175850065">
    <w:abstractNumId w:val="8"/>
  </w:num>
  <w:num w:numId="42" w16cid:durableId="326788559">
    <w:abstractNumId w:val="31"/>
  </w:num>
  <w:num w:numId="43" w16cid:durableId="632101754">
    <w:abstractNumId w:val="61"/>
  </w:num>
  <w:num w:numId="44" w16cid:durableId="225840853">
    <w:abstractNumId w:val="10"/>
  </w:num>
  <w:num w:numId="45" w16cid:durableId="1670331978">
    <w:abstractNumId w:val="51"/>
  </w:num>
  <w:num w:numId="46" w16cid:durableId="1442382138">
    <w:abstractNumId w:val="30"/>
    <w:lvlOverride w:ilvl="0">
      <w:startOverride w:val="1"/>
    </w:lvlOverride>
    <w:lvlOverride w:ilvl="1"/>
    <w:lvlOverride w:ilvl="2"/>
    <w:lvlOverride w:ilvl="3"/>
    <w:lvlOverride w:ilvl="4"/>
    <w:lvlOverride w:ilvl="5"/>
    <w:lvlOverride w:ilvl="6"/>
    <w:lvlOverride w:ilvl="7"/>
    <w:lvlOverride w:ilvl="8"/>
  </w:num>
  <w:num w:numId="47" w16cid:durableId="649137879">
    <w:abstractNumId w:val="35"/>
  </w:num>
  <w:num w:numId="48" w16cid:durableId="254901011">
    <w:abstractNumId w:val="24"/>
  </w:num>
  <w:num w:numId="49" w16cid:durableId="1025787800">
    <w:abstractNumId w:val="57"/>
  </w:num>
  <w:num w:numId="50" w16cid:durableId="1540625939">
    <w:abstractNumId w:val="28"/>
  </w:num>
  <w:num w:numId="51" w16cid:durableId="567376952">
    <w:abstractNumId w:val="41"/>
  </w:num>
  <w:num w:numId="52" w16cid:durableId="690028906">
    <w:abstractNumId w:val="7"/>
  </w:num>
  <w:num w:numId="53" w16cid:durableId="1991474024">
    <w:abstractNumId w:val="66"/>
  </w:num>
  <w:num w:numId="54" w16cid:durableId="918248512">
    <w:abstractNumId w:val="3"/>
  </w:num>
  <w:num w:numId="55" w16cid:durableId="173616290">
    <w:abstractNumId w:val="15"/>
  </w:num>
  <w:num w:numId="56" w16cid:durableId="547953474">
    <w:abstractNumId w:val="23"/>
  </w:num>
  <w:num w:numId="57" w16cid:durableId="440761845">
    <w:abstractNumId w:val="30"/>
  </w:num>
  <w:num w:numId="58" w16cid:durableId="1752773385">
    <w:abstractNumId w:val="39"/>
  </w:num>
  <w:num w:numId="59" w16cid:durableId="1428694510">
    <w:abstractNumId w:val="67"/>
  </w:num>
  <w:num w:numId="60" w16cid:durableId="774524798">
    <w:abstractNumId w:val="58"/>
  </w:num>
  <w:num w:numId="61" w16cid:durableId="1603875195">
    <w:abstractNumId w:val="20"/>
  </w:num>
  <w:num w:numId="62" w16cid:durableId="288172980">
    <w:abstractNumId w:val="17"/>
  </w:num>
  <w:num w:numId="63" w16cid:durableId="2063557226">
    <w:abstractNumId w:val="36"/>
  </w:num>
  <w:num w:numId="64" w16cid:durableId="1948535181">
    <w:abstractNumId w:val="29"/>
  </w:num>
  <w:num w:numId="65" w16cid:durableId="868446629">
    <w:abstractNumId w:val="60"/>
  </w:num>
  <w:num w:numId="66" w16cid:durableId="1008287177">
    <w:abstractNumId w:val="64"/>
  </w:num>
  <w:num w:numId="67" w16cid:durableId="208037016">
    <w:abstractNumId w:val="18"/>
  </w:num>
  <w:num w:numId="68" w16cid:durableId="1327592652">
    <w:abstractNumId w:val="12"/>
  </w:num>
  <w:num w:numId="69" w16cid:durableId="1521505161">
    <w:abstractNumId w:val="50"/>
  </w:num>
  <w:num w:numId="70" w16cid:durableId="818766976">
    <w:abstractNumId w:val="50"/>
  </w:num>
  <w:num w:numId="71" w16cid:durableId="916523078">
    <w:abstractNumId w:val="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4150378">
    <w:abstractNumId w:val="21"/>
  </w:num>
  <w:num w:numId="73" w16cid:durableId="433213180">
    <w:abstractNumId w:val="49"/>
  </w:num>
  <w:num w:numId="74" w16cid:durableId="937716694">
    <w:abstractNumId w:val="5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732"/>
    <w:rsid w:val="00000042"/>
    <w:rsid w:val="00000E41"/>
    <w:rsid w:val="00000EFE"/>
    <w:rsid w:val="00000FA5"/>
    <w:rsid w:val="00001377"/>
    <w:rsid w:val="000015A8"/>
    <w:rsid w:val="0000170A"/>
    <w:rsid w:val="00001BBF"/>
    <w:rsid w:val="00001CD5"/>
    <w:rsid w:val="00002159"/>
    <w:rsid w:val="00002DDB"/>
    <w:rsid w:val="00003006"/>
    <w:rsid w:val="00004417"/>
    <w:rsid w:val="0000560F"/>
    <w:rsid w:val="00005BC3"/>
    <w:rsid w:val="00006466"/>
    <w:rsid w:val="000071D0"/>
    <w:rsid w:val="00007C73"/>
    <w:rsid w:val="00010786"/>
    <w:rsid w:val="00010981"/>
    <w:rsid w:val="00010CF3"/>
    <w:rsid w:val="00011352"/>
    <w:rsid w:val="0001140F"/>
    <w:rsid w:val="000118DC"/>
    <w:rsid w:val="00011CE5"/>
    <w:rsid w:val="00011E27"/>
    <w:rsid w:val="00011EB3"/>
    <w:rsid w:val="00012CCB"/>
    <w:rsid w:val="00013166"/>
    <w:rsid w:val="00014104"/>
    <w:rsid w:val="00014699"/>
    <w:rsid w:val="000148BC"/>
    <w:rsid w:val="000149E9"/>
    <w:rsid w:val="00014AC4"/>
    <w:rsid w:val="00014DF2"/>
    <w:rsid w:val="000154C9"/>
    <w:rsid w:val="0001615F"/>
    <w:rsid w:val="000166FF"/>
    <w:rsid w:val="00016A3A"/>
    <w:rsid w:val="00017129"/>
    <w:rsid w:val="0001729C"/>
    <w:rsid w:val="00017B12"/>
    <w:rsid w:val="000206F5"/>
    <w:rsid w:val="0002077A"/>
    <w:rsid w:val="0002234D"/>
    <w:rsid w:val="00022FBD"/>
    <w:rsid w:val="00023A9F"/>
    <w:rsid w:val="00023D82"/>
    <w:rsid w:val="00023F06"/>
    <w:rsid w:val="00024115"/>
    <w:rsid w:val="00024AB8"/>
    <w:rsid w:val="00025353"/>
    <w:rsid w:val="0002539C"/>
    <w:rsid w:val="000262E3"/>
    <w:rsid w:val="000271F6"/>
    <w:rsid w:val="00027A2E"/>
    <w:rsid w:val="00027CEC"/>
    <w:rsid w:val="00027F79"/>
    <w:rsid w:val="00030854"/>
    <w:rsid w:val="0003131E"/>
    <w:rsid w:val="00031AE3"/>
    <w:rsid w:val="0003235A"/>
    <w:rsid w:val="00033700"/>
    <w:rsid w:val="00033EE9"/>
    <w:rsid w:val="00034C24"/>
    <w:rsid w:val="00035156"/>
    <w:rsid w:val="000354B8"/>
    <w:rsid w:val="000357D6"/>
    <w:rsid w:val="00036028"/>
    <w:rsid w:val="00036458"/>
    <w:rsid w:val="000370ED"/>
    <w:rsid w:val="00037A1E"/>
    <w:rsid w:val="000413A3"/>
    <w:rsid w:val="00041CF3"/>
    <w:rsid w:val="0004297F"/>
    <w:rsid w:val="00042A8C"/>
    <w:rsid w:val="00042AE0"/>
    <w:rsid w:val="00042FC8"/>
    <w:rsid w:val="00043DEC"/>
    <w:rsid w:val="000443B4"/>
    <w:rsid w:val="00044642"/>
    <w:rsid w:val="000446B9"/>
    <w:rsid w:val="0004507A"/>
    <w:rsid w:val="00045359"/>
    <w:rsid w:val="00045788"/>
    <w:rsid w:val="00046978"/>
    <w:rsid w:val="00046B80"/>
    <w:rsid w:val="000470C5"/>
    <w:rsid w:val="00047E21"/>
    <w:rsid w:val="000501E6"/>
    <w:rsid w:val="00050877"/>
    <w:rsid w:val="00050E16"/>
    <w:rsid w:val="00051DDF"/>
    <w:rsid w:val="00053073"/>
    <w:rsid w:val="00053226"/>
    <w:rsid w:val="00054338"/>
    <w:rsid w:val="00054BE7"/>
    <w:rsid w:val="00055644"/>
    <w:rsid w:val="00055D3E"/>
    <w:rsid w:val="000562A4"/>
    <w:rsid w:val="00056465"/>
    <w:rsid w:val="000564EA"/>
    <w:rsid w:val="00057496"/>
    <w:rsid w:val="00057AB0"/>
    <w:rsid w:val="00057E1C"/>
    <w:rsid w:val="000608D5"/>
    <w:rsid w:val="000614D8"/>
    <w:rsid w:val="000617DA"/>
    <w:rsid w:val="00061F16"/>
    <w:rsid w:val="000627A3"/>
    <w:rsid w:val="00063787"/>
    <w:rsid w:val="000639BC"/>
    <w:rsid w:val="00065353"/>
    <w:rsid w:val="00065C03"/>
    <w:rsid w:val="00065ED9"/>
    <w:rsid w:val="0006769B"/>
    <w:rsid w:val="00067755"/>
    <w:rsid w:val="00067821"/>
    <w:rsid w:val="00070695"/>
    <w:rsid w:val="00070B5A"/>
    <w:rsid w:val="0007119F"/>
    <w:rsid w:val="00071651"/>
    <w:rsid w:val="00071A12"/>
    <w:rsid w:val="00071BCB"/>
    <w:rsid w:val="000737E9"/>
    <w:rsid w:val="00073952"/>
    <w:rsid w:val="00073D90"/>
    <w:rsid w:val="000745BA"/>
    <w:rsid w:val="00077835"/>
    <w:rsid w:val="000803D1"/>
    <w:rsid w:val="00080447"/>
    <w:rsid w:val="00080A1D"/>
    <w:rsid w:val="00080A4B"/>
    <w:rsid w:val="0008102A"/>
    <w:rsid w:val="00082536"/>
    <w:rsid w:val="00083DFD"/>
    <w:rsid w:val="00084441"/>
    <w:rsid w:val="00084664"/>
    <w:rsid w:val="00084B05"/>
    <w:rsid w:val="00084FC7"/>
    <w:rsid w:val="00085341"/>
    <w:rsid w:val="00085505"/>
    <w:rsid w:val="000859E0"/>
    <w:rsid w:val="000873B7"/>
    <w:rsid w:val="00090C21"/>
    <w:rsid w:val="00092AF4"/>
    <w:rsid w:val="00094411"/>
    <w:rsid w:val="00094722"/>
    <w:rsid w:val="0009515F"/>
    <w:rsid w:val="000A1841"/>
    <w:rsid w:val="000A4A55"/>
    <w:rsid w:val="000A4C97"/>
    <w:rsid w:val="000A602F"/>
    <w:rsid w:val="000A6447"/>
    <w:rsid w:val="000A6AB9"/>
    <w:rsid w:val="000A6C9F"/>
    <w:rsid w:val="000A6CF2"/>
    <w:rsid w:val="000A6F01"/>
    <w:rsid w:val="000A7BB9"/>
    <w:rsid w:val="000A7CBD"/>
    <w:rsid w:val="000B0197"/>
    <w:rsid w:val="000B049E"/>
    <w:rsid w:val="000B466B"/>
    <w:rsid w:val="000B5256"/>
    <w:rsid w:val="000B6081"/>
    <w:rsid w:val="000B67B1"/>
    <w:rsid w:val="000B6C14"/>
    <w:rsid w:val="000B6F44"/>
    <w:rsid w:val="000B77D8"/>
    <w:rsid w:val="000C009F"/>
    <w:rsid w:val="000C0945"/>
    <w:rsid w:val="000C1105"/>
    <w:rsid w:val="000C1657"/>
    <w:rsid w:val="000C17BD"/>
    <w:rsid w:val="000C1F34"/>
    <w:rsid w:val="000C2085"/>
    <w:rsid w:val="000C2308"/>
    <w:rsid w:val="000C271C"/>
    <w:rsid w:val="000C2850"/>
    <w:rsid w:val="000C39F7"/>
    <w:rsid w:val="000C3CDF"/>
    <w:rsid w:val="000C3E71"/>
    <w:rsid w:val="000C4E25"/>
    <w:rsid w:val="000C7021"/>
    <w:rsid w:val="000C755D"/>
    <w:rsid w:val="000C77E5"/>
    <w:rsid w:val="000C7B27"/>
    <w:rsid w:val="000C7F8E"/>
    <w:rsid w:val="000D07BD"/>
    <w:rsid w:val="000D1780"/>
    <w:rsid w:val="000D1F08"/>
    <w:rsid w:val="000D1FAE"/>
    <w:rsid w:val="000D2BD6"/>
    <w:rsid w:val="000D3D68"/>
    <w:rsid w:val="000D4FF2"/>
    <w:rsid w:val="000D55E5"/>
    <w:rsid w:val="000D55F0"/>
    <w:rsid w:val="000D5E86"/>
    <w:rsid w:val="000D6B86"/>
    <w:rsid w:val="000D6BBC"/>
    <w:rsid w:val="000D7780"/>
    <w:rsid w:val="000D78B2"/>
    <w:rsid w:val="000E0F89"/>
    <w:rsid w:val="000E1BD8"/>
    <w:rsid w:val="000E2B57"/>
    <w:rsid w:val="000E346C"/>
    <w:rsid w:val="000E38DA"/>
    <w:rsid w:val="000E55C7"/>
    <w:rsid w:val="000E5C0D"/>
    <w:rsid w:val="000E636A"/>
    <w:rsid w:val="000E65BB"/>
    <w:rsid w:val="000E6EE1"/>
    <w:rsid w:val="000E7000"/>
    <w:rsid w:val="000F03F3"/>
    <w:rsid w:val="000F1549"/>
    <w:rsid w:val="000F2BFA"/>
    <w:rsid w:val="000F2E9C"/>
    <w:rsid w:val="000F2F11"/>
    <w:rsid w:val="000F35B9"/>
    <w:rsid w:val="000F3707"/>
    <w:rsid w:val="000F3752"/>
    <w:rsid w:val="000F392F"/>
    <w:rsid w:val="000F3ACF"/>
    <w:rsid w:val="000F3D13"/>
    <w:rsid w:val="000F446E"/>
    <w:rsid w:val="000F4EFF"/>
    <w:rsid w:val="000F5F05"/>
    <w:rsid w:val="000F63D7"/>
    <w:rsid w:val="000F6647"/>
    <w:rsid w:val="000F733C"/>
    <w:rsid w:val="000F7C2E"/>
    <w:rsid w:val="0010059D"/>
    <w:rsid w:val="00100705"/>
    <w:rsid w:val="00101170"/>
    <w:rsid w:val="001014D7"/>
    <w:rsid w:val="00101A5E"/>
    <w:rsid w:val="00101E22"/>
    <w:rsid w:val="00102034"/>
    <w:rsid w:val="0010336A"/>
    <w:rsid w:val="0010407A"/>
    <w:rsid w:val="001043B7"/>
    <w:rsid w:val="00104701"/>
    <w:rsid w:val="00104C19"/>
    <w:rsid w:val="00105929"/>
    <w:rsid w:val="00106907"/>
    <w:rsid w:val="001077F7"/>
    <w:rsid w:val="00107BEF"/>
    <w:rsid w:val="00110409"/>
    <w:rsid w:val="00110C36"/>
    <w:rsid w:val="00110C75"/>
    <w:rsid w:val="00111638"/>
    <w:rsid w:val="00111A1A"/>
    <w:rsid w:val="00112137"/>
    <w:rsid w:val="00112B6B"/>
    <w:rsid w:val="00112FC7"/>
    <w:rsid w:val="00113137"/>
    <w:rsid w:val="001131D5"/>
    <w:rsid w:val="0011427E"/>
    <w:rsid w:val="00114CBB"/>
    <w:rsid w:val="001159B0"/>
    <w:rsid w:val="00115D3E"/>
    <w:rsid w:val="00116E26"/>
    <w:rsid w:val="001173BB"/>
    <w:rsid w:val="001179B3"/>
    <w:rsid w:val="0012012B"/>
    <w:rsid w:val="0012041A"/>
    <w:rsid w:val="00120536"/>
    <w:rsid w:val="00120CE4"/>
    <w:rsid w:val="0012156A"/>
    <w:rsid w:val="00122073"/>
    <w:rsid w:val="00122BA7"/>
    <w:rsid w:val="00123DAD"/>
    <w:rsid w:val="001243B7"/>
    <w:rsid w:val="00124541"/>
    <w:rsid w:val="001252E0"/>
    <w:rsid w:val="00125A4F"/>
    <w:rsid w:val="00126B32"/>
    <w:rsid w:val="00126CFD"/>
    <w:rsid w:val="0012722D"/>
    <w:rsid w:val="001274F9"/>
    <w:rsid w:val="001275F0"/>
    <w:rsid w:val="001279B4"/>
    <w:rsid w:val="001300DA"/>
    <w:rsid w:val="001307B5"/>
    <w:rsid w:val="00130D5E"/>
    <w:rsid w:val="00132267"/>
    <w:rsid w:val="00132934"/>
    <w:rsid w:val="00132EF6"/>
    <w:rsid w:val="0013391B"/>
    <w:rsid w:val="0013428E"/>
    <w:rsid w:val="001344C2"/>
    <w:rsid w:val="00135116"/>
    <w:rsid w:val="0013593F"/>
    <w:rsid w:val="00135FBE"/>
    <w:rsid w:val="0014078F"/>
    <w:rsid w:val="0014119E"/>
    <w:rsid w:val="001417FD"/>
    <w:rsid w:val="00141858"/>
    <w:rsid w:val="00141DB8"/>
    <w:rsid w:val="00142B92"/>
    <w:rsid w:val="00142F20"/>
    <w:rsid w:val="001435B2"/>
    <w:rsid w:val="0014361C"/>
    <w:rsid w:val="00143ED4"/>
    <w:rsid w:val="00144B1C"/>
    <w:rsid w:val="00144B1E"/>
    <w:rsid w:val="00144BF7"/>
    <w:rsid w:val="0014626F"/>
    <w:rsid w:val="00146BF7"/>
    <w:rsid w:val="00146E2A"/>
    <w:rsid w:val="00146F06"/>
    <w:rsid w:val="00146F90"/>
    <w:rsid w:val="0014704B"/>
    <w:rsid w:val="00147604"/>
    <w:rsid w:val="00147935"/>
    <w:rsid w:val="00147C99"/>
    <w:rsid w:val="00147DA5"/>
    <w:rsid w:val="00147EC8"/>
    <w:rsid w:val="00150F45"/>
    <w:rsid w:val="00152010"/>
    <w:rsid w:val="00152069"/>
    <w:rsid w:val="0015217B"/>
    <w:rsid w:val="001526B5"/>
    <w:rsid w:val="001540C1"/>
    <w:rsid w:val="0015449E"/>
    <w:rsid w:val="001544B5"/>
    <w:rsid w:val="00154BA5"/>
    <w:rsid w:val="001558BE"/>
    <w:rsid w:val="001572F3"/>
    <w:rsid w:val="00157E38"/>
    <w:rsid w:val="00157EC1"/>
    <w:rsid w:val="001602F2"/>
    <w:rsid w:val="00161217"/>
    <w:rsid w:val="00162492"/>
    <w:rsid w:val="0016325F"/>
    <w:rsid w:val="00163868"/>
    <w:rsid w:val="00164FAB"/>
    <w:rsid w:val="00165535"/>
    <w:rsid w:val="00166DDC"/>
    <w:rsid w:val="00167516"/>
    <w:rsid w:val="0016776C"/>
    <w:rsid w:val="0016796E"/>
    <w:rsid w:val="00167D84"/>
    <w:rsid w:val="0017052B"/>
    <w:rsid w:val="00170616"/>
    <w:rsid w:val="00171223"/>
    <w:rsid w:val="00171C6D"/>
    <w:rsid w:val="00172084"/>
    <w:rsid w:val="001721A7"/>
    <w:rsid w:val="00173613"/>
    <w:rsid w:val="00174497"/>
    <w:rsid w:val="0017474A"/>
    <w:rsid w:val="00174C1A"/>
    <w:rsid w:val="001758C6"/>
    <w:rsid w:val="00176044"/>
    <w:rsid w:val="00176821"/>
    <w:rsid w:val="00176C40"/>
    <w:rsid w:val="00176EF3"/>
    <w:rsid w:val="00177525"/>
    <w:rsid w:val="001776DA"/>
    <w:rsid w:val="00177AF5"/>
    <w:rsid w:val="00180984"/>
    <w:rsid w:val="00180B14"/>
    <w:rsid w:val="001821D5"/>
    <w:rsid w:val="00182B99"/>
    <w:rsid w:val="00182BDE"/>
    <w:rsid w:val="00182CBD"/>
    <w:rsid w:val="00182E3E"/>
    <w:rsid w:val="001830B9"/>
    <w:rsid w:val="0018337D"/>
    <w:rsid w:val="00183C84"/>
    <w:rsid w:val="00183D61"/>
    <w:rsid w:val="001853E3"/>
    <w:rsid w:val="00185860"/>
    <w:rsid w:val="001859FA"/>
    <w:rsid w:val="001862C5"/>
    <w:rsid w:val="001863A0"/>
    <w:rsid w:val="00186C0B"/>
    <w:rsid w:val="0018747C"/>
    <w:rsid w:val="00187DDC"/>
    <w:rsid w:val="00187F75"/>
    <w:rsid w:val="00190831"/>
    <w:rsid w:val="00190832"/>
    <w:rsid w:val="001908E1"/>
    <w:rsid w:val="00190A21"/>
    <w:rsid w:val="00191695"/>
    <w:rsid w:val="00191B5C"/>
    <w:rsid w:val="00191CDD"/>
    <w:rsid w:val="00193E3E"/>
    <w:rsid w:val="00194C8C"/>
    <w:rsid w:val="00195022"/>
    <w:rsid w:val="00195100"/>
    <w:rsid w:val="001961D1"/>
    <w:rsid w:val="001965E6"/>
    <w:rsid w:val="00196661"/>
    <w:rsid w:val="00196785"/>
    <w:rsid w:val="001967B9"/>
    <w:rsid w:val="00196CB5"/>
    <w:rsid w:val="001A01A4"/>
    <w:rsid w:val="001A078E"/>
    <w:rsid w:val="001A23AE"/>
    <w:rsid w:val="001A5165"/>
    <w:rsid w:val="001A5DE6"/>
    <w:rsid w:val="001A6391"/>
    <w:rsid w:val="001A681F"/>
    <w:rsid w:val="001A6A3F"/>
    <w:rsid w:val="001A6CBC"/>
    <w:rsid w:val="001A6F47"/>
    <w:rsid w:val="001A73A4"/>
    <w:rsid w:val="001A7ABC"/>
    <w:rsid w:val="001A7F4A"/>
    <w:rsid w:val="001B06A3"/>
    <w:rsid w:val="001B0799"/>
    <w:rsid w:val="001B1220"/>
    <w:rsid w:val="001B1C67"/>
    <w:rsid w:val="001B2141"/>
    <w:rsid w:val="001B296E"/>
    <w:rsid w:val="001B35D6"/>
    <w:rsid w:val="001B39A9"/>
    <w:rsid w:val="001B3F12"/>
    <w:rsid w:val="001B4971"/>
    <w:rsid w:val="001B535D"/>
    <w:rsid w:val="001B59A9"/>
    <w:rsid w:val="001B790F"/>
    <w:rsid w:val="001B7E69"/>
    <w:rsid w:val="001C0ED3"/>
    <w:rsid w:val="001C1496"/>
    <w:rsid w:val="001C1525"/>
    <w:rsid w:val="001C16AD"/>
    <w:rsid w:val="001C1C9D"/>
    <w:rsid w:val="001C502A"/>
    <w:rsid w:val="001C5106"/>
    <w:rsid w:val="001C6AF2"/>
    <w:rsid w:val="001C7937"/>
    <w:rsid w:val="001C7946"/>
    <w:rsid w:val="001C7A9E"/>
    <w:rsid w:val="001D0A5E"/>
    <w:rsid w:val="001D107E"/>
    <w:rsid w:val="001D125B"/>
    <w:rsid w:val="001D29ED"/>
    <w:rsid w:val="001D2DBD"/>
    <w:rsid w:val="001D45B8"/>
    <w:rsid w:val="001D4C9D"/>
    <w:rsid w:val="001D5D82"/>
    <w:rsid w:val="001D66D9"/>
    <w:rsid w:val="001D7630"/>
    <w:rsid w:val="001D7A87"/>
    <w:rsid w:val="001D7C94"/>
    <w:rsid w:val="001E049A"/>
    <w:rsid w:val="001E09D0"/>
    <w:rsid w:val="001E11E5"/>
    <w:rsid w:val="001E1566"/>
    <w:rsid w:val="001E2F15"/>
    <w:rsid w:val="001E383C"/>
    <w:rsid w:val="001E3B25"/>
    <w:rsid w:val="001E48B4"/>
    <w:rsid w:val="001E5E05"/>
    <w:rsid w:val="001E69AF"/>
    <w:rsid w:val="001E7353"/>
    <w:rsid w:val="001E761C"/>
    <w:rsid w:val="001E7653"/>
    <w:rsid w:val="001F005E"/>
    <w:rsid w:val="001F0802"/>
    <w:rsid w:val="001F16CE"/>
    <w:rsid w:val="001F1737"/>
    <w:rsid w:val="001F1F1B"/>
    <w:rsid w:val="001F1F36"/>
    <w:rsid w:val="001F259B"/>
    <w:rsid w:val="001F333C"/>
    <w:rsid w:val="001F374E"/>
    <w:rsid w:val="001F4BA8"/>
    <w:rsid w:val="001F6A91"/>
    <w:rsid w:val="001F7AD6"/>
    <w:rsid w:val="001F7C59"/>
    <w:rsid w:val="00200147"/>
    <w:rsid w:val="00200D1B"/>
    <w:rsid w:val="00201B06"/>
    <w:rsid w:val="00201EB6"/>
    <w:rsid w:val="00201F28"/>
    <w:rsid w:val="00204342"/>
    <w:rsid w:val="00204749"/>
    <w:rsid w:val="002049F3"/>
    <w:rsid w:val="00204D6B"/>
    <w:rsid w:val="0020503E"/>
    <w:rsid w:val="0020542B"/>
    <w:rsid w:val="00205952"/>
    <w:rsid w:val="00207886"/>
    <w:rsid w:val="00207B48"/>
    <w:rsid w:val="00207E6C"/>
    <w:rsid w:val="002100AC"/>
    <w:rsid w:val="0021050B"/>
    <w:rsid w:val="0021332C"/>
    <w:rsid w:val="0021348F"/>
    <w:rsid w:val="00213982"/>
    <w:rsid w:val="0021450E"/>
    <w:rsid w:val="00214B10"/>
    <w:rsid w:val="00214C72"/>
    <w:rsid w:val="00214D25"/>
    <w:rsid w:val="00215223"/>
    <w:rsid w:val="002159D8"/>
    <w:rsid w:val="0021673C"/>
    <w:rsid w:val="00216A86"/>
    <w:rsid w:val="00217357"/>
    <w:rsid w:val="00217732"/>
    <w:rsid w:val="00217797"/>
    <w:rsid w:val="002201B0"/>
    <w:rsid w:val="0022022B"/>
    <w:rsid w:val="0022070B"/>
    <w:rsid w:val="00220F16"/>
    <w:rsid w:val="00220FA1"/>
    <w:rsid w:val="002212ED"/>
    <w:rsid w:val="00222491"/>
    <w:rsid w:val="00222890"/>
    <w:rsid w:val="00222E09"/>
    <w:rsid w:val="00224CD4"/>
    <w:rsid w:val="00224D91"/>
    <w:rsid w:val="00225027"/>
    <w:rsid w:val="00227ED4"/>
    <w:rsid w:val="00227F28"/>
    <w:rsid w:val="002306CC"/>
    <w:rsid w:val="002309E1"/>
    <w:rsid w:val="00230E3B"/>
    <w:rsid w:val="00231C4F"/>
    <w:rsid w:val="0023270E"/>
    <w:rsid w:val="00232AC6"/>
    <w:rsid w:val="00232BD3"/>
    <w:rsid w:val="002333BA"/>
    <w:rsid w:val="0023348F"/>
    <w:rsid w:val="002345CC"/>
    <w:rsid w:val="00234682"/>
    <w:rsid w:val="00234BA4"/>
    <w:rsid w:val="0023698D"/>
    <w:rsid w:val="00236A46"/>
    <w:rsid w:val="00236B36"/>
    <w:rsid w:val="0023773A"/>
    <w:rsid w:val="002404E2"/>
    <w:rsid w:val="0024129F"/>
    <w:rsid w:val="0024158B"/>
    <w:rsid w:val="002426C5"/>
    <w:rsid w:val="00242C2A"/>
    <w:rsid w:val="002435C9"/>
    <w:rsid w:val="0024416D"/>
    <w:rsid w:val="00244BEE"/>
    <w:rsid w:val="00245216"/>
    <w:rsid w:val="00245D32"/>
    <w:rsid w:val="002465AC"/>
    <w:rsid w:val="00246B3C"/>
    <w:rsid w:val="00246C95"/>
    <w:rsid w:val="00247319"/>
    <w:rsid w:val="00247950"/>
    <w:rsid w:val="00250E72"/>
    <w:rsid w:val="00250FA2"/>
    <w:rsid w:val="00251096"/>
    <w:rsid w:val="00251C54"/>
    <w:rsid w:val="00252B72"/>
    <w:rsid w:val="00252C4D"/>
    <w:rsid w:val="002537C6"/>
    <w:rsid w:val="00253B54"/>
    <w:rsid w:val="00255FF3"/>
    <w:rsid w:val="002564D5"/>
    <w:rsid w:val="002569E9"/>
    <w:rsid w:val="0025790D"/>
    <w:rsid w:val="002604D0"/>
    <w:rsid w:val="00260605"/>
    <w:rsid w:val="00260961"/>
    <w:rsid w:val="0026153A"/>
    <w:rsid w:val="00261A5D"/>
    <w:rsid w:val="00261ECA"/>
    <w:rsid w:val="002627EC"/>
    <w:rsid w:val="002643A5"/>
    <w:rsid w:val="0026516C"/>
    <w:rsid w:val="0026579C"/>
    <w:rsid w:val="00265EA8"/>
    <w:rsid w:val="002666D3"/>
    <w:rsid w:val="002676CC"/>
    <w:rsid w:val="002707EA"/>
    <w:rsid w:val="0027133D"/>
    <w:rsid w:val="00271911"/>
    <w:rsid w:val="00271C28"/>
    <w:rsid w:val="00271D11"/>
    <w:rsid w:val="002722CD"/>
    <w:rsid w:val="00272703"/>
    <w:rsid w:val="0027283B"/>
    <w:rsid w:val="002730EE"/>
    <w:rsid w:val="00273216"/>
    <w:rsid w:val="00273352"/>
    <w:rsid w:val="00273506"/>
    <w:rsid w:val="00273A35"/>
    <w:rsid w:val="00273DAE"/>
    <w:rsid w:val="00275D3C"/>
    <w:rsid w:val="002761BF"/>
    <w:rsid w:val="00276CBB"/>
    <w:rsid w:val="002774F9"/>
    <w:rsid w:val="0027791B"/>
    <w:rsid w:val="00277ED0"/>
    <w:rsid w:val="002800A0"/>
    <w:rsid w:val="002801B3"/>
    <w:rsid w:val="002809D0"/>
    <w:rsid w:val="00281060"/>
    <w:rsid w:val="002814CA"/>
    <w:rsid w:val="00281A63"/>
    <w:rsid w:val="00281ADE"/>
    <w:rsid w:val="00282354"/>
    <w:rsid w:val="00283563"/>
    <w:rsid w:val="002838E9"/>
    <w:rsid w:val="002840EC"/>
    <w:rsid w:val="00285D59"/>
    <w:rsid w:val="00286233"/>
    <w:rsid w:val="002867DC"/>
    <w:rsid w:val="00286D11"/>
    <w:rsid w:val="002870F6"/>
    <w:rsid w:val="002906BF"/>
    <w:rsid w:val="00290F9D"/>
    <w:rsid w:val="002912FC"/>
    <w:rsid w:val="00291706"/>
    <w:rsid w:val="002920C9"/>
    <w:rsid w:val="00292D58"/>
    <w:rsid w:val="00293455"/>
    <w:rsid w:val="0029352E"/>
    <w:rsid w:val="002940E8"/>
    <w:rsid w:val="00294751"/>
    <w:rsid w:val="00296491"/>
    <w:rsid w:val="00296AFF"/>
    <w:rsid w:val="00296C8A"/>
    <w:rsid w:val="00297A09"/>
    <w:rsid w:val="00297AB7"/>
    <w:rsid w:val="002A12C8"/>
    <w:rsid w:val="002A19C8"/>
    <w:rsid w:val="002A1AF5"/>
    <w:rsid w:val="002A2092"/>
    <w:rsid w:val="002A22B2"/>
    <w:rsid w:val="002A237A"/>
    <w:rsid w:val="002A2BC1"/>
    <w:rsid w:val="002A3347"/>
    <w:rsid w:val="002A40A0"/>
    <w:rsid w:val="002A41FA"/>
    <w:rsid w:val="002A533A"/>
    <w:rsid w:val="002A5FDE"/>
    <w:rsid w:val="002A6E50"/>
    <w:rsid w:val="002A78D1"/>
    <w:rsid w:val="002B012D"/>
    <w:rsid w:val="002B0741"/>
    <w:rsid w:val="002B0A8D"/>
    <w:rsid w:val="002B0B2E"/>
    <w:rsid w:val="002B2440"/>
    <w:rsid w:val="002B29FB"/>
    <w:rsid w:val="002B39DC"/>
    <w:rsid w:val="002B3DD6"/>
    <w:rsid w:val="002B4290"/>
    <w:rsid w:val="002B4298"/>
    <w:rsid w:val="002B4DC6"/>
    <w:rsid w:val="002B5EC5"/>
    <w:rsid w:val="002B619B"/>
    <w:rsid w:val="002B666A"/>
    <w:rsid w:val="002B69F4"/>
    <w:rsid w:val="002B6C87"/>
    <w:rsid w:val="002B7732"/>
    <w:rsid w:val="002B77FD"/>
    <w:rsid w:val="002B7ACA"/>
    <w:rsid w:val="002B7D09"/>
    <w:rsid w:val="002B7F3B"/>
    <w:rsid w:val="002C0800"/>
    <w:rsid w:val="002C0ADD"/>
    <w:rsid w:val="002C1618"/>
    <w:rsid w:val="002C1FAE"/>
    <w:rsid w:val="002C256A"/>
    <w:rsid w:val="002C29AC"/>
    <w:rsid w:val="002C2FA7"/>
    <w:rsid w:val="002C2FAF"/>
    <w:rsid w:val="002C30EE"/>
    <w:rsid w:val="002C3921"/>
    <w:rsid w:val="002C4180"/>
    <w:rsid w:val="002C4A04"/>
    <w:rsid w:val="002C4D4E"/>
    <w:rsid w:val="002C5CD6"/>
    <w:rsid w:val="002C6757"/>
    <w:rsid w:val="002C683B"/>
    <w:rsid w:val="002D043A"/>
    <w:rsid w:val="002D09EC"/>
    <w:rsid w:val="002D0C40"/>
    <w:rsid w:val="002D2A66"/>
    <w:rsid w:val="002D2E31"/>
    <w:rsid w:val="002D2FA2"/>
    <w:rsid w:val="002D2FC9"/>
    <w:rsid w:val="002D3525"/>
    <w:rsid w:val="002D4B66"/>
    <w:rsid w:val="002D547A"/>
    <w:rsid w:val="002D58CC"/>
    <w:rsid w:val="002D5BC0"/>
    <w:rsid w:val="002D65D1"/>
    <w:rsid w:val="002D7A61"/>
    <w:rsid w:val="002E1446"/>
    <w:rsid w:val="002E1B1E"/>
    <w:rsid w:val="002E485F"/>
    <w:rsid w:val="002E4BC2"/>
    <w:rsid w:val="002E4F36"/>
    <w:rsid w:val="002E5AEB"/>
    <w:rsid w:val="002E61CB"/>
    <w:rsid w:val="002E636A"/>
    <w:rsid w:val="002E7FEF"/>
    <w:rsid w:val="002F110C"/>
    <w:rsid w:val="002F28BB"/>
    <w:rsid w:val="002F2B83"/>
    <w:rsid w:val="002F377A"/>
    <w:rsid w:val="002F4A7D"/>
    <w:rsid w:val="002F63D5"/>
    <w:rsid w:val="002F69EC"/>
    <w:rsid w:val="002F7D08"/>
    <w:rsid w:val="00301EE8"/>
    <w:rsid w:val="003055CC"/>
    <w:rsid w:val="00305A7F"/>
    <w:rsid w:val="00305D29"/>
    <w:rsid w:val="003061F2"/>
    <w:rsid w:val="00306229"/>
    <w:rsid w:val="00306A0E"/>
    <w:rsid w:val="0031249F"/>
    <w:rsid w:val="00312A3B"/>
    <w:rsid w:val="00313945"/>
    <w:rsid w:val="0031440C"/>
    <w:rsid w:val="003152FE"/>
    <w:rsid w:val="00316083"/>
    <w:rsid w:val="00316175"/>
    <w:rsid w:val="00317938"/>
    <w:rsid w:val="0032020E"/>
    <w:rsid w:val="00320BCD"/>
    <w:rsid w:val="0032249D"/>
    <w:rsid w:val="00322664"/>
    <w:rsid w:val="00323C5B"/>
    <w:rsid w:val="00324082"/>
    <w:rsid w:val="0032421A"/>
    <w:rsid w:val="00324470"/>
    <w:rsid w:val="003247A0"/>
    <w:rsid w:val="00325133"/>
    <w:rsid w:val="0032517C"/>
    <w:rsid w:val="00325628"/>
    <w:rsid w:val="003258A9"/>
    <w:rsid w:val="00325C40"/>
    <w:rsid w:val="003273B5"/>
    <w:rsid w:val="00327436"/>
    <w:rsid w:val="00327627"/>
    <w:rsid w:val="003278ED"/>
    <w:rsid w:val="00330CB4"/>
    <w:rsid w:val="003324F3"/>
    <w:rsid w:val="00332D45"/>
    <w:rsid w:val="00332D7A"/>
    <w:rsid w:val="00333200"/>
    <w:rsid w:val="00333C97"/>
    <w:rsid w:val="00333CEB"/>
    <w:rsid w:val="00333F6D"/>
    <w:rsid w:val="0033615D"/>
    <w:rsid w:val="00336FA1"/>
    <w:rsid w:val="00337A29"/>
    <w:rsid w:val="003408AA"/>
    <w:rsid w:val="00340D07"/>
    <w:rsid w:val="0034374D"/>
    <w:rsid w:val="00344354"/>
    <w:rsid w:val="00344BD6"/>
    <w:rsid w:val="00345078"/>
    <w:rsid w:val="003460FC"/>
    <w:rsid w:val="00346398"/>
    <w:rsid w:val="0034671F"/>
    <w:rsid w:val="003467FC"/>
    <w:rsid w:val="003468E3"/>
    <w:rsid w:val="00346907"/>
    <w:rsid w:val="003469A8"/>
    <w:rsid w:val="003476C5"/>
    <w:rsid w:val="003478E3"/>
    <w:rsid w:val="00347F8B"/>
    <w:rsid w:val="00350A59"/>
    <w:rsid w:val="003512DD"/>
    <w:rsid w:val="00352498"/>
    <w:rsid w:val="0035377C"/>
    <w:rsid w:val="00353F92"/>
    <w:rsid w:val="00353F93"/>
    <w:rsid w:val="003544AB"/>
    <w:rsid w:val="0035528D"/>
    <w:rsid w:val="00355429"/>
    <w:rsid w:val="00355725"/>
    <w:rsid w:val="003568AB"/>
    <w:rsid w:val="0036052F"/>
    <w:rsid w:val="003605F8"/>
    <w:rsid w:val="00360B22"/>
    <w:rsid w:val="0036157A"/>
    <w:rsid w:val="003616F5"/>
    <w:rsid w:val="00361821"/>
    <w:rsid w:val="00361E9E"/>
    <w:rsid w:val="00361EFE"/>
    <w:rsid w:val="00361F62"/>
    <w:rsid w:val="003631E5"/>
    <w:rsid w:val="00363791"/>
    <w:rsid w:val="00364B8E"/>
    <w:rsid w:val="00365B6F"/>
    <w:rsid w:val="00366393"/>
    <w:rsid w:val="00366B50"/>
    <w:rsid w:val="003705C5"/>
    <w:rsid w:val="00371888"/>
    <w:rsid w:val="00371D8C"/>
    <w:rsid w:val="0037298F"/>
    <w:rsid w:val="00372D31"/>
    <w:rsid w:val="00372E18"/>
    <w:rsid w:val="0037313A"/>
    <w:rsid w:val="0037346F"/>
    <w:rsid w:val="003748C6"/>
    <w:rsid w:val="00375624"/>
    <w:rsid w:val="00375EA7"/>
    <w:rsid w:val="003761BF"/>
    <w:rsid w:val="0037657A"/>
    <w:rsid w:val="0037657E"/>
    <w:rsid w:val="00377360"/>
    <w:rsid w:val="003804A8"/>
    <w:rsid w:val="00380E22"/>
    <w:rsid w:val="00380E40"/>
    <w:rsid w:val="00380EFD"/>
    <w:rsid w:val="0038130A"/>
    <w:rsid w:val="003827A3"/>
    <w:rsid w:val="0038298F"/>
    <w:rsid w:val="0038343B"/>
    <w:rsid w:val="00383939"/>
    <w:rsid w:val="00383C0E"/>
    <w:rsid w:val="00384A1E"/>
    <w:rsid w:val="00384CA5"/>
    <w:rsid w:val="00386505"/>
    <w:rsid w:val="00386ECB"/>
    <w:rsid w:val="0038775D"/>
    <w:rsid w:val="00390776"/>
    <w:rsid w:val="003912D0"/>
    <w:rsid w:val="00391730"/>
    <w:rsid w:val="0039270D"/>
    <w:rsid w:val="003936CE"/>
    <w:rsid w:val="00393877"/>
    <w:rsid w:val="00393B7B"/>
    <w:rsid w:val="00393DDB"/>
    <w:rsid w:val="0039425A"/>
    <w:rsid w:val="00394906"/>
    <w:rsid w:val="0039503E"/>
    <w:rsid w:val="00395C67"/>
    <w:rsid w:val="00395F90"/>
    <w:rsid w:val="00395FB7"/>
    <w:rsid w:val="0039633A"/>
    <w:rsid w:val="00396907"/>
    <w:rsid w:val="0039723C"/>
    <w:rsid w:val="0039734A"/>
    <w:rsid w:val="00397FA8"/>
    <w:rsid w:val="003A0029"/>
    <w:rsid w:val="003A0C97"/>
    <w:rsid w:val="003A1044"/>
    <w:rsid w:val="003A179B"/>
    <w:rsid w:val="003A23B3"/>
    <w:rsid w:val="003A2A7A"/>
    <w:rsid w:val="003A40BA"/>
    <w:rsid w:val="003A4812"/>
    <w:rsid w:val="003A5827"/>
    <w:rsid w:val="003A614E"/>
    <w:rsid w:val="003A6218"/>
    <w:rsid w:val="003A64D9"/>
    <w:rsid w:val="003A6CA7"/>
    <w:rsid w:val="003A6DED"/>
    <w:rsid w:val="003A7336"/>
    <w:rsid w:val="003B0622"/>
    <w:rsid w:val="003B065A"/>
    <w:rsid w:val="003B0B9E"/>
    <w:rsid w:val="003B0C83"/>
    <w:rsid w:val="003B14FE"/>
    <w:rsid w:val="003B281E"/>
    <w:rsid w:val="003B3804"/>
    <w:rsid w:val="003B43BB"/>
    <w:rsid w:val="003B459A"/>
    <w:rsid w:val="003B4703"/>
    <w:rsid w:val="003B4D57"/>
    <w:rsid w:val="003B5781"/>
    <w:rsid w:val="003B748D"/>
    <w:rsid w:val="003B7FBD"/>
    <w:rsid w:val="003C0736"/>
    <w:rsid w:val="003C107E"/>
    <w:rsid w:val="003C1E76"/>
    <w:rsid w:val="003C23DA"/>
    <w:rsid w:val="003C24D8"/>
    <w:rsid w:val="003C2739"/>
    <w:rsid w:val="003C2DF2"/>
    <w:rsid w:val="003C51D4"/>
    <w:rsid w:val="003C53F8"/>
    <w:rsid w:val="003C57F9"/>
    <w:rsid w:val="003C5B24"/>
    <w:rsid w:val="003C5B70"/>
    <w:rsid w:val="003C6DC3"/>
    <w:rsid w:val="003C789B"/>
    <w:rsid w:val="003C7C50"/>
    <w:rsid w:val="003C7FBE"/>
    <w:rsid w:val="003C7FDB"/>
    <w:rsid w:val="003D0BA1"/>
    <w:rsid w:val="003D1419"/>
    <w:rsid w:val="003D1B86"/>
    <w:rsid w:val="003D1CE0"/>
    <w:rsid w:val="003D227C"/>
    <w:rsid w:val="003D2B4D"/>
    <w:rsid w:val="003D39A7"/>
    <w:rsid w:val="003D60F9"/>
    <w:rsid w:val="003D6F18"/>
    <w:rsid w:val="003E0B8A"/>
    <w:rsid w:val="003E167D"/>
    <w:rsid w:val="003E2998"/>
    <w:rsid w:val="003E365A"/>
    <w:rsid w:val="003E3776"/>
    <w:rsid w:val="003E5378"/>
    <w:rsid w:val="003E5BC0"/>
    <w:rsid w:val="003E5C31"/>
    <w:rsid w:val="003E5E9A"/>
    <w:rsid w:val="003E6256"/>
    <w:rsid w:val="003E765C"/>
    <w:rsid w:val="003E7DF6"/>
    <w:rsid w:val="003F02CD"/>
    <w:rsid w:val="003F0D9E"/>
    <w:rsid w:val="003F109D"/>
    <w:rsid w:val="003F19AA"/>
    <w:rsid w:val="003F2509"/>
    <w:rsid w:val="003F285E"/>
    <w:rsid w:val="003F2E24"/>
    <w:rsid w:val="003F30F4"/>
    <w:rsid w:val="003F31DD"/>
    <w:rsid w:val="003F338D"/>
    <w:rsid w:val="003F39B1"/>
    <w:rsid w:val="003F4373"/>
    <w:rsid w:val="003F4826"/>
    <w:rsid w:val="003F4E3A"/>
    <w:rsid w:val="003F5505"/>
    <w:rsid w:val="003F5522"/>
    <w:rsid w:val="003F5E9F"/>
    <w:rsid w:val="003F5F2B"/>
    <w:rsid w:val="003F61EC"/>
    <w:rsid w:val="003F62FC"/>
    <w:rsid w:val="00401109"/>
    <w:rsid w:val="0040176F"/>
    <w:rsid w:val="004017D6"/>
    <w:rsid w:val="00401EBD"/>
    <w:rsid w:val="00402A3F"/>
    <w:rsid w:val="00402C6D"/>
    <w:rsid w:val="004035A9"/>
    <w:rsid w:val="00404201"/>
    <w:rsid w:val="00405051"/>
    <w:rsid w:val="004056B6"/>
    <w:rsid w:val="0040575A"/>
    <w:rsid w:val="00405C1E"/>
    <w:rsid w:val="00405F95"/>
    <w:rsid w:val="00406BC1"/>
    <w:rsid w:val="004072D9"/>
    <w:rsid w:val="00407488"/>
    <w:rsid w:val="004074D3"/>
    <w:rsid w:val="00407750"/>
    <w:rsid w:val="00407C9B"/>
    <w:rsid w:val="00410902"/>
    <w:rsid w:val="004120CB"/>
    <w:rsid w:val="004123BC"/>
    <w:rsid w:val="00412BBF"/>
    <w:rsid w:val="00412EAD"/>
    <w:rsid w:val="004135B4"/>
    <w:rsid w:val="00413EBC"/>
    <w:rsid w:val="0041403D"/>
    <w:rsid w:val="004148CB"/>
    <w:rsid w:val="0041506B"/>
    <w:rsid w:val="0041583C"/>
    <w:rsid w:val="00415D08"/>
    <w:rsid w:val="00416327"/>
    <w:rsid w:val="00416658"/>
    <w:rsid w:val="00416A76"/>
    <w:rsid w:val="00416B06"/>
    <w:rsid w:val="004213E7"/>
    <w:rsid w:val="00421542"/>
    <w:rsid w:val="00421638"/>
    <w:rsid w:val="00421EA0"/>
    <w:rsid w:val="00422DA6"/>
    <w:rsid w:val="004230A4"/>
    <w:rsid w:val="00423629"/>
    <w:rsid w:val="00423F20"/>
    <w:rsid w:val="00424156"/>
    <w:rsid w:val="004244A8"/>
    <w:rsid w:val="00424F59"/>
    <w:rsid w:val="004262A2"/>
    <w:rsid w:val="00426BAC"/>
    <w:rsid w:val="0042781B"/>
    <w:rsid w:val="00430033"/>
    <w:rsid w:val="00430182"/>
    <w:rsid w:val="00430527"/>
    <w:rsid w:val="00431121"/>
    <w:rsid w:val="00433318"/>
    <w:rsid w:val="00433809"/>
    <w:rsid w:val="00434141"/>
    <w:rsid w:val="0043433B"/>
    <w:rsid w:val="0043433D"/>
    <w:rsid w:val="0043449C"/>
    <w:rsid w:val="00435226"/>
    <w:rsid w:val="004361C0"/>
    <w:rsid w:val="0043713E"/>
    <w:rsid w:val="0044099B"/>
    <w:rsid w:val="00440AE1"/>
    <w:rsid w:val="00441595"/>
    <w:rsid w:val="004418F4"/>
    <w:rsid w:val="00442860"/>
    <w:rsid w:val="0044289F"/>
    <w:rsid w:val="00443AAC"/>
    <w:rsid w:val="00443EDE"/>
    <w:rsid w:val="0044431F"/>
    <w:rsid w:val="00444A88"/>
    <w:rsid w:val="004454E8"/>
    <w:rsid w:val="00445577"/>
    <w:rsid w:val="0044569D"/>
    <w:rsid w:val="00445ED1"/>
    <w:rsid w:val="00446D93"/>
    <w:rsid w:val="00447B8A"/>
    <w:rsid w:val="004506B2"/>
    <w:rsid w:val="00450E85"/>
    <w:rsid w:val="004512C0"/>
    <w:rsid w:val="004519E2"/>
    <w:rsid w:val="00451D8C"/>
    <w:rsid w:val="00451E95"/>
    <w:rsid w:val="004523B4"/>
    <w:rsid w:val="0045241D"/>
    <w:rsid w:val="004544BC"/>
    <w:rsid w:val="00454DA6"/>
    <w:rsid w:val="00455644"/>
    <w:rsid w:val="004556AC"/>
    <w:rsid w:val="0045665E"/>
    <w:rsid w:val="0046058D"/>
    <w:rsid w:val="00460801"/>
    <w:rsid w:val="004610FD"/>
    <w:rsid w:val="0046135E"/>
    <w:rsid w:val="00461604"/>
    <w:rsid w:val="004619F2"/>
    <w:rsid w:val="00461AF4"/>
    <w:rsid w:val="00461D4B"/>
    <w:rsid w:val="004621B7"/>
    <w:rsid w:val="004624D6"/>
    <w:rsid w:val="0046281E"/>
    <w:rsid w:val="00462B47"/>
    <w:rsid w:val="00462DBE"/>
    <w:rsid w:val="0046383B"/>
    <w:rsid w:val="00463E78"/>
    <w:rsid w:val="00463EB9"/>
    <w:rsid w:val="0046679C"/>
    <w:rsid w:val="00466A89"/>
    <w:rsid w:val="00466D62"/>
    <w:rsid w:val="00467CAE"/>
    <w:rsid w:val="00467F46"/>
    <w:rsid w:val="0047074C"/>
    <w:rsid w:val="00470E3B"/>
    <w:rsid w:val="00470F62"/>
    <w:rsid w:val="00471076"/>
    <w:rsid w:val="00471303"/>
    <w:rsid w:val="00471391"/>
    <w:rsid w:val="00471FF0"/>
    <w:rsid w:val="004740F3"/>
    <w:rsid w:val="00474DA4"/>
    <w:rsid w:val="00475469"/>
    <w:rsid w:val="00475B18"/>
    <w:rsid w:val="004766C8"/>
    <w:rsid w:val="0047692B"/>
    <w:rsid w:val="00476B4D"/>
    <w:rsid w:val="00476E2B"/>
    <w:rsid w:val="00477365"/>
    <w:rsid w:val="004779C2"/>
    <w:rsid w:val="004805FA"/>
    <w:rsid w:val="00480D2B"/>
    <w:rsid w:val="00481AFF"/>
    <w:rsid w:val="00481C2E"/>
    <w:rsid w:val="00481EDD"/>
    <w:rsid w:val="00482E8D"/>
    <w:rsid w:val="004836C8"/>
    <w:rsid w:val="00483AEF"/>
    <w:rsid w:val="00483FD7"/>
    <w:rsid w:val="00484636"/>
    <w:rsid w:val="004846E9"/>
    <w:rsid w:val="004849FD"/>
    <w:rsid w:val="00485B40"/>
    <w:rsid w:val="00486C13"/>
    <w:rsid w:val="00487284"/>
    <w:rsid w:val="0048778B"/>
    <w:rsid w:val="004900FA"/>
    <w:rsid w:val="00490521"/>
    <w:rsid w:val="0049060F"/>
    <w:rsid w:val="004909B3"/>
    <w:rsid w:val="0049278E"/>
    <w:rsid w:val="00492B31"/>
    <w:rsid w:val="00492C10"/>
    <w:rsid w:val="00492C8B"/>
    <w:rsid w:val="004932AB"/>
    <w:rsid w:val="004935D2"/>
    <w:rsid w:val="004937D3"/>
    <w:rsid w:val="0049409A"/>
    <w:rsid w:val="004946F2"/>
    <w:rsid w:val="00494A35"/>
    <w:rsid w:val="00495C53"/>
    <w:rsid w:val="00495C74"/>
    <w:rsid w:val="004A018B"/>
    <w:rsid w:val="004A0253"/>
    <w:rsid w:val="004A0B19"/>
    <w:rsid w:val="004A0DD6"/>
    <w:rsid w:val="004A2119"/>
    <w:rsid w:val="004A22F1"/>
    <w:rsid w:val="004A3DFB"/>
    <w:rsid w:val="004A509B"/>
    <w:rsid w:val="004A5EBA"/>
    <w:rsid w:val="004A632C"/>
    <w:rsid w:val="004A664F"/>
    <w:rsid w:val="004A680B"/>
    <w:rsid w:val="004A7416"/>
    <w:rsid w:val="004B01F6"/>
    <w:rsid w:val="004B05C8"/>
    <w:rsid w:val="004B0D23"/>
    <w:rsid w:val="004B0F15"/>
    <w:rsid w:val="004B1215"/>
    <w:rsid w:val="004B12A0"/>
    <w:rsid w:val="004B1374"/>
    <w:rsid w:val="004B1379"/>
    <w:rsid w:val="004B183A"/>
    <w:rsid w:val="004B1A57"/>
    <w:rsid w:val="004B23EF"/>
    <w:rsid w:val="004B258C"/>
    <w:rsid w:val="004B3765"/>
    <w:rsid w:val="004B380E"/>
    <w:rsid w:val="004B3B52"/>
    <w:rsid w:val="004B45AE"/>
    <w:rsid w:val="004B4F6F"/>
    <w:rsid w:val="004B59A2"/>
    <w:rsid w:val="004B7B2E"/>
    <w:rsid w:val="004B7B55"/>
    <w:rsid w:val="004C0918"/>
    <w:rsid w:val="004C225D"/>
    <w:rsid w:val="004C2370"/>
    <w:rsid w:val="004C386F"/>
    <w:rsid w:val="004C462E"/>
    <w:rsid w:val="004C517D"/>
    <w:rsid w:val="004C546A"/>
    <w:rsid w:val="004C567C"/>
    <w:rsid w:val="004C5CB9"/>
    <w:rsid w:val="004C628F"/>
    <w:rsid w:val="004C646F"/>
    <w:rsid w:val="004C6AD3"/>
    <w:rsid w:val="004C6FE1"/>
    <w:rsid w:val="004C7533"/>
    <w:rsid w:val="004D047D"/>
    <w:rsid w:val="004D0554"/>
    <w:rsid w:val="004D0AF8"/>
    <w:rsid w:val="004D0B22"/>
    <w:rsid w:val="004D1238"/>
    <w:rsid w:val="004D1C36"/>
    <w:rsid w:val="004D2D92"/>
    <w:rsid w:val="004D333B"/>
    <w:rsid w:val="004D3C82"/>
    <w:rsid w:val="004D499C"/>
    <w:rsid w:val="004D52AC"/>
    <w:rsid w:val="004D56B2"/>
    <w:rsid w:val="004D5A4C"/>
    <w:rsid w:val="004D6092"/>
    <w:rsid w:val="004E03AB"/>
    <w:rsid w:val="004E0700"/>
    <w:rsid w:val="004E291C"/>
    <w:rsid w:val="004E3C52"/>
    <w:rsid w:val="004E4027"/>
    <w:rsid w:val="004E5666"/>
    <w:rsid w:val="004E68FD"/>
    <w:rsid w:val="004F00C6"/>
    <w:rsid w:val="004F0C91"/>
    <w:rsid w:val="004F17C2"/>
    <w:rsid w:val="004F1E9E"/>
    <w:rsid w:val="004F305A"/>
    <w:rsid w:val="004F4817"/>
    <w:rsid w:val="004F4B60"/>
    <w:rsid w:val="004F4E3B"/>
    <w:rsid w:val="004F5042"/>
    <w:rsid w:val="004F5417"/>
    <w:rsid w:val="004F5494"/>
    <w:rsid w:val="004F5869"/>
    <w:rsid w:val="004F5D76"/>
    <w:rsid w:val="004F602A"/>
    <w:rsid w:val="004F6047"/>
    <w:rsid w:val="004F71C9"/>
    <w:rsid w:val="005017F2"/>
    <w:rsid w:val="00501C1B"/>
    <w:rsid w:val="00501FCB"/>
    <w:rsid w:val="0050250E"/>
    <w:rsid w:val="00506A20"/>
    <w:rsid w:val="005070D6"/>
    <w:rsid w:val="00507420"/>
    <w:rsid w:val="00507705"/>
    <w:rsid w:val="005107FE"/>
    <w:rsid w:val="0051183F"/>
    <w:rsid w:val="00511B72"/>
    <w:rsid w:val="00512164"/>
    <w:rsid w:val="005123BF"/>
    <w:rsid w:val="00512EAB"/>
    <w:rsid w:val="005143F7"/>
    <w:rsid w:val="00515A5E"/>
    <w:rsid w:val="0051686F"/>
    <w:rsid w:val="00516DE9"/>
    <w:rsid w:val="005174FF"/>
    <w:rsid w:val="00517C23"/>
    <w:rsid w:val="00520297"/>
    <w:rsid w:val="00520315"/>
    <w:rsid w:val="0052074E"/>
    <w:rsid w:val="0052081B"/>
    <w:rsid w:val="00520C04"/>
    <w:rsid w:val="00522568"/>
    <w:rsid w:val="00522E02"/>
    <w:rsid w:val="005239D4"/>
    <w:rsid w:val="005248DD"/>
    <w:rsid w:val="00524DE4"/>
    <w:rsid w:val="00526078"/>
    <w:rsid w:val="00526447"/>
    <w:rsid w:val="0053149E"/>
    <w:rsid w:val="00531AC8"/>
    <w:rsid w:val="00531FE8"/>
    <w:rsid w:val="00532D8B"/>
    <w:rsid w:val="00533818"/>
    <w:rsid w:val="005338F9"/>
    <w:rsid w:val="00533FF6"/>
    <w:rsid w:val="00535862"/>
    <w:rsid w:val="00535A83"/>
    <w:rsid w:val="00536695"/>
    <w:rsid w:val="0053726F"/>
    <w:rsid w:val="005372FB"/>
    <w:rsid w:val="00540183"/>
    <w:rsid w:val="005407CD"/>
    <w:rsid w:val="0054281C"/>
    <w:rsid w:val="00542B6F"/>
    <w:rsid w:val="00542C59"/>
    <w:rsid w:val="00543CC6"/>
    <w:rsid w:val="00544005"/>
    <w:rsid w:val="0054454F"/>
    <w:rsid w:val="00544581"/>
    <w:rsid w:val="00544637"/>
    <w:rsid w:val="00544B89"/>
    <w:rsid w:val="00546158"/>
    <w:rsid w:val="00546517"/>
    <w:rsid w:val="00546A89"/>
    <w:rsid w:val="00546F39"/>
    <w:rsid w:val="00547112"/>
    <w:rsid w:val="005478A4"/>
    <w:rsid w:val="00547983"/>
    <w:rsid w:val="0055088B"/>
    <w:rsid w:val="00550B17"/>
    <w:rsid w:val="0055105D"/>
    <w:rsid w:val="005515D5"/>
    <w:rsid w:val="005517EE"/>
    <w:rsid w:val="00551C2D"/>
    <w:rsid w:val="00551CC9"/>
    <w:rsid w:val="0055268D"/>
    <w:rsid w:val="0055283D"/>
    <w:rsid w:val="005535AB"/>
    <w:rsid w:val="00553B37"/>
    <w:rsid w:val="00554E55"/>
    <w:rsid w:val="00556ABF"/>
    <w:rsid w:val="00556BEE"/>
    <w:rsid w:val="00557A44"/>
    <w:rsid w:val="00560D96"/>
    <w:rsid w:val="005611E5"/>
    <w:rsid w:val="00563B29"/>
    <w:rsid w:val="00563FE9"/>
    <w:rsid w:val="0056404A"/>
    <w:rsid w:val="00564BAC"/>
    <w:rsid w:val="00564E72"/>
    <w:rsid w:val="00565C65"/>
    <w:rsid w:val="0056706C"/>
    <w:rsid w:val="0056765C"/>
    <w:rsid w:val="00570C2A"/>
    <w:rsid w:val="00571B5B"/>
    <w:rsid w:val="00572645"/>
    <w:rsid w:val="0057264A"/>
    <w:rsid w:val="00573564"/>
    <w:rsid w:val="00573602"/>
    <w:rsid w:val="00573E50"/>
    <w:rsid w:val="005745A4"/>
    <w:rsid w:val="00575554"/>
    <w:rsid w:val="00576ACD"/>
    <w:rsid w:val="00576BE4"/>
    <w:rsid w:val="005800D0"/>
    <w:rsid w:val="00580D9E"/>
    <w:rsid w:val="0058157F"/>
    <w:rsid w:val="0058181D"/>
    <w:rsid w:val="005819BF"/>
    <w:rsid w:val="00582976"/>
    <w:rsid w:val="005835C4"/>
    <w:rsid w:val="00583AD7"/>
    <w:rsid w:val="00584234"/>
    <w:rsid w:val="005844B0"/>
    <w:rsid w:val="0058474E"/>
    <w:rsid w:val="00584923"/>
    <w:rsid w:val="0058656A"/>
    <w:rsid w:val="005870C7"/>
    <w:rsid w:val="0058786A"/>
    <w:rsid w:val="00587D0C"/>
    <w:rsid w:val="00591192"/>
    <w:rsid w:val="00592456"/>
    <w:rsid w:val="0059342F"/>
    <w:rsid w:val="00593C1B"/>
    <w:rsid w:val="00593EA5"/>
    <w:rsid w:val="0059402D"/>
    <w:rsid w:val="005941CA"/>
    <w:rsid w:val="005946B7"/>
    <w:rsid w:val="00594731"/>
    <w:rsid w:val="00594A52"/>
    <w:rsid w:val="00595B13"/>
    <w:rsid w:val="00595B43"/>
    <w:rsid w:val="00596ABE"/>
    <w:rsid w:val="00596EAD"/>
    <w:rsid w:val="005976F2"/>
    <w:rsid w:val="00597EC3"/>
    <w:rsid w:val="005A0491"/>
    <w:rsid w:val="005A071F"/>
    <w:rsid w:val="005A0765"/>
    <w:rsid w:val="005A0B17"/>
    <w:rsid w:val="005A12BE"/>
    <w:rsid w:val="005A1343"/>
    <w:rsid w:val="005A1AA0"/>
    <w:rsid w:val="005A1FE2"/>
    <w:rsid w:val="005A29F1"/>
    <w:rsid w:val="005A398D"/>
    <w:rsid w:val="005A3B5D"/>
    <w:rsid w:val="005A400A"/>
    <w:rsid w:val="005A41EF"/>
    <w:rsid w:val="005A4583"/>
    <w:rsid w:val="005A6827"/>
    <w:rsid w:val="005A6E36"/>
    <w:rsid w:val="005A6F4F"/>
    <w:rsid w:val="005A7C47"/>
    <w:rsid w:val="005B0ED6"/>
    <w:rsid w:val="005B1295"/>
    <w:rsid w:val="005B1468"/>
    <w:rsid w:val="005B172D"/>
    <w:rsid w:val="005B1DFB"/>
    <w:rsid w:val="005B234A"/>
    <w:rsid w:val="005B2F4A"/>
    <w:rsid w:val="005B42AD"/>
    <w:rsid w:val="005B522F"/>
    <w:rsid w:val="005B691C"/>
    <w:rsid w:val="005B6A70"/>
    <w:rsid w:val="005B6D47"/>
    <w:rsid w:val="005B6FF5"/>
    <w:rsid w:val="005B722A"/>
    <w:rsid w:val="005B73F5"/>
    <w:rsid w:val="005B7425"/>
    <w:rsid w:val="005B77EF"/>
    <w:rsid w:val="005B7B6A"/>
    <w:rsid w:val="005B7D8B"/>
    <w:rsid w:val="005B7DD8"/>
    <w:rsid w:val="005C0A20"/>
    <w:rsid w:val="005C1E9E"/>
    <w:rsid w:val="005C1EAA"/>
    <w:rsid w:val="005C1FC0"/>
    <w:rsid w:val="005C2950"/>
    <w:rsid w:val="005C3A1E"/>
    <w:rsid w:val="005C3B6B"/>
    <w:rsid w:val="005C44A2"/>
    <w:rsid w:val="005C4970"/>
    <w:rsid w:val="005C4BBB"/>
    <w:rsid w:val="005C57C1"/>
    <w:rsid w:val="005C65AB"/>
    <w:rsid w:val="005C6677"/>
    <w:rsid w:val="005C6730"/>
    <w:rsid w:val="005C67E6"/>
    <w:rsid w:val="005C7252"/>
    <w:rsid w:val="005C79AA"/>
    <w:rsid w:val="005C7FF4"/>
    <w:rsid w:val="005D012D"/>
    <w:rsid w:val="005D05C4"/>
    <w:rsid w:val="005D0C9E"/>
    <w:rsid w:val="005D14F5"/>
    <w:rsid w:val="005D1AC1"/>
    <w:rsid w:val="005D2B90"/>
    <w:rsid w:val="005D2C12"/>
    <w:rsid w:val="005D2E71"/>
    <w:rsid w:val="005D317B"/>
    <w:rsid w:val="005D31FD"/>
    <w:rsid w:val="005D3AB8"/>
    <w:rsid w:val="005D3DEF"/>
    <w:rsid w:val="005D447D"/>
    <w:rsid w:val="005D46C8"/>
    <w:rsid w:val="005D5829"/>
    <w:rsid w:val="005D5A6B"/>
    <w:rsid w:val="005D5EBB"/>
    <w:rsid w:val="005D645A"/>
    <w:rsid w:val="005D6995"/>
    <w:rsid w:val="005D6A92"/>
    <w:rsid w:val="005D6CAA"/>
    <w:rsid w:val="005D6F57"/>
    <w:rsid w:val="005D7523"/>
    <w:rsid w:val="005D7C7E"/>
    <w:rsid w:val="005E0A71"/>
    <w:rsid w:val="005E1359"/>
    <w:rsid w:val="005E1412"/>
    <w:rsid w:val="005E18D3"/>
    <w:rsid w:val="005E1F94"/>
    <w:rsid w:val="005E280C"/>
    <w:rsid w:val="005E2A08"/>
    <w:rsid w:val="005E3B7B"/>
    <w:rsid w:val="005E3E2C"/>
    <w:rsid w:val="005E4E51"/>
    <w:rsid w:val="005E5224"/>
    <w:rsid w:val="005E5FB2"/>
    <w:rsid w:val="005E659E"/>
    <w:rsid w:val="005E6B74"/>
    <w:rsid w:val="005E71B6"/>
    <w:rsid w:val="005E71DA"/>
    <w:rsid w:val="005E727B"/>
    <w:rsid w:val="005E7EBD"/>
    <w:rsid w:val="005F0224"/>
    <w:rsid w:val="005F06DB"/>
    <w:rsid w:val="005F0DC6"/>
    <w:rsid w:val="005F1024"/>
    <w:rsid w:val="005F221F"/>
    <w:rsid w:val="005F2B3A"/>
    <w:rsid w:val="005F2B9B"/>
    <w:rsid w:val="005F3491"/>
    <w:rsid w:val="005F388F"/>
    <w:rsid w:val="005F40F9"/>
    <w:rsid w:val="005F452C"/>
    <w:rsid w:val="005F5129"/>
    <w:rsid w:val="005F51FD"/>
    <w:rsid w:val="005F528D"/>
    <w:rsid w:val="005F5B7B"/>
    <w:rsid w:val="005F5EAA"/>
    <w:rsid w:val="005F66E7"/>
    <w:rsid w:val="005F7213"/>
    <w:rsid w:val="005F759A"/>
    <w:rsid w:val="005F7B92"/>
    <w:rsid w:val="0060060E"/>
    <w:rsid w:val="00600D7D"/>
    <w:rsid w:val="0060111B"/>
    <w:rsid w:val="006014F7"/>
    <w:rsid w:val="0060151C"/>
    <w:rsid w:val="00601726"/>
    <w:rsid w:val="0060177A"/>
    <w:rsid w:val="006019AE"/>
    <w:rsid w:val="00601FE7"/>
    <w:rsid w:val="00602462"/>
    <w:rsid w:val="00603094"/>
    <w:rsid w:val="00603236"/>
    <w:rsid w:val="0060332C"/>
    <w:rsid w:val="00603338"/>
    <w:rsid w:val="006034FE"/>
    <w:rsid w:val="00603825"/>
    <w:rsid w:val="00603B22"/>
    <w:rsid w:val="00603B58"/>
    <w:rsid w:val="00603F86"/>
    <w:rsid w:val="006041EC"/>
    <w:rsid w:val="00604317"/>
    <w:rsid w:val="00605358"/>
    <w:rsid w:val="00605DFF"/>
    <w:rsid w:val="0060659B"/>
    <w:rsid w:val="006066ED"/>
    <w:rsid w:val="00606EFD"/>
    <w:rsid w:val="006078F7"/>
    <w:rsid w:val="00607963"/>
    <w:rsid w:val="00610122"/>
    <w:rsid w:val="0061044C"/>
    <w:rsid w:val="00610986"/>
    <w:rsid w:val="00610AFB"/>
    <w:rsid w:val="00610B80"/>
    <w:rsid w:val="006114E4"/>
    <w:rsid w:val="00612379"/>
    <w:rsid w:val="00612ADF"/>
    <w:rsid w:val="00613056"/>
    <w:rsid w:val="0061322D"/>
    <w:rsid w:val="0061344E"/>
    <w:rsid w:val="006151A9"/>
    <w:rsid w:val="006153B6"/>
    <w:rsid w:val="0061555F"/>
    <w:rsid w:val="00615BD6"/>
    <w:rsid w:val="00615FF3"/>
    <w:rsid w:val="00616A61"/>
    <w:rsid w:val="00617423"/>
    <w:rsid w:val="00617D58"/>
    <w:rsid w:val="00620135"/>
    <w:rsid w:val="0062050D"/>
    <w:rsid w:val="00620A4C"/>
    <w:rsid w:val="00623740"/>
    <w:rsid w:val="00623AAD"/>
    <w:rsid w:val="00623AB2"/>
    <w:rsid w:val="00623FF9"/>
    <w:rsid w:val="00624551"/>
    <w:rsid w:val="00625FF7"/>
    <w:rsid w:val="006267DA"/>
    <w:rsid w:val="006268BB"/>
    <w:rsid w:val="00626D2C"/>
    <w:rsid w:val="00626D7B"/>
    <w:rsid w:val="00626FC6"/>
    <w:rsid w:val="00632782"/>
    <w:rsid w:val="00633AB2"/>
    <w:rsid w:val="00634B28"/>
    <w:rsid w:val="00634EFE"/>
    <w:rsid w:val="006363EB"/>
    <w:rsid w:val="0063681F"/>
    <w:rsid w:val="00636AF5"/>
    <w:rsid w:val="00636CA6"/>
    <w:rsid w:val="006371AA"/>
    <w:rsid w:val="00637A28"/>
    <w:rsid w:val="00637D83"/>
    <w:rsid w:val="00640815"/>
    <w:rsid w:val="00640B6B"/>
    <w:rsid w:val="00641200"/>
    <w:rsid w:val="00641335"/>
    <w:rsid w:val="00641735"/>
    <w:rsid w:val="006420F2"/>
    <w:rsid w:val="006424BB"/>
    <w:rsid w:val="0064334D"/>
    <w:rsid w:val="006436EE"/>
    <w:rsid w:val="00644C2A"/>
    <w:rsid w:val="00645CA8"/>
    <w:rsid w:val="00645DCB"/>
    <w:rsid w:val="00646341"/>
    <w:rsid w:val="006475A0"/>
    <w:rsid w:val="00647A30"/>
    <w:rsid w:val="00650160"/>
    <w:rsid w:val="00650388"/>
    <w:rsid w:val="006507BA"/>
    <w:rsid w:val="0065085F"/>
    <w:rsid w:val="006517A6"/>
    <w:rsid w:val="006519FD"/>
    <w:rsid w:val="0065229E"/>
    <w:rsid w:val="006523F8"/>
    <w:rsid w:val="00652458"/>
    <w:rsid w:val="00652C18"/>
    <w:rsid w:val="006531E1"/>
    <w:rsid w:val="00653934"/>
    <w:rsid w:val="00653CDC"/>
    <w:rsid w:val="006540A7"/>
    <w:rsid w:val="006548CB"/>
    <w:rsid w:val="00654C37"/>
    <w:rsid w:val="00655ABF"/>
    <w:rsid w:val="006569C0"/>
    <w:rsid w:val="006573D8"/>
    <w:rsid w:val="006575C8"/>
    <w:rsid w:val="006578B4"/>
    <w:rsid w:val="006579C9"/>
    <w:rsid w:val="006602B0"/>
    <w:rsid w:val="00660365"/>
    <w:rsid w:val="006606EB"/>
    <w:rsid w:val="0066090C"/>
    <w:rsid w:val="00660BEF"/>
    <w:rsid w:val="00662177"/>
    <w:rsid w:val="006623D1"/>
    <w:rsid w:val="0066321B"/>
    <w:rsid w:val="006635BE"/>
    <w:rsid w:val="00664983"/>
    <w:rsid w:val="00664E2C"/>
    <w:rsid w:val="006655D3"/>
    <w:rsid w:val="00665A97"/>
    <w:rsid w:val="00665E3D"/>
    <w:rsid w:val="00666306"/>
    <w:rsid w:val="00667404"/>
    <w:rsid w:val="00667A24"/>
    <w:rsid w:val="00667F10"/>
    <w:rsid w:val="0067059F"/>
    <w:rsid w:val="00670CD8"/>
    <w:rsid w:val="006710EA"/>
    <w:rsid w:val="00671DE9"/>
    <w:rsid w:val="0067240B"/>
    <w:rsid w:val="006735C8"/>
    <w:rsid w:val="00674F8D"/>
    <w:rsid w:val="00675121"/>
    <w:rsid w:val="006773AE"/>
    <w:rsid w:val="00677A58"/>
    <w:rsid w:val="0068064C"/>
    <w:rsid w:val="006810E5"/>
    <w:rsid w:val="006819D9"/>
    <w:rsid w:val="00681B7A"/>
    <w:rsid w:val="00681D85"/>
    <w:rsid w:val="006822BA"/>
    <w:rsid w:val="006825C8"/>
    <w:rsid w:val="006835B6"/>
    <w:rsid w:val="00683A3C"/>
    <w:rsid w:val="00683C29"/>
    <w:rsid w:val="00684683"/>
    <w:rsid w:val="00684A35"/>
    <w:rsid w:val="00684F92"/>
    <w:rsid w:val="00685BC1"/>
    <w:rsid w:val="00686060"/>
    <w:rsid w:val="00686B97"/>
    <w:rsid w:val="00687EB4"/>
    <w:rsid w:val="00690FED"/>
    <w:rsid w:val="006930B2"/>
    <w:rsid w:val="0069312A"/>
    <w:rsid w:val="00694A0E"/>
    <w:rsid w:val="00694D3F"/>
    <w:rsid w:val="0069594D"/>
    <w:rsid w:val="006959CD"/>
    <w:rsid w:val="00695C56"/>
    <w:rsid w:val="00695F7B"/>
    <w:rsid w:val="006A0421"/>
    <w:rsid w:val="006A106F"/>
    <w:rsid w:val="006A1EF7"/>
    <w:rsid w:val="006A2185"/>
    <w:rsid w:val="006A2B98"/>
    <w:rsid w:val="006A2FF3"/>
    <w:rsid w:val="006A3293"/>
    <w:rsid w:val="006A397E"/>
    <w:rsid w:val="006A3BD9"/>
    <w:rsid w:val="006A40A8"/>
    <w:rsid w:val="006A47A3"/>
    <w:rsid w:val="006A5974"/>
    <w:rsid w:val="006A5997"/>
    <w:rsid w:val="006A5CDE"/>
    <w:rsid w:val="006A644A"/>
    <w:rsid w:val="006A6C9C"/>
    <w:rsid w:val="006A7167"/>
    <w:rsid w:val="006A7CDB"/>
    <w:rsid w:val="006B11A5"/>
    <w:rsid w:val="006B12D4"/>
    <w:rsid w:val="006B17D2"/>
    <w:rsid w:val="006B19BD"/>
    <w:rsid w:val="006B2609"/>
    <w:rsid w:val="006B2A71"/>
    <w:rsid w:val="006B3ABE"/>
    <w:rsid w:val="006B4391"/>
    <w:rsid w:val="006B4447"/>
    <w:rsid w:val="006B4463"/>
    <w:rsid w:val="006B5349"/>
    <w:rsid w:val="006B5A10"/>
    <w:rsid w:val="006B5B62"/>
    <w:rsid w:val="006B602F"/>
    <w:rsid w:val="006B63D0"/>
    <w:rsid w:val="006B6560"/>
    <w:rsid w:val="006B6710"/>
    <w:rsid w:val="006B6BE5"/>
    <w:rsid w:val="006B7B45"/>
    <w:rsid w:val="006C0171"/>
    <w:rsid w:val="006C02DD"/>
    <w:rsid w:val="006C1646"/>
    <w:rsid w:val="006C1953"/>
    <w:rsid w:val="006C1E86"/>
    <w:rsid w:val="006C224E"/>
    <w:rsid w:val="006C354A"/>
    <w:rsid w:val="006C3D6F"/>
    <w:rsid w:val="006C42DC"/>
    <w:rsid w:val="006C4810"/>
    <w:rsid w:val="006C4AAB"/>
    <w:rsid w:val="006C4BD8"/>
    <w:rsid w:val="006C54AF"/>
    <w:rsid w:val="006C56A5"/>
    <w:rsid w:val="006C632B"/>
    <w:rsid w:val="006C6612"/>
    <w:rsid w:val="006C6BF8"/>
    <w:rsid w:val="006C6F2E"/>
    <w:rsid w:val="006C7789"/>
    <w:rsid w:val="006C7B75"/>
    <w:rsid w:val="006D0804"/>
    <w:rsid w:val="006D1BEC"/>
    <w:rsid w:val="006D2224"/>
    <w:rsid w:val="006D30A8"/>
    <w:rsid w:val="006D36E5"/>
    <w:rsid w:val="006D3788"/>
    <w:rsid w:val="006D4376"/>
    <w:rsid w:val="006D479B"/>
    <w:rsid w:val="006D4FFC"/>
    <w:rsid w:val="006D603D"/>
    <w:rsid w:val="006D6084"/>
    <w:rsid w:val="006D6ACD"/>
    <w:rsid w:val="006D6CAD"/>
    <w:rsid w:val="006D780A"/>
    <w:rsid w:val="006D7DBC"/>
    <w:rsid w:val="006D7E8B"/>
    <w:rsid w:val="006E02F1"/>
    <w:rsid w:val="006E05D8"/>
    <w:rsid w:val="006E06E1"/>
    <w:rsid w:val="006E1AA1"/>
    <w:rsid w:val="006E1DBF"/>
    <w:rsid w:val="006E3290"/>
    <w:rsid w:val="006E3995"/>
    <w:rsid w:val="006E3B84"/>
    <w:rsid w:val="006E4610"/>
    <w:rsid w:val="006E4A38"/>
    <w:rsid w:val="006E4C4A"/>
    <w:rsid w:val="006E4CB2"/>
    <w:rsid w:val="006E54F9"/>
    <w:rsid w:val="006E5D2B"/>
    <w:rsid w:val="006E5E59"/>
    <w:rsid w:val="006E6598"/>
    <w:rsid w:val="006E70B9"/>
    <w:rsid w:val="006E7314"/>
    <w:rsid w:val="006E7745"/>
    <w:rsid w:val="006E7AA6"/>
    <w:rsid w:val="006E7EF9"/>
    <w:rsid w:val="006F07F7"/>
    <w:rsid w:val="006F1031"/>
    <w:rsid w:val="006F14A6"/>
    <w:rsid w:val="006F19FD"/>
    <w:rsid w:val="006F2BA3"/>
    <w:rsid w:val="006F3546"/>
    <w:rsid w:val="006F49FE"/>
    <w:rsid w:val="006F4A26"/>
    <w:rsid w:val="006F4A80"/>
    <w:rsid w:val="006F5191"/>
    <w:rsid w:val="006F56C0"/>
    <w:rsid w:val="006F5CE1"/>
    <w:rsid w:val="006F70C3"/>
    <w:rsid w:val="006F726E"/>
    <w:rsid w:val="006F75BE"/>
    <w:rsid w:val="007003B5"/>
    <w:rsid w:val="00700758"/>
    <w:rsid w:val="00700927"/>
    <w:rsid w:val="007019B2"/>
    <w:rsid w:val="007019FD"/>
    <w:rsid w:val="00701B3D"/>
    <w:rsid w:val="00702449"/>
    <w:rsid w:val="00702634"/>
    <w:rsid w:val="00702BB6"/>
    <w:rsid w:val="007036A9"/>
    <w:rsid w:val="00704013"/>
    <w:rsid w:val="007047EC"/>
    <w:rsid w:val="00706113"/>
    <w:rsid w:val="00706A10"/>
    <w:rsid w:val="00706F6F"/>
    <w:rsid w:val="00707D86"/>
    <w:rsid w:val="00710652"/>
    <w:rsid w:val="00710944"/>
    <w:rsid w:val="00710C18"/>
    <w:rsid w:val="00710E7D"/>
    <w:rsid w:val="0071107E"/>
    <w:rsid w:val="00711AAF"/>
    <w:rsid w:val="00711B61"/>
    <w:rsid w:val="007123E5"/>
    <w:rsid w:val="0071271E"/>
    <w:rsid w:val="0071279F"/>
    <w:rsid w:val="007128A5"/>
    <w:rsid w:val="00712AD1"/>
    <w:rsid w:val="00712DC9"/>
    <w:rsid w:val="00714729"/>
    <w:rsid w:val="00714B99"/>
    <w:rsid w:val="00714DEE"/>
    <w:rsid w:val="007156E6"/>
    <w:rsid w:val="0071573E"/>
    <w:rsid w:val="00716A38"/>
    <w:rsid w:val="00716BA5"/>
    <w:rsid w:val="00717115"/>
    <w:rsid w:val="00717551"/>
    <w:rsid w:val="007179EC"/>
    <w:rsid w:val="00717FBC"/>
    <w:rsid w:val="007205E1"/>
    <w:rsid w:val="0072072F"/>
    <w:rsid w:val="00720741"/>
    <w:rsid w:val="007209B4"/>
    <w:rsid w:val="007229EE"/>
    <w:rsid w:val="00723AB8"/>
    <w:rsid w:val="0072487A"/>
    <w:rsid w:val="00724B26"/>
    <w:rsid w:val="00725901"/>
    <w:rsid w:val="00730645"/>
    <w:rsid w:val="007308AE"/>
    <w:rsid w:val="007309AF"/>
    <w:rsid w:val="00730C33"/>
    <w:rsid w:val="00730FA5"/>
    <w:rsid w:val="0073159D"/>
    <w:rsid w:val="00731A9F"/>
    <w:rsid w:val="00731E1F"/>
    <w:rsid w:val="00732BFF"/>
    <w:rsid w:val="00732DEC"/>
    <w:rsid w:val="00732FA1"/>
    <w:rsid w:val="0073309D"/>
    <w:rsid w:val="007332B4"/>
    <w:rsid w:val="00733550"/>
    <w:rsid w:val="007335B3"/>
    <w:rsid w:val="0073376A"/>
    <w:rsid w:val="007347B1"/>
    <w:rsid w:val="00735905"/>
    <w:rsid w:val="00735BD5"/>
    <w:rsid w:val="00735DE6"/>
    <w:rsid w:val="00736C79"/>
    <w:rsid w:val="0074161F"/>
    <w:rsid w:val="007416D6"/>
    <w:rsid w:val="00741C82"/>
    <w:rsid w:val="007423CC"/>
    <w:rsid w:val="0074297F"/>
    <w:rsid w:val="00742F19"/>
    <w:rsid w:val="007430B3"/>
    <w:rsid w:val="00743720"/>
    <w:rsid w:val="00743879"/>
    <w:rsid w:val="00743B59"/>
    <w:rsid w:val="00743BCC"/>
    <w:rsid w:val="007446B7"/>
    <w:rsid w:val="00744F9A"/>
    <w:rsid w:val="007451EC"/>
    <w:rsid w:val="00745541"/>
    <w:rsid w:val="00745DB4"/>
    <w:rsid w:val="00745F16"/>
    <w:rsid w:val="00746563"/>
    <w:rsid w:val="007478A4"/>
    <w:rsid w:val="007506B4"/>
    <w:rsid w:val="00751613"/>
    <w:rsid w:val="00751BC6"/>
    <w:rsid w:val="00751DC3"/>
    <w:rsid w:val="00751F36"/>
    <w:rsid w:val="0075286B"/>
    <w:rsid w:val="00752A3E"/>
    <w:rsid w:val="00753B72"/>
    <w:rsid w:val="00753FD7"/>
    <w:rsid w:val="007552B6"/>
    <w:rsid w:val="007556F6"/>
    <w:rsid w:val="00755BF4"/>
    <w:rsid w:val="00756A01"/>
    <w:rsid w:val="00760474"/>
    <w:rsid w:val="007609FC"/>
    <w:rsid w:val="00760EEF"/>
    <w:rsid w:val="00760F1C"/>
    <w:rsid w:val="0076116C"/>
    <w:rsid w:val="00761780"/>
    <w:rsid w:val="00761EFB"/>
    <w:rsid w:val="00762585"/>
    <w:rsid w:val="00762CB4"/>
    <w:rsid w:val="007642EB"/>
    <w:rsid w:val="00764921"/>
    <w:rsid w:val="00764B12"/>
    <w:rsid w:val="00764DF7"/>
    <w:rsid w:val="007650C2"/>
    <w:rsid w:val="00765581"/>
    <w:rsid w:val="007661D4"/>
    <w:rsid w:val="00766285"/>
    <w:rsid w:val="007664F1"/>
    <w:rsid w:val="00767427"/>
    <w:rsid w:val="007704C6"/>
    <w:rsid w:val="007706DC"/>
    <w:rsid w:val="007707B6"/>
    <w:rsid w:val="00770C67"/>
    <w:rsid w:val="007716C5"/>
    <w:rsid w:val="007716C6"/>
    <w:rsid w:val="00772D6E"/>
    <w:rsid w:val="007738AD"/>
    <w:rsid w:val="00773F0F"/>
    <w:rsid w:val="007742C1"/>
    <w:rsid w:val="00775287"/>
    <w:rsid w:val="00775C3C"/>
    <w:rsid w:val="00776D26"/>
    <w:rsid w:val="00777EE5"/>
    <w:rsid w:val="00781895"/>
    <w:rsid w:val="00783055"/>
    <w:rsid w:val="00783100"/>
    <w:rsid w:val="00783C85"/>
    <w:rsid w:val="00784836"/>
    <w:rsid w:val="00784BC7"/>
    <w:rsid w:val="00784DF3"/>
    <w:rsid w:val="00784EE4"/>
    <w:rsid w:val="00785863"/>
    <w:rsid w:val="0078695D"/>
    <w:rsid w:val="00786C49"/>
    <w:rsid w:val="00786D52"/>
    <w:rsid w:val="007876B8"/>
    <w:rsid w:val="0079023E"/>
    <w:rsid w:val="007904E8"/>
    <w:rsid w:val="00790500"/>
    <w:rsid w:val="00790946"/>
    <w:rsid w:val="00790BFE"/>
    <w:rsid w:val="0079105A"/>
    <w:rsid w:val="0079177E"/>
    <w:rsid w:val="00791844"/>
    <w:rsid w:val="00791883"/>
    <w:rsid w:val="0079203F"/>
    <w:rsid w:val="0079234C"/>
    <w:rsid w:val="007925DE"/>
    <w:rsid w:val="007926B0"/>
    <w:rsid w:val="0079316B"/>
    <w:rsid w:val="0079346B"/>
    <w:rsid w:val="0079461B"/>
    <w:rsid w:val="00794AFF"/>
    <w:rsid w:val="0079544A"/>
    <w:rsid w:val="00795535"/>
    <w:rsid w:val="007964F7"/>
    <w:rsid w:val="00796E34"/>
    <w:rsid w:val="00796E98"/>
    <w:rsid w:val="007971F2"/>
    <w:rsid w:val="00797F46"/>
    <w:rsid w:val="007A0105"/>
    <w:rsid w:val="007A08DA"/>
    <w:rsid w:val="007A0D14"/>
    <w:rsid w:val="007A1781"/>
    <w:rsid w:val="007A1AB8"/>
    <w:rsid w:val="007A260F"/>
    <w:rsid w:val="007A2854"/>
    <w:rsid w:val="007A41DE"/>
    <w:rsid w:val="007A4A3F"/>
    <w:rsid w:val="007A5609"/>
    <w:rsid w:val="007A5CB1"/>
    <w:rsid w:val="007A66E2"/>
    <w:rsid w:val="007A6960"/>
    <w:rsid w:val="007A6A48"/>
    <w:rsid w:val="007A6C0B"/>
    <w:rsid w:val="007A7485"/>
    <w:rsid w:val="007A7A26"/>
    <w:rsid w:val="007A7E31"/>
    <w:rsid w:val="007B052A"/>
    <w:rsid w:val="007B2C62"/>
    <w:rsid w:val="007B2F91"/>
    <w:rsid w:val="007B31DD"/>
    <w:rsid w:val="007B3FE5"/>
    <w:rsid w:val="007B443E"/>
    <w:rsid w:val="007B4B8B"/>
    <w:rsid w:val="007B7108"/>
    <w:rsid w:val="007B74AC"/>
    <w:rsid w:val="007B7C6F"/>
    <w:rsid w:val="007B7D31"/>
    <w:rsid w:val="007B7EB9"/>
    <w:rsid w:val="007B7F30"/>
    <w:rsid w:val="007C0052"/>
    <w:rsid w:val="007C0C77"/>
    <w:rsid w:val="007C0E44"/>
    <w:rsid w:val="007C1C58"/>
    <w:rsid w:val="007C1D4E"/>
    <w:rsid w:val="007C1D92"/>
    <w:rsid w:val="007C246D"/>
    <w:rsid w:val="007C3CAE"/>
    <w:rsid w:val="007C433B"/>
    <w:rsid w:val="007C4634"/>
    <w:rsid w:val="007C494B"/>
    <w:rsid w:val="007C4A37"/>
    <w:rsid w:val="007C4CB9"/>
    <w:rsid w:val="007C4E4C"/>
    <w:rsid w:val="007C502A"/>
    <w:rsid w:val="007C56AF"/>
    <w:rsid w:val="007C6438"/>
    <w:rsid w:val="007C6FC1"/>
    <w:rsid w:val="007C766E"/>
    <w:rsid w:val="007D0590"/>
    <w:rsid w:val="007D05EF"/>
    <w:rsid w:val="007D080D"/>
    <w:rsid w:val="007D0B9D"/>
    <w:rsid w:val="007D0F03"/>
    <w:rsid w:val="007D199B"/>
    <w:rsid w:val="007D19B0"/>
    <w:rsid w:val="007D1BE4"/>
    <w:rsid w:val="007D1ECB"/>
    <w:rsid w:val="007D1FF7"/>
    <w:rsid w:val="007D26EA"/>
    <w:rsid w:val="007D2903"/>
    <w:rsid w:val="007D2A5C"/>
    <w:rsid w:val="007D2F94"/>
    <w:rsid w:val="007D34C7"/>
    <w:rsid w:val="007D3CA7"/>
    <w:rsid w:val="007D4635"/>
    <w:rsid w:val="007D563A"/>
    <w:rsid w:val="007D5972"/>
    <w:rsid w:val="007D6573"/>
    <w:rsid w:val="007E1F32"/>
    <w:rsid w:val="007E21D6"/>
    <w:rsid w:val="007E258E"/>
    <w:rsid w:val="007E298E"/>
    <w:rsid w:val="007E35FA"/>
    <w:rsid w:val="007E433E"/>
    <w:rsid w:val="007E6D49"/>
    <w:rsid w:val="007E7D56"/>
    <w:rsid w:val="007F0478"/>
    <w:rsid w:val="007F0AD0"/>
    <w:rsid w:val="007F0E66"/>
    <w:rsid w:val="007F1C9F"/>
    <w:rsid w:val="007F3537"/>
    <w:rsid w:val="007F4041"/>
    <w:rsid w:val="007F498F"/>
    <w:rsid w:val="007F4F42"/>
    <w:rsid w:val="007F5948"/>
    <w:rsid w:val="007F5A07"/>
    <w:rsid w:val="007F7F9C"/>
    <w:rsid w:val="008005FC"/>
    <w:rsid w:val="00800E73"/>
    <w:rsid w:val="00800E9C"/>
    <w:rsid w:val="00800FCE"/>
    <w:rsid w:val="0080132A"/>
    <w:rsid w:val="0080249E"/>
    <w:rsid w:val="0080359D"/>
    <w:rsid w:val="00804AED"/>
    <w:rsid w:val="00804D19"/>
    <w:rsid w:val="008054CD"/>
    <w:rsid w:val="00805A12"/>
    <w:rsid w:val="00806649"/>
    <w:rsid w:val="0080679D"/>
    <w:rsid w:val="00806CE4"/>
    <w:rsid w:val="00806DDA"/>
    <w:rsid w:val="00807696"/>
    <w:rsid w:val="0080787C"/>
    <w:rsid w:val="00807DD8"/>
    <w:rsid w:val="008108B0"/>
    <w:rsid w:val="00811A29"/>
    <w:rsid w:val="00811B20"/>
    <w:rsid w:val="00811C4B"/>
    <w:rsid w:val="00811FDF"/>
    <w:rsid w:val="008120CC"/>
    <w:rsid w:val="00812243"/>
    <w:rsid w:val="008125E7"/>
    <w:rsid w:val="00813316"/>
    <w:rsid w:val="008139BF"/>
    <w:rsid w:val="00813C63"/>
    <w:rsid w:val="00814101"/>
    <w:rsid w:val="00814312"/>
    <w:rsid w:val="00814C5E"/>
    <w:rsid w:val="008151D1"/>
    <w:rsid w:val="00816032"/>
    <w:rsid w:val="00816072"/>
    <w:rsid w:val="00820978"/>
    <w:rsid w:val="008211B5"/>
    <w:rsid w:val="0082135F"/>
    <w:rsid w:val="008213D1"/>
    <w:rsid w:val="00821B3F"/>
    <w:rsid w:val="008221D2"/>
    <w:rsid w:val="0082240F"/>
    <w:rsid w:val="0082296E"/>
    <w:rsid w:val="00823209"/>
    <w:rsid w:val="00823CED"/>
    <w:rsid w:val="00823EFE"/>
    <w:rsid w:val="00824099"/>
    <w:rsid w:val="008241F9"/>
    <w:rsid w:val="00824C0E"/>
    <w:rsid w:val="00824CA3"/>
    <w:rsid w:val="008259C1"/>
    <w:rsid w:val="008266F9"/>
    <w:rsid w:val="00826B90"/>
    <w:rsid w:val="00826FF9"/>
    <w:rsid w:val="00830182"/>
    <w:rsid w:val="00830321"/>
    <w:rsid w:val="0083035B"/>
    <w:rsid w:val="008329FD"/>
    <w:rsid w:val="00833BFD"/>
    <w:rsid w:val="00834167"/>
    <w:rsid w:val="008343F8"/>
    <w:rsid w:val="008345BF"/>
    <w:rsid w:val="0083567E"/>
    <w:rsid w:val="00835946"/>
    <w:rsid w:val="00836CFA"/>
    <w:rsid w:val="00837A5E"/>
    <w:rsid w:val="00837ED0"/>
    <w:rsid w:val="00840184"/>
    <w:rsid w:val="00840275"/>
    <w:rsid w:val="00840571"/>
    <w:rsid w:val="00840BC0"/>
    <w:rsid w:val="00841093"/>
    <w:rsid w:val="00842672"/>
    <w:rsid w:val="00842991"/>
    <w:rsid w:val="00842D52"/>
    <w:rsid w:val="00843076"/>
    <w:rsid w:val="00843F6B"/>
    <w:rsid w:val="00844993"/>
    <w:rsid w:val="00844DC1"/>
    <w:rsid w:val="00844E42"/>
    <w:rsid w:val="00845207"/>
    <w:rsid w:val="008458B7"/>
    <w:rsid w:val="00845D92"/>
    <w:rsid w:val="00846343"/>
    <w:rsid w:val="008469FC"/>
    <w:rsid w:val="00846D7C"/>
    <w:rsid w:val="00846E2C"/>
    <w:rsid w:val="008503A8"/>
    <w:rsid w:val="00850451"/>
    <w:rsid w:val="0085073B"/>
    <w:rsid w:val="00851065"/>
    <w:rsid w:val="00851220"/>
    <w:rsid w:val="00851447"/>
    <w:rsid w:val="00851E8D"/>
    <w:rsid w:val="00853BB8"/>
    <w:rsid w:val="00854427"/>
    <w:rsid w:val="008548B7"/>
    <w:rsid w:val="00854986"/>
    <w:rsid w:val="00854A4C"/>
    <w:rsid w:val="00855138"/>
    <w:rsid w:val="0085572C"/>
    <w:rsid w:val="008563FF"/>
    <w:rsid w:val="00856E26"/>
    <w:rsid w:val="00857331"/>
    <w:rsid w:val="00857768"/>
    <w:rsid w:val="00857900"/>
    <w:rsid w:val="00860087"/>
    <w:rsid w:val="0086089C"/>
    <w:rsid w:val="0086127B"/>
    <w:rsid w:val="00861CD5"/>
    <w:rsid w:val="0086267C"/>
    <w:rsid w:val="008629C9"/>
    <w:rsid w:val="00864374"/>
    <w:rsid w:val="00864B0F"/>
    <w:rsid w:val="00864CB1"/>
    <w:rsid w:val="0086521C"/>
    <w:rsid w:val="0086529A"/>
    <w:rsid w:val="00865A8D"/>
    <w:rsid w:val="00865B2E"/>
    <w:rsid w:val="00865CAA"/>
    <w:rsid w:val="008660A0"/>
    <w:rsid w:val="00867AC1"/>
    <w:rsid w:val="008709CF"/>
    <w:rsid w:val="00870BED"/>
    <w:rsid w:val="008712E6"/>
    <w:rsid w:val="008713CF"/>
    <w:rsid w:val="00871724"/>
    <w:rsid w:val="008724E7"/>
    <w:rsid w:val="008725A5"/>
    <w:rsid w:val="008727C1"/>
    <w:rsid w:val="008729FB"/>
    <w:rsid w:val="00873AAA"/>
    <w:rsid w:val="00873D79"/>
    <w:rsid w:val="00873F15"/>
    <w:rsid w:val="008745D5"/>
    <w:rsid w:val="00874A60"/>
    <w:rsid w:val="008750E1"/>
    <w:rsid w:val="008754B4"/>
    <w:rsid w:val="00877E79"/>
    <w:rsid w:val="00881196"/>
    <w:rsid w:val="008814B7"/>
    <w:rsid w:val="00881AA8"/>
    <w:rsid w:val="00882383"/>
    <w:rsid w:val="008825AC"/>
    <w:rsid w:val="0088345F"/>
    <w:rsid w:val="0088419C"/>
    <w:rsid w:val="00884461"/>
    <w:rsid w:val="0088462D"/>
    <w:rsid w:val="00884C73"/>
    <w:rsid w:val="00884FAC"/>
    <w:rsid w:val="008858F3"/>
    <w:rsid w:val="00885DCE"/>
    <w:rsid w:val="008866D2"/>
    <w:rsid w:val="008866F7"/>
    <w:rsid w:val="00887D69"/>
    <w:rsid w:val="00887E66"/>
    <w:rsid w:val="008900BD"/>
    <w:rsid w:val="00890A67"/>
    <w:rsid w:val="00890DF8"/>
    <w:rsid w:val="00891B8F"/>
    <w:rsid w:val="0089211B"/>
    <w:rsid w:val="00892A8C"/>
    <w:rsid w:val="00892AA7"/>
    <w:rsid w:val="00893355"/>
    <w:rsid w:val="008935AA"/>
    <w:rsid w:val="008936B3"/>
    <w:rsid w:val="00893F79"/>
    <w:rsid w:val="008955D0"/>
    <w:rsid w:val="00895AF4"/>
    <w:rsid w:val="008961C8"/>
    <w:rsid w:val="00897520"/>
    <w:rsid w:val="008978C8"/>
    <w:rsid w:val="00897E2C"/>
    <w:rsid w:val="008A072E"/>
    <w:rsid w:val="008A08F9"/>
    <w:rsid w:val="008A3CB3"/>
    <w:rsid w:val="008A4941"/>
    <w:rsid w:val="008A4DD8"/>
    <w:rsid w:val="008A4EEF"/>
    <w:rsid w:val="008A71CA"/>
    <w:rsid w:val="008A743F"/>
    <w:rsid w:val="008B15E4"/>
    <w:rsid w:val="008B2273"/>
    <w:rsid w:val="008B2D4C"/>
    <w:rsid w:val="008B2F13"/>
    <w:rsid w:val="008B3277"/>
    <w:rsid w:val="008B33B4"/>
    <w:rsid w:val="008B37E8"/>
    <w:rsid w:val="008B3846"/>
    <w:rsid w:val="008B4141"/>
    <w:rsid w:val="008B48A0"/>
    <w:rsid w:val="008B498A"/>
    <w:rsid w:val="008B535E"/>
    <w:rsid w:val="008B545B"/>
    <w:rsid w:val="008B702A"/>
    <w:rsid w:val="008B7EC5"/>
    <w:rsid w:val="008C01EE"/>
    <w:rsid w:val="008C04B2"/>
    <w:rsid w:val="008C0970"/>
    <w:rsid w:val="008C0975"/>
    <w:rsid w:val="008C1DA1"/>
    <w:rsid w:val="008C2063"/>
    <w:rsid w:val="008C26CA"/>
    <w:rsid w:val="008C2950"/>
    <w:rsid w:val="008C2F1A"/>
    <w:rsid w:val="008C3320"/>
    <w:rsid w:val="008C3848"/>
    <w:rsid w:val="008C3EE8"/>
    <w:rsid w:val="008C4321"/>
    <w:rsid w:val="008C440E"/>
    <w:rsid w:val="008C574E"/>
    <w:rsid w:val="008C59F0"/>
    <w:rsid w:val="008C6967"/>
    <w:rsid w:val="008C6E8A"/>
    <w:rsid w:val="008C6EF6"/>
    <w:rsid w:val="008C6F83"/>
    <w:rsid w:val="008C7158"/>
    <w:rsid w:val="008C772E"/>
    <w:rsid w:val="008D084A"/>
    <w:rsid w:val="008D0874"/>
    <w:rsid w:val="008D0BC5"/>
    <w:rsid w:val="008D0C8F"/>
    <w:rsid w:val="008D1B44"/>
    <w:rsid w:val="008D1EB7"/>
    <w:rsid w:val="008D2CF7"/>
    <w:rsid w:val="008D35CC"/>
    <w:rsid w:val="008D42A9"/>
    <w:rsid w:val="008D4417"/>
    <w:rsid w:val="008D4490"/>
    <w:rsid w:val="008D5067"/>
    <w:rsid w:val="008D54C1"/>
    <w:rsid w:val="008D5F72"/>
    <w:rsid w:val="008D64BD"/>
    <w:rsid w:val="008D6CF4"/>
    <w:rsid w:val="008D70C5"/>
    <w:rsid w:val="008D7C74"/>
    <w:rsid w:val="008D7E42"/>
    <w:rsid w:val="008D7E77"/>
    <w:rsid w:val="008E0292"/>
    <w:rsid w:val="008E0D03"/>
    <w:rsid w:val="008E0DB2"/>
    <w:rsid w:val="008E0F7A"/>
    <w:rsid w:val="008E132D"/>
    <w:rsid w:val="008E138F"/>
    <w:rsid w:val="008E15D4"/>
    <w:rsid w:val="008E1D37"/>
    <w:rsid w:val="008E2702"/>
    <w:rsid w:val="008E2E05"/>
    <w:rsid w:val="008E2F6E"/>
    <w:rsid w:val="008E3DD3"/>
    <w:rsid w:val="008E3EA9"/>
    <w:rsid w:val="008E5720"/>
    <w:rsid w:val="008E5BBE"/>
    <w:rsid w:val="008E6A03"/>
    <w:rsid w:val="008E7157"/>
    <w:rsid w:val="008F02A2"/>
    <w:rsid w:val="008F0FB8"/>
    <w:rsid w:val="008F21AD"/>
    <w:rsid w:val="008F24A7"/>
    <w:rsid w:val="008F2E2F"/>
    <w:rsid w:val="008F32E9"/>
    <w:rsid w:val="008F33E0"/>
    <w:rsid w:val="008F5C97"/>
    <w:rsid w:val="008F5E17"/>
    <w:rsid w:val="008F6336"/>
    <w:rsid w:val="008F642E"/>
    <w:rsid w:val="008F650D"/>
    <w:rsid w:val="008F6535"/>
    <w:rsid w:val="008F67E0"/>
    <w:rsid w:val="008F7B77"/>
    <w:rsid w:val="008F7BC5"/>
    <w:rsid w:val="00900842"/>
    <w:rsid w:val="00900C26"/>
    <w:rsid w:val="0090192B"/>
    <w:rsid w:val="0090197F"/>
    <w:rsid w:val="00902E05"/>
    <w:rsid w:val="00903264"/>
    <w:rsid w:val="009039A5"/>
    <w:rsid w:val="00904986"/>
    <w:rsid w:val="00905461"/>
    <w:rsid w:val="0090593D"/>
    <w:rsid w:val="00905CFE"/>
    <w:rsid w:val="00906084"/>
    <w:rsid w:val="009065F8"/>
    <w:rsid w:val="00906DDC"/>
    <w:rsid w:val="009070F5"/>
    <w:rsid w:val="00911540"/>
    <w:rsid w:val="009119E0"/>
    <w:rsid w:val="00911AA2"/>
    <w:rsid w:val="00913549"/>
    <w:rsid w:val="0091416F"/>
    <w:rsid w:val="009158F3"/>
    <w:rsid w:val="009176B9"/>
    <w:rsid w:val="00917D87"/>
    <w:rsid w:val="00920D47"/>
    <w:rsid w:val="00921751"/>
    <w:rsid w:val="00921830"/>
    <w:rsid w:val="00921A94"/>
    <w:rsid w:val="009239C4"/>
    <w:rsid w:val="00924EA3"/>
    <w:rsid w:val="00926D4A"/>
    <w:rsid w:val="0092746E"/>
    <w:rsid w:val="00930290"/>
    <w:rsid w:val="009303FB"/>
    <w:rsid w:val="0093068A"/>
    <w:rsid w:val="00933050"/>
    <w:rsid w:val="00933990"/>
    <w:rsid w:val="00933F29"/>
    <w:rsid w:val="00934003"/>
    <w:rsid w:val="00934E09"/>
    <w:rsid w:val="00935F67"/>
    <w:rsid w:val="00936253"/>
    <w:rsid w:val="00936CD2"/>
    <w:rsid w:val="0093752D"/>
    <w:rsid w:val="00937D18"/>
    <w:rsid w:val="00940946"/>
    <w:rsid w:val="00940D1F"/>
    <w:rsid w:val="00940D46"/>
    <w:rsid w:val="00941C20"/>
    <w:rsid w:val="00941C93"/>
    <w:rsid w:val="00943D31"/>
    <w:rsid w:val="009442A9"/>
    <w:rsid w:val="0094442C"/>
    <w:rsid w:val="009447AC"/>
    <w:rsid w:val="00944A31"/>
    <w:rsid w:val="00944C8F"/>
    <w:rsid w:val="009453A1"/>
    <w:rsid w:val="00945519"/>
    <w:rsid w:val="009456D4"/>
    <w:rsid w:val="009460F9"/>
    <w:rsid w:val="009461DF"/>
    <w:rsid w:val="009461EC"/>
    <w:rsid w:val="00946AEF"/>
    <w:rsid w:val="009470D4"/>
    <w:rsid w:val="0094723A"/>
    <w:rsid w:val="00947487"/>
    <w:rsid w:val="0094756A"/>
    <w:rsid w:val="00951D95"/>
    <w:rsid w:val="00951DE6"/>
    <w:rsid w:val="009523C9"/>
    <w:rsid w:val="00952DD4"/>
    <w:rsid w:val="00953486"/>
    <w:rsid w:val="0095436A"/>
    <w:rsid w:val="0095448B"/>
    <w:rsid w:val="0095471E"/>
    <w:rsid w:val="009549C8"/>
    <w:rsid w:val="00955D26"/>
    <w:rsid w:val="0095652B"/>
    <w:rsid w:val="00957024"/>
    <w:rsid w:val="0096010B"/>
    <w:rsid w:val="00961005"/>
    <w:rsid w:val="00961AFB"/>
    <w:rsid w:val="00962924"/>
    <w:rsid w:val="00963672"/>
    <w:rsid w:val="00963E04"/>
    <w:rsid w:val="00964627"/>
    <w:rsid w:val="0096477F"/>
    <w:rsid w:val="0096508A"/>
    <w:rsid w:val="00965197"/>
    <w:rsid w:val="009651E8"/>
    <w:rsid w:val="00965309"/>
    <w:rsid w:val="00965AE7"/>
    <w:rsid w:val="00965CE8"/>
    <w:rsid w:val="0096631B"/>
    <w:rsid w:val="00966604"/>
    <w:rsid w:val="00966713"/>
    <w:rsid w:val="0097063D"/>
    <w:rsid w:val="00970999"/>
    <w:rsid w:val="00970FED"/>
    <w:rsid w:val="0097124D"/>
    <w:rsid w:val="00971AA8"/>
    <w:rsid w:val="00971D6B"/>
    <w:rsid w:val="0097237F"/>
    <w:rsid w:val="009728EC"/>
    <w:rsid w:val="00972E06"/>
    <w:rsid w:val="009739B2"/>
    <w:rsid w:val="00973A1B"/>
    <w:rsid w:val="00973D0E"/>
    <w:rsid w:val="00974F61"/>
    <w:rsid w:val="00975604"/>
    <w:rsid w:val="0097622B"/>
    <w:rsid w:val="0097635A"/>
    <w:rsid w:val="00976521"/>
    <w:rsid w:val="00977A9C"/>
    <w:rsid w:val="00977B6A"/>
    <w:rsid w:val="009819EF"/>
    <w:rsid w:val="0098228B"/>
    <w:rsid w:val="00983006"/>
    <w:rsid w:val="009843DF"/>
    <w:rsid w:val="0098498B"/>
    <w:rsid w:val="0098522D"/>
    <w:rsid w:val="00985700"/>
    <w:rsid w:val="00987587"/>
    <w:rsid w:val="009877B8"/>
    <w:rsid w:val="00987813"/>
    <w:rsid w:val="0099125A"/>
    <w:rsid w:val="0099185F"/>
    <w:rsid w:val="0099210E"/>
    <w:rsid w:val="0099213A"/>
    <w:rsid w:val="009928A0"/>
    <w:rsid w:val="00992D82"/>
    <w:rsid w:val="00994888"/>
    <w:rsid w:val="00994D79"/>
    <w:rsid w:val="00995204"/>
    <w:rsid w:val="00995356"/>
    <w:rsid w:val="00995532"/>
    <w:rsid w:val="00995E39"/>
    <w:rsid w:val="00996061"/>
    <w:rsid w:val="00996244"/>
    <w:rsid w:val="00997029"/>
    <w:rsid w:val="00997236"/>
    <w:rsid w:val="009972B8"/>
    <w:rsid w:val="0099751A"/>
    <w:rsid w:val="009A1AA5"/>
    <w:rsid w:val="009A1CE3"/>
    <w:rsid w:val="009A1E98"/>
    <w:rsid w:val="009A21DE"/>
    <w:rsid w:val="009A2395"/>
    <w:rsid w:val="009A26D7"/>
    <w:rsid w:val="009A2A74"/>
    <w:rsid w:val="009A2FAB"/>
    <w:rsid w:val="009A383A"/>
    <w:rsid w:val="009A3EE0"/>
    <w:rsid w:val="009A4210"/>
    <w:rsid w:val="009A4CD8"/>
    <w:rsid w:val="009A54A3"/>
    <w:rsid w:val="009A5542"/>
    <w:rsid w:val="009A60CE"/>
    <w:rsid w:val="009A6692"/>
    <w:rsid w:val="009A6907"/>
    <w:rsid w:val="009A6B28"/>
    <w:rsid w:val="009A6C29"/>
    <w:rsid w:val="009A7339"/>
    <w:rsid w:val="009A7611"/>
    <w:rsid w:val="009B07C4"/>
    <w:rsid w:val="009B1F84"/>
    <w:rsid w:val="009B2091"/>
    <w:rsid w:val="009B24FE"/>
    <w:rsid w:val="009B2799"/>
    <w:rsid w:val="009B2E12"/>
    <w:rsid w:val="009B3465"/>
    <w:rsid w:val="009B382E"/>
    <w:rsid w:val="009B387E"/>
    <w:rsid w:val="009B3AEA"/>
    <w:rsid w:val="009B431C"/>
    <w:rsid w:val="009B440E"/>
    <w:rsid w:val="009B4548"/>
    <w:rsid w:val="009B4962"/>
    <w:rsid w:val="009B5881"/>
    <w:rsid w:val="009B5990"/>
    <w:rsid w:val="009B59C3"/>
    <w:rsid w:val="009B5BD3"/>
    <w:rsid w:val="009B6A94"/>
    <w:rsid w:val="009B708B"/>
    <w:rsid w:val="009B78B3"/>
    <w:rsid w:val="009B7D32"/>
    <w:rsid w:val="009C0078"/>
    <w:rsid w:val="009C05C9"/>
    <w:rsid w:val="009C0D20"/>
    <w:rsid w:val="009C0FD0"/>
    <w:rsid w:val="009C11F3"/>
    <w:rsid w:val="009C1C77"/>
    <w:rsid w:val="009C2862"/>
    <w:rsid w:val="009C342A"/>
    <w:rsid w:val="009C3646"/>
    <w:rsid w:val="009C4755"/>
    <w:rsid w:val="009C4F46"/>
    <w:rsid w:val="009C56DE"/>
    <w:rsid w:val="009C5F9D"/>
    <w:rsid w:val="009C61CE"/>
    <w:rsid w:val="009C6729"/>
    <w:rsid w:val="009C69FF"/>
    <w:rsid w:val="009C76E2"/>
    <w:rsid w:val="009D03D7"/>
    <w:rsid w:val="009D06BD"/>
    <w:rsid w:val="009D306B"/>
    <w:rsid w:val="009D3CFE"/>
    <w:rsid w:val="009D49AB"/>
    <w:rsid w:val="009D4A63"/>
    <w:rsid w:val="009D4B57"/>
    <w:rsid w:val="009D538F"/>
    <w:rsid w:val="009D5752"/>
    <w:rsid w:val="009D645C"/>
    <w:rsid w:val="009D690D"/>
    <w:rsid w:val="009D7CB8"/>
    <w:rsid w:val="009E04E5"/>
    <w:rsid w:val="009E106D"/>
    <w:rsid w:val="009E15F7"/>
    <w:rsid w:val="009E2118"/>
    <w:rsid w:val="009E220F"/>
    <w:rsid w:val="009E2317"/>
    <w:rsid w:val="009E2444"/>
    <w:rsid w:val="009E2988"/>
    <w:rsid w:val="009E2FCF"/>
    <w:rsid w:val="009E31E7"/>
    <w:rsid w:val="009E3427"/>
    <w:rsid w:val="009E34B7"/>
    <w:rsid w:val="009E4C74"/>
    <w:rsid w:val="009E540D"/>
    <w:rsid w:val="009E5C29"/>
    <w:rsid w:val="009E60FF"/>
    <w:rsid w:val="009E6285"/>
    <w:rsid w:val="009E65B6"/>
    <w:rsid w:val="009E6D9C"/>
    <w:rsid w:val="009E6E01"/>
    <w:rsid w:val="009E707D"/>
    <w:rsid w:val="009F1997"/>
    <w:rsid w:val="009F1BA6"/>
    <w:rsid w:val="009F20EF"/>
    <w:rsid w:val="009F21EA"/>
    <w:rsid w:val="009F3156"/>
    <w:rsid w:val="009F350E"/>
    <w:rsid w:val="009F3D07"/>
    <w:rsid w:val="009F3D16"/>
    <w:rsid w:val="009F458D"/>
    <w:rsid w:val="009F5B65"/>
    <w:rsid w:val="009F5D12"/>
    <w:rsid w:val="009F61BA"/>
    <w:rsid w:val="009F6B7E"/>
    <w:rsid w:val="009F708B"/>
    <w:rsid w:val="009F72A0"/>
    <w:rsid w:val="009F77CF"/>
    <w:rsid w:val="00A00AF5"/>
    <w:rsid w:val="00A00C6A"/>
    <w:rsid w:val="00A01863"/>
    <w:rsid w:val="00A01C13"/>
    <w:rsid w:val="00A04863"/>
    <w:rsid w:val="00A06DBF"/>
    <w:rsid w:val="00A07853"/>
    <w:rsid w:val="00A10C72"/>
    <w:rsid w:val="00A11190"/>
    <w:rsid w:val="00A119A4"/>
    <w:rsid w:val="00A11D82"/>
    <w:rsid w:val="00A12DDE"/>
    <w:rsid w:val="00A131C4"/>
    <w:rsid w:val="00A1366A"/>
    <w:rsid w:val="00A147A0"/>
    <w:rsid w:val="00A153D4"/>
    <w:rsid w:val="00A15A41"/>
    <w:rsid w:val="00A164F9"/>
    <w:rsid w:val="00A16F0B"/>
    <w:rsid w:val="00A17A60"/>
    <w:rsid w:val="00A17EE3"/>
    <w:rsid w:val="00A20A45"/>
    <w:rsid w:val="00A2162B"/>
    <w:rsid w:val="00A22995"/>
    <w:rsid w:val="00A23A3E"/>
    <w:rsid w:val="00A24C10"/>
    <w:rsid w:val="00A25214"/>
    <w:rsid w:val="00A25387"/>
    <w:rsid w:val="00A25D1F"/>
    <w:rsid w:val="00A25EFE"/>
    <w:rsid w:val="00A268B1"/>
    <w:rsid w:val="00A26FA4"/>
    <w:rsid w:val="00A26FD6"/>
    <w:rsid w:val="00A270FE"/>
    <w:rsid w:val="00A305AB"/>
    <w:rsid w:val="00A315DA"/>
    <w:rsid w:val="00A3224A"/>
    <w:rsid w:val="00A3256E"/>
    <w:rsid w:val="00A32867"/>
    <w:rsid w:val="00A32CB6"/>
    <w:rsid w:val="00A332D4"/>
    <w:rsid w:val="00A3365A"/>
    <w:rsid w:val="00A3398A"/>
    <w:rsid w:val="00A33F35"/>
    <w:rsid w:val="00A3594F"/>
    <w:rsid w:val="00A35B7A"/>
    <w:rsid w:val="00A362FE"/>
    <w:rsid w:val="00A36ECE"/>
    <w:rsid w:val="00A37F0E"/>
    <w:rsid w:val="00A406F8"/>
    <w:rsid w:val="00A40D65"/>
    <w:rsid w:val="00A41207"/>
    <w:rsid w:val="00A4275D"/>
    <w:rsid w:val="00A42AC3"/>
    <w:rsid w:val="00A430CF"/>
    <w:rsid w:val="00A4400A"/>
    <w:rsid w:val="00A45738"/>
    <w:rsid w:val="00A45AC5"/>
    <w:rsid w:val="00A46296"/>
    <w:rsid w:val="00A4747A"/>
    <w:rsid w:val="00A47BF3"/>
    <w:rsid w:val="00A47FD5"/>
    <w:rsid w:val="00A50943"/>
    <w:rsid w:val="00A50B34"/>
    <w:rsid w:val="00A51A13"/>
    <w:rsid w:val="00A52FF7"/>
    <w:rsid w:val="00A53A67"/>
    <w:rsid w:val="00A53DF9"/>
    <w:rsid w:val="00A54152"/>
    <w:rsid w:val="00A542CC"/>
    <w:rsid w:val="00A54309"/>
    <w:rsid w:val="00A54637"/>
    <w:rsid w:val="00A549B5"/>
    <w:rsid w:val="00A555F6"/>
    <w:rsid w:val="00A57666"/>
    <w:rsid w:val="00A57CCB"/>
    <w:rsid w:val="00A600A3"/>
    <w:rsid w:val="00A60932"/>
    <w:rsid w:val="00A60A25"/>
    <w:rsid w:val="00A615EE"/>
    <w:rsid w:val="00A61C65"/>
    <w:rsid w:val="00A6252A"/>
    <w:rsid w:val="00A62A1E"/>
    <w:rsid w:val="00A62D58"/>
    <w:rsid w:val="00A63A09"/>
    <w:rsid w:val="00A63B83"/>
    <w:rsid w:val="00A63CDD"/>
    <w:rsid w:val="00A64542"/>
    <w:rsid w:val="00A64C14"/>
    <w:rsid w:val="00A653A1"/>
    <w:rsid w:val="00A66869"/>
    <w:rsid w:val="00A67013"/>
    <w:rsid w:val="00A67F2D"/>
    <w:rsid w:val="00A70003"/>
    <w:rsid w:val="00A700F1"/>
    <w:rsid w:val="00A71DA4"/>
    <w:rsid w:val="00A7274B"/>
    <w:rsid w:val="00A72956"/>
    <w:rsid w:val="00A72967"/>
    <w:rsid w:val="00A72A9E"/>
    <w:rsid w:val="00A72C31"/>
    <w:rsid w:val="00A73E07"/>
    <w:rsid w:val="00A7529B"/>
    <w:rsid w:val="00A75669"/>
    <w:rsid w:val="00A75703"/>
    <w:rsid w:val="00A76122"/>
    <w:rsid w:val="00A76CFB"/>
    <w:rsid w:val="00A76E8D"/>
    <w:rsid w:val="00A80063"/>
    <w:rsid w:val="00A809C6"/>
    <w:rsid w:val="00A824AF"/>
    <w:rsid w:val="00A82A87"/>
    <w:rsid w:val="00A8306B"/>
    <w:rsid w:val="00A843EA"/>
    <w:rsid w:val="00A8460A"/>
    <w:rsid w:val="00A84857"/>
    <w:rsid w:val="00A85407"/>
    <w:rsid w:val="00A85C82"/>
    <w:rsid w:val="00A85D70"/>
    <w:rsid w:val="00A86A7D"/>
    <w:rsid w:val="00A90393"/>
    <w:rsid w:val="00A9097F"/>
    <w:rsid w:val="00A90FCD"/>
    <w:rsid w:val="00A922A5"/>
    <w:rsid w:val="00A92380"/>
    <w:rsid w:val="00A92A42"/>
    <w:rsid w:val="00A93019"/>
    <w:rsid w:val="00A94190"/>
    <w:rsid w:val="00A94EE3"/>
    <w:rsid w:val="00A96179"/>
    <w:rsid w:val="00A969C9"/>
    <w:rsid w:val="00AA0C66"/>
    <w:rsid w:val="00AA13BC"/>
    <w:rsid w:val="00AA15B5"/>
    <w:rsid w:val="00AA1A3D"/>
    <w:rsid w:val="00AA35D8"/>
    <w:rsid w:val="00AA4033"/>
    <w:rsid w:val="00AA579F"/>
    <w:rsid w:val="00AA634B"/>
    <w:rsid w:val="00AA6DD4"/>
    <w:rsid w:val="00AA74F5"/>
    <w:rsid w:val="00AA74FA"/>
    <w:rsid w:val="00AA79BF"/>
    <w:rsid w:val="00AA7E43"/>
    <w:rsid w:val="00AA7FED"/>
    <w:rsid w:val="00AB01D0"/>
    <w:rsid w:val="00AB09F6"/>
    <w:rsid w:val="00AB0C0A"/>
    <w:rsid w:val="00AB20BE"/>
    <w:rsid w:val="00AB215B"/>
    <w:rsid w:val="00AB286B"/>
    <w:rsid w:val="00AB2B93"/>
    <w:rsid w:val="00AB2C7F"/>
    <w:rsid w:val="00AB2FDD"/>
    <w:rsid w:val="00AB3B0F"/>
    <w:rsid w:val="00AB44A5"/>
    <w:rsid w:val="00AB4B0F"/>
    <w:rsid w:val="00AB530F"/>
    <w:rsid w:val="00AB5384"/>
    <w:rsid w:val="00AB5D73"/>
    <w:rsid w:val="00AB6049"/>
    <w:rsid w:val="00AB62AC"/>
    <w:rsid w:val="00AB691A"/>
    <w:rsid w:val="00AB741C"/>
    <w:rsid w:val="00AB7E5B"/>
    <w:rsid w:val="00AC0347"/>
    <w:rsid w:val="00AC0496"/>
    <w:rsid w:val="00AC0753"/>
    <w:rsid w:val="00AC11BF"/>
    <w:rsid w:val="00AC15E6"/>
    <w:rsid w:val="00AC1B9B"/>
    <w:rsid w:val="00AC2414"/>
    <w:rsid w:val="00AC2883"/>
    <w:rsid w:val="00AC3427"/>
    <w:rsid w:val="00AC3638"/>
    <w:rsid w:val="00AC3A43"/>
    <w:rsid w:val="00AC3CB0"/>
    <w:rsid w:val="00AC3FED"/>
    <w:rsid w:val="00AC4BBE"/>
    <w:rsid w:val="00AC4C67"/>
    <w:rsid w:val="00AC619C"/>
    <w:rsid w:val="00AC6F5A"/>
    <w:rsid w:val="00AC7983"/>
    <w:rsid w:val="00AD032B"/>
    <w:rsid w:val="00AD12AD"/>
    <w:rsid w:val="00AD14FD"/>
    <w:rsid w:val="00AD16D9"/>
    <w:rsid w:val="00AD1D18"/>
    <w:rsid w:val="00AD1FCC"/>
    <w:rsid w:val="00AD2165"/>
    <w:rsid w:val="00AD3493"/>
    <w:rsid w:val="00AD49EE"/>
    <w:rsid w:val="00AD5EB0"/>
    <w:rsid w:val="00AD657D"/>
    <w:rsid w:val="00AD6887"/>
    <w:rsid w:val="00AD68CE"/>
    <w:rsid w:val="00AD6F6A"/>
    <w:rsid w:val="00AD74C0"/>
    <w:rsid w:val="00AD7A59"/>
    <w:rsid w:val="00AE0522"/>
    <w:rsid w:val="00AE0EF1"/>
    <w:rsid w:val="00AE1278"/>
    <w:rsid w:val="00AE1A7B"/>
    <w:rsid w:val="00AE2639"/>
    <w:rsid w:val="00AE2937"/>
    <w:rsid w:val="00AE2A60"/>
    <w:rsid w:val="00AE2BD7"/>
    <w:rsid w:val="00AE3070"/>
    <w:rsid w:val="00AE36D2"/>
    <w:rsid w:val="00AE5382"/>
    <w:rsid w:val="00AE6565"/>
    <w:rsid w:val="00AE7E22"/>
    <w:rsid w:val="00AF0726"/>
    <w:rsid w:val="00AF09F8"/>
    <w:rsid w:val="00AF1D0F"/>
    <w:rsid w:val="00AF2BB7"/>
    <w:rsid w:val="00AF35BF"/>
    <w:rsid w:val="00AF438F"/>
    <w:rsid w:val="00AF5213"/>
    <w:rsid w:val="00AF5B07"/>
    <w:rsid w:val="00AF5B1B"/>
    <w:rsid w:val="00AF5FB0"/>
    <w:rsid w:val="00AF6E23"/>
    <w:rsid w:val="00AF72F0"/>
    <w:rsid w:val="00B006B0"/>
    <w:rsid w:val="00B00761"/>
    <w:rsid w:val="00B00DC5"/>
    <w:rsid w:val="00B01557"/>
    <w:rsid w:val="00B026C1"/>
    <w:rsid w:val="00B02A67"/>
    <w:rsid w:val="00B02BD5"/>
    <w:rsid w:val="00B03F1C"/>
    <w:rsid w:val="00B047D4"/>
    <w:rsid w:val="00B05031"/>
    <w:rsid w:val="00B05796"/>
    <w:rsid w:val="00B05A22"/>
    <w:rsid w:val="00B0661D"/>
    <w:rsid w:val="00B07301"/>
    <w:rsid w:val="00B07BF3"/>
    <w:rsid w:val="00B07DBC"/>
    <w:rsid w:val="00B10E54"/>
    <w:rsid w:val="00B113AD"/>
    <w:rsid w:val="00B117AA"/>
    <w:rsid w:val="00B11C05"/>
    <w:rsid w:val="00B11C21"/>
    <w:rsid w:val="00B11F3E"/>
    <w:rsid w:val="00B12404"/>
    <w:rsid w:val="00B12829"/>
    <w:rsid w:val="00B12FD9"/>
    <w:rsid w:val="00B14926"/>
    <w:rsid w:val="00B14995"/>
    <w:rsid w:val="00B14BDD"/>
    <w:rsid w:val="00B150D3"/>
    <w:rsid w:val="00B15283"/>
    <w:rsid w:val="00B16879"/>
    <w:rsid w:val="00B16D78"/>
    <w:rsid w:val="00B177DC"/>
    <w:rsid w:val="00B20C18"/>
    <w:rsid w:val="00B20EA0"/>
    <w:rsid w:val="00B21154"/>
    <w:rsid w:val="00B224DE"/>
    <w:rsid w:val="00B24B72"/>
    <w:rsid w:val="00B25131"/>
    <w:rsid w:val="00B2573A"/>
    <w:rsid w:val="00B25BD2"/>
    <w:rsid w:val="00B25E9D"/>
    <w:rsid w:val="00B2640B"/>
    <w:rsid w:val="00B26A26"/>
    <w:rsid w:val="00B26B15"/>
    <w:rsid w:val="00B27048"/>
    <w:rsid w:val="00B30440"/>
    <w:rsid w:val="00B30513"/>
    <w:rsid w:val="00B305AF"/>
    <w:rsid w:val="00B308F3"/>
    <w:rsid w:val="00B30D52"/>
    <w:rsid w:val="00B30DA0"/>
    <w:rsid w:val="00B30E7D"/>
    <w:rsid w:val="00B30FC1"/>
    <w:rsid w:val="00B3103F"/>
    <w:rsid w:val="00B322BD"/>
    <w:rsid w:val="00B324D4"/>
    <w:rsid w:val="00B326CD"/>
    <w:rsid w:val="00B33275"/>
    <w:rsid w:val="00B3467E"/>
    <w:rsid w:val="00B35164"/>
    <w:rsid w:val="00B359E9"/>
    <w:rsid w:val="00B36F73"/>
    <w:rsid w:val="00B37139"/>
    <w:rsid w:val="00B40D0D"/>
    <w:rsid w:val="00B41C1C"/>
    <w:rsid w:val="00B42451"/>
    <w:rsid w:val="00B42B5A"/>
    <w:rsid w:val="00B43118"/>
    <w:rsid w:val="00B43785"/>
    <w:rsid w:val="00B437E4"/>
    <w:rsid w:val="00B445F0"/>
    <w:rsid w:val="00B44787"/>
    <w:rsid w:val="00B4497A"/>
    <w:rsid w:val="00B44F54"/>
    <w:rsid w:val="00B463EA"/>
    <w:rsid w:val="00B46575"/>
    <w:rsid w:val="00B46C59"/>
    <w:rsid w:val="00B508EF"/>
    <w:rsid w:val="00B50986"/>
    <w:rsid w:val="00B51B4D"/>
    <w:rsid w:val="00B523A2"/>
    <w:rsid w:val="00B523AD"/>
    <w:rsid w:val="00B52D8F"/>
    <w:rsid w:val="00B5379E"/>
    <w:rsid w:val="00B539B9"/>
    <w:rsid w:val="00B55175"/>
    <w:rsid w:val="00B55243"/>
    <w:rsid w:val="00B552FD"/>
    <w:rsid w:val="00B57720"/>
    <w:rsid w:val="00B61777"/>
    <w:rsid w:val="00B61C54"/>
    <w:rsid w:val="00B61CA9"/>
    <w:rsid w:val="00B65547"/>
    <w:rsid w:val="00B65AF0"/>
    <w:rsid w:val="00B65B64"/>
    <w:rsid w:val="00B66126"/>
    <w:rsid w:val="00B661F6"/>
    <w:rsid w:val="00B66420"/>
    <w:rsid w:val="00B66930"/>
    <w:rsid w:val="00B67B2E"/>
    <w:rsid w:val="00B716F3"/>
    <w:rsid w:val="00B71D17"/>
    <w:rsid w:val="00B71F7F"/>
    <w:rsid w:val="00B723A4"/>
    <w:rsid w:val="00B72693"/>
    <w:rsid w:val="00B727D9"/>
    <w:rsid w:val="00B72E13"/>
    <w:rsid w:val="00B733C9"/>
    <w:rsid w:val="00B737B9"/>
    <w:rsid w:val="00B73907"/>
    <w:rsid w:val="00B73A74"/>
    <w:rsid w:val="00B74ECE"/>
    <w:rsid w:val="00B75049"/>
    <w:rsid w:val="00B754DC"/>
    <w:rsid w:val="00B759E0"/>
    <w:rsid w:val="00B75E9B"/>
    <w:rsid w:val="00B7612D"/>
    <w:rsid w:val="00B766F8"/>
    <w:rsid w:val="00B76B83"/>
    <w:rsid w:val="00B76BE7"/>
    <w:rsid w:val="00B76FC2"/>
    <w:rsid w:val="00B77147"/>
    <w:rsid w:val="00B77CDC"/>
    <w:rsid w:val="00B80C60"/>
    <w:rsid w:val="00B81162"/>
    <w:rsid w:val="00B817B2"/>
    <w:rsid w:val="00B81A80"/>
    <w:rsid w:val="00B821F0"/>
    <w:rsid w:val="00B8224B"/>
    <w:rsid w:val="00B82D5D"/>
    <w:rsid w:val="00B82E8E"/>
    <w:rsid w:val="00B83BD0"/>
    <w:rsid w:val="00B83CE4"/>
    <w:rsid w:val="00B840BC"/>
    <w:rsid w:val="00B84BBD"/>
    <w:rsid w:val="00B850C5"/>
    <w:rsid w:val="00B85C07"/>
    <w:rsid w:val="00B85F2F"/>
    <w:rsid w:val="00B86AD8"/>
    <w:rsid w:val="00B86F58"/>
    <w:rsid w:val="00B90194"/>
    <w:rsid w:val="00B90520"/>
    <w:rsid w:val="00B9064D"/>
    <w:rsid w:val="00B91039"/>
    <w:rsid w:val="00B916B1"/>
    <w:rsid w:val="00B91C13"/>
    <w:rsid w:val="00B92694"/>
    <w:rsid w:val="00B93B7C"/>
    <w:rsid w:val="00B95489"/>
    <w:rsid w:val="00B95850"/>
    <w:rsid w:val="00B966B9"/>
    <w:rsid w:val="00B96EF3"/>
    <w:rsid w:val="00B97996"/>
    <w:rsid w:val="00BA0489"/>
    <w:rsid w:val="00BA067A"/>
    <w:rsid w:val="00BA0A02"/>
    <w:rsid w:val="00BA0E85"/>
    <w:rsid w:val="00BA219B"/>
    <w:rsid w:val="00BA3B3B"/>
    <w:rsid w:val="00BA4092"/>
    <w:rsid w:val="00BA43FB"/>
    <w:rsid w:val="00BA499E"/>
    <w:rsid w:val="00BA4B1E"/>
    <w:rsid w:val="00BA4DF8"/>
    <w:rsid w:val="00BA6102"/>
    <w:rsid w:val="00BA761F"/>
    <w:rsid w:val="00BB030C"/>
    <w:rsid w:val="00BB0714"/>
    <w:rsid w:val="00BB0DEA"/>
    <w:rsid w:val="00BB0E72"/>
    <w:rsid w:val="00BB12CB"/>
    <w:rsid w:val="00BB1BD1"/>
    <w:rsid w:val="00BB2405"/>
    <w:rsid w:val="00BB2901"/>
    <w:rsid w:val="00BB34C9"/>
    <w:rsid w:val="00BB3602"/>
    <w:rsid w:val="00BB37A2"/>
    <w:rsid w:val="00BB3B84"/>
    <w:rsid w:val="00BB4707"/>
    <w:rsid w:val="00BB60B9"/>
    <w:rsid w:val="00BB61A8"/>
    <w:rsid w:val="00BB72F7"/>
    <w:rsid w:val="00BB7DC2"/>
    <w:rsid w:val="00BC1234"/>
    <w:rsid w:val="00BC127D"/>
    <w:rsid w:val="00BC1EF7"/>
    <w:rsid w:val="00BC1FE6"/>
    <w:rsid w:val="00BC211B"/>
    <w:rsid w:val="00BC2301"/>
    <w:rsid w:val="00BC2370"/>
    <w:rsid w:val="00BC2539"/>
    <w:rsid w:val="00BC2894"/>
    <w:rsid w:val="00BC29AB"/>
    <w:rsid w:val="00BC2FA1"/>
    <w:rsid w:val="00BC3212"/>
    <w:rsid w:val="00BC38CA"/>
    <w:rsid w:val="00BC42A6"/>
    <w:rsid w:val="00BC46D0"/>
    <w:rsid w:val="00BC6C96"/>
    <w:rsid w:val="00BC6D03"/>
    <w:rsid w:val="00BC6E60"/>
    <w:rsid w:val="00BC774D"/>
    <w:rsid w:val="00BC7895"/>
    <w:rsid w:val="00BC7F41"/>
    <w:rsid w:val="00BD078C"/>
    <w:rsid w:val="00BD0E77"/>
    <w:rsid w:val="00BD1FCF"/>
    <w:rsid w:val="00BD2003"/>
    <w:rsid w:val="00BD249E"/>
    <w:rsid w:val="00BD5900"/>
    <w:rsid w:val="00BD5A5C"/>
    <w:rsid w:val="00BD74B8"/>
    <w:rsid w:val="00BD7CA3"/>
    <w:rsid w:val="00BE0115"/>
    <w:rsid w:val="00BE0280"/>
    <w:rsid w:val="00BE11CE"/>
    <w:rsid w:val="00BE1305"/>
    <w:rsid w:val="00BE2E49"/>
    <w:rsid w:val="00BE3138"/>
    <w:rsid w:val="00BE3352"/>
    <w:rsid w:val="00BE4DB7"/>
    <w:rsid w:val="00BE503E"/>
    <w:rsid w:val="00BE505C"/>
    <w:rsid w:val="00BE593E"/>
    <w:rsid w:val="00BE6BB9"/>
    <w:rsid w:val="00BE6D8D"/>
    <w:rsid w:val="00BE723A"/>
    <w:rsid w:val="00BE78A1"/>
    <w:rsid w:val="00BF06E2"/>
    <w:rsid w:val="00BF0FEF"/>
    <w:rsid w:val="00BF128B"/>
    <w:rsid w:val="00BF15ED"/>
    <w:rsid w:val="00BF26E6"/>
    <w:rsid w:val="00BF2E75"/>
    <w:rsid w:val="00BF2F58"/>
    <w:rsid w:val="00BF30D2"/>
    <w:rsid w:val="00BF456A"/>
    <w:rsid w:val="00BF576F"/>
    <w:rsid w:val="00BF5AB6"/>
    <w:rsid w:val="00BF5DE4"/>
    <w:rsid w:val="00BF6E21"/>
    <w:rsid w:val="00BF72CA"/>
    <w:rsid w:val="00BF75D0"/>
    <w:rsid w:val="00BF793F"/>
    <w:rsid w:val="00BF7DEA"/>
    <w:rsid w:val="00C01207"/>
    <w:rsid w:val="00C014D5"/>
    <w:rsid w:val="00C02294"/>
    <w:rsid w:val="00C02FD1"/>
    <w:rsid w:val="00C034C8"/>
    <w:rsid w:val="00C03AFC"/>
    <w:rsid w:val="00C03E44"/>
    <w:rsid w:val="00C04591"/>
    <w:rsid w:val="00C048B5"/>
    <w:rsid w:val="00C053E7"/>
    <w:rsid w:val="00C056CF"/>
    <w:rsid w:val="00C05A6D"/>
    <w:rsid w:val="00C05DC8"/>
    <w:rsid w:val="00C06111"/>
    <w:rsid w:val="00C061B6"/>
    <w:rsid w:val="00C07CCB"/>
    <w:rsid w:val="00C104FF"/>
    <w:rsid w:val="00C10730"/>
    <w:rsid w:val="00C11F3C"/>
    <w:rsid w:val="00C1252B"/>
    <w:rsid w:val="00C12878"/>
    <w:rsid w:val="00C12A14"/>
    <w:rsid w:val="00C13122"/>
    <w:rsid w:val="00C1339C"/>
    <w:rsid w:val="00C13A9E"/>
    <w:rsid w:val="00C141F2"/>
    <w:rsid w:val="00C14A44"/>
    <w:rsid w:val="00C14ECE"/>
    <w:rsid w:val="00C1517D"/>
    <w:rsid w:val="00C152C2"/>
    <w:rsid w:val="00C17250"/>
    <w:rsid w:val="00C1765F"/>
    <w:rsid w:val="00C17BF8"/>
    <w:rsid w:val="00C2007C"/>
    <w:rsid w:val="00C20BA0"/>
    <w:rsid w:val="00C21240"/>
    <w:rsid w:val="00C21351"/>
    <w:rsid w:val="00C21998"/>
    <w:rsid w:val="00C2227A"/>
    <w:rsid w:val="00C22F09"/>
    <w:rsid w:val="00C2446C"/>
    <w:rsid w:val="00C2493F"/>
    <w:rsid w:val="00C27402"/>
    <w:rsid w:val="00C277F2"/>
    <w:rsid w:val="00C303BE"/>
    <w:rsid w:val="00C30803"/>
    <w:rsid w:val="00C30E57"/>
    <w:rsid w:val="00C30F35"/>
    <w:rsid w:val="00C317C9"/>
    <w:rsid w:val="00C3209A"/>
    <w:rsid w:val="00C3211C"/>
    <w:rsid w:val="00C3257C"/>
    <w:rsid w:val="00C3298C"/>
    <w:rsid w:val="00C33290"/>
    <w:rsid w:val="00C336E3"/>
    <w:rsid w:val="00C33D52"/>
    <w:rsid w:val="00C33D90"/>
    <w:rsid w:val="00C34AB8"/>
    <w:rsid w:val="00C354E5"/>
    <w:rsid w:val="00C354E7"/>
    <w:rsid w:val="00C35ADE"/>
    <w:rsid w:val="00C360E3"/>
    <w:rsid w:val="00C3692E"/>
    <w:rsid w:val="00C36A9C"/>
    <w:rsid w:val="00C36AE5"/>
    <w:rsid w:val="00C40A56"/>
    <w:rsid w:val="00C40AE1"/>
    <w:rsid w:val="00C40EF2"/>
    <w:rsid w:val="00C41180"/>
    <w:rsid w:val="00C413D0"/>
    <w:rsid w:val="00C41F17"/>
    <w:rsid w:val="00C41F78"/>
    <w:rsid w:val="00C434B1"/>
    <w:rsid w:val="00C43984"/>
    <w:rsid w:val="00C44789"/>
    <w:rsid w:val="00C44AA7"/>
    <w:rsid w:val="00C44BA7"/>
    <w:rsid w:val="00C4751D"/>
    <w:rsid w:val="00C504B6"/>
    <w:rsid w:val="00C504EF"/>
    <w:rsid w:val="00C5090A"/>
    <w:rsid w:val="00C50E9B"/>
    <w:rsid w:val="00C511E0"/>
    <w:rsid w:val="00C518B4"/>
    <w:rsid w:val="00C51FE3"/>
    <w:rsid w:val="00C527FA"/>
    <w:rsid w:val="00C5280D"/>
    <w:rsid w:val="00C53337"/>
    <w:rsid w:val="00C53EB3"/>
    <w:rsid w:val="00C54638"/>
    <w:rsid w:val="00C548F1"/>
    <w:rsid w:val="00C550A3"/>
    <w:rsid w:val="00C553C2"/>
    <w:rsid w:val="00C5576E"/>
    <w:rsid w:val="00C55B9A"/>
    <w:rsid w:val="00C564A9"/>
    <w:rsid w:val="00C5687B"/>
    <w:rsid w:val="00C568DC"/>
    <w:rsid w:val="00C5791C"/>
    <w:rsid w:val="00C57AEA"/>
    <w:rsid w:val="00C57FDA"/>
    <w:rsid w:val="00C60E0D"/>
    <w:rsid w:val="00C624DE"/>
    <w:rsid w:val="00C6254C"/>
    <w:rsid w:val="00C63490"/>
    <w:rsid w:val="00C63815"/>
    <w:rsid w:val="00C639B9"/>
    <w:rsid w:val="00C643AD"/>
    <w:rsid w:val="00C648EE"/>
    <w:rsid w:val="00C64908"/>
    <w:rsid w:val="00C65464"/>
    <w:rsid w:val="00C658A5"/>
    <w:rsid w:val="00C65923"/>
    <w:rsid w:val="00C65B6E"/>
    <w:rsid w:val="00C66290"/>
    <w:rsid w:val="00C669F0"/>
    <w:rsid w:val="00C679A7"/>
    <w:rsid w:val="00C705C3"/>
    <w:rsid w:val="00C71191"/>
    <w:rsid w:val="00C720BE"/>
    <w:rsid w:val="00C72B7A"/>
    <w:rsid w:val="00C73710"/>
    <w:rsid w:val="00C746BD"/>
    <w:rsid w:val="00C75BD7"/>
    <w:rsid w:val="00C75FFB"/>
    <w:rsid w:val="00C77C07"/>
    <w:rsid w:val="00C80553"/>
    <w:rsid w:val="00C823E1"/>
    <w:rsid w:val="00C82C84"/>
    <w:rsid w:val="00C832F1"/>
    <w:rsid w:val="00C83503"/>
    <w:rsid w:val="00C83BEF"/>
    <w:rsid w:val="00C84092"/>
    <w:rsid w:val="00C84394"/>
    <w:rsid w:val="00C847D2"/>
    <w:rsid w:val="00C84AAE"/>
    <w:rsid w:val="00C84CD6"/>
    <w:rsid w:val="00C85F24"/>
    <w:rsid w:val="00C86F9A"/>
    <w:rsid w:val="00C87477"/>
    <w:rsid w:val="00C90F04"/>
    <w:rsid w:val="00C91A51"/>
    <w:rsid w:val="00C93610"/>
    <w:rsid w:val="00C9384C"/>
    <w:rsid w:val="00C9397E"/>
    <w:rsid w:val="00C943D8"/>
    <w:rsid w:val="00C94466"/>
    <w:rsid w:val="00C94F35"/>
    <w:rsid w:val="00C95D62"/>
    <w:rsid w:val="00C96FB9"/>
    <w:rsid w:val="00C973F2"/>
    <w:rsid w:val="00C97864"/>
    <w:rsid w:val="00CA0539"/>
    <w:rsid w:val="00CA14FB"/>
    <w:rsid w:val="00CA2715"/>
    <w:rsid w:val="00CA28B3"/>
    <w:rsid w:val="00CA2A21"/>
    <w:rsid w:val="00CA304C"/>
    <w:rsid w:val="00CA34CB"/>
    <w:rsid w:val="00CA3CCA"/>
    <w:rsid w:val="00CA4ADE"/>
    <w:rsid w:val="00CA534D"/>
    <w:rsid w:val="00CA5807"/>
    <w:rsid w:val="00CA5D72"/>
    <w:rsid w:val="00CA774A"/>
    <w:rsid w:val="00CB0223"/>
    <w:rsid w:val="00CB0B22"/>
    <w:rsid w:val="00CB15CA"/>
    <w:rsid w:val="00CB1A45"/>
    <w:rsid w:val="00CB1DC2"/>
    <w:rsid w:val="00CB1F12"/>
    <w:rsid w:val="00CB1F46"/>
    <w:rsid w:val="00CB22E4"/>
    <w:rsid w:val="00CB29BD"/>
    <w:rsid w:val="00CB2DBC"/>
    <w:rsid w:val="00CB34CE"/>
    <w:rsid w:val="00CB3D17"/>
    <w:rsid w:val="00CB41F2"/>
    <w:rsid w:val="00CB53C6"/>
    <w:rsid w:val="00CB5B2C"/>
    <w:rsid w:val="00CB7373"/>
    <w:rsid w:val="00CC0688"/>
    <w:rsid w:val="00CC0DE7"/>
    <w:rsid w:val="00CC11B0"/>
    <w:rsid w:val="00CC2841"/>
    <w:rsid w:val="00CC2D54"/>
    <w:rsid w:val="00CC4CB7"/>
    <w:rsid w:val="00CC4F7B"/>
    <w:rsid w:val="00CC5A32"/>
    <w:rsid w:val="00CC5B48"/>
    <w:rsid w:val="00CC5CFF"/>
    <w:rsid w:val="00CC5EA7"/>
    <w:rsid w:val="00CC6075"/>
    <w:rsid w:val="00CC7347"/>
    <w:rsid w:val="00CC7D57"/>
    <w:rsid w:val="00CC7F5F"/>
    <w:rsid w:val="00CD0061"/>
    <w:rsid w:val="00CD02BE"/>
    <w:rsid w:val="00CD0447"/>
    <w:rsid w:val="00CD04D2"/>
    <w:rsid w:val="00CD08F2"/>
    <w:rsid w:val="00CD0985"/>
    <w:rsid w:val="00CD0A6B"/>
    <w:rsid w:val="00CD0E48"/>
    <w:rsid w:val="00CD19D4"/>
    <w:rsid w:val="00CD211C"/>
    <w:rsid w:val="00CD419A"/>
    <w:rsid w:val="00CD4981"/>
    <w:rsid w:val="00CD5705"/>
    <w:rsid w:val="00CD7A95"/>
    <w:rsid w:val="00CD7EE5"/>
    <w:rsid w:val="00CE08D9"/>
    <w:rsid w:val="00CE09C7"/>
    <w:rsid w:val="00CE0E6C"/>
    <w:rsid w:val="00CE0FB7"/>
    <w:rsid w:val="00CE192F"/>
    <w:rsid w:val="00CE1B44"/>
    <w:rsid w:val="00CE23D2"/>
    <w:rsid w:val="00CE28E5"/>
    <w:rsid w:val="00CE354D"/>
    <w:rsid w:val="00CE4067"/>
    <w:rsid w:val="00CE4507"/>
    <w:rsid w:val="00CE4603"/>
    <w:rsid w:val="00CE5B21"/>
    <w:rsid w:val="00CE5B7A"/>
    <w:rsid w:val="00CE5CD3"/>
    <w:rsid w:val="00CE7496"/>
    <w:rsid w:val="00CF02E6"/>
    <w:rsid w:val="00CF0322"/>
    <w:rsid w:val="00CF1330"/>
    <w:rsid w:val="00CF136D"/>
    <w:rsid w:val="00CF1845"/>
    <w:rsid w:val="00CF19F4"/>
    <w:rsid w:val="00CF2492"/>
    <w:rsid w:val="00CF3608"/>
    <w:rsid w:val="00CF3989"/>
    <w:rsid w:val="00CF40AD"/>
    <w:rsid w:val="00CF46AC"/>
    <w:rsid w:val="00CF4805"/>
    <w:rsid w:val="00CF481B"/>
    <w:rsid w:val="00CF5641"/>
    <w:rsid w:val="00CF70CC"/>
    <w:rsid w:val="00CF722F"/>
    <w:rsid w:val="00CF72EB"/>
    <w:rsid w:val="00CF76B8"/>
    <w:rsid w:val="00CF7726"/>
    <w:rsid w:val="00CF7E36"/>
    <w:rsid w:val="00CF7EE9"/>
    <w:rsid w:val="00D00D9F"/>
    <w:rsid w:val="00D016AF"/>
    <w:rsid w:val="00D01A3A"/>
    <w:rsid w:val="00D01ADC"/>
    <w:rsid w:val="00D01C8E"/>
    <w:rsid w:val="00D0231F"/>
    <w:rsid w:val="00D024D0"/>
    <w:rsid w:val="00D025F9"/>
    <w:rsid w:val="00D029C0"/>
    <w:rsid w:val="00D0351E"/>
    <w:rsid w:val="00D03F50"/>
    <w:rsid w:val="00D04979"/>
    <w:rsid w:val="00D04F56"/>
    <w:rsid w:val="00D05126"/>
    <w:rsid w:val="00D05694"/>
    <w:rsid w:val="00D0572D"/>
    <w:rsid w:val="00D05BFF"/>
    <w:rsid w:val="00D06246"/>
    <w:rsid w:val="00D07096"/>
    <w:rsid w:val="00D07410"/>
    <w:rsid w:val="00D07993"/>
    <w:rsid w:val="00D07AB9"/>
    <w:rsid w:val="00D10143"/>
    <w:rsid w:val="00D110C8"/>
    <w:rsid w:val="00D112ED"/>
    <w:rsid w:val="00D1137D"/>
    <w:rsid w:val="00D11C3A"/>
    <w:rsid w:val="00D11D0B"/>
    <w:rsid w:val="00D11D9F"/>
    <w:rsid w:val="00D12136"/>
    <w:rsid w:val="00D12420"/>
    <w:rsid w:val="00D128AA"/>
    <w:rsid w:val="00D1299E"/>
    <w:rsid w:val="00D12E82"/>
    <w:rsid w:val="00D13862"/>
    <w:rsid w:val="00D13A68"/>
    <w:rsid w:val="00D13EB2"/>
    <w:rsid w:val="00D14789"/>
    <w:rsid w:val="00D14BED"/>
    <w:rsid w:val="00D14F8F"/>
    <w:rsid w:val="00D1574C"/>
    <w:rsid w:val="00D164EF"/>
    <w:rsid w:val="00D1792A"/>
    <w:rsid w:val="00D17F22"/>
    <w:rsid w:val="00D2062C"/>
    <w:rsid w:val="00D20755"/>
    <w:rsid w:val="00D2272B"/>
    <w:rsid w:val="00D23BE7"/>
    <w:rsid w:val="00D2480A"/>
    <w:rsid w:val="00D24D42"/>
    <w:rsid w:val="00D25DC7"/>
    <w:rsid w:val="00D27089"/>
    <w:rsid w:val="00D27534"/>
    <w:rsid w:val="00D27788"/>
    <w:rsid w:val="00D27B1B"/>
    <w:rsid w:val="00D27DCB"/>
    <w:rsid w:val="00D3208B"/>
    <w:rsid w:val="00D32090"/>
    <w:rsid w:val="00D32137"/>
    <w:rsid w:val="00D3327A"/>
    <w:rsid w:val="00D338C1"/>
    <w:rsid w:val="00D33981"/>
    <w:rsid w:val="00D35556"/>
    <w:rsid w:val="00D35D48"/>
    <w:rsid w:val="00D36127"/>
    <w:rsid w:val="00D36B82"/>
    <w:rsid w:val="00D36EDE"/>
    <w:rsid w:val="00D36EEA"/>
    <w:rsid w:val="00D36F30"/>
    <w:rsid w:val="00D3708D"/>
    <w:rsid w:val="00D37185"/>
    <w:rsid w:val="00D37BAB"/>
    <w:rsid w:val="00D40426"/>
    <w:rsid w:val="00D40825"/>
    <w:rsid w:val="00D413F4"/>
    <w:rsid w:val="00D417BB"/>
    <w:rsid w:val="00D41829"/>
    <w:rsid w:val="00D42027"/>
    <w:rsid w:val="00D42FAA"/>
    <w:rsid w:val="00D44434"/>
    <w:rsid w:val="00D4467C"/>
    <w:rsid w:val="00D44E80"/>
    <w:rsid w:val="00D4561A"/>
    <w:rsid w:val="00D46C94"/>
    <w:rsid w:val="00D475B8"/>
    <w:rsid w:val="00D50501"/>
    <w:rsid w:val="00D5258F"/>
    <w:rsid w:val="00D526D9"/>
    <w:rsid w:val="00D527FE"/>
    <w:rsid w:val="00D538E4"/>
    <w:rsid w:val="00D53BE2"/>
    <w:rsid w:val="00D5410E"/>
    <w:rsid w:val="00D5496C"/>
    <w:rsid w:val="00D54E11"/>
    <w:rsid w:val="00D551B3"/>
    <w:rsid w:val="00D561C8"/>
    <w:rsid w:val="00D569EB"/>
    <w:rsid w:val="00D56DFD"/>
    <w:rsid w:val="00D5762D"/>
    <w:rsid w:val="00D57C96"/>
    <w:rsid w:val="00D57D18"/>
    <w:rsid w:val="00D6147F"/>
    <w:rsid w:val="00D61512"/>
    <w:rsid w:val="00D6174F"/>
    <w:rsid w:val="00D61AB8"/>
    <w:rsid w:val="00D61F8A"/>
    <w:rsid w:val="00D61F96"/>
    <w:rsid w:val="00D62390"/>
    <w:rsid w:val="00D62903"/>
    <w:rsid w:val="00D6331F"/>
    <w:rsid w:val="00D635B0"/>
    <w:rsid w:val="00D639F1"/>
    <w:rsid w:val="00D650FB"/>
    <w:rsid w:val="00D65C9C"/>
    <w:rsid w:val="00D66577"/>
    <w:rsid w:val="00D6696D"/>
    <w:rsid w:val="00D66D24"/>
    <w:rsid w:val="00D670A3"/>
    <w:rsid w:val="00D6713B"/>
    <w:rsid w:val="00D67975"/>
    <w:rsid w:val="00D67D80"/>
    <w:rsid w:val="00D7066A"/>
    <w:rsid w:val="00D71713"/>
    <w:rsid w:val="00D71E1E"/>
    <w:rsid w:val="00D71ED9"/>
    <w:rsid w:val="00D72310"/>
    <w:rsid w:val="00D72495"/>
    <w:rsid w:val="00D72EC0"/>
    <w:rsid w:val="00D7335F"/>
    <w:rsid w:val="00D7364C"/>
    <w:rsid w:val="00D73B22"/>
    <w:rsid w:val="00D745F5"/>
    <w:rsid w:val="00D74C36"/>
    <w:rsid w:val="00D74D5A"/>
    <w:rsid w:val="00D75426"/>
    <w:rsid w:val="00D75A08"/>
    <w:rsid w:val="00D760AE"/>
    <w:rsid w:val="00D76909"/>
    <w:rsid w:val="00D77091"/>
    <w:rsid w:val="00D77404"/>
    <w:rsid w:val="00D77E70"/>
    <w:rsid w:val="00D80331"/>
    <w:rsid w:val="00D80DB7"/>
    <w:rsid w:val="00D80DBE"/>
    <w:rsid w:val="00D80EA6"/>
    <w:rsid w:val="00D8109C"/>
    <w:rsid w:val="00D812DE"/>
    <w:rsid w:val="00D81F17"/>
    <w:rsid w:val="00D84902"/>
    <w:rsid w:val="00D85CC5"/>
    <w:rsid w:val="00D85D36"/>
    <w:rsid w:val="00D86313"/>
    <w:rsid w:val="00D86C82"/>
    <w:rsid w:val="00D878B1"/>
    <w:rsid w:val="00D90A24"/>
    <w:rsid w:val="00D90BBC"/>
    <w:rsid w:val="00D9104A"/>
    <w:rsid w:val="00D911A7"/>
    <w:rsid w:val="00D91203"/>
    <w:rsid w:val="00D91876"/>
    <w:rsid w:val="00D92760"/>
    <w:rsid w:val="00D92996"/>
    <w:rsid w:val="00D9321D"/>
    <w:rsid w:val="00D94A77"/>
    <w:rsid w:val="00D95174"/>
    <w:rsid w:val="00D95B13"/>
    <w:rsid w:val="00D95B4A"/>
    <w:rsid w:val="00D969AA"/>
    <w:rsid w:val="00D96DE9"/>
    <w:rsid w:val="00D96E37"/>
    <w:rsid w:val="00DA0393"/>
    <w:rsid w:val="00DA1A88"/>
    <w:rsid w:val="00DA2515"/>
    <w:rsid w:val="00DA27AA"/>
    <w:rsid w:val="00DA39E5"/>
    <w:rsid w:val="00DA3E09"/>
    <w:rsid w:val="00DA4505"/>
    <w:rsid w:val="00DA46BD"/>
    <w:rsid w:val="00DA4973"/>
    <w:rsid w:val="00DA49FC"/>
    <w:rsid w:val="00DA4D02"/>
    <w:rsid w:val="00DA549C"/>
    <w:rsid w:val="00DA6BC5"/>
    <w:rsid w:val="00DA6F36"/>
    <w:rsid w:val="00DB180B"/>
    <w:rsid w:val="00DB22FE"/>
    <w:rsid w:val="00DB2733"/>
    <w:rsid w:val="00DB32F1"/>
    <w:rsid w:val="00DB3596"/>
    <w:rsid w:val="00DB38B2"/>
    <w:rsid w:val="00DB3DC2"/>
    <w:rsid w:val="00DB510A"/>
    <w:rsid w:val="00DB5252"/>
    <w:rsid w:val="00DB596E"/>
    <w:rsid w:val="00DB68E1"/>
    <w:rsid w:val="00DB6A15"/>
    <w:rsid w:val="00DB75F4"/>
    <w:rsid w:val="00DB7773"/>
    <w:rsid w:val="00DB79BE"/>
    <w:rsid w:val="00DB7F3C"/>
    <w:rsid w:val="00DC00EA"/>
    <w:rsid w:val="00DC023B"/>
    <w:rsid w:val="00DC04FC"/>
    <w:rsid w:val="00DC0AA5"/>
    <w:rsid w:val="00DC0AD5"/>
    <w:rsid w:val="00DC1F9A"/>
    <w:rsid w:val="00DC2673"/>
    <w:rsid w:val="00DC2937"/>
    <w:rsid w:val="00DC33AB"/>
    <w:rsid w:val="00DC369D"/>
    <w:rsid w:val="00DC3802"/>
    <w:rsid w:val="00DC4A09"/>
    <w:rsid w:val="00DC55E4"/>
    <w:rsid w:val="00DC55FD"/>
    <w:rsid w:val="00DC593A"/>
    <w:rsid w:val="00DC5F03"/>
    <w:rsid w:val="00DC660C"/>
    <w:rsid w:val="00DC661A"/>
    <w:rsid w:val="00DC68BD"/>
    <w:rsid w:val="00DC7009"/>
    <w:rsid w:val="00DC7C8A"/>
    <w:rsid w:val="00DD246B"/>
    <w:rsid w:val="00DD27A3"/>
    <w:rsid w:val="00DD28CD"/>
    <w:rsid w:val="00DD320C"/>
    <w:rsid w:val="00DD32FF"/>
    <w:rsid w:val="00DD376E"/>
    <w:rsid w:val="00DD405A"/>
    <w:rsid w:val="00DD46E9"/>
    <w:rsid w:val="00DD5B0D"/>
    <w:rsid w:val="00DD75BE"/>
    <w:rsid w:val="00DD76F8"/>
    <w:rsid w:val="00DE063F"/>
    <w:rsid w:val="00DE06EC"/>
    <w:rsid w:val="00DE1334"/>
    <w:rsid w:val="00DE2169"/>
    <w:rsid w:val="00DE31B6"/>
    <w:rsid w:val="00DE3A31"/>
    <w:rsid w:val="00DE3AA4"/>
    <w:rsid w:val="00DE3D35"/>
    <w:rsid w:val="00DE45DE"/>
    <w:rsid w:val="00DE5F47"/>
    <w:rsid w:val="00DE6DB0"/>
    <w:rsid w:val="00DE795C"/>
    <w:rsid w:val="00DE7AA3"/>
    <w:rsid w:val="00DF048C"/>
    <w:rsid w:val="00DF0CB6"/>
    <w:rsid w:val="00DF0E4D"/>
    <w:rsid w:val="00DF14E9"/>
    <w:rsid w:val="00DF16D8"/>
    <w:rsid w:val="00DF18F8"/>
    <w:rsid w:val="00DF283B"/>
    <w:rsid w:val="00DF2B2D"/>
    <w:rsid w:val="00DF2D6B"/>
    <w:rsid w:val="00DF3C7D"/>
    <w:rsid w:val="00DF4331"/>
    <w:rsid w:val="00DF6A35"/>
    <w:rsid w:val="00DF6CD6"/>
    <w:rsid w:val="00DF7EFF"/>
    <w:rsid w:val="00E00247"/>
    <w:rsid w:val="00E00821"/>
    <w:rsid w:val="00E03FBE"/>
    <w:rsid w:val="00E04903"/>
    <w:rsid w:val="00E04F9A"/>
    <w:rsid w:val="00E05B80"/>
    <w:rsid w:val="00E06343"/>
    <w:rsid w:val="00E06D61"/>
    <w:rsid w:val="00E06D8D"/>
    <w:rsid w:val="00E0737C"/>
    <w:rsid w:val="00E07D87"/>
    <w:rsid w:val="00E112C2"/>
    <w:rsid w:val="00E112E0"/>
    <w:rsid w:val="00E11B5F"/>
    <w:rsid w:val="00E13329"/>
    <w:rsid w:val="00E14D08"/>
    <w:rsid w:val="00E15ABE"/>
    <w:rsid w:val="00E168CE"/>
    <w:rsid w:val="00E16D4D"/>
    <w:rsid w:val="00E16E98"/>
    <w:rsid w:val="00E17043"/>
    <w:rsid w:val="00E2001C"/>
    <w:rsid w:val="00E202E0"/>
    <w:rsid w:val="00E20435"/>
    <w:rsid w:val="00E204E1"/>
    <w:rsid w:val="00E210C5"/>
    <w:rsid w:val="00E210FD"/>
    <w:rsid w:val="00E215FB"/>
    <w:rsid w:val="00E25AD3"/>
    <w:rsid w:val="00E25CC7"/>
    <w:rsid w:val="00E25CD4"/>
    <w:rsid w:val="00E263E5"/>
    <w:rsid w:val="00E26436"/>
    <w:rsid w:val="00E267E7"/>
    <w:rsid w:val="00E271C4"/>
    <w:rsid w:val="00E27221"/>
    <w:rsid w:val="00E30801"/>
    <w:rsid w:val="00E30ABF"/>
    <w:rsid w:val="00E31B46"/>
    <w:rsid w:val="00E3221D"/>
    <w:rsid w:val="00E32F5D"/>
    <w:rsid w:val="00E32F7E"/>
    <w:rsid w:val="00E3310F"/>
    <w:rsid w:val="00E33610"/>
    <w:rsid w:val="00E337AE"/>
    <w:rsid w:val="00E340B2"/>
    <w:rsid w:val="00E359BD"/>
    <w:rsid w:val="00E36140"/>
    <w:rsid w:val="00E3678E"/>
    <w:rsid w:val="00E36C94"/>
    <w:rsid w:val="00E372A2"/>
    <w:rsid w:val="00E406CA"/>
    <w:rsid w:val="00E414F8"/>
    <w:rsid w:val="00E41CC6"/>
    <w:rsid w:val="00E41FCB"/>
    <w:rsid w:val="00E4353A"/>
    <w:rsid w:val="00E43B68"/>
    <w:rsid w:val="00E44E01"/>
    <w:rsid w:val="00E44E48"/>
    <w:rsid w:val="00E4507F"/>
    <w:rsid w:val="00E45414"/>
    <w:rsid w:val="00E45EF0"/>
    <w:rsid w:val="00E463BE"/>
    <w:rsid w:val="00E477AF"/>
    <w:rsid w:val="00E47B49"/>
    <w:rsid w:val="00E47D8D"/>
    <w:rsid w:val="00E50092"/>
    <w:rsid w:val="00E500C0"/>
    <w:rsid w:val="00E511DA"/>
    <w:rsid w:val="00E5187B"/>
    <w:rsid w:val="00E52531"/>
    <w:rsid w:val="00E5267B"/>
    <w:rsid w:val="00E52C13"/>
    <w:rsid w:val="00E52EC8"/>
    <w:rsid w:val="00E541EB"/>
    <w:rsid w:val="00E54B33"/>
    <w:rsid w:val="00E55392"/>
    <w:rsid w:val="00E55650"/>
    <w:rsid w:val="00E55E6F"/>
    <w:rsid w:val="00E560C8"/>
    <w:rsid w:val="00E56702"/>
    <w:rsid w:val="00E56777"/>
    <w:rsid w:val="00E56ADC"/>
    <w:rsid w:val="00E5706E"/>
    <w:rsid w:val="00E60488"/>
    <w:rsid w:val="00E60DD3"/>
    <w:rsid w:val="00E60F75"/>
    <w:rsid w:val="00E6126F"/>
    <w:rsid w:val="00E619C2"/>
    <w:rsid w:val="00E61E82"/>
    <w:rsid w:val="00E61ECB"/>
    <w:rsid w:val="00E62C32"/>
    <w:rsid w:val="00E62CD0"/>
    <w:rsid w:val="00E6379D"/>
    <w:rsid w:val="00E63C0E"/>
    <w:rsid w:val="00E64A54"/>
    <w:rsid w:val="00E65A38"/>
    <w:rsid w:val="00E65F2B"/>
    <w:rsid w:val="00E66099"/>
    <w:rsid w:val="00E66A91"/>
    <w:rsid w:val="00E679DF"/>
    <w:rsid w:val="00E67ED2"/>
    <w:rsid w:val="00E7054C"/>
    <w:rsid w:val="00E70742"/>
    <w:rsid w:val="00E70C03"/>
    <w:rsid w:val="00E71195"/>
    <w:rsid w:val="00E7199D"/>
    <w:rsid w:val="00E719FA"/>
    <w:rsid w:val="00E71B7A"/>
    <w:rsid w:val="00E72D49"/>
    <w:rsid w:val="00E72D52"/>
    <w:rsid w:val="00E730F3"/>
    <w:rsid w:val="00E73287"/>
    <w:rsid w:val="00E73ABF"/>
    <w:rsid w:val="00E73EEC"/>
    <w:rsid w:val="00E74A87"/>
    <w:rsid w:val="00E74C99"/>
    <w:rsid w:val="00E7593C"/>
    <w:rsid w:val="00E76423"/>
    <w:rsid w:val="00E7678A"/>
    <w:rsid w:val="00E77077"/>
    <w:rsid w:val="00E77A32"/>
    <w:rsid w:val="00E80439"/>
    <w:rsid w:val="00E807C5"/>
    <w:rsid w:val="00E81ED0"/>
    <w:rsid w:val="00E82226"/>
    <w:rsid w:val="00E822E6"/>
    <w:rsid w:val="00E82750"/>
    <w:rsid w:val="00E82FE9"/>
    <w:rsid w:val="00E83992"/>
    <w:rsid w:val="00E83A21"/>
    <w:rsid w:val="00E83F88"/>
    <w:rsid w:val="00E854E9"/>
    <w:rsid w:val="00E859D8"/>
    <w:rsid w:val="00E86A9D"/>
    <w:rsid w:val="00E879E3"/>
    <w:rsid w:val="00E87BE9"/>
    <w:rsid w:val="00E90B44"/>
    <w:rsid w:val="00E9159D"/>
    <w:rsid w:val="00E91F59"/>
    <w:rsid w:val="00E935F1"/>
    <w:rsid w:val="00E9388E"/>
    <w:rsid w:val="00E944CF"/>
    <w:rsid w:val="00E94989"/>
    <w:rsid w:val="00E94A81"/>
    <w:rsid w:val="00E95525"/>
    <w:rsid w:val="00E95CFF"/>
    <w:rsid w:val="00E95F7A"/>
    <w:rsid w:val="00E9604E"/>
    <w:rsid w:val="00E96D57"/>
    <w:rsid w:val="00E97ED7"/>
    <w:rsid w:val="00EA0425"/>
    <w:rsid w:val="00EA04B5"/>
    <w:rsid w:val="00EA10D6"/>
    <w:rsid w:val="00EA1506"/>
    <w:rsid w:val="00EA156F"/>
    <w:rsid w:val="00EA1FFB"/>
    <w:rsid w:val="00EA3C4F"/>
    <w:rsid w:val="00EA4DFE"/>
    <w:rsid w:val="00EA4EA9"/>
    <w:rsid w:val="00EA60C8"/>
    <w:rsid w:val="00EA68E5"/>
    <w:rsid w:val="00EA6D62"/>
    <w:rsid w:val="00EA6FC0"/>
    <w:rsid w:val="00EA7203"/>
    <w:rsid w:val="00EA73BD"/>
    <w:rsid w:val="00EA7926"/>
    <w:rsid w:val="00EA7AE6"/>
    <w:rsid w:val="00EA7AEA"/>
    <w:rsid w:val="00EB02DF"/>
    <w:rsid w:val="00EB048E"/>
    <w:rsid w:val="00EB0BB6"/>
    <w:rsid w:val="00EB1D06"/>
    <w:rsid w:val="00EB3FFF"/>
    <w:rsid w:val="00EB4E9C"/>
    <w:rsid w:val="00EB5330"/>
    <w:rsid w:val="00EB5402"/>
    <w:rsid w:val="00EB5A92"/>
    <w:rsid w:val="00EB6184"/>
    <w:rsid w:val="00EB62C3"/>
    <w:rsid w:val="00EB6568"/>
    <w:rsid w:val="00EB77F2"/>
    <w:rsid w:val="00EC04C7"/>
    <w:rsid w:val="00EC05D9"/>
    <w:rsid w:val="00EC081C"/>
    <w:rsid w:val="00EC0B9E"/>
    <w:rsid w:val="00EC0F51"/>
    <w:rsid w:val="00EC1850"/>
    <w:rsid w:val="00EC2704"/>
    <w:rsid w:val="00EC2C3C"/>
    <w:rsid w:val="00EC326F"/>
    <w:rsid w:val="00EC3584"/>
    <w:rsid w:val="00EC3BA0"/>
    <w:rsid w:val="00EC43E2"/>
    <w:rsid w:val="00EC55DF"/>
    <w:rsid w:val="00EC55F5"/>
    <w:rsid w:val="00EC60A5"/>
    <w:rsid w:val="00EC69F3"/>
    <w:rsid w:val="00EC6A92"/>
    <w:rsid w:val="00ED0408"/>
    <w:rsid w:val="00ED08D2"/>
    <w:rsid w:val="00ED0FA8"/>
    <w:rsid w:val="00ED1A42"/>
    <w:rsid w:val="00ED2221"/>
    <w:rsid w:val="00ED3124"/>
    <w:rsid w:val="00ED3708"/>
    <w:rsid w:val="00ED3717"/>
    <w:rsid w:val="00ED3CA5"/>
    <w:rsid w:val="00ED50AC"/>
    <w:rsid w:val="00ED5C63"/>
    <w:rsid w:val="00ED64B3"/>
    <w:rsid w:val="00ED6584"/>
    <w:rsid w:val="00ED65FA"/>
    <w:rsid w:val="00ED6AB1"/>
    <w:rsid w:val="00ED7558"/>
    <w:rsid w:val="00ED77E2"/>
    <w:rsid w:val="00EE0702"/>
    <w:rsid w:val="00EE1653"/>
    <w:rsid w:val="00EE1985"/>
    <w:rsid w:val="00EE2C50"/>
    <w:rsid w:val="00EE34DF"/>
    <w:rsid w:val="00EE3604"/>
    <w:rsid w:val="00EE4ACE"/>
    <w:rsid w:val="00EE509D"/>
    <w:rsid w:val="00EE6B95"/>
    <w:rsid w:val="00EE6BD0"/>
    <w:rsid w:val="00EE7705"/>
    <w:rsid w:val="00EF0A7F"/>
    <w:rsid w:val="00EF0DFE"/>
    <w:rsid w:val="00EF1134"/>
    <w:rsid w:val="00EF1CD8"/>
    <w:rsid w:val="00EF2F89"/>
    <w:rsid w:val="00EF453C"/>
    <w:rsid w:val="00EF4E20"/>
    <w:rsid w:val="00EF4F3A"/>
    <w:rsid w:val="00EF4FB8"/>
    <w:rsid w:val="00EF5457"/>
    <w:rsid w:val="00EF6CD7"/>
    <w:rsid w:val="00EF7611"/>
    <w:rsid w:val="00F00C2D"/>
    <w:rsid w:val="00F01205"/>
    <w:rsid w:val="00F015B8"/>
    <w:rsid w:val="00F01708"/>
    <w:rsid w:val="00F019DC"/>
    <w:rsid w:val="00F01B83"/>
    <w:rsid w:val="00F01D1A"/>
    <w:rsid w:val="00F0234C"/>
    <w:rsid w:val="00F02751"/>
    <w:rsid w:val="00F03A33"/>
    <w:rsid w:val="00F03E98"/>
    <w:rsid w:val="00F04E04"/>
    <w:rsid w:val="00F0553A"/>
    <w:rsid w:val="00F05FA6"/>
    <w:rsid w:val="00F063CA"/>
    <w:rsid w:val="00F069D3"/>
    <w:rsid w:val="00F06A37"/>
    <w:rsid w:val="00F071DB"/>
    <w:rsid w:val="00F073CE"/>
    <w:rsid w:val="00F07E55"/>
    <w:rsid w:val="00F10DF9"/>
    <w:rsid w:val="00F1101A"/>
    <w:rsid w:val="00F1237A"/>
    <w:rsid w:val="00F12385"/>
    <w:rsid w:val="00F13C30"/>
    <w:rsid w:val="00F14325"/>
    <w:rsid w:val="00F15988"/>
    <w:rsid w:val="00F15FCD"/>
    <w:rsid w:val="00F161D1"/>
    <w:rsid w:val="00F1701E"/>
    <w:rsid w:val="00F20B92"/>
    <w:rsid w:val="00F21A4A"/>
    <w:rsid w:val="00F221FC"/>
    <w:rsid w:val="00F22822"/>
    <w:rsid w:val="00F229B1"/>
    <w:rsid w:val="00F22CBD"/>
    <w:rsid w:val="00F234DC"/>
    <w:rsid w:val="00F2386A"/>
    <w:rsid w:val="00F2405D"/>
    <w:rsid w:val="00F272F1"/>
    <w:rsid w:val="00F27BCD"/>
    <w:rsid w:val="00F3123A"/>
    <w:rsid w:val="00F3125E"/>
    <w:rsid w:val="00F313ED"/>
    <w:rsid w:val="00F318A3"/>
    <w:rsid w:val="00F31EF0"/>
    <w:rsid w:val="00F32336"/>
    <w:rsid w:val="00F331F1"/>
    <w:rsid w:val="00F3381B"/>
    <w:rsid w:val="00F347D6"/>
    <w:rsid w:val="00F34A70"/>
    <w:rsid w:val="00F3507A"/>
    <w:rsid w:val="00F35445"/>
    <w:rsid w:val="00F3577B"/>
    <w:rsid w:val="00F36DBC"/>
    <w:rsid w:val="00F376DF"/>
    <w:rsid w:val="00F37726"/>
    <w:rsid w:val="00F37D01"/>
    <w:rsid w:val="00F40D9E"/>
    <w:rsid w:val="00F4129E"/>
    <w:rsid w:val="00F41EC4"/>
    <w:rsid w:val="00F42882"/>
    <w:rsid w:val="00F428D1"/>
    <w:rsid w:val="00F42E39"/>
    <w:rsid w:val="00F43015"/>
    <w:rsid w:val="00F45269"/>
    <w:rsid w:val="00F45372"/>
    <w:rsid w:val="00F4611D"/>
    <w:rsid w:val="00F46974"/>
    <w:rsid w:val="00F46E2D"/>
    <w:rsid w:val="00F47306"/>
    <w:rsid w:val="00F513B7"/>
    <w:rsid w:val="00F5226F"/>
    <w:rsid w:val="00F5259B"/>
    <w:rsid w:val="00F52859"/>
    <w:rsid w:val="00F53085"/>
    <w:rsid w:val="00F53251"/>
    <w:rsid w:val="00F532FE"/>
    <w:rsid w:val="00F534AA"/>
    <w:rsid w:val="00F53E82"/>
    <w:rsid w:val="00F540BD"/>
    <w:rsid w:val="00F548A7"/>
    <w:rsid w:val="00F549C1"/>
    <w:rsid w:val="00F54FC5"/>
    <w:rsid w:val="00F553CD"/>
    <w:rsid w:val="00F560F7"/>
    <w:rsid w:val="00F56A5C"/>
    <w:rsid w:val="00F56AD7"/>
    <w:rsid w:val="00F608A6"/>
    <w:rsid w:val="00F60F06"/>
    <w:rsid w:val="00F61A88"/>
    <w:rsid w:val="00F625CC"/>
    <w:rsid w:val="00F6275A"/>
    <w:rsid w:val="00F6302E"/>
    <w:rsid w:val="00F6334D"/>
    <w:rsid w:val="00F63530"/>
    <w:rsid w:val="00F63549"/>
    <w:rsid w:val="00F63599"/>
    <w:rsid w:val="00F645DF"/>
    <w:rsid w:val="00F6470B"/>
    <w:rsid w:val="00F6480D"/>
    <w:rsid w:val="00F6622D"/>
    <w:rsid w:val="00F66A4B"/>
    <w:rsid w:val="00F67FE4"/>
    <w:rsid w:val="00F7082F"/>
    <w:rsid w:val="00F70FD3"/>
    <w:rsid w:val="00F71201"/>
    <w:rsid w:val="00F71A7F"/>
    <w:rsid w:val="00F72287"/>
    <w:rsid w:val="00F7270F"/>
    <w:rsid w:val="00F72DA9"/>
    <w:rsid w:val="00F73707"/>
    <w:rsid w:val="00F7563E"/>
    <w:rsid w:val="00F75DB1"/>
    <w:rsid w:val="00F76236"/>
    <w:rsid w:val="00F769F5"/>
    <w:rsid w:val="00F775D4"/>
    <w:rsid w:val="00F7776E"/>
    <w:rsid w:val="00F77C3D"/>
    <w:rsid w:val="00F8007F"/>
    <w:rsid w:val="00F80510"/>
    <w:rsid w:val="00F80EA0"/>
    <w:rsid w:val="00F81039"/>
    <w:rsid w:val="00F822EA"/>
    <w:rsid w:val="00F8267E"/>
    <w:rsid w:val="00F829D1"/>
    <w:rsid w:val="00F83565"/>
    <w:rsid w:val="00F8412D"/>
    <w:rsid w:val="00F84A60"/>
    <w:rsid w:val="00F84B05"/>
    <w:rsid w:val="00F84F46"/>
    <w:rsid w:val="00F867B2"/>
    <w:rsid w:val="00F86A87"/>
    <w:rsid w:val="00F86E58"/>
    <w:rsid w:val="00F87612"/>
    <w:rsid w:val="00F903C4"/>
    <w:rsid w:val="00F90449"/>
    <w:rsid w:val="00F90990"/>
    <w:rsid w:val="00F91246"/>
    <w:rsid w:val="00F916C2"/>
    <w:rsid w:val="00F9205E"/>
    <w:rsid w:val="00F92837"/>
    <w:rsid w:val="00F933E1"/>
    <w:rsid w:val="00F93613"/>
    <w:rsid w:val="00F937E8"/>
    <w:rsid w:val="00F94024"/>
    <w:rsid w:val="00F9499C"/>
    <w:rsid w:val="00F9511F"/>
    <w:rsid w:val="00F95487"/>
    <w:rsid w:val="00F95599"/>
    <w:rsid w:val="00F956AE"/>
    <w:rsid w:val="00F9693C"/>
    <w:rsid w:val="00F96D6C"/>
    <w:rsid w:val="00F9711F"/>
    <w:rsid w:val="00F97A92"/>
    <w:rsid w:val="00FA067A"/>
    <w:rsid w:val="00FA2A16"/>
    <w:rsid w:val="00FA2C9D"/>
    <w:rsid w:val="00FA2EAD"/>
    <w:rsid w:val="00FA2FC4"/>
    <w:rsid w:val="00FA3544"/>
    <w:rsid w:val="00FA3BBA"/>
    <w:rsid w:val="00FA49AB"/>
    <w:rsid w:val="00FA4A14"/>
    <w:rsid w:val="00FA61C8"/>
    <w:rsid w:val="00FA6508"/>
    <w:rsid w:val="00FA6E16"/>
    <w:rsid w:val="00FA7118"/>
    <w:rsid w:val="00FA7312"/>
    <w:rsid w:val="00FA73C6"/>
    <w:rsid w:val="00FB0397"/>
    <w:rsid w:val="00FB03AB"/>
    <w:rsid w:val="00FB11A6"/>
    <w:rsid w:val="00FB1390"/>
    <w:rsid w:val="00FB1400"/>
    <w:rsid w:val="00FB16F8"/>
    <w:rsid w:val="00FB17CF"/>
    <w:rsid w:val="00FB1877"/>
    <w:rsid w:val="00FB1E2F"/>
    <w:rsid w:val="00FB3B55"/>
    <w:rsid w:val="00FB3ED1"/>
    <w:rsid w:val="00FB4668"/>
    <w:rsid w:val="00FB4702"/>
    <w:rsid w:val="00FB615F"/>
    <w:rsid w:val="00FB6D47"/>
    <w:rsid w:val="00FB6E5B"/>
    <w:rsid w:val="00FB799F"/>
    <w:rsid w:val="00FB7DB9"/>
    <w:rsid w:val="00FC05AA"/>
    <w:rsid w:val="00FC066A"/>
    <w:rsid w:val="00FC0CC5"/>
    <w:rsid w:val="00FC0D21"/>
    <w:rsid w:val="00FC11D6"/>
    <w:rsid w:val="00FC2898"/>
    <w:rsid w:val="00FC33FC"/>
    <w:rsid w:val="00FC41BA"/>
    <w:rsid w:val="00FC4C46"/>
    <w:rsid w:val="00FC4DE1"/>
    <w:rsid w:val="00FC5064"/>
    <w:rsid w:val="00FC56D8"/>
    <w:rsid w:val="00FC5AD7"/>
    <w:rsid w:val="00FC6B69"/>
    <w:rsid w:val="00FC7BB6"/>
    <w:rsid w:val="00FC7C90"/>
    <w:rsid w:val="00FD0435"/>
    <w:rsid w:val="00FD065F"/>
    <w:rsid w:val="00FD12D5"/>
    <w:rsid w:val="00FD214C"/>
    <w:rsid w:val="00FD2D24"/>
    <w:rsid w:val="00FD37AA"/>
    <w:rsid w:val="00FD47CA"/>
    <w:rsid w:val="00FD50EF"/>
    <w:rsid w:val="00FD5D7C"/>
    <w:rsid w:val="00FD5F86"/>
    <w:rsid w:val="00FD6269"/>
    <w:rsid w:val="00FD6285"/>
    <w:rsid w:val="00FD6656"/>
    <w:rsid w:val="00FD67FF"/>
    <w:rsid w:val="00FD6844"/>
    <w:rsid w:val="00FE09A1"/>
    <w:rsid w:val="00FE1502"/>
    <w:rsid w:val="00FE23BD"/>
    <w:rsid w:val="00FE2492"/>
    <w:rsid w:val="00FE2FFD"/>
    <w:rsid w:val="00FE3288"/>
    <w:rsid w:val="00FE36B7"/>
    <w:rsid w:val="00FE39C7"/>
    <w:rsid w:val="00FE3F60"/>
    <w:rsid w:val="00FE45F2"/>
    <w:rsid w:val="00FE47A5"/>
    <w:rsid w:val="00FE5600"/>
    <w:rsid w:val="00FE58B1"/>
    <w:rsid w:val="00FE5BDE"/>
    <w:rsid w:val="00FE69E9"/>
    <w:rsid w:val="00FE6A31"/>
    <w:rsid w:val="00FE706B"/>
    <w:rsid w:val="00FE7479"/>
    <w:rsid w:val="00FE76D8"/>
    <w:rsid w:val="00FF0537"/>
    <w:rsid w:val="00FF1226"/>
    <w:rsid w:val="00FF130A"/>
    <w:rsid w:val="00FF1AFF"/>
    <w:rsid w:val="00FF1E13"/>
    <w:rsid w:val="00FF2434"/>
    <w:rsid w:val="00FF267A"/>
    <w:rsid w:val="00FF2CC0"/>
    <w:rsid w:val="00FF2D5E"/>
    <w:rsid w:val="00FF3030"/>
    <w:rsid w:val="00FF34A4"/>
    <w:rsid w:val="00FF37A7"/>
    <w:rsid w:val="00FF4B75"/>
    <w:rsid w:val="00FF4D07"/>
    <w:rsid w:val="00FF64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ECEFE"/>
  <w15:docId w15:val="{3BF0F48D-ACE1-46CA-9126-887064CB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B83"/>
    <w:pPr>
      <w:jc w:val="both"/>
    </w:pPr>
    <w:rPr>
      <w:rFonts w:ascii="Arial" w:hAnsi="Arial"/>
    </w:rPr>
  </w:style>
  <w:style w:type="paragraph" w:styleId="Heading1">
    <w:name w:val="heading 1"/>
    <w:next w:val="Normal"/>
    <w:link w:val="Heading1Char"/>
    <w:qFormat/>
    <w:rsid w:val="00A824AF"/>
    <w:pPr>
      <w:keepNext/>
      <w:jc w:val="both"/>
      <w:outlineLvl w:val="0"/>
    </w:pPr>
    <w:rPr>
      <w:rFonts w:ascii="Arial" w:hAnsi="Arial"/>
      <w:b/>
      <w:caps/>
    </w:rPr>
  </w:style>
  <w:style w:type="paragraph" w:styleId="Heading2">
    <w:name w:val="heading 2"/>
    <w:next w:val="Normal"/>
    <w:link w:val="Heading2Char"/>
    <w:qFormat/>
    <w:rsid w:val="00D67D80"/>
    <w:pPr>
      <w:keepNext/>
      <w:jc w:val="both"/>
      <w:outlineLvl w:val="1"/>
    </w:pPr>
    <w:rPr>
      <w:rFonts w:ascii="Arial Bold" w:hAnsi="Arial Bold"/>
      <w:b/>
    </w:rPr>
  </w:style>
  <w:style w:type="paragraph" w:styleId="Heading3">
    <w:name w:val="heading 3"/>
    <w:next w:val="Normal"/>
    <w:autoRedefine/>
    <w:qFormat/>
    <w:rsid w:val="00A824AF"/>
    <w:pPr>
      <w:keepNext/>
      <w:jc w:val="both"/>
      <w:outlineLvl w:val="2"/>
    </w:pPr>
    <w:rPr>
      <w:rFonts w:ascii="Arial" w:hAnsi="Arial"/>
      <w:i/>
    </w:rPr>
  </w:style>
  <w:style w:type="paragraph" w:styleId="Heading4">
    <w:name w:val="heading 4"/>
    <w:next w:val="Normal"/>
    <w:autoRedefine/>
    <w:qFormat/>
    <w:rsid w:val="00A824AF"/>
    <w:pPr>
      <w:keepNext/>
      <w:ind w:left="567"/>
      <w:jc w:val="both"/>
      <w:outlineLvl w:val="3"/>
    </w:pPr>
    <w:rPr>
      <w:rFonts w:ascii="Arial" w:hAnsi="Arial"/>
      <w:i/>
    </w:rPr>
  </w:style>
  <w:style w:type="paragraph" w:styleId="Heading5">
    <w:name w:val="heading 5"/>
    <w:next w:val="Normal"/>
    <w:autoRedefine/>
    <w:qFormat/>
    <w:rsid w:val="00A824AF"/>
    <w:pPr>
      <w:keepNext/>
      <w:ind w:left="1134" w:hanging="567"/>
      <w:jc w:val="both"/>
      <w:outlineLvl w:val="4"/>
    </w:pPr>
    <w:rPr>
      <w:rFonts w:ascii="Arial" w:hAnsi="Arial"/>
      <w:sz w:val="18"/>
      <w:szCs w:val="18"/>
    </w:rPr>
  </w:style>
  <w:style w:type="paragraph" w:styleId="Heading9">
    <w:name w:val="heading 9"/>
    <w:basedOn w:val="Normal"/>
    <w:next w:val="Normal"/>
    <w:qFormat/>
    <w:rsid w:val="00A824AF"/>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4AF"/>
    <w:rPr>
      <w:rFonts w:ascii="Arial" w:hAnsi="Arial"/>
      <w:b/>
      <w:caps/>
    </w:rPr>
  </w:style>
  <w:style w:type="character" w:customStyle="1" w:styleId="Heading2Char">
    <w:name w:val="Heading 2 Char"/>
    <w:basedOn w:val="DefaultParagraphFont"/>
    <w:link w:val="Heading2"/>
    <w:rsid w:val="00D67D80"/>
    <w:rPr>
      <w:rFonts w:ascii="Arial Bold" w:hAnsi="Arial Bold"/>
      <w:b/>
    </w:rPr>
  </w:style>
  <w:style w:type="paragraph" w:styleId="Header">
    <w:name w:val="header"/>
    <w:link w:val="HeaderChar"/>
    <w:uiPriority w:val="99"/>
    <w:rsid w:val="00AE2937"/>
    <w:pPr>
      <w:jc w:val="center"/>
    </w:pPr>
    <w:rPr>
      <w:rFonts w:ascii="Arial" w:hAnsi="Arial"/>
    </w:rPr>
  </w:style>
  <w:style w:type="character" w:customStyle="1" w:styleId="HeaderChar">
    <w:name w:val="Header Char"/>
    <w:basedOn w:val="DefaultParagraphFont"/>
    <w:link w:val="Header"/>
    <w:uiPriority w:val="99"/>
    <w:rsid w:val="00A824AF"/>
    <w:rPr>
      <w:rFonts w:ascii="Arial" w:hAnsi="Arial"/>
      <w:lang w:val="es-ES"/>
    </w:rPr>
  </w:style>
  <w:style w:type="paragraph" w:styleId="Footer">
    <w:name w:val="footer"/>
    <w:aliases w:val="doc_path_name"/>
    <w:link w:val="FooterChar"/>
    <w:autoRedefine/>
    <w:uiPriority w:val="99"/>
    <w:rsid w:val="009D690D"/>
    <w:pPr>
      <w:jc w:val="both"/>
    </w:pPr>
    <w:rPr>
      <w:rFonts w:ascii="Arial" w:hAnsi="Arial"/>
      <w:sz w:val="14"/>
    </w:rPr>
  </w:style>
  <w:style w:type="character" w:customStyle="1" w:styleId="FooterChar">
    <w:name w:val="Footer Char"/>
    <w:aliases w:val="doc_path_name Char"/>
    <w:basedOn w:val="DefaultParagraphFont"/>
    <w:link w:val="Footer"/>
    <w:uiPriority w:val="99"/>
    <w:rsid w:val="00A824AF"/>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Code">
    <w:name w:val="Code"/>
    <w:basedOn w:val="Normal"/>
    <w:link w:val="CodeChar"/>
    <w:semiHidden/>
    <w:rsid w:val="00D3708D"/>
    <w:pPr>
      <w:spacing w:line="340" w:lineRule="atLeast"/>
      <w:ind w:left="1276"/>
    </w:pPr>
    <w:rPr>
      <w:b/>
      <w:bCs/>
      <w:spacing w:val="10"/>
    </w:rPr>
  </w:style>
  <w:style w:type="character" w:customStyle="1" w:styleId="CodeChar">
    <w:name w:val="Code Char"/>
    <w:basedOn w:val="DefaultParagraphFont"/>
    <w:link w:val="Code"/>
    <w:rsid w:val="00D3708D"/>
    <w:rPr>
      <w:rFonts w:ascii="Arial" w:hAnsi="Arial"/>
      <w:b/>
      <w:bCs/>
      <w:spacing w:val="10"/>
      <w:lang w:val="es-ES" w:eastAsia="en-US" w:bidi="ar-SA"/>
    </w:rPr>
  </w:style>
  <w:style w:type="character" w:customStyle="1" w:styleId="DocoriginalChar">
    <w:name w:val="Doc_original Char"/>
    <w:basedOn w:val="CodeChar"/>
    <w:link w:val="Docoriginal"/>
    <w:rsid w:val="003C7FBE"/>
    <w:rPr>
      <w:rFonts w:ascii="Arial" w:hAnsi="Arial"/>
      <w:b/>
      <w:bCs/>
      <w:spacing w:val="10"/>
      <w:sz w:val="18"/>
      <w:lang w:val="es-ES" w:eastAsia="en-US" w:bidi="ar-SA"/>
    </w:rPr>
  </w:style>
  <w:style w:type="paragraph" w:customStyle="1" w:styleId="DecisionParagraphs">
    <w:name w:val="DecisionParagraphs"/>
    <w:basedOn w:val="Normal"/>
    <w:rsid w:val="00214C72"/>
    <w:pPr>
      <w:tabs>
        <w:tab w:val="left" w:pos="5387"/>
        <w:tab w:val="left" w:pos="5954"/>
      </w:tabs>
      <w:ind w:left="4820"/>
    </w:pPr>
    <w:rPr>
      <w:i/>
    </w:rPr>
  </w:style>
  <w:style w:type="paragraph" w:styleId="FootnoteText">
    <w:name w:val="footnote text"/>
    <w:link w:val="FootnoteTextChar"/>
    <w:autoRedefine/>
    <w:uiPriority w:val="99"/>
    <w:rsid w:val="00557A44"/>
    <w:pPr>
      <w:spacing w:before="60"/>
      <w:ind w:left="567" w:hanging="567"/>
      <w:jc w:val="both"/>
    </w:pPr>
    <w:rPr>
      <w:rFonts w:ascii="Arial" w:hAnsi="Arial"/>
      <w:sz w:val="16"/>
    </w:rPr>
  </w:style>
  <w:style w:type="character" w:styleId="FootnoteReference">
    <w:name w:val="footnote reference"/>
    <w:basedOn w:val="DefaultParagraphFont"/>
    <w:uiPriority w:val="99"/>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s-E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TitreUpov">
    <w:name w:val="TitreUpov"/>
    <w:basedOn w:val="Normal"/>
    <w:semiHidden/>
    <w:rsid w:val="00D3708D"/>
    <w:pPr>
      <w:spacing w:before="60"/>
      <w:jc w:val="center"/>
    </w:pPr>
    <w:rPr>
      <w:b/>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paragraph" w:customStyle="1" w:styleId="endofdoc">
    <w:name w:val="end_of_doc"/>
    <w:next w:val="Header"/>
    <w:autoRedefine/>
    <w:rsid w:val="00E32F7E"/>
    <w:pPr>
      <w:spacing w:before="480"/>
      <w:ind w:left="567" w:hanging="567"/>
      <w:jc w:val="right"/>
    </w:pPr>
    <w:rPr>
      <w:rFonts w:ascii="Arial" w:hAnsi="Arial"/>
    </w:rPr>
  </w:style>
  <w:style w:type="paragraph" w:styleId="TOC2">
    <w:name w:val="toc 2"/>
    <w:next w:val="Normal"/>
    <w:autoRedefine/>
    <w:uiPriority w:val="39"/>
    <w:rsid w:val="006B2609"/>
    <w:pPr>
      <w:tabs>
        <w:tab w:val="left" w:pos="1276"/>
        <w:tab w:val="right" w:leader="dot" w:pos="9639"/>
      </w:tabs>
      <w:spacing w:before="120"/>
      <w:ind w:left="1276" w:right="851" w:hanging="992"/>
      <w:contextualSpacing/>
    </w:pPr>
    <w:rPr>
      <w:rFonts w:ascii="Arial" w:hAnsi="Arial"/>
      <w:noProof/>
    </w:rPr>
  </w:style>
  <w:style w:type="paragraph" w:styleId="TOC3">
    <w:name w:val="toc 3"/>
    <w:next w:val="Normal"/>
    <w:autoRedefine/>
    <w:uiPriority w:val="39"/>
    <w:rsid w:val="00A824AF"/>
    <w:pPr>
      <w:tabs>
        <w:tab w:val="right" w:leader="dot" w:pos="9639"/>
      </w:tabs>
      <w:spacing w:before="120"/>
      <w:ind w:left="851" w:right="851" w:hanging="567"/>
      <w:contextualSpacing/>
    </w:pPr>
    <w:rPr>
      <w:rFonts w:ascii="Arial" w:hAnsi="Arial"/>
      <w:i/>
      <w:noProof/>
    </w:rPr>
  </w:style>
  <w:style w:type="character" w:styleId="Hyperlink">
    <w:name w:val="Hyperlink"/>
    <w:basedOn w:val="DefaultParagraphFont"/>
    <w:uiPriority w:val="99"/>
    <w:rsid w:val="00AB530F"/>
    <w:rPr>
      <w:rFonts w:ascii="Arial" w:hAnsi="Arial"/>
      <w:color w:val="0000FF"/>
      <w:u w:val="single"/>
    </w:rPr>
  </w:style>
  <w:style w:type="paragraph" w:styleId="TOC4">
    <w:name w:val="toc 4"/>
    <w:next w:val="Normal"/>
    <w:autoRedefine/>
    <w:rsid w:val="00A824AF"/>
    <w:pPr>
      <w:tabs>
        <w:tab w:val="right" w:leader="dot" w:pos="9639"/>
      </w:tabs>
      <w:spacing w:before="120"/>
      <w:ind w:left="851" w:right="851" w:hanging="284"/>
    </w:pPr>
    <w:rPr>
      <w:rFonts w:ascii="Arial" w:hAnsi="Arial"/>
      <w:i/>
      <w:noProof/>
    </w:rPr>
  </w:style>
  <w:style w:type="paragraph" w:styleId="TOC1">
    <w:name w:val="toc 1"/>
    <w:next w:val="Normal"/>
    <w:autoRedefine/>
    <w:uiPriority w:val="39"/>
    <w:rsid w:val="008754B4"/>
    <w:pPr>
      <w:tabs>
        <w:tab w:val="right" w:leader="dot" w:pos="9639"/>
      </w:tabs>
      <w:spacing w:before="120" w:after="60"/>
      <w:ind w:left="284" w:right="284" w:hanging="284"/>
    </w:pPr>
    <w:rPr>
      <w:rFonts w:ascii="Arial" w:hAnsi="Arial"/>
      <w:caps/>
      <w:noProof/>
    </w:rPr>
  </w:style>
  <w:style w:type="paragraph" w:styleId="TOC5">
    <w:name w:val="toc 5"/>
    <w:next w:val="Normal"/>
    <w:autoRedefine/>
    <w:rsid w:val="00A824AF"/>
    <w:pPr>
      <w:tabs>
        <w:tab w:val="right" w:leader="dot" w:pos="9639"/>
      </w:tabs>
      <w:spacing w:before="120"/>
      <w:ind w:left="851" w:right="851" w:hanging="283"/>
      <w:jc w:val="both"/>
    </w:pPr>
    <w:rPr>
      <w:rFonts w:ascii="Arial" w:hAnsi="Arial"/>
      <w:noProof/>
      <w:sz w:val="18"/>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paragraph" w:styleId="ListParagraph">
    <w:name w:val="List Paragraph"/>
    <w:basedOn w:val="Normal"/>
    <w:uiPriority w:val="1"/>
    <w:qFormat/>
    <w:rsid w:val="008D5067"/>
    <w:pPr>
      <w:ind w:left="567"/>
      <w:jc w:val="left"/>
    </w:pPr>
    <w:rPr>
      <w:rFonts w:cs="Arial"/>
      <w:sz w:val="22"/>
    </w:rPr>
  </w:style>
  <w:style w:type="paragraph" w:customStyle="1" w:styleId="StylenumerotationpagedegardeLeft063cmHanging001cm">
    <w:name w:val="Style numerotation page de garde + Left:  0.63 cm Hanging:  0.01 cm"/>
    <w:basedOn w:val="Normal"/>
    <w:rsid w:val="008D5067"/>
    <w:pPr>
      <w:numPr>
        <w:numId w:val="1"/>
      </w:numPr>
      <w:tabs>
        <w:tab w:val="left" w:pos="851"/>
      </w:tabs>
      <w:contextualSpacing/>
    </w:pPr>
    <w:rPr>
      <w:snapToGrid w:val="0"/>
    </w:rPr>
  </w:style>
  <w:style w:type="paragraph" w:styleId="Salutation">
    <w:name w:val="Salutation"/>
    <w:basedOn w:val="Normal"/>
    <w:next w:val="Normal"/>
    <w:link w:val="SalutationChar"/>
    <w:rsid w:val="00A824AF"/>
    <w:pPr>
      <w:jc w:val="left"/>
    </w:pPr>
    <w:rPr>
      <w:rFonts w:cs="Arial"/>
      <w:sz w:val="22"/>
    </w:rPr>
  </w:style>
  <w:style w:type="character" w:customStyle="1" w:styleId="SalutationChar">
    <w:name w:val="Salutation Char"/>
    <w:basedOn w:val="DefaultParagraphFont"/>
    <w:link w:val="Salutation"/>
    <w:rsid w:val="00A824AF"/>
    <w:rPr>
      <w:rFonts w:ascii="Arial" w:hAnsi="Arial" w:cs="Arial"/>
      <w:sz w:val="22"/>
    </w:rPr>
  </w:style>
  <w:style w:type="paragraph" w:styleId="Caption">
    <w:name w:val="caption"/>
    <w:basedOn w:val="Normal"/>
    <w:next w:val="Normal"/>
    <w:qFormat/>
    <w:rsid w:val="00A824AF"/>
    <w:pPr>
      <w:jc w:val="left"/>
    </w:pPr>
    <w:rPr>
      <w:rFonts w:cs="Arial"/>
      <w:b/>
      <w:bCs/>
      <w:sz w:val="18"/>
    </w:rPr>
  </w:style>
  <w:style w:type="paragraph" w:styleId="CommentText">
    <w:name w:val="annotation text"/>
    <w:basedOn w:val="Normal"/>
    <w:link w:val="CommentTextChar"/>
    <w:rsid w:val="00A824AF"/>
    <w:pPr>
      <w:jc w:val="left"/>
    </w:pPr>
    <w:rPr>
      <w:rFonts w:cs="Arial"/>
      <w:sz w:val="18"/>
    </w:rPr>
  </w:style>
  <w:style w:type="character" w:customStyle="1" w:styleId="CommentTextChar">
    <w:name w:val="Comment Text Char"/>
    <w:basedOn w:val="DefaultParagraphFont"/>
    <w:link w:val="CommentText"/>
    <w:rsid w:val="00A824AF"/>
    <w:rPr>
      <w:rFonts w:ascii="Arial" w:hAnsi="Arial" w:cs="Arial"/>
      <w:sz w:val="18"/>
    </w:rPr>
  </w:style>
  <w:style w:type="paragraph" w:customStyle="1" w:styleId="ONUMFS">
    <w:name w:val="ONUM FS"/>
    <w:basedOn w:val="BodyText"/>
    <w:rsid w:val="00A824AF"/>
    <w:pPr>
      <w:numPr>
        <w:numId w:val="5"/>
      </w:numPr>
      <w:spacing w:after="220"/>
      <w:jc w:val="left"/>
    </w:pPr>
    <w:rPr>
      <w:rFonts w:cs="Arial"/>
      <w:sz w:val="22"/>
    </w:rPr>
  </w:style>
  <w:style w:type="paragraph" w:customStyle="1" w:styleId="ONUME">
    <w:name w:val="ONUM E"/>
    <w:basedOn w:val="BodyText"/>
    <w:rsid w:val="00A824AF"/>
    <w:pPr>
      <w:numPr>
        <w:numId w:val="4"/>
      </w:numPr>
      <w:spacing w:after="220"/>
      <w:jc w:val="left"/>
    </w:pPr>
    <w:rPr>
      <w:rFonts w:cs="Arial"/>
      <w:sz w:val="22"/>
    </w:rPr>
  </w:style>
  <w:style w:type="paragraph" w:styleId="ListNumber">
    <w:name w:val="List Number"/>
    <w:basedOn w:val="Normal"/>
    <w:rsid w:val="00A824AF"/>
    <w:pPr>
      <w:numPr>
        <w:numId w:val="7"/>
      </w:numPr>
      <w:jc w:val="left"/>
    </w:pPr>
    <w:rPr>
      <w:rFonts w:cs="Arial"/>
      <w:sz w:val="22"/>
    </w:rPr>
  </w:style>
  <w:style w:type="paragraph" w:customStyle="1" w:styleId="Style3">
    <w:name w:val="Style3"/>
    <w:basedOn w:val="Normal"/>
    <w:link w:val="Style3Char"/>
    <w:rsid w:val="00A824AF"/>
    <w:pPr>
      <w:spacing w:after="120"/>
    </w:pPr>
    <w:rPr>
      <w:sz w:val="22"/>
    </w:rPr>
  </w:style>
  <w:style w:type="character" w:customStyle="1" w:styleId="Style3Char">
    <w:name w:val="Style3 Char"/>
    <w:link w:val="Style3"/>
    <w:rsid w:val="00A824AF"/>
    <w:rPr>
      <w:rFonts w:ascii="Arial" w:hAnsi="Arial"/>
      <w:sz w:val="22"/>
    </w:rPr>
  </w:style>
  <w:style w:type="paragraph" w:customStyle="1" w:styleId="Style3Bold">
    <w:name w:val="Style3 + Bold"/>
    <w:basedOn w:val="Style3"/>
    <w:rsid w:val="00A824AF"/>
    <w:rPr>
      <w:b/>
      <w:bCs/>
    </w:rPr>
  </w:style>
  <w:style w:type="character" w:styleId="SubtleEmphasis">
    <w:name w:val="Subtle Emphasis"/>
    <w:qFormat/>
    <w:rsid w:val="00A824AF"/>
    <w:rPr>
      <w:i/>
    </w:rPr>
  </w:style>
  <w:style w:type="paragraph" w:customStyle="1" w:styleId="Marge">
    <w:name w:val="Marge"/>
    <w:basedOn w:val="Normal"/>
    <w:rsid w:val="00A824AF"/>
    <w:pPr>
      <w:tabs>
        <w:tab w:val="left" w:pos="567"/>
      </w:tabs>
      <w:snapToGrid w:val="0"/>
      <w:spacing w:after="240"/>
    </w:pPr>
    <w:rPr>
      <w:snapToGrid w:val="0"/>
      <w:sz w:val="22"/>
      <w:szCs w:val="24"/>
    </w:rPr>
  </w:style>
  <w:style w:type="paragraph" w:customStyle="1" w:styleId="Styletexte">
    <w:name w:val="Style texte"/>
    <w:basedOn w:val="Normal"/>
    <w:link w:val="StyletexteChar"/>
    <w:rsid w:val="00A824AF"/>
    <w:pPr>
      <w:spacing w:after="120"/>
    </w:pPr>
    <w:rPr>
      <w:sz w:val="22"/>
    </w:rPr>
  </w:style>
  <w:style w:type="character" w:customStyle="1" w:styleId="StyletexteChar">
    <w:name w:val="Style texte Char"/>
    <w:link w:val="Styletexte"/>
    <w:rsid w:val="00A824AF"/>
    <w:rPr>
      <w:rFonts w:ascii="Arial" w:hAnsi="Arial"/>
      <w:sz w:val="22"/>
    </w:rPr>
  </w:style>
  <w:style w:type="paragraph" w:customStyle="1" w:styleId="STYLEDUTEXTE">
    <w:name w:val="STYLE DU TEXTE"/>
    <w:basedOn w:val="Styletexte"/>
    <w:link w:val="STYLEDUTEXTEChar"/>
    <w:rsid w:val="00A824AF"/>
    <w:pPr>
      <w:spacing w:after="0"/>
    </w:pPr>
  </w:style>
  <w:style w:type="character" w:customStyle="1" w:styleId="STYLEDUTEXTEChar">
    <w:name w:val="STYLE DU TEXTE Char"/>
    <w:basedOn w:val="StyletexteChar"/>
    <w:link w:val="STYLEDUTEXTE"/>
    <w:rsid w:val="00A824AF"/>
    <w:rPr>
      <w:rFonts w:ascii="Arial" w:hAnsi="Arial"/>
      <w:sz w:val="22"/>
    </w:rPr>
  </w:style>
  <w:style w:type="paragraph" w:customStyle="1" w:styleId="Style1">
    <w:name w:val="Style1"/>
    <w:basedOn w:val="Normal"/>
    <w:link w:val="Style1Char"/>
    <w:rsid w:val="00A824AF"/>
    <w:pPr>
      <w:tabs>
        <w:tab w:val="left" w:pos="8640"/>
      </w:tabs>
      <w:jc w:val="left"/>
    </w:pPr>
    <w:rPr>
      <w:rFonts w:cs="Arial"/>
      <w:b/>
      <w:color w:val="333399"/>
      <w:sz w:val="52"/>
      <w:szCs w:val="52"/>
    </w:rPr>
  </w:style>
  <w:style w:type="character" w:customStyle="1" w:styleId="Style1Char">
    <w:name w:val="Style1 Char"/>
    <w:link w:val="Style1"/>
    <w:rsid w:val="00A824AF"/>
    <w:rPr>
      <w:rFonts w:ascii="Arial" w:hAnsi="Arial" w:cs="Arial"/>
      <w:b/>
      <w:color w:val="333399"/>
      <w:sz w:val="52"/>
      <w:szCs w:val="52"/>
    </w:rPr>
  </w:style>
  <w:style w:type="paragraph" w:customStyle="1" w:styleId="numerotationpagedegarde">
    <w:name w:val="numerotation page de garde"/>
    <w:basedOn w:val="ListParagraph"/>
    <w:qFormat/>
    <w:rsid w:val="00A824AF"/>
    <w:pPr>
      <w:tabs>
        <w:tab w:val="left" w:pos="851"/>
      </w:tabs>
      <w:ind w:left="0"/>
      <w:contextualSpacing/>
      <w:jc w:val="both"/>
    </w:pPr>
    <w:rPr>
      <w:rFonts w:cs="Times New Roman"/>
      <w:snapToGrid w:val="0"/>
      <w:sz w:val="20"/>
    </w:rPr>
  </w:style>
  <w:style w:type="character" w:styleId="BookTitle">
    <w:name w:val="Book Title"/>
    <w:basedOn w:val="DefaultParagraphFont"/>
    <w:uiPriority w:val="33"/>
    <w:qFormat/>
    <w:rsid w:val="00A824AF"/>
    <w:rPr>
      <w:b/>
      <w:bCs/>
      <w:smallCaps/>
      <w:spacing w:val="5"/>
    </w:rPr>
  </w:style>
  <w:style w:type="paragraph" w:customStyle="1" w:styleId="Default">
    <w:name w:val="Default"/>
    <w:rsid w:val="00A824AF"/>
    <w:pPr>
      <w:autoSpaceDE w:val="0"/>
      <w:autoSpaceDN w:val="0"/>
      <w:adjustRightInd w:val="0"/>
    </w:pPr>
    <w:rPr>
      <w:rFonts w:ascii="Arial" w:hAnsi="Arial" w:cs="Arial"/>
      <w:color w:val="000000"/>
      <w:sz w:val="24"/>
      <w:szCs w:val="24"/>
    </w:rPr>
  </w:style>
  <w:style w:type="paragraph" w:customStyle="1" w:styleId="Heading2Notes">
    <w:name w:val="Heading 2_Notes"/>
    <w:basedOn w:val="Heading2"/>
    <w:qFormat/>
    <w:rsid w:val="00B61C54"/>
    <w:rPr>
      <w:caps/>
    </w:rPr>
  </w:style>
  <w:style w:type="paragraph" w:styleId="TOCHeading">
    <w:name w:val="TOC Heading"/>
    <w:basedOn w:val="Heading1"/>
    <w:next w:val="Normal"/>
    <w:uiPriority w:val="39"/>
    <w:unhideWhenUsed/>
    <w:qFormat/>
    <w:rsid w:val="000357D6"/>
    <w:pPr>
      <w:keepLines/>
      <w:spacing w:before="240" w:line="259" w:lineRule="auto"/>
      <w:jc w:val="left"/>
      <w:outlineLvl w:val="9"/>
    </w:pPr>
    <w:rPr>
      <w:rFonts w:asciiTheme="majorHAnsi" w:eastAsiaTheme="majorEastAsia" w:hAnsiTheme="majorHAnsi" w:cstheme="majorBidi"/>
      <w:b w:val="0"/>
      <w:caps w:val="0"/>
      <w:color w:val="365F91" w:themeColor="accent1" w:themeShade="BF"/>
      <w:sz w:val="32"/>
      <w:szCs w:val="32"/>
    </w:rPr>
  </w:style>
  <w:style w:type="paragraph" w:styleId="NormalWeb">
    <w:name w:val="Normal (Web)"/>
    <w:basedOn w:val="Normal"/>
    <w:uiPriority w:val="99"/>
    <w:unhideWhenUsed/>
    <w:rsid w:val="004900FA"/>
    <w:pPr>
      <w:spacing w:before="100" w:beforeAutospacing="1" w:after="100" w:afterAutospacing="1"/>
      <w:jc w:val="left"/>
    </w:pPr>
    <w:rPr>
      <w:rFonts w:ascii="Times New Roman" w:hAnsi="Times New Roman"/>
      <w:sz w:val="24"/>
      <w:szCs w:val="24"/>
    </w:rPr>
  </w:style>
  <w:style w:type="character" w:styleId="CommentReference">
    <w:name w:val="annotation reference"/>
    <w:basedOn w:val="DefaultParagraphFont"/>
    <w:semiHidden/>
    <w:unhideWhenUsed/>
    <w:rsid w:val="0040575A"/>
    <w:rPr>
      <w:sz w:val="16"/>
      <w:szCs w:val="16"/>
    </w:rPr>
  </w:style>
  <w:style w:type="paragraph" w:styleId="CommentSubject">
    <w:name w:val="annotation subject"/>
    <w:basedOn w:val="CommentText"/>
    <w:next w:val="CommentText"/>
    <w:link w:val="CommentSubjectChar"/>
    <w:semiHidden/>
    <w:unhideWhenUsed/>
    <w:rsid w:val="0040575A"/>
    <w:pPr>
      <w:jc w:val="both"/>
    </w:pPr>
    <w:rPr>
      <w:rFonts w:cs="Times New Roman"/>
      <w:b/>
      <w:bCs/>
      <w:sz w:val="20"/>
    </w:rPr>
  </w:style>
  <w:style w:type="character" w:customStyle="1" w:styleId="CommentSubjectChar">
    <w:name w:val="Comment Subject Char"/>
    <w:basedOn w:val="CommentTextChar"/>
    <w:link w:val="CommentSubject"/>
    <w:semiHidden/>
    <w:rsid w:val="0040575A"/>
    <w:rPr>
      <w:rFonts w:ascii="Arial" w:hAnsi="Arial" w:cs="Arial"/>
      <w:b/>
      <w:bCs/>
      <w:sz w:val="18"/>
    </w:rPr>
  </w:style>
  <w:style w:type="character" w:styleId="Emphasis">
    <w:name w:val="Emphasis"/>
    <w:basedOn w:val="DefaultParagraphFont"/>
    <w:uiPriority w:val="20"/>
    <w:qFormat/>
    <w:rsid w:val="007C3CAE"/>
    <w:rPr>
      <w:i/>
      <w:iCs/>
    </w:rPr>
  </w:style>
  <w:style w:type="paragraph" w:styleId="Revision">
    <w:name w:val="Revision"/>
    <w:hidden/>
    <w:uiPriority w:val="99"/>
    <w:semiHidden/>
    <w:rsid w:val="00AB741C"/>
    <w:rPr>
      <w:rFonts w:ascii="Arial" w:hAnsi="Arial"/>
    </w:rPr>
  </w:style>
  <w:style w:type="character" w:customStyle="1" w:styleId="FootnoteTextChar">
    <w:name w:val="Footnote Text Char"/>
    <w:basedOn w:val="DefaultParagraphFont"/>
    <w:link w:val="FootnoteText"/>
    <w:uiPriority w:val="99"/>
    <w:rsid w:val="00557A44"/>
    <w:rPr>
      <w:rFonts w:ascii="Arial" w:hAnsi="Arial"/>
      <w:sz w:val="16"/>
    </w:rPr>
  </w:style>
  <w:style w:type="numbering" w:customStyle="1" w:styleId="CurrentList1">
    <w:name w:val="Current List1"/>
    <w:uiPriority w:val="99"/>
    <w:rsid w:val="004B1374"/>
  </w:style>
  <w:style w:type="numbering" w:customStyle="1" w:styleId="CurrentList2">
    <w:name w:val="Current List2"/>
    <w:uiPriority w:val="99"/>
    <w:rsid w:val="00CC7347"/>
    <w:pPr>
      <w:numPr>
        <w:numId w:val="64"/>
      </w:numPr>
    </w:pPr>
  </w:style>
  <w:style w:type="character" w:styleId="Strong">
    <w:name w:val="Strong"/>
    <w:basedOn w:val="DefaultParagraphFont"/>
    <w:uiPriority w:val="22"/>
    <w:qFormat/>
    <w:rsid w:val="00F063CA"/>
    <w:rPr>
      <w:b/>
      <w:bCs/>
    </w:rPr>
  </w:style>
  <w:style w:type="character" w:customStyle="1" w:styleId="ui-provider">
    <w:name w:val="ui-provider"/>
    <w:basedOn w:val="DefaultParagraphFont"/>
    <w:rsid w:val="005248DD"/>
  </w:style>
  <w:style w:type="character" w:styleId="UnresolvedMention">
    <w:name w:val="Unresolved Mention"/>
    <w:basedOn w:val="DefaultParagraphFont"/>
    <w:uiPriority w:val="99"/>
    <w:semiHidden/>
    <w:unhideWhenUsed/>
    <w:rsid w:val="00C51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0355">
      <w:bodyDiv w:val="1"/>
      <w:marLeft w:val="0"/>
      <w:marRight w:val="0"/>
      <w:marTop w:val="0"/>
      <w:marBottom w:val="0"/>
      <w:divBdr>
        <w:top w:val="none" w:sz="0" w:space="0" w:color="auto"/>
        <w:left w:val="none" w:sz="0" w:space="0" w:color="auto"/>
        <w:bottom w:val="none" w:sz="0" w:space="0" w:color="auto"/>
        <w:right w:val="none" w:sz="0" w:space="0" w:color="auto"/>
      </w:divBdr>
    </w:div>
    <w:div w:id="46758045">
      <w:bodyDiv w:val="1"/>
      <w:marLeft w:val="0"/>
      <w:marRight w:val="0"/>
      <w:marTop w:val="0"/>
      <w:marBottom w:val="0"/>
      <w:divBdr>
        <w:top w:val="none" w:sz="0" w:space="0" w:color="auto"/>
        <w:left w:val="none" w:sz="0" w:space="0" w:color="auto"/>
        <w:bottom w:val="none" w:sz="0" w:space="0" w:color="auto"/>
        <w:right w:val="none" w:sz="0" w:space="0" w:color="auto"/>
      </w:divBdr>
    </w:div>
    <w:div w:id="130483998">
      <w:bodyDiv w:val="1"/>
      <w:marLeft w:val="0"/>
      <w:marRight w:val="0"/>
      <w:marTop w:val="0"/>
      <w:marBottom w:val="0"/>
      <w:divBdr>
        <w:top w:val="none" w:sz="0" w:space="0" w:color="auto"/>
        <w:left w:val="none" w:sz="0" w:space="0" w:color="auto"/>
        <w:bottom w:val="none" w:sz="0" w:space="0" w:color="auto"/>
        <w:right w:val="none" w:sz="0" w:space="0" w:color="auto"/>
      </w:divBdr>
    </w:div>
    <w:div w:id="135341577">
      <w:bodyDiv w:val="1"/>
      <w:marLeft w:val="0"/>
      <w:marRight w:val="0"/>
      <w:marTop w:val="0"/>
      <w:marBottom w:val="0"/>
      <w:divBdr>
        <w:top w:val="none" w:sz="0" w:space="0" w:color="auto"/>
        <w:left w:val="none" w:sz="0" w:space="0" w:color="auto"/>
        <w:bottom w:val="none" w:sz="0" w:space="0" w:color="auto"/>
        <w:right w:val="none" w:sz="0" w:space="0" w:color="auto"/>
      </w:divBdr>
    </w:div>
    <w:div w:id="203324958">
      <w:bodyDiv w:val="1"/>
      <w:marLeft w:val="0"/>
      <w:marRight w:val="0"/>
      <w:marTop w:val="0"/>
      <w:marBottom w:val="0"/>
      <w:divBdr>
        <w:top w:val="none" w:sz="0" w:space="0" w:color="auto"/>
        <w:left w:val="none" w:sz="0" w:space="0" w:color="auto"/>
        <w:bottom w:val="none" w:sz="0" w:space="0" w:color="auto"/>
        <w:right w:val="none" w:sz="0" w:space="0" w:color="auto"/>
      </w:divBdr>
    </w:div>
    <w:div w:id="281964443">
      <w:bodyDiv w:val="1"/>
      <w:marLeft w:val="0"/>
      <w:marRight w:val="0"/>
      <w:marTop w:val="0"/>
      <w:marBottom w:val="0"/>
      <w:divBdr>
        <w:top w:val="none" w:sz="0" w:space="0" w:color="auto"/>
        <w:left w:val="none" w:sz="0" w:space="0" w:color="auto"/>
        <w:bottom w:val="none" w:sz="0" w:space="0" w:color="auto"/>
        <w:right w:val="none" w:sz="0" w:space="0" w:color="auto"/>
      </w:divBdr>
    </w:div>
    <w:div w:id="364259215">
      <w:bodyDiv w:val="1"/>
      <w:marLeft w:val="0"/>
      <w:marRight w:val="0"/>
      <w:marTop w:val="0"/>
      <w:marBottom w:val="0"/>
      <w:divBdr>
        <w:top w:val="none" w:sz="0" w:space="0" w:color="auto"/>
        <w:left w:val="none" w:sz="0" w:space="0" w:color="auto"/>
        <w:bottom w:val="none" w:sz="0" w:space="0" w:color="auto"/>
        <w:right w:val="none" w:sz="0" w:space="0" w:color="auto"/>
      </w:divBdr>
    </w:div>
    <w:div w:id="389310420">
      <w:bodyDiv w:val="1"/>
      <w:marLeft w:val="0"/>
      <w:marRight w:val="0"/>
      <w:marTop w:val="0"/>
      <w:marBottom w:val="0"/>
      <w:divBdr>
        <w:top w:val="none" w:sz="0" w:space="0" w:color="auto"/>
        <w:left w:val="none" w:sz="0" w:space="0" w:color="auto"/>
        <w:bottom w:val="none" w:sz="0" w:space="0" w:color="auto"/>
        <w:right w:val="none" w:sz="0" w:space="0" w:color="auto"/>
      </w:divBdr>
    </w:div>
    <w:div w:id="434399627">
      <w:bodyDiv w:val="1"/>
      <w:marLeft w:val="0"/>
      <w:marRight w:val="0"/>
      <w:marTop w:val="0"/>
      <w:marBottom w:val="0"/>
      <w:divBdr>
        <w:top w:val="none" w:sz="0" w:space="0" w:color="auto"/>
        <w:left w:val="none" w:sz="0" w:space="0" w:color="auto"/>
        <w:bottom w:val="none" w:sz="0" w:space="0" w:color="auto"/>
        <w:right w:val="none" w:sz="0" w:space="0" w:color="auto"/>
      </w:divBdr>
    </w:div>
    <w:div w:id="476453287">
      <w:bodyDiv w:val="1"/>
      <w:marLeft w:val="0"/>
      <w:marRight w:val="0"/>
      <w:marTop w:val="0"/>
      <w:marBottom w:val="0"/>
      <w:divBdr>
        <w:top w:val="none" w:sz="0" w:space="0" w:color="auto"/>
        <w:left w:val="none" w:sz="0" w:space="0" w:color="auto"/>
        <w:bottom w:val="none" w:sz="0" w:space="0" w:color="auto"/>
        <w:right w:val="none" w:sz="0" w:space="0" w:color="auto"/>
      </w:divBdr>
    </w:div>
    <w:div w:id="489564737">
      <w:bodyDiv w:val="1"/>
      <w:marLeft w:val="0"/>
      <w:marRight w:val="0"/>
      <w:marTop w:val="0"/>
      <w:marBottom w:val="0"/>
      <w:divBdr>
        <w:top w:val="none" w:sz="0" w:space="0" w:color="auto"/>
        <w:left w:val="none" w:sz="0" w:space="0" w:color="auto"/>
        <w:bottom w:val="none" w:sz="0" w:space="0" w:color="auto"/>
        <w:right w:val="none" w:sz="0" w:space="0" w:color="auto"/>
      </w:divBdr>
    </w:div>
    <w:div w:id="491214399">
      <w:bodyDiv w:val="1"/>
      <w:marLeft w:val="0"/>
      <w:marRight w:val="0"/>
      <w:marTop w:val="0"/>
      <w:marBottom w:val="0"/>
      <w:divBdr>
        <w:top w:val="none" w:sz="0" w:space="0" w:color="auto"/>
        <w:left w:val="none" w:sz="0" w:space="0" w:color="auto"/>
        <w:bottom w:val="none" w:sz="0" w:space="0" w:color="auto"/>
        <w:right w:val="none" w:sz="0" w:space="0" w:color="auto"/>
      </w:divBdr>
    </w:div>
    <w:div w:id="491717796">
      <w:bodyDiv w:val="1"/>
      <w:marLeft w:val="0"/>
      <w:marRight w:val="0"/>
      <w:marTop w:val="0"/>
      <w:marBottom w:val="0"/>
      <w:divBdr>
        <w:top w:val="none" w:sz="0" w:space="0" w:color="auto"/>
        <w:left w:val="none" w:sz="0" w:space="0" w:color="auto"/>
        <w:bottom w:val="none" w:sz="0" w:space="0" w:color="auto"/>
        <w:right w:val="none" w:sz="0" w:space="0" w:color="auto"/>
      </w:divBdr>
    </w:div>
    <w:div w:id="528417380">
      <w:bodyDiv w:val="1"/>
      <w:marLeft w:val="0"/>
      <w:marRight w:val="0"/>
      <w:marTop w:val="0"/>
      <w:marBottom w:val="0"/>
      <w:divBdr>
        <w:top w:val="none" w:sz="0" w:space="0" w:color="auto"/>
        <w:left w:val="none" w:sz="0" w:space="0" w:color="auto"/>
        <w:bottom w:val="none" w:sz="0" w:space="0" w:color="auto"/>
        <w:right w:val="none" w:sz="0" w:space="0" w:color="auto"/>
      </w:divBdr>
    </w:div>
    <w:div w:id="563104319">
      <w:bodyDiv w:val="1"/>
      <w:marLeft w:val="0"/>
      <w:marRight w:val="0"/>
      <w:marTop w:val="0"/>
      <w:marBottom w:val="0"/>
      <w:divBdr>
        <w:top w:val="none" w:sz="0" w:space="0" w:color="auto"/>
        <w:left w:val="none" w:sz="0" w:space="0" w:color="auto"/>
        <w:bottom w:val="none" w:sz="0" w:space="0" w:color="auto"/>
        <w:right w:val="none" w:sz="0" w:space="0" w:color="auto"/>
      </w:divBdr>
    </w:div>
    <w:div w:id="574363546">
      <w:bodyDiv w:val="1"/>
      <w:marLeft w:val="0"/>
      <w:marRight w:val="0"/>
      <w:marTop w:val="0"/>
      <w:marBottom w:val="0"/>
      <w:divBdr>
        <w:top w:val="none" w:sz="0" w:space="0" w:color="auto"/>
        <w:left w:val="none" w:sz="0" w:space="0" w:color="auto"/>
        <w:bottom w:val="none" w:sz="0" w:space="0" w:color="auto"/>
        <w:right w:val="none" w:sz="0" w:space="0" w:color="auto"/>
      </w:divBdr>
    </w:div>
    <w:div w:id="583301933">
      <w:bodyDiv w:val="1"/>
      <w:marLeft w:val="0"/>
      <w:marRight w:val="0"/>
      <w:marTop w:val="0"/>
      <w:marBottom w:val="0"/>
      <w:divBdr>
        <w:top w:val="none" w:sz="0" w:space="0" w:color="auto"/>
        <w:left w:val="none" w:sz="0" w:space="0" w:color="auto"/>
        <w:bottom w:val="none" w:sz="0" w:space="0" w:color="auto"/>
        <w:right w:val="none" w:sz="0" w:space="0" w:color="auto"/>
      </w:divBdr>
    </w:div>
    <w:div w:id="624119476">
      <w:bodyDiv w:val="1"/>
      <w:marLeft w:val="0"/>
      <w:marRight w:val="0"/>
      <w:marTop w:val="0"/>
      <w:marBottom w:val="0"/>
      <w:divBdr>
        <w:top w:val="none" w:sz="0" w:space="0" w:color="auto"/>
        <w:left w:val="none" w:sz="0" w:space="0" w:color="auto"/>
        <w:bottom w:val="none" w:sz="0" w:space="0" w:color="auto"/>
        <w:right w:val="none" w:sz="0" w:space="0" w:color="auto"/>
      </w:divBdr>
    </w:div>
    <w:div w:id="695926846">
      <w:bodyDiv w:val="1"/>
      <w:marLeft w:val="0"/>
      <w:marRight w:val="0"/>
      <w:marTop w:val="0"/>
      <w:marBottom w:val="0"/>
      <w:divBdr>
        <w:top w:val="none" w:sz="0" w:space="0" w:color="auto"/>
        <w:left w:val="none" w:sz="0" w:space="0" w:color="auto"/>
        <w:bottom w:val="none" w:sz="0" w:space="0" w:color="auto"/>
        <w:right w:val="none" w:sz="0" w:space="0" w:color="auto"/>
      </w:divBdr>
    </w:div>
    <w:div w:id="716318954">
      <w:bodyDiv w:val="1"/>
      <w:marLeft w:val="0"/>
      <w:marRight w:val="0"/>
      <w:marTop w:val="0"/>
      <w:marBottom w:val="0"/>
      <w:divBdr>
        <w:top w:val="none" w:sz="0" w:space="0" w:color="auto"/>
        <w:left w:val="none" w:sz="0" w:space="0" w:color="auto"/>
        <w:bottom w:val="none" w:sz="0" w:space="0" w:color="auto"/>
        <w:right w:val="none" w:sz="0" w:space="0" w:color="auto"/>
      </w:divBdr>
    </w:div>
    <w:div w:id="734401676">
      <w:bodyDiv w:val="1"/>
      <w:marLeft w:val="0"/>
      <w:marRight w:val="0"/>
      <w:marTop w:val="0"/>
      <w:marBottom w:val="0"/>
      <w:divBdr>
        <w:top w:val="none" w:sz="0" w:space="0" w:color="auto"/>
        <w:left w:val="none" w:sz="0" w:space="0" w:color="auto"/>
        <w:bottom w:val="none" w:sz="0" w:space="0" w:color="auto"/>
        <w:right w:val="none" w:sz="0" w:space="0" w:color="auto"/>
      </w:divBdr>
    </w:div>
    <w:div w:id="751006220">
      <w:bodyDiv w:val="1"/>
      <w:marLeft w:val="0"/>
      <w:marRight w:val="0"/>
      <w:marTop w:val="0"/>
      <w:marBottom w:val="0"/>
      <w:divBdr>
        <w:top w:val="none" w:sz="0" w:space="0" w:color="auto"/>
        <w:left w:val="none" w:sz="0" w:space="0" w:color="auto"/>
        <w:bottom w:val="none" w:sz="0" w:space="0" w:color="auto"/>
        <w:right w:val="none" w:sz="0" w:space="0" w:color="auto"/>
      </w:divBdr>
    </w:div>
    <w:div w:id="776632128">
      <w:bodyDiv w:val="1"/>
      <w:marLeft w:val="0"/>
      <w:marRight w:val="0"/>
      <w:marTop w:val="0"/>
      <w:marBottom w:val="0"/>
      <w:divBdr>
        <w:top w:val="none" w:sz="0" w:space="0" w:color="auto"/>
        <w:left w:val="none" w:sz="0" w:space="0" w:color="auto"/>
        <w:bottom w:val="none" w:sz="0" w:space="0" w:color="auto"/>
        <w:right w:val="none" w:sz="0" w:space="0" w:color="auto"/>
      </w:divBdr>
    </w:div>
    <w:div w:id="798500911">
      <w:bodyDiv w:val="1"/>
      <w:marLeft w:val="0"/>
      <w:marRight w:val="0"/>
      <w:marTop w:val="0"/>
      <w:marBottom w:val="0"/>
      <w:divBdr>
        <w:top w:val="none" w:sz="0" w:space="0" w:color="auto"/>
        <w:left w:val="none" w:sz="0" w:space="0" w:color="auto"/>
        <w:bottom w:val="none" w:sz="0" w:space="0" w:color="auto"/>
        <w:right w:val="none" w:sz="0" w:space="0" w:color="auto"/>
      </w:divBdr>
    </w:div>
    <w:div w:id="807669076">
      <w:bodyDiv w:val="1"/>
      <w:marLeft w:val="0"/>
      <w:marRight w:val="0"/>
      <w:marTop w:val="0"/>
      <w:marBottom w:val="0"/>
      <w:divBdr>
        <w:top w:val="none" w:sz="0" w:space="0" w:color="auto"/>
        <w:left w:val="none" w:sz="0" w:space="0" w:color="auto"/>
        <w:bottom w:val="none" w:sz="0" w:space="0" w:color="auto"/>
        <w:right w:val="none" w:sz="0" w:space="0" w:color="auto"/>
      </w:divBdr>
    </w:div>
    <w:div w:id="812792306">
      <w:bodyDiv w:val="1"/>
      <w:marLeft w:val="0"/>
      <w:marRight w:val="0"/>
      <w:marTop w:val="0"/>
      <w:marBottom w:val="0"/>
      <w:divBdr>
        <w:top w:val="none" w:sz="0" w:space="0" w:color="auto"/>
        <w:left w:val="none" w:sz="0" w:space="0" w:color="auto"/>
        <w:bottom w:val="none" w:sz="0" w:space="0" w:color="auto"/>
        <w:right w:val="none" w:sz="0" w:space="0" w:color="auto"/>
      </w:divBdr>
    </w:div>
    <w:div w:id="814495886">
      <w:bodyDiv w:val="1"/>
      <w:marLeft w:val="0"/>
      <w:marRight w:val="0"/>
      <w:marTop w:val="0"/>
      <w:marBottom w:val="0"/>
      <w:divBdr>
        <w:top w:val="none" w:sz="0" w:space="0" w:color="auto"/>
        <w:left w:val="none" w:sz="0" w:space="0" w:color="auto"/>
        <w:bottom w:val="none" w:sz="0" w:space="0" w:color="auto"/>
        <w:right w:val="none" w:sz="0" w:space="0" w:color="auto"/>
      </w:divBdr>
    </w:div>
    <w:div w:id="960652919">
      <w:bodyDiv w:val="1"/>
      <w:marLeft w:val="0"/>
      <w:marRight w:val="0"/>
      <w:marTop w:val="0"/>
      <w:marBottom w:val="0"/>
      <w:divBdr>
        <w:top w:val="none" w:sz="0" w:space="0" w:color="auto"/>
        <w:left w:val="none" w:sz="0" w:space="0" w:color="auto"/>
        <w:bottom w:val="none" w:sz="0" w:space="0" w:color="auto"/>
        <w:right w:val="none" w:sz="0" w:space="0" w:color="auto"/>
      </w:divBdr>
    </w:div>
    <w:div w:id="990595746">
      <w:bodyDiv w:val="1"/>
      <w:marLeft w:val="0"/>
      <w:marRight w:val="0"/>
      <w:marTop w:val="0"/>
      <w:marBottom w:val="0"/>
      <w:divBdr>
        <w:top w:val="none" w:sz="0" w:space="0" w:color="auto"/>
        <w:left w:val="none" w:sz="0" w:space="0" w:color="auto"/>
        <w:bottom w:val="none" w:sz="0" w:space="0" w:color="auto"/>
        <w:right w:val="none" w:sz="0" w:space="0" w:color="auto"/>
      </w:divBdr>
    </w:div>
    <w:div w:id="998004194">
      <w:bodyDiv w:val="1"/>
      <w:marLeft w:val="0"/>
      <w:marRight w:val="0"/>
      <w:marTop w:val="0"/>
      <w:marBottom w:val="0"/>
      <w:divBdr>
        <w:top w:val="none" w:sz="0" w:space="0" w:color="auto"/>
        <w:left w:val="none" w:sz="0" w:space="0" w:color="auto"/>
        <w:bottom w:val="none" w:sz="0" w:space="0" w:color="auto"/>
        <w:right w:val="none" w:sz="0" w:space="0" w:color="auto"/>
      </w:divBdr>
    </w:div>
    <w:div w:id="1057557618">
      <w:bodyDiv w:val="1"/>
      <w:marLeft w:val="0"/>
      <w:marRight w:val="0"/>
      <w:marTop w:val="0"/>
      <w:marBottom w:val="0"/>
      <w:divBdr>
        <w:top w:val="none" w:sz="0" w:space="0" w:color="auto"/>
        <w:left w:val="none" w:sz="0" w:space="0" w:color="auto"/>
        <w:bottom w:val="none" w:sz="0" w:space="0" w:color="auto"/>
        <w:right w:val="none" w:sz="0" w:space="0" w:color="auto"/>
      </w:divBdr>
    </w:div>
    <w:div w:id="1150560989">
      <w:bodyDiv w:val="1"/>
      <w:marLeft w:val="0"/>
      <w:marRight w:val="0"/>
      <w:marTop w:val="0"/>
      <w:marBottom w:val="0"/>
      <w:divBdr>
        <w:top w:val="none" w:sz="0" w:space="0" w:color="auto"/>
        <w:left w:val="none" w:sz="0" w:space="0" w:color="auto"/>
        <w:bottom w:val="none" w:sz="0" w:space="0" w:color="auto"/>
        <w:right w:val="none" w:sz="0" w:space="0" w:color="auto"/>
      </w:divBdr>
    </w:div>
    <w:div w:id="1184629124">
      <w:bodyDiv w:val="1"/>
      <w:marLeft w:val="0"/>
      <w:marRight w:val="0"/>
      <w:marTop w:val="0"/>
      <w:marBottom w:val="0"/>
      <w:divBdr>
        <w:top w:val="none" w:sz="0" w:space="0" w:color="auto"/>
        <w:left w:val="none" w:sz="0" w:space="0" w:color="auto"/>
        <w:bottom w:val="none" w:sz="0" w:space="0" w:color="auto"/>
        <w:right w:val="none" w:sz="0" w:space="0" w:color="auto"/>
      </w:divBdr>
    </w:div>
    <w:div w:id="1188906853">
      <w:bodyDiv w:val="1"/>
      <w:marLeft w:val="0"/>
      <w:marRight w:val="0"/>
      <w:marTop w:val="0"/>
      <w:marBottom w:val="0"/>
      <w:divBdr>
        <w:top w:val="none" w:sz="0" w:space="0" w:color="auto"/>
        <w:left w:val="none" w:sz="0" w:space="0" w:color="auto"/>
        <w:bottom w:val="none" w:sz="0" w:space="0" w:color="auto"/>
        <w:right w:val="none" w:sz="0" w:space="0" w:color="auto"/>
      </w:divBdr>
    </w:div>
    <w:div w:id="1252079141">
      <w:bodyDiv w:val="1"/>
      <w:marLeft w:val="0"/>
      <w:marRight w:val="0"/>
      <w:marTop w:val="0"/>
      <w:marBottom w:val="0"/>
      <w:divBdr>
        <w:top w:val="none" w:sz="0" w:space="0" w:color="auto"/>
        <w:left w:val="none" w:sz="0" w:space="0" w:color="auto"/>
        <w:bottom w:val="none" w:sz="0" w:space="0" w:color="auto"/>
        <w:right w:val="none" w:sz="0" w:space="0" w:color="auto"/>
      </w:divBdr>
    </w:div>
    <w:div w:id="1293094335">
      <w:bodyDiv w:val="1"/>
      <w:marLeft w:val="0"/>
      <w:marRight w:val="0"/>
      <w:marTop w:val="0"/>
      <w:marBottom w:val="0"/>
      <w:divBdr>
        <w:top w:val="none" w:sz="0" w:space="0" w:color="auto"/>
        <w:left w:val="none" w:sz="0" w:space="0" w:color="auto"/>
        <w:bottom w:val="none" w:sz="0" w:space="0" w:color="auto"/>
        <w:right w:val="none" w:sz="0" w:space="0" w:color="auto"/>
      </w:divBdr>
    </w:div>
    <w:div w:id="1296369360">
      <w:bodyDiv w:val="1"/>
      <w:marLeft w:val="0"/>
      <w:marRight w:val="0"/>
      <w:marTop w:val="0"/>
      <w:marBottom w:val="0"/>
      <w:divBdr>
        <w:top w:val="none" w:sz="0" w:space="0" w:color="auto"/>
        <w:left w:val="none" w:sz="0" w:space="0" w:color="auto"/>
        <w:bottom w:val="none" w:sz="0" w:space="0" w:color="auto"/>
        <w:right w:val="none" w:sz="0" w:space="0" w:color="auto"/>
      </w:divBdr>
    </w:div>
    <w:div w:id="1351833388">
      <w:bodyDiv w:val="1"/>
      <w:marLeft w:val="0"/>
      <w:marRight w:val="0"/>
      <w:marTop w:val="0"/>
      <w:marBottom w:val="0"/>
      <w:divBdr>
        <w:top w:val="none" w:sz="0" w:space="0" w:color="auto"/>
        <w:left w:val="none" w:sz="0" w:space="0" w:color="auto"/>
        <w:bottom w:val="none" w:sz="0" w:space="0" w:color="auto"/>
        <w:right w:val="none" w:sz="0" w:space="0" w:color="auto"/>
      </w:divBdr>
    </w:div>
    <w:div w:id="1356537970">
      <w:bodyDiv w:val="1"/>
      <w:marLeft w:val="0"/>
      <w:marRight w:val="0"/>
      <w:marTop w:val="0"/>
      <w:marBottom w:val="0"/>
      <w:divBdr>
        <w:top w:val="none" w:sz="0" w:space="0" w:color="auto"/>
        <w:left w:val="none" w:sz="0" w:space="0" w:color="auto"/>
        <w:bottom w:val="none" w:sz="0" w:space="0" w:color="auto"/>
        <w:right w:val="none" w:sz="0" w:space="0" w:color="auto"/>
      </w:divBdr>
    </w:div>
    <w:div w:id="1460610710">
      <w:bodyDiv w:val="1"/>
      <w:marLeft w:val="0"/>
      <w:marRight w:val="0"/>
      <w:marTop w:val="0"/>
      <w:marBottom w:val="0"/>
      <w:divBdr>
        <w:top w:val="none" w:sz="0" w:space="0" w:color="auto"/>
        <w:left w:val="none" w:sz="0" w:space="0" w:color="auto"/>
        <w:bottom w:val="none" w:sz="0" w:space="0" w:color="auto"/>
        <w:right w:val="none" w:sz="0" w:space="0" w:color="auto"/>
      </w:divBdr>
    </w:div>
    <w:div w:id="1540509428">
      <w:bodyDiv w:val="1"/>
      <w:marLeft w:val="0"/>
      <w:marRight w:val="0"/>
      <w:marTop w:val="0"/>
      <w:marBottom w:val="0"/>
      <w:divBdr>
        <w:top w:val="none" w:sz="0" w:space="0" w:color="auto"/>
        <w:left w:val="none" w:sz="0" w:space="0" w:color="auto"/>
        <w:bottom w:val="none" w:sz="0" w:space="0" w:color="auto"/>
        <w:right w:val="none" w:sz="0" w:space="0" w:color="auto"/>
      </w:divBdr>
    </w:div>
    <w:div w:id="1564094863">
      <w:bodyDiv w:val="1"/>
      <w:marLeft w:val="0"/>
      <w:marRight w:val="0"/>
      <w:marTop w:val="0"/>
      <w:marBottom w:val="0"/>
      <w:divBdr>
        <w:top w:val="none" w:sz="0" w:space="0" w:color="auto"/>
        <w:left w:val="none" w:sz="0" w:space="0" w:color="auto"/>
        <w:bottom w:val="none" w:sz="0" w:space="0" w:color="auto"/>
        <w:right w:val="none" w:sz="0" w:space="0" w:color="auto"/>
      </w:divBdr>
    </w:div>
    <w:div w:id="1677732207">
      <w:bodyDiv w:val="1"/>
      <w:marLeft w:val="0"/>
      <w:marRight w:val="0"/>
      <w:marTop w:val="0"/>
      <w:marBottom w:val="0"/>
      <w:divBdr>
        <w:top w:val="none" w:sz="0" w:space="0" w:color="auto"/>
        <w:left w:val="none" w:sz="0" w:space="0" w:color="auto"/>
        <w:bottom w:val="none" w:sz="0" w:space="0" w:color="auto"/>
        <w:right w:val="none" w:sz="0" w:space="0" w:color="auto"/>
      </w:divBdr>
    </w:div>
    <w:div w:id="1682778694">
      <w:bodyDiv w:val="1"/>
      <w:marLeft w:val="0"/>
      <w:marRight w:val="0"/>
      <w:marTop w:val="0"/>
      <w:marBottom w:val="0"/>
      <w:divBdr>
        <w:top w:val="none" w:sz="0" w:space="0" w:color="auto"/>
        <w:left w:val="none" w:sz="0" w:space="0" w:color="auto"/>
        <w:bottom w:val="none" w:sz="0" w:space="0" w:color="auto"/>
        <w:right w:val="none" w:sz="0" w:space="0" w:color="auto"/>
      </w:divBdr>
    </w:div>
    <w:div w:id="1717772682">
      <w:bodyDiv w:val="1"/>
      <w:marLeft w:val="0"/>
      <w:marRight w:val="0"/>
      <w:marTop w:val="0"/>
      <w:marBottom w:val="0"/>
      <w:divBdr>
        <w:top w:val="none" w:sz="0" w:space="0" w:color="auto"/>
        <w:left w:val="none" w:sz="0" w:space="0" w:color="auto"/>
        <w:bottom w:val="none" w:sz="0" w:space="0" w:color="auto"/>
        <w:right w:val="none" w:sz="0" w:space="0" w:color="auto"/>
      </w:divBdr>
    </w:div>
    <w:div w:id="1760053274">
      <w:bodyDiv w:val="1"/>
      <w:marLeft w:val="0"/>
      <w:marRight w:val="0"/>
      <w:marTop w:val="0"/>
      <w:marBottom w:val="0"/>
      <w:divBdr>
        <w:top w:val="none" w:sz="0" w:space="0" w:color="auto"/>
        <w:left w:val="none" w:sz="0" w:space="0" w:color="auto"/>
        <w:bottom w:val="none" w:sz="0" w:space="0" w:color="auto"/>
        <w:right w:val="none" w:sz="0" w:space="0" w:color="auto"/>
      </w:divBdr>
    </w:div>
    <w:div w:id="1791438993">
      <w:bodyDiv w:val="1"/>
      <w:marLeft w:val="0"/>
      <w:marRight w:val="0"/>
      <w:marTop w:val="0"/>
      <w:marBottom w:val="0"/>
      <w:divBdr>
        <w:top w:val="none" w:sz="0" w:space="0" w:color="auto"/>
        <w:left w:val="none" w:sz="0" w:space="0" w:color="auto"/>
        <w:bottom w:val="none" w:sz="0" w:space="0" w:color="auto"/>
        <w:right w:val="none" w:sz="0" w:space="0" w:color="auto"/>
      </w:divBdr>
    </w:div>
    <w:div w:id="1891573227">
      <w:bodyDiv w:val="1"/>
      <w:marLeft w:val="0"/>
      <w:marRight w:val="0"/>
      <w:marTop w:val="0"/>
      <w:marBottom w:val="0"/>
      <w:divBdr>
        <w:top w:val="none" w:sz="0" w:space="0" w:color="auto"/>
        <w:left w:val="none" w:sz="0" w:space="0" w:color="auto"/>
        <w:bottom w:val="none" w:sz="0" w:space="0" w:color="auto"/>
        <w:right w:val="none" w:sz="0" w:space="0" w:color="auto"/>
      </w:divBdr>
    </w:div>
    <w:div w:id="1898124249">
      <w:bodyDiv w:val="1"/>
      <w:marLeft w:val="0"/>
      <w:marRight w:val="0"/>
      <w:marTop w:val="0"/>
      <w:marBottom w:val="0"/>
      <w:divBdr>
        <w:top w:val="none" w:sz="0" w:space="0" w:color="auto"/>
        <w:left w:val="none" w:sz="0" w:space="0" w:color="auto"/>
        <w:bottom w:val="none" w:sz="0" w:space="0" w:color="auto"/>
        <w:right w:val="none" w:sz="0" w:space="0" w:color="auto"/>
      </w:divBdr>
    </w:div>
    <w:div w:id="2052680454">
      <w:bodyDiv w:val="1"/>
      <w:marLeft w:val="0"/>
      <w:marRight w:val="0"/>
      <w:marTop w:val="0"/>
      <w:marBottom w:val="0"/>
      <w:divBdr>
        <w:top w:val="none" w:sz="0" w:space="0" w:color="auto"/>
        <w:left w:val="none" w:sz="0" w:space="0" w:color="auto"/>
        <w:bottom w:val="none" w:sz="0" w:space="0" w:color="auto"/>
        <w:right w:val="none" w:sz="0" w:space="0" w:color="auto"/>
      </w:divBdr>
    </w:div>
    <w:div w:id="2076975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footer" Target="footer1.xml"/><Relationship Id="rId55" Type="http://schemas.openxmlformats.org/officeDocument/2006/relationships/header" Target="header7.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image" Target="media/image15.emf"/><Relationship Id="rId11" Type="http://schemas.openxmlformats.org/officeDocument/2006/relationships/footnotes" Target="footnotes.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footer" Target="footer3.xml"/><Relationship Id="rId5" Type="http://schemas.openxmlformats.org/officeDocument/2006/relationships/customXml" Target="../customXml/item5.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header" Target="header3.xml"/><Relationship Id="rId56"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header" Target="header4.xml"/><Relationship Id="rId57" Type="http://schemas.openxmlformats.org/officeDocument/2006/relationships/theme" Target="theme/theme1.xml"/><Relationship Id="rId10" Type="http://schemas.openxmlformats.org/officeDocument/2006/relationships/webSettings" Target="webSettings.xm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www.theiia.org/globalassets/site/about-us/advocacy/three-lines-model-upda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f7a99264-aac8-44dd-b14f-8017e78a225a" ContentTypeId="0x01010055C8466DB2DC0041BD825C52736E99FC"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false</Excluded>
  </documentManagement>
</p:properties>
</file>

<file path=customXml/itemProps1.xml><?xml version="1.0" encoding="utf-8"?>
<ds:datastoreItem xmlns:ds="http://schemas.openxmlformats.org/officeDocument/2006/customXml" ds:itemID="{71D5D43E-4878-4547-8E91-2255B141A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6FD82E-42F3-434A-BAE3-3BE83F3E11DC}">
  <ds:schemaRefs>
    <ds:schemaRef ds:uri="http://schemas.openxmlformats.org/officeDocument/2006/bibliography"/>
  </ds:schemaRefs>
</ds:datastoreItem>
</file>

<file path=customXml/itemProps3.xml><?xml version="1.0" encoding="utf-8"?>
<ds:datastoreItem xmlns:ds="http://schemas.openxmlformats.org/officeDocument/2006/customXml" ds:itemID="{F5371753-F11F-4DD2-A292-3B157BE52643}">
  <ds:schemaRefs>
    <ds:schemaRef ds:uri="Microsoft.SharePoint.Taxonomy.ContentTypeSync"/>
  </ds:schemaRefs>
</ds:datastoreItem>
</file>

<file path=customXml/itemProps4.xml><?xml version="1.0" encoding="utf-8"?>
<ds:datastoreItem xmlns:ds="http://schemas.openxmlformats.org/officeDocument/2006/customXml" ds:itemID="{7A839075-4BC7-4605-ABED-5F31BEC0533E}">
  <ds:schemaRefs>
    <ds:schemaRef ds:uri="http://schemas.microsoft.com/sharepoint/v3/contenttype/forms"/>
  </ds:schemaRefs>
</ds:datastoreItem>
</file>

<file path=customXml/itemProps5.xml><?xml version="1.0" encoding="utf-8"?>
<ds:datastoreItem xmlns:ds="http://schemas.openxmlformats.org/officeDocument/2006/customXml" ds:itemID="{8623EA1C-0D7B-401E-AD55-4EF2AEFA878C}">
  <ds:schemaRefs>
    <ds:schemaRef ds:uri="http://schemas.microsoft.com/sharepoint/events"/>
  </ds:schemaRefs>
</ds:datastoreItem>
</file>

<file path=customXml/itemProps6.xml><?xml version="1.0" encoding="utf-8"?>
<ds:datastoreItem xmlns:ds="http://schemas.openxmlformats.org/officeDocument/2006/customXml" ds:itemID="{7F26BE1F-71CB-4D79-B8C9-5973EBDA1DDF}">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36</Pages>
  <Words>10031</Words>
  <Characters>70222</Characters>
  <Application>Microsoft Office Word</Application>
  <DocSecurity>0</DocSecurity>
  <Lines>1433</Lines>
  <Paragraphs>371</Paragraphs>
  <ScaleCrop>false</ScaleCrop>
  <HeadingPairs>
    <vt:vector size="2" baseType="variant">
      <vt:variant>
        <vt:lpstr>Title</vt:lpstr>
      </vt:variant>
      <vt:variant>
        <vt:i4>1</vt:i4>
      </vt:variant>
    </vt:vector>
  </HeadingPairs>
  <TitlesOfParts>
    <vt:vector size="1" baseType="lpstr">
      <vt:lpstr>C/51</vt:lpstr>
    </vt:vector>
  </TitlesOfParts>
  <Company>UPOV</Company>
  <LinksUpToDate>false</LinksUpToDate>
  <CharactersWithSpaces>79882</CharactersWithSpaces>
  <SharedDoc>false</SharedDoc>
  <HLinks>
    <vt:vector size="180" baseType="variant">
      <vt:variant>
        <vt:i4>1507377</vt:i4>
      </vt:variant>
      <vt:variant>
        <vt:i4>182</vt:i4>
      </vt:variant>
      <vt:variant>
        <vt:i4>0</vt:i4>
      </vt:variant>
      <vt:variant>
        <vt:i4>5</vt:i4>
      </vt:variant>
      <vt:variant>
        <vt:lpwstr/>
      </vt:variant>
      <vt:variant>
        <vt:lpwstr>_Toc227327663</vt:lpwstr>
      </vt:variant>
      <vt:variant>
        <vt:i4>1507377</vt:i4>
      </vt:variant>
      <vt:variant>
        <vt:i4>176</vt:i4>
      </vt:variant>
      <vt:variant>
        <vt:i4>0</vt:i4>
      </vt:variant>
      <vt:variant>
        <vt:i4>5</vt:i4>
      </vt:variant>
      <vt:variant>
        <vt:lpwstr/>
      </vt:variant>
      <vt:variant>
        <vt:lpwstr>_Toc227327662</vt:lpwstr>
      </vt:variant>
      <vt:variant>
        <vt:i4>1507377</vt:i4>
      </vt:variant>
      <vt:variant>
        <vt:i4>170</vt:i4>
      </vt:variant>
      <vt:variant>
        <vt:i4>0</vt:i4>
      </vt:variant>
      <vt:variant>
        <vt:i4>5</vt:i4>
      </vt:variant>
      <vt:variant>
        <vt:lpwstr/>
      </vt:variant>
      <vt:variant>
        <vt:lpwstr>_Toc227327661</vt:lpwstr>
      </vt:variant>
      <vt:variant>
        <vt:i4>1507377</vt:i4>
      </vt:variant>
      <vt:variant>
        <vt:i4>164</vt:i4>
      </vt:variant>
      <vt:variant>
        <vt:i4>0</vt:i4>
      </vt:variant>
      <vt:variant>
        <vt:i4>5</vt:i4>
      </vt:variant>
      <vt:variant>
        <vt:lpwstr/>
      </vt:variant>
      <vt:variant>
        <vt:lpwstr>_Toc227327660</vt:lpwstr>
      </vt:variant>
      <vt:variant>
        <vt:i4>1310769</vt:i4>
      </vt:variant>
      <vt:variant>
        <vt:i4>158</vt:i4>
      </vt:variant>
      <vt:variant>
        <vt:i4>0</vt:i4>
      </vt:variant>
      <vt:variant>
        <vt:i4>5</vt:i4>
      </vt:variant>
      <vt:variant>
        <vt:lpwstr/>
      </vt:variant>
      <vt:variant>
        <vt:lpwstr>_Toc227327659</vt:lpwstr>
      </vt:variant>
      <vt:variant>
        <vt:i4>1310769</vt:i4>
      </vt:variant>
      <vt:variant>
        <vt:i4>152</vt:i4>
      </vt:variant>
      <vt:variant>
        <vt:i4>0</vt:i4>
      </vt:variant>
      <vt:variant>
        <vt:i4>5</vt:i4>
      </vt:variant>
      <vt:variant>
        <vt:lpwstr/>
      </vt:variant>
      <vt:variant>
        <vt:lpwstr>_Toc227327658</vt:lpwstr>
      </vt:variant>
      <vt:variant>
        <vt:i4>1310769</vt:i4>
      </vt:variant>
      <vt:variant>
        <vt:i4>146</vt:i4>
      </vt:variant>
      <vt:variant>
        <vt:i4>0</vt:i4>
      </vt:variant>
      <vt:variant>
        <vt:i4>5</vt:i4>
      </vt:variant>
      <vt:variant>
        <vt:lpwstr/>
      </vt:variant>
      <vt:variant>
        <vt:lpwstr>_Toc227327657</vt:lpwstr>
      </vt:variant>
      <vt:variant>
        <vt:i4>1310769</vt:i4>
      </vt:variant>
      <vt:variant>
        <vt:i4>140</vt:i4>
      </vt:variant>
      <vt:variant>
        <vt:i4>0</vt:i4>
      </vt:variant>
      <vt:variant>
        <vt:i4>5</vt:i4>
      </vt:variant>
      <vt:variant>
        <vt:lpwstr/>
      </vt:variant>
      <vt:variant>
        <vt:lpwstr>_Toc227327656</vt:lpwstr>
      </vt:variant>
      <vt:variant>
        <vt:i4>1310769</vt:i4>
      </vt:variant>
      <vt:variant>
        <vt:i4>134</vt:i4>
      </vt:variant>
      <vt:variant>
        <vt:i4>0</vt:i4>
      </vt:variant>
      <vt:variant>
        <vt:i4>5</vt:i4>
      </vt:variant>
      <vt:variant>
        <vt:lpwstr/>
      </vt:variant>
      <vt:variant>
        <vt:lpwstr>_Toc227327655</vt:lpwstr>
      </vt:variant>
      <vt:variant>
        <vt:i4>1310769</vt:i4>
      </vt:variant>
      <vt:variant>
        <vt:i4>128</vt:i4>
      </vt:variant>
      <vt:variant>
        <vt:i4>0</vt:i4>
      </vt:variant>
      <vt:variant>
        <vt:i4>5</vt:i4>
      </vt:variant>
      <vt:variant>
        <vt:lpwstr/>
      </vt:variant>
      <vt:variant>
        <vt:lpwstr>_Toc227327654</vt:lpwstr>
      </vt:variant>
      <vt:variant>
        <vt:i4>1310769</vt:i4>
      </vt:variant>
      <vt:variant>
        <vt:i4>122</vt:i4>
      </vt:variant>
      <vt:variant>
        <vt:i4>0</vt:i4>
      </vt:variant>
      <vt:variant>
        <vt:i4>5</vt:i4>
      </vt:variant>
      <vt:variant>
        <vt:lpwstr/>
      </vt:variant>
      <vt:variant>
        <vt:lpwstr>_Toc227327653</vt:lpwstr>
      </vt:variant>
      <vt:variant>
        <vt:i4>1310769</vt:i4>
      </vt:variant>
      <vt:variant>
        <vt:i4>116</vt:i4>
      </vt:variant>
      <vt:variant>
        <vt:i4>0</vt:i4>
      </vt:variant>
      <vt:variant>
        <vt:i4>5</vt:i4>
      </vt:variant>
      <vt:variant>
        <vt:lpwstr/>
      </vt:variant>
      <vt:variant>
        <vt:lpwstr>_Toc227327652</vt:lpwstr>
      </vt:variant>
      <vt:variant>
        <vt:i4>1310769</vt:i4>
      </vt:variant>
      <vt:variant>
        <vt:i4>110</vt:i4>
      </vt:variant>
      <vt:variant>
        <vt:i4>0</vt:i4>
      </vt:variant>
      <vt:variant>
        <vt:i4>5</vt:i4>
      </vt:variant>
      <vt:variant>
        <vt:lpwstr/>
      </vt:variant>
      <vt:variant>
        <vt:lpwstr>_Toc227327651</vt:lpwstr>
      </vt:variant>
      <vt:variant>
        <vt:i4>1310769</vt:i4>
      </vt:variant>
      <vt:variant>
        <vt:i4>104</vt:i4>
      </vt:variant>
      <vt:variant>
        <vt:i4>0</vt:i4>
      </vt:variant>
      <vt:variant>
        <vt:i4>5</vt:i4>
      </vt:variant>
      <vt:variant>
        <vt:lpwstr/>
      </vt:variant>
      <vt:variant>
        <vt:lpwstr>_Toc227327650</vt:lpwstr>
      </vt:variant>
      <vt:variant>
        <vt:i4>1376305</vt:i4>
      </vt:variant>
      <vt:variant>
        <vt:i4>98</vt:i4>
      </vt:variant>
      <vt:variant>
        <vt:i4>0</vt:i4>
      </vt:variant>
      <vt:variant>
        <vt:i4>5</vt:i4>
      </vt:variant>
      <vt:variant>
        <vt:lpwstr/>
      </vt:variant>
      <vt:variant>
        <vt:lpwstr>_Toc227327649</vt:lpwstr>
      </vt:variant>
      <vt:variant>
        <vt:i4>1376305</vt:i4>
      </vt:variant>
      <vt:variant>
        <vt:i4>92</vt:i4>
      </vt:variant>
      <vt:variant>
        <vt:i4>0</vt:i4>
      </vt:variant>
      <vt:variant>
        <vt:i4>5</vt:i4>
      </vt:variant>
      <vt:variant>
        <vt:lpwstr/>
      </vt:variant>
      <vt:variant>
        <vt:lpwstr>_Toc227327648</vt:lpwstr>
      </vt:variant>
      <vt:variant>
        <vt:i4>1376305</vt:i4>
      </vt:variant>
      <vt:variant>
        <vt:i4>86</vt:i4>
      </vt:variant>
      <vt:variant>
        <vt:i4>0</vt:i4>
      </vt:variant>
      <vt:variant>
        <vt:i4>5</vt:i4>
      </vt:variant>
      <vt:variant>
        <vt:lpwstr/>
      </vt:variant>
      <vt:variant>
        <vt:lpwstr>_Toc227327647</vt:lpwstr>
      </vt:variant>
      <vt:variant>
        <vt:i4>1376305</vt:i4>
      </vt:variant>
      <vt:variant>
        <vt:i4>80</vt:i4>
      </vt:variant>
      <vt:variant>
        <vt:i4>0</vt:i4>
      </vt:variant>
      <vt:variant>
        <vt:i4>5</vt:i4>
      </vt:variant>
      <vt:variant>
        <vt:lpwstr/>
      </vt:variant>
      <vt:variant>
        <vt:lpwstr>_Toc227327646</vt:lpwstr>
      </vt:variant>
      <vt:variant>
        <vt:i4>1376305</vt:i4>
      </vt:variant>
      <vt:variant>
        <vt:i4>74</vt:i4>
      </vt:variant>
      <vt:variant>
        <vt:i4>0</vt:i4>
      </vt:variant>
      <vt:variant>
        <vt:i4>5</vt:i4>
      </vt:variant>
      <vt:variant>
        <vt:lpwstr/>
      </vt:variant>
      <vt:variant>
        <vt:lpwstr>_Toc227327645</vt:lpwstr>
      </vt:variant>
      <vt:variant>
        <vt:i4>1376305</vt:i4>
      </vt:variant>
      <vt:variant>
        <vt:i4>68</vt:i4>
      </vt:variant>
      <vt:variant>
        <vt:i4>0</vt:i4>
      </vt:variant>
      <vt:variant>
        <vt:i4>5</vt:i4>
      </vt:variant>
      <vt:variant>
        <vt:lpwstr/>
      </vt:variant>
      <vt:variant>
        <vt:lpwstr>_Toc227327644</vt:lpwstr>
      </vt:variant>
      <vt:variant>
        <vt:i4>1376305</vt:i4>
      </vt:variant>
      <vt:variant>
        <vt:i4>62</vt:i4>
      </vt:variant>
      <vt:variant>
        <vt:i4>0</vt:i4>
      </vt:variant>
      <vt:variant>
        <vt:i4>5</vt:i4>
      </vt:variant>
      <vt:variant>
        <vt:lpwstr/>
      </vt:variant>
      <vt:variant>
        <vt:lpwstr>_Toc227327643</vt:lpwstr>
      </vt:variant>
      <vt:variant>
        <vt:i4>1376305</vt:i4>
      </vt:variant>
      <vt:variant>
        <vt:i4>56</vt:i4>
      </vt:variant>
      <vt:variant>
        <vt:i4>0</vt:i4>
      </vt:variant>
      <vt:variant>
        <vt:i4>5</vt:i4>
      </vt:variant>
      <vt:variant>
        <vt:lpwstr/>
      </vt:variant>
      <vt:variant>
        <vt:lpwstr>_Toc227327642</vt:lpwstr>
      </vt:variant>
      <vt:variant>
        <vt:i4>1376305</vt:i4>
      </vt:variant>
      <vt:variant>
        <vt:i4>50</vt:i4>
      </vt:variant>
      <vt:variant>
        <vt:i4>0</vt:i4>
      </vt:variant>
      <vt:variant>
        <vt:i4>5</vt:i4>
      </vt:variant>
      <vt:variant>
        <vt:lpwstr/>
      </vt:variant>
      <vt:variant>
        <vt:lpwstr>_Toc227327641</vt:lpwstr>
      </vt:variant>
      <vt:variant>
        <vt:i4>1376305</vt:i4>
      </vt:variant>
      <vt:variant>
        <vt:i4>44</vt:i4>
      </vt:variant>
      <vt:variant>
        <vt:i4>0</vt:i4>
      </vt:variant>
      <vt:variant>
        <vt:i4>5</vt:i4>
      </vt:variant>
      <vt:variant>
        <vt:lpwstr/>
      </vt:variant>
      <vt:variant>
        <vt:lpwstr>_Toc227327640</vt:lpwstr>
      </vt:variant>
      <vt:variant>
        <vt:i4>1179697</vt:i4>
      </vt:variant>
      <vt:variant>
        <vt:i4>38</vt:i4>
      </vt:variant>
      <vt:variant>
        <vt:i4>0</vt:i4>
      </vt:variant>
      <vt:variant>
        <vt:i4>5</vt:i4>
      </vt:variant>
      <vt:variant>
        <vt:lpwstr/>
      </vt:variant>
      <vt:variant>
        <vt:lpwstr>_Toc227327639</vt:lpwstr>
      </vt:variant>
      <vt:variant>
        <vt:i4>1179697</vt:i4>
      </vt:variant>
      <vt:variant>
        <vt:i4>32</vt:i4>
      </vt:variant>
      <vt:variant>
        <vt:i4>0</vt:i4>
      </vt:variant>
      <vt:variant>
        <vt:i4>5</vt:i4>
      </vt:variant>
      <vt:variant>
        <vt:lpwstr/>
      </vt:variant>
      <vt:variant>
        <vt:lpwstr>_Toc227327638</vt:lpwstr>
      </vt:variant>
      <vt:variant>
        <vt:i4>1179697</vt:i4>
      </vt:variant>
      <vt:variant>
        <vt:i4>26</vt:i4>
      </vt:variant>
      <vt:variant>
        <vt:i4>0</vt:i4>
      </vt:variant>
      <vt:variant>
        <vt:i4>5</vt:i4>
      </vt:variant>
      <vt:variant>
        <vt:lpwstr/>
      </vt:variant>
      <vt:variant>
        <vt:lpwstr>_Toc227327637</vt:lpwstr>
      </vt:variant>
      <vt:variant>
        <vt:i4>1179697</vt:i4>
      </vt:variant>
      <vt:variant>
        <vt:i4>20</vt:i4>
      </vt:variant>
      <vt:variant>
        <vt:i4>0</vt:i4>
      </vt:variant>
      <vt:variant>
        <vt:i4>5</vt:i4>
      </vt:variant>
      <vt:variant>
        <vt:lpwstr/>
      </vt:variant>
      <vt:variant>
        <vt:lpwstr>_Toc227327636</vt:lpwstr>
      </vt:variant>
      <vt:variant>
        <vt:i4>1179697</vt:i4>
      </vt:variant>
      <vt:variant>
        <vt:i4>14</vt:i4>
      </vt:variant>
      <vt:variant>
        <vt:i4>0</vt:i4>
      </vt:variant>
      <vt:variant>
        <vt:i4>5</vt:i4>
      </vt:variant>
      <vt:variant>
        <vt:lpwstr/>
      </vt:variant>
      <vt:variant>
        <vt:lpwstr>_Toc227327635</vt:lpwstr>
      </vt:variant>
      <vt:variant>
        <vt:i4>1179697</vt:i4>
      </vt:variant>
      <vt:variant>
        <vt:i4>8</vt:i4>
      </vt:variant>
      <vt:variant>
        <vt:i4>0</vt:i4>
      </vt:variant>
      <vt:variant>
        <vt:i4>5</vt:i4>
      </vt:variant>
      <vt:variant>
        <vt:lpwstr/>
      </vt:variant>
      <vt:variant>
        <vt:lpwstr>_Toc227327634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C/60/9</dc:title>
  <dc:subject/>
  <dc:creator>UPOV</dc:creator>
  <cp:keywords>FOR OFFICIAL USE ONLY</cp:keywords>
  <dc:description/>
  <cp:lastModifiedBy>SANCHEZ VIZCAINO GOMEZ Rosa Maria</cp:lastModifiedBy>
  <cp:revision>80</cp:revision>
  <cp:lastPrinted>2026-07-03T10:23:00Z</cp:lastPrinted>
  <dcterms:created xsi:type="dcterms:W3CDTF">2026-07-20T15:38:00Z</dcterms:created>
  <dcterms:modified xsi:type="dcterms:W3CDTF">2026-08-12T10:02:00Z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3a7f6bbe-196a-43c0-8010-5872b91c951d</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2024-03-08T19:45:44Z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238457f3-ebb4-4c7e-b6f0-8d8193cce044</vt:lpwstr>
  </property>
  <property fmtid="{D5CDD505-2E9C-101B-9397-08002B2CF9AE}" pid="14" name="MSIP_Label_20773ee6-353b-4fb9-a59d-0b94c8c67bea_ContentBits">
    <vt:lpwstr>0</vt:lpwstr>
  </property>
  <property fmtid="{D5CDD505-2E9C-101B-9397-08002B2CF9AE}" pid="15" name="ContentTypeId">
    <vt:lpwstr>0x01010055C8466DB2DC0041BD825C52736E99FC00472E5C03EAB2E14A994A310B525C07E7</vt:lpwstr>
  </property>
  <property fmtid="{D5CDD505-2E9C-101B-9397-08002B2CF9AE}" pid="16" name="BusinessUnit">
    <vt:lpwstr>3;#International Union for the Protection of New Varieties of Plants|b5148cec-dea8-4a3e-91f7-349f7e3ddab8</vt:lpwstr>
  </property>
  <property fmtid="{D5CDD505-2E9C-101B-9397-08002B2CF9AE}" pid="17" name="Languages">
    <vt:lpwstr>1;#English|950e6fa2-2df0-4983-a604-54e57c7a6d93</vt:lpwstr>
  </property>
  <property fmtid="{D5CDD505-2E9C-101B-9397-08002B2CF9AE}" pid="18" name="Quarter">
    <vt:lpwstr/>
  </property>
  <property fmtid="{D5CDD505-2E9C-101B-9397-08002B2CF9AE}" pid="19" name="CountryIPOffice">
    <vt:lpwstr/>
  </property>
  <property fmtid="{D5CDD505-2E9C-101B-9397-08002B2CF9AE}" pid="20" name="Month">
    <vt:lpwstr/>
  </property>
  <property fmtid="{D5CDD505-2E9C-101B-9397-08002B2CF9AE}" pid="21" name="_dlc_DocIdItemGuid">
    <vt:lpwstr>e96530a1-48b8-4a45-93bb-e471971ce8d7</vt:lpwstr>
  </property>
  <property fmtid="{D5CDD505-2E9C-101B-9397-08002B2CF9AE}" pid="22" name="DocumentSetDescription">
    <vt:lpwstr/>
  </property>
  <property fmtid="{D5CDD505-2E9C-101B-9397-08002B2CF9AE}" pid="23" name="_ExtendedDescription">
    <vt:lpwstr/>
  </property>
  <property fmtid="{D5CDD505-2E9C-101B-9397-08002B2CF9AE}" pid="24" name="_docset_NoMedatataSyncRequired">
    <vt:lpwstr>False</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
    <vt:lpwstr>UPOVBFP-899189165-17279</vt:lpwstr>
  </property>
  <property fmtid="{D5CDD505-2E9C-101B-9397-08002B2CF9AE}" pid="28" name="_dlc_DocIdUrl">
    <vt:lpwstr>https://wipoprod.sharepoint.com/sites/SPS-INT-BFP-UPOV-MeetEven/_layouts/15/DocIdRedir.aspx?ID=UPOVBFP-899189165-17279, UPOVBFP-899189165-17279</vt:lpwstr>
  </property>
  <property fmtid="{D5CDD505-2E9C-101B-9397-08002B2CF9AE}" pid="29" name="UPOVTopics">
    <vt:lpwstr/>
  </property>
  <property fmtid="{D5CDD505-2E9C-101B-9397-08002B2CF9AE}" pid="30" name="OutSourcing">
    <vt:bool>false</vt:bool>
  </property>
  <property fmtid="{D5CDD505-2E9C-101B-9397-08002B2CF9AE}" pid="31" name="Order">
    <vt:r8>929400</vt:r8>
  </property>
  <property fmtid="{D5CDD505-2E9C-101B-9397-08002B2CF9AE}" pid="32" name="xd_ProgID">
    <vt:lpwstr/>
  </property>
  <property fmtid="{D5CDD505-2E9C-101B-9397-08002B2CF9AE}" pid="33" name="ComplianceAssetId">
    <vt:lpwstr/>
  </property>
  <property fmtid="{D5CDD505-2E9C-101B-9397-08002B2CF9AE}" pid="34" name="TemplateUrl">
    <vt:lpwstr/>
  </property>
  <property fmtid="{D5CDD505-2E9C-101B-9397-08002B2CF9AE}" pid="35" name="TriggerFlowInfo">
    <vt:lpwstr/>
  </property>
  <property fmtid="{D5CDD505-2E9C-101B-9397-08002B2CF9AE}" pid="36" name="DocClassification">
    <vt:lpwstr>Processed</vt:lpwstr>
  </property>
  <property fmtid="{D5CDD505-2E9C-101B-9397-08002B2CF9AE}" pid="37" name="xd_Signature">
    <vt:bool>false</vt:bool>
  </property>
  <property fmtid="{D5CDD505-2E9C-101B-9397-08002B2CF9AE}" pid="38" name="RMClassification">
    <vt:lpwstr>4</vt:lpwstr>
  </property>
  <property fmtid="{D5CDD505-2E9C-101B-9397-08002B2CF9AE}" pid="39" name="ECCM_Year">
    <vt:lpwstr>721</vt:lpwstr>
  </property>
  <property fmtid="{D5CDD505-2E9C-101B-9397-08002B2CF9AE}" pid="40" name="docLang">
    <vt:lpwstr>es</vt:lpwstr>
  </property>
</Properties>
</file>