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E675E8" w14:paraId="33804FB6" w14:textId="77777777" w:rsidTr="00EB4E9C">
        <w:tc>
          <w:tcPr>
            <w:tcW w:w="6522" w:type="dxa"/>
          </w:tcPr>
          <w:p w14:paraId="11EB7F1F" w14:textId="77777777" w:rsidR="00DC3802" w:rsidRPr="00E675E8" w:rsidRDefault="00CA7BA1" w:rsidP="00AC2883">
            <w:pPr>
              <w:rPr>
                <w:lang w:val="es-ES_tradnl"/>
              </w:rPr>
            </w:pPr>
            <w:r w:rsidRPr="00E675E8">
              <w:rPr>
                <w:noProof/>
                <w:lang w:val="es-ES_tradnl"/>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77777777" w:rsidR="00DC3802" w:rsidRPr="00E675E8" w:rsidRDefault="00DC3802" w:rsidP="00AC2883">
            <w:pPr>
              <w:pStyle w:val="Lettrine"/>
              <w:rPr>
                <w:lang w:val="es-ES_tradnl"/>
              </w:rPr>
            </w:pPr>
            <w:r w:rsidRPr="00E675E8">
              <w:rPr>
                <w:lang w:val="es-ES_tradnl"/>
              </w:rPr>
              <w:t>S</w:t>
            </w:r>
          </w:p>
        </w:tc>
      </w:tr>
      <w:tr w:rsidR="00DC3802" w:rsidRPr="00E675E8" w14:paraId="7631ED54" w14:textId="77777777" w:rsidTr="00645CA8">
        <w:trPr>
          <w:trHeight w:val="219"/>
        </w:trPr>
        <w:tc>
          <w:tcPr>
            <w:tcW w:w="6522" w:type="dxa"/>
          </w:tcPr>
          <w:p w14:paraId="5C7ED235" w14:textId="77777777" w:rsidR="00DC3802" w:rsidRPr="00E675E8" w:rsidRDefault="00DC3802" w:rsidP="00AC2883">
            <w:pPr>
              <w:pStyle w:val="upove"/>
              <w:rPr>
                <w:lang w:val="es-ES_tradnl"/>
              </w:rPr>
            </w:pPr>
            <w:r w:rsidRPr="00E675E8">
              <w:rPr>
                <w:lang w:val="es-ES_tradnl"/>
              </w:rPr>
              <w:t>Unión Internacional para la Protección de las Obtenciones Vegetales</w:t>
            </w:r>
          </w:p>
        </w:tc>
        <w:tc>
          <w:tcPr>
            <w:tcW w:w="3117" w:type="dxa"/>
          </w:tcPr>
          <w:p w14:paraId="085313F9" w14:textId="77777777" w:rsidR="00DC3802" w:rsidRPr="00E675E8" w:rsidRDefault="00DC3802" w:rsidP="00DA4973">
            <w:pPr>
              <w:rPr>
                <w:lang w:val="es-ES_tradnl"/>
              </w:rPr>
            </w:pPr>
          </w:p>
        </w:tc>
      </w:tr>
    </w:tbl>
    <w:p w14:paraId="746AA05B" w14:textId="77777777" w:rsidR="00DC3802" w:rsidRPr="00E675E8" w:rsidRDefault="00DC3802" w:rsidP="00DC3802">
      <w:pPr>
        <w:rPr>
          <w:lang w:val="es-ES_tradnl"/>
        </w:rPr>
      </w:pPr>
    </w:p>
    <w:p w14:paraId="3996B22E" w14:textId="77777777" w:rsidR="00DA4973" w:rsidRPr="00E675E8" w:rsidRDefault="00DA4973" w:rsidP="00DC3802">
      <w:pPr>
        <w:rPr>
          <w:lang w:val="es-ES_tradnl"/>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E675E8" w14:paraId="172E9C97" w14:textId="77777777" w:rsidTr="00EB4E9C">
        <w:tc>
          <w:tcPr>
            <w:tcW w:w="6512" w:type="dxa"/>
          </w:tcPr>
          <w:p w14:paraId="653E5092" w14:textId="77777777" w:rsidR="00EB4E9C" w:rsidRPr="00E675E8" w:rsidRDefault="00A3365A" w:rsidP="00AC2883">
            <w:pPr>
              <w:pStyle w:val="Sessiontc"/>
              <w:spacing w:line="240" w:lineRule="auto"/>
              <w:rPr>
                <w:lang w:val="es-ES_tradnl"/>
              </w:rPr>
            </w:pPr>
            <w:r w:rsidRPr="00E675E8">
              <w:rPr>
                <w:lang w:val="es-ES_tradnl"/>
              </w:rPr>
              <w:t>Consejo</w:t>
            </w:r>
          </w:p>
          <w:p w14:paraId="22A5E448" w14:textId="77777777" w:rsidR="0083359E" w:rsidRPr="00E675E8" w:rsidRDefault="00A3365A" w:rsidP="0051361E">
            <w:pPr>
              <w:pStyle w:val="Sessiontcplacedate"/>
              <w:rPr>
                <w:lang w:val="es-ES_tradnl"/>
              </w:rPr>
            </w:pPr>
            <w:r w:rsidRPr="00E675E8">
              <w:rPr>
                <w:lang w:val="es-ES_tradnl"/>
              </w:rPr>
              <w:t>Quincuagésima novena sesión ordinaria</w:t>
            </w:r>
          </w:p>
          <w:p w14:paraId="51335F91" w14:textId="77777777" w:rsidR="00EB4E9C" w:rsidRPr="00E675E8" w:rsidRDefault="00EB4E9C" w:rsidP="00E364BF">
            <w:pPr>
              <w:pStyle w:val="Sessiontcplacedate"/>
              <w:rPr>
                <w:sz w:val="22"/>
                <w:lang w:val="es-ES_tradnl"/>
              </w:rPr>
            </w:pPr>
            <w:r w:rsidRPr="00E675E8">
              <w:rPr>
                <w:lang w:val="es-ES_tradnl"/>
              </w:rPr>
              <w:t>Ginebra, 24 de octubre de 2025</w:t>
            </w:r>
          </w:p>
        </w:tc>
        <w:tc>
          <w:tcPr>
            <w:tcW w:w="3127" w:type="dxa"/>
          </w:tcPr>
          <w:p w14:paraId="3AE62D78" w14:textId="012E0E0B" w:rsidR="00EB4E9C" w:rsidRPr="00E675E8" w:rsidRDefault="007044CE" w:rsidP="003C7FBE">
            <w:pPr>
              <w:pStyle w:val="Doccode"/>
              <w:rPr>
                <w:lang w:val="es-ES_tradnl"/>
              </w:rPr>
            </w:pPr>
            <w:r>
              <w:rPr>
                <w:lang w:val="es-ES_tradnl"/>
              </w:rPr>
              <w:t>C/59/4 Rev.</w:t>
            </w:r>
          </w:p>
          <w:p w14:paraId="2B6B2EBC" w14:textId="0ADFB5A0" w:rsidR="00EB4E9C" w:rsidRPr="00E675E8" w:rsidRDefault="00EB4E9C" w:rsidP="003C7FBE">
            <w:pPr>
              <w:pStyle w:val="Docoriginal"/>
              <w:rPr>
                <w:lang w:val="es-ES_tradnl"/>
              </w:rPr>
            </w:pPr>
            <w:r w:rsidRPr="00E675E8">
              <w:rPr>
                <w:lang w:val="es-ES_tradnl"/>
              </w:rPr>
              <w:t>Original:</w:t>
            </w:r>
            <w:r w:rsidR="002817AB" w:rsidRPr="00E675E8">
              <w:rPr>
                <w:b w:val="0"/>
                <w:lang w:val="es-ES_tradnl"/>
              </w:rPr>
              <w:t xml:space="preserve"> </w:t>
            </w:r>
            <w:r w:rsidRPr="005170D3">
              <w:rPr>
                <w:b w:val="0"/>
                <w:spacing w:val="0"/>
                <w:lang w:val="es-ES_tradnl"/>
              </w:rPr>
              <w:t>Inglés</w:t>
            </w:r>
          </w:p>
          <w:p w14:paraId="49ECA97A" w14:textId="7A221F01" w:rsidR="00EB4E9C" w:rsidRPr="00E675E8" w:rsidRDefault="00EB4E9C" w:rsidP="00E364BF">
            <w:pPr>
              <w:pStyle w:val="Docoriginal"/>
              <w:rPr>
                <w:lang w:val="es-ES_tradnl"/>
              </w:rPr>
            </w:pPr>
            <w:r w:rsidRPr="00E675E8">
              <w:rPr>
                <w:lang w:val="es-ES_tradnl"/>
              </w:rPr>
              <w:t>Fecha:</w:t>
            </w:r>
            <w:r w:rsidR="002817AB" w:rsidRPr="00E675E8">
              <w:rPr>
                <w:b w:val="0"/>
                <w:lang w:val="es-ES_tradnl"/>
              </w:rPr>
              <w:t xml:space="preserve"> </w:t>
            </w:r>
            <w:r w:rsidR="007044CE">
              <w:rPr>
                <w:b w:val="0"/>
                <w:spacing w:val="0"/>
                <w:lang w:val="es-ES_tradnl"/>
              </w:rPr>
              <w:t>24</w:t>
            </w:r>
            <w:r w:rsidRPr="005170D3">
              <w:rPr>
                <w:b w:val="0"/>
                <w:spacing w:val="0"/>
                <w:lang w:val="es-ES_tradnl"/>
              </w:rPr>
              <w:t xml:space="preserve"> de </w:t>
            </w:r>
            <w:r w:rsidR="007044CE">
              <w:rPr>
                <w:b w:val="0"/>
                <w:spacing w:val="0"/>
                <w:lang w:val="es-ES_tradnl"/>
              </w:rPr>
              <w:t xml:space="preserve">octubre </w:t>
            </w:r>
            <w:r w:rsidRPr="005170D3">
              <w:rPr>
                <w:b w:val="0"/>
                <w:spacing w:val="0"/>
                <w:lang w:val="es-ES_tradnl"/>
              </w:rPr>
              <w:t>de 2025</w:t>
            </w:r>
          </w:p>
        </w:tc>
      </w:tr>
    </w:tbl>
    <w:p w14:paraId="3DDD6FE8" w14:textId="0A0C6779" w:rsidR="00B65EDC" w:rsidRPr="00E675E8" w:rsidRDefault="00B65EDC" w:rsidP="00B65EDC">
      <w:pPr>
        <w:pStyle w:val="Titleofdoc0"/>
        <w:rPr>
          <w:lang w:val="es-ES_tradnl"/>
        </w:rPr>
      </w:pPr>
      <w:r w:rsidRPr="00E675E8">
        <w:rPr>
          <w:lang w:val="es-ES_tradnl"/>
        </w:rPr>
        <w:t>PROGRAMA Y PRESUPUESTO PARA EL BIENIO 2026-2027</w:t>
      </w:r>
    </w:p>
    <w:p w14:paraId="731AE50E" w14:textId="4FF0D419" w:rsidR="00B65EDC" w:rsidRPr="00E675E8" w:rsidRDefault="007044CE" w:rsidP="00B65EDC">
      <w:pPr>
        <w:pStyle w:val="preparedby1"/>
        <w:jc w:val="left"/>
        <w:rPr>
          <w:lang w:val="es-ES_tradnl"/>
        </w:rPr>
      </w:pPr>
      <w:r>
        <w:rPr>
          <w:lang w:val="es-ES_tradnl"/>
        </w:rPr>
        <w:t>a</w:t>
      </w:r>
      <w:r w:rsidRPr="007044CE">
        <w:rPr>
          <w:lang w:val="es-ES_tradnl"/>
        </w:rPr>
        <w:t>probado por el Consejo</w:t>
      </w:r>
    </w:p>
    <w:p w14:paraId="62FFA37A" w14:textId="77777777" w:rsidR="007044CE" w:rsidRDefault="007044CE" w:rsidP="007044CE">
      <w:pPr>
        <w:rPr>
          <w:lang w:val="es-ES_tradnl"/>
        </w:rPr>
      </w:pPr>
    </w:p>
    <w:p w14:paraId="2A73296D" w14:textId="77777777" w:rsidR="007044CE" w:rsidRDefault="007044CE" w:rsidP="007044CE">
      <w:pPr>
        <w:rPr>
          <w:lang w:val="es-ES_tradnl"/>
        </w:rPr>
      </w:pPr>
    </w:p>
    <w:p w14:paraId="05E3707B" w14:textId="3702DC95" w:rsidR="007044CE" w:rsidRPr="007044CE" w:rsidRDefault="007044CE" w:rsidP="007044CE">
      <w:pPr>
        <w:rPr>
          <w:lang w:val="es-ES_tradnl"/>
        </w:rPr>
      </w:pPr>
      <w:r w:rsidRPr="007044CE">
        <w:rPr>
          <w:lang w:val="es-ES_tradnl"/>
        </w:rPr>
        <w:t>1.</w:t>
      </w:r>
      <w:r>
        <w:rPr>
          <w:lang w:val="es-ES_tradnl"/>
        </w:rPr>
        <w:tab/>
      </w:r>
      <w:r w:rsidRPr="007044CE">
        <w:rPr>
          <w:lang w:val="es-ES_tradnl"/>
        </w:rPr>
        <w:t xml:space="preserve">En su </w:t>
      </w:r>
      <w:r>
        <w:rPr>
          <w:lang w:val="es-ES_tradnl"/>
        </w:rPr>
        <w:t>q</w:t>
      </w:r>
      <w:r w:rsidRPr="007044CE">
        <w:rPr>
          <w:lang w:val="es-ES_tradnl"/>
        </w:rPr>
        <w:t>uincuagésima novena reunión ordinaria, celebrada en Ginebra el 2</w:t>
      </w:r>
      <w:r>
        <w:rPr>
          <w:lang w:val="es-ES_tradnl"/>
        </w:rPr>
        <w:t>4</w:t>
      </w:r>
      <w:r w:rsidRPr="007044CE">
        <w:rPr>
          <w:lang w:val="es-ES_tradnl"/>
        </w:rPr>
        <w:t xml:space="preserve"> de octubre de 202</w:t>
      </w:r>
      <w:r>
        <w:rPr>
          <w:lang w:val="es-ES_tradnl"/>
        </w:rPr>
        <w:t>5</w:t>
      </w:r>
      <w:r w:rsidRPr="007044CE">
        <w:rPr>
          <w:lang w:val="es-ES_tradnl"/>
        </w:rPr>
        <w:t>, el</w:t>
      </w:r>
      <w:r>
        <w:rPr>
          <w:lang w:val="es-ES_tradnl"/>
        </w:rPr>
        <w:t> </w:t>
      </w:r>
      <w:r w:rsidRPr="007044CE">
        <w:rPr>
          <w:lang w:val="es-ES_tradnl"/>
        </w:rPr>
        <w:t>Consejo aprobó las propuestas contenidas en el proyecto de programa y presupuesto para el bienio</w:t>
      </w:r>
      <w:r>
        <w:rPr>
          <w:lang w:val="es-ES_tradnl"/>
        </w:rPr>
        <w:t> </w:t>
      </w:r>
      <w:r w:rsidRPr="007044CE">
        <w:rPr>
          <w:lang w:val="es-ES_tradnl"/>
        </w:rPr>
        <w:t>202</w:t>
      </w:r>
      <w:r>
        <w:rPr>
          <w:lang w:val="es-ES_tradnl"/>
        </w:rPr>
        <w:t>6</w:t>
      </w:r>
      <w:r>
        <w:rPr>
          <w:lang w:val="es-ES_tradnl"/>
        </w:rPr>
        <w:noBreakHyphen/>
      </w:r>
      <w:r w:rsidRPr="007044CE">
        <w:rPr>
          <w:lang w:val="es-ES_tradnl"/>
        </w:rPr>
        <w:t>202</w:t>
      </w:r>
      <w:r>
        <w:rPr>
          <w:lang w:val="es-ES_tradnl"/>
        </w:rPr>
        <w:t>7</w:t>
      </w:r>
      <w:r w:rsidRPr="007044CE">
        <w:rPr>
          <w:lang w:val="es-ES_tradnl"/>
        </w:rPr>
        <w:t>, que figuran en el documento C/5</w:t>
      </w:r>
      <w:r>
        <w:rPr>
          <w:lang w:val="es-ES_tradnl"/>
        </w:rPr>
        <w:t>9</w:t>
      </w:r>
      <w:r w:rsidRPr="007044CE">
        <w:rPr>
          <w:lang w:val="es-ES_tradnl"/>
        </w:rPr>
        <w:t>/4, incluidas las contribuciones de los miembros de la</w:t>
      </w:r>
      <w:r>
        <w:rPr>
          <w:lang w:val="es-ES_tradnl"/>
        </w:rPr>
        <w:t> </w:t>
      </w:r>
      <w:r w:rsidRPr="007044CE">
        <w:rPr>
          <w:lang w:val="es-ES_tradnl"/>
        </w:rPr>
        <w:t>Unión, el límite máximo propuesto para los gastos consignados en el presupuesto ordinario y el número total de puestos para la Oficina de la Unión.</w:t>
      </w:r>
    </w:p>
    <w:p w14:paraId="015EE545" w14:textId="77777777" w:rsidR="007044CE" w:rsidRPr="007044CE" w:rsidRDefault="007044CE" w:rsidP="007044CE">
      <w:pPr>
        <w:rPr>
          <w:lang w:val="es-ES_tradnl"/>
        </w:rPr>
      </w:pPr>
    </w:p>
    <w:p w14:paraId="308E3F97" w14:textId="66030CC2" w:rsidR="007044CE" w:rsidRPr="007044CE" w:rsidRDefault="007044CE" w:rsidP="007044CE">
      <w:pPr>
        <w:rPr>
          <w:lang w:val="es-ES_tradnl"/>
        </w:rPr>
      </w:pPr>
      <w:r w:rsidRPr="007044CE">
        <w:rPr>
          <w:lang w:val="es-ES_tradnl"/>
        </w:rPr>
        <w:t>2.</w:t>
      </w:r>
      <w:r>
        <w:rPr>
          <w:lang w:val="es-ES_tradnl"/>
        </w:rPr>
        <w:tab/>
      </w:r>
      <w:r w:rsidRPr="007044CE">
        <w:rPr>
          <w:lang w:val="es-ES_tradnl"/>
        </w:rPr>
        <w:t>El Anexo de este documento contiene el programa y presupuesto de la Unión para el bienio 202</w:t>
      </w:r>
      <w:r>
        <w:rPr>
          <w:lang w:val="es-ES_tradnl"/>
        </w:rPr>
        <w:t>6</w:t>
      </w:r>
      <w:r w:rsidRPr="007044CE">
        <w:rPr>
          <w:lang w:val="es-ES_tradnl"/>
        </w:rPr>
        <w:t>-202</w:t>
      </w:r>
      <w:r>
        <w:rPr>
          <w:lang w:val="es-ES_tradnl"/>
        </w:rPr>
        <w:t>7</w:t>
      </w:r>
      <w:r w:rsidRPr="007044CE">
        <w:rPr>
          <w:lang w:val="es-ES_tradnl"/>
        </w:rPr>
        <w:t>, tal como fue aprobado por el Consejo.</w:t>
      </w:r>
    </w:p>
    <w:p w14:paraId="5C2A4E2F" w14:textId="77777777" w:rsidR="007044CE" w:rsidRPr="007044CE" w:rsidRDefault="007044CE" w:rsidP="007044CE">
      <w:pPr>
        <w:rPr>
          <w:lang w:val="es-ES_tradnl"/>
        </w:rPr>
      </w:pPr>
    </w:p>
    <w:p w14:paraId="2D3B7DEC" w14:textId="77777777" w:rsidR="005170D3" w:rsidRDefault="005170D3" w:rsidP="007044CE">
      <w:pPr>
        <w:rPr>
          <w:lang w:val="es-ES_tradnl"/>
        </w:rPr>
      </w:pPr>
    </w:p>
    <w:p w14:paraId="023C9354" w14:textId="77777777" w:rsidR="007044CE" w:rsidRDefault="007044CE" w:rsidP="007044CE">
      <w:pPr>
        <w:rPr>
          <w:lang w:val="es-ES_tradnl"/>
        </w:rPr>
      </w:pPr>
    </w:p>
    <w:p w14:paraId="6F7788EA" w14:textId="3C65ECD5" w:rsidR="00B65EDC" w:rsidRPr="00E675E8" w:rsidRDefault="00B65EDC" w:rsidP="00B65EDC">
      <w:pPr>
        <w:jc w:val="right"/>
        <w:rPr>
          <w:lang w:val="es-ES_tradnl"/>
        </w:rPr>
      </w:pPr>
      <w:r w:rsidRPr="00E675E8">
        <w:rPr>
          <w:lang w:val="es-ES_tradnl"/>
        </w:rPr>
        <w:t>[Sigue el Anexo]</w:t>
      </w:r>
    </w:p>
    <w:p w14:paraId="57CC7038" w14:textId="77777777" w:rsidR="00B65EDC" w:rsidRPr="00E675E8" w:rsidRDefault="00B65EDC" w:rsidP="00B65EDC">
      <w:pPr>
        <w:jc w:val="left"/>
        <w:rPr>
          <w:lang w:val="es-ES_tradnl"/>
        </w:rPr>
        <w:sectPr w:rsidR="00B65EDC" w:rsidRPr="00E675E8" w:rsidSect="005170D3">
          <w:headerReference w:type="default" r:id="rId12"/>
          <w:pgSz w:w="11907" w:h="16840" w:code="9"/>
          <w:pgMar w:top="510" w:right="1134" w:bottom="567" w:left="1134" w:header="510" w:footer="680" w:gutter="0"/>
          <w:cols w:space="720"/>
          <w:titlePg/>
          <w:docGrid w:linePitch="272"/>
        </w:sectPr>
      </w:pPr>
    </w:p>
    <w:p w14:paraId="580BEB9A" w14:textId="327E9376" w:rsidR="005D2CBA" w:rsidRPr="00E675E8" w:rsidRDefault="005D2CBA" w:rsidP="005D2CBA">
      <w:pPr>
        <w:pStyle w:val="Titleofdoc0"/>
        <w:spacing w:before="0" w:after="0"/>
        <w:jc w:val="center"/>
        <w:rPr>
          <w:caps w:val="0"/>
          <w:color w:val="194C33" w:themeColor="accent1" w:themeShade="80"/>
          <w:sz w:val="32"/>
          <w:szCs w:val="32"/>
          <w:lang w:val="es-ES_tradnl"/>
        </w:rPr>
      </w:pPr>
      <w:bookmarkStart w:id="0" w:name="_Toc63091083"/>
      <w:bookmarkStart w:id="1" w:name="_Toc63091280"/>
      <w:bookmarkStart w:id="2" w:name="_Toc63091810"/>
      <w:bookmarkStart w:id="3" w:name="_Toc63149887"/>
      <w:bookmarkStart w:id="4" w:name="_Toc63091084"/>
      <w:bookmarkStart w:id="5" w:name="_Toc63091281"/>
      <w:bookmarkStart w:id="6" w:name="_Toc63091811"/>
      <w:bookmarkStart w:id="7" w:name="_Toc63149888"/>
      <w:bookmarkStart w:id="8" w:name="_Toc63091085"/>
      <w:bookmarkStart w:id="9" w:name="_Toc63091282"/>
      <w:bookmarkStart w:id="10" w:name="_Toc63091812"/>
      <w:bookmarkStart w:id="11" w:name="_Toc63149889"/>
      <w:bookmarkEnd w:id="0"/>
      <w:bookmarkEnd w:id="1"/>
      <w:bookmarkEnd w:id="2"/>
      <w:bookmarkEnd w:id="3"/>
      <w:bookmarkEnd w:id="4"/>
      <w:bookmarkEnd w:id="5"/>
      <w:bookmarkEnd w:id="6"/>
      <w:bookmarkEnd w:id="7"/>
      <w:bookmarkEnd w:id="8"/>
      <w:bookmarkEnd w:id="9"/>
      <w:bookmarkEnd w:id="10"/>
      <w:bookmarkEnd w:id="11"/>
      <w:r w:rsidRPr="00E675E8">
        <w:rPr>
          <w:caps w:val="0"/>
          <w:color w:val="194C33" w:themeColor="accent1" w:themeShade="80"/>
          <w:sz w:val="32"/>
          <w:lang w:val="es-ES_tradnl"/>
        </w:rPr>
        <w:lastRenderedPageBreak/>
        <w:t>Programa y presupuesto 2026-2027</w:t>
      </w:r>
    </w:p>
    <w:p w14:paraId="7B8BD863" w14:textId="77777777" w:rsidR="005D2CBA" w:rsidRPr="00E675E8" w:rsidRDefault="005D2CBA" w:rsidP="00B65EDC">
      <w:pPr>
        <w:rPr>
          <w:lang w:val="es-ES_tradnl"/>
        </w:rPr>
      </w:pPr>
    </w:p>
    <w:p w14:paraId="7D46F8A5" w14:textId="77777777" w:rsidR="005D2CBA" w:rsidRPr="00E675E8" w:rsidRDefault="005D2CBA" w:rsidP="00B65EDC">
      <w:pPr>
        <w:rPr>
          <w:lang w:val="es-ES_tradnl"/>
        </w:rPr>
      </w:pPr>
    </w:p>
    <w:sdt>
      <w:sdtPr>
        <w:rPr>
          <w:b/>
          <w:bCs/>
          <w:lang w:val="es-ES_tradnl"/>
        </w:rPr>
        <w:id w:val="-1719118402"/>
        <w:docPartObj>
          <w:docPartGallery w:val="Table of Contents"/>
          <w:docPartUnique/>
        </w:docPartObj>
      </w:sdtPr>
      <w:sdtEndPr>
        <w:rPr>
          <w:b w:val="0"/>
          <w:bCs w:val="0"/>
        </w:rPr>
      </w:sdtEndPr>
      <w:sdtContent>
        <w:p w14:paraId="3E992AF5" w14:textId="3EF94E8B" w:rsidR="00B65EDC" w:rsidRPr="00E675E8" w:rsidRDefault="00B65EDC" w:rsidP="00B65EDC">
          <w:pPr>
            <w:rPr>
              <w:b/>
              <w:bCs/>
              <w:lang w:val="es-ES_tradnl"/>
            </w:rPr>
          </w:pPr>
          <w:r w:rsidRPr="00E675E8">
            <w:rPr>
              <w:b/>
              <w:color w:val="26724C" w:themeColor="accent1" w:themeShade="BF"/>
              <w:lang w:val="es-ES_tradnl"/>
            </w:rPr>
            <w:t>Índice</w:t>
          </w:r>
        </w:p>
        <w:p w14:paraId="38EC5819" w14:textId="6BE01BE1" w:rsidR="00CF1A3C"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E675E8">
            <w:rPr>
              <w:lang w:val="es-ES_tradnl"/>
            </w:rPr>
            <w:fldChar w:fldCharType="begin"/>
          </w:r>
          <w:r w:rsidRPr="00E675E8">
            <w:rPr>
              <w:lang w:val="es-ES_tradnl"/>
            </w:rPr>
            <w:instrText xml:space="preserve"> TOC \o "1-3" \u \t "Heading 9,4" </w:instrText>
          </w:r>
          <w:r w:rsidRPr="00E675E8">
            <w:rPr>
              <w:lang w:val="es-ES_tradnl"/>
            </w:rPr>
            <w:fldChar w:fldCharType="separate"/>
          </w:r>
          <w:r w:rsidR="00CF1A3C" w:rsidRPr="006D2535">
            <w:rPr>
              <w:noProof/>
              <w:lang w:val="es-ES_tradnl"/>
            </w:rPr>
            <w:t>I.</w:t>
          </w:r>
          <w:r w:rsidR="00CF1A3C">
            <w:rPr>
              <w:rFonts w:asciiTheme="minorHAnsi" w:eastAsiaTheme="minorEastAsia" w:hAnsiTheme="minorHAnsi" w:cstheme="minorBidi"/>
              <w:bCs w:val="0"/>
              <w:caps w:val="0"/>
              <w:noProof/>
              <w:kern w:val="2"/>
              <w:sz w:val="24"/>
              <w:szCs w:val="24"/>
              <w:lang w:val="en-GB" w:eastAsia="en-GB"/>
              <w14:ligatures w14:val="standardContextual"/>
            </w:rPr>
            <w:tab/>
          </w:r>
          <w:r w:rsidR="00CF1A3C" w:rsidRPr="006D2535">
            <w:rPr>
              <w:noProof/>
              <w:lang w:val="es-ES_tradnl"/>
            </w:rPr>
            <w:t>Contexto general</w:t>
          </w:r>
          <w:r w:rsidR="00CF1A3C">
            <w:rPr>
              <w:noProof/>
            </w:rPr>
            <w:tab/>
          </w:r>
          <w:r w:rsidR="00CF1A3C">
            <w:rPr>
              <w:noProof/>
            </w:rPr>
            <w:fldChar w:fldCharType="begin"/>
          </w:r>
          <w:r w:rsidR="00CF1A3C">
            <w:rPr>
              <w:noProof/>
            </w:rPr>
            <w:instrText xml:space="preserve"> PAGEREF _Toc209777758 \h </w:instrText>
          </w:r>
          <w:r w:rsidR="00CF1A3C">
            <w:rPr>
              <w:noProof/>
            </w:rPr>
          </w:r>
          <w:r w:rsidR="00CF1A3C">
            <w:rPr>
              <w:noProof/>
            </w:rPr>
            <w:fldChar w:fldCharType="separate"/>
          </w:r>
          <w:r w:rsidR="00C2190F">
            <w:rPr>
              <w:noProof/>
            </w:rPr>
            <w:t>2</w:t>
          </w:r>
          <w:r w:rsidR="00CF1A3C">
            <w:rPr>
              <w:noProof/>
            </w:rPr>
            <w:fldChar w:fldCharType="end"/>
          </w:r>
        </w:p>
        <w:p w14:paraId="5DFC7AF7" w14:textId="3149CD13"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II.</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Panorama general del programa y presupuesto</w:t>
          </w:r>
          <w:r>
            <w:rPr>
              <w:noProof/>
            </w:rPr>
            <w:tab/>
          </w:r>
          <w:r>
            <w:rPr>
              <w:noProof/>
            </w:rPr>
            <w:fldChar w:fldCharType="begin"/>
          </w:r>
          <w:r>
            <w:rPr>
              <w:noProof/>
            </w:rPr>
            <w:instrText xml:space="preserve"> PAGEREF _Toc209777759 \h </w:instrText>
          </w:r>
          <w:r>
            <w:rPr>
              <w:noProof/>
            </w:rPr>
          </w:r>
          <w:r>
            <w:rPr>
              <w:noProof/>
            </w:rPr>
            <w:fldChar w:fldCharType="separate"/>
          </w:r>
          <w:r w:rsidR="00C2190F">
            <w:rPr>
              <w:noProof/>
            </w:rPr>
            <w:t>4</w:t>
          </w:r>
          <w:r>
            <w:rPr>
              <w:noProof/>
            </w:rPr>
            <w:fldChar w:fldCharType="end"/>
          </w:r>
        </w:p>
        <w:p w14:paraId="3A06454D" w14:textId="671B039D"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Panorama financiero</w:t>
          </w:r>
          <w:r>
            <w:rPr>
              <w:noProof/>
            </w:rPr>
            <w:tab/>
          </w:r>
          <w:r>
            <w:rPr>
              <w:noProof/>
            </w:rPr>
            <w:fldChar w:fldCharType="begin"/>
          </w:r>
          <w:r>
            <w:rPr>
              <w:noProof/>
            </w:rPr>
            <w:instrText xml:space="preserve"> PAGEREF _Toc209777760 \h </w:instrText>
          </w:r>
          <w:r>
            <w:rPr>
              <w:noProof/>
            </w:rPr>
          </w:r>
          <w:r>
            <w:rPr>
              <w:noProof/>
            </w:rPr>
            <w:fldChar w:fldCharType="separate"/>
          </w:r>
          <w:r w:rsidR="00C2190F">
            <w:rPr>
              <w:noProof/>
            </w:rPr>
            <w:t>4</w:t>
          </w:r>
          <w:r>
            <w:rPr>
              <w:noProof/>
            </w:rPr>
            <w:fldChar w:fldCharType="end"/>
          </w:r>
        </w:p>
        <w:p w14:paraId="1D9D6035" w14:textId="057B1FB7"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Ingresos</w:t>
          </w:r>
          <w:r>
            <w:rPr>
              <w:noProof/>
            </w:rPr>
            <w:tab/>
          </w:r>
          <w:r>
            <w:rPr>
              <w:noProof/>
            </w:rPr>
            <w:fldChar w:fldCharType="begin"/>
          </w:r>
          <w:r>
            <w:rPr>
              <w:noProof/>
            </w:rPr>
            <w:instrText xml:space="preserve"> PAGEREF _Toc209777761 \h </w:instrText>
          </w:r>
          <w:r>
            <w:rPr>
              <w:noProof/>
            </w:rPr>
          </w:r>
          <w:r>
            <w:rPr>
              <w:noProof/>
            </w:rPr>
            <w:fldChar w:fldCharType="separate"/>
          </w:r>
          <w:r w:rsidR="00C2190F">
            <w:rPr>
              <w:noProof/>
            </w:rPr>
            <w:t>4</w:t>
          </w:r>
          <w:r>
            <w:rPr>
              <w:noProof/>
            </w:rPr>
            <w:fldChar w:fldCharType="end"/>
          </w:r>
        </w:p>
        <w:p w14:paraId="3980A4CD" w14:textId="432394B5"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Plan general de dotación de recursos</w:t>
          </w:r>
          <w:r>
            <w:rPr>
              <w:noProof/>
            </w:rPr>
            <w:tab/>
          </w:r>
          <w:r>
            <w:rPr>
              <w:noProof/>
            </w:rPr>
            <w:fldChar w:fldCharType="begin"/>
          </w:r>
          <w:r>
            <w:rPr>
              <w:noProof/>
            </w:rPr>
            <w:instrText xml:space="preserve"> PAGEREF _Toc209777762 \h </w:instrText>
          </w:r>
          <w:r>
            <w:rPr>
              <w:noProof/>
            </w:rPr>
          </w:r>
          <w:r>
            <w:rPr>
              <w:noProof/>
            </w:rPr>
            <w:fldChar w:fldCharType="separate"/>
          </w:r>
          <w:r w:rsidR="00C2190F">
            <w:rPr>
              <w:noProof/>
            </w:rPr>
            <w:t>6</w:t>
          </w:r>
          <w:r>
            <w:rPr>
              <w:noProof/>
            </w:rPr>
            <w:fldChar w:fldCharType="end"/>
          </w:r>
        </w:p>
        <w:p w14:paraId="173F1442" w14:textId="510B6849"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Gastos</w:t>
          </w:r>
          <w:r>
            <w:rPr>
              <w:noProof/>
            </w:rPr>
            <w:tab/>
          </w:r>
          <w:r>
            <w:rPr>
              <w:noProof/>
            </w:rPr>
            <w:fldChar w:fldCharType="begin"/>
          </w:r>
          <w:r>
            <w:rPr>
              <w:noProof/>
            </w:rPr>
            <w:instrText xml:space="preserve"> PAGEREF _Toc209777763 \h </w:instrText>
          </w:r>
          <w:r>
            <w:rPr>
              <w:noProof/>
            </w:rPr>
          </w:r>
          <w:r>
            <w:rPr>
              <w:noProof/>
            </w:rPr>
            <w:fldChar w:fldCharType="separate"/>
          </w:r>
          <w:r w:rsidR="00C2190F">
            <w:rPr>
              <w:noProof/>
            </w:rPr>
            <w:t>7</w:t>
          </w:r>
          <w:r>
            <w:rPr>
              <w:noProof/>
            </w:rPr>
            <w:fldChar w:fldCharType="end"/>
          </w:r>
        </w:p>
        <w:p w14:paraId="69F8DBE6" w14:textId="1ED9B7B8"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Gastos de personal</w:t>
          </w:r>
          <w:r>
            <w:rPr>
              <w:noProof/>
            </w:rPr>
            <w:tab/>
          </w:r>
          <w:r>
            <w:rPr>
              <w:noProof/>
            </w:rPr>
            <w:fldChar w:fldCharType="begin"/>
          </w:r>
          <w:r>
            <w:rPr>
              <w:noProof/>
            </w:rPr>
            <w:instrText xml:space="preserve"> PAGEREF _Toc209777764 \h </w:instrText>
          </w:r>
          <w:r>
            <w:rPr>
              <w:noProof/>
            </w:rPr>
          </w:r>
          <w:r>
            <w:rPr>
              <w:noProof/>
            </w:rPr>
            <w:fldChar w:fldCharType="separate"/>
          </w:r>
          <w:r w:rsidR="00C2190F">
            <w:rPr>
              <w:noProof/>
            </w:rPr>
            <w:t>9</w:t>
          </w:r>
          <w:r>
            <w:rPr>
              <w:noProof/>
            </w:rPr>
            <w:fldChar w:fldCharType="end"/>
          </w:r>
        </w:p>
        <w:p w14:paraId="0B19020A" w14:textId="73CADA32"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III.</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Objetivos y resultados previstos</w:t>
          </w:r>
          <w:r>
            <w:rPr>
              <w:noProof/>
            </w:rPr>
            <w:tab/>
          </w:r>
          <w:r>
            <w:rPr>
              <w:noProof/>
            </w:rPr>
            <w:fldChar w:fldCharType="begin"/>
          </w:r>
          <w:r>
            <w:rPr>
              <w:noProof/>
            </w:rPr>
            <w:instrText xml:space="preserve"> PAGEREF _Toc209777765 \h </w:instrText>
          </w:r>
          <w:r>
            <w:rPr>
              <w:noProof/>
            </w:rPr>
          </w:r>
          <w:r>
            <w:rPr>
              <w:noProof/>
            </w:rPr>
            <w:fldChar w:fldCharType="separate"/>
          </w:r>
          <w:r w:rsidR="00C2190F">
            <w:rPr>
              <w:noProof/>
            </w:rPr>
            <w:t>11</w:t>
          </w:r>
          <w:r>
            <w:rPr>
              <w:noProof/>
            </w:rPr>
            <w:fldChar w:fldCharType="end"/>
          </w:r>
        </w:p>
        <w:p w14:paraId="596FFA4B" w14:textId="4E9D61B9"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Introducción</w:t>
          </w:r>
          <w:r>
            <w:rPr>
              <w:noProof/>
            </w:rPr>
            <w:tab/>
          </w:r>
          <w:r>
            <w:rPr>
              <w:noProof/>
            </w:rPr>
            <w:fldChar w:fldCharType="begin"/>
          </w:r>
          <w:r>
            <w:rPr>
              <w:noProof/>
            </w:rPr>
            <w:instrText xml:space="preserve"> PAGEREF _Toc209777766 \h </w:instrText>
          </w:r>
          <w:r>
            <w:rPr>
              <w:noProof/>
            </w:rPr>
          </w:r>
          <w:r>
            <w:rPr>
              <w:noProof/>
            </w:rPr>
            <w:fldChar w:fldCharType="separate"/>
          </w:r>
          <w:r w:rsidR="00C2190F">
            <w:rPr>
              <w:noProof/>
            </w:rPr>
            <w:t>11</w:t>
          </w:r>
          <w:r>
            <w:rPr>
              <w:noProof/>
            </w:rPr>
            <w:fldChar w:fldCharType="end"/>
          </w:r>
        </w:p>
        <w:p w14:paraId="37E20615" w14:textId="49B7B7EB"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1: Reunir a las partes interesadas para que contribuyan a dar forma al sistema de la UPOV</w:t>
          </w:r>
          <w:r>
            <w:rPr>
              <w:noProof/>
            </w:rPr>
            <w:tab/>
          </w:r>
          <w:r>
            <w:rPr>
              <w:noProof/>
            </w:rPr>
            <w:fldChar w:fldCharType="begin"/>
          </w:r>
          <w:r>
            <w:rPr>
              <w:noProof/>
            </w:rPr>
            <w:instrText xml:space="preserve"> PAGEREF _Toc209777767 \h </w:instrText>
          </w:r>
          <w:r>
            <w:rPr>
              <w:noProof/>
            </w:rPr>
          </w:r>
          <w:r>
            <w:rPr>
              <w:noProof/>
            </w:rPr>
            <w:fldChar w:fldCharType="separate"/>
          </w:r>
          <w:r w:rsidR="00C2190F">
            <w:rPr>
              <w:noProof/>
            </w:rPr>
            <w:t>12</w:t>
          </w:r>
          <w:r>
            <w:rPr>
              <w:noProof/>
            </w:rPr>
            <w:fldChar w:fldCharType="end"/>
          </w:r>
        </w:p>
        <w:p w14:paraId="7510309D" w14:textId="283A3E82"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_Toc209777768 \h </w:instrText>
          </w:r>
          <w:r>
            <w:rPr>
              <w:noProof/>
            </w:rPr>
          </w:r>
          <w:r>
            <w:rPr>
              <w:noProof/>
            </w:rPr>
            <w:fldChar w:fldCharType="separate"/>
          </w:r>
          <w:r w:rsidR="00C2190F">
            <w:rPr>
              <w:noProof/>
            </w:rPr>
            <w:t>12</w:t>
          </w:r>
          <w:r>
            <w:rPr>
              <w:noProof/>
            </w:rPr>
            <w:fldChar w:fldCharType="end"/>
          </w:r>
        </w:p>
        <w:p w14:paraId="0925E0D6" w14:textId="198E111E"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_Toc209777769 \h </w:instrText>
          </w:r>
          <w:r>
            <w:rPr>
              <w:noProof/>
            </w:rPr>
          </w:r>
          <w:r>
            <w:rPr>
              <w:noProof/>
            </w:rPr>
            <w:fldChar w:fldCharType="separate"/>
          </w:r>
          <w:r w:rsidR="00C2190F">
            <w:rPr>
              <w:noProof/>
            </w:rPr>
            <w:t>13</w:t>
          </w:r>
          <w:r>
            <w:rPr>
              <w:noProof/>
            </w:rPr>
            <w:fldChar w:fldCharType="end"/>
          </w:r>
        </w:p>
        <w:p w14:paraId="0D2F3781" w14:textId="22EF743E"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2: Proporcionar orientación y asistencia y facilitar la cooperación para la puesta en práctica del sistema de la UPOV</w:t>
          </w:r>
          <w:r>
            <w:rPr>
              <w:noProof/>
            </w:rPr>
            <w:tab/>
          </w:r>
          <w:r>
            <w:rPr>
              <w:noProof/>
            </w:rPr>
            <w:fldChar w:fldCharType="begin"/>
          </w:r>
          <w:r>
            <w:rPr>
              <w:noProof/>
            </w:rPr>
            <w:instrText xml:space="preserve"> PAGEREF _Toc209777770 \h </w:instrText>
          </w:r>
          <w:r>
            <w:rPr>
              <w:noProof/>
            </w:rPr>
          </w:r>
          <w:r>
            <w:rPr>
              <w:noProof/>
            </w:rPr>
            <w:fldChar w:fldCharType="separate"/>
          </w:r>
          <w:r w:rsidR="00C2190F">
            <w:rPr>
              <w:noProof/>
            </w:rPr>
            <w:t>13</w:t>
          </w:r>
          <w:r>
            <w:rPr>
              <w:noProof/>
            </w:rPr>
            <w:fldChar w:fldCharType="end"/>
          </w:r>
        </w:p>
        <w:p w14:paraId="67710775" w14:textId="7C357FB3"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_Toc209777771 \h </w:instrText>
          </w:r>
          <w:r>
            <w:rPr>
              <w:noProof/>
            </w:rPr>
          </w:r>
          <w:r>
            <w:rPr>
              <w:noProof/>
            </w:rPr>
            <w:fldChar w:fldCharType="separate"/>
          </w:r>
          <w:r w:rsidR="00C2190F">
            <w:rPr>
              <w:noProof/>
            </w:rPr>
            <w:t>13</w:t>
          </w:r>
          <w:r>
            <w:rPr>
              <w:noProof/>
            </w:rPr>
            <w:fldChar w:fldCharType="end"/>
          </w:r>
        </w:p>
        <w:p w14:paraId="76380B29" w14:textId="248F6A9E"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_Toc209777772 \h </w:instrText>
          </w:r>
          <w:r>
            <w:rPr>
              <w:noProof/>
            </w:rPr>
          </w:r>
          <w:r>
            <w:rPr>
              <w:noProof/>
            </w:rPr>
            <w:fldChar w:fldCharType="separate"/>
          </w:r>
          <w:r w:rsidR="00C2190F">
            <w:rPr>
              <w:noProof/>
            </w:rPr>
            <w:t>18</w:t>
          </w:r>
          <w:r>
            <w:rPr>
              <w:noProof/>
            </w:rPr>
            <w:fldChar w:fldCharType="end"/>
          </w:r>
        </w:p>
        <w:p w14:paraId="5F11272B" w14:textId="0CF9B517"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Pilar 3: Proporcionar servicios de alta calidad a los miembros de la UPOV y a los usuarios del sistema de la UPOV</w:t>
          </w:r>
          <w:r>
            <w:rPr>
              <w:noProof/>
            </w:rPr>
            <w:tab/>
          </w:r>
          <w:r>
            <w:rPr>
              <w:noProof/>
            </w:rPr>
            <w:fldChar w:fldCharType="begin"/>
          </w:r>
          <w:r>
            <w:rPr>
              <w:noProof/>
            </w:rPr>
            <w:instrText xml:space="preserve"> PAGEREF _Toc209777773 \h </w:instrText>
          </w:r>
          <w:r>
            <w:rPr>
              <w:noProof/>
            </w:rPr>
          </w:r>
          <w:r>
            <w:rPr>
              <w:noProof/>
            </w:rPr>
            <w:fldChar w:fldCharType="separate"/>
          </w:r>
          <w:r w:rsidR="00C2190F">
            <w:rPr>
              <w:noProof/>
            </w:rPr>
            <w:t>19</w:t>
          </w:r>
          <w:r>
            <w:rPr>
              <w:noProof/>
            </w:rPr>
            <w:fldChar w:fldCharType="end"/>
          </w:r>
        </w:p>
        <w:p w14:paraId="30187F74" w14:textId="6A0A78A1"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_Toc209777774 \h </w:instrText>
          </w:r>
          <w:r>
            <w:rPr>
              <w:noProof/>
            </w:rPr>
          </w:r>
          <w:r>
            <w:rPr>
              <w:noProof/>
            </w:rPr>
            <w:fldChar w:fldCharType="separate"/>
          </w:r>
          <w:r w:rsidR="00C2190F">
            <w:rPr>
              <w:noProof/>
            </w:rPr>
            <w:t>19</w:t>
          </w:r>
          <w:r>
            <w:rPr>
              <w:noProof/>
            </w:rPr>
            <w:fldChar w:fldCharType="end"/>
          </w:r>
        </w:p>
        <w:p w14:paraId="36DE4F05" w14:textId="7AFE4077"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_Toc209777775 \h </w:instrText>
          </w:r>
          <w:r>
            <w:rPr>
              <w:noProof/>
            </w:rPr>
          </w:r>
          <w:r>
            <w:rPr>
              <w:noProof/>
            </w:rPr>
            <w:fldChar w:fldCharType="separate"/>
          </w:r>
          <w:r w:rsidR="00C2190F">
            <w:rPr>
              <w:noProof/>
            </w:rPr>
            <w:t>21</w:t>
          </w:r>
          <w:r>
            <w:rPr>
              <w:noProof/>
            </w:rPr>
            <w:fldChar w:fldCharType="end"/>
          </w:r>
        </w:p>
        <w:p w14:paraId="098A5068" w14:textId="115EA32C" w:rsidR="00CF1A3C" w:rsidRDefault="00CF1A3C">
          <w:pPr>
            <w:pStyle w:val="TOC2"/>
            <w:rPr>
              <w:rFonts w:asciiTheme="minorHAnsi" w:eastAsiaTheme="minorEastAsia" w:hAnsiTheme="minorHAnsi" w:cstheme="minorBidi"/>
              <w:iCs w:val="0"/>
              <w:noProof/>
              <w:kern w:val="2"/>
              <w:sz w:val="24"/>
              <w:szCs w:val="24"/>
              <w:lang w:val="en-GB" w:eastAsia="en-GB"/>
              <w14:ligatures w14:val="standardContextual"/>
            </w:rPr>
          </w:pPr>
          <w:r w:rsidRPr="006D2535">
            <w:rPr>
              <w:noProof/>
              <w:lang w:val="es-ES_tradnl"/>
            </w:rPr>
            <w:t>Fundamento: Velar por que nuestro personal tenga los medios de trabajar de forma eficaz, colaborativa e innovadora, y proporcionarle con ese fin los recursos, la formación y un entorno adecuados</w:t>
          </w:r>
          <w:r>
            <w:rPr>
              <w:noProof/>
            </w:rPr>
            <w:tab/>
          </w:r>
          <w:r>
            <w:rPr>
              <w:noProof/>
            </w:rPr>
            <w:fldChar w:fldCharType="begin"/>
          </w:r>
          <w:r>
            <w:rPr>
              <w:noProof/>
            </w:rPr>
            <w:instrText xml:space="preserve"> PAGEREF _Toc209777776 \h </w:instrText>
          </w:r>
          <w:r>
            <w:rPr>
              <w:noProof/>
            </w:rPr>
          </w:r>
          <w:r>
            <w:rPr>
              <w:noProof/>
            </w:rPr>
            <w:fldChar w:fldCharType="separate"/>
          </w:r>
          <w:r w:rsidR="00C2190F">
            <w:rPr>
              <w:noProof/>
            </w:rPr>
            <w:t>21</w:t>
          </w:r>
          <w:r>
            <w:rPr>
              <w:noProof/>
            </w:rPr>
            <w:fldChar w:fldCharType="end"/>
          </w:r>
        </w:p>
        <w:p w14:paraId="1A3B543D" w14:textId="6F51BEBB"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Estrategia para lograr los resultados previstos</w:t>
          </w:r>
          <w:r>
            <w:rPr>
              <w:noProof/>
            </w:rPr>
            <w:tab/>
          </w:r>
          <w:r>
            <w:rPr>
              <w:noProof/>
            </w:rPr>
            <w:fldChar w:fldCharType="begin"/>
          </w:r>
          <w:r>
            <w:rPr>
              <w:noProof/>
            </w:rPr>
            <w:instrText xml:space="preserve"> PAGEREF _Toc209777777 \h </w:instrText>
          </w:r>
          <w:r>
            <w:rPr>
              <w:noProof/>
            </w:rPr>
          </w:r>
          <w:r>
            <w:rPr>
              <w:noProof/>
            </w:rPr>
            <w:fldChar w:fldCharType="separate"/>
          </w:r>
          <w:r w:rsidR="00C2190F">
            <w:rPr>
              <w:noProof/>
            </w:rPr>
            <w:t>21</w:t>
          </w:r>
          <w:r>
            <w:rPr>
              <w:noProof/>
            </w:rPr>
            <w:fldChar w:fldCharType="end"/>
          </w:r>
        </w:p>
        <w:p w14:paraId="711B7350" w14:textId="11B63373" w:rsidR="00CF1A3C" w:rsidRDefault="00CF1A3C">
          <w:pPr>
            <w:pStyle w:val="TOC3"/>
            <w:rPr>
              <w:rFonts w:asciiTheme="minorHAnsi" w:eastAsiaTheme="minorEastAsia" w:hAnsiTheme="minorHAnsi" w:cstheme="minorBidi"/>
              <w:i w:val="0"/>
              <w:noProof/>
              <w:kern w:val="2"/>
              <w:sz w:val="24"/>
              <w:szCs w:val="24"/>
              <w:lang w:val="en-GB" w:eastAsia="en-GB"/>
              <w14:ligatures w14:val="standardContextual"/>
            </w:rPr>
          </w:pPr>
          <w:r w:rsidRPr="006D2535">
            <w:rPr>
              <w:noProof/>
              <w:lang w:val="es-ES_tradnl"/>
            </w:rPr>
            <w:t>Resultados previstos e indicadores de rendimiento</w:t>
          </w:r>
          <w:r>
            <w:rPr>
              <w:noProof/>
            </w:rPr>
            <w:tab/>
          </w:r>
          <w:r>
            <w:rPr>
              <w:noProof/>
            </w:rPr>
            <w:fldChar w:fldCharType="begin"/>
          </w:r>
          <w:r>
            <w:rPr>
              <w:noProof/>
            </w:rPr>
            <w:instrText xml:space="preserve"> PAGEREF _Toc209777778 \h </w:instrText>
          </w:r>
          <w:r>
            <w:rPr>
              <w:noProof/>
            </w:rPr>
          </w:r>
          <w:r>
            <w:rPr>
              <w:noProof/>
            </w:rPr>
            <w:fldChar w:fldCharType="separate"/>
          </w:r>
          <w:r w:rsidR="00C2190F">
            <w:rPr>
              <w:noProof/>
            </w:rPr>
            <w:t>23</w:t>
          </w:r>
          <w:r>
            <w:rPr>
              <w:noProof/>
            </w:rPr>
            <w:fldChar w:fldCharType="end"/>
          </w:r>
        </w:p>
        <w:p w14:paraId="4523A505" w14:textId="5EFA4F39"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IV.</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Indicadores financieros 2020-2029</w:t>
          </w:r>
          <w:r>
            <w:rPr>
              <w:noProof/>
            </w:rPr>
            <w:tab/>
          </w:r>
          <w:r>
            <w:rPr>
              <w:noProof/>
            </w:rPr>
            <w:fldChar w:fldCharType="begin"/>
          </w:r>
          <w:r>
            <w:rPr>
              <w:noProof/>
            </w:rPr>
            <w:instrText xml:space="preserve"> PAGEREF _Toc209777779 \h </w:instrText>
          </w:r>
          <w:r>
            <w:rPr>
              <w:noProof/>
            </w:rPr>
          </w:r>
          <w:r>
            <w:rPr>
              <w:noProof/>
            </w:rPr>
            <w:fldChar w:fldCharType="separate"/>
          </w:r>
          <w:r w:rsidR="00C2190F">
            <w:rPr>
              <w:noProof/>
            </w:rPr>
            <w:t>25</w:t>
          </w:r>
          <w:r>
            <w:rPr>
              <w:noProof/>
            </w:rPr>
            <w:fldChar w:fldCharType="end"/>
          </w:r>
        </w:p>
        <w:p w14:paraId="037E8C75" w14:textId="720C9FD3" w:rsidR="00CF1A3C" w:rsidRDefault="00CF1A3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6D2535">
            <w:rPr>
              <w:noProof/>
              <w:lang w:val="es-ES_tradnl"/>
            </w:rPr>
            <w:t>V.</w:t>
          </w:r>
          <w:r>
            <w:rPr>
              <w:rFonts w:asciiTheme="minorHAnsi" w:eastAsiaTheme="minorEastAsia" w:hAnsiTheme="minorHAnsi" w:cstheme="minorBidi"/>
              <w:bCs w:val="0"/>
              <w:caps w:val="0"/>
              <w:noProof/>
              <w:kern w:val="2"/>
              <w:sz w:val="24"/>
              <w:szCs w:val="24"/>
              <w:lang w:val="en-GB" w:eastAsia="en-GB"/>
              <w14:ligatures w14:val="standardContextual"/>
            </w:rPr>
            <w:tab/>
          </w:r>
          <w:r w:rsidRPr="006D2535">
            <w:rPr>
              <w:noProof/>
              <w:lang w:val="es-ES_tradnl"/>
            </w:rPr>
            <w:t>APÉNDICES</w:t>
          </w:r>
          <w:r>
            <w:rPr>
              <w:noProof/>
            </w:rPr>
            <w:tab/>
          </w:r>
          <w:r>
            <w:rPr>
              <w:noProof/>
            </w:rPr>
            <w:fldChar w:fldCharType="begin"/>
          </w:r>
          <w:r>
            <w:rPr>
              <w:noProof/>
            </w:rPr>
            <w:instrText xml:space="preserve"> PAGEREF _Toc209777780 \h </w:instrText>
          </w:r>
          <w:r>
            <w:rPr>
              <w:noProof/>
            </w:rPr>
          </w:r>
          <w:r>
            <w:rPr>
              <w:noProof/>
            </w:rPr>
            <w:fldChar w:fldCharType="separate"/>
          </w:r>
          <w:r w:rsidR="00C2190F">
            <w:rPr>
              <w:noProof/>
            </w:rPr>
            <w:t>26</w:t>
          </w:r>
          <w:r>
            <w:rPr>
              <w:noProof/>
            </w:rPr>
            <w:fldChar w:fldCharType="end"/>
          </w:r>
        </w:p>
        <w:p w14:paraId="28DF1D9A" w14:textId="18313F96"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w:t>
          </w:r>
          <w:r>
            <w:rPr>
              <w:rFonts w:eastAsiaTheme="minorEastAsia" w:cstheme="minorBidi"/>
              <w:noProof/>
              <w:kern w:val="2"/>
              <w:sz w:val="24"/>
              <w:szCs w:val="24"/>
              <w:lang w:val="en-GB" w:eastAsia="en-GB"/>
              <w14:ligatures w14:val="standardContextual"/>
            </w:rPr>
            <w:tab/>
          </w:r>
          <w:r w:rsidRPr="006D2535">
            <w:rPr>
              <w:noProof/>
              <w:lang w:val="es-ES_tradnl"/>
            </w:rPr>
            <w:t>Situación respecto de la Unión Internacional para la Protección de las Obtenciones Vegetales (UPOV) al 16 de septiembre de 2025</w:t>
          </w:r>
          <w:r>
            <w:rPr>
              <w:noProof/>
            </w:rPr>
            <w:tab/>
          </w:r>
          <w:r>
            <w:rPr>
              <w:noProof/>
            </w:rPr>
            <w:fldChar w:fldCharType="begin"/>
          </w:r>
          <w:r>
            <w:rPr>
              <w:noProof/>
            </w:rPr>
            <w:instrText xml:space="preserve"> PAGEREF _Toc209777781 \h </w:instrText>
          </w:r>
          <w:r>
            <w:rPr>
              <w:noProof/>
            </w:rPr>
          </w:r>
          <w:r>
            <w:rPr>
              <w:noProof/>
            </w:rPr>
            <w:fldChar w:fldCharType="separate"/>
          </w:r>
          <w:r w:rsidR="00C2190F">
            <w:rPr>
              <w:noProof/>
            </w:rPr>
            <w:t>26</w:t>
          </w:r>
          <w:r>
            <w:rPr>
              <w:noProof/>
            </w:rPr>
            <w:fldChar w:fldCharType="end"/>
          </w:r>
        </w:p>
        <w:p w14:paraId="127F6029" w14:textId="0D6CCDE5"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II</w:t>
          </w:r>
          <w:r>
            <w:rPr>
              <w:rFonts w:eastAsiaTheme="minorEastAsia" w:cstheme="minorBidi"/>
              <w:noProof/>
              <w:kern w:val="2"/>
              <w:sz w:val="24"/>
              <w:szCs w:val="24"/>
              <w:lang w:val="en-GB" w:eastAsia="en-GB"/>
              <w14:ligatures w14:val="standardContextual"/>
            </w:rPr>
            <w:tab/>
          </w:r>
          <w:r w:rsidRPr="006D2535">
            <w:rPr>
              <w:noProof/>
              <w:lang w:val="es-ES_tradnl"/>
            </w:rPr>
            <w:t>Contribuciones de los miembros</w:t>
          </w:r>
          <w:r>
            <w:rPr>
              <w:noProof/>
            </w:rPr>
            <w:tab/>
          </w:r>
          <w:r>
            <w:rPr>
              <w:noProof/>
            </w:rPr>
            <w:fldChar w:fldCharType="begin"/>
          </w:r>
          <w:r>
            <w:rPr>
              <w:noProof/>
            </w:rPr>
            <w:instrText xml:space="preserve"> PAGEREF _Toc209777782 \h </w:instrText>
          </w:r>
          <w:r>
            <w:rPr>
              <w:noProof/>
            </w:rPr>
          </w:r>
          <w:r>
            <w:rPr>
              <w:noProof/>
            </w:rPr>
            <w:fldChar w:fldCharType="separate"/>
          </w:r>
          <w:r w:rsidR="00C2190F">
            <w:rPr>
              <w:noProof/>
            </w:rPr>
            <w:t>27</w:t>
          </w:r>
          <w:r>
            <w:rPr>
              <w:noProof/>
            </w:rPr>
            <w:fldChar w:fldCharType="end"/>
          </w:r>
        </w:p>
        <w:p w14:paraId="3B98B5C0" w14:textId="4798AF48" w:rsidR="00CF1A3C" w:rsidRDefault="00CF1A3C">
          <w:pPr>
            <w:pStyle w:val="TOC4"/>
            <w:rPr>
              <w:rFonts w:eastAsiaTheme="minorEastAsia" w:cstheme="minorBidi"/>
              <w:noProof/>
              <w:kern w:val="2"/>
              <w:sz w:val="24"/>
              <w:szCs w:val="24"/>
              <w:lang w:val="en-GB" w:eastAsia="en-GB"/>
              <w14:ligatures w14:val="standardContextual"/>
            </w:rPr>
          </w:pPr>
          <w:r w:rsidRPr="006D2535">
            <w:rPr>
              <w:noProof/>
              <w:lang w:val="es-ES_tradnl"/>
            </w:rPr>
            <w:t>Apéndice III</w:t>
          </w:r>
          <w:r>
            <w:rPr>
              <w:rFonts w:eastAsiaTheme="minorEastAsia" w:cstheme="minorBidi"/>
              <w:noProof/>
              <w:kern w:val="2"/>
              <w:sz w:val="24"/>
              <w:szCs w:val="24"/>
              <w:lang w:val="en-GB" w:eastAsia="en-GB"/>
              <w14:ligatures w14:val="standardContextual"/>
            </w:rPr>
            <w:tab/>
          </w:r>
          <w:r w:rsidRPr="006D2535">
            <w:rPr>
              <w:noProof/>
              <w:lang w:val="es-ES_tradnl"/>
            </w:rPr>
            <w:t>Definición de fuentes de ingresos y categorías de gastos</w:t>
          </w:r>
          <w:r>
            <w:rPr>
              <w:noProof/>
            </w:rPr>
            <w:tab/>
          </w:r>
          <w:r>
            <w:rPr>
              <w:noProof/>
            </w:rPr>
            <w:fldChar w:fldCharType="begin"/>
          </w:r>
          <w:r>
            <w:rPr>
              <w:noProof/>
            </w:rPr>
            <w:instrText xml:space="preserve"> PAGEREF _Toc209777783 \h </w:instrText>
          </w:r>
          <w:r>
            <w:rPr>
              <w:noProof/>
            </w:rPr>
          </w:r>
          <w:r>
            <w:rPr>
              <w:noProof/>
            </w:rPr>
            <w:fldChar w:fldCharType="separate"/>
          </w:r>
          <w:r w:rsidR="00C2190F">
            <w:rPr>
              <w:noProof/>
            </w:rPr>
            <w:t>29</w:t>
          </w:r>
          <w:r>
            <w:rPr>
              <w:noProof/>
            </w:rPr>
            <w:fldChar w:fldCharType="end"/>
          </w:r>
        </w:p>
        <w:p w14:paraId="574746AB" w14:textId="6C814AB5" w:rsidR="00B65EDC" w:rsidRPr="00E675E8" w:rsidRDefault="00B65EDC" w:rsidP="00B65EDC">
          <w:pPr>
            <w:rPr>
              <w:lang w:val="es-ES_tradnl"/>
            </w:rPr>
          </w:pPr>
          <w:r w:rsidRPr="00E675E8">
            <w:rPr>
              <w:rFonts w:cstheme="minorHAnsi"/>
              <w:lang w:val="es-ES_tradnl"/>
            </w:rPr>
            <w:fldChar w:fldCharType="end"/>
          </w:r>
        </w:p>
      </w:sdtContent>
    </w:sdt>
    <w:p w14:paraId="646EE436" w14:textId="77777777" w:rsidR="00B65EDC" w:rsidRPr="00E675E8" w:rsidRDefault="00B65EDC" w:rsidP="00FC7FED">
      <w:pPr>
        <w:pStyle w:val="Heading1"/>
        <w:numPr>
          <w:ilvl w:val="0"/>
          <w:numId w:val="6"/>
        </w:numPr>
        <w:rPr>
          <w:lang w:val="es-ES_tradnl"/>
        </w:rPr>
      </w:pPr>
      <w:bookmarkStart w:id="12" w:name="_Toc63091087"/>
      <w:bookmarkStart w:id="13" w:name="_Toc63091284"/>
      <w:bookmarkStart w:id="14" w:name="_Toc63091814"/>
      <w:bookmarkStart w:id="15" w:name="_Toc63177676"/>
      <w:bookmarkStart w:id="16" w:name="_Toc63177802"/>
      <w:bookmarkStart w:id="17" w:name="_Toc63178431"/>
      <w:bookmarkStart w:id="18" w:name="_Toc63182523"/>
      <w:bookmarkStart w:id="19" w:name="_Toc63091088"/>
      <w:bookmarkStart w:id="20" w:name="_Toc63091285"/>
      <w:bookmarkStart w:id="21" w:name="_Toc63091815"/>
      <w:bookmarkStart w:id="22" w:name="_Toc63177677"/>
      <w:bookmarkStart w:id="23" w:name="_Toc63177803"/>
      <w:bookmarkStart w:id="24" w:name="_Toc63178432"/>
      <w:bookmarkStart w:id="25" w:name="_Toc63182524"/>
      <w:bookmarkStart w:id="26" w:name="_Toc63177678"/>
      <w:bookmarkStart w:id="27" w:name="_Toc63177804"/>
      <w:bookmarkStart w:id="28" w:name="_Toc63178433"/>
      <w:bookmarkStart w:id="29" w:name="_Toc63182525"/>
      <w:bookmarkStart w:id="30" w:name="_Toc63177679"/>
      <w:bookmarkStart w:id="31" w:name="_Toc63177805"/>
      <w:bookmarkStart w:id="32" w:name="_Toc63178434"/>
      <w:bookmarkStart w:id="33" w:name="_Toc63182526"/>
      <w:bookmarkStart w:id="34" w:name="_Toc63177680"/>
      <w:bookmarkStart w:id="35" w:name="_Toc63177806"/>
      <w:bookmarkStart w:id="36" w:name="_Toc63178435"/>
      <w:bookmarkStart w:id="37" w:name="_Toc63182527"/>
      <w:bookmarkStart w:id="38" w:name="_Toc63177681"/>
      <w:bookmarkStart w:id="39" w:name="_Toc63177807"/>
      <w:bookmarkStart w:id="40" w:name="_Toc63178436"/>
      <w:bookmarkStart w:id="41" w:name="_Toc63182528"/>
      <w:bookmarkStart w:id="42" w:name="_Toc63177682"/>
      <w:bookmarkStart w:id="43" w:name="_Toc63177808"/>
      <w:bookmarkStart w:id="44" w:name="_Toc63178437"/>
      <w:bookmarkStart w:id="45" w:name="_Toc63182529"/>
      <w:bookmarkStart w:id="46" w:name="_Toc63177683"/>
      <w:bookmarkStart w:id="47" w:name="_Toc63177809"/>
      <w:bookmarkStart w:id="48" w:name="_Toc63178438"/>
      <w:bookmarkStart w:id="49" w:name="_Toc63182530"/>
      <w:bookmarkStart w:id="50" w:name="_Toc63177684"/>
      <w:bookmarkStart w:id="51" w:name="_Toc63177810"/>
      <w:bookmarkStart w:id="52" w:name="_Toc63178439"/>
      <w:bookmarkStart w:id="53" w:name="_Toc63182531"/>
      <w:bookmarkStart w:id="54" w:name="_Toc63177685"/>
      <w:bookmarkStart w:id="55" w:name="_Toc63177811"/>
      <w:bookmarkStart w:id="56" w:name="_Toc63178440"/>
      <w:bookmarkStart w:id="57" w:name="_Toc63182532"/>
      <w:bookmarkStart w:id="58" w:name="_Toc63177686"/>
      <w:bookmarkStart w:id="59" w:name="_Toc63177812"/>
      <w:bookmarkStart w:id="60" w:name="_Toc63178441"/>
      <w:bookmarkStart w:id="61" w:name="_Toc63182533"/>
      <w:bookmarkStart w:id="62" w:name="_Toc63177687"/>
      <w:bookmarkStart w:id="63" w:name="_Toc63177813"/>
      <w:bookmarkStart w:id="64" w:name="_Toc63178442"/>
      <w:bookmarkStart w:id="65" w:name="_Toc63182534"/>
      <w:bookmarkStart w:id="66" w:name="_Toc63177688"/>
      <w:bookmarkStart w:id="67" w:name="_Toc63177814"/>
      <w:bookmarkStart w:id="68" w:name="_Toc63178443"/>
      <w:bookmarkStart w:id="69" w:name="_Toc63182535"/>
      <w:bookmarkStart w:id="70" w:name="_Toc63177689"/>
      <w:bookmarkStart w:id="71" w:name="_Toc63177815"/>
      <w:bookmarkStart w:id="72" w:name="_Toc63178444"/>
      <w:bookmarkStart w:id="73" w:name="_Toc63182536"/>
      <w:bookmarkStart w:id="74" w:name="_Toc63177690"/>
      <w:bookmarkStart w:id="75" w:name="_Toc63177816"/>
      <w:bookmarkStart w:id="76" w:name="_Toc63178445"/>
      <w:bookmarkStart w:id="77" w:name="_Toc63182537"/>
      <w:bookmarkStart w:id="78" w:name="_Toc63177691"/>
      <w:bookmarkStart w:id="79" w:name="_Toc63177817"/>
      <w:bookmarkStart w:id="80" w:name="_Toc63178446"/>
      <w:bookmarkStart w:id="81" w:name="_Toc63182538"/>
      <w:bookmarkStart w:id="82" w:name="_Toc63177692"/>
      <w:bookmarkStart w:id="83" w:name="_Toc63177818"/>
      <w:bookmarkStart w:id="84" w:name="_Toc63178447"/>
      <w:bookmarkStart w:id="85" w:name="_Toc63182539"/>
      <w:bookmarkStart w:id="86" w:name="_Toc63177693"/>
      <w:bookmarkStart w:id="87" w:name="_Toc63177819"/>
      <w:bookmarkStart w:id="88" w:name="_Toc63178448"/>
      <w:bookmarkStart w:id="89" w:name="_Toc63182540"/>
      <w:bookmarkStart w:id="90" w:name="_Toc63177694"/>
      <w:bookmarkStart w:id="91" w:name="_Toc63177820"/>
      <w:bookmarkStart w:id="92" w:name="_Toc63178449"/>
      <w:bookmarkStart w:id="93" w:name="_Toc63182541"/>
      <w:bookmarkStart w:id="94" w:name="_Toc63177695"/>
      <w:bookmarkStart w:id="95" w:name="_Toc63177821"/>
      <w:bookmarkStart w:id="96" w:name="_Toc63178450"/>
      <w:bookmarkStart w:id="97" w:name="_Toc63182542"/>
      <w:bookmarkStart w:id="98" w:name="_Toc63177696"/>
      <w:bookmarkStart w:id="99" w:name="_Toc63177822"/>
      <w:bookmarkStart w:id="100" w:name="_Toc63178451"/>
      <w:bookmarkStart w:id="101" w:name="_Toc63182543"/>
      <w:bookmarkStart w:id="102" w:name="_Toc63177697"/>
      <w:bookmarkStart w:id="103" w:name="_Toc63177823"/>
      <w:bookmarkStart w:id="104" w:name="_Toc63178452"/>
      <w:bookmarkStart w:id="105" w:name="_Toc63182544"/>
      <w:bookmarkStart w:id="106" w:name="_Toc63177698"/>
      <w:bookmarkStart w:id="107" w:name="_Toc63177824"/>
      <w:bookmarkStart w:id="108" w:name="_Toc63178453"/>
      <w:bookmarkStart w:id="109" w:name="_Toc63182545"/>
      <w:bookmarkStart w:id="110" w:name="_Toc63177699"/>
      <w:bookmarkStart w:id="111" w:name="_Toc63177825"/>
      <w:bookmarkStart w:id="112" w:name="_Toc63178454"/>
      <w:bookmarkStart w:id="113" w:name="_Toc63182546"/>
      <w:bookmarkStart w:id="114" w:name="_Toc63177700"/>
      <w:bookmarkStart w:id="115" w:name="_Toc63177826"/>
      <w:bookmarkStart w:id="116" w:name="_Toc63178455"/>
      <w:bookmarkStart w:id="117" w:name="_Toc63182547"/>
      <w:bookmarkStart w:id="118" w:name="_Toc63177701"/>
      <w:bookmarkStart w:id="119" w:name="_Toc63177827"/>
      <w:bookmarkStart w:id="120" w:name="_Toc63178456"/>
      <w:bookmarkStart w:id="121" w:name="_Toc63182548"/>
      <w:bookmarkStart w:id="122" w:name="_Toc63177702"/>
      <w:bookmarkStart w:id="123" w:name="_Toc63177828"/>
      <w:bookmarkStart w:id="124" w:name="_Toc63178457"/>
      <w:bookmarkStart w:id="125" w:name="_Toc63182549"/>
      <w:bookmarkStart w:id="126" w:name="_Toc63177703"/>
      <w:bookmarkStart w:id="127" w:name="_Toc63177829"/>
      <w:bookmarkStart w:id="128" w:name="_Toc63178458"/>
      <w:bookmarkStart w:id="129" w:name="_Toc63182550"/>
      <w:bookmarkStart w:id="130" w:name="_Toc63177704"/>
      <w:bookmarkStart w:id="131" w:name="_Toc63177830"/>
      <w:bookmarkStart w:id="132" w:name="_Toc63178459"/>
      <w:bookmarkStart w:id="133" w:name="_Toc63182551"/>
      <w:bookmarkStart w:id="134" w:name="_Toc63177705"/>
      <w:bookmarkStart w:id="135" w:name="_Toc63177831"/>
      <w:bookmarkStart w:id="136" w:name="_Toc63178460"/>
      <w:bookmarkStart w:id="137" w:name="_Toc63182552"/>
      <w:bookmarkStart w:id="138" w:name="_Toc63177706"/>
      <w:bookmarkStart w:id="139" w:name="_Toc63177832"/>
      <w:bookmarkStart w:id="140" w:name="_Toc63178461"/>
      <w:bookmarkStart w:id="141" w:name="_Toc63182553"/>
      <w:bookmarkStart w:id="142" w:name="_Toc63177707"/>
      <w:bookmarkStart w:id="143" w:name="_Toc63177833"/>
      <w:bookmarkStart w:id="144" w:name="_Toc63178462"/>
      <w:bookmarkStart w:id="145" w:name="_Toc63182554"/>
      <w:bookmarkStart w:id="146" w:name="_Toc63177708"/>
      <w:bookmarkStart w:id="147" w:name="_Toc63177834"/>
      <w:bookmarkStart w:id="148" w:name="_Toc63178463"/>
      <w:bookmarkStart w:id="149" w:name="_Toc63182555"/>
      <w:bookmarkStart w:id="150" w:name="_Toc63177709"/>
      <w:bookmarkStart w:id="151" w:name="_Toc63177835"/>
      <w:bookmarkStart w:id="152" w:name="_Toc63178464"/>
      <w:bookmarkStart w:id="153" w:name="_Toc63182556"/>
      <w:bookmarkStart w:id="154" w:name="_Toc63177710"/>
      <w:bookmarkStart w:id="155" w:name="_Toc63177836"/>
      <w:bookmarkStart w:id="156" w:name="_Toc63178465"/>
      <w:bookmarkStart w:id="157" w:name="_Toc63182557"/>
      <w:bookmarkStart w:id="158" w:name="_Toc63177711"/>
      <w:bookmarkStart w:id="159" w:name="_Toc63177837"/>
      <w:bookmarkStart w:id="160" w:name="_Toc63178466"/>
      <w:bookmarkStart w:id="161" w:name="_Toc63182558"/>
      <w:bookmarkStart w:id="162" w:name="_Toc63177712"/>
      <w:bookmarkStart w:id="163" w:name="_Toc63177838"/>
      <w:bookmarkStart w:id="164" w:name="_Toc63178467"/>
      <w:bookmarkStart w:id="165" w:name="_Toc63182559"/>
      <w:bookmarkStart w:id="166" w:name="_Toc63177713"/>
      <w:bookmarkStart w:id="167" w:name="_Toc63177839"/>
      <w:bookmarkStart w:id="168" w:name="_Toc63178468"/>
      <w:bookmarkStart w:id="169" w:name="_Toc63182560"/>
      <w:bookmarkStart w:id="170" w:name="_Toc63177714"/>
      <w:bookmarkStart w:id="171" w:name="_Toc63177840"/>
      <w:bookmarkStart w:id="172" w:name="_Toc63178469"/>
      <w:bookmarkStart w:id="173" w:name="_Toc63182561"/>
      <w:bookmarkStart w:id="174" w:name="_Toc63177715"/>
      <w:bookmarkStart w:id="175" w:name="_Toc63177841"/>
      <w:bookmarkStart w:id="176" w:name="_Toc63178470"/>
      <w:bookmarkStart w:id="177" w:name="_Toc63182562"/>
      <w:bookmarkStart w:id="178" w:name="_Toc63177716"/>
      <w:bookmarkStart w:id="179" w:name="_Toc63177842"/>
      <w:bookmarkStart w:id="180" w:name="_Toc63178471"/>
      <w:bookmarkStart w:id="181" w:name="_Toc63182563"/>
      <w:bookmarkStart w:id="182" w:name="_Toc63177717"/>
      <w:bookmarkStart w:id="183" w:name="_Toc63177843"/>
      <w:bookmarkStart w:id="184" w:name="_Toc63178472"/>
      <w:bookmarkStart w:id="185" w:name="_Toc63182564"/>
      <w:bookmarkStart w:id="186" w:name="_Toc63177718"/>
      <w:bookmarkStart w:id="187" w:name="_Toc63177844"/>
      <w:bookmarkStart w:id="188" w:name="_Toc63178473"/>
      <w:bookmarkStart w:id="189" w:name="_Toc63182565"/>
      <w:bookmarkStart w:id="190" w:name="_Toc63177719"/>
      <w:bookmarkStart w:id="191" w:name="_Toc63177845"/>
      <w:bookmarkStart w:id="192" w:name="_Toc63178474"/>
      <w:bookmarkStart w:id="193" w:name="_Toc63182566"/>
      <w:bookmarkStart w:id="194" w:name="_Toc63177720"/>
      <w:bookmarkStart w:id="195" w:name="_Toc63177846"/>
      <w:bookmarkStart w:id="196" w:name="_Toc63178475"/>
      <w:bookmarkStart w:id="197" w:name="_Toc63182567"/>
      <w:bookmarkStart w:id="198" w:name="_Toc63177721"/>
      <w:bookmarkStart w:id="199" w:name="_Toc63177847"/>
      <w:bookmarkStart w:id="200" w:name="_Toc63178476"/>
      <w:bookmarkStart w:id="201" w:name="_Toc63182568"/>
      <w:bookmarkStart w:id="202" w:name="_Toc63177722"/>
      <w:bookmarkStart w:id="203" w:name="_Toc63177848"/>
      <w:bookmarkStart w:id="204" w:name="_Toc63178477"/>
      <w:bookmarkStart w:id="205" w:name="_Toc63182569"/>
      <w:bookmarkStart w:id="206" w:name="_Toc63177723"/>
      <w:bookmarkStart w:id="207" w:name="_Toc63177849"/>
      <w:bookmarkStart w:id="208" w:name="_Toc63178478"/>
      <w:bookmarkStart w:id="209" w:name="_Toc63182570"/>
      <w:bookmarkStart w:id="210" w:name="_Toc63177724"/>
      <w:bookmarkStart w:id="211" w:name="_Toc63177850"/>
      <w:bookmarkStart w:id="212" w:name="_Toc63178479"/>
      <w:bookmarkStart w:id="213" w:name="_Toc63182571"/>
      <w:bookmarkStart w:id="214" w:name="_Toc63177725"/>
      <w:bookmarkStart w:id="215" w:name="_Toc63177851"/>
      <w:bookmarkStart w:id="216" w:name="_Toc63178480"/>
      <w:bookmarkStart w:id="217" w:name="_Toc63182572"/>
      <w:bookmarkStart w:id="218" w:name="_Toc63177726"/>
      <w:bookmarkStart w:id="219" w:name="_Toc63177852"/>
      <w:bookmarkStart w:id="220" w:name="_Toc63178481"/>
      <w:bookmarkStart w:id="221" w:name="_Toc63182573"/>
      <w:bookmarkStart w:id="222" w:name="_Toc63177727"/>
      <w:bookmarkStart w:id="223" w:name="_Toc63177853"/>
      <w:bookmarkStart w:id="224" w:name="_Toc63178482"/>
      <w:bookmarkStart w:id="225" w:name="_Toc63182574"/>
      <w:bookmarkStart w:id="226" w:name="_Toc63177728"/>
      <w:bookmarkStart w:id="227" w:name="_Toc63177854"/>
      <w:bookmarkStart w:id="228" w:name="_Toc63178483"/>
      <w:bookmarkStart w:id="229" w:name="_Toc63182575"/>
      <w:bookmarkStart w:id="230" w:name="_Toc63177729"/>
      <w:bookmarkStart w:id="231" w:name="_Toc63177855"/>
      <w:bookmarkStart w:id="232" w:name="_Toc63178484"/>
      <w:bookmarkStart w:id="233" w:name="_Toc63182576"/>
      <w:bookmarkStart w:id="234" w:name="_Toc63177730"/>
      <w:bookmarkStart w:id="235" w:name="_Toc63177856"/>
      <w:bookmarkStart w:id="236" w:name="_Toc63178485"/>
      <w:bookmarkStart w:id="237" w:name="_Toc63182577"/>
      <w:bookmarkStart w:id="238" w:name="_Toc63177731"/>
      <w:bookmarkStart w:id="239" w:name="_Toc63177857"/>
      <w:bookmarkStart w:id="240" w:name="_Toc63178486"/>
      <w:bookmarkStart w:id="241" w:name="_Toc63182578"/>
      <w:bookmarkStart w:id="242" w:name="_Toc63177732"/>
      <w:bookmarkStart w:id="243" w:name="_Toc63177858"/>
      <w:bookmarkStart w:id="244" w:name="_Toc63178487"/>
      <w:bookmarkStart w:id="245" w:name="_Toc63182579"/>
      <w:bookmarkStart w:id="246" w:name="_Toc63177733"/>
      <w:bookmarkStart w:id="247" w:name="_Toc63177859"/>
      <w:bookmarkStart w:id="248" w:name="_Toc63178488"/>
      <w:bookmarkStart w:id="249" w:name="_Toc63182580"/>
      <w:bookmarkStart w:id="250" w:name="_Toc63177734"/>
      <w:bookmarkStart w:id="251" w:name="_Toc63177860"/>
      <w:bookmarkStart w:id="252" w:name="_Toc63178489"/>
      <w:bookmarkStart w:id="253" w:name="_Toc63182581"/>
      <w:bookmarkStart w:id="254" w:name="_Toc63177735"/>
      <w:bookmarkStart w:id="255" w:name="_Toc63177861"/>
      <w:bookmarkStart w:id="256" w:name="_Toc63178490"/>
      <w:bookmarkStart w:id="257" w:name="_Toc63182582"/>
      <w:bookmarkStart w:id="258" w:name="_Toc63177736"/>
      <w:bookmarkStart w:id="259" w:name="_Toc63177862"/>
      <w:bookmarkStart w:id="260" w:name="_Toc63178491"/>
      <w:bookmarkStart w:id="261" w:name="_Toc63182583"/>
      <w:bookmarkStart w:id="262" w:name="_Toc63177737"/>
      <w:bookmarkStart w:id="263" w:name="_Toc63177863"/>
      <w:bookmarkStart w:id="264" w:name="_Toc63178492"/>
      <w:bookmarkStart w:id="265" w:name="_Toc63182584"/>
      <w:bookmarkStart w:id="266" w:name="_Toc63177738"/>
      <w:bookmarkStart w:id="267" w:name="_Toc63177864"/>
      <w:bookmarkStart w:id="268" w:name="_Toc63178493"/>
      <w:bookmarkStart w:id="269" w:name="_Toc63182585"/>
      <w:bookmarkStart w:id="270" w:name="_Toc63177739"/>
      <w:bookmarkStart w:id="271" w:name="_Toc63177865"/>
      <w:bookmarkStart w:id="272" w:name="_Toc63178494"/>
      <w:bookmarkStart w:id="273" w:name="_Toc63182586"/>
      <w:bookmarkStart w:id="274" w:name="_Toc63177740"/>
      <w:bookmarkStart w:id="275" w:name="_Toc63177866"/>
      <w:bookmarkStart w:id="276" w:name="_Toc63178495"/>
      <w:bookmarkStart w:id="277" w:name="_Toc63182587"/>
      <w:bookmarkStart w:id="278" w:name="_Toc63177741"/>
      <w:bookmarkStart w:id="279" w:name="_Toc63177867"/>
      <w:bookmarkStart w:id="280" w:name="_Toc63178496"/>
      <w:bookmarkStart w:id="281" w:name="_Toc63182588"/>
      <w:bookmarkStart w:id="282" w:name="_Toc63177742"/>
      <w:bookmarkStart w:id="283" w:name="_Toc63177868"/>
      <w:bookmarkStart w:id="284" w:name="_Toc63178497"/>
      <w:bookmarkStart w:id="285" w:name="_Toc63182589"/>
      <w:bookmarkStart w:id="286" w:name="_Toc63177743"/>
      <w:bookmarkStart w:id="287" w:name="_Toc63177869"/>
      <w:bookmarkStart w:id="288" w:name="_Toc63178498"/>
      <w:bookmarkStart w:id="289" w:name="_Toc63182590"/>
      <w:bookmarkStart w:id="290" w:name="_Toc63177744"/>
      <w:bookmarkStart w:id="291" w:name="_Toc63177870"/>
      <w:bookmarkStart w:id="292" w:name="_Toc63178499"/>
      <w:bookmarkStart w:id="293" w:name="_Toc63182591"/>
      <w:bookmarkStart w:id="294" w:name="_Toc63177745"/>
      <w:bookmarkStart w:id="295" w:name="_Toc63177871"/>
      <w:bookmarkStart w:id="296" w:name="_Toc63178500"/>
      <w:bookmarkStart w:id="297" w:name="_Toc63182592"/>
      <w:bookmarkStart w:id="298" w:name="_Toc63177746"/>
      <w:bookmarkStart w:id="299" w:name="_Toc63177872"/>
      <w:bookmarkStart w:id="300" w:name="_Toc63178501"/>
      <w:bookmarkStart w:id="301" w:name="_Toc63182593"/>
      <w:bookmarkStart w:id="302" w:name="_Toc63177747"/>
      <w:bookmarkStart w:id="303" w:name="_Toc63177873"/>
      <w:bookmarkStart w:id="304" w:name="_Toc63178502"/>
      <w:bookmarkStart w:id="305" w:name="_Toc63182594"/>
      <w:bookmarkStart w:id="306" w:name="_Toc63177748"/>
      <w:bookmarkStart w:id="307" w:name="_Toc63177874"/>
      <w:bookmarkStart w:id="308" w:name="_Toc63178503"/>
      <w:bookmarkStart w:id="309" w:name="_Toc63182595"/>
      <w:bookmarkStart w:id="310" w:name="_Toc63177749"/>
      <w:bookmarkStart w:id="311" w:name="_Toc63177875"/>
      <w:bookmarkStart w:id="312" w:name="_Toc63178504"/>
      <w:bookmarkStart w:id="313" w:name="_Toc63182596"/>
      <w:bookmarkStart w:id="314" w:name="_Toc63177750"/>
      <w:bookmarkStart w:id="315" w:name="_Toc63177876"/>
      <w:bookmarkStart w:id="316" w:name="_Toc63178505"/>
      <w:bookmarkStart w:id="317" w:name="_Toc63182597"/>
      <w:bookmarkStart w:id="318" w:name="_Toc63177751"/>
      <w:bookmarkStart w:id="319" w:name="_Toc63177877"/>
      <w:bookmarkStart w:id="320" w:name="_Toc63178506"/>
      <w:bookmarkStart w:id="321" w:name="_Toc63182598"/>
      <w:bookmarkStart w:id="322" w:name="_Toc63177752"/>
      <w:bookmarkStart w:id="323" w:name="_Toc63177878"/>
      <w:bookmarkStart w:id="324" w:name="_Toc63178507"/>
      <w:bookmarkStart w:id="325" w:name="_Toc63182599"/>
      <w:bookmarkStart w:id="326" w:name="_Toc63177753"/>
      <w:bookmarkStart w:id="327" w:name="_Toc63177879"/>
      <w:bookmarkStart w:id="328" w:name="_Toc63178508"/>
      <w:bookmarkStart w:id="329" w:name="_Toc63182600"/>
      <w:bookmarkStart w:id="330" w:name="_Toc63177754"/>
      <w:bookmarkStart w:id="331" w:name="_Toc63177880"/>
      <w:bookmarkStart w:id="332" w:name="_Toc63178509"/>
      <w:bookmarkStart w:id="333" w:name="_Toc63182601"/>
      <w:bookmarkStart w:id="334" w:name="_Toc63177755"/>
      <w:bookmarkStart w:id="335" w:name="_Toc63177881"/>
      <w:bookmarkStart w:id="336" w:name="_Toc63178510"/>
      <w:bookmarkStart w:id="337" w:name="_Toc63182602"/>
      <w:bookmarkStart w:id="338" w:name="_Toc63177756"/>
      <w:bookmarkStart w:id="339" w:name="_Toc63177882"/>
      <w:bookmarkStart w:id="340" w:name="_Toc63178511"/>
      <w:bookmarkStart w:id="341" w:name="_Toc63182603"/>
      <w:bookmarkStart w:id="342" w:name="_Toc63177757"/>
      <w:bookmarkStart w:id="343" w:name="_Toc63177883"/>
      <w:bookmarkStart w:id="344" w:name="_Toc63178512"/>
      <w:bookmarkStart w:id="345" w:name="_Toc63182604"/>
      <w:bookmarkStart w:id="346" w:name="_Toc63177758"/>
      <w:bookmarkStart w:id="347" w:name="_Toc63177884"/>
      <w:bookmarkStart w:id="348" w:name="_Toc63178513"/>
      <w:bookmarkStart w:id="349" w:name="_Toc63182605"/>
      <w:bookmarkStart w:id="350" w:name="_Toc63177759"/>
      <w:bookmarkStart w:id="351" w:name="_Toc63177885"/>
      <w:bookmarkStart w:id="352" w:name="_Toc63178514"/>
      <w:bookmarkStart w:id="353" w:name="_Toc63182606"/>
      <w:bookmarkStart w:id="354" w:name="_Toc63177760"/>
      <w:bookmarkStart w:id="355" w:name="_Toc63177886"/>
      <w:bookmarkStart w:id="356" w:name="_Toc63178515"/>
      <w:bookmarkStart w:id="357" w:name="_Toc63182607"/>
      <w:bookmarkStart w:id="358" w:name="_Toc63177761"/>
      <w:bookmarkStart w:id="359" w:name="_Toc63177887"/>
      <w:bookmarkStart w:id="360" w:name="_Toc63178516"/>
      <w:bookmarkStart w:id="361" w:name="_Toc63182608"/>
      <w:bookmarkStart w:id="362" w:name="_Toc63177762"/>
      <w:bookmarkStart w:id="363" w:name="_Toc63177888"/>
      <w:bookmarkStart w:id="364" w:name="_Toc63178517"/>
      <w:bookmarkStart w:id="365" w:name="_Toc63182609"/>
      <w:bookmarkStart w:id="366" w:name="_Toc63177763"/>
      <w:bookmarkStart w:id="367" w:name="_Toc63177889"/>
      <w:bookmarkStart w:id="368" w:name="_Toc63178518"/>
      <w:bookmarkStart w:id="369" w:name="_Toc63182610"/>
      <w:bookmarkStart w:id="370" w:name="_Toc63177764"/>
      <w:bookmarkStart w:id="371" w:name="_Toc63177890"/>
      <w:bookmarkStart w:id="372" w:name="_Toc63178519"/>
      <w:bookmarkStart w:id="373" w:name="_Toc63182611"/>
      <w:bookmarkStart w:id="374" w:name="_Toc63177765"/>
      <w:bookmarkStart w:id="375" w:name="_Toc63177891"/>
      <w:bookmarkStart w:id="376" w:name="_Toc63178520"/>
      <w:bookmarkStart w:id="377" w:name="_Toc63182612"/>
      <w:bookmarkStart w:id="378" w:name="_Toc63177766"/>
      <w:bookmarkStart w:id="379" w:name="_Toc63177892"/>
      <w:bookmarkStart w:id="380" w:name="_Toc63178521"/>
      <w:bookmarkStart w:id="381" w:name="_Toc63182613"/>
      <w:bookmarkStart w:id="382" w:name="_Toc63177767"/>
      <w:bookmarkStart w:id="383" w:name="_Toc63177893"/>
      <w:bookmarkStart w:id="384" w:name="_Toc63178522"/>
      <w:bookmarkStart w:id="385" w:name="_Toc63182614"/>
      <w:bookmarkStart w:id="386" w:name="_Toc63177768"/>
      <w:bookmarkStart w:id="387" w:name="_Toc63177894"/>
      <w:bookmarkStart w:id="388" w:name="_Toc63178523"/>
      <w:bookmarkStart w:id="389" w:name="_Toc63182615"/>
      <w:bookmarkStart w:id="390" w:name="_Toc63177769"/>
      <w:bookmarkStart w:id="391" w:name="_Toc63177895"/>
      <w:bookmarkStart w:id="392" w:name="_Toc63178524"/>
      <w:bookmarkStart w:id="393" w:name="_Toc63182616"/>
      <w:bookmarkStart w:id="394" w:name="_Toc63177770"/>
      <w:bookmarkStart w:id="395" w:name="_Toc63177896"/>
      <w:bookmarkStart w:id="396" w:name="_Toc63178525"/>
      <w:bookmarkStart w:id="397" w:name="_Toc63182617"/>
      <w:bookmarkStart w:id="398" w:name="_Toc63177771"/>
      <w:bookmarkStart w:id="399" w:name="_Toc63177897"/>
      <w:bookmarkStart w:id="400" w:name="_Toc63178526"/>
      <w:bookmarkStart w:id="401" w:name="_Toc63182618"/>
      <w:bookmarkStart w:id="402" w:name="_Toc63177772"/>
      <w:bookmarkStart w:id="403" w:name="_Toc63177898"/>
      <w:bookmarkStart w:id="404" w:name="_Toc63178527"/>
      <w:bookmarkStart w:id="405" w:name="_Toc63182619"/>
      <w:bookmarkStart w:id="406" w:name="_Toc63177773"/>
      <w:bookmarkStart w:id="407" w:name="_Toc63177899"/>
      <w:bookmarkStart w:id="408" w:name="_Toc63178528"/>
      <w:bookmarkStart w:id="409" w:name="_Toc63182620"/>
      <w:bookmarkStart w:id="410" w:name="_Toc63177774"/>
      <w:bookmarkStart w:id="411" w:name="_Toc63177900"/>
      <w:bookmarkStart w:id="412" w:name="_Toc63178529"/>
      <w:bookmarkStart w:id="413" w:name="_Toc63182621"/>
      <w:bookmarkStart w:id="414" w:name="_Toc63177775"/>
      <w:bookmarkStart w:id="415" w:name="_Toc63177901"/>
      <w:bookmarkStart w:id="416" w:name="_Toc63178530"/>
      <w:bookmarkStart w:id="417" w:name="_Toc63182622"/>
      <w:bookmarkStart w:id="418" w:name="_Toc63177776"/>
      <w:bookmarkStart w:id="419" w:name="_Toc63177902"/>
      <w:bookmarkStart w:id="420" w:name="_Toc63178531"/>
      <w:bookmarkStart w:id="421" w:name="_Toc63182623"/>
      <w:bookmarkStart w:id="422" w:name="_Toc63177777"/>
      <w:bookmarkStart w:id="423" w:name="_Toc63177903"/>
      <w:bookmarkStart w:id="424" w:name="_Toc63178532"/>
      <w:bookmarkStart w:id="425" w:name="_Toc63182624"/>
      <w:bookmarkStart w:id="426" w:name="_Toc63177778"/>
      <w:bookmarkStart w:id="427" w:name="_Toc63177904"/>
      <w:bookmarkStart w:id="428" w:name="_Toc63178533"/>
      <w:bookmarkStart w:id="429" w:name="_Toc63182625"/>
      <w:bookmarkStart w:id="430" w:name="_Toc20977775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E675E8">
        <w:rPr>
          <w:lang w:val="es-ES_tradnl"/>
        </w:rPr>
        <w:lastRenderedPageBreak/>
        <w:t>Contexto general</w:t>
      </w:r>
      <w:bookmarkEnd w:id="430"/>
    </w:p>
    <w:p w14:paraId="0D35E082" w14:textId="77777777" w:rsidR="00B65EDC" w:rsidRPr="00E675E8" w:rsidRDefault="00B65EDC" w:rsidP="00B65EDC">
      <w:pPr>
        <w:rPr>
          <w:lang w:val="es-ES_tradnl"/>
        </w:rPr>
      </w:pPr>
    </w:p>
    <w:p w14:paraId="66F29C7D" w14:textId="37289F28"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r>
      <w:bookmarkStart w:id="431" w:name="_Hlk191662773"/>
      <w:r w:rsidRPr="00E675E8">
        <w:rPr>
          <w:color w:val="000000" w:themeColor="text1"/>
          <w:lang w:val="es-ES_tradnl"/>
        </w:rPr>
        <w:t>La misión de la UPOV consiste en proporcionar y fomentar un sistema eficaz de protección de las obtenciones vegetales con miras al desarrollo de nuevas variedades vegetales en beneficio de la sociedad.</w:t>
      </w:r>
      <w:r w:rsidR="002817AB" w:rsidRPr="00E675E8">
        <w:rPr>
          <w:color w:val="000000" w:themeColor="text1"/>
          <w:lang w:val="es-ES_tradnl"/>
        </w:rPr>
        <w:t xml:space="preserve"> </w:t>
      </w:r>
    </w:p>
    <w:p w14:paraId="046A4945" w14:textId="77777777" w:rsidR="00B65EDC" w:rsidRPr="00E675E8" w:rsidRDefault="00B65EDC" w:rsidP="00B65EDC">
      <w:pPr>
        <w:rPr>
          <w:lang w:val="es-ES_tradnl"/>
        </w:rPr>
      </w:pPr>
    </w:p>
    <w:p w14:paraId="7C899815" w14:textId="131F5E9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Durante el bienio 2026-2027, la UPOV se centrará en ámbitos prioritarios, de conformidad con su Plan Operativo Estratégico.</w:t>
      </w:r>
      <w:r w:rsidR="002817AB" w:rsidRPr="00E675E8">
        <w:rPr>
          <w:lang w:val="es-ES_tradnl"/>
        </w:rPr>
        <w:t xml:space="preserve"> </w:t>
      </w:r>
      <w:r w:rsidRPr="00E675E8">
        <w:rPr>
          <w:lang w:val="es-ES_tradnl"/>
        </w:rPr>
        <w:t xml:space="preserve">Es algo que ha quedado reflejado en los gastos propuestos para esas áreas prioritarias y en la contención de los </w:t>
      </w:r>
      <w:r w:rsidR="000411C9">
        <w:rPr>
          <w:lang w:val="es-ES_tradnl"/>
        </w:rPr>
        <w:t>gastos</w:t>
      </w:r>
      <w:r w:rsidRPr="00E675E8">
        <w:rPr>
          <w:lang w:val="es-ES_tradnl"/>
        </w:rPr>
        <w:t xml:space="preserve"> de personal.</w:t>
      </w:r>
      <w:r w:rsidR="002817AB" w:rsidRPr="00E675E8">
        <w:rPr>
          <w:lang w:val="es-ES_tradnl"/>
        </w:rPr>
        <w:t xml:space="preserve"> </w:t>
      </w:r>
      <w:r w:rsidR="000411C9">
        <w:rPr>
          <w:lang w:val="es-ES_tradnl"/>
        </w:rPr>
        <w:t xml:space="preserve"> </w:t>
      </w:r>
      <w:r w:rsidRPr="00E675E8">
        <w:rPr>
          <w:lang w:val="es-ES_tradnl"/>
        </w:rPr>
        <w:t>Las labores de comunicación y digitalización desempeñarán un papel clave para lograr los resultados esperados.</w:t>
      </w:r>
      <w:r w:rsidR="002817AB" w:rsidRPr="00E675E8">
        <w:rPr>
          <w:lang w:val="es-ES_tradnl"/>
        </w:rPr>
        <w:t xml:space="preserve"> </w:t>
      </w:r>
      <w:r w:rsidRPr="00E675E8">
        <w:rPr>
          <w:lang w:val="es-ES_tradnl"/>
        </w:rPr>
        <w:t>Mientras no se consiga una financiación adicional, se realizará una evaluación cuidadosa de nuevas iniciativas y se fomentará el uso de herramientas de reuniones virtuales/híbridas y de participación en línea en eventos organizados por terceros, lo que se traducirá en una reducción del tiempo y los costos de viajes.</w:t>
      </w:r>
    </w:p>
    <w:p w14:paraId="459C4A6D" w14:textId="77777777" w:rsidR="00B65EDC" w:rsidRPr="00E675E8" w:rsidRDefault="00B65EDC" w:rsidP="00B65EDC">
      <w:pPr>
        <w:rPr>
          <w:lang w:val="es-ES_tradnl"/>
        </w:rPr>
      </w:pPr>
    </w:p>
    <w:p w14:paraId="17E0078D" w14:textId="4074BF8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2025, se presentará al Consejo de la UPOV una estrategia de recursos (documento</w:t>
      </w:r>
      <w:r w:rsidR="003F289C" w:rsidRPr="00E675E8">
        <w:rPr>
          <w:lang w:val="es-ES_tradnl"/>
        </w:rPr>
        <w:t> </w:t>
      </w:r>
      <w:r w:rsidRPr="00E675E8">
        <w:rPr>
          <w:lang w:val="es-ES_tradnl"/>
        </w:rPr>
        <w:t>C/59/16) que incluirá propuestas para hacer frente a los desafíos y oportunidades financieras con el fin de garantizar el desarrollo sostenible de la UPOV.</w:t>
      </w:r>
    </w:p>
    <w:p w14:paraId="088E586F" w14:textId="77777777" w:rsidR="00B65EDC" w:rsidRPr="00E675E8" w:rsidRDefault="00B65EDC" w:rsidP="00B65EDC">
      <w:pPr>
        <w:rPr>
          <w:bCs/>
          <w:color w:val="000000" w:themeColor="text1"/>
          <w:lang w:val="es-ES_tradnl"/>
        </w:rPr>
      </w:pPr>
    </w:p>
    <w:p w14:paraId="57E3543E" w14:textId="77777777" w:rsidR="00B65EDC" w:rsidRPr="00E675E8" w:rsidRDefault="00B65EDC" w:rsidP="00B65EDC">
      <w:pPr>
        <w:rPr>
          <w:bCs/>
          <w:color w:val="000000" w:themeColor="text1"/>
          <w:lang w:val="es-ES_tradnl"/>
        </w:rPr>
      </w:pPr>
    </w:p>
    <w:p w14:paraId="4723B806" w14:textId="77777777" w:rsidR="00B65EDC" w:rsidRPr="00E675E8" w:rsidRDefault="00B65EDC" w:rsidP="00B65EDC">
      <w:pPr>
        <w:rPr>
          <w:bCs/>
          <w:color w:val="000000" w:themeColor="text1"/>
          <w:u w:val="single"/>
          <w:lang w:val="es-ES_tradnl"/>
        </w:rPr>
      </w:pPr>
      <w:r w:rsidRPr="00E675E8">
        <w:rPr>
          <w:color w:val="000000" w:themeColor="text1"/>
          <w:u w:val="single"/>
          <w:lang w:val="es-ES_tradnl"/>
        </w:rPr>
        <w:t>Ampliación del número de miembros de la UPOV</w:t>
      </w:r>
    </w:p>
    <w:p w14:paraId="40578E6E" w14:textId="77777777" w:rsidR="00B65EDC" w:rsidRPr="00E675E8" w:rsidRDefault="00B65EDC" w:rsidP="00B65EDC">
      <w:pPr>
        <w:rPr>
          <w:bCs/>
          <w:color w:val="000000" w:themeColor="text1"/>
          <w:lang w:val="es-ES_tradnl"/>
        </w:rPr>
      </w:pPr>
    </w:p>
    <w:p w14:paraId="79FFDA0A" w14:textId="636B392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La ampliación de los miembros de la UPOV sigue siendo una prioridad para la organización.</w:t>
      </w:r>
      <w:r w:rsidR="002817AB" w:rsidRPr="00E675E8">
        <w:rPr>
          <w:color w:val="000000" w:themeColor="text1"/>
          <w:lang w:val="es-ES_tradnl"/>
        </w:rPr>
        <w:t xml:space="preserve"> </w:t>
      </w:r>
      <w:r w:rsidRPr="00E675E8">
        <w:rPr>
          <w:color w:val="000000" w:themeColor="text1"/>
          <w:lang w:val="es-ES_tradnl"/>
        </w:rPr>
        <w:t xml:space="preserve">En el bienio 2026-2027, la UPOV seguirá colaborando con las organizaciones internacionales y regionales para integrar esta prioridad en las conversaciones sobre desarrollo (por ejemplo, el papel de la protección de las obtenciones vegetales en los Objetivos de Desarrollo Sostenible, la lucha contra el cambio climático y la contribución a una </w:t>
      </w:r>
      <w:proofErr w:type="gramStart"/>
      <w:r w:rsidRPr="00E675E8">
        <w:rPr>
          <w:color w:val="000000" w:themeColor="text1"/>
          <w:lang w:val="es-ES_tradnl"/>
        </w:rPr>
        <w:t>vida mejor y un planeta mejor</w:t>
      </w:r>
      <w:proofErr w:type="gramEnd"/>
      <w:r w:rsidRPr="00E675E8">
        <w:rPr>
          <w:color w:val="000000" w:themeColor="text1"/>
          <w:lang w:val="es-ES_tradnl"/>
        </w:rPr>
        <w:t>).</w:t>
      </w:r>
      <w:r w:rsidR="002817AB" w:rsidRPr="00E675E8">
        <w:rPr>
          <w:color w:val="000000" w:themeColor="text1"/>
          <w:lang w:val="es-ES_tradnl"/>
        </w:rPr>
        <w:t xml:space="preserve"> </w:t>
      </w:r>
    </w:p>
    <w:p w14:paraId="675CA7CB" w14:textId="77777777" w:rsidR="00B65EDC" w:rsidRPr="00E675E8" w:rsidRDefault="00B65EDC" w:rsidP="00B65EDC">
      <w:pPr>
        <w:rPr>
          <w:bCs/>
          <w:color w:val="000000" w:themeColor="text1"/>
          <w:lang w:val="es-ES_tradnl"/>
        </w:rPr>
      </w:pPr>
    </w:p>
    <w:p w14:paraId="689E01D1" w14:textId="59E37634"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003F289C" w:rsidRPr="00E675E8">
        <w:rPr>
          <w:color w:val="000000" w:themeColor="text1"/>
          <w:lang w:val="es-ES_tradnl"/>
        </w:rPr>
        <w:tab/>
      </w:r>
      <w:r w:rsidRPr="00E675E8">
        <w:rPr>
          <w:color w:val="000000" w:themeColor="text1"/>
          <w:lang w:val="es-ES_tradnl"/>
        </w:rPr>
        <w:t>El creciente interés por la protección de las obtenciones vegetales entre los países de África y el Sudeste Asiático, muchos de los cuales se han adherido o están en vía de adherirse a la UPOV, pone de manifiesto la repercusión de estas iniciativas.</w:t>
      </w:r>
      <w:r w:rsidR="002817AB" w:rsidRPr="00E675E8">
        <w:rPr>
          <w:color w:val="000000" w:themeColor="text1"/>
          <w:lang w:val="es-ES_tradnl"/>
        </w:rPr>
        <w:t xml:space="preserve"> </w:t>
      </w:r>
      <w:r w:rsidRPr="00E675E8">
        <w:rPr>
          <w:color w:val="000000" w:themeColor="text1"/>
          <w:lang w:val="es-ES_tradnl"/>
        </w:rPr>
        <w:t>Al fomentar el acceso a variedades resistentes al clima, el marco de protección de las obtenciones vegetales de la UPOV apoya tanto la productividad como la sostenibilidad en toda la cadena de valor agrícola y hortícola.</w:t>
      </w:r>
    </w:p>
    <w:p w14:paraId="10B89E6C" w14:textId="77777777" w:rsidR="00B65EDC" w:rsidRPr="00E675E8" w:rsidRDefault="00B65EDC" w:rsidP="00B65EDC">
      <w:pPr>
        <w:rPr>
          <w:bCs/>
          <w:color w:val="000000" w:themeColor="text1"/>
          <w:lang w:val="es-ES_tradnl"/>
        </w:rPr>
      </w:pPr>
    </w:p>
    <w:p w14:paraId="15A25381" w14:textId="43F147E1"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También es importante mejorar la cooperación con plataformas regionales como la Organización Regional Africana de la Propiedad Intelectual (ARIPO).</w:t>
      </w:r>
      <w:r w:rsidR="002817AB" w:rsidRPr="00E675E8">
        <w:rPr>
          <w:color w:val="000000" w:themeColor="text1"/>
          <w:lang w:val="es-ES_tradnl"/>
        </w:rPr>
        <w:t xml:space="preserve"> </w:t>
      </w:r>
      <w:r w:rsidRPr="00E675E8">
        <w:rPr>
          <w:color w:val="000000" w:themeColor="text1"/>
          <w:lang w:val="es-ES_tradnl"/>
        </w:rPr>
        <w:t>La entrada en vigor, en noviembre de 2024, del Protocolo de Arusha para la Protección de las Obtenciones Vegetales de la ARIPO, paralelamente al creciente compromiso de dicha organización, demuestra el impulso que se está generando en toda África para reforzar la protección de las obtenciones vegetales y apoyar la innovación agrícola.</w:t>
      </w:r>
    </w:p>
    <w:p w14:paraId="0F6A2D2B" w14:textId="77777777" w:rsidR="00B65EDC" w:rsidRPr="00E675E8" w:rsidRDefault="00B65EDC" w:rsidP="00B65EDC">
      <w:pPr>
        <w:rPr>
          <w:bCs/>
          <w:color w:val="000000" w:themeColor="text1"/>
          <w:lang w:val="es-ES_tradnl"/>
        </w:rPr>
      </w:pPr>
    </w:p>
    <w:p w14:paraId="77539206" w14:textId="77777777" w:rsidR="00B65EDC" w:rsidRPr="00E675E8" w:rsidRDefault="00B65EDC" w:rsidP="00B65EDC">
      <w:pPr>
        <w:rPr>
          <w:bCs/>
          <w:color w:val="000000" w:themeColor="text1"/>
          <w:lang w:val="es-ES_tradnl"/>
        </w:rPr>
      </w:pPr>
    </w:p>
    <w:p w14:paraId="5C15F45A" w14:textId="77777777" w:rsidR="00B65EDC" w:rsidRPr="00E675E8" w:rsidRDefault="00B65EDC" w:rsidP="00B65EDC">
      <w:pPr>
        <w:rPr>
          <w:bCs/>
          <w:color w:val="000000" w:themeColor="text1"/>
          <w:u w:val="single"/>
          <w:lang w:val="es-ES_tradnl"/>
        </w:rPr>
      </w:pPr>
      <w:r w:rsidRPr="00E675E8">
        <w:rPr>
          <w:color w:val="000000" w:themeColor="text1"/>
          <w:u w:val="single"/>
          <w:lang w:val="es-ES_tradnl"/>
        </w:rPr>
        <w:t>Seguridad alimentaria e incidencias climáticas</w:t>
      </w:r>
    </w:p>
    <w:p w14:paraId="514C0A6B" w14:textId="77777777" w:rsidR="00B65EDC" w:rsidRPr="00E675E8" w:rsidRDefault="00B65EDC" w:rsidP="00B65EDC">
      <w:pPr>
        <w:rPr>
          <w:bCs/>
          <w:color w:val="000000" w:themeColor="text1"/>
          <w:lang w:val="es-ES_tradnl"/>
        </w:rPr>
      </w:pPr>
    </w:p>
    <w:p w14:paraId="6D389006" w14:textId="2902742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En su discurso ante el Consejo de la UPOV en octubre de 2024, el secretario general de la UPOV informó de que 2023 fue el año más cálido registrado.</w:t>
      </w:r>
      <w:r w:rsidR="002817AB" w:rsidRPr="00E675E8">
        <w:rPr>
          <w:color w:val="000000" w:themeColor="text1"/>
          <w:lang w:val="es-ES_tradnl"/>
        </w:rPr>
        <w:t xml:space="preserve"> </w:t>
      </w:r>
      <w:r w:rsidRPr="00E675E8">
        <w:rPr>
          <w:color w:val="000000" w:themeColor="text1"/>
          <w:lang w:val="es-ES_tradnl"/>
        </w:rPr>
        <w:t>Al mismo tiempo, más de 860 millones de personas sufren una grave inseguridad alimentaria.</w:t>
      </w:r>
      <w:r w:rsidR="002817AB" w:rsidRPr="00E675E8">
        <w:rPr>
          <w:color w:val="000000" w:themeColor="text1"/>
          <w:lang w:val="es-ES_tradnl"/>
        </w:rPr>
        <w:t xml:space="preserve"> </w:t>
      </w:r>
      <w:r w:rsidRPr="00E675E8">
        <w:rPr>
          <w:color w:val="000000" w:themeColor="text1"/>
          <w:lang w:val="es-ES_tradnl"/>
        </w:rPr>
        <w:t xml:space="preserve">En África, casi el 60 % de la población padece inseguridad alimentaria moderada o grave. </w:t>
      </w:r>
    </w:p>
    <w:p w14:paraId="2DFA1843" w14:textId="77777777" w:rsidR="00B65EDC" w:rsidRPr="00E675E8" w:rsidRDefault="00B65EDC" w:rsidP="00B65EDC">
      <w:pPr>
        <w:rPr>
          <w:bCs/>
          <w:color w:val="000000" w:themeColor="text1"/>
          <w:lang w:val="es-ES_tradnl"/>
        </w:rPr>
      </w:pPr>
    </w:p>
    <w:p w14:paraId="6E819356" w14:textId="5CBCD492"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A medida que aumenta la demanda de alimentos impulsada por el crecimiento demográfico y se intensifican los efectos del cambio climático, la innovación se convierte en un elemento esencial para garantizar la seguridad alimentaria, mejorar la productividad y aumentar la resiliencia.</w:t>
      </w:r>
      <w:r w:rsidR="002817AB" w:rsidRPr="00E675E8">
        <w:rPr>
          <w:color w:val="000000" w:themeColor="text1"/>
          <w:lang w:val="es-ES_tradnl"/>
        </w:rPr>
        <w:t xml:space="preserve"> </w:t>
      </w:r>
      <w:r w:rsidRPr="00E675E8">
        <w:rPr>
          <w:color w:val="000000" w:themeColor="text1"/>
          <w:lang w:val="es-ES_tradnl"/>
        </w:rPr>
        <w:t xml:space="preserve">Estos avances ponen de manifiesto la importancia cada vez mayor de la innovación en los sectores agrícola y hortícola. </w:t>
      </w:r>
    </w:p>
    <w:p w14:paraId="7BFE31A4" w14:textId="77777777" w:rsidR="00B65EDC" w:rsidRPr="00E675E8" w:rsidRDefault="00B65EDC" w:rsidP="00B65EDC">
      <w:pPr>
        <w:rPr>
          <w:bCs/>
          <w:color w:val="000000" w:themeColor="text1"/>
          <w:lang w:val="es-ES_tradnl"/>
        </w:rPr>
      </w:pPr>
    </w:p>
    <w:p w14:paraId="61C353E4" w14:textId="0C68C3CB"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Esto es especialmente importante en los sectores agrícola y hortícola, en los que una parte considerable de la población de muchos países se dedica a la producción y el comercio.</w:t>
      </w:r>
      <w:r w:rsidR="002817AB" w:rsidRPr="00E675E8">
        <w:rPr>
          <w:color w:val="000000" w:themeColor="text1"/>
          <w:lang w:val="es-ES_tradnl"/>
        </w:rPr>
        <w:t xml:space="preserve"> </w:t>
      </w:r>
      <w:r w:rsidRPr="00E675E8">
        <w:rPr>
          <w:color w:val="000000" w:themeColor="text1"/>
          <w:lang w:val="es-ES_tradnl"/>
        </w:rPr>
        <w:t>El marco de protección de la UPOV desempeña un papel fundamental al fomentar la innovación en estos sectores y facilitar el desarrollo y la comercialización de nuevas variedades vegetales.</w:t>
      </w:r>
      <w:r w:rsidR="002817AB" w:rsidRPr="00E675E8">
        <w:rPr>
          <w:color w:val="000000" w:themeColor="text1"/>
          <w:lang w:val="es-ES_tradnl"/>
        </w:rPr>
        <w:t xml:space="preserve"> </w:t>
      </w:r>
      <w:r w:rsidRPr="00E675E8">
        <w:rPr>
          <w:color w:val="000000" w:themeColor="text1"/>
          <w:lang w:val="es-ES_tradnl"/>
        </w:rPr>
        <w:t>Al proteger los derechos de los obtentores, estos pueden recuperar la inversión realizada en su obtención, lo que impulsa la introducción de cultivos de alto rendimiento, resistentes a las plagas y adaptados al clima.</w:t>
      </w:r>
      <w:r w:rsidR="002817AB" w:rsidRPr="00E675E8">
        <w:rPr>
          <w:color w:val="000000" w:themeColor="text1"/>
          <w:lang w:val="es-ES_tradnl"/>
        </w:rPr>
        <w:t xml:space="preserve"> </w:t>
      </w:r>
      <w:r w:rsidRPr="00E675E8">
        <w:rPr>
          <w:color w:val="000000" w:themeColor="text1"/>
          <w:lang w:val="es-ES_tradnl"/>
        </w:rPr>
        <w:t>Las pruebas aportadas por países como Viet </w:t>
      </w:r>
      <w:proofErr w:type="spellStart"/>
      <w:r w:rsidRPr="00E675E8">
        <w:rPr>
          <w:color w:val="000000" w:themeColor="text1"/>
          <w:lang w:val="es-ES_tradnl"/>
        </w:rPr>
        <w:t>Nam</w:t>
      </w:r>
      <w:proofErr w:type="spellEnd"/>
      <w:r w:rsidRPr="00E675E8">
        <w:rPr>
          <w:color w:val="000000" w:themeColor="text1"/>
          <w:lang w:val="es-ES_tradnl"/>
        </w:rPr>
        <w:t xml:space="preserve"> muestran que la protección de las obtenciones vegetales y la pertenencia a la UPOV han dado lugar a un aumento de la inversión del sector privado en el desarrollo de variedades vegetales, lo que ha acelerado la innovación agrícola y el crecimiento económico.</w:t>
      </w:r>
      <w:r w:rsidR="002817AB" w:rsidRPr="00E675E8">
        <w:rPr>
          <w:color w:val="000000" w:themeColor="text1"/>
          <w:lang w:val="es-ES_tradnl"/>
        </w:rPr>
        <w:t xml:space="preserve"> </w:t>
      </w:r>
      <w:r w:rsidRPr="00E675E8">
        <w:rPr>
          <w:color w:val="000000" w:themeColor="text1"/>
          <w:lang w:val="es-ES_tradnl"/>
        </w:rPr>
        <w:t>Al proteger los derechos de los obtentores, no solo se fomenta la innovación, sino que también se impulsa la difusión de las nuevas variedades, lo que aumenta la productividad y la sostenibilidad.</w:t>
      </w:r>
      <w:r w:rsidR="002817AB" w:rsidRPr="00E675E8">
        <w:rPr>
          <w:color w:val="000000" w:themeColor="text1"/>
          <w:lang w:val="es-ES_tradnl"/>
        </w:rPr>
        <w:t xml:space="preserve"> </w:t>
      </w:r>
    </w:p>
    <w:p w14:paraId="5C9AEC95" w14:textId="5992FDC6" w:rsidR="00B65EDC" w:rsidRPr="00E675E8" w:rsidRDefault="00B65EDC" w:rsidP="00B65EDC">
      <w:pPr>
        <w:rPr>
          <w:bCs/>
          <w:color w:val="000000" w:themeColor="text1"/>
          <w:lang w:val="es-ES_tradnl"/>
        </w:rPr>
      </w:pPr>
      <w:r w:rsidRPr="00E675E8">
        <w:rPr>
          <w:color w:val="000000" w:themeColor="text1"/>
          <w:lang w:val="es-ES_tradnl"/>
        </w:rPr>
        <w:lastRenderedPageBreak/>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El sistema de la UPOV, que tiene por fin garantizar que todos los agricultores y cultivadores tengan acceso a variedades vegetales de alta calidad que respondan a sus necesidades y sean resilientes a los cambios climáticos, seguirá desempeñando un papel prioritario.</w:t>
      </w:r>
      <w:r w:rsidR="002817AB" w:rsidRPr="00E675E8">
        <w:rPr>
          <w:color w:val="000000" w:themeColor="text1"/>
          <w:lang w:val="es-ES_tradnl"/>
        </w:rPr>
        <w:t xml:space="preserve"> </w:t>
      </w:r>
      <w:r w:rsidRPr="00E675E8">
        <w:rPr>
          <w:color w:val="000000" w:themeColor="text1"/>
          <w:lang w:val="es-ES_tradnl"/>
        </w:rPr>
        <w:t>Las experiencias exitosas protagonizadas por los usuarios del sistema UPOV serán fundamentales para demostrar sus beneficios.</w:t>
      </w:r>
      <w:r w:rsidR="002817AB" w:rsidRPr="00E675E8">
        <w:rPr>
          <w:color w:val="000000" w:themeColor="text1"/>
          <w:lang w:val="es-ES_tradnl"/>
        </w:rPr>
        <w:t xml:space="preserve"> </w:t>
      </w:r>
      <w:r w:rsidRPr="00E675E8">
        <w:rPr>
          <w:color w:val="000000" w:themeColor="text1"/>
          <w:lang w:val="es-ES_tradnl"/>
        </w:rPr>
        <w:t>En 2026 se organizará un seminario para destacar estas cuestiones.</w:t>
      </w:r>
    </w:p>
    <w:p w14:paraId="3E72E686" w14:textId="77777777" w:rsidR="00B65EDC" w:rsidRPr="00CF1A3C" w:rsidRDefault="00B65EDC" w:rsidP="00B65EDC">
      <w:pPr>
        <w:rPr>
          <w:bCs/>
          <w:color w:val="000000" w:themeColor="text1"/>
          <w:sz w:val="18"/>
          <w:szCs w:val="18"/>
          <w:lang w:val="es-ES_tradnl"/>
        </w:rPr>
      </w:pPr>
    </w:p>
    <w:p w14:paraId="590266B7" w14:textId="77777777" w:rsidR="00B65EDC" w:rsidRPr="00CF1A3C" w:rsidRDefault="00B65EDC" w:rsidP="00B65EDC">
      <w:pPr>
        <w:rPr>
          <w:bCs/>
          <w:color w:val="000000" w:themeColor="text1"/>
          <w:sz w:val="18"/>
          <w:szCs w:val="18"/>
          <w:lang w:val="es-ES_tradnl"/>
        </w:rPr>
      </w:pPr>
    </w:p>
    <w:p w14:paraId="4C2B519F" w14:textId="77777777" w:rsidR="00B65EDC" w:rsidRPr="00E675E8" w:rsidRDefault="00B65EDC" w:rsidP="00B65EDC">
      <w:pPr>
        <w:keepNext/>
        <w:rPr>
          <w:iCs/>
          <w:u w:val="single"/>
          <w:lang w:val="es-ES_tradnl"/>
        </w:rPr>
      </w:pPr>
      <w:r w:rsidRPr="00E675E8">
        <w:rPr>
          <w:u w:val="single"/>
          <w:lang w:val="es-ES_tradnl"/>
        </w:rPr>
        <w:t xml:space="preserve">Digitalización y nuevas tecnologías </w:t>
      </w:r>
    </w:p>
    <w:p w14:paraId="34E7241E" w14:textId="77777777" w:rsidR="00B65EDC" w:rsidRPr="00E675E8" w:rsidRDefault="00B65EDC" w:rsidP="00B65EDC">
      <w:pPr>
        <w:keepNext/>
        <w:rPr>
          <w:u w:val="single"/>
          <w:lang w:val="es-ES_tradnl"/>
        </w:rPr>
      </w:pPr>
    </w:p>
    <w:p w14:paraId="22616732" w14:textId="0060CBA8" w:rsidR="00B65EDC" w:rsidRPr="00E675E8" w:rsidRDefault="00B65EDC" w:rsidP="00B65EDC">
      <w:pPr>
        <w:rPr>
          <w:bCs/>
          <w:color w:val="000000" w:themeColor="text1"/>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r w:rsidRPr="00E675E8">
        <w:rPr>
          <w:color w:val="000000" w:themeColor="text1"/>
          <w:lang w:val="es-ES_tradnl"/>
        </w:rPr>
        <w:t>En los últimos años, el desarrollo y la adopción de nuevas tecnologías, como la inteligencia artificial, han avanzado a un ritmo sin precedentes y el ámbito de la protección de las variedades vegetales no es una excepción.</w:t>
      </w:r>
      <w:r w:rsidR="002817AB" w:rsidRPr="00E675E8">
        <w:rPr>
          <w:color w:val="000000" w:themeColor="text1"/>
          <w:lang w:val="es-ES_tradnl"/>
        </w:rPr>
        <w:t xml:space="preserve"> </w:t>
      </w:r>
      <w:r w:rsidRPr="00E675E8">
        <w:rPr>
          <w:color w:val="000000" w:themeColor="text1"/>
          <w:lang w:val="es-ES_tradnl"/>
        </w:rPr>
        <w:t>Los avances en las ciencias biológicas y la información basada en el ADN brindan oportunidades para mejorar la cooperación entre los miembros de la UPOV y aumentar la eficacia del examen de variedades, reduciendo potencialmente el tiempo y otros recursos necesarios para conceder derechos de obtentor.</w:t>
      </w:r>
      <w:r w:rsidR="002817AB" w:rsidRPr="00E675E8">
        <w:rPr>
          <w:color w:val="000000" w:themeColor="text1"/>
          <w:lang w:val="es-ES_tradnl"/>
        </w:rPr>
        <w:t xml:space="preserve"> </w:t>
      </w:r>
      <w:r w:rsidRPr="00E675E8">
        <w:rPr>
          <w:lang w:val="es-ES_tradnl"/>
        </w:rPr>
        <w:t>En cooperación con los miembros de la UPOV y los obtentores, se han elaborado herramientas digitales como UPOV e-PVP.</w:t>
      </w:r>
      <w:r w:rsidR="002817AB" w:rsidRPr="00E675E8">
        <w:rPr>
          <w:lang w:val="es-ES_tradnl"/>
        </w:rPr>
        <w:t xml:space="preserve"> </w:t>
      </w:r>
      <w:r w:rsidRPr="00E675E8">
        <w:rPr>
          <w:lang w:val="es-ES_tradnl"/>
        </w:rPr>
        <w:t xml:space="preserve">Esta iniciativa representa una oportunidad para prestar servicios a los miembros de la UPOV y a las partes interesadas de manera que mejore la eficacia del conjunto del sistema de la UPOV y se logre una “nivelación” de la capacidad en el seno de la Unión. </w:t>
      </w:r>
    </w:p>
    <w:p w14:paraId="0DC0A9E8" w14:textId="77777777" w:rsidR="00B65EDC" w:rsidRPr="00CF1A3C" w:rsidRDefault="00B65EDC" w:rsidP="00B65EDC">
      <w:pPr>
        <w:rPr>
          <w:bCs/>
          <w:color w:val="000000" w:themeColor="text1"/>
          <w:sz w:val="18"/>
          <w:szCs w:val="18"/>
          <w:lang w:val="es-ES_tradnl"/>
        </w:rPr>
      </w:pPr>
    </w:p>
    <w:p w14:paraId="3342DA5C" w14:textId="7ADA52FE"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En el “Seminario sobre la interacción entre la protección de las obtenciones vegetales y el uso de tecnologías de fitomejoramiento” de la UPOV (2023) se presentaron ejemplos sobre el uso de tecnologías como la secuenciación del genoma, la selección asistida por marcadores, la mutación inducida, la edición genómica y los dobles haploides en apoyo del fitomejoramiento.</w:t>
      </w:r>
      <w:r w:rsidR="002817AB" w:rsidRPr="00E675E8">
        <w:rPr>
          <w:color w:val="000000" w:themeColor="text1"/>
          <w:lang w:val="es-ES_tradnl"/>
        </w:rPr>
        <w:t xml:space="preserve"> </w:t>
      </w:r>
      <w:r w:rsidRPr="00E675E8">
        <w:rPr>
          <w:color w:val="000000" w:themeColor="text1"/>
          <w:lang w:val="es-ES_tradnl"/>
        </w:rPr>
        <w:t>Varios especialistas señalaron que los últimos avances están haciendo que el uso de estas tecnologías sea “más barato y fácil”.</w:t>
      </w:r>
      <w:r w:rsidR="002817AB" w:rsidRPr="00E675E8">
        <w:rPr>
          <w:color w:val="000000" w:themeColor="text1"/>
          <w:lang w:val="es-ES_tradnl"/>
        </w:rPr>
        <w:t xml:space="preserve"> </w:t>
      </w:r>
      <w:r w:rsidRPr="00E675E8">
        <w:rPr>
          <w:color w:val="000000" w:themeColor="text1"/>
          <w:lang w:val="es-ES_tradnl"/>
        </w:rPr>
        <w:t>Después del seminario de 2023 se procedió a la adopción de las notas explicativas revisadas sobre las variedades esencialmente derivadas.</w:t>
      </w:r>
      <w:r w:rsidR="002817AB" w:rsidRPr="00E675E8">
        <w:rPr>
          <w:color w:val="000000" w:themeColor="text1"/>
          <w:lang w:val="es-ES_tradnl"/>
        </w:rPr>
        <w:t xml:space="preserve"> </w:t>
      </w:r>
      <w:r w:rsidRPr="00E675E8">
        <w:rPr>
          <w:color w:val="000000" w:themeColor="text1"/>
          <w:lang w:val="es-ES_tradnl"/>
        </w:rPr>
        <w:t>Las nuevas tecnologías de fitomejoramiento aceleran el desarrollo de obtenciones vegetales.</w:t>
      </w:r>
      <w:r w:rsidR="002817AB" w:rsidRPr="00E675E8">
        <w:rPr>
          <w:color w:val="000000" w:themeColor="text1"/>
          <w:lang w:val="es-ES_tradnl"/>
        </w:rPr>
        <w:t xml:space="preserve"> </w:t>
      </w:r>
      <w:r w:rsidRPr="00E675E8">
        <w:rPr>
          <w:color w:val="000000" w:themeColor="text1"/>
          <w:lang w:val="es-ES_tradnl"/>
        </w:rPr>
        <w:t>Ciertas tecnologías permiten modificar con precisión los genes y desarrollar variedades con uno o pocos cambios en las características morfológicas, fisiológicas, agronómicas, industriales o bioquímicas.</w:t>
      </w:r>
      <w:r w:rsidR="002817AB" w:rsidRPr="00E675E8">
        <w:rPr>
          <w:color w:val="000000" w:themeColor="text1"/>
          <w:lang w:val="es-ES_tradnl"/>
        </w:rPr>
        <w:t xml:space="preserve"> </w:t>
      </w:r>
      <w:r w:rsidRPr="00E675E8">
        <w:rPr>
          <w:color w:val="000000" w:themeColor="text1"/>
          <w:lang w:val="es-ES_tradnl"/>
        </w:rPr>
        <w:t>Esto podría dar lugar ciclos de vida más cortos de las variedades y a un reemplazo más frecuente de las variedades comercializadas previamente.</w:t>
      </w:r>
      <w:r w:rsidR="002817AB" w:rsidRPr="00E675E8">
        <w:rPr>
          <w:color w:val="000000" w:themeColor="text1"/>
          <w:lang w:val="es-ES_tradnl"/>
        </w:rPr>
        <w:t xml:space="preserve"> </w:t>
      </w:r>
    </w:p>
    <w:p w14:paraId="26BFD44A" w14:textId="77777777" w:rsidR="00B65EDC" w:rsidRPr="00CF1A3C" w:rsidRDefault="00B65EDC" w:rsidP="00B65EDC">
      <w:pPr>
        <w:jc w:val="left"/>
        <w:rPr>
          <w:sz w:val="18"/>
          <w:szCs w:val="18"/>
          <w:lang w:val="es-ES_tradnl"/>
        </w:rPr>
      </w:pPr>
    </w:p>
    <w:p w14:paraId="283FDEB2" w14:textId="642B3E9E"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Durante el bienio 2026-2027, la UPOV seguirá explorando el uso de herramientas de información y fenotipado basadas en el ADN, como el análisis de imágenes, la automatización de la recopilación de datos/procesos para ayudar en el examen y la identificación de variedades.</w:t>
      </w:r>
      <w:r w:rsidR="002817AB" w:rsidRPr="00E675E8">
        <w:rPr>
          <w:lang w:val="es-ES_tradnl"/>
        </w:rPr>
        <w:t xml:space="preserve"> </w:t>
      </w:r>
      <w:r w:rsidRPr="00E675E8">
        <w:rPr>
          <w:lang w:val="es-ES_tradnl"/>
        </w:rPr>
        <w:t xml:space="preserve">Los Grupos de Trabajo Técnico se encargan de hacer avanzar los debates sobre estas cuestiones. </w:t>
      </w:r>
    </w:p>
    <w:p w14:paraId="354F14E7" w14:textId="77777777" w:rsidR="00B65EDC" w:rsidRPr="00CF1A3C" w:rsidRDefault="00B65EDC" w:rsidP="00B65EDC">
      <w:pPr>
        <w:rPr>
          <w:sz w:val="18"/>
          <w:szCs w:val="18"/>
          <w:lang w:val="es-ES_tradnl"/>
        </w:rPr>
      </w:pPr>
    </w:p>
    <w:p w14:paraId="35E1AB46" w14:textId="381BCEF6"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obtener el máximo beneficio del sistema de la UPOV, es esencial explorar cómo las medidas jurídicas adecuadas y los avances tecnológicos pueden apoyar su aplicación efectiva.</w:t>
      </w:r>
      <w:r w:rsidR="002817AB" w:rsidRPr="00E675E8">
        <w:rPr>
          <w:lang w:val="es-ES_tradnl"/>
        </w:rPr>
        <w:t xml:space="preserve"> </w:t>
      </w:r>
      <w:r w:rsidRPr="00E675E8">
        <w:rPr>
          <w:lang w:val="es-ES_tradnl"/>
        </w:rPr>
        <w:t>Se prevé que el Grupo de Trabajo Técnico sobre Métodos y Técnicas de Examen (TWM) se convierta en una plataforma importante para el intercambio de experiencias sobre la función de las técnicas moleculares en la identificación y la observancia de las variedades.</w:t>
      </w:r>
    </w:p>
    <w:p w14:paraId="2D746F9A" w14:textId="77777777" w:rsidR="00B65EDC" w:rsidRPr="00CF1A3C" w:rsidRDefault="00B65EDC" w:rsidP="00B65EDC">
      <w:pPr>
        <w:rPr>
          <w:bCs/>
          <w:color w:val="000000" w:themeColor="text1"/>
          <w:sz w:val="18"/>
          <w:szCs w:val="18"/>
          <w:lang w:val="es-ES_tradnl"/>
        </w:rPr>
      </w:pPr>
    </w:p>
    <w:p w14:paraId="66EA323F" w14:textId="77777777" w:rsidR="00B65EDC" w:rsidRPr="00CF1A3C" w:rsidRDefault="00B65EDC" w:rsidP="00B65EDC">
      <w:pPr>
        <w:rPr>
          <w:bCs/>
          <w:color w:val="000000" w:themeColor="text1"/>
          <w:sz w:val="18"/>
          <w:szCs w:val="18"/>
          <w:lang w:val="es-ES_tradnl"/>
        </w:rPr>
      </w:pPr>
    </w:p>
    <w:p w14:paraId="419689C8" w14:textId="77777777" w:rsidR="00B65EDC" w:rsidRPr="00E675E8" w:rsidDel="003B0A44" w:rsidRDefault="00B65EDC" w:rsidP="00B65EDC">
      <w:pPr>
        <w:rPr>
          <w:bCs/>
          <w:color w:val="000000" w:themeColor="text1"/>
          <w:u w:val="single"/>
          <w:lang w:val="es-ES_tradnl"/>
        </w:rPr>
      </w:pPr>
      <w:r w:rsidRPr="00E675E8">
        <w:rPr>
          <w:color w:val="000000" w:themeColor="text1"/>
          <w:u w:val="single"/>
          <w:lang w:val="es-ES_tradnl"/>
        </w:rPr>
        <w:t>Mejora continua de las normas, la orientación y la formación</w:t>
      </w:r>
    </w:p>
    <w:p w14:paraId="473090E7" w14:textId="77777777" w:rsidR="00B65EDC" w:rsidRPr="00E675E8" w:rsidRDefault="00B65EDC" w:rsidP="00B65EDC">
      <w:pPr>
        <w:rPr>
          <w:bCs/>
          <w:color w:val="000000" w:themeColor="text1"/>
          <w:lang w:val="es-ES_tradnl"/>
        </w:rPr>
      </w:pPr>
    </w:p>
    <w:p w14:paraId="2D33C031" w14:textId="1226BF93" w:rsidR="00B65EDC" w:rsidRPr="00E675E8" w:rsidRDefault="00B65EDC" w:rsidP="00B65EDC">
      <w:pPr>
        <w:rPr>
          <w:bCs/>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La UPOV desempeña un papel fundamental en el establecimiento de normas internacionales para la protección de las obtenciones vegetales en los ámbitos jurídico, técnico, digital y de formación.</w:t>
      </w:r>
      <w:r w:rsidR="002817AB" w:rsidRPr="00E675E8">
        <w:rPr>
          <w:lang w:val="es-ES_tradnl"/>
        </w:rPr>
        <w:t xml:space="preserve"> </w:t>
      </w:r>
      <w:r w:rsidRPr="00E675E8">
        <w:rPr>
          <w:color w:val="000000" w:themeColor="text1"/>
          <w:lang w:val="es-ES_tradnl"/>
        </w:rPr>
        <w:t>El papel de la UPOV como organización internacional de normalización en materia de protección de las obtenciones vegetales proporciona claridad, transparencia, estabilidad y favorece colaboraciones sostenibles y de largo plazo.</w:t>
      </w:r>
      <w:r w:rsidR="002817AB" w:rsidRPr="00E675E8">
        <w:rPr>
          <w:lang w:val="es-ES_tradnl"/>
        </w:rPr>
        <w:t xml:space="preserve"> </w:t>
      </w:r>
      <w:r w:rsidRPr="00E675E8">
        <w:rPr>
          <w:color w:val="000000" w:themeColor="text1"/>
          <w:lang w:val="es-ES_tradnl"/>
        </w:rPr>
        <w:t xml:space="preserve">El compromiso continuo con los miembros de la UPOV y las partes interesadas de la cadena de valor es esencial para garantizar que la UPOV siga desempeñando dicho papel. </w:t>
      </w:r>
    </w:p>
    <w:p w14:paraId="3560DC36" w14:textId="77777777" w:rsidR="00B65EDC" w:rsidRPr="00CF1A3C" w:rsidRDefault="00B65EDC" w:rsidP="00B65EDC">
      <w:pPr>
        <w:rPr>
          <w:bCs/>
          <w:color w:val="000000" w:themeColor="text1"/>
          <w:sz w:val="18"/>
          <w:szCs w:val="18"/>
          <w:lang w:val="es-ES_tradnl"/>
        </w:rPr>
      </w:pPr>
    </w:p>
    <w:p w14:paraId="5FECD73C" w14:textId="7B9D697C" w:rsidR="00B65EDC" w:rsidRPr="00E675E8" w:rsidRDefault="00B65EDC" w:rsidP="00B65EDC">
      <w:pPr>
        <w:rPr>
          <w:i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proseguirá la labor de orientación sobre las disposiciones clave del Acta de 1991 del Convenio de la UPOV.</w:t>
      </w:r>
      <w:r w:rsidR="002817AB" w:rsidRPr="00E675E8">
        <w:rPr>
          <w:lang w:val="es-ES_tradnl"/>
        </w:rPr>
        <w:t xml:space="preserve"> </w:t>
      </w:r>
      <w:r w:rsidRPr="00E675E8">
        <w:rPr>
          <w:lang w:val="es-ES_tradnl"/>
        </w:rPr>
        <w:t>Está previsto que, en 2025, se finalice un estudio encargado por la UPOV sobre el “Alcance del derecho de obtentor” y su relación con el “agotamiento del derecho de obtentor”, que aportará interesante información para seguir facilitando orientación.</w:t>
      </w:r>
    </w:p>
    <w:p w14:paraId="1C0A0DEA" w14:textId="77777777" w:rsidR="00B65EDC" w:rsidRPr="00CF1A3C" w:rsidRDefault="00B65EDC" w:rsidP="003F289C">
      <w:pPr>
        <w:keepNext/>
        <w:keepLines/>
        <w:rPr>
          <w:iCs/>
          <w:sz w:val="18"/>
          <w:szCs w:val="18"/>
          <w:lang w:val="es-ES_tradnl"/>
        </w:rPr>
      </w:pPr>
    </w:p>
    <w:p w14:paraId="48C479D0" w14:textId="14C99CF2" w:rsidR="00B65EDC" w:rsidRPr="00E675E8" w:rsidRDefault="00B65EDC" w:rsidP="00CF1A3C">
      <w:pPr>
        <w:rPr>
          <w:i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de certificados de protección de las obtenciones vegetales de la UPOV, puesto en marcha en 2024, seguirá desempeñando un papel fundamental como plataforma de participación sobre asuntos de formación en materia de protección de las obtenciones vegetales.</w:t>
      </w:r>
      <w:r w:rsidR="002817AB" w:rsidRPr="00E675E8">
        <w:rPr>
          <w:lang w:val="es-ES_tradnl"/>
        </w:rPr>
        <w:t xml:space="preserve"> </w:t>
      </w:r>
      <w:r w:rsidRPr="00E675E8">
        <w:rPr>
          <w:lang w:val="es-ES_tradnl"/>
        </w:rPr>
        <w:t>Se permitirá la inscripción de estudiantes del sector privado y de organizaciones que no estén cubiertas por las prioridades del Consejo de la UPOV, previo pago de una tasa.</w:t>
      </w:r>
      <w:r w:rsidR="002817AB" w:rsidRPr="00E675E8">
        <w:rPr>
          <w:lang w:val="es-ES_tradnl"/>
        </w:rPr>
        <w:t xml:space="preserve"> </w:t>
      </w:r>
      <w:r w:rsidRPr="00E675E8">
        <w:rPr>
          <w:lang w:val="es-ES_tradnl"/>
        </w:rPr>
        <w:t>Este programa de acreditación seguirá atrayendo nuevos programas de formación y académicos, convirtiéndose en el repositorio de las normas y orientaciones elaboradas por la UPOV y sus miembros.</w:t>
      </w:r>
    </w:p>
    <w:p w14:paraId="78C95A96" w14:textId="77777777" w:rsidR="00B65EDC" w:rsidRPr="00E675E8" w:rsidRDefault="00B65EDC" w:rsidP="00FC7FED">
      <w:pPr>
        <w:pStyle w:val="Heading1"/>
        <w:rPr>
          <w:lang w:val="es-ES_tradnl"/>
        </w:rPr>
      </w:pPr>
      <w:bookmarkStart w:id="432" w:name="_Toc209777759"/>
      <w:bookmarkEnd w:id="431"/>
      <w:r w:rsidRPr="00E675E8">
        <w:rPr>
          <w:lang w:val="es-ES_tradnl"/>
        </w:rPr>
        <w:lastRenderedPageBreak/>
        <w:t>Panorama general del programa y presupuesto</w:t>
      </w:r>
      <w:bookmarkEnd w:id="432"/>
      <w:r w:rsidRPr="00E675E8">
        <w:rPr>
          <w:lang w:val="es-ES_tradnl"/>
        </w:rPr>
        <w:t xml:space="preserve"> </w:t>
      </w:r>
    </w:p>
    <w:p w14:paraId="5FA53516" w14:textId="77777777" w:rsidR="00B65EDC" w:rsidRPr="00E675E8" w:rsidRDefault="00B65EDC" w:rsidP="00B65EDC">
      <w:pPr>
        <w:rPr>
          <w:lang w:val="es-ES_tradnl"/>
        </w:rPr>
      </w:pPr>
    </w:p>
    <w:p w14:paraId="5FF26BED" w14:textId="77777777" w:rsidR="00B65EDC" w:rsidRPr="00E675E8" w:rsidRDefault="00B65EDC" w:rsidP="004448C7">
      <w:pPr>
        <w:pStyle w:val="Heading2"/>
        <w:rPr>
          <w:lang w:val="es-ES_tradnl"/>
        </w:rPr>
      </w:pPr>
      <w:bookmarkStart w:id="433" w:name="_Toc209777760"/>
      <w:r w:rsidRPr="00E675E8">
        <w:rPr>
          <w:lang w:val="es-ES_tradnl"/>
        </w:rPr>
        <w:t>Panorama financiero</w:t>
      </w:r>
      <w:bookmarkEnd w:id="433"/>
    </w:p>
    <w:p w14:paraId="72234241" w14:textId="77777777" w:rsidR="00B65EDC" w:rsidRPr="00E675E8" w:rsidRDefault="00B65EDC" w:rsidP="00B65EDC">
      <w:pPr>
        <w:rPr>
          <w:lang w:val="es-ES_tradnl"/>
        </w:rPr>
      </w:pPr>
    </w:p>
    <w:p w14:paraId="4DB1ABAD" w14:textId="111672E6" w:rsidR="00B65EDC" w:rsidRPr="00E675E8" w:rsidRDefault="00B65EDC" w:rsidP="00B65EDC">
      <w:pPr>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propuesta de presupuesto</w:t>
      </w:r>
      <w:r w:rsidRPr="00E675E8">
        <w:rPr>
          <w:rStyle w:val="FootnoteReference"/>
          <w:lang w:val="es-ES_tradnl"/>
        </w:rPr>
        <w:footnoteReference w:id="2"/>
      </w:r>
      <w:r w:rsidRPr="00E675E8">
        <w:rPr>
          <w:lang w:val="es-ES_tradnl"/>
        </w:rPr>
        <w:t xml:space="preserve"> para el bienio 2026-2027 prevé unos ingresos de 7 615 864 francos suizos frente a los 7 901 307 francos suizos del presupuesto para 2024-2025.</w:t>
      </w:r>
      <w:r w:rsidR="002817AB" w:rsidRPr="00E675E8">
        <w:rPr>
          <w:lang w:val="es-ES_tradnl"/>
        </w:rPr>
        <w:t xml:space="preserve"> </w:t>
      </w:r>
      <w:r w:rsidRPr="00E675E8">
        <w:rPr>
          <w:lang w:val="es-ES_tradnl"/>
        </w:rPr>
        <w:t>Se estima que los gastos estén al mismo nivel que los ingresos previstos (véase el cuadro 1).</w:t>
      </w:r>
    </w:p>
    <w:p w14:paraId="3413F3A0" w14:textId="77777777" w:rsidR="00B65EDC" w:rsidRPr="00E675E8" w:rsidRDefault="00B65EDC" w:rsidP="00B65EDC">
      <w:pPr>
        <w:rPr>
          <w:lang w:val="es-ES_tradnl"/>
        </w:rPr>
      </w:pPr>
    </w:p>
    <w:p w14:paraId="7C760A8D" w14:textId="77777777" w:rsidR="00B65EDC" w:rsidRPr="00E675E8" w:rsidRDefault="00B65EDC" w:rsidP="00B65EDC">
      <w:pPr>
        <w:jc w:val="center"/>
        <w:rPr>
          <w:lang w:val="es-ES_tradnl"/>
        </w:rPr>
      </w:pPr>
    </w:p>
    <w:p w14:paraId="577FC3B9" w14:textId="082810E4" w:rsidR="00B65EDC" w:rsidRPr="00E675E8" w:rsidRDefault="00B65EDC" w:rsidP="00B65EDC">
      <w:pPr>
        <w:jc w:val="center"/>
        <w:rPr>
          <w:b/>
          <w:color w:val="26724C" w:themeColor="accent1" w:themeShade="BF"/>
          <w:lang w:val="es-ES_tradnl"/>
        </w:rPr>
      </w:pPr>
      <w:r w:rsidRPr="00E675E8">
        <w:rPr>
          <w:b/>
          <w:color w:val="26724C" w:themeColor="accent1" w:themeShade="BF"/>
          <w:lang w:val="es-ES_tradnl"/>
        </w:rPr>
        <w:t>Cuadro 1:</w:t>
      </w:r>
      <w:r w:rsidR="002817AB" w:rsidRPr="00E675E8">
        <w:rPr>
          <w:b/>
          <w:color w:val="26724C" w:themeColor="accent1" w:themeShade="BF"/>
          <w:lang w:val="es-ES_tradnl"/>
        </w:rPr>
        <w:t xml:space="preserve"> </w:t>
      </w:r>
      <w:r w:rsidRPr="00E675E8">
        <w:rPr>
          <w:b/>
          <w:color w:val="26724C" w:themeColor="accent1" w:themeShade="BF"/>
          <w:lang w:val="es-ES_tradnl"/>
        </w:rPr>
        <w:t>Ingresos y gastos correspondientes a los bienios 2022-2023, 2024-2025 y 2026-2027</w:t>
      </w:r>
    </w:p>
    <w:p w14:paraId="5B847DD3" w14:textId="77777777" w:rsidR="00B65EDC" w:rsidRPr="00E675E8" w:rsidRDefault="00B65EDC" w:rsidP="00B65EDC">
      <w:pPr>
        <w:jc w:val="center"/>
        <w:rPr>
          <w:i/>
          <w:sz w:val="18"/>
          <w:lang w:val="es-ES_tradnl"/>
        </w:rPr>
      </w:pPr>
      <w:r w:rsidRPr="00E675E8">
        <w:rPr>
          <w:i/>
          <w:sz w:val="18"/>
          <w:lang w:val="es-ES_tradnl"/>
        </w:rPr>
        <w:t>(en miles de francos suizos)</w:t>
      </w:r>
    </w:p>
    <w:p w14:paraId="04DBFDE5" w14:textId="77777777" w:rsidR="00B65EDC" w:rsidRPr="00E675E8" w:rsidRDefault="00B65EDC" w:rsidP="00B65EDC">
      <w:pPr>
        <w:rPr>
          <w:spacing w:val="-2"/>
          <w:szCs w:val="24"/>
          <w:lang w:val="es-ES_tradnl"/>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E675E8" w14:paraId="00F751FC" w14:textId="77777777">
        <w:trPr>
          <w:trHeight w:val="255"/>
        </w:trPr>
        <w:tc>
          <w:tcPr>
            <w:tcW w:w="3800" w:type="dxa"/>
            <w:tcBorders>
              <w:top w:val="nil"/>
              <w:left w:val="nil"/>
              <w:bottom w:val="nil"/>
              <w:right w:val="nil"/>
            </w:tcBorders>
            <w:shd w:val="clear" w:color="000000" w:fill="C7CFD8"/>
            <w:hideMark/>
          </w:tcPr>
          <w:p w14:paraId="06A7DF6F"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7133635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2022-2023 </w:t>
            </w:r>
          </w:p>
        </w:tc>
        <w:tc>
          <w:tcPr>
            <w:tcW w:w="1180" w:type="dxa"/>
            <w:tcBorders>
              <w:top w:val="nil"/>
              <w:left w:val="nil"/>
              <w:bottom w:val="nil"/>
              <w:right w:val="nil"/>
            </w:tcBorders>
            <w:shd w:val="clear" w:color="000000" w:fill="C7CFD8"/>
            <w:vAlign w:val="center"/>
            <w:hideMark/>
          </w:tcPr>
          <w:p w14:paraId="5B77CFE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Variación</w:t>
            </w:r>
          </w:p>
        </w:tc>
        <w:tc>
          <w:tcPr>
            <w:tcW w:w="1660" w:type="dxa"/>
            <w:tcBorders>
              <w:top w:val="nil"/>
              <w:left w:val="nil"/>
              <w:bottom w:val="nil"/>
              <w:right w:val="nil"/>
            </w:tcBorders>
            <w:shd w:val="clear" w:color="000000" w:fill="C7CFD8"/>
            <w:vAlign w:val="center"/>
            <w:hideMark/>
          </w:tcPr>
          <w:p w14:paraId="47902C11" w14:textId="17206A4C"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2026-2027</w:t>
            </w:r>
          </w:p>
        </w:tc>
      </w:tr>
      <w:tr w:rsidR="00B65EDC" w:rsidRPr="00E675E8" w14:paraId="7F791BC2" w14:textId="77777777">
        <w:trPr>
          <w:trHeight w:val="260"/>
        </w:trPr>
        <w:tc>
          <w:tcPr>
            <w:tcW w:w="3800" w:type="dxa"/>
            <w:tcBorders>
              <w:top w:val="nil"/>
              <w:left w:val="nil"/>
              <w:bottom w:val="nil"/>
              <w:right w:val="nil"/>
            </w:tcBorders>
            <w:shd w:val="clear" w:color="000000" w:fill="C7CFD8"/>
            <w:hideMark/>
          </w:tcPr>
          <w:p w14:paraId="2B10E0CD"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418CF16A"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Real </w:t>
            </w:r>
          </w:p>
        </w:tc>
        <w:tc>
          <w:tcPr>
            <w:tcW w:w="1180" w:type="dxa"/>
            <w:tcBorders>
              <w:top w:val="nil"/>
              <w:left w:val="nil"/>
              <w:bottom w:val="nil"/>
              <w:right w:val="nil"/>
            </w:tcBorders>
            <w:shd w:val="clear" w:color="000000" w:fill="C7CFD8"/>
            <w:vAlign w:val="center"/>
            <w:hideMark/>
          </w:tcPr>
          <w:p w14:paraId="571645C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w:t>
            </w:r>
          </w:p>
        </w:tc>
        <w:tc>
          <w:tcPr>
            <w:tcW w:w="1740" w:type="dxa"/>
            <w:gridSpan w:val="2"/>
            <w:vMerge/>
            <w:tcBorders>
              <w:top w:val="nil"/>
              <w:left w:val="nil"/>
              <w:bottom w:val="nil"/>
              <w:right w:val="nil"/>
            </w:tcBorders>
            <w:vAlign w:val="center"/>
            <w:hideMark/>
          </w:tcPr>
          <w:p w14:paraId="0C80231D" w14:textId="77777777" w:rsidR="00B65EDC" w:rsidRPr="00E675E8" w:rsidRDefault="00B65EDC">
            <w:pPr>
              <w:jc w:val="left"/>
              <w:rPr>
                <w:rFonts w:ascii="Arial Narrow" w:hAnsi="Arial Narrow" w:cs="Arial"/>
                <w:b/>
                <w:bCs/>
                <w:sz w:val="18"/>
                <w:szCs w:val="18"/>
                <w:lang w:val="es-ES_tradnl"/>
              </w:rPr>
            </w:pPr>
          </w:p>
        </w:tc>
        <w:tc>
          <w:tcPr>
            <w:tcW w:w="1660" w:type="dxa"/>
            <w:tcBorders>
              <w:top w:val="nil"/>
              <w:left w:val="nil"/>
              <w:bottom w:val="nil"/>
              <w:right w:val="nil"/>
            </w:tcBorders>
            <w:shd w:val="clear" w:color="000000" w:fill="C7CFD8"/>
            <w:vAlign w:val="center"/>
            <w:hideMark/>
          </w:tcPr>
          <w:p w14:paraId="2ACFC30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r>
      <w:tr w:rsidR="00B65EDC" w:rsidRPr="00E675E8" w14:paraId="18B03438" w14:textId="77777777">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E675E8" w:rsidRDefault="00B65EDC">
            <w:pPr>
              <w:ind w:firstLineChars="100" w:firstLine="201"/>
              <w:jc w:val="left"/>
              <w:rPr>
                <w:rFonts w:cs="Arial"/>
                <w:b/>
                <w:bCs/>
                <w:i/>
                <w:iCs/>
                <w:lang w:val="es-ES_tradnl"/>
              </w:rPr>
            </w:pPr>
            <w:r w:rsidRPr="00E675E8">
              <w:rPr>
                <w:b/>
                <w:i/>
                <w:lang w:val="es-ES_tradnl"/>
              </w:rPr>
              <w:t> </w:t>
            </w:r>
          </w:p>
        </w:tc>
        <w:tc>
          <w:tcPr>
            <w:tcW w:w="1180" w:type="dxa"/>
            <w:tcBorders>
              <w:top w:val="nil"/>
              <w:left w:val="nil"/>
              <w:bottom w:val="nil"/>
              <w:right w:val="nil"/>
            </w:tcBorders>
            <w:shd w:val="clear" w:color="000000" w:fill="C7CFD8"/>
            <w:vAlign w:val="center"/>
            <w:hideMark/>
          </w:tcPr>
          <w:p w14:paraId="5C0F62B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D=B+C </w:t>
            </w:r>
          </w:p>
        </w:tc>
      </w:tr>
      <w:tr w:rsidR="00B65EDC" w:rsidRPr="00E675E8" w14:paraId="0C1E407C" w14:textId="77777777" w:rsidTr="00A538F6">
        <w:trPr>
          <w:trHeight w:val="330"/>
        </w:trPr>
        <w:tc>
          <w:tcPr>
            <w:tcW w:w="3800" w:type="dxa"/>
            <w:tcBorders>
              <w:top w:val="nil"/>
              <w:left w:val="nil"/>
              <w:bottom w:val="nil"/>
              <w:right w:val="nil"/>
            </w:tcBorders>
            <w:vAlign w:val="center"/>
            <w:hideMark/>
          </w:tcPr>
          <w:p w14:paraId="3AD0154C"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1. Ingresos</w:t>
            </w:r>
          </w:p>
        </w:tc>
        <w:tc>
          <w:tcPr>
            <w:tcW w:w="1180" w:type="dxa"/>
            <w:tcBorders>
              <w:top w:val="nil"/>
              <w:left w:val="nil"/>
              <w:bottom w:val="nil"/>
              <w:right w:val="nil"/>
            </w:tcBorders>
            <w:vAlign w:val="center"/>
          </w:tcPr>
          <w:p w14:paraId="5BCDCCF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7 572</w:t>
            </w:r>
          </w:p>
        </w:tc>
        <w:tc>
          <w:tcPr>
            <w:tcW w:w="1180" w:type="dxa"/>
            <w:tcBorders>
              <w:top w:val="nil"/>
              <w:left w:val="nil"/>
              <w:bottom w:val="nil"/>
              <w:right w:val="nil"/>
            </w:tcBorders>
            <w:vAlign w:val="center"/>
          </w:tcPr>
          <w:p w14:paraId="013DF196"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7 901</w:t>
            </w:r>
          </w:p>
        </w:tc>
        <w:tc>
          <w:tcPr>
            <w:tcW w:w="870" w:type="dxa"/>
            <w:tcBorders>
              <w:top w:val="nil"/>
              <w:left w:val="nil"/>
              <w:bottom w:val="nil"/>
              <w:right w:val="nil"/>
            </w:tcBorders>
            <w:vAlign w:val="center"/>
          </w:tcPr>
          <w:p w14:paraId="4069BBA5" w14:textId="77777777" w:rsidR="00B65EDC" w:rsidRPr="00E675E8" w:rsidRDefault="00B65EDC">
            <w:pPr>
              <w:jc w:val="right"/>
              <w:rPr>
                <w:rFonts w:ascii="Arial Narrow" w:hAnsi="Arial Narrow" w:cs="Arial"/>
                <w:b/>
                <w:bCs/>
                <w:lang w:val="es-ES_tradnl"/>
              </w:rPr>
            </w:pPr>
            <w:r w:rsidRPr="00E675E8">
              <w:rPr>
                <w:rFonts w:ascii="Arial Narrow" w:hAnsi="Arial Narrow"/>
                <w:b/>
                <w:color w:val="000000"/>
                <w:lang w:val="es-ES_tradnl"/>
              </w:rPr>
              <w:t>(285)</w:t>
            </w:r>
          </w:p>
        </w:tc>
        <w:tc>
          <w:tcPr>
            <w:tcW w:w="870" w:type="dxa"/>
            <w:tcBorders>
              <w:top w:val="nil"/>
              <w:left w:val="nil"/>
              <w:bottom w:val="nil"/>
              <w:right w:val="nil"/>
            </w:tcBorders>
            <w:vAlign w:val="center"/>
          </w:tcPr>
          <w:p w14:paraId="33506C9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w:t>
            </w:r>
          </w:p>
        </w:tc>
        <w:tc>
          <w:tcPr>
            <w:tcW w:w="1660" w:type="dxa"/>
            <w:tcBorders>
              <w:top w:val="nil"/>
              <w:left w:val="nil"/>
              <w:bottom w:val="nil"/>
              <w:right w:val="nil"/>
            </w:tcBorders>
            <w:vAlign w:val="center"/>
          </w:tcPr>
          <w:p w14:paraId="2F63361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7 616 </w:t>
            </w:r>
          </w:p>
        </w:tc>
      </w:tr>
      <w:tr w:rsidR="00B65EDC" w:rsidRPr="00E675E8" w14:paraId="600DDAAD" w14:textId="77777777" w:rsidTr="00A538F6">
        <w:trPr>
          <w:trHeight w:val="330"/>
        </w:trPr>
        <w:tc>
          <w:tcPr>
            <w:tcW w:w="3800" w:type="dxa"/>
            <w:tcBorders>
              <w:top w:val="nil"/>
              <w:left w:val="nil"/>
              <w:bottom w:val="single" w:sz="4" w:space="0" w:color="AAB8C4"/>
              <w:right w:val="nil"/>
            </w:tcBorders>
            <w:noWrap/>
            <w:vAlign w:val="center"/>
            <w:hideMark/>
          </w:tcPr>
          <w:p w14:paraId="7F9C96C1"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2. Gastos</w:t>
            </w:r>
          </w:p>
        </w:tc>
        <w:tc>
          <w:tcPr>
            <w:tcW w:w="1180" w:type="dxa"/>
            <w:tcBorders>
              <w:top w:val="nil"/>
              <w:left w:val="nil"/>
              <w:bottom w:val="single" w:sz="4" w:space="0" w:color="BFBFBF"/>
              <w:right w:val="nil"/>
            </w:tcBorders>
            <w:vAlign w:val="center"/>
          </w:tcPr>
          <w:p w14:paraId="355075C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7 382</w:t>
            </w:r>
          </w:p>
        </w:tc>
        <w:tc>
          <w:tcPr>
            <w:tcW w:w="1180" w:type="dxa"/>
            <w:tcBorders>
              <w:top w:val="nil"/>
              <w:left w:val="nil"/>
              <w:bottom w:val="single" w:sz="4" w:space="0" w:color="AAB8C4"/>
              <w:right w:val="nil"/>
            </w:tcBorders>
            <w:vAlign w:val="center"/>
          </w:tcPr>
          <w:p w14:paraId="6AC3434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7 901</w:t>
            </w:r>
          </w:p>
        </w:tc>
        <w:tc>
          <w:tcPr>
            <w:tcW w:w="870" w:type="dxa"/>
            <w:tcBorders>
              <w:top w:val="nil"/>
              <w:left w:val="nil"/>
              <w:bottom w:val="single" w:sz="4" w:space="0" w:color="AAB8C4"/>
              <w:right w:val="nil"/>
            </w:tcBorders>
            <w:vAlign w:val="center"/>
          </w:tcPr>
          <w:p w14:paraId="5FFA1CBE" w14:textId="77777777" w:rsidR="00B65EDC" w:rsidRPr="00E675E8" w:rsidRDefault="00B65EDC">
            <w:pPr>
              <w:jc w:val="right"/>
              <w:rPr>
                <w:rFonts w:ascii="Arial Narrow" w:hAnsi="Arial Narrow" w:cs="Arial"/>
                <w:b/>
                <w:bCs/>
                <w:lang w:val="es-ES_tradnl"/>
              </w:rPr>
            </w:pPr>
            <w:r w:rsidRPr="00E675E8">
              <w:rPr>
                <w:rFonts w:ascii="Arial Narrow" w:hAnsi="Arial Narrow"/>
                <w:b/>
                <w:color w:val="000000"/>
                <w:lang w:val="es-ES_tradnl"/>
              </w:rPr>
              <w:t>(285)</w:t>
            </w:r>
          </w:p>
        </w:tc>
        <w:tc>
          <w:tcPr>
            <w:tcW w:w="870" w:type="dxa"/>
            <w:tcBorders>
              <w:top w:val="nil"/>
              <w:left w:val="nil"/>
              <w:bottom w:val="single" w:sz="4" w:space="0" w:color="BFBFBF"/>
              <w:right w:val="nil"/>
            </w:tcBorders>
            <w:vAlign w:val="center"/>
          </w:tcPr>
          <w:p w14:paraId="192D863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w:t>
            </w:r>
          </w:p>
        </w:tc>
        <w:tc>
          <w:tcPr>
            <w:tcW w:w="1660" w:type="dxa"/>
            <w:tcBorders>
              <w:top w:val="nil"/>
              <w:left w:val="nil"/>
              <w:bottom w:val="single" w:sz="4" w:space="0" w:color="AAB8C4"/>
              <w:right w:val="nil"/>
            </w:tcBorders>
            <w:vAlign w:val="center"/>
          </w:tcPr>
          <w:p w14:paraId="0282694A"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7 616 </w:t>
            </w:r>
          </w:p>
        </w:tc>
      </w:tr>
      <w:tr w:rsidR="00B65EDC" w:rsidRPr="00E675E8" w14:paraId="57B0E166" w14:textId="77777777" w:rsidTr="00A538F6">
        <w:trPr>
          <w:trHeight w:val="330"/>
        </w:trPr>
        <w:tc>
          <w:tcPr>
            <w:tcW w:w="3800" w:type="dxa"/>
            <w:tcBorders>
              <w:top w:val="nil"/>
              <w:left w:val="nil"/>
              <w:bottom w:val="nil"/>
              <w:right w:val="nil"/>
            </w:tcBorders>
            <w:vAlign w:val="bottom"/>
            <w:hideMark/>
          </w:tcPr>
          <w:p w14:paraId="0E8B11CB" w14:textId="77777777" w:rsidR="00B65EDC" w:rsidRPr="00E675E8" w:rsidRDefault="00B65EDC">
            <w:pPr>
              <w:ind w:firstLineChars="100" w:firstLine="200"/>
              <w:jc w:val="left"/>
              <w:rPr>
                <w:rFonts w:ascii="Arial Narrow" w:hAnsi="Arial Narrow" w:cs="Arial"/>
                <w:i/>
                <w:iCs/>
                <w:lang w:val="es-ES_tradnl"/>
              </w:rPr>
            </w:pPr>
            <w:r w:rsidRPr="00E675E8">
              <w:rPr>
                <w:rFonts w:ascii="Arial Narrow" w:hAnsi="Arial Narrow"/>
                <w:i/>
                <w:lang w:val="es-ES_tradnl"/>
              </w:rPr>
              <w:t xml:space="preserve">Diferencia </w:t>
            </w:r>
          </w:p>
        </w:tc>
        <w:tc>
          <w:tcPr>
            <w:tcW w:w="1180" w:type="dxa"/>
            <w:tcBorders>
              <w:top w:val="nil"/>
              <w:left w:val="nil"/>
              <w:bottom w:val="nil"/>
              <w:right w:val="nil"/>
            </w:tcBorders>
            <w:vAlign w:val="bottom"/>
          </w:tcPr>
          <w:p w14:paraId="0836554B"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190</w:t>
            </w:r>
          </w:p>
        </w:tc>
        <w:tc>
          <w:tcPr>
            <w:tcW w:w="1180" w:type="dxa"/>
            <w:tcBorders>
              <w:top w:val="nil"/>
              <w:left w:val="nil"/>
              <w:bottom w:val="nil"/>
              <w:right w:val="nil"/>
            </w:tcBorders>
            <w:vAlign w:val="bottom"/>
          </w:tcPr>
          <w:p w14:paraId="2772C8BB"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870" w:type="dxa"/>
            <w:tcBorders>
              <w:top w:val="nil"/>
              <w:left w:val="nil"/>
              <w:bottom w:val="nil"/>
              <w:right w:val="nil"/>
            </w:tcBorders>
            <w:vAlign w:val="bottom"/>
          </w:tcPr>
          <w:p w14:paraId="798B8765"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870" w:type="dxa"/>
            <w:tcBorders>
              <w:top w:val="nil"/>
              <w:left w:val="nil"/>
              <w:bottom w:val="nil"/>
              <w:right w:val="nil"/>
            </w:tcBorders>
            <w:vAlign w:val="bottom"/>
          </w:tcPr>
          <w:p w14:paraId="78D6293F"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c>
          <w:tcPr>
            <w:tcW w:w="1660" w:type="dxa"/>
            <w:tcBorders>
              <w:top w:val="nil"/>
              <w:left w:val="nil"/>
              <w:bottom w:val="nil"/>
              <w:right w:val="nil"/>
            </w:tcBorders>
            <w:vAlign w:val="bottom"/>
          </w:tcPr>
          <w:p w14:paraId="4AF943F5" w14:textId="77777777" w:rsidR="00B65EDC" w:rsidRPr="00E675E8" w:rsidRDefault="00B65EDC">
            <w:pPr>
              <w:jc w:val="right"/>
              <w:rPr>
                <w:rFonts w:ascii="Arial Narrow" w:hAnsi="Arial Narrow" w:cs="Arial"/>
                <w:i/>
                <w:iCs/>
                <w:lang w:val="es-ES_tradnl"/>
              </w:rPr>
            </w:pPr>
            <w:r w:rsidRPr="00E675E8">
              <w:rPr>
                <w:rFonts w:ascii="Arial Narrow" w:hAnsi="Arial Narrow"/>
                <w:i/>
                <w:lang w:val="es-ES_tradnl"/>
              </w:rPr>
              <w:t>-</w:t>
            </w:r>
          </w:p>
        </w:tc>
      </w:tr>
      <w:tr w:rsidR="00B65EDC" w:rsidRPr="00E675E8" w14:paraId="76536324" w14:textId="77777777" w:rsidTr="00A538F6">
        <w:trPr>
          <w:trHeight w:val="260"/>
        </w:trPr>
        <w:tc>
          <w:tcPr>
            <w:tcW w:w="3800" w:type="dxa"/>
            <w:tcBorders>
              <w:top w:val="nil"/>
              <w:left w:val="nil"/>
              <w:bottom w:val="nil"/>
              <w:right w:val="nil"/>
            </w:tcBorders>
            <w:vAlign w:val="bottom"/>
            <w:hideMark/>
          </w:tcPr>
          <w:p w14:paraId="37C3E643" w14:textId="77777777" w:rsidR="00B65EDC" w:rsidRPr="00E675E8" w:rsidRDefault="00B65EDC">
            <w:pPr>
              <w:jc w:val="left"/>
              <w:rPr>
                <w:rFonts w:ascii="Arial Narrow" w:hAnsi="Arial Narrow" w:cs="Arial"/>
                <w:i/>
                <w:iCs/>
                <w:color w:val="000000"/>
                <w:lang w:val="es-ES_tradnl"/>
              </w:rPr>
            </w:pPr>
          </w:p>
        </w:tc>
        <w:tc>
          <w:tcPr>
            <w:tcW w:w="1180" w:type="dxa"/>
            <w:tcBorders>
              <w:top w:val="nil"/>
              <w:left w:val="nil"/>
              <w:bottom w:val="nil"/>
              <w:right w:val="nil"/>
            </w:tcBorders>
            <w:vAlign w:val="bottom"/>
          </w:tcPr>
          <w:p w14:paraId="71657ADE" w14:textId="77777777" w:rsidR="00B65EDC" w:rsidRPr="00E675E8" w:rsidRDefault="00B65EDC">
            <w:pPr>
              <w:jc w:val="right"/>
              <w:rPr>
                <w:rFonts w:ascii="Times New Roman" w:hAnsi="Times New Roman"/>
                <w:lang w:val="es-ES_tradnl"/>
              </w:rPr>
            </w:pPr>
          </w:p>
        </w:tc>
        <w:tc>
          <w:tcPr>
            <w:tcW w:w="1180" w:type="dxa"/>
            <w:tcBorders>
              <w:top w:val="nil"/>
              <w:left w:val="nil"/>
              <w:bottom w:val="nil"/>
              <w:right w:val="nil"/>
            </w:tcBorders>
            <w:vAlign w:val="bottom"/>
          </w:tcPr>
          <w:p w14:paraId="5D279161" w14:textId="77777777" w:rsidR="00B65EDC" w:rsidRPr="00E675E8" w:rsidRDefault="00B65EDC">
            <w:pPr>
              <w:jc w:val="right"/>
              <w:rPr>
                <w:rFonts w:ascii="Times New Roman" w:hAnsi="Times New Roman"/>
                <w:lang w:val="es-ES_tradnl"/>
              </w:rPr>
            </w:pPr>
          </w:p>
        </w:tc>
        <w:tc>
          <w:tcPr>
            <w:tcW w:w="870" w:type="dxa"/>
            <w:tcBorders>
              <w:top w:val="nil"/>
              <w:left w:val="nil"/>
              <w:bottom w:val="nil"/>
              <w:right w:val="nil"/>
            </w:tcBorders>
            <w:vAlign w:val="bottom"/>
          </w:tcPr>
          <w:p w14:paraId="52012475" w14:textId="77777777" w:rsidR="00B65EDC" w:rsidRPr="00E675E8" w:rsidRDefault="00B65EDC">
            <w:pPr>
              <w:jc w:val="right"/>
              <w:rPr>
                <w:rFonts w:ascii="Times New Roman" w:hAnsi="Times New Roman"/>
                <w:lang w:val="es-ES_tradnl"/>
              </w:rPr>
            </w:pPr>
          </w:p>
        </w:tc>
        <w:tc>
          <w:tcPr>
            <w:tcW w:w="870" w:type="dxa"/>
            <w:tcBorders>
              <w:top w:val="nil"/>
              <w:left w:val="nil"/>
              <w:bottom w:val="nil"/>
              <w:right w:val="nil"/>
            </w:tcBorders>
            <w:vAlign w:val="bottom"/>
          </w:tcPr>
          <w:p w14:paraId="10E07DC4" w14:textId="77777777" w:rsidR="00B65EDC" w:rsidRPr="00E675E8" w:rsidRDefault="00B65EDC">
            <w:pPr>
              <w:jc w:val="right"/>
              <w:rPr>
                <w:rFonts w:ascii="Times New Roman" w:hAnsi="Times New Roman"/>
                <w:lang w:val="es-ES_tradnl"/>
              </w:rPr>
            </w:pPr>
          </w:p>
        </w:tc>
        <w:tc>
          <w:tcPr>
            <w:tcW w:w="1660" w:type="dxa"/>
            <w:tcBorders>
              <w:top w:val="nil"/>
              <w:left w:val="nil"/>
              <w:bottom w:val="nil"/>
              <w:right w:val="nil"/>
            </w:tcBorders>
            <w:vAlign w:val="bottom"/>
          </w:tcPr>
          <w:p w14:paraId="0F4572D7" w14:textId="77777777" w:rsidR="00B65EDC" w:rsidRPr="00E675E8" w:rsidRDefault="00B65EDC">
            <w:pPr>
              <w:jc w:val="right"/>
              <w:rPr>
                <w:rFonts w:ascii="Times New Roman" w:hAnsi="Times New Roman"/>
                <w:lang w:val="es-ES_tradnl"/>
              </w:rPr>
            </w:pPr>
          </w:p>
        </w:tc>
      </w:tr>
      <w:tr w:rsidR="00B65EDC" w:rsidRPr="00E675E8" w14:paraId="5217DB30" w14:textId="77777777" w:rsidTr="00A538F6">
        <w:trPr>
          <w:trHeight w:val="330"/>
        </w:trPr>
        <w:tc>
          <w:tcPr>
            <w:tcW w:w="3800" w:type="dxa"/>
            <w:tcBorders>
              <w:top w:val="single" w:sz="4" w:space="0" w:color="AAB8C4"/>
              <w:left w:val="nil"/>
              <w:bottom w:val="single" w:sz="8" w:space="0" w:color="AAB8C4"/>
              <w:right w:val="nil"/>
            </w:tcBorders>
            <w:vAlign w:val="bottom"/>
            <w:hideMark/>
          </w:tcPr>
          <w:p w14:paraId="780F4F64"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3. Fondo de operaciones</w:t>
            </w:r>
          </w:p>
        </w:tc>
        <w:tc>
          <w:tcPr>
            <w:tcW w:w="1180" w:type="dxa"/>
            <w:tcBorders>
              <w:top w:val="single" w:sz="4" w:space="0" w:color="AAB8C4"/>
              <w:left w:val="nil"/>
              <w:bottom w:val="single" w:sz="8" w:space="0" w:color="AAB8C4"/>
              <w:right w:val="nil"/>
            </w:tcBorders>
            <w:vAlign w:val="bottom"/>
          </w:tcPr>
          <w:p w14:paraId="7E659E2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w:t>
            </w:r>
          </w:p>
        </w:tc>
        <w:tc>
          <w:tcPr>
            <w:tcW w:w="870" w:type="dxa"/>
            <w:tcBorders>
              <w:top w:val="single" w:sz="4" w:space="0" w:color="BFBFBF"/>
              <w:left w:val="nil"/>
              <w:bottom w:val="single" w:sz="8" w:space="0" w:color="BFBFBF"/>
              <w:right w:val="nil"/>
            </w:tcBorders>
            <w:vAlign w:val="bottom"/>
          </w:tcPr>
          <w:p w14:paraId="3D8483FA"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0,0 %</w:t>
            </w:r>
          </w:p>
        </w:tc>
        <w:tc>
          <w:tcPr>
            <w:tcW w:w="1660" w:type="dxa"/>
            <w:tcBorders>
              <w:top w:val="single" w:sz="4" w:space="0" w:color="AAB8C4"/>
              <w:left w:val="nil"/>
              <w:bottom w:val="single" w:sz="8" w:space="0" w:color="AAB8C4"/>
              <w:right w:val="nil"/>
            </w:tcBorders>
            <w:vAlign w:val="bottom"/>
          </w:tcPr>
          <w:p w14:paraId="1FC7E13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583</w:t>
            </w:r>
          </w:p>
        </w:tc>
      </w:tr>
    </w:tbl>
    <w:p w14:paraId="7840A2F7" w14:textId="77777777" w:rsidR="00B65EDC" w:rsidRPr="00E675E8" w:rsidRDefault="00B65EDC" w:rsidP="00B65EDC">
      <w:pPr>
        <w:rPr>
          <w:spacing w:val="-2"/>
          <w:szCs w:val="24"/>
          <w:lang w:val="es-ES_tradnl"/>
        </w:rPr>
      </w:pPr>
    </w:p>
    <w:p w14:paraId="62B8D876" w14:textId="77777777" w:rsidR="00B65EDC" w:rsidRPr="00E675E8" w:rsidRDefault="00B65EDC" w:rsidP="00B65EDC">
      <w:pPr>
        <w:rPr>
          <w:spacing w:val="-2"/>
          <w:szCs w:val="24"/>
          <w:lang w:val="es-ES_tradnl"/>
        </w:rPr>
      </w:pPr>
    </w:p>
    <w:p w14:paraId="68551516" w14:textId="5A328533" w:rsidR="00B65EDC" w:rsidRPr="00E675E8" w:rsidRDefault="00B65EDC" w:rsidP="00B65EDC">
      <w:pPr>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Con respecto al fondo de reserva, cabe recordar que en el artículo 4.6 del “Reglamento Financiero y Reglamentación Financiera de la UPOV” (documento UPOV/INF/4/6) se prevé lo siguiente: “[…] Si, tras el cierre del ejercicio económico, el importe del fondo de reserva supera el 15 % de los ingresos totales del ejercicio económico, el Consejo decidirá sobre la utilización de los ingresos que excedan de los gastos del ejercicio económico”.</w:t>
      </w:r>
      <w:r w:rsidR="002817AB" w:rsidRPr="00E675E8">
        <w:rPr>
          <w:lang w:val="es-ES_tradnl"/>
        </w:rPr>
        <w:t xml:space="preserve"> </w:t>
      </w:r>
      <w:r w:rsidRPr="00E675E8">
        <w:rPr>
          <w:lang w:val="es-ES_tradnl"/>
        </w:rPr>
        <w:t xml:space="preserve">Se efectuarán los preparativos necesarios a fin de que el Comité Consultivo y el Consejo consideren si es aplicable esa situación al cierre del ejercicio bienal 2026-2027. </w:t>
      </w:r>
    </w:p>
    <w:p w14:paraId="2316CE40" w14:textId="77777777" w:rsidR="00B65EDC" w:rsidRPr="00E675E8" w:rsidRDefault="00B65EDC" w:rsidP="00B65EDC">
      <w:pPr>
        <w:rPr>
          <w:spacing w:val="-2"/>
          <w:szCs w:val="24"/>
          <w:lang w:val="es-ES_tradnl"/>
        </w:rPr>
      </w:pPr>
    </w:p>
    <w:p w14:paraId="3CF33E3F" w14:textId="77777777" w:rsidR="00B65EDC" w:rsidRPr="00E675E8" w:rsidRDefault="00B65EDC" w:rsidP="00B65EDC">
      <w:pPr>
        <w:rPr>
          <w:spacing w:val="-2"/>
          <w:szCs w:val="24"/>
          <w:lang w:val="es-ES_tradnl"/>
        </w:rPr>
      </w:pPr>
    </w:p>
    <w:p w14:paraId="5AA7DE49" w14:textId="77777777" w:rsidR="00B65EDC" w:rsidRPr="00E675E8" w:rsidRDefault="00B65EDC" w:rsidP="000363C4">
      <w:pPr>
        <w:pStyle w:val="Heading3"/>
        <w:rPr>
          <w:lang w:val="es-ES_tradnl"/>
        </w:rPr>
      </w:pPr>
      <w:bookmarkStart w:id="434" w:name="_Toc209777761"/>
      <w:r w:rsidRPr="00E675E8">
        <w:rPr>
          <w:lang w:val="es-ES_tradnl"/>
        </w:rPr>
        <w:t>Ingresos</w:t>
      </w:r>
      <w:bookmarkEnd w:id="434"/>
    </w:p>
    <w:p w14:paraId="750789D5" w14:textId="77777777" w:rsidR="00B65EDC" w:rsidRPr="00E675E8" w:rsidRDefault="00B65EDC" w:rsidP="00B65EDC">
      <w:pPr>
        <w:rPr>
          <w:spacing w:val="-2"/>
          <w:szCs w:val="24"/>
          <w:lang w:val="es-ES_tradnl"/>
        </w:rPr>
      </w:pPr>
    </w:p>
    <w:p w14:paraId="3D3F9F20" w14:textId="54CB9E71"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ingresos previstos en el presupuesto ordinario para el bienio 2026-2027 se estiman en 7 615 864 francos suizos, es decir, 285 443 francos suizos (3,6 %) más que los ingresos estimados para el bienio 2024-2025 (7 901 307 francos suizos) (véase el cuadro 2).</w:t>
      </w:r>
      <w:r w:rsidR="002817AB" w:rsidRPr="00E675E8">
        <w:rPr>
          <w:lang w:val="es-ES_tradnl"/>
        </w:rPr>
        <w:t xml:space="preserve"> </w:t>
      </w:r>
      <w:r w:rsidRPr="00E675E8">
        <w:rPr>
          <w:lang w:val="es-ES_tradnl"/>
        </w:rPr>
        <w:t>La estimación de ingresos del bienio 2026-2027 se basa en 66,45 unidades de contribución en 2026 y 66,65 unidades de contribución en 2027, sin modificar el valor de la unidad de contribución, que se propone mantener en 53 641 francos suizos en el bienio 2026-2027, igual que en 2024-2025.</w:t>
      </w:r>
    </w:p>
    <w:p w14:paraId="4CC85415" w14:textId="77777777" w:rsidR="00B65EDC" w:rsidRPr="00E675E8" w:rsidRDefault="00B65EDC" w:rsidP="00B65EDC">
      <w:pPr>
        <w:rPr>
          <w:lang w:val="es-ES_tradnl"/>
        </w:rPr>
      </w:pPr>
    </w:p>
    <w:p w14:paraId="3C4E9214" w14:textId="1743CA4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contribuciones de los miembros constituyen la principal fuente de ingresos de la UPOV, es decir, el 93 %.</w:t>
      </w:r>
      <w:r w:rsidR="002817AB" w:rsidRPr="00E675E8">
        <w:rPr>
          <w:lang w:val="es-ES_tradnl"/>
        </w:rPr>
        <w:t xml:space="preserve"> </w:t>
      </w:r>
      <w:r w:rsidRPr="00E675E8">
        <w:rPr>
          <w:lang w:val="es-ES_tradnl"/>
        </w:rPr>
        <w:t>El valor de la unidad de contribución ha permanecido invariable en 53 641 francos suizos desde 1995.</w:t>
      </w:r>
      <w:r w:rsidR="002817AB" w:rsidRPr="00E675E8">
        <w:rPr>
          <w:lang w:val="es-ES_tradnl"/>
        </w:rPr>
        <w:t xml:space="preserve"> </w:t>
      </w:r>
      <w:r w:rsidRPr="00E675E8">
        <w:rPr>
          <w:lang w:val="es-ES_tradnl"/>
        </w:rPr>
        <w:t>Las proyecciones de ingresos para 2026-2027 prevén una disminución general de los ingresos, mientras que la demanda de los servicios de la UPOV sigue creciendo. Para compensar la disminución de los ingresos y garantizar que la UPOV pueda satisfacer sus necesidades en los ámbitos prioritarios acordados por el Consejo, el secretario general, junto con la Oficina de la UPOV, emprenderá consultas para evaluar el valor de la unidad de contribución e incluirá una propuesta para su examen por el Comité Consultivo y el Consejo en octubre de 2025 (</w:t>
      </w:r>
      <w:r w:rsidR="00020C6E">
        <w:rPr>
          <w:lang w:val="es-ES_tradnl"/>
        </w:rPr>
        <w:t xml:space="preserve">véase el </w:t>
      </w:r>
      <w:r w:rsidRPr="00E675E8">
        <w:rPr>
          <w:lang w:val="es-ES_tradnl"/>
        </w:rPr>
        <w:t xml:space="preserve">documento C/59/16 </w:t>
      </w:r>
      <w:r w:rsidR="00020C6E">
        <w:rPr>
          <w:lang w:val="es-ES_tradnl"/>
        </w:rPr>
        <w:t>“E</w:t>
      </w:r>
      <w:r w:rsidRPr="00E675E8">
        <w:rPr>
          <w:lang w:val="es-ES_tradnl"/>
        </w:rPr>
        <w:t>strategia de recursos</w:t>
      </w:r>
      <w:r w:rsidR="00020C6E">
        <w:rPr>
          <w:lang w:val="es-ES_tradnl"/>
        </w:rPr>
        <w:t xml:space="preserve"> de la UPOV”</w:t>
      </w:r>
      <w:r w:rsidRPr="00E675E8">
        <w:rPr>
          <w:lang w:val="es-ES_tradnl"/>
        </w:rPr>
        <w:t>).</w:t>
      </w:r>
    </w:p>
    <w:p w14:paraId="2D46EB0C" w14:textId="77777777" w:rsidR="00B65EDC" w:rsidRPr="00E675E8" w:rsidRDefault="00B65EDC" w:rsidP="00B65EDC">
      <w:pPr>
        <w:rPr>
          <w:lang w:val="es-ES_tradnl"/>
        </w:rPr>
      </w:pPr>
    </w:p>
    <w:p w14:paraId="14B406C6" w14:textId="54F1C90D" w:rsidR="00B65EDC"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ingresos obtenidos de las contribuciones se han calculado a partir del supuesto de que cada año haya un nuevo miembro de la Unión con una aportación de 0,2 unidades de contribución al presupuesto (y 1 667 francos suizos al fondo de operaciones).</w:t>
      </w:r>
      <w:r w:rsidR="002817AB" w:rsidRPr="00E675E8">
        <w:rPr>
          <w:lang w:val="es-ES_tradnl"/>
        </w:rPr>
        <w:t xml:space="preserve"> </w:t>
      </w:r>
      <w:r w:rsidRPr="00E675E8">
        <w:rPr>
          <w:lang w:val="es-ES_tradnl"/>
        </w:rPr>
        <w:t>El 27 de febrero de 2025, Nigeria depositó su instrumento de adhesión al Convenio de la UPOV.</w:t>
      </w:r>
      <w:r w:rsidR="002817AB" w:rsidRPr="00E675E8">
        <w:rPr>
          <w:lang w:val="es-ES_tradnl"/>
        </w:rPr>
        <w:t xml:space="preserve"> </w:t>
      </w:r>
      <w:r w:rsidRPr="00E675E8">
        <w:rPr>
          <w:lang w:val="es-ES_tradnl"/>
        </w:rPr>
        <w:t>Nigeria se convertirá en el octogésimo miembro de la UPOV el 27 de marzo de 2025.</w:t>
      </w:r>
      <w:r w:rsidR="002817AB" w:rsidRPr="00E675E8">
        <w:rPr>
          <w:lang w:val="es-ES_tradnl"/>
        </w:rPr>
        <w:t xml:space="preserve"> </w:t>
      </w:r>
      <w:r w:rsidRPr="00E675E8">
        <w:rPr>
          <w:lang w:val="es-ES_tradnl"/>
        </w:rPr>
        <w:t>La contribución anual de Nigeria a los gastos de la Unión será de una quinta parte de una unidad (0,2).</w:t>
      </w:r>
      <w:r w:rsidR="002817AB" w:rsidRPr="00E675E8">
        <w:rPr>
          <w:lang w:val="es-ES_tradnl"/>
        </w:rPr>
        <w:t xml:space="preserve"> </w:t>
      </w:r>
      <w:r w:rsidRPr="00E675E8">
        <w:rPr>
          <w:lang w:val="es-ES_tradnl"/>
        </w:rPr>
        <w:t xml:space="preserve">En su vigesimotercera sesión extraordinaria, celebrada el 7 de abril de 2006 en Ginebra, el Consejo decidió que “los miembros de la Unión no ajusten a la baja el número de unidades de contribución sin tener en cuenta las consecuencias que ello tendría para la UPOV y la forma en que dicha reducción tendría </w:t>
      </w:r>
      <w:r w:rsidRPr="00E675E8">
        <w:rPr>
          <w:lang w:val="es-ES_tradnl"/>
        </w:rPr>
        <w:lastRenderedPageBreak/>
        <w:t>que ser compensada por otros miembros de la Unión.</w:t>
      </w:r>
      <w:r w:rsidR="002817AB" w:rsidRPr="00E675E8">
        <w:rPr>
          <w:lang w:val="es-ES_tradnl"/>
        </w:rPr>
        <w:t xml:space="preserve"> </w:t>
      </w:r>
      <w:r w:rsidRPr="00E675E8">
        <w:rPr>
          <w:lang w:val="es-ES_tradnl"/>
        </w:rPr>
        <w:t>En particular, los miembros de la Unión no deben proceder a una reducción del número de sus unidades de contribución mientras esté vigente el ejercicio financiero aprobado por el Consejo, salvo en casos excepcionales e inevitables” (véase el Anexo III del documento C(</w:t>
      </w:r>
      <w:proofErr w:type="spellStart"/>
      <w:r w:rsidRPr="00E675E8">
        <w:rPr>
          <w:lang w:val="es-ES_tradnl"/>
        </w:rPr>
        <w:t>Extr</w:t>
      </w:r>
      <w:proofErr w:type="spellEnd"/>
      <w:r w:rsidRPr="00E675E8">
        <w:rPr>
          <w:lang w:val="es-ES_tradnl"/>
        </w:rPr>
        <w:t xml:space="preserve">.)/23/5). </w:t>
      </w:r>
    </w:p>
    <w:p w14:paraId="0A238A2A" w14:textId="77777777" w:rsidR="00E675E8" w:rsidRPr="00E675E8" w:rsidRDefault="00E675E8" w:rsidP="00B65EDC">
      <w:pPr>
        <w:rPr>
          <w:lang w:val="es-ES_tradnl"/>
        </w:rPr>
      </w:pPr>
    </w:p>
    <w:p w14:paraId="5974A47B" w14:textId="5033A2E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25 de octubre de 2024, se notificó a la UPOV que el número de unidades de contribución aplicables a Suecia se reducirá de 1,5 a 1, con efecto a partir de enero de 2026.</w:t>
      </w:r>
      <w:r w:rsidR="002817AB" w:rsidRPr="00E675E8">
        <w:rPr>
          <w:lang w:val="es-ES_tradnl"/>
        </w:rPr>
        <w:t xml:space="preserve"> </w:t>
      </w:r>
      <w:r w:rsidRPr="00E675E8">
        <w:rPr>
          <w:lang w:val="es-ES_tradnl"/>
        </w:rPr>
        <w:t xml:space="preserve">En vista de ello, no se prevén reducciones en el número de unidades de contribución de los miembros de la Unión en el bienio 2026-2027. </w:t>
      </w:r>
    </w:p>
    <w:p w14:paraId="6AD6F89E" w14:textId="77777777" w:rsidR="00B65EDC" w:rsidRPr="00E675E8" w:rsidRDefault="00B65EDC" w:rsidP="00B65EDC">
      <w:pPr>
        <w:rPr>
          <w:lang w:val="es-ES_tradnl"/>
        </w:rPr>
      </w:pPr>
    </w:p>
    <w:p w14:paraId="540CC1DA" w14:textId="54205ED7"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Además de las contribuciones de los miembros de la Unión, se prevén ingresos en concepto de tasas por uso de las herramientas y los servicios informáticos de la UPOV (326 520 francos suizos) e ingresos diversos (149 749 francos suizos), entre ellos: i) costo de administración de los fondos fiduciarios (109 749 francos suizos); y </w:t>
      </w:r>
      <w:proofErr w:type="spellStart"/>
      <w:r w:rsidRPr="00E675E8">
        <w:rPr>
          <w:lang w:val="es-ES_tradnl"/>
        </w:rPr>
        <w:t>ii</w:t>
      </w:r>
      <w:proofErr w:type="spellEnd"/>
      <w:r w:rsidRPr="00E675E8">
        <w:rPr>
          <w:lang w:val="es-ES_tradnl"/>
        </w:rPr>
        <w:t>) tasas obtenidas del programa de enseñanza a distancia (40 000 francos suizos).</w:t>
      </w:r>
      <w:r w:rsidR="002817AB" w:rsidRPr="00E675E8">
        <w:rPr>
          <w:lang w:val="es-ES_tradnl"/>
        </w:rPr>
        <w:t xml:space="preserve"> </w:t>
      </w:r>
      <w:r w:rsidRPr="00E675E8">
        <w:rPr>
          <w:lang w:val="es-ES_tradnl"/>
        </w:rPr>
        <w:t xml:space="preserve">Las fuentes de ingresos distintas de las contribuciones representan el 6,3 % de los ingresos totales estimados para 2026-2027. </w:t>
      </w:r>
    </w:p>
    <w:p w14:paraId="0875BD29" w14:textId="77777777" w:rsidR="00B65EDC" w:rsidRPr="00E675E8" w:rsidRDefault="00B65EDC" w:rsidP="00B65EDC">
      <w:pPr>
        <w:rPr>
          <w:spacing w:val="-2"/>
          <w:szCs w:val="24"/>
          <w:lang w:val="es-ES_tradnl"/>
        </w:rPr>
      </w:pPr>
    </w:p>
    <w:p w14:paraId="27E69621" w14:textId="77777777" w:rsidR="00B65EDC" w:rsidRPr="00E675E8" w:rsidRDefault="00B65EDC" w:rsidP="00B65EDC">
      <w:pPr>
        <w:rPr>
          <w:spacing w:val="-2"/>
          <w:szCs w:val="24"/>
          <w:lang w:val="es-ES_tradnl"/>
        </w:rPr>
      </w:pPr>
    </w:p>
    <w:p w14:paraId="541A275C" w14:textId="42AEF083" w:rsidR="00B65EDC" w:rsidRPr="00E675E8" w:rsidRDefault="00B65EDC" w:rsidP="00B65EDC">
      <w:pPr>
        <w:keepNext/>
        <w:jc w:val="center"/>
        <w:rPr>
          <w:rFonts w:cs="Arial"/>
          <w:i/>
          <w:iCs/>
          <w:sz w:val="18"/>
          <w:szCs w:val="18"/>
          <w:lang w:val="es-ES_tradnl"/>
        </w:rPr>
      </w:pPr>
      <w:r w:rsidRPr="00E675E8">
        <w:rPr>
          <w:b/>
          <w:color w:val="26724C" w:themeColor="accent1" w:themeShade="BF"/>
          <w:lang w:val="es-ES_tradnl"/>
        </w:rPr>
        <w:t>Cuadro 2:</w:t>
      </w:r>
      <w:r w:rsidR="002817AB" w:rsidRPr="00E675E8">
        <w:rPr>
          <w:b/>
          <w:color w:val="26724C" w:themeColor="accent1" w:themeShade="BF"/>
          <w:lang w:val="es-ES_tradnl"/>
        </w:rPr>
        <w:t xml:space="preserve"> </w:t>
      </w:r>
      <w:bookmarkStart w:id="435" w:name="_Hlk189579333"/>
      <w:r w:rsidRPr="00E675E8">
        <w:rPr>
          <w:b/>
          <w:color w:val="26724C" w:themeColor="accent1" w:themeShade="BF"/>
          <w:lang w:val="es-ES_tradnl"/>
        </w:rPr>
        <w:t>Ingresos 2024</w:t>
      </w:r>
      <w:r w:rsidRPr="00E675E8">
        <w:rPr>
          <w:b/>
          <w:color w:val="26724C" w:themeColor="accent1" w:themeShade="BF"/>
          <w:lang w:val="es-ES_tradnl"/>
        </w:rPr>
        <w:noBreakHyphen/>
        <w:t>2025 y 2026</w:t>
      </w:r>
      <w:r w:rsidRPr="00E675E8">
        <w:rPr>
          <w:b/>
          <w:color w:val="26724C" w:themeColor="accent1" w:themeShade="BF"/>
          <w:lang w:val="es-ES_tradnl"/>
        </w:rPr>
        <w:noBreakHyphen/>
        <w:t>2027</w:t>
      </w:r>
      <w:bookmarkEnd w:id="435"/>
      <w:r w:rsidRPr="00E675E8">
        <w:rPr>
          <w:b/>
          <w:color w:val="26724C" w:themeColor="accent1" w:themeShade="BF"/>
          <w:lang w:val="es-ES_tradnl"/>
        </w:rPr>
        <w:t xml:space="preserve"> </w:t>
      </w:r>
      <w:r w:rsidRPr="00E675E8">
        <w:rPr>
          <w:b/>
          <w:lang w:val="es-ES_tradnl"/>
        </w:rPr>
        <w:br/>
      </w:r>
      <w:r w:rsidRPr="00E675E8">
        <w:rPr>
          <w:i/>
          <w:sz w:val="18"/>
          <w:lang w:val="es-ES_tradnl"/>
        </w:rPr>
        <w:t>(en miles de francos suizos)</w:t>
      </w:r>
    </w:p>
    <w:p w14:paraId="0A64D72E" w14:textId="77777777" w:rsidR="00B65EDC" w:rsidRPr="00E675E8" w:rsidRDefault="00B65EDC" w:rsidP="00B65EDC">
      <w:pPr>
        <w:keepNext/>
        <w:rPr>
          <w:rFonts w:cs="Arial"/>
          <w:i/>
          <w:iCs/>
          <w:lang w:val="es-ES_tradnl"/>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E675E8" w14:paraId="5ABBAEFC" w14:textId="77777777">
        <w:trPr>
          <w:trHeight w:val="317"/>
        </w:trPr>
        <w:tc>
          <w:tcPr>
            <w:tcW w:w="3402" w:type="dxa"/>
            <w:tcBorders>
              <w:top w:val="nil"/>
              <w:left w:val="nil"/>
              <w:bottom w:val="nil"/>
              <w:right w:val="nil"/>
            </w:tcBorders>
            <w:shd w:val="clear" w:color="000000" w:fill="C7CFD8"/>
            <w:hideMark/>
          </w:tcPr>
          <w:p w14:paraId="599FC29F" w14:textId="77777777" w:rsidR="00B65EDC" w:rsidRPr="00E675E8" w:rsidRDefault="00B65EDC">
            <w:pPr>
              <w:ind w:firstLineChars="100" w:firstLine="181"/>
              <w:jc w:val="left"/>
              <w:rPr>
                <w:rFonts w:cs="Arial"/>
                <w:b/>
                <w:bCs/>
                <w:i/>
                <w:iCs/>
                <w:sz w:val="18"/>
                <w:szCs w:val="18"/>
                <w:lang w:val="es-ES_tradnl"/>
              </w:rPr>
            </w:pPr>
          </w:p>
        </w:tc>
        <w:tc>
          <w:tcPr>
            <w:tcW w:w="1276" w:type="dxa"/>
            <w:tcBorders>
              <w:top w:val="nil"/>
              <w:left w:val="nil"/>
              <w:bottom w:val="nil"/>
              <w:right w:val="nil"/>
            </w:tcBorders>
            <w:shd w:val="clear" w:color="000000" w:fill="C7CFD8"/>
            <w:vAlign w:val="center"/>
            <w:hideMark/>
          </w:tcPr>
          <w:p w14:paraId="60FA2F77"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p>
        </w:tc>
        <w:tc>
          <w:tcPr>
            <w:tcW w:w="1418" w:type="dxa"/>
            <w:tcBorders>
              <w:top w:val="nil"/>
              <w:left w:val="nil"/>
              <w:bottom w:val="nil"/>
              <w:right w:val="nil"/>
            </w:tcBorders>
            <w:shd w:val="clear" w:color="000000" w:fill="C7CFD8"/>
            <w:vAlign w:val="center"/>
            <w:hideMark/>
          </w:tcPr>
          <w:p w14:paraId="78FBE30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Variación</w:t>
            </w:r>
          </w:p>
        </w:tc>
        <w:tc>
          <w:tcPr>
            <w:tcW w:w="1243" w:type="dxa"/>
            <w:tcBorders>
              <w:top w:val="nil"/>
              <w:left w:val="nil"/>
              <w:bottom w:val="nil"/>
              <w:right w:val="nil"/>
            </w:tcBorders>
            <w:shd w:val="clear" w:color="000000" w:fill="C7CFD8"/>
            <w:vAlign w:val="center"/>
            <w:hideMark/>
          </w:tcPr>
          <w:p w14:paraId="603B370C" w14:textId="19723B34"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2026-2027</w:t>
            </w:r>
          </w:p>
        </w:tc>
      </w:tr>
      <w:tr w:rsidR="00B65EDC" w:rsidRPr="00E675E8" w14:paraId="58D4A2EC" w14:textId="77777777">
        <w:trPr>
          <w:trHeight w:val="272"/>
        </w:trPr>
        <w:tc>
          <w:tcPr>
            <w:tcW w:w="3402" w:type="dxa"/>
            <w:tcBorders>
              <w:top w:val="nil"/>
              <w:left w:val="nil"/>
              <w:bottom w:val="nil"/>
              <w:right w:val="nil"/>
            </w:tcBorders>
            <w:shd w:val="clear" w:color="000000" w:fill="C7CFD8"/>
            <w:hideMark/>
          </w:tcPr>
          <w:p w14:paraId="6D34DB67" w14:textId="77777777" w:rsidR="00B65EDC" w:rsidRPr="00E675E8" w:rsidRDefault="00B65EDC">
            <w:pPr>
              <w:ind w:firstLineChars="100" w:firstLine="181"/>
              <w:jc w:val="left"/>
              <w:rPr>
                <w:rFonts w:ascii="Arial Narrow" w:hAnsi="Arial Narrow" w:cs="Arial"/>
                <w:b/>
                <w:bCs/>
                <w:sz w:val="18"/>
                <w:szCs w:val="18"/>
                <w:lang w:val="es-ES_tradnl"/>
              </w:rPr>
            </w:pPr>
            <w:r w:rsidRPr="00E675E8">
              <w:rPr>
                <w:rFonts w:ascii="Arial Narrow" w:hAnsi="Arial Narrow"/>
                <w:b/>
                <w:sz w:val="18"/>
                <w:lang w:val="es-ES_tradnl"/>
              </w:rPr>
              <w:t>Fuente</w:t>
            </w:r>
          </w:p>
        </w:tc>
        <w:tc>
          <w:tcPr>
            <w:tcW w:w="1276" w:type="dxa"/>
            <w:tcBorders>
              <w:top w:val="nil"/>
              <w:left w:val="nil"/>
              <w:bottom w:val="nil"/>
              <w:right w:val="nil"/>
            </w:tcBorders>
            <w:shd w:val="clear" w:color="000000" w:fill="C7CFD8"/>
            <w:vAlign w:val="center"/>
            <w:hideMark/>
          </w:tcPr>
          <w:p w14:paraId="1FD1E0CD"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Real</w:t>
            </w:r>
            <w:r w:rsidRPr="00E675E8">
              <w:rPr>
                <w:b/>
                <w:i/>
                <w:color w:val="000000"/>
                <w:sz w:val="18"/>
                <w:vertAlign w:val="superscript"/>
                <w:lang w:val="es-ES_tradnl"/>
              </w:rPr>
              <w:t>1</w:t>
            </w:r>
          </w:p>
        </w:tc>
        <w:tc>
          <w:tcPr>
            <w:tcW w:w="1418" w:type="dxa"/>
            <w:tcBorders>
              <w:top w:val="nil"/>
              <w:left w:val="nil"/>
              <w:bottom w:val="nil"/>
              <w:right w:val="nil"/>
            </w:tcBorders>
            <w:shd w:val="clear" w:color="000000" w:fill="C7CFD8"/>
            <w:vAlign w:val="center"/>
            <w:hideMark/>
          </w:tcPr>
          <w:p w14:paraId="51A9DEF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Aprobado</w:t>
            </w:r>
          </w:p>
        </w:tc>
        <w:tc>
          <w:tcPr>
            <w:tcW w:w="2248" w:type="dxa"/>
            <w:gridSpan w:val="2"/>
            <w:vMerge/>
            <w:tcBorders>
              <w:top w:val="nil"/>
              <w:left w:val="nil"/>
              <w:bottom w:val="nil"/>
              <w:right w:val="nil"/>
            </w:tcBorders>
            <w:vAlign w:val="center"/>
            <w:hideMark/>
          </w:tcPr>
          <w:p w14:paraId="7CDC1A19" w14:textId="77777777" w:rsidR="00B65EDC" w:rsidRPr="00E675E8" w:rsidRDefault="00B65EDC">
            <w:pPr>
              <w:jc w:val="left"/>
              <w:rPr>
                <w:rFonts w:ascii="Arial Narrow" w:hAnsi="Arial Narrow" w:cs="Arial"/>
                <w:b/>
                <w:bCs/>
                <w:sz w:val="18"/>
                <w:szCs w:val="18"/>
                <w:lang w:val="es-ES_tradnl"/>
              </w:rPr>
            </w:pPr>
          </w:p>
        </w:tc>
        <w:tc>
          <w:tcPr>
            <w:tcW w:w="1243" w:type="dxa"/>
            <w:tcBorders>
              <w:top w:val="nil"/>
              <w:left w:val="nil"/>
              <w:bottom w:val="nil"/>
              <w:right w:val="nil"/>
            </w:tcBorders>
            <w:shd w:val="clear" w:color="000000" w:fill="C7CFD8"/>
            <w:vAlign w:val="center"/>
            <w:hideMark/>
          </w:tcPr>
          <w:p w14:paraId="22E225E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r>
      <w:tr w:rsidR="00B65EDC" w:rsidRPr="00E675E8" w14:paraId="0BCA6E5C" w14:textId="77777777">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E675E8" w:rsidRDefault="00B65EDC">
            <w:pPr>
              <w:ind w:firstLineChars="100" w:firstLine="181"/>
              <w:jc w:val="left"/>
              <w:rPr>
                <w:rFonts w:cs="Arial"/>
                <w:b/>
                <w:bCs/>
                <w:i/>
                <w:iCs/>
                <w:sz w:val="18"/>
                <w:szCs w:val="18"/>
                <w:lang w:val="es-ES_tradnl"/>
              </w:rPr>
            </w:pPr>
          </w:p>
        </w:tc>
        <w:tc>
          <w:tcPr>
            <w:tcW w:w="1276" w:type="dxa"/>
            <w:tcBorders>
              <w:top w:val="nil"/>
              <w:left w:val="nil"/>
              <w:bottom w:val="nil"/>
              <w:right w:val="nil"/>
            </w:tcBorders>
            <w:shd w:val="clear" w:color="000000" w:fill="C7CFD8"/>
            <w:vAlign w:val="center"/>
            <w:hideMark/>
          </w:tcPr>
          <w:p w14:paraId="3F3B051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B</w:t>
            </w:r>
          </w:p>
        </w:tc>
        <w:tc>
          <w:tcPr>
            <w:tcW w:w="1134" w:type="dxa"/>
            <w:tcBorders>
              <w:top w:val="nil"/>
              <w:left w:val="nil"/>
              <w:bottom w:val="nil"/>
              <w:right w:val="nil"/>
            </w:tcBorders>
            <w:shd w:val="clear" w:color="000000" w:fill="C7CFD8"/>
            <w:vAlign w:val="center"/>
            <w:hideMark/>
          </w:tcPr>
          <w:p w14:paraId="577F2F0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w:t>
            </w:r>
          </w:p>
        </w:tc>
        <w:tc>
          <w:tcPr>
            <w:tcW w:w="1114" w:type="dxa"/>
            <w:tcBorders>
              <w:top w:val="nil"/>
              <w:left w:val="nil"/>
              <w:bottom w:val="nil"/>
              <w:right w:val="nil"/>
            </w:tcBorders>
            <w:shd w:val="clear" w:color="000000" w:fill="C7CFD8"/>
            <w:vAlign w:val="center"/>
            <w:hideMark/>
          </w:tcPr>
          <w:p w14:paraId="453CBDB2"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D=B+C </w:t>
            </w:r>
          </w:p>
        </w:tc>
      </w:tr>
      <w:tr w:rsidR="00B65EDC" w:rsidRPr="00E675E8" w14:paraId="2F53AE58" w14:textId="77777777" w:rsidTr="00A538F6">
        <w:trPr>
          <w:trHeight w:val="362"/>
        </w:trPr>
        <w:tc>
          <w:tcPr>
            <w:tcW w:w="3402" w:type="dxa"/>
            <w:tcBorders>
              <w:top w:val="nil"/>
              <w:left w:val="nil"/>
              <w:bottom w:val="nil"/>
              <w:right w:val="nil"/>
            </w:tcBorders>
            <w:vAlign w:val="bottom"/>
            <w:hideMark/>
          </w:tcPr>
          <w:p w14:paraId="6FF87DC2"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Contribuciones</w:t>
            </w:r>
          </w:p>
        </w:tc>
        <w:tc>
          <w:tcPr>
            <w:tcW w:w="1276" w:type="dxa"/>
            <w:tcBorders>
              <w:top w:val="nil"/>
              <w:left w:val="nil"/>
              <w:bottom w:val="nil"/>
              <w:right w:val="nil"/>
            </w:tcBorders>
            <w:vAlign w:val="bottom"/>
          </w:tcPr>
          <w:p w14:paraId="2AFD807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7 140</w:t>
            </w:r>
          </w:p>
        </w:tc>
        <w:tc>
          <w:tcPr>
            <w:tcW w:w="1418" w:type="dxa"/>
            <w:tcBorders>
              <w:top w:val="nil"/>
              <w:left w:val="nil"/>
              <w:bottom w:val="nil"/>
              <w:right w:val="nil"/>
            </w:tcBorders>
            <w:vAlign w:val="bottom"/>
          </w:tcPr>
          <w:p w14:paraId="5A368BA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7 193</w:t>
            </w:r>
          </w:p>
        </w:tc>
        <w:tc>
          <w:tcPr>
            <w:tcW w:w="1134" w:type="dxa"/>
            <w:tcBorders>
              <w:top w:val="nil"/>
              <w:left w:val="nil"/>
              <w:bottom w:val="nil"/>
              <w:right w:val="nil"/>
            </w:tcBorders>
            <w:vAlign w:val="bottom"/>
          </w:tcPr>
          <w:p w14:paraId="7999775C"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(54)</w:t>
            </w:r>
          </w:p>
        </w:tc>
        <w:tc>
          <w:tcPr>
            <w:tcW w:w="1114" w:type="dxa"/>
            <w:tcBorders>
              <w:top w:val="nil"/>
              <w:left w:val="nil"/>
              <w:bottom w:val="nil"/>
              <w:right w:val="nil"/>
            </w:tcBorders>
            <w:vAlign w:val="bottom"/>
          </w:tcPr>
          <w:p w14:paraId="0F850CD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-0,7 %</w:t>
            </w:r>
          </w:p>
        </w:tc>
        <w:tc>
          <w:tcPr>
            <w:tcW w:w="1243" w:type="dxa"/>
            <w:tcBorders>
              <w:top w:val="nil"/>
              <w:left w:val="nil"/>
              <w:bottom w:val="nil"/>
              <w:right w:val="nil"/>
            </w:tcBorders>
            <w:vAlign w:val="bottom"/>
          </w:tcPr>
          <w:p w14:paraId="7E4B71A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7 140</w:t>
            </w:r>
          </w:p>
        </w:tc>
      </w:tr>
      <w:tr w:rsidR="00B65EDC" w:rsidRPr="00E675E8" w14:paraId="087F58E6" w14:textId="77777777" w:rsidTr="00A538F6">
        <w:trPr>
          <w:trHeight w:val="347"/>
        </w:trPr>
        <w:tc>
          <w:tcPr>
            <w:tcW w:w="3402" w:type="dxa"/>
            <w:tcBorders>
              <w:top w:val="nil"/>
              <w:left w:val="nil"/>
              <w:bottom w:val="nil"/>
              <w:right w:val="nil"/>
            </w:tcBorders>
            <w:vAlign w:val="bottom"/>
            <w:hideMark/>
          </w:tcPr>
          <w:p w14:paraId="385432EC"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Tasas por uso de las herramientas y servicios informáticos de la UPOV</w:t>
            </w:r>
          </w:p>
        </w:tc>
        <w:tc>
          <w:tcPr>
            <w:tcW w:w="1276" w:type="dxa"/>
            <w:tcBorders>
              <w:top w:val="nil"/>
              <w:left w:val="nil"/>
              <w:bottom w:val="nil"/>
              <w:right w:val="nil"/>
            </w:tcBorders>
            <w:vAlign w:val="bottom"/>
          </w:tcPr>
          <w:p w14:paraId="1132501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307</w:t>
            </w:r>
          </w:p>
        </w:tc>
        <w:tc>
          <w:tcPr>
            <w:tcW w:w="1418" w:type="dxa"/>
            <w:tcBorders>
              <w:top w:val="nil"/>
              <w:left w:val="nil"/>
              <w:bottom w:val="nil"/>
              <w:right w:val="nil"/>
            </w:tcBorders>
            <w:vAlign w:val="bottom"/>
          </w:tcPr>
          <w:p w14:paraId="5238543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508</w:t>
            </w:r>
          </w:p>
        </w:tc>
        <w:tc>
          <w:tcPr>
            <w:tcW w:w="1134" w:type="dxa"/>
            <w:tcBorders>
              <w:top w:val="nil"/>
              <w:left w:val="nil"/>
              <w:bottom w:val="nil"/>
              <w:right w:val="nil"/>
            </w:tcBorders>
            <w:vAlign w:val="bottom"/>
          </w:tcPr>
          <w:p w14:paraId="56034FC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(182)</w:t>
            </w:r>
          </w:p>
        </w:tc>
        <w:tc>
          <w:tcPr>
            <w:tcW w:w="1114" w:type="dxa"/>
            <w:tcBorders>
              <w:top w:val="nil"/>
              <w:left w:val="nil"/>
              <w:bottom w:val="nil"/>
              <w:right w:val="nil"/>
            </w:tcBorders>
            <w:vAlign w:val="bottom"/>
          </w:tcPr>
          <w:p w14:paraId="5817FC3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-35,8 %</w:t>
            </w:r>
          </w:p>
        </w:tc>
        <w:tc>
          <w:tcPr>
            <w:tcW w:w="1243" w:type="dxa"/>
            <w:tcBorders>
              <w:top w:val="nil"/>
              <w:left w:val="nil"/>
              <w:bottom w:val="nil"/>
              <w:right w:val="nil"/>
            </w:tcBorders>
            <w:vAlign w:val="bottom"/>
          </w:tcPr>
          <w:p w14:paraId="2B3417BC"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327</w:t>
            </w:r>
          </w:p>
        </w:tc>
      </w:tr>
      <w:tr w:rsidR="00B65EDC" w:rsidRPr="00E675E8" w14:paraId="4720A4BC" w14:textId="77777777" w:rsidTr="00A538F6">
        <w:trPr>
          <w:trHeight w:val="347"/>
        </w:trPr>
        <w:tc>
          <w:tcPr>
            <w:tcW w:w="3402" w:type="dxa"/>
            <w:tcBorders>
              <w:top w:val="nil"/>
              <w:left w:val="nil"/>
              <w:bottom w:val="nil"/>
              <w:right w:val="nil"/>
            </w:tcBorders>
            <w:vAlign w:val="bottom"/>
            <w:hideMark/>
          </w:tcPr>
          <w:p w14:paraId="18821B9E"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Otros ingresos</w:t>
            </w:r>
          </w:p>
        </w:tc>
        <w:tc>
          <w:tcPr>
            <w:tcW w:w="1276" w:type="dxa"/>
            <w:tcBorders>
              <w:top w:val="nil"/>
              <w:left w:val="nil"/>
              <w:bottom w:val="nil"/>
              <w:right w:val="nil"/>
            </w:tcBorders>
            <w:vAlign w:val="bottom"/>
          </w:tcPr>
          <w:p w14:paraId="526A286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126</w:t>
            </w:r>
          </w:p>
        </w:tc>
        <w:tc>
          <w:tcPr>
            <w:tcW w:w="1418" w:type="dxa"/>
            <w:tcBorders>
              <w:top w:val="nil"/>
              <w:left w:val="nil"/>
              <w:bottom w:val="nil"/>
              <w:right w:val="nil"/>
            </w:tcBorders>
            <w:vAlign w:val="bottom"/>
          </w:tcPr>
          <w:p w14:paraId="4D9C02FB"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200</w:t>
            </w:r>
          </w:p>
        </w:tc>
        <w:tc>
          <w:tcPr>
            <w:tcW w:w="1134" w:type="dxa"/>
            <w:tcBorders>
              <w:top w:val="nil"/>
              <w:left w:val="nil"/>
              <w:bottom w:val="nil"/>
              <w:right w:val="nil"/>
            </w:tcBorders>
            <w:vAlign w:val="bottom"/>
          </w:tcPr>
          <w:p w14:paraId="752B26AE"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(50)</w:t>
            </w:r>
          </w:p>
        </w:tc>
        <w:tc>
          <w:tcPr>
            <w:tcW w:w="1114" w:type="dxa"/>
            <w:tcBorders>
              <w:top w:val="nil"/>
              <w:left w:val="nil"/>
              <w:bottom w:val="nil"/>
              <w:right w:val="nil"/>
            </w:tcBorders>
            <w:vAlign w:val="bottom"/>
          </w:tcPr>
          <w:p w14:paraId="1377D6B4"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-25,0 %</w:t>
            </w:r>
          </w:p>
        </w:tc>
        <w:tc>
          <w:tcPr>
            <w:tcW w:w="1243" w:type="dxa"/>
            <w:tcBorders>
              <w:top w:val="nil"/>
              <w:left w:val="nil"/>
              <w:bottom w:val="nil"/>
              <w:right w:val="nil"/>
            </w:tcBorders>
            <w:vAlign w:val="bottom"/>
          </w:tcPr>
          <w:p w14:paraId="777463A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150</w:t>
            </w:r>
          </w:p>
        </w:tc>
      </w:tr>
      <w:tr w:rsidR="00B65EDC" w:rsidRPr="00E675E8" w14:paraId="24EE9DC3" w14:textId="77777777" w:rsidTr="00A538F6">
        <w:trPr>
          <w:trHeight w:val="347"/>
        </w:trPr>
        <w:tc>
          <w:tcPr>
            <w:tcW w:w="3402" w:type="dxa"/>
            <w:tcBorders>
              <w:top w:val="nil"/>
              <w:left w:val="nil"/>
              <w:bottom w:val="nil"/>
              <w:right w:val="nil"/>
            </w:tcBorders>
            <w:vAlign w:val="bottom"/>
            <w:hideMark/>
          </w:tcPr>
          <w:p w14:paraId="4A5CA5D3"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Costos de apoyo administrativo (programa de fondos fiduciarios)</w:t>
            </w:r>
          </w:p>
        </w:tc>
        <w:tc>
          <w:tcPr>
            <w:tcW w:w="1276" w:type="dxa"/>
            <w:tcBorders>
              <w:top w:val="nil"/>
              <w:left w:val="nil"/>
              <w:bottom w:val="nil"/>
              <w:right w:val="nil"/>
            </w:tcBorders>
            <w:vAlign w:val="bottom"/>
          </w:tcPr>
          <w:p w14:paraId="5F526E3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119</w:t>
            </w:r>
          </w:p>
        </w:tc>
        <w:tc>
          <w:tcPr>
            <w:tcW w:w="1418" w:type="dxa"/>
            <w:tcBorders>
              <w:top w:val="nil"/>
              <w:left w:val="nil"/>
              <w:bottom w:val="nil"/>
              <w:right w:val="nil"/>
            </w:tcBorders>
            <w:vAlign w:val="bottom"/>
          </w:tcPr>
          <w:p w14:paraId="785AF04B"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120</w:t>
            </w:r>
          </w:p>
        </w:tc>
        <w:tc>
          <w:tcPr>
            <w:tcW w:w="1134" w:type="dxa"/>
            <w:tcBorders>
              <w:top w:val="nil"/>
              <w:left w:val="nil"/>
              <w:bottom w:val="nil"/>
              <w:right w:val="nil"/>
            </w:tcBorders>
            <w:vAlign w:val="bottom"/>
          </w:tcPr>
          <w:p w14:paraId="53C175EA"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(10)</w:t>
            </w:r>
          </w:p>
        </w:tc>
        <w:tc>
          <w:tcPr>
            <w:tcW w:w="1114" w:type="dxa"/>
            <w:tcBorders>
              <w:top w:val="nil"/>
              <w:left w:val="nil"/>
              <w:bottom w:val="nil"/>
              <w:right w:val="nil"/>
            </w:tcBorders>
            <w:vAlign w:val="bottom"/>
          </w:tcPr>
          <w:p w14:paraId="3FD577D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-8,3 %</w:t>
            </w:r>
          </w:p>
        </w:tc>
        <w:tc>
          <w:tcPr>
            <w:tcW w:w="1243" w:type="dxa"/>
            <w:tcBorders>
              <w:top w:val="nil"/>
              <w:left w:val="nil"/>
              <w:bottom w:val="nil"/>
              <w:right w:val="nil"/>
            </w:tcBorders>
            <w:vAlign w:val="bottom"/>
          </w:tcPr>
          <w:p w14:paraId="7B6320CF" w14:textId="77777777" w:rsidR="00B65EDC" w:rsidRPr="00E675E8" w:rsidRDefault="00B65EDC">
            <w:pPr>
              <w:jc w:val="right"/>
              <w:rPr>
                <w:rFonts w:ascii="Arial Narrow" w:hAnsi="Arial Narrow" w:cs="Arial"/>
                <w:b/>
                <w:bCs/>
                <w:color w:val="000000"/>
                <w:lang w:val="es-ES_tradnl"/>
              </w:rPr>
            </w:pPr>
            <w:bookmarkStart w:id="436" w:name="_Hlk190003129"/>
            <w:r w:rsidRPr="00E675E8">
              <w:rPr>
                <w:rFonts w:ascii="Arial Narrow" w:hAnsi="Arial Narrow"/>
                <w:b/>
                <w:lang w:val="es-ES_tradnl"/>
              </w:rPr>
              <w:t>110</w:t>
            </w:r>
            <w:bookmarkEnd w:id="436"/>
          </w:p>
        </w:tc>
      </w:tr>
      <w:tr w:rsidR="00B65EDC" w:rsidRPr="00E675E8" w14:paraId="00B3CCDD" w14:textId="77777777" w:rsidTr="00A538F6">
        <w:trPr>
          <w:trHeight w:val="347"/>
        </w:trPr>
        <w:tc>
          <w:tcPr>
            <w:tcW w:w="3402" w:type="dxa"/>
            <w:tcBorders>
              <w:top w:val="nil"/>
              <w:left w:val="nil"/>
              <w:bottom w:val="nil"/>
              <w:right w:val="nil"/>
            </w:tcBorders>
            <w:vAlign w:val="bottom"/>
            <w:hideMark/>
          </w:tcPr>
          <w:p w14:paraId="7126FF5A"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Programa de Enseñanza a Distancia</w:t>
            </w:r>
          </w:p>
        </w:tc>
        <w:tc>
          <w:tcPr>
            <w:tcW w:w="1276" w:type="dxa"/>
            <w:tcBorders>
              <w:top w:val="nil"/>
              <w:left w:val="nil"/>
              <w:bottom w:val="nil"/>
              <w:right w:val="nil"/>
            </w:tcBorders>
            <w:vAlign w:val="bottom"/>
          </w:tcPr>
          <w:p w14:paraId="001F24C6"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50</w:t>
            </w:r>
          </w:p>
        </w:tc>
        <w:tc>
          <w:tcPr>
            <w:tcW w:w="1418" w:type="dxa"/>
            <w:tcBorders>
              <w:top w:val="nil"/>
              <w:left w:val="nil"/>
              <w:bottom w:val="nil"/>
              <w:right w:val="nil"/>
            </w:tcBorders>
            <w:vAlign w:val="bottom"/>
          </w:tcPr>
          <w:p w14:paraId="45D263D2"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80</w:t>
            </w:r>
          </w:p>
        </w:tc>
        <w:tc>
          <w:tcPr>
            <w:tcW w:w="1134" w:type="dxa"/>
            <w:tcBorders>
              <w:top w:val="nil"/>
              <w:left w:val="nil"/>
              <w:bottom w:val="nil"/>
              <w:right w:val="nil"/>
            </w:tcBorders>
            <w:vAlign w:val="bottom"/>
          </w:tcPr>
          <w:p w14:paraId="334C495B"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(40)</w:t>
            </w:r>
          </w:p>
        </w:tc>
        <w:tc>
          <w:tcPr>
            <w:tcW w:w="1114" w:type="dxa"/>
            <w:tcBorders>
              <w:top w:val="nil"/>
              <w:left w:val="nil"/>
              <w:bottom w:val="nil"/>
              <w:right w:val="nil"/>
            </w:tcBorders>
            <w:vAlign w:val="bottom"/>
          </w:tcPr>
          <w:p w14:paraId="10A6F6A9"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-50,0 %</w:t>
            </w:r>
          </w:p>
        </w:tc>
        <w:tc>
          <w:tcPr>
            <w:tcW w:w="1243" w:type="dxa"/>
            <w:tcBorders>
              <w:top w:val="nil"/>
              <w:left w:val="nil"/>
              <w:bottom w:val="nil"/>
              <w:right w:val="nil"/>
            </w:tcBorders>
            <w:vAlign w:val="bottom"/>
          </w:tcPr>
          <w:p w14:paraId="7051799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40</w:t>
            </w:r>
          </w:p>
        </w:tc>
      </w:tr>
      <w:tr w:rsidR="00B65EDC" w:rsidRPr="00E675E8" w14:paraId="638F0E10" w14:textId="77777777" w:rsidTr="00A538F6">
        <w:trPr>
          <w:trHeight w:val="347"/>
        </w:trPr>
        <w:tc>
          <w:tcPr>
            <w:tcW w:w="3402" w:type="dxa"/>
            <w:tcBorders>
              <w:top w:val="nil"/>
              <w:left w:val="nil"/>
              <w:bottom w:val="nil"/>
              <w:right w:val="nil"/>
            </w:tcBorders>
            <w:vAlign w:val="bottom"/>
            <w:hideMark/>
          </w:tcPr>
          <w:p w14:paraId="0CC6F6C1"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 xml:space="preserve">Otros </w:t>
            </w:r>
          </w:p>
        </w:tc>
        <w:tc>
          <w:tcPr>
            <w:tcW w:w="1276" w:type="dxa"/>
            <w:tcBorders>
              <w:top w:val="nil"/>
              <w:left w:val="nil"/>
              <w:bottom w:val="nil"/>
              <w:right w:val="nil"/>
            </w:tcBorders>
            <w:vAlign w:val="bottom"/>
          </w:tcPr>
          <w:p w14:paraId="47F513FE"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(44)</w:t>
            </w:r>
          </w:p>
        </w:tc>
        <w:tc>
          <w:tcPr>
            <w:tcW w:w="1418" w:type="dxa"/>
            <w:tcBorders>
              <w:top w:val="nil"/>
              <w:left w:val="nil"/>
              <w:bottom w:val="nil"/>
              <w:right w:val="nil"/>
            </w:tcBorders>
            <w:vAlign w:val="bottom"/>
          </w:tcPr>
          <w:p w14:paraId="200CE05D"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134" w:type="dxa"/>
            <w:tcBorders>
              <w:top w:val="nil"/>
              <w:left w:val="nil"/>
              <w:bottom w:val="nil"/>
              <w:right w:val="nil"/>
            </w:tcBorders>
            <w:vAlign w:val="bottom"/>
          </w:tcPr>
          <w:p w14:paraId="29080CEE"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114" w:type="dxa"/>
            <w:tcBorders>
              <w:top w:val="nil"/>
              <w:left w:val="nil"/>
              <w:bottom w:val="nil"/>
              <w:right w:val="nil"/>
            </w:tcBorders>
            <w:vAlign w:val="bottom"/>
          </w:tcPr>
          <w:p w14:paraId="34E4C254"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43" w:type="dxa"/>
            <w:tcBorders>
              <w:top w:val="nil"/>
              <w:left w:val="nil"/>
              <w:bottom w:val="nil"/>
              <w:right w:val="nil"/>
            </w:tcBorders>
            <w:vAlign w:val="bottom"/>
          </w:tcPr>
          <w:p w14:paraId="46FFEF60"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w:t>
            </w:r>
          </w:p>
        </w:tc>
      </w:tr>
      <w:tr w:rsidR="00B65EDC" w:rsidRPr="00E675E8" w14:paraId="597D928F" w14:textId="77777777" w:rsidTr="00A538F6">
        <w:trPr>
          <w:trHeight w:val="181"/>
        </w:trPr>
        <w:tc>
          <w:tcPr>
            <w:tcW w:w="3402" w:type="dxa"/>
            <w:tcBorders>
              <w:top w:val="nil"/>
              <w:left w:val="nil"/>
              <w:bottom w:val="nil"/>
              <w:right w:val="nil"/>
            </w:tcBorders>
            <w:vAlign w:val="bottom"/>
            <w:hideMark/>
          </w:tcPr>
          <w:p w14:paraId="021B7400" w14:textId="77777777" w:rsidR="00B65EDC" w:rsidRPr="00E675E8" w:rsidRDefault="00B65EDC">
            <w:pPr>
              <w:jc w:val="right"/>
              <w:rPr>
                <w:rFonts w:ascii="Arial Narrow" w:hAnsi="Arial Narrow" w:cs="Arial"/>
                <w:b/>
                <w:bCs/>
                <w:color w:val="000000"/>
                <w:lang w:val="es-ES_tradnl"/>
              </w:rPr>
            </w:pPr>
          </w:p>
        </w:tc>
        <w:tc>
          <w:tcPr>
            <w:tcW w:w="1276" w:type="dxa"/>
            <w:tcBorders>
              <w:top w:val="nil"/>
              <w:left w:val="nil"/>
              <w:bottom w:val="nil"/>
              <w:right w:val="nil"/>
            </w:tcBorders>
            <w:vAlign w:val="bottom"/>
          </w:tcPr>
          <w:p w14:paraId="723DE4F6" w14:textId="77777777" w:rsidR="00B65EDC" w:rsidRPr="00E675E8" w:rsidRDefault="00B65EDC">
            <w:pPr>
              <w:ind w:firstLineChars="200" w:firstLine="400"/>
              <w:jc w:val="left"/>
              <w:rPr>
                <w:rFonts w:ascii="Times New Roman" w:hAnsi="Times New Roman"/>
                <w:lang w:val="es-ES_tradnl"/>
              </w:rPr>
            </w:pPr>
          </w:p>
        </w:tc>
        <w:tc>
          <w:tcPr>
            <w:tcW w:w="1418" w:type="dxa"/>
            <w:tcBorders>
              <w:top w:val="nil"/>
              <w:left w:val="nil"/>
              <w:bottom w:val="nil"/>
              <w:right w:val="nil"/>
            </w:tcBorders>
            <w:vAlign w:val="bottom"/>
          </w:tcPr>
          <w:p w14:paraId="4B859DB7" w14:textId="77777777" w:rsidR="00B65EDC" w:rsidRPr="00E675E8" w:rsidRDefault="00B65EDC">
            <w:pPr>
              <w:jc w:val="right"/>
              <w:rPr>
                <w:rFonts w:ascii="Times New Roman" w:hAnsi="Times New Roman"/>
                <w:lang w:val="es-ES_tradnl"/>
              </w:rPr>
            </w:pPr>
          </w:p>
        </w:tc>
        <w:tc>
          <w:tcPr>
            <w:tcW w:w="1134" w:type="dxa"/>
            <w:tcBorders>
              <w:top w:val="nil"/>
              <w:left w:val="nil"/>
              <w:bottom w:val="nil"/>
              <w:right w:val="nil"/>
            </w:tcBorders>
            <w:vAlign w:val="bottom"/>
          </w:tcPr>
          <w:p w14:paraId="6000590F" w14:textId="77777777" w:rsidR="00B65EDC" w:rsidRPr="00E675E8" w:rsidRDefault="00B65EDC">
            <w:pPr>
              <w:jc w:val="right"/>
              <w:rPr>
                <w:rFonts w:ascii="Times New Roman" w:hAnsi="Times New Roman"/>
                <w:lang w:val="es-ES_tradnl"/>
              </w:rPr>
            </w:pPr>
          </w:p>
        </w:tc>
        <w:tc>
          <w:tcPr>
            <w:tcW w:w="1114" w:type="dxa"/>
            <w:tcBorders>
              <w:top w:val="nil"/>
              <w:left w:val="nil"/>
              <w:bottom w:val="nil"/>
              <w:right w:val="nil"/>
            </w:tcBorders>
            <w:vAlign w:val="bottom"/>
          </w:tcPr>
          <w:p w14:paraId="08657DA7" w14:textId="77777777" w:rsidR="00B65EDC" w:rsidRPr="00E675E8" w:rsidRDefault="00B65EDC">
            <w:pPr>
              <w:jc w:val="right"/>
              <w:rPr>
                <w:rFonts w:ascii="Times New Roman" w:hAnsi="Times New Roman"/>
                <w:lang w:val="es-ES_tradnl"/>
              </w:rPr>
            </w:pPr>
          </w:p>
        </w:tc>
        <w:tc>
          <w:tcPr>
            <w:tcW w:w="1243" w:type="dxa"/>
            <w:tcBorders>
              <w:top w:val="nil"/>
              <w:left w:val="nil"/>
              <w:bottom w:val="nil"/>
              <w:right w:val="nil"/>
            </w:tcBorders>
            <w:vAlign w:val="bottom"/>
          </w:tcPr>
          <w:p w14:paraId="3892240B" w14:textId="77777777" w:rsidR="00B65EDC" w:rsidRPr="00E675E8" w:rsidRDefault="00B65EDC">
            <w:pPr>
              <w:jc w:val="right"/>
              <w:rPr>
                <w:rFonts w:ascii="Times New Roman" w:hAnsi="Times New Roman"/>
                <w:lang w:val="es-ES_tradnl"/>
              </w:rPr>
            </w:pPr>
          </w:p>
        </w:tc>
      </w:tr>
      <w:tr w:rsidR="00B65EDC" w:rsidRPr="00E675E8" w14:paraId="2A1E2C8C" w14:textId="77777777" w:rsidTr="00A538F6">
        <w:trPr>
          <w:trHeight w:val="423"/>
        </w:trPr>
        <w:tc>
          <w:tcPr>
            <w:tcW w:w="3402" w:type="dxa"/>
            <w:tcBorders>
              <w:top w:val="single" w:sz="4" w:space="0" w:color="AAB8C4"/>
              <w:left w:val="nil"/>
              <w:bottom w:val="single" w:sz="8" w:space="0" w:color="AAB8C4"/>
              <w:right w:val="nil"/>
            </w:tcBorders>
            <w:vAlign w:val="center"/>
            <w:hideMark/>
          </w:tcPr>
          <w:p w14:paraId="416C6C9D"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Total</w:t>
            </w:r>
          </w:p>
        </w:tc>
        <w:tc>
          <w:tcPr>
            <w:tcW w:w="1276" w:type="dxa"/>
            <w:tcBorders>
              <w:top w:val="single" w:sz="4" w:space="0" w:color="AAB8C4"/>
              <w:left w:val="nil"/>
              <w:bottom w:val="single" w:sz="8" w:space="0" w:color="AAB8C4"/>
              <w:right w:val="nil"/>
            </w:tcBorders>
            <w:vAlign w:val="center"/>
          </w:tcPr>
          <w:p w14:paraId="778F95C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7 572</w:t>
            </w:r>
          </w:p>
        </w:tc>
        <w:tc>
          <w:tcPr>
            <w:tcW w:w="1418" w:type="dxa"/>
            <w:tcBorders>
              <w:top w:val="single" w:sz="4" w:space="0" w:color="AAB8C4"/>
              <w:left w:val="nil"/>
              <w:bottom w:val="single" w:sz="8" w:space="0" w:color="AAB8C4"/>
              <w:right w:val="nil"/>
            </w:tcBorders>
            <w:vAlign w:val="center"/>
          </w:tcPr>
          <w:p w14:paraId="5A70FB5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7 901</w:t>
            </w:r>
          </w:p>
        </w:tc>
        <w:tc>
          <w:tcPr>
            <w:tcW w:w="1134" w:type="dxa"/>
            <w:tcBorders>
              <w:top w:val="single" w:sz="4" w:space="0" w:color="AAB8C4"/>
              <w:left w:val="nil"/>
              <w:bottom w:val="single" w:sz="8" w:space="0" w:color="AAB8C4"/>
              <w:right w:val="nil"/>
            </w:tcBorders>
            <w:vAlign w:val="center"/>
          </w:tcPr>
          <w:p w14:paraId="3B66CD36"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lang w:val="es-ES_tradnl"/>
              </w:rPr>
              <w:t xml:space="preserve">7 616 </w:t>
            </w:r>
          </w:p>
        </w:tc>
      </w:tr>
    </w:tbl>
    <w:p w14:paraId="629FC2AF" w14:textId="77777777" w:rsidR="00B65EDC" w:rsidRPr="00E675E8" w:rsidRDefault="00B65EDC" w:rsidP="00B65EDC">
      <w:pPr>
        <w:keepNext/>
        <w:spacing w:before="120"/>
        <w:rPr>
          <w:rFonts w:cs="Arial"/>
          <w:i/>
          <w:iCs/>
          <w:sz w:val="16"/>
          <w:szCs w:val="16"/>
          <w:lang w:val="es-ES_tradnl"/>
        </w:rPr>
      </w:pPr>
      <w:r w:rsidRPr="00E675E8">
        <w:rPr>
          <w:i/>
          <w:sz w:val="16"/>
          <w:vertAlign w:val="superscript"/>
          <w:lang w:val="es-ES_tradnl"/>
        </w:rPr>
        <w:t xml:space="preserve">1 </w:t>
      </w:r>
      <w:r w:rsidRPr="00E675E8">
        <w:rPr>
          <w:i/>
          <w:sz w:val="16"/>
          <w:lang w:val="es-ES_tradnl"/>
        </w:rPr>
        <w:t>En el bienio 2022-2023, los ingresos diversos representan principalmente ganancias (o pérdidas) de divisas no realizadas debido al proceso de reevaluación del efectivo y otras cuentas de activos y pasivos (divisas distintas de los francos suizos).</w:t>
      </w:r>
    </w:p>
    <w:p w14:paraId="25FCACE3" w14:textId="77777777" w:rsidR="00B65EDC" w:rsidRPr="00E675E8" w:rsidRDefault="00B65EDC" w:rsidP="00B65EDC">
      <w:pPr>
        <w:rPr>
          <w:lang w:val="es-ES_tradnl"/>
        </w:rPr>
      </w:pPr>
    </w:p>
    <w:p w14:paraId="698136DC" w14:textId="77777777" w:rsidR="00B65EDC" w:rsidRPr="00E675E8" w:rsidRDefault="00B65EDC" w:rsidP="00B65EDC">
      <w:pPr>
        <w:rPr>
          <w:lang w:val="es-ES_tradnl"/>
        </w:rPr>
      </w:pPr>
    </w:p>
    <w:p w14:paraId="1D22912E"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A continuación figuran los ingresos presupuestados para las tasas por uso de las herramientas y servicios informáticos de la UPOV:</w:t>
      </w:r>
    </w:p>
    <w:p w14:paraId="522863D5" w14:textId="77777777" w:rsidR="00B65EDC" w:rsidRPr="00E675E8" w:rsidRDefault="00B65EDC" w:rsidP="00B65EDC">
      <w:pPr>
        <w:rPr>
          <w:lang w:val="es-ES_tradnl"/>
        </w:rPr>
      </w:pPr>
    </w:p>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B65EDC" w:rsidRPr="00E675E8" w14:paraId="3E00FB1C" w14:textId="77777777">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E675E8" w:rsidRDefault="00B65EDC">
            <w:pPr>
              <w:rPr>
                <w:sz w:val="18"/>
                <w:szCs w:val="18"/>
                <w:lang w:val="es-ES_tradnl" w:eastAsia="en-GB"/>
              </w:rPr>
            </w:pPr>
          </w:p>
        </w:tc>
        <w:tc>
          <w:tcPr>
            <w:tcW w:w="1417" w:type="dxa"/>
            <w:vMerge w:val="restart"/>
            <w:tcBorders>
              <w:top w:val="nil"/>
              <w:left w:val="nil"/>
              <w:bottom w:val="nil"/>
              <w:right w:val="nil"/>
            </w:tcBorders>
            <w:shd w:val="clear" w:color="000000" w:fill="C7CFD8"/>
            <w:vAlign w:val="center"/>
            <w:hideMark/>
          </w:tcPr>
          <w:p w14:paraId="4FD67CD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Tasa de presentación /suscripción</w:t>
            </w:r>
          </w:p>
        </w:tc>
        <w:tc>
          <w:tcPr>
            <w:tcW w:w="2764" w:type="dxa"/>
            <w:gridSpan w:val="3"/>
            <w:tcBorders>
              <w:top w:val="nil"/>
              <w:left w:val="nil"/>
              <w:bottom w:val="single" w:sz="4" w:space="0" w:color="BFBFBF"/>
              <w:right w:val="nil"/>
            </w:tcBorders>
            <w:shd w:val="clear" w:color="000000" w:fill="C7CFD8"/>
            <w:vAlign w:val="center"/>
            <w:hideMark/>
          </w:tcPr>
          <w:p w14:paraId="7280389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Previsión de solicitudes/</w:t>
            </w:r>
            <w:r w:rsidRPr="00E675E8">
              <w:rPr>
                <w:rFonts w:ascii="Arial Narrow" w:hAnsi="Arial Narrow"/>
                <w:b/>
                <w:sz w:val="18"/>
                <w:lang w:val="es-ES_tradnl"/>
              </w:rPr>
              <w:cr/>
            </w:r>
            <w:r w:rsidRPr="00E675E8">
              <w:rPr>
                <w:rFonts w:ascii="Arial Narrow" w:hAnsi="Arial Narrow"/>
                <w:b/>
                <w:sz w:val="18"/>
                <w:lang w:val="es-ES_tradnl"/>
              </w:rPr>
              <w:br/>
              <w:t>suscriptores</w:t>
            </w:r>
          </w:p>
        </w:tc>
        <w:tc>
          <w:tcPr>
            <w:tcW w:w="2764" w:type="dxa"/>
            <w:gridSpan w:val="3"/>
            <w:tcBorders>
              <w:top w:val="nil"/>
              <w:left w:val="nil"/>
              <w:bottom w:val="single" w:sz="4" w:space="0" w:color="BFBFBF"/>
              <w:right w:val="nil"/>
            </w:tcBorders>
            <w:shd w:val="clear" w:color="000000" w:fill="C7CFD8"/>
            <w:vAlign w:val="center"/>
            <w:hideMark/>
          </w:tcPr>
          <w:p w14:paraId="3C08F08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Ingresos por solicitudes/</w:t>
            </w:r>
            <w:r w:rsidRPr="00E675E8">
              <w:rPr>
                <w:rFonts w:ascii="Arial Narrow" w:hAnsi="Arial Narrow"/>
                <w:b/>
                <w:sz w:val="18"/>
                <w:lang w:val="es-ES_tradnl"/>
              </w:rPr>
              <w:cr/>
            </w:r>
            <w:r w:rsidRPr="00E675E8">
              <w:rPr>
                <w:rFonts w:ascii="Arial Narrow" w:hAnsi="Arial Narrow"/>
                <w:b/>
                <w:sz w:val="18"/>
                <w:lang w:val="es-ES_tradnl"/>
              </w:rPr>
              <w:br/>
              <w:t>subscriptores</w:t>
            </w:r>
          </w:p>
        </w:tc>
      </w:tr>
      <w:tr w:rsidR="00B65EDC" w:rsidRPr="00E675E8" w14:paraId="19A05661" w14:textId="77777777">
        <w:trPr>
          <w:trHeight w:val="495"/>
        </w:trPr>
        <w:tc>
          <w:tcPr>
            <w:tcW w:w="2694" w:type="dxa"/>
            <w:vMerge/>
            <w:tcBorders>
              <w:top w:val="nil"/>
              <w:left w:val="nil"/>
              <w:bottom w:val="nil"/>
              <w:right w:val="nil"/>
            </w:tcBorders>
            <w:vAlign w:val="center"/>
            <w:hideMark/>
          </w:tcPr>
          <w:p w14:paraId="46AE2941" w14:textId="77777777" w:rsidR="00B65EDC" w:rsidRPr="00E675E8" w:rsidRDefault="00B65EDC">
            <w:pPr>
              <w:jc w:val="left"/>
              <w:rPr>
                <w:rFonts w:ascii="Arial Narrow" w:hAnsi="Arial Narrow" w:cs="Arial"/>
                <w:b/>
                <w:bCs/>
                <w:color w:val="00B050"/>
                <w:sz w:val="18"/>
                <w:szCs w:val="18"/>
                <w:lang w:val="es-ES_tradnl" w:eastAsia="en-GB"/>
              </w:rPr>
            </w:pPr>
          </w:p>
        </w:tc>
        <w:tc>
          <w:tcPr>
            <w:tcW w:w="1417" w:type="dxa"/>
            <w:vMerge/>
            <w:tcBorders>
              <w:top w:val="nil"/>
              <w:left w:val="nil"/>
              <w:bottom w:val="nil"/>
              <w:right w:val="nil"/>
            </w:tcBorders>
            <w:vAlign w:val="center"/>
            <w:hideMark/>
          </w:tcPr>
          <w:p w14:paraId="2271726A" w14:textId="77777777" w:rsidR="00B65EDC" w:rsidRPr="00E675E8" w:rsidRDefault="00B65EDC">
            <w:pPr>
              <w:jc w:val="left"/>
              <w:rPr>
                <w:rFonts w:ascii="Arial Narrow" w:hAnsi="Arial Narrow" w:cs="Arial"/>
                <w:b/>
                <w:bCs/>
                <w:sz w:val="18"/>
                <w:szCs w:val="18"/>
                <w:lang w:val="es-ES_tradnl"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2026</w:t>
            </w:r>
          </w:p>
        </w:tc>
        <w:tc>
          <w:tcPr>
            <w:tcW w:w="921" w:type="dxa"/>
            <w:tcBorders>
              <w:top w:val="nil"/>
              <w:left w:val="nil"/>
              <w:bottom w:val="nil"/>
              <w:right w:val="nil"/>
            </w:tcBorders>
            <w:shd w:val="clear" w:color="000000" w:fill="C7CFD8"/>
            <w:vAlign w:val="center"/>
            <w:hideMark/>
          </w:tcPr>
          <w:p w14:paraId="0F817A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2027</w:t>
            </w:r>
          </w:p>
        </w:tc>
        <w:tc>
          <w:tcPr>
            <w:tcW w:w="922" w:type="dxa"/>
            <w:tcBorders>
              <w:top w:val="nil"/>
              <w:left w:val="nil"/>
              <w:bottom w:val="nil"/>
              <w:right w:val="nil"/>
            </w:tcBorders>
            <w:shd w:val="clear" w:color="000000" w:fill="C7CFD8"/>
            <w:vAlign w:val="center"/>
            <w:hideMark/>
          </w:tcPr>
          <w:p w14:paraId="75494EC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Total</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2026</w:t>
            </w:r>
          </w:p>
        </w:tc>
        <w:tc>
          <w:tcPr>
            <w:tcW w:w="921" w:type="dxa"/>
            <w:tcBorders>
              <w:top w:val="nil"/>
              <w:left w:val="nil"/>
              <w:bottom w:val="nil"/>
              <w:right w:val="nil"/>
            </w:tcBorders>
            <w:shd w:val="clear" w:color="000000" w:fill="C7CFD8"/>
            <w:vAlign w:val="center"/>
            <w:hideMark/>
          </w:tcPr>
          <w:p w14:paraId="2B68C0F9"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2027</w:t>
            </w:r>
          </w:p>
        </w:tc>
        <w:tc>
          <w:tcPr>
            <w:tcW w:w="922" w:type="dxa"/>
            <w:tcBorders>
              <w:top w:val="nil"/>
              <w:left w:val="nil"/>
              <w:bottom w:val="nil"/>
              <w:right w:val="nil"/>
            </w:tcBorders>
            <w:shd w:val="clear" w:color="000000" w:fill="C7CFD8"/>
            <w:vAlign w:val="center"/>
            <w:hideMark/>
          </w:tcPr>
          <w:p w14:paraId="6CBFEAD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Total</w:t>
            </w:r>
          </w:p>
        </w:tc>
      </w:tr>
      <w:tr w:rsidR="00B65EDC" w:rsidRPr="00E675E8" w14:paraId="3EA4DCDA" w14:textId="77777777" w:rsidTr="00A538F6">
        <w:trPr>
          <w:trHeight w:val="255"/>
        </w:trPr>
        <w:tc>
          <w:tcPr>
            <w:tcW w:w="2694" w:type="dxa"/>
            <w:tcBorders>
              <w:top w:val="nil"/>
              <w:left w:val="nil"/>
              <w:bottom w:val="nil"/>
              <w:right w:val="nil"/>
            </w:tcBorders>
            <w:vAlign w:val="center"/>
            <w:hideMark/>
          </w:tcPr>
          <w:p w14:paraId="371E83DB" w14:textId="77777777" w:rsidR="00B65EDC" w:rsidRPr="00E675E8" w:rsidRDefault="00B65EDC">
            <w:pPr>
              <w:jc w:val="left"/>
              <w:rPr>
                <w:rFonts w:ascii="Arial Narrow" w:hAnsi="Arial Narrow" w:cs="Arial"/>
                <w:sz w:val="18"/>
                <w:szCs w:val="18"/>
                <w:lang w:val="es-ES_tradnl"/>
              </w:rPr>
            </w:pPr>
            <w:r w:rsidRPr="00E675E8">
              <w:rPr>
                <w:rFonts w:ascii="Arial Narrow" w:hAnsi="Arial Narrow"/>
                <w:sz w:val="18"/>
                <w:lang w:val="es-ES_tradnl"/>
              </w:rPr>
              <w:t>UPOV PRISMA</w:t>
            </w:r>
          </w:p>
        </w:tc>
        <w:tc>
          <w:tcPr>
            <w:tcW w:w="1417" w:type="dxa"/>
            <w:tcBorders>
              <w:top w:val="nil"/>
              <w:left w:val="nil"/>
              <w:bottom w:val="nil"/>
              <w:right w:val="nil"/>
            </w:tcBorders>
            <w:noWrap/>
            <w:vAlign w:val="center"/>
            <w:hideMark/>
          </w:tcPr>
          <w:p w14:paraId="28B54060"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90</w:t>
            </w:r>
          </w:p>
        </w:tc>
        <w:tc>
          <w:tcPr>
            <w:tcW w:w="921" w:type="dxa"/>
            <w:tcBorders>
              <w:top w:val="nil"/>
              <w:left w:val="nil"/>
              <w:bottom w:val="nil"/>
              <w:right w:val="nil"/>
            </w:tcBorders>
            <w:noWrap/>
            <w:vAlign w:val="center"/>
            <w:hideMark/>
          </w:tcPr>
          <w:p w14:paraId="4C737838"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1 648</w:t>
            </w:r>
          </w:p>
        </w:tc>
        <w:tc>
          <w:tcPr>
            <w:tcW w:w="921" w:type="dxa"/>
            <w:tcBorders>
              <w:top w:val="nil"/>
              <w:left w:val="nil"/>
              <w:bottom w:val="nil"/>
              <w:right w:val="nil"/>
            </w:tcBorders>
            <w:noWrap/>
            <w:vAlign w:val="center"/>
            <w:hideMark/>
          </w:tcPr>
          <w:p w14:paraId="04D7D1EA"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1 730</w:t>
            </w:r>
          </w:p>
        </w:tc>
        <w:tc>
          <w:tcPr>
            <w:tcW w:w="922" w:type="dxa"/>
            <w:tcBorders>
              <w:top w:val="nil"/>
              <w:left w:val="nil"/>
              <w:bottom w:val="nil"/>
              <w:right w:val="nil"/>
            </w:tcBorders>
            <w:noWrap/>
            <w:vAlign w:val="center"/>
            <w:hideMark/>
          </w:tcPr>
          <w:p w14:paraId="669CC21E"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3 378</w:t>
            </w:r>
          </w:p>
        </w:tc>
        <w:tc>
          <w:tcPr>
            <w:tcW w:w="921" w:type="dxa"/>
            <w:tcBorders>
              <w:top w:val="nil"/>
              <w:left w:val="single" w:sz="4" w:space="0" w:color="BFBFBF"/>
              <w:bottom w:val="nil"/>
              <w:right w:val="nil"/>
            </w:tcBorders>
            <w:noWrap/>
            <w:vAlign w:val="center"/>
            <w:hideMark/>
          </w:tcPr>
          <w:p w14:paraId="26CFD703"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148 320</w:t>
            </w:r>
          </w:p>
        </w:tc>
        <w:tc>
          <w:tcPr>
            <w:tcW w:w="921" w:type="dxa"/>
            <w:tcBorders>
              <w:top w:val="nil"/>
              <w:left w:val="nil"/>
              <w:bottom w:val="nil"/>
              <w:right w:val="nil"/>
            </w:tcBorders>
            <w:noWrap/>
            <w:vAlign w:val="center"/>
            <w:hideMark/>
          </w:tcPr>
          <w:p w14:paraId="0E7846F7"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155 700</w:t>
            </w:r>
          </w:p>
        </w:tc>
        <w:tc>
          <w:tcPr>
            <w:tcW w:w="922" w:type="dxa"/>
            <w:tcBorders>
              <w:top w:val="nil"/>
              <w:left w:val="nil"/>
              <w:bottom w:val="nil"/>
              <w:right w:val="nil"/>
            </w:tcBorders>
            <w:noWrap/>
            <w:vAlign w:val="center"/>
            <w:hideMark/>
          </w:tcPr>
          <w:p w14:paraId="37472009"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304 020</w:t>
            </w:r>
          </w:p>
        </w:tc>
      </w:tr>
      <w:tr w:rsidR="00B65EDC" w:rsidRPr="00E675E8" w14:paraId="7AC3DF26" w14:textId="77777777" w:rsidTr="00A538F6">
        <w:trPr>
          <w:trHeight w:val="255"/>
        </w:trPr>
        <w:tc>
          <w:tcPr>
            <w:tcW w:w="2694" w:type="dxa"/>
            <w:tcBorders>
              <w:top w:val="nil"/>
              <w:left w:val="nil"/>
              <w:bottom w:val="nil"/>
              <w:right w:val="nil"/>
            </w:tcBorders>
            <w:vAlign w:val="center"/>
            <w:hideMark/>
          </w:tcPr>
          <w:p w14:paraId="55B95A08" w14:textId="77777777" w:rsidR="00B65EDC" w:rsidRPr="00E675E8" w:rsidRDefault="00B65EDC">
            <w:pPr>
              <w:jc w:val="left"/>
              <w:rPr>
                <w:rFonts w:ascii="Arial Narrow" w:hAnsi="Arial Narrow" w:cs="Arial"/>
                <w:sz w:val="18"/>
                <w:szCs w:val="18"/>
                <w:lang w:val="es-ES_tradnl"/>
              </w:rPr>
            </w:pPr>
            <w:r w:rsidRPr="00E675E8">
              <w:rPr>
                <w:rFonts w:ascii="Arial Narrow" w:hAnsi="Arial Narrow"/>
                <w:sz w:val="18"/>
                <w:lang w:val="es-ES_tradnl"/>
              </w:rPr>
              <w:t>PLUTO</w:t>
            </w:r>
          </w:p>
        </w:tc>
        <w:tc>
          <w:tcPr>
            <w:tcW w:w="1417" w:type="dxa"/>
            <w:tcBorders>
              <w:top w:val="nil"/>
              <w:left w:val="nil"/>
              <w:bottom w:val="nil"/>
              <w:right w:val="nil"/>
            </w:tcBorders>
            <w:noWrap/>
            <w:vAlign w:val="center"/>
            <w:hideMark/>
          </w:tcPr>
          <w:p w14:paraId="42BFBFA5"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750</w:t>
            </w:r>
          </w:p>
        </w:tc>
        <w:tc>
          <w:tcPr>
            <w:tcW w:w="921" w:type="dxa"/>
            <w:tcBorders>
              <w:top w:val="nil"/>
              <w:left w:val="nil"/>
              <w:bottom w:val="nil"/>
              <w:right w:val="nil"/>
            </w:tcBorders>
            <w:noWrap/>
            <w:vAlign w:val="center"/>
            <w:hideMark/>
          </w:tcPr>
          <w:p w14:paraId="5127F582"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w:t>
            </w:r>
          </w:p>
        </w:tc>
        <w:tc>
          <w:tcPr>
            <w:tcW w:w="921" w:type="dxa"/>
            <w:tcBorders>
              <w:top w:val="nil"/>
              <w:left w:val="nil"/>
              <w:bottom w:val="nil"/>
              <w:right w:val="nil"/>
            </w:tcBorders>
            <w:noWrap/>
            <w:vAlign w:val="center"/>
            <w:hideMark/>
          </w:tcPr>
          <w:p w14:paraId="05024A88"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15</w:t>
            </w:r>
          </w:p>
        </w:tc>
        <w:tc>
          <w:tcPr>
            <w:tcW w:w="922" w:type="dxa"/>
            <w:tcBorders>
              <w:top w:val="nil"/>
              <w:left w:val="nil"/>
              <w:bottom w:val="nil"/>
              <w:right w:val="nil"/>
            </w:tcBorders>
            <w:noWrap/>
            <w:vAlign w:val="center"/>
            <w:hideMark/>
          </w:tcPr>
          <w:p w14:paraId="43F1EFC4"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11 250</w:t>
            </w:r>
          </w:p>
        </w:tc>
        <w:tc>
          <w:tcPr>
            <w:tcW w:w="921" w:type="dxa"/>
            <w:tcBorders>
              <w:top w:val="nil"/>
              <w:left w:val="nil"/>
              <w:bottom w:val="nil"/>
              <w:right w:val="nil"/>
            </w:tcBorders>
            <w:noWrap/>
            <w:vAlign w:val="center"/>
            <w:hideMark/>
          </w:tcPr>
          <w:p w14:paraId="0290F2B6"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11 250</w:t>
            </w:r>
          </w:p>
        </w:tc>
        <w:tc>
          <w:tcPr>
            <w:tcW w:w="922" w:type="dxa"/>
            <w:tcBorders>
              <w:top w:val="nil"/>
              <w:left w:val="nil"/>
              <w:bottom w:val="nil"/>
              <w:right w:val="nil"/>
            </w:tcBorders>
            <w:noWrap/>
            <w:vAlign w:val="center"/>
            <w:hideMark/>
          </w:tcPr>
          <w:p w14:paraId="0DBBDAC1" w14:textId="77777777" w:rsidR="00B65EDC" w:rsidRPr="00E675E8" w:rsidRDefault="00B65EDC">
            <w:pPr>
              <w:jc w:val="right"/>
              <w:rPr>
                <w:rFonts w:ascii="Arial Narrow" w:hAnsi="Arial Narrow" w:cs="Arial"/>
                <w:sz w:val="18"/>
                <w:szCs w:val="18"/>
                <w:lang w:val="es-ES_tradnl"/>
              </w:rPr>
            </w:pPr>
            <w:r w:rsidRPr="00E675E8">
              <w:rPr>
                <w:rFonts w:ascii="Arial Narrow" w:hAnsi="Arial Narrow"/>
                <w:sz w:val="18"/>
                <w:lang w:val="es-ES_tradnl"/>
              </w:rPr>
              <w:t>22 500</w:t>
            </w:r>
          </w:p>
        </w:tc>
      </w:tr>
      <w:tr w:rsidR="00B65EDC" w:rsidRPr="00E675E8" w14:paraId="5DD8D33C" w14:textId="77777777" w:rsidTr="00A538F6">
        <w:trPr>
          <w:trHeight w:val="270"/>
        </w:trPr>
        <w:tc>
          <w:tcPr>
            <w:tcW w:w="2694" w:type="dxa"/>
            <w:tcBorders>
              <w:top w:val="single" w:sz="4" w:space="0" w:color="BFBFBF"/>
              <w:left w:val="nil"/>
              <w:bottom w:val="single" w:sz="8" w:space="0" w:color="BFBFBF"/>
              <w:right w:val="nil"/>
            </w:tcBorders>
            <w:vAlign w:val="center"/>
            <w:hideMark/>
          </w:tcPr>
          <w:p w14:paraId="4754BF1F" w14:textId="77777777" w:rsidR="00B65EDC" w:rsidRPr="00E675E8" w:rsidRDefault="00B65EDC">
            <w:pPr>
              <w:jc w:val="left"/>
              <w:rPr>
                <w:rFonts w:ascii="Arial Narrow" w:hAnsi="Arial Narrow" w:cs="Arial"/>
                <w:b/>
                <w:bCs/>
                <w:sz w:val="18"/>
                <w:szCs w:val="18"/>
                <w:lang w:val="es-ES_tradnl"/>
              </w:rPr>
            </w:pPr>
            <w:r w:rsidRPr="00E675E8">
              <w:rPr>
                <w:rFonts w:ascii="Arial Narrow" w:hAnsi="Arial Narrow"/>
                <w:b/>
                <w:sz w:val="18"/>
                <w:lang w:val="es-ES_tradnl"/>
              </w:rPr>
              <w:t>Total UPOV PRISMA y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single" w:sz="4" w:space="0" w:color="BFBFBF"/>
              <w:left w:val="nil"/>
              <w:bottom w:val="single" w:sz="8" w:space="0" w:color="BFBFBF"/>
              <w:right w:val="nil"/>
            </w:tcBorders>
            <w:noWrap/>
            <w:vAlign w:val="center"/>
            <w:hideMark/>
          </w:tcPr>
          <w:p w14:paraId="4AAF73CB" w14:textId="77777777" w:rsidR="00B65EDC" w:rsidRPr="00E675E8" w:rsidRDefault="00B65EDC">
            <w:pPr>
              <w:jc w:val="right"/>
              <w:rPr>
                <w:rFonts w:ascii="Arial Narrow" w:hAnsi="Arial Narrow" w:cs="Arial"/>
                <w:b/>
                <w:bCs/>
                <w:sz w:val="18"/>
                <w:szCs w:val="18"/>
                <w:lang w:val="es-ES_tradnl" w:eastAsia="en-GB"/>
              </w:rPr>
            </w:pPr>
          </w:p>
        </w:tc>
        <w:tc>
          <w:tcPr>
            <w:tcW w:w="922" w:type="dxa"/>
            <w:tcBorders>
              <w:top w:val="single" w:sz="4" w:space="0" w:color="BFBFBF"/>
              <w:left w:val="nil"/>
              <w:bottom w:val="single" w:sz="8" w:space="0" w:color="BFBFBF"/>
              <w:right w:val="nil"/>
            </w:tcBorders>
            <w:noWrap/>
            <w:vAlign w:val="center"/>
            <w:hideMark/>
          </w:tcPr>
          <w:p w14:paraId="47FA168D" w14:textId="77777777" w:rsidR="00B65EDC" w:rsidRPr="00E675E8" w:rsidRDefault="00B65EDC">
            <w:pPr>
              <w:jc w:val="right"/>
              <w:rPr>
                <w:rFonts w:ascii="Arial Narrow" w:hAnsi="Arial Narrow" w:cs="Arial"/>
                <w:b/>
                <w:bCs/>
                <w:sz w:val="18"/>
                <w:szCs w:val="18"/>
                <w:lang w:val="es-ES_tradnl" w:eastAsia="en-GB"/>
              </w:rPr>
            </w:pPr>
          </w:p>
        </w:tc>
        <w:tc>
          <w:tcPr>
            <w:tcW w:w="921" w:type="dxa"/>
            <w:tcBorders>
              <w:top w:val="nil"/>
              <w:left w:val="nil"/>
              <w:bottom w:val="single" w:sz="8" w:space="0" w:color="BFBFBF"/>
              <w:right w:val="nil"/>
            </w:tcBorders>
            <w:noWrap/>
            <w:vAlign w:val="center"/>
            <w:hideMark/>
          </w:tcPr>
          <w:p w14:paraId="603FF6F6" w14:textId="77777777" w:rsidR="00B65EDC" w:rsidRPr="00E675E8" w:rsidRDefault="00B65EDC">
            <w:pPr>
              <w:jc w:val="right"/>
              <w:rPr>
                <w:rFonts w:ascii="Arial Narrow" w:hAnsi="Arial Narrow" w:cs="Arial"/>
                <w:b/>
                <w:bCs/>
                <w:sz w:val="18"/>
                <w:szCs w:val="18"/>
                <w:lang w:val="es-ES_tradnl"/>
              </w:rPr>
            </w:pPr>
            <w:r w:rsidRPr="00E675E8">
              <w:rPr>
                <w:rFonts w:ascii="Arial Narrow" w:hAnsi="Arial Narrow"/>
                <w:b/>
                <w:sz w:val="18"/>
                <w:lang w:val="es-ES_tradnl"/>
              </w:rPr>
              <w:t>159 570</w:t>
            </w:r>
          </w:p>
        </w:tc>
        <w:tc>
          <w:tcPr>
            <w:tcW w:w="921" w:type="dxa"/>
            <w:tcBorders>
              <w:top w:val="single" w:sz="4" w:space="0" w:color="BFBFBF"/>
              <w:left w:val="nil"/>
              <w:bottom w:val="single" w:sz="8" w:space="0" w:color="BFBFBF"/>
              <w:right w:val="nil"/>
            </w:tcBorders>
            <w:noWrap/>
            <w:vAlign w:val="center"/>
            <w:hideMark/>
          </w:tcPr>
          <w:p w14:paraId="10F2301C" w14:textId="77777777" w:rsidR="00B65EDC" w:rsidRPr="00E675E8" w:rsidRDefault="00B65EDC">
            <w:pPr>
              <w:jc w:val="right"/>
              <w:rPr>
                <w:rFonts w:ascii="Arial Narrow" w:hAnsi="Arial Narrow" w:cs="Arial"/>
                <w:b/>
                <w:bCs/>
                <w:sz w:val="18"/>
                <w:szCs w:val="18"/>
                <w:lang w:val="es-ES_tradnl"/>
              </w:rPr>
            </w:pPr>
            <w:r w:rsidRPr="00E675E8">
              <w:rPr>
                <w:rFonts w:ascii="Arial Narrow" w:hAnsi="Arial Narrow"/>
                <w:b/>
                <w:sz w:val="18"/>
                <w:lang w:val="es-ES_tradnl"/>
              </w:rPr>
              <w:t>166 950</w:t>
            </w:r>
          </w:p>
        </w:tc>
        <w:tc>
          <w:tcPr>
            <w:tcW w:w="922" w:type="dxa"/>
            <w:tcBorders>
              <w:top w:val="single" w:sz="4" w:space="0" w:color="BFBFBF"/>
              <w:left w:val="nil"/>
              <w:bottom w:val="single" w:sz="8" w:space="0" w:color="BFBFBF"/>
              <w:right w:val="nil"/>
            </w:tcBorders>
            <w:noWrap/>
            <w:vAlign w:val="center"/>
            <w:hideMark/>
          </w:tcPr>
          <w:p w14:paraId="362C5580" w14:textId="77777777" w:rsidR="00B65EDC" w:rsidRPr="00E675E8" w:rsidRDefault="00B65EDC">
            <w:pPr>
              <w:jc w:val="right"/>
              <w:rPr>
                <w:rFonts w:ascii="Arial Narrow" w:hAnsi="Arial Narrow" w:cs="Arial"/>
                <w:b/>
                <w:bCs/>
                <w:sz w:val="18"/>
                <w:szCs w:val="18"/>
                <w:lang w:val="es-ES_tradnl"/>
              </w:rPr>
            </w:pPr>
            <w:bookmarkStart w:id="437" w:name="_Hlk190003051"/>
            <w:r w:rsidRPr="00E675E8">
              <w:rPr>
                <w:rFonts w:ascii="Arial Narrow" w:hAnsi="Arial Narrow"/>
                <w:b/>
                <w:sz w:val="18"/>
                <w:lang w:val="es-ES_tradnl"/>
              </w:rPr>
              <w:t>326 520</w:t>
            </w:r>
            <w:bookmarkEnd w:id="437"/>
          </w:p>
        </w:tc>
      </w:tr>
    </w:tbl>
    <w:p w14:paraId="622C866D" w14:textId="77777777" w:rsidR="00B65EDC" w:rsidRPr="00E675E8" w:rsidRDefault="00B65EDC" w:rsidP="00B65EDC">
      <w:pPr>
        <w:rPr>
          <w:lang w:val="es-ES_tradnl"/>
        </w:rPr>
      </w:pPr>
    </w:p>
    <w:p w14:paraId="612DF76F" w14:textId="77777777" w:rsidR="00B65EDC" w:rsidRPr="00E675E8" w:rsidRDefault="00B65EDC" w:rsidP="00B65EDC">
      <w:pPr>
        <w:rPr>
          <w:lang w:val="es-ES_tradnl"/>
        </w:rPr>
      </w:pPr>
    </w:p>
    <w:p w14:paraId="3B7A567C" w14:textId="795FC31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cifras correspondientes a UPOV PRISMA se basan en las previsiones que figuran en el documento</w:t>
      </w:r>
      <w:r w:rsidR="000411C9">
        <w:rPr>
          <w:lang w:val="es-ES_tradnl"/>
        </w:rPr>
        <w:t xml:space="preserve"> </w:t>
      </w:r>
      <w:r w:rsidRPr="00E675E8">
        <w:rPr>
          <w:lang w:val="es-ES_tradnl"/>
        </w:rPr>
        <w:t>CC/102/4 “Desarrollo y financiación de UPOV e-PVP”, así como en las últimas novedades y las estimaciones sobre el uso de UPOV PRISMA en el futuro.</w:t>
      </w:r>
    </w:p>
    <w:p w14:paraId="5F54A1DF" w14:textId="77777777" w:rsidR="00B65EDC" w:rsidRPr="00E675E8" w:rsidRDefault="00B65EDC" w:rsidP="00B65EDC">
      <w:pPr>
        <w:rPr>
          <w:lang w:val="es-ES_tradnl"/>
        </w:rPr>
      </w:pPr>
    </w:p>
    <w:p w14:paraId="4CD2C526" w14:textId="1B74399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previsiones del presupuesto 2024-2025 anticipaban un aumento del 20 % de las solicitudes de pago que utilizan UPOV PRISMA.</w:t>
      </w:r>
      <w:r w:rsidR="002817AB" w:rsidRPr="00E675E8">
        <w:rPr>
          <w:lang w:val="es-ES_tradnl"/>
        </w:rPr>
        <w:t xml:space="preserve"> </w:t>
      </w:r>
      <w:r w:rsidRPr="00E675E8">
        <w:rPr>
          <w:lang w:val="es-ES_tradnl"/>
        </w:rPr>
        <w:t>El análisis del documento CC/102/4 refleja que en 2024 se produjo un aumento medio del 5 % de las solicitudes de pago en lugar del 20 %.</w:t>
      </w:r>
      <w:r w:rsidR="002817AB" w:rsidRPr="00E675E8">
        <w:rPr>
          <w:lang w:val="es-ES_tradnl"/>
        </w:rPr>
        <w:t xml:space="preserve"> </w:t>
      </w:r>
      <w:r w:rsidRPr="00E675E8">
        <w:rPr>
          <w:lang w:val="es-ES_tradnl"/>
        </w:rPr>
        <w:t xml:space="preserve">La proyección para 2026-2027 es, por lo tanto, un aumento más realista del 5 % de las solicitudes de pago, basado en la ampliación de los géneros </w:t>
      </w:r>
      <w:r w:rsidRPr="00E675E8">
        <w:rPr>
          <w:lang w:val="es-ES_tradnl"/>
        </w:rPr>
        <w:lastRenderedPageBreak/>
        <w:t>y especies en los miembros de la UPOV participantes y los datos que muestran que los solicitantes están utilizando UPOV PRISMA en más miembros de la UPOV.</w:t>
      </w:r>
      <w:r w:rsidR="002817AB" w:rsidRPr="00E675E8">
        <w:rPr>
          <w:lang w:val="es-ES_tradnl"/>
        </w:rPr>
        <w:t xml:space="preserve"> </w:t>
      </w:r>
    </w:p>
    <w:p w14:paraId="4CE2142D" w14:textId="77777777" w:rsidR="00B65EDC" w:rsidRPr="00E675E8" w:rsidRDefault="00B65EDC" w:rsidP="00B65EDC">
      <w:pPr>
        <w:rPr>
          <w:lang w:val="es-ES_tradnl"/>
        </w:rPr>
      </w:pPr>
    </w:p>
    <w:p w14:paraId="182CE63B" w14:textId="117EC6F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A partir de 2022, 12 usuarios </w:t>
      </w:r>
      <w:proofErr w:type="spellStart"/>
      <w:r w:rsidRPr="00E675E8">
        <w:rPr>
          <w:lang w:val="es-ES_tradnl"/>
        </w:rPr>
        <w:t>prémium</w:t>
      </w:r>
      <w:proofErr w:type="spellEnd"/>
      <w:r w:rsidRPr="00E675E8">
        <w:rPr>
          <w:lang w:val="es-ES_tradnl"/>
        </w:rPr>
        <w:t xml:space="preserve"> de pago han renovado automáticamente sus suscripciones anuales a PLUTO.</w:t>
      </w:r>
      <w:r w:rsidR="002817AB" w:rsidRPr="00E675E8">
        <w:rPr>
          <w:lang w:val="es-ES_tradnl"/>
        </w:rPr>
        <w:t xml:space="preserve"> </w:t>
      </w:r>
      <w:r w:rsidRPr="00E675E8">
        <w:rPr>
          <w:lang w:val="es-ES_tradnl"/>
        </w:rPr>
        <w:t xml:space="preserve">Sobre la base de esta tendencia, se prevé que, para 2026-2027, habrá 15 suscripciones a PLUTO generadoras de ingresos cada año. </w:t>
      </w:r>
    </w:p>
    <w:p w14:paraId="0D891DC8" w14:textId="77777777" w:rsidR="00B65EDC" w:rsidRPr="00E675E8" w:rsidRDefault="00B65EDC" w:rsidP="00B65EDC">
      <w:pPr>
        <w:tabs>
          <w:tab w:val="left" w:pos="760"/>
        </w:tabs>
        <w:rPr>
          <w:lang w:val="es-ES_tradnl"/>
        </w:rPr>
      </w:pPr>
    </w:p>
    <w:p w14:paraId="2727EDAE" w14:textId="77777777" w:rsidR="003F289C" w:rsidRPr="00E675E8" w:rsidRDefault="003F289C" w:rsidP="00B65EDC">
      <w:pPr>
        <w:tabs>
          <w:tab w:val="left" w:pos="760"/>
        </w:tabs>
        <w:rPr>
          <w:lang w:val="es-ES_tradnl"/>
        </w:rPr>
      </w:pPr>
    </w:p>
    <w:p w14:paraId="60484BE9" w14:textId="77777777" w:rsidR="00B65EDC" w:rsidRPr="00E675E8" w:rsidRDefault="00B65EDC" w:rsidP="000363C4">
      <w:pPr>
        <w:pStyle w:val="Heading3"/>
        <w:rPr>
          <w:lang w:val="es-ES_tradnl"/>
        </w:rPr>
      </w:pPr>
      <w:bookmarkStart w:id="438" w:name="_Toc209777762"/>
      <w:r w:rsidRPr="00E675E8">
        <w:rPr>
          <w:lang w:val="es-ES_tradnl"/>
        </w:rPr>
        <w:t>Plan general de dotación de recursos</w:t>
      </w:r>
      <w:bookmarkEnd w:id="438"/>
    </w:p>
    <w:p w14:paraId="509503B5" w14:textId="77777777" w:rsidR="00B65EDC" w:rsidRPr="00E675E8" w:rsidRDefault="00B65EDC" w:rsidP="003F289C">
      <w:pPr>
        <w:pStyle w:val="annexiparanumbered"/>
        <w:numPr>
          <w:ilvl w:val="0"/>
          <w:numId w:val="0"/>
        </w:numPr>
        <w:rPr>
          <w:sz w:val="18"/>
          <w:szCs w:val="16"/>
          <w:lang w:val="es-ES_tradnl"/>
        </w:rPr>
      </w:pPr>
    </w:p>
    <w:p w14:paraId="7FBC1D54" w14:textId="735ABF79" w:rsidR="00B65EDC" w:rsidRPr="00E675E8" w:rsidRDefault="00B65EDC" w:rsidP="003F289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el programa de actividades que realizará la UPOV en el bienio 2026-2027, el total de los recursos asciende a 8 460 091 francos suizos (véase el cuadro 3).</w:t>
      </w:r>
      <w:r w:rsidR="002817AB" w:rsidRPr="00E675E8">
        <w:rPr>
          <w:lang w:val="es-ES_tradnl"/>
        </w:rPr>
        <w:t xml:space="preserve"> </w:t>
      </w:r>
      <w:r w:rsidRPr="00E675E8">
        <w:rPr>
          <w:lang w:val="es-ES_tradnl"/>
        </w:rPr>
        <w:t>Este importe incluye 7 615 864 francos suizos previstos en el presupuesto ordinario (véase el cuadro 1), y una estimación de 844 227 francos suizos financiados mediante fondos fiduciarios.</w:t>
      </w:r>
    </w:p>
    <w:p w14:paraId="6EBE12E7" w14:textId="77777777" w:rsidR="00B65EDC" w:rsidRPr="00E675E8" w:rsidRDefault="00B65EDC" w:rsidP="003F289C">
      <w:pPr>
        <w:tabs>
          <w:tab w:val="left" w:pos="567"/>
        </w:tabs>
        <w:rPr>
          <w:lang w:val="es-ES_tradnl"/>
        </w:rPr>
      </w:pPr>
    </w:p>
    <w:p w14:paraId="0CE81DA2" w14:textId="2AEE9333" w:rsidR="00B65EDC" w:rsidRPr="00E675E8" w:rsidRDefault="00B65EDC" w:rsidP="003F289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se prevé que los ingresos y los gastos del presupuesto ordinario estén equilibrados.</w:t>
      </w:r>
    </w:p>
    <w:p w14:paraId="3FC5911D" w14:textId="77777777" w:rsidR="00B65EDC" w:rsidRPr="00E675E8" w:rsidRDefault="00B65EDC" w:rsidP="003F289C">
      <w:pPr>
        <w:tabs>
          <w:tab w:val="left" w:pos="567"/>
        </w:tabs>
        <w:rPr>
          <w:lang w:val="es-ES_tradnl"/>
        </w:rPr>
      </w:pPr>
    </w:p>
    <w:p w14:paraId="195CE765" w14:textId="259D30A1" w:rsidR="00B65EDC" w:rsidRPr="00E675E8" w:rsidRDefault="00B65EDC" w:rsidP="003F289C">
      <w:pPr>
        <w:tabs>
          <w:tab w:val="left" w:pos="567"/>
        </w:tabs>
        <w:rPr>
          <w:spacing w:val="-2"/>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fondos fiduciarios son fondos financieros que por lo general algún miembro de la Unión ofrece voluntariamente a la UPOV para un determinado programa de actividades acordado mutuamente entre la Oficina de la Unión y el miembro en cuestión.</w:t>
      </w:r>
      <w:r w:rsidR="002817AB" w:rsidRPr="00E675E8">
        <w:rPr>
          <w:lang w:val="es-ES_tradnl"/>
        </w:rPr>
        <w:t xml:space="preserve"> </w:t>
      </w:r>
      <w:r w:rsidRPr="00E675E8">
        <w:rPr>
          <w:lang w:val="es-ES_tradnl"/>
        </w:rPr>
        <w:t>Sin perjuicio de las decisiones de competencia exclusiva de los donantes de fondos, se espera que el importe total de esos fondos fiduciarios para el bienio 2026-2027 alcance los 844 227 francos suizos.</w:t>
      </w:r>
      <w:r w:rsidR="002817AB" w:rsidRPr="00E675E8">
        <w:rPr>
          <w:lang w:val="es-ES_tradnl"/>
        </w:rPr>
        <w:t xml:space="preserve"> </w:t>
      </w:r>
      <w:r w:rsidRPr="00E675E8">
        <w:rPr>
          <w:lang w:val="es-ES_tradnl"/>
        </w:rPr>
        <w:t>Cabe observar que el apoyo financiero (por ejemplo, los fondos fiduciarios) y el apoyo no financiero (en especie), en particular para las actividades de asistencia técnica y formación, no se incluyen en el programa y presupuesto de la UPOV.</w:t>
      </w:r>
    </w:p>
    <w:p w14:paraId="1C25C9B6" w14:textId="77777777" w:rsidR="00B65EDC" w:rsidRPr="00E675E8" w:rsidRDefault="00B65EDC" w:rsidP="00B65EDC">
      <w:pPr>
        <w:rPr>
          <w:spacing w:val="-2"/>
          <w:szCs w:val="24"/>
          <w:lang w:val="es-ES_tradnl"/>
        </w:rPr>
      </w:pPr>
    </w:p>
    <w:p w14:paraId="70B8118C" w14:textId="1EE077B5"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Se espera que en 2025 comience un nuevo programa de fondos fiduciarios con el Japón.</w:t>
      </w:r>
      <w:r w:rsidR="002817AB" w:rsidRPr="00E675E8">
        <w:rPr>
          <w:lang w:val="es-ES_tradnl"/>
        </w:rPr>
        <w:t xml:space="preserve"> </w:t>
      </w:r>
      <w:r w:rsidRPr="00E675E8">
        <w:rPr>
          <w:lang w:val="es-ES_tradnl"/>
        </w:rPr>
        <w:t>El programa apoyará la recopilación y el análisis de datos sobre la incidencia de la protección de las obtenciones vegetales en los miembros de la UPOV y la difusión de información de conformidad con la estrategia de comunicación de la UPOV.</w:t>
      </w:r>
      <w:r w:rsidR="002817AB" w:rsidRPr="00E675E8">
        <w:rPr>
          <w:lang w:val="es-ES_tradnl"/>
        </w:rPr>
        <w:t xml:space="preserve"> </w:t>
      </w:r>
      <w:r w:rsidRPr="00E675E8">
        <w:rPr>
          <w:lang w:val="es-ES_tradnl"/>
        </w:rPr>
        <w:t>El nuevo programa de fondos fiduciarios también incluirá un funcionario subalterno de la categoría profesional financiado por el Japón.</w:t>
      </w:r>
      <w:r w:rsidR="002817AB" w:rsidRPr="00E675E8">
        <w:rPr>
          <w:lang w:val="es-ES_tradnl"/>
        </w:rPr>
        <w:t xml:space="preserve"> </w:t>
      </w:r>
      <w:r w:rsidRPr="00E675E8">
        <w:rPr>
          <w:lang w:val="es-ES_tradnl"/>
        </w:rPr>
        <w:t>Se espera que el nuevo programa de fondos fiduciarios con el Japón continúe durante el bienio 2026-2027.</w:t>
      </w:r>
    </w:p>
    <w:p w14:paraId="60861E2B" w14:textId="77777777" w:rsidR="00B65EDC" w:rsidRPr="00E675E8" w:rsidRDefault="00B65EDC" w:rsidP="00B65EDC">
      <w:pPr>
        <w:rPr>
          <w:lang w:val="es-ES_tradnl"/>
        </w:rPr>
      </w:pPr>
    </w:p>
    <w:p w14:paraId="144050A2" w14:textId="77777777" w:rsidR="00B65EDC" w:rsidRPr="00E675E8" w:rsidRDefault="00B65EDC" w:rsidP="00B65EDC">
      <w:pPr>
        <w:rPr>
          <w:szCs w:val="24"/>
          <w:lang w:val="es-ES_tradnl"/>
        </w:rPr>
      </w:pPr>
    </w:p>
    <w:p w14:paraId="026217BE" w14:textId="24F71111" w:rsidR="00B65EDC" w:rsidRPr="00E675E8" w:rsidRDefault="00B65EDC" w:rsidP="00B65EDC">
      <w:pPr>
        <w:jc w:val="center"/>
        <w:rPr>
          <w:color w:val="26724C" w:themeColor="accent1" w:themeShade="BF"/>
          <w:spacing w:val="-2"/>
          <w:szCs w:val="24"/>
          <w:lang w:val="es-ES_tradnl"/>
        </w:rPr>
      </w:pPr>
      <w:r w:rsidRPr="00E675E8">
        <w:rPr>
          <w:b/>
          <w:color w:val="26724C" w:themeColor="accent1" w:themeShade="BF"/>
          <w:lang w:val="es-ES_tradnl"/>
        </w:rPr>
        <w:t>Cuadro 3:</w:t>
      </w:r>
      <w:r w:rsidR="002817AB" w:rsidRPr="00E675E8">
        <w:rPr>
          <w:b/>
          <w:color w:val="26724C" w:themeColor="accent1" w:themeShade="BF"/>
          <w:lang w:val="es-ES_tradnl"/>
        </w:rPr>
        <w:t xml:space="preserve"> </w:t>
      </w:r>
      <w:r w:rsidRPr="00E675E8">
        <w:rPr>
          <w:b/>
          <w:color w:val="26724C" w:themeColor="accent1" w:themeShade="BF"/>
          <w:lang w:val="es-ES_tradnl"/>
        </w:rPr>
        <w:t>Plan de dotación de recursos correspondiente a los bienios 2024-2025 y 2026-2027</w:t>
      </w:r>
    </w:p>
    <w:p w14:paraId="0835930B" w14:textId="77777777" w:rsidR="00B65EDC" w:rsidRPr="00E675E8" w:rsidRDefault="00B65EDC" w:rsidP="00B65EDC">
      <w:pPr>
        <w:jc w:val="center"/>
        <w:rPr>
          <w:rFonts w:cs="Arial"/>
          <w:i/>
          <w:iCs/>
          <w:sz w:val="18"/>
          <w:lang w:val="es-ES_tradnl"/>
        </w:rPr>
      </w:pPr>
      <w:r w:rsidRPr="00E675E8">
        <w:rPr>
          <w:i/>
          <w:sz w:val="18"/>
          <w:lang w:val="es-ES_tradnl"/>
        </w:rPr>
        <w:t>(en miles de francos suizos)</w:t>
      </w:r>
    </w:p>
    <w:p w14:paraId="0A56B743" w14:textId="77777777" w:rsidR="00B65EDC" w:rsidRPr="00E675E8" w:rsidRDefault="00B65EDC" w:rsidP="00B65EDC">
      <w:pPr>
        <w:jc w:val="center"/>
        <w:rPr>
          <w:spacing w:val="-2"/>
          <w:szCs w:val="24"/>
          <w:lang w:val="es-ES_tradnl"/>
        </w:rPr>
      </w:pPr>
    </w:p>
    <w:tbl>
      <w:tblPr>
        <w:tblW w:w="9729" w:type="dxa"/>
        <w:tblLook w:val="04A0" w:firstRow="1" w:lastRow="0" w:firstColumn="1" w:lastColumn="0" w:noHBand="0" w:noVBand="1"/>
      </w:tblPr>
      <w:tblGrid>
        <w:gridCol w:w="482"/>
        <w:gridCol w:w="3837"/>
        <w:gridCol w:w="1727"/>
        <w:gridCol w:w="1778"/>
        <w:gridCol w:w="1905"/>
      </w:tblGrid>
      <w:tr w:rsidR="00B65EDC" w:rsidRPr="00E675E8" w14:paraId="06FAB401" w14:textId="77777777">
        <w:trPr>
          <w:trHeight w:val="431"/>
        </w:trPr>
        <w:tc>
          <w:tcPr>
            <w:tcW w:w="4319" w:type="dxa"/>
            <w:gridSpan w:val="2"/>
            <w:vMerge w:val="restart"/>
            <w:tcBorders>
              <w:top w:val="nil"/>
              <w:left w:val="nil"/>
              <w:bottom w:val="nil"/>
              <w:right w:val="nil"/>
            </w:tcBorders>
            <w:shd w:val="clear" w:color="000000" w:fill="C7CFD8"/>
            <w:vAlign w:val="center"/>
            <w:hideMark/>
          </w:tcPr>
          <w:p w14:paraId="3BC13A88" w14:textId="77777777" w:rsidR="00B65EDC" w:rsidRPr="00E675E8" w:rsidRDefault="00B65EDC">
            <w:pPr>
              <w:jc w:val="left"/>
              <w:rPr>
                <w:rFonts w:ascii="Arial Narrow" w:hAnsi="Arial Narrow" w:cs="Arial"/>
                <w:b/>
                <w:bCs/>
                <w:sz w:val="18"/>
                <w:szCs w:val="18"/>
                <w:lang w:val="es-ES_tradnl"/>
              </w:rPr>
            </w:pPr>
            <w:r w:rsidRPr="00E675E8">
              <w:rPr>
                <w:rFonts w:ascii="Arial Narrow" w:hAnsi="Arial Narrow"/>
                <w:b/>
                <w:sz w:val="18"/>
                <w:lang w:val="es-ES_tradnl"/>
              </w:rPr>
              <w:t>Presupuesto y disponibilidad de recursos</w:t>
            </w:r>
          </w:p>
        </w:tc>
        <w:tc>
          <w:tcPr>
            <w:tcW w:w="1727" w:type="dxa"/>
            <w:tcBorders>
              <w:top w:val="nil"/>
              <w:left w:val="nil"/>
              <w:bottom w:val="nil"/>
              <w:right w:val="nil"/>
            </w:tcBorders>
            <w:shd w:val="clear" w:color="000000" w:fill="C7CFD8"/>
            <w:vAlign w:val="center"/>
            <w:hideMark/>
          </w:tcPr>
          <w:p w14:paraId="7EEF3CA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ordinario </w:t>
            </w:r>
          </w:p>
        </w:tc>
        <w:tc>
          <w:tcPr>
            <w:tcW w:w="1778" w:type="dxa"/>
            <w:tcBorders>
              <w:top w:val="nil"/>
              <w:left w:val="nil"/>
              <w:bottom w:val="nil"/>
              <w:right w:val="nil"/>
            </w:tcBorders>
            <w:shd w:val="clear" w:color="000000" w:fill="C7CFD8"/>
            <w:vAlign w:val="center"/>
            <w:hideMark/>
          </w:tcPr>
          <w:p w14:paraId="3AF62C3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Fondos fiduciarios * </w:t>
            </w:r>
          </w:p>
        </w:tc>
        <w:tc>
          <w:tcPr>
            <w:tcW w:w="1905" w:type="dxa"/>
            <w:tcBorders>
              <w:top w:val="nil"/>
              <w:left w:val="nil"/>
              <w:bottom w:val="nil"/>
              <w:right w:val="nil"/>
            </w:tcBorders>
            <w:shd w:val="clear" w:color="000000" w:fill="C7CFD8"/>
            <w:vAlign w:val="center"/>
            <w:hideMark/>
          </w:tcPr>
          <w:p w14:paraId="110BA662"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Total de recursos </w:t>
            </w:r>
          </w:p>
        </w:tc>
      </w:tr>
      <w:tr w:rsidR="00B65EDC" w:rsidRPr="00E675E8" w14:paraId="64A8C5DF" w14:textId="77777777">
        <w:trPr>
          <w:trHeight w:val="70"/>
        </w:trPr>
        <w:tc>
          <w:tcPr>
            <w:tcW w:w="4319" w:type="dxa"/>
            <w:gridSpan w:val="2"/>
            <w:vMerge/>
            <w:tcBorders>
              <w:top w:val="nil"/>
              <w:left w:val="nil"/>
              <w:bottom w:val="nil"/>
              <w:right w:val="nil"/>
            </w:tcBorders>
            <w:vAlign w:val="center"/>
            <w:hideMark/>
          </w:tcPr>
          <w:p w14:paraId="5AD838E4" w14:textId="77777777" w:rsidR="00B65EDC" w:rsidRPr="00E675E8" w:rsidRDefault="00B65EDC">
            <w:pPr>
              <w:jc w:val="left"/>
              <w:rPr>
                <w:rFonts w:ascii="Arial Narrow" w:hAnsi="Arial Narrow" w:cs="Arial"/>
                <w:b/>
                <w:bCs/>
                <w:sz w:val="18"/>
                <w:szCs w:val="18"/>
                <w:lang w:val="es-ES_tradnl"/>
              </w:rPr>
            </w:pPr>
          </w:p>
        </w:tc>
        <w:tc>
          <w:tcPr>
            <w:tcW w:w="1727" w:type="dxa"/>
            <w:tcBorders>
              <w:top w:val="nil"/>
              <w:left w:val="nil"/>
              <w:bottom w:val="nil"/>
              <w:right w:val="nil"/>
            </w:tcBorders>
            <w:shd w:val="clear" w:color="000000" w:fill="C7CFD8"/>
            <w:noWrap/>
            <w:vAlign w:val="center"/>
            <w:hideMark/>
          </w:tcPr>
          <w:p w14:paraId="340B7B50"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 xml:space="preserve">A </w:t>
            </w:r>
          </w:p>
        </w:tc>
        <w:tc>
          <w:tcPr>
            <w:tcW w:w="1778" w:type="dxa"/>
            <w:tcBorders>
              <w:top w:val="nil"/>
              <w:left w:val="nil"/>
              <w:bottom w:val="nil"/>
              <w:right w:val="nil"/>
            </w:tcBorders>
            <w:shd w:val="clear" w:color="000000" w:fill="C7CFD8"/>
            <w:vAlign w:val="center"/>
            <w:hideMark/>
          </w:tcPr>
          <w:p w14:paraId="378688E6"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B</w:t>
            </w:r>
          </w:p>
        </w:tc>
        <w:tc>
          <w:tcPr>
            <w:tcW w:w="1905" w:type="dxa"/>
            <w:tcBorders>
              <w:top w:val="nil"/>
              <w:left w:val="nil"/>
              <w:bottom w:val="nil"/>
              <w:right w:val="nil"/>
            </w:tcBorders>
            <w:shd w:val="clear" w:color="000000" w:fill="C7CFD8"/>
            <w:vAlign w:val="center"/>
            <w:hideMark/>
          </w:tcPr>
          <w:p w14:paraId="3F3EBB6B" w14:textId="77777777" w:rsidR="00B65EDC" w:rsidRPr="00E675E8" w:rsidRDefault="00B65EDC">
            <w:pPr>
              <w:jc w:val="center"/>
              <w:rPr>
                <w:rFonts w:ascii="Arial Narrow" w:hAnsi="Arial Narrow" w:cs="Arial"/>
                <w:b/>
                <w:bCs/>
                <w:i/>
                <w:iCs/>
                <w:sz w:val="18"/>
                <w:szCs w:val="18"/>
                <w:lang w:val="es-ES_tradnl"/>
              </w:rPr>
            </w:pPr>
            <w:r w:rsidRPr="00E675E8">
              <w:rPr>
                <w:rFonts w:ascii="Arial Narrow" w:hAnsi="Arial Narrow"/>
                <w:b/>
                <w:i/>
                <w:sz w:val="18"/>
                <w:lang w:val="es-ES_tradnl"/>
              </w:rPr>
              <w:t>C = A+B</w:t>
            </w:r>
          </w:p>
        </w:tc>
      </w:tr>
      <w:tr w:rsidR="00B65EDC" w:rsidRPr="00E675E8" w14:paraId="18443706" w14:textId="77777777" w:rsidTr="00A538F6">
        <w:trPr>
          <w:trHeight w:val="263"/>
        </w:trPr>
        <w:tc>
          <w:tcPr>
            <w:tcW w:w="4319" w:type="dxa"/>
            <w:gridSpan w:val="2"/>
            <w:tcBorders>
              <w:top w:val="nil"/>
              <w:left w:val="nil"/>
              <w:bottom w:val="nil"/>
              <w:right w:val="nil"/>
            </w:tcBorders>
            <w:hideMark/>
          </w:tcPr>
          <w:p w14:paraId="39BBD939" w14:textId="77777777" w:rsidR="00B65EDC" w:rsidRPr="00E675E8" w:rsidRDefault="00B65EDC">
            <w:pPr>
              <w:jc w:val="center"/>
              <w:rPr>
                <w:rFonts w:ascii="Arial Narrow" w:hAnsi="Arial Narrow" w:cs="Arial"/>
                <w:b/>
                <w:bCs/>
                <w:i/>
                <w:iCs/>
                <w:sz w:val="18"/>
                <w:szCs w:val="18"/>
                <w:lang w:val="es-ES_tradnl"/>
              </w:rPr>
            </w:pPr>
          </w:p>
        </w:tc>
        <w:tc>
          <w:tcPr>
            <w:tcW w:w="1727" w:type="dxa"/>
            <w:tcBorders>
              <w:top w:val="nil"/>
              <w:left w:val="nil"/>
              <w:bottom w:val="nil"/>
              <w:right w:val="nil"/>
            </w:tcBorders>
            <w:hideMark/>
          </w:tcPr>
          <w:p w14:paraId="7689380B" w14:textId="77777777" w:rsidR="00B65EDC" w:rsidRPr="00E675E8" w:rsidRDefault="00B65EDC">
            <w:pPr>
              <w:rPr>
                <w:rFonts w:ascii="Times New Roman" w:hAnsi="Times New Roman"/>
                <w:lang w:val="es-ES_tradnl"/>
              </w:rPr>
            </w:pPr>
          </w:p>
        </w:tc>
        <w:tc>
          <w:tcPr>
            <w:tcW w:w="1778" w:type="dxa"/>
            <w:tcBorders>
              <w:top w:val="nil"/>
              <w:left w:val="nil"/>
              <w:bottom w:val="nil"/>
              <w:right w:val="nil"/>
            </w:tcBorders>
            <w:hideMark/>
          </w:tcPr>
          <w:p w14:paraId="0938041F" w14:textId="77777777" w:rsidR="00B65EDC" w:rsidRPr="00E675E8" w:rsidRDefault="00B65EDC">
            <w:pPr>
              <w:rPr>
                <w:rFonts w:ascii="Times New Roman" w:hAnsi="Times New Roman"/>
                <w:lang w:val="es-ES_tradnl"/>
              </w:rPr>
            </w:pPr>
          </w:p>
        </w:tc>
        <w:tc>
          <w:tcPr>
            <w:tcW w:w="1905" w:type="dxa"/>
            <w:tcBorders>
              <w:top w:val="nil"/>
              <w:left w:val="nil"/>
              <w:bottom w:val="nil"/>
              <w:right w:val="nil"/>
            </w:tcBorders>
            <w:hideMark/>
          </w:tcPr>
          <w:p w14:paraId="4502D222" w14:textId="77777777" w:rsidR="00B65EDC" w:rsidRPr="00E675E8" w:rsidRDefault="00B65EDC">
            <w:pPr>
              <w:jc w:val="left"/>
              <w:rPr>
                <w:rFonts w:ascii="Times New Roman" w:hAnsi="Times New Roman"/>
                <w:lang w:val="es-ES_tradnl"/>
              </w:rPr>
            </w:pPr>
          </w:p>
        </w:tc>
      </w:tr>
      <w:tr w:rsidR="00B65EDC" w:rsidRPr="00E675E8" w14:paraId="4779A1D3" w14:textId="77777777" w:rsidTr="00A538F6">
        <w:trPr>
          <w:trHeight w:val="318"/>
        </w:trPr>
        <w:tc>
          <w:tcPr>
            <w:tcW w:w="4319" w:type="dxa"/>
            <w:gridSpan w:val="2"/>
            <w:tcBorders>
              <w:top w:val="nil"/>
              <w:left w:val="nil"/>
              <w:bottom w:val="nil"/>
              <w:right w:val="nil"/>
            </w:tcBorders>
            <w:hideMark/>
          </w:tcPr>
          <w:p w14:paraId="0BFF9E66"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Disponibilidad de recursos 2024-2025</w:t>
            </w:r>
          </w:p>
        </w:tc>
        <w:tc>
          <w:tcPr>
            <w:tcW w:w="1727" w:type="dxa"/>
            <w:tcBorders>
              <w:top w:val="nil"/>
              <w:left w:val="nil"/>
              <w:bottom w:val="nil"/>
              <w:right w:val="nil"/>
            </w:tcBorders>
            <w:noWrap/>
            <w:vAlign w:val="bottom"/>
            <w:hideMark/>
          </w:tcPr>
          <w:p w14:paraId="686C71E3" w14:textId="77777777" w:rsidR="00B65EDC" w:rsidRPr="00E675E8" w:rsidRDefault="00B65EDC">
            <w:pPr>
              <w:jc w:val="right"/>
              <w:rPr>
                <w:rFonts w:ascii="Arial Narrow" w:hAnsi="Arial Narrow" w:cs="Arial"/>
                <w:b/>
                <w:bCs/>
                <w:color w:val="000000"/>
                <w:lang w:val="es-ES_tradnl"/>
              </w:rPr>
            </w:pPr>
          </w:p>
        </w:tc>
        <w:tc>
          <w:tcPr>
            <w:tcW w:w="1778" w:type="dxa"/>
            <w:tcBorders>
              <w:top w:val="nil"/>
              <w:left w:val="nil"/>
              <w:bottom w:val="nil"/>
              <w:right w:val="nil"/>
            </w:tcBorders>
            <w:hideMark/>
          </w:tcPr>
          <w:p w14:paraId="235A1292"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hideMark/>
          </w:tcPr>
          <w:p w14:paraId="51871D3E" w14:textId="77777777" w:rsidR="00B65EDC" w:rsidRPr="00E675E8" w:rsidRDefault="00B65EDC">
            <w:pPr>
              <w:jc w:val="right"/>
              <w:rPr>
                <w:rFonts w:ascii="Times New Roman" w:hAnsi="Times New Roman"/>
                <w:lang w:val="es-ES_tradnl"/>
              </w:rPr>
            </w:pPr>
          </w:p>
        </w:tc>
      </w:tr>
      <w:tr w:rsidR="00B65EDC" w:rsidRPr="00E675E8" w14:paraId="2665EE8B" w14:textId="77777777" w:rsidTr="00A538F6">
        <w:trPr>
          <w:trHeight w:val="349"/>
        </w:trPr>
        <w:tc>
          <w:tcPr>
            <w:tcW w:w="482" w:type="dxa"/>
            <w:tcBorders>
              <w:top w:val="nil"/>
              <w:left w:val="nil"/>
              <w:bottom w:val="nil"/>
              <w:right w:val="nil"/>
            </w:tcBorders>
            <w:vAlign w:val="center"/>
            <w:hideMark/>
          </w:tcPr>
          <w:p w14:paraId="2041EE60"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1</w:t>
            </w:r>
          </w:p>
        </w:tc>
        <w:tc>
          <w:tcPr>
            <w:tcW w:w="3837" w:type="dxa"/>
            <w:tcBorders>
              <w:top w:val="nil"/>
              <w:left w:val="nil"/>
              <w:bottom w:val="nil"/>
              <w:right w:val="nil"/>
            </w:tcBorders>
            <w:vAlign w:val="center"/>
            <w:hideMark/>
          </w:tcPr>
          <w:p w14:paraId="1C62A0BC"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Ingresos</w:t>
            </w:r>
          </w:p>
        </w:tc>
        <w:tc>
          <w:tcPr>
            <w:tcW w:w="1727" w:type="dxa"/>
            <w:tcBorders>
              <w:top w:val="nil"/>
              <w:left w:val="nil"/>
              <w:bottom w:val="nil"/>
              <w:right w:val="nil"/>
            </w:tcBorders>
            <w:vAlign w:val="center"/>
          </w:tcPr>
          <w:p w14:paraId="0EBD073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778" w:type="dxa"/>
            <w:tcBorders>
              <w:top w:val="nil"/>
              <w:left w:val="nil"/>
              <w:bottom w:val="nil"/>
              <w:right w:val="nil"/>
            </w:tcBorders>
            <w:vAlign w:val="center"/>
          </w:tcPr>
          <w:p w14:paraId="04C9B3CD"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965</w:t>
            </w:r>
          </w:p>
        </w:tc>
        <w:tc>
          <w:tcPr>
            <w:tcW w:w="1905" w:type="dxa"/>
            <w:tcBorders>
              <w:top w:val="nil"/>
              <w:left w:val="nil"/>
              <w:bottom w:val="nil"/>
              <w:right w:val="nil"/>
            </w:tcBorders>
            <w:vAlign w:val="center"/>
          </w:tcPr>
          <w:p w14:paraId="49038083"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8 867</w:t>
            </w:r>
          </w:p>
        </w:tc>
      </w:tr>
      <w:tr w:rsidR="00B65EDC" w:rsidRPr="00E675E8" w14:paraId="5E49BB4B" w14:textId="77777777" w:rsidTr="00A538F6">
        <w:trPr>
          <w:trHeight w:val="349"/>
        </w:trPr>
        <w:tc>
          <w:tcPr>
            <w:tcW w:w="482" w:type="dxa"/>
            <w:tcBorders>
              <w:top w:val="nil"/>
              <w:left w:val="nil"/>
              <w:bottom w:val="nil"/>
              <w:right w:val="nil"/>
            </w:tcBorders>
            <w:vAlign w:val="center"/>
            <w:hideMark/>
          </w:tcPr>
          <w:p w14:paraId="2F7D12E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2</w:t>
            </w:r>
          </w:p>
        </w:tc>
        <w:tc>
          <w:tcPr>
            <w:tcW w:w="3837" w:type="dxa"/>
            <w:tcBorders>
              <w:top w:val="nil"/>
              <w:left w:val="nil"/>
              <w:bottom w:val="nil"/>
              <w:right w:val="nil"/>
            </w:tcBorders>
            <w:vAlign w:val="center"/>
            <w:hideMark/>
          </w:tcPr>
          <w:p w14:paraId="6C4A070B"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 Transferencias hacia/desde reservas</w:t>
            </w:r>
          </w:p>
        </w:tc>
        <w:tc>
          <w:tcPr>
            <w:tcW w:w="1727" w:type="dxa"/>
            <w:tcBorders>
              <w:top w:val="nil"/>
              <w:left w:val="nil"/>
              <w:bottom w:val="nil"/>
              <w:right w:val="nil"/>
            </w:tcBorders>
            <w:vAlign w:val="center"/>
          </w:tcPr>
          <w:p w14:paraId="6EFD31DF"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c>
          <w:tcPr>
            <w:tcW w:w="1778" w:type="dxa"/>
            <w:tcBorders>
              <w:top w:val="nil"/>
              <w:left w:val="nil"/>
              <w:bottom w:val="nil"/>
              <w:right w:val="nil"/>
            </w:tcBorders>
            <w:vAlign w:val="center"/>
          </w:tcPr>
          <w:p w14:paraId="026F220A"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c>
          <w:tcPr>
            <w:tcW w:w="1905" w:type="dxa"/>
            <w:tcBorders>
              <w:top w:val="nil"/>
              <w:left w:val="nil"/>
              <w:bottom w:val="nil"/>
              <w:right w:val="nil"/>
            </w:tcBorders>
            <w:vAlign w:val="center"/>
          </w:tcPr>
          <w:p w14:paraId="7C798E0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w:t>
            </w:r>
          </w:p>
        </w:tc>
      </w:tr>
      <w:tr w:rsidR="00B65EDC" w:rsidRPr="00E675E8" w14:paraId="3C3EBEB5" w14:textId="77777777" w:rsidTr="00A538F6">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3</w:t>
            </w:r>
          </w:p>
        </w:tc>
        <w:tc>
          <w:tcPr>
            <w:tcW w:w="3837" w:type="dxa"/>
            <w:tcBorders>
              <w:top w:val="single" w:sz="4" w:space="0" w:color="AAB8C4"/>
              <w:left w:val="nil"/>
              <w:bottom w:val="single" w:sz="8" w:space="0" w:color="AAB8C4"/>
              <w:right w:val="nil"/>
            </w:tcBorders>
            <w:vAlign w:val="center"/>
            <w:hideMark/>
          </w:tcPr>
          <w:p w14:paraId="03E7F7C0"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Total, recursos</w:t>
            </w:r>
          </w:p>
        </w:tc>
        <w:tc>
          <w:tcPr>
            <w:tcW w:w="1727" w:type="dxa"/>
            <w:tcBorders>
              <w:top w:val="single" w:sz="4" w:space="0" w:color="AAB8C4"/>
              <w:left w:val="nil"/>
              <w:bottom w:val="single" w:sz="8" w:space="0" w:color="AAB8C4"/>
              <w:right w:val="nil"/>
            </w:tcBorders>
            <w:vAlign w:val="center"/>
          </w:tcPr>
          <w:p w14:paraId="7518454E"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778" w:type="dxa"/>
            <w:tcBorders>
              <w:top w:val="single" w:sz="4" w:space="0" w:color="AAB8C4"/>
              <w:left w:val="nil"/>
              <w:bottom w:val="single" w:sz="8" w:space="0" w:color="AAB8C4"/>
              <w:right w:val="nil"/>
            </w:tcBorders>
            <w:vAlign w:val="center"/>
          </w:tcPr>
          <w:p w14:paraId="3F27C94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8 867</w:t>
            </w:r>
          </w:p>
        </w:tc>
      </w:tr>
      <w:tr w:rsidR="00B65EDC" w:rsidRPr="00E675E8" w14:paraId="249E410D" w14:textId="77777777" w:rsidTr="00A538F6">
        <w:trPr>
          <w:trHeight w:val="263"/>
        </w:trPr>
        <w:tc>
          <w:tcPr>
            <w:tcW w:w="482" w:type="dxa"/>
            <w:tcBorders>
              <w:top w:val="nil"/>
              <w:left w:val="nil"/>
              <w:bottom w:val="nil"/>
              <w:right w:val="nil"/>
            </w:tcBorders>
            <w:vAlign w:val="center"/>
            <w:hideMark/>
          </w:tcPr>
          <w:p w14:paraId="4E26EC1C" w14:textId="77777777" w:rsidR="00B65EDC" w:rsidRPr="00E675E8" w:rsidRDefault="00B65EDC">
            <w:pPr>
              <w:jc w:val="right"/>
              <w:rPr>
                <w:rFonts w:ascii="Arial Narrow" w:hAnsi="Arial Narrow" w:cs="Arial"/>
                <w:color w:val="000000"/>
                <w:lang w:val="es-ES_tradnl"/>
              </w:rPr>
            </w:pPr>
          </w:p>
        </w:tc>
        <w:tc>
          <w:tcPr>
            <w:tcW w:w="3837" w:type="dxa"/>
            <w:tcBorders>
              <w:top w:val="nil"/>
              <w:left w:val="nil"/>
              <w:bottom w:val="nil"/>
              <w:right w:val="nil"/>
            </w:tcBorders>
            <w:vAlign w:val="center"/>
            <w:hideMark/>
          </w:tcPr>
          <w:p w14:paraId="463CDD84" w14:textId="77777777" w:rsidR="00B65EDC" w:rsidRPr="00E675E8" w:rsidRDefault="00B65EDC">
            <w:pPr>
              <w:jc w:val="right"/>
              <w:rPr>
                <w:rFonts w:ascii="Times New Roman" w:hAnsi="Times New Roman"/>
                <w:lang w:val="es-ES_tradnl"/>
              </w:rPr>
            </w:pPr>
          </w:p>
        </w:tc>
        <w:tc>
          <w:tcPr>
            <w:tcW w:w="1727" w:type="dxa"/>
            <w:tcBorders>
              <w:top w:val="nil"/>
              <w:left w:val="nil"/>
              <w:bottom w:val="nil"/>
              <w:right w:val="nil"/>
            </w:tcBorders>
            <w:vAlign w:val="center"/>
          </w:tcPr>
          <w:p w14:paraId="280AE7A6" w14:textId="77777777" w:rsidR="00B65EDC" w:rsidRPr="00E675E8" w:rsidRDefault="00B65EDC">
            <w:pPr>
              <w:jc w:val="right"/>
              <w:rPr>
                <w:rFonts w:ascii="Times New Roman" w:hAnsi="Times New Roman"/>
                <w:lang w:val="es-ES_tradnl"/>
              </w:rPr>
            </w:pPr>
          </w:p>
        </w:tc>
        <w:tc>
          <w:tcPr>
            <w:tcW w:w="1778" w:type="dxa"/>
            <w:tcBorders>
              <w:top w:val="nil"/>
              <w:left w:val="nil"/>
              <w:bottom w:val="nil"/>
              <w:right w:val="nil"/>
            </w:tcBorders>
            <w:vAlign w:val="center"/>
          </w:tcPr>
          <w:p w14:paraId="456584DA"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vAlign w:val="center"/>
          </w:tcPr>
          <w:p w14:paraId="62A665DA" w14:textId="77777777" w:rsidR="00B65EDC" w:rsidRPr="00E675E8" w:rsidRDefault="00B65EDC">
            <w:pPr>
              <w:jc w:val="right"/>
              <w:rPr>
                <w:rFonts w:ascii="Times New Roman" w:hAnsi="Times New Roman"/>
                <w:lang w:val="es-ES_tradnl"/>
              </w:rPr>
            </w:pPr>
          </w:p>
        </w:tc>
      </w:tr>
      <w:tr w:rsidR="00B65EDC" w:rsidRPr="00E675E8" w14:paraId="09590297" w14:textId="77777777" w:rsidTr="00A538F6">
        <w:trPr>
          <w:trHeight w:val="349"/>
        </w:trPr>
        <w:tc>
          <w:tcPr>
            <w:tcW w:w="4319" w:type="dxa"/>
            <w:gridSpan w:val="2"/>
            <w:tcBorders>
              <w:top w:val="nil"/>
              <w:left w:val="nil"/>
              <w:bottom w:val="nil"/>
              <w:right w:val="nil"/>
            </w:tcBorders>
            <w:vAlign w:val="center"/>
            <w:hideMark/>
          </w:tcPr>
          <w:p w14:paraId="663255EE" w14:textId="6B32C432"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Disponibilidad de recursos 2026-2027</w:t>
            </w:r>
          </w:p>
        </w:tc>
        <w:tc>
          <w:tcPr>
            <w:tcW w:w="1727" w:type="dxa"/>
            <w:tcBorders>
              <w:top w:val="nil"/>
              <w:left w:val="nil"/>
              <w:bottom w:val="nil"/>
              <w:right w:val="nil"/>
            </w:tcBorders>
            <w:vAlign w:val="center"/>
          </w:tcPr>
          <w:p w14:paraId="34176CDE" w14:textId="77777777" w:rsidR="00B65EDC" w:rsidRPr="00E675E8" w:rsidRDefault="00B65EDC">
            <w:pPr>
              <w:jc w:val="right"/>
              <w:rPr>
                <w:rFonts w:ascii="Arial Narrow" w:hAnsi="Arial Narrow" w:cs="Arial"/>
                <w:b/>
                <w:bCs/>
                <w:color w:val="000000"/>
                <w:lang w:val="es-ES_tradnl"/>
              </w:rPr>
            </w:pPr>
          </w:p>
        </w:tc>
        <w:tc>
          <w:tcPr>
            <w:tcW w:w="1778" w:type="dxa"/>
            <w:tcBorders>
              <w:top w:val="nil"/>
              <w:left w:val="nil"/>
              <w:bottom w:val="nil"/>
              <w:right w:val="nil"/>
            </w:tcBorders>
            <w:vAlign w:val="center"/>
          </w:tcPr>
          <w:p w14:paraId="01B85F96" w14:textId="77777777" w:rsidR="00B65EDC" w:rsidRPr="00E675E8" w:rsidRDefault="00B65EDC">
            <w:pPr>
              <w:jc w:val="right"/>
              <w:rPr>
                <w:rFonts w:ascii="Times New Roman" w:hAnsi="Times New Roman"/>
                <w:lang w:val="es-ES_tradnl"/>
              </w:rPr>
            </w:pPr>
          </w:p>
        </w:tc>
        <w:tc>
          <w:tcPr>
            <w:tcW w:w="1905" w:type="dxa"/>
            <w:tcBorders>
              <w:top w:val="nil"/>
              <w:left w:val="nil"/>
              <w:bottom w:val="nil"/>
              <w:right w:val="nil"/>
            </w:tcBorders>
            <w:vAlign w:val="center"/>
          </w:tcPr>
          <w:p w14:paraId="1937B64A" w14:textId="77777777" w:rsidR="00B65EDC" w:rsidRPr="00E675E8" w:rsidRDefault="00B65EDC">
            <w:pPr>
              <w:jc w:val="right"/>
              <w:rPr>
                <w:rFonts w:ascii="Times New Roman" w:hAnsi="Times New Roman"/>
                <w:lang w:val="es-ES_tradnl"/>
              </w:rPr>
            </w:pPr>
          </w:p>
        </w:tc>
      </w:tr>
      <w:tr w:rsidR="00B65EDC" w:rsidRPr="00E675E8" w14:paraId="73196B90" w14:textId="77777777" w:rsidTr="00A538F6">
        <w:trPr>
          <w:trHeight w:val="349"/>
        </w:trPr>
        <w:tc>
          <w:tcPr>
            <w:tcW w:w="482" w:type="dxa"/>
            <w:tcBorders>
              <w:top w:val="nil"/>
              <w:left w:val="nil"/>
              <w:bottom w:val="nil"/>
              <w:right w:val="nil"/>
            </w:tcBorders>
            <w:vAlign w:val="center"/>
            <w:hideMark/>
          </w:tcPr>
          <w:p w14:paraId="36C50CD5"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4</w:t>
            </w:r>
          </w:p>
        </w:tc>
        <w:tc>
          <w:tcPr>
            <w:tcW w:w="3837" w:type="dxa"/>
            <w:tcBorders>
              <w:top w:val="nil"/>
              <w:left w:val="nil"/>
              <w:bottom w:val="nil"/>
              <w:right w:val="nil"/>
            </w:tcBorders>
            <w:vAlign w:val="center"/>
            <w:hideMark/>
          </w:tcPr>
          <w:p w14:paraId="408A2723"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Ingresos</w:t>
            </w:r>
          </w:p>
        </w:tc>
        <w:tc>
          <w:tcPr>
            <w:tcW w:w="1727" w:type="dxa"/>
            <w:tcBorders>
              <w:top w:val="nil"/>
              <w:left w:val="nil"/>
              <w:bottom w:val="nil"/>
              <w:right w:val="nil"/>
            </w:tcBorders>
            <w:vAlign w:val="center"/>
          </w:tcPr>
          <w:p w14:paraId="0F0C48CD" w14:textId="77777777" w:rsidR="00B65EDC" w:rsidRPr="00E675E8" w:rsidRDefault="00B65EDC">
            <w:pPr>
              <w:jc w:val="right"/>
              <w:rPr>
                <w:rFonts w:ascii="Arial Narrow" w:hAnsi="Arial Narrow" w:cs="Arial"/>
                <w:color w:val="000000"/>
                <w:lang w:val="es-ES_tradnl"/>
              </w:rPr>
            </w:pPr>
            <w:bookmarkStart w:id="439" w:name="_Hlk190005485"/>
            <w:r w:rsidRPr="00E675E8">
              <w:rPr>
                <w:rFonts w:ascii="Arial Narrow" w:hAnsi="Arial Narrow"/>
                <w:lang w:val="es-ES_tradnl"/>
              </w:rPr>
              <w:t>7 616</w:t>
            </w:r>
            <w:bookmarkEnd w:id="439"/>
          </w:p>
        </w:tc>
        <w:tc>
          <w:tcPr>
            <w:tcW w:w="1778" w:type="dxa"/>
            <w:tcBorders>
              <w:top w:val="nil"/>
              <w:left w:val="nil"/>
              <w:bottom w:val="nil"/>
              <w:right w:val="nil"/>
            </w:tcBorders>
            <w:vAlign w:val="center"/>
          </w:tcPr>
          <w:p w14:paraId="6551A734" w14:textId="77777777" w:rsidR="00B65EDC" w:rsidRPr="00E675E8" w:rsidRDefault="00B65EDC">
            <w:pPr>
              <w:jc w:val="right"/>
              <w:rPr>
                <w:rFonts w:ascii="Arial Narrow" w:hAnsi="Arial Narrow" w:cs="Arial"/>
                <w:color w:val="000000"/>
                <w:lang w:val="es-ES_tradnl"/>
              </w:rPr>
            </w:pPr>
            <w:bookmarkStart w:id="440" w:name="_Hlk190005036"/>
            <w:r w:rsidRPr="00E675E8">
              <w:rPr>
                <w:rFonts w:ascii="Arial Narrow" w:hAnsi="Arial Narrow"/>
                <w:lang w:val="es-ES_tradnl"/>
              </w:rPr>
              <w:t>844</w:t>
            </w:r>
            <w:bookmarkEnd w:id="440"/>
          </w:p>
        </w:tc>
        <w:tc>
          <w:tcPr>
            <w:tcW w:w="1905" w:type="dxa"/>
            <w:tcBorders>
              <w:top w:val="nil"/>
              <w:left w:val="nil"/>
              <w:bottom w:val="nil"/>
              <w:right w:val="nil"/>
            </w:tcBorders>
            <w:vAlign w:val="center"/>
          </w:tcPr>
          <w:p w14:paraId="088861B7" w14:textId="77777777" w:rsidR="00B65EDC" w:rsidRPr="00E675E8" w:rsidRDefault="00B65EDC">
            <w:pPr>
              <w:jc w:val="right"/>
              <w:rPr>
                <w:rFonts w:ascii="Arial Narrow" w:hAnsi="Arial Narrow" w:cs="Arial"/>
                <w:color w:val="000000"/>
                <w:lang w:val="es-ES_tradnl"/>
              </w:rPr>
            </w:pPr>
            <w:bookmarkStart w:id="441" w:name="_Hlk190004987"/>
            <w:r w:rsidRPr="00E675E8">
              <w:rPr>
                <w:rFonts w:ascii="Arial Narrow" w:hAnsi="Arial Narrow"/>
                <w:lang w:val="es-ES_tradnl"/>
              </w:rPr>
              <w:t>8 460</w:t>
            </w:r>
            <w:bookmarkEnd w:id="441"/>
          </w:p>
        </w:tc>
      </w:tr>
      <w:tr w:rsidR="00B65EDC" w:rsidRPr="00E675E8" w14:paraId="538C61A9" w14:textId="77777777" w:rsidTr="00A538F6">
        <w:trPr>
          <w:trHeight w:val="349"/>
        </w:trPr>
        <w:tc>
          <w:tcPr>
            <w:tcW w:w="482" w:type="dxa"/>
            <w:tcBorders>
              <w:top w:val="nil"/>
              <w:left w:val="nil"/>
              <w:bottom w:val="nil"/>
              <w:right w:val="nil"/>
            </w:tcBorders>
            <w:vAlign w:val="center"/>
            <w:hideMark/>
          </w:tcPr>
          <w:p w14:paraId="31407B75"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5</w:t>
            </w:r>
          </w:p>
        </w:tc>
        <w:tc>
          <w:tcPr>
            <w:tcW w:w="3837" w:type="dxa"/>
            <w:tcBorders>
              <w:top w:val="nil"/>
              <w:left w:val="nil"/>
              <w:bottom w:val="nil"/>
              <w:right w:val="nil"/>
            </w:tcBorders>
            <w:vAlign w:val="center"/>
            <w:hideMark/>
          </w:tcPr>
          <w:p w14:paraId="11CD12FF" w14:textId="77777777" w:rsidR="00B65EDC" w:rsidRPr="00E675E8" w:rsidRDefault="00B65EDC">
            <w:pPr>
              <w:rPr>
                <w:rFonts w:ascii="Arial Narrow" w:hAnsi="Arial Narrow" w:cs="Arial"/>
                <w:color w:val="000000"/>
                <w:lang w:val="es-ES_tradnl"/>
              </w:rPr>
            </w:pPr>
            <w:r w:rsidRPr="00E675E8">
              <w:rPr>
                <w:rFonts w:ascii="Arial Narrow" w:hAnsi="Arial Narrow"/>
                <w:color w:val="000000"/>
                <w:lang w:val="es-ES_tradnl"/>
              </w:rPr>
              <w:t>+/(-) Transferencias hacia/desde reservas</w:t>
            </w:r>
          </w:p>
        </w:tc>
        <w:tc>
          <w:tcPr>
            <w:tcW w:w="1727" w:type="dxa"/>
            <w:tcBorders>
              <w:top w:val="nil"/>
              <w:left w:val="nil"/>
              <w:bottom w:val="nil"/>
              <w:right w:val="nil"/>
            </w:tcBorders>
            <w:vAlign w:val="center"/>
          </w:tcPr>
          <w:p w14:paraId="035E6BCD"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c>
          <w:tcPr>
            <w:tcW w:w="1778" w:type="dxa"/>
            <w:tcBorders>
              <w:top w:val="nil"/>
              <w:left w:val="nil"/>
              <w:bottom w:val="nil"/>
              <w:right w:val="nil"/>
            </w:tcBorders>
            <w:vAlign w:val="center"/>
          </w:tcPr>
          <w:p w14:paraId="585A3C90"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c>
          <w:tcPr>
            <w:tcW w:w="1905" w:type="dxa"/>
            <w:tcBorders>
              <w:top w:val="nil"/>
              <w:left w:val="nil"/>
              <w:bottom w:val="nil"/>
              <w:right w:val="nil"/>
            </w:tcBorders>
            <w:vAlign w:val="center"/>
          </w:tcPr>
          <w:p w14:paraId="18D236C8" w14:textId="77777777" w:rsidR="00B65EDC" w:rsidRPr="00E675E8" w:rsidRDefault="00B65EDC">
            <w:pPr>
              <w:jc w:val="right"/>
              <w:rPr>
                <w:rFonts w:ascii="Arial Narrow" w:hAnsi="Arial Narrow" w:cs="Arial"/>
                <w:color w:val="000000"/>
                <w:lang w:val="es-ES_tradnl"/>
              </w:rPr>
            </w:pPr>
            <w:r w:rsidRPr="00E675E8">
              <w:rPr>
                <w:rFonts w:ascii="Arial Narrow" w:hAnsi="Arial Narrow"/>
                <w:lang w:val="es-ES_tradnl"/>
              </w:rPr>
              <w:t>-</w:t>
            </w:r>
          </w:p>
        </w:tc>
      </w:tr>
      <w:tr w:rsidR="00B65EDC" w:rsidRPr="00E675E8" w14:paraId="63DF9610" w14:textId="77777777" w:rsidTr="00A538F6">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6</w:t>
            </w:r>
          </w:p>
        </w:tc>
        <w:tc>
          <w:tcPr>
            <w:tcW w:w="3837" w:type="dxa"/>
            <w:tcBorders>
              <w:top w:val="single" w:sz="4" w:space="0" w:color="AAB8C4"/>
              <w:left w:val="nil"/>
              <w:bottom w:val="single" w:sz="8" w:space="0" w:color="AAB8C4"/>
              <w:right w:val="nil"/>
            </w:tcBorders>
            <w:vAlign w:val="center"/>
            <w:hideMark/>
          </w:tcPr>
          <w:p w14:paraId="3D71BD3D" w14:textId="77777777" w:rsidR="00B65EDC" w:rsidRPr="00E675E8" w:rsidRDefault="00B65EDC">
            <w:pPr>
              <w:rPr>
                <w:rFonts w:ascii="Arial Narrow" w:hAnsi="Arial Narrow" w:cs="Arial"/>
                <w:b/>
                <w:bCs/>
                <w:color w:val="000000"/>
                <w:lang w:val="es-ES_tradnl"/>
              </w:rPr>
            </w:pPr>
            <w:r w:rsidRPr="00E675E8">
              <w:rPr>
                <w:rFonts w:ascii="Arial Narrow" w:hAnsi="Arial Narrow"/>
                <w:b/>
                <w:color w:val="000000"/>
                <w:lang w:val="es-ES_tradnl"/>
              </w:rPr>
              <w:t>Total, recursos</w:t>
            </w:r>
          </w:p>
        </w:tc>
        <w:tc>
          <w:tcPr>
            <w:tcW w:w="1727" w:type="dxa"/>
            <w:tcBorders>
              <w:top w:val="single" w:sz="4" w:space="0" w:color="AAB8C4"/>
              <w:left w:val="nil"/>
              <w:bottom w:val="single" w:sz="8" w:space="0" w:color="AAB8C4"/>
              <w:right w:val="nil"/>
            </w:tcBorders>
            <w:vAlign w:val="center"/>
          </w:tcPr>
          <w:p w14:paraId="4F759DEF"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7 616 </w:t>
            </w:r>
          </w:p>
        </w:tc>
        <w:tc>
          <w:tcPr>
            <w:tcW w:w="1778" w:type="dxa"/>
            <w:tcBorders>
              <w:top w:val="single" w:sz="4" w:space="0" w:color="AAB8C4"/>
              <w:left w:val="nil"/>
              <w:bottom w:val="single" w:sz="8" w:space="0" w:color="AAB8C4"/>
              <w:right w:val="nil"/>
            </w:tcBorders>
            <w:vAlign w:val="center"/>
          </w:tcPr>
          <w:p w14:paraId="6E38AC51"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E675E8" w:rsidRDefault="00B65EDC">
            <w:pPr>
              <w:jc w:val="right"/>
              <w:rPr>
                <w:rFonts w:ascii="Arial Narrow" w:hAnsi="Arial Narrow" w:cs="Arial"/>
                <w:b/>
                <w:bCs/>
                <w:color w:val="000000"/>
                <w:lang w:val="es-ES_tradnl"/>
              </w:rPr>
            </w:pPr>
            <w:r w:rsidRPr="00E675E8">
              <w:rPr>
                <w:rFonts w:ascii="Arial Narrow" w:hAnsi="Arial Narrow"/>
                <w:b/>
                <w:color w:val="000000"/>
                <w:lang w:val="es-ES_tradnl"/>
              </w:rPr>
              <w:t xml:space="preserve">8 460 </w:t>
            </w:r>
          </w:p>
        </w:tc>
      </w:tr>
      <w:tr w:rsidR="00B65EDC" w:rsidRPr="00E675E8" w14:paraId="4FD53A27" w14:textId="77777777" w:rsidTr="00A538F6">
        <w:trPr>
          <w:trHeight w:val="334"/>
        </w:trPr>
        <w:tc>
          <w:tcPr>
            <w:tcW w:w="482" w:type="dxa"/>
            <w:tcBorders>
              <w:top w:val="nil"/>
              <w:left w:val="nil"/>
              <w:bottom w:val="nil"/>
              <w:right w:val="nil"/>
            </w:tcBorders>
            <w:hideMark/>
          </w:tcPr>
          <w:p w14:paraId="138CDA0D" w14:textId="77777777" w:rsidR="00B65EDC" w:rsidRPr="00E675E8" w:rsidRDefault="00B65EDC">
            <w:pPr>
              <w:jc w:val="right"/>
              <w:rPr>
                <w:rFonts w:ascii="Arial Narrow" w:hAnsi="Arial Narrow" w:cs="Arial"/>
                <w:b/>
                <w:bCs/>
                <w:color w:val="000000"/>
                <w:lang w:val="es-ES_tradnl"/>
              </w:rPr>
            </w:pPr>
          </w:p>
        </w:tc>
        <w:tc>
          <w:tcPr>
            <w:tcW w:w="3837" w:type="dxa"/>
            <w:tcBorders>
              <w:top w:val="nil"/>
              <w:left w:val="nil"/>
              <w:bottom w:val="nil"/>
              <w:right w:val="nil"/>
            </w:tcBorders>
            <w:vAlign w:val="center"/>
            <w:hideMark/>
          </w:tcPr>
          <w:p w14:paraId="1D95F054" w14:textId="77777777" w:rsidR="00B65EDC" w:rsidRPr="00E675E8" w:rsidRDefault="00B65EDC">
            <w:pPr>
              <w:rPr>
                <w:rFonts w:ascii="Arial Narrow" w:hAnsi="Arial Narrow" w:cs="Arial"/>
                <w:i/>
                <w:iCs/>
                <w:color w:val="000000"/>
                <w:lang w:val="es-ES_tradnl"/>
              </w:rPr>
            </w:pPr>
            <w:r w:rsidRPr="00E675E8">
              <w:rPr>
                <w:rFonts w:ascii="Arial Narrow" w:hAnsi="Arial Narrow"/>
                <w:i/>
                <w:color w:val="000000"/>
                <w:lang w:val="es-ES_tradnl"/>
              </w:rPr>
              <w:t>Variación</w:t>
            </w:r>
          </w:p>
        </w:tc>
        <w:tc>
          <w:tcPr>
            <w:tcW w:w="1727" w:type="dxa"/>
            <w:tcBorders>
              <w:top w:val="nil"/>
              <w:left w:val="nil"/>
              <w:bottom w:val="nil"/>
              <w:right w:val="nil"/>
            </w:tcBorders>
            <w:vAlign w:val="center"/>
          </w:tcPr>
          <w:p w14:paraId="1C31848F"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-3,6 %</w:t>
            </w:r>
          </w:p>
        </w:tc>
        <w:tc>
          <w:tcPr>
            <w:tcW w:w="1778" w:type="dxa"/>
            <w:tcBorders>
              <w:top w:val="nil"/>
              <w:left w:val="nil"/>
              <w:bottom w:val="nil"/>
              <w:right w:val="nil"/>
            </w:tcBorders>
            <w:vAlign w:val="center"/>
          </w:tcPr>
          <w:p w14:paraId="32B724B6" w14:textId="77777777" w:rsidR="00B65EDC" w:rsidRPr="00E675E8" w:rsidRDefault="00B65EDC">
            <w:pPr>
              <w:jc w:val="right"/>
              <w:rPr>
                <w:rFonts w:ascii="Arial Narrow" w:hAnsi="Arial Narrow" w:cs="Arial"/>
                <w:i/>
                <w:iCs/>
                <w:color w:val="000000"/>
                <w:lang w:val="es-ES_tradnl"/>
              </w:rPr>
            </w:pPr>
          </w:p>
        </w:tc>
        <w:tc>
          <w:tcPr>
            <w:tcW w:w="1905" w:type="dxa"/>
            <w:tcBorders>
              <w:top w:val="nil"/>
              <w:left w:val="nil"/>
              <w:bottom w:val="nil"/>
              <w:right w:val="nil"/>
            </w:tcBorders>
            <w:vAlign w:val="center"/>
          </w:tcPr>
          <w:p w14:paraId="37082DE3"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-4,6 %</w:t>
            </w:r>
          </w:p>
        </w:tc>
      </w:tr>
    </w:tbl>
    <w:p w14:paraId="4224B818" w14:textId="77777777" w:rsidR="00B65EDC" w:rsidRPr="00E675E8" w:rsidRDefault="00B65EDC" w:rsidP="00B65EDC">
      <w:pPr>
        <w:tabs>
          <w:tab w:val="left" w:pos="284"/>
        </w:tabs>
        <w:spacing w:before="120"/>
        <w:rPr>
          <w:i/>
          <w:iCs/>
          <w:sz w:val="16"/>
          <w:lang w:val="es-ES_tradnl"/>
        </w:rPr>
      </w:pPr>
      <w:r w:rsidRPr="00E675E8">
        <w:rPr>
          <w:i/>
          <w:sz w:val="16"/>
          <w:lang w:val="es-ES_tradnl"/>
        </w:rPr>
        <w:t>* Excluidos los gastos de apoyo administrativo del 13 % en el marco de los fondos fiduciarios</w:t>
      </w:r>
    </w:p>
    <w:p w14:paraId="15B746F7" w14:textId="77777777" w:rsidR="00B65EDC" w:rsidRPr="00E675E8" w:rsidRDefault="00B65EDC" w:rsidP="00B65EDC">
      <w:pPr>
        <w:rPr>
          <w:lang w:val="es-ES_tradnl"/>
        </w:rPr>
      </w:pPr>
    </w:p>
    <w:p w14:paraId="332A27D4" w14:textId="77777777" w:rsidR="00B65EDC" w:rsidRPr="00E675E8" w:rsidRDefault="00B65EDC" w:rsidP="00B65EDC">
      <w:pPr>
        <w:rPr>
          <w:lang w:val="es-ES_tradnl"/>
        </w:rPr>
      </w:pPr>
    </w:p>
    <w:p w14:paraId="7346CF66" w14:textId="77777777" w:rsidR="00B65EDC" w:rsidRPr="00E675E8" w:rsidRDefault="00B65EDC" w:rsidP="000363C4">
      <w:pPr>
        <w:pStyle w:val="Heading3"/>
        <w:rPr>
          <w:lang w:val="es-ES_tradnl"/>
        </w:rPr>
      </w:pPr>
      <w:bookmarkStart w:id="442" w:name="_Toc209777763"/>
      <w:r w:rsidRPr="00E675E8">
        <w:rPr>
          <w:lang w:val="es-ES_tradnl"/>
        </w:rPr>
        <w:lastRenderedPageBreak/>
        <w:t>Gastos</w:t>
      </w:r>
      <w:bookmarkEnd w:id="442"/>
    </w:p>
    <w:p w14:paraId="7E8F5EA8" w14:textId="77777777" w:rsidR="00B65EDC" w:rsidRPr="00E675E8" w:rsidRDefault="00B65EDC" w:rsidP="00BB7BA1">
      <w:pPr>
        <w:keepNext/>
        <w:rPr>
          <w:lang w:val="es-ES_tradnl"/>
        </w:rPr>
      </w:pPr>
    </w:p>
    <w:p w14:paraId="5D2F54BB" w14:textId="04226BF0"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propuesta de presupuesto para 2026-2027 asciende a 7 615 864 francos suizos, lo que representa una disminución de 285 443 francos suizos, es decir, un 3,6 %, en comparación con el presupuesto para 2024-2025 (véase el cuadro 4).</w:t>
      </w:r>
    </w:p>
    <w:p w14:paraId="7BD273F4" w14:textId="77777777" w:rsidR="00B65EDC" w:rsidRPr="00E675E8" w:rsidRDefault="00B65EDC" w:rsidP="00B65EDC">
      <w:pPr>
        <w:tabs>
          <w:tab w:val="left" w:pos="567"/>
        </w:tabs>
        <w:rPr>
          <w:lang w:val="es-ES_tradnl"/>
        </w:rPr>
      </w:pPr>
    </w:p>
    <w:bookmarkStart w:id="443" w:name="_Hlk190102689"/>
    <w:p w14:paraId="53B758AB" w14:textId="4A47D042"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gasto propuesto se centra en áreas prioritarias, al tiempo que contiene los gastos de personal y los gastos operativos.</w:t>
      </w:r>
      <w:r w:rsidR="002817AB" w:rsidRPr="00E675E8">
        <w:rPr>
          <w:lang w:val="es-ES_tradnl"/>
        </w:rPr>
        <w:t xml:space="preserve"> </w:t>
      </w:r>
      <w:r w:rsidR="000411C9">
        <w:rPr>
          <w:lang w:val="es-ES_tradnl"/>
        </w:rPr>
        <w:t xml:space="preserve"> </w:t>
      </w:r>
      <w:r w:rsidRPr="00E675E8">
        <w:rPr>
          <w:lang w:val="es-ES_tradnl"/>
        </w:rPr>
        <w:t>El uso habitual de tecnologías de traducción automática para traducir documentos ha permitido reducir los costos de traducción en un 68</w:t>
      </w:r>
      <w:r w:rsidR="000475D2">
        <w:rPr>
          <w:lang w:val="es-ES_tradnl"/>
        </w:rPr>
        <w:t> </w:t>
      </w:r>
      <w:r w:rsidRPr="00E675E8">
        <w:rPr>
          <w:lang w:val="es-ES_tradnl"/>
        </w:rPr>
        <w:t>%.</w:t>
      </w:r>
      <w:r w:rsidR="002817AB" w:rsidRPr="00E675E8">
        <w:rPr>
          <w:lang w:val="es-ES_tradnl"/>
        </w:rPr>
        <w:t xml:space="preserve"> </w:t>
      </w:r>
      <w:r w:rsidR="000411C9">
        <w:rPr>
          <w:lang w:val="es-ES_tradnl"/>
        </w:rPr>
        <w:t xml:space="preserve"> </w:t>
      </w:r>
      <w:r w:rsidRPr="00E675E8">
        <w:rPr>
          <w:lang w:val="es-ES_tradnl"/>
        </w:rPr>
        <w:t xml:space="preserve">Mientras no se consigan recursos adicionales, se incrementará el uso de herramientas de reunión virtuales o híbridas y la participación en línea en actos organizados por terceros, lo que se traducirá en una reducción del tiempo de viaje y de los costos (disminución del 31 % entre 2026 y 2027 con respecto a 2024 y 2025). </w:t>
      </w:r>
    </w:p>
    <w:bookmarkEnd w:id="443"/>
    <w:p w14:paraId="3BD169DE" w14:textId="77777777" w:rsidR="00B65EDC" w:rsidRPr="00E675E8" w:rsidRDefault="00B65EDC" w:rsidP="00B65EDC">
      <w:pPr>
        <w:pStyle w:val="ListParagraph"/>
        <w:tabs>
          <w:tab w:val="left" w:pos="851"/>
        </w:tabs>
        <w:ind w:left="0"/>
        <w:contextualSpacing w:val="0"/>
        <w:rPr>
          <w:lang w:val="es-ES_tradnl"/>
        </w:rPr>
      </w:pPr>
    </w:p>
    <w:p w14:paraId="199DF61C" w14:textId="6226DB0A" w:rsidR="004B5DA7" w:rsidRPr="00E675E8" w:rsidRDefault="00B65EDC" w:rsidP="003A26C8">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revisión del acuerdo sobre el nivel de servicio suscrito entre la OMPI y la UPOV en 2025 ha dado lugar a un aumento de 368</w:t>
      </w:r>
      <w:r w:rsidR="000475D2">
        <w:rPr>
          <w:lang w:val="es-ES_tradnl"/>
        </w:rPr>
        <w:t> </w:t>
      </w:r>
      <w:r w:rsidRPr="00E675E8">
        <w:rPr>
          <w:lang w:val="es-ES_tradnl"/>
        </w:rPr>
        <w:t xml:space="preserve">054 francos suizos en el costo de los servicios prestados por la OMPI a la UPOV para el bienio 2026-2027. </w:t>
      </w:r>
      <w:r w:rsidR="000411C9">
        <w:rPr>
          <w:lang w:val="es-ES_tradnl"/>
        </w:rPr>
        <w:t xml:space="preserve"> </w:t>
      </w:r>
      <w:r w:rsidRPr="00E675E8">
        <w:rPr>
          <w:lang w:val="es-ES_tradnl"/>
        </w:rPr>
        <w:t>Teniendo en cuenta la repercusión que este aumento tendría en el presupuesto de la UPOV, el bienio 2026-2027 será un período de transición en el que la OMPI facturará el 25 % del aumento, es decir, 92</w:t>
      </w:r>
      <w:r w:rsidR="000411C9">
        <w:rPr>
          <w:lang w:val="es-ES_tradnl"/>
        </w:rPr>
        <w:t> </w:t>
      </w:r>
      <w:r w:rsidRPr="00E675E8">
        <w:rPr>
          <w:lang w:val="es-ES_tradnl"/>
        </w:rPr>
        <w:t xml:space="preserve">014 francos suizos. </w:t>
      </w:r>
      <w:r w:rsidR="000411C9">
        <w:rPr>
          <w:lang w:val="es-ES_tradnl"/>
        </w:rPr>
        <w:t xml:space="preserve"> </w:t>
      </w:r>
      <w:r w:rsidRPr="00E675E8">
        <w:rPr>
          <w:lang w:val="es-ES_tradnl"/>
        </w:rPr>
        <w:t xml:space="preserve">Esta cantidad no se refleja en las cifras presentadas en el programa y presupuesto para el período 2026-2027 (documento </w:t>
      </w:r>
      <w:r w:rsidR="007044CE">
        <w:rPr>
          <w:lang w:val="es-ES_tradnl"/>
        </w:rPr>
        <w:t>C/59/4 Rev.</w:t>
      </w:r>
      <w:r w:rsidRPr="00E675E8">
        <w:rPr>
          <w:lang w:val="es-ES_tradnl"/>
        </w:rPr>
        <w:t xml:space="preserve">) y se absorberá mediante los ahorros generados durante su ejecución. </w:t>
      </w:r>
    </w:p>
    <w:p w14:paraId="14C63727" w14:textId="77777777" w:rsidR="004B5DA7" w:rsidRPr="00E675E8" w:rsidRDefault="004B5DA7" w:rsidP="003A26C8">
      <w:pPr>
        <w:rPr>
          <w:lang w:val="es-ES_tradnl"/>
        </w:rPr>
      </w:pPr>
    </w:p>
    <w:p w14:paraId="35D91716" w14:textId="7F8F021D" w:rsidR="003A26C8" w:rsidRPr="00E675E8" w:rsidRDefault="00090431" w:rsidP="003A26C8">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Los servicios prestados por la OMPI y la cantidad que deberá pagar la UPOV en virtud del acuerdo de nivel de servicios se examinarán en el contexto de la preparación de cada programa y presupuesto bienal de la UPOV. </w:t>
      </w:r>
      <w:r w:rsidR="000411C9">
        <w:rPr>
          <w:lang w:val="es-ES_tradnl"/>
        </w:rPr>
        <w:t xml:space="preserve"> </w:t>
      </w:r>
      <w:r w:rsidRPr="00E675E8">
        <w:rPr>
          <w:lang w:val="es-ES_tradnl"/>
        </w:rPr>
        <w:t xml:space="preserve">La facturación de la OMPI a la UPOV se ajustará cada dos años. </w:t>
      </w:r>
      <w:r w:rsidR="000411C9">
        <w:rPr>
          <w:lang w:val="es-ES_tradnl"/>
        </w:rPr>
        <w:t xml:space="preserve"> </w:t>
      </w:r>
      <w:r w:rsidRPr="00E675E8">
        <w:rPr>
          <w:lang w:val="es-ES_tradnl"/>
        </w:rPr>
        <w:t>La estrategia de recursos de la</w:t>
      </w:r>
      <w:r w:rsidR="000411C9">
        <w:rPr>
          <w:lang w:val="es-ES_tradnl"/>
        </w:rPr>
        <w:t> </w:t>
      </w:r>
      <w:r w:rsidRPr="00E675E8">
        <w:rPr>
          <w:lang w:val="es-ES_tradnl"/>
        </w:rPr>
        <w:t xml:space="preserve">UPOV (documento C/59/16) es esencial para garantizar que la UPOV pueda cubrir el costo total de los servicios prestados por la OMPI en los próximos bienios. </w:t>
      </w:r>
    </w:p>
    <w:p w14:paraId="3536A772" w14:textId="77777777" w:rsidR="00F34B17" w:rsidRPr="00E675E8" w:rsidRDefault="00F34B17" w:rsidP="00B65EDC">
      <w:pPr>
        <w:rPr>
          <w:lang w:val="es-ES_tradnl"/>
        </w:rPr>
      </w:pPr>
    </w:p>
    <w:p w14:paraId="3B68AF78" w14:textId="77777777" w:rsidR="000411C9" w:rsidRDefault="000411C9">
      <w:pPr>
        <w:jc w:val="left"/>
        <w:rPr>
          <w:b/>
          <w:color w:val="26724C" w:themeColor="accent1" w:themeShade="BF"/>
          <w:lang w:val="es-ES_tradnl"/>
        </w:rPr>
      </w:pPr>
      <w:r>
        <w:rPr>
          <w:b/>
          <w:color w:val="26724C" w:themeColor="accent1" w:themeShade="BF"/>
          <w:lang w:val="es-ES_tradnl"/>
        </w:rPr>
        <w:br w:type="page"/>
      </w:r>
    </w:p>
    <w:p w14:paraId="33DCCF95" w14:textId="2C51063A" w:rsidR="00B65EDC" w:rsidRPr="00E675E8" w:rsidRDefault="00B65EDC" w:rsidP="00B65EDC">
      <w:pPr>
        <w:keepNext/>
        <w:jc w:val="center"/>
        <w:rPr>
          <w:rFonts w:cs="Arial"/>
          <w:b/>
          <w:bCs/>
          <w:color w:val="26724C" w:themeColor="accent1" w:themeShade="BF"/>
          <w:lang w:val="es-ES_tradnl"/>
        </w:rPr>
      </w:pPr>
      <w:r w:rsidRPr="00E675E8">
        <w:rPr>
          <w:b/>
          <w:color w:val="26724C" w:themeColor="accent1" w:themeShade="BF"/>
          <w:lang w:val="es-ES_tradnl"/>
        </w:rPr>
        <w:lastRenderedPageBreak/>
        <w:t>Cuadro 4:</w:t>
      </w:r>
      <w:r w:rsidR="002817AB" w:rsidRPr="00E675E8">
        <w:rPr>
          <w:b/>
          <w:color w:val="26724C" w:themeColor="accent1" w:themeShade="BF"/>
          <w:lang w:val="es-ES_tradnl"/>
        </w:rPr>
        <w:t xml:space="preserve"> </w:t>
      </w:r>
      <w:r w:rsidRPr="00E675E8">
        <w:rPr>
          <w:b/>
          <w:color w:val="26724C" w:themeColor="accent1" w:themeShade="BF"/>
          <w:lang w:val="es-ES_tradnl"/>
        </w:rPr>
        <w:t>Propuesta de presupuesto 2026</w:t>
      </w:r>
      <w:r w:rsidRPr="00E675E8">
        <w:rPr>
          <w:b/>
          <w:color w:val="26724C" w:themeColor="accent1" w:themeShade="BF"/>
          <w:lang w:val="es-ES_tradnl"/>
        </w:rPr>
        <w:noBreakHyphen/>
        <w:t>2027:</w:t>
      </w:r>
      <w:r w:rsidR="002817AB" w:rsidRPr="00E675E8">
        <w:rPr>
          <w:b/>
          <w:color w:val="26724C" w:themeColor="accent1" w:themeShade="BF"/>
          <w:lang w:val="es-ES_tradnl"/>
        </w:rPr>
        <w:t xml:space="preserve"> </w:t>
      </w:r>
      <w:r w:rsidRPr="00E675E8">
        <w:rPr>
          <w:b/>
          <w:color w:val="26724C" w:themeColor="accent1" w:themeShade="BF"/>
          <w:lang w:val="es-ES_tradnl"/>
        </w:rPr>
        <w:t>Presupuesto por categoría de gasto</w:t>
      </w:r>
    </w:p>
    <w:p w14:paraId="3914568E" w14:textId="77777777" w:rsidR="00B65EDC" w:rsidRPr="00E675E8" w:rsidRDefault="00B65EDC" w:rsidP="00B65EDC">
      <w:pPr>
        <w:keepNext/>
        <w:jc w:val="center"/>
        <w:rPr>
          <w:rFonts w:cs="Arial"/>
          <w:i/>
          <w:iCs/>
          <w:sz w:val="18"/>
          <w:szCs w:val="18"/>
          <w:lang w:val="es-ES_tradnl"/>
        </w:rPr>
      </w:pPr>
      <w:r w:rsidRPr="00E675E8">
        <w:rPr>
          <w:i/>
          <w:sz w:val="18"/>
          <w:lang w:val="es-ES_tradnl"/>
        </w:rPr>
        <w:t>(en miles de francos suizos)</w:t>
      </w:r>
    </w:p>
    <w:p w14:paraId="5C494DBE" w14:textId="77777777" w:rsidR="00B65EDC" w:rsidRPr="00E675E8" w:rsidRDefault="00B65EDC" w:rsidP="00B65EDC">
      <w:pPr>
        <w:keepNext/>
        <w:rPr>
          <w:rFonts w:cs="Arial"/>
          <w:i/>
          <w:iCs/>
          <w:lang w:val="es-ES_tradnl"/>
        </w:rPr>
      </w:pPr>
    </w:p>
    <w:tbl>
      <w:tblPr>
        <w:tblW w:w="9081" w:type="dxa"/>
        <w:jc w:val="center"/>
        <w:tblLook w:val="04A0" w:firstRow="1" w:lastRow="0" w:firstColumn="1" w:lastColumn="0" w:noHBand="0" w:noVBand="1"/>
      </w:tblPr>
      <w:tblGrid>
        <w:gridCol w:w="419"/>
        <w:gridCol w:w="3123"/>
        <w:gridCol w:w="1142"/>
        <w:gridCol w:w="1123"/>
        <w:gridCol w:w="933"/>
        <w:gridCol w:w="1123"/>
        <w:gridCol w:w="1218"/>
      </w:tblGrid>
      <w:tr w:rsidR="00B65EDC" w:rsidRPr="00E675E8" w14:paraId="7DF868BE" w14:textId="77777777" w:rsidTr="003F289C">
        <w:trPr>
          <w:trHeight w:val="340"/>
          <w:tblHeader/>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E675E8" w:rsidRDefault="00B65EDC">
            <w:pPr>
              <w:jc w:val="center"/>
              <w:rPr>
                <w:rFonts w:cs="Arial"/>
                <w:b/>
                <w:bCs/>
                <w:lang w:val="es-ES_tradnl"/>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E675E8" w:rsidRDefault="00B65EDC">
            <w:pPr>
              <w:jc w:val="center"/>
              <w:rPr>
                <w:rFonts w:cs="Arial"/>
                <w:b/>
                <w:bCs/>
                <w:lang w:val="es-ES_tradnl"/>
              </w:rPr>
            </w:pPr>
            <w:r w:rsidRPr="00E675E8">
              <w:rPr>
                <w:b/>
                <w:lang w:val="es-ES_tradnl"/>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2022-2023 Real </w:t>
            </w:r>
          </w:p>
        </w:tc>
        <w:tc>
          <w:tcPr>
            <w:tcW w:w="1123" w:type="dxa"/>
            <w:vMerge w:val="restart"/>
            <w:tcBorders>
              <w:top w:val="single" w:sz="4" w:space="0" w:color="BFBFBF"/>
              <w:left w:val="nil"/>
              <w:bottom w:val="nil"/>
              <w:right w:val="nil"/>
            </w:tcBorders>
            <w:shd w:val="clear" w:color="000000" w:fill="C7CFD8"/>
            <w:vAlign w:val="center"/>
            <w:hideMark/>
          </w:tcPr>
          <w:p w14:paraId="3D799D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2024-2025 Presupuesto </w:t>
            </w:r>
          </w:p>
        </w:tc>
        <w:tc>
          <w:tcPr>
            <w:tcW w:w="2056" w:type="dxa"/>
            <w:gridSpan w:val="2"/>
            <w:tcBorders>
              <w:top w:val="single" w:sz="4" w:space="0" w:color="BFBFBF"/>
              <w:left w:val="nil"/>
              <w:bottom w:val="nil"/>
              <w:right w:val="nil"/>
            </w:tcBorders>
            <w:shd w:val="clear" w:color="000000" w:fill="C7CFD8"/>
            <w:vAlign w:val="center"/>
            <w:hideMark/>
          </w:tcPr>
          <w:p w14:paraId="7DA0234A" w14:textId="5E32C6D4"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Variación </w:t>
            </w:r>
          </w:p>
        </w:tc>
        <w:tc>
          <w:tcPr>
            <w:tcW w:w="1218" w:type="dxa"/>
            <w:vMerge w:val="restart"/>
            <w:tcBorders>
              <w:top w:val="single" w:sz="4" w:space="0" w:color="BFBFBF"/>
              <w:left w:val="nil"/>
              <w:bottom w:val="nil"/>
              <w:right w:val="nil"/>
            </w:tcBorders>
            <w:shd w:val="clear" w:color="000000" w:fill="C7CFD8"/>
            <w:vAlign w:val="center"/>
            <w:hideMark/>
          </w:tcPr>
          <w:p w14:paraId="0376C1E0" w14:textId="6957442D"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Propuesta para 2026-2027</w:t>
            </w:r>
          </w:p>
        </w:tc>
      </w:tr>
      <w:tr w:rsidR="00B65EDC" w:rsidRPr="00E675E8" w14:paraId="50AA827C" w14:textId="77777777" w:rsidTr="003F289C">
        <w:trPr>
          <w:trHeight w:val="337"/>
          <w:tblHeader/>
          <w:jc w:val="center"/>
        </w:trPr>
        <w:tc>
          <w:tcPr>
            <w:tcW w:w="419" w:type="dxa"/>
            <w:vMerge/>
            <w:tcBorders>
              <w:top w:val="nil"/>
              <w:left w:val="nil"/>
              <w:bottom w:val="single" w:sz="4" w:space="0" w:color="BFBFBF"/>
              <w:right w:val="nil"/>
            </w:tcBorders>
            <w:vAlign w:val="center"/>
            <w:hideMark/>
          </w:tcPr>
          <w:p w14:paraId="3DD72DF8" w14:textId="77777777" w:rsidR="00B65EDC" w:rsidRPr="00E675E8" w:rsidRDefault="00B65EDC">
            <w:pPr>
              <w:jc w:val="left"/>
              <w:rPr>
                <w:rFonts w:cs="Arial"/>
                <w:b/>
                <w:bCs/>
                <w:lang w:val="es-ES_tradnl"/>
              </w:rPr>
            </w:pPr>
          </w:p>
        </w:tc>
        <w:tc>
          <w:tcPr>
            <w:tcW w:w="3123" w:type="dxa"/>
            <w:vMerge/>
            <w:tcBorders>
              <w:top w:val="nil"/>
              <w:left w:val="nil"/>
              <w:bottom w:val="single" w:sz="4" w:space="0" w:color="BFBFBF"/>
              <w:right w:val="nil"/>
            </w:tcBorders>
            <w:vAlign w:val="center"/>
            <w:hideMark/>
          </w:tcPr>
          <w:p w14:paraId="030B6122" w14:textId="77777777" w:rsidR="00B65EDC" w:rsidRPr="00E675E8" w:rsidRDefault="00B65EDC">
            <w:pPr>
              <w:jc w:val="left"/>
              <w:rPr>
                <w:rFonts w:cs="Arial"/>
                <w:b/>
                <w:bCs/>
                <w:lang w:val="es-ES_tradnl"/>
              </w:rPr>
            </w:pPr>
          </w:p>
        </w:tc>
        <w:tc>
          <w:tcPr>
            <w:tcW w:w="1142" w:type="dxa"/>
            <w:vMerge/>
            <w:tcBorders>
              <w:top w:val="single" w:sz="4" w:space="0" w:color="BFBFBF"/>
              <w:left w:val="nil"/>
              <w:bottom w:val="nil"/>
              <w:right w:val="nil"/>
            </w:tcBorders>
            <w:vAlign w:val="center"/>
            <w:hideMark/>
          </w:tcPr>
          <w:p w14:paraId="669A0740" w14:textId="77777777" w:rsidR="00B65EDC" w:rsidRPr="00E675E8" w:rsidRDefault="00B65EDC">
            <w:pPr>
              <w:jc w:val="left"/>
              <w:rPr>
                <w:rFonts w:ascii="Arial Narrow" w:hAnsi="Arial Narrow" w:cs="Arial"/>
                <w:b/>
                <w:bCs/>
                <w:sz w:val="18"/>
                <w:szCs w:val="18"/>
                <w:lang w:val="es-ES_tradnl"/>
              </w:rPr>
            </w:pPr>
          </w:p>
        </w:tc>
        <w:tc>
          <w:tcPr>
            <w:tcW w:w="1123" w:type="dxa"/>
            <w:vMerge/>
            <w:tcBorders>
              <w:top w:val="single" w:sz="4" w:space="0" w:color="BFBFBF"/>
              <w:left w:val="nil"/>
              <w:bottom w:val="nil"/>
              <w:right w:val="nil"/>
            </w:tcBorders>
            <w:vAlign w:val="center"/>
            <w:hideMark/>
          </w:tcPr>
          <w:p w14:paraId="3E152168" w14:textId="77777777" w:rsidR="00B65EDC" w:rsidRPr="00E675E8" w:rsidRDefault="00B65EDC">
            <w:pPr>
              <w:jc w:val="left"/>
              <w:rPr>
                <w:rFonts w:ascii="Arial Narrow" w:hAnsi="Arial Narrow" w:cs="Arial"/>
                <w:b/>
                <w:bCs/>
                <w:sz w:val="18"/>
                <w:szCs w:val="18"/>
                <w:lang w:val="es-ES_tradnl"/>
              </w:rPr>
            </w:pPr>
          </w:p>
        </w:tc>
        <w:tc>
          <w:tcPr>
            <w:tcW w:w="933" w:type="dxa"/>
            <w:tcBorders>
              <w:top w:val="single" w:sz="4" w:space="0" w:color="748B9E"/>
              <w:left w:val="nil"/>
              <w:bottom w:val="nil"/>
              <w:right w:val="nil"/>
            </w:tcBorders>
            <w:shd w:val="clear" w:color="000000" w:fill="C7CFD8"/>
            <w:vAlign w:val="center"/>
            <w:hideMark/>
          </w:tcPr>
          <w:p w14:paraId="4BAF66A0" w14:textId="5D0288BB"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Importe </w:t>
            </w:r>
          </w:p>
        </w:tc>
        <w:tc>
          <w:tcPr>
            <w:tcW w:w="1123" w:type="dxa"/>
            <w:tcBorders>
              <w:top w:val="single" w:sz="4" w:space="0" w:color="748B9E"/>
              <w:left w:val="nil"/>
              <w:bottom w:val="nil"/>
              <w:right w:val="nil"/>
            </w:tcBorders>
            <w:shd w:val="clear" w:color="000000" w:fill="C7CFD8"/>
            <w:vAlign w:val="center"/>
            <w:hideMark/>
          </w:tcPr>
          <w:p w14:paraId="2300EBC8" w14:textId="45446658"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w:t>
            </w:r>
          </w:p>
        </w:tc>
        <w:tc>
          <w:tcPr>
            <w:tcW w:w="1218" w:type="dxa"/>
            <w:vMerge/>
            <w:tcBorders>
              <w:top w:val="single" w:sz="4" w:space="0" w:color="BFBFBF"/>
              <w:left w:val="nil"/>
              <w:bottom w:val="nil"/>
              <w:right w:val="nil"/>
            </w:tcBorders>
            <w:vAlign w:val="center"/>
            <w:hideMark/>
          </w:tcPr>
          <w:p w14:paraId="75622175" w14:textId="77777777" w:rsidR="00B65EDC" w:rsidRPr="00E675E8" w:rsidRDefault="00B65EDC">
            <w:pPr>
              <w:jc w:val="left"/>
              <w:rPr>
                <w:rFonts w:ascii="Arial Narrow" w:hAnsi="Arial Narrow" w:cs="Arial"/>
                <w:b/>
                <w:bCs/>
                <w:sz w:val="18"/>
                <w:szCs w:val="18"/>
                <w:lang w:val="es-ES_tradnl"/>
              </w:rPr>
            </w:pPr>
          </w:p>
        </w:tc>
      </w:tr>
      <w:tr w:rsidR="00B65EDC" w:rsidRPr="00E675E8" w14:paraId="5971B9B1" w14:textId="77777777" w:rsidTr="003F289C">
        <w:trPr>
          <w:trHeight w:val="258"/>
          <w:tblHeader/>
          <w:jc w:val="center"/>
        </w:trPr>
        <w:tc>
          <w:tcPr>
            <w:tcW w:w="419" w:type="dxa"/>
            <w:vMerge/>
            <w:tcBorders>
              <w:top w:val="nil"/>
              <w:left w:val="nil"/>
              <w:bottom w:val="single" w:sz="4" w:space="0" w:color="BFBFBF"/>
              <w:right w:val="nil"/>
            </w:tcBorders>
            <w:vAlign w:val="center"/>
            <w:hideMark/>
          </w:tcPr>
          <w:p w14:paraId="385CA7FD" w14:textId="77777777" w:rsidR="00B65EDC" w:rsidRPr="00E675E8" w:rsidRDefault="00B65EDC">
            <w:pPr>
              <w:jc w:val="left"/>
              <w:rPr>
                <w:rFonts w:cs="Arial"/>
                <w:b/>
                <w:bCs/>
                <w:lang w:val="es-ES_tradnl"/>
              </w:rPr>
            </w:pPr>
          </w:p>
        </w:tc>
        <w:tc>
          <w:tcPr>
            <w:tcW w:w="3123" w:type="dxa"/>
            <w:vMerge/>
            <w:tcBorders>
              <w:top w:val="nil"/>
              <w:left w:val="nil"/>
              <w:bottom w:val="single" w:sz="4" w:space="0" w:color="BFBFBF"/>
              <w:right w:val="nil"/>
            </w:tcBorders>
            <w:vAlign w:val="center"/>
            <w:hideMark/>
          </w:tcPr>
          <w:p w14:paraId="55A55FB0" w14:textId="77777777" w:rsidR="00B65EDC" w:rsidRPr="00E675E8" w:rsidRDefault="00B65EDC">
            <w:pPr>
              <w:jc w:val="left"/>
              <w:rPr>
                <w:rFonts w:cs="Arial"/>
                <w:b/>
                <w:bCs/>
                <w:lang w:val="es-ES_tradnl"/>
              </w:rPr>
            </w:pPr>
          </w:p>
        </w:tc>
        <w:tc>
          <w:tcPr>
            <w:tcW w:w="1142" w:type="dxa"/>
            <w:tcBorders>
              <w:top w:val="nil"/>
              <w:left w:val="nil"/>
              <w:bottom w:val="nil"/>
              <w:right w:val="nil"/>
            </w:tcBorders>
            <w:shd w:val="clear" w:color="000000" w:fill="C7CFD8"/>
            <w:vAlign w:val="center"/>
            <w:hideMark/>
          </w:tcPr>
          <w:p w14:paraId="4454C76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A </w:t>
            </w:r>
          </w:p>
        </w:tc>
        <w:tc>
          <w:tcPr>
            <w:tcW w:w="1123" w:type="dxa"/>
            <w:tcBorders>
              <w:top w:val="nil"/>
              <w:left w:val="nil"/>
              <w:bottom w:val="nil"/>
              <w:right w:val="nil"/>
            </w:tcBorders>
            <w:shd w:val="clear" w:color="000000" w:fill="C7CFD8"/>
            <w:noWrap/>
            <w:vAlign w:val="center"/>
            <w:hideMark/>
          </w:tcPr>
          <w:p w14:paraId="03731D9B"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D=B+C</w:t>
            </w:r>
          </w:p>
        </w:tc>
      </w:tr>
      <w:tr w:rsidR="00B65EDC" w:rsidRPr="00E675E8" w14:paraId="57DA510A" w14:textId="77777777" w:rsidTr="00A538F6">
        <w:trPr>
          <w:trHeight w:val="337"/>
          <w:jc w:val="center"/>
        </w:trPr>
        <w:tc>
          <w:tcPr>
            <w:tcW w:w="3542" w:type="dxa"/>
            <w:gridSpan w:val="2"/>
            <w:tcBorders>
              <w:top w:val="nil"/>
              <w:left w:val="nil"/>
              <w:bottom w:val="nil"/>
              <w:right w:val="nil"/>
            </w:tcBorders>
            <w:noWrap/>
            <w:vAlign w:val="center"/>
            <w:hideMark/>
          </w:tcPr>
          <w:p w14:paraId="7AED9164" w14:textId="77777777" w:rsidR="00B65EDC" w:rsidRPr="00E675E8" w:rsidRDefault="00B65EDC">
            <w:pPr>
              <w:jc w:val="left"/>
              <w:rPr>
                <w:rFonts w:ascii="Arial Narrow" w:hAnsi="Arial Narrow" w:cs="Arial"/>
                <w:b/>
                <w:bCs/>
                <w:sz w:val="22"/>
                <w:szCs w:val="22"/>
                <w:lang w:val="es-ES_tradnl"/>
              </w:rPr>
            </w:pPr>
            <w:r w:rsidRPr="00E675E8">
              <w:rPr>
                <w:rFonts w:ascii="Arial Narrow" w:hAnsi="Arial Narrow"/>
                <w:b/>
                <w:sz w:val="22"/>
                <w:lang w:val="es-ES_tradnl"/>
              </w:rPr>
              <w:t>A. Recursos de personal</w:t>
            </w:r>
          </w:p>
        </w:tc>
        <w:tc>
          <w:tcPr>
            <w:tcW w:w="1142" w:type="dxa"/>
            <w:tcBorders>
              <w:top w:val="nil"/>
              <w:left w:val="nil"/>
              <w:bottom w:val="nil"/>
              <w:right w:val="nil"/>
            </w:tcBorders>
            <w:vAlign w:val="center"/>
            <w:hideMark/>
          </w:tcPr>
          <w:p w14:paraId="06EF9E38" w14:textId="77777777" w:rsidR="00B65EDC" w:rsidRPr="00E675E8" w:rsidRDefault="00B65EDC">
            <w:pPr>
              <w:jc w:val="left"/>
              <w:rPr>
                <w:rFonts w:ascii="Arial Narrow" w:hAnsi="Arial Narrow" w:cs="Arial"/>
                <w:b/>
                <w:bCs/>
                <w:sz w:val="22"/>
                <w:szCs w:val="22"/>
                <w:lang w:val="es-ES_tradnl"/>
              </w:rPr>
            </w:pPr>
          </w:p>
        </w:tc>
        <w:tc>
          <w:tcPr>
            <w:tcW w:w="1123" w:type="dxa"/>
            <w:tcBorders>
              <w:top w:val="nil"/>
              <w:left w:val="nil"/>
              <w:bottom w:val="nil"/>
              <w:right w:val="nil"/>
            </w:tcBorders>
            <w:vAlign w:val="center"/>
            <w:hideMark/>
          </w:tcPr>
          <w:p w14:paraId="31958B9C"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center"/>
            <w:hideMark/>
          </w:tcPr>
          <w:p w14:paraId="51199B2A"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center"/>
            <w:hideMark/>
          </w:tcPr>
          <w:p w14:paraId="5E627CA3"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center"/>
            <w:hideMark/>
          </w:tcPr>
          <w:p w14:paraId="03546604" w14:textId="77777777" w:rsidR="00B65EDC" w:rsidRPr="00E675E8" w:rsidRDefault="00B65EDC">
            <w:pPr>
              <w:jc w:val="left"/>
              <w:rPr>
                <w:rFonts w:ascii="Times New Roman" w:hAnsi="Times New Roman"/>
                <w:lang w:val="es-ES_tradnl"/>
              </w:rPr>
            </w:pPr>
          </w:p>
        </w:tc>
      </w:tr>
      <w:tr w:rsidR="00B65EDC" w:rsidRPr="00E675E8" w14:paraId="63D0B635" w14:textId="77777777" w:rsidTr="00E12ED3">
        <w:trPr>
          <w:trHeight w:val="340"/>
          <w:jc w:val="center"/>
        </w:trPr>
        <w:tc>
          <w:tcPr>
            <w:tcW w:w="419" w:type="dxa"/>
            <w:tcBorders>
              <w:top w:val="nil"/>
              <w:left w:val="nil"/>
              <w:bottom w:val="nil"/>
              <w:right w:val="nil"/>
            </w:tcBorders>
            <w:noWrap/>
            <w:vAlign w:val="bottom"/>
            <w:hideMark/>
          </w:tcPr>
          <w:p w14:paraId="6D63BF34"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26AB252E"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Puestos</w:t>
            </w:r>
          </w:p>
        </w:tc>
        <w:tc>
          <w:tcPr>
            <w:tcW w:w="1142" w:type="dxa"/>
            <w:tcBorders>
              <w:top w:val="nil"/>
              <w:left w:val="nil"/>
              <w:bottom w:val="nil"/>
              <w:right w:val="nil"/>
            </w:tcBorders>
            <w:vAlign w:val="bottom"/>
            <w:hideMark/>
          </w:tcPr>
          <w:p w14:paraId="0EBE0F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4 302 </w:t>
            </w:r>
          </w:p>
        </w:tc>
        <w:tc>
          <w:tcPr>
            <w:tcW w:w="1123" w:type="dxa"/>
            <w:tcBorders>
              <w:top w:val="nil"/>
              <w:left w:val="nil"/>
              <w:bottom w:val="nil"/>
              <w:right w:val="nil"/>
            </w:tcBorders>
            <w:vAlign w:val="bottom"/>
            <w:hideMark/>
          </w:tcPr>
          <w:p w14:paraId="2C703CB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5 186 </w:t>
            </w:r>
          </w:p>
        </w:tc>
        <w:tc>
          <w:tcPr>
            <w:tcW w:w="933" w:type="dxa"/>
            <w:tcBorders>
              <w:top w:val="nil"/>
              <w:left w:val="nil"/>
              <w:bottom w:val="nil"/>
              <w:right w:val="nil"/>
            </w:tcBorders>
            <w:vAlign w:val="bottom"/>
            <w:hideMark/>
          </w:tcPr>
          <w:p w14:paraId="68D699F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(225)</w:t>
            </w:r>
          </w:p>
        </w:tc>
        <w:tc>
          <w:tcPr>
            <w:tcW w:w="1123" w:type="dxa"/>
            <w:tcBorders>
              <w:top w:val="nil"/>
              <w:left w:val="nil"/>
              <w:bottom w:val="nil"/>
              <w:right w:val="nil"/>
            </w:tcBorders>
            <w:vAlign w:val="bottom"/>
            <w:hideMark/>
          </w:tcPr>
          <w:p w14:paraId="0BDC7B6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-4 %</w:t>
            </w:r>
          </w:p>
        </w:tc>
        <w:tc>
          <w:tcPr>
            <w:tcW w:w="1218" w:type="dxa"/>
            <w:tcBorders>
              <w:top w:val="nil"/>
              <w:left w:val="nil"/>
              <w:bottom w:val="nil"/>
              <w:right w:val="nil"/>
            </w:tcBorders>
            <w:vAlign w:val="bottom"/>
            <w:hideMark/>
          </w:tcPr>
          <w:p w14:paraId="2476275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4 961</w:t>
            </w:r>
          </w:p>
        </w:tc>
      </w:tr>
      <w:tr w:rsidR="00B65EDC" w:rsidRPr="00E675E8" w14:paraId="323E9C26" w14:textId="77777777" w:rsidTr="00E12ED3">
        <w:trPr>
          <w:trHeight w:val="340"/>
          <w:jc w:val="center"/>
        </w:trPr>
        <w:tc>
          <w:tcPr>
            <w:tcW w:w="419" w:type="dxa"/>
            <w:tcBorders>
              <w:top w:val="nil"/>
              <w:left w:val="nil"/>
              <w:bottom w:val="nil"/>
              <w:right w:val="nil"/>
            </w:tcBorders>
            <w:noWrap/>
            <w:vAlign w:val="bottom"/>
            <w:hideMark/>
          </w:tcPr>
          <w:p w14:paraId="58EAFB86"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49C02F93"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Personal temporal</w:t>
            </w:r>
          </w:p>
        </w:tc>
        <w:tc>
          <w:tcPr>
            <w:tcW w:w="1142" w:type="dxa"/>
            <w:tcBorders>
              <w:top w:val="nil"/>
              <w:left w:val="nil"/>
              <w:bottom w:val="nil"/>
              <w:right w:val="nil"/>
            </w:tcBorders>
            <w:vAlign w:val="bottom"/>
            <w:hideMark/>
          </w:tcPr>
          <w:p w14:paraId="6CEE09D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324 </w:t>
            </w:r>
          </w:p>
        </w:tc>
        <w:tc>
          <w:tcPr>
            <w:tcW w:w="1123" w:type="dxa"/>
            <w:tcBorders>
              <w:top w:val="nil"/>
              <w:left w:val="nil"/>
              <w:bottom w:val="nil"/>
              <w:right w:val="nil"/>
            </w:tcBorders>
            <w:vAlign w:val="bottom"/>
            <w:hideMark/>
          </w:tcPr>
          <w:p w14:paraId="02FB9AF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569 </w:t>
            </w:r>
          </w:p>
        </w:tc>
        <w:tc>
          <w:tcPr>
            <w:tcW w:w="933" w:type="dxa"/>
            <w:tcBorders>
              <w:top w:val="nil"/>
              <w:left w:val="nil"/>
              <w:bottom w:val="nil"/>
              <w:right w:val="nil"/>
            </w:tcBorders>
            <w:vAlign w:val="bottom"/>
            <w:hideMark/>
          </w:tcPr>
          <w:p w14:paraId="0974383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211</w:t>
            </w:r>
          </w:p>
        </w:tc>
        <w:tc>
          <w:tcPr>
            <w:tcW w:w="1123" w:type="dxa"/>
            <w:tcBorders>
              <w:top w:val="nil"/>
              <w:left w:val="nil"/>
              <w:bottom w:val="nil"/>
              <w:right w:val="nil"/>
            </w:tcBorders>
            <w:vAlign w:val="bottom"/>
            <w:hideMark/>
          </w:tcPr>
          <w:p w14:paraId="4A9D6AF3"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37 %</w:t>
            </w:r>
          </w:p>
        </w:tc>
        <w:tc>
          <w:tcPr>
            <w:tcW w:w="1218" w:type="dxa"/>
            <w:tcBorders>
              <w:top w:val="nil"/>
              <w:left w:val="nil"/>
              <w:bottom w:val="nil"/>
              <w:right w:val="nil"/>
            </w:tcBorders>
            <w:vAlign w:val="bottom"/>
            <w:hideMark/>
          </w:tcPr>
          <w:p w14:paraId="141CDC5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780</w:t>
            </w:r>
          </w:p>
        </w:tc>
      </w:tr>
      <w:tr w:rsidR="00B65EDC" w:rsidRPr="00E675E8" w14:paraId="19F8CACA" w14:textId="77777777" w:rsidTr="00E12ED3">
        <w:trPr>
          <w:trHeight w:val="340"/>
          <w:jc w:val="center"/>
        </w:trPr>
        <w:tc>
          <w:tcPr>
            <w:tcW w:w="419" w:type="dxa"/>
            <w:tcBorders>
              <w:top w:val="nil"/>
              <w:left w:val="nil"/>
              <w:bottom w:val="nil"/>
              <w:right w:val="nil"/>
            </w:tcBorders>
            <w:noWrap/>
            <w:vAlign w:val="bottom"/>
            <w:hideMark/>
          </w:tcPr>
          <w:p w14:paraId="26F938C5"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4203A4AC"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Otros gastos de personal</w:t>
            </w:r>
          </w:p>
        </w:tc>
        <w:tc>
          <w:tcPr>
            <w:tcW w:w="1142" w:type="dxa"/>
            <w:tcBorders>
              <w:top w:val="nil"/>
              <w:left w:val="nil"/>
              <w:bottom w:val="nil"/>
              <w:right w:val="nil"/>
            </w:tcBorders>
            <w:vAlign w:val="bottom"/>
            <w:hideMark/>
          </w:tcPr>
          <w:p w14:paraId="20D142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6FBECD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933" w:type="dxa"/>
            <w:tcBorders>
              <w:top w:val="nil"/>
              <w:left w:val="nil"/>
              <w:bottom w:val="nil"/>
              <w:right w:val="nil"/>
            </w:tcBorders>
            <w:vAlign w:val="bottom"/>
            <w:hideMark/>
          </w:tcPr>
          <w:p w14:paraId="59BABDF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single" w:sz="4" w:space="0" w:color="BFBFBF"/>
              <w:right w:val="nil"/>
            </w:tcBorders>
            <w:vAlign w:val="bottom"/>
            <w:hideMark/>
          </w:tcPr>
          <w:p w14:paraId="6C15905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124FC9A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61E14555" w14:textId="77777777" w:rsidTr="00A538F6">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E675E8" w:rsidRDefault="00B65EDC">
            <w:pPr>
              <w:jc w:val="left"/>
              <w:rPr>
                <w:rFonts w:cs="Arial"/>
                <w:b/>
                <w:bCs/>
                <w:lang w:val="es-ES_tradnl"/>
              </w:rPr>
            </w:pPr>
            <w:r w:rsidRPr="00E675E8">
              <w:rPr>
                <w:b/>
                <w:lang w:val="es-ES_tradnl"/>
              </w:rPr>
              <w:t> </w:t>
            </w:r>
          </w:p>
        </w:tc>
        <w:tc>
          <w:tcPr>
            <w:tcW w:w="3123" w:type="dxa"/>
            <w:tcBorders>
              <w:top w:val="single" w:sz="4" w:space="0" w:color="AAB8C4"/>
              <w:left w:val="nil"/>
              <w:bottom w:val="single" w:sz="8" w:space="0" w:color="AAB8C4"/>
              <w:right w:val="nil"/>
            </w:tcBorders>
            <w:vAlign w:val="bottom"/>
            <w:hideMark/>
          </w:tcPr>
          <w:p w14:paraId="25907360"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Total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4 626 </w:t>
            </w:r>
          </w:p>
        </w:tc>
        <w:tc>
          <w:tcPr>
            <w:tcW w:w="1123" w:type="dxa"/>
            <w:tcBorders>
              <w:top w:val="single" w:sz="4" w:space="0" w:color="AAB8C4"/>
              <w:left w:val="nil"/>
              <w:bottom w:val="single" w:sz="8" w:space="0" w:color="AAB8C4"/>
              <w:right w:val="nil"/>
            </w:tcBorders>
            <w:vAlign w:val="bottom"/>
            <w:hideMark/>
          </w:tcPr>
          <w:p w14:paraId="6CDF30D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5 755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(15)</w:t>
            </w:r>
          </w:p>
        </w:tc>
        <w:tc>
          <w:tcPr>
            <w:tcW w:w="1123" w:type="dxa"/>
            <w:tcBorders>
              <w:top w:val="nil"/>
              <w:left w:val="nil"/>
              <w:bottom w:val="single" w:sz="8" w:space="0" w:color="BFBFBF"/>
              <w:right w:val="nil"/>
            </w:tcBorders>
            <w:vAlign w:val="bottom"/>
            <w:hideMark/>
          </w:tcPr>
          <w:p w14:paraId="2B613AD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0 %</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5 740</w:t>
            </w:r>
          </w:p>
        </w:tc>
      </w:tr>
      <w:tr w:rsidR="00B65EDC" w:rsidRPr="00E675E8" w14:paraId="24116368" w14:textId="77777777" w:rsidTr="00A538F6">
        <w:trPr>
          <w:trHeight w:val="258"/>
          <w:jc w:val="center"/>
        </w:trPr>
        <w:tc>
          <w:tcPr>
            <w:tcW w:w="419" w:type="dxa"/>
            <w:tcBorders>
              <w:top w:val="nil"/>
              <w:left w:val="nil"/>
              <w:bottom w:val="nil"/>
              <w:right w:val="nil"/>
            </w:tcBorders>
            <w:noWrap/>
            <w:vAlign w:val="bottom"/>
            <w:hideMark/>
          </w:tcPr>
          <w:p w14:paraId="1A2DC445"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noWrap/>
            <w:vAlign w:val="bottom"/>
            <w:hideMark/>
          </w:tcPr>
          <w:p w14:paraId="68CF3E3E" w14:textId="77777777" w:rsidR="00B65EDC" w:rsidRPr="00E675E8" w:rsidRDefault="00B65EDC">
            <w:pPr>
              <w:jc w:val="left"/>
              <w:rPr>
                <w:rFonts w:ascii="Times New Roman" w:hAnsi="Times New Roman"/>
                <w:lang w:val="es-ES_tradnl"/>
              </w:rPr>
            </w:pPr>
          </w:p>
        </w:tc>
        <w:tc>
          <w:tcPr>
            <w:tcW w:w="1142" w:type="dxa"/>
            <w:tcBorders>
              <w:top w:val="nil"/>
              <w:left w:val="nil"/>
              <w:bottom w:val="nil"/>
              <w:right w:val="nil"/>
            </w:tcBorders>
            <w:noWrap/>
            <w:vAlign w:val="bottom"/>
            <w:hideMark/>
          </w:tcPr>
          <w:p w14:paraId="7193ACAF"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noWrap/>
            <w:vAlign w:val="bottom"/>
            <w:hideMark/>
          </w:tcPr>
          <w:p w14:paraId="49549F73"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noWrap/>
            <w:vAlign w:val="bottom"/>
            <w:hideMark/>
          </w:tcPr>
          <w:p w14:paraId="4E75CB94"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noWrap/>
            <w:vAlign w:val="bottom"/>
            <w:hideMark/>
          </w:tcPr>
          <w:p w14:paraId="180FCD93"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noWrap/>
            <w:vAlign w:val="bottom"/>
            <w:hideMark/>
          </w:tcPr>
          <w:p w14:paraId="314E4DF4" w14:textId="77777777" w:rsidR="00B65EDC" w:rsidRPr="00E675E8" w:rsidRDefault="00B65EDC">
            <w:pPr>
              <w:jc w:val="left"/>
              <w:rPr>
                <w:rFonts w:ascii="Times New Roman" w:hAnsi="Times New Roman"/>
                <w:lang w:val="es-ES_tradnl"/>
              </w:rPr>
            </w:pPr>
          </w:p>
        </w:tc>
      </w:tr>
      <w:tr w:rsidR="00B65EDC" w:rsidRPr="00E675E8" w14:paraId="52809E92" w14:textId="77777777" w:rsidTr="00E12ED3">
        <w:trPr>
          <w:trHeight w:val="340"/>
          <w:jc w:val="center"/>
        </w:trPr>
        <w:tc>
          <w:tcPr>
            <w:tcW w:w="3542" w:type="dxa"/>
            <w:gridSpan w:val="2"/>
            <w:tcBorders>
              <w:top w:val="nil"/>
              <w:left w:val="nil"/>
              <w:bottom w:val="nil"/>
              <w:right w:val="nil"/>
            </w:tcBorders>
            <w:noWrap/>
            <w:vAlign w:val="center"/>
            <w:hideMark/>
          </w:tcPr>
          <w:p w14:paraId="4A1F577C" w14:textId="77777777" w:rsidR="00B65EDC" w:rsidRPr="00E675E8" w:rsidRDefault="00B65EDC">
            <w:pPr>
              <w:jc w:val="left"/>
              <w:rPr>
                <w:rFonts w:ascii="Arial Narrow" w:hAnsi="Arial Narrow" w:cs="Arial"/>
                <w:b/>
                <w:bCs/>
                <w:sz w:val="22"/>
                <w:szCs w:val="22"/>
                <w:lang w:val="es-ES_tradnl"/>
              </w:rPr>
            </w:pPr>
            <w:r w:rsidRPr="00E675E8">
              <w:rPr>
                <w:rFonts w:ascii="Arial Narrow" w:hAnsi="Arial Narrow"/>
                <w:b/>
                <w:sz w:val="22"/>
                <w:lang w:val="es-ES_tradnl"/>
              </w:rPr>
              <w:t>B. Recursos no relativos a personal</w:t>
            </w:r>
          </w:p>
        </w:tc>
        <w:tc>
          <w:tcPr>
            <w:tcW w:w="1142" w:type="dxa"/>
            <w:tcBorders>
              <w:top w:val="nil"/>
              <w:left w:val="nil"/>
              <w:bottom w:val="nil"/>
              <w:right w:val="nil"/>
            </w:tcBorders>
            <w:vAlign w:val="center"/>
            <w:hideMark/>
          </w:tcPr>
          <w:p w14:paraId="2F6C0D8F" w14:textId="77777777" w:rsidR="00B65EDC" w:rsidRPr="00E675E8" w:rsidRDefault="00B65EDC">
            <w:pPr>
              <w:jc w:val="left"/>
              <w:rPr>
                <w:rFonts w:ascii="Arial Narrow" w:hAnsi="Arial Narrow" w:cs="Arial"/>
                <w:b/>
                <w:bCs/>
                <w:sz w:val="22"/>
                <w:szCs w:val="22"/>
                <w:lang w:val="es-ES_tradnl"/>
              </w:rPr>
            </w:pPr>
          </w:p>
        </w:tc>
        <w:tc>
          <w:tcPr>
            <w:tcW w:w="1123" w:type="dxa"/>
            <w:tcBorders>
              <w:top w:val="nil"/>
              <w:left w:val="nil"/>
              <w:bottom w:val="nil"/>
              <w:right w:val="nil"/>
            </w:tcBorders>
            <w:vAlign w:val="center"/>
            <w:hideMark/>
          </w:tcPr>
          <w:p w14:paraId="5F50F4CC"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center"/>
            <w:hideMark/>
          </w:tcPr>
          <w:p w14:paraId="3FCC2BBF"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center"/>
            <w:hideMark/>
          </w:tcPr>
          <w:p w14:paraId="16B71EF9"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center"/>
            <w:hideMark/>
          </w:tcPr>
          <w:p w14:paraId="0A2BEF1B" w14:textId="77777777" w:rsidR="00B65EDC" w:rsidRPr="00E675E8" w:rsidRDefault="00B65EDC">
            <w:pPr>
              <w:jc w:val="left"/>
              <w:rPr>
                <w:rFonts w:ascii="Times New Roman" w:hAnsi="Times New Roman"/>
                <w:lang w:val="es-ES_tradnl"/>
              </w:rPr>
            </w:pPr>
          </w:p>
        </w:tc>
      </w:tr>
      <w:tr w:rsidR="00B65EDC" w:rsidRPr="00E675E8" w14:paraId="0047F249" w14:textId="77777777" w:rsidTr="00A538F6">
        <w:trPr>
          <w:trHeight w:val="352"/>
          <w:jc w:val="center"/>
        </w:trPr>
        <w:tc>
          <w:tcPr>
            <w:tcW w:w="419" w:type="dxa"/>
            <w:tcBorders>
              <w:top w:val="nil"/>
              <w:left w:val="nil"/>
              <w:bottom w:val="nil"/>
              <w:right w:val="nil"/>
            </w:tcBorders>
            <w:noWrap/>
            <w:vAlign w:val="bottom"/>
            <w:hideMark/>
          </w:tcPr>
          <w:p w14:paraId="2B5036FC"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3F5A2342"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Pasantías y becas</w:t>
            </w:r>
          </w:p>
        </w:tc>
        <w:tc>
          <w:tcPr>
            <w:tcW w:w="1142" w:type="dxa"/>
            <w:tcBorders>
              <w:top w:val="nil"/>
              <w:left w:val="nil"/>
              <w:bottom w:val="nil"/>
              <w:right w:val="nil"/>
            </w:tcBorders>
            <w:vAlign w:val="bottom"/>
            <w:hideMark/>
          </w:tcPr>
          <w:p w14:paraId="00078049"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bottom"/>
            <w:hideMark/>
          </w:tcPr>
          <w:p w14:paraId="3AD113D0" w14:textId="77777777" w:rsidR="00B65EDC" w:rsidRPr="00E675E8" w:rsidRDefault="00B65EDC">
            <w:pPr>
              <w:jc w:val="left"/>
              <w:rPr>
                <w:rFonts w:ascii="Times New Roman" w:hAnsi="Times New Roman"/>
                <w:lang w:val="es-ES_tradnl"/>
              </w:rPr>
            </w:pPr>
          </w:p>
        </w:tc>
        <w:tc>
          <w:tcPr>
            <w:tcW w:w="933" w:type="dxa"/>
            <w:tcBorders>
              <w:top w:val="nil"/>
              <w:left w:val="nil"/>
              <w:bottom w:val="nil"/>
              <w:right w:val="nil"/>
            </w:tcBorders>
            <w:vAlign w:val="bottom"/>
            <w:hideMark/>
          </w:tcPr>
          <w:p w14:paraId="01F1DB40" w14:textId="77777777" w:rsidR="00B65EDC" w:rsidRPr="00E675E8" w:rsidRDefault="00B65EDC">
            <w:pPr>
              <w:jc w:val="left"/>
              <w:rPr>
                <w:rFonts w:ascii="Times New Roman" w:hAnsi="Times New Roman"/>
                <w:lang w:val="es-ES_tradnl"/>
              </w:rPr>
            </w:pPr>
          </w:p>
        </w:tc>
        <w:tc>
          <w:tcPr>
            <w:tcW w:w="1123" w:type="dxa"/>
            <w:tcBorders>
              <w:top w:val="nil"/>
              <w:left w:val="nil"/>
              <w:bottom w:val="nil"/>
              <w:right w:val="nil"/>
            </w:tcBorders>
            <w:vAlign w:val="bottom"/>
            <w:hideMark/>
          </w:tcPr>
          <w:p w14:paraId="3674C858" w14:textId="77777777" w:rsidR="00B65EDC" w:rsidRPr="00E675E8" w:rsidRDefault="00B65EDC">
            <w:pPr>
              <w:jc w:val="left"/>
              <w:rPr>
                <w:rFonts w:ascii="Times New Roman" w:hAnsi="Times New Roman"/>
                <w:lang w:val="es-ES_tradnl"/>
              </w:rPr>
            </w:pPr>
          </w:p>
        </w:tc>
        <w:tc>
          <w:tcPr>
            <w:tcW w:w="1218" w:type="dxa"/>
            <w:tcBorders>
              <w:top w:val="nil"/>
              <w:left w:val="nil"/>
              <w:bottom w:val="nil"/>
              <w:right w:val="nil"/>
            </w:tcBorders>
            <w:vAlign w:val="bottom"/>
            <w:hideMark/>
          </w:tcPr>
          <w:p w14:paraId="3936A440" w14:textId="77777777" w:rsidR="00B65EDC" w:rsidRPr="00E675E8" w:rsidRDefault="00B65EDC">
            <w:pPr>
              <w:jc w:val="left"/>
              <w:rPr>
                <w:rFonts w:ascii="Times New Roman" w:hAnsi="Times New Roman"/>
                <w:lang w:val="es-ES_tradnl"/>
              </w:rPr>
            </w:pPr>
          </w:p>
        </w:tc>
      </w:tr>
      <w:tr w:rsidR="00B65EDC" w:rsidRPr="00E675E8" w14:paraId="573D3EBF" w14:textId="77777777" w:rsidTr="00A538F6">
        <w:trPr>
          <w:trHeight w:val="352"/>
          <w:jc w:val="center"/>
        </w:trPr>
        <w:tc>
          <w:tcPr>
            <w:tcW w:w="419" w:type="dxa"/>
            <w:tcBorders>
              <w:top w:val="nil"/>
              <w:left w:val="nil"/>
              <w:bottom w:val="nil"/>
              <w:right w:val="nil"/>
            </w:tcBorders>
            <w:noWrap/>
            <w:vAlign w:val="bottom"/>
            <w:hideMark/>
          </w:tcPr>
          <w:p w14:paraId="6326957C" w14:textId="77777777" w:rsidR="00B65EDC" w:rsidRPr="00E675E8" w:rsidRDefault="00B65EDC">
            <w:pPr>
              <w:jc w:val="left"/>
              <w:rPr>
                <w:rFonts w:ascii="Times New Roman" w:hAnsi="Times New Roman"/>
                <w:lang w:val="es-ES_tradnl"/>
              </w:rPr>
            </w:pPr>
          </w:p>
        </w:tc>
        <w:tc>
          <w:tcPr>
            <w:tcW w:w="3123" w:type="dxa"/>
            <w:tcBorders>
              <w:top w:val="nil"/>
              <w:left w:val="nil"/>
              <w:bottom w:val="nil"/>
              <w:right w:val="nil"/>
            </w:tcBorders>
            <w:vAlign w:val="bottom"/>
            <w:hideMark/>
          </w:tcPr>
          <w:p w14:paraId="5A41B460" w14:textId="77777777" w:rsidR="00B65EDC" w:rsidRPr="00E675E8" w:rsidRDefault="00B65EDC">
            <w:pPr>
              <w:ind w:firstLineChars="200" w:firstLine="400"/>
              <w:jc w:val="left"/>
              <w:rPr>
                <w:rFonts w:ascii="Arial Narrow" w:hAnsi="Arial Narrow" w:cs="Arial"/>
                <w:i/>
                <w:iCs/>
                <w:lang w:val="es-ES_tradnl"/>
              </w:rPr>
            </w:pPr>
            <w:r w:rsidRPr="00E675E8">
              <w:rPr>
                <w:rFonts w:ascii="Arial Narrow" w:hAnsi="Arial Narrow"/>
                <w:i/>
                <w:lang w:val="es-ES_tradnl"/>
              </w:rPr>
              <w:t>Pasantías</w:t>
            </w:r>
          </w:p>
        </w:tc>
        <w:tc>
          <w:tcPr>
            <w:tcW w:w="1142" w:type="dxa"/>
            <w:tcBorders>
              <w:top w:val="nil"/>
              <w:left w:val="nil"/>
              <w:bottom w:val="nil"/>
              <w:right w:val="nil"/>
            </w:tcBorders>
            <w:vAlign w:val="bottom"/>
            <w:hideMark/>
          </w:tcPr>
          <w:p w14:paraId="25B1B88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2E01750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15 </w:t>
            </w:r>
          </w:p>
        </w:tc>
        <w:tc>
          <w:tcPr>
            <w:tcW w:w="933" w:type="dxa"/>
            <w:tcBorders>
              <w:top w:val="nil"/>
              <w:left w:val="nil"/>
              <w:bottom w:val="nil"/>
              <w:right w:val="nil"/>
            </w:tcBorders>
            <w:vAlign w:val="bottom"/>
            <w:hideMark/>
          </w:tcPr>
          <w:p w14:paraId="08F360C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(15)</w:t>
            </w:r>
          </w:p>
        </w:tc>
        <w:tc>
          <w:tcPr>
            <w:tcW w:w="1123" w:type="dxa"/>
            <w:tcBorders>
              <w:top w:val="nil"/>
              <w:left w:val="nil"/>
              <w:bottom w:val="nil"/>
              <w:right w:val="nil"/>
            </w:tcBorders>
            <w:vAlign w:val="bottom"/>
            <w:hideMark/>
          </w:tcPr>
          <w:p w14:paraId="7BD4F7A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342DAC7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3F35DC65" w14:textId="77777777" w:rsidTr="00A538F6">
        <w:trPr>
          <w:trHeight w:val="352"/>
          <w:jc w:val="center"/>
        </w:trPr>
        <w:tc>
          <w:tcPr>
            <w:tcW w:w="419" w:type="dxa"/>
            <w:tcBorders>
              <w:top w:val="nil"/>
              <w:left w:val="nil"/>
              <w:bottom w:val="nil"/>
              <w:right w:val="nil"/>
            </w:tcBorders>
            <w:noWrap/>
            <w:vAlign w:val="bottom"/>
            <w:hideMark/>
          </w:tcPr>
          <w:p w14:paraId="639CFB1A"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185A0CDC" w14:textId="77777777" w:rsidR="00B65EDC" w:rsidRPr="00E675E8" w:rsidRDefault="00B65EDC">
            <w:pPr>
              <w:ind w:firstLineChars="200" w:firstLine="400"/>
              <w:jc w:val="left"/>
              <w:rPr>
                <w:rFonts w:ascii="Arial Narrow" w:hAnsi="Arial Narrow" w:cs="Arial"/>
                <w:i/>
                <w:iCs/>
                <w:lang w:val="es-ES_tradnl"/>
              </w:rPr>
            </w:pPr>
            <w:r w:rsidRPr="00E675E8">
              <w:rPr>
                <w:rFonts w:ascii="Arial Narrow" w:hAnsi="Arial Narrow"/>
                <w:i/>
                <w:lang w:val="es-ES_tradnl"/>
              </w:rPr>
              <w:t>Becas</w:t>
            </w:r>
          </w:p>
        </w:tc>
        <w:tc>
          <w:tcPr>
            <w:tcW w:w="1142" w:type="dxa"/>
            <w:tcBorders>
              <w:top w:val="nil"/>
              <w:left w:val="nil"/>
              <w:bottom w:val="nil"/>
              <w:right w:val="nil"/>
            </w:tcBorders>
            <w:vAlign w:val="bottom"/>
            <w:hideMark/>
          </w:tcPr>
          <w:p w14:paraId="51AC036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4F0C4C95"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15 </w:t>
            </w:r>
          </w:p>
        </w:tc>
        <w:tc>
          <w:tcPr>
            <w:tcW w:w="933" w:type="dxa"/>
            <w:tcBorders>
              <w:top w:val="nil"/>
              <w:left w:val="nil"/>
              <w:bottom w:val="nil"/>
              <w:right w:val="nil"/>
            </w:tcBorders>
            <w:vAlign w:val="bottom"/>
            <w:hideMark/>
          </w:tcPr>
          <w:p w14:paraId="25E2BDC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(15)</w:t>
            </w:r>
          </w:p>
        </w:tc>
        <w:tc>
          <w:tcPr>
            <w:tcW w:w="1123" w:type="dxa"/>
            <w:tcBorders>
              <w:top w:val="nil"/>
              <w:left w:val="nil"/>
              <w:bottom w:val="nil"/>
              <w:right w:val="nil"/>
            </w:tcBorders>
            <w:vAlign w:val="bottom"/>
            <w:hideMark/>
          </w:tcPr>
          <w:p w14:paraId="069675D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5533CC6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3EFC657B" w14:textId="77777777" w:rsidTr="00A538F6">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6A6A6"/>
              <w:right w:val="nil"/>
            </w:tcBorders>
            <w:vAlign w:val="bottom"/>
            <w:hideMark/>
          </w:tcPr>
          <w:p w14:paraId="221675DA"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52B3E849" w14:textId="77777777" w:rsidR="00B65EDC" w:rsidRPr="00E675E8" w:rsidRDefault="00B65EDC">
            <w:pPr>
              <w:jc w:val="right"/>
              <w:rPr>
                <w:rFonts w:ascii="Arial Narrow" w:hAnsi="Arial Narrow" w:cs="Arial"/>
                <w:b/>
                <w:bCs/>
                <w:lang w:val="es-ES_tradnl"/>
              </w:rPr>
            </w:pPr>
            <w:r w:rsidRPr="00E675E8">
              <w:rPr>
                <w:rFonts w:ascii="Arial Narrow" w:hAnsi="Arial Narrow"/>
                <w:lang w:val="es-ES_tradnl"/>
              </w:rPr>
              <w:t>-</w:t>
            </w:r>
          </w:p>
        </w:tc>
        <w:tc>
          <w:tcPr>
            <w:tcW w:w="1123" w:type="dxa"/>
            <w:tcBorders>
              <w:top w:val="nil"/>
              <w:left w:val="nil"/>
              <w:bottom w:val="single" w:sz="4" w:space="0" w:color="A6A6A6"/>
              <w:right w:val="nil"/>
            </w:tcBorders>
            <w:vAlign w:val="bottom"/>
            <w:hideMark/>
          </w:tcPr>
          <w:p w14:paraId="5AE32C4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30 </w:t>
            </w:r>
          </w:p>
        </w:tc>
        <w:tc>
          <w:tcPr>
            <w:tcW w:w="933" w:type="dxa"/>
            <w:tcBorders>
              <w:top w:val="nil"/>
              <w:left w:val="nil"/>
              <w:bottom w:val="single" w:sz="4" w:space="0" w:color="A6A6A6"/>
              <w:right w:val="nil"/>
            </w:tcBorders>
            <w:vAlign w:val="bottom"/>
            <w:hideMark/>
          </w:tcPr>
          <w:p w14:paraId="5826B85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36-38</w:t>
            </w:r>
          </w:p>
        </w:tc>
        <w:tc>
          <w:tcPr>
            <w:tcW w:w="1123" w:type="dxa"/>
            <w:tcBorders>
              <w:top w:val="nil"/>
              <w:left w:val="nil"/>
              <w:bottom w:val="single" w:sz="4" w:space="0" w:color="A6A6A6"/>
              <w:right w:val="nil"/>
            </w:tcBorders>
            <w:vAlign w:val="bottom"/>
            <w:hideMark/>
          </w:tcPr>
          <w:p w14:paraId="607B014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-100 %</w:t>
            </w:r>
          </w:p>
        </w:tc>
        <w:tc>
          <w:tcPr>
            <w:tcW w:w="1218" w:type="dxa"/>
            <w:tcBorders>
              <w:top w:val="nil"/>
              <w:left w:val="nil"/>
              <w:bottom w:val="single" w:sz="4" w:space="0" w:color="A6A6A6"/>
              <w:right w:val="nil"/>
            </w:tcBorders>
            <w:vAlign w:val="bottom"/>
            <w:hideMark/>
          </w:tcPr>
          <w:p w14:paraId="69ECDD8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w:t>
            </w:r>
          </w:p>
        </w:tc>
      </w:tr>
      <w:tr w:rsidR="00B65EDC" w:rsidRPr="00E675E8" w14:paraId="37EDAF3A" w14:textId="77777777" w:rsidTr="00E12ED3">
        <w:trPr>
          <w:trHeight w:val="397"/>
          <w:jc w:val="center"/>
        </w:trPr>
        <w:tc>
          <w:tcPr>
            <w:tcW w:w="419" w:type="dxa"/>
            <w:tcBorders>
              <w:top w:val="nil"/>
              <w:left w:val="nil"/>
              <w:bottom w:val="nil"/>
              <w:right w:val="nil"/>
            </w:tcBorders>
            <w:noWrap/>
            <w:vAlign w:val="bottom"/>
            <w:hideMark/>
          </w:tcPr>
          <w:p w14:paraId="73CDF1C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3EC248AC"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Viajes, formación y subvenciones</w:t>
            </w:r>
          </w:p>
        </w:tc>
        <w:tc>
          <w:tcPr>
            <w:tcW w:w="1142" w:type="dxa"/>
            <w:tcBorders>
              <w:top w:val="nil"/>
              <w:left w:val="nil"/>
              <w:bottom w:val="nil"/>
              <w:right w:val="nil"/>
            </w:tcBorders>
            <w:vAlign w:val="center"/>
            <w:hideMark/>
          </w:tcPr>
          <w:p w14:paraId="3E6ACA6C"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21E46635"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5231B1FB"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5785C2E6"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4192CDCB" w14:textId="77777777" w:rsidR="00B65EDC" w:rsidRPr="00E675E8" w:rsidRDefault="00B65EDC">
            <w:pPr>
              <w:jc w:val="right"/>
              <w:rPr>
                <w:rFonts w:ascii="Times New Roman" w:hAnsi="Times New Roman"/>
                <w:lang w:val="es-ES_tradnl"/>
              </w:rPr>
            </w:pPr>
          </w:p>
        </w:tc>
      </w:tr>
      <w:tr w:rsidR="00B65EDC" w:rsidRPr="00E675E8" w14:paraId="1D202C35" w14:textId="77777777" w:rsidTr="00A538F6">
        <w:trPr>
          <w:trHeight w:val="352"/>
          <w:jc w:val="center"/>
        </w:trPr>
        <w:tc>
          <w:tcPr>
            <w:tcW w:w="419" w:type="dxa"/>
            <w:tcBorders>
              <w:top w:val="nil"/>
              <w:left w:val="nil"/>
              <w:bottom w:val="nil"/>
              <w:right w:val="nil"/>
            </w:tcBorders>
            <w:noWrap/>
            <w:vAlign w:val="bottom"/>
            <w:hideMark/>
          </w:tcPr>
          <w:p w14:paraId="34680CAD" w14:textId="77777777" w:rsidR="00B65EDC" w:rsidRPr="00E675E8" w:rsidRDefault="00B65EDC">
            <w:pPr>
              <w:jc w:val="right"/>
              <w:rPr>
                <w:rFonts w:ascii="Times New Roman" w:hAnsi="Times New Roman"/>
                <w:lang w:val="es-ES_tradnl"/>
              </w:rPr>
            </w:pPr>
          </w:p>
        </w:tc>
        <w:tc>
          <w:tcPr>
            <w:tcW w:w="3123" w:type="dxa"/>
            <w:tcBorders>
              <w:top w:val="nil"/>
              <w:left w:val="nil"/>
              <w:bottom w:val="nil"/>
              <w:right w:val="nil"/>
            </w:tcBorders>
            <w:vAlign w:val="bottom"/>
            <w:hideMark/>
          </w:tcPr>
          <w:p w14:paraId="16BB2310"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Misiones del personal</w:t>
            </w:r>
          </w:p>
        </w:tc>
        <w:tc>
          <w:tcPr>
            <w:tcW w:w="1142" w:type="dxa"/>
            <w:tcBorders>
              <w:top w:val="nil"/>
              <w:left w:val="nil"/>
              <w:bottom w:val="nil"/>
              <w:right w:val="nil"/>
            </w:tcBorders>
            <w:vAlign w:val="bottom"/>
            <w:hideMark/>
          </w:tcPr>
          <w:p w14:paraId="243CEAF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99 </w:t>
            </w:r>
          </w:p>
        </w:tc>
        <w:tc>
          <w:tcPr>
            <w:tcW w:w="1123" w:type="dxa"/>
            <w:tcBorders>
              <w:top w:val="nil"/>
              <w:left w:val="nil"/>
              <w:bottom w:val="nil"/>
              <w:right w:val="nil"/>
            </w:tcBorders>
            <w:vAlign w:val="bottom"/>
            <w:hideMark/>
          </w:tcPr>
          <w:p w14:paraId="500ECA8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145 </w:t>
            </w:r>
          </w:p>
        </w:tc>
        <w:tc>
          <w:tcPr>
            <w:tcW w:w="933" w:type="dxa"/>
            <w:tcBorders>
              <w:top w:val="nil"/>
              <w:left w:val="nil"/>
              <w:bottom w:val="nil"/>
              <w:right w:val="nil"/>
            </w:tcBorders>
            <w:vAlign w:val="bottom"/>
            <w:hideMark/>
          </w:tcPr>
          <w:p w14:paraId="627BFA0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(45)</w:t>
            </w:r>
          </w:p>
        </w:tc>
        <w:tc>
          <w:tcPr>
            <w:tcW w:w="1123" w:type="dxa"/>
            <w:tcBorders>
              <w:top w:val="nil"/>
              <w:left w:val="nil"/>
              <w:bottom w:val="nil"/>
              <w:right w:val="nil"/>
            </w:tcBorders>
            <w:vAlign w:val="bottom"/>
            <w:hideMark/>
          </w:tcPr>
          <w:p w14:paraId="4934A53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-31 %</w:t>
            </w:r>
          </w:p>
        </w:tc>
        <w:tc>
          <w:tcPr>
            <w:tcW w:w="1218" w:type="dxa"/>
            <w:tcBorders>
              <w:top w:val="nil"/>
              <w:left w:val="nil"/>
              <w:bottom w:val="nil"/>
              <w:right w:val="nil"/>
            </w:tcBorders>
            <w:vAlign w:val="bottom"/>
            <w:hideMark/>
          </w:tcPr>
          <w:p w14:paraId="03B3A07A"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w:t>
            </w:r>
          </w:p>
        </w:tc>
      </w:tr>
      <w:tr w:rsidR="00B65EDC" w:rsidRPr="00E675E8" w14:paraId="6F42A098" w14:textId="77777777" w:rsidTr="00A538F6">
        <w:trPr>
          <w:trHeight w:val="352"/>
          <w:jc w:val="center"/>
        </w:trPr>
        <w:tc>
          <w:tcPr>
            <w:tcW w:w="419" w:type="dxa"/>
            <w:tcBorders>
              <w:top w:val="nil"/>
              <w:left w:val="nil"/>
              <w:bottom w:val="nil"/>
              <w:right w:val="nil"/>
            </w:tcBorders>
            <w:noWrap/>
            <w:vAlign w:val="bottom"/>
            <w:hideMark/>
          </w:tcPr>
          <w:p w14:paraId="764CB675"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78009219"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Viajes de terceros</w:t>
            </w:r>
          </w:p>
        </w:tc>
        <w:tc>
          <w:tcPr>
            <w:tcW w:w="1142" w:type="dxa"/>
            <w:tcBorders>
              <w:top w:val="nil"/>
              <w:left w:val="nil"/>
              <w:bottom w:val="nil"/>
              <w:right w:val="nil"/>
            </w:tcBorders>
            <w:vAlign w:val="bottom"/>
            <w:hideMark/>
          </w:tcPr>
          <w:p w14:paraId="48F1C2FD"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7DD2522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5 </w:t>
            </w:r>
          </w:p>
        </w:tc>
        <w:tc>
          <w:tcPr>
            <w:tcW w:w="933" w:type="dxa"/>
            <w:tcBorders>
              <w:top w:val="nil"/>
              <w:left w:val="nil"/>
              <w:bottom w:val="nil"/>
              <w:right w:val="nil"/>
            </w:tcBorders>
            <w:vAlign w:val="bottom"/>
            <w:hideMark/>
          </w:tcPr>
          <w:p w14:paraId="08A59D4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(5)</w:t>
            </w:r>
          </w:p>
        </w:tc>
        <w:tc>
          <w:tcPr>
            <w:tcW w:w="1123" w:type="dxa"/>
            <w:tcBorders>
              <w:top w:val="nil"/>
              <w:left w:val="nil"/>
              <w:bottom w:val="nil"/>
              <w:right w:val="nil"/>
            </w:tcBorders>
            <w:vAlign w:val="bottom"/>
            <w:hideMark/>
          </w:tcPr>
          <w:p w14:paraId="548E4B0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-100 %</w:t>
            </w:r>
          </w:p>
        </w:tc>
        <w:tc>
          <w:tcPr>
            <w:tcW w:w="1218" w:type="dxa"/>
            <w:tcBorders>
              <w:top w:val="nil"/>
              <w:left w:val="nil"/>
              <w:bottom w:val="nil"/>
              <w:right w:val="nil"/>
            </w:tcBorders>
            <w:vAlign w:val="bottom"/>
            <w:hideMark/>
          </w:tcPr>
          <w:p w14:paraId="71E1673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r>
      <w:tr w:rsidR="00B65EDC" w:rsidRPr="00E675E8" w14:paraId="45600296" w14:textId="77777777" w:rsidTr="00A538F6">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6A6A6"/>
              <w:right w:val="nil"/>
            </w:tcBorders>
            <w:vAlign w:val="bottom"/>
            <w:hideMark/>
          </w:tcPr>
          <w:p w14:paraId="2F97C8B1"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6CFB08D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99 </w:t>
            </w:r>
          </w:p>
        </w:tc>
        <w:tc>
          <w:tcPr>
            <w:tcW w:w="1123" w:type="dxa"/>
            <w:tcBorders>
              <w:top w:val="nil"/>
              <w:left w:val="nil"/>
              <w:bottom w:val="single" w:sz="4" w:space="0" w:color="A6A6A6"/>
              <w:right w:val="nil"/>
            </w:tcBorders>
            <w:vAlign w:val="bottom"/>
            <w:hideMark/>
          </w:tcPr>
          <w:p w14:paraId="758DFD9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(50)</w:t>
            </w:r>
          </w:p>
        </w:tc>
        <w:tc>
          <w:tcPr>
            <w:tcW w:w="1123" w:type="dxa"/>
            <w:tcBorders>
              <w:top w:val="nil"/>
              <w:left w:val="nil"/>
              <w:bottom w:val="single" w:sz="4" w:space="0" w:color="A6A6A6"/>
              <w:right w:val="nil"/>
            </w:tcBorders>
            <w:vAlign w:val="bottom"/>
            <w:hideMark/>
          </w:tcPr>
          <w:p w14:paraId="18CE3614"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-33 %</w:t>
            </w:r>
          </w:p>
        </w:tc>
        <w:tc>
          <w:tcPr>
            <w:tcW w:w="1218" w:type="dxa"/>
            <w:tcBorders>
              <w:top w:val="nil"/>
              <w:left w:val="nil"/>
              <w:bottom w:val="single" w:sz="4" w:space="0" w:color="A6A6A6"/>
              <w:right w:val="nil"/>
            </w:tcBorders>
            <w:vAlign w:val="bottom"/>
            <w:hideMark/>
          </w:tcPr>
          <w:p w14:paraId="39FD4C2C"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100</w:t>
            </w:r>
          </w:p>
        </w:tc>
      </w:tr>
      <w:tr w:rsidR="00B65EDC" w:rsidRPr="00E675E8" w14:paraId="3009D873" w14:textId="77777777" w:rsidTr="00E12ED3">
        <w:trPr>
          <w:trHeight w:val="397"/>
          <w:jc w:val="center"/>
        </w:trPr>
        <w:tc>
          <w:tcPr>
            <w:tcW w:w="419" w:type="dxa"/>
            <w:tcBorders>
              <w:top w:val="nil"/>
              <w:left w:val="nil"/>
              <w:bottom w:val="nil"/>
              <w:right w:val="nil"/>
            </w:tcBorders>
            <w:noWrap/>
            <w:vAlign w:val="bottom"/>
            <w:hideMark/>
          </w:tcPr>
          <w:p w14:paraId="0F4FFCBA" w14:textId="77777777" w:rsidR="00B65EDC" w:rsidRPr="00E675E8" w:rsidRDefault="00B65EDC" w:rsidP="003F289C">
            <w:pPr>
              <w:keepNext/>
              <w:keepLines/>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0A9F22F2" w14:textId="77777777" w:rsidR="00B65EDC" w:rsidRPr="00E675E8" w:rsidRDefault="00B65EDC" w:rsidP="003F289C">
            <w:pPr>
              <w:keepNext/>
              <w:keepLines/>
              <w:jc w:val="left"/>
              <w:rPr>
                <w:rFonts w:ascii="Arial Narrow" w:hAnsi="Arial Narrow" w:cs="Arial"/>
                <w:b/>
                <w:bCs/>
                <w:lang w:val="es-ES_tradnl"/>
              </w:rPr>
            </w:pPr>
            <w:r w:rsidRPr="00E675E8">
              <w:rPr>
                <w:rFonts w:ascii="Arial Narrow" w:hAnsi="Arial Narrow"/>
                <w:b/>
                <w:lang w:val="es-ES_tradnl"/>
              </w:rPr>
              <w:t>Servicios contractuales</w:t>
            </w:r>
          </w:p>
        </w:tc>
        <w:tc>
          <w:tcPr>
            <w:tcW w:w="1142" w:type="dxa"/>
            <w:tcBorders>
              <w:top w:val="nil"/>
              <w:left w:val="nil"/>
              <w:bottom w:val="nil"/>
              <w:right w:val="nil"/>
            </w:tcBorders>
            <w:vAlign w:val="center"/>
            <w:hideMark/>
          </w:tcPr>
          <w:p w14:paraId="160C5A4F" w14:textId="77777777" w:rsidR="00B65EDC" w:rsidRPr="00E675E8" w:rsidRDefault="00B65EDC" w:rsidP="003F289C">
            <w:pPr>
              <w:keepNext/>
              <w:keepLines/>
              <w:jc w:val="left"/>
              <w:rPr>
                <w:rFonts w:ascii="Arial Narrow" w:hAnsi="Arial Narrow" w:cs="Arial"/>
                <w:b/>
                <w:bCs/>
                <w:lang w:val="es-ES_tradnl"/>
              </w:rPr>
            </w:pPr>
          </w:p>
        </w:tc>
        <w:tc>
          <w:tcPr>
            <w:tcW w:w="1123" w:type="dxa"/>
            <w:tcBorders>
              <w:top w:val="nil"/>
              <w:left w:val="nil"/>
              <w:bottom w:val="nil"/>
              <w:right w:val="nil"/>
            </w:tcBorders>
            <w:vAlign w:val="center"/>
            <w:hideMark/>
          </w:tcPr>
          <w:p w14:paraId="72F14B9B" w14:textId="77777777" w:rsidR="00B65EDC" w:rsidRPr="00E675E8" w:rsidRDefault="00B65EDC" w:rsidP="003F289C">
            <w:pPr>
              <w:keepNext/>
              <w:keepLines/>
              <w:jc w:val="right"/>
              <w:rPr>
                <w:rFonts w:ascii="Times New Roman" w:hAnsi="Times New Roman"/>
                <w:lang w:val="es-ES_tradnl"/>
              </w:rPr>
            </w:pPr>
          </w:p>
        </w:tc>
        <w:tc>
          <w:tcPr>
            <w:tcW w:w="933" w:type="dxa"/>
            <w:tcBorders>
              <w:top w:val="nil"/>
              <w:left w:val="nil"/>
              <w:bottom w:val="nil"/>
              <w:right w:val="nil"/>
            </w:tcBorders>
            <w:vAlign w:val="center"/>
            <w:hideMark/>
          </w:tcPr>
          <w:p w14:paraId="2DEE8161" w14:textId="77777777" w:rsidR="00B65EDC" w:rsidRPr="00E675E8" w:rsidRDefault="00B65EDC" w:rsidP="003F289C">
            <w:pPr>
              <w:keepNext/>
              <w:keepLines/>
              <w:jc w:val="right"/>
              <w:rPr>
                <w:rFonts w:ascii="Times New Roman" w:hAnsi="Times New Roman"/>
                <w:lang w:val="es-ES_tradnl"/>
              </w:rPr>
            </w:pPr>
          </w:p>
        </w:tc>
        <w:tc>
          <w:tcPr>
            <w:tcW w:w="1123" w:type="dxa"/>
            <w:tcBorders>
              <w:top w:val="nil"/>
              <w:left w:val="nil"/>
              <w:bottom w:val="nil"/>
              <w:right w:val="nil"/>
            </w:tcBorders>
            <w:vAlign w:val="center"/>
            <w:hideMark/>
          </w:tcPr>
          <w:p w14:paraId="31E63AAF" w14:textId="77777777" w:rsidR="00B65EDC" w:rsidRPr="00E675E8" w:rsidRDefault="00B65EDC" w:rsidP="003F289C">
            <w:pPr>
              <w:keepNext/>
              <w:keepLines/>
              <w:jc w:val="right"/>
              <w:rPr>
                <w:rFonts w:ascii="Times New Roman" w:hAnsi="Times New Roman"/>
                <w:lang w:val="es-ES_tradnl"/>
              </w:rPr>
            </w:pPr>
          </w:p>
        </w:tc>
        <w:tc>
          <w:tcPr>
            <w:tcW w:w="1218" w:type="dxa"/>
            <w:tcBorders>
              <w:top w:val="nil"/>
              <w:left w:val="nil"/>
              <w:bottom w:val="nil"/>
              <w:right w:val="nil"/>
            </w:tcBorders>
            <w:vAlign w:val="center"/>
            <w:hideMark/>
          </w:tcPr>
          <w:p w14:paraId="68661A3F" w14:textId="77777777" w:rsidR="00B65EDC" w:rsidRPr="00E675E8" w:rsidRDefault="00B65EDC" w:rsidP="003F289C">
            <w:pPr>
              <w:keepNext/>
              <w:keepLines/>
              <w:jc w:val="right"/>
              <w:rPr>
                <w:rFonts w:ascii="Times New Roman" w:hAnsi="Times New Roman"/>
                <w:lang w:val="es-ES_tradnl"/>
              </w:rPr>
            </w:pPr>
          </w:p>
        </w:tc>
      </w:tr>
      <w:tr w:rsidR="00B65EDC" w:rsidRPr="00E675E8" w14:paraId="37A1D6E0" w14:textId="77777777" w:rsidTr="00A538F6">
        <w:trPr>
          <w:trHeight w:val="352"/>
          <w:jc w:val="center"/>
        </w:trPr>
        <w:tc>
          <w:tcPr>
            <w:tcW w:w="419" w:type="dxa"/>
            <w:tcBorders>
              <w:top w:val="nil"/>
              <w:left w:val="nil"/>
              <w:bottom w:val="nil"/>
              <w:right w:val="nil"/>
            </w:tcBorders>
            <w:noWrap/>
            <w:vAlign w:val="bottom"/>
            <w:hideMark/>
          </w:tcPr>
          <w:p w14:paraId="04C18D65" w14:textId="77777777" w:rsidR="00B65EDC" w:rsidRPr="00E675E8" w:rsidRDefault="00B65EDC" w:rsidP="003F289C">
            <w:pPr>
              <w:keepNext/>
              <w:keepLines/>
              <w:jc w:val="right"/>
              <w:rPr>
                <w:rFonts w:ascii="Times New Roman" w:hAnsi="Times New Roman"/>
                <w:lang w:val="es-ES_tradnl"/>
              </w:rPr>
            </w:pPr>
          </w:p>
        </w:tc>
        <w:tc>
          <w:tcPr>
            <w:tcW w:w="3123" w:type="dxa"/>
            <w:tcBorders>
              <w:top w:val="nil"/>
              <w:left w:val="nil"/>
              <w:bottom w:val="nil"/>
              <w:right w:val="nil"/>
            </w:tcBorders>
            <w:vAlign w:val="bottom"/>
            <w:hideMark/>
          </w:tcPr>
          <w:p w14:paraId="105A1876" w14:textId="77777777" w:rsidR="00B65EDC" w:rsidRPr="00E675E8" w:rsidRDefault="00B65EDC" w:rsidP="003F289C">
            <w:pPr>
              <w:keepNext/>
              <w:keepLines/>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Conferencias</w:t>
            </w:r>
          </w:p>
        </w:tc>
        <w:tc>
          <w:tcPr>
            <w:tcW w:w="1142" w:type="dxa"/>
            <w:tcBorders>
              <w:top w:val="nil"/>
              <w:left w:val="nil"/>
              <w:bottom w:val="nil"/>
              <w:right w:val="nil"/>
            </w:tcBorders>
            <w:vAlign w:val="bottom"/>
            <w:hideMark/>
          </w:tcPr>
          <w:p w14:paraId="6B692641"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 xml:space="preserve">264 </w:t>
            </w:r>
          </w:p>
        </w:tc>
        <w:tc>
          <w:tcPr>
            <w:tcW w:w="1123" w:type="dxa"/>
            <w:tcBorders>
              <w:top w:val="nil"/>
              <w:left w:val="nil"/>
              <w:bottom w:val="nil"/>
              <w:right w:val="nil"/>
            </w:tcBorders>
            <w:vAlign w:val="bottom"/>
            <w:hideMark/>
          </w:tcPr>
          <w:p w14:paraId="3BED7F14"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 xml:space="preserve">200 </w:t>
            </w:r>
          </w:p>
        </w:tc>
        <w:tc>
          <w:tcPr>
            <w:tcW w:w="933" w:type="dxa"/>
            <w:tcBorders>
              <w:top w:val="nil"/>
              <w:left w:val="nil"/>
              <w:bottom w:val="nil"/>
              <w:right w:val="nil"/>
            </w:tcBorders>
            <w:vAlign w:val="bottom"/>
            <w:hideMark/>
          </w:tcPr>
          <w:p w14:paraId="2130F8A9"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EC02F6D"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5DE8661A"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200</w:t>
            </w:r>
          </w:p>
        </w:tc>
      </w:tr>
      <w:tr w:rsidR="00B65EDC" w:rsidRPr="00E675E8" w14:paraId="53D93D67" w14:textId="77777777" w:rsidTr="00A538F6">
        <w:trPr>
          <w:trHeight w:val="352"/>
          <w:jc w:val="center"/>
        </w:trPr>
        <w:tc>
          <w:tcPr>
            <w:tcW w:w="419" w:type="dxa"/>
            <w:tcBorders>
              <w:top w:val="nil"/>
              <w:left w:val="nil"/>
              <w:bottom w:val="nil"/>
              <w:right w:val="nil"/>
            </w:tcBorders>
            <w:noWrap/>
            <w:vAlign w:val="bottom"/>
            <w:hideMark/>
          </w:tcPr>
          <w:p w14:paraId="56BD2AA3" w14:textId="77777777" w:rsidR="00B65EDC" w:rsidRPr="00E675E8" w:rsidRDefault="00B65EDC" w:rsidP="003F289C">
            <w:pPr>
              <w:keepNext/>
              <w:keepLines/>
              <w:jc w:val="right"/>
              <w:rPr>
                <w:rFonts w:ascii="Arial Narrow" w:hAnsi="Arial Narrow" w:cs="Arial"/>
                <w:lang w:val="es-ES_tradnl"/>
              </w:rPr>
            </w:pPr>
          </w:p>
        </w:tc>
        <w:tc>
          <w:tcPr>
            <w:tcW w:w="3123" w:type="dxa"/>
            <w:tcBorders>
              <w:top w:val="nil"/>
              <w:left w:val="nil"/>
              <w:bottom w:val="nil"/>
              <w:right w:val="nil"/>
            </w:tcBorders>
            <w:vAlign w:val="bottom"/>
            <w:hideMark/>
          </w:tcPr>
          <w:p w14:paraId="32199232" w14:textId="77777777" w:rsidR="00B65EDC" w:rsidRPr="00E675E8" w:rsidRDefault="00B65EDC" w:rsidP="003F289C">
            <w:pPr>
              <w:keepNext/>
              <w:keepLines/>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Publicaciones</w:t>
            </w:r>
          </w:p>
        </w:tc>
        <w:tc>
          <w:tcPr>
            <w:tcW w:w="1142" w:type="dxa"/>
            <w:tcBorders>
              <w:top w:val="nil"/>
              <w:left w:val="nil"/>
              <w:bottom w:val="nil"/>
              <w:right w:val="nil"/>
            </w:tcBorders>
            <w:vAlign w:val="bottom"/>
            <w:hideMark/>
          </w:tcPr>
          <w:p w14:paraId="1A0A5FFC"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B10F588"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933" w:type="dxa"/>
            <w:tcBorders>
              <w:top w:val="nil"/>
              <w:left w:val="nil"/>
              <w:bottom w:val="nil"/>
              <w:right w:val="nil"/>
            </w:tcBorders>
            <w:vAlign w:val="bottom"/>
            <w:hideMark/>
          </w:tcPr>
          <w:p w14:paraId="74A8119C"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EB87824"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35E601A1" w14:textId="77777777" w:rsidR="00B65EDC" w:rsidRPr="00E675E8" w:rsidRDefault="00B65EDC" w:rsidP="003F289C">
            <w:pPr>
              <w:keepNext/>
              <w:keepLines/>
              <w:jc w:val="right"/>
              <w:rPr>
                <w:rFonts w:ascii="Arial Narrow" w:hAnsi="Arial Narrow" w:cs="Arial"/>
                <w:lang w:val="es-ES_tradnl"/>
              </w:rPr>
            </w:pPr>
            <w:r w:rsidRPr="00E675E8">
              <w:rPr>
                <w:rFonts w:ascii="Arial Narrow" w:hAnsi="Arial Narrow"/>
                <w:lang w:val="es-ES_tradnl"/>
              </w:rPr>
              <w:t>-</w:t>
            </w:r>
          </w:p>
        </w:tc>
      </w:tr>
      <w:tr w:rsidR="00B65EDC" w:rsidRPr="00E675E8" w14:paraId="2611DA14" w14:textId="77777777" w:rsidTr="00A538F6">
        <w:trPr>
          <w:trHeight w:val="352"/>
          <w:jc w:val="center"/>
        </w:trPr>
        <w:tc>
          <w:tcPr>
            <w:tcW w:w="419" w:type="dxa"/>
            <w:tcBorders>
              <w:top w:val="nil"/>
              <w:left w:val="nil"/>
              <w:bottom w:val="nil"/>
              <w:right w:val="nil"/>
            </w:tcBorders>
            <w:noWrap/>
            <w:vAlign w:val="bottom"/>
            <w:hideMark/>
          </w:tcPr>
          <w:p w14:paraId="50156FEF"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617403A8"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Servicios contractuales individuales</w:t>
            </w:r>
          </w:p>
        </w:tc>
        <w:tc>
          <w:tcPr>
            <w:tcW w:w="1142" w:type="dxa"/>
            <w:tcBorders>
              <w:top w:val="nil"/>
              <w:left w:val="nil"/>
              <w:bottom w:val="nil"/>
              <w:right w:val="nil"/>
            </w:tcBorders>
            <w:vAlign w:val="bottom"/>
            <w:hideMark/>
          </w:tcPr>
          <w:p w14:paraId="3ABD2A16"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114 </w:t>
            </w:r>
          </w:p>
        </w:tc>
        <w:tc>
          <w:tcPr>
            <w:tcW w:w="1123" w:type="dxa"/>
            <w:tcBorders>
              <w:top w:val="nil"/>
              <w:left w:val="nil"/>
              <w:bottom w:val="nil"/>
              <w:right w:val="nil"/>
            </w:tcBorders>
            <w:vAlign w:val="bottom"/>
            <w:hideMark/>
          </w:tcPr>
          <w:p w14:paraId="0604509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100 </w:t>
            </w:r>
          </w:p>
        </w:tc>
        <w:tc>
          <w:tcPr>
            <w:tcW w:w="933" w:type="dxa"/>
            <w:tcBorders>
              <w:top w:val="nil"/>
              <w:left w:val="nil"/>
              <w:bottom w:val="nil"/>
              <w:right w:val="nil"/>
            </w:tcBorders>
            <w:vAlign w:val="bottom"/>
            <w:hideMark/>
          </w:tcPr>
          <w:p w14:paraId="6E951024"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(75)</w:t>
            </w:r>
          </w:p>
        </w:tc>
        <w:tc>
          <w:tcPr>
            <w:tcW w:w="1123" w:type="dxa"/>
            <w:tcBorders>
              <w:top w:val="nil"/>
              <w:left w:val="nil"/>
              <w:bottom w:val="nil"/>
              <w:right w:val="nil"/>
            </w:tcBorders>
            <w:vAlign w:val="bottom"/>
            <w:hideMark/>
          </w:tcPr>
          <w:p w14:paraId="67991A0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-75 %</w:t>
            </w:r>
          </w:p>
        </w:tc>
        <w:tc>
          <w:tcPr>
            <w:tcW w:w="1218" w:type="dxa"/>
            <w:tcBorders>
              <w:top w:val="nil"/>
              <w:left w:val="nil"/>
              <w:bottom w:val="nil"/>
              <w:right w:val="nil"/>
            </w:tcBorders>
            <w:vAlign w:val="bottom"/>
            <w:hideMark/>
          </w:tcPr>
          <w:p w14:paraId="77878BF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25</w:t>
            </w:r>
          </w:p>
        </w:tc>
      </w:tr>
      <w:tr w:rsidR="00B65EDC" w:rsidRPr="00E675E8" w14:paraId="6666ECD2" w14:textId="77777777" w:rsidTr="00A538F6">
        <w:trPr>
          <w:trHeight w:val="352"/>
          <w:jc w:val="center"/>
        </w:trPr>
        <w:tc>
          <w:tcPr>
            <w:tcW w:w="419" w:type="dxa"/>
            <w:tcBorders>
              <w:top w:val="nil"/>
              <w:left w:val="nil"/>
              <w:bottom w:val="nil"/>
              <w:right w:val="nil"/>
            </w:tcBorders>
            <w:noWrap/>
            <w:vAlign w:val="bottom"/>
            <w:hideMark/>
          </w:tcPr>
          <w:p w14:paraId="15E7E63E"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7C789C1B"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Otros servicios contractuales</w:t>
            </w:r>
          </w:p>
        </w:tc>
        <w:tc>
          <w:tcPr>
            <w:tcW w:w="1142" w:type="dxa"/>
            <w:tcBorders>
              <w:top w:val="nil"/>
              <w:left w:val="nil"/>
              <w:bottom w:val="nil"/>
              <w:right w:val="nil"/>
            </w:tcBorders>
            <w:vAlign w:val="bottom"/>
            <w:hideMark/>
          </w:tcPr>
          <w:p w14:paraId="3A09B1D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1 009 </w:t>
            </w:r>
          </w:p>
        </w:tc>
        <w:tc>
          <w:tcPr>
            <w:tcW w:w="1123" w:type="dxa"/>
            <w:tcBorders>
              <w:top w:val="nil"/>
              <w:left w:val="nil"/>
              <w:bottom w:val="nil"/>
              <w:right w:val="nil"/>
            </w:tcBorders>
            <w:vAlign w:val="bottom"/>
            <w:hideMark/>
          </w:tcPr>
          <w:p w14:paraId="20F9677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415 </w:t>
            </w:r>
          </w:p>
        </w:tc>
        <w:tc>
          <w:tcPr>
            <w:tcW w:w="933" w:type="dxa"/>
            <w:tcBorders>
              <w:top w:val="nil"/>
              <w:left w:val="nil"/>
              <w:bottom w:val="nil"/>
              <w:right w:val="nil"/>
            </w:tcBorders>
            <w:vAlign w:val="bottom"/>
            <w:hideMark/>
          </w:tcPr>
          <w:p w14:paraId="1B02331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(102)</w:t>
            </w:r>
          </w:p>
        </w:tc>
        <w:tc>
          <w:tcPr>
            <w:tcW w:w="1123" w:type="dxa"/>
            <w:tcBorders>
              <w:top w:val="nil"/>
              <w:left w:val="nil"/>
              <w:bottom w:val="nil"/>
              <w:right w:val="nil"/>
            </w:tcBorders>
            <w:vAlign w:val="bottom"/>
            <w:hideMark/>
          </w:tcPr>
          <w:p w14:paraId="3E6DE4E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-25 %</w:t>
            </w:r>
          </w:p>
        </w:tc>
        <w:tc>
          <w:tcPr>
            <w:tcW w:w="1218" w:type="dxa"/>
            <w:tcBorders>
              <w:top w:val="nil"/>
              <w:left w:val="nil"/>
              <w:bottom w:val="nil"/>
              <w:right w:val="nil"/>
            </w:tcBorders>
            <w:vAlign w:val="bottom"/>
            <w:hideMark/>
          </w:tcPr>
          <w:p w14:paraId="18F41218"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313</w:t>
            </w:r>
          </w:p>
        </w:tc>
      </w:tr>
      <w:tr w:rsidR="00B65EDC" w:rsidRPr="00E675E8" w14:paraId="4DFD7AE8" w14:textId="77777777" w:rsidTr="00A538F6">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09148F1E"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6A6A6"/>
              <w:right w:val="nil"/>
            </w:tcBorders>
            <w:vAlign w:val="bottom"/>
            <w:hideMark/>
          </w:tcPr>
          <w:p w14:paraId="74C317C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1 388 </w:t>
            </w:r>
          </w:p>
        </w:tc>
        <w:tc>
          <w:tcPr>
            <w:tcW w:w="1123" w:type="dxa"/>
            <w:tcBorders>
              <w:top w:val="nil"/>
              <w:left w:val="nil"/>
              <w:bottom w:val="single" w:sz="4" w:space="0" w:color="A6A6A6"/>
              <w:right w:val="nil"/>
            </w:tcBorders>
            <w:vAlign w:val="bottom"/>
            <w:hideMark/>
          </w:tcPr>
          <w:p w14:paraId="7B755CF4"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(177)</w:t>
            </w:r>
          </w:p>
        </w:tc>
        <w:tc>
          <w:tcPr>
            <w:tcW w:w="1123" w:type="dxa"/>
            <w:tcBorders>
              <w:top w:val="nil"/>
              <w:left w:val="nil"/>
              <w:bottom w:val="single" w:sz="4" w:space="0" w:color="A6A6A6"/>
              <w:right w:val="nil"/>
            </w:tcBorders>
            <w:vAlign w:val="bottom"/>
            <w:hideMark/>
          </w:tcPr>
          <w:p w14:paraId="0C5E21B9"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-25 %</w:t>
            </w:r>
          </w:p>
        </w:tc>
        <w:tc>
          <w:tcPr>
            <w:tcW w:w="1218" w:type="dxa"/>
            <w:tcBorders>
              <w:top w:val="nil"/>
              <w:left w:val="nil"/>
              <w:bottom w:val="single" w:sz="4" w:space="0" w:color="A6A6A6"/>
              <w:right w:val="nil"/>
            </w:tcBorders>
            <w:vAlign w:val="bottom"/>
            <w:hideMark/>
          </w:tcPr>
          <w:p w14:paraId="1240760D"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538</w:t>
            </w:r>
          </w:p>
        </w:tc>
      </w:tr>
      <w:tr w:rsidR="00B65EDC" w:rsidRPr="00E675E8" w14:paraId="1451554C" w14:textId="77777777" w:rsidTr="00E12ED3">
        <w:trPr>
          <w:trHeight w:val="397"/>
          <w:jc w:val="center"/>
        </w:trPr>
        <w:tc>
          <w:tcPr>
            <w:tcW w:w="419" w:type="dxa"/>
            <w:tcBorders>
              <w:top w:val="nil"/>
              <w:left w:val="nil"/>
              <w:bottom w:val="nil"/>
              <w:right w:val="nil"/>
            </w:tcBorders>
            <w:noWrap/>
            <w:vAlign w:val="bottom"/>
            <w:hideMark/>
          </w:tcPr>
          <w:p w14:paraId="1060FA3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736CB579"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Gastos de explotación</w:t>
            </w:r>
          </w:p>
        </w:tc>
        <w:tc>
          <w:tcPr>
            <w:tcW w:w="1142" w:type="dxa"/>
            <w:tcBorders>
              <w:top w:val="nil"/>
              <w:left w:val="nil"/>
              <w:bottom w:val="nil"/>
              <w:right w:val="nil"/>
            </w:tcBorders>
            <w:vAlign w:val="center"/>
            <w:hideMark/>
          </w:tcPr>
          <w:p w14:paraId="2C7ACF74"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7E756F93"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7A4663D1"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79704E38"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6475BFF0" w14:textId="77777777" w:rsidR="00B65EDC" w:rsidRPr="00E675E8" w:rsidRDefault="00B65EDC">
            <w:pPr>
              <w:jc w:val="right"/>
              <w:rPr>
                <w:rFonts w:ascii="Times New Roman" w:hAnsi="Times New Roman"/>
                <w:lang w:val="es-ES_tradnl"/>
              </w:rPr>
            </w:pPr>
          </w:p>
        </w:tc>
      </w:tr>
      <w:tr w:rsidR="00B65EDC" w:rsidRPr="00E675E8" w14:paraId="698FF30F" w14:textId="77777777" w:rsidTr="00A538F6">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735838D2"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AB8C4"/>
              <w:right w:val="nil"/>
            </w:tcBorders>
            <w:vAlign w:val="bottom"/>
            <w:hideMark/>
          </w:tcPr>
          <w:p w14:paraId="1A88D1C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1 267 </w:t>
            </w:r>
          </w:p>
        </w:tc>
        <w:tc>
          <w:tcPr>
            <w:tcW w:w="1123" w:type="dxa"/>
            <w:tcBorders>
              <w:top w:val="nil"/>
              <w:left w:val="nil"/>
              <w:bottom w:val="single" w:sz="4" w:space="0" w:color="AAB8C4"/>
              <w:right w:val="nil"/>
            </w:tcBorders>
            <w:vAlign w:val="bottom"/>
            <w:hideMark/>
          </w:tcPr>
          <w:p w14:paraId="0DE4214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1 250 </w:t>
            </w:r>
          </w:p>
        </w:tc>
        <w:tc>
          <w:tcPr>
            <w:tcW w:w="933" w:type="dxa"/>
            <w:tcBorders>
              <w:top w:val="nil"/>
              <w:left w:val="nil"/>
              <w:bottom w:val="single" w:sz="4" w:space="0" w:color="BFBFBF"/>
              <w:right w:val="nil"/>
            </w:tcBorders>
            <w:vAlign w:val="bottom"/>
            <w:hideMark/>
          </w:tcPr>
          <w:p w14:paraId="03DC4DF3"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(14)</w:t>
            </w:r>
          </w:p>
        </w:tc>
        <w:tc>
          <w:tcPr>
            <w:tcW w:w="1123" w:type="dxa"/>
            <w:tcBorders>
              <w:top w:val="nil"/>
              <w:left w:val="nil"/>
              <w:bottom w:val="single" w:sz="4" w:space="0" w:color="BFBFBF"/>
              <w:right w:val="nil"/>
            </w:tcBorders>
            <w:vAlign w:val="bottom"/>
            <w:hideMark/>
          </w:tcPr>
          <w:p w14:paraId="35A71182"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w:t>
            </w:r>
          </w:p>
        </w:tc>
        <w:tc>
          <w:tcPr>
            <w:tcW w:w="1218" w:type="dxa"/>
            <w:tcBorders>
              <w:top w:val="nil"/>
              <w:left w:val="nil"/>
              <w:bottom w:val="single" w:sz="4" w:space="0" w:color="BFBFBF"/>
              <w:right w:val="nil"/>
            </w:tcBorders>
            <w:vAlign w:val="bottom"/>
            <w:hideMark/>
          </w:tcPr>
          <w:p w14:paraId="655784D6"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1 236</w:t>
            </w:r>
          </w:p>
        </w:tc>
      </w:tr>
      <w:tr w:rsidR="00B65EDC" w:rsidRPr="00E675E8" w14:paraId="3A527C91" w14:textId="77777777" w:rsidTr="00E12ED3">
        <w:trPr>
          <w:trHeight w:val="397"/>
          <w:jc w:val="center"/>
        </w:trPr>
        <w:tc>
          <w:tcPr>
            <w:tcW w:w="419" w:type="dxa"/>
            <w:tcBorders>
              <w:top w:val="nil"/>
              <w:left w:val="nil"/>
              <w:bottom w:val="nil"/>
              <w:right w:val="nil"/>
            </w:tcBorders>
            <w:noWrap/>
            <w:vAlign w:val="bottom"/>
            <w:hideMark/>
          </w:tcPr>
          <w:p w14:paraId="526C872D" w14:textId="77777777" w:rsidR="00B65EDC" w:rsidRPr="00E675E8" w:rsidRDefault="00B65EDC">
            <w:pPr>
              <w:jc w:val="right"/>
              <w:rPr>
                <w:rFonts w:ascii="Arial Narrow" w:hAnsi="Arial Narrow" w:cs="Arial"/>
                <w:b/>
                <w:bCs/>
                <w:lang w:val="es-ES_tradnl"/>
              </w:rPr>
            </w:pPr>
          </w:p>
        </w:tc>
        <w:tc>
          <w:tcPr>
            <w:tcW w:w="3123" w:type="dxa"/>
            <w:tcBorders>
              <w:top w:val="nil"/>
              <w:left w:val="nil"/>
              <w:bottom w:val="nil"/>
              <w:right w:val="nil"/>
            </w:tcBorders>
            <w:vAlign w:val="bottom"/>
            <w:hideMark/>
          </w:tcPr>
          <w:p w14:paraId="288AA570"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Equipo y suministros</w:t>
            </w:r>
          </w:p>
        </w:tc>
        <w:tc>
          <w:tcPr>
            <w:tcW w:w="1142" w:type="dxa"/>
            <w:tcBorders>
              <w:top w:val="nil"/>
              <w:left w:val="nil"/>
              <w:bottom w:val="nil"/>
              <w:right w:val="nil"/>
            </w:tcBorders>
            <w:vAlign w:val="center"/>
            <w:hideMark/>
          </w:tcPr>
          <w:p w14:paraId="69F9763A" w14:textId="77777777" w:rsidR="00B65EDC" w:rsidRPr="00E675E8" w:rsidRDefault="00B65EDC">
            <w:pPr>
              <w:jc w:val="left"/>
              <w:rPr>
                <w:rFonts w:ascii="Arial Narrow" w:hAnsi="Arial Narrow" w:cs="Arial"/>
                <w:b/>
                <w:bCs/>
                <w:lang w:val="es-ES_tradnl"/>
              </w:rPr>
            </w:pPr>
          </w:p>
        </w:tc>
        <w:tc>
          <w:tcPr>
            <w:tcW w:w="1123" w:type="dxa"/>
            <w:tcBorders>
              <w:top w:val="nil"/>
              <w:left w:val="nil"/>
              <w:bottom w:val="nil"/>
              <w:right w:val="nil"/>
            </w:tcBorders>
            <w:vAlign w:val="center"/>
            <w:hideMark/>
          </w:tcPr>
          <w:p w14:paraId="22398649" w14:textId="77777777" w:rsidR="00B65EDC" w:rsidRPr="00E675E8" w:rsidRDefault="00B65EDC">
            <w:pPr>
              <w:jc w:val="right"/>
              <w:rPr>
                <w:rFonts w:ascii="Times New Roman" w:hAnsi="Times New Roman"/>
                <w:lang w:val="es-ES_tradnl"/>
              </w:rPr>
            </w:pPr>
          </w:p>
        </w:tc>
        <w:tc>
          <w:tcPr>
            <w:tcW w:w="933" w:type="dxa"/>
            <w:tcBorders>
              <w:top w:val="nil"/>
              <w:left w:val="nil"/>
              <w:bottom w:val="nil"/>
              <w:right w:val="nil"/>
            </w:tcBorders>
            <w:vAlign w:val="center"/>
            <w:hideMark/>
          </w:tcPr>
          <w:p w14:paraId="13E151A0" w14:textId="77777777" w:rsidR="00B65EDC" w:rsidRPr="00E675E8" w:rsidRDefault="00B65EDC">
            <w:pPr>
              <w:jc w:val="right"/>
              <w:rPr>
                <w:rFonts w:ascii="Times New Roman" w:hAnsi="Times New Roman"/>
                <w:lang w:val="es-ES_tradnl"/>
              </w:rPr>
            </w:pPr>
          </w:p>
        </w:tc>
        <w:tc>
          <w:tcPr>
            <w:tcW w:w="1123" w:type="dxa"/>
            <w:tcBorders>
              <w:top w:val="nil"/>
              <w:left w:val="nil"/>
              <w:bottom w:val="nil"/>
              <w:right w:val="nil"/>
            </w:tcBorders>
            <w:vAlign w:val="center"/>
            <w:hideMark/>
          </w:tcPr>
          <w:p w14:paraId="460515F5" w14:textId="77777777" w:rsidR="00B65EDC" w:rsidRPr="00E675E8" w:rsidRDefault="00B65EDC">
            <w:pPr>
              <w:jc w:val="right"/>
              <w:rPr>
                <w:rFonts w:ascii="Times New Roman" w:hAnsi="Times New Roman"/>
                <w:lang w:val="es-ES_tradnl"/>
              </w:rPr>
            </w:pPr>
          </w:p>
        </w:tc>
        <w:tc>
          <w:tcPr>
            <w:tcW w:w="1218" w:type="dxa"/>
            <w:tcBorders>
              <w:top w:val="nil"/>
              <w:left w:val="nil"/>
              <w:bottom w:val="nil"/>
              <w:right w:val="nil"/>
            </w:tcBorders>
            <w:vAlign w:val="center"/>
            <w:hideMark/>
          </w:tcPr>
          <w:p w14:paraId="4C281FA3" w14:textId="77777777" w:rsidR="00B65EDC" w:rsidRPr="00E675E8" w:rsidRDefault="00B65EDC">
            <w:pPr>
              <w:jc w:val="right"/>
              <w:rPr>
                <w:rFonts w:ascii="Times New Roman" w:hAnsi="Times New Roman"/>
                <w:lang w:val="es-ES_tradnl"/>
              </w:rPr>
            </w:pPr>
          </w:p>
        </w:tc>
      </w:tr>
      <w:tr w:rsidR="00B65EDC" w:rsidRPr="00E675E8" w14:paraId="4FFEB37D" w14:textId="77777777" w:rsidTr="00A538F6">
        <w:trPr>
          <w:trHeight w:val="352"/>
          <w:jc w:val="center"/>
        </w:trPr>
        <w:tc>
          <w:tcPr>
            <w:tcW w:w="419" w:type="dxa"/>
            <w:tcBorders>
              <w:top w:val="nil"/>
              <w:left w:val="nil"/>
              <w:bottom w:val="nil"/>
              <w:right w:val="nil"/>
            </w:tcBorders>
            <w:noWrap/>
            <w:vAlign w:val="bottom"/>
            <w:hideMark/>
          </w:tcPr>
          <w:p w14:paraId="0981A40A" w14:textId="77777777" w:rsidR="00B65EDC" w:rsidRPr="00E675E8" w:rsidRDefault="00B65EDC">
            <w:pPr>
              <w:jc w:val="right"/>
              <w:rPr>
                <w:rFonts w:ascii="Times New Roman" w:hAnsi="Times New Roman"/>
                <w:lang w:val="es-ES_tradnl"/>
              </w:rPr>
            </w:pPr>
          </w:p>
        </w:tc>
        <w:tc>
          <w:tcPr>
            <w:tcW w:w="3123" w:type="dxa"/>
            <w:tcBorders>
              <w:top w:val="nil"/>
              <w:left w:val="nil"/>
              <w:bottom w:val="nil"/>
              <w:right w:val="nil"/>
            </w:tcBorders>
            <w:vAlign w:val="bottom"/>
            <w:hideMark/>
          </w:tcPr>
          <w:p w14:paraId="4D7ED38C"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Mobiliario y equipo</w:t>
            </w:r>
          </w:p>
        </w:tc>
        <w:tc>
          <w:tcPr>
            <w:tcW w:w="1142" w:type="dxa"/>
            <w:tcBorders>
              <w:top w:val="nil"/>
              <w:left w:val="nil"/>
              <w:bottom w:val="nil"/>
              <w:right w:val="nil"/>
            </w:tcBorders>
            <w:vAlign w:val="bottom"/>
            <w:hideMark/>
          </w:tcPr>
          <w:p w14:paraId="15867961"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62EB37B5"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w:t>
            </w:r>
          </w:p>
        </w:tc>
        <w:tc>
          <w:tcPr>
            <w:tcW w:w="933" w:type="dxa"/>
            <w:tcBorders>
              <w:top w:val="nil"/>
              <w:left w:val="nil"/>
              <w:bottom w:val="nil"/>
              <w:right w:val="nil"/>
            </w:tcBorders>
            <w:vAlign w:val="bottom"/>
            <w:hideMark/>
          </w:tcPr>
          <w:p w14:paraId="74C500CE"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44BCC7CF"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194A3C7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w:t>
            </w:r>
          </w:p>
        </w:tc>
      </w:tr>
      <w:tr w:rsidR="00B65EDC" w:rsidRPr="00E675E8" w14:paraId="14823837" w14:textId="77777777" w:rsidTr="00A538F6">
        <w:trPr>
          <w:trHeight w:val="352"/>
          <w:jc w:val="center"/>
        </w:trPr>
        <w:tc>
          <w:tcPr>
            <w:tcW w:w="419" w:type="dxa"/>
            <w:tcBorders>
              <w:top w:val="nil"/>
              <w:left w:val="nil"/>
              <w:bottom w:val="nil"/>
              <w:right w:val="nil"/>
            </w:tcBorders>
            <w:noWrap/>
            <w:vAlign w:val="bottom"/>
            <w:hideMark/>
          </w:tcPr>
          <w:p w14:paraId="7938B1D3" w14:textId="77777777" w:rsidR="00B65EDC" w:rsidRPr="00E675E8" w:rsidRDefault="00B65EDC">
            <w:pPr>
              <w:jc w:val="right"/>
              <w:rPr>
                <w:rFonts w:ascii="Arial Narrow" w:hAnsi="Arial Narrow" w:cs="Arial"/>
                <w:lang w:val="es-ES_tradnl"/>
              </w:rPr>
            </w:pPr>
          </w:p>
        </w:tc>
        <w:tc>
          <w:tcPr>
            <w:tcW w:w="3123" w:type="dxa"/>
            <w:tcBorders>
              <w:top w:val="nil"/>
              <w:left w:val="nil"/>
              <w:bottom w:val="nil"/>
              <w:right w:val="nil"/>
            </w:tcBorders>
            <w:vAlign w:val="bottom"/>
            <w:hideMark/>
          </w:tcPr>
          <w:p w14:paraId="0F0AEFAE" w14:textId="77777777" w:rsidR="00B65EDC" w:rsidRPr="00E675E8" w:rsidRDefault="00B65EDC">
            <w:pPr>
              <w:ind w:firstLineChars="200" w:firstLine="400"/>
              <w:jc w:val="left"/>
              <w:rPr>
                <w:rFonts w:ascii="Arial Narrow" w:hAnsi="Arial Narrow" w:cs="Arial"/>
                <w:i/>
                <w:iCs/>
                <w:color w:val="000000"/>
                <w:lang w:val="es-ES_tradnl"/>
              </w:rPr>
            </w:pPr>
            <w:r w:rsidRPr="00E675E8">
              <w:rPr>
                <w:rFonts w:ascii="Arial Narrow" w:hAnsi="Arial Narrow"/>
                <w:i/>
                <w:color w:val="000000"/>
                <w:lang w:val="es-ES_tradnl"/>
              </w:rPr>
              <w:t>Suministros y material</w:t>
            </w:r>
          </w:p>
        </w:tc>
        <w:tc>
          <w:tcPr>
            <w:tcW w:w="1142" w:type="dxa"/>
            <w:tcBorders>
              <w:top w:val="nil"/>
              <w:left w:val="nil"/>
              <w:bottom w:val="nil"/>
              <w:right w:val="nil"/>
            </w:tcBorders>
            <w:vAlign w:val="bottom"/>
            <w:hideMark/>
          </w:tcPr>
          <w:p w14:paraId="31999BC9"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3 </w:t>
            </w:r>
          </w:p>
        </w:tc>
        <w:tc>
          <w:tcPr>
            <w:tcW w:w="1123" w:type="dxa"/>
            <w:tcBorders>
              <w:top w:val="nil"/>
              <w:left w:val="nil"/>
              <w:bottom w:val="nil"/>
              <w:right w:val="nil"/>
            </w:tcBorders>
            <w:vAlign w:val="bottom"/>
            <w:hideMark/>
          </w:tcPr>
          <w:p w14:paraId="6CFA42FC"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1 </w:t>
            </w:r>
          </w:p>
        </w:tc>
        <w:tc>
          <w:tcPr>
            <w:tcW w:w="933" w:type="dxa"/>
            <w:tcBorders>
              <w:top w:val="nil"/>
              <w:left w:val="nil"/>
              <w:bottom w:val="nil"/>
              <w:right w:val="nil"/>
            </w:tcBorders>
            <w:vAlign w:val="bottom"/>
            <w:hideMark/>
          </w:tcPr>
          <w:p w14:paraId="57E8BD00"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123" w:type="dxa"/>
            <w:tcBorders>
              <w:top w:val="nil"/>
              <w:left w:val="nil"/>
              <w:bottom w:val="nil"/>
              <w:right w:val="nil"/>
            </w:tcBorders>
            <w:vAlign w:val="bottom"/>
            <w:hideMark/>
          </w:tcPr>
          <w:p w14:paraId="16A781CB"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w:t>
            </w:r>
          </w:p>
        </w:tc>
        <w:tc>
          <w:tcPr>
            <w:tcW w:w="1218" w:type="dxa"/>
            <w:tcBorders>
              <w:top w:val="nil"/>
              <w:left w:val="nil"/>
              <w:bottom w:val="nil"/>
              <w:right w:val="nil"/>
            </w:tcBorders>
            <w:vAlign w:val="bottom"/>
            <w:hideMark/>
          </w:tcPr>
          <w:p w14:paraId="332B059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1</w:t>
            </w:r>
          </w:p>
        </w:tc>
      </w:tr>
      <w:tr w:rsidR="00B65EDC" w:rsidRPr="00E675E8" w14:paraId="64632BEF" w14:textId="77777777" w:rsidTr="00A538F6">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4" w:space="0" w:color="AAB8C4"/>
              <w:right w:val="nil"/>
            </w:tcBorders>
            <w:vAlign w:val="bottom"/>
            <w:hideMark/>
          </w:tcPr>
          <w:p w14:paraId="164EDA10" w14:textId="77777777" w:rsidR="00B65EDC" w:rsidRPr="00E675E8" w:rsidRDefault="00B65EDC">
            <w:pPr>
              <w:jc w:val="left"/>
              <w:rPr>
                <w:rFonts w:ascii="Arial Narrow" w:hAnsi="Arial Narrow" w:cs="Arial"/>
                <w:b/>
                <w:bCs/>
                <w:lang w:val="es-ES_tradnl"/>
              </w:rPr>
            </w:pPr>
            <w:r w:rsidRPr="00E675E8">
              <w:rPr>
                <w:rFonts w:ascii="Arial Narrow" w:hAnsi="Arial Narrow"/>
                <w:b/>
                <w:lang w:val="es-ES_tradnl"/>
              </w:rPr>
              <w:t>Subtotal</w:t>
            </w:r>
          </w:p>
        </w:tc>
        <w:tc>
          <w:tcPr>
            <w:tcW w:w="1142" w:type="dxa"/>
            <w:tcBorders>
              <w:top w:val="nil"/>
              <w:left w:val="nil"/>
              <w:bottom w:val="single" w:sz="4" w:space="0" w:color="AAB8C4"/>
              <w:right w:val="nil"/>
            </w:tcBorders>
            <w:vAlign w:val="bottom"/>
            <w:hideMark/>
          </w:tcPr>
          <w:p w14:paraId="6A10515B"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3 </w:t>
            </w:r>
          </w:p>
        </w:tc>
        <w:tc>
          <w:tcPr>
            <w:tcW w:w="1123" w:type="dxa"/>
            <w:tcBorders>
              <w:top w:val="nil"/>
              <w:left w:val="nil"/>
              <w:bottom w:val="single" w:sz="4" w:space="0" w:color="AAB8C4"/>
              <w:right w:val="nil"/>
            </w:tcBorders>
            <w:vAlign w:val="bottom"/>
            <w:hideMark/>
          </w:tcPr>
          <w:p w14:paraId="0F0DFD15"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w:t>
            </w:r>
          </w:p>
        </w:tc>
        <w:tc>
          <w:tcPr>
            <w:tcW w:w="933" w:type="dxa"/>
            <w:tcBorders>
              <w:top w:val="nil"/>
              <w:left w:val="nil"/>
              <w:bottom w:val="nil"/>
              <w:right w:val="nil"/>
            </w:tcBorders>
            <w:vAlign w:val="bottom"/>
            <w:hideMark/>
          </w:tcPr>
          <w:p w14:paraId="26B2CD1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w:t>
            </w:r>
          </w:p>
        </w:tc>
        <w:tc>
          <w:tcPr>
            <w:tcW w:w="1123" w:type="dxa"/>
            <w:tcBorders>
              <w:top w:val="nil"/>
              <w:left w:val="nil"/>
              <w:bottom w:val="nil"/>
              <w:right w:val="nil"/>
            </w:tcBorders>
            <w:vAlign w:val="bottom"/>
            <w:hideMark/>
          </w:tcPr>
          <w:p w14:paraId="3473E478"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0 %</w:t>
            </w:r>
          </w:p>
        </w:tc>
        <w:tc>
          <w:tcPr>
            <w:tcW w:w="1218" w:type="dxa"/>
            <w:tcBorders>
              <w:top w:val="nil"/>
              <w:left w:val="nil"/>
              <w:bottom w:val="nil"/>
              <w:right w:val="nil"/>
            </w:tcBorders>
            <w:vAlign w:val="bottom"/>
            <w:hideMark/>
          </w:tcPr>
          <w:p w14:paraId="5D10B100"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w:t>
            </w:r>
          </w:p>
        </w:tc>
      </w:tr>
      <w:tr w:rsidR="00B65EDC" w:rsidRPr="00E675E8" w14:paraId="3B97A3E4" w14:textId="77777777" w:rsidTr="00A538F6">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8" w:space="0" w:color="AAB8C4"/>
              <w:right w:val="nil"/>
            </w:tcBorders>
            <w:vAlign w:val="bottom"/>
            <w:hideMark/>
          </w:tcPr>
          <w:p w14:paraId="5377E73F" w14:textId="77777777" w:rsidR="00B65EDC" w:rsidRPr="00E675E8" w:rsidRDefault="00B65EDC">
            <w:pPr>
              <w:jc w:val="left"/>
              <w:rPr>
                <w:rFonts w:ascii="Arial Narrow" w:hAnsi="Arial Narrow" w:cs="Arial"/>
                <w:b/>
                <w:bCs/>
                <w:color w:val="000000"/>
                <w:lang w:val="es-ES_tradnl"/>
              </w:rPr>
            </w:pPr>
            <w:r w:rsidRPr="00E675E8">
              <w:rPr>
                <w:rFonts w:ascii="Arial Narrow" w:hAnsi="Arial Narrow"/>
                <w:b/>
                <w:color w:val="000000"/>
                <w:lang w:val="es-ES_tradnl"/>
              </w:rPr>
              <w:t>Total B</w:t>
            </w:r>
          </w:p>
        </w:tc>
        <w:tc>
          <w:tcPr>
            <w:tcW w:w="1142" w:type="dxa"/>
            <w:tcBorders>
              <w:top w:val="nil"/>
              <w:left w:val="nil"/>
              <w:bottom w:val="single" w:sz="8" w:space="0" w:color="AAB8C4"/>
              <w:right w:val="nil"/>
            </w:tcBorders>
            <w:vAlign w:val="bottom"/>
            <w:hideMark/>
          </w:tcPr>
          <w:p w14:paraId="39EF4397"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2 756 </w:t>
            </w:r>
          </w:p>
        </w:tc>
        <w:tc>
          <w:tcPr>
            <w:tcW w:w="1123" w:type="dxa"/>
            <w:tcBorders>
              <w:top w:val="nil"/>
              <w:left w:val="nil"/>
              <w:bottom w:val="single" w:sz="8" w:space="0" w:color="AAB8C4"/>
              <w:right w:val="nil"/>
            </w:tcBorders>
            <w:vAlign w:val="bottom"/>
            <w:hideMark/>
          </w:tcPr>
          <w:p w14:paraId="2B00BA52"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 xml:space="preserve">2 147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(271)</w:t>
            </w:r>
          </w:p>
        </w:tc>
        <w:tc>
          <w:tcPr>
            <w:tcW w:w="1123" w:type="dxa"/>
            <w:tcBorders>
              <w:top w:val="single" w:sz="4" w:space="0" w:color="BFBFBF"/>
              <w:left w:val="nil"/>
              <w:bottom w:val="single" w:sz="8" w:space="0" w:color="BFBFBF"/>
              <w:right w:val="nil"/>
            </w:tcBorders>
            <w:vAlign w:val="bottom"/>
            <w:hideMark/>
          </w:tcPr>
          <w:p w14:paraId="3C468DB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-13 %</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E675E8" w:rsidRDefault="00B65EDC">
            <w:pPr>
              <w:jc w:val="right"/>
              <w:rPr>
                <w:rFonts w:ascii="Arial Narrow" w:hAnsi="Arial Narrow" w:cs="Arial"/>
                <w:b/>
                <w:bCs/>
                <w:lang w:val="es-ES_tradnl"/>
              </w:rPr>
            </w:pPr>
            <w:r w:rsidRPr="00E675E8">
              <w:rPr>
                <w:rFonts w:ascii="Arial Narrow" w:hAnsi="Arial Narrow"/>
                <w:b/>
                <w:lang w:val="es-ES_tradnl"/>
              </w:rPr>
              <w:t>1 876</w:t>
            </w:r>
          </w:p>
        </w:tc>
      </w:tr>
      <w:tr w:rsidR="00B65EDC" w:rsidRPr="00E675E8" w14:paraId="2BC3E8B7" w14:textId="77777777" w:rsidTr="00252926">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E675E8" w:rsidRDefault="00B65EDC">
            <w:pPr>
              <w:jc w:val="left"/>
              <w:rPr>
                <w:rFonts w:cs="Arial"/>
                <w:b/>
                <w:bCs/>
                <w:lang w:val="es-ES_tradnl"/>
              </w:rPr>
            </w:pPr>
            <w:r w:rsidRPr="00E675E8">
              <w:rPr>
                <w:b/>
                <w:lang w:val="es-ES_tradnl"/>
              </w:rPr>
              <w:t> </w:t>
            </w:r>
          </w:p>
        </w:tc>
        <w:tc>
          <w:tcPr>
            <w:tcW w:w="3123" w:type="dxa"/>
            <w:tcBorders>
              <w:top w:val="nil"/>
              <w:left w:val="nil"/>
              <w:bottom w:val="single" w:sz="8" w:space="0" w:color="AAB8C4"/>
              <w:right w:val="nil"/>
            </w:tcBorders>
            <w:vAlign w:val="bottom"/>
            <w:hideMark/>
          </w:tcPr>
          <w:p w14:paraId="517AD24F" w14:textId="77777777" w:rsidR="00B65EDC" w:rsidRPr="00E675E8" w:rsidRDefault="00B65EDC" w:rsidP="00252926">
            <w:pPr>
              <w:jc w:val="left"/>
              <w:rPr>
                <w:rFonts w:ascii="Arial Narrow" w:hAnsi="Arial Narrow" w:cs="Arial"/>
                <w:b/>
                <w:bCs/>
                <w:lang w:val="es-ES_tradnl"/>
              </w:rPr>
            </w:pPr>
            <w:r w:rsidRPr="00E675E8">
              <w:rPr>
                <w:rFonts w:ascii="Arial Narrow" w:hAnsi="Arial Narrow"/>
                <w:b/>
                <w:lang w:val="es-ES_tradnl"/>
              </w:rPr>
              <w:t>TOTAL, A + B</w:t>
            </w:r>
          </w:p>
        </w:tc>
        <w:tc>
          <w:tcPr>
            <w:tcW w:w="1142" w:type="dxa"/>
            <w:tcBorders>
              <w:top w:val="nil"/>
              <w:left w:val="nil"/>
              <w:bottom w:val="single" w:sz="8" w:space="0" w:color="AAB8C4"/>
              <w:right w:val="nil"/>
            </w:tcBorders>
            <w:vAlign w:val="bottom"/>
            <w:hideMark/>
          </w:tcPr>
          <w:p w14:paraId="6FE2F8E3"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 xml:space="preserve">7 382 </w:t>
            </w:r>
          </w:p>
        </w:tc>
        <w:tc>
          <w:tcPr>
            <w:tcW w:w="1123" w:type="dxa"/>
            <w:tcBorders>
              <w:top w:val="nil"/>
              <w:left w:val="nil"/>
              <w:bottom w:val="single" w:sz="8" w:space="0" w:color="AAB8C4"/>
              <w:right w:val="nil"/>
            </w:tcBorders>
            <w:vAlign w:val="bottom"/>
            <w:hideMark/>
          </w:tcPr>
          <w:p w14:paraId="717314A6"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 xml:space="preserve">7 901 </w:t>
            </w:r>
          </w:p>
        </w:tc>
        <w:tc>
          <w:tcPr>
            <w:tcW w:w="933" w:type="dxa"/>
            <w:tcBorders>
              <w:top w:val="single" w:sz="4" w:space="0" w:color="BFBFBF"/>
              <w:left w:val="nil"/>
              <w:bottom w:val="single" w:sz="8" w:space="0" w:color="BFBFBF"/>
              <w:right w:val="nil"/>
            </w:tcBorders>
            <w:vAlign w:val="bottom"/>
            <w:hideMark/>
          </w:tcPr>
          <w:p w14:paraId="66EC0BA1"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(285)</w:t>
            </w:r>
          </w:p>
        </w:tc>
        <w:tc>
          <w:tcPr>
            <w:tcW w:w="1123" w:type="dxa"/>
            <w:tcBorders>
              <w:top w:val="nil"/>
              <w:left w:val="nil"/>
              <w:bottom w:val="single" w:sz="8" w:space="0" w:color="BFBFBF"/>
              <w:right w:val="nil"/>
            </w:tcBorders>
            <w:vAlign w:val="bottom"/>
            <w:hideMark/>
          </w:tcPr>
          <w:p w14:paraId="08870BEA"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-4 %</w:t>
            </w:r>
          </w:p>
        </w:tc>
        <w:tc>
          <w:tcPr>
            <w:tcW w:w="1218" w:type="dxa"/>
            <w:tcBorders>
              <w:top w:val="nil"/>
              <w:left w:val="nil"/>
              <w:bottom w:val="single" w:sz="8" w:space="0" w:color="AAB8C4"/>
              <w:right w:val="nil"/>
            </w:tcBorders>
            <w:vAlign w:val="bottom"/>
            <w:hideMark/>
          </w:tcPr>
          <w:p w14:paraId="3FE0BD1D" w14:textId="77777777" w:rsidR="00B65EDC" w:rsidRPr="00E675E8" w:rsidRDefault="00B65EDC" w:rsidP="00252926">
            <w:pPr>
              <w:jc w:val="right"/>
              <w:rPr>
                <w:rFonts w:ascii="Arial Narrow" w:hAnsi="Arial Narrow" w:cs="Arial"/>
                <w:b/>
                <w:bCs/>
                <w:lang w:val="es-ES_tradnl"/>
              </w:rPr>
            </w:pPr>
            <w:r w:rsidRPr="00E675E8">
              <w:rPr>
                <w:rFonts w:ascii="Arial Narrow" w:hAnsi="Arial Narrow"/>
                <w:b/>
                <w:lang w:val="es-ES_tradnl"/>
              </w:rPr>
              <w:t>7 616</w:t>
            </w:r>
          </w:p>
        </w:tc>
      </w:tr>
    </w:tbl>
    <w:p w14:paraId="07C0A298" w14:textId="77777777" w:rsidR="000411C9" w:rsidRPr="000411C9" w:rsidRDefault="000411C9" w:rsidP="000411C9">
      <w:bookmarkStart w:id="444" w:name="_Toc209777764"/>
    </w:p>
    <w:p w14:paraId="69AF036D" w14:textId="77777777" w:rsidR="000411C9" w:rsidRDefault="000411C9">
      <w:pPr>
        <w:jc w:val="left"/>
        <w:rPr>
          <w:b/>
          <w:color w:val="26724C" w:themeColor="accent1" w:themeShade="BF"/>
          <w:sz w:val="22"/>
          <w:lang w:val="es-ES_tradnl"/>
        </w:rPr>
      </w:pPr>
      <w:r>
        <w:rPr>
          <w:lang w:val="es-ES_tradnl"/>
        </w:rPr>
        <w:br w:type="page"/>
      </w:r>
    </w:p>
    <w:p w14:paraId="6053C7C1" w14:textId="042A669B" w:rsidR="00B65EDC" w:rsidRPr="00E675E8" w:rsidRDefault="00B65EDC" w:rsidP="000363C4">
      <w:pPr>
        <w:pStyle w:val="Heading3"/>
        <w:rPr>
          <w:lang w:val="es-ES_tradnl"/>
        </w:rPr>
      </w:pPr>
      <w:r w:rsidRPr="00E675E8">
        <w:rPr>
          <w:lang w:val="es-ES_tradnl"/>
        </w:rPr>
        <w:lastRenderedPageBreak/>
        <w:t>Gastos de personal</w:t>
      </w:r>
      <w:bookmarkEnd w:id="444"/>
    </w:p>
    <w:p w14:paraId="0923123B" w14:textId="77777777" w:rsidR="00B65EDC" w:rsidRPr="00E675E8" w:rsidRDefault="00B65EDC" w:rsidP="00ED7F3E">
      <w:pPr>
        <w:keepNext/>
        <w:rPr>
          <w:lang w:val="es-ES_tradnl"/>
        </w:rPr>
      </w:pPr>
    </w:p>
    <w:p w14:paraId="217F101E" w14:textId="3820D38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gastos de personal se centran en las áreas prioritarias, conforme al Plan Operativo Estratégico</w:t>
      </w:r>
      <w:r w:rsidR="000411C9">
        <w:rPr>
          <w:lang w:val="es-ES_tradnl"/>
        </w:rPr>
        <w:t xml:space="preserve"> </w:t>
      </w:r>
      <w:r w:rsidRPr="00E675E8">
        <w:rPr>
          <w:lang w:val="es-ES_tradnl"/>
        </w:rPr>
        <w:t>2026-2029 de la UPOV.</w:t>
      </w:r>
    </w:p>
    <w:p w14:paraId="229A0898" w14:textId="77777777" w:rsidR="00B65EDC" w:rsidRPr="00E675E8" w:rsidRDefault="00B65EDC" w:rsidP="00B65EDC">
      <w:pPr>
        <w:rPr>
          <w:lang w:val="es-ES_tradnl"/>
        </w:rPr>
      </w:pPr>
    </w:p>
    <w:p w14:paraId="0A4883D1" w14:textId="5E60234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Se prevé contener los gastos de personal gracias a la incorporación de vacantes en puestos fijos y temporales. </w:t>
      </w:r>
      <w:r w:rsidR="000411C9">
        <w:rPr>
          <w:lang w:val="es-ES_tradnl"/>
        </w:rPr>
        <w:t xml:space="preserve"> </w:t>
      </w:r>
      <w:r w:rsidRPr="00E675E8">
        <w:rPr>
          <w:lang w:val="es-ES_tradnl"/>
        </w:rPr>
        <w:t xml:space="preserve">Las labores de comunicación y digitalización desempeñarán un papel clave para lograr los resultados esperados. </w:t>
      </w:r>
    </w:p>
    <w:p w14:paraId="1AF59F2D" w14:textId="77777777" w:rsidR="00B65EDC" w:rsidRPr="00E675E8" w:rsidRDefault="00B65EDC" w:rsidP="00B65EDC">
      <w:pPr>
        <w:rPr>
          <w:lang w:val="es-ES_tradnl"/>
        </w:rPr>
      </w:pPr>
    </w:p>
    <w:p w14:paraId="5BE8484E" w14:textId="49A5C75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Para apoyar estas esferas prioritarias, se han presupuestado dos puestos temporales para el bienio</w:t>
      </w:r>
      <w:r w:rsidR="003F289C" w:rsidRPr="00E675E8">
        <w:rPr>
          <w:lang w:val="es-ES_tradnl"/>
        </w:rPr>
        <w:t> </w:t>
      </w:r>
      <w:r w:rsidRPr="00E675E8">
        <w:rPr>
          <w:lang w:val="es-ES_tradnl"/>
        </w:rPr>
        <w:t>2026-2027. Aunque el puesto de TI ya estaba presupuestado para el período 2024-2025, la persona seleccionada para ocuparlo aceptó otra oferta de trabajo.</w:t>
      </w:r>
      <w:r w:rsidR="002817AB" w:rsidRPr="00E675E8">
        <w:rPr>
          <w:lang w:val="es-ES_tradnl"/>
        </w:rPr>
        <w:t xml:space="preserve"> </w:t>
      </w:r>
      <w:r w:rsidRPr="00E675E8">
        <w:rPr>
          <w:lang w:val="es-ES_tradnl"/>
        </w:rPr>
        <w:t>El ejercicio puso de manifiesto la necesidad de revisar el enfoque para atraer y retener a expertos cualificados en TI.</w:t>
      </w:r>
      <w:r w:rsidR="002817AB" w:rsidRPr="00E675E8">
        <w:rPr>
          <w:lang w:val="es-ES_tradnl"/>
        </w:rPr>
        <w:t xml:space="preserve"> </w:t>
      </w:r>
      <w:r w:rsidRPr="00E675E8">
        <w:rPr>
          <w:lang w:val="es-ES_tradnl"/>
        </w:rPr>
        <w:t>La función del experto en tecnologías de la información consiste en ejecutar aspectos clave de la labor de la UPOV, concretamente en el desarrollo y mantenimiento de las herramientas y los servicios de la UPOV (PLUTO, UPOV PRISMA, módulo de intercambio DHE y plantilla de documentos TG).</w:t>
      </w:r>
    </w:p>
    <w:p w14:paraId="792AB2B2" w14:textId="77777777" w:rsidR="00B65EDC" w:rsidRPr="00E675E8" w:rsidRDefault="00B65EDC" w:rsidP="00B65EDC">
      <w:pPr>
        <w:rPr>
          <w:lang w:val="es-ES_tradnl"/>
        </w:rPr>
      </w:pPr>
    </w:p>
    <w:p w14:paraId="7616591C" w14:textId="62DF00EB"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2025 quedará vacante un puesto de servicios generales por jubilación.</w:t>
      </w:r>
      <w:r w:rsidR="002817AB" w:rsidRPr="00E675E8">
        <w:rPr>
          <w:lang w:val="es-ES_tradnl"/>
        </w:rPr>
        <w:t xml:space="preserve"> </w:t>
      </w:r>
      <w:r w:rsidRPr="00E675E8">
        <w:rPr>
          <w:lang w:val="es-ES_tradnl"/>
        </w:rPr>
        <w:t xml:space="preserve">Este puesto se ha presupuestado para 2026-2027 en la categoría profesional con el fin de hacer frente a la creciente demanda de asistencia y orientación en materia de protección de las obtenciones vegetales. </w:t>
      </w:r>
    </w:p>
    <w:p w14:paraId="52659084" w14:textId="77777777" w:rsidR="00B65EDC" w:rsidRPr="00E675E8" w:rsidRDefault="00B65EDC" w:rsidP="00B65EDC">
      <w:pPr>
        <w:rPr>
          <w:lang w:val="es-ES_tradnl"/>
        </w:rPr>
      </w:pPr>
    </w:p>
    <w:p w14:paraId="6AAF0DC7" w14:textId="6E6DA6F1" w:rsidR="00B65EDC" w:rsidRPr="00E675E8" w:rsidRDefault="00B65EDC" w:rsidP="00B65EDC">
      <w:pPr>
        <w:jc w:val="center"/>
        <w:rPr>
          <w:rFonts w:cs="Arial"/>
          <w:b/>
          <w:bCs/>
          <w:color w:val="26724C" w:themeColor="accent1" w:themeShade="BF"/>
          <w:lang w:val="es-ES_tradnl"/>
        </w:rPr>
      </w:pPr>
      <w:r w:rsidRPr="00E675E8">
        <w:rPr>
          <w:b/>
          <w:color w:val="26724C" w:themeColor="accent1" w:themeShade="BF"/>
          <w:lang w:val="es-ES_tradnl"/>
        </w:rPr>
        <w:t>Cuadro 5:</w:t>
      </w:r>
      <w:r w:rsidR="002817AB" w:rsidRPr="00E675E8">
        <w:rPr>
          <w:b/>
          <w:color w:val="26724C" w:themeColor="accent1" w:themeShade="BF"/>
          <w:lang w:val="es-ES_tradnl"/>
        </w:rPr>
        <w:t xml:space="preserve"> </w:t>
      </w:r>
      <w:r w:rsidRPr="00E675E8">
        <w:rPr>
          <w:b/>
          <w:color w:val="26724C" w:themeColor="accent1" w:themeShade="BF"/>
          <w:lang w:val="es-ES_tradnl"/>
        </w:rPr>
        <w:t>Presupuesto 2026</w:t>
      </w:r>
      <w:r w:rsidRPr="00E675E8">
        <w:rPr>
          <w:b/>
          <w:color w:val="26724C" w:themeColor="accent1" w:themeShade="BF"/>
          <w:lang w:val="es-ES_tradnl"/>
        </w:rPr>
        <w:noBreakHyphen/>
        <w:t>2027:</w:t>
      </w:r>
      <w:r w:rsidR="002817AB" w:rsidRPr="00E675E8">
        <w:rPr>
          <w:b/>
          <w:color w:val="26724C" w:themeColor="accent1" w:themeShade="BF"/>
          <w:lang w:val="es-ES_tradnl"/>
        </w:rPr>
        <w:t xml:space="preserve"> </w:t>
      </w:r>
      <w:r w:rsidRPr="00E675E8">
        <w:rPr>
          <w:b/>
          <w:color w:val="26724C" w:themeColor="accent1" w:themeShade="BF"/>
          <w:lang w:val="es-ES_tradnl"/>
        </w:rPr>
        <w:t>Puestos por categoría</w:t>
      </w:r>
    </w:p>
    <w:p w14:paraId="58B0831A" w14:textId="77777777" w:rsidR="00B65EDC" w:rsidRPr="00E675E8" w:rsidRDefault="00B65EDC" w:rsidP="00B65EDC">
      <w:pPr>
        <w:rPr>
          <w:rFonts w:cs="Arial"/>
          <w:b/>
          <w:bCs/>
          <w:color w:val="26724C" w:themeColor="accent1" w:themeShade="BF"/>
          <w:lang w:val="es-ES_tradnl"/>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E675E8" w14:paraId="1A51A639" w14:textId="77777777">
        <w:trPr>
          <w:trHeight w:val="460"/>
          <w:jc w:val="center"/>
        </w:trPr>
        <w:tc>
          <w:tcPr>
            <w:tcW w:w="2260" w:type="dxa"/>
            <w:tcBorders>
              <w:top w:val="nil"/>
              <w:left w:val="nil"/>
              <w:bottom w:val="nil"/>
              <w:right w:val="nil"/>
            </w:tcBorders>
            <w:shd w:val="clear" w:color="000000" w:fill="C7CFD8"/>
            <w:vAlign w:val="center"/>
            <w:hideMark/>
          </w:tcPr>
          <w:p w14:paraId="06A2674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Categoría del puesto </w:t>
            </w:r>
          </w:p>
        </w:tc>
        <w:tc>
          <w:tcPr>
            <w:tcW w:w="1480" w:type="dxa"/>
            <w:tcBorders>
              <w:top w:val="nil"/>
              <w:left w:val="nil"/>
              <w:bottom w:val="nil"/>
              <w:right w:val="nil"/>
            </w:tcBorders>
            <w:shd w:val="clear" w:color="000000" w:fill="C7CFD8"/>
            <w:vAlign w:val="center"/>
            <w:hideMark/>
          </w:tcPr>
          <w:p w14:paraId="1F6182D6"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r w:rsidRPr="00E675E8">
              <w:rPr>
                <w:rFonts w:ascii="Arial Narrow" w:hAnsi="Arial Narrow"/>
                <w:b/>
                <w:sz w:val="18"/>
                <w:lang w:val="es-ES_tradnl"/>
              </w:rPr>
              <w:br/>
              <w:t xml:space="preserve">Real </w:t>
            </w:r>
          </w:p>
        </w:tc>
        <w:tc>
          <w:tcPr>
            <w:tcW w:w="1440" w:type="dxa"/>
            <w:tcBorders>
              <w:top w:val="nil"/>
              <w:left w:val="nil"/>
              <w:bottom w:val="nil"/>
              <w:right w:val="nil"/>
            </w:tcBorders>
            <w:shd w:val="clear" w:color="000000" w:fill="C7CFD8"/>
            <w:vAlign w:val="center"/>
            <w:hideMark/>
          </w:tcPr>
          <w:p w14:paraId="7AE5165E" w14:textId="47EEDD1E"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2024-2025</w:t>
            </w:r>
            <w:r w:rsidRPr="00E675E8">
              <w:rPr>
                <w:rFonts w:ascii="Arial Narrow" w:hAnsi="Arial Narrow"/>
                <w:b/>
                <w:sz w:val="18"/>
                <w:lang w:val="es-ES_tradnl"/>
              </w:rPr>
              <w:br/>
              <w:t>Presupuesto</w:t>
            </w:r>
            <w:r w:rsidR="002817AB" w:rsidRPr="00E675E8">
              <w:rPr>
                <w:rFonts w:ascii="Arial Narrow" w:hAnsi="Arial Narrow"/>
                <w:b/>
                <w:sz w:val="18"/>
                <w:lang w:val="es-ES_tradnl"/>
              </w:rPr>
              <w:t xml:space="preserve"> </w:t>
            </w:r>
          </w:p>
        </w:tc>
        <w:tc>
          <w:tcPr>
            <w:tcW w:w="1400" w:type="dxa"/>
            <w:tcBorders>
              <w:top w:val="nil"/>
              <w:left w:val="nil"/>
              <w:bottom w:val="nil"/>
              <w:right w:val="nil"/>
            </w:tcBorders>
            <w:shd w:val="clear" w:color="000000" w:fill="C7CFD8"/>
            <w:vAlign w:val="center"/>
            <w:hideMark/>
          </w:tcPr>
          <w:p w14:paraId="4198110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Variación </w:t>
            </w:r>
          </w:p>
        </w:tc>
        <w:tc>
          <w:tcPr>
            <w:tcW w:w="1400" w:type="dxa"/>
            <w:tcBorders>
              <w:top w:val="nil"/>
              <w:left w:val="nil"/>
              <w:bottom w:val="nil"/>
              <w:right w:val="nil"/>
            </w:tcBorders>
            <w:shd w:val="clear" w:color="000000" w:fill="C7CFD8"/>
            <w:vAlign w:val="center"/>
            <w:hideMark/>
          </w:tcPr>
          <w:p w14:paraId="01D31823" w14:textId="25F98AE6"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Propuesta para 2026-2027 </w:t>
            </w:r>
          </w:p>
        </w:tc>
      </w:tr>
      <w:tr w:rsidR="00B65EDC" w:rsidRPr="00E675E8" w14:paraId="071FF521" w14:textId="77777777">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w:t>
            </w:r>
          </w:p>
        </w:tc>
        <w:tc>
          <w:tcPr>
            <w:tcW w:w="1480" w:type="dxa"/>
            <w:tcBorders>
              <w:top w:val="nil"/>
              <w:left w:val="nil"/>
              <w:bottom w:val="nil"/>
              <w:right w:val="nil"/>
            </w:tcBorders>
            <w:shd w:val="clear" w:color="000000" w:fill="C7CFD8"/>
            <w:vAlign w:val="center"/>
            <w:hideMark/>
          </w:tcPr>
          <w:p w14:paraId="6594852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C </w:t>
            </w:r>
          </w:p>
        </w:tc>
      </w:tr>
      <w:tr w:rsidR="00B65EDC" w:rsidRPr="00E675E8" w14:paraId="39E43C40" w14:textId="77777777" w:rsidTr="00A538F6">
        <w:trPr>
          <w:trHeight w:val="150"/>
          <w:jc w:val="center"/>
        </w:trPr>
        <w:tc>
          <w:tcPr>
            <w:tcW w:w="2260" w:type="dxa"/>
            <w:tcBorders>
              <w:top w:val="nil"/>
              <w:left w:val="nil"/>
              <w:bottom w:val="nil"/>
              <w:right w:val="nil"/>
            </w:tcBorders>
            <w:hideMark/>
          </w:tcPr>
          <w:p w14:paraId="700BB1C7" w14:textId="77777777" w:rsidR="00B65EDC" w:rsidRPr="00E675E8" w:rsidRDefault="00B65EDC">
            <w:pPr>
              <w:jc w:val="center"/>
              <w:rPr>
                <w:rFonts w:ascii="Arial Narrow" w:hAnsi="Arial Narrow" w:cs="Arial"/>
                <w:b/>
                <w:bCs/>
                <w:sz w:val="18"/>
                <w:szCs w:val="18"/>
                <w:lang w:val="es-ES_tradnl"/>
              </w:rPr>
            </w:pPr>
          </w:p>
        </w:tc>
        <w:tc>
          <w:tcPr>
            <w:tcW w:w="1480" w:type="dxa"/>
            <w:tcBorders>
              <w:top w:val="nil"/>
              <w:left w:val="nil"/>
              <w:bottom w:val="nil"/>
              <w:right w:val="nil"/>
            </w:tcBorders>
            <w:hideMark/>
          </w:tcPr>
          <w:p w14:paraId="0BB00161" w14:textId="77777777" w:rsidR="00B65EDC" w:rsidRPr="00E675E8" w:rsidRDefault="00B65EDC">
            <w:pPr>
              <w:rPr>
                <w:rFonts w:ascii="Times New Roman" w:hAnsi="Times New Roman"/>
                <w:lang w:val="es-ES_tradnl"/>
              </w:rPr>
            </w:pPr>
          </w:p>
        </w:tc>
        <w:tc>
          <w:tcPr>
            <w:tcW w:w="1440" w:type="dxa"/>
            <w:tcBorders>
              <w:top w:val="nil"/>
              <w:left w:val="nil"/>
              <w:bottom w:val="nil"/>
              <w:right w:val="nil"/>
            </w:tcBorders>
            <w:hideMark/>
          </w:tcPr>
          <w:p w14:paraId="7A3190DF" w14:textId="77777777" w:rsidR="00B65EDC" w:rsidRPr="00E675E8" w:rsidRDefault="00B65EDC">
            <w:pPr>
              <w:jc w:val="center"/>
              <w:rPr>
                <w:rFonts w:ascii="Times New Roman" w:hAnsi="Times New Roman"/>
                <w:lang w:val="es-ES_tradnl"/>
              </w:rPr>
            </w:pPr>
          </w:p>
        </w:tc>
        <w:tc>
          <w:tcPr>
            <w:tcW w:w="1400" w:type="dxa"/>
            <w:tcBorders>
              <w:top w:val="nil"/>
              <w:left w:val="nil"/>
              <w:bottom w:val="nil"/>
              <w:right w:val="nil"/>
            </w:tcBorders>
            <w:hideMark/>
          </w:tcPr>
          <w:p w14:paraId="5A8FA269" w14:textId="77777777" w:rsidR="00B65EDC" w:rsidRPr="00E675E8" w:rsidRDefault="00B65EDC">
            <w:pPr>
              <w:jc w:val="center"/>
              <w:rPr>
                <w:rFonts w:ascii="Times New Roman" w:hAnsi="Times New Roman"/>
                <w:lang w:val="es-ES_tradnl"/>
              </w:rPr>
            </w:pPr>
          </w:p>
        </w:tc>
        <w:tc>
          <w:tcPr>
            <w:tcW w:w="1400" w:type="dxa"/>
            <w:tcBorders>
              <w:top w:val="nil"/>
              <w:left w:val="nil"/>
              <w:bottom w:val="nil"/>
              <w:right w:val="nil"/>
            </w:tcBorders>
            <w:hideMark/>
          </w:tcPr>
          <w:p w14:paraId="53568975" w14:textId="77777777" w:rsidR="00B65EDC" w:rsidRPr="00E675E8" w:rsidRDefault="00B65EDC">
            <w:pPr>
              <w:jc w:val="left"/>
              <w:rPr>
                <w:rFonts w:ascii="Times New Roman" w:hAnsi="Times New Roman"/>
                <w:lang w:val="es-ES_tradnl"/>
              </w:rPr>
            </w:pPr>
          </w:p>
        </w:tc>
      </w:tr>
      <w:tr w:rsidR="00B65EDC" w:rsidRPr="00E675E8" w14:paraId="55AE34D3" w14:textId="77777777" w:rsidTr="00A538F6">
        <w:trPr>
          <w:trHeight w:val="330"/>
          <w:jc w:val="center"/>
        </w:trPr>
        <w:tc>
          <w:tcPr>
            <w:tcW w:w="2260" w:type="dxa"/>
            <w:tcBorders>
              <w:top w:val="nil"/>
              <w:left w:val="nil"/>
              <w:bottom w:val="nil"/>
              <w:right w:val="nil"/>
            </w:tcBorders>
            <w:hideMark/>
          </w:tcPr>
          <w:p w14:paraId="03E82890" w14:textId="77777777" w:rsidR="00B65EDC" w:rsidRPr="00E675E8" w:rsidRDefault="00B65EDC">
            <w:pPr>
              <w:rPr>
                <w:rFonts w:ascii="Arial Narrow" w:hAnsi="Arial Narrow" w:cs="Arial"/>
                <w:lang w:val="es-ES_tradnl"/>
              </w:rPr>
            </w:pPr>
            <w:r w:rsidRPr="00E675E8">
              <w:rPr>
                <w:rFonts w:ascii="Arial Narrow" w:hAnsi="Arial Narrow"/>
                <w:lang w:val="es-ES_tradnl"/>
              </w:rPr>
              <w:t>Directores*</w:t>
            </w:r>
          </w:p>
        </w:tc>
        <w:tc>
          <w:tcPr>
            <w:tcW w:w="1480" w:type="dxa"/>
            <w:tcBorders>
              <w:top w:val="nil"/>
              <w:left w:val="nil"/>
              <w:bottom w:val="nil"/>
              <w:right w:val="nil"/>
            </w:tcBorders>
          </w:tcPr>
          <w:p w14:paraId="7C68D076"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40" w:type="dxa"/>
            <w:tcBorders>
              <w:top w:val="nil"/>
              <w:left w:val="nil"/>
              <w:bottom w:val="nil"/>
              <w:right w:val="nil"/>
            </w:tcBorders>
          </w:tcPr>
          <w:p w14:paraId="5C1228E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00" w:type="dxa"/>
            <w:tcBorders>
              <w:top w:val="nil"/>
              <w:left w:val="nil"/>
              <w:bottom w:val="nil"/>
              <w:right w:val="nil"/>
            </w:tcBorders>
          </w:tcPr>
          <w:p w14:paraId="3FB78D91"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c>
          <w:tcPr>
            <w:tcW w:w="1400" w:type="dxa"/>
            <w:tcBorders>
              <w:top w:val="nil"/>
              <w:left w:val="nil"/>
              <w:bottom w:val="nil"/>
              <w:right w:val="nil"/>
            </w:tcBorders>
          </w:tcPr>
          <w:p w14:paraId="7FBECC3D"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r>
      <w:tr w:rsidR="00B65EDC" w:rsidRPr="00E675E8" w14:paraId="68644C30" w14:textId="77777777" w:rsidTr="00A538F6">
        <w:trPr>
          <w:trHeight w:val="330"/>
          <w:jc w:val="center"/>
        </w:trPr>
        <w:tc>
          <w:tcPr>
            <w:tcW w:w="2260" w:type="dxa"/>
            <w:tcBorders>
              <w:top w:val="nil"/>
              <w:left w:val="nil"/>
              <w:bottom w:val="nil"/>
              <w:right w:val="nil"/>
            </w:tcBorders>
            <w:hideMark/>
          </w:tcPr>
          <w:p w14:paraId="172D5573" w14:textId="77777777" w:rsidR="00B65EDC" w:rsidRPr="00E675E8" w:rsidRDefault="00B65EDC">
            <w:pPr>
              <w:rPr>
                <w:rFonts w:ascii="Arial Narrow" w:hAnsi="Arial Narrow" w:cs="Arial"/>
                <w:lang w:val="es-ES_tradnl"/>
              </w:rPr>
            </w:pPr>
            <w:r w:rsidRPr="00E675E8">
              <w:rPr>
                <w:rFonts w:ascii="Arial Narrow" w:hAnsi="Arial Narrow"/>
                <w:lang w:val="es-ES_tradnl"/>
              </w:rPr>
              <w:t>Profesionales</w:t>
            </w:r>
          </w:p>
        </w:tc>
        <w:tc>
          <w:tcPr>
            <w:tcW w:w="1480" w:type="dxa"/>
            <w:tcBorders>
              <w:top w:val="nil"/>
              <w:left w:val="nil"/>
              <w:bottom w:val="nil"/>
              <w:right w:val="nil"/>
            </w:tcBorders>
          </w:tcPr>
          <w:p w14:paraId="4133EB9A"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c>
          <w:tcPr>
            <w:tcW w:w="1440" w:type="dxa"/>
            <w:tcBorders>
              <w:top w:val="nil"/>
              <w:left w:val="nil"/>
              <w:bottom w:val="nil"/>
              <w:right w:val="nil"/>
            </w:tcBorders>
          </w:tcPr>
          <w:p w14:paraId="7FE2501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7</w:t>
            </w:r>
          </w:p>
        </w:tc>
        <w:tc>
          <w:tcPr>
            <w:tcW w:w="1400" w:type="dxa"/>
            <w:tcBorders>
              <w:top w:val="nil"/>
              <w:left w:val="nil"/>
              <w:bottom w:val="nil"/>
              <w:right w:val="nil"/>
            </w:tcBorders>
          </w:tcPr>
          <w:p w14:paraId="28270701"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tcPr>
          <w:p w14:paraId="7C446F0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8</w:t>
            </w:r>
          </w:p>
        </w:tc>
      </w:tr>
      <w:tr w:rsidR="00B65EDC" w:rsidRPr="00E675E8" w14:paraId="78E3CFCD" w14:textId="77777777" w:rsidTr="00A538F6">
        <w:trPr>
          <w:trHeight w:val="330"/>
          <w:jc w:val="center"/>
        </w:trPr>
        <w:tc>
          <w:tcPr>
            <w:tcW w:w="2260" w:type="dxa"/>
            <w:tcBorders>
              <w:top w:val="nil"/>
              <w:left w:val="nil"/>
              <w:bottom w:val="nil"/>
              <w:right w:val="nil"/>
            </w:tcBorders>
            <w:hideMark/>
          </w:tcPr>
          <w:p w14:paraId="6ACBB5F6" w14:textId="77777777" w:rsidR="00B65EDC" w:rsidRPr="00E675E8" w:rsidRDefault="00B65EDC">
            <w:pPr>
              <w:rPr>
                <w:rFonts w:ascii="Arial Narrow" w:hAnsi="Arial Narrow" w:cs="Arial"/>
                <w:lang w:val="es-ES_tradnl"/>
              </w:rPr>
            </w:pPr>
            <w:r w:rsidRPr="00E675E8">
              <w:rPr>
                <w:rFonts w:ascii="Arial Narrow" w:hAnsi="Arial Narrow"/>
                <w:lang w:val="es-ES_tradnl"/>
              </w:rPr>
              <w:t>Servicios generales</w:t>
            </w:r>
          </w:p>
        </w:tc>
        <w:tc>
          <w:tcPr>
            <w:tcW w:w="1480" w:type="dxa"/>
            <w:tcBorders>
              <w:top w:val="nil"/>
              <w:left w:val="nil"/>
              <w:bottom w:val="nil"/>
              <w:right w:val="nil"/>
            </w:tcBorders>
          </w:tcPr>
          <w:p w14:paraId="2410871E"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5</w:t>
            </w:r>
          </w:p>
        </w:tc>
        <w:tc>
          <w:tcPr>
            <w:tcW w:w="1440" w:type="dxa"/>
            <w:tcBorders>
              <w:top w:val="nil"/>
              <w:left w:val="nil"/>
              <w:bottom w:val="nil"/>
              <w:right w:val="nil"/>
            </w:tcBorders>
          </w:tcPr>
          <w:p w14:paraId="291C615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4</w:t>
            </w:r>
          </w:p>
        </w:tc>
        <w:tc>
          <w:tcPr>
            <w:tcW w:w="1400" w:type="dxa"/>
            <w:tcBorders>
              <w:top w:val="nil"/>
              <w:left w:val="nil"/>
              <w:bottom w:val="nil"/>
              <w:right w:val="nil"/>
            </w:tcBorders>
          </w:tcPr>
          <w:p w14:paraId="40CF1F78"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tcPr>
          <w:p w14:paraId="64F728C4"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3</w:t>
            </w:r>
          </w:p>
        </w:tc>
      </w:tr>
      <w:tr w:rsidR="00B65EDC" w:rsidRPr="00E675E8" w14:paraId="54F15454" w14:textId="77777777" w:rsidTr="00A538F6">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77777777" w:rsidR="00B65EDC" w:rsidRPr="00E675E8" w:rsidRDefault="00B65EDC">
            <w:pPr>
              <w:rPr>
                <w:rFonts w:ascii="Arial Narrow" w:hAnsi="Arial Narrow" w:cs="Arial"/>
                <w:b/>
                <w:bCs/>
                <w:lang w:val="es-ES_tradnl"/>
              </w:rPr>
            </w:pPr>
            <w:r w:rsidRPr="00E675E8">
              <w:rPr>
                <w:rFonts w:ascii="Arial Narrow" w:hAnsi="Arial Narrow"/>
                <w:b/>
                <w:lang w:val="es-ES_tradnl"/>
              </w:rPr>
              <w:t>Total</w:t>
            </w:r>
          </w:p>
        </w:tc>
        <w:tc>
          <w:tcPr>
            <w:tcW w:w="1480" w:type="dxa"/>
            <w:tcBorders>
              <w:top w:val="single" w:sz="4" w:space="0" w:color="AAB8C4"/>
              <w:left w:val="nil"/>
              <w:bottom w:val="single" w:sz="8" w:space="0" w:color="AAB8C4"/>
              <w:right w:val="nil"/>
            </w:tcBorders>
            <w:vAlign w:val="center"/>
          </w:tcPr>
          <w:p w14:paraId="0090BA0D"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E675E8" w:rsidRDefault="00B65EDC">
            <w:pPr>
              <w:jc w:val="center"/>
              <w:rPr>
                <w:rFonts w:ascii="Arial Narrow" w:hAnsi="Arial Narrow" w:cs="Arial"/>
                <w:lang w:val="es-ES_tradnl"/>
              </w:rPr>
            </w:pPr>
            <w:r w:rsidRPr="00E675E8">
              <w:rPr>
                <w:rFonts w:ascii="Arial Narrow" w:hAnsi="Arial Narrow"/>
                <w:b/>
                <w:lang w:val="es-ES_tradnl"/>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E675E8" w:rsidRDefault="00B65EDC">
            <w:pPr>
              <w:jc w:val="center"/>
              <w:rPr>
                <w:rFonts w:ascii="Arial Narrow" w:hAnsi="Arial Narrow" w:cs="Arial"/>
                <w:b/>
                <w:bCs/>
                <w:lang w:val="es-ES_tradnl"/>
              </w:rPr>
            </w:pPr>
            <w:r w:rsidRPr="00E675E8">
              <w:rPr>
                <w:rFonts w:ascii="Arial Narrow" w:hAnsi="Arial Narrow"/>
                <w:b/>
                <w:lang w:val="es-ES_tradnl"/>
              </w:rPr>
              <w:t>15</w:t>
            </w:r>
          </w:p>
        </w:tc>
      </w:tr>
    </w:tbl>
    <w:p w14:paraId="493D0656" w14:textId="77777777" w:rsidR="00B65EDC" w:rsidRPr="00E675E8" w:rsidRDefault="00B65EDC" w:rsidP="00B65EDC">
      <w:pPr>
        <w:rPr>
          <w:spacing w:val="-2"/>
          <w:szCs w:val="24"/>
          <w:lang w:val="es-ES_tradnl"/>
        </w:rPr>
      </w:pPr>
    </w:p>
    <w:p w14:paraId="4528F9B1" w14:textId="77777777" w:rsidR="00B65EDC" w:rsidRPr="00E675E8" w:rsidRDefault="00B65EDC" w:rsidP="00B65EDC">
      <w:pPr>
        <w:ind w:left="851" w:right="850"/>
        <w:rPr>
          <w:spacing w:val="-2"/>
          <w:sz w:val="16"/>
          <w:szCs w:val="24"/>
          <w:lang w:val="es-ES_tradnl"/>
        </w:rPr>
      </w:pPr>
      <w:r w:rsidRPr="00E675E8">
        <w:rPr>
          <w:sz w:val="16"/>
          <w:lang w:val="es-ES_tradnl"/>
        </w:rPr>
        <w:t>* Se incluye el puesto de secretario general,</w:t>
      </w:r>
      <w:r w:rsidRPr="00E675E8">
        <w:rPr>
          <w:rStyle w:val="FootnoteReference"/>
          <w:spacing w:val="-2"/>
          <w:sz w:val="16"/>
          <w:szCs w:val="24"/>
          <w:lang w:val="es-ES_tradnl"/>
        </w:rPr>
        <w:footnoteReference w:id="3"/>
      </w:r>
      <w:r w:rsidRPr="00E675E8">
        <w:rPr>
          <w:sz w:val="16"/>
          <w:lang w:val="es-ES_tradnl"/>
        </w:rPr>
        <w:t xml:space="preserve"> aunque sin incidencia en el gasto, porque el actual director general de la OMPI ha declinado recibir sueldo o asignación alguna como secretario general de la UPOV.</w:t>
      </w:r>
    </w:p>
    <w:p w14:paraId="25D14A0B" w14:textId="77777777" w:rsidR="00B65EDC" w:rsidRPr="00E675E8" w:rsidRDefault="00B65EDC" w:rsidP="00B65EDC">
      <w:pPr>
        <w:jc w:val="left"/>
        <w:rPr>
          <w:lang w:val="es-ES_tradnl"/>
        </w:rPr>
      </w:pPr>
    </w:p>
    <w:p w14:paraId="6912528C" w14:textId="6F72AC06"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cuadro siguiente ofrece una indicación de la mano de obra flexible, es decir, personal temporal, trabajadores de agencias y funcionarios subalternos de la categoría profesional que podrá utilizarse en el bienio 2026-2027, siempre que haya recursos disponibles en el presupuesto ordinario, en fondos extrapresupuestarios y que los miembros de la Unión pongan recursos humanos a disposición.</w:t>
      </w:r>
    </w:p>
    <w:p w14:paraId="7EF5BACB" w14:textId="77777777" w:rsidR="00B65EDC" w:rsidRPr="00E675E8" w:rsidRDefault="00B65EDC" w:rsidP="00B65EDC">
      <w:pPr>
        <w:rPr>
          <w:lang w:val="es-ES_tradnl"/>
        </w:rPr>
      </w:pPr>
    </w:p>
    <w:p w14:paraId="340BFA34" w14:textId="3C73C7B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para el uso del idioma chino en la UPOV” adoptado por el Consejo de la UPOV el 29 de octubre de 2021, hace referencia al compromiso del Gobierno chino para que un profesional de habla china trabaje para la UPOV, en Ginebra, a través del programa de funcionarios subalternos de la categoría profesional.</w:t>
      </w:r>
      <w:r w:rsidR="002817AB" w:rsidRPr="00E675E8">
        <w:rPr>
          <w:lang w:val="es-ES_tradnl"/>
        </w:rPr>
        <w:t xml:space="preserve"> </w:t>
      </w:r>
      <w:r w:rsidRPr="00E675E8">
        <w:rPr>
          <w:lang w:val="es-ES_tradnl"/>
        </w:rPr>
        <w:t>Se prevé que en 2025 un funcionario subalterno de la categoría profesional financiado por China comience a trabajar en la Oficina de la UPOV y que el programa de funcionarios subalternos de la categoría profesional con China continúe durante el bienio 2026-2027.</w:t>
      </w:r>
    </w:p>
    <w:p w14:paraId="4A8A6B7D" w14:textId="77777777" w:rsidR="00B65EDC" w:rsidRPr="00E675E8" w:rsidRDefault="00B65EDC" w:rsidP="00B65EDC">
      <w:pPr>
        <w:rPr>
          <w:lang w:val="es-ES_tradnl"/>
        </w:rPr>
      </w:pPr>
    </w:p>
    <w:p w14:paraId="3B4A8901" w14:textId="61073C8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Se espera que en 2025 comience un nuevo programa de fondos fiduciarios con el Japón.</w:t>
      </w:r>
      <w:r w:rsidR="002817AB" w:rsidRPr="00E675E8">
        <w:rPr>
          <w:lang w:val="es-ES_tradnl"/>
        </w:rPr>
        <w:t xml:space="preserve"> </w:t>
      </w:r>
      <w:r w:rsidRPr="00E675E8">
        <w:rPr>
          <w:lang w:val="es-ES_tradnl"/>
        </w:rPr>
        <w:t>El programa incluirá un funcionario subalterno de la categoría profesional financiado por dicho país con la tarea de recopilar y difundir información sobre los beneficios de la protección de las obtenciones vegetales y la pertenencia a la UPOV de acuerdo con la estrategia de comunicación de la UPOV.</w:t>
      </w:r>
      <w:r w:rsidR="002817AB" w:rsidRPr="00E675E8">
        <w:rPr>
          <w:lang w:val="es-ES_tradnl"/>
        </w:rPr>
        <w:t xml:space="preserve"> </w:t>
      </w:r>
      <w:r w:rsidRPr="00E675E8">
        <w:rPr>
          <w:lang w:val="es-ES_tradnl"/>
        </w:rPr>
        <w:t>Se espera que el nuevo programa de fondos fiduciarios con el Japón continúe durante el bienio 2026-2027.</w:t>
      </w:r>
    </w:p>
    <w:p w14:paraId="3576C919" w14:textId="77777777" w:rsidR="00B65EDC" w:rsidRPr="00E675E8" w:rsidRDefault="00B65EDC" w:rsidP="00B65EDC">
      <w:pPr>
        <w:rPr>
          <w:lang w:val="es-ES_tradnl"/>
        </w:rPr>
      </w:pPr>
    </w:p>
    <w:p w14:paraId="290DA6D7" w14:textId="2955ED94" w:rsidR="00B65EDC" w:rsidRPr="00E675E8" w:rsidRDefault="00B65EDC" w:rsidP="000411C9">
      <w:pPr>
        <w:keepNext/>
        <w:keepLines/>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Las tareas que antes realizaba un trabajador de agencia se han transformado ahora en el puesto fijo de un oficial adjunto de apoyo a los servicios.</w:t>
      </w:r>
      <w:r w:rsidR="002817AB" w:rsidRPr="00E675E8">
        <w:rPr>
          <w:lang w:val="es-ES_tradnl"/>
        </w:rPr>
        <w:t xml:space="preserve"> </w:t>
      </w:r>
      <w:r w:rsidRPr="00E675E8">
        <w:rPr>
          <w:lang w:val="es-ES_tradnl"/>
        </w:rPr>
        <w:t>Con el fin de adaptarse a la evolución de las necesidades derivadas del aumento de la demanda de servicios y actividades de la UPOV, se ha presupuestado la contratación de un trabajador de agencia para el bienio 2026-2027.</w:t>
      </w:r>
    </w:p>
    <w:p w14:paraId="50EC0029" w14:textId="77777777" w:rsidR="00B65EDC" w:rsidRPr="00E675E8" w:rsidRDefault="00B65EDC" w:rsidP="00B65EDC">
      <w:pPr>
        <w:rPr>
          <w:lang w:val="es-ES_tradnl"/>
        </w:rPr>
      </w:pPr>
    </w:p>
    <w:tbl>
      <w:tblPr>
        <w:tblW w:w="6580" w:type="dxa"/>
        <w:jc w:val="center"/>
        <w:tblLook w:val="04A0" w:firstRow="1" w:lastRow="0" w:firstColumn="1" w:lastColumn="0" w:noHBand="0" w:noVBand="1"/>
      </w:tblPr>
      <w:tblGrid>
        <w:gridCol w:w="2260"/>
        <w:gridCol w:w="1480"/>
        <w:gridCol w:w="1440"/>
        <w:gridCol w:w="1400"/>
      </w:tblGrid>
      <w:tr w:rsidR="00B65EDC" w:rsidRPr="00E675E8" w14:paraId="1213579E" w14:textId="77777777">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 </w:t>
            </w:r>
          </w:p>
        </w:tc>
        <w:tc>
          <w:tcPr>
            <w:tcW w:w="1480" w:type="dxa"/>
            <w:tcBorders>
              <w:top w:val="nil"/>
              <w:left w:val="nil"/>
              <w:right w:val="nil"/>
            </w:tcBorders>
            <w:shd w:val="clear" w:color="000000" w:fill="C7CFD8"/>
            <w:vAlign w:val="center"/>
            <w:hideMark/>
          </w:tcPr>
          <w:p w14:paraId="07404D49"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2022-2023 Real</w:t>
            </w:r>
          </w:p>
        </w:tc>
        <w:tc>
          <w:tcPr>
            <w:tcW w:w="1440" w:type="dxa"/>
            <w:tcBorders>
              <w:top w:val="nil"/>
              <w:left w:val="nil"/>
              <w:right w:val="nil"/>
            </w:tcBorders>
            <w:shd w:val="clear" w:color="000000" w:fill="C7CFD8"/>
            <w:vAlign w:val="center"/>
            <w:hideMark/>
          </w:tcPr>
          <w:p w14:paraId="48E1925B"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2024-2025 Presupuesto</w:t>
            </w:r>
          </w:p>
        </w:tc>
        <w:tc>
          <w:tcPr>
            <w:tcW w:w="1400" w:type="dxa"/>
            <w:tcBorders>
              <w:top w:val="nil"/>
              <w:left w:val="nil"/>
              <w:right w:val="nil"/>
            </w:tcBorders>
            <w:shd w:val="clear" w:color="000000" w:fill="C7CFD8"/>
            <w:vAlign w:val="center"/>
            <w:hideMark/>
          </w:tcPr>
          <w:p w14:paraId="10B886AD" w14:textId="62A135AD" w:rsidR="00B65EDC" w:rsidRPr="00E675E8" w:rsidRDefault="00521C0D">
            <w:pPr>
              <w:jc w:val="center"/>
              <w:rPr>
                <w:rFonts w:ascii="Arial Narrow" w:hAnsi="Arial Narrow" w:cs="Arial"/>
                <w:b/>
                <w:bCs/>
                <w:i/>
                <w:iCs/>
                <w:lang w:val="es-ES_tradnl"/>
              </w:rPr>
            </w:pPr>
            <w:r w:rsidRPr="00E675E8">
              <w:rPr>
                <w:rFonts w:ascii="Arial Narrow" w:hAnsi="Arial Narrow"/>
                <w:b/>
                <w:i/>
                <w:lang w:val="es-ES_tradnl"/>
              </w:rPr>
              <w:t>Propuesta para 2026-2027</w:t>
            </w:r>
          </w:p>
        </w:tc>
      </w:tr>
      <w:tr w:rsidR="00B65EDC" w:rsidRPr="00E675E8" w14:paraId="27B2D43F" w14:textId="77777777">
        <w:trPr>
          <w:trHeight w:val="260"/>
          <w:jc w:val="center"/>
        </w:trPr>
        <w:tc>
          <w:tcPr>
            <w:tcW w:w="2260" w:type="dxa"/>
            <w:vMerge/>
            <w:tcBorders>
              <w:top w:val="nil"/>
              <w:left w:val="nil"/>
              <w:bottom w:val="nil"/>
              <w:right w:val="nil"/>
            </w:tcBorders>
            <w:vAlign w:val="center"/>
            <w:hideMark/>
          </w:tcPr>
          <w:p w14:paraId="0B1507CB" w14:textId="77777777" w:rsidR="00B65EDC" w:rsidRPr="00E675E8" w:rsidRDefault="00B65EDC">
            <w:pPr>
              <w:jc w:val="left"/>
              <w:rPr>
                <w:rFonts w:ascii="Arial Narrow" w:hAnsi="Arial Narrow" w:cs="Arial"/>
                <w:lang w:val="es-ES_tradnl"/>
              </w:rPr>
            </w:pPr>
          </w:p>
        </w:tc>
        <w:tc>
          <w:tcPr>
            <w:tcW w:w="1480" w:type="dxa"/>
            <w:tcBorders>
              <w:top w:val="nil"/>
              <w:left w:val="nil"/>
              <w:right w:val="nil"/>
            </w:tcBorders>
            <w:shd w:val="clear" w:color="000000" w:fill="C7CFD8"/>
            <w:vAlign w:val="center"/>
            <w:hideMark/>
          </w:tcPr>
          <w:p w14:paraId="40D89D7C"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A</w:t>
            </w:r>
          </w:p>
        </w:tc>
        <w:tc>
          <w:tcPr>
            <w:tcW w:w="1440" w:type="dxa"/>
            <w:tcBorders>
              <w:top w:val="nil"/>
              <w:left w:val="nil"/>
              <w:right w:val="nil"/>
            </w:tcBorders>
            <w:shd w:val="clear" w:color="000000" w:fill="C7CFD8"/>
            <w:vAlign w:val="center"/>
            <w:hideMark/>
          </w:tcPr>
          <w:p w14:paraId="511E745D"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B</w:t>
            </w:r>
          </w:p>
        </w:tc>
        <w:tc>
          <w:tcPr>
            <w:tcW w:w="1400" w:type="dxa"/>
            <w:tcBorders>
              <w:top w:val="nil"/>
              <w:left w:val="nil"/>
              <w:right w:val="nil"/>
            </w:tcBorders>
            <w:shd w:val="clear" w:color="000000" w:fill="C7CFD8"/>
            <w:vAlign w:val="center"/>
            <w:hideMark/>
          </w:tcPr>
          <w:p w14:paraId="1862F738" w14:textId="77777777" w:rsidR="00B65EDC" w:rsidRPr="00E675E8" w:rsidRDefault="00B65EDC">
            <w:pPr>
              <w:jc w:val="center"/>
              <w:rPr>
                <w:rFonts w:ascii="Arial Narrow" w:hAnsi="Arial Narrow" w:cs="Arial"/>
                <w:b/>
                <w:bCs/>
                <w:i/>
                <w:iCs/>
                <w:lang w:val="es-ES_tradnl"/>
              </w:rPr>
            </w:pPr>
            <w:r w:rsidRPr="00E675E8">
              <w:rPr>
                <w:rFonts w:ascii="Arial Narrow" w:hAnsi="Arial Narrow"/>
                <w:b/>
                <w:i/>
                <w:lang w:val="es-ES_tradnl"/>
              </w:rPr>
              <w:t>C</w:t>
            </w:r>
          </w:p>
        </w:tc>
      </w:tr>
      <w:tr w:rsidR="00B65EDC" w:rsidRPr="00E675E8" w14:paraId="6D0E50A3" w14:textId="77777777" w:rsidTr="00A538F6">
        <w:trPr>
          <w:trHeight w:val="260"/>
          <w:jc w:val="center"/>
        </w:trPr>
        <w:tc>
          <w:tcPr>
            <w:tcW w:w="2260" w:type="dxa"/>
            <w:tcBorders>
              <w:top w:val="nil"/>
              <w:left w:val="nil"/>
              <w:bottom w:val="nil"/>
              <w:right w:val="nil"/>
            </w:tcBorders>
            <w:vAlign w:val="center"/>
            <w:hideMark/>
          </w:tcPr>
          <w:p w14:paraId="12853182"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Personal temporal</w:t>
            </w:r>
          </w:p>
        </w:tc>
        <w:tc>
          <w:tcPr>
            <w:tcW w:w="1480" w:type="dxa"/>
            <w:tcBorders>
              <w:top w:val="nil"/>
              <w:left w:val="nil"/>
              <w:bottom w:val="nil"/>
              <w:right w:val="nil"/>
            </w:tcBorders>
            <w:vAlign w:val="center"/>
          </w:tcPr>
          <w:p w14:paraId="1AC8F9AF"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2B1F5D8E"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6D54E62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r>
      <w:tr w:rsidR="00B65EDC" w:rsidRPr="00E675E8" w14:paraId="2085DBA9" w14:textId="77777777" w:rsidTr="00A538F6">
        <w:trPr>
          <w:trHeight w:val="260"/>
          <w:jc w:val="center"/>
        </w:trPr>
        <w:tc>
          <w:tcPr>
            <w:tcW w:w="2260" w:type="dxa"/>
            <w:tcBorders>
              <w:top w:val="nil"/>
              <w:left w:val="nil"/>
              <w:bottom w:val="nil"/>
              <w:right w:val="nil"/>
            </w:tcBorders>
            <w:vAlign w:val="center"/>
            <w:hideMark/>
          </w:tcPr>
          <w:p w14:paraId="593881C3"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Trabajadores de agencia</w:t>
            </w:r>
          </w:p>
        </w:tc>
        <w:tc>
          <w:tcPr>
            <w:tcW w:w="1480" w:type="dxa"/>
            <w:tcBorders>
              <w:top w:val="nil"/>
              <w:left w:val="nil"/>
              <w:bottom w:val="nil"/>
              <w:right w:val="nil"/>
            </w:tcBorders>
            <w:vAlign w:val="center"/>
          </w:tcPr>
          <w:p w14:paraId="67D6FC1D"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3</w:t>
            </w:r>
          </w:p>
        </w:tc>
        <w:tc>
          <w:tcPr>
            <w:tcW w:w="1440" w:type="dxa"/>
            <w:tcBorders>
              <w:top w:val="nil"/>
              <w:left w:val="nil"/>
              <w:bottom w:val="nil"/>
              <w:right w:val="nil"/>
            </w:tcBorders>
            <w:vAlign w:val="center"/>
          </w:tcPr>
          <w:p w14:paraId="3D92E26A"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c>
          <w:tcPr>
            <w:tcW w:w="1400" w:type="dxa"/>
            <w:tcBorders>
              <w:top w:val="nil"/>
              <w:left w:val="nil"/>
              <w:bottom w:val="nil"/>
              <w:right w:val="nil"/>
            </w:tcBorders>
            <w:vAlign w:val="center"/>
          </w:tcPr>
          <w:p w14:paraId="4704DC57"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r>
      <w:tr w:rsidR="00B65EDC" w:rsidRPr="00E675E8" w14:paraId="482D5371" w14:textId="77777777" w:rsidTr="00A538F6">
        <w:trPr>
          <w:trHeight w:val="260"/>
          <w:jc w:val="center"/>
        </w:trPr>
        <w:tc>
          <w:tcPr>
            <w:tcW w:w="2260" w:type="dxa"/>
            <w:tcBorders>
              <w:top w:val="nil"/>
              <w:left w:val="nil"/>
              <w:bottom w:val="nil"/>
              <w:right w:val="nil"/>
            </w:tcBorders>
            <w:vAlign w:val="center"/>
            <w:hideMark/>
          </w:tcPr>
          <w:p w14:paraId="4A48A501"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Becarios</w:t>
            </w:r>
          </w:p>
        </w:tc>
        <w:tc>
          <w:tcPr>
            <w:tcW w:w="1480" w:type="dxa"/>
            <w:tcBorders>
              <w:top w:val="nil"/>
              <w:left w:val="nil"/>
              <w:bottom w:val="nil"/>
              <w:right w:val="nil"/>
            </w:tcBorders>
            <w:vAlign w:val="center"/>
          </w:tcPr>
          <w:p w14:paraId="5FEF038F"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6F6869E0"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13B2A9EB"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r>
      <w:tr w:rsidR="00B65EDC" w:rsidRPr="00E675E8" w14:paraId="679CC868" w14:textId="77777777" w:rsidTr="00A538F6">
        <w:trPr>
          <w:trHeight w:val="260"/>
          <w:jc w:val="center"/>
        </w:trPr>
        <w:tc>
          <w:tcPr>
            <w:tcW w:w="2260" w:type="dxa"/>
            <w:tcBorders>
              <w:top w:val="nil"/>
              <w:left w:val="nil"/>
              <w:bottom w:val="nil"/>
              <w:right w:val="nil"/>
            </w:tcBorders>
            <w:vAlign w:val="center"/>
            <w:hideMark/>
          </w:tcPr>
          <w:p w14:paraId="0DE7034D"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Funcionarios subalternos de la categoría profesional</w:t>
            </w:r>
          </w:p>
        </w:tc>
        <w:tc>
          <w:tcPr>
            <w:tcW w:w="1480" w:type="dxa"/>
            <w:tcBorders>
              <w:top w:val="nil"/>
              <w:left w:val="nil"/>
              <w:bottom w:val="nil"/>
              <w:right w:val="nil"/>
            </w:tcBorders>
            <w:vAlign w:val="center"/>
          </w:tcPr>
          <w:p w14:paraId="72764E00"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c>
          <w:tcPr>
            <w:tcW w:w="1440" w:type="dxa"/>
            <w:tcBorders>
              <w:top w:val="nil"/>
              <w:left w:val="nil"/>
              <w:bottom w:val="nil"/>
              <w:right w:val="nil"/>
            </w:tcBorders>
            <w:vAlign w:val="center"/>
          </w:tcPr>
          <w:p w14:paraId="3F9B5C9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463B2F9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2</w:t>
            </w:r>
          </w:p>
        </w:tc>
      </w:tr>
      <w:tr w:rsidR="00B65EDC" w:rsidRPr="00E675E8" w14:paraId="5B7CCD23" w14:textId="77777777" w:rsidTr="00A538F6">
        <w:trPr>
          <w:trHeight w:val="260"/>
          <w:jc w:val="center"/>
        </w:trPr>
        <w:tc>
          <w:tcPr>
            <w:tcW w:w="2260" w:type="dxa"/>
            <w:tcBorders>
              <w:top w:val="nil"/>
              <w:left w:val="nil"/>
              <w:bottom w:val="nil"/>
              <w:right w:val="nil"/>
            </w:tcBorders>
            <w:vAlign w:val="center"/>
            <w:hideMark/>
          </w:tcPr>
          <w:p w14:paraId="04C12BDB" w14:textId="77777777" w:rsidR="00B65EDC" w:rsidRPr="00E675E8" w:rsidRDefault="00B65EDC">
            <w:pPr>
              <w:jc w:val="left"/>
              <w:rPr>
                <w:rFonts w:ascii="Arial Narrow" w:hAnsi="Arial Narrow" w:cs="Arial"/>
                <w:lang w:val="es-ES_tradnl"/>
              </w:rPr>
            </w:pPr>
            <w:r w:rsidRPr="00E675E8">
              <w:rPr>
                <w:rFonts w:ascii="Arial Narrow" w:hAnsi="Arial Narrow"/>
                <w:lang w:val="es-ES_tradnl"/>
              </w:rPr>
              <w:t>Pasantes</w:t>
            </w:r>
          </w:p>
        </w:tc>
        <w:tc>
          <w:tcPr>
            <w:tcW w:w="1480" w:type="dxa"/>
            <w:tcBorders>
              <w:top w:val="nil"/>
              <w:left w:val="nil"/>
              <w:bottom w:val="nil"/>
              <w:right w:val="nil"/>
            </w:tcBorders>
            <w:vAlign w:val="center"/>
          </w:tcPr>
          <w:p w14:paraId="01BC1D85"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40" w:type="dxa"/>
            <w:tcBorders>
              <w:top w:val="nil"/>
              <w:left w:val="nil"/>
              <w:bottom w:val="nil"/>
              <w:right w:val="nil"/>
            </w:tcBorders>
            <w:vAlign w:val="center"/>
          </w:tcPr>
          <w:p w14:paraId="28C52A32"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1</w:t>
            </w:r>
          </w:p>
        </w:tc>
        <w:tc>
          <w:tcPr>
            <w:tcW w:w="1400" w:type="dxa"/>
            <w:tcBorders>
              <w:top w:val="nil"/>
              <w:left w:val="nil"/>
              <w:bottom w:val="nil"/>
              <w:right w:val="nil"/>
            </w:tcBorders>
            <w:vAlign w:val="center"/>
          </w:tcPr>
          <w:p w14:paraId="2EF08075" w14:textId="77777777" w:rsidR="00B65EDC" w:rsidRPr="00E675E8" w:rsidRDefault="00B65EDC">
            <w:pPr>
              <w:jc w:val="center"/>
              <w:rPr>
                <w:rFonts w:ascii="Arial Narrow" w:hAnsi="Arial Narrow" w:cs="Arial"/>
                <w:lang w:val="es-ES_tradnl"/>
              </w:rPr>
            </w:pPr>
            <w:r w:rsidRPr="00E675E8">
              <w:rPr>
                <w:rFonts w:ascii="Arial Narrow" w:hAnsi="Arial Narrow"/>
                <w:lang w:val="es-ES_tradnl"/>
              </w:rPr>
              <w:t>0</w:t>
            </w:r>
          </w:p>
        </w:tc>
      </w:tr>
    </w:tbl>
    <w:p w14:paraId="5DD6A03D" w14:textId="77777777" w:rsidR="00B65EDC" w:rsidRPr="00E675E8" w:rsidRDefault="00B65EDC" w:rsidP="00B65EDC">
      <w:pPr>
        <w:rPr>
          <w:color w:val="000000" w:themeColor="text1"/>
          <w:lang w:val="es-ES_tradnl"/>
        </w:rPr>
      </w:pPr>
    </w:p>
    <w:p w14:paraId="0DCE2CEA" w14:textId="77777777" w:rsidR="00B65EDC" w:rsidRPr="00E675E8" w:rsidRDefault="00B65EDC" w:rsidP="00B65EDC">
      <w:pPr>
        <w:jc w:val="left"/>
        <w:rPr>
          <w:color w:val="26724C" w:themeColor="accent1" w:themeShade="BF"/>
          <w:sz w:val="28"/>
          <w:lang w:val="es-ES_tradnl"/>
        </w:rPr>
      </w:pPr>
      <w:bookmarkStart w:id="445" w:name="_Toc61532295"/>
      <w:bookmarkStart w:id="446" w:name="_Toc61533690"/>
      <w:r w:rsidRPr="00E675E8">
        <w:rPr>
          <w:lang w:val="es-ES_tradnl"/>
        </w:rPr>
        <w:br w:type="page"/>
      </w:r>
    </w:p>
    <w:p w14:paraId="399DBDF0" w14:textId="77777777" w:rsidR="00B65EDC" w:rsidRPr="00E675E8" w:rsidRDefault="00B65EDC" w:rsidP="00FC7FED">
      <w:pPr>
        <w:pStyle w:val="Heading1"/>
        <w:rPr>
          <w:lang w:val="es-ES_tradnl"/>
        </w:rPr>
      </w:pPr>
      <w:bookmarkStart w:id="447" w:name="_Toc209777765"/>
      <w:bookmarkEnd w:id="445"/>
      <w:bookmarkEnd w:id="446"/>
      <w:r w:rsidRPr="00E675E8">
        <w:rPr>
          <w:lang w:val="es-ES_tradnl"/>
        </w:rPr>
        <w:lastRenderedPageBreak/>
        <w:t>Objetivos y resultados previstos</w:t>
      </w:r>
      <w:bookmarkEnd w:id="447"/>
    </w:p>
    <w:p w14:paraId="738C6B1D" w14:textId="77777777" w:rsidR="00B65EDC" w:rsidRPr="00E675E8" w:rsidRDefault="00B65EDC" w:rsidP="00B65EDC">
      <w:pPr>
        <w:keepNext/>
        <w:rPr>
          <w:lang w:val="es-ES_tradnl"/>
        </w:rPr>
      </w:pPr>
    </w:p>
    <w:p w14:paraId="6CF629F3" w14:textId="77777777" w:rsidR="00B65EDC" w:rsidRPr="00E675E8" w:rsidRDefault="00B65EDC" w:rsidP="004448C7">
      <w:pPr>
        <w:pStyle w:val="Heading2"/>
        <w:rPr>
          <w:lang w:val="es-ES_tradnl"/>
        </w:rPr>
      </w:pPr>
      <w:bookmarkStart w:id="448" w:name="_Toc61532296"/>
      <w:bookmarkStart w:id="449" w:name="_Toc61533691"/>
      <w:bookmarkStart w:id="450" w:name="_Toc209777766"/>
      <w:r w:rsidRPr="00E675E8">
        <w:rPr>
          <w:lang w:val="es-ES_tradnl"/>
        </w:rPr>
        <w:t>Introducción</w:t>
      </w:r>
      <w:bookmarkEnd w:id="448"/>
      <w:bookmarkEnd w:id="449"/>
      <w:bookmarkEnd w:id="450"/>
    </w:p>
    <w:p w14:paraId="3AB43734" w14:textId="77777777" w:rsidR="00B65EDC" w:rsidRPr="00E675E8" w:rsidRDefault="00B65EDC" w:rsidP="00B65EDC">
      <w:pPr>
        <w:rPr>
          <w:lang w:val="es-ES_tradnl"/>
        </w:rPr>
      </w:pPr>
    </w:p>
    <w:p w14:paraId="2EB69D55" w14:textId="07ADF1C4"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Plan Operativo Estratégico de la UPOV para el período 2026-2029 constituye la base del programa y presupuesto para el bienio 2026-2027.</w:t>
      </w:r>
    </w:p>
    <w:p w14:paraId="2EBE9EBF" w14:textId="77777777" w:rsidR="00B65EDC" w:rsidRPr="00E675E8" w:rsidRDefault="00B65EDC" w:rsidP="00B65EDC">
      <w:pPr>
        <w:rPr>
          <w:color w:val="000000" w:themeColor="text1"/>
          <w:lang w:val="es-ES_tradnl"/>
        </w:rPr>
      </w:pPr>
    </w:p>
    <w:p w14:paraId="61DCC932" w14:textId="77777777"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Edificio de la Estrategia resume la misión, los pilares estratégicos y el fundamento de la UPOV, al tiempo que proporciona un marco para responder a la necesidad de un sistema eficaz de protección de las obtenciones vegetales que fomente el desarrollo de nuevas variedades vegetales, en beneficio de la sociedad.</w:t>
      </w:r>
    </w:p>
    <w:p w14:paraId="6E1F6BC3" w14:textId="77777777" w:rsidR="00B65EDC" w:rsidRPr="00E675E8" w:rsidRDefault="00B65EDC" w:rsidP="00B65EDC">
      <w:pPr>
        <w:rPr>
          <w:color w:val="000000" w:themeColor="text1"/>
          <w:lang w:val="es-ES_tradnl"/>
        </w:rPr>
      </w:pPr>
    </w:p>
    <w:tbl>
      <w:tblPr>
        <w:tblStyle w:val="TableGrid"/>
        <w:tblW w:w="0" w:type="auto"/>
        <w:tblLook w:val="04A0" w:firstRow="1" w:lastRow="0" w:firstColumn="1" w:lastColumn="0" w:noHBand="0" w:noVBand="1"/>
      </w:tblPr>
      <w:tblGrid>
        <w:gridCol w:w="9639"/>
      </w:tblGrid>
      <w:tr w:rsidR="00B65EDC" w:rsidRPr="00E675E8" w14:paraId="390CCC32" w14:textId="77777777">
        <w:tc>
          <w:tcPr>
            <w:tcW w:w="9639" w:type="dxa"/>
            <w:tcBorders>
              <w:top w:val="nil"/>
              <w:left w:val="nil"/>
              <w:bottom w:val="nil"/>
              <w:right w:val="nil"/>
            </w:tcBorders>
            <w:hideMark/>
          </w:tcPr>
          <w:p w14:paraId="4676078F" w14:textId="2FF350B5" w:rsidR="00B65EDC" w:rsidRPr="00E675E8" w:rsidRDefault="00DE1371">
            <w:pPr>
              <w:jc w:val="center"/>
              <w:rPr>
                <w:color w:val="000000" w:themeColor="text1"/>
                <w:highlight w:val="yellow"/>
                <w:lang w:val="es-ES_tradnl"/>
              </w:rPr>
            </w:pPr>
            <w:r w:rsidRPr="000231EE">
              <w:rPr>
                <w:noProof/>
                <w:color w:val="000000" w:themeColor="text1"/>
                <w:lang w:val="es-419"/>
              </w:rPr>
              <w:drawing>
                <wp:inline distT="0" distB="0" distL="0" distR="0" wp14:anchorId="246BF0A5" wp14:editId="5BFBA8F4">
                  <wp:extent cx="4694400" cy="3110540"/>
                  <wp:effectExtent l="0" t="0" r="5080" b="1270"/>
                  <wp:docPr id="2000428811" name="Picture 20004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4400" cy="3110540"/>
                          </a:xfrm>
                          <a:prstGeom prst="rect">
                            <a:avLst/>
                          </a:prstGeom>
                          <a:noFill/>
                          <a:ln>
                            <a:noFill/>
                          </a:ln>
                        </pic:spPr>
                      </pic:pic>
                    </a:graphicData>
                  </a:graphic>
                </wp:inline>
              </w:drawing>
            </w:r>
          </w:p>
        </w:tc>
      </w:tr>
    </w:tbl>
    <w:p w14:paraId="3B026C70" w14:textId="77777777" w:rsidR="00B65EDC" w:rsidRPr="00E675E8" w:rsidRDefault="00B65EDC" w:rsidP="00B65EDC">
      <w:pPr>
        <w:rPr>
          <w:lang w:val="es-ES_tradnl"/>
        </w:rPr>
      </w:pPr>
    </w:p>
    <w:p w14:paraId="6706C918" w14:textId="77777777"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tres pilares estratégicos sustentan la misión de la UPOV. Representan las grandes áreas de interés estratégico de la UPOV que, a su vez, se traducen en los siguientes resultados previstos:</w:t>
      </w:r>
    </w:p>
    <w:p w14:paraId="0A5D97B5" w14:textId="77777777" w:rsidR="00B65EDC" w:rsidRPr="00E675E8" w:rsidRDefault="00B65EDC" w:rsidP="00B65EDC">
      <w:pPr>
        <w:rPr>
          <w:bCs/>
          <w:lang w:val="es-ES_tradnl"/>
        </w:rPr>
      </w:pPr>
    </w:p>
    <w:tbl>
      <w:tblPr>
        <w:tblStyle w:val="TableGrid"/>
        <w:tblW w:w="0" w:type="auto"/>
        <w:tblLook w:val="04A0" w:firstRow="1" w:lastRow="0" w:firstColumn="1" w:lastColumn="0" w:noHBand="0" w:noVBand="1"/>
      </w:tblPr>
      <w:tblGrid>
        <w:gridCol w:w="9639"/>
      </w:tblGrid>
      <w:tr w:rsidR="00B65EDC" w:rsidRPr="00E675E8" w14:paraId="452C723F" w14:textId="77777777" w:rsidTr="00DE1371">
        <w:trPr>
          <w:trHeight w:val="5062"/>
        </w:trPr>
        <w:tc>
          <w:tcPr>
            <w:tcW w:w="9639" w:type="dxa"/>
            <w:tcBorders>
              <w:top w:val="nil"/>
              <w:left w:val="nil"/>
              <w:bottom w:val="nil"/>
              <w:right w:val="nil"/>
            </w:tcBorders>
            <w:hideMark/>
          </w:tcPr>
          <w:p w14:paraId="4391A324" w14:textId="62035DC6" w:rsidR="00B65EDC" w:rsidRPr="00E675E8" w:rsidRDefault="00DE1371">
            <w:pPr>
              <w:jc w:val="center"/>
              <w:rPr>
                <w:bCs/>
                <w:lang w:val="es-ES_tradnl"/>
              </w:rPr>
            </w:pPr>
            <w:r>
              <w:rPr>
                <w:bCs/>
                <w:noProof/>
                <w:lang w:val="es-ES_tradnl"/>
              </w:rPr>
              <w:drawing>
                <wp:inline distT="0" distB="0" distL="0" distR="0" wp14:anchorId="403B1F7E" wp14:editId="53CE16E0">
                  <wp:extent cx="4854078" cy="3171135"/>
                  <wp:effectExtent l="0" t="0" r="3810" b="0"/>
                  <wp:docPr id="539021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881" cy="3173619"/>
                          </a:xfrm>
                          <a:prstGeom prst="rect">
                            <a:avLst/>
                          </a:prstGeom>
                          <a:noFill/>
                        </pic:spPr>
                      </pic:pic>
                    </a:graphicData>
                  </a:graphic>
                </wp:inline>
              </w:drawing>
            </w:r>
          </w:p>
        </w:tc>
      </w:tr>
    </w:tbl>
    <w:p w14:paraId="5527B061" w14:textId="77777777" w:rsidR="00B65EDC" w:rsidRPr="00E675E8" w:rsidRDefault="00B65EDC" w:rsidP="00B65EDC">
      <w:pPr>
        <w:rPr>
          <w:bCs/>
          <w:lang w:val="es-ES_tradnl"/>
        </w:rPr>
      </w:pPr>
    </w:p>
    <w:p w14:paraId="6EA65CBE" w14:textId="5C896355" w:rsidR="00B65EDC" w:rsidRPr="00E675E8" w:rsidRDefault="00B65EDC" w:rsidP="00B65EDC">
      <w:pPr>
        <w:rPr>
          <w:bCs/>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En las siguientes secciones se explican con más detalle los tres pilares estratégicos y el fundamento, así como sus respectivos resultados previstos.</w:t>
      </w:r>
      <w:r w:rsidR="002817AB" w:rsidRPr="00E675E8">
        <w:rPr>
          <w:lang w:val="es-ES_tradnl"/>
        </w:rPr>
        <w:t xml:space="preserve"> </w:t>
      </w:r>
      <w:r w:rsidRPr="00E675E8">
        <w:rPr>
          <w:lang w:val="es-ES_tradnl"/>
        </w:rPr>
        <w:t>Los riesgos estratégicos y las respuestas asociadas a los pilares del Plan Operativo Estratégico y al fundamento figuran en el Plan Operativo Estratégico 2026-2029.</w:t>
      </w:r>
    </w:p>
    <w:p w14:paraId="7B9E0265" w14:textId="77777777" w:rsidR="0052247A" w:rsidRPr="00E675E8" w:rsidRDefault="0052247A" w:rsidP="00B65EDC">
      <w:pPr>
        <w:rPr>
          <w:bCs/>
          <w:lang w:val="es-ES_tradnl"/>
        </w:rPr>
      </w:pPr>
    </w:p>
    <w:p w14:paraId="7F40C740" w14:textId="77777777" w:rsidR="00B65EDC" w:rsidRPr="00E675E8" w:rsidRDefault="00B65EDC" w:rsidP="00B65EDC">
      <w:pPr>
        <w:rPr>
          <w:lang w:val="es-ES_tradnl"/>
        </w:rPr>
      </w:pPr>
    </w:p>
    <w:p w14:paraId="7328E78B" w14:textId="77777777" w:rsidR="00B65EDC" w:rsidRPr="00E675E8" w:rsidRDefault="00B65EDC" w:rsidP="00B65EDC">
      <w:pPr>
        <w:rPr>
          <w:lang w:val="es-ES_tradnl"/>
        </w:rPr>
      </w:pPr>
    </w:p>
    <w:p w14:paraId="0347C519" w14:textId="3279DFD8" w:rsidR="00B65EDC" w:rsidRPr="00E675E8" w:rsidRDefault="00B65EDC" w:rsidP="004448C7">
      <w:pPr>
        <w:pStyle w:val="Heading2"/>
        <w:rPr>
          <w:lang w:val="es-ES_tradnl"/>
        </w:rPr>
      </w:pPr>
      <w:bookmarkStart w:id="451" w:name="_Toc117798882"/>
      <w:bookmarkStart w:id="452" w:name="_Toc107239587"/>
      <w:bookmarkStart w:id="453" w:name="_Toc107239337"/>
      <w:bookmarkStart w:id="454" w:name="_Toc209777767"/>
      <w:r w:rsidRPr="00E675E8">
        <w:rPr>
          <w:lang w:val="es-ES_tradnl"/>
        </w:rPr>
        <w:t>Pilar 1:</w:t>
      </w:r>
      <w:r w:rsidR="002817AB" w:rsidRPr="00E675E8">
        <w:rPr>
          <w:lang w:val="es-ES_tradnl"/>
        </w:rPr>
        <w:t xml:space="preserve"> </w:t>
      </w:r>
      <w:r w:rsidRPr="00E675E8">
        <w:rPr>
          <w:lang w:val="es-ES_tradnl"/>
        </w:rPr>
        <w:t>Reunir a las partes interesadas para que contribuyan a dar forma al sistema de la UPOV</w:t>
      </w:r>
      <w:bookmarkEnd w:id="451"/>
      <w:bookmarkEnd w:id="452"/>
      <w:bookmarkEnd w:id="453"/>
      <w:bookmarkEnd w:id="454"/>
    </w:p>
    <w:p w14:paraId="7360FE76" w14:textId="77777777" w:rsidR="00B65EDC" w:rsidRPr="00E675E8" w:rsidRDefault="00B65EDC" w:rsidP="00B65EDC">
      <w:pPr>
        <w:rPr>
          <w:b/>
          <w:bCs/>
          <w:sz w:val="22"/>
          <w:szCs w:val="22"/>
          <w:lang w:val="es-ES_tradnl"/>
        </w:rPr>
      </w:pPr>
    </w:p>
    <w:p w14:paraId="6B0EDF6A" w14:textId="77777777" w:rsidR="00B65EDC" w:rsidRPr="00E675E8" w:rsidRDefault="00B65EDC" w:rsidP="000363C4">
      <w:pPr>
        <w:pStyle w:val="Heading3"/>
        <w:rPr>
          <w:sz w:val="20"/>
          <w:lang w:val="es-ES_tradnl"/>
        </w:rPr>
      </w:pPr>
      <w:bookmarkStart w:id="455" w:name="_Toc209777768"/>
      <w:r w:rsidRPr="00E675E8">
        <w:rPr>
          <w:lang w:val="es-ES_tradnl"/>
        </w:rPr>
        <w:t>Estrategia para lograr los resultados previstos</w:t>
      </w:r>
      <w:bookmarkEnd w:id="455"/>
    </w:p>
    <w:p w14:paraId="349DE1AA" w14:textId="77777777" w:rsidR="00B65EDC" w:rsidRPr="00E675E8" w:rsidRDefault="00B65EDC" w:rsidP="00B65EDC">
      <w:pPr>
        <w:rPr>
          <w:b/>
          <w:bCs/>
          <w:sz w:val="22"/>
          <w:szCs w:val="22"/>
          <w:lang w:val="es-ES_tradnl"/>
        </w:rPr>
      </w:pPr>
    </w:p>
    <w:p w14:paraId="27E70FD9" w14:textId="77777777"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Este pilar estratégico se centra en la función de la UPOV como espacio de encuentro de los miembros de la Unión para que supervisen y coordinen el trabajo de la Organización y trabajen con las partes interesadas para que contribuyan a dar forma al futuro del sistema de la UPOV.</w:t>
      </w:r>
    </w:p>
    <w:p w14:paraId="6657D08C" w14:textId="77777777" w:rsidR="00B65EDC" w:rsidRPr="00E675E8" w:rsidRDefault="00B65EDC" w:rsidP="00B65EDC">
      <w:pPr>
        <w:rPr>
          <w:bCs/>
          <w:lang w:val="es-ES_tradnl"/>
        </w:rPr>
      </w:pPr>
    </w:p>
    <w:p w14:paraId="51E86718" w14:textId="6A734446"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bookmarkStart w:id="456" w:name="_Hlk190115212"/>
      <w:r w:rsidRPr="00E675E8">
        <w:rPr>
          <w:lang w:val="es-ES_tradnl"/>
        </w:rPr>
        <w:t>En octubre de 2024, el Comité Consultivo aprobó el desarrollo del análisis prospectivo y la integración de las estrategias clave identificadas en el documento CC/102/3 en las futuras versiones del Plan Operativo Estratégico.</w:t>
      </w:r>
      <w:r w:rsidR="002817AB" w:rsidRPr="00E675E8">
        <w:rPr>
          <w:lang w:val="es-ES_tradnl"/>
        </w:rPr>
        <w:t xml:space="preserve"> </w:t>
      </w:r>
      <w:r w:rsidRPr="00E675E8">
        <w:rPr>
          <w:lang w:val="es-ES_tradnl"/>
        </w:rPr>
        <w:t xml:space="preserve">En octubre de 2025, se someterá a consideración de los miembros de la UPOV una serie de propuestas para una </w:t>
      </w:r>
      <w:r w:rsidR="000475D2">
        <w:rPr>
          <w:lang w:val="es-ES_tradnl"/>
        </w:rPr>
        <w:t>E</w:t>
      </w:r>
      <w:r w:rsidRPr="00E675E8">
        <w:rPr>
          <w:lang w:val="es-ES_tradnl"/>
        </w:rPr>
        <w:t xml:space="preserve">strategia de recursos </w:t>
      </w:r>
      <w:r w:rsidR="000475D2">
        <w:rPr>
          <w:lang w:val="es-ES_tradnl"/>
        </w:rPr>
        <w:t xml:space="preserve">de la UPOV </w:t>
      </w:r>
      <w:r w:rsidRPr="00E675E8">
        <w:rPr>
          <w:lang w:val="es-ES_tradnl"/>
        </w:rPr>
        <w:t>(documento C/59/16), que permita el desarrollo sostenible de la UPOV, así como un aumento de su divulgación e incidencia.</w:t>
      </w:r>
    </w:p>
    <w:bookmarkEnd w:id="456"/>
    <w:p w14:paraId="5BC7F48F" w14:textId="77777777" w:rsidR="00B65EDC" w:rsidRPr="00E675E8" w:rsidRDefault="00B65EDC" w:rsidP="00B65EDC">
      <w:pPr>
        <w:rPr>
          <w:b/>
          <w:bCs/>
          <w:sz w:val="22"/>
          <w:szCs w:val="22"/>
          <w:lang w:val="es-ES_tradnl"/>
        </w:rPr>
      </w:pPr>
    </w:p>
    <w:p w14:paraId="20FE00EC" w14:textId="77777777" w:rsidR="00B65EDC" w:rsidRPr="00E675E8" w:rsidRDefault="00B65EDC" w:rsidP="003F289C">
      <w:pPr>
        <w:pStyle w:val="Heading4"/>
        <w:rPr>
          <w:lang w:val="es-ES_tradnl"/>
        </w:rPr>
      </w:pPr>
      <w:r w:rsidRPr="00E675E8">
        <w:rPr>
          <w:u w:val="none"/>
          <w:lang w:val="es-ES_tradnl"/>
        </w:rPr>
        <w:t>1.1</w:t>
      </w:r>
      <w:r w:rsidRPr="00E675E8">
        <w:rPr>
          <w:u w:val="none"/>
          <w:lang w:val="es-ES_tradnl"/>
        </w:rPr>
        <w:tab/>
      </w:r>
      <w:r w:rsidRPr="00E675E8">
        <w:rPr>
          <w:lang w:val="es-ES_tradnl"/>
        </w:rPr>
        <w:t xml:space="preserve">Gobernanza del Consejo de la UPOV y labor de los comités y otros órganos de la UPOV </w:t>
      </w:r>
    </w:p>
    <w:p w14:paraId="4B761196" w14:textId="77777777" w:rsidR="00B65EDC" w:rsidRPr="00E675E8" w:rsidRDefault="00B65EDC" w:rsidP="003F289C">
      <w:pPr>
        <w:rPr>
          <w:lang w:val="es-ES_tradnl"/>
        </w:rPr>
      </w:pPr>
    </w:p>
    <w:p w14:paraId="0B8D75A5"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Consejo, integrado por miembros de la Unión y observadores, seguirá llevando la dirección de la UPOV, con la orientación del Comité Consultivo, el Comité Administrativo y Jurídico y el Comité Técnico.</w:t>
      </w:r>
    </w:p>
    <w:p w14:paraId="4CE6FFBA" w14:textId="77777777" w:rsidR="00B65EDC" w:rsidRPr="00E675E8" w:rsidRDefault="00B65EDC" w:rsidP="00B65EDC">
      <w:pPr>
        <w:rPr>
          <w:lang w:val="es-ES_tradnl"/>
        </w:rPr>
      </w:pPr>
    </w:p>
    <w:p w14:paraId="54ED52AB" w14:textId="12AA853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uso de herramientas de reunión virtual aumentó la participación en las sesiones de los órganos de la UPOV.</w:t>
      </w:r>
      <w:r w:rsidR="002817AB" w:rsidRPr="00E675E8">
        <w:rPr>
          <w:lang w:val="es-ES_tradnl"/>
        </w:rPr>
        <w:t xml:space="preserve"> </w:t>
      </w:r>
      <w:r w:rsidRPr="00E675E8">
        <w:rPr>
          <w:lang w:val="es-ES_tradnl"/>
        </w:rPr>
        <w:t xml:space="preserve">El número de miembros de la UPOV que asistieron a las reuniones de los Grupos de Trabajo Técnico de 2020 a 2024 aumentó en un 43 % con respecto al período de 2015 a 2019, antes de la introducción de la participación virtual (promedio de 2015 a 2019, 30 miembros; promedio de 2020 a 2024, 43 miembros). El número total de participantes aumentó en un 86 % de 2020 a 2024 en comparación con el período de 2015 a 2019 (de 277 a 516 participantes). </w:t>
      </w:r>
    </w:p>
    <w:p w14:paraId="2F894AA1" w14:textId="77777777" w:rsidR="00B65EDC" w:rsidRPr="00E675E8" w:rsidRDefault="00B65EDC" w:rsidP="00B65EDC">
      <w:pPr>
        <w:rPr>
          <w:lang w:val="es-ES_tradnl"/>
        </w:rPr>
      </w:pPr>
    </w:p>
    <w:bookmarkStart w:id="457" w:name="_Hlk190100681"/>
    <w:p w14:paraId="4100DA87" w14:textId="18F011D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A medida que evolucione la UPOV, y en aras de lograr la máxima eficacia, se revisará la labor de los comités.</w:t>
      </w:r>
      <w:r w:rsidR="002817AB" w:rsidRPr="00E675E8">
        <w:rPr>
          <w:lang w:val="es-ES_tradnl"/>
        </w:rPr>
        <w:t xml:space="preserve"> </w:t>
      </w:r>
      <w:r w:rsidRPr="00E675E8">
        <w:rPr>
          <w:lang w:val="es-ES_tradnl"/>
        </w:rPr>
        <w:t>En 2023, el Comité Técnico acordó revisar periódicamente la labor de los Grupos de Trabajo Técnico basándose en indicadores de rendimiento y en encuestas periódicas a los miembros de la UPOV y a las organizaciones observadoras.</w:t>
      </w:r>
      <w:r w:rsidR="002817AB" w:rsidRPr="00E675E8">
        <w:rPr>
          <w:lang w:val="es-ES_tradnl"/>
        </w:rPr>
        <w:t xml:space="preserve"> </w:t>
      </w:r>
      <w:r w:rsidRPr="00E675E8">
        <w:rPr>
          <w:lang w:val="es-ES_tradnl"/>
        </w:rPr>
        <w:t>Durante el bienio 2026-2027, este proceso continuará para evaluar la posibilidad de que la labor del Comité Técnico sea más eficaz, sobre todo con vistas a aumentar la cooperación como beneficio fundamental de la pertenencia a la UPOV.</w:t>
      </w:r>
      <w:r w:rsidR="002817AB" w:rsidRPr="00E675E8">
        <w:rPr>
          <w:lang w:val="es-ES_tradnl"/>
        </w:rPr>
        <w:t xml:space="preserve"> </w:t>
      </w:r>
    </w:p>
    <w:p w14:paraId="58CC574A" w14:textId="77777777" w:rsidR="00B65EDC" w:rsidRPr="00E675E8" w:rsidRDefault="00B65EDC" w:rsidP="00B65EDC">
      <w:pPr>
        <w:rPr>
          <w:lang w:val="es-ES_tradnl"/>
        </w:rPr>
      </w:pPr>
    </w:p>
    <w:bookmarkEnd w:id="457"/>
    <w:p w14:paraId="323DA174" w14:textId="77777777" w:rsidR="00B65EDC" w:rsidRPr="00E675E8" w:rsidRDefault="00B65EDC" w:rsidP="003F289C">
      <w:pPr>
        <w:pStyle w:val="Heading4"/>
        <w:rPr>
          <w:lang w:val="es-ES_tradnl"/>
        </w:rPr>
      </w:pPr>
      <w:r w:rsidRPr="00E675E8">
        <w:rPr>
          <w:u w:val="none"/>
          <w:lang w:val="es-ES_tradnl"/>
        </w:rPr>
        <w:t>1.2</w:t>
      </w:r>
      <w:r w:rsidRPr="00E675E8">
        <w:rPr>
          <w:u w:val="none"/>
          <w:lang w:val="es-ES_tradnl"/>
        </w:rPr>
        <w:tab/>
      </w:r>
      <w:r w:rsidRPr="00E675E8">
        <w:rPr>
          <w:lang w:val="es-ES_tradnl"/>
        </w:rPr>
        <w:t>Elaboración de legislación sobre la protección de las obtenciones vegetales de conformidad con el Acta de 1991 del Convenio de la UPOV</w:t>
      </w:r>
    </w:p>
    <w:p w14:paraId="0167A461" w14:textId="77777777" w:rsidR="00B65EDC" w:rsidRPr="00E675E8" w:rsidRDefault="00B65EDC" w:rsidP="00B65EDC">
      <w:pPr>
        <w:rPr>
          <w:bCs/>
          <w:lang w:val="es-ES_tradnl"/>
        </w:rPr>
      </w:pPr>
    </w:p>
    <w:p w14:paraId="0019CA6D" w14:textId="0CAC34AE"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Todo Estado u organización intergubernamental que desee pasar a ser miembro de la UPOV ha de recibir una opinión positiva del Consejo de la UPOV sobre la conformidad de su legislación con las disposiciones del Convenio de la UPOV antes de depositar su instrumento de adhesión.</w:t>
      </w:r>
      <w:r w:rsidR="002817AB" w:rsidRPr="00E675E8">
        <w:rPr>
          <w:lang w:val="es-ES_tradnl"/>
        </w:rPr>
        <w:t xml:space="preserve"> </w:t>
      </w:r>
      <w:r w:rsidRPr="00E675E8">
        <w:rPr>
          <w:lang w:val="es-ES_tradnl"/>
        </w:rPr>
        <w:t>Una parte fundamental de la labor de la UPOV consiste en orientar a los Estados y organizaciones intergubernamentales que deseen elaborar leyes de conformidad con el Acta de 1991 del Convenio de la UPOV.</w:t>
      </w:r>
      <w:r w:rsidR="002817AB" w:rsidRPr="00E675E8">
        <w:rPr>
          <w:lang w:val="es-ES_tradnl"/>
        </w:rPr>
        <w:t xml:space="preserve"> </w:t>
      </w:r>
    </w:p>
    <w:p w14:paraId="78775904" w14:textId="77777777" w:rsidR="00B65EDC" w:rsidRPr="00E675E8" w:rsidRDefault="00B65EDC" w:rsidP="00B65EDC">
      <w:pPr>
        <w:rPr>
          <w:bCs/>
          <w:lang w:val="es-ES_tradnl"/>
        </w:rPr>
      </w:pPr>
    </w:p>
    <w:p w14:paraId="159ED43E" w14:textId="011BC996"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se espera seguir recibiendo un elevado número de solicitudes de asesoramiento legislativo por parte de Estados/organizaciones intergubernamentales, principalmente de países de África, la región árabe, el Caribe y el sudeste asiático.</w:t>
      </w:r>
      <w:r w:rsidR="002817AB" w:rsidRPr="00E675E8">
        <w:rPr>
          <w:lang w:val="es-ES_tradnl"/>
        </w:rPr>
        <w:t xml:space="preserve"> </w:t>
      </w:r>
      <w:r w:rsidRPr="00E675E8">
        <w:rPr>
          <w:lang w:val="es-ES_tradnl"/>
        </w:rPr>
        <w:t>La experiencia demuestra que los miembros candidatos valoran el apoyo legislativo prestado por la Oficina de la Unión y que este tiene una repercusión global positiva.</w:t>
      </w:r>
      <w:r w:rsidR="002817AB" w:rsidRPr="00E675E8">
        <w:rPr>
          <w:lang w:val="es-ES_tradnl"/>
        </w:rPr>
        <w:t xml:space="preserve"> </w:t>
      </w:r>
      <w:r w:rsidRPr="00E675E8">
        <w:rPr>
          <w:lang w:val="es-ES_tradnl"/>
        </w:rPr>
        <w:t>No obstante, la experiencia también demuestra que, incluso cuando un candidato a miembro ha recibido orientaciones, estas no siempre conducen a las modificaciones legislativas necesarias para incorporar las disposiciones esenciales del Convenio de la UPOV y a la posterior presentación del instrumento de adhesión para convertirse en miembro de la UPOV.</w:t>
      </w:r>
      <w:r w:rsidR="002817AB" w:rsidRPr="00E675E8">
        <w:rPr>
          <w:lang w:val="es-ES_tradnl"/>
        </w:rPr>
        <w:t xml:space="preserve"> </w:t>
      </w:r>
      <w:r w:rsidRPr="00E675E8">
        <w:rPr>
          <w:lang w:val="es-ES_tradnl"/>
        </w:rPr>
        <w:t>Es necesario comprender los objetivos de política y las circunstancias locales para apoyar el camino de los países hacia la adhesión a la UPOV.</w:t>
      </w:r>
      <w:r w:rsidR="002817AB" w:rsidRPr="00E675E8">
        <w:rPr>
          <w:lang w:val="es-ES_tradnl"/>
        </w:rPr>
        <w:t xml:space="preserve"> </w:t>
      </w:r>
      <w:r w:rsidRPr="00E675E8">
        <w:rPr>
          <w:lang w:val="es-ES_tradnl"/>
        </w:rPr>
        <w:t>Por consiguiente, la orientación legislativa proporcionada por la Oficina de la UPOV y/o el asesoramiento positivo proporcionado por el Consejo de la UPOV en muchos casos deben ir acompañados de actividades de divulgación dirigidas a los responsables de políticas y a las partes interesadas, para mostrarles los beneficios de pertenecer a la UPOV y la contribución a los objetivos de desarrollo de los países.</w:t>
      </w:r>
      <w:r w:rsidR="002817AB" w:rsidRPr="00E675E8">
        <w:rPr>
          <w:lang w:val="es-ES_tradnl"/>
        </w:rPr>
        <w:t xml:space="preserve"> </w:t>
      </w:r>
      <w:r w:rsidRPr="00E675E8">
        <w:rPr>
          <w:lang w:val="es-ES_tradnl"/>
        </w:rPr>
        <w:t xml:space="preserve">El “Programa de la UPOV para directivos </w:t>
      </w:r>
      <w:r w:rsidRPr="00E675E8">
        <w:rPr>
          <w:lang w:val="es-ES_tradnl"/>
        </w:rPr>
        <w:lastRenderedPageBreak/>
        <w:t>sobre protección de las obtenciones vegetales para el desarrollo de la agricultura”, celebrado en Ginebra del 3 al 6 de diciembre de 2024, constituyó un importante foro para que las personas encargadas de formular políticas se comprometieran en este ámbito.</w:t>
      </w:r>
      <w:r w:rsidR="002817AB" w:rsidRPr="00E675E8">
        <w:rPr>
          <w:lang w:val="es-ES_tradnl"/>
        </w:rPr>
        <w:t xml:space="preserve"> </w:t>
      </w:r>
      <w:r w:rsidRPr="00E675E8">
        <w:rPr>
          <w:lang w:val="es-ES_tradnl"/>
        </w:rPr>
        <w:t xml:space="preserve">En 2026-2027, la Oficina de la UPOV seguirá contribuyendo a las actividades de divulgación, en función de los recursos disponibles. </w:t>
      </w:r>
    </w:p>
    <w:p w14:paraId="09411D94" w14:textId="77777777" w:rsidR="00B65EDC" w:rsidRPr="00E675E8" w:rsidRDefault="00B65EDC" w:rsidP="00B65EDC">
      <w:pPr>
        <w:rPr>
          <w:bCs/>
          <w:lang w:val="es-ES_tradnl"/>
        </w:rPr>
      </w:pPr>
      <w:bookmarkStart w:id="458" w:name="_Hlk190098373"/>
    </w:p>
    <w:p w14:paraId="22185C15" w14:textId="4ABF1B58" w:rsidR="00B65EDC" w:rsidRPr="00E675E8" w:rsidRDefault="00B65EDC" w:rsidP="00B65EDC">
      <w:pPr>
        <w:rPr>
          <w:bCs/>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solicitudes de protección de las obtenciones vegetales entre los miembros de la UPOV han crecido un 80 % en los últimos ocho años.</w:t>
      </w:r>
      <w:r w:rsidR="002817AB" w:rsidRPr="00E675E8">
        <w:rPr>
          <w:lang w:val="es-ES_tradnl"/>
        </w:rPr>
        <w:t xml:space="preserve"> </w:t>
      </w:r>
      <w:r w:rsidR="00DE1371">
        <w:rPr>
          <w:lang w:val="es-ES_tradnl"/>
        </w:rPr>
        <w:t xml:space="preserve"> </w:t>
      </w:r>
      <w:r w:rsidRPr="00E675E8">
        <w:rPr>
          <w:lang w:val="es-ES_tradnl"/>
        </w:rPr>
        <w:t>En 2024 se presentaron aproximadamente 29</w:t>
      </w:r>
      <w:r w:rsidR="00DE1371">
        <w:rPr>
          <w:lang w:val="es-ES_tradnl"/>
        </w:rPr>
        <w:t> </w:t>
      </w:r>
      <w:r w:rsidRPr="00E675E8">
        <w:rPr>
          <w:lang w:val="es-ES_tradnl"/>
        </w:rPr>
        <w:t>250 solicitudes de variedades vegetales en los países miembros de la UPOV, lo que supone un aumento del 0,6 % con respecto a 2023 y el noveno año consecutivo de crecimiento.</w:t>
      </w:r>
      <w:r w:rsidR="002817AB" w:rsidRPr="00E675E8">
        <w:rPr>
          <w:lang w:val="es-ES_tradnl"/>
        </w:rPr>
        <w:t xml:space="preserve"> </w:t>
      </w:r>
      <w:r w:rsidR="00DE1371">
        <w:rPr>
          <w:lang w:val="es-ES_tradnl"/>
        </w:rPr>
        <w:t xml:space="preserve"> </w:t>
      </w:r>
      <w:r w:rsidRPr="00E675E8">
        <w:rPr>
          <w:lang w:val="es-ES_tradnl"/>
        </w:rPr>
        <w:t>No obstante, este modesto aumento también refleja la tasa de crecimiento interanual más baja desde 2015, debido principalmente a la desaceleración de las solicitudes procedentes de China.</w:t>
      </w:r>
      <w:r w:rsidR="002817AB" w:rsidRPr="00E675E8">
        <w:rPr>
          <w:lang w:val="es-ES_tradnl"/>
        </w:rPr>
        <w:t xml:space="preserve"> </w:t>
      </w:r>
      <w:r w:rsidR="00DE1371">
        <w:rPr>
          <w:lang w:val="es-ES_tradnl"/>
        </w:rPr>
        <w:t xml:space="preserve"> </w:t>
      </w:r>
      <w:r w:rsidRPr="00E675E8">
        <w:rPr>
          <w:lang w:val="es-ES_tradnl"/>
        </w:rPr>
        <w:t>En la actualidad, hay más de 200</w:t>
      </w:r>
      <w:r w:rsidR="00DE1371">
        <w:rPr>
          <w:lang w:val="es-ES_tradnl"/>
        </w:rPr>
        <w:t> </w:t>
      </w:r>
      <w:r w:rsidRPr="00E675E8">
        <w:rPr>
          <w:lang w:val="es-ES_tradnl"/>
        </w:rPr>
        <w:t>000 títulos en vigor.</w:t>
      </w:r>
      <w:r w:rsidR="002817AB" w:rsidRPr="00E675E8">
        <w:rPr>
          <w:lang w:val="es-ES_tradnl"/>
        </w:rPr>
        <w:t xml:space="preserve"> </w:t>
      </w:r>
      <w:r w:rsidR="00DE1371">
        <w:rPr>
          <w:lang w:val="es-ES_tradnl"/>
        </w:rPr>
        <w:t xml:space="preserve"> </w:t>
      </w:r>
      <w:r w:rsidRPr="00E675E8">
        <w:rPr>
          <w:lang w:val="es-ES_tradnl"/>
        </w:rPr>
        <w:t>El objetivo propuesto para el período 2026-2027 es un crecimiento anual del 1</w:t>
      </w:r>
      <w:r w:rsidR="00DE1371">
        <w:rPr>
          <w:lang w:val="es-ES_tradnl"/>
        </w:rPr>
        <w:t> </w:t>
      </w:r>
      <w:r w:rsidRPr="00E675E8">
        <w:rPr>
          <w:lang w:val="es-ES_tradnl"/>
        </w:rPr>
        <w:t>% en el número total de solicitudes y títulos concedidos, debido a un aumento moderado de las solicitudes presentadas por la mayoría de los miembros de la UPOV, y un crecimiento del 2</w:t>
      </w:r>
      <w:r w:rsidR="00DE1371">
        <w:rPr>
          <w:lang w:val="es-ES_tradnl"/>
        </w:rPr>
        <w:t> </w:t>
      </w:r>
      <w:r w:rsidRPr="00E675E8">
        <w:rPr>
          <w:lang w:val="es-ES_tradnl"/>
        </w:rPr>
        <w:t>% en los títulos concedidos, teniendo en cuenta el gran número de solicitudes presentadas en los últimos años.</w:t>
      </w:r>
    </w:p>
    <w:bookmarkEnd w:id="458"/>
    <w:p w14:paraId="1B9156A4" w14:textId="77777777" w:rsidR="00B65EDC" w:rsidRPr="00E675E8" w:rsidRDefault="00B65EDC" w:rsidP="00B65EDC">
      <w:pPr>
        <w:rPr>
          <w:bCs/>
          <w:lang w:val="es-ES_tradnl"/>
        </w:rPr>
      </w:pPr>
    </w:p>
    <w:p w14:paraId="31B59038" w14:textId="77777777" w:rsidR="00B65EDC" w:rsidRPr="00E675E8" w:rsidRDefault="00B65EDC" w:rsidP="00B65EDC">
      <w:pPr>
        <w:rPr>
          <w:bCs/>
          <w:lang w:val="es-ES_tradnl"/>
        </w:rPr>
      </w:pPr>
    </w:p>
    <w:p w14:paraId="1D6A887E" w14:textId="77777777" w:rsidR="00B65EDC" w:rsidRPr="00E675E8" w:rsidRDefault="00B65EDC" w:rsidP="000363C4">
      <w:pPr>
        <w:pStyle w:val="Heading3"/>
        <w:rPr>
          <w:lang w:val="es-ES_tradnl"/>
        </w:rPr>
      </w:pPr>
      <w:bookmarkStart w:id="459" w:name="_Toc209777769"/>
      <w:r w:rsidRPr="00E675E8">
        <w:rPr>
          <w:lang w:val="es-ES_tradnl"/>
        </w:rPr>
        <w:t>Resultados previstos e indicadores de rendimiento</w:t>
      </w:r>
      <w:bookmarkEnd w:id="459"/>
      <w:r w:rsidRPr="00E675E8">
        <w:rPr>
          <w:lang w:val="es-ES_tradnl"/>
        </w:rPr>
        <w:t xml:space="preserve"> </w:t>
      </w:r>
    </w:p>
    <w:p w14:paraId="1B02FC94" w14:textId="77777777" w:rsidR="00B65EDC" w:rsidRPr="00E675E8" w:rsidRDefault="00B65EDC" w:rsidP="00B65EDC">
      <w:pPr>
        <w:rPr>
          <w:bCs/>
          <w:lang w:val="es-ES_tradnl"/>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39CB7F38" w14:textId="77777777">
        <w:tc>
          <w:tcPr>
            <w:tcW w:w="426" w:type="dxa"/>
            <w:tcBorders>
              <w:bottom w:val="single" w:sz="4" w:space="0" w:color="D9D9D9" w:themeColor="background1" w:themeShade="D9"/>
            </w:tcBorders>
            <w:shd w:val="clear" w:color="auto" w:fill="E2E7EB" w:themeFill="accent3" w:themeFillTint="33"/>
          </w:tcPr>
          <w:p w14:paraId="5CA07316" w14:textId="77777777" w:rsidR="00B65EDC" w:rsidRPr="00E675E8" w:rsidRDefault="00B65EDC">
            <w:pPr>
              <w:jc w:val="left"/>
              <w:rPr>
                <w:b/>
                <w:bCs/>
                <w:sz w:val="16"/>
                <w:szCs w:val="16"/>
                <w:lang w:val="es-ES_tradnl"/>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6E023DA0"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tcBorders>
              <w:bottom w:val="single" w:sz="4" w:space="0" w:color="D9D9D9" w:themeColor="background1" w:themeShade="D9"/>
            </w:tcBorders>
            <w:shd w:val="clear" w:color="auto" w:fill="E2E7EB" w:themeFill="accent3" w:themeFillTint="33"/>
          </w:tcPr>
          <w:p w14:paraId="67030F18"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E675E8" w:rsidRDefault="00B65EDC">
            <w:pPr>
              <w:jc w:val="center"/>
              <w:rPr>
                <w:b/>
                <w:bCs/>
                <w:sz w:val="16"/>
                <w:szCs w:val="16"/>
                <w:lang w:val="es-ES_tradnl"/>
              </w:rPr>
            </w:pPr>
            <w:r w:rsidRPr="00E675E8">
              <w:rPr>
                <w:b/>
                <w:sz w:val="16"/>
                <w:lang w:val="es-ES_tradnl"/>
              </w:rPr>
              <w:t>Objetivo (2026/27)</w:t>
            </w:r>
          </w:p>
        </w:tc>
      </w:tr>
      <w:tr w:rsidR="00B65EDC" w:rsidRPr="00E675E8" w14:paraId="59140254" w14:textId="77777777">
        <w:tc>
          <w:tcPr>
            <w:tcW w:w="426" w:type="dxa"/>
            <w:tcBorders>
              <w:top w:val="single" w:sz="4" w:space="0" w:color="D9D9D9" w:themeColor="background1" w:themeShade="D9"/>
            </w:tcBorders>
          </w:tcPr>
          <w:p w14:paraId="4EDC5F62" w14:textId="77777777" w:rsidR="00B65EDC" w:rsidRPr="00E675E8" w:rsidRDefault="00B65EDC">
            <w:pPr>
              <w:jc w:val="left"/>
              <w:rPr>
                <w:rFonts w:cs="Arial"/>
                <w:sz w:val="16"/>
                <w:szCs w:val="16"/>
                <w:lang w:val="es-ES_tradnl"/>
              </w:rPr>
            </w:pPr>
            <w:r w:rsidRPr="00E675E8">
              <w:rPr>
                <w:sz w:val="16"/>
                <w:lang w:val="es-ES_tradnl"/>
              </w:rPr>
              <w:t>1.1</w:t>
            </w:r>
          </w:p>
        </w:tc>
        <w:tc>
          <w:tcPr>
            <w:tcW w:w="3255" w:type="dxa"/>
            <w:tcBorders>
              <w:top w:val="single" w:sz="4" w:space="0" w:color="D9D9D9" w:themeColor="background1" w:themeShade="D9"/>
            </w:tcBorders>
          </w:tcPr>
          <w:p w14:paraId="77441CD9" w14:textId="77777777" w:rsidR="00B65EDC" w:rsidRPr="00E675E8" w:rsidRDefault="00B65EDC">
            <w:pPr>
              <w:jc w:val="left"/>
              <w:rPr>
                <w:rFonts w:cs="Arial"/>
                <w:sz w:val="16"/>
                <w:szCs w:val="16"/>
                <w:lang w:val="es-ES_tradnl"/>
              </w:rPr>
            </w:pPr>
            <w:r w:rsidRPr="00E675E8">
              <w:rPr>
                <w:sz w:val="16"/>
                <w:lang w:val="es-ES_tradnl"/>
              </w:rPr>
              <w:t>Gobernanza del Consejo de la UPOV y labor de los comités y otros órganos de la UPOV</w:t>
            </w:r>
          </w:p>
        </w:tc>
        <w:tc>
          <w:tcPr>
            <w:tcW w:w="305" w:type="dxa"/>
            <w:tcBorders>
              <w:top w:val="single" w:sz="4" w:space="0" w:color="D9D9D9" w:themeColor="background1" w:themeShade="D9"/>
            </w:tcBorders>
          </w:tcPr>
          <w:p w14:paraId="0B13A067" w14:textId="77777777" w:rsidR="00B65EDC" w:rsidRPr="00E675E8" w:rsidRDefault="00B65EDC">
            <w:pPr>
              <w:jc w:val="center"/>
              <w:rPr>
                <w:rFonts w:cs="Arial"/>
                <w:sz w:val="16"/>
                <w:szCs w:val="16"/>
                <w:lang w:val="es-ES_tradnl"/>
              </w:rPr>
            </w:pPr>
            <w:r w:rsidRPr="00E675E8">
              <w:rPr>
                <w:sz w:val="16"/>
                <w:lang w:val="es-ES_tradnl"/>
              </w:rPr>
              <w:t>1</w:t>
            </w:r>
          </w:p>
        </w:tc>
        <w:tc>
          <w:tcPr>
            <w:tcW w:w="2457" w:type="dxa"/>
            <w:tcBorders>
              <w:top w:val="single" w:sz="4" w:space="0" w:color="D9D9D9" w:themeColor="background1" w:themeShade="D9"/>
            </w:tcBorders>
          </w:tcPr>
          <w:p w14:paraId="0AFD54BB" w14:textId="77777777" w:rsidR="00B65EDC" w:rsidRPr="00E675E8"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33A83E16"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586295A7" w14:textId="77777777" w:rsidR="00B65EDC" w:rsidRPr="00E675E8" w:rsidRDefault="00B65EDC">
            <w:pPr>
              <w:jc w:val="center"/>
              <w:rPr>
                <w:rFonts w:cs="Arial"/>
                <w:sz w:val="16"/>
                <w:szCs w:val="16"/>
                <w:lang w:val="es-ES_tradnl"/>
              </w:rPr>
            </w:pPr>
          </w:p>
        </w:tc>
      </w:tr>
      <w:tr w:rsidR="00B65EDC" w:rsidRPr="00E675E8" w14:paraId="2504296E" w14:textId="77777777">
        <w:tc>
          <w:tcPr>
            <w:tcW w:w="426" w:type="dxa"/>
            <w:tcBorders>
              <w:top w:val="single" w:sz="4" w:space="0" w:color="D9D9D9" w:themeColor="background1" w:themeShade="D9"/>
            </w:tcBorders>
          </w:tcPr>
          <w:p w14:paraId="6FAA4879" w14:textId="77777777" w:rsidR="00B65EDC" w:rsidRPr="00E675E8" w:rsidRDefault="00B65EDC">
            <w:pPr>
              <w:jc w:val="left"/>
              <w:rPr>
                <w:rFonts w:cs="Arial"/>
                <w:sz w:val="16"/>
                <w:szCs w:val="16"/>
                <w:lang w:val="es-ES_tradnl"/>
              </w:rPr>
            </w:pPr>
          </w:p>
        </w:tc>
        <w:tc>
          <w:tcPr>
            <w:tcW w:w="3255" w:type="dxa"/>
            <w:tcBorders>
              <w:top w:val="single" w:sz="4" w:space="0" w:color="D9D9D9" w:themeColor="background1" w:themeShade="D9"/>
            </w:tcBorders>
          </w:tcPr>
          <w:p w14:paraId="72AB42BD" w14:textId="77777777" w:rsidR="00B65EDC" w:rsidRPr="00E675E8" w:rsidRDefault="00B65EDC">
            <w:pPr>
              <w:jc w:val="left"/>
              <w:rPr>
                <w:rFonts w:cs="Arial"/>
                <w:sz w:val="16"/>
                <w:szCs w:val="16"/>
                <w:lang w:val="es-ES_tradnl"/>
              </w:rPr>
            </w:pPr>
          </w:p>
        </w:tc>
        <w:tc>
          <w:tcPr>
            <w:tcW w:w="305" w:type="dxa"/>
            <w:tcBorders>
              <w:top w:val="single" w:sz="4" w:space="0" w:color="D9D9D9" w:themeColor="background1" w:themeShade="D9"/>
            </w:tcBorders>
          </w:tcPr>
          <w:p w14:paraId="2F2C455F" w14:textId="77777777" w:rsidR="00B65EDC" w:rsidRPr="00E675E8" w:rsidRDefault="00B65EDC">
            <w:pPr>
              <w:jc w:val="center"/>
              <w:rPr>
                <w:rFonts w:cs="Arial"/>
                <w:sz w:val="16"/>
                <w:szCs w:val="16"/>
                <w:lang w:val="es-ES_tradnl"/>
              </w:rPr>
            </w:pPr>
          </w:p>
        </w:tc>
        <w:tc>
          <w:tcPr>
            <w:tcW w:w="2457" w:type="dxa"/>
            <w:tcBorders>
              <w:top w:val="single" w:sz="4" w:space="0" w:color="D9D9D9" w:themeColor="background1" w:themeShade="D9"/>
            </w:tcBorders>
          </w:tcPr>
          <w:p w14:paraId="506E18F7" w14:textId="77777777" w:rsidR="00B65EDC" w:rsidRPr="00E675E8"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2AC09233"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38B57988" w14:textId="77777777" w:rsidR="00B65EDC" w:rsidRPr="00E675E8" w:rsidRDefault="00B65EDC">
            <w:pPr>
              <w:jc w:val="center"/>
              <w:rPr>
                <w:rFonts w:cs="Arial"/>
                <w:sz w:val="16"/>
                <w:szCs w:val="16"/>
                <w:lang w:val="es-ES_tradnl"/>
              </w:rPr>
            </w:pPr>
          </w:p>
        </w:tc>
      </w:tr>
      <w:tr w:rsidR="00B65EDC" w:rsidRPr="00E675E8" w14:paraId="36191B93" w14:textId="77777777">
        <w:tc>
          <w:tcPr>
            <w:tcW w:w="426" w:type="dxa"/>
          </w:tcPr>
          <w:p w14:paraId="2BB61E54" w14:textId="77777777" w:rsidR="00B65EDC" w:rsidRPr="00E675E8" w:rsidRDefault="00B65EDC">
            <w:pPr>
              <w:jc w:val="left"/>
              <w:rPr>
                <w:rFonts w:cs="Arial"/>
                <w:sz w:val="16"/>
                <w:szCs w:val="16"/>
                <w:lang w:val="es-ES_tradnl"/>
              </w:rPr>
            </w:pPr>
          </w:p>
        </w:tc>
        <w:tc>
          <w:tcPr>
            <w:tcW w:w="3255" w:type="dxa"/>
          </w:tcPr>
          <w:p w14:paraId="04B64D4B" w14:textId="77777777" w:rsidR="00B65EDC" w:rsidRPr="00E675E8" w:rsidRDefault="00B65EDC">
            <w:pPr>
              <w:jc w:val="left"/>
              <w:rPr>
                <w:rFonts w:cs="Arial"/>
                <w:sz w:val="16"/>
                <w:szCs w:val="16"/>
                <w:lang w:val="es-ES_tradnl"/>
              </w:rPr>
            </w:pPr>
            <w:r w:rsidRPr="00E675E8">
              <w:rPr>
                <w:sz w:val="16"/>
                <w:lang w:val="es-ES_tradnl"/>
              </w:rPr>
              <w:t>Aumento del número de variedades desarrolladas en el marco del sistema de la UPOV</w:t>
            </w:r>
          </w:p>
        </w:tc>
        <w:tc>
          <w:tcPr>
            <w:tcW w:w="305" w:type="dxa"/>
          </w:tcPr>
          <w:p w14:paraId="60BFE261" w14:textId="77777777" w:rsidR="00B65EDC" w:rsidRPr="00E675E8" w:rsidRDefault="00B65EDC">
            <w:pPr>
              <w:jc w:val="center"/>
              <w:rPr>
                <w:rFonts w:cs="Arial"/>
                <w:sz w:val="16"/>
                <w:szCs w:val="16"/>
                <w:lang w:val="es-ES_tradnl"/>
              </w:rPr>
            </w:pPr>
          </w:p>
        </w:tc>
        <w:tc>
          <w:tcPr>
            <w:tcW w:w="2457" w:type="dxa"/>
          </w:tcPr>
          <w:p w14:paraId="3C5C7C8E" w14:textId="77777777" w:rsidR="00B65EDC" w:rsidRPr="00E675E8" w:rsidRDefault="00B65EDC">
            <w:pPr>
              <w:ind w:left="284"/>
              <w:jc w:val="left"/>
              <w:rPr>
                <w:rFonts w:cs="Arial"/>
                <w:sz w:val="16"/>
                <w:szCs w:val="16"/>
                <w:lang w:val="es-ES_tradnl"/>
              </w:rPr>
            </w:pPr>
            <w:r w:rsidRPr="00E675E8">
              <w:rPr>
                <w:sz w:val="16"/>
                <w:lang w:val="es-ES_tradnl"/>
              </w:rPr>
              <w:t>Número de solicitudes en los miembros de la UPOV</w:t>
            </w:r>
          </w:p>
        </w:tc>
        <w:tc>
          <w:tcPr>
            <w:tcW w:w="1632" w:type="dxa"/>
            <w:vAlign w:val="center"/>
          </w:tcPr>
          <w:p w14:paraId="43231AD8" w14:textId="379D7936" w:rsidR="00B65EDC" w:rsidRPr="00E675E8" w:rsidRDefault="0088452A">
            <w:pPr>
              <w:ind w:right="221"/>
              <w:jc w:val="right"/>
              <w:rPr>
                <w:rFonts w:cs="Arial"/>
                <w:sz w:val="16"/>
                <w:szCs w:val="16"/>
                <w:lang w:val="es-ES_tradnl"/>
              </w:rPr>
            </w:pPr>
            <w:r w:rsidRPr="00E675E8">
              <w:rPr>
                <w:sz w:val="16"/>
                <w:lang w:val="es-ES_tradnl"/>
              </w:rPr>
              <w:t>29 250 (2024)</w:t>
            </w:r>
          </w:p>
        </w:tc>
        <w:tc>
          <w:tcPr>
            <w:tcW w:w="1559" w:type="dxa"/>
            <w:vAlign w:val="center"/>
          </w:tcPr>
          <w:p w14:paraId="67EDE929" w14:textId="1AE49E49" w:rsidR="00B65EDC" w:rsidRPr="00E675E8" w:rsidRDefault="00367596">
            <w:pPr>
              <w:ind w:right="230"/>
              <w:jc w:val="right"/>
              <w:rPr>
                <w:rFonts w:cs="Arial"/>
                <w:sz w:val="16"/>
                <w:szCs w:val="16"/>
                <w:lang w:val="es-ES_tradnl"/>
              </w:rPr>
            </w:pPr>
            <w:r w:rsidRPr="00E675E8">
              <w:rPr>
                <w:sz w:val="16"/>
                <w:lang w:val="es-ES_tradnl"/>
              </w:rPr>
              <w:t>29 800 (2026)</w:t>
            </w:r>
          </w:p>
          <w:p w14:paraId="34C9A058" w14:textId="2F3FCFE7" w:rsidR="003F1324" w:rsidRPr="00E675E8" w:rsidRDefault="003A212A" w:rsidP="00443835">
            <w:pPr>
              <w:ind w:right="230"/>
              <w:jc w:val="right"/>
              <w:rPr>
                <w:rFonts w:cs="Arial"/>
                <w:sz w:val="16"/>
                <w:szCs w:val="16"/>
                <w:lang w:val="es-ES_tradnl"/>
              </w:rPr>
            </w:pPr>
            <w:r w:rsidRPr="00E675E8">
              <w:rPr>
                <w:sz w:val="16"/>
                <w:lang w:val="es-ES_tradnl"/>
              </w:rPr>
              <w:t>30 100 (2027)</w:t>
            </w:r>
          </w:p>
        </w:tc>
      </w:tr>
      <w:tr w:rsidR="00B65EDC" w:rsidRPr="00E675E8" w14:paraId="6D65FC5D" w14:textId="77777777">
        <w:tc>
          <w:tcPr>
            <w:tcW w:w="426" w:type="dxa"/>
          </w:tcPr>
          <w:p w14:paraId="7C439471" w14:textId="77777777" w:rsidR="00B65EDC" w:rsidRPr="00E675E8" w:rsidRDefault="00B65EDC">
            <w:pPr>
              <w:jc w:val="left"/>
              <w:rPr>
                <w:rFonts w:cs="Arial"/>
                <w:sz w:val="16"/>
                <w:szCs w:val="16"/>
                <w:lang w:val="es-ES_tradnl"/>
              </w:rPr>
            </w:pPr>
          </w:p>
        </w:tc>
        <w:tc>
          <w:tcPr>
            <w:tcW w:w="3255" w:type="dxa"/>
          </w:tcPr>
          <w:p w14:paraId="47A29C2D" w14:textId="77777777" w:rsidR="00B65EDC" w:rsidRPr="00E675E8" w:rsidRDefault="00B65EDC">
            <w:pPr>
              <w:jc w:val="left"/>
              <w:rPr>
                <w:rFonts w:cs="Arial"/>
                <w:sz w:val="16"/>
                <w:szCs w:val="16"/>
                <w:lang w:val="es-ES_tradnl"/>
              </w:rPr>
            </w:pPr>
          </w:p>
        </w:tc>
        <w:tc>
          <w:tcPr>
            <w:tcW w:w="305" w:type="dxa"/>
            <w:tcBorders>
              <w:bottom w:val="nil"/>
            </w:tcBorders>
          </w:tcPr>
          <w:p w14:paraId="444E3E31" w14:textId="77777777" w:rsidR="00B65EDC" w:rsidRPr="00E675E8" w:rsidRDefault="00B65EDC">
            <w:pPr>
              <w:jc w:val="center"/>
              <w:rPr>
                <w:rFonts w:cs="Arial"/>
                <w:sz w:val="16"/>
                <w:szCs w:val="16"/>
                <w:lang w:val="es-ES_tradnl"/>
              </w:rPr>
            </w:pPr>
          </w:p>
        </w:tc>
        <w:tc>
          <w:tcPr>
            <w:tcW w:w="2457" w:type="dxa"/>
            <w:tcBorders>
              <w:bottom w:val="nil"/>
            </w:tcBorders>
          </w:tcPr>
          <w:p w14:paraId="08B4C176" w14:textId="77777777" w:rsidR="00B65EDC" w:rsidRPr="00E675E8" w:rsidRDefault="00B65EDC">
            <w:pPr>
              <w:ind w:left="284"/>
              <w:jc w:val="left"/>
              <w:rPr>
                <w:rFonts w:cs="Arial"/>
                <w:sz w:val="16"/>
                <w:szCs w:val="16"/>
                <w:lang w:val="es-ES_tradnl"/>
              </w:rPr>
            </w:pPr>
            <w:r w:rsidRPr="00E675E8">
              <w:rPr>
                <w:sz w:val="16"/>
                <w:lang w:val="es-ES_tradnl"/>
              </w:rPr>
              <w:t>Número de títulos concedidos en los miembros de la UPOV</w:t>
            </w:r>
          </w:p>
        </w:tc>
        <w:tc>
          <w:tcPr>
            <w:tcW w:w="1632" w:type="dxa"/>
            <w:vAlign w:val="center"/>
          </w:tcPr>
          <w:p w14:paraId="196E6F50" w14:textId="010CB653" w:rsidR="00B65EDC" w:rsidRPr="00E675E8" w:rsidRDefault="0088452A">
            <w:pPr>
              <w:ind w:right="221"/>
              <w:jc w:val="right"/>
              <w:rPr>
                <w:rFonts w:cs="Arial"/>
                <w:sz w:val="16"/>
                <w:szCs w:val="16"/>
                <w:lang w:val="es-ES_tradnl"/>
              </w:rPr>
            </w:pPr>
            <w:r w:rsidRPr="00E675E8">
              <w:rPr>
                <w:sz w:val="16"/>
                <w:lang w:val="es-ES_tradnl"/>
              </w:rPr>
              <w:t>17 270 (2024)</w:t>
            </w:r>
          </w:p>
        </w:tc>
        <w:tc>
          <w:tcPr>
            <w:tcW w:w="1559" w:type="dxa"/>
            <w:vAlign w:val="center"/>
          </w:tcPr>
          <w:p w14:paraId="04785238" w14:textId="26ED4D4D" w:rsidR="00B65EDC" w:rsidRPr="00E675E8" w:rsidRDefault="007151CF">
            <w:pPr>
              <w:ind w:right="230"/>
              <w:jc w:val="right"/>
              <w:rPr>
                <w:rFonts w:cs="Arial"/>
                <w:sz w:val="16"/>
                <w:szCs w:val="16"/>
                <w:lang w:val="es-ES_tradnl"/>
              </w:rPr>
            </w:pPr>
            <w:r w:rsidRPr="00E675E8">
              <w:rPr>
                <w:sz w:val="16"/>
                <w:lang w:val="es-ES_tradnl"/>
              </w:rPr>
              <w:t>18 000 (2026)</w:t>
            </w:r>
          </w:p>
          <w:p w14:paraId="3CB10051" w14:textId="33F7E5F2" w:rsidR="002379B6" w:rsidRPr="00E675E8" w:rsidRDefault="00162FB4">
            <w:pPr>
              <w:ind w:right="230"/>
              <w:jc w:val="right"/>
              <w:rPr>
                <w:rFonts w:cs="Arial"/>
                <w:sz w:val="16"/>
                <w:szCs w:val="16"/>
                <w:highlight w:val="magenta"/>
                <w:lang w:val="es-ES_tradnl"/>
              </w:rPr>
            </w:pPr>
            <w:r w:rsidRPr="00E675E8">
              <w:rPr>
                <w:sz w:val="16"/>
                <w:lang w:val="es-ES_tradnl"/>
              </w:rPr>
              <w:t>18 300 (2027)</w:t>
            </w:r>
          </w:p>
        </w:tc>
      </w:tr>
      <w:tr w:rsidR="00B65EDC" w:rsidRPr="00E675E8" w14:paraId="41B405DF" w14:textId="77777777">
        <w:tc>
          <w:tcPr>
            <w:tcW w:w="426" w:type="dxa"/>
            <w:tcBorders>
              <w:bottom w:val="single" w:sz="4" w:space="0" w:color="D9D9D9" w:themeColor="background1" w:themeShade="D9"/>
            </w:tcBorders>
          </w:tcPr>
          <w:p w14:paraId="7C8F6CEC" w14:textId="77777777" w:rsidR="00B65EDC" w:rsidRPr="00E675E8" w:rsidRDefault="00B65EDC">
            <w:pPr>
              <w:jc w:val="left"/>
              <w:rPr>
                <w:rFonts w:cs="Arial"/>
                <w:sz w:val="16"/>
                <w:szCs w:val="16"/>
                <w:lang w:val="es-ES_tradnl"/>
              </w:rPr>
            </w:pPr>
          </w:p>
        </w:tc>
        <w:tc>
          <w:tcPr>
            <w:tcW w:w="3255" w:type="dxa"/>
            <w:tcBorders>
              <w:bottom w:val="single" w:sz="4" w:space="0" w:color="D9D9D9" w:themeColor="background1" w:themeShade="D9"/>
            </w:tcBorders>
          </w:tcPr>
          <w:p w14:paraId="2552A4BA"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right w:val="nil"/>
            </w:tcBorders>
          </w:tcPr>
          <w:p w14:paraId="6E864B4F" w14:textId="77777777" w:rsidR="00B65EDC" w:rsidRPr="00E675E8" w:rsidRDefault="00B65EDC">
            <w:pPr>
              <w:jc w:val="center"/>
              <w:rPr>
                <w:rFonts w:cs="Arial"/>
                <w:sz w:val="16"/>
                <w:szCs w:val="16"/>
                <w:lang w:val="es-ES_tradnl"/>
              </w:rPr>
            </w:pPr>
          </w:p>
        </w:tc>
        <w:tc>
          <w:tcPr>
            <w:tcW w:w="2457" w:type="dxa"/>
            <w:tcBorders>
              <w:left w:val="nil"/>
              <w:bottom w:val="single" w:sz="4" w:space="0" w:color="D9D9D9" w:themeColor="background1" w:themeShade="D9"/>
            </w:tcBorders>
          </w:tcPr>
          <w:p w14:paraId="31040A70" w14:textId="77777777" w:rsidR="00B65EDC" w:rsidRPr="00E675E8" w:rsidRDefault="00B65EDC">
            <w:pPr>
              <w:ind w:left="284"/>
              <w:jc w:val="left"/>
              <w:rPr>
                <w:rFonts w:cs="Arial"/>
                <w:sz w:val="16"/>
                <w:szCs w:val="16"/>
                <w:lang w:val="es-ES_tradnl"/>
              </w:rPr>
            </w:pPr>
            <w:r w:rsidRPr="00E675E8">
              <w:rPr>
                <w:sz w:val="16"/>
                <w:lang w:val="es-ES_tradnl"/>
              </w:rPr>
              <w:t>Número de títulos en vigor en los miembros de la UPOV</w:t>
            </w:r>
          </w:p>
        </w:tc>
        <w:tc>
          <w:tcPr>
            <w:tcW w:w="1632" w:type="dxa"/>
            <w:tcBorders>
              <w:bottom w:val="single" w:sz="4" w:space="0" w:color="D9D9D9" w:themeColor="background1" w:themeShade="D9"/>
            </w:tcBorders>
            <w:vAlign w:val="center"/>
          </w:tcPr>
          <w:p w14:paraId="03114488" w14:textId="5FBB5063" w:rsidR="00B65EDC" w:rsidRPr="00E675E8" w:rsidRDefault="0088452A">
            <w:pPr>
              <w:ind w:right="221"/>
              <w:jc w:val="right"/>
              <w:rPr>
                <w:rFonts w:cs="Arial"/>
                <w:sz w:val="16"/>
                <w:szCs w:val="16"/>
                <w:lang w:val="es-ES_tradnl"/>
              </w:rPr>
            </w:pPr>
            <w:r w:rsidRPr="00E675E8">
              <w:rPr>
                <w:sz w:val="16"/>
                <w:lang w:val="es-ES_tradnl"/>
              </w:rPr>
              <w:t>203 760 (2024)</w:t>
            </w:r>
          </w:p>
        </w:tc>
        <w:tc>
          <w:tcPr>
            <w:tcW w:w="1559" w:type="dxa"/>
            <w:tcBorders>
              <w:bottom w:val="single" w:sz="4" w:space="0" w:color="D9D9D9" w:themeColor="background1" w:themeShade="D9"/>
            </w:tcBorders>
            <w:vAlign w:val="center"/>
          </w:tcPr>
          <w:p w14:paraId="7CDF557F" w14:textId="5A47DBEE" w:rsidR="00B65EDC" w:rsidRPr="00E675E8" w:rsidRDefault="00632CA9">
            <w:pPr>
              <w:ind w:right="230"/>
              <w:jc w:val="right"/>
              <w:rPr>
                <w:rFonts w:cs="Arial"/>
                <w:sz w:val="16"/>
                <w:szCs w:val="16"/>
                <w:lang w:val="es-ES_tradnl"/>
              </w:rPr>
            </w:pPr>
            <w:r w:rsidRPr="00E675E8">
              <w:rPr>
                <w:sz w:val="16"/>
                <w:lang w:val="es-ES_tradnl"/>
              </w:rPr>
              <w:t>224 000 (2026)</w:t>
            </w:r>
          </w:p>
          <w:p w14:paraId="487EC0B7" w14:textId="3007D5AF" w:rsidR="009C40AA" w:rsidRPr="00E675E8" w:rsidRDefault="006537FE" w:rsidP="00443835">
            <w:pPr>
              <w:ind w:right="230"/>
              <w:jc w:val="right"/>
              <w:rPr>
                <w:rFonts w:cs="Arial"/>
                <w:sz w:val="16"/>
                <w:szCs w:val="16"/>
                <w:lang w:val="es-ES_tradnl"/>
              </w:rPr>
            </w:pPr>
            <w:r w:rsidRPr="00E675E8">
              <w:rPr>
                <w:sz w:val="16"/>
                <w:lang w:val="es-ES_tradnl"/>
              </w:rPr>
              <w:t>235 000 (2027)</w:t>
            </w:r>
          </w:p>
        </w:tc>
      </w:tr>
      <w:tr w:rsidR="00B65EDC" w:rsidRPr="00E675E8" w14:paraId="6E2C6202" w14:textId="77777777">
        <w:tc>
          <w:tcPr>
            <w:tcW w:w="426" w:type="dxa"/>
            <w:tcBorders>
              <w:top w:val="single" w:sz="4" w:space="0" w:color="D9D9D9" w:themeColor="background1" w:themeShade="D9"/>
            </w:tcBorders>
          </w:tcPr>
          <w:p w14:paraId="3252213E" w14:textId="77777777" w:rsidR="00B65EDC" w:rsidRPr="00E675E8" w:rsidRDefault="00B65EDC">
            <w:pPr>
              <w:jc w:val="left"/>
              <w:rPr>
                <w:rFonts w:cs="Arial"/>
                <w:sz w:val="16"/>
                <w:szCs w:val="16"/>
                <w:lang w:val="es-ES_tradnl"/>
              </w:rPr>
            </w:pPr>
          </w:p>
        </w:tc>
        <w:tc>
          <w:tcPr>
            <w:tcW w:w="3255" w:type="dxa"/>
            <w:tcBorders>
              <w:top w:val="single" w:sz="4" w:space="0" w:color="D9D9D9" w:themeColor="background1" w:themeShade="D9"/>
            </w:tcBorders>
          </w:tcPr>
          <w:p w14:paraId="13D20A36" w14:textId="77777777" w:rsidR="00B65EDC" w:rsidRPr="00E675E8" w:rsidRDefault="00B65EDC">
            <w:pPr>
              <w:jc w:val="left"/>
              <w:rPr>
                <w:rFonts w:cs="Arial"/>
                <w:sz w:val="16"/>
                <w:szCs w:val="16"/>
                <w:lang w:val="es-ES_tradnl"/>
              </w:rPr>
            </w:pPr>
          </w:p>
        </w:tc>
        <w:tc>
          <w:tcPr>
            <w:tcW w:w="305" w:type="dxa"/>
            <w:tcBorders>
              <w:top w:val="single" w:sz="4" w:space="0" w:color="D9D9D9" w:themeColor="background1" w:themeShade="D9"/>
            </w:tcBorders>
          </w:tcPr>
          <w:p w14:paraId="7BDE866A" w14:textId="77777777" w:rsidR="00B65EDC" w:rsidRPr="00E675E8" w:rsidRDefault="00B65EDC">
            <w:pPr>
              <w:jc w:val="center"/>
              <w:rPr>
                <w:rFonts w:cs="Arial"/>
                <w:sz w:val="16"/>
                <w:szCs w:val="16"/>
                <w:lang w:val="es-ES_tradnl"/>
              </w:rPr>
            </w:pPr>
          </w:p>
        </w:tc>
        <w:tc>
          <w:tcPr>
            <w:tcW w:w="2457" w:type="dxa"/>
            <w:tcBorders>
              <w:top w:val="single" w:sz="4" w:space="0" w:color="D9D9D9" w:themeColor="background1" w:themeShade="D9"/>
            </w:tcBorders>
          </w:tcPr>
          <w:p w14:paraId="22D797AE" w14:textId="77777777" w:rsidR="00B65EDC" w:rsidRPr="00E675E8" w:rsidDel="001D1E86" w:rsidRDefault="00B65EDC">
            <w:pPr>
              <w:jc w:val="left"/>
              <w:rPr>
                <w:rFonts w:cs="Arial"/>
                <w:sz w:val="16"/>
                <w:szCs w:val="16"/>
                <w:lang w:val="es-ES_tradnl"/>
              </w:rPr>
            </w:pPr>
          </w:p>
        </w:tc>
        <w:tc>
          <w:tcPr>
            <w:tcW w:w="1632" w:type="dxa"/>
            <w:tcBorders>
              <w:top w:val="single" w:sz="4" w:space="0" w:color="D9D9D9" w:themeColor="background1" w:themeShade="D9"/>
            </w:tcBorders>
            <w:vAlign w:val="bottom"/>
          </w:tcPr>
          <w:p w14:paraId="43E2BBC3" w14:textId="77777777" w:rsidR="00B65EDC" w:rsidRPr="00E675E8" w:rsidRDefault="00B65EDC">
            <w:pPr>
              <w:jc w:val="left"/>
              <w:rPr>
                <w:rFonts w:cs="Arial"/>
                <w:sz w:val="16"/>
                <w:szCs w:val="16"/>
                <w:lang w:val="es-ES_tradnl"/>
              </w:rPr>
            </w:pPr>
          </w:p>
        </w:tc>
        <w:tc>
          <w:tcPr>
            <w:tcW w:w="1559" w:type="dxa"/>
            <w:tcBorders>
              <w:top w:val="single" w:sz="4" w:space="0" w:color="D9D9D9" w:themeColor="background1" w:themeShade="D9"/>
            </w:tcBorders>
            <w:vAlign w:val="bottom"/>
          </w:tcPr>
          <w:p w14:paraId="6C4A019A" w14:textId="77777777" w:rsidR="00B65EDC" w:rsidRPr="00E675E8" w:rsidRDefault="00B65EDC">
            <w:pPr>
              <w:jc w:val="center"/>
              <w:rPr>
                <w:rFonts w:cs="Arial"/>
                <w:sz w:val="16"/>
                <w:szCs w:val="16"/>
                <w:lang w:val="es-ES_tradnl"/>
              </w:rPr>
            </w:pPr>
          </w:p>
        </w:tc>
      </w:tr>
      <w:tr w:rsidR="00B65EDC" w:rsidRPr="00E675E8" w14:paraId="4CA27FEF" w14:textId="77777777">
        <w:tc>
          <w:tcPr>
            <w:tcW w:w="426" w:type="dxa"/>
            <w:tcBorders>
              <w:bottom w:val="single" w:sz="4" w:space="0" w:color="D9D9D9" w:themeColor="background1" w:themeShade="D9"/>
            </w:tcBorders>
          </w:tcPr>
          <w:p w14:paraId="37B8EAAD" w14:textId="77777777" w:rsidR="00B65EDC" w:rsidRPr="00E675E8" w:rsidRDefault="00B65EDC">
            <w:pPr>
              <w:jc w:val="left"/>
              <w:rPr>
                <w:rFonts w:cs="Arial"/>
                <w:sz w:val="16"/>
                <w:szCs w:val="16"/>
                <w:highlight w:val="yellow"/>
                <w:lang w:val="es-ES_tradnl"/>
              </w:rPr>
            </w:pPr>
            <w:r w:rsidRPr="00E675E8">
              <w:rPr>
                <w:sz w:val="16"/>
                <w:lang w:val="es-ES_tradnl"/>
              </w:rPr>
              <w:t>1.2</w:t>
            </w:r>
          </w:p>
        </w:tc>
        <w:tc>
          <w:tcPr>
            <w:tcW w:w="3255" w:type="dxa"/>
            <w:tcBorders>
              <w:bottom w:val="single" w:sz="4" w:space="0" w:color="D9D9D9" w:themeColor="background1" w:themeShade="D9"/>
            </w:tcBorders>
          </w:tcPr>
          <w:p w14:paraId="4C0FC3BE" w14:textId="77777777" w:rsidR="00B65EDC" w:rsidRPr="00E675E8" w:rsidRDefault="00B65EDC">
            <w:pPr>
              <w:jc w:val="left"/>
              <w:rPr>
                <w:rFonts w:cs="Arial"/>
                <w:strike/>
                <w:sz w:val="16"/>
                <w:szCs w:val="16"/>
                <w:lang w:val="es-ES_tradnl"/>
              </w:rPr>
            </w:pPr>
            <w:r w:rsidRPr="00E675E8">
              <w:rPr>
                <w:sz w:val="16"/>
                <w:lang w:val="es-ES_tradnl"/>
              </w:rPr>
              <w:t>Elaboración de legislación sobre la protección de las obtenciones vegetales de conformidad con el Acta de 1991 del Convenio de la UPOV</w:t>
            </w:r>
          </w:p>
        </w:tc>
        <w:tc>
          <w:tcPr>
            <w:tcW w:w="305" w:type="dxa"/>
            <w:tcBorders>
              <w:bottom w:val="single" w:sz="4" w:space="0" w:color="D9D9D9" w:themeColor="background1" w:themeShade="D9"/>
            </w:tcBorders>
          </w:tcPr>
          <w:p w14:paraId="13D52226" w14:textId="77777777" w:rsidR="00B65EDC" w:rsidRPr="00E675E8" w:rsidRDefault="00B65EDC">
            <w:pPr>
              <w:jc w:val="center"/>
              <w:rPr>
                <w:rFonts w:cs="Arial"/>
                <w:sz w:val="16"/>
                <w:szCs w:val="16"/>
                <w:lang w:val="es-ES_tradnl"/>
              </w:rPr>
            </w:pPr>
            <w:r w:rsidRPr="00E675E8">
              <w:rPr>
                <w:sz w:val="16"/>
                <w:lang w:val="es-ES_tradnl"/>
              </w:rPr>
              <w:t>2</w:t>
            </w:r>
          </w:p>
        </w:tc>
        <w:tc>
          <w:tcPr>
            <w:tcW w:w="2457" w:type="dxa"/>
            <w:tcBorders>
              <w:bottom w:val="single" w:sz="4" w:space="0" w:color="D9D9D9" w:themeColor="background1" w:themeShade="D9"/>
            </w:tcBorders>
          </w:tcPr>
          <w:p w14:paraId="728BC246" w14:textId="77777777" w:rsidR="00B65EDC" w:rsidRPr="00E675E8" w:rsidRDefault="00B65EDC">
            <w:pPr>
              <w:ind w:left="284"/>
              <w:jc w:val="left"/>
              <w:rPr>
                <w:rFonts w:cs="Arial"/>
                <w:sz w:val="16"/>
                <w:szCs w:val="16"/>
                <w:lang w:val="es-ES_tradnl"/>
              </w:rPr>
            </w:pPr>
            <w:r w:rsidRPr="00E675E8">
              <w:rPr>
                <w:sz w:val="16"/>
                <w:lang w:val="es-ES_tradnl"/>
              </w:rPr>
              <w:t>Estados y organizaciones que se hacen miembros de la Unión</w:t>
            </w:r>
          </w:p>
        </w:tc>
        <w:tc>
          <w:tcPr>
            <w:tcW w:w="1632" w:type="dxa"/>
            <w:tcBorders>
              <w:bottom w:val="single" w:sz="4" w:space="0" w:color="D9D9D9" w:themeColor="background1" w:themeShade="D9"/>
            </w:tcBorders>
            <w:vAlign w:val="center"/>
          </w:tcPr>
          <w:p w14:paraId="76A8F9A7" w14:textId="77777777" w:rsidR="00B65EDC" w:rsidRPr="00E675E8" w:rsidRDefault="00B65EDC">
            <w:pPr>
              <w:jc w:val="center"/>
              <w:rPr>
                <w:rFonts w:cs="Arial"/>
                <w:sz w:val="16"/>
                <w:szCs w:val="16"/>
                <w:highlight w:val="yellow"/>
                <w:lang w:val="es-ES_tradnl"/>
              </w:rPr>
            </w:pPr>
            <w:r w:rsidRPr="00E675E8">
              <w:rPr>
                <w:sz w:val="16"/>
                <w:lang w:val="es-ES_tradnl"/>
              </w:rPr>
              <w:t>1 al año (2024)</w:t>
            </w:r>
          </w:p>
        </w:tc>
        <w:tc>
          <w:tcPr>
            <w:tcW w:w="1559" w:type="dxa"/>
            <w:tcBorders>
              <w:bottom w:val="single" w:sz="4" w:space="0" w:color="D9D9D9" w:themeColor="background1" w:themeShade="D9"/>
            </w:tcBorders>
            <w:vAlign w:val="center"/>
          </w:tcPr>
          <w:p w14:paraId="4B7E702E" w14:textId="77777777" w:rsidR="00B65EDC" w:rsidRPr="00E675E8" w:rsidRDefault="00B65EDC">
            <w:pPr>
              <w:jc w:val="center"/>
              <w:rPr>
                <w:rFonts w:cs="Arial"/>
                <w:sz w:val="16"/>
                <w:szCs w:val="16"/>
                <w:highlight w:val="yellow"/>
                <w:lang w:val="es-ES_tradnl"/>
              </w:rPr>
            </w:pPr>
            <w:r w:rsidRPr="00E675E8">
              <w:rPr>
                <w:sz w:val="16"/>
                <w:lang w:val="es-ES_tradnl"/>
              </w:rPr>
              <w:t>1 al año</w:t>
            </w:r>
          </w:p>
        </w:tc>
      </w:tr>
    </w:tbl>
    <w:p w14:paraId="1112CAE5" w14:textId="77777777" w:rsidR="00B65EDC" w:rsidRPr="00E675E8" w:rsidRDefault="00B65EDC" w:rsidP="00B65EDC">
      <w:pPr>
        <w:rPr>
          <w:lang w:val="es-ES_tradnl"/>
        </w:rPr>
      </w:pPr>
    </w:p>
    <w:p w14:paraId="18FE6938" w14:textId="77777777" w:rsidR="00B65EDC" w:rsidRPr="00E675E8" w:rsidRDefault="00B65EDC" w:rsidP="00B65EDC">
      <w:pPr>
        <w:rPr>
          <w:lang w:val="es-ES_tradnl"/>
        </w:rPr>
      </w:pPr>
    </w:p>
    <w:p w14:paraId="73173B65" w14:textId="77777777" w:rsidR="00B65EDC" w:rsidRPr="00E675E8" w:rsidRDefault="00B65EDC" w:rsidP="00B65EDC">
      <w:pPr>
        <w:rPr>
          <w:lang w:val="es-ES_tradnl"/>
        </w:rPr>
      </w:pPr>
    </w:p>
    <w:p w14:paraId="5D4E786B" w14:textId="419A0107" w:rsidR="00B65EDC" w:rsidRPr="00E675E8" w:rsidRDefault="00B65EDC" w:rsidP="004448C7">
      <w:pPr>
        <w:pStyle w:val="Heading2"/>
        <w:rPr>
          <w:lang w:val="es-ES_tradnl"/>
        </w:rPr>
      </w:pPr>
      <w:bookmarkStart w:id="460" w:name="_Toc209777770"/>
      <w:r w:rsidRPr="00E675E8">
        <w:rPr>
          <w:lang w:val="es-ES_tradnl"/>
        </w:rPr>
        <w:t>Pilar 2:</w:t>
      </w:r>
      <w:r w:rsidR="002817AB" w:rsidRPr="00E675E8">
        <w:rPr>
          <w:lang w:val="es-ES_tradnl"/>
        </w:rPr>
        <w:t xml:space="preserve"> </w:t>
      </w:r>
      <w:r w:rsidRPr="00E675E8">
        <w:rPr>
          <w:lang w:val="es-ES_tradnl"/>
        </w:rPr>
        <w:t>Proporcionar orientación y asistencia y facilitar la cooperación para la puesta en práctica del sistema de la UPOV</w:t>
      </w:r>
      <w:bookmarkEnd w:id="460"/>
    </w:p>
    <w:p w14:paraId="266E7BE9" w14:textId="77777777" w:rsidR="00B65EDC" w:rsidRPr="00E675E8" w:rsidRDefault="00B65EDC" w:rsidP="00B65EDC">
      <w:pPr>
        <w:keepNext/>
        <w:jc w:val="left"/>
        <w:rPr>
          <w:b/>
          <w:lang w:val="es-ES_tradnl"/>
        </w:rPr>
      </w:pPr>
    </w:p>
    <w:p w14:paraId="779467B7" w14:textId="77777777" w:rsidR="00B65EDC" w:rsidRPr="00E675E8" w:rsidRDefault="00B65EDC" w:rsidP="000363C4">
      <w:pPr>
        <w:pStyle w:val="Heading3"/>
        <w:rPr>
          <w:sz w:val="20"/>
          <w:lang w:val="es-ES_tradnl"/>
        </w:rPr>
      </w:pPr>
      <w:bookmarkStart w:id="461" w:name="_Toc209777771"/>
      <w:r w:rsidRPr="00E675E8">
        <w:rPr>
          <w:lang w:val="es-ES_tradnl"/>
        </w:rPr>
        <w:t>Estrategia para lograr los resultados previstos</w:t>
      </w:r>
      <w:bookmarkEnd w:id="461"/>
    </w:p>
    <w:p w14:paraId="135BE207" w14:textId="77777777" w:rsidR="00B65EDC" w:rsidRPr="00E675E8" w:rsidRDefault="00B65EDC" w:rsidP="00B65EDC">
      <w:pPr>
        <w:keepNext/>
        <w:rPr>
          <w:color w:val="000000" w:themeColor="text1"/>
          <w:lang w:val="es-ES_tradnl"/>
        </w:rPr>
      </w:pPr>
    </w:p>
    <w:p w14:paraId="46FAD479" w14:textId="7F7333BA"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Este pilar estratégico engloba la labor de la UPOV dirigida a explicar el estímulo que supone su sistema para el desarrollo de obtenciones vegetales y el beneficio que reportan las nuevas variedades para la sociedad, así como la función que desempeña el sistema de la UPOV en relación con la agricultura y el desarrollo económico del sector rural.</w:t>
      </w:r>
      <w:r w:rsidR="002817AB" w:rsidRPr="00E675E8">
        <w:rPr>
          <w:color w:val="000000" w:themeColor="text1"/>
          <w:lang w:val="es-ES_tradnl"/>
        </w:rPr>
        <w:t xml:space="preserve"> </w:t>
      </w:r>
      <w:r w:rsidRPr="00E675E8">
        <w:rPr>
          <w:color w:val="000000" w:themeColor="text1"/>
          <w:lang w:val="es-ES_tradnl"/>
        </w:rPr>
        <w:t>Un objetivo específico es sensibilizar a los Estados y las organizaciones intergubernamentales que no son miembros de la Unión sobre las ventajas que entraña la protección de las obtenciones vegetales con arreglo al Convenio de la UPOV y la condición de miembro de la UPOV.</w:t>
      </w:r>
      <w:r w:rsidR="002817AB" w:rsidRPr="00E675E8">
        <w:rPr>
          <w:color w:val="000000" w:themeColor="text1"/>
          <w:lang w:val="es-ES_tradnl"/>
        </w:rPr>
        <w:t xml:space="preserve"> </w:t>
      </w:r>
      <w:r w:rsidRPr="00E675E8">
        <w:rPr>
          <w:color w:val="000000" w:themeColor="text1"/>
          <w:lang w:val="es-ES_tradnl"/>
        </w:rPr>
        <w:t>Cabe incluir también en este pilar el suministro de las orientaciones e informaciones que sean necesarias para el funcionamiento del sistema de protección de las obtenciones vegetales y el apoyo a la cooperación entre los miembros de la Unión, en particular la labor de armonización.</w:t>
      </w:r>
    </w:p>
    <w:p w14:paraId="1FB60D10" w14:textId="77777777" w:rsidR="00B65EDC" w:rsidRPr="00E675E8" w:rsidRDefault="00B65EDC" w:rsidP="00B65EDC">
      <w:pPr>
        <w:rPr>
          <w:color w:val="000000" w:themeColor="text1"/>
          <w:lang w:val="es-ES_tradnl"/>
        </w:rPr>
      </w:pPr>
    </w:p>
    <w:p w14:paraId="261FCFE4" w14:textId="77777777" w:rsidR="00B65EDC" w:rsidRPr="00E675E8" w:rsidRDefault="00B65EDC" w:rsidP="003F289C">
      <w:pPr>
        <w:pStyle w:val="Heading4"/>
        <w:rPr>
          <w:color w:val="000000"/>
          <w:lang w:val="es-ES_tradnl"/>
          <w14:textFill>
            <w14:solidFill>
              <w14:srgbClr w14:val="000000">
                <w14:lumMod w14:val="75000"/>
              </w14:srgbClr>
            </w14:solidFill>
          </w14:textFill>
        </w:rPr>
      </w:pPr>
      <w:bookmarkStart w:id="462" w:name="_Toc117798890"/>
      <w:bookmarkStart w:id="463" w:name="_Toc107239595"/>
      <w:bookmarkStart w:id="464" w:name="_Toc107239345"/>
      <w:r w:rsidRPr="00E675E8">
        <w:rPr>
          <w:u w:val="none"/>
          <w:lang w:val="es-ES_tradnl"/>
        </w:rPr>
        <w:t>2.1</w:t>
      </w:r>
      <w:r w:rsidRPr="00E675E8">
        <w:rPr>
          <w:u w:val="none"/>
          <w:lang w:val="es-ES_tradnl"/>
        </w:rPr>
        <w:tab/>
      </w:r>
      <w:r w:rsidRPr="00E675E8">
        <w:rPr>
          <w:lang w:val="es-ES_tradnl"/>
        </w:rPr>
        <w:t>Sensibilización sobre la función que cumple el sistema de la UPOV</w:t>
      </w:r>
      <w:bookmarkEnd w:id="462"/>
      <w:bookmarkEnd w:id="463"/>
      <w:bookmarkEnd w:id="464"/>
    </w:p>
    <w:p w14:paraId="2D7736B2" w14:textId="77777777" w:rsidR="00B65EDC" w:rsidRPr="00E675E8" w:rsidRDefault="00B65EDC" w:rsidP="00B65EDC">
      <w:pPr>
        <w:pStyle w:val="Heading5"/>
        <w:rPr>
          <w:lang w:val="es-ES_tradnl"/>
        </w:rPr>
      </w:pPr>
    </w:p>
    <w:p w14:paraId="517A0E79" w14:textId="3403F971"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marco de la estrategia de comunicación de la UPOV, la atención se centrará en el desarrollo de nueva información relativa a las ventajas que ofrece la protección de las variedades vegetales y la pertenencia a la UPOV.</w:t>
      </w:r>
      <w:r w:rsidR="002817AB" w:rsidRPr="00E675E8">
        <w:rPr>
          <w:lang w:val="es-ES_tradnl"/>
        </w:rPr>
        <w:t xml:space="preserve"> </w:t>
      </w:r>
      <w:r w:rsidRPr="00E675E8">
        <w:rPr>
          <w:lang w:val="es-ES_tradnl"/>
        </w:rPr>
        <w:t xml:space="preserve">La Oficina de la Unión colaborará con los miembros de la Unión para desarrollar ejemplos </w:t>
      </w:r>
      <w:r w:rsidRPr="00E675E8">
        <w:rPr>
          <w:lang w:val="es-ES_tradnl"/>
        </w:rPr>
        <w:lastRenderedPageBreak/>
        <w:t>ilustrativos, estudios de casos y datos que permitan comunicar los beneficios del sistema de la UPOV de formas que resulten atractivas, como por ejemplo a través de vídeos, viajes de estudio y estudios de incidencia.</w:t>
      </w:r>
    </w:p>
    <w:p w14:paraId="528A208E" w14:textId="77777777" w:rsidR="00B65EDC" w:rsidRPr="00E675E8" w:rsidRDefault="00B65EDC" w:rsidP="00B65EDC">
      <w:pPr>
        <w:rPr>
          <w:lang w:val="es-ES_tradnl"/>
        </w:rPr>
      </w:pPr>
    </w:p>
    <w:p w14:paraId="180FD74F"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participará activamente en las reuniones y eventos de las organizaciones pertinentes y la Oficina de la Unión tratará de colaborar estrechamente con las Secretarías de otras organizaciones para aumentar el conocimiento y la comprensión de la misión de la UPOV. </w:t>
      </w:r>
    </w:p>
    <w:p w14:paraId="32C39E82" w14:textId="77777777" w:rsidR="00B65EDC" w:rsidRPr="00E675E8" w:rsidRDefault="00B65EDC" w:rsidP="00B65EDC">
      <w:pPr>
        <w:rPr>
          <w:lang w:val="es-ES_tradnl"/>
        </w:rPr>
      </w:pPr>
    </w:p>
    <w:p w14:paraId="15A4AC88" w14:textId="6AAA7345" w:rsidR="00B65EDC" w:rsidRPr="00E675E8" w:rsidRDefault="00B65EDC" w:rsidP="00B65EDC">
      <w:pPr>
        <w:rPr>
          <w:color w:val="000000" w:themeColor="text1"/>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eventos y actividades tradicionales, como seminarios y talleres, seguirán desempeñando un papel fundamental en la divulgación.</w:t>
      </w:r>
      <w:r w:rsidR="002817AB" w:rsidRPr="00E675E8">
        <w:rPr>
          <w:color w:val="000000" w:themeColor="text1"/>
          <w:lang w:val="es-ES_tradnl"/>
        </w:rPr>
        <w:t xml:space="preserve"> </w:t>
      </w:r>
      <w:r w:rsidRPr="00E675E8">
        <w:rPr>
          <w:color w:val="000000" w:themeColor="text1"/>
          <w:lang w:val="es-ES_tradnl"/>
        </w:rPr>
        <w:t>Sin embargo, se hará mayor hincapié en las actividades virtuales para ampliar el alcance, lograr una mayor repercusión, rebajar los costos y reducir el impacto de las actividades de la Oficina de la Unión en el medio ambiente.</w:t>
      </w:r>
    </w:p>
    <w:p w14:paraId="60EADF00" w14:textId="77777777" w:rsidR="003F289C" w:rsidRPr="00E675E8" w:rsidRDefault="003F289C" w:rsidP="00B65EDC">
      <w:pPr>
        <w:rPr>
          <w:color w:val="000000" w:themeColor="text1"/>
          <w:lang w:val="es-ES_tradnl"/>
        </w:rPr>
      </w:pPr>
    </w:p>
    <w:p w14:paraId="4799BB6F" w14:textId="725E6882" w:rsidR="00B65EDC" w:rsidRPr="00E675E8" w:rsidRDefault="00B65EDC" w:rsidP="00B65EDC">
      <w:pPr>
        <w:pStyle w:val="EndnoteText"/>
        <w:keepNext/>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sitio web de la UPOV sustenta la estrategia de comunicación.</w:t>
      </w:r>
      <w:r w:rsidR="002817AB" w:rsidRPr="00E675E8">
        <w:rPr>
          <w:lang w:val="es-ES_tradnl"/>
        </w:rPr>
        <w:t xml:space="preserve"> </w:t>
      </w:r>
      <w:r w:rsidRPr="00E675E8">
        <w:rPr>
          <w:lang w:val="es-ES_tradnl"/>
        </w:rPr>
        <w:t>Proporciona una plataforma para comunicarse con distintos públicos que además brinda acceso a documentos de reuniones, orientaciones y material de información, información sobre servicios, formación, estadísticas y preguntas frecuentes.</w:t>
      </w:r>
      <w:r w:rsidR="002817AB" w:rsidRPr="00E675E8">
        <w:rPr>
          <w:lang w:val="es-ES_tradnl"/>
        </w:rPr>
        <w:t xml:space="preserve"> </w:t>
      </w:r>
      <w:r w:rsidRPr="00E675E8">
        <w:rPr>
          <w:lang w:val="es-ES_tradnl"/>
        </w:rPr>
        <w:t>El proyecto de rediseño del sitio web de la UPOV se inició en enero de 2025.</w:t>
      </w:r>
      <w:r w:rsidR="002817AB" w:rsidRPr="00E675E8">
        <w:rPr>
          <w:lang w:val="es-ES_tradnl"/>
        </w:rPr>
        <w:t xml:space="preserve"> </w:t>
      </w:r>
      <w:r w:rsidRPr="00E675E8">
        <w:rPr>
          <w:lang w:val="es-ES_tradnl"/>
        </w:rPr>
        <w:t xml:space="preserve">En el bienio 2026-2027 se implantará el nuevo sitio web y se seguirá desarrollando para facilitar el acceso a la información, incluso mediante consultas en motores de búsqueda. </w:t>
      </w:r>
    </w:p>
    <w:p w14:paraId="6FB86398" w14:textId="77777777" w:rsidR="00B65EDC" w:rsidRPr="00E675E8" w:rsidRDefault="00B65EDC" w:rsidP="00B65EDC">
      <w:pPr>
        <w:rPr>
          <w:lang w:val="es-ES_tradnl"/>
        </w:rPr>
      </w:pPr>
    </w:p>
    <w:p w14:paraId="0FD1A8FF" w14:textId="7CA22711" w:rsidR="00B65EDC" w:rsidRPr="00E675E8" w:rsidRDefault="00B65EDC" w:rsidP="00B65EDC">
      <w:pPr>
        <w:keepLine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redes sociales tendrán un papel cada vez más importante en la comunicación de la información.</w:t>
      </w:r>
      <w:r w:rsidR="002817AB" w:rsidRPr="00E675E8">
        <w:rPr>
          <w:lang w:val="es-ES_tradnl"/>
        </w:rPr>
        <w:t xml:space="preserve"> </w:t>
      </w:r>
      <w:r w:rsidRPr="00E675E8">
        <w:rPr>
          <w:lang w:val="es-ES_tradnl"/>
        </w:rPr>
        <w:t>Debería aumentar la presencia de la UPOV en los canales de comunicación y sensibilizar sobre la presencia y la repercusión mundial de la UPOV.</w:t>
      </w:r>
      <w:r w:rsidR="002817AB" w:rsidRPr="00E675E8">
        <w:rPr>
          <w:lang w:val="es-ES_tradnl"/>
        </w:rPr>
        <w:t xml:space="preserve"> </w:t>
      </w:r>
      <w:r w:rsidRPr="00E675E8">
        <w:rPr>
          <w:lang w:val="es-ES_tradnl"/>
        </w:rPr>
        <w:t>Su uso estratégico se centrará en medidas de equilibrio y eficiencia debido a los limitados recursos de la UPOV.</w:t>
      </w:r>
      <w:r w:rsidR="002817AB" w:rsidRPr="00E675E8">
        <w:rPr>
          <w:lang w:val="es-ES_tradnl"/>
        </w:rPr>
        <w:t xml:space="preserve"> </w:t>
      </w:r>
    </w:p>
    <w:p w14:paraId="794CEBF7" w14:textId="77777777" w:rsidR="00B65EDC" w:rsidRPr="00E675E8" w:rsidRDefault="00B65EDC" w:rsidP="00B65EDC">
      <w:pPr>
        <w:rPr>
          <w:lang w:val="es-ES_tradnl"/>
        </w:rPr>
      </w:pPr>
    </w:p>
    <w:p w14:paraId="17055ED1" w14:textId="3207E56D"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Una de las principales áreas de atención será hacer hincapié en la importancia de garantizar que todos los agricultores tengan acceso a variedades vegetales de alta calidad que satisfagan sus necesidades y sean resilientes a los cambios climáticos, destacando al mismo tiempo el papel fundamental que desempeña el sistema de la UPOV a este respecto.</w:t>
      </w:r>
      <w:r w:rsidR="002817AB" w:rsidRPr="00E675E8">
        <w:rPr>
          <w:lang w:val="es-ES_tradnl"/>
        </w:rPr>
        <w:t xml:space="preserve"> </w:t>
      </w:r>
      <w:r w:rsidRPr="00E675E8">
        <w:rPr>
          <w:lang w:val="es-ES_tradnl"/>
        </w:rPr>
        <w:t>Las experiencias exitosas protagonizadas por los usuarios del sistema UPOV serán fundamentales para demostrar sus beneficios.</w:t>
      </w:r>
      <w:r w:rsidR="002817AB" w:rsidRPr="00E675E8">
        <w:rPr>
          <w:lang w:val="es-ES_tradnl"/>
        </w:rPr>
        <w:t xml:space="preserve"> </w:t>
      </w:r>
      <w:r w:rsidRPr="00E675E8">
        <w:rPr>
          <w:lang w:val="es-ES_tradnl"/>
        </w:rPr>
        <w:t>Para poner de relieve estas cuestiones, se organizará un seminario en 2026.</w:t>
      </w:r>
    </w:p>
    <w:p w14:paraId="4413239C" w14:textId="77777777" w:rsidR="00B65EDC" w:rsidRPr="00E675E8" w:rsidRDefault="00B65EDC" w:rsidP="00B65EDC">
      <w:pPr>
        <w:rPr>
          <w:lang w:val="es-ES_tradnl"/>
        </w:rPr>
      </w:pPr>
    </w:p>
    <w:p w14:paraId="2D49ED8B" w14:textId="4162B572"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consonancia con la ambición de impulsar sus actividades de comunicación, se ha creado un puesto temporal de oficial adjunto de comunicaciones.</w:t>
      </w:r>
      <w:r w:rsidR="002817AB" w:rsidRPr="00E675E8">
        <w:rPr>
          <w:lang w:val="es-ES_tradnl"/>
        </w:rPr>
        <w:t xml:space="preserve"> </w:t>
      </w:r>
      <w:r w:rsidRPr="00E675E8">
        <w:rPr>
          <w:lang w:val="es-ES_tradnl"/>
        </w:rPr>
        <w:t>Este puesto trabajará en la consecución de los objetivos establecidos en la estrategia de comunicación.</w:t>
      </w:r>
    </w:p>
    <w:p w14:paraId="082AA71F" w14:textId="77777777" w:rsidR="00B65EDC" w:rsidRPr="00E675E8" w:rsidRDefault="00B65EDC" w:rsidP="00B65EDC">
      <w:pPr>
        <w:rPr>
          <w:lang w:val="es-ES_tradnl"/>
        </w:rPr>
      </w:pPr>
    </w:p>
    <w:p w14:paraId="6759F786" w14:textId="2F52623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Está previsto que, en 2025, comience un nuevo programa de fondos fiduciarios con el Japón y que continúe en 2026-2027, para apoyar la recopilación y difusión de información sobre la incidencia de la protección de las obtenciones vegetales.</w:t>
      </w:r>
    </w:p>
    <w:p w14:paraId="0179B06B" w14:textId="77777777" w:rsidR="00B65EDC" w:rsidRPr="00E675E8" w:rsidRDefault="00B65EDC" w:rsidP="00B65EDC">
      <w:pPr>
        <w:rPr>
          <w:lang w:val="es-ES_tradnl"/>
        </w:rPr>
      </w:pPr>
    </w:p>
    <w:p w14:paraId="34719917" w14:textId="2707857F"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política de traducción de la UPOV tiene por objeto utilizar la traducción automática para aumentar la disponibilidad del material de la UPOV en diversos idiomas mediante una traducción cada vez más rentable.</w:t>
      </w:r>
      <w:r w:rsidR="002817AB" w:rsidRPr="00E675E8">
        <w:rPr>
          <w:lang w:val="es-ES_tradnl"/>
        </w:rPr>
        <w:t xml:space="preserve"> </w:t>
      </w:r>
      <w:r w:rsidRPr="00E675E8">
        <w:rPr>
          <w:lang w:val="es-ES_tradnl"/>
        </w:rPr>
        <w:t>El nuevo sitio web de la UPOV mejorará la accesibilidad de la información de la UPOV en diferentes idiomas.</w:t>
      </w:r>
    </w:p>
    <w:p w14:paraId="050AE53F" w14:textId="77777777" w:rsidR="00B65EDC" w:rsidRPr="00E675E8" w:rsidRDefault="00B65EDC" w:rsidP="00B65EDC">
      <w:pPr>
        <w:jc w:val="left"/>
        <w:rPr>
          <w:bCs/>
          <w:lang w:val="es-ES_tradnl"/>
        </w:rPr>
      </w:pPr>
    </w:p>
    <w:p w14:paraId="0E09515B" w14:textId="77777777" w:rsidR="00B65EDC" w:rsidRPr="00E675E8" w:rsidRDefault="00B65EDC" w:rsidP="003F289C">
      <w:pPr>
        <w:pStyle w:val="Heading4"/>
        <w:rPr>
          <w:lang w:val="es-ES_tradnl"/>
        </w:rPr>
      </w:pPr>
      <w:bookmarkStart w:id="465" w:name="_Toc117798891"/>
      <w:bookmarkStart w:id="466" w:name="_Toc107239596"/>
      <w:bookmarkStart w:id="467" w:name="_Toc107239346"/>
      <w:r w:rsidRPr="00E675E8">
        <w:rPr>
          <w:u w:val="none"/>
          <w:lang w:val="es-ES_tradnl"/>
        </w:rPr>
        <w:t>2.2</w:t>
      </w:r>
      <w:r w:rsidRPr="00E675E8">
        <w:rPr>
          <w:u w:val="none"/>
          <w:lang w:val="es-ES_tradnl"/>
        </w:rPr>
        <w:tab/>
      </w:r>
      <w:r w:rsidRPr="00E675E8">
        <w:rPr>
          <w:lang w:val="es-ES_tradnl"/>
        </w:rPr>
        <w:t>Orientación y asistencia sobre el Convenio de la UPOV y su aplicación</w:t>
      </w:r>
      <w:bookmarkEnd w:id="465"/>
      <w:bookmarkEnd w:id="466"/>
      <w:bookmarkEnd w:id="467"/>
    </w:p>
    <w:p w14:paraId="1682D961" w14:textId="77777777" w:rsidR="00B65EDC" w:rsidRPr="00E675E8" w:rsidRDefault="00B65EDC" w:rsidP="00B65EDC">
      <w:pPr>
        <w:keepNext/>
        <w:rPr>
          <w:lang w:val="es-ES_tradnl"/>
        </w:rPr>
      </w:pPr>
    </w:p>
    <w:p w14:paraId="34DA1ABE" w14:textId="77777777" w:rsidR="00B65EDC" w:rsidRPr="00E675E8" w:rsidRDefault="00B65EDC" w:rsidP="00B65EDC">
      <w:pPr>
        <w:pStyle w:val="Heading5"/>
        <w:rPr>
          <w:lang w:val="es-ES_tradnl"/>
        </w:rPr>
      </w:pPr>
      <w:bookmarkStart w:id="468" w:name="_Toc117798892"/>
      <w:bookmarkStart w:id="469" w:name="_Toc107239597"/>
      <w:bookmarkStart w:id="470" w:name="_Toc107239347"/>
      <w:r w:rsidRPr="00E675E8">
        <w:rPr>
          <w:lang w:val="es-ES_tradnl"/>
        </w:rPr>
        <w:t>Material de orientación e información</w:t>
      </w:r>
      <w:bookmarkEnd w:id="468"/>
      <w:bookmarkEnd w:id="469"/>
      <w:bookmarkEnd w:id="470"/>
    </w:p>
    <w:p w14:paraId="2E40CB92" w14:textId="77777777" w:rsidR="00B65EDC" w:rsidRPr="00E675E8" w:rsidRDefault="00B65EDC" w:rsidP="00B65EDC">
      <w:pPr>
        <w:keepNext/>
        <w:rPr>
          <w:lang w:val="es-ES_tradnl"/>
        </w:rPr>
      </w:pPr>
    </w:p>
    <w:p w14:paraId="06CE6863"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seguirá actualizando y elaborando nuevo material de orientación de conformidad con los programas de trabajo de los órganos correspondientes. </w:t>
      </w:r>
    </w:p>
    <w:p w14:paraId="37874C9C" w14:textId="77777777" w:rsidR="00B65EDC" w:rsidRPr="00E675E8" w:rsidRDefault="00B65EDC" w:rsidP="00B65EDC">
      <w:pPr>
        <w:rPr>
          <w:lang w:val="es-ES_tradnl"/>
        </w:rPr>
      </w:pPr>
    </w:p>
    <w:p w14:paraId="5C92C610" w14:textId="3F4FF4E2"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material y los recursos de la Unión están disponibles en alemán, español, francés e inglés.</w:t>
      </w:r>
      <w:r w:rsidR="002817AB" w:rsidRPr="00E675E8">
        <w:rPr>
          <w:lang w:val="es-ES_tradnl"/>
        </w:rPr>
        <w:t xml:space="preserve"> </w:t>
      </w:r>
      <w:r w:rsidRPr="00E675E8">
        <w:rPr>
          <w:lang w:val="es-ES_tradnl"/>
        </w:rPr>
        <w:t>Sin embargo, teniendo en cuenta la ampliación de la UPOV y el creciente interés que suscita la adhesión a la Unión, puede ser importante ofrecer el material y los recursos en un mayor número de idiomas.</w:t>
      </w:r>
      <w:r w:rsidR="002817AB" w:rsidRPr="00E675E8">
        <w:rPr>
          <w:lang w:val="es-ES_tradnl"/>
        </w:rPr>
        <w:t xml:space="preserve"> </w:t>
      </w:r>
      <w:r w:rsidRPr="00E675E8">
        <w:rPr>
          <w:lang w:val="es-ES_tradnl"/>
        </w:rPr>
        <w:t>La traducción de los materiales y su puesta a disposición en distintos idiomas tiene importantes implicaciones en materia de recursos, por lo que el logro de este objetivo requerirá una serie de medidas de cooperación con los miembros de la Unión interesados.</w:t>
      </w:r>
      <w:r w:rsidR="002817AB" w:rsidRPr="00E675E8">
        <w:rPr>
          <w:lang w:val="es-ES_tradnl"/>
        </w:rPr>
        <w:t xml:space="preserve"> </w:t>
      </w:r>
      <w:r w:rsidRPr="00E675E8">
        <w:rPr>
          <w:lang w:val="es-ES_tradnl"/>
        </w:rPr>
        <w:t>Sin embargo, los rápidos avances en la tecnología de la traducción automática ofrecen nuevas oportunidades para reducir los costos de traducción de los documentos de la UPOV a los distintos idiomas de la Unión y para generar materiales en una mayor variedad de idiomas, por lo que se abordarán de forma prioritaria.</w:t>
      </w:r>
      <w:r w:rsidR="002817AB" w:rsidRPr="00E675E8">
        <w:rPr>
          <w:lang w:val="es-ES_tradnl"/>
        </w:rPr>
        <w:t xml:space="preserve"> </w:t>
      </w:r>
    </w:p>
    <w:p w14:paraId="05C53D9D" w14:textId="77777777" w:rsidR="00B65EDC" w:rsidRPr="00E675E8" w:rsidRDefault="00B65EDC" w:rsidP="00B65EDC">
      <w:pPr>
        <w:rPr>
          <w:lang w:val="es-ES_tradnl"/>
        </w:rPr>
      </w:pPr>
    </w:p>
    <w:p w14:paraId="7AD975CA" w14:textId="14EF7E51" w:rsidR="00B65EDC" w:rsidRPr="00E675E8" w:rsidRDefault="00B65EDC" w:rsidP="00797F25">
      <w:pPr>
        <w:keepLines/>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Basándose en la experiencia adquirida en la fase de aplicación 2022-2023 de la política de la UPOV para el uso de la traducción automática, los miembros de la UPOV acordaron seguir utilizando la traducción automática no solo para los documentos de las sesiones de la UPOV, sino también para otra información y material que no requiera una gran precisión (por ejemplo, las actas de seminarios).</w:t>
      </w:r>
      <w:r w:rsidR="002817AB" w:rsidRPr="00E675E8">
        <w:rPr>
          <w:lang w:val="es-ES_tradnl"/>
        </w:rPr>
        <w:t xml:space="preserve"> </w:t>
      </w:r>
      <w:r w:rsidRPr="00E675E8">
        <w:rPr>
          <w:lang w:val="es-ES_tradnl"/>
        </w:rPr>
        <w:t>La precisión de esta tecnología está evolucionando y su potencial hace pensar que el material y la información de la UPOV estarán disponibles en otros idiomas en muy poco tiempo.</w:t>
      </w:r>
      <w:r w:rsidR="002817AB" w:rsidRPr="00E675E8">
        <w:rPr>
          <w:lang w:val="es-ES_tradnl"/>
        </w:rPr>
        <w:t xml:space="preserve"> </w:t>
      </w:r>
      <w:r w:rsidRPr="00E675E8">
        <w:rPr>
          <w:lang w:val="es-ES_tradnl"/>
        </w:rPr>
        <w:t xml:space="preserve">Por ejemplo, el total de documentos traducidos para las sesiones de octubre de 2023 fue de 85 (véase el informe en el documento CC/101/6 </w:t>
      </w:r>
      <w:proofErr w:type="spellStart"/>
      <w:r w:rsidRPr="00E675E8">
        <w:rPr>
          <w:lang w:val="es-ES_tradnl"/>
        </w:rPr>
        <w:t>Corr</w:t>
      </w:r>
      <w:proofErr w:type="spellEnd"/>
      <w:r w:rsidRPr="00E675E8">
        <w:rPr>
          <w:lang w:val="es-ES_tradnl"/>
        </w:rPr>
        <w:t>.).</w:t>
      </w:r>
    </w:p>
    <w:p w14:paraId="0388CAB6" w14:textId="77777777" w:rsidR="00B65EDC" w:rsidRPr="00E675E8" w:rsidRDefault="00B65EDC" w:rsidP="00B65EDC">
      <w:pPr>
        <w:rPr>
          <w:lang w:val="es-ES_tradnl"/>
        </w:rPr>
      </w:pPr>
    </w:p>
    <w:p w14:paraId="31D55334" w14:textId="1B1F8593" w:rsidR="00B65EDC" w:rsidRPr="00E675E8" w:rsidRDefault="00DE1371" w:rsidP="00B65EDC">
      <w:pPr>
        <w:jc w:val="center"/>
        <w:rPr>
          <w:lang w:val="es-ES_tradnl"/>
        </w:rPr>
      </w:pPr>
      <w:r w:rsidRPr="000231EE">
        <w:rPr>
          <w:noProof/>
          <w:lang w:val="es-419"/>
        </w:rPr>
        <w:drawing>
          <wp:inline distT="0" distB="0" distL="0" distR="0" wp14:anchorId="23540F7A" wp14:editId="73E3B429">
            <wp:extent cx="3566160" cy="21285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99" t="1158" r="1104" b="1823"/>
                    <a:stretch>
                      <a:fillRect/>
                    </a:stretch>
                  </pic:blipFill>
                  <pic:spPr bwMode="auto">
                    <a:xfrm>
                      <a:off x="0" y="0"/>
                      <a:ext cx="3576647" cy="2134779"/>
                    </a:xfrm>
                    <a:prstGeom prst="rect">
                      <a:avLst/>
                    </a:prstGeom>
                    <a:noFill/>
                    <a:ln>
                      <a:noFill/>
                    </a:ln>
                    <a:extLst>
                      <a:ext uri="{53640926-AAD7-44D8-BBD7-CCE9431645EC}">
                        <a14:shadowObscured xmlns:a14="http://schemas.microsoft.com/office/drawing/2010/main"/>
                      </a:ext>
                    </a:extLst>
                  </pic:spPr>
                </pic:pic>
              </a:graphicData>
            </a:graphic>
          </wp:inline>
        </w:drawing>
      </w:r>
    </w:p>
    <w:p w14:paraId="2BCBAEDC" w14:textId="5EB9137C"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directrices de examen son materiales de orientación importantes para el examen de variedades (examen DHE).</w:t>
      </w:r>
      <w:r w:rsidR="002817AB" w:rsidRPr="00E675E8">
        <w:rPr>
          <w:lang w:val="es-ES_tradnl"/>
        </w:rPr>
        <w:t xml:space="preserve"> </w:t>
      </w:r>
      <w:r w:rsidRPr="00E675E8">
        <w:rPr>
          <w:lang w:val="es-ES_tradnl"/>
        </w:rPr>
        <w:t>Cuando la UPOV ha establecido directrices de examen específicas para una especie determinada, estas representan un planteamiento acordado y armonizado para el examen de nuevas variedades y forman la base del examen DHE.</w:t>
      </w:r>
      <w:r w:rsidR="002817AB" w:rsidRPr="00E675E8">
        <w:rPr>
          <w:lang w:val="es-ES_tradnl"/>
        </w:rPr>
        <w:t xml:space="preserve"> </w:t>
      </w:r>
      <w:r w:rsidRPr="00E675E8">
        <w:rPr>
          <w:lang w:val="es-ES_tradnl"/>
        </w:rPr>
        <w:t>Las directrices de examen están destinadas a ser utilizadas por las distintas autoridades, con las modificaciones administrativas adecuadas, como base del examen DHE y de la armonización de las descripciones de variedades.</w:t>
      </w:r>
    </w:p>
    <w:p w14:paraId="40000477" w14:textId="77777777" w:rsidR="00B65EDC" w:rsidRPr="00E675E8" w:rsidRDefault="00B65EDC" w:rsidP="00B65EDC">
      <w:pPr>
        <w:tabs>
          <w:tab w:val="left" w:pos="567"/>
        </w:tabs>
        <w:rPr>
          <w:lang w:val="es-ES_tradnl"/>
        </w:rPr>
      </w:pPr>
    </w:p>
    <w:p w14:paraId="5BB81B33" w14:textId="3F785A3A"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UPOV ha elaborado un conjunto de 339 directrices de examen que corresponden a los géneros y especies del 94 % de las solicitudes presentadas en los miembros de la UPOV.</w:t>
      </w:r>
      <w:r w:rsidR="002817AB" w:rsidRPr="00E675E8">
        <w:rPr>
          <w:lang w:val="es-ES_tradnl"/>
        </w:rPr>
        <w:t xml:space="preserve"> </w:t>
      </w:r>
      <w:r w:rsidRPr="00E675E8">
        <w:rPr>
          <w:lang w:val="es-ES_tradnl"/>
        </w:rPr>
        <w:t>Esta cobertura de las directrices de examen de la UPOV se basa en los datos sobre variedades vegetales notificados por los miembros de la UPOV a la base de datos sobre variedades vegetales de la UPOV (base de datos PLUTO).</w:t>
      </w:r>
      <w:r w:rsidR="002817AB" w:rsidRPr="00E675E8">
        <w:rPr>
          <w:lang w:val="es-ES_tradnl"/>
        </w:rPr>
        <w:t xml:space="preserve"> </w:t>
      </w:r>
      <w:r w:rsidRPr="00E675E8">
        <w:rPr>
          <w:lang w:val="es-ES_tradnl"/>
        </w:rPr>
        <w:t>En el bienio 2026-2027, la UPOV seguirá ofreciendo el espacio para la armonización internacional de las directrices de examen nacionales de los miembros de la UPOV.</w:t>
      </w:r>
      <w:r w:rsidR="002817AB" w:rsidRPr="00E675E8">
        <w:rPr>
          <w:lang w:val="es-ES_tradnl"/>
        </w:rPr>
        <w:t xml:space="preserve"> </w:t>
      </w:r>
      <w:r w:rsidRPr="00E675E8">
        <w:rPr>
          <w:lang w:val="es-ES_tradnl"/>
        </w:rPr>
        <w:t xml:space="preserve">Además, los Grupos de Trabajo Técnico seguirán ofreciendo oportunidades de fortalecimiento de capacidades a los miembros de la UPOV para: a) armonizar los procedimientos; b) proporcionar información sobre los avances; c) integrar a nuevos expertos en la labor de la UPOV; d) proporcionar orientación práctica sobre los procedimientos de examen DHE, incluida la utilización de las directrices de examen. </w:t>
      </w:r>
    </w:p>
    <w:p w14:paraId="40F868CA" w14:textId="77777777" w:rsidR="00B65EDC" w:rsidRPr="00E675E8" w:rsidRDefault="00B65EDC" w:rsidP="00B65EDC">
      <w:pPr>
        <w:tabs>
          <w:tab w:val="left" w:pos="851"/>
        </w:tabs>
        <w:rPr>
          <w:lang w:val="es-ES_tradnl"/>
        </w:rPr>
      </w:pPr>
    </w:p>
    <w:p w14:paraId="14D8F17D" w14:textId="77777777" w:rsidR="00B65EDC" w:rsidRPr="00E675E8" w:rsidRDefault="00B65EDC" w:rsidP="00B65EDC">
      <w:pPr>
        <w:pStyle w:val="Heading5"/>
        <w:rPr>
          <w:lang w:val="es-ES_tradnl"/>
        </w:rPr>
      </w:pPr>
      <w:bookmarkStart w:id="471" w:name="_Toc117798893"/>
      <w:bookmarkStart w:id="472" w:name="_Toc107239598"/>
      <w:bookmarkStart w:id="473" w:name="_Toc107239348"/>
      <w:r w:rsidRPr="00E675E8">
        <w:rPr>
          <w:lang w:val="es-ES_tradnl"/>
        </w:rPr>
        <w:t>Formación y asistencia</w:t>
      </w:r>
      <w:bookmarkEnd w:id="471"/>
      <w:bookmarkEnd w:id="472"/>
      <w:bookmarkEnd w:id="473"/>
    </w:p>
    <w:p w14:paraId="61B515A9" w14:textId="77777777" w:rsidR="00B65EDC" w:rsidRPr="00E675E8" w:rsidRDefault="00B65EDC" w:rsidP="00B65EDC">
      <w:pPr>
        <w:tabs>
          <w:tab w:val="left" w:pos="851"/>
        </w:tabs>
        <w:rPr>
          <w:color w:val="000000" w:themeColor="text1"/>
          <w:lang w:val="es-ES_tradnl"/>
        </w:rPr>
      </w:pPr>
    </w:p>
    <w:p w14:paraId="7B0CD8A5"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estrategia de formación y asistencia de la UPOV sustenta las actividades en este ámbito.</w:t>
      </w:r>
    </w:p>
    <w:p w14:paraId="36E0337E" w14:textId="77777777" w:rsidR="00B65EDC" w:rsidRPr="00E675E8" w:rsidRDefault="00B65EDC" w:rsidP="00B65EDC">
      <w:pPr>
        <w:rPr>
          <w:lang w:val="es-ES_tradnl"/>
        </w:rPr>
      </w:pPr>
    </w:p>
    <w:p w14:paraId="522444DC" w14:textId="6B751163"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cursos de enseñanza a distancia, el establecimiento de prioridades en las labores de asistencia de la Oficina de la Unión, la ayuda facilitada por los miembros de la Unión y la colaboración con otros proveedores de asistencia son algunos de los medios que se emplean, teniendo en cuenta los recursos disponibles, a fin de satisfacer la demanda de asistencia en la introducción y aplicación del sistema de la UPOV.</w:t>
      </w:r>
      <w:r w:rsidR="002817AB" w:rsidRPr="00E675E8">
        <w:rPr>
          <w:lang w:val="es-ES_tradnl"/>
        </w:rPr>
        <w:t xml:space="preserve"> </w:t>
      </w:r>
      <w:r w:rsidRPr="00E675E8">
        <w:rPr>
          <w:lang w:val="es-ES_tradnl"/>
        </w:rPr>
        <w:t>El presente pilar temático cuenta con el respaldo del presupuesto ordinario, aunque los fondos extrapresupuestarios y la ayuda en especie aportan buena parte de los recursos que se destinan a la asistencia.</w:t>
      </w:r>
      <w:r w:rsidR="002817AB" w:rsidRPr="00E675E8">
        <w:rPr>
          <w:lang w:val="es-ES_tradnl"/>
        </w:rPr>
        <w:t xml:space="preserve"> </w:t>
      </w:r>
      <w:r w:rsidRPr="00E675E8">
        <w:rPr>
          <w:lang w:val="es-ES_tradnl"/>
        </w:rPr>
        <w:t>A fin de utilizar los recursos disponibles de la manera más eficaz posible, la Oficina de la Unión seguirá aplicando criterios de prioridad a sus actividades y procurando encontrar sinergias con los miembros de la Unión y otros colaboradores.</w:t>
      </w:r>
    </w:p>
    <w:p w14:paraId="54728ED4" w14:textId="77777777" w:rsidR="00B65EDC" w:rsidRPr="00E675E8" w:rsidRDefault="00B65EDC" w:rsidP="00B65EDC">
      <w:pPr>
        <w:rPr>
          <w:lang w:val="es-ES_tradnl"/>
        </w:rPr>
      </w:pPr>
    </w:p>
    <w:p w14:paraId="49DE2BDD" w14:textId="77777777" w:rsidR="00B65EDC" w:rsidRPr="00E675E8" w:rsidRDefault="00B65EDC" w:rsidP="003F289C">
      <w:pPr>
        <w:keepNext/>
        <w:keepLines/>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El orden de prioridad para la prestación de asistencia por parte de la Oficina de la Unión seguirá siendo el siguiente:</w:t>
      </w:r>
    </w:p>
    <w:p w14:paraId="6B4596BF" w14:textId="77777777" w:rsidR="00B65EDC" w:rsidRPr="00E675E8" w:rsidRDefault="00B65EDC" w:rsidP="00B65EDC">
      <w:pPr>
        <w:keepNext/>
        <w:rPr>
          <w:color w:val="000000" w:themeColor="text1"/>
          <w:lang w:val="es-ES_tradnl"/>
        </w:rPr>
      </w:pPr>
    </w:p>
    <w:p w14:paraId="67B518F1" w14:textId="77777777" w:rsidR="00B65EDC" w:rsidRPr="00E675E8" w:rsidRDefault="00B65EDC" w:rsidP="00B65EDC">
      <w:pPr>
        <w:keepNext/>
        <w:spacing w:after="120"/>
        <w:ind w:left="567"/>
        <w:rPr>
          <w:color w:val="000000" w:themeColor="text1"/>
          <w:lang w:val="es-ES_tradnl"/>
        </w:rPr>
      </w:pPr>
      <w:r w:rsidRPr="00E675E8">
        <w:rPr>
          <w:color w:val="000000" w:themeColor="text1"/>
          <w:lang w:val="es-ES_tradnl"/>
        </w:rPr>
        <w:t>i)</w:t>
      </w:r>
      <w:r w:rsidRPr="00E675E8">
        <w:rPr>
          <w:color w:val="000000" w:themeColor="text1"/>
          <w:lang w:val="es-ES_tradnl"/>
        </w:rPr>
        <w:tab/>
        <w:t>asistencia a los miembros actuales de la Unión;</w:t>
      </w:r>
    </w:p>
    <w:p w14:paraId="298AC39F" w14:textId="77777777" w:rsidR="00B65EDC" w:rsidRPr="00E675E8" w:rsidRDefault="00B65EDC" w:rsidP="00B65EDC">
      <w:pPr>
        <w:spacing w:after="120"/>
        <w:ind w:left="1134" w:hanging="567"/>
        <w:rPr>
          <w:color w:val="000000" w:themeColor="text1"/>
          <w:lang w:val="es-ES_tradnl"/>
        </w:rPr>
      </w:pPr>
      <w:proofErr w:type="spellStart"/>
      <w:r w:rsidRPr="00E675E8">
        <w:rPr>
          <w:color w:val="000000" w:themeColor="text1"/>
          <w:lang w:val="es-ES_tradnl"/>
        </w:rPr>
        <w:t>ii</w:t>
      </w:r>
      <w:proofErr w:type="spellEnd"/>
      <w:r w:rsidRPr="00E675E8">
        <w:rPr>
          <w:color w:val="000000" w:themeColor="text1"/>
          <w:lang w:val="es-ES_tradnl"/>
        </w:rPr>
        <w:t>)</w:t>
      </w:r>
      <w:r w:rsidRPr="00E675E8">
        <w:rPr>
          <w:color w:val="000000" w:themeColor="text1"/>
          <w:lang w:val="es-ES_tradnl"/>
        </w:rPr>
        <w:tab/>
        <w:t>asistencia a los Estados y a determinadas organizaciones que no son miembros de la Unión, concretamente los gobiernos de los países en desarrollo y los países en transición a una economía de mercado, con miras a la elaboración de legislación conforme al Acta de 1991 del Convenio de la UPOV y a su adhesión al Convenio de la UPOV; y</w:t>
      </w:r>
    </w:p>
    <w:p w14:paraId="4B7F7E15" w14:textId="77777777" w:rsidR="00B65EDC" w:rsidRPr="00E675E8" w:rsidRDefault="00B65EDC" w:rsidP="00B65EDC">
      <w:pPr>
        <w:tabs>
          <w:tab w:val="left" w:pos="567"/>
        </w:tabs>
        <w:ind w:left="1134" w:hanging="567"/>
        <w:rPr>
          <w:color w:val="000000" w:themeColor="text1"/>
          <w:lang w:val="es-ES_tradnl"/>
        </w:rPr>
      </w:pPr>
      <w:proofErr w:type="spellStart"/>
      <w:r w:rsidRPr="00E675E8">
        <w:rPr>
          <w:color w:val="000000" w:themeColor="text1"/>
          <w:lang w:val="es-ES_tradnl"/>
        </w:rPr>
        <w:lastRenderedPageBreak/>
        <w:t>iii</w:t>
      </w:r>
      <w:proofErr w:type="spellEnd"/>
      <w:r w:rsidRPr="00E675E8">
        <w:rPr>
          <w:color w:val="000000" w:themeColor="text1"/>
          <w:lang w:val="es-ES_tradnl"/>
        </w:rPr>
        <w:t>)</w:t>
      </w:r>
      <w:r w:rsidRPr="00E675E8">
        <w:rPr>
          <w:color w:val="000000" w:themeColor="text1"/>
          <w:lang w:val="es-ES_tradnl"/>
        </w:rPr>
        <w:tab/>
        <w:t>asistencia a los Estados y a determinadas organizaciones que no son miembros de la Unión en la aplicación de la legislación que haya suscitado una decisión positiva del Consejo en relación con su adhesión al Convenio de la UPOV.</w:t>
      </w:r>
    </w:p>
    <w:p w14:paraId="7514C4DE" w14:textId="77777777" w:rsidR="00B65EDC" w:rsidRPr="00E675E8" w:rsidRDefault="00B65EDC" w:rsidP="00B65EDC">
      <w:pPr>
        <w:rPr>
          <w:color w:val="000000" w:themeColor="text1"/>
          <w:lang w:val="es-ES_tradnl"/>
        </w:rPr>
      </w:pPr>
    </w:p>
    <w:p w14:paraId="38D15F4D" w14:textId="070549C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Las reuniones, seminarios, talleres, formaciones y otros eventos y actividades seguirán desempeñando un papel fundamental en las labores de asistencia.</w:t>
      </w:r>
      <w:r w:rsidR="002817AB" w:rsidRPr="00E675E8">
        <w:rPr>
          <w:lang w:val="es-ES_tradnl"/>
        </w:rPr>
        <w:t xml:space="preserve"> </w:t>
      </w:r>
      <w:r w:rsidRPr="00E675E8">
        <w:rPr>
          <w:lang w:val="es-ES_tradnl"/>
        </w:rPr>
        <w:t>Sin embargo, se hará mayor hincapié en las actividades virtuales para ampliar el alcance, lograr una mayor repercusión, rebajar los costos y reducir el impacto de las actividades de la Oficina de la Unión en el medio ambiente.</w:t>
      </w:r>
      <w:r w:rsidR="002817AB" w:rsidRPr="00E675E8">
        <w:rPr>
          <w:lang w:val="es-ES_tradnl"/>
        </w:rPr>
        <w:t xml:space="preserve"> </w:t>
      </w:r>
    </w:p>
    <w:p w14:paraId="5341E11E" w14:textId="77777777" w:rsidR="00B65EDC" w:rsidRPr="00E675E8" w:rsidRDefault="00B65EDC" w:rsidP="00B65EDC">
      <w:pPr>
        <w:rPr>
          <w:lang w:val="es-ES_tradnl"/>
        </w:rPr>
      </w:pPr>
    </w:p>
    <w:p w14:paraId="21661511"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Se prevé que el sistema e-PVP de la UPOV (sección 3.1) complemente la labor de formación y capacitación proporcionando asistencia práctica a los miembros de la Unión en la aplicación del sistema de protección de las obtenciones vegetales. </w:t>
      </w:r>
      <w:bookmarkStart w:id="474" w:name="_Hlk188212864"/>
    </w:p>
    <w:p w14:paraId="6442E67E" w14:textId="77777777" w:rsidR="00B65EDC" w:rsidRPr="00E675E8" w:rsidRDefault="00B65EDC" w:rsidP="00B65EDC">
      <w:pPr>
        <w:rPr>
          <w:lang w:val="es-ES_tradnl"/>
        </w:rPr>
      </w:pPr>
    </w:p>
    <w:p w14:paraId="75916E40"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2024, el Consejo autorizó el uso de UPOV e-PVP por los Estados y organizaciones en proceso de convertirse en miembros de la UPOV, como se indica a continuación:</w:t>
      </w:r>
    </w:p>
    <w:p w14:paraId="673F7E77" w14:textId="77777777" w:rsidR="00B65EDC" w:rsidRPr="00E675E8" w:rsidRDefault="00B65EDC" w:rsidP="00B65EDC">
      <w:pPr>
        <w:rPr>
          <w:lang w:val="es-ES_tradnl"/>
        </w:rPr>
      </w:pPr>
    </w:p>
    <w:p w14:paraId="09E386C2" w14:textId="77777777" w:rsidR="00B65EDC" w:rsidRPr="00E675E8" w:rsidRDefault="00B65EDC" w:rsidP="00B65EDC">
      <w:pPr>
        <w:spacing w:after="120"/>
        <w:ind w:firstLine="567"/>
        <w:rPr>
          <w:lang w:val="es-ES_tradnl"/>
        </w:rPr>
      </w:pPr>
      <w:r w:rsidRPr="00E675E8">
        <w:rPr>
          <w:lang w:val="es-ES_tradnl"/>
        </w:rPr>
        <w:t>a)</w:t>
      </w:r>
      <w:r w:rsidRPr="00E675E8">
        <w:rPr>
          <w:lang w:val="es-ES_tradnl"/>
        </w:rPr>
        <w:tab/>
        <w:t>se deberá contar con el asesoramiento positivo del Consejo sobre la conformidad de la legislación con el Convenio de la UPOV;</w:t>
      </w:r>
    </w:p>
    <w:p w14:paraId="78B566B0" w14:textId="77777777" w:rsidR="00B65EDC" w:rsidRPr="00E675E8" w:rsidRDefault="00B65EDC" w:rsidP="00B65EDC">
      <w:pPr>
        <w:spacing w:after="120"/>
        <w:ind w:firstLine="567"/>
        <w:rPr>
          <w:lang w:val="es-ES_tradnl"/>
        </w:rPr>
      </w:pPr>
      <w:r w:rsidRPr="00E675E8">
        <w:rPr>
          <w:lang w:val="es-ES_tradnl"/>
        </w:rPr>
        <w:t>b)</w:t>
      </w:r>
      <w:r w:rsidRPr="00E675E8">
        <w:rPr>
          <w:lang w:val="es-ES_tradnl"/>
        </w:rPr>
        <w:tab/>
        <w:t xml:space="preserve">se autorizará el uso de UPOV e-PVP durante un período de prueba de tres años; </w:t>
      </w:r>
    </w:p>
    <w:p w14:paraId="62316034" w14:textId="01FCAAB0" w:rsidR="00B65EDC" w:rsidRPr="00E675E8" w:rsidRDefault="00B65EDC" w:rsidP="00B65EDC">
      <w:pPr>
        <w:ind w:firstLine="567"/>
        <w:rPr>
          <w:lang w:val="es-ES_tradnl"/>
        </w:rPr>
      </w:pPr>
      <w:r w:rsidRPr="00E675E8">
        <w:rPr>
          <w:lang w:val="es-ES_tradnl"/>
        </w:rPr>
        <w:t>c)</w:t>
      </w:r>
      <w:r w:rsidRPr="00E675E8">
        <w:rPr>
          <w:lang w:val="es-ES_tradnl"/>
        </w:rPr>
        <w:tab/>
        <w:t>podrán establecerse otros criterios para garantizar el uso eficaz de los recursos.</w:t>
      </w:r>
      <w:r w:rsidR="002817AB" w:rsidRPr="00E675E8">
        <w:rPr>
          <w:lang w:val="es-ES_tradnl"/>
        </w:rPr>
        <w:t xml:space="preserve"> </w:t>
      </w:r>
      <w:r w:rsidRPr="00E675E8">
        <w:rPr>
          <w:lang w:val="es-ES_tradnl"/>
        </w:rPr>
        <w:t>La utilización de UPOV e-PVP por cualquier Estado y organización en proceso de convertirse en miembro de la UPOV se comunicará periódicamente al Comité Consultivo en el documento de información “Situación relativa a los Estados y las organizaciones intergubernamentales que han iniciado el procedimiento de adhesión al Convenio de la UPOV o que han entrado en contacto con la Oficina de la Unión para solicitar asistencia en la elaboración de leyes basadas en el Convenio de la UPOV”.</w:t>
      </w:r>
    </w:p>
    <w:p w14:paraId="1B4484E2" w14:textId="77777777" w:rsidR="00B65EDC" w:rsidRPr="00E675E8" w:rsidRDefault="00B65EDC" w:rsidP="00B65EDC">
      <w:pPr>
        <w:rPr>
          <w:lang w:val="es-ES_tradnl"/>
        </w:rPr>
      </w:pPr>
    </w:p>
    <w:p w14:paraId="2EAA8B59" w14:textId="47C8C59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Con el fin de aprovechar las iniciativas de formación disponibles que ofrecen la UPOV y sus miembros, la Organización creó, en abril de 2024, un “certificado internacional de protección de las obtenciones vegetales”.</w:t>
      </w:r>
      <w:r w:rsidR="002817AB" w:rsidRPr="00E675E8">
        <w:rPr>
          <w:lang w:val="es-ES_tradnl"/>
        </w:rPr>
        <w:t xml:space="preserve"> </w:t>
      </w:r>
      <w:r w:rsidRPr="00E675E8">
        <w:rPr>
          <w:lang w:val="es-ES_tradnl"/>
        </w:rPr>
        <w:t>El certificado de la UPOV de protección de las obtenciones vegetales es un certificado internacional de protección de las obtenciones vegetales reconocido por la UPOV.</w:t>
      </w:r>
      <w:r w:rsidR="002817AB" w:rsidRPr="00E675E8">
        <w:rPr>
          <w:lang w:val="es-ES_tradnl"/>
        </w:rPr>
        <w:t xml:space="preserve"> </w:t>
      </w:r>
      <w:r w:rsidRPr="00E675E8">
        <w:rPr>
          <w:lang w:val="es-ES_tradnl"/>
        </w:rPr>
        <w:t>Los titulares del certificado demuestran haber seguido una determinada formación o participado en actividades relacionadas con el Convenio de la UPOV, el funcionamiento de una oficina de protección de las obtenciones vegetales y el examen de solicitudes, incluido el examen DHE. En 2024, se expidieron 50 certificados de la UPOV de protección de las obtenciones vegetales.</w:t>
      </w:r>
    </w:p>
    <w:p w14:paraId="5FB0A67A" w14:textId="77777777" w:rsidR="00B65EDC" w:rsidRPr="00E675E8" w:rsidRDefault="00B65EDC" w:rsidP="00B65EDC">
      <w:pPr>
        <w:rPr>
          <w:lang w:val="es-ES_tradnl"/>
        </w:rPr>
      </w:pPr>
    </w:p>
    <w:p w14:paraId="16EF8BA9" w14:textId="2CB9380C"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participación en el programa de certificados de la UPOV de protección de las obtenciones vegetales es gratuita para las categorías prioritarias del Consejo (véase el apartado 74).</w:t>
      </w:r>
      <w:r w:rsidR="002817AB" w:rsidRPr="00E675E8">
        <w:rPr>
          <w:lang w:val="es-ES_tradnl"/>
        </w:rPr>
        <w:t xml:space="preserve"> </w:t>
      </w:r>
      <w:r w:rsidRPr="00E675E8">
        <w:rPr>
          <w:lang w:val="es-ES_tradnl"/>
        </w:rPr>
        <w:t>En 2025 se habilitará la inscripción de estudiantes del sector privado y de organizaciones que no estén cubiertas por las prioridades del Consejo de la UPOV, previo pago de una tasa.</w:t>
      </w:r>
      <w:r w:rsidR="002817AB" w:rsidRPr="00E675E8">
        <w:rPr>
          <w:lang w:val="es-ES_tradnl"/>
        </w:rPr>
        <w:t xml:space="preserve"> </w:t>
      </w:r>
      <w:r w:rsidRPr="00E675E8">
        <w:rPr>
          <w:lang w:val="es-ES_tradnl"/>
        </w:rPr>
        <w:t>La Oficina de la UPOV está elaborando los procedimientos de facturación a dichos participantes y de tratamiento de los pagos recibidos para el programa de certificados de la UPOV de protección de las obtenciones vegetales.</w:t>
      </w:r>
      <w:r w:rsidR="002817AB" w:rsidRPr="00E675E8">
        <w:rPr>
          <w:lang w:val="es-ES_tradnl"/>
        </w:rPr>
        <w:t xml:space="preserve"> </w:t>
      </w:r>
      <w:r w:rsidRPr="00E675E8">
        <w:rPr>
          <w:lang w:val="es-ES_tradnl"/>
        </w:rPr>
        <w:t xml:space="preserve">El plan de aplicación preveía una tasa de 500 francos suizos para la inscripción de esos participantes. </w:t>
      </w:r>
    </w:p>
    <w:p w14:paraId="7ECD971A" w14:textId="77777777" w:rsidR="00B65EDC" w:rsidRPr="00E675E8" w:rsidRDefault="00B65EDC" w:rsidP="00B65EDC">
      <w:pPr>
        <w:rPr>
          <w:lang w:val="es-ES_tradnl"/>
        </w:rPr>
      </w:pPr>
    </w:p>
    <w:p w14:paraId="302AAFF1" w14:textId="43A95FA9"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programa de certificados de la UPOV de protección de las obtenciones vegetales seguirá ampliándose con la incorporación de nuevos cursos y actividades en la lista de formación avalada.</w:t>
      </w:r>
      <w:r w:rsidR="002817AB" w:rsidRPr="00E675E8">
        <w:rPr>
          <w:lang w:val="es-ES_tradnl"/>
        </w:rPr>
        <w:t xml:space="preserve"> </w:t>
      </w:r>
      <w:r w:rsidRPr="00E675E8">
        <w:rPr>
          <w:lang w:val="es-ES_tradnl"/>
        </w:rPr>
        <w:t>Esto aumentará el número de oportunidades de acumular el número necesario de créditos para obtener el certificado.</w:t>
      </w:r>
      <w:r w:rsidR="002817AB" w:rsidRPr="00E675E8">
        <w:rPr>
          <w:lang w:val="es-ES_tradnl"/>
        </w:rPr>
        <w:t xml:space="preserve"> </w:t>
      </w:r>
      <w:r w:rsidRPr="00E675E8">
        <w:rPr>
          <w:lang w:val="es-ES_tradnl"/>
        </w:rPr>
        <w:t>También contribuirá a establecer un repositorio de información sobre formación en materia de la UPOV y una red de especialistas en el tema.</w:t>
      </w:r>
      <w:r w:rsidR="002817AB" w:rsidRPr="00E675E8">
        <w:rPr>
          <w:lang w:val="es-ES_tradnl"/>
        </w:rPr>
        <w:t xml:space="preserve"> </w:t>
      </w:r>
      <w:r w:rsidRPr="00E675E8">
        <w:rPr>
          <w:lang w:val="es-ES_tradnl"/>
        </w:rPr>
        <w:t>La lista de cursos y actividades avalados figura en el sitio web de la UPOV:</w:t>
      </w:r>
      <w:r w:rsidR="002817AB" w:rsidRPr="00E675E8">
        <w:rPr>
          <w:lang w:val="es-ES_tradnl"/>
        </w:rPr>
        <w:t xml:space="preserve"> </w:t>
      </w:r>
      <w:hyperlink r:id="rId16" w:history="1">
        <w:r w:rsidRPr="00E675E8">
          <w:rPr>
            <w:rStyle w:val="Hyperlink"/>
            <w:lang w:val="es-ES_tradnl"/>
          </w:rPr>
          <w:t>https://www.upov.int/resource/es/pvp_certificate.html</w:t>
        </w:r>
      </w:hyperlink>
    </w:p>
    <w:p w14:paraId="70AC6ED0" w14:textId="77777777" w:rsidR="00B65EDC" w:rsidRPr="00E675E8" w:rsidRDefault="00B65EDC" w:rsidP="003F289C">
      <w:pPr>
        <w:keepNext/>
        <w:keepLines/>
        <w:rPr>
          <w:lang w:val="es-ES_tradnl"/>
        </w:rPr>
      </w:pPr>
    </w:p>
    <w:p w14:paraId="22241F98" w14:textId="77777777" w:rsidR="00B65EDC" w:rsidRPr="00E675E8" w:rsidRDefault="00B65EDC" w:rsidP="003F289C">
      <w:pPr>
        <w:pStyle w:val="Heading4"/>
        <w:rPr>
          <w:color w:val="000000"/>
          <w:lang w:val="es-ES_tradnl"/>
          <w14:textFill>
            <w14:solidFill>
              <w14:srgbClr w14:val="000000">
                <w14:lumMod w14:val="75000"/>
              </w14:srgbClr>
            </w14:solidFill>
          </w14:textFill>
        </w:rPr>
      </w:pPr>
      <w:bookmarkStart w:id="475" w:name="_Toc117798894"/>
      <w:bookmarkStart w:id="476" w:name="_Toc107239599"/>
      <w:bookmarkStart w:id="477" w:name="_Toc107239349"/>
      <w:bookmarkEnd w:id="474"/>
      <w:r w:rsidRPr="00E675E8">
        <w:rPr>
          <w:u w:val="none"/>
          <w:lang w:val="es-ES_tradnl"/>
        </w:rPr>
        <w:t>2.3</w:t>
      </w:r>
      <w:r w:rsidRPr="00E675E8">
        <w:rPr>
          <w:u w:val="none"/>
          <w:lang w:val="es-ES_tradnl"/>
        </w:rPr>
        <w:tab/>
      </w:r>
      <w:r w:rsidRPr="00E675E8">
        <w:rPr>
          <w:lang w:val="es-ES_tradnl"/>
        </w:rPr>
        <w:t>Mayor armonización y cooperación en los exámenes</w:t>
      </w:r>
      <w:bookmarkEnd w:id="475"/>
      <w:bookmarkEnd w:id="476"/>
      <w:bookmarkEnd w:id="477"/>
    </w:p>
    <w:p w14:paraId="5EDCD1C6" w14:textId="77777777" w:rsidR="00B65EDC" w:rsidRPr="00E675E8" w:rsidRDefault="00B65EDC" w:rsidP="003F289C">
      <w:pPr>
        <w:keepNext/>
        <w:keepLines/>
        <w:tabs>
          <w:tab w:val="left" w:pos="851"/>
        </w:tabs>
        <w:rPr>
          <w:color w:val="000000" w:themeColor="text1"/>
          <w:lang w:val="es-ES_tradnl"/>
        </w:rPr>
      </w:pPr>
    </w:p>
    <w:p w14:paraId="586884AD" w14:textId="102E7C6E" w:rsidR="00B65EDC" w:rsidRPr="00E675E8" w:rsidRDefault="00B65EDC" w:rsidP="00B65EDC">
      <w:pPr>
        <w:rPr>
          <w:bCs/>
          <w:color w:val="000000" w:themeColor="text1"/>
          <w:szCs w:val="24"/>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La cooperación entre los miembros de la Unión es una característica fundamental del sistema de la UPOV y constituye la base de su eficiencia, que se traduce en una disponibilidad más rápida de nuevas variedades para los obtentores y a un menor costo.</w:t>
      </w:r>
      <w:r w:rsidR="002817AB" w:rsidRPr="00E675E8">
        <w:rPr>
          <w:color w:val="000000" w:themeColor="text1"/>
          <w:lang w:val="es-ES_tradnl"/>
        </w:rPr>
        <w:t xml:space="preserve"> </w:t>
      </w:r>
      <w:r w:rsidRPr="00E675E8">
        <w:rPr>
          <w:color w:val="000000" w:themeColor="text1"/>
          <w:lang w:val="es-ES_tradnl"/>
        </w:rPr>
        <w:t>Para responder a los desafíos a los que se enfrentan la agricultura y la horticultura, especialmente en relación con el cambio climático y la seguridad alimentaria, se dará prioridad a una mayor cooperación que aumente la disponibilidad de variedades vegetales.</w:t>
      </w:r>
      <w:r w:rsidR="002817AB" w:rsidRPr="00E675E8">
        <w:rPr>
          <w:color w:val="000000" w:themeColor="text1"/>
          <w:lang w:val="es-ES_tradnl"/>
        </w:rPr>
        <w:t xml:space="preserve"> </w:t>
      </w:r>
      <w:r w:rsidRPr="00E675E8">
        <w:rPr>
          <w:color w:val="000000" w:themeColor="text1"/>
          <w:lang w:val="es-ES_tradnl"/>
        </w:rPr>
        <w:t>En este sentido, los órganos de la UPOV seguirán trabajando para determinar las medidas e instrumentos que pueden facilitar la cooperación de forma voluntaria.</w:t>
      </w:r>
      <w:r w:rsidR="002817AB" w:rsidRPr="00E675E8">
        <w:rPr>
          <w:color w:val="000000" w:themeColor="text1"/>
          <w:lang w:val="es-ES_tradnl"/>
        </w:rPr>
        <w:t xml:space="preserve"> </w:t>
      </w:r>
    </w:p>
    <w:p w14:paraId="3CB6C254" w14:textId="77777777" w:rsidR="00B65EDC" w:rsidRPr="00E675E8" w:rsidRDefault="00B65EDC" w:rsidP="00B65EDC">
      <w:pPr>
        <w:rPr>
          <w:bCs/>
          <w:color w:val="000000" w:themeColor="text1"/>
          <w:szCs w:val="24"/>
          <w:lang w:val="es-ES_tradnl"/>
        </w:rPr>
      </w:pPr>
    </w:p>
    <w:p w14:paraId="4A49F66B" w14:textId="5A00CAE8" w:rsidR="00B65EDC" w:rsidRPr="00E675E8" w:rsidRDefault="00B65EDC" w:rsidP="00797F25">
      <w:pPr>
        <w:keepLines/>
        <w:rPr>
          <w:bCs/>
          <w:color w:val="000000" w:themeColor="text1"/>
          <w:szCs w:val="24"/>
          <w:lang w:val="es-ES_tradnl"/>
        </w:rPr>
      </w:pPr>
      <w:r w:rsidRPr="00E675E8">
        <w:rPr>
          <w:color w:val="000000" w:themeColor="text1"/>
          <w:lang w:val="es-ES_tradnl"/>
        </w:rPr>
        <w:lastRenderedPageBreak/>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El Comité Técnico ha acordado una serie de medidas para mejorar el apoyo prestado al examen DHE, en particular con miras a aumentar la cooperación como beneficio fundamental de la pertenencia a la UPOV (véase la Sección 1.1).</w:t>
      </w:r>
      <w:r w:rsidR="002817AB" w:rsidRPr="00E675E8">
        <w:rPr>
          <w:color w:val="000000" w:themeColor="text1"/>
          <w:lang w:val="es-ES_tradnl"/>
        </w:rPr>
        <w:t xml:space="preserve"> </w:t>
      </w:r>
      <w:r w:rsidRPr="00E675E8">
        <w:rPr>
          <w:lang w:val="es-ES_tradnl"/>
        </w:rPr>
        <w:t xml:space="preserve">En el bienio 2026-2027, el Comité Técnico avanzará en la aplicación de estas medidas </w:t>
      </w:r>
      <w:proofErr w:type="gramStart"/>
      <w:r w:rsidRPr="00E675E8">
        <w:rPr>
          <w:lang w:val="es-ES_tradnl"/>
        </w:rPr>
        <w:t>haciendo especial hincapié</w:t>
      </w:r>
      <w:proofErr w:type="gramEnd"/>
      <w:r w:rsidRPr="00E675E8">
        <w:rPr>
          <w:lang w:val="es-ES_tradnl"/>
        </w:rPr>
        <w:t xml:space="preserve"> en el apoyo a los redactores de directrices de examen mediante: formación; mentoría e información sobre cooperación para la redacción de directrices de examen nacionales; mejora de la estructura de las directrices de examen; y mejora de la herramienta en línea de la UPOV para la redacción de directrices de examen (es decir, la plantilla de documentos TG).</w:t>
      </w:r>
      <w:r w:rsidR="002817AB" w:rsidRPr="00E675E8">
        <w:rPr>
          <w:lang w:val="es-ES_tradnl"/>
        </w:rPr>
        <w:t xml:space="preserve"> </w:t>
      </w:r>
      <w:r w:rsidRPr="00E675E8">
        <w:rPr>
          <w:lang w:val="es-ES_tradnl"/>
        </w:rPr>
        <w:t>Estas medidas deberían acelerar la elaboración y actualización de las directrices de examen y la ampliación de la protección a más géneros y especies.</w:t>
      </w:r>
    </w:p>
    <w:p w14:paraId="127F41E9" w14:textId="77777777" w:rsidR="00B65EDC" w:rsidRPr="00E675E8" w:rsidRDefault="00B65EDC" w:rsidP="00B65EDC">
      <w:pPr>
        <w:rPr>
          <w:bCs/>
          <w:color w:val="000000" w:themeColor="text1"/>
          <w:szCs w:val="24"/>
          <w:lang w:val="es-ES_tradnl"/>
        </w:rPr>
      </w:pPr>
    </w:p>
    <w:p w14:paraId="371055B8" w14:textId="77777777" w:rsidR="00B65EDC" w:rsidRPr="00E675E8" w:rsidRDefault="00B65EDC" w:rsidP="00B65EDC">
      <w:pPr>
        <w:rPr>
          <w:bCs/>
          <w:color w:val="000000" w:themeColor="text1"/>
          <w:szCs w:val="24"/>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lang w:val="es-ES_tradnl"/>
        </w:rPr>
        <w:tab/>
      </w:r>
      <w:r w:rsidRPr="00E675E8">
        <w:rPr>
          <w:color w:val="000000" w:themeColor="text1"/>
          <w:lang w:val="es-ES_tradnl"/>
        </w:rPr>
        <w:t>Se prevé que el programa de certificados de protección de las obtenciones vegetales de la UPOV facilite la cooperación entre los miembros de la Unión al proporcionar un indicador de las competencias adquiridas por los profesionales y examinadores de las oficinas de protección de las obtenciones vegetales.</w:t>
      </w:r>
    </w:p>
    <w:p w14:paraId="08B55807" w14:textId="77777777" w:rsidR="00B65EDC" w:rsidRPr="00E675E8" w:rsidRDefault="00B65EDC" w:rsidP="00B65EDC">
      <w:pPr>
        <w:rPr>
          <w:bCs/>
          <w:color w:val="000000" w:themeColor="text1"/>
          <w:szCs w:val="24"/>
          <w:lang w:val="es-ES_tradnl"/>
        </w:rPr>
      </w:pPr>
    </w:p>
    <w:p w14:paraId="2FFEB267" w14:textId="04BA5E1B" w:rsidR="00B65EDC" w:rsidRPr="00E675E8" w:rsidRDefault="00B65EDC" w:rsidP="00B65EDC">
      <w:pPr>
        <w:rPr>
          <w:bCs/>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Comité Técnico ha identificado una serie de cuestiones técnicas, administrativas, normativas y jurídicas que pueden convertirse en obstáculos para una mayor cooperación en el examen DHE.</w:t>
      </w:r>
      <w:r w:rsidR="002817AB" w:rsidRPr="00E675E8">
        <w:rPr>
          <w:lang w:val="es-ES_tradnl"/>
        </w:rPr>
        <w:t xml:space="preserve"> </w:t>
      </w:r>
      <w:r w:rsidRPr="00E675E8">
        <w:rPr>
          <w:lang w:val="es-ES_tradnl"/>
        </w:rPr>
        <w:t xml:space="preserve">Un objetivo clave en el bienio </w:t>
      </w:r>
      <w:r w:rsidRPr="00E675E8">
        <w:rPr>
          <w:snapToGrid w:val="0"/>
          <w:lang w:val="es-ES_tradnl"/>
        </w:rPr>
        <w:t>2026</w:t>
      </w:r>
      <w:r w:rsidRPr="00E675E8">
        <w:rPr>
          <w:snapToGrid w:val="0"/>
          <w:lang w:val="es-ES_tradnl"/>
        </w:rPr>
        <w:noBreakHyphen/>
        <w:t>2027</w:t>
      </w:r>
      <w:r w:rsidRPr="00E675E8">
        <w:rPr>
          <w:lang w:val="es-ES_tradnl"/>
        </w:rPr>
        <w:t xml:space="preserve"> será abordar estos posibles obstáculos para incrementar la cooperación y la eficacia del examen DHE.</w:t>
      </w:r>
    </w:p>
    <w:p w14:paraId="590ED330" w14:textId="77777777" w:rsidR="00B65EDC" w:rsidRPr="00E675E8" w:rsidRDefault="00B65EDC" w:rsidP="00B65EDC">
      <w:pPr>
        <w:rPr>
          <w:bCs/>
          <w:szCs w:val="24"/>
          <w:lang w:val="es-ES_tradnl"/>
        </w:rPr>
      </w:pPr>
    </w:p>
    <w:p w14:paraId="28C8B400" w14:textId="29AC06C1" w:rsidR="00B65EDC" w:rsidRPr="00E675E8" w:rsidRDefault="00B65EDC" w:rsidP="00B65EDC">
      <w:pPr>
        <w:rPr>
          <w:bCs/>
          <w:szCs w:val="24"/>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Convenio de la UPOV ofrece flexibilidad a los miembros de la UPOV para decidir cómo organizar los exámenes DHE de la forma más rentable en función de sus circunstancias.</w:t>
      </w:r>
      <w:r w:rsidR="002817AB" w:rsidRPr="00E675E8">
        <w:rPr>
          <w:lang w:val="es-ES_tradnl"/>
        </w:rPr>
        <w:t xml:space="preserve"> </w:t>
      </w:r>
      <w:r w:rsidRPr="00E675E8">
        <w:rPr>
          <w:lang w:val="es-ES_tradnl"/>
        </w:rPr>
        <w:t>Algunos miembros de la UPOV han experimentado que la cooperación con los obtentores aumenta la eficacia en el examen de variedades.</w:t>
      </w:r>
      <w:r w:rsidR="002817AB" w:rsidRPr="00E675E8">
        <w:rPr>
          <w:lang w:val="es-ES_tradnl"/>
        </w:rPr>
        <w:t xml:space="preserve"> </w:t>
      </w:r>
      <w:r w:rsidRPr="00E675E8">
        <w:rPr>
          <w:lang w:val="es-ES_tradnl"/>
        </w:rPr>
        <w:t>En 2025 se celebrará una serie de webinarios y un seminario para dar a conocer y comprender cómo algunos miembros de la UPOV llevan a cabo los exámenes DHE en cooperación con los obtentores.</w:t>
      </w:r>
      <w:r w:rsidR="002817AB" w:rsidRPr="00E675E8">
        <w:rPr>
          <w:lang w:val="es-ES_tradnl"/>
        </w:rPr>
        <w:t xml:space="preserve"> </w:t>
      </w:r>
      <w:r w:rsidRPr="00E675E8">
        <w:rPr>
          <w:lang w:val="es-ES_tradnl"/>
        </w:rPr>
        <w:t>Dicho seminario tendrá lugar en octubre de 2025.</w:t>
      </w:r>
      <w:r w:rsidR="002817AB" w:rsidRPr="00E675E8">
        <w:rPr>
          <w:lang w:val="es-ES_tradnl"/>
        </w:rPr>
        <w:t xml:space="preserve"> </w:t>
      </w:r>
      <w:r w:rsidRPr="00E675E8">
        <w:rPr>
          <w:lang w:val="es-ES_tradnl"/>
        </w:rPr>
        <w:t>Después del seminario, durante el bienio 2026-2027, se procederá, entre otras cosas, a la recopilación de presentaciones y de la documentación que se utilizarán para el fortalecimiento de capacidades y la sensibilización.</w:t>
      </w:r>
    </w:p>
    <w:p w14:paraId="36AE3C7E" w14:textId="77777777" w:rsidR="00B65EDC" w:rsidRPr="00E675E8" w:rsidRDefault="00B65EDC" w:rsidP="00B65EDC">
      <w:pPr>
        <w:rPr>
          <w:bCs/>
          <w:szCs w:val="24"/>
          <w:lang w:val="es-ES_tradnl"/>
        </w:rPr>
      </w:pPr>
    </w:p>
    <w:p w14:paraId="5553751B" w14:textId="77777777" w:rsidR="00B65EDC" w:rsidRPr="00E675E8" w:rsidRDefault="00B65EDC" w:rsidP="00B65EDC">
      <w:pPr>
        <w:rPr>
          <w:bCs/>
          <w:szCs w:val="24"/>
          <w:lang w:val="es-ES_tradnl"/>
        </w:rPr>
      </w:pPr>
    </w:p>
    <w:p w14:paraId="480A1FDD" w14:textId="77777777" w:rsidR="00F05868" w:rsidRPr="00E675E8" w:rsidRDefault="00F05868">
      <w:pPr>
        <w:jc w:val="left"/>
        <w:rPr>
          <w:b/>
          <w:color w:val="26724C" w:themeColor="accent1" w:themeShade="BF"/>
          <w:sz w:val="22"/>
          <w:lang w:val="es-ES_tradnl"/>
        </w:rPr>
      </w:pPr>
      <w:r w:rsidRPr="00E675E8">
        <w:rPr>
          <w:lang w:val="es-ES_tradnl"/>
        </w:rPr>
        <w:br w:type="page"/>
      </w:r>
    </w:p>
    <w:p w14:paraId="7DC063A6" w14:textId="62789C1E" w:rsidR="00B65EDC" w:rsidRPr="00E675E8" w:rsidRDefault="00B65EDC" w:rsidP="000363C4">
      <w:pPr>
        <w:pStyle w:val="Heading3"/>
        <w:rPr>
          <w:lang w:val="es-ES_tradnl"/>
        </w:rPr>
      </w:pPr>
      <w:bookmarkStart w:id="478" w:name="_Toc209777772"/>
      <w:r w:rsidRPr="00E675E8">
        <w:rPr>
          <w:lang w:val="es-ES_tradnl"/>
        </w:rPr>
        <w:lastRenderedPageBreak/>
        <w:t>Resultados previstos e indicadores de rendimiento</w:t>
      </w:r>
      <w:bookmarkEnd w:id="478"/>
      <w:r w:rsidRPr="00E675E8">
        <w:rPr>
          <w:lang w:val="es-ES_tradnl"/>
        </w:rPr>
        <w:t xml:space="preserve"> </w:t>
      </w:r>
    </w:p>
    <w:p w14:paraId="58BBC526" w14:textId="77777777" w:rsidR="00B65EDC" w:rsidRPr="00E675E8" w:rsidRDefault="00B65EDC" w:rsidP="004448C7">
      <w:pPr>
        <w:keepNext/>
        <w:rPr>
          <w:bCs/>
          <w:lang w:val="es-ES_tradnl"/>
        </w:rPr>
      </w:pP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118"/>
        <w:gridCol w:w="305"/>
        <w:gridCol w:w="2457"/>
        <w:gridCol w:w="1495"/>
        <w:gridCol w:w="1843"/>
      </w:tblGrid>
      <w:tr w:rsidR="00B65EDC" w:rsidRPr="00E675E8" w14:paraId="4F4F4B6C" w14:textId="77777777" w:rsidTr="00383CE0">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B65EDC" w:rsidRPr="00E675E8" w:rsidRDefault="00B65EDC">
            <w:pPr>
              <w:jc w:val="left"/>
              <w:rPr>
                <w:b/>
                <w:bCs/>
                <w:sz w:val="16"/>
                <w:szCs w:val="16"/>
                <w:lang w:val="es-ES_tradnl"/>
              </w:rPr>
            </w:pPr>
          </w:p>
        </w:tc>
        <w:tc>
          <w:tcPr>
            <w:tcW w:w="3118" w:type="dxa"/>
            <w:tcBorders>
              <w:bottom w:val="single" w:sz="4" w:space="0" w:color="D9D9D9" w:themeColor="background1" w:themeShade="D9"/>
            </w:tcBorders>
            <w:shd w:val="clear" w:color="auto" w:fill="E2E7EB" w:themeFill="accent3" w:themeFillTint="33"/>
          </w:tcPr>
          <w:p w14:paraId="7A0C2478"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3EE0133E"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354F10E8" w14:textId="77777777" w:rsidR="00B65EDC" w:rsidRPr="00E675E8" w:rsidRDefault="00B65EDC">
            <w:pPr>
              <w:rPr>
                <w:b/>
                <w:bCs/>
                <w:sz w:val="16"/>
                <w:szCs w:val="16"/>
                <w:lang w:val="es-ES_tradnl"/>
              </w:rPr>
            </w:pPr>
            <w:r w:rsidRPr="00E675E8">
              <w:rPr>
                <w:b/>
                <w:sz w:val="16"/>
                <w:lang w:val="es-ES_tradnl"/>
              </w:rPr>
              <w:t>Indicadores de rendimiento</w:t>
            </w:r>
          </w:p>
        </w:tc>
        <w:tc>
          <w:tcPr>
            <w:tcW w:w="1495" w:type="dxa"/>
            <w:tcBorders>
              <w:bottom w:val="single" w:sz="4" w:space="0" w:color="D9D9D9" w:themeColor="background1" w:themeShade="D9"/>
            </w:tcBorders>
            <w:shd w:val="clear" w:color="auto" w:fill="E2E7EB" w:themeFill="accent3" w:themeFillTint="33"/>
          </w:tcPr>
          <w:p w14:paraId="354876E3" w14:textId="77777777" w:rsidR="00B65EDC" w:rsidRPr="00E675E8" w:rsidRDefault="00B65EDC">
            <w:pPr>
              <w:jc w:val="center"/>
              <w:rPr>
                <w:rFonts w:asciiTheme="majorHAnsi" w:hAnsiTheme="majorHAnsi" w:cstheme="majorHAnsi"/>
                <w:b/>
                <w:bCs/>
                <w:sz w:val="16"/>
                <w:szCs w:val="16"/>
                <w:lang w:val="es-ES_tradnl"/>
              </w:rPr>
            </w:pPr>
            <w:r w:rsidRPr="00E675E8">
              <w:rPr>
                <w:rFonts w:asciiTheme="majorHAnsi" w:hAnsiTheme="majorHAnsi"/>
                <w:b/>
                <w:sz w:val="16"/>
                <w:lang w:val="es-ES_tradnl"/>
              </w:rPr>
              <w:t>Referencias</w:t>
            </w:r>
          </w:p>
        </w:tc>
        <w:tc>
          <w:tcPr>
            <w:tcW w:w="1843" w:type="dxa"/>
            <w:tcBorders>
              <w:bottom w:val="single" w:sz="4" w:space="0" w:color="D9D9D9" w:themeColor="background1" w:themeShade="D9"/>
            </w:tcBorders>
            <w:shd w:val="clear" w:color="auto" w:fill="E2E7EB" w:themeFill="accent3" w:themeFillTint="33"/>
          </w:tcPr>
          <w:p w14:paraId="3805BDCE" w14:textId="77777777" w:rsidR="00B65EDC" w:rsidRPr="00E675E8" w:rsidRDefault="00B65EDC">
            <w:pPr>
              <w:jc w:val="center"/>
              <w:rPr>
                <w:rFonts w:asciiTheme="majorHAnsi" w:hAnsiTheme="majorHAnsi" w:cstheme="majorHAnsi"/>
                <w:b/>
                <w:bCs/>
                <w:sz w:val="16"/>
                <w:szCs w:val="16"/>
                <w:lang w:val="es-ES_tradnl"/>
              </w:rPr>
            </w:pPr>
            <w:r w:rsidRPr="00E675E8">
              <w:rPr>
                <w:rFonts w:asciiTheme="majorHAnsi" w:hAnsiTheme="majorHAnsi"/>
                <w:b/>
                <w:sz w:val="16"/>
                <w:lang w:val="es-ES_tradnl"/>
              </w:rPr>
              <w:t>Objetivo (2026/27)</w:t>
            </w:r>
          </w:p>
        </w:tc>
      </w:tr>
      <w:tr w:rsidR="00B65EDC" w:rsidRPr="00E675E8" w14:paraId="50E7F56F" w14:textId="77777777" w:rsidTr="00383CE0">
        <w:tc>
          <w:tcPr>
            <w:tcW w:w="426" w:type="dxa"/>
            <w:tcBorders>
              <w:top w:val="single" w:sz="4" w:space="0" w:color="D9D9D9" w:themeColor="background1" w:themeShade="D9"/>
            </w:tcBorders>
          </w:tcPr>
          <w:p w14:paraId="300D41EE" w14:textId="77777777" w:rsidR="00B65EDC" w:rsidRPr="00E675E8" w:rsidRDefault="00B65EDC">
            <w:pPr>
              <w:jc w:val="left"/>
              <w:rPr>
                <w:rFonts w:cs="Arial"/>
                <w:sz w:val="16"/>
                <w:szCs w:val="16"/>
                <w:lang w:val="es-ES_tradnl"/>
              </w:rPr>
            </w:pPr>
            <w:r w:rsidRPr="00E675E8">
              <w:rPr>
                <w:sz w:val="16"/>
                <w:lang w:val="es-ES_tradnl"/>
              </w:rPr>
              <w:t>2.1</w:t>
            </w:r>
          </w:p>
        </w:tc>
        <w:tc>
          <w:tcPr>
            <w:tcW w:w="3118" w:type="dxa"/>
            <w:tcBorders>
              <w:top w:val="single" w:sz="4" w:space="0" w:color="D9D9D9" w:themeColor="background1" w:themeShade="D9"/>
            </w:tcBorders>
          </w:tcPr>
          <w:p w14:paraId="07A71D2F" w14:textId="77777777" w:rsidR="00B65EDC" w:rsidRPr="00E675E8" w:rsidRDefault="00B65EDC">
            <w:pPr>
              <w:jc w:val="left"/>
              <w:rPr>
                <w:rFonts w:cs="Arial"/>
                <w:sz w:val="16"/>
                <w:szCs w:val="16"/>
                <w:lang w:val="es-ES_tradnl"/>
              </w:rPr>
            </w:pPr>
            <w:r w:rsidRPr="00E675E8">
              <w:rPr>
                <w:sz w:val="16"/>
                <w:lang w:val="es-ES_tradnl"/>
              </w:rPr>
              <w:t>Sensibilización sobre la función que cumple el sistema de la UPOV</w:t>
            </w:r>
          </w:p>
        </w:tc>
        <w:tc>
          <w:tcPr>
            <w:tcW w:w="305" w:type="dxa"/>
            <w:tcBorders>
              <w:top w:val="single" w:sz="4" w:space="0" w:color="D9D9D9" w:themeColor="background1" w:themeShade="D9"/>
            </w:tcBorders>
          </w:tcPr>
          <w:p w14:paraId="31173FC2" w14:textId="77777777" w:rsidR="00B65EDC" w:rsidRPr="00E675E8" w:rsidRDefault="00B65EDC">
            <w:pPr>
              <w:jc w:val="left"/>
              <w:rPr>
                <w:rFonts w:cs="Arial"/>
                <w:sz w:val="16"/>
                <w:szCs w:val="16"/>
                <w:lang w:val="es-ES_tradnl"/>
              </w:rPr>
            </w:pPr>
            <w:r w:rsidRPr="00E675E8">
              <w:rPr>
                <w:sz w:val="16"/>
                <w:lang w:val="es-ES_tradnl"/>
              </w:rPr>
              <w:t>3</w:t>
            </w:r>
          </w:p>
        </w:tc>
        <w:tc>
          <w:tcPr>
            <w:tcW w:w="2457" w:type="dxa"/>
            <w:tcBorders>
              <w:top w:val="single" w:sz="4" w:space="0" w:color="D9D9D9" w:themeColor="background1" w:themeShade="D9"/>
            </w:tcBorders>
          </w:tcPr>
          <w:p w14:paraId="63F5CB58" w14:textId="77777777" w:rsidR="00B65EDC" w:rsidRPr="00E675E8" w:rsidRDefault="00B65EDC">
            <w:pPr>
              <w:jc w:val="left"/>
              <w:rPr>
                <w:rFonts w:cs="Arial"/>
                <w:sz w:val="16"/>
                <w:szCs w:val="16"/>
                <w:lang w:val="es-ES_tradnl"/>
              </w:rPr>
            </w:pPr>
            <w:r w:rsidRPr="00E675E8">
              <w:rPr>
                <w:sz w:val="16"/>
                <w:lang w:val="es-ES_tradnl"/>
              </w:rPr>
              <w:t>Vistas de la información de la UPOV</w:t>
            </w:r>
          </w:p>
        </w:tc>
        <w:tc>
          <w:tcPr>
            <w:tcW w:w="1495" w:type="dxa"/>
            <w:tcBorders>
              <w:top w:val="single" w:sz="4" w:space="0" w:color="D9D9D9" w:themeColor="background1" w:themeShade="D9"/>
            </w:tcBorders>
          </w:tcPr>
          <w:p w14:paraId="6786CEF3" w14:textId="77777777" w:rsidR="00B65EDC" w:rsidRPr="00E675E8" w:rsidRDefault="00B65EDC">
            <w:pPr>
              <w:jc w:val="center"/>
              <w:rPr>
                <w:rFonts w:asciiTheme="majorHAnsi" w:hAnsiTheme="majorHAnsi" w:cstheme="majorHAnsi"/>
                <w:sz w:val="16"/>
                <w:szCs w:val="16"/>
                <w:lang w:val="es-ES_tradnl"/>
              </w:rPr>
            </w:pPr>
          </w:p>
        </w:tc>
        <w:tc>
          <w:tcPr>
            <w:tcW w:w="1843" w:type="dxa"/>
            <w:tcBorders>
              <w:top w:val="single" w:sz="4" w:space="0" w:color="D9D9D9" w:themeColor="background1" w:themeShade="D9"/>
            </w:tcBorders>
          </w:tcPr>
          <w:p w14:paraId="39BE3444" w14:textId="77777777" w:rsidR="00B65EDC" w:rsidRPr="00E675E8" w:rsidRDefault="00B65EDC">
            <w:pPr>
              <w:jc w:val="center"/>
              <w:rPr>
                <w:rFonts w:asciiTheme="majorHAnsi" w:hAnsiTheme="majorHAnsi" w:cstheme="majorHAnsi"/>
                <w:sz w:val="16"/>
                <w:szCs w:val="16"/>
                <w:lang w:val="es-ES_tradnl"/>
              </w:rPr>
            </w:pPr>
          </w:p>
        </w:tc>
      </w:tr>
      <w:tr w:rsidR="00B65EDC" w:rsidRPr="00E675E8" w14:paraId="1859800D" w14:textId="77777777" w:rsidTr="00383CE0">
        <w:tc>
          <w:tcPr>
            <w:tcW w:w="426" w:type="dxa"/>
          </w:tcPr>
          <w:p w14:paraId="6DBF9044" w14:textId="77777777" w:rsidR="00B65EDC" w:rsidRPr="00E675E8" w:rsidRDefault="00B65EDC">
            <w:pPr>
              <w:jc w:val="left"/>
              <w:rPr>
                <w:rFonts w:cs="Arial"/>
                <w:sz w:val="16"/>
                <w:szCs w:val="16"/>
                <w:lang w:val="es-ES_tradnl"/>
              </w:rPr>
            </w:pPr>
          </w:p>
        </w:tc>
        <w:tc>
          <w:tcPr>
            <w:tcW w:w="3118" w:type="dxa"/>
          </w:tcPr>
          <w:p w14:paraId="690E84F3" w14:textId="77777777" w:rsidR="00B65EDC" w:rsidRPr="00E675E8" w:rsidRDefault="00B65EDC">
            <w:pPr>
              <w:jc w:val="left"/>
              <w:rPr>
                <w:rFonts w:cs="Arial"/>
                <w:sz w:val="16"/>
                <w:szCs w:val="16"/>
                <w:lang w:val="es-ES_tradnl"/>
              </w:rPr>
            </w:pPr>
          </w:p>
        </w:tc>
        <w:tc>
          <w:tcPr>
            <w:tcW w:w="305" w:type="dxa"/>
          </w:tcPr>
          <w:p w14:paraId="6D0F4F0B" w14:textId="77777777" w:rsidR="00B65EDC" w:rsidRPr="00E675E8" w:rsidRDefault="00B65EDC">
            <w:pPr>
              <w:jc w:val="left"/>
              <w:rPr>
                <w:rFonts w:cs="Arial"/>
                <w:sz w:val="16"/>
                <w:szCs w:val="16"/>
                <w:lang w:val="es-ES_tradnl"/>
              </w:rPr>
            </w:pPr>
          </w:p>
        </w:tc>
        <w:tc>
          <w:tcPr>
            <w:tcW w:w="2457" w:type="dxa"/>
          </w:tcPr>
          <w:p w14:paraId="7F5840FE" w14:textId="14F54153" w:rsidR="00B65EDC" w:rsidRPr="00E675E8" w:rsidRDefault="00B65EDC">
            <w:pPr>
              <w:ind w:left="284"/>
              <w:jc w:val="left"/>
              <w:rPr>
                <w:rFonts w:cs="Arial"/>
                <w:sz w:val="16"/>
                <w:szCs w:val="16"/>
                <w:lang w:val="es-ES_tradnl"/>
              </w:rPr>
            </w:pPr>
            <w:r w:rsidRPr="00E675E8">
              <w:rPr>
                <w:sz w:val="16"/>
                <w:lang w:val="es-ES_tradnl"/>
              </w:rPr>
              <w:t>Visitas al sitio web de la UPOV</w:t>
            </w:r>
          </w:p>
        </w:tc>
        <w:tc>
          <w:tcPr>
            <w:tcW w:w="1495" w:type="dxa"/>
          </w:tcPr>
          <w:p w14:paraId="77C254F8" w14:textId="4F80A2C3" w:rsidR="00B65EDC" w:rsidRPr="00E675E8" w:rsidRDefault="00C75029">
            <w:pPr>
              <w:jc w:val="center"/>
              <w:rPr>
                <w:rFonts w:asciiTheme="majorHAnsi" w:hAnsiTheme="majorHAnsi" w:cstheme="majorHAnsi"/>
                <w:sz w:val="16"/>
                <w:szCs w:val="16"/>
                <w:lang w:val="es-ES_tradnl"/>
              </w:rPr>
            </w:pPr>
            <w:r w:rsidRPr="00E675E8">
              <w:rPr>
                <w:rFonts w:asciiTheme="majorHAnsi" w:hAnsiTheme="majorHAnsi"/>
                <w:sz w:val="16"/>
                <w:lang w:val="es-ES_tradnl"/>
              </w:rPr>
              <w:t>1 130 631 (2024)</w:t>
            </w:r>
          </w:p>
        </w:tc>
        <w:tc>
          <w:tcPr>
            <w:tcW w:w="1843" w:type="dxa"/>
          </w:tcPr>
          <w:p w14:paraId="797803EB" w14:textId="6081DFCC" w:rsidR="00E55365" w:rsidRPr="00E675E8" w:rsidRDefault="00CE0FD5" w:rsidP="00437CC2">
            <w:pPr>
              <w:jc w:val="center"/>
              <w:rPr>
                <w:rFonts w:asciiTheme="majorHAnsi" w:hAnsiTheme="majorHAnsi" w:cstheme="majorHAnsi"/>
                <w:sz w:val="16"/>
                <w:szCs w:val="16"/>
                <w:lang w:val="es-ES_tradnl"/>
              </w:rPr>
            </w:pPr>
            <w:r w:rsidRPr="00E675E8">
              <w:rPr>
                <w:rFonts w:asciiTheme="majorHAnsi" w:hAnsiTheme="majorHAnsi"/>
                <w:sz w:val="16"/>
                <w:lang w:val="es-ES_tradnl"/>
              </w:rPr>
              <w:t>1 350 000 (2026)</w:t>
            </w:r>
          </w:p>
          <w:p w14:paraId="7542A24E" w14:textId="37E8CFC8" w:rsidR="00620794" w:rsidRPr="00E675E8" w:rsidRDefault="00437CC2" w:rsidP="00437CC2">
            <w:pPr>
              <w:jc w:val="center"/>
              <w:rPr>
                <w:rFonts w:asciiTheme="majorHAnsi" w:hAnsiTheme="majorHAnsi" w:cstheme="majorHAnsi"/>
                <w:sz w:val="16"/>
                <w:szCs w:val="16"/>
                <w:lang w:val="es-ES_tradnl"/>
              </w:rPr>
            </w:pPr>
            <w:r w:rsidRPr="00E675E8">
              <w:rPr>
                <w:rFonts w:asciiTheme="majorHAnsi" w:hAnsiTheme="majorHAnsi"/>
                <w:sz w:val="16"/>
                <w:lang w:val="es-ES_tradnl"/>
              </w:rPr>
              <w:t>1 500 000 (2027)</w:t>
            </w:r>
          </w:p>
        </w:tc>
      </w:tr>
      <w:tr w:rsidR="00B65EDC" w:rsidRPr="00E675E8" w14:paraId="50FC4D80" w14:textId="77777777" w:rsidTr="00383CE0">
        <w:tc>
          <w:tcPr>
            <w:tcW w:w="426" w:type="dxa"/>
          </w:tcPr>
          <w:p w14:paraId="3C9233FC" w14:textId="77777777" w:rsidR="00B65EDC" w:rsidRPr="00E675E8" w:rsidRDefault="00B65EDC">
            <w:pPr>
              <w:jc w:val="left"/>
              <w:rPr>
                <w:rFonts w:cs="Arial"/>
                <w:sz w:val="16"/>
                <w:szCs w:val="16"/>
                <w:lang w:val="es-ES_tradnl"/>
              </w:rPr>
            </w:pPr>
          </w:p>
        </w:tc>
        <w:tc>
          <w:tcPr>
            <w:tcW w:w="3118" w:type="dxa"/>
          </w:tcPr>
          <w:p w14:paraId="4FE12C67" w14:textId="77777777" w:rsidR="00B65EDC" w:rsidRPr="00E675E8" w:rsidRDefault="00B65EDC">
            <w:pPr>
              <w:jc w:val="left"/>
              <w:rPr>
                <w:rFonts w:cs="Arial"/>
                <w:sz w:val="16"/>
                <w:szCs w:val="16"/>
                <w:lang w:val="es-ES_tradnl"/>
              </w:rPr>
            </w:pPr>
          </w:p>
        </w:tc>
        <w:tc>
          <w:tcPr>
            <w:tcW w:w="305" w:type="dxa"/>
          </w:tcPr>
          <w:p w14:paraId="0C714DCD" w14:textId="77777777" w:rsidR="00B65EDC" w:rsidRPr="00E675E8" w:rsidRDefault="00B65EDC">
            <w:pPr>
              <w:jc w:val="left"/>
              <w:rPr>
                <w:rFonts w:cs="Arial"/>
                <w:sz w:val="16"/>
                <w:szCs w:val="16"/>
                <w:lang w:val="es-ES_tradnl"/>
              </w:rPr>
            </w:pPr>
          </w:p>
        </w:tc>
        <w:tc>
          <w:tcPr>
            <w:tcW w:w="2457" w:type="dxa"/>
          </w:tcPr>
          <w:p w14:paraId="71C277E7" w14:textId="77777777" w:rsidR="00B65EDC" w:rsidRPr="00E675E8" w:rsidRDefault="00B65EDC">
            <w:pPr>
              <w:ind w:left="284"/>
              <w:jc w:val="left"/>
              <w:rPr>
                <w:rFonts w:cs="Arial"/>
                <w:sz w:val="16"/>
                <w:szCs w:val="16"/>
                <w:lang w:val="es-ES_tradnl"/>
              </w:rPr>
            </w:pPr>
            <w:r w:rsidRPr="00E675E8">
              <w:rPr>
                <w:sz w:val="16"/>
                <w:lang w:val="es-ES_tradnl"/>
              </w:rPr>
              <w:t>Número de visitantes únicos del sitio web de la UPOV</w:t>
            </w:r>
          </w:p>
        </w:tc>
        <w:tc>
          <w:tcPr>
            <w:tcW w:w="1495" w:type="dxa"/>
          </w:tcPr>
          <w:p w14:paraId="4C7ECF3B" w14:textId="18289B30"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147 244</w:t>
            </w:r>
          </w:p>
          <w:p w14:paraId="37E0DD15"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(2024)</w:t>
            </w:r>
          </w:p>
        </w:tc>
        <w:tc>
          <w:tcPr>
            <w:tcW w:w="1843" w:type="dxa"/>
          </w:tcPr>
          <w:p w14:paraId="5045DCC3" w14:textId="364F4431" w:rsidR="005B0358" w:rsidRPr="00E675E8" w:rsidRDefault="005B0358">
            <w:pPr>
              <w:jc w:val="center"/>
              <w:rPr>
                <w:rFonts w:asciiTheme="majorHAnsi" w:hAnsiTheme="majorHAnsi" w:cstheme="majorHAnsi"/>
                <w:sz w:val="16"/>
                <w:szCs w:val="16"/>
                <w:lang w:val="es-ES_tradnl"/>
              </w:rPr>
            </w:pPr>
            <w:r w:rsidRPr="00E675E8">
              <w:rPr>
                <w:rFonts w:asciiTheme="majorHAnsi" w:hAnsiTheme="majorHAnsi"/>
                <w:sz w:val="16"/>
                <w:lang w:val="es-ES_tradnl"/>
              </w:rPr>
              <w:t>175 000 (2026)</w:t>
            </w:r>
          </w:p>
          <w:p w14:paraId="11C1C056" w14:textId="3F5B7160" w:rsidR="00620794" w:rsidRPr="00E675E8" w:rsidRDefault="00437CC2" w:rsidP="00BD28FC">
            <w:pPr>
              <w:jc w:val="center"/>
              <w:rPr>
                <w:rFonts w:asciiTheme="majorHAnsi" w:hAnsiTheme="majorHAnsi" w:cstheme="majorHAnsi"/>
                <w:sz w:val="16"/>
                <w:szCs w:val="16"/>
                <w:lang w:val="es-ES_tradnl"/>
              </w:rPr>
            </w:pPr>
            <w:r w:rsidRPr="00E675E8">
              <w:rPr>
                <w:rFonts w:asciiTheme="majorHAnsi" w:hAnsiTheme="majorHAnsi"/>
                <w:sz w:val="16"/>
                <w:lang w:val="es-ES_tradnl"/>
              </w:rPr>
              <w:t>200 000 (2027)</w:t>
            </w:r>
          </w:p>
        </w:tc>
      </w:tr>
      <w:tr w:rsidR="00B65EDC" w:rsidRPr="00E675E8" w14:paraId="2E1FABB3" w14:textId="77777777" w:rsidTr="00383CE0">
        <w:tc>
          <w:tcPr>
            <w:tcW w:w="426" w:type="dxa"/>
          </w:tcPr>
          <w:p w14:paraId="7A36126B" w14:textId="77777777" w:rsidR="00B65EDC" w:rsidRPr="00E675E8" w:rsidRDefault="00B65EDC">
            <w:pPr>
              <w:jc w:val="left"/>
              <w:rPr>
                <w:rFonts w:cs="Arial"/>
                <w:sz w:val="16"/>
                <w:szCs w:val="16"/>
                <w:lang w:val="es-ES_tradnl"/>
              </w:rPr>
            </w:pPr>
          </w:p>
        </w:tc>
        <w:tc>
          <w:tcPr>
            <w:tcW w:w="3118" w:type="dxa"/>
          </w:tcPr>
          <w:p w14:paraId="076D9ACB" w14:textId="77777777" w:rsidR="00B65EDC" w:rsidRPr="00E675E8" w:rsidRDefault="00B65EDC">
            <w:pPr>
              <w:jc w:val="left"/>
              <w:rPr>
                <w:rFonts w:cs="Arial"/>
                <w:sz w:val="16"/>
                <w:szCs w:val="16"/>
                <w:lang w:val="es-ES_tradnl"/>
              </w:rPr>
            </w:pPr>
          </w:p>
        </w:tc>
        <w:tc>
          <w:tcPr>
            <w:tcW w:w="305" w:type="dxa"/>
          </w:tcPr>
          <w:p w14:paraId="12D82468" w14:textId="77777777" w:rsidR="00B65EDC" w:rsidRPr="00E675E8" w:rsidRDefault="00B65EDC">
            <w:pPr>
              <w:jc w:val="left"/>
              <w:rPr>
                <w:rFonts w:cs="Arial"/>
                <w:sz w:val="16"/>
                <w:szCs w:val="16"/>
                <w:lang w:val="es-ES_tradnl"/>
              </w:rPr>
            </w:pPr>
          </w:p>
        </w:tc>
        <w:tc>
          <w:tcPr>
            <w:tcW w:w="2457" w:type="dxa"/>
          </w:tcPr>
          <w:p w14:paraId="08F96846" w14:textId="77777777" w:rsidR="00B65EDC" w:rsidRPr="00E675E8" w:rsidRDefault="00B65EDC">
            <w:pPr>
              <w:ind w:left="284"/>
              <w:jc w:val="left"/>
              <w:rPr>
                <w:rFonts w:cs="Arial"/>
                <w:sz w:val="16"/>
                <w:szCs w:val="16"/>
                <w:lang w:val="es-ES_tradnl"/>
              </w:rPr>
            </w:pPr>
            <w:r w:rsidRPr="00E675E8">
              <w:rPr>
                <w:sz w:val="16"/>
                <w:lang w:val="es-ES_tradnl"/>
              </w:rPr>
              <w:t>Número de seguidores en las redes sociales</w:t>
            </w:r>
          </w:p>
        </w:tc>
        <w:tc>
          <w:tcPr>
            <w:tcW w:w="1495" w:type="dxa"/>
          </w:tcPr>
          <w:p w14:paraId="63220BA3" w14:textId="33EC3F04"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X: 2 668 (2024); </w:t>
            </w:r>
            <w:r w:rsidR="00383CE0">
              <w:rPr>
                <w:rFonts w:asciiTheme="majorHAnsi" w:hAnsiTheme="majorHAnsi"/>
                <w:sz w:val="16"/>
                <w:lang w:val="es-ES_tradnl"/>
              </w:rPr>
              <w:br/>
            </w:r>
            <w:r w:rsidRPr="00E675E8">
              <w:rPr>
                <w:rFonts w:asciiTheme="majorHAnsi" w:hAnsiTheme="majorHAnsi"/>
                <w:sz w:val="16"/>
                <w:lang w:val="es-ES_tradnl"/>
              </w:rPr>
              <w:t xml:space="preserve">LinkedIn: </w:t>
            </w:r>
            <w:r w:rsidR="00383CE0">
              <w:rPr>
                <w:rFonts w:asciiTheme="majorHAnsi" w:hAnsiTheme="majorHAnsi"/>
                <w:sz w:val="16"/>
                <w:lang w:val="es-ES_tradnl"/>
              </w:rPr>
              <w:br/>
            </w:r>
            <w:r w:rsidRPr="00E675E8">
              <w:rPr>
                <w:rFonts w:asciiTheme="majorHAnsi" w:hAnsiTheme="majorHAnsi"/>
                <w:sz w:val="16"/>
                <w:lang w:val="es-ES_tradnl"/>
              </w:rPr>
              <w:t>6 831</w:t>
            </w:r>
            <w:r w:rsidR="00383CE0">
              <w:rPr>
                <w:rFonts w:asciiTheme="majorHAnsi" w:hAnsiTheme="majorHAnsi"/>
                <w:sz w:val="16"/>
                <w:lang w:val="es-ES_tradnl"/>
              </w:rPr>
              <w:t xml:space="preserve"> </w:t>
            </w:r>
            <w:r w:rsidRPr="00E675E8">
              <w:rPr>
                <w:rFonts w:asciiTheme="majorHAnsi" w:hAnsiTheme="majorHAnsi"/>
                <w:sz w:val="16"/>
                <w:lang w:val="es-ES_tradnl"/>
              </w:rPr>
              <w:t>(2024)</w:t>
            </w:r>
          </w:p>
        </w:tc>
        <w:tc>
          <w:tcPr>
            <w:tcW w:w="1843" w:type="dxa"/>
          </w:tcPr>
          <w:p w14:paraId="3D123838" w14:textId="41E15168" w:rsidR="00C74C05" w:rsidRPr="00E675E8" w:rsidRDefault="00C74C05" w:rsidP="00C74C05">
            <w:pPr>
              <w:jc w:val="center"/>
              <w:rPr>
                <w:rFonts w:asciiTheme="majorHAnsi" w:hAnsiTheme="majorHAnsi" w:cstheme="majorHAnsi"/>
                <w:sz w:val="16"/>
                <w:szCs w:val="16"/>
                <w:lang w:val="es-ES_tradnl"/>
              </w:rPr>
            </w:pPr>
            <w:r w:rsidRPr="00E675E8">
              <w:rPr>
                <w:rFonts w:asciiTheme="majorHAnsi" w:hAnsiTheme="majorHAnsi"/>
                <w:sz w:val="16"/>
                <w:lang w:val="es-ES_tradnl"/>
              </w:rPr>
              <w:t>X: 3 300 (2026)</w:t>
            </w:r>
            <w:r w:rsidRPr="00E675E8">
              <w:rPr>
                <w:rFonts w:asciiTheme="majorHAnsi" w:hAnsiTheme="majorHAnsi"/>
                <w:sz w:val="16"/>
                <w:lang w:val="es-ES_tradnl"/>
              </w:rPr>
              <w:br/>
              <w:t>4 000 (2027)</w:t>
            </w:r>
          </w:p>
          <w:p w14:paraId="5410F5C2" w14:textId="77777777" w:rsidR="00383CE0" w:rsidRDefault="00C74C05" w:rsidP="00C74C05">
            <w:pPr>
              <w:jc w:val="center"/>
              <w:rPr>
                <w:rFonts w:asciiTheme="majorHAnsi" w:hAnsiTheme="majorHAnsi"/>
                <w:sz w:val="16"/>
                <w:lang w:val="es-ES_tradnl"/>
              </w:rPr>
            </w:pPr>
            <w:r w:rsidRPr="00E675E8">
              <w:rPr>
                <w:rFonts w:asciiTheme="majorHAnsi" w:hAnsiTheme="majorHAnsi"/>
                <w:sz w:val="16"/>
                <w:lang w:val="es-ES_tradnl"/>
              </w:rPr>
              <w:t>LinkedIn: 9 000 (2026)</w:t>
            </w:r>
          </w:p>
          <w:p w14:paraId="2C254DA0" w14:textId="29B0E5D3" w:rsidR="00B65EDC" w:rsidRPr="00E675E8" w:rsidRDefault="00C74C05" w:rsidP="00C74C05">
            <w:pPr>
              <w:jc w:val="center"/>
              <w:rPr>
                <w:rFonts w:asciiTheme="majorHAnsi" w:hAnsiTheme="majorHAnsi" w:cstheme="majorHAnsi"/>
                <w:sz w:val="16"/>
                <w:szCs w:val="16"/>
                <w:lang w:val="es-ES_tradnl"/>
              </w:rPr>
            </w:pPr>
            <w:r w:rsidRPr="00E675E8">
              <w:rPr>
                <w:rFonts w:asciiTheme="majorHAnsi" w:hAnsiTheme="majorHAnsi"/>
                <w:sz w:val="16"/>
                <w:lang w:val="es-ES_tradnl"/>
              </w:rPr>
              <w:t>10 000</w:t>
            </w:r>
            <w:r w:rsidR="00383CE0">
              <w:rPr>
                <w:rFonts w:asciiTheme="majorHAnsi" w:hAnsiTheme="majorHAnsi"/>
                <w:sz w:val="16"/>
                <w:lang w:val="es-ES_tradnl"/>
              </w:rPr>
              <w:t xml:space="preserve"> </w:t>
            </w:r>
            <w:r w:rsidRPr="00E675E8">
              <w:rPr>
                <w:rFonts w:asciiTheme="majorHAnsi" w:hAnsiTheme="majorHAnsi"/>
                <w:sz w:val="16"/>
                <w:lang w:val="es-ES_tradnl"/>
              </w:rPr>
              <w:t>(2027)</w:t>
            </w:r>
          </w:p>
        </w:tc>
      </w:tr>
      <w:tr w:rsidR="00B65EDC" w:rsidRPr="00E675E8" w14:paraId="4E1C4CCF" w14:textId="77777777" w:rsidTr="00383CE0">
        <w:tc>
          <w:tcPr>
            <w:tcW w:w="426" w:type="dxa"/>
            <w:tcBorders>
              <w:bottom w:val="single" w:sz="4" w:space="0" w:color="D9D9D9" w:themeColor="background1" w:themeShade="D9"/>
            </w:tcBorders>
          </w:tcPr>
          <w:p w14:paraId="100AAAD4"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04482E5B"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60271A65" w14:textId="77777777" w:rsidR="00B65EDC" w:rsidRPr="00E675E8" w:rsidRDefault="00B65EDC">
            <w:pPr>
              <w:jc w:val="center"/>
              <w:rPr>
                <w:rFonts w:cs="Arial"/>
                <w:sz w:val="16"/>
                <w:szCs w:val="16"/>
                <w:lang w:val="es-ES_tradnl"/>
              </w:rPr>
            </w:pPr>
          </w:p>
        </w:tc>
        <w:tc>
          <w:tcPr>
            <w:tcW w:w="2457" w:type="dxa"/>
            <w:tcBorders>
              <w:bottom w:val="single" w:sz="4" w:space="0" w:color="D9D9D9" w:themeColor="background1" w:themeShade="D9"/>
            </w:tcBorders>
          </w:tcPr>
          <w:p w14:paraId="572C7D84" w14:textId="77777777" w:rsidR="00B65EDC" w:rsidRPr="00E675E8" w:rsidRDefault="00B65EDC">
            <w:pPr>
              <w:ind w:left="284"/>
              <w:jc w:val="left"/>
              <w:rPr>
                <w:rFonts w:cs="Arial"/>
                <w:sz w:val="16"/>
                <w:szCs w:val="16"/>
                <w:lang w:val="es-ES_tradnl"/>
              </w:rPr>
            </w:pPr>
            <w:r w:rsidRPr="00E675E8">
              <w:rPr>
                <w:sz w:val="16"/>
                <w:lang w:val="es-ES_tradnl"/>
              </w:rPr>
              <w:t>Número de reproducciones de vídeos en la página de ventajas del sitio web de la UPOV</w:t>
            </w:r>
          </w:p>
        </w:tc>
        <w:tc>
          <w:tcPr>
            <w:tcW w:w="1495" w:type="dxa"/>
            <w:tcBorders>
              <w:bottom w:val="single" w:sz="4" w:space="0" w:color="D9D9D9" w:themeColor="background1" w:themeShade="D9"/>
            </w:tcBorders>
          </w:tcPr>
          <w:p w14:paraId="60D80F36" w14:textId="170A5390" w:rsidR="00B65EDC" w:rsidRPr="00E675E8" w:rsidRDefault="00620794">
            <w:pPr>
              <w:jc w:val="center"/>
              <w:rPr>
                <w:rFonts w:asciiTheme="majorHAnsi" w:hAnsiTheme="majorHAnsi" w:cstheme="majorHAnsi"/>
                <w:sz w:val="16"/>
                <w:szCs w:val="16"/>
                <w:lang w:val="es-ES_tradnl"/>
              </w:rPr>
            </w:pPr>
            <w:r w:rsidRPr="00E675E8">
              <w:rPr>
                <w:rFonts w:asciiTheme="majorHAnsi" w:hAnsiTheme="majorHAnsi"/>
                <w:sz w:val="16"/>
                <w:lang w:val="es-ES_tradnl"/>
              </w:rPr>
              <w:t>3 921 (2024)</w:t>
            </w:r>
          </w:p>
        </w:tc>
        <w:tc>
          <w:tcPr>
            <w:tcW w:w="1843" w:type="dxa"/>
            <w:tcBorders>
              <w:bottom w:val="single" w:sz="4" w:space="0" w:color="D9D9D9" w:themeColor="background1" w:themeShade="D9"/>
            </w:tcBorders>
          </w:tcPr>
          <w:p w14:paraId="46177467" w14:textId="5F1F0B31" w:rsidR="00435740" w:rsidRPr="00E675E8" w:rsidRDefault="004E006E">
            <w:pPr>
              <w:jc w:val="center"/>
              <w:rPr>
                <w:rFonts w:asciiTheme="majorHAnsi" w:hAnsiTheme="majorHAnsi" w:cstheme="majorHAnsi"/>
                <w:sz w:val="16"/>
                <w:szCs w:val="16"/>
                <w:lang w:val="es-ES_tradnl"/>
              </w:rPr>
            </w:pPr>
            <w:r w:rsidRPr="00E675E8">
              <w:rPr>
                <w:rFonts w:asciiTheme="majorHAnsi" w:hAnsiTheme="majorHAnsi"/>
                <w:sz w:val="16"/>
                <w:lang w:val="es-ES_tradnl"/>
              </w:rPr>
              <w:t>4 800 (2026)</w:t>
            </w:r>
          </w:p>
          <w:p w14:paraId="5BCC77C9" w14:textId="181A5ABB"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5 500 (2027)</w:t>
            </w:r>
          </w:p>
        </w:tc>
      </w:tr>
      <w:tr w:rsidR="00950A9F" w:rsidRPr="00E675E8" w14:paraId="46F1920C" w14:textId="77777777" w:rsidTr="00383CE0">
        <w:tc>
          <w:tcPr>
            <w:tcW w:w="426" w:type="dxa"/>
            <w:tcBorders>
              <w:top w:val="single" w:sz="4" w:space="0" w:color="D9D9D9" w:themeColor="background1" w:themeShade="D9"/>
            </w:tcBorders>
          </w:tcPr>
          <w:p w14:paraId="2EBB8588" w14:textId="77777777" w:rsidR="00B65EDC" w:rsidRPr="00E675E8" w:rsidRDefault="00B65EDC">
            <w:pPr>
              <w:jc w:val="left"/>
              <w:rPr>
                <w:rFonts w:cs="Arial"/>
                <w:sz w:val="16"/>
                <w:szCs w:val="16"/>
                <w:lang w:val="es-ES_tradnl"/>
              </w:rPr>
            </w:pPr>
            <w:r w:rsidRPr="00E675E8">
              <w:rPr>
                <w:sz w:val="16"/>
                <w:lang w:val="es-ES_tradnl"/>
              </w:rPr>
              <w:t>2.2</w:t>
            </w:r>
          </w:p>
        </w:tc>
        <w:tc>
          <w:tcPr>
            <w:tcW w:w="3118" w:type="dxa"/>
            <w:tcBorders>
              <w:top w:val="single" w:sz="4" w:space="0" w:color="D9D9D9" w:themeColor="background1" w:themeShade="D9"/>
            </w:tcBorders>
          </w:tcPr>
          <w:p w14:paraId="6AFE6E32" w14:textId="77777777" w:rsidR="00B65EDC" w:rsidRPr="00E675E8" w:rsidRDefault="00B65EDC">
            <w:pPr>
              <w:jc w:val="left"/>
              <w:rPr>
                <w:rFonts w:cs="Arial"/>
                <w:sz w:val="16"/>
                <w:szCs w:val="16"/>
                <w:lang w:val="es-ES_tradnl"/>
              </w:rPr>
            </w:pPr>
            <w:r w:rsidRPr="00E675E8">
              <w:rPr>
                <w:sz w:val="16"/>
                <w:lang w:val="es-ES_tradnl"/>
              </w:rPr>
              <w:t>Orientación y asistencia sobre el Convenio de la UPOV y su aplicación</w:t>
            </w:r>
          </w:p>
        </w:tc>
        <w:tc>
          <w:tcPr>
            <w:tcW w:w="305" w:type="dxa"/>
            <w:tcBorders>
              <w:top w:val="single" w:sz="4" w:space="0" w:color="D9D9D9" w:themeColor="background1" w:themeShade="D9"/>
            </w:tcBorders>
          </w:tcPr>
          <w:p w14:paraId="3DD6726B" w14:textId="77777777" w:rsidR="00B65EDC" w:rsidRPr="00E675E8" w:rsidRDefault="00B65EDC">
            <w:pPr>
              <w:jc w:val="center"/>
              <w:rPr>
                <w:rFonts w:cs="Arial"/>
                <w:sz w:val="16"/>
                <w:szCs w:val="16"/>
                <w:lang w:val="es-ES_tradnl"/>
              </w:rPr>
            </w:pPr>
            <w:r w:rsidRPr="00E675E8">
              <w:rPr>
                <w:sz w:val="16"/>
                <w:lang w:val="es-ES_tradnl"/>
              </w:rPr>
              <w:t>4</w:t>
            </w:r>
          </w:p>
        </w:tc>
        <w:tc>
          <w:tcPr>
            <w:tcW w:w="2457" w:type="dxa"/>
            <w:tcBorders>
              <w:top w:val="single" w:sz="4" w:space="0" w:color="D9D9D9" w:themeColor="background1" w:themeShade="D9"/>
            </w:tcBorders>
          </w:tcPr>
          <w:p w14:paraId="66F04F41" w14:textId="77777777" w:rsidR="00B65EDC" w:rsidRPr="00E675E8" w:rsidRDefault="00B65EDC">
            <w:pPr>
              <w:jc w:val="left"/>
              <w:rPr>
                <w:rFonts w:cs="Arial"/>
                <w:sz w:val="16"/>
                <w:szCs w:val="16"/>
                <w:lang w:val="es-ES_tradnl"/>
              </w:rPr>
            </w:pPr>
            <w:r w:rsidRPr="00E675E8">
              <w:rPr>
                <w:sz w:val="16"/>
                <w:lang w:val="es-ES_tradnl"/>
              </w:rPr>
              <w:t>Número de Estados y organizaciones que participan en las actividades de formación/asistencia de la UPOV</w:t>
            </w:r>
          </w:p>
        </w:tc>
        <w:tc>
          <w:tcPr>
            <w:tcW w:w="1495" w:type="dxa"/>
            <w:tcBorders>
              <w:top w:val="single" w:sz="4" w:space="0" w:color="D9D9D9" w:themeColor="background1" w:themeShade="D9"/>
            </w:tcBorders>
            <w:shd w:val="clear" w:color="auto" w:fill="FFFFFF" w:themeFill="background1"/>
          </w:tcPr>
          <w:p w14:paraId="2C1D6F65" w14:textId="044B299C" w:rsidR="00B65EDC" w:rsidRPr="00E675E8" w:rsidRDefault="00620794" w:rsidP="0044383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128 Estados; </w:t>
            </w:r>
            <w:r w:rsidRPr="00E675E8">
              <w:rPr>
                <w:rFonts w:asciiTheme="majorHAnsi" w:hAnsiTheme="majorHAnsi"/>
                <w:sz w:val="16"/>
                <w:lang w:val="es-ES_tradnl"/>
              </w:rPr>
              <w:br/>
              <w:t>31 organizaciones (2024)</w:t>
            </w:r>
          </w:p>
        </w:tc>
        <w:tc>
          <w:tcPr>
            <w:tcW w:w="1843" w:type="dxa"/>
            <w:tcBorders>
              <w:top w:val="single" w:sz="4" w:space="0" w:color="D9D9D9" w:themeColor="background1" w:themeShade="D9"/>
            </w:tcBorders>
            <w:shd w:val="clear" w:color="auto" w:fill="FFFFFF" w:themeFill="background1"/>
          </w:tcPr>
          <w:p w14:paraId="550B3E51" w14:textId="777DD91B" w:rsidR="00C74C05" w:rsidRPr="00E675E8" w:rsidRDefault="00C74C0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Estados: 140 (2026); </w:t>
            </w:r>
            <w:r w:rsidRPr="00E675E8">
              <w:rPr>
                <w:rFonts w:asciiTheme="majorHAnsi" w:hAnsiTheme="majorHAnsi"/>
                <w:sz w:val="16"/>
                <w:lang w:val="es-ES_tradnl"/>
              </w:rPr>
              <w:br/>
              <w:t>150 (2027)</w:t>
            </w:r>
          </w:p>
          <w:p w14:paraId="3531BDCA" w14:textId="093A3ADF" w:rsidR="00C74C05"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Organizaciones:</w:t>
            </w:r>
          </w:p>
          <w:p w14:paraId="3731F050" w14:textId="36CFEC09" w:rsidR="00C74C05" w:rsidRPr="00E675E8" w:rsidRDefault="00C74C05">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33 (2026) </w:t>
            </w:r>
          </w:p>
          <w:p w14:paraId="0047360F" w14:textId="4BE07D52"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35 (2027)</w:t>
            </w:r>
          </w:p>
        </w:tc>
      </w:tr>
      <w:tr w:rsidR="0044405F" w:rsidRPr="00E675E8" w14:paraId="559783BB" w14:textId="77777777" w:rsidTr="00383CE0">
        <w:tc>
          <w:tcPr>
            <w:tcW w:w="426" w:type="dxa"/>
          </w:tcPr>
          <w:p w14:paraId="3C7CC3D5" w14:textId="77777777" w:rsidR="00B65EDC" w:rsidRPr="00E675E8" w:rsidRDefault="00B65EDC">
            <w:pPr>
              <w:jc w:val="left"/>
              <w:rPr>
                <w:rFonts w:cs="Arial"/>
                <w:sz w:val="16"/>
                <w:szCs w:val="16"/>
                <w:lang w:val="es-ES_tradnl"/>
              </w:rPr>
            </w:pPr>
          </w:p>
        </w:tc>
        <w:tc>
          <w:tcPr>
            <w:tcW w:w="3118" w:type="dxa"/>
          </w:tcPr>
          <w:p w14:paraId="197192B4" w14:textId="77777777" w:rsidR="00B65EDC" w:rsidRPr="00E675E8" w:rsidRDefault="00B65EDC">
            <w:pPr>
              <w:jc w:val="left"/>
              <w:rPr>
                <w:rFonts w:cs="Arial"/>
                <w:sz w:val="16"/>
                <w:szCs w:val="16"/>
                <w:lang w:val="es-ES_tradnl"/>
              </w:rPr>
            </w:pPr>
          </w:p>
        </w:tc>
        <w:tc>
          <w:tcPr>
            <w:tcW w:w="305" w:type="dxa"/>
          </w:tcPr>
          <w:p w14:paraId="3515D271" w14:textId="77777777" w:rsidR="00B65EDC" w:rsidRPr="00E675E8" w:rsidRDefault="00B65EDC">
            <w:pPr>
              <w:jc w:val="center"/>
              <w:rPr>
                <w:rFonts w:cs="Arial"/>
                <w:sz w:val="16"/>
                <w:szCs w:val="16"/>
                <w:lang w:val="es-ES_tradnl"/>
              </w:rPr>
            </w:pPr>
            <w:r w:rsidRPr="00E675E8">
              <w:rPr>
                <w:sz w:val="16"/>
                <w:lang w:val="es-ES_tradnl"/>
              </w:rPr>
              <w:t>5</w:t>
            </w:r>
          </w:p>
        </w:tc>
        <w:tc>
          <w:tcPr>
            <w:tcW w:w="2457" w:type="dxa"/>
          </w:tcPr>
          <w:p w14:paraId="213704BB" w14:textId="77777777" w:rsidR="00B65EDC" w:rsidRPr="00E675E8" w:rsidRDefault="00B65EDC">
            <w:pPr>
              <w:jc w:val="left"/>
              <w:rPr>
                <w:rFonts w:cs="Arial"/>
                <w:sz w:val="16"/>
                <w:szCs w:val="16"/>
                <w:lang w:val="es-ES_tradnl"/>
              </w:rPr>
            </w:pPr>
            <w:r w:rsidRPr="00E675E8">
              <w:rPr>
                <w:sz w:val="16"/>
                <w:lang w:val="es-ES_tradnl"/>
              </w:rPr>
              <w:t>Número de participantes que finalizan satisfactoriamente los cursos de enseñanza a distancia de la UPOV</w:t>
            </w:r>
          </w:p>
        </w:tc>
        <w:tc>
          <w:tcPr>
            <w:tcW w:w="1495" w:type="dxa"/>
            <w:shd w:val="clear" w:color="auto" w:fill="FFFFFF" w:themeFill="background1"/>
          </w:tcPr>
          <w:p w14:paraId="56BD3EF1" w14:textId="2D1C738C" w:rsidR="00B65EDC" w:rsidRPr="00E675E8" w:rsidRDefault="008548B5">
            <w:pPr>
              <w:jc w:val="center"/>
              <w:rPr>
                <w:rFonts w:asciiTheme="majorHAnsi" w:hAnsiTheme="majorHAnsi" w:cstheme="majorHAnsi"/>
                <w:sz w:val="16"/>
                <w:szCs w:val="16"/>
                <w:lang w:val="es-ES_tradnl"/>
              </w:rPr>
            </w:pPr>
            <w:r w:rsidRPr="00E675E8">
              <w:rPr>
                <w:rFonts w:asciiTheme="majorHAnsi" w:hAnsiTheme="majorHAnsi"/>
                <w:sz w:val="16"/>
                <w:lang w:val="es-ES_tradnl"/>
              </w:rPr>
              <w:t>1 027 (2024)</w:t>
            </w:r>
          </w:p>
        </w:tc>
        <w:tc>
          <w:tcPr>
            <w:tcW w:w="1843" w:type="dxa"/>
          </w:tcPr>
          <w:p w14:paraId="6B5C20B4" w14:textId="4442E688" w:rsidR="001B0B64" w:rsidRPr="00E675E8" w:rsidRDefault="001B0B64">
            <w:pPr>
              <w:jc w:val="center"/>
              <w:rPr>
                <w:rFonts w:asciiTheme="majorHAnsi" w:hAnsiTheme="majorHAnsi" w:cstheme="majorHAnsi"/>
                <w:sz w:val="16"/>
                <w:szCs w:val="16"/>
                <w:lang w:val="es-ES_tradnl"/>
              </w:rPr>
            </w:pPr>
            <w:r w:rsidRPr="00E675E8">
              <w:rPr>
                <w:rFonts w:asciiTheme="majorHAnsi" w:hAnsiTheme="majorHAnsi"/>
                <w:sz w:val="16"/>
                <w:lang w:val="es-ES_tradnl"/>
              </w:rPr>
              <w:t>1 100 (2026)</w:t>
            </w:r>
          </w:p>
          <w:p w14:paraId="3524888E" w14:textId="7735F099"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1 200 (2027)</w:t>
            </w:r>
          </w:p>
        </w:tc>
      </w:tr>
      <w:tr w:rsidR="00B65EDC" w:rsidRPr="00E675E8" w14:paraId="059FC045" w14:textId="77777777" w:rsidTr="00383CE0">
        <w:tc>
          <w:tcPr>
            <w:tcW w:w="426" w:type="dxa"/>
          </w:tcPr>
          <w:p w14:paraId="30A57619" w14:textId="77777777" w:rsidR="00B65EDC" w:rsidRPr="00E675E8" w:rsidRDefault="00B65EDC">
            <w:pPr>
              <w:jc w:val="left"/>
              <w:rPr>
                <w:rFonts w:cs="Arial"/>
                <w:sz w:val="16"/>
                <w:szCs w:val="16"/>
                <w:lang w:val="es-ES_tradnl"/>
              </w:rPr>
            </w:pPr>
          </w:p>
        </w:tc>
        <w:tc>
          <w:tcPr>
            <w:tcW w:w="3118" w:type="dxa"/>
          </w:tcPr>
          <w:p w14:paraId="56B07CC4" w14:textId="77777777" w:rsidR="00B65EDC" w:rsidRPr="00E675E8" w:rsidRDefault="00B65EDC">
            <w:pPr>
              <w:jc w:val="left"/>
              <w:rPr>
                <w:rFonts w:cs="Arial"/>
                <w:sz w:val="16"/>
                <w:szCs w:val="16"/>
                <w:lang w:val="es-ES_tradnl"/>
              </w:rPr>
            </w:pPr>
          </w:p>
        </w:tc>
        <w:tc>
          <w:tcPr>
            <w:tcW w:w="305" w:type="dxa"/>
          </w:tcPr>
          <w:p w14:paraId="4BAF4352" w14:textId="77777777" w:rsidR="00B65EDC" w:rsidRPr="00E675E8" w:rsidRDefault="00B65EDC">
            <w:pPr>
              <w:jc w:val="center"/>
              <w:rPr>
                <w:rFonts w:cs="Arial"/>
                <w:sz w:val="16"/>
                <w:szCs w:val="16"/>
                <w:lang w:val="es-ES_tradnl"/>
              </w:rPr>
            </w:pPr>
            <w:r w:rsidRPr="00E675E8">
              <w:rPr>
                <w:sz w:val="16"/>
                <w:lang w:val="es-ES_tradnl"/>
              </w:rPr>
              <w:t>6</w:t>
            </w:r>
          </w:p>
        </w:tc>
        <w:tc>
          <w:tcPr>
            <w:tcW w:w="2457" w:type="dxa"/>
          </w:tcPr>
          <w:p w14:paraId="1DB66BA5" w14:textId="77777777" w:rsidR="00B65EDC" w:rsidRPr="00E675E8" w:rsidRDefault="00B65EDC">
            <w:pPr>
              <w:jc w:val="left"/>
              <w:rPr>
                <w:rFonts w:cs="Arial"/>
                <w:sz w:val="16"/>
                <w:szCs w:val="16"/>
                <w:lang w:val="es-ES_tradnl"/>
              </w:rPr>
            </w:pPr>
            <w:r w:rsidRPr="00E675E8">
              <w:rPr>
                <w:sz w:val="16"/>
                <w:lang w:val="es-ES_tradnl"/>
              </w:rPr>
              <w:t>Número de instituciones académicas que incluyen información sobre el sistema de la UPOV en sus cursos</w:t>
            </w:r>
          </w:p>
        </w:tc>
        <w:tc>
          <w:tcPr>
            <w:tcW w:w="1495" w:type="dxa"/>
          </w:tcPr>
          <w:p w14:paraId="1CCFCAEE" w14:textId="77777777" w:rsidR="008548B5" w:rsidRPr="00E675E8" w:rsidRDefault="00B65EDC">
            <w:pPr>
              <w:jc w:val="center"/>
              <w:rPr>
                <w:rFonts w:asciiTheme="majorHAnsi" w:hAnsiTheme="majorHAnsi" w:cstheme="majorBidi"/>
                <w:sz w:val="16"/>
                <w:szCs w:val="16"/>
                <w:lang w:val="es-ES_tradnl"/>
              </w:rPr>
            </w:pPr>
            <w:r w:rsidRPr="00E675E8">
              <w:rPr>
                <w:rFonts w:asciiTheme="majorHAnsi" w:hAnsiTheme="majorHAnsi"/>
                <w:sz w:val="16"/>
                <w:lang w:val="es-ES_tradnl"/>
              </w:rPr>
              <w:t xml:space="preserve">África: 1; </w:t>
            </w:r>
          </w:p>
          <w:p w14:paraId="0B75FAD5" w14:textId="77777777" w:rsidR="008548B5" w:rsidRPr="00E675E8" w:rsidRDefault="008548B5">
            <w:pPr>
              <w:jc w:val="center"/>
              <w:rPr>
                <w:rFonts w:asciiTheme="majorHAnsi" w:hAnsiTheme="majorHAnsi" w:cstheme="majorBidi"/>
                <w:sz w:val="16"/>
                <w:szCs w:val="16"/>
                <w:lang w:val="es-ES_tradnl"/>
              </w:rPr>
            </w:pPr>
            <w:r w:rsidRPr="00E675E8">
              <w:rPr>
                <w:rFonts w:asciiTheme="majorHAnsi" w:hAnsiTheme="majorHAnsi"/>
                <w:sz w:val="16"/>
                <w:lang w:val="es-ES_tradnl"/>
              </w:rPr>
              <w:t>América: 0;</w:t>
            </w:r>
          </w:p>
          <w:p w14:paraId="7A4C5E06" w14:textId="422062A5" w:rsidR="00B65EDC" w:rsidRPr="00E675E8" w:rsidRDefault="00B65EDC">
            <w:pPr>
              <w:jc w:val="center"/>
              <w:rPr>
                <w:rFonts w:asciiTheme="majorHAnsi" w:hAnsiTheme="majorHAnsi" w:cstheme="majorBidi"/>
                <w:sz w:val="16"/>
                <w:szCs w:val="16"/>
                <w:lang w:val="es-ES_tradnl"/>
              </w:rPr>
            </w:pPr>
            <w:r w:rsidRPr="00E675E8">
              <w:rPr>
                <w:rFonts w:asciiTheme="majorHAnsi" w:hAnsiTheme="majorHAnsi"/>
                <w:sz w:val="16"/>
                <w:lang w:val="es-ES_tradnl"/>
              </w:rPr>
              <w:t>Asia/Pacífico: 2; Europa: 7 (2024)</w:t>
            </w:r>
          </w:p>
        </w:tc>
        <w:tc>
          <w:tcPr>
            <w:tcW w:w="1843" w:type="dxa"/>
          </w:tcPr>
          <w:p w14:paraId="20E22947" w14:textId="77777777" w:rsidR="001B0B64"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África: 4; </w:t>
            </w:r>
            <w:r w:rsidRPr="00E675E8">
              <w:rPr>
                <w:rFonts w:asciiTheme="majorHAnsi" w:hAnsiTheme="majorHAnsi"/>
                <w:sz w:val="16"/>
                <w:lang w:val="es-ES_tradnl"/>
              </w:rPr>
              <w:br/>
              <w:t xml:space="preserve">América: 3; Asia/Pacífico: 4; Europa: 7 </w:t>
            </w:r>
          </w:p>
          <w:p w14:paraId="5EBFF826" w14:textId="2DF81248"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(al final del bienio)</w:t>
            </w:r>
          </w:p>
        </w:tc>
      </w:tr>
      <w:tr w:rsidR="00B65EDC" w:rsidRPr="00E675E8" w14:paraId="5B052E0C" w14:textId="77777777" w:rsidTr="00383CE0">
        <w:tc>
          <w:tcPr>
            <w:tcW w:w="426" w:type="dxa"/>
          </w:tcPr>
          <w:p w14:paraId="5C9FD136" w14:textId="77777777" w:rsidR="00B65EDC" w:rsidRPr="00E675E8" w:rsidRDefault="00B65EDC">
            <w:pPr>
              <w:jc w:val="left"/>
              <w:rPr>
                <w:rFonts w:cs="Arial"/>
                <w:sz w:val="16"/>
                <w:szCs w:val="16"/>
                <w:lang w:val="es-ES_tradnl"/>
              </w:rPr>
            </w:pPr>
          </w:p>
        </w:tc>
        <w:tc>
          <w:tcPr>
            <w:tcW w:w="3118" w:type="dxa"/>
          </w:tcPr>
          <w:p w14:paraId="7A29DCA8" w14:textId="77777777" w:rsidR="00B65EDC" w:rsidRPr="00E675E8" w:rsidRDefault="00B65EDC">
            <w:pPr>
              <w:jc w:val="left"/>
              <w:rPr>
                <w:rFonts w:cs="Arial"/>
                <w:sz w:val="16"/>
                <w:szCs w:val="16"/>
                <w:lang w:val="es-ES_tradnl"/>
              </w:rPr>
            </w:pPr>
          </w:p>
        </w:tc>
        <w:tc>
          <w:tcPr>
            <w:tcW w:w="305" w:type="dxa"/>
          </w:tcPr>
          <w:p w14:paraId="33030348" w14:textId="77777777" w:rsidR="00B65EDC" w:rsidRPr="00E675E8" w:rsidRDefault="00B65EDC">
            <w:pPr>
              <w:jc w:val="center"/>
              <w:rPr>
                <w:rFonts w:cs="Arial"/>
                <w:sz w:val="16"/>
                <w:szCs w:val="16"/>
                <w:lang w:val="es-ES_tradnl"/>
              </w:rPr>
            </w:pPr>
            <w:r w:rsidRPr="00E675E8">
              <w:rPr>
                <w:sz w:val="16"/>
                <w:lang w:val="es-ES_tradnl"/>
              </w:rPr>
              <w:t>7</w:t>
            </w:r>
          </w:p>
        </w:tc>
        <w:tc>
          <w:tcPr>
            <w:tcW w:w="2457" w:type="dxa"/>
          </w:tcPr>
          <w:p w14:paraId="15A1AA84" w14:textId="77777777" w:rsidR="00B65EDC" w:rsidRPr="00E675E8" w:rsidRDefault="00B65EDC">
            <w:pPr>
              <w:jc w:val="left"/>
              <w:rPr>
                <w:rFonts w:cs="Arial"/>
                <w:sz w:val="16"/>
                <w:szCs w:val="16"/>
                <w:lang w:val="es-ES_tradnl"/>
              </w:rPr>
            </w:pPr>
            <w:r w:rsidRPr="00E675E8">
              <w:rPr>
                <w:sz w:val="16"/>
                <w:lang w:val="es-ES_tradnl"/>
              </w:rPr>
              <w:t>Número de personas con certificado internacional de la UPOV sobre la protección de las variedades vegetales</w:t>
            </w:r>
          </w:p>
        </w:tc>
        <w:tc>
          <w:tcPr>
            <w:tcW w:w="1495" w:type="dxa"/>
          </w:tcPr>
          <w:p w14:paraId="761736C2"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50 (2024)</w:t>
            </w:r>
          </w:p>
        </w:tc>
        <w:tc>
          <w:tcPr>
            <w:tcW w:w="1843" w:type="dxa"/>
          </w:tcPr>
          <w:p w14:paraId="739CA224" w14:textId="1F8BA581"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 xml:space="preserve">250 </w:t>
            </w:r>
            <w:r w:rsidRPr="00E675E8">
              <w:rPr>
                <w:rFonts w:asciiTheme="majorHAnsi" w:hAnsiTheme="majorHAnsi"/>
                <w:sz w:val="16"/>
                <w:lang w:val="es-ES_tradnl"/>
              </w:rPr>
              <w:br/>
              <w:t>(al final del bienio)</w:t>
            </w:r>
          </w:p>
        </w:tc>
      </w:tr>
      <w:tr w:rsidR="00950A9F" w:rsidRPr="00E675E8" w14:paraId="26E4FA28" w14:textId="77777777" w:rsidTr="00383CE0">
        <w:tc>
          <w:tcPr>
            <w:tcW w:w="426" w:type="dxa"/>
            <w:tcBorders>
              <w:bottom w:val="single" w:sz="4" w:space="0" w:color="D9D9D9" w:themeColor="background1" w:themeShade="D9"/>
            </w:tcBorders>
          </w:tcPr>
          <w:p w14:paraId="70C45CA5"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3823216D"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36C61343" w14:textId="77777777" w:rsidR="00B65EDC" w:rsidRPr="00E675E8" w:rsidRDefault="00B65EDC">
            <w:pPr>
              <w:jc w:val="center"/>
              <w:rPr>
                <w:rFonts w:cs="Arial"/>
                <w:sz w:val="16"/>
                <w:szCs w:val="16"/>
                <w:lang w:val="es-ES_tradnl"/>
              </w:rPr>
            </w:pPr>
            <w:r w:rsidRPr="00E675E8">
              <w:rPr>
                <w:sz w:val="16"/>
                <w:lang w:val="es-ES_tradnl"/>
              </w:rPr>
              <w:t>8</w:t>
            </w:r>
          </w:p>
        </w:tc>
        <w:tc>
          <w:tcPr>
            <w:tcW w:w="2457" w:type="dxa"/>
            <w:tcBorders>
              <w:bottom w:val="single" w:sz="4" w:space="0" w:color="D9D9D9" w:themeColor="background1" w:themeShade="D9"/>
            </w:tcBorders>
          </w:tcPr>
          <w:p w14:paraId="67DDC1D0" w14:textId="77777777" w:rsidR="00B65EDC" w:rsidRPr="00E675E8" w:rsidRDefault="00B65EDC">
            <w:pPr>
              <w:jc w:val="left"/>
              <w:rPr>
                <w:rFonts w:cs="Arial"/>
                <w:sz w:val="16"/>
                <w:szCs w:val="16"/>
                <w:lang w:val="es-ES_tradnl"/>
              </w:rPr>
            </w:pPr>
            <w:r w:rsidRPr="00E675E8">
              <w:rPr>
                <w:sz w:val="16"/>
                <w:lang w:val="es-ES_tradnl"/>
              </w:rPr>
              <w:t xml:space="preserve">Número de graduados del Programa de la UPOV para directivos </w:t>
            </w:r>
          </w:p>
        </w:tc>
        <w:tc>
          <w:tcPr>
            <w:tcW w:w="1495" w:type="dxa"/>
            <w:tcBorders>
              <w:bottom w:val="single" w:sz="4" w:space="0" w:color="D9D9D9" w:themeColor="background1" w:themeShade="D9"/>
            </w:tcBorders>
            <w:shd w:val="clear" w:color="auto" w:fill="FFFFFF" w:themeFill="background1"/>
          </w:tcPr>
          <w:p w14:paraId="4161258C" w14:textId="5B855F0B" w:rsidR="00B65EDC" w:rsidRPr="00E675E8" w:rsidRDefault="008548B5">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75</w:t>
            </w:r>
            <w:r w:rsidR="00B104C1" w:rsidRPr="00E675E8">
              <w:rPr>
                <w:rStyle w:val="FootnoteReference"/>
                <w:rFonts w:asciiTheme="majorHAnsi" w:hAnsiTheme="majorHAnsi" w:cstheme="majorHAnsi"/>
                <w:sz w:val="16"/>
                <w:szCs w:val="16"/>
                <w:lang w:val="es-ES_tradnl"/>
              </w:rPr>
              <w:footnoteReference w:id="4"/>
            </w:r>
            <w:r w:rsidRPr="00E675E8">
              <w:rPr>
                <w:rFonts w:asciiTheme="majorHAnsi" w:hAnsiTheme="majorHAnsi"/>
                <w:sz w:val="16"/>
                <w:lang w:val="es-ES_tradnl"/>
              </w:rPr>
              <w:t xml:space="preserve"> (2024)</w:t>
            </w:r>
          </w:p>
        </w:tc>
        <w:tc>
          <w:tcPr>
            <w:tcW w:w="1843" w:type="dxa"/>
            <w:tcBorders>
              <w:bottom w:val="single" w:sz="4" w:space="0" w:color="D9D9D9" w:themeColor="background1" w:themeShade="D9"/>
            </w:tcBorders>
            <w:shd w:val="clear" w:color="auto" w:fill="FFFFFF" w:themeFill="background1"/>
          </w:tcPr>
          <w:p w14:paraId="32CE063C" w14:textId="77777777" w:rsidR="00C21BA4" w:rsidRPr="00E675E8" w:rsidRDefault="00B65EDC" w:rsidP="00026B8A">
            <w:pPr>
              <w:jc w:val="center"/>
              <w:rPr>
                <w:rFonts w:asciiTheme="majorHAnsi" w:hAnsiTheme="majorHAnsi" w:cstheme="majorHAnsi"/>
                <w:sz w:val="16"/>
                <w:szCs w:val="16"/>
                <w:lang w:val="es-ES_tradnl"/>
              </w:rPr>
            </w:pPr>
            <w:r w:rsidRPr="00E675E8">
              <w:rPr>
                <w:rFonts w:asciiTheme="majorHAnsi" w:hAnsiTheme="majorHAnsi"/>
                <w:sz w:val="16"/>
                <w:lang w:val="es-ES_tradnl"/>
              </w:rPr>
              <w:t>50 (2026)</w:t>
            </w:r>
          </w:p>
          <w:p w14:paraId="46EA55A8" w14:textId="2CB0BF2B" w:rsidR="008548B5" w:rsidRPr="00E675E8" w:rsidRDefault="00C21BA4" w:rsidP="00026B8A">
            <w:pPr>
              <w:jc w:val="center"/>
              <w:rPr>
                <w:rFonts w:asciiTheme="majorHAnsi" w:hAnsiTheme="majorHAnsi" w:cstheme="majorHAnsi"/>
                <w:sz w:val="16"/>
                <w:szCs w:val="16"/>
                <w:lang w:val="es-ES_tradnl"/>
              </w:rPr>
            </w:pPr>
            <w:r w:rsidRPr="00E675E8">
              <w:rPr>
                <w:rFonts w:asciiTheme="majorHAnsi" w:hAnsiTheme="majorHAnsi"/>
                <w:sz w:val="16"/>
                <w:lang w:val="es-ES_tradnl"/>
              </w:rPr>
              <w:t>50 (2027)</w:t>
            </w:r>
          </w:p>
        </w:tc>
      </w:tr>
      <w:tr w:rsidR="00B65EDC" w:rsidRPr="00E675E8" w14:paraId="5FB5D4EF" w14:textId="77777777" w:rsidTr="00383CE0">
        <w:tc>
          <w:tcPr>
            <w:tcW w:w="426" w:type="dxa"/>
            <w:tcBorders>
              <w:top w:val="single" w:sz="4" w:space="0" w:color="D9D9D9" w:themeColor="background1" w:themeShade="D9"/>
            </w:tcBorders>
          </w:tcPr>
          <w:p w14:paraId="395D8821" w14:textId="77777777" w:rsidR="00B65EDC" w:rsidRPr="00E675E8" w:rsidRDefault="00B65EDC">
            <w:pPr>
              <w:jc w:val="left"/>
              <w:rPr>
                <w:rFonts w:cs="Arial"/>
                <w:sz w:val="16"/>
                <w:szCs w:val="16"/>
                <w:lang w:val="es-ES_tradnl"/>
              </w:rPr>
            </w:pPr>
            <w:r w:rsidRPr="00E675E8">
              <w:rPr>
                <w:sz w:val="16"/>
                <w:lang w:val="es-ES_tradnl"/>
              </w:rPr>
              <w:t>2.3</w:t>
            </w:r>
          </w:p>
        </w:tc>
        <w:tc>
          <w:tcPr>
            <w:tcW w:w="3118" w:type="dxa"/>
            <w:tcBorders>
              <w:top w:val="single" w:sz="4" w:space="0" w:color="D9D9D9" w:themeColor="background1" w:themeShade="D9"/>
            </w:tcBorders>
          </w:tcPr>
          <w:p w14:paraId="543C2B49" w14:textId="77777777" w:rsidR="00B65EDC" w:rsidRPr="00E675E8" w:rsidRDefault="00B65EDC">
            <w:pPr>
              <w:jc w:val="left"/>
              <w:rPr>
                <w:rFonts w:cs="Arial"/>
                <w:sz w:val="16"/>
                <w:szCs w:val="16"/>
                <w:lang w:val="es-ES_tradnl"/>
              </w:rPr>
            </w:pPr>
            <w:r w:rsidRPr="00E675E8">
              <w:rPr>
                <w:sz w:val="16"/>
                <w:lang w:val="es-ES_tradnl"/>
              </w:rPr>
              <w:t>Mayor armonización y cooperación en los exámenes</w:t>
            </w:r>
          </w:p>
        </w:tc>
        <w:tc>
          <w:tcPr>
            <w:tcW w:w="305" w:type="dxa"/>
            <w:tcBorders>
              <w:top w:val="single" w:sz="4" w:space="0" w:color="D9D9D9" w:themeColor="background1" w:themeShade="D9"/>
            </w:tcBorders>
          </w:tcPr>
          <w:p w14:paraId="23556C6F" w14:textId="77777777" w:rsidR="00B65EDC" w:rsidRPr="00E675E8" w:rsidRDefault="00B65EDC">
            <w:pPr>
              <w:jc w:val="center"/>
              <w:rPr>
                <w:rFonts w:cs="Arial"/>
                <w:sz w:val="16"/>
                <w:szCs w:val="16"/>
                <w:lang w:val="es-ES_tradnl"/>
              </w:rPr>
            </w:pPr>
            <w:r w:rsidRPr="00E675E8">
              <w:rPr>
                <w:sz w:val="16"/>
                <w:lang w:val="es-ES_tradnl"/>
              </w:rPr>
              <w:t>9</w:t>
            </w:r>
          </w:p>
        </w:tc>
        <w:tc>
          <w:tcPr>
            <w:tcW w:w="2457" w:type="dxa"/>
            <w:tcBorders>
              <w:top w:val="single" w:sz="4" w:space="0" w:color="D9D9D9" w:themeColor="background1" w:themeShade="D9"/>
            </w:tcBorders>
          </w:tcPr>
          <w:p w14:paraId="1F2D9ACB" w14:textId="77777777" w:rsidR="00B65EDC" w:rsidRPr="00E675E8" w:rsidRDefault="00B65EDC">
            <w:pPr>
              <w:jc w:val="left"/>
              <w:rPr>
                <w:rFonts w:cs="Arial"/>
                <w:sz w:val="16"/>
                <w:szCs w:val="16"/>
                <w:lang w:val="es-ES_tradnl"/>
              </w:rPr>
            </w:pPr>
            <w:r w:rsidRPr="00E675E8">
              <w:rPr>
                <w:sz w:val="16"/>
                <w:lang w:val="es-ES_tradnl"/>
              </w:rPr>
              <w:t>Uso de directrices de examen y cuestionarios técnicos de la UPOV</w:t>
            </w:r>
          </w:p>
        </w:tc>
        <w:tc>
          <w:tcPr>
            <w:tcW w:w="1495" w:type="dxa"/>
            <w:tcBorders>
              <w:top w:val="single" w:sz="4" w:space="0" w:color="D9D9D9" w:themeColor="background1" w:themeShade="D9"/>
            </w:tcBorders>
          </w:tcPr>
          <w:p w14:paraId="339827A0" w14:textId="77777777" w:rsidR="00B65EDC" w:rsidRPr="00E675E8" w:rsidRDefault="00B65EDC">
            <w:pPr>
              <w:ind w:right="284"/>
              <w:jc w:val="right"/>
              <w:rPr>
                <w:rFonts w:asciiTheme="majorHAnsi" w:hAnsiTheme="majorHAnsi" w:cstheme="majorHAnsi"/>
                <w:sz w:val="16"/>
                <w:szCs w:val="16"/>
                <w:lang w:val="es-ES_tradnl"/>
              </w:rPr>
            </w:pPr>
          </w:p>
        </w:tc>
        <w:tc>
          <w:tcPr>
            <w:tcW w:w="1843" w:type="dxa"/>
            <w:tcBorders>
              <w:top w:val="single" w:sz="4" w:space="0" w:color="D9D9D9" w:themeColor="background1" w:themeShade="D9"/>
            </w:tcBorders>
          </w:tcPr>
          <w:p w14:paraId="6F3502B5" w14:textId="77777777" w:rsidR="00B65EDC" w:rsidRPr="00E675E8" w:rsidRDefault="00B65EDC">
            <w:pPr>
              <w:ind w:right="284"/>
              <w:jc w:val="right"/>
              <w:rPr>
                <w:rFonts w:asciiTheme="majorHAnsi" w:hAnsiTheme="majorHAnsi" w:cstheme="majorHAnsi"/>
                <w:sz w:val="16"/>
                <w:szCs w:val="16"/>
                <w:lang w:val="es-ES_tradnl"/>
              </w:rPr>
            </w:pPr>
          </w:p>
        </w:tc>
      </w:tr>
      <w:tr w:rsidR="0044405F" w:rsidRPr="00E675E8" w14:paraId="648367CE" w14:textId="77777777" w:rsidTr="00383CE0">
        <w:tc>
          <w:tcPr>
            <w:tcW w:w="426" w:type="dxa"/>
          </w:tcPr>
          <w:p w14:paraId="5DB6C657" w14:textId="77777777" w:rsidR="00B65EDC" w:rsidRPr="00E675E8" w:rsidRDefault="00B65EDC">
            <w:pPr>
              <w:jc w:val="left"/>
              <w:rPr>
                <w:rFonts w:cs="Arial"/>
                <w:sz w:val="16"/>
                <w:szCs w:val="16"/>
                <w:lang w:val="es-ES_tradnl"/>
              </w:rPr>
            </w:pPr>
          </w:p>
        </w:tc>
        <w:tc>
          <w:tcPr>
            <w:tcW w:w="3118" w:type="dxa"/>
          </w:tcPr>
          <w:p w14:paraId="47E3D890" w14:textId="77777777" w:rsidR="00B65EDC" w:rsidRPr="00E675E8" w:rsidRDefault="00B65EDC">
            <w:pPr>
              <w:jc w:val="left"/>
              <w:rPr>
                <w:rFonts w:cs="Arial"/>
                <w:sz w:val="16"/>
                <w:szCs w:val="16"/>
                <w:lang w:val="es-ES_tradnl"/>
              </w:rPr>
            </w:pPr>
          </w:p>
        </w:tc>
        <w:tc>
          <w:tcPr>
            <w:tcW w:w="305" w:type="dxa"/>
          </w:tcPr>
          <w:p w14:paraId="0AF7E7CE" w14:textId="77777777" w:rsidR="00B65EDC" w:rsidRPr="00E675E8" w:rsidRDefault="00B65EDC">
            <w:pPr>
              <w:jc w:val="center"/>
              <w:rPr>
                <w:rFonts w:cs="Arial"/>
                <w:sz w:val="16"/>
                <w:szCs w:val="16"/>
                <w:lang w:val="es-ES_tradnl"/>
              </w:rPr>
            </w:pPr>
          </w:p>
        </w:tc>
        <w:tc>
          <w:tcPr>
            <w:tcW w:w="2457" w:type="dxa"/>
          </w:tcPr>
          <w:p w14:paraId="638474FE" w14:textId="77777777" w:rsidR="00B65EDC" w:rsidRPr="00E675E8" w:rsidRDefault="00B65EDC">
            <w:pPr>
              <w:ind w:left="284"/>
              <w:jc w:val="left"/>
              <w:rPr>
                <w:rFonts w:cs="Arial"/>
                <w:sz w:val="16"/>
                <w:szCs w:val="16"/>
                <w:lang w:val="es-ES_tradnl"/>
              </w:rPr>
            </w:pPr>
            <w:r w:rsidRPr="00E675E8">
              <w:rPr>
                <w:sz w:val="16"/>
                <w:lang w:val="es-ES_tradnl"/>
              </w:rPr>
              <w:t>Número de miembros que utilizan los cuestionarios técnicos sin cambios en UPOV PRISMA</w:t>
            </w:r>
          </w:p>
        </w:tc>
        <w:tc>
          <w:tcPr>
            <w:tcW w:w="1495" w:type="dxa"/>
            <w:shd w:val="clear" w:color="auto" w:fill="FFFFFF" w:themeFill="background1"/>
          </w:tcPr>
          <w:p w14:paraId="6B892616" w14:textId="77777777" w:rsidR="00B65EDC" w:rsidRPr="00E675E8" w:rsidRDefault="00B65EDC">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25 (2024)</w:t>
            </w:r>
          </w:p>
        </w:tc>
        <w:tc>
          <w:tcPr>
            <w:tcW w:w="1843" w:type="dxa"/>
          </w:tcPr>
          <w:p w14:paraId="1ED32B95" w14:textId="4A009BC1" w:rsidR="00E709FD" w:rsidRPr="00E675E8" w:rsidRDefault="00E709FD"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27 (2026)</w:t>
            </w:r>
          </w:p>
          <w:p w14:paraId="078716D4" w14:textId="0E639EE3" w:rsidR="00B65EDC" w:rsidRPr="00E675E8" w:rsidRDefault="00B65EDC"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28 (2027)</w:t>
            </w:r>
          </w:p>
        </w:tc>
      </w:tr>
      <w:tr w:rsidR="00950A9F" w:rsidRPr="00E675E8" w14:paraId="1F4962D1" w14:textId="77777777" w:rsidTr="00383CE0">
        <w:tc>
          <w:tcPr>
            <w:tcW w:w="426" w:type="dxa"/>
          </w:tcPr>
          <w:p w14:paraId="20322ACC" w14:textId="77777777" w:rsidR="00B65EDC" w:rsidRPr="00E675E8" w:rsidRDefault="00B65EDC">
            <w:pPr>
              <w:jc w:val="left"/>
              <w:rPr>
                <w:rFonts w:cs="Arial"/>
                <w:sz w:val="16"/>
                <w:szCs w:val="16"/>
                <w:lang w:val="es-ES_tradnl"/>
              </w:rPr>
            </w:pPr>
          </w:p>
        </w:tc>
        <w:tc>
          <w:tcPr>
            <w:tcW w:w="3118" w:type="dxa"/>
          </w:tcPr>
          <w:p w14:paraId="3FA0893C" w14:textId="77777777" w:rsidR="00B65EDC" w:rsidRPr="00E675E8" w:rsidRDefault="00B65EDC">
            <w:pPr>
              <w:jc w:val="left"/>
              <w:rPr>
                <w:rFonts w:cs="Arial"/>
                <w:sz w:val="16"/>
                <w:szCs w:val="16"/>
                <w:lang w:val="es-ES_tradnl"/>
              </w:rPr>
            </w:pPr>
          </w:p>
        </w:tc>
        <w:tc>
          <w:tcPr>
            <w:tcW w:w="305" w:type="dxa"/>
          </w:tcPr>
          <w:p w14:paraId="0CBD9453" w14:textId="77777777" w:rsidR="00B65EDC" w:rsidRPr="00E675E8" w:rsidRDefault="00B65EDC">
            <w:pPr>
              <w:jc w:val="center"/>
              <w:rPr>
                <w:rFonts w:cs="Arial"/>
                <w:sz w:val="16"/>
                <w:szCs w:val="16"/>
                <w:lang w:val="es-ES_tradnl"/>
              </w:rPr>
            </w:pPr>
          </w:p>
        </w:tc>
        <w:tc>
          <w:tcPr>
            <w:tcW w:w="2457" w:type="dxa"/>
          </w:tcPr>
          <w:p w14:paraId="5FEFD93D" w14:textId="77777777" w:rsidR="00B65EDC" w:rsidRPr="00E675E8" w:rsidRDefault="00B65EDC">
            <w:pPr>
              <w:ind w:left="284"/>
              <w:jc w:val="left"/>
              <w:rPr>
                <w:rFonts w:cs="Arial"/>
                <w:sz w:val="16"/>
                <w:szCs w:val="16"/>
                <w:lang w:val="es-ES_tradnl"/>
              </w:rPr>
            </w:pPr>
            <w:r w:rsidRPr="00E675E8">
              <w:rPr>
                <w:sz w:val="16"/>
                <w:lang w:val="es-ES_tradnl"/>
              </w:rPr>
              <w:t>Número de miembros que utilizan las características de los cuestionarios técnicos sin cambios en UPOV PRISMA</w:t>
            </w:r>
          </w:p>
        </w:tc>
        <w:tc>
          <w:tcPr>
            <w:tcW w:w="1495" w:type="dxa"/>
            <w:shd w:val="clear" w:color="auto" w:fill="FFFFFF" w:themeFill="background1"/>
          </w:tcPr>
          <w:p w14:paraId="0F6DF5FE" w14:textId="6595FF4C" w:rsidR="00B65EDC" w:rsidRPr="00E675E8" w:rsidRDefault="008548B5">
            <w:pPr>
              <w:ind w:right="284"/>
              <w:jc w:val="right"/>
              <w:rPr>
                <w:rFonts w:asciiTheme="majorHAnsi" w:hAnsiTheme="majorHAnsi" w:cstheme="majorHAnsi"/>
                <w:sz w:val="16"/>
                <w:szCs w:val="16"/>
                <w:lang w:val="es-ES_tradnl"/>
              </w:rPr>
            </w:pPr>
            <w:r w:rsidRPr="00E675E8">
              <w:rPr>
                <w:rFonts w:asciiTheme="majorHAnsi" w:hAnsiTheme="majorHAnsi"/>
                <w:sz w:val="16"/>
                <w:lang w:val="es-ES_tradnl"/>
              </w:rPr>
              <w:t>8 (2024)</w:t>
            </w:r>
          </w:p>
        </w:tc>
        <w:tc>
          <w:tcPr>
            <w:tcW w:w="1843" w:type="dxa"/>
            <w:shd w:val="clear" w:color="auto" w:fill="FFFFFF" w:themeFill="background1"/>
          </w:tcPr>
          <w:p w14:paraId="061ADB5C" w14:textId="2169CB2B" w:rsidR="00E709FD" w:rsidRPr="00E675E8" w:rsidRDefault="00E709FD"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9 (2026)</w:t>
            </w:r>
          </w:p>
          <w:p w14:paraId="0882DC48" w14:textId="6A8EDF56" w:rsidR="008548B5" w:rsidRPr="00E675E8" w:rsidRDefault="00026B8A" w:rsidP="00383CE0">
            <w:pPr>
              <w:ind w:right="284"/>
              <w:jc w:val="center"/>
              <w:rPr>
                <w:rFonts w:asciiTheme="majorHAnsi" w:hAnsiTheme="majorHAnsi" w:cstheme="majorHAnsi"/>
                <w:sz w:val="16"/>
                <w:szCs w:val="16"/>
                <w:lang w:val="es-ES_tradnl"/>
              </w:rPr>
            </w:pPr>
            <w:r w:rsidRPr="00E675E8">
              <w:rPr>
                <w:rFonts w:asciiTheme="majorHAnsi" w:hAnsiTheme="majorHAnsi"/>
                <w:sz w:val="16"/>
                <w:lang w:val="es-ES_tradnl"/>
              </w:rPr>
              <w:t>10 (2027)</w:t>
            </w:r>
          </w:p>
        </w:tc>
      </w:tr>
      <w:tr w:rsidR="0044405F" w:rsidRPr="00E675E8" w14:paraId="26FC5DD8" w14:textId="77777777" w:rsidTr="00383CE0">
        <w:tc>
          <w:tcPr>
            <w:tcW w:w="426" w:type="dxa"/>
          </w:tcPr>
          <w:p w14:paraId="5D60A94A" w14:textId="77777777" w:rsidR="00B65EDC" w:rsidRPr="00E675E8" w:rsidRDefault="00B65EDC">
            <w:pPr>
              <w:jc w:val="left"/>
              <w:rPr>
                <w:rFonts w:cs="Arial"/>
                <w:sz w:val="16"/>
                <w:szCs w:val="16"/>
                <w:lang w:val="es-ES_tradnl"/>
              </w:rPr>
            </w:pPr>
          </w:p>
        </w:tc>
        <w:tc>
          <w:tcPr>
            <w:tcW w:w="3118" w:type="dxa"/>
          </w:tcPr>
          <w:p w14:paraId="604B7304" w14:textId="77777777" w:rsidR="00B65EDC" w:rsidRPr="00E675E8" w:rsidRDefault="00B65EDC">
            <w:pPr>
              <w:jc w:val="left"/>
              <w:rPr>
                <w:rFonts w:cs="Arial"/>
                <w:sz w:val="16"/>
                <w:szCs w:val="16"/>
                <w:lang w:val="es-ES_tradnl"/>
              </w:rPr>
            </w:pPr>
          </w:p>
        </w:tc>
        <w:tc>
          <w:tcPr>
            <w:tcW w:w="305" w:type="dxa"/>
          </w:tcPr>
          <w:p w14:paraId="49885950" w14:textId="77777777" w:rsidR="00B65EDC" w:rsidRPr="00E675E8" w:rsidRDefault="00B65EDC">
            <w:pPr>
              <w:jc w:val="center"/>
              <w:rPr>
                <w:rFonts w:cs="Arial"/>
                <w:sz w:val="16"/>
                <w:szCs w:val="16"/>
                <w:lang w:val="es-ES_tradnl"/>
              </w:rPr>
            </w:pPr>
          </w:p>
        </w:tc>
        <w:tc>
          <w:tcPr>
            <w:tcW w:w="2457" w:type="dxa"/>
          </w:tcPr>
          <w:p w14:paraId="0ED72B61" w14:textId="56A148C7" w:rsidR="00B65EDC" w:rsidRPr="00E675E8" w:rsidRDefault="00B65EDC">
            <w:pPr>
              <w:ind w:left="284"/>
              <w:jc w:val="left"/>
              <w:rPr>
                <w:rFonts w:cs="Arial"/>
                <w:sz w:val="16"/>
                <w:szCs w:val="16"/>
                <w:lang w:val="es-ES_tradnl"/>
              </w:rPr>
            </w:pPr>
            <w:r w:rsidRPr="00E675E8">
              <w:rPr>
                <w:sz w:val="16"/>
                <w:lang w:val="es-ES_tradnl"/>
              </w:rPr>
              <w:t>% de solicitudes de protección en los miembros de la UPOV cubiertas por las plantillas T</w:t>
            </w:r>
            <w:r w:rsidR="00383CE0">
              <w:rPr>
                <w:sz w:val="16"/>
                <w:lang w:val="es-ES_tradnl"/>
              </w:rPr>
              <w:t>G</w:t>
            </w:r>
            <w:r w:rsidRPr="00E675E8">
              <w:rPr>
                <w:sz w:val="16"/>
                <w:lang w:val="es-ES_tradnl"/>
              </w:rPr>
              <w:t xml:space="preserve"> de la UPOV </w:t>
            </w:r>
          </w:p>
        </w:tc>
        <w:tc>
          <w:tcPr>
            <w:tcW w:w="1495" w:type="dxa"/>
            <w:shd w:val="clear" w:color="auto" w:fill="FFFFFF" w:themeFill="background1"/>
          </w:tcPr>
          <w:p w14:paraId="6FA7EF7E" w14:textId="347F5579" w:rsidR="00B65EDC" w:rsidRPr="00E675E8" w:rsidRDefault="008548B5">
            <w:pPr>
              <w:jc w:val="center"/>
              <w:rPr>
                <w:rFonts w:asciiTheme="majorHAnsi" w:hAnsiTheme="majorHAnsi" w:cstheme="majorHAnsi"/>
                <w:sz w:val="16"/>
                <w:szCs w:val="16"/>
                <w:lang w:val="es-ES_tradnl"/>
              </w:rPr>
            </w:pPr>
            <w:r w:rsidRPr="00E675E8">
              <w:rPr>
                <w:rFonts w:asciiTheme="majorHAnsi" w:hAnsiTheme="majorHAnsi"/>
                <w:sz w:val="16"/>
                <w:lang w:val="es-ES_tradnl"/>
              </w:rPr>
              <w:t>95 %</w:t>
            </w:r>
          </w:p>
        </w:tc>
        <w:tc>
          <w:tcPr>
            <w:tcW w:w="1843" w:type="dxa"/>
          </w:tcPr>
          <w:p w14:paraId="189BAB03" w14:textId="113546A8" w:rsidR="00B65EDC" w:rsidRPr="00E675E8" w:rsidRDefault="00026B8A">
            <w:pPr>
              <w:jc w:val="center"/>
              <w:rPr>
                <w:rFonts w:asciiTheme="majorHAnsi" w:hAnsiTheme="majorHAnsi" w:cstheme="majorHAnsi"/>
                <w:sz w:val="16"/>
                <w:szCs w:val="16"/>
                <w:lang w:val="es-ES_tradnl"/>
              </w:rPr>
            </w:pPr>
            <w:r w:rsidRPr="00E675E8">
              <w:rPr>
                <w:rFonts w:asciiTheme="majorHAnsi" w:hAnsiTheme="majorHAnsi"/>
                <w:sz w:val="16"/>
                <w:lang w:val="es-ES_tradnl"/>
              </w:rPr>
              <w:t>95 %</w:t>
            </w:r>
          </w:p>
        </w:tc>
      </w:tr>
      <w:tr w:rsidR="00B65EDC" w:rsidRPr="00E675E8" w14:paraId="55B6E66D" w14:textId="77777777" w:rsidTr="00383CE0">
        <w:tc>
          <w:tcPr>
            <w:tcW w:w="426" w:type="dxa"/>
          </w:tcPr>
          <w:p w14:paraId="3AA8F372" w14:textId="77777777" w:rsidR="00B65EDC" w:rsidRPr="00E675E8" w:rsidRDefault="00B65EDC">
            <w:pPr>
              <w:jc w:val="left"/>
              <w:rPr>
                <w:rFonts w:cs="Arial"/>
                <w:sz w:val="16"/>
                <w:szCs w:val="16"/>
                <w:lang w:val="es-ES_tradnl"/>
              </w:rPr>
            </w:pPr>
          </w:p>
        </w:tc>
        <w:tc>
          <w:tcPr>
            <w:tcW w:w="3118" w:type="dxa"/>
            <w:tcBorders>
              <w:bottom w:val="single" w:sz="4" w:space="0" w:color="D9D9D9" w:themeColor="background1" w:themeShade="D9"/>
            </w:tcBorders>
          </w:tcPr>
          <w:p w14:paraId="7E903D4B"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7E8C6120" w14:textId="77777777" w:rsidR="00B65EDC" w:rsidRPr="00E675E8" w:rsidRDefault="00B65EDC">
            <w:pPr>
              <w:jc w:val="center"/>
              <w:rPr>
                <w:rFonts w:cs="Arial"/>
                <w:sz w:val="16"/>
                <w:szCs w:val="16"/>
                <w:lang w:val="es-ES_tradnl"/>
              </w:rPr>
            </w:pPr>
            <w:r w:rsidRPr="00E675E8">
              <w:rPr>
                <w:sz w:val="16"/>
                <w:lang w:val="es-ES_tradnl"/>
              </w:rPr>
              <w:t>10</w:t>
            </w:r>
          </w:p>
        </w:tc>
        <w:tc>
          <w:tcPr>
            <w:tcW w:w="2457" w:type="dxa"/>
            <w:tcBorders>
              <w:bottom w:val="single" w:sz="4" w:space="0" w:color="D9D9D9" w:themeColor="background1" w:themeShade="D9"/>
            </w:tcBorders>
          </w:tcPr>
          <w:p w14:paraId="6A7704A1" w14:textId="77777777" w:rsidR="00B65EDC" w:rsidRPr="00E675E8" w:rsidRDefault="00B65EDC">
            <w:pPr>
              <w:ind w:left="284"/>
              <w:jc w:val="left"/>
              <w:rPr>
                <w:rFonts w:cs="Arial"/>
                <w:sz w:val="16"/>
                <w:szCs w:val="16"/>
                <w:lang w:val="es-ES_tradnl"/>
              </w:rPr>
            </w:pPr>
            <w:r w:rsidRPr="00E675E8">
              <w:rPr>
                <w:sz w:val="16"/>
                <w:lang w:val="es-ES_tradnl"/>
              </w:rPr>
              <w:t>Número de informes DHE descargados del módulo de intercambio DHE de UPOV e-PVP</w:t>
            </w:r>
          </w:p>
        </w:tc>
        <w:tc>
          <w:tcPr>
            <w:tcW w:w="1495" w:type="dxa"/>
            <w:tcBorders>
              <w:bottom w:val="single" w:sz="4" w:space="0" w:color="D9D9D9" w:themeColor="background1" w:themeShade="D9"/>
            </w:tcBorders>
          </w:tcPr>
          <w:p w14:paraId="72F98600" w14:textId="77777777"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7 (2024)</w:t>
            </w:r>
          </w:p>
        </w:tc>
        <w:tc>
          <w:tcPr>
            <w:tcW w:w="1843" w:type="dxa"/>
            <w:tcBorders>
              <w:bottom w:val="single" w:sz="4" w:space="0" w:color="D9D9D9" w:themeColor="background1" w:themeShade="D9"/>
            </w:tcBorders>
          </w:tcPr>
          <w:p w14:paraId="6996B551" w14:textId="5B5AB250" w:rsidR="00B65EDC" w:rsidRPr="00E675E8" w:rsidRDefault="00B65EDC">
            <w:pPr>
              <w:jc w:val="center"/>
              <w:rPr>
                <w:rFonts w:asciiTheme="majorHAnsi" w:hAnsiTheme="majorHAnsi" w:cstheme="majorHAnsi"/>
                <w:sz w:val="16"/>
                <w:szCs w:val="16"/>
                <w:lang w:val="es-ES_tradnl"/>
              </w:rPr>
            </w:pPr>
            <w:r w:rsidRPr="00E675E8">
              <w:rPr>
                <w:rFonts w:asciiTheme="majorHAnsi" w:hAnsiTheme="majorHAnsi"/>
                <w:sz w:val="16"/>
                <w:lang w:val="es-ES_tradnl"/>
              </w:rPr>
              <w:t>400 (en el bienio)</w:t>
            </w:r>
          </w:p>
        </w:tc>
      </w:tr>
    </w:tbl>
    <w:p w14:paraId="74C68AAF" w14:textId="77777777" w:rsidR="00F05868" w:rsidRPr="00E675E8" w:rsidRDefault="00F05868">
      <w:pPr>
        <w:jc w:val="left"/>
        <w:rPr>
          <w:b/>
          <w:bCs/>
          <w:color w:val="26724C" w:themeColor="accent1" w:themeShade="BF"/>
          <w:sz w:val="28"/>
          <w:lang w:val="es-ES_tradnl"/>
        </w:rPr>
      </w:pPr>
      <w:bookmarkStart w:id="479" w:name="_Toc117798897"/>
      <w:bookmarkStart w:id="480" w:name="_Toc107239602"/>
      <w:bookmarkStart w:id="481" w:name="_Toc107239352"/>
      <w:r w:rsidRPr="00E675E8">
        <w:rPr>
          <w:lang w:val="es-ES_tradnl"/>
        </w:rPr>
        <w:br w:type="page"/>
      </w:r>
    </w:p>
    <w:p w14:paraId="38F1D9A9" w14:textId="59F6248B" w:rsidR="00B65EDC" w:rsidRPr="00E675E8" w:rsidRDefault="00B65EDC" w:rsidP="003F289C">
      <w:pPr>
        <w:pStyle w:val="Heading2"/>
        <w:spacing w:before="240"/>
        <w:rPr>
          <w:lang w:val="es-ES_tradnl"/>
        </w:rPr>
      </w:pPr>
      <w:bookmarkStart w:id="482" w:name="_Toc209777773"/>
      <w:r w:rsidRPr="00E675E8">
        <w:rPr>
          <w:lang w:val="es-ES_tradnl"/>
        </w:rPr>
        <w:lastRenderedPageBreak/>
        <w:t>Pilar 3:</w:t>
      </w:r>
      <w:r w:rsidR="002817AB" w:rsidRPr="00E675E8">
        <w:rPr>
          <w:lang w:val="es-ES_tradnl"/>
        </w:rPr>
        <w:t xml:space="preserve"> </w:t>
      </w:r>
      <w:r w:rsidRPr="00E675E8">
        <w:rPr>
          <w:lang w:val="es-ES_tradnl"/>
        </w:rPr>
        <w:t>Proporcionar servicios de alta calidad a los miembros de la UPOV y a los usuarios del sistema de la UPOV</w:t>
      </w:r>
      <w:bookmarkEnd w:id="479"/>
      <w:bookmarkEnd w:id="480"/>
      <w:bookmarkEnd w:id="481"/>
      <w:bookmarkEnd w:id="482"/>
      <w:r w:rsidRPr="00E675E8">
        <w:rPr>
          <w:lang w:val="es-ES_tradnl"/>
        </w:rPr>
        <w:t xml:space="preserve"> </w:t>
      </w:r>
    </w:p>
    <w:p w14:paraId="3137FF9D" w14:textId="77777777" w:rsidR="00B65EDC" w:rsidRPr="00E675E8" w:rsidRDefault="00B65EDC" w:rsidP="00B65EDC">
      <w:pPr>
        <w:keepNext/>
        <w:rPr>
          <w:b/>
          <w:bCs/>
          <w:sz w:val="22"/>
          <w:szCs w:val="22"/>
          <w:lang w:val="es-ES_tradnl"/>
        </w:rPr>
      </w:pPr>
    </w:p>
    <w:p w14:paraId="4C55EDFF" w14:textId="77777777" w:rsidR="00B65EDC" w:rsidRPr="00E675E8" w:rsidRDefault="00B65EDC" w:rsidP="000363C4">
      <w:pPr>
        <w:pStyle w:val="Heading3"/>
        <w:rPr>
          <w:sz w:val="20"/>
          <w:lang w:val="es-ES_tradnl"/>
        </w:rPr>
      </w:pPr>
      <w:bookmarkStart w:id="483" w:name="_Toc209777774"/>
      <w:r w:rsidRPr="00E675E8">
        <w:rPr>
          <w:lang w:val="es-ES_tradnl"/>
        </w:rPr>
        <w:t>Estrategia para lograr los resultados previstos</w:t>
      </w:r>
      <w:bookmarkEnd w:id="483"/>
    </w:p>
    <w:p w14:paraId="17981FD0" w14:textId="77777777" w:rsidR="00B65EDC" w:rsidRPr="00E675E8" w:rsidRDefault="00B65EDC" w:rsidP="00B65EDC">
      <w:pPr>
        <w:keepNext/>
        <w:rPr>
          <w:b/>
          <w:bCs/>
          <w:sz w:val="22"/>
          <w:szCs w:val="22"/>
          <w:lang w:val="es-ES_tradnl"/>
        </w:rPr>
      </w:pPr>
    </w:p>
    <w:p w14:paraId="42092FAD" w14:textId="0AF88888"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Dada la limitación de sus recursos, los esfuerzos de la Organización se han centrado históricamente en proporcionar orientación, información y formación más que en desarrollar herramientas prácticas para ayudar a los miembros de la Unión a aplicar el sistema de la UPOV.</w:t>
      </w:r>
      <w:r w:rsidR="002817AB" w:rsidRPr="00E675E8">
        <w:rPr>
          <w:lang w:val="es-ES_tradnl"/>
        </w:rPr>
        <w:t xml:space="preserve"> </w:t>
      </w:r>
      <w:r w:rsidRPr="00E675E8">
        <w:rPr>
          <w:lang w:val="es-ES_tradnl"/>
        </w:rPr>
        <w:t>La falta de asistencia práctica ha dado lugar a algunas divergencias en la aplicación (por ejemplo, en los formularios de solicitud) que no se basan en las políticas, sino que son el resultado de una falta de apoyo práctico.</w:t>
      </w:r>
      <w:r w:rsidR="002817AB" w:rsidRPr="00E675E8">
        <w:rPr>
          <w:lang w:val="es-ES_tradnl"/>
        </w:rPr>
        <w:t xml:space="preserve"> </w:t>
      </w:r>
      <w:r w:rsidRPr="00E675E8">
        <w:rPr>
          <w:lang w:val="es-ES_tradnl"/>
        </w:rPr>
        <w:t>Por otra parte, algunos miembros de la Unión han contado con los recursos necesarios para poder desarrollar sistemas muy eficaces (por ejemplo, sistemas de presentación electrónica de solicitudes), mientras que otros no han podido hacerlo por carecer de los recursos necesarios.</w:t>
      </w:r>
      <w:r w:rsidR="002817AB" w:rsidRPr="00E675E8">
        <w:rPr>
          <w:lang w:val="es-ES_tradnl"/>
        </w:rPr>
        <w:t xml:space="preserve"> </w:t>
      </w:r>
    </w:p>
    <w:p w14:paraId="7576D3C4" w14:textId="77777777" w:rsidR="00B65EDC" w:rsidRPr="00E675E8" w:rsidRDefault="00B65EDC" w:rsidP="00B65EDC">
      <w:pPr>
        <w:rPr>
          <w:lang w:val="es-ES_tradnl"/>
        </w:rPr>
      </w:pPr>
    </w:p>
    <w:p w14:paraId="6AA6F0D3" w14:textId="06AED903"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UPOV e-PVP se ha desarrollado en colaboración con los miembros de la UPOV y los obtentores (véase más abajo).</w:t>
      </w:r>
      <w:r w:rsidR="002817AB" w:rsidRPr="00E675E8">
        <w:rPr>
          <w:lang w:val="es-ES_tradnl"/>
        </w:rPr>
        <w:t xml:space="preserve"> </w:t>
      </w:r>
      <w:r w:rsidRPr="00E675E8">
        <w:rPr>
          <w:lang w:val="es-ES_tradnl"/>
        </w:rPr>
        <w:t>Se ha pretendido crear un sistema a medida de protección de las obtenciones vegetales digitalizado y de gran calidad por el que puedan optar los miembros que estén digitalizando sus procedimientos y consideren más eficaz recurrir a los módulos de UPOV e-PVP que dedicar recursos al desarrollo y mantenimiento de sus propios instrumentos.</w:t>
      </w:r>
      <w:r w:rsidR="002817AB" w:rsidRPr="00E675E8">
        <w:rPr>
          <w:lang w:val="es-ES_tradnl"/>
        </w:rPr>
        <w:t xml:space="preserve"> </w:t>
      </w:r>
      <w:r w:rsidR="00383CE0">
        <w:rPr>
          <w:lang w:val="es-ES_tradnl"/>
        </w:rPr>
        <w:t xml:space="preserve"> </w:t>
      </w:r>
      <w:r w:rsidRPr="00E675E8">
        <w:rPr>
          <w:lang w:val="es-ES_tradnl"/>
        </w:rPr>
        <w:t>Esta iniciativa representa una oportunidad para prestar servicios a los miembros de la Unión y partes interesadas de manera que mejore la eficacia del conjunto del sistema de la UPOV y se logre una “nivelación” de la capacidad en el seno de la Unión.</w:t>
      </w:r>
      <w:r w:rsidR="00383CE0">
        <w:rPr>
          <w:lang w:val="es-ES_tradnl"/>
        </w:rPr>
        <w:t xml:space="preserve"> </w:t>
      </w:r>
      <w:r w:rsidR="002817AB" w:rsidRPr="00E675E8">
        <w:rPr>
          <w:lang w:val="es-ES_tradnl"/>
        </w:rPr>
        <w:t xml:space="preserve"> </w:t>
      </w:r>
      <w:r w:rsidRPr="00E675E8">
        <w:rPr>
          <w:lang w:val="es-ES_tradnl"/>
        </w:rPr>
        <w:t>Otro de los objetivos acordados por el Consejo de la UPOV en el Plan Operativo Estratégico para el período 2023</w:t>
      </w:r>
      <w:r w:rsidR="00797F25">
        <w:rPr>
          <w:lang w:val="es-ES_tradnl"/>
        </w:rPr>
        <w:noBreakHyphen/>
      </w:r>
      <w:r w:rsidRPr="00E675E8">
        <w:rPr>
          <w:lang w:val="es-ES_tradnl"/>
        </w:rPr>
        <w:t>2027 es la diversificación de los ingresos de la Unión.</w:t>
      </w:r>
    </w:p>
    <w:p w14:paraId="2171BAC7" w14:textId="77777777" w:rsidR="00B65EDC" w:rsidRPr="00E675E8" w:rsidRDefault="00B65EDC" w:rsidP="00B65EDC">
      <w:pPr>
        <w:rPr>
          <w:lang w:val="es-ES_tradnl"/>
        </w:rPr>
      </w:pPr>
    </w:p>
    <w:p w14:paraId="23171BE4" w14:textId="6F8344AE"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El establecimiento del puesto de Jefe de Tecnologías de la Información y la creación de un puesto temporal para un oficial informático demuestran el compromiso de llevar a cabo los avances en materia de digitalización al tiempo que se garantiza la continuidad de la actividad. </w:t>
      </w:r>
      <w:r w:rsidR="00383CE0">
        <w:rPr>
          <w:lang w:val="es-ES_tradnl"/>
        </w:rPr>
        <w:t xml:space="preserve"> </w:t>
      </w:r>
      <w:r w:rsidRPr="00E675E8">
        <w:rPr>
          <w:lang w:val="es-ES_tradnl"/>
        </w:rPr>
        <w:t xml:space="preserve">La Oficina de la Unión presentará al Consejo de la UPOV una estrategia digital en la que se abordarán los objetivos y los recursos necesarios. </w:t>
      </w:r>
    </w:p>
    <w:p w14:paraId="4895CB20" w14:textId="77777777" w:rsidR="00B65EDC" w:rsidRPr="00E675E8" w:rsidRDefault="00B65EDC" w:rsidP="00B65EDC">
      <w:pPr>
        <w:rPr>
          <w:color w:val="000000" w:themeColor="text1"/>
          <w:lang w:val="es-ES_tradnl"/>
        </w:rPr>
      </w:pPr>
    </w:p>
    <w:p w14:paraId="359E6789" w14:textId="48FF8A49" w:rsidR="00B65EDC" w:rsidRPr="00E675E8" w:rsidRDefault="00B65EDC" w:rsidP="00B65EDC">
      <w:pPr>
        <w:rPr>
          <w:color w:val="000000" w:themeColor="text1"/>
          <w:lang w:val="es-ES_tradnl"/>
        </w:rPr>
      </w:pPr>
      <w:r w:rsidRPr="00E675E8">
        <w:rPr>
          <w:color w:val="000000" w:themeColor="text1"/>
          <w:lang w:val="es-ES_tradnl"/>
        </w:rPr>
        <w:fldChar w:fldCharType="begin"/>
      </w:r>
      <w:r w:rsidRPr="00E675E8">
        <w:rPr>
          <w:color w:val="000000" w:themeColor="text1"/>
          <w:lang w:val="es-ES_tradnl"/>
        </w:rPr>
        <w:instrText xml:space="preserve"> AUTONUM  </w:instrText>
      </w:r>
      <w:r w:rsidRPr="00E675E8">
        <w:rPr>
          <w:color w:val="000000" w:themeColor="text1"/>
          <w:lang w:val="es-ES_tradnl"/>
        </w:rPr>
        <w:fldChar w:fldCharType="end"/>
      </w:r>
      <w:r w:rsidRPr="00E675E8">
        <w:rPr>
          <w:color w:val="000000" w:themeColor="text1"/>
          <w:lang w:val="es-ES_tradnl"/>
        </w:rPr>
        <w:tab/>
        <w:t xml:space="preserve">Aunque la base de datos PLUTO es muy utilizada por los miembros y las partes interesadas, durante el bienio 2026-2027 se trabajará en la promoción del servicio </w:t>
      </w:r>
      <w:proofErr w:type="spellStart"/>
      <w:r w:rsidRPr="00E675E8">
        <w:rPr>
          <w:color w:val="000000" w:themeColor="text1"/>
          <w:lang w:val="es-ES_tradnl"/>
        </w:rPr>
        <w:t>prémium</w:t>
      </w:r>
      <w:proofErr w:type="spellEnd"/>
      <w:r w:rsidRPr="00E675E8">
        <w:rPr>
          <w:color w:val="000000" w:themeColor="text1"/>
          <w:lang w:val="es-ES_tradnl"/>
        </w:rPr>
        <w:t xml:space="preserve"> para los usuarios de pago. </w:t>
      </w:r>
    </w:p>
    <w:p w14:paraId="18F6D59A" w14:textId="77777777" w:rsidR="00B65EDC" w:rsidRPr="00E675E8" w:rsidRDefault="00B65EDC" w:rsidP="00B65EDC">
      <w:pPr>
        <w:rPr>
          <w:lang w:val="es-ES_tradnl"/>
        </w:rPr>
      </w:pPr>
    </w:p>
    <w:p w14:paraId="506D3ED3" w14:textId="77777777" w:rsidR="00B65EDC" w:rsidRPr="00E675E8" w:rsidRDefault="00B65EDC" w:rsidP="003F289C">
      <w:pPr>
        <w:pStyle w:val="Heading4"/>
        <w:rPr>
          <w:lang w:val="es-ES_tradnl"/>
        </w:rPr>
      </w:pPr>
      <w:bookmarkStart w:id="484" w:name="_Toc117798900"/>
      <w:bookmarkStart w:id="485" w:name="_Toc107239605"/>
      <w:bookmarkStart w:id="486" w:name="_Toc107239355"/>
      <w:r w:rsidRPr="00E675E8">
        <w:rPr>
          <w:u w:val="none"/>
          <w:lang w:val="es-ES_tradnl"/>
        </w:rPr>
        <w:t>3.1</w:t>
      </w:r>
      <w:r w:rsidRPr="00E675E8">
        <w:rPr>
          <w:u w:val="none"/>
          <w:lang w:val="es-ES_tradnl"/>
        </w:rPr>
        <w:tab/>
      </w:r>
      <w:r w:rsidRPr="00E675E8">
        <w:rPr>
          <w:lang w:val="es-ES_tradnl"/>
        </w:rPr>
        <w:t>Desarrollo de los servicios del sistema e-PVP de la UPOV</w:t>
      </w:r>
      <w:bookmarkEnd w:id="484"/>
      <w:bookmarkEnd w:id="485"/>
      <w:bookmarkEnd w:id="486"/>
    </w:p>
    <w:p w14:paraId="0A10023E" w14:textId="77777777" w:rsidR="00B65EDC" w:rsidRPr="00E675E8" w:rsidRDefault="00B65EDC" w:rsidP="00B65EDC">
      <w:pPr>
        <w:rPr>
          <w:snapToGrid w:val="0"/>
          <w:lang w:val="es-ES_tradnl"/>
        </w:rPr>
      </w:pPr>
    </w:p>
    <w:p w14:paraId="2332B2FB" w14:textId="1A79694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iniciativa UPOV e-PVP permitirá ofrecer una asistencia coherente y completa orientada a la aplicación del sistema de protección de las obtenciones vegetales de la UPOV, de modo que los miembros de la Unión puedan utilizar algunos de sus componentes o todos ellos, según se considere oportuno.</w:t>
      </w:r>
      <w:r w:rsidR="002817AB" w:rsidRPr="00E675E8">
        <w:rPr>
          <w:lang w:val="es-ES_tradnl"/>
        </w:rPr>
        <w:t xml:space="preserve"> </w:t>
      </w:r>
      <w:r w:rsidRPr="00E675E8">
        <w:rPr>
          <w:lang w:val="es-ES_tradnl"/>
        </w:rPr>
        <w:t>UPOV e-PVP, que comprende el siguiente paquete de herramientas compatibles y su desarrollo tendrá lugar según se indica:</w:t>
      </w:r>
    </w:p>
    <w:p w14:paraId="6B091256" w14:textId="77777777" w:rsidR="00B65EDC" w:rsidRPr="00E675E8" w:rsidRDefault="00B65EDC" w:rsidP="00B65EDC">
      <w:pPr>
        <w:rPr>
          <w:lang w:val="es-ES_tradnl"/>
        </w:rPr>
      </w:pPr>
    </w:p>
    <w:p w14:paraId="56114E33" w14:textId="5C6237EA" w:rsidR="00B65EDC" w:rsidRPr="00E675E8" w:rsidRDefault="00B65EDC" w:rsidP="00B65EDC">
      <w:pPr>
        <w:pStyle w:val="ListParagraph"/>
        <w:numPr>
          <w:ilvl w:val="0"/>
          <w:numId w:val="3"/>
        </w:numPr>
        <w:spacing w:after="40"/>
        <w:rPr>
          <w:color w:val="000000" w:themeColor="text1"/>
          <w:lang w:val="es-ES_tradnl"/>
        </w:rPr>
      </w:pPr>
      <w:r w:rsidRPr="00E675E8">
        <w:rPr>
          <w:b/>
          <w:lang w:val="es-ES_tradnl"/>
        </w:rPr>
        <w:t>UPOV PRISMA es una herramienta para presentar solicitudes en línea</w:t>
      </w:r>
      <w:r w:rsidRPr="00E675E8">
        <w:rPr>
          <w:lang w:val="es-ES_tradnl"/>
        </w:rPr>
        <w:t xml:space="preserve"> que ha sido introducida con una tasa de 90 francos suizos que los usuarios deben abonar por cada solicitud presentada.</w:t>
      </w:r>
      <w:r w:rsidR="002817AB" w:rsidRPr="00E675E8">
        <w:rPr>
          <w:lang w:val="es-ES_tradnl"/>
        </w:rPr>
        <w:t xml:space="preserve"> </w:t>
      </w:r>
      <w:r w:rsidRPr="00E675E8">
        <w:rPr>
          <w:lang w:val="es-ES_tradnl"/>
        </w:rPr>
        <w:t>Los comentarios de los usuarios sobre UPOV PRISMA son positivos y se espera que más miembros de la UPOV acepten solicitudes a través de UPOV PRISMA.</w:t>
      </w:r>
      <w:r w:rsidR="002817AB" w:rsidRPr="00E675E8">
        <w:rPr>
          <w:lang w:val="es-ES_tradnl"/>
        </w:rPr>
        <w:t xml:space="preserve"> </w:t>
      </w:r>
      <w:r w:rsidRPr="00E675E8">
        <w:rPr>
          <w:lang w:val="es-ES_tradnl"/>
        </w:rPr>
        <w:t xml:space="preserve">La Oficina de la Unión seguirá colaborando con los miembros de la UPOV y los usuarios en reuniones bilaterales y reuniones de grupos de usuarios para garantizar que los servicios prestados tengan la calidad esperada y que la herramienta sea utilizada por un número cada vez mayor de miembros de la Unión y para más especies. </w:t>
      </w:r>
    </w:p>
    <w:p w14:paraId="70F1D629" w14:textId="77777777" w:rsidR="00B65EDC" w:rsidRPr="00E675E8" w:rsidRDefault="00B65EDC" w:rsidP="00B65EDC">
      <w:pPr>
        <w:spacing w:after="40"/>
        <w:ind w:left="567"/>
        <w:rPr>
          <w:color w:val="000000" w:themeColor="text1"/>
          <w:lang w:val="es-ES_tradnl"/>
        </w:rPr>
      </w:pPr>
    </w:p>
    <w:p w14:paraId="08B1E8B8" w14:textId="20C398A2" w:rsidR="00B65EDC" w:rsidRPr="00E675E8" w:rsidRDefault="00B65EDC" w:rsidP="00B65EDC">
      <w:pPr>
        <w:pStyle w:val="ListParagraph"/>
        <w:numPr>
          <w:ilvl w:val="0"/>
          <w:numId w:val="3"/>
        </w:numPr>
        <w:spacing w:after="40"/>
        <w:rPr>
          <w:lang w:val="es-ES_tradnl"/>
        </w:rPr>
      </w:pPr>
      <w:r w:rsidRPr="00E675E8">
        <w:rPr>
          <w:lang w:val="es-ES_tradnl"/>
        </w:rPr>
        <w:t xml:space="preserve">El </w:t>
      </w:r>
      <w:r w:rsidRPr="00E675E8">
        <w:rPr>
          <w:b/>
          <w:bCs/>
          <w:lang w:val="es-ES_tradnl"/>
        </w:rPr>
        <w:t>módulo de administración de UPOV e-PVP</w:t>
      </w:r>
      <w:r w:rsidRPr="00E675E8">
        <w:rPr>
          <w:lang w:val="es-ES_tradnl"/>
        </w:rPr>
        <w:t xml:space="preserve"> se pondrá a disposición de los miembros de la Unión para gestionar y publicar las solicitudes de protección de las obtenciones vegetales, incluida la comunicación con los solicitantes y la transmisión de datos a la base de datos PLUTO.</w:t>
      </w:r>
      <w:r w:rsidR="002817AB" w:rsidRPr="00E675E8">
        <w:rPr>
          <w:lang w:val="es-ES_tradnl"/>
        </w:rPr>
        <w:t xml:space="preserve"> </w:t>
      </w:r>
      <w:r w:rsidRPr="00E675E8">
        <w:rPr>
          <w:lang w:val="es-ES_tradnl"/>
        </w:rPr>
        <w:t>El módulo incluirá una función para registrar y comparar descripciones de variedades.</w:t>
      </w:r>
      <w:r w:rsidR="002817AB" w:rsidRPr="00E675E8">
        <w:rPr>
          <w:lang w:val="es-ES_tradnl"/>
        </w:rPr>
        <w:t xml:space="preserve"> </w:t>
      </w:r>
      <w:r w:rsidRPr="00E675E8">
        <w:rPr>
          <w:lang w:val="es-ES_tradnl"/>
        </w:rPr>
        <w:t>Se pondrá a disposición de los miembros de la Unión una versión estándar del módulo de administración de UPOV e-PVP, cuyo mantenimiento correrá a cargo de la Unión, a reserva de las repercusiones en materia de recursos para la Oficina de la Unión.</w:t>
      </w:r>
      <w:r w:rsidR="002817AB" w:rsidRPr="00E675E8">
        <w:rPr>
          <w:lang w:val="es-ES_tradnl"/>
        </w:rPr>
        <w:t xml:space="preserve"> </w:t>
      </w:r>
      <w:r w:rsidRPr="00E675E8">
        <w:rPr>
          <w:lang w:val="es-ES_tradnl"/>
        </w:rPr>
        <w:t>El miembro de la Unión en cuestión deberá hacerse cargo de los gastos de alojamiento del módulo en la nube y, posiblemente, algunos costos de incorporación.</w:t>
      </w:r>
      <w:r w:rsidR="002817AB" w:rsidRPr="00E675E8">
        <w:rPr>
          <w:lang w:val="es-ES_tradnl"/>
        </w:rPr>
        <w:t xml:space="preserve"> </w:t>
      </w:r>
      <w:r w:rsidRPr="00E675E8">
        <w:rPr>
          <w:lang w:val="es-ES_tradnl"/>
        </w:rPr>
        <w:t>Pueden desarrollarse versiones personalizadas del módulo de administración de UPOV e-PVP, de acuerdo con las necesidades específicas de los miembros de la Unión, cuando se proporcionen los recursos extrapresupuestarios necesarios y con sujeción a las repercusiones en materia de recursos para la Oficina de la Unión.</w:t>
      </w:r>
      <w:r w:rsidR="002817AB" w:rsidRPr="00E675E8">
        <w:rPr>
          <w:lang w:val="es-ES_tradnl"/>
        </w:rPr>
        <w:t xml:space="preserve"> </w:t>
      </w:r>
      <w:r w:rsidRPr="00E675E8">
        <w:rPr>
          <w:color w:val="000000" w:themeColor="text1"/>
          <w:lang w:val="es-ES_tradnl"/>
        </w:rPr>
        <w:t xml:space="preserve">Las primeras experiencias sobre el uso del módulo de </w:t>
      </w:r>
      <w:r w:rsidRPr="00E675E8">
        <w:rPr>
          <w:color w:val="000000" w:themeColor="text1"/>
          <w:lang w:val="es-ES_tradnl"/>
        </w:rPr>
        <w:lastRenderedPageBreak/>
        <w:t>administración de UPOV e-PVP muestran que funciona bien pero que es importante asignar el tiempo y los recursos necesarios para aplicar y personalizar la herramienta.</w:t>
      </w:r>
      <w:r w:rsidR="002817AB" w:rsidRPr="00E675E8">
        <w:rPr>
          <w:color w:val="000000" w:themeColor="text1"/>
          <w:lang w:val="es-ES_tradnl"/>
        </w:rPr>
        <w:t xml:space="preserve"> </w:t>
      </w:r>
    </w:p>
    <w:p w14:paraId="2C399E35" w14:textId="77777777" w:rsidR="00B65EDC" w:rsidRPr="00E675E8" w:rsidRDefault="00B65EDC" w:rsidP="00B65EDC">
      <w:pPr>
        <w:pStyle w:val="ListParagraph"/>
        <w:spacing w:after="40"/>
        <w:ind w:left="927"/>
        <w:rPr>
          <w:lang w:val="es-ES_tradnl"/>
        </w:rPr>
      </w:pPr>
    </w:p>
    <w:p w14:paraId="3977160B" w14:textId="493EF5A2" w:rsidR="00B65EDC" w:rsidRPr="00E675E8" w:rsidRDefault="00B65EDC" w:rsidP="00B65EDC">
      <w:pPr>
        <w:pStyle w:val="ListParagraph"/>
        <w:numPr>
          <w:ilvl w:val="0"/>
          <w:numId w:val="3"/>
        </w:numPr>
        <w:spacing w:after="40"/>
        <w:rPr>
          <w:color w:val="000000" w:themeColor="text1"/>
          <w:lang w:val="es-ES_tradnl"/>
        </w:rPr>
      </w:pPr>
      <w:r w:rsidRPr="00E675E8">
        <w:rPr>
          <w:lang w:val="es-ES_tradnl"/>
        </w:rPr>
        <w:t xml:space="preserve">La </w:t>
      </w:r>
      <w:r w:rsidRPr="00E675E8">
        <w:rPr>
          <w:b/>
          <w:lang w:val="es-ES_tradnl"/>
        </w:rPr>
        <w:t>plataforma de intercambio de informes DHE de UPOV e-PVP</w:t>
      </w:r>
      <w:r w:rsidRPr="00E675E8">
        <w:rPr>
          <w:lang w:val="es-ES_tradnl"/>
        </w:rPr>
        <w:t xml:space="preserve"> proporcionará una plataforma para intercambiar informes DHE.</w:t>
      </w:r>
      <w:r w:rsidR="002817AB" w:rsidRPr="00E675E8">
        <w:rPr>
          <w:color w:val="000000" w:themeColor="text1"/>
          <w:lang w:val="es-ES_tradnl"/>
        </w:rPr>
        <w:t xml:space="preserve"> </w:t>
      </w:r>
      <w:r w:rsidRPr="00E675E8">
        <w:rPr>
          <w:color w:val="000000" w:themeColor="text1"/>
          <w:lang w:val="es-ES_tradnl"/>
        </w:rPr>
        <w:t>Se seguirá desarrollando para permitir a los miembros de la Unión poner a disposición de los demás miembros sus procedimientos DHE documentados y la información sobre sus sistemas de gestión de la calidad.</w:t>
      </w:r>
      <w:r w:rsidR="002817AB" w:rsidRPr="00E675E8">
        <w:rPr>
          <w:color w:val="000000" w:themeColor="text1"/>
          <w:lang w:val="es-ES_tradnl"/>
        </w:rPr>
        <w:t xml:space="preserve"> </w:t>
      </w:r>
      <w:r w:rsidRPr="00E675E8">
        <w:rPr>
          <w:lang w:val="es-ES_tradnl"/>
        </w:rPr>
        <w:t>Se espera que durante el bienio 2026</w:t>
      </w:r>
      <w:r w:rsidR="003F289C" w:rsidRPr="00E675E8">
        <w:rPr>
          <w:lang w:val="es-ES_tradnl"/>
        </w:rPr>
        <w:noBreakHyphen/>
      </w:r>
      <w:r w:rsidRPr="00E675E8">
        <w:rPr>
          <w:lang w:val="es-ES_tradnl"/>
        </w:rPr>
        <w:t>2027 se produzca un aumento importante en el uso de la plataforma de intercambio de informes DHE de UPOV e-PVP.</w:t>
      </w:r>
    </w:p>
    <w:p w14:paraId="28958614" w14:textId="77777777" w:rsidR="00B65EDC" w:rsidRPr="00E675E8" w:rsidRDefault="00B65EDC" w:rsidP="00B65EDC">
      <w:pPr>
        <w:pStyle w:val="ListParagraph"/>
        <w:spacing w:after="40"/>
        <w:ind w:left="927"/>
        <w:rPr>
          <w:color w:val="000000" w:themeColor="text1"/>
          <w:lang w:val="es-ES_tradnl"/>
        </w:rPr>
      </w:pPr>
    </w:p>
    <w:p w14:paraId="0B457E31" w14:textId="41532A90" w:rsidR="00B65EDC" w:rsidRPr="00E675E8" w:rsidRDefault="00B65EDC" w:rsidP="00B65EDC">
      <w:pPr>
        <w:pStyle w:val="ListParagraph"/>
        <w:numPr>
          <w:ilvl w:val="0"/>
          <w:numId w:val="3"/>
        </w:numPr>
        <w:spacing w:after="40"/>
        <w:rPr>
          <w:lang w:val="es-ES_tradnl"/>
        </w:rPr>
      </w:pPr>
      <w:r w:rsidRPr="00E675E8">
        <w:rPr>
          <w:snapToGrid w:val="0"/>
          <w:color w:val="000000"/>
          <w:lang w:val="es-ES_tradnl"/>
        </w:rPr>
        <w:t xml:space="preserve">La </w:t>
      </w:r>
      <w:r w:rsidRPr="00E675E8">
        <w:rPr>
          <w:b/>
          <w:snapToGrid w:val="0"/>
          <w:color w:val="000000"/>
          <w:lang w:val="es-ES_tradnl"/>
        </w:rPr>
        <w:t>base de datos PLUTO</w:t>
      </w:r>
      <w:r w:rsidRPr="00E675E8">
        <w:rPr>
          <w:snapToGrid w:val="0"/>
          <w:color w:val="000000"/>
          <w:lang w:val="es-ES_tradnl"/>
        </w:rPr>
        <w:t xml:space="preserve"> se mejorará: aumentando la exhaustividad de los envíos de datos, en particular mediante el módulo de administración de UPOV e-PVP; mejorando la interfaz de usuario; y proporcionando funciones adicionales.</w:t>
      </w:r>
      <w:r w:rsidR="002817AB" w:rsidRPr="00E675E8">
        <w:rPr>
          <w:snapToGrid w:val="0"/>
          <w:color w:val="000000"/>
          <w:lang w:val="es-ES_tradnl"/>
        </w:rPr>
        <w:t xml:space="preserve"> </w:t>
      </w:r>
      <w:r w:rsidRPr="00E675E8">
        <w:rPr>
          <w:snapToGrid w:val="0"/>
          <w:color w:val="000000"/>
          <w:lang w:val="es-ES_tradnl"/>
        </w:rPr>
        <w:t>Se desarrollará una función para que los miembros de la UPOV puedan compartir información sobre la descripción de variedades a través de la base de datos PLUTO.</w:t>
      </w:r>
      <w:r w:rsidR="002817AB" w:rsidRPr="00E675E8">
        <w:rPr>
          <w:snapToGrid w:val="0"/>
          <w:color w:val="000000"/>
          <w:lang w:val="es-ES_tradnl"/>
        </w:rPr>
        <w:t xml:space="preserve"> </w:t>
      </w:r>
      <w:r w:rsidRPr="00E675E8">
        <w:rPr>
          <w:color w:val="000000" w:themeColor="text1"/>
          <w:lang w:val="es-ES_tradnl"/>
        </w:rPr>
        <w:t xml:space="preserve">Aunque la base de datos PLUTO es muy utilizada por los miembros y las partes interesadas, durante el bienio 2026-2027 se trabajará en la promoción del servicio </w:t>
      </w:r>
      <w:proofErr w:type="spellStart"/>
      <w:r w:rsidRPr="00E675E8">
        <w:rPr>
          <w:color w:val="000000" w:themeColor="text1"/>
          <w:lang w:val="es-ES_tradnl"/>
        </w:rPr>
        <w:t>prémium</w:t>
      </w:r>
      <w:proofErr w:type="spellEnd"/>
      <w:r w:rsidRPr="00E675E8">
        <w:rPr>
          <w:color w:val="000000" w:themeColor="text1"/>
          <w:lang w:val="es-ES_tradnl"/>
        </w:rPr>
        <w:t xml:space="preserve"> para los usuarios de pago. </w:t>
      </w:r>
    </w:p>
    <w:p w14:paraId="0406D7E0" w14:textId="77777777" w:rsidR="00B65EDC" w:rsidRPr="00E675E8" w:rsidRDefault="00B65EDC" w:rsidP="00B65EDC">
      <w:pPr>
        <w:pStyle w:val="ListParagraph"/>
        <w:spacing w:after="40"/>
        <w:ind w:left="927"/>
        <w:rPr>
          <w:lang w:val="es-ES_tradnl"/>
        </w:rPr>
      </w:pPr>
    </w:p>
    <w:p w14:paraId="15945716" w14:textId="77777777" w:rsidR="00B65EDC" w:rsidRPr="00E675E8" w:rsidRDefault="00B65EDC" w:rsidP="00B65EDC">
      <w:pPr>
        <w:pStyle w:val="ListParagraph"/>
        <w:numPr>
          <w:ilvl w:val="0"/>
          <w:numId w:val="3"/>
        </w:numPr>
        <w:spacing w:after="40"/>
        <w:rPr>
          <w:lang w:val="es-ES_tradnl"/>
        </w:rPr>
      </w:pPr>
      <w:r w:rsidRPr="00E675E8">
        <w:rPr>
          <w:lang w:val="es-ES_tradnl"/>
        </w:rPr>
        <w:t xml:space="preserve">Desarrollo y mantenimiento de las </w:t>
      </w:r>
      <w:r w:rsidRPr="00E675E8">
        <w:rPr>
          <w:b/>
          <w:lang w:val="es-ES_tradnl"/>
        </w:rPr>
        <w:t>plataformas de cooperación de UPOV e-PVP</w:t>
      </w:r>
      <w:r w:rsidRPr="00E675E8">
        <w:rPr>
          <w:lang w:val="es-ES_tradnl"/>
        </w:rPr>
        <w:t>, cuando se soliciten por los miembros de la UPOV, para que se pueda cooperar en la administración y el examen de las solicitudes, siempre que se aporten los recursos extrapresupuestarios necesarios y tengan en cuenta las repercusiones en materia de recursos para la Oficina de la Unión.</w:t>
      </w:r>
    </w:p>
    <w:p w14:paraId="76DDAEFF" w14:textId="77777777" w:rsidR="00B65EDC" w:rsidRPr="00E675E8" w:rsidRDefault="00B65EDC" w:rsidP="003F289C">
      <w:pPr>
        <w:pStyle w:val="ListParagraph"/>
        <w:ind w:left="0"/>
        <w:rPr>
          <w:lang w:val="es-ES_tradnl"/>
        </w:rPr>
      </w:pPr>
    </w:p>
    <w:p w14:paraId="318F5BD5" w14:textId="0970908B"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También se prevé lo siguiente durante el bienio 2026-2027: al menos un miembro más de la UPOV hará que UPOV PRISMA sea obligatorio para los solicitantes; nuevos avances en la comunicación sistema a sistema; un mayor uso de UPOV PRISMA para la presentación de solicitudes de inscripción en la lista nacional, además de la presentación de solicitudes de derechos de obtentor; y un mayor uso de la funcionalidad de carga masiva.</w:t>
      </w:r>
    </w:p>
    <w:p w14:paraId="63C2C322" w14:textId="77777777" w:rsidR="00B65EDC" w:rsidRPr="00E675E8" w:rsidRDefault="00B65EDC" w:rsidP="00B65EDC">
      <w:pPr>
        <w:spacing w:after="40"/>
        <w:rPr>
          <w:lang w:val="es-ES_tradnl"/>
        </w:rPr>
      </w:pPr>
    </w:p>
    <w:p w14:paraId="41C4D781" w14:textId="17E3691A"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siguiente esquema muestra los componentes de UPOV e-PVP.</w:t>
      </w:r>
      <w:r w:rsidR="002817AB" w:rsidRPr="00E675E8">
        <w:rPr>
          <w:lang w:val="es-ES_tradnl"/>
        </w:rPr>
        <w:t xml:space="preserve"> </w:t>
      </w:r>
    </w:p>
    <w:p w14:paraId="378C35C6" w14:textId="77777777" w:rsidR="00B65EDC" w:rsidRPr="00E675E8" w:rsidRDefault="00B65EDC" w:rsidP="00B65EDC">
      <w:pPr>
        <w:tabs>
          <w:tab w:val="left" w:pos="851"/>
        </w:tabs>
        <w:rPr>
          <w:lang w:val="es-ES_tradnl"/>
        </w:rPr>
      </w:pPr>
    </w:p>
    <w:p w14:paraId="478FF62E" w14:textId="1D0B743D" w:rsidR="00B65EDC" w:rsidRPr="00E675E8" w:rsidRDefault="00383CE0" w:rsidP="003F289C">
      <w:pPr>
        <w:tabs>
          <w:tab w:val="left" w:pos="851"/>
        </w:tabs>
        <w:rPr>
          <w:b/>
          <w:color w:val="26724C" w:themeColor="accent1" w:themeShade="BF"/>
          <w:sz w:val="22"/>
          <w:lang w:val="es-ES_tradnl"/>
        </w:rPr>
      </w:pPr>
      <w:r w:rsidRPr="000231EE">
        <w:rPr>
          <w:b/>
          <w:bCs/>
          <w:noProof/>
          <w:sz w:val="22"/>
          <w:szCs w:val="22"/>
          <w:lang w:val="es-419"/>
        </w:rPr>
        <w:drawing>
          <wp:inline distT="0" distB="0" distL="0" distR="0" wp14:anchorId="5B770899" wp14:editId="179CBA48">
            <wp:extent cx="6120765" cy="3373120"/>
            <wp:effectExtent l="0" t="0" r="0" b="0"/>
            <wp:docPr id="14379451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45161" name="Imagen 1437945161"/>
                    <pic:cNvPicPr/>
                  </pic:nvPicPr>
                  <pic:blipFill>
                    <a:blip r:embed="rId17"/>
                    <a:stretch>
                      <a:fillRect/>
                    </a:stretch>
                  </pic:blipFill>
                  <pic:spPr>
                    <a:xfrm>
                      <a:off x="0" y="0"/>
                      <a:ext cx="6120765" cy="3373120"/>
                    </a:xfrm>
                    <a:prstGeom prst="rect">
                      <a:avLst/>
                    </a:prstGeom>
                  </pic:spPr>
                </pic:pic>
              </a:graphicData>
            </a:graphic>
          </wp:inline>
        </w:drawing>
      </w:r>
      <w:r w:rsidR="00B65EDC" w:rsidRPr="00E675E8">
        <w:rPr>
          <w:lang w:val="es-ES_tradnl"/>
        </w:rPr>
        <w:br w:type="page"/>
      </w:r>
    </w:p>
    <w:p w14:paraId="78E41EA5" w14:textId="77777777" w:rsidR="00B65EDC" w:rsidRPr="00E675E8" w:rsidRDefault="00B65EDC" w:rsidP="000363C4">
      <w:pPr>
        <w:pStyle w:val="Heading3"/>
        <w:rPr>
          <w:lang w:val="es-ES_tradnl"/>
        </w:rPr>
      </w:pPr>
      <w:bookmarkStart w:id="487" w:name="_Toc209777775"/>
      <w:r w:rsidRPr="00E675E8">
        <w:rPr>
          <w:lang w:val="es-ES_tradnl"/>
        </w:rPr>
        <w:lastRenderedPageBreak/>
        <w:t>Resultados previstos e indicadores de rendimiento</w:t>
      </w:r>
      <w:bookmarkEnd w:id="487"/>
    </w:p>
    <w:p w14:paraId="62789B46" w14:textId="77777777" w:rsidR="00B65EDC" w:rsidRPr="00E675E8" w:rsidRDefault="00B65EDC" w:rsidP="00B65EDC">
      <w:pPr>
        <w:rPr>
          <w:lang w:val="es-ES_tradn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0DF2339F" w14:textId="77777777" w:rsidTr="360764B0">
        <w:trPr>
          <w:tblHeader/>
        </w:trPr>
        <w:tc>
          <w:tcPr>
            <w:tcW w:w="426" w:type="dxa"/>
            <w:shd w:val="clear" w:color="auto" w:fill="E2E7EB" w:themeFill="accent3" w:themeFillTint="33"/>
          </w:tcPr>
          <w:p w14:paraId="47E9A5AB" w14:textId="77777777" w:rsidR="00B65EDC" w:rsidRPr="00E675E8" w:rsidRDefault="00B65EDC">
            <w:pPr>
              <w:jc w:val="left"/>
              <w:rPr>
                <w:b/>
                <w:bCs/>
                <w:sz w:val="16"/>
                <w:szCs w:val="16"/>
                <w:lang w:val="es-ES_tradnl"/>
              </w:rPr>
            </w:pPr>
            <w:bookmarkStart w:id="488" w:name="_Hlk207298218"/>
          </w:p>
        </w:tc>
        <w:tc>
          <w:tcPr>
            <w:tcW w:w="3255" w:type="dxa"/>
            <w:shd w:val="clear" w:color="auto" w:fill="E2E7EB" w:themeFill="accent3" w:themeFillTint="33"/>
          </w:tcPr>
          <w:p w14:paraId="698577C5"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shd w:val="clear" w:color="auto" w:fill="E2E7EB" w:themeFill="accent3" w:themeFillTint="33"/>
          </w:tcPr>
          <w:p w14:paraId="4050BAED" w14:textId="77777777" w:rsidR="00B65EDC" w:rsidRPr="00E675E8" w:rsidRDefault="00B65EDC">
            <w:pPr>
              <w:jc w:val="center"/>
              <w:rPr>
                <w:b/>
                <w:bCs/>
                <w:sz w:val="16"/>
                <w:szCs w:val="16"/>
                <w:lang w:val="es-ES_tradnl"/>
              </w:rPr>
            </w:pPr>
          </w:p>
        </w:tc>
        <w:tc>
          <w:tcPr>
            <w:tcW w:w="2457" w:type="dxa"/>
            <w:shd w:val="clear" w:color="auto" w:fill="E2E7EB" w:themeFill="accent3" w:themeFillTint="33"/>
          </w:tcPr>
          <w:p w14:paraId="741FE153"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shd w:val="clear" w:color="auto" w:fill="E2E7EB" w:themeFill="accent3" w:themeFillTint="33"/>
          </w:tcPr>
          <w:p w14:paraId="06141515"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shd w:val="clear" w:color="auto" w:fill="E2E7EB" w:themeFill="accent3" w:themeFillTint="33"/>
          </w:tcPr>
          <w:p w14:paraId="4B7977B5" w14:textId="77777777" w:rsidR="00B65EDC" w:rsidRPr="00E675E8" w:rsidRDefault="00B65EDC">
            <w:pPr>
              <w:jc w:val="center"/>
              <w:rPr>
                <w:b/>
                <w:bCs/>
                <w:sz w:val="16"/>
                <w:szCs w:val="16"/>
                <w:lang w:val="es-ES_tradnl"/>
              </w:rPr>
            </w:pPr>
            <w:r w:rsidRPr="00E675E8">
              <w:rPr>
                <w:b/>
                <w:sz w:val="16"/>
                <w:lang w:val="es-ES_tradnl"/>
              </w:rPr>
              <w:t>Objetivo (2026/27)</w:t>
            </w:r>
          </w:p>
        </w:tc>
      </w:tr>
      <w:bookmarkEnd w:id="488"/>
      <w:tr w:rsidR="00B65EDC" w:rsidRPr="00E675E8" w14:paraId="113D9DE1" w14:textId="77777777" w:rsidTr="00F05868">
        <w:tc>
          <w:tcPr>
            <w:tcW w:w="426" w:type="dxa"/>
          </w:tcPr>
          <w:p w14:paraId="1FB31E93" w14:textId="77777777" w:rsidR="00B65EDC" w:rsidRPr="00E675E8" w:rsidRDefault="00B65EDC">
            <w:pPr>
              <w:jc w:val="left"/>
              <w:rPr>
                <w:rFonts w:cs="Arial"/>
                <w:sz w:val="16"/>
                <w:szCs w:val="16"/>
                <w:lang w:val="es-ES_tradnl"/>
              </w:rPr>
            </w:pPr>
            <w:r w:rsidRPr="00E675E8">
              <w:rPr>
                <w:sz w:val="16"/>
                <w:lang w:val="es-ES_tradnl"/>
              </w:rPr>
              <w:t>3.1</w:t>
            </w:r>
          </w:p>
        </w:tc>
        <w:tc>
          <w:tcPr>
            <w:tcW w:w="3255" w:type="dxa"/>
          </w:tcPr>
          <w:p w14:paraId="35A8AFA4" w14:textId="77777777" w:rsidR="00B65EDC" w:rsidRPr="00E675E8" w:rsidRDefault="00B65EDC">
            <w:pPr>
              <w:jc w:val="left"/>
              <w:rPr>
                <w:rFonts w:cs="Arial"/>
                <w:sz w:val="16"/>
                <w:szCs w:val="16"/>
                <w:lang w:val="es-ES_tradnl"/>
              </w:rPr>
            </w:pPr>
            <w:r w:rsidRPr="00E675E8">
              <w:rPr>
                <w:sz w:val="16"/>
                <w:lang w:val="es-ES_tradnl"/>
              </w:rPr>
              <w:t>Desarrollo de los servicios del sistema UPOV e-PVP</w:t>
            </w:r>
          </w:p>
        </w:tc>
        <w:tc>
          <w:tcPr>
            <w:tcW w:w="305" w:type="dxa"/>
          </w:tcPr>
          <w:p w14:paraId="2366EFEF" w14:textId="77777777" w:rsidR="00B65EDC" w:rsidRPr="00E675E8" w:rsidRDefault="00B65EDC">
            <w:pPr>
              <w:jc w:val="left"/>
              <w:rPr>
                <w:rFonts w:cs="Arial"/>
                <w:sz w:val="16"/>
                <w:szCs w:val="16"/>
                <w:lang w:val="es-ES_tradnl"/>
              </w:rPr>
            </w:pPr>
            <w:r w:rsidRPr="00E675E8">
              <w:rPr>
                <w:sz w:val="16"/>
                <w:lang w:val="es-ES_tradnl"/>
              </w:rPr>
              <w:t>11</w:t>
            </w:r>
          </w:p>
        </w:tc>
        <w:tc>
          <w:tcPr>
            <w:tcW w:w="2457" w:type="dxa"/>
          </w:tcPr>
          <w:p w14:paraId="3F0F76FF" w14:textId="77777777" w:rsidR="00B65EDC" w:rsidRPr="00E675E8" w:rsidRDefault="00B65EDC">
            <w:pPr>
              <w:jc w:val="left"/>
              <w:rPr>
                <w:rFonts w:cs="Arial"/>
                <w:sz w:val="16"/>
                <w:szCs w:val="16"/>
                <w:lang w:val="es-ES_tradnl"/>
              </w:rPr>
            </w:pPr>
            <w:r w:rsidRPr="00E675E8">
              <w:rPr>
                <w:sz w:val="16"/>
                <w:lang w:val="es-ES_tradnl"/>
              </w:rPr>
              <w:t>Porcentaje de solicitudes de protección de miembros de la UPOV incluidas en la base de datos PLUTO en 1 año</w:t>
            </w:r>
          </w:p>
        </w:tc>
        <w:tc>
          <w:tcPr>
            <w:tcW w:w="1632" w:type="dxa"/>
            <w:vAlign w:val="center"/>
          </w:tcPr>
          <w:p w14:paraId="4F54DFF0" w14:textId="66ED6DF0" w:rsidR="002E0EFA" w:rsidRPr="00E675E8" w:rsidRDefault="002E0EFA">
            <w:pPr>
              <w:jc w:val="center"/>
              <w:rPr>
                <w:rFonts w:cs="Arial"/>
                <w:sz w:val="16"/>
                <w:szCs w:val="16"/>
                <w:lang w:val="es-ES_tradnl"/>
              </w:rPr>
            </w:pPr>
            <w:r w:rsidRPr="00E675E8">
              <w:rPr>
                <w:sz w:val="16"/>
                <w:lang w:val="es-ES_tradnl"/>
              </w:rPr>
              <w:t>40 % (2024)</w:t>
            </w:r>
          </w:p>
        </w:tc>
        <w:tc>
          <w:tcPr>
            <w:tcW w:w="1559" w:type="dxa"/>
            <w:vAlign w:val="center"/>
          </w:tcPr>
          <w:p w14:paraId="23EAC6A4" w14:textId="00866C49" w:rsidR="00014B08" w:rsidRPr="00E675E8" w:rsidRDefault="00014B08">
            <w:pPr>
              <w:jc w:val="center"/>
              <w:rPr>
                <w:rFonts w:cs="Arial"/>
                <w:sz w:val="16"/>
                <w:szCs w:val="16"/>
                <w:lang w:val="es-ES_tradnl"/>
              </w:rPr>
            </w:pPr>
            <w:r w:rsidRPr="00E675E8">
              <w:rPr>
                <w:sz w:val="16"/>
                <w:lang w:val="es-ES_tradnl"/>
              </w:rPr>
              <w:t>50 % (2026)</w:t>
            </w:r>
          </w:p>
          <w:p w14:paraId="061FE916" w14:textId="5A6D29CE" w:rsidR="00B65EDC" w:rsidRPr="00E675E8" w:rsidRDefault="00014B08">
            <w:pPr>
              <w:jc w:val="center"/>
              <w:rPr>
                <w:rFonts w:cs="Arial"/>
                <w:sz w:val="16"/>
                <w:szCs w:val="16"/>
                <w:lang w:val="es-ES_tradnl"/>
              </w:rPr>
            </w:pPr>
            <w:r w:rsidRPr="00E675E8">
              <w:rPr>
                <w:sz w:val="16"/>
                <w:lang w:val="es-ES_tradnl"/>
              </w:rPr>
              <w:t xml:space="preserve">60 % (2027) </w:t>
            </w:r>
          </w:p>
        </w:tc>
      </w:tr>
      <w:tr w:rsidR="00B65EDC" w:rsidRPr="00E675E8" w14:paraId="705C4217" w14:textId="77777777" w:rsidTr="00F73621">
        <w:tc>
          <w:tcPr>
            <w:tcW w:w="426" w:type="dxa"/>
          </w:tcPr>
          <w:p w14:paraId="03DE6CA6" w14:textId="77777777" w:rsidR="00B65EDC" w:rsidRPr="00E675E8" w:rsidRDefault="00B65EDC">
            <w:pPr>
              <w:jc w:val="left"/>
              <w:rPr>
                <w:rFonts w:cs="Arial"/>
                <w:sz w:val="16"/>
                <w:szCs w:val="16"/>
                <w:lang w:val="es-ES_tradnl"/>
              </w:rPr>
            </w:pPr>
          </w:p>
        </w:tc>
        <w:tc>
          <w:tcPr>
            <w:tcW w:w="3255" w:type="dxa"/>
          </w:tcPr>
          <w:p w14:paraId="06FAE0B8"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618BA019" w14:textId="77777777" w:rsidR="00B65EDC" w:rsidRPr="00E675E8" w:rsidRDefault="00B65EDC">
            <w:pPr>
              <w:jc w:val="left"/>
              <w:rPr>
                <w:rFonts w:cs="Arial"/>
                <w:sz w:val="16"/>
                <w:szCs w:val="16"/>
                <w:lang w:val="es-ES_tradnl"/>
              </w:rPr>
            </w:pPr>
            <w:r w:rsidRPr="00E675E8">
              <w:rPr>
                <w:sz w:val="16"/>
                <w:lang w:val="es-ES_tradnl"/>
              </w:rPr>
              <w:t>12</w:t>
            </w:r>
          </w:p>
        </w:tc>
        <w:tc>
          <w:tcPr>
            <w:tcW w:w="2457" w:type="dxa"/>
          </w:tcPr>
          <w:p w14:paraId="4489D432" w14:textId="77777777" w:rsidR="00B65EDC" w:rsidRPr="00E675E8" w:rsidRDefault="00B65EDC">
            <w:pPr>
              <w:jc w:val="left"/>
              <w:rPr>
                <w:rFonts w:cs="Arial"/>
                <w:sz w:val="16"/>
                <w:szCs w:val="16"/>
                <w:lang w:val="es-ES_tradnl"/>
              </w:rPr>
            </w:pPr>
            <w:r w:rsidRPr="00E675E8">
              <w:rPr>
                <w:sz w:val="16"/>
                <w:lang w:val="es-ES_tradnl"/>
              </w:rPr>
              <w:t>Número de usuarios de PLUTO</w:t>
            </w:r>
          </w:p>
        </w:tc>
        <w:tc>
          <w:tcPr>
            <w:tcW w:w="1632" w:type="dxa"/>
            <w:vAlign w:val="center"/>
          </w:tcPr>
          <w:p w14:paraId="769E5854" w14:textId="7103619B" w:rsidR="00B65EDC" w:rsidRPr="00E675E8" w:rsidRDefault="002E0EFA">
            <w:pPr>
              <w:jc w:val="center"/>
              <w:rPr>
                <w:rFonts w:cs="Arial"/>
                <w:sz w:val="16"/>
                <w:szCs w:val="16"/>
                <w:lang w:val="es-ES_tradnl"/>
              </w:rPr>
            </w:pPr>
            <w:r w:rsidRPr="00E675E8">
              <w:rPr>
                <w:sz w:val="16"/>
                <w:lang w:val="es-ES_tradnl"/>
              </w:rPr>
              <w:t>5 500 (2024)</w:t>
            </w:r>
          </w:p>
        </w:tc>
        <w:tc>
          <w:tcPr>
            <w:tcW w:w="1559" w:type="dxa"/>
            <w:vAlign w:val="center"/>
          </w:tcPr>
          <w:p w14:paraId="6A434D7D" w14:textId="0A28C574" w:rsidR="00D03886" w:rsidRPr="00E675E8" w:rsidRDefault="00C8561D">
            <w:pPr>
              <w:jc w:val="center"/>
              <w:rPr>
                <w:rFonts w:cs="Arial"/>
                <w:sz w:val="16"/>
                <w:szCs w:val="16"/>
                <w:lang w:val="es-ES_tradnl"/>
              </w:rPr>
            </w:pPr>
            <w:r w:rsidRPr="00E675E8">
              <w:rPr>
                <w:sz w:val="16"/>
                <w:lang w:val="es-ES_tradnl"/>
              </w:rPr>
              <w:t>7 200 (2026)</w:t>
            </w:r>
          </w:p>
          <w:p w14:paraId="33AF8A60" w14:textId="0843B2CE" w:rsidR="00B65EDC" w:rsidRPr="00E675E8" w:rsidRDefault="002131F4">
            <w:pPr>
              <w:jc w:val="center"/>
              <w:rPr>
                <w:rFonts w:cs="Arial"/>
                <w:sz w:val="16"/>
                <w:szCs w:val="16"/>
                <w:lang w:val="es-ES_tradnl"/>
              </w:rPr>
            </w:pPr>
            <w:r w:rsidRPr="00E675E8">
              <w:rPr>
                <w:sz w:val="16"/>
                <w:lang w:val="es-ES_tradnl"/>
              </w:rPr>
              <w:t>8 500 (2027)</w:t>
            </w:r>
          </w:p>
        </w:tc>
      </w:tr>
      <w:tr w:rsidR="00B65EDC" w:rsidRPr="00E675E8" w14:paraId="30BC4CF6" w14:textId="77777777" w:rsidTr="00F05868">
        <w:tc>
          <w:tcPr>
            <w:tcW w:w="426" w:type="dxa"/>
          </w:tcPr>
          <w:p w14:paraId="1E60558F" w14:textId="77777777" w:rsidR="00B65EDC" w:rsidRPr="00E675E8" w:rsidRDefault="00B65EDC">
            <w:pPr>
              <w:jc w:val="left"/>
              <w:rPr>
                <w:rFonts w:cs="Arial"/>
                <w:sz w:val="16"/>
                <w:szCs w:val="16"/>
                <w:lang w:val="es-ES_tradnl"/>
              </w:rPr>
            </w:pPr>
          </w:p>
        </w:tc>
        <w:tc>
          <w:tcPr>
            <w:tcW w:w="3255" w:type="dxa"/>
          </w:tcPr>
          <w:p w14:paraId="70BF0352"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6AEF5FB7" w14:textId="77777777" w:rsidR="00B65EDC" w:rsidRPr="00E675E8" w:rsidRDefault="00B65EDC">
            <w:pPr>
              <w:jc w:val="left"/>
              <w:rPr>
                <w:rFonts w:cs="Arial"/>
                <w:sz w:val="16"/>
                <w:szCs w:val="16"/>
                <w:lang w:val="es-ES_tradnl"/>
              </w:rPr>
            </w:pPr>
            <w:r w:rsidRPr="00E675E8">
              <w:rPr>
                <w:sz w:val="16"/>
                <w:lang w:val="es-ES_tradnl"/>
              </w:rPr>
              <w:t>13</w:t>
            </w:r>
          </w:p>
        </w:tc>
        <w:tc>
          <w:tcPr>
            <w:tcW w:w="2457" w:type="dxa"/>
          </w:tcPr>
          <w:p w14:paraId="7C37E44A" w14:textId="77777777" w:rsidR="00B65EDC" w:rsidRPr="00E675E8" w:rsidRDefault="00B65EDC">
            <w:pPr>
              <w:jc w:val="left"/>
              <w:rPr>
                <w:rFonts w:cs="Arial"/>
                <w:sz w:val="16"/>
                <w:szCs w:val="16"/>
                <w:lang w:val="es-ES_tradnl"/>
              </w:rPr>
            </w:pPr>
            <w:r w:rsidRPr="00E675E8">
              <w:rPr>
                <w:sz w:val="16"/>
                <w:lang w:val="es-ES_tradnl"/>
              </w:rPr>
              <w:t>Número de solicitudes que generan tasas presentadas en UPOV PRISMA</w:t>
            </w:r>
          </w:p>
        </w:tc>
        <w:tc>
          <w:tcPr>
            <w:tcW w:w="1632" w:type="dxa"/>
            <w:vAlign w:val="center"/>
          </w:tcPr>
          <w:p w14:paraId="073DF1FB" w14:textId="57B896F5" w:rsidR="00B65EDC" w:rsidRPr="00E675E8" w:rsidRDefault="001B2385">
            <w:pPr>
              <w:jc w:val="center"/>
              <w:rPr>
                <w:rFonts w:cs="Arial"/>
                <w:sz w:val="16"/>
                <w:szCs w:val="16"/>
                <w:lang w:val="es-ES_tradnl"/>
              </w:rPr>
            </w:pPr>
            <w:r w:rsidRPr="00E675E8">
              <w:rPr>
                <w:sz w:val="16"/>
                <w:lang w:val="es-ES_tradnl"/>
              </w:rPr>
              <w:t>1 491 (2024)</w:t>
            </w:r>
          </w:p>
        </w:tc>
        <w:tc>
          <w:tcPr>
            <w:tcW w:w="1559" w:type="dxa"/>
            <w:vAlign w:val="center"/>
          </w:tcPr>
          <w:p w14:paraId="6B3E5411" w14:textId="1FC849E7" w:rsidR="0050707B" w:rsidRPr="00E675E8" w:rsidRDefault="2C07D160">
            <w:pPr>
              <w:jc w:val="center"/>
              <w:rPr>
                <w:rFonts w:cs="Arial"/>
                <w:sz w:val="16"/>
                <w:szCs w:val="16"/>
                <w:lang w:val="es-ES_tradnl"/>
              </w:rPr>
            </w:pPr>
            <w:r w:rsidRPr="00E675E8">
              <w:rPr>
                <w:rFonts w:asciiTheme="majorHAnsi" w:hAnsiTheme="majorHAnsi"/>
                <w:sz w:val="16"/>
                <w:lang w:val="es-ES_tradnl"/>
              </w:rPr>
              <w:t xml:space="preserve">1 648 </w:t>
            </w:r>
            <w:r w:rsidRPr="00E675E8">
              <w:rPr>
                <w:sz w:val="16"/>
                <w:lang w:val="es-ES_tradnl"/>
              </w:rPr>
              <w:t>(2026)</w:t>
            </w:r>
          </w:p>
          <w:p w14:paraId="6E78F0D7" w14:textId="5A13CFF5" w:rsidR="00B65EDC" w:rsidRPr="00E675E8" w:rsidRDefault="00543870" w:rsidP="009E1454">
            <w:pPr>
              <w:jc w:val="center"/>
              <w:rPr>
                <w:rFonts w:asciiTheme="majorHAnsi" w:hAnsiTheme="majorHAnsi" w:cstheme="majorHAnsi"/>
                <w:sz w:val="16"/>
                <w:szCs w:val="16"/>
                <w:lang w:val="es-ES_tradnl"/>
              </w:rPr>
            </w:pPr>
            <w:r w:rsidRPr="00E675E8">
              <w:rPr>
                <w:rFonts w:asciiTheme="majorHAnsi" w:hAnsiTheme="majorHAnsi"/>
                <w:sz w:val="16"/>
                <w:lang w:val="es-ES_tradnl"/>
              </w:rPr>
              <w:t>1 730 (2027)</w:t>
            </w:r>
          </w:p>
        </w:tc>
      </w:tr>
      <w:tr w:rsidR="00B65EDC" w:rsidRPr="00E675E8" w14:paraId="3CE51043" w14:textId="77777777" w:rsidTr="360764B0">
        <w:tc>
          <w:tcPr>
            <w:tcW w:w="426" w:type="dxa"/>
          </w:tcPr>
          <w:p w14:paraId="42E13FBA" w14:textId="77777777" w:rsidR="00B65EDC" w:rsidRPr="00E675E8" w:rsidRDefault="00B65EDC">
            <w:pPr>
              <w:jc w:val="left"/>
              <w:rPr>
                <w:rFonts w:cs="Arial"/>
                <w:sz w:val="16"/>
                <w:szCs w:val="16"/>
                <w:lang w:val="es-ES_tradnl"/>
              </w:rPr>
            </w:pPr>
            <w:bookmarkStart w:id="489" w:name="_Hlk207298201"/>
          </w:p>
        </w:tc>
        <w:tc>
          <w:tcPr>
            <w:tcW w:w="3255" w:type="dxa"/>
          </w:tcPr>
          <w:p w14:paraId="56568B8D" w14:textId="77777777" w:rsidR="00B65EDC" w:rsidRPr="00E675E8" w:rsidRDefault="00B65EDC">
            <w:pPr>
              <w:jc w:val="left"/>
              <w:rPr>
                <w:rFonts w:cs="Arial"/>
                <w:sz w:val="16"/>
                <w:szCs w:val="16"/>
                <w:lang w:val="es-ES_tradnl"/>
              </w:rPr>
            </w:pPr>
            <w:r w:rsidRPr="00E675E8">
              <w:rPr>
                <w:sz w:val="16"/>
                <w:lang w:val="es-ES_tradnl"/>
              </w:rPr>
              <w:t> </w:t>
            </w:r>
          </w:p>
        </w:tc>
        <w:tc>
          <w:tcPr>
            <w:tcW w:w="305" w:type="dxa"/>
          </w:tcPr>
          <w:p w14:paraId="513476EA" w14:textId="77777777" w:rsidR="00B65EDC" w:rsidRPr="00E675E8" w:rsidRDefault="00B65EDC">
            <w:pPr>
              <w:jc w:val="left"/>
              <w:rPr>
                <w:rFonts w:cs="Arial"/>
                <w:sz w:val="16"/>
                <w:szCs w:val="16"/>
                <w:lang w:val="es-ES_tradnl"/>
              </w:rPr>
            </w:pPr>
            <w:r w:rsidRPr="00E675E8">
              <w:rPr>
                <w:sz w:val="16"/>
                <w:lang w:val="es-ES_tradnl"/>
              </w:rPr>
              <w:t>14</w:t>
            </w:r>
          </w:p>
        </w:tc>
        <w:tc>
          <w:tcPr>
            <w:tcW w:w="2457" w:type="dxa"/>
          </w:tcPr>
          <w:p w14:paraId="64C2CEEA" w14:textId="77777777" w:rsidR="00B65EDC" w:rsidRPr="00E675E8" w:rsidRDefault="00B65EDC">
            <w:pPr>
              <w:jc w:val="left"/>
              <w:rPr>
                <w:rFonts w:cs="Arial"/>
                <w:sz w:val="16"/>
                <w:szCs w:val="16"/>
                <w:lang w:val="es-ES_tradnl"/>
              </w:rPr>
            </w:pPr>
            <w:r w:rsidRPr="00E675E8">
              <w:rPr>
                <w:sz w:val="16"/>
                <w:lang w:val="es-ES_tradnl"/>
              </w:rPr>
              <w:t>Número de miembros que usan el módulo de administración de UPOV e-PVP para gestionar y publicar las solicitudes de protección</w:t>
            </w:r>
          </w:p>
        </w:tc>
        <w:tc>
          <w:tcPr>
            <w:tcW w:w="1632" w:type="dxa"/>
            <w:vAlign w:val="center"/>
          </w:tcPr>
          <w:p w14:paraId="2088D408" w14:textId="77777777" w:rsidR="00B65EDC" w:rsidRPr="00E675E8" w:rsidRDefault="00B65EDC">
            <w:pPr>
              <w:jc w:val="center"/>
              <w:rPr>
                <w:rFonts w:cs="Arial"/>
                <w:sz w:val="16"/>
                <w:szCs w:val="16"/>
                <w:lang w:val="es-ES_tradnl"/>
              </w:rPr>
            </w:pPr>
            <w:r w:rsidRPr="00E675E8">
              <w:rPr>
                <w:sz w:val="16"/>
                <w:lang w:val="es-ES_tradnl"/>
              </w:rPr>
              <w:t>1 (2024)</w:t>
            </w:r>
          </w:p>
        </w:tc>
        <w:tc>
          <w:tcPr>
            <w:tcW w:w="1559" w:type="dxa"/>
            <w:vAlign w:val="center"/>
          </w:tcPr>
          <w:p w14:paraId="53EF3F3D" w14:textId="2E35021F" w:rsidR="00B65EDC" w:rsidRPr="00E675E8" w:rsidRDefault="37278B5F" w:rsidP="653ADAA8">
            <w:pPr>
              <w:jc w:val="center"/>
              <w:rPr>
                <w:rFonts w:cs="Arial"/>
                <w:sz w:val="16"/>
                <w:szCs w:val="16"/>
                <w:lang w:val="es-ES_tradnl"/>
              </w:rPr>
            </w:pPr>
            <w:r w:rsidRPr="00E675E8">
              <w:rPr>
                <w:sz w:val="16"/>
                <w:lang w:val="es-ES_tradnl"/>
              </w:rPr>
              <w:t xml:space="preserve">5 (2026) </w:t>
            </w:r>
          </w:p>
          <w:p w14:paraId="3C3AF566" w14:textId="5A06CABE" w:rsidR="00B65EDC" w:rsidRPr="00E675E8" w:rsidRDefault="2EC94AB3">
            <w:pPr>
              <w:jc w:val="center"/>
              <w:rPr>
                <w:rFonts w:cs="Arial"/>
                <w:sz w:val="16"/>
                <w:szCs w:val="16"/>
                <w:lang w:val="es-ES_tradnl"/>
              </w:rPr>
            </w:pPr>
            <w:r w:rsidRPr="00E675E8">
              <w:rPr>
                <w:sz w:val="16"/>
                <w:lang w:val="es-ES_tradnl"/>
              </w:rPr>
              <w:t>6 (2027)</w:t>
            </w:r>
          </w:p>
        </w:tc>
      </w:tr>
      <w:tr w:rsidR="00B65EDC" w:rsidRPr="00E675E8" w14:paraId="5A45B0B0" w14:textId="77777777" w:rsidTr="360764B0">
        <w:tc>
          <w:tcPr>
            <w:tcW w:w="426" w:type="dxa"/>
            <w:tcBorders>
              <w:bottom w:val="single" w:sz="4" w:space="0" w:color="D9D9D9" w:themeColor="background1" w:themeShade="D9"/>
            </w:tcBorders>
          </w:tcPr>
          <w:p w14:paraId="3AADBBBF" w14:textId="77777777" w:rsidR="00B65EDC" w:rsidRPr="00E675E8" w:rsidRDefault="00B65EDC">
            <w:pPr>
              <w:jc w:val="left"/>
              <w:rPr>
                <w:rFonts w:cs="Arial"/>
                <w:sz w:val="16"/>
                <w:szCs w:val="16"/>
                <w:lang w:val="es-ES_tradnl"/>
              </w:rPr>
            </w:pPr>
          </w:p>
        </w:tc>
        <w:tc>
          <w:tcPr>
            <w:tcW w:w="3255" w:type="dxa"/>
            <w:tcBorders>
              <w:bottom w:val="single" w:sz="4" w:space="0" w:color="D9D9D9" w:themeColor="background1" w:themeShade="D9"/>
            </w:tcBorders>
          </w:tcPr>
          <w:p w14:paraId="36086D52" w14:textId="77777777" w:rsidR="00B65EDC" w:rsidRPr="00E675E8" w:rsidRDefault="00B65EDC">
            <w:pPr>
              <w:jc w:val="left"/>
              <w:rPr>
                <w:rFonts w:cs="Arial"/>
                <w:sz w:val="16"/>
                <w:szCs w:val="16"/>
                <w:lang w:val="es-ES_tradnl"/>
              </w:rPr>
            </w:pPr>
          </w:p>
        </w:tc>
        <w:tc>
          <w:tcPr>
            <w:tcW w:w="305" w:type="dxa"/>
            <w:tcBorders>
              <w:bottom w:val="single" w:sz="4" w:space="0" w:color="D9D9D9" w:themeColor="background1" w:themeShade="D9"/>
            </w:tcBorders>
          </w:tcPr>
          <w:p w14:paraId="7C56C1F2" w14:textId="77777777" w:rsidR="00B65EDC" w:rsidRPr="00E675E8" w:rsidRDefault="00B65EDC">
            <w:pPr>
              <w:jc w:val="left"/>
              <w:rPr>
                <w:rFonts w:cs="Arial"/>
                <w:sz w:val="16"/>
                <w:szCs w:val="16"/>
                <w:lang w:val="es-ES_tradnl"/>
              </w:rPr>
            </w:pPr>
            <w:r w:rsidRPr="00E675E8">
              <w:rPr>
                <w:sz w:val="16"/>
                <w:lang w:val="es-ES_tradnl"/>
              </w:rPr>
              <w:t>15</w:t>
            </w:r>
          </w:p>
        </w:tc>
        <w:tc>
          <w:tcPr>
            <w:tcW w:w="2457" w:type="dxa"/>
            <w:tcBorders>
              <w:bottom w:val="single" w:sz="4" w:space="0" w:color="D9D9D9" w:themeColor="background1" w:themeShade="D9"/>
            </w:tcBorders>
          </w:tcPr>
          <w:p w14:paraId="75D7E298" w14:textId="633AFBF5" w:rsidR="00B65EDC" w:rsidRPr="00E675E8" w:rsidRDefault="00B65EDC">
            <w:pPr>
              <w:jc w:val="left"/>
              <w:rPr>
                <w:rFonts w:cs="Arial"/>
                <w:sz w:val="16"/>
                <w:szCs w:val="16"/>
                <w:lang w:val="es-ES_tradnl"/>
              </w:rPr>
            </w:pPr>
            <w:r w:rsidRPr="00E675E8">
              <w:rPr>
                <w:sz w:val="16"/>
                <w:lang w:val="es-ES_tradnl"/>
              </w:rPr>
              <w:t>Número de miembros de la UPOV que utilizan el módulo de intercambio para gestionar el intercambio de informes</w:t>
            </w:r>
          </w:p>
        </w:tc>
        <w:tc>
          <w:tcPr>
            <w:tcW w:w="1632" w:type="dxa"/>
            <w:tcBorders>
              <w:bottom w:val="single" w:sz="4" w:space="0" w:color="D9D9D9" w:themeColor="background1" w:themeShade="D9"/>
            </w:tcBorders>
            <w:vAlign w:val="center"/>
          </w:tcPr>
          <w:p w14:paraId="761CD102" w14:textId="77777777" w:rsidR="00B65EDC" w:rsidRPr="00E675E8" w:rsidRDefault="00B65EDC">
            <w:pPr>
              <w:jc w:val="center"/>
              <w:rPr>
                <w:rFonts w:cs="Arial"/>
                <w:sz w:val="16"/>
                <w:szCs w:val="16"/>
                <w:lang w:val="es-ES_tradnl"/>
              </w:rPr>
            </w:pPr>
            <w:r w:rsidRPr="00E675E8">
              <w:rPr>
                <w:sz w:val="16"/>
                <w:lang w:val="es-ES_tradnl"/>
              </w:rPr>
              <w:t>2 (2024)</w:t>
            </w:r>
          </w:p>
        </w:tc>
        <w:tc>
          <w:tcPr>
            <w:tcW w:w="1559" w:type="dxa"/>
            <w:tcBorders>
              <w:bottom w:val="single" w:sz="4" w:space="0" w:color="D9D9D9" w:themeColor="background1" w:themeShade="D9"/>
            </w:tcBorders>
            <w:vAlign w:val="center"/>
          </w:tcPr>
          <w:p w14:paraId="76E3BC6C" w14:textId="11940E7D" w:rsidR="00B65EDC" w:rsidRPr="00E675E8" w:rsidDel="000345DE" w:rsidRDefault="59DEE1C8" w:rsidP="653ADAA8">
            <w:pPr>
              <w:jc w:val="center"/>
              <w:rPr>
                <w:rFonts w:cs="Arial"/>
                <w:sz w:val="16"/>
                <w:szCs w:val="16"/>
                <w:lang w:val="es-ES_tradnl"/>
              </w:rPr>
            </w:pPr>
            <w:r w:rsidRPr="00E675E8">
              <w:rPr>
                <w:sz w:val="16"/>
                <w:lang w:val="es-ES_tradnl"/>
              </w:rPr>
              <w:t>16 (2026)</w:t>
            </w:r>
          </w:p>
          <w:p w14:paraId="4A8B3A3A" w14:textId="4C9A4752" w:rsidR="00B65EDC" w:rsidRPr="00E675E8" w:rsidDel="000345DE" w:rsidRDefault="59DEE1C8">
            <w:pPr>
              <w:jc w:val="center"/>
              <w:rPr>
                <w:rFonts w:cs="Arial"/>
                <w:sz w:val="16"/>
                <w:szCs w:val="16"/>
                <w:lang w:val="es-ES_tradnl"/>
              </w:rPr>
            </w:pPr>
            <w:r w:rsidRPr="00E675E8">
              <w:rPr>
                <w:sz w:val="16"/>
                <w:lang w:val="es-ES_tradnl"/>
              </w:rPr>
              <w:t>18 (2027)</w:t>
            </w:r>
          </w:p>
        </w:tc>
      </w:tr>
      <w:bookmarkEnd w:id="489"/>
    </w:tbl>
    <w:p w14:paraId="3E98462D" w14:textId="77777777" w:rsidR="00B65EDC" w:rsidRPr="00E675E8" w:rsidRDefault="00B65EDC" w:rsidP="00B65EDC">
      <w:pPr>
        <w:rPr>
          <w:lang w:val="es-ES_tradnl"/>
        </w:rPr>
      </w:pPr>
    </w:p>
    <w:p w14:paraId="72C8F7F3" w14:textId="77777777" w:rsidR="00B65EDC" w:rsidRPr="00E675E8" w:rsidRDefault="00B65EDC" w:rsidP="00B65EDC">
      <w:pPr>
        <w:rPr>
          <w:lang w:val="es-ES_tradnl"/>
        </w:rPr>
      </w:pPr>
      <w:bookmarkStart w:id="490" w:name="_Hlk188213642"/>
    </w:p>
    <w:p w14:paraId="22DD09AF" w14:textId="77777777" w:rsidR="00B65EDC" w:rsidRPr="00E675E8" w:rsidRDefault="00B65EDC" w:rsidP="00B65EDC">
      <w:pPr>
        <w:rPr>
          <w:lang w:val="es-ES_tradnl"/>
        </w:rPr>
      </w:pPr>
    </w:p>
    <w:p w14:paraId="14C94157" w14:textId="67AB2C6F" w:rsidR="00B65EDC" w:rsidRPr="00E675E8" w:rsidRDefault="00B65EDC" w:rsidP="004448C7">
      <w:pPr>
        <w:pStyle w:val="Heading2"/>
        <w:rPr>
          <w:lang w:val="es-ES_tradnl"/>
        </w:rPr>
      </w:pPr>
      <w:bookmarkStart w:id="491" w:name="_Toc117798901"/>
      <w:bookmarkStart w:id="492" w:name="_Toc107239606"/>
      <w:bookmarkStart w:id="493" w:name="_Toc107239356"/>
      <w:bookmarkStart w:id="494" w:name="_Toc209777776"/>
      <w:bookmarkEnd w:id="490"/>
      <w:r w:rsidRPr="00E675E8">
        <w:rPr>
          <w:lang w:val="es-ES_tradnl"/>
        </w:rPr>
        <w:t>Fundamento:</w:t>
      </w:r>
      <w:r w:rsidR="002817AB" w:rsidRPr="00E675E8">
        <w:rPr>
          <w:lang w:val="es-ES_tradnl"/>
        </w:rPr>
        <w:t xml:space="preserve"> </w:t>
      </w:r>
      <w:r w:rsidRPr="00E675E8">
        <w:rPr>
          <w:lang w:val="es-ES_tradnl"/>
        </w:rPr>
        <w:t>Velar por que nuestro personal tenga los medios de trabajar de forma eficaz, colaborativa e innovadora, y proporcionarle con ese fin los recursos, la formación y un entorno adecuados</w:t>
      </w:r>
      <w:bookmarkEnd w:id="491"/>
      <w:bookmarkEnd w:id="492"/>
      <w:bookmarkEnd w:id="493"/>
      <w:bookmarkEnd w:id="494"/>
    </w:p>
    <w:p w14:paraId="07DC5404" w14:textId="77777777" w:rsidR="00B65EDC" w:rsidRPr="00E675E8" w:rsidRDefault="00B65EDC" w:rsidP="00B65EDC">
      <w:pPr>
        <w:keepNext/>
        <w:rPr>
          <w:b/>
          <w:bCs/>
          <w:sz w:val="22"/>
          <w:szCs w:val="22"/>
          <w:lang w:val="es-ES_tradnl"/>
        </w:rPr>
      </w:pPr>
    </w:p>
    <w:p w14:paraId="2A8FD3C7" w14:textId="77777777" w:rsidR="00B65EDC" w:rsidRPr="00E675E8" w:rsidRDefault="00B65EDC" w:rsidP="000363C4">
      <w:pPr>
        <w:pStyle w:val="Heading3"/>
        <w:rPr>
          <w:sz w:val="20"/>
          <w:lang w:val="es-ES_tradnl"/>
        </w:rPr>
      </w:pPr>
      <w:bookmarkStart w:id="495" w:name="_Toc209777777"/>
      <w:r w:rsidRPr="00E675E8">
        <w:rPr>
          <w:lang w:val="es-ES_tradnl"/>
        </w:rPr>
        <w:t>Estrategia para lograr los resultados previstos</w:t>
      </w:r>
      <w:bookmarkEnd w:id="495"/>
    </w:p>
    <w:p w14:paraId="6ABC4737" w14:textId="77777777" w:rsidR="00B65EDC" w:rsidRPr="00E675E8" w:rsidRDefault="00B65EDC" w:rsidP="00B65EDC">
      <w:pPr>
        <w:pStyle w:val="Default"/>
        <w:keepNext/>
        <w:rPr>
          <w:b/>
          <w:bCs/>
          <w:sz w:val="22"/>
          <w:szCs w:val="22"/>
          <w:lang w:val="es-ES_tradnl"/>
        </w:rPr>
      </w:pPr>
    </w:p>
    <w:p w14:paraId="54050596" w14:textId="02B87547" w:rsidR="00B65EDC" w:rsidRPr="00E675E8" w:rsidRDefault="00B65EDC" w:rsidP="00B65EDC">
      <w:pPr>
        <w:pStyle w:val="Default"/>
        <w:jc w:val="both"/>
        <w:rPr>
          <w:bCs/>
          <w:sz w:val="20"/>
          <w:szCs w:val="20"/>
          <w:lang w:val="es-ES_tradnl"/>
        </w:rPr>
      </w:pPr>
      <w:r w:rsidRPr="00E675E8">
        <w:rPr>
          <w:sz w:val="20"/>
          <w:lang w:val="es-ES_tradnl"/>
        </w:rPr>
        <w:fldChar w:fldCharType="begin"/>
      </w:r>
      <w:r w:rsidRPr="00E675E8">
        <w:rPr>
          <w:sz w:val="20"/>
          <w:lang w:val="es-ES_tradnl"/>
        </w:rPr>
        <w:instrText xml:space="preserve"> AUTONUM  </w:instrText>
      </w:r>
      <w:r w:rsidRPr="00E675E8">
        <w:rPr>
          <w:sz w:val="20"/>
          <w:lang w:val="es-ES_tradnl"/>
        </w:rPr>
        <w:fldChar w:fldCharType="end"/>
      </w:r>
      <w:r w:rsidRPr="00E675E8">
        <w:rPr>
          <w:sz w:val="20"/>
          <w:lang w:val="es-ES_tradnl"/>
        </w:rPr>
        <w:tab/>
        <w:t>La transición a la "nueva normalidad" posterior a la COVID-19 ha supuesto la introducción del teletrabajo regular a tiempo parcial hasta un máximo de dos días por semana.</w:t>
      </w:r>
      <w:r w:rsidR="002817AB" w:rsidRPr="00E675E8">
        <w:rPr>
          <w:sz w:val="20"/>
          <w:lang w:val="es-ES_tradnl"/>
        </w:rPr>
        <w:t xml:space="preserve"> </w:t>
      </w:r>
      <w:r w:rsidRPr="00E675E8">
        <w:rPr>
          <w:sz w:val="20"/>
          <w:lang w:val="es-ES_tradnl"/>
        </w:rPr>
        <w:t>La UPOV ha recurrido, y seguirá haciéndolo, al trabajo totalmente a distancia para determinados contratistas cuando resulte apropiado y, en particular, cuando ofrezca nuevas oportunidades de contratar a personal de alta calidad con los recursos disponibles.</w:t>
      </w:r>
      <w:r w:rsidR="002817AB" w:rsidRPr="00E675E8">
        <w:rPr>
          <w:sz w:val="20"/>
          <w:lang w:val="es-ES_tradnl"/>
        </w:rPr>
        <w:t xml:space="preserve"> </w:t>
      </w:r>
    </w:p>
    <w:p w14:paraId="5FB427F4" w14:textId="77777777" w:rsidR="00B65EDC" w:rsidRPr="00E675E8" w:rsidRDefault="00B65EDC" w:rsidP="00B65EDC">
      <w:pPr>
        <w:pStyle w:val="Default"/>
        <w:jc w:val="both"/>
        <w:rPr>
          <w:bCs/>
          <w:sz w:val="20"/>
          <w:szCs w:val="20"/>
          <w:lang w:val="es-ES_tradnl"/>
        </w:rPr>
      </w:pPr>
    </w:p>
    <w:p w14:paraId="1D6D9B07" w14:textId="0EA118FF" w:rsidR="00B65EDC" w:rsidRPr="00E675E8" w:rsidRDefault="00B65EDC" w:rsidP="003F289C">
      <w:pPr>
        <w:pStyle w:val="Heading4"/>
        <w:rPr>
          <w:lang w:val="es-ES_tradnl"/>
        </w:rPr>
      </w:pPr>
      <w:bookmarkStart w:id="496" w:name="_Toc117798904"/>
      <w:bookmarkStart w:id="497" w:name="_Toc107239609"/>
      <w:bookmarkStart w:id="498" w:name="_Toc107239359"/>
      <w:r w:rsidRPr="00E675E8">
        <w:rPr>
          <w:u w:val="none"/>
          <w:lang w:val="es-ES_tradnl"/>
        </w:rPr>
        <w:t>4.1</w:t>
      </w:r>
      <w:r w:rsidRPr="00E675E8">
        <w:rPr>
          <w:u w:val="none"/>
          <w:lang w:val="es-ES_tradnl"/>
        </w:rPr>
        <w:tab/>
      </w:r>
      <w:bookmarkEnd w:id="496"/>
      <w:bookmarkEnd w:id="497"/>
      <w:bookmarkEnd w:id="498"/>
      <w:r w:rsidRPr="00E675E8">
        <w:rPr>
          <w:lang w:val="es-ES_tradnl"/>
        </w:rPr>
        <w:t>Garantizar la sostenibilidad financiera</w:t>
      </w:r>
    </w:p>
    <w:p w14:paraId="10E117CA" w14:textId="77777777" w:rsidR="00B65EDC" w:rsidRPr="00E675E8" w:rsidRDefault="00B65EDC" w:rsidP="00B65EDC">
      <w:pPr>
        <w:keepNext/>
        <w:rPr>
          <w:lang w:val="es-ES_tradnl"/>
        </w:rPr>
      </w:pPr>
    </w:p>
    <w:p w14:paraId="265A555C" w14:textId="31C46CA1"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la “Evaluación de la Unión Internacional para la Protección de las Obtenciones Vegetales (UPOV)”, efectuada en 2016 por la División de Supervisión Interna (DSI) de la OMPI, se recomendaba que la UPOV considerase la posibilidad de elaborar un plan operativo estratégico para diversificar sus fuentes de ingresos con el fin de mantener y reforzar la sostenibilidad de las actividades y servicios existentes.</w:t>
      </w:r>
      <w:r w:rsidR="002817AB" w:rsidRPr="00E675E8">
        <w:rPr>
          <w:lang w:val="es-ES_tradnl"/>
        </w:rPr>
        <w:t xml:space="preserve"> </w:t>
      </w:r>
      <w:r w:rsidRPr="00E675E8">
        <w:rPr>
          <w:lang w:val="es-ES_tradnl"/>
        </w:rPr>
        <w:t>Las medidas para diversificar aún más las fuentes de ingresos de la UPOV se centrarán en la generación de ingresos procedentes de UPOV PRISMA y de la base de datos PLUTO.</w:t>
      </w:r>
      <w:r w:rsidR="002817AB" w:rsidRPr="00E675E8">
        <w:rPr>
          <w:lang w:val="es-ES_tradnl"/>
        </w:rPr>
        <w:t xml:space="preserve"> </w:t>
      </w:r>
    </w:p>
    <w:p w14:paraId="72896E01" w14:textId="77777777" w:rsidR="00B65EDC" w:rsidRPr="00E675E8" w:rsidRDefault="00B65EDC" w:rsidP="00B65EDC">
      <w:pPr>
        <w:pStyle w:val="ListParagraph"/>
        <w:ind w:left="0"/>
        <w:rPr>
          <w:lang w:val="es-ES_tradnl"/>
        </w:rPr>
      </w:pPr>
    </w:p>
    <w:p w14:paraId="1D4E166D" w14:textId="35706010"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octubre de 2024, el Comité Consultivo aprobó el desarrollo de la sección relativa al análisis prospectivo y la integración de las estrategias clave identificadas en el documento CC/102/3 en las futuras versiones del Plan Operativo Estratégico.</w:t>
      </w:r>
      <w:r w:rsidR="002817AB" w:rsidRPr="00E675E8">
        <w:rPr>
          <w:lang w:val="es-ES_tradnl"/>
        </w:rPr>
        <w:t xml:space="preserve"> </w:t>
      </w:r>
      <w:r w:rsidR="00797F25">
        <w:rPr>
          <w:lang w:val="es-ES_tradnl"/>
        </w:rPr>
        <w:t xml:space="preserve"> </w:t>
      </w:r>
      <w:r w:rsidRPr="00E675E8">
        <w:rPr>
          <w:lang w:val="es-ES_tradnl"/>
        </w:rPr>
        <w:t xml:space="preserve">En octubre de 2025, se someterá a consideración de los miembros de la UPOV una propuesta de </w:t>
      </w:r>
      <w:r w:rsidR="00797F25">
        <w:rPr>
          <w:lang w:val="es-ES_tradnl"/>
        </w:rPr>
        <w:t>E</w:t>
      </w:r>
      <w:r w:rsidRPr="00E675E8">
        <w:rPr>
          <w:lang w:val="es-ES_tradnl"/>
        </w:rPr>
        <w:t xml:space="preserve">strategia de recursos </w:t>
      </w:r>
      <w:r w:rsidR="00797F25">
        <w:rPr>
          <w:lang w:val="es-ES_tradnl"/>
        </w:rPr>
        <w:t xml:space="preserve">de la UPOV </w:t>
      </w:r>
      <w:r w:rsidRPr="00E675E8">
        <w:rPr>
          <w:lang w:val="es-ES_tradnl"/>
        </w:rPr>
        <w:t>(documento C/59/16) para mejorar la sostenibilidad financiera a largo plazo de la UPOV e incrementar su alcance y repercusión.</w:t>
      </w:r>
      <w:r w:rsidR="002817AB" w:rsidRPr="00E675E8">
        <w:rPr>
          <w:lang w:val="es-ES_tradnl"/>
        </w:rPr>
        <w:t xml:space="preserve"> </w:t>
      </w:r>
      <w:r w:rsidR="00383CE0">
        <w:rPr>
          <w:lang w:val="es-ES_tradnl"/>
        </w:rPr>
        <w:t xml:space="preserve"> </w:t>
      </w:r>
      <w:r w:rsidRPr="00E675E8">
        <w:rPr>
          <w:lang w:val="es-ES_tradnl"/>
        </w:rPr>
        <w:t xml:space="preserve">Esta estrategia está relacionada con el resultado previsto 4.1 </w:t>
      </w:r>
      <w:r w:rsidR="00383CE0">
        <w:rPr>
          <w:lang w:val="es-ES_tradnl"/>
        </w:rPr>
        <w:t>“</w:t>
      </w:r>
      <w:r w:rsidR="00383CE0" w:rsidRPr="00E675E8">
        <w:rPr>
          <w:lang w:val="es-ES_tradnl"/>
        </w:rPr>
        <w:t xml:space="preserve">Garantizar </w:t>
      </w:r>
      <w:r w:rsidRPr="00E675E8">
        <w:rPr>
          <w:lang w:val="es-ES_tradnl"/>
        </w:rPr>
        <w:t>la sostenibilidad financiera</w:t>
      </w:r>
      <w:r w:rsidR="00383CE0">
        <w:rPr>
          <w:lang w:val="es-ES_tradnl"/>
        </w:rPr>
        <w:t>”</w:t>
      </w:r>
      <w:r w:rsidRPr="00E675E8">
        <w:rPr>
          <w:lang w:val="es-ES_tradnl"/>
        </w:rPr>
        <w:t xml:space="preserve"> y tendrá en cuenta la </w:t>
      </w:r>
      <w:r w:rsidRPr="00797F25">
        <w:rPr>
          <w:spacing w:val="-2"/>
          <w:lang w:val="es-ES_tradnl"/>
        </w:rPr>
        <w:t xml:space="preserve">forma de atraer nuevos donantes, fondos extrapresupuestarios, patrocinadores, recursos humanos financiados </w:t>
      </w:r>
      <w:r w:rsidRPr="00E675E8">
        <w:rPr>
          <w:lang w:val="es-ES_tradnl"/>
        </w:rPr>
        <w:t xml:space="preserve">por los miembros de la UPOV (por ejemplo, funcionarios subalternos de la categoría profesional) y las conclusiones del documento CC/102/4 </w:t>
      </w:r>
      <w:r w:rsidR="00383CE0">
        <w:rPr>
          <w:lang w:val="es-ES_tradnl"/>
        </w:rPr>
        <w:t>“</w:t>
      </w:r>
      <w:r w:rsidR="00383CE0" w:rsidRPr="00E675E8">
        <w:rPr>
          <w:lang w:val="es-ES_tradnl"/>
        </w:rPr>
        <w:t xml:space="preserve">Desarrollo </w:t>
      </w:r>
      <w:r w:rsidRPr="00E675E8">
        <w:rPr>
          <w:lang w:val="es-ES_tradnl"/>
        </w:rPr>
        <w:t>y financiación de UPOV e-PVP</w:t>
      </w:r>
      <w:r w:rsidR="00383CE0">
        <w:rPr>
          <w:lang w:val="es-ES_tradnl"/>
        </w:rPr>
        <w:t>”</w:t>
      </w:r>
      <w:r w:rsidRPr="00E675E8">
        <w:rPr>
          <w:lang w:val="es-ES_tradnl"/>
        </w:rPr>
        <w:t>.</w:t>
      </w:r>
    </w:p>
    <w:p w14:paraId="57BF0307" w14:textId="77777777" w:rsidR="00B65EDC" w:rsidRPr="00E675E8" w:rsidRDefault="00B65EDC" w:rsidP="00B65EDC">
      <w:pPr>
        <w:rPr>
          <w:lang w:val="es-ES_tradnl"/>
        </w:rPr>
      </w:pPr>
    </w:p>
    <w:p w14:paraId="55E3FC8F" w14:textId="77777777"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estrategia también abordará la fuente primaria de ingresos de la UPOV, es decir, las contribuciones de los miembros y las formas adicionales de proporcionar asistencia financiera para aplicar el programa de trabajo de la UPOV con el fin de garantizar la sostenibilidad financiera a largo plazo. </w:t>
      </w:r>
    </w:p>
    <w:p w14:paraId="265CCBB3" w14:textId="77777777" w:rsidR="00B65EDC" w:rsidRPr="00E675E8" w:rsidRDefault="00B65EDC" w:rsidP="00B65EDC">
      <w:pPr>
        <w:rPr>
          <w:lang w:val="es-ES_tradnl"/>
        </w:rPr>
      </w:pPr>
    </w:p>
    <w:p w14:paraId="50FF4C05" w14:textId="77777777" w:rsidR="00B65EDC" w:rsidRPr="00E675E8" w:rsidRDefault="00B65EDC" w:rsidP="00B65EDC">
      <w:pPr>
        <w:pStyle w:val="Heading5"/>
        <w:rPr>
          <w:lang w:val="es-ES_tradnl"/>
        </w:rPr>
      </w:pPr>
      <w:bookmarkStart w:id="499" w:name="_Toc117798905"/>
      <w:bookmarkStart w:id="500" w:name="_Toc107239610"/>
      <w:bookmarkStart w:id="501" w:name="_Toc107239360"/>
      <w:r w:rsidRPr="00E675E8">
        <w:rPr>
          <w:lang w:val="es-ES_tradnl"/>
        </w:rPr>
        <w:lastRenderedPageBreak/>
        <w:t>Servicios de pago</w:t>
      </w:r>
      <w:bookmarkEnd w:id="499"/>
      <w:bookmarkEnd w:id="500"/>
      <w:bookmarkEnd w:id="501"/>
    </w:p>
    <w:p w14:paraId="6D144C48" w14:textId="77777777" w:rsidR="00B65EDC" w:rsidRPr="00E675E8" w:rsidRDefault="00B65EDC" w:rsidP="00383CE0">
      <w:pPr>
        <w:pStyle w:val="ListParagraph"/>
        <w:keepNext/>
        <w:ind w:left="0"/>
        <w:rPr>
          <w:lang w:val="es-ES_tradnl"/>
        </w:rPr>
      </w:pPr>
    </w:p>
    <w:p w14:paraId="3EBF58A6" w14:textId="20AC67A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Un elemento básico para diversificar los ingresos es generarlos a partir de los servicios que se prestan a los usuarios del sistema de la UPOV y, al mismo tiempo, poner esos servicios a disposición de las oficinas de protección de las obtenciones vegetales sin costo alguno.</w:t>
      </w:r>
      <w:r w:rsidR="002817AB" w:rsidRPr="00E675E8">
        <w:rPr>
          <w:lang w:val="es-ES_tradnl"/>
        </w:rPr>
        <w:t xml:space="preserve"> </w:t>
      </w:r>
      <w:r w:rsidRPr="00E675E8">
        <w:rPr>
          <w:lang w:val="es-ES_tradnl"/>
        </w:rPr>
        <w:t>Eso permitirá a la UPOV desarrollar y mantener servicios de alta calidad para los solicitantes y las oficinas de protección de las obtenciones vegetales.</w:t>
      </w:r>
      <w:r w:rsidR="002817AB" w:rsidRPr="00E675E8">
        <w:rPr>
          <w:lang w:val="es-ES_tradnl"/>
        </w:rPr>
        <w:t xml:space="preserve"> </w:t>
      </w:r>
      <w:r w:rsidRPr="00E675E8">
        <w:rPr>
          <w:lang w:val="es-ES_tradnl"/>
        </w:rPr>
        <w:t>Otra ventaja importante es que este planteamiento conectará a la UPOV con los usuarios de su sistema y mejorará la orientación de los servicios en el seno de la UPOV.</w:t>
      </w:r>
      <w:r w:rsidR="002817AB" w:rsidRPr="00E675E8">
        <w:rPr>
          <w:lang w:val="es-ES_tradnl"/>
        </w:rPr>
        <w:t xml:space="preserve"> </w:t>
      </w:r>
    </w:p>
    <w:p w14:paraId="4DB8A0C3" w14:textId="77777777" w:rsidR="00B65EDC" w:rsidRPr="00E675E8" w:rsidRDefault="00B65EDC" w:rsidP="00B65EDC">
      <w:pPr>
        <w:pStyle w:val="ListParagraph"/>
        <w:ind w:left="0"/>
        <w:rPr>
          <w:lang w:val="es-ES_tradnl"/>
        </w:rPr>
      </w:pPr>
    </w:p>
    <w:p w14:paraId="3EFC251E" w14:textId="07F266C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UPOV PRISMA y el servicio de pago de la base de datos PLUTO seguirán siendo fundamentales para aumentar los ingresos de la UPOV.</w:t>
      </w:r>
      <w:r w:rsidR="002817AB" w:rsidRPr="00E675E8">
        <w:rPr>
          <w:lang w:val="es-ES_tradnl"/>
        </w:rPr>
        <w:t xml:space="preserve"> </w:t>
      </w:r>
      <w:r w:rsidRPr="00E675E8">
        <w:rPr>
          <w:lang w:val="es-ES_tradnl"/>
        </w:rPr>
        <w:t>Para aumentar los ingresos procedentes de estos servicios, es necesario contar con el apoyo de los miembros de la Unión.</w:t>
      </w:r>
      <w:r w:rsidR="002817AB" w:rsidRPr="00E675E8">
        <w:rPr>
          <w:lang w:val="es-ES_tradnl"/>
        </w:rPr>
        <w:t xml:space="preserve"> </w:t>
      </w:r>
      <w:r w:rsidRPr="00E675E8">
        <w:rPr>
          <w:lang w:val="es-ES_tradnl"/>
        </w:rPr>
        <w:t>En particular, los ingresos de UPOV PRISMA vendrán determinados por el número de miembros de la Unión que participen en el servicio para todos los cultivos o especies y permitan mantener una interfaz eficaz y fluida con sus procedimientos de solicitud.</w:t>
      </w:r>
      <w:r w:rsidR="002817AB" w:rsidRPr="00E675E8">
        <w:rPr>
          <w:lang w:val="es-ES_tradnl"/>
        </w:rPr>
        <w:t xml:space="preserve"> </w:t>
      </w:r>
      <w:r w:rsidRPr="00E675E8">
        <w:rPr>
          <w:lang w:val="es-ES_tradnl"/>
        </w:rPr>
        <w:t>Del mismo modo, el atractivo del servicio de pago de la base de datos PLUTO dependerá de que los miembros de la Unión proporcionen datos completos y actualizados con regularidad.</w:t>
      </w:r>
      <w:r w:rsidR="002817AB" w:rsidRPr="00E675E8">
        <w:rPr>
          <w:lang w:val="es-ES_tradnl"/>
        </w:rPr>
        <w:t xml:space="preserve"> </w:t>
      </w:r>
      <w:r w:rsidRPr="00E675E8">
        <w:rPr>
          <w:lang w:val="es-ES_tradnl"/>
        </w:rPr>
        <w:t>Por consiguiente, una prioridad para la Oficina de la Unión será colaborar con los miembros de la Unión para que faciliten la protección de las obtenciones vegetales a través de UPOV e-PVP y promover su participación en UPOV PRISMA y sus contribuciones a la base de datos PLUTO.</w:t>
      </w:r>
      <w:r w:rsidR="002817AB" w:rsidRPr="00E675E8">
        <w:rPr>
          <w:lang w:val="es-ES_tradnl"/>
        </w:rPr>
        <w:t xml:space="preserve"> </w:t>
      </w:r>
    </w:p>
    <w:p w14:paraId="6A28C64A" w14:textId="77777777" w:rsidR="00B65EDC" w:rsidRPr="00E675E8" w:rsidRDefault="00B65EDC" w:rsidP="00B65EDC">
      <w:pPr>
        <w:pStyle w:val="ListParagraph"/>
        <w:ind w:left="0"/>
        <w:rPr>
          <w:lang w:val="es-ES_tradnl"/>
        </w:rPr>
      </w:pPr>
    </w:p>
    <w:p w14:paraId="394BEF48" w14:textId="7777777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respuesta de los usuarios de los cursos de enseñanza a distancia es positiva y la UPOV seguirá estudiando la forma de promoverlos y hacerlos más atractivos para los usuarios de pago. </w:t>
      </w:r>
    </w:p>
    <w:p w14:paraId="3127744D" w14:textId="77777777" w:rsidR="00B65EDC" w:rsidRPr="00E675E8" w:rsidRDefault="00B65EDC" w:rsidP="00B65EDC">
      <w:pPr>
        <w:pStyle w:val="ListParagraph"/>
        <w:ind w:left="0"/>
        <w:rPr>
          <w:lang w:val="es-ES_tradnl"/>
        </w:rPr>
      </w:pPr>
    </w:p>
    <w:p w14:paraId="51A56AF7" w14:textId="745AFCA6"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2025 se habilitará la inscripción de estudiantes del sector privado y de organizaciones que no estén cubiertas por las prioridades del Consejo de la UPOV en el programa de certificados de la UPOV de protección de las obtenciones vegetales, previo pago de una tasa.</w:t>
      </w:r>
      <w:r w:rsidR="002817AB" w:rsidRPr="00E675E8">
        <w:rPr>
          <w:lang w:val="es-ES_tradnl"/>
        </w:rPr>
        <w:t xml:space="preserve"> </w:t>
      </w:r>
      <w:r w:rsidRPr="00E675E8">
        <w:rPr>
          <w:lang w:val="es-ES_tradnl"/>
        </w:rPr>
        <w:t>La Oficina de la UPOV está elaborando los procedimientos de facturación a los participantes y de tratamiento de los pagos recibidos para el programa de certificados de la UPOV de protección de las obtenciones vegetales.</w:t>
      </w:r>
      <w:r w:rsidR="002817AB" w:rsidRPr="00E675E8">
        <w:rPr>
          <w:lang w:val="es-ES_tradnl"/>
        </w:rPr>
        <w:t xml:space="preserve"> </w:t>
      </w:r>
      <w:r w:rsidRPr="00E675E8">
        <w:rPr>
          <w:lang w:val="es-ES_tradnl"/>
        </w:rPr>
        <w:t>El plan de aplicación preveía una tasa de 500 francos suizos para la inscripción de esos participantes.</w:t>
      </w:r>
    </w:p>
    <w:p w14:paraId="52055A06" w14:textId="77777777" w:rsidR="00B65EDC" w:rsidRPr="00E675E8" w:rsidRDefault="00B65EDC" w:rsidP="00B65EDC">
      <w:pPr>
        <w:pStyle w:val="ListParagraph"/>
        <w:ind w:left="0"/>
        <w:rPr>
          <w:lang w:val="es-ES_tradnl"/>
        </w:rPr>
      </w:pPr>
    </w:p>
    <w:p w14:paraId="325B7F48" w14:textId="77777777" w:rsidR="00B65EDC" w:rsidRPr="00E675E8" w:rsidRDefault="00B65EDC" w:rsidP="00B65EDC">
      <w:pPr>
        <w:pStyle w:val="Heading5"/>
        <w:rPr>
          <w:lang w:val="es-ES_tradnl"/>
        </w:rPr>
      </w:pPr>
      <w:bookmarkStart w:id="502" w:name="_Toc117798906"/>
      <w:bookmarkStart w:id="503" w:name="_Toc107239611"/>
      <w:bookmarkStart w:id="504" w:name="_Toc107239361"/>
      <w:bookmarkStart w:id="505" w:name="_Toc42703049"/>
      <w:r w:rsidRPr="00E675E8">
        <w:rPr>
          <w:lang w:val="es-ES_tradnl"/>
        </w:rPr>
        <w:t>Fondos extrapresupuestarios</w:t>
      </w:r>
      <w:bookmarkEnd w:id="502"/>
      <w:bookmarkEnd w:id="503"/>
      <w:bookmarkEnd w:id="504"/>
      <w:bookmarkEnd w:id="505"/>
    </w:p>
    <w:p w14:paraId="7B2EC498" w14:textId="77777777" w:rsidR="00B65EDC" w:rsidRPr="00E675E8" w:rsidRDefault="00B65EDC" w:rsidP="00B65EDC">
      <w:pPr>
        <w:rPr>
          <w:lang w:val="es-ES_tradnl"/>
        </w:rPr>
      </w:pPr>
    </w:p>
    <w:p w14:paraId="4C38FA72" w14:textId="7777777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La UPOV se ha beneficiado en gran medida de los fondos extrapresupuestarios aportados por los miembros de la Unión, por ejemplo, en forma de fondos fiduciarios. En reconocimiento de los costos que supone para la Oficina de la Unión la administración de dichos fondos fiduciarios, se incluye un cargo en concepto de gastos de apoyo administrativo, que se trata como ingreso. </w:t>
      </w:r>
    </w:p>
    <w:p w14:paraId="40ECD1BD" w14:textId="77777777" w:rsidR="00B65EDC" w:rsidRPr="00E675E8" w:rsidRDefault="00B65EDC" w:rsidP="00B65EDC">
      <w:pPr>
        <w:pStyle w:val="ListParagraph"/>
        <w:ind w:left="0"/>
        <w:rPr>
          <w:lang w:val="es-ES_tradnl"/>
        </w:rPr>
      </w:pPr>
    </w:p>
    <w:p w14:paraId="58370FD5" w14:textId="1ECA5527"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Los fondos extrapresupuestarios serán importantes de cara al futuro y se velará por lograr que continúen los fondos existentes y que otros miembros de la Unión los establezcan.</w:t>
      </w:r>
      <w:r w:rsidR="002817AB" w:rsidRPr="00E675E8">
        <w:rPr>
          <w:lang w:val="es-ES_tradnl"/>
        </w:rPr>
        <w:t xml:space="preserve"> </w:t>
      </w:r>
    </w:p>
    <w:p w14:paraId="536745DB" w14:textId="77777777" w:rsidR="00B65EDC" w:rsidRPr="00E675E8" w:rsidRDefault="00B65EDC" w:rsidP="00B65EDC">
      <w:pPr>
        <w:rPr>
          <w:lang w:val="es-ES_tradnl"/>
        </w:rPr>
      </w:pPr>
    </w:p>
    <w:p w14:paraId="3BEFB67B" w14:textId="554DE029" w:rsidR="00B65EDC" w:rsidRPr="00E675E8" w:rsidRDefault="00B65EDC" w:rsidP="00B65EDC">
      <w:pPr>
        <w:pStyle w:val="ListParagraph"/>
        <w:ind w:left="0"/>
        <w:rPr>
          <w:rFonts w:cs="Arial"/>
          <w:sz w:val="19"/>
          <w:szCs w:val="19"/>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 xml:space="preserve">Por otro lado, la UPOV colaborará con los miembros de la Unión y los Estados y organizaciones que se hallen en proceso de convertirse en miembros de la UPOV para ayudarlos a promover y dirigir las solicitudes de fondos a los organismos donantes. </w:t>
      </w:r>
    </w:p>
    <w:p w14:paraId="763850F1" w14:textId="77777777" w:rsidR="00B65EDC" w:rsidRPr="00E675E8" w:rsidRDefault="00B65EDC" w:rsidP="00B65EDC">
      <w:pPr>
        <w:rPr>
          <w:lang w:val="es-ES_tradnl"/>
        </w:rPr>
      </w:pPr>
    </w:p>
    <w:p w14:paraId="69861998" w14:textId="3D557100" w:rsidR="00B65EDC" w:rsidRPr="00E675E8" w:rsidRDefault="00B65EDC" w:rsidP="00B65EDC">
      <w:pPr>
        <w:pStyle w:val="ListParagraph"/>
        <w:ind w:left="0"/>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La UPOV también explorará la posibilidad de generar fondos extrapresupuestarios a través de un fondo de varios donantes para el desarrollo sostenible de los servicios de la UPOV (por ejemplo, UPOV e-PVP).</w:t>
      </w:r>
      <w:r w:rsidR="002817AB" w:rsidRPr="00E675E8">
        <w:rPr>
          <w:lang w:val="es-ES_tradnl"/>
        </w:rPr>
        <w:t xml:space="preserve"> </w:t>
      </w:r>
      <w:r w:rsidRPr="00E675E8">
        <w:rPr>
          <w:lang w:val="es-ES_tradnl"/>
        </w:rPr>
        <w:t>Es fundamental que los usuarios potenciales de los servicios de la UPOV conozcan las ventajas de los servicios prestados.</w:t>
      </w:r>
      <w:r w:rsidR="002817AB" w:rsidRPr="00E675E8">
        <w:rPr>
          <w:lang w:val="es-ES_tradnl"/>
        </w:rPr>
        <w:t xml:space="preserve"> </w:t>
      </w:r>
      <w:r w:rsidRPr="00E675E8">
        <w:rPr>
          <w:lang w:val="es-ES_tradnl"/>
        </w:rPr>
        <w:t xml:space="preserve">La UPOV asignará recursos para promover sus servicios (por ejemplo, reuniones con miembros y usuarios, mayor uso de las herramientas de comunicación). </w:t>
      </w:r>
    </w:p>
    <w:p w14:paraId="5890D9B9" w14:textId="77777777" w:rsidR="00B65EDC" w:rsidRPr="00E675E8" w:rsidRDefault="00B65EDC" w:rsidP="00B65EDC">
      <w:pPr>
        <w:jc w:val="left"/>
        <w:rPr>
          <w:lang w:val="es-ES_tradnl"/>
        </w:rPr>
      </w:pPr>
    </w:p>
    <w:p w14:paraId="47FD7190" w14:textId="77777777" w:rsidR="00B65EDC" w:rsidRPr="00E675E8" w:rsidRDefault="00B65EDC" w:rsidP="003F289C">
      <w:pPr>
        <w:pStyle w:val="Heading4"/>
        <w:rPr>
          <w:lang w:val="es-ES_tradnl"/>
        </w:rPr>
      </w:pPr>
      <w:bookmarkStart w:id="506" w:name="_Toc117798907"/>
      <w:bookmarkStart w:id="507" w:name="_Toc107239612"/>
      <w:bookmarkStart w:id="508" w:name="_Toc107239362"/>
      <w:r w:rsidRPr="00E675E8">
        <w:rPr>
          <w:u w:val="none"/>
          <w:lang w:val="es-ES_tradnl"/>
        </w:rPr>
        <w:t>4.2</w:t>
      </w:r>
      <w:r w:rsidRPr="00E675E8">
        <w:rPr>
          <w:u w:val="none"/>
          <w:lang w:val="es-ES_tradnl"/>
        </w:rPr>
        <w:tab/>
      </w:r>
      <w:r w:rsidRPr="00E675E8">
        <w:rPr>
          <w:lang w:val="es-ES_tradnl"/>
        </w:rPr>
        <w:t>Una Secretaría empoderada y dotada de la formación y los recursos necesarios para trabajar de forma eficaz, colaborativa e innovadora</w:t>
      </w:r>
      <w:bookmarkEnd w:id="506"/>
      <w:bookmarkEnd w:id="507"/>
      <w:bookmarkEnd w:id="508"/>
    </w:p>
    <w:p w14:paraId="60FA759B" w14:textId="77777777" w:rsidR="00B65EDC" w:rsidRPr="00E675E8" w:rsidRDefault="00B65EDC" w:rsidP="00B65EDC">
      <w:pPr>
        <w:rPr>
          <w:lang w:val="es-ES_tradnl"/>
        </w:rPr>
      </w:pPr>
      <w:bookmarkStart w:id="509" w:name="_Toc42703050"/>
    </w:p>
    <w:bookmarkEnd w:id="509"/>
    <w:p w14:paraId="037EA26A" w14:textId="0977EDA3" w:rsidR="00B65EDC" w:rsidRPr="00E675E8" w:rsidRDefault="00B65EDC" w:rsidP="00B65EDC">
      <w:pPr>
        <w:tabs>
          <w:tab w:val="left" w:pos="567"/>
        </w:tabs>
        <w:rPr>
          <w:spacing w:val="-2"/>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El número de miembros de la UPOV y de Estados cubiertos por el Convenio de la UPOV no ha dejado de crecer, y en los últimos años también ha aumentado el número de Estados y organizaciones que solicitan asesoramiento en materia de legislación y actividades de sensibilización.</w:t>
      </w:r>
      <w:r w:rsidR="002817AB" w:rsidRPr="00E675E8">
        <w:rPr>
          <w:lang w:val="es-ES_tradnl"/>
        </w:rPr>
        <w:t xml:space="preserve"> </w:t>
      </w:r>
      <w:r w:rsidRPr="00E675E8">
        <w:rPr>
          <w:lang w:val="es-ES_tradnl"/>
        </w:rPr>
        <w:t>También se ha ampliado la cartera de servicios de la Oficina de la Unión, en particular el sistema UPOV e-PVP y las nuevas posibilidades de formación en virtud del certificado de protección de las obtenciones vegetales de la UPOV.</w:t>
      </w:r>
      <w:r w:rsidR="002817AB" w:rsidRPr="00E675E8">
        <w:rPr>
          <w:lang w:val="es-ES_tradnl"/>
        </w:rPr>
        <w:t xml:space="preserve"> </w:t>
      </w:r>
      <w:r w:rsidRPr="00E675E8">
        <w:rPr>
          <w:lang w:val="es-ES_tradnl"/>
        </w:rPr>
        <w:t xml:space="preserve">Este aumento de la labor de la UPOV con un número limitado de recursos de personal exige concentración, agilidad y una evaluación constante de la incidencia antes de emprender las actividades pertinentes. </w:t>
      </w:r>
    </w:p>
    <w:p w14:paraId="2C296D96" w14:textId="77777777" w:rsidR="00B65EDC" w:rsidRPr="00E675E8" w:rsidRDefault="00B65EDC" w:rsidP="00B65EDC">
      <w:pPr>
        <w:pStyle w:val="ListParagraph"/>
        <w:ind w:left="0"/>
        <w:rPr>
          <w:spacing w:val="-2"/>
          <w:lang w:val="es-ES_tradnl"/>
        </w:rPr>
      </w:pPr>
    </w:p>
    <w:p w14:paraId="4C5DEC5B" w14:textId="1ED55A58" w:rsidR="00B65EDC" w:rsidRPr="00E675E8" w:rsidRDefault="00B65EDC" w:rsidP="00797F25">
      <w:pPr>
        <w:pStyle w:val="ListParagraph"/>
        <w:keepLines/>
        <w:ind w:left="0"/>
        <w:rPr>
          <w:lang w:val="es-ES_tradnl"/>
        </w:rPr>
      </w:pPr>
      <w:r w:rsidRPr="00E675E8">
        <w:rPr>
          <w:lang w:val="es-ES_tradnl"/>
        </w:rPr>
        <w:lastRenderedPageBreak/>
        <w:fldChar w:fldCharType="begin"/>
      </w:r>
      <w:r w:rsidRPr="00E675E8">
        <w:rPr>
          <w:lang w:val="es-ES_tradnl"/>
        </w:rPr>
        <w:instrText xml:space="preserve"> AUTONUM  </w:instrText>
      </w:r>
      <w:r w:rsidRPr="00E675E8">
        <w:rPr>
          <w:lang w:val="es-ES_tradnl"/>
        </w:rPr>
        <w:fldChar w:fldCharType="end"/>
      </w:r>
      <w:r w:rsidRPr="00E675E8">
        <w:rPr>
          <w:lang w:val="es-ES_tradnl"/>
        </w:rPr>
        <w:tab/>
        <w:t>La naturaleza del trabajo de la UPOV seguirá evolucionando, en consonancia con el compromiso de mejora continua de la Organización.</w:t>
      </w:r>
      <w:r w:rsidR="002817AB" w:rsidRPr="00E675E8">
        <w:rPr>
          <w:lang w:val="es-ES_tradnl"/>
        </w:rPr>
        <w:t xml:space="preserve"> </w:t>
      </w:r>
      <w:r w:rsidRPr="00E675E8">
        <w:rPr>
          <w:lang w:val="es-ES_tradnl"/>
        </w:rPr>
        <w:t>A fin de que el equipo de la UPOV cuente con las competencias necesarias para adaptarse a los cambios y mejorar continuamente, se hará hincapié en la elaboración de programas sistemáticos y coherentes de desarrollo y formación del personal.</w:t>
      </w:r>
      <w:r w:rsidR="002817AB" w:rsidRPr="00E675E8">
        <w:rPr>
          <w:lang w:val="es-ES_tradnl"/>
        </w:rPr>
        <w:t xml:space="preserve"> </w:t>
      </w:r>
      <w:r w:rsidRPr="00E675E8">
        <w:rPr>
          <w:lang w:val="es-ES_tradnl"/>
        </w:rPr>
        <w:t>Este planteamiento de desarrollo incluirá actividades de creación de equipos para mejorar “cómo trabajamos conjuntamente” con el fin de prestar mejores servicios a los miembros de la UPOV y a las partes interesadas y participar en colaboraciones eficaces.</w:t>
      </w:r>
    </w:p>
    <w:p w14:paraId="4A41493B" w14:textId="77777777" w:rsidR="00B65EDC" w:rsidRPr="00E675E8" w:rsidRDefault="00B65EDC" w:rsidP="00B65EDC">
      <w:pPr>
        <w:pStyle w:val="ListParagraph"/>
        <w:ind w:left="0"/>
        <w:rPr>
          <w:lang w:val="es-ES_tradnl"/>
        </w:rPr>
      </w:pPr>
    </w:p>
    <w:p w14:paraId="45A34509" w14:textId="5E2E887C" w:rsidR="00B65EDC" w:rsidRPr="00E675E8" w:rsidRDefault="00B65EDC" w:rsidP="00B65EDC">
      <w:pPr>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bienio 2026-2027, la UPOV se centrará en las áreas prioritarias, de conformidad con el Plan Operativo Estratégico.</w:t>
      </w:r>
      <w:r w:rsidR="002817AB" w:rsidRPr="00E675E8">
        <w:rPr>
          <w:lang w:val="es-ES_tradnl"/>
        </w:rPr>
        <w:t xml:space="preserve"> </w:t>
      </w:r>
      <w:r w:rsidRPr="00E675E8">
        <w:rPr>
          <w:lang w:val="es-ES_tradnl"/>
        </w:rPr>
        <w:t>Los gastos propuestos se centran en esos ámbitos prioritarios, conteniendo al mismo tiempo los gastos de personal. Las labores de comunicación y digitalización desempeñarán un papel clave para lograr los resultados esperados.</w:t>
      </w:r>
      <w:r w:rsidR="002817AB" w:rsidRPr="00E675E8">
        <w:rPr>
          <w:lang w:val="es-ES_tradnl"/>
        </w:rPr>
        <w:t xml:space="preserve"> </w:t>
      </w:r>
      <w:r w:rsidRPr="00E675E8">
        <w:rPr>
          <w:lang w:val="es-ES_tradnl"/>
        </w:rPr>
        <w:t>Mientras no se consigan recursos adicionales, se realizará una evaluación cuidadosa de nuevas iniciativas y un mayor uso de herramientas de reuniones virtuales/híbridas y de participación en línea en eventos organizados por terceros, lo que se traducirá en una reducción del tiempo y los costos de viajes.</w:t>
      </w:r>
    </w:p>
    <w:p w14:paraId="239C33A0" w14:textId="77777777" w:rsidR="00B65EDC" w:rsidRPr="00E675E8" w:rsidRDefault="00B65EDC" w:rsidP="00B65EDC">
      <w:pPr>
        <w:tabs>
          <w:tab w:val="left" w:pos="567"/>
        </w:tabs>
        <w:rPr>
          <w:spacing w:val="-2"/>
          <w:lang w:val="es-ES_tradnl"/>
        </w:rPr>
      </w:pPr>
    </w:p>
    <w:p w14:paraId="7B1B00DB" w14:textId="0A9E2F76" w:rsidR="009A0A72" w:rsidRPr="00E675E8" w:rsidRDefault="00B65EDC" w:rsidP="00383CE0">
      <w:pPr>
        <w:rPr>
          <w:spacing w:val="-2"/>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r>
      <w:bookmarkStart w:id="510" w:name="_Hlk208498940"/>
      <w:r w:rsidRPr="00E675E8">
        <w:rPr>
          <w:lang w:val="es-ES_tradnl"/>
        </w:rPr>
        <w:t>Con el fin de garantizar la sostenibilidad de la Oficina de la UPOV, en octubre de 2024, el Comité</w:t>
      </w:r>
      <w:r w:rsidR="00797F25">
        <w:rPr>
          <w:lang w:val="es-ES_tradnl"/>
        </w:rPr>
        <w:t> </w:t>
      </w:r>
      <w:r w:rsidRPr="00E675E8">
        <w:rPr>
          <w:lang w:val="es-ES_tradnl"/>
        </w:rPr>
        <w:t xml:space="preserve">Consultivo respaldó la elaboración de una </w:t>
      </w:r>
      <w:r w:rsidR="00797F25">
        <w:rPr>
          <w:lang w:val="es-ES_tradnl"/>
        </w:rPr>
        <w:t>E</w:t>
      </w:r>
      <w:r w:rsidRPr="00E675E8">
        <w:rPr>
          <w:lang w:val="es-ES_tradnl"/>
        </w:rPr>
        <w:t xml:space="preserve">strategia de recursos </w:t>
      </w:r>
      <w:r w:rsidR="00797F25">
        <w:rPr>
          <w:lang w:val="es-ES_tradnl"/>
        </w:rPr>
        <w:t xml:space="preserve">de la UPOV </w:t>
      </w:r>
      <w:r w:rsidRPr="00E675E8">
        <w:rPr>
          <w:lang w:val="es-ES_tradnl"/>
        </w:rPr>
        <w:t>(documento C/59/16).</w:t>
      </w:r>
      <w:r w:rsidR="002817AB" w:rsidRPr="00E675E8">
        <w:rPr>
          <w:lang w:val="es-ES_tradnl"/>
        </w:rPr>
        <w:t xml:space="preserve"> </w:t>
      </w:r>
      <w:r w:rsidR="00383CE0">
        <w:rPr>
          <w:lang w:val="es-ES_tradnl"/>
        </w:rPr>
        <w:t xml:space="preserve"> </w:t>
      </w:r>
      <w:r w:rsidRPr="00E675E8">
        <w:rPr>
          <w:lang w:val="es-ES_tradnl"/>
        </w:rPr>
        <w:t xml:space="preserve">Dado que la gestión de personal se rige por el acuerdo entre la OMPI y la UPOV, puede beneficiarse de las iniciativas ya incluidas en la estrategia de recursos humanos de la OMPI para el período 2022-2026, en particular en lo referente a la agilidad, la transformación digital y cultural, y la planificación estratégica del personal. </w:t>
      </w:r>
      <w:r w:rsidR="00383CE0">
        <w:rPr>
          <w:lang w:val="es-ES_tradnl"/>
        </w:rPr>
        <w:t xml:space="preserve"> </w:t>
      </w:r>
      <w:r w:rsidRPr="00E675E8">
        <w:rPr>
          <w:lang w:val="es-ES_tradnl"/>
        </w:rPr>
        <w:t xml:space="preserve">El objetivo es armonizar el talento con los objetivos de la organización mediante una planificación basada en datos, haciendo mayor hincapié en la gestión del talento mediante la identificación de funciones críticas y la comparación de las competencias existentes con las necesidades futuras. </w:t>
      </w:r>
      <w:r w:rsidR="00383CE0">
        <w:rPr>
          <w:lang w:val="es-ES_tradnl"/>
        </w:rPr>
        <w:t xml:space="preserve"> </w:t>
      </w:r>
      <w:r w:rsidRPr="00E675E8">
        <w:rPr>
          <w:lang w:val="es-ES_tradnl"/>
        </w:rPr>
        <w:t>La UPOV debería complementar el marco existente con estrategias de aplicación específicas adaptadas a sus necesidades de talento especializado y a su contexto concreto:</w:t>
      </w:r>
    </w:p>
    <w:p w14:paraId="5E921CF6" w14:textId="77777777" w:rsidR="009A0A72" w:rsidRPr="00E675E8" w:rsidRDefault="009A0A72" w:rsidP="00383CE0">
      <w:pPr>
        <w:rPr>
          <w:spacing w:val="-2"/>
          <w:lang w:val="es-ES_tradnl"/>
        </w:rPr>
      </w:pPr>
    </w:p>
    <w:p w14:paraId="45B0257D" w14:textId="3B9DE276" w:rsidR="009A0A72" w:rsidRPr="00E675E8" w:rsidRDefault="009A0A72" w:rsidP="00383CE0">
      <w:pPr>
        <w:pStyle w:val="ListParagraph"/>
        <w:numPr>
          <w:ilvl w:val="1"/>
          <w:numId w:val="3"/>
        </w:numPr>
        <w:ind w:left="1134" w:hanging="567"/>
        <w:rPr>
          <w:spacing w:val="-2"/>
          <w:lang w:val="es-ES_tradnl"/>
        </w:rPr>
      </w:pPr>
      <w:r w:rsidRPr="00E675E8">
        <w:rPr>
          <w:lang w:val="es-ES_tradnl"/>
        </w:rPr>
        <w:t>Desarrollar perfiles especializados con competencias jurídicas, técnicas, comunicativas y digitales.</w:t>
      </w:r>
    </w:p>
    <w:p w14:paraId="2AAD7D1C" w14:textId="04EB06C7" w:rsidR="00263ED5" w:rsidRPr="00E675E8" w:rsidRDefault="009A0A72" w:rsidP="00383CE0">
      <w:pPr>
        <w:pStyle w:val="ListParagraph"/>
        <w:numPr>
          <w:ilvl w:val="1"/>
          <w:numId w:val="3"/>
        </w:numPr>
        <w:ind w:left="1134" w:hanging="567"/>
        <w:rPr>
          <w:spacing w:val="-2"/>
          <w:lang w:val="es-ES_tradnl"/>
        </w:rPr>
      </w:pPr>
      <w:r w:rsidRPr="00E675E8">
        <w:rPr>
          <w:lang w:val="es-ES_tradnl"/>
        </w:rPr>
        <w:t>Garantizar la continuidad de la actividad, dando prioridad a los puestos de personal con competencias críticas para mantener el conocimiento institucional en áreas esenciales y promoviendo al mismo tiempo la agilidad para hacer frente a la evolución de las necesidades.</w:t>
      </w:r>
    </w:p>
    <w:p w14:paraId="1FB56059" w14:textId="0AFA4733" w:rsidR="009A0A72" w:rsidRPr="00E675E8" w:rsidRDefault="009A0A72" w:rsidP="00383CE0">
      <w:pPr>
        <w:pStyle w:val="ListParagraph"/>
        <w:numPr>
          <w:ilvl w:val="1"/>
          <w:numId w:val="3"/>
        </w:numPr>
        <w:ind w:left="1134" w:hanging="567"/>
        <w:rPr>
          <w:spacing w:val="-2"/>
          <w:lang w:val="es-ES_tradnl"/>
        </w:rPr>
      </w:pPr>
      <w:r w:rsidRPr="00E675E8">
        <w:rPr>
          <w:lang w:val="es-ES_tradnl"/>
        </w:rPr>
        <w:t xml:space="preserve">Dar prioridad a la agilidad, las competencias transversales y la polivalencia. </w:t>
      </w:r>
      <w:r w:rsidR="00383CE0">
        <w:rPr>
          <w:lang w:val="es-ES_tradnl"/>
        </w:rPr>
        <w:t xml:space="preserve"> </w:t>
      </w:r>
      <w:r w:rsidRPr="00E675E8">
        <w:rPr>
          <w:lang w:val="es-ES_tradnl"/>
        </w:rPr>
        <w:t>La UPOV también debe recurrir a diferentes modelos de abastecimiento y a asociaciones estratégicas para satisfacer la creciente demanda de servicios.</w:t>
      </w:r>
    </w:p>
    <w:bookmarkEnd w:id="510"/>
    <w:p w14:paraId="10E150F9" w14:textId="77777777" w:rsidR="00B65EDC" w:rsidRPr="00E675E8" w:rsidRDefault="00B65EDC" w:rsidP="00B65EDC">
      <w:pPr>
        <w:pStyle w:val="ListParagraph"/>
        <w:ind w:left="0"/>
        <w:rPr>
          <w:lang w:val="es-ES_tradnl"/>
        </w:rPr>
      </w:pPr>
    </w:p>
    <w:p w14:paraId="2EEC1D9A" w14:textId="77777777" w:rsidR="00B65EDC" w:rsidRPr="00E675E8" w:rsidRDefault="00B65EDC" w:rsidP="00B65EDC">
      <w:pPr>
        <w:tabs>
          <w:tab w:val="left" w:pos="567"/>
        </w:tabs>
        <w:rPr>
          <w:spacing w:val="-2"/>
          <w:lang w:val="es-ES_tradnl"/>
        </w:rPr>
      </w:pPr>
    </w:p>
    <w:p w14:paraId="333858D0" w14:textId="502B421F" w:rsidR="00B65EDC" w:rsidRPr="00E675E8" w:rsidRDefault="00B65EDC" w:rsidP="000363C4">
      <w:pPr>
        <w:pStyle w:val="Heading3"/>
        <w:rPr>
          <w:lang w:val="es-ES_tradnl"/>
        </w:rPr>
      </w:pPr>
      <w:bookmarkStart w:id="511" w:name="_Toc209777778"/>
      <w:r w:rsidRPr="00E675E8">
        <w:rPr>
          <w:lang w:val="es-ES_tradnl"/>
        </w:rPr>
        <w:t>Resultados previstos e indicadores de rendimiento</w:t>
      </w:r>
      <w:bookmarkEnd w:id="511"/>
    </w:p>
    <w:p w14:paraId="13B4026D" w14:textId="77777777" w:rsidR="00B65EDC" w:rsidRPr="00E675E8" w:rsidRDefault="00B65EDC" w:rsidP="00B65EDC">
      <w:pPr>
        <w:keepNext/>
        <w:rPr>
          <w:bCs/>
          <w:lang w:val="es-ES_tradnl"/>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E675E8" w14:paraId="5A8101B4" w14:textId="77777777">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B65EDC" w:rsidRPr="00E675E8" w:rsidRDefault="00B65EDC">
            <w:pPr>
              <w:jc w:val="left"/>
              <w:rPr>
                <w:b/>
                <w:bCs/>
                <w:sz w:val="16"/>
                <w:szCs w:val="16"/>
                <w:lang w:val="es-ES_tradnl"/>
              </w:rPr>
            </w:pPr>
          </w:p>
        </w:tc>
        <w:tc>
          <w:tcPr>
            <w:tcW w:w="3255" w:type="dxa"/>
            <w:tcBorders>
              <w:bottom w:val="single" w:sz="4" w:space="0" w:color="D9D9D9" w:themeColor="background1" w:themeShade="D9"/>
            </w:tcBorders>
            <w:shd w:val="clear" w:color="auto" w:fill="E2E7EB" w:themeFill="accent3" w:themeFillTint="33"/>
          </w:tcPr>
          <w:p w14:paraId="1F82446C" w14:textId="77777777" w:rsidR="00B65EDC" w:rsidRPr="00E675E8" w:rsidRDefault="00B65EDC">
            <w:pPr>
              <w:jc w:val="left"/>
              <w:rPr>
                <w:b/>
                <w:bCs/>
                <w:sz w:val="16"/>
                <w:szCs w:val="16"/>
                <w:lang w:val="es-ES_tradnl"/>
              </w:rPr>
            </w:pPr>
            <w:r w:rsidRPr="00E675E8">
              <w:rPr>
                <w:b/>
                <w:sz w:val="16"/>
                <w:lang w:val="es-ES_tradnl"/>
              </w:rPr>
              <w:t>Resultados previstos</w:t>
            </w:r>
          </w:p>
        </w:tc>
        <w:tc>
          <w:tcPr>
            <w:tcW w:w="305" w:type="dxa"/>
            <w:tcBorders>
              <w:bottom w:val="single" w:sz="4" w:space="0" w:color="D9D9D9" w:themeColor="background1" w:themeShade="D9"/>
            </w:tcBorders>
            <w:shd w:val="clear" w:color="auto" w:fill="E2E7EB" w:themeFill="accent3" w:themeFillTint="33"/>
          </w:tcPr>
          <w:p w14:paraId="6387A432" w14:textId="77777777" w:rsidR="00B65EDC" w:rsidRPr="00E675E8" w:rsidRDefault="00B65EDC">
            <w:pPr>
              <w:jc w:val="center"/>
              <w:rPr>
                <w:b/>
                <w:bCs/>
                <w:sz w:val="16"/>
                <w:szCs w:val="16"/>
                <w:lang w:val="es-ES_tradnl"/>
              </w:rPr>
            </w:pPr>
          </w:p>
        </w:tc>
        <w:tc>
          <w:tcPr>
            <w:tcW w:w="2457" w:type="dxa"/>
            <w:tcBorders>
              <w:bottom w:val="single" w:sz="4" w:space="0" w:color="D9D9D9" w:themeColor="background1" w:themeShade="D9"/>
            </w:tcBorders>
            <w:shd w:val="clear" w:color="auto" w:fill="E2E7EB" w:themeFill="accent3" w:themeFillTint="33"/>
          </w:tcPr>
          <w:p w14:paraId="65B2FE82" w14:textId="77777777" w:rsidR="00B65EDC" w:rsidRPr="00E675E8" w:rsidRDefault="00B65EDC">
            <w:pPr>
              <w:rPr>
                <w:b/>
                <w:bCs/>
                <w:sz w:val="16"/>
                <w:szCs w:val="16"/>
                <w:lang w:val="es-ES_tradnl"/>
              </w:rPr>
            </w:pPr>
            <w:r w:rsidRPr="00E675E8">
              <w:rPr>
                <w:b/>
                <w:sz w:val="16"/>
                <w:lang w:val="es-ES_tradnl"/>
              </w:rPr>
              <w:t>Indicadores de rendimiento</w:t>
            </w:r>
          </w:p>
        </w:tc>
        <w:tc>
          <w:tcPr>
            <w:tcW w:w="1632" w:type="dxa"/>
            <w:tcBorders>
              <w:bottom w:val="single" w:sz="4" w:space="0" w:color="D9D9D9" w:themeColor="background1" w:themeShade="D9"/>
            </w:tcBorders>
            <w:shd w:val="clear" w:color="auto" w:fill="E2E7EB" w:themeFill="accent3" w:themeFillTint="33"/>
          </w:tcPr>
          <w:p w14:paraId="1EDAB418" w14:textId="77777777" w:rsidR="00B65EDC" w:rsidRPr="00E675E8" w:rsidRDefault="00B65EDC">
            <w:pPr>
              <w:jc w:val="center"/>
              <w:rPr>
                <w:b/>
                <w:bCs/>
                <w:sz w:val="16"/>
                <w:szCs w:val="16"/>
                <w:lang w:val="es-ES_tradnl"/>
              </w:rPr>
            </w:pPr>
            <w:r w:rsidRPr="00E675E8">
              <w:rPr>
                <w:b/>
                <w:sz w:val="16"/>
                <w:lang w:val="es-ES_tradnl"/>
              </w:rPr>
              <w:t>Referencias</w:t>
            </w:r>
          </w:p>
        </w:tc>
        <w:tc>
          <w:tcPr>
            <w:tcW w:w="1559" w:type="dxa"/>
            <w:tcBorders>
              <w:bottom w:val="single" w:sz="4" w:space="0" w:color="D9D9D9" w:themeColor="background1" w:themeShade="D9"/>
            </w:tcBorders>
            <w:shd w:val="clear" w:color="auto" w:fill="E2E7EB" w:themeFill="accent3" w:themeFillTint="33"/>
          </w:tcPr>
          <w:p w14:paraId="473BC1A7" w14:textId="77777777" w:rsidR="00B65EDC" w:rsidRPr="00E675E8" w:rsidRDefault="00B65EDC">
            <w:pPr>
              <w:jc w:val="center"/>
              <w:rPr>
                <w:b/>
                <w:bCs/>
                <w:sz w:val="16"/>
                <w:szCs w:val="16"/>
                <w:lang w:val="es-ES_tradnl"/>
              </w:rPr>
            </w:pPr>
            <w:r w:rsidRPr="00E675E8">
              <w:rPr>
                <w:b/>
                <w:sz w:val="16"/>
                <w:lang w:val="es-ES_tradnl"/>
              </w:rPr>
              <w:t>Objetivo (2026/27)</w:t>
            </w:r>
          </w:p>
        </w:tc>
      </w:tr>
      <w:tr w:rsidR="00B65EDC" w:rsidRPr="00E675E8" w14:paraId="1333AA82" w14:textId="77777777" w:rsidTr="00A538F6">
        <w:tc>
          <w:tcPr>
            <w:tcW w:w="426" w:type="dxa"/>
            <w:tcBorders>
              <w:top w:val="single" w:sz="4" w:space="0" w:color="D9D9D9" w:themeColor="background1" w:themeShade="D9"/>
              <w:bottom w:val="single" w:sz="4" w:space="0" w:color="D9D9D9" w:themeColor="background1" w:themeShade="D9"/>
            </w:tcBorders>
          </w:tcPr>
          <w:p w14:paraId="222B2EA9" w14:textId="77777777" w:rsidR="00B65EDC" w:rsidRPr="00E675E8" w:rsidRDefault="00B65EDC">
            <w:pPr>
              <w:jc w:val="left"/>
              <w:rPr>
                <w:rFonts w:cs="Arial"/>
                <w:sz w:val="16"/>
                <w:szCs w:val="16"/>
                <w:lang w:val="es-ES_tradnl"/>
              </w:rPr>
            </w:pPr>
            <w:r w:rsidRPr="00E675E8">
              <w:rPr>
                <w:sz w:val="16"/>
                <w:lang w:val="es-ES_tradnl"/>
              </w:rPr>
              <w:t>4,1</w:t>
            </w:r>
          </w:p>
        </w:tc>
        <w:tc>
          <w:tcPr>
            <w:tcW w:w="3255" w:type="dxa"/>
            <w:tcBorders>
              <w:top w:val="single" w:sz="4" w:space="0" w:color="D9D9D9" w:themeColor="background1" w:themeShade="D9"/>
              <w:bottom w:val="single" w:sz="4" w:space="0" w:color="D9D9D9" w:themeColor="background1" w:themeShade="D9"/>
            </w:tcBorders>
          </w:tcPr>
          <w:p w14:paraId="6DA9BBD2" w14:textId="1D21FDAB" w:rsidR="00B65EDC" w:rsidRPr="00E675E8" w:rsidRDefault="000C10D9">
            <w:pPr>
              <w:jc w:val="left"/>
              <w:rPr>
                <w:rFonts w:cs="Arial"/>
                <w:sz w:val="16"/>
                <w:szCs w:val="16"/>
                <w:lang w:val="es-ES_tradnl"/>
              </w:rPr>
            </w:pPr>
            <w:r w:rsidRPr="00E675E8">
              <w:rPr>
                <w:sz w:val="16"/>
                <w:lang w:val="es-ES_tradnl"/>
              </w:rPr>
              <w:t>Garantizar la sostenibilidad financiera</w:t>
            </w:r>
          </w:p>
        </w:tc>
        <w:tc>
          <w:tcPr>
            <w:tcW w:w="305" w:type="dxa"/>
            <w:tcBorders>
              <w:top w:val="single" w:sz="4" w:space="0" w:color="D9D9D9" w:themeColor="background1" w:themeShade="D9"/>
              <w:bottom w:val="single" w:sz="4" w:space="0" w:color="D9D9D9" w:themeColor="background1" w:themeShade="D9"/>
            </w:tcBorders>
          </w:tcPr>
          <w:p w14:paraId="23974A7F" w14:textId="77777777" w:rsidR="00B65EDC" w:rsidRPr="00E675E8" w:rsidRDefault="00B65EDC">
            <w:pPr>
              <w:jc w:val="left"/>
              <w:rPr>
                <w:rFonts w:cs="Arial"/>
                <w:sz w:val="16"/>
                <w:szCs w:val="16"/>
                <w:lang w:val="es-ES_tradnl"/>
              </w:rPr>
            </w:pPr>
            <w:r w:rsidRPr="00E675E8">
              <w:rPr>
                <w:sz w:val="16"/>
                <w:lang w:val="es-ES_tradnl"/>
              </w:rPr>
              <w:t>16</w:t>
            </w:r>
          </w:p>
        </w:tc>
        <w:tc>
          <w:tcPr>
            <w:tcW w:w="2457" w:type="dxa"/>
            <w:tcBorders>
              <w:top w:val="single" w:sz="4" w:space="0" w:color="D9D9D9" w:themeColor="background1" w:themeShade="D9"/>
              <w:bottom w:val="single" w:sz="4" w:space="0" w:color="D9D9D9" w:themeColor="background1" w:themeShade="D9"/>
            </w:tcBorders>
          </w:tcPr>
          <w:p w14:paraId="7E11B07E" w14:textId="77777777" w:rsidR="00B65EDC" w:rsidRPr="00E675E8" w:rsidRDefault="00B65EDC">
            <w:pPr>
              <w:jc w:val="left"/>
              <w:rPr>
                <w:rFonts w:cs="Arial"/>
                <w:sz w:val="16"/>
                <w:szCs w:val="16"/>
                <w:lang w:val="es-ES_tradnl"/>
              </w:rPr>
            </w:pPr>
            <w:r w:rsidRPr="00E675E8">
              <w:rPr>
                <w:sz w:val="16"/>
                <w:lang w:val="es-ES_tradnl"/>
              </w:rPr>
              <w:t>Ingresos procedentes de fuentes distintas de las contribuciones de los miembros de la UPOV</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77777777" w:rsidR="00B65EDC" w:rsidRPr="00E675E8" w:rsidRDefault="00B65EDC">
            <w:pPr>
              <w:jc w:val="center"/>
              <w:rPr>
                <w:rFonts w:cs="Arial"/>
                <w:sz w:val="16"/>
                <w:szCs w:val="16"/>
                <w:lang w:val="es-ES_tradnl"/>
              </w:rPr>
            </w:pPr>
            <w:r w:rsidRPr="00E675E8">
              <w:rPr>
                <w:sz w:val="16"/>
                <w:lang w:val="es-ES_tradnl"/>
              </w:rPr>
              <w:t>5,9 %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1E3E268" w:rsidR="00B65EDC" w:rsidRPr="00E675E8" w:rsidRDefault="00B65EDC">
            <w:pPr>
              <w:jc w:val="center"/>
              <w:rPr>
                <w:rFonts w:cs="Arial"/>
                <w:sz w:val="16"/>
                <w:szCs w:val="16"/>
                <w:lang w:val="es-ES_tradnl"/>
              </w:rPr>
            </w:pPr>
            <w:r w:rsidRPr="00E675E8">
              <w:rPr>
                <w:sz w:val="16"/>
                <w:lang w:val="es-ES_tradnl"/>
              </w:rPr>
              <w:t>6,3 % (bienio)</w:t>
            </w:r>
          </w:p>
        </w:tc>
      </w:tr>
      <w:tr w:rsidR="00B65EDC" w:rsidRPr="00E675E8" w14:paraId="3E833428" w14:textId="77777777" w:rsidTr="00A538F6">
        <w:tc>
          <w:tcPr>
            <w:tcW w:w="426" w:type="dxa"/>
            <w:tcBorders>
              <w:top w:val="single" w:sz="4" w:space="0" w:color="D9D9D9" w:themeColor="background1" w:themeShade="D9"/>
              <w:bottom w:val="single" w:sz="4" w:space="0" w:color="D9D9D9" w:themeColor="background1" w:themeShade="D9"/>
            </w:tcBorders>
          </w:tcPr>
          <w:p w14:paraId="4020FBA4" w14:textId="77777777" w:rsidR="00B65EDC" w:rsidRPr="00E675E8" w:rsidRDefault="00B65EDC">
            <w:pPr>
              <w:jc w:val="left"/>
              <w:rPr>
                <w:rFonts w:cs="Arial"/>
                <w:sz w:val="16"/>
                <w:szCs w:val="16"/>
                <w:lang w:val="es-ES_tradnl"/>
              </w:rPr>
            </w:pPr>
            <w:r w:rsidRPr="00E675E8">
              <w:rPr>
                <w:sz w:val="16"/>
                <w:lang w:val="es-ES_tradnl"/>
              </w:rPr>
              <w:t>4.2</w:t>
            </w:r>
          </w:p>
        </w:tc>
        <w:tc>
          <w:tcPr>
            <w:tcW w:w="3255" w:type="dxa"/>
            <w:tcBorders>
              <w:top w:val="single" w:sz="4" w:space="0" w:color="D9D9D9" w:themeColor="background1" w:themeShade="D9"/>
              <w:bottom w:val="single" w:sz="4" w:space="0" w:color="D9D9D9" w:themeColor="background1" w:themeShade="D9"/>
            </w:tcBorders>
          </w:tcPr>
          <w:p w14:paraId="4C62A82E" w14:textId="77777777" w:rsidR="00B65EDC" w:rsidRPr="00E675E8" w:rsidRDefault="00B65EDC">
            <w:pPr>
              <w:jc w:val="left"/>
              <w:rPr>
                <w:rFonts w:cs="Arial"/>
                <w:sz w:val="16"/>
                <w:szCs w:val="16"/>
                <w:lang w:val="es-ES_tradnl"/>
              </w:rPr>
            </w:pPr>
            <w:r w:rsidRPr="00E675E8">
              <w:rPr>
                <w:sz w:val="16"/>
                <w:lang w:val="es-ES_tradnl"/>
              </w:rPr>
              <w:t>Una Secretaría empoderada y dotada de la formación y los recursos necesarios para trabajar de forma eficaz, colaborativa e innovadora</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65EDC" w:rsidRPr="00E675E8" w:rsidRDefault="00B65EDC">
            <w:pPr>
              <w:jc w:val="left"/>
              <w:rPr>
                <w:rFonts w:cs="Arial"/>
                <w:sz w:val="16"/>
                <w:szCs w:val="16"/>
                <w:lang w:val="es-ES_tradnl"/>
              </w:rPr>
            </w:pPr>
            <w:r w:rsidRPr="00E675E8">
              <w:rPr>
                <w:sz w:val="16"/>
                <w:lang w:val="es-ES_tradnl"/>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77777777" w:rsidR="00B65EDC" w:rsidRPr="00E675E8" w:rsidRDefault="00B65EDC">
            <w:pPr>
              <w:jc w:val="left"/>
              <w:rPr>
                <w:rFonts w:cs="Arial"/>
                <w:sz w:val="16"/>
                <w:szCs w:val="16"/>
                <w:lang w:val="es-ES_tradnl"/>
              </w:rPr>
            </w:pPr>
            <w:r w:rsidRPr="00E675E8">
              <w:rPr>
                <w:sz w:val="16"/>
                <w:lang w:val="es-ES_tradnl"/>
              </w:rPr>
              <w:t>Grado de satisfacción del personal</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77777777" w:rsidR="00B65EDC" w:rsidRPr="00E675E8" w:rsidRDefault="00B65EDC">
            <w:pPr>
              <w:jc w:val="center"/>
              <w:rPr>
                <w:rFonts w:cs="Arial"/>
                <w:sz w:val="16"/>
                <w:szCs w:val="16"/>
                <w:lang w:val="es-ES_tradnl"/>
              </w:rPr>
            </w:pPr>
            <w:r w:rsidRPr="00E675E8">
              <w:rPr>
                <w:sz w:val="16"/>
                <w:lang w:val="es-ES_tradnl"/>
              </w:rPr>
              <w:t>84 %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008D59D3" w:rsidR="00B65EDC" w:rsidRPr="00E675E8" w:rsidRDefault="001D2573">
            <w:pPr>
              <w:jc w:val="center"/>
              <w:rPr>
                <w:rFonts w:cs="Arial"/>
                <w:sz w:val="16"/>
                <w:szCs w:val="16"/>
                <w:lang w:val="es-ES_tradnl"/>
              </w:rPr>
            </w:pPr>
            <w:r w:rsidRPr="00E675E8">
              <w:rPr>
                <w:sz w:val="16"/>
                <w:lang w:val="es-ES_tradnl"/>
              </w:rPr>
              <w:t>≥ 85% satisfechos o muy satisfechos</w:t>
            </w:r>
          </w:p>
        </w:tc>
      </w:tr>
    </w:tbl>
    <w:p w14:paraId="4A74B75A" w14:textId="77777777" w:rsidR="00B65EDC" w:rsidRPr="00E675E8" w:rsidRDefault="00B65EDC" w:rsidP="00B65EDC">
      <w:pPr>
        <w:rPr>
          <w:lang w:val="es-ES_tradnl"/>
        </w:rPr>
      </w:pPr>
    </w:p>
    <w:p w14:paraId="7AAAC2D8" w14:textId="77777777" w:rsidR="00B65EDC" w:rsidRPr="00E675E8" w:rsidRDefault="00B65EDC" w:rsidP="00B65EDC">
      <w:pPr>
        <w:rPr>
          <w:lang w:val="es-ES_tradnl"/>
        </w:rPr>
      </w:pPr>
    </w:p>
    <w:p w14:paraId="1CEBB0C0" w14:textId="77777777" w:rsidR="00383CE0" w:rsidRDefault="00383CE0">
      <w:pPr>
        <w:jc w:val="left"/>
        <w:rPr>
          <w:b/>
          <w:color w:val="26724C" w:themeColor="accent1" w:themeShade="BF"/>
          <w:lang w:val="es-ES_tradnl"/>
        </w:rPr>
      </w:pPr>
      <w:bookmarkStart w:id="512" w:name="_Hlk190118185"/>
      <w:r>
        <w:rPr>
          <w:b/>
          <w:color w:val="26724C" w:themeColor="accent1" w:themeShade="BF"/>
          <w:lang w:val="es-ES_tradnl"/>
        </w:rPr>
        <w:br w:type="page"/>
      </w:r>
    </w:p>
    <w:p w14:paraId="0401DFCB" w14:textId="52E100E2" w:rsidR="00B65EDC" w:rsidRPr="00E675E8" w:rsidRDefault="00B65EDC" w:rsidP="00B65EDC">
      <w:pPr>
        <w:jc w:val="center"/>
        <w:rPr>
          <w:rFonts w:cs="Arial"/>
          <w:b/>
          <w:bCs/>
          <w:color w:val="26724C" w:themeColor="accent1" w:themeShade="BF"/>
          <w:lang w:val="es-ES_tradnl"/>
        </w:rPr>
      </w:pPr>
      <w:r w:rsidRPr="00E675E8">
        <w:rPr>
          <w:b/>
          <w:color w:val="26724C" w:themeColor="accent1" w:themeShade="BF"/>
          <w:lang w:val="es-ES_tradnl"/>
        </w:rPr>
        <w:lastRenderedPageBreak/>
        <w:t>Cuadro 6:</w:t>
      </w:r>
      <w:r w:rsidR="002817AB" w:rsidRPr="00E675E8">
        <w:rPr>
          <w:b/>
          <w:color w:val="26724C" w:themeColor="accent1" w:themeShade="BF"/>
          <w:lang w:val="es-ES_tradnl"/>
        </w:rPr>
        <w:t xml:space="preserve"> </w:t>
      </w:r>
      <w:r w:rsidRPr="00E675E8">
        <w:rPr>
          <w:b/>
          <w:color w:val="26724C" w:themeColor="accent1" w:themeShade="BF"/>
          <w:lang w:val="es-ES_tradnl"/>
        </w:rPr>
        <w:t>Presupuesto para el bienio 2026</w:t>
      </w:r>
      <w:r w:rsidRPr="00E675E8">
        <w:rPr>
          <w:b/>
          <w:color w:val="26724C" w:themeColor="accent1" w:themeShade="BF"/>
          <w:lang w:val="es-ES_tradnl"/>
        </w:rPr>
        <w:noBreakHyphen/>
        <w:t>2027 por resultado previsto</w:t>
      </w:r>
    </w:p>
    <w:bookmarkEnd w:id="512"/>
    <w:p w14:paraId="56F32405" w14:textId="77777777" w:rsidR="00B65EDC" w:rsidRPr="00E675E8" w:rsidRDefault="00B65EDC" w:rsidP="00B65EDC">
      <w:pPr>
        <w:keepNext/>
        <w:jc w:val="center"/>
        <w:rPr>
          <w:rFonts w:cs="Arial"/>
          <w:i/>
          <w:iCs/>
          <w:sz w:val="18"/>
          <w:szCs w:val="18"/>
          <w:lang w:val="es-ES_tradnl"/>
        </w:rPr>
      </w:pPr>
      <w:r w:rsidRPr="00E675E8">
        <w:rPr>
          <w:i/>
          <w:sz w:val="18"/>
          <w:lang w:val="es-ES_tradnl"/>
        </w:rPr>
        <w:t>(en miles de francos suizos)</w:t>
      </w:r>
    </w:p>
    <w:p w14:paraId="48B9B346" w14:textId="77777777" w:rsidR="00B65EDC" w:rsidRPr="00E675E8" w:rsidRDefault="00B65EDC" w:rsidP="00B65EDC">
      <w:pPr>
        <w:jc w:val="center"/>
        <w:rPr>
          <w:lang w:val="es-ES_tradnl"/>
        </w:rPr>
      </w:pPr>
    </w:p>
    <w:tbl>
      <w:tblPr>
        <w:tblW w:w="8212" w:type="dxa"/>
        <w:jc w:val="center"/>
        <w:tblCellMar>
          <w:top w:w="28" w:type="dxa"/>
          <w:bottom w:w="28" w:type="dxa"/>
        </w:tblCellMar>
        <w:tblLook w:val="04A0" w:firstRow="1" w:lastRow="0" w:firstColumn="1" w:lastColumn="0" w:noHBand="0" w:noVBand="1"/>
      </w:tblPr>
      <w:tblGrid>
        <w:gridCol w:w="1134"/>
        <w:gridCol w:w="5483"/>
        <w:gridCol w:w="1595"/>
      </w:tblGrid>
      <w:tr w:rsidR="00B65EDC" w:rsidRPr="00E675E8" w14:paraId="4A4C5F17" w14:textId="77777777">
        <w:trPr>
          <w:trHeight w:val="270"/>
          <w:jc w:val="center"/>
        </w:trPr>
        <w:tc>
          <w:tcPr>
            <w:tcW w:w="6617" w:type="dxa"/>
            <w:gridSpan w:val="2"/>
            <w:vMerge w:val="restart"/>
            <w:tcBorders>
              <w:top w:val="nil"/>
              <w:left w:val="nil"/>
              <w:bottom w:val="nil"/>
              <w:right w:val="nil"/>
            </w:tcBorders>
            <w:shd w:val="clear" w:color="000000" w:fill="C7CFD8"/>
            <w:vAlign w:val="center"/>
          </w:tcPr>
          <w:p w14:paraId="171F6E02" w14:textId="77777777" w:rsidR="00B65EDC" w:rsidRPr="00E675E8" w:rsidRDefault="00B65EDC">
            <w:pPr>
              <w:jc w:val="center"/>
              <w:rPr>
                <w:rFonts w:cs="Arial"/>
                <w:b/>
                <w:bCs/>
                <w:sz w:val="16"/>
                <w:szCs w:val="16"/>
                <w:lang w:val="es-ES_tradnl"/>
              </w:rPr>
            </w:pPr>
          </w:p>
        </w:tc>
        <w:tc>
          <w:tcPr>
            <w:tcW w:w="1595" w:type="dxa"/>
            <w:vMerge w:val="restart"/>
            <w:tcBorders>
              <w:top w:val="nil"/>
              <w:left w:val="nil"/>
              <w:bottom w:val="nil"/>
              <w:right w:val="nil"/>
            </w:tcBorders>
            <w:shd w:val="clear" w:color="000000" w:fill="C7CFD8"/>
            <w:vAlign w:val="center"/>
            <w:hideMark/>
          </w:tcPr>
          <w:p w14:paraId="2BCBF395" w14:textId="279EFBAD" w:rsidR="00B65EDC" w:rsidRPr="00E675E8" w:rsidRDefault="00521C0D">
            <w:pPr>
              <w:jc w:val="center"/>
              <w:rPr>
                <w:rFonts w:cs="Arial"/>
                <w:b/>
                <w:bCs/>
                <w:sz w:val="16"/>
                <w:szCs w:val="16"/>
                <w:lang w:val="es-ES_tradnl"/>
              </w:rPr>
            </w:pPr>
            <w:r w:rsidRPr="00E675E8">
              <w:rPr>
                <w:b/>
                <w:sz w:val="16"/>
                <w:lang w:val="es-ES_tradnl"/>
              </w:rPr>
              <w:t xml:space="preserve">Propuesta para 2026-2027 </w:t>
            </w:r>
          </w:p>
        </w:tc>
      </w:tr>
      <w:tr w:rsidR="00B65EDC" w:rsidRPr="00E675E8" w14:paraId="4A69C950" w14:textId="77777777">
        <w:trPr>
          <w:trHeight w:val="240"/>
          <w:jc w:val="center"/>
        </w:trPr>
        <w:tc>
          <w:tcPr>
            <w:tcW w:w="6617" w:type="dxa"/>
            <w:gridSpan w:val="2"/>
            <w:vMerge/>
            <w:tcBorders>
              <w:top w:val="nil"/>
              <w:left w:val="nil"/>
              <w:bottom w:val="nil"/>
              <w:right w:val="nil"/>
            </w:tcBorders>
            <w:vAlign w:val="center"/>
            <w:hideMark/>
          </w:tcPr>
          <w:p w14:paraId="6EE8C587" w14:textId="77777777" w:rsidR="00B65EDC" w:rsidRPr="00E675E8" w:rsidRDefault="00B65EDC">
            <w:pPr>
              <w:jc w:val="left"/>
              <w:rPr>
                <w:rFonts w:cs="Arial"/>
                <w:b/>
                <w:bCs/>
                <w:sz w:val="16"/>
                <w:szCs w:val="16"/>
                <w:lang w:val="es-ES_tradnl"/>
              </w:rPr>
            </w:pPr>
          </w:p>
        </w:tc>
        <w:tc>
          <w:tcPr>
            <w:tcW w:w="1595" w:type="dxa"/>
            <w:vMerge/>
            <w:tcBorders>
              <w:top w:val="nil"/>
              <w:left w:val="nil"/>
              <w:bottom w:val="nil"/>
              <w:right w:val="nil"/>
            </w:tcBorders>
            <w:vAlign w:val="center"/>
            <w:hideMark/>
          </w:tcPr>
          <w:p w14:paraId="72EEB384" w14:textId="77777777" w:rsidR="00B65EDC" w:rsidRPr="00E675E8" w:rsidRDefault="00B65EDC">
            <w:pPr>
              <w:jc w:val="left"/>
              <w:rPr>
                <w:rFonts w:cs="Arial"/>
                <w:b/>
                <w:bCs/>
                <w:sz w:val="16"/>
                <w:szCs w:val="16"/>
                <w:lang w:val="es-ES_tradnl"/>
              </w:rPr>
            </w:pPr>
          </w:p>
        </w:tc>
      </w:tr>
      <w:tr w:rsidR="00B65EDC" w:rsidRPr="00E675E8" w14:paraId="7F138174" w14:textId="77777777" w:rsidTr="00A538F6">
        <w:trPr>
          <w:trHeight w:val="61"/>
          <w:jc w:val="center"/>
        </w:trPr>
        <w:tc>
          <w:tcPr>
            <w:tcW w:w="6617" w:type="dxa"/>
            <w:gridSpan w:val="2"/>
            <w:tcBorders>
              <w:top w:val="nil"/>
              <w:left w:val="nil"/>
              <w:bottom w:val="nil"/>
              <w:right w:val="nil"/>
            </w:tcBorders>
            <w:vAlign w:val="bottom"/>
            <w:hideMark/>
          </w:tcPr>
          <w:p w14:paraId="575CCD5D" w14:textId="77777777" w:rsidR="00B65EDC" w:rsidRPr="00E675E8" w:rsidRDefault="00B65EDC">
            <w:pPr>
              <w:jc w:val="center"/>
              <w:rPr>
                <w:rFonts w:cs="Arial"/>
                <w:b/>
                <w:bCs/>
                <w:sz w:val="8"/>
                <w:szCs w:val="16"/>
                <w:lang w:val="es-ES_tradnl"/>
              </w:rPr>
            </w:pPr>
          </w:p>
        </w:tc>
        <w:tc>
          <w:tcPr>
            <w:tcW w:w="1595" w:type="dxa"/>
            <w:tcBorders>
              <w:top w:val="nil"/>
              <w:left w:val="nil"/>
              <w:bottom w:val="nil"/>
              <w:right w:val="nil"/>
            </w:tcBorders>
            <w:vAlign w:val="bottom"/>
            <w:hideMark/>
          </w:tcPr>
          <w:p w14:paraId="1E3F57AE" w14:textId="77777777" w:rsidR="00B65EDC" w:rsidRPr="00E675E8" w:rsidRDefault="00B65EDC">
            <w:pPr>
              <w:jc w:val="left"/>
              <w:rPr>
                <w:rFonts w:cs="Arial"/>
                <w:sz w:val="16"/>
                <w:szCs w:val="16"/>
                <w:lang w:val="es-ES_tradnl"/>
              </w:rPr>
            </w:pPr>
          </w:p>
        </w:tc>
      </w:tr>
      <w:tr w:rsidR="00B65EDC" w:rsidRPr="00E675E8" w14:paraId="106667A0" w14:textId="77777777" w:rsidTr="00A538F6">
        <w:trPr>
          <w:jc w:val="center"/>
        </w:trPr>
        <w:tc>
          <w:tcPr>
            <w:tcW w:w="1134" w:type="dxa"/>
            <w:tcBorders>
              <w:top w:val="nil"/>
              <w:left w:val="nil"/>
              <w:bottom w:val="nil"/>
              <w:right w:val="nil"/>
            </w:tcBorders>
            <w:hideMark/>
          </w:tcPr>
          <w:p w14:paraId="2A5A37C7" w14:textId="77777777" w:rsidR="00B65EDC" w:rsidRPr="00E675E8" w:rsidRDefault="00B65EDC">
            <w:pPr>
              <w:jc w:val="center"/>
              <w:rPr>
                <w:rFonts w:cs="Arial"/>
                <w:sz w:val="16"/>
                <w:szCs w:val="16"/>
                <w:lang w:val="es-ES_tradnl"/>
              </w:rPr>
            </w:pPr>
            <w:r w:rsidRPr="00E675E8">
              <w:rPr>
                <w:sz w:val="16"/>
                <w:lang w:val="es-ES_tradnl"/>
              </w:rPr>
              <w:t>1.1</w:t>
            </w:r>
          </w:p>
        </w:tc>
        <w:tc>
          <w:tcPr>
            <w:tcW w:w="5483" w:type="dxa"/>
            <w:tcBorders>
              <w:top w:val="nil"/>
              <w:left w:val="nil"/>
              <w:bottom w:val="nil"/>
              <w:right w:val="nil"/>
            </w:tcBorders>
            <w:hideMark/>
          </w:tcPr>
          <w:p w14:paraId="621A91DA" w14:textId="77777777" w:rsidR="00B65EDC" w:rsidRPr="00E675E8" w:rsidRDefault="00B65EDC">
            <w:pPr>
              <w:jc w:val="left"/>
              <w:rPr>
                <w:rFonts w:cs="Arial"/>
                <w:sz w:val="16"/>
                <w:szCs w:val="16"/>
                <w:lang w:val="es-ES_tradnl"/>
              </w:rPr>
            </w:pPr>
            <w:r w:rsidRPr="00E675E8">
              <w:rPr>
                <w:sz w:val="16"/>
                <w:lang w:val="es-ES_tradnl"/>
              </w:rPr>
              <w:t>Gobernanza del Consejo de la UPOV y labor de los comités y otros órganos de la UPOV</w:t>
            </w:r>
          </w:p>
        </w:tc>
        <w:tc>
          <w:tcPr>
            <w:tcW w:w="1595" w:type="dxa"/>
            <w:tcBorders>
              <w:top w:val="nil"/>
              <w:left w:val="nil"/>
              <w:bottom w:val="nil"/>
              <w:right w:val="nil"/>
            </w:tcBorders>
            <w:hideMark/>
          </w:tcPr>
          <w:p w14:paraId="305A39C1" w14:textId="77777777" w:rsidR="00B65EDC" w:rsidRPr="00E675E8" w:rsidRDefault="00B65EDC">
            <w:pPr>
              <w:ind w:right="302"/>
              <w:jc w:val="right"/>
              <w:rPr>
                <w:rFonts w:cs="Arial"/>
                <w:sz w:val="16"/>
                <w:szCs w:val="16"/>
                <w:lang w:val="es-ES_tradnl"/>
              </w:rPr>
            </w:pPr>
            <w:r w:rsidRPr="00E675E8">
              <w:rPr>
                <w:sz w:val="16"/>
                <w:lang w:val="es-ES_tradnl"/>
              </w:rPr>
              <w:t>722</w:t>
            </w:r>
          </w:p>
        </w:tc>
      </w:tr>
      <w:tr w:rsidR="00B65EDC" w:rsidRPr="00E675E8" w14:paraId="49DDCEB3" w14:textId="77777777" w:rsidTr="00A538F6">
        <w:trPr>
          <w:jc w:val="center"/>
        </w:trPr>
        <w:tc>
          <w:tcPr>
            <w:tcW w:w="1134" w:type="dxa"/>
            <w:tcBorders>
              <w:top w:val="nil"/>
              <w:left w:val="nil"/>
              <w:bottom w:val="nil"/>
              <w:right w:val="nil"/>
            </w:tcBorders>
            <w:hideMark/>
          </w:tcPr>
          <w:p w14:paraId="43A215AE" w14:textId="77777777" w:rsidR="00B65EDC" w:rsidRPr="00E675E8" w:rsidRDefault="00B65EDC">
            <w:pPr>
              <w:jc w:val="center"/>
              <w:rPr>
                <w:rFonts w:cs="Arial"/>
                <w:sz w:val="16"/>
                <w:szCs w:val="16"/>
                <w:lang w:val="es-ES_tradnl"/>
              </w:rPr>
            </w:pPr>
            <w:r w:rsidRPr="00E675E8">
              <w:rPr>
                <w:sz w:val="16"/>
                <w:lang w:val="es-ES_tradnl"/>
              </w:rPr>
              <w:t>1.2</w:t>
            </w:r>
          </w:p>
        </w:tc>
        <w:tc>
          <w:tcPr>
            <w:tcW w:w="5483" w:type="dxa"/>
            <w:tcBorders>
              <w:top w:val="nil"/>
              <w:left w:val="nil"/>
              <w:bottom w:val="nil"/>
              <w:right w:val="nil"/>
            </w:tcBorders>
            <w:hideMark/>
          </w:tcPr>
          <w:p w14:paraId="3C2682A9" w14:textId="77777777" w:rsidR="00B65EDC" w:rsidRPr="00E675E8" w:rsidRDefault="00B65EDC">
            <w:pPr>
              <w:jc w:val="left"/>
              <w:rPr>
                <w:rFonts w:cs="Arial"/>
                <w:sz w:val="16"/>
                <w:szCs w:val="16"/>
                <w:lang w:val="es-ES_tradnl"/>
              </w:rPr>
            </w:pPr>
            <w:r w:rsidRPr="00E675E8">
              <w:rPr>
                <w:sz w:val="16"/>
                <w:lang w:val="es-ES_tradnl"/>
              </w:rPr>
              <w:t>Elaboración de legislación sobre la protección de las obtenciones vegetales de conformidad con el Acta de 1991 del Convenio de la UPOV</w:t>
            </w:r>
          </w:p>
        </w:tc>
        <w:tc>
          <w:tcPr>
            <w:tcW w:w="1595" w:type="dxa"/>
            <w:tcBorders>
              <w:top w:val="nil"/>
              <w:left w:val="nil"/>
              <w:bottom w:val="nil"/>
              <w:right w:val="nil"/>
            </w:tcBorders>
            <w:hideMark/>
          </w:tcPr>
          <w:p w14:paraId="2C6F6E0E" w14:textId="77777777" w:rsidR="00B65EDC" w:rsidRPr="00E675E8" w:rsidRDefault="00B65EDC">
            <w:pPr>
              <w:ind w:right="302"/>
              <w:jc w:val="right"/>
              <w:rPr>
                <w:rFonts w:cs="Arial"/>
                <w:sz w:val="16"/>
                <w:szCs w:val="16"/>
                <w:lang w:val="es-ES_tradnl"/>
              </w:rPr>
            </w:pPr>
            <w:r w:rsidRPr="00E675E8">
              <w:rPr>
                <w:sz w:val="16"/>
                <w:lang w:val="es-ES_tradnl"/>
              </w:rPr>
              <w:t>325</w:t>
            </w:r>
          </w:p>
        </w:tc>
      </w:tr>
      <w:tr w:rsidR="00B65EDC" w:rsidRPr="00E675E8" w14:paraId="73706009" w14:textId="77777777" w:rsidTr="00A538F6">
        <w:trPr>
          <w:jc w:val="center"/>
        </w:trPr>
        <w:tc>
          <w:tcPr>
            <w:tcW w:w="1134" w:type="dxa"/>
            <w:tcBorders>
              <w:top w:val="nil"/>
              <w:left w:val="nil"/>
              <w:bottom w:val="nil"/>
              <w:right w:val="nil"/>
            </w:tcBorders>
            <w:hideMark/>
          </w:tcPr>
          <w:p w14:paraId="5D4F8B08" w14:textId="77777777" w:rsidR="00B65EDC" w:rsidRPr="00E675E8" w:rsidRDefault="00B65EDC">
            <w:pPr>
              <w:jc w:val="center"/>
              <w:rPr>
                <w:rFonts w:cs="Arial"/>
                <w:sz w:val="16"/>
                <w:szCs w:val="16"/>
                <w:lang w:val="es-ES_tradnl"/>
              </w:rPr>
            </w:pPr>
            <w:r w:rsidRPr="00E675E8">
              <w:rPr>
                <w:sz w:val="16"/>
                <w:lang w:val="es-ES_tradnl"/>
              </w:rPr>
              <w:t>2.1</w:t>
            </w:r>
          </w:p>
        </w:tc>
        <w:tc>
          <w:tcPr>
            <w:tcW w:w="5483" w:type="dxa"/>
            <w:tcBorders>
              <w:top w:val="nil"/>
              <w:left w:val="nil"/>
              <w:bottom w:val="nil"/>
              <w:right w:val="nil"/>
            </w:tcBorders>
            <w:hideMark/>
          </w:tcPr>
          <w:p w14:paraId="4F95A239" w14:textId="77777777" w:rsidR="00B65EDC" w:rsidRPr="00E675E8" w:rsidRDefault="00B65EDC">
            <w:pPr>
              <w:jc w:val="left"/>
              <w:rPr>
                <w:rFonts w:cs="Arial"/>
                <w:sz w:val="16"/>
                <w:szCs w:val="16"/>
                <w:lang w:val="es-ES_tradnl"/>
              </w:rPr>
            </w:pPr>
            <w:r w:rsidRPr="00E675E8">
              <w:rPr>
                <w:sz w:val="16"/>
                <w:lang w:val="es-ES_tradnl"/>
              </w:rPr>
              <w:t>Sensibilización sobre la función que cumple el sistema de la UPOV</w:t>
            </w:r>
          </w:p>
        </w:tc>
        <w:tc>
          <w:tcPr>
            <w:tcW w:w="1595" w:type="dxa"/>
            <w:tcBorders>
              <w:top w:val="nil"/>
              <w:left w:val="nil"/>
              <w:bottom w:val="nil"/>
              <w:right w:val="nil"/>
            </w:tcBorders>
            <w:hideMark/>
          </w:tcPr>
          <w:p w14:paraId="3A7D4943" w14:textId="77777777" w:rsidR="00B65EDC" w:rsidRPr="00E675E8" w:rsidRDefault="00B65EDC">
            <w:pPr>
              <w:ind w:right="302"/>
              <w:jc w:val="right"/>
              <w:rPr>
                <w:rFonts w:cs="Arial"/>
                <w:sz w:val="16"/>
                <w:szCs w:val="16"/>
                <w:lang w:val="es-ES_tradnl"/>
              </w:rPr>
            </w:pPr>
            <w:r w:rsidRPr="00E675E8">
              <w:rPr>
                <w:sz w:val="16"/>
                <w:lang w:val="es-ES_tradnl"/>
              </w:rPr>
              <w:t>555</w:t>
            </w:r>
          </w:p>
        </w:tc>
      </w:tr>
      <w:tr w:rsidR="00B65EDC" w:rsidRPr="00E675E8" w14:paraId="7D850C3B" w14:textId="77777777" w:rsidTr="00A538F6">
        <w:trPr>
          <w:jc w:val="center"/>
        </w:trPr>
        <w:tc>
          <w:tcPr>
            <w:tcW w:w="1134" w:type="dxa"/>
            <w:tcBorders>
              <w:top w:val="nil"/>
              <w:left w:val="nil"/>
              <w:bottom w:val="nil"/>
              <w:right w:val="nil"/>
            </w:tcBorders>
            <w:hideMark/>
          </w:tcPr>
          <w:p w14:paraId="39212B29" w14:textId="77777777" w:rsidR="00B65EDC" w:rsidRPr="00E675E8" w:rsidRDefault="00B65EDC">
            <w:pPr>
              <w:jc w:val="center"/>
              <w:rPr>
                <w:rFonts w:cs="Arial"/>
                <w:sz w:val="16"/>
                <w:szCs w:val="16"/>
                <w:lang w:val="es-ES_tradnl"/>
              </w:rPr>
            </w:pPr>
            <w:r w:rsidRPr="00E675E8">
              <w:rPr>
                <w:sz w:val="16"/>
                <w:lang w:val="es-ES_tradnl"/>
              </w:rPr>
              <w:t>2.2</w:t>
            </w:r>
          </w:p>
        </w:tc>
        <w:tc>
          <w:tcPr>
            <w:tcW w:w="5483" w:type="dxa"/>
            <w:tcBorders>
              <w:top w:val="nil"/>
              <w:left w:val="nil"/>
              <w:bottom w:val="nil"/>
              <w:right w:val="nil"/>
            </w:tcBorders>
            <w:hideMark/>
          </w:tcPr>
          <w:p w14:paraId="4881A154" w14:textId="77777777" w:rsidR="00B65EDC" w:rsidRPr="00E675E8" w:rsidRDefault="00B65EDC">
            <w:pPr>
              <w:jc w:val="left"/>
              <w:rPr>
                <w:rFonts w:cs="Arial"/>
                <w:sz w:val="16"/>
                <w:szCs w:val="16"/>
                <w:lang w:val="es-ES_tradnl"/>
              </w:rPr>
            </w:pPr>
            <w:r w:rsidRPr="00E675E8">
              <w:rPr>
                <w:sz w:val="16"/>
                <w:lang w:val="es-ES_tradnl"/>
              </w:rPr>
              <w:t>Orientación y asistencia sobre el Convenio de la UPOV y su aplicación</w:t>
            </w:r>
          </w:p>
        </w:tc>
        <w:tc>
          <w:tcPr>
            <w:tcW w:w="1595" w:type="dxa"/>
            <w:tcBorders>
              <w:top w:val="nil"/>
              <w:left w:val="nil"/>
              <w:bottom w:val="nil"/>
              <w:right w:val="nil"/>
            </w:tcBorders>
            <w:hideMark/>
          </w:tcPr>
          <w:p w14:paraId="301700C3" w14:textId="77777777" w:rsidR="00B65EDC" w:rsidRPr="00E675E8" w:rsidRDefault="00B65EDC">
            <w:pPr>
              <w:ind w:right="302"/>
              <w:jc w:val="right"/>
              <w:rPr>
                <w:rFonts w:cs="Arial"/>
                <w:sz w:val="16"/>
                <w:szCs w:val="16"/>
                <w:lang w:val="es-ES_tradnl"/>
              </w:rPr>
            </w:pPr>
            <w:r w:rsidRPr="00E675E8">
              <w:rPr>
                <w:sz w:val="16"/>
                <w:lang w:val="es-ES_tradnl"/>
              </w:rPr>
              <w:t>1 910</w:t>
            </w:r>
          </w:p>
        </w:tc>
      </w:tr>
      <w:tr w:rsidR="00B65EDC" w:rsidRPr="00E675E8" w14:paraId="673716F6" w14:textId="77777777" w:rsidTr="00A538F6">
        <w:trPr>
          <w:jc w:val="center"/>
        </w:trPr>
        <w:tc>
          <w:tcPr>
            <w:tcW w:w="1134" w:type="dxa"/>
            <w:tcBorders>
              <w:top w:val="nil"/>
              <w:left w:val="nil"/>
              <w:bottom w:val="nil"/>
              <w:right w:val="nil"/>
            </w:tcBorders>
            <w:hideMark/>
          </w:tcPr>
          <w:p w14:paraId="74333A00" w14:textId="77777777" w:rsidR="00B65EDC" w:rsidRPr="00E675E8" w:rsidRDefault="00B65EDC">
            <w:pPr>
              <w:jc w:val="center"/>
              <w:rPr>
                <w:rFonts w:cs="Arial"/>
                <w:sz w:val="16"/>
                <w:szCs w:val="16"/>
                <w:lang w:val="es-ES_tradnl"/>
              </w:rPr>
            </w:pPr>
            <w:r w:rsidRPr="00E675E8">
              <w:rPr>
                <w:sz w:val="16"/>
                <w:lang w:val="es-ES_tradnl"/>
              </w:rPr>
              <w:t>2.3</w:t>
            </w:r>
          </w:p>
        </w:tc>
        <w:tc>
          <w:tcPr>
            <w:tcW w:w="5483" w:type="dxa"/>
            <w:tcBorders>
              <w:top w:val="nil"/>
              <w:left w:val="nil"/>
              <w:bottom w:val="nil"/>
              <w:right w:val="nil"/>
            </w:tcBorders>
            <w:hideMark/>
          </w:tcPr>
          <w:p w14:paraId="6C451AE4" w14:textId="77777777" w:rsidR="00B65EDC" w:rsidRPr="00E675E8" w:rsidRDefault="00B65EDC">
            <w:pPr>
              <w:jc w:val="left"/>
              <w:rPr>
                <w:rFonts w:cs="Arial"/>
                <w:sz w:val="16"/>
                <w:szCs w:val="16"/>
                <w:lang w:val="es-ES_tradnl"/>
              </w:rPr>
            </w:pPr>
            <w:r w:rsidRPr="00E675E8">
              <w:rPr>
                <w:sz w:val="16"/>
                <w:lang w:val="es-ES_tradnl"/>
              </w:rPr>
              <w:t>Mayor armonización y cooperación en los exámenes</w:t>
            </w:r>
          </w:p>
        </w:tc>
        <w:tc>
          <w:tcPr>
            <w:tcW w:w="1595" w:type="dxa"/>
            <w:tcBorders>
              <w:top w:val="nil"/>
              <w:left w:val="nil"/>
              <w:bottom w:val="nil"/>
              <w:right w:val="nil"/>
            </w:tcBorders>
            <w:hideMark/>
          </w:tcPr>
          <w:p w14:paraId="322597A3" w14:textId="77777777" w:rsidR="00B65EDC" w:rsidRPr="00E675E8" w:rsidRDefault="00B65EDC">
            <w:pPr>
              <w:ind w:right="302"/>
              <w:jc w:val="right"/>
              <w:rPr>
                <w:rFonts w:cs="Arial"/>
                <w:sz w:val="16"/>
                <w:szCs w:val="16"/>
                <w:lang w:val="es-ES_tradnl"/>
              </w:rPr>
            </w:pPr>
            <w:r w:rsidRPr="00E675E8">
              <w:rPr>
                <w:sz w:val="16"/>
                <w:lang w:val="es-ES_tradnl"/>
              </w:rPr>
              <w:t>1 209</w:t>
            </w:r>
          </w:p>
        </w:tc>
      </w:tr>
      <w:tr w:rsidR="00B65EDC" w:rsidRPr="00E675E8" w14:paraId="56CE3B84" w14:textId="77777777" w:rsidTr="00A538F6">
        <w:trPr>
          <w:jc w:val="center"/>
        </w:trPr>
        <w:tc>
          <w:tcPr>
            <w:tcW w:w="1134" w:type="dxa"/>
            <w:tcBorders>
              <w:top w:val="nil"/>
              <w:left w:val="nil"/>
              <w:bottom w:val="nil"/>
              <w:right w:val="nil"/>
            </w:tcBorders>
            <w:hideMark/>
          </w:tcPr>
          <w:p w14:paraId="4778D7E6" w14:textId="77777777" w:rsidR="00B65EDC" w:rsidRPr="00E675E8" w:rsidRDefault="00B65EDC">
            <w:pPr>
              <w:jc w:val="center"/>
              <w:rPr>
                <w:rFonts w:cs="Arial"/>
                <w:sz w:val="16"/>
                <w:szCs w:val="16"/>
                <w:lang w:val="es-ES_tradnl"/>
              </w:rPr>
            </w:pPr>
            <w:r w:rsidRPr="00E675E8">
              <w:rPr>
                <w:sz w:val="16"/>
                <w:lang w:val="es-ES_tradnl"/>
              </w:rPr>
              <w:t>3.1</w:t>
            </w:r>
          </w:p>
        </w:tc>
        <w:tc>
          <w:tcPr>
            <w:tcW w:w="5483" w:type="dxa"/>
            <w:tcBorders>
              <w:top w:val="nil"/>
              <w:left w:val="nil"/>
              <w:bottom w:val="nil"/>
              <w:right w:val="nil"/>
            </w:tcBorders>
            <w:hideMark/>
          </w:tcPr>
          <w:p w14:paraId="01FF680D" w14:textId="77777777" w:rsidR="00B65EDC" w:rsidRPr="00E675E8" w:rsidRDefault="00B65EDC">
            <w:pPr>
              <w:jc w:val="left"/>
              <w:rPr>
                <w:rFonts w:cs="Arial"/>
                <w:sz w:val="16"/>
                <w:szCs w:val="16"/>
                <w:lang w:val="es-ES_tradnl"/>
              </w:rPr>
            </w:pPr>
            <w:r w:rsidRPr="00E675E8">
              <w:rPr>
                <w:sz w:val="16"/>
                <w:lang w:val="es-ES_tradnl"/>
              </w:rPr>
              <w:t>Desarrollo de los servicios del sistema UPOV e-PVP</w:t>
            </w:r>
          </w:p>
        </w:tc>
        <w:tc>
          <w:tcPr>
            <w:tcW w:w="1595" w:type="dxa"/>
            <w:tcBorders>
              <w:top w:val="nil"/>
              <w:left w:val="nil"/>
              <w:bottom w:val="nil"/>
              <w:right w:val="nil"/>
            </w:tcBorders>
            <w:hideMark/>
          </w:tcPr>
          <w:p w14:paraId="3E4777DD" w14:textId="77777777" w:rsidR="00B65EDC" w:rsidRPr="00E675E8" w:rsidRDefault="00B65EDC">
            <w:pPr>
              <w:ind w:right="302"/>
              <w:jc w:val="right"/>
              <w:rPr>
                <w:rFonts w:cs="Arial"/>
                <w:sz w:val="16"/>
                <w:szCs w:val="16"/>
                <w:lang w:val="es-ES_tradnl"/>
              </w:rPr>
            </w:pPr>
            <w:r w:rsidRPr="00E675E8">
              <w:rPr>
                <w:sz w:val="16"/>
                <w:lang w:val="es-ES_tradnl"/>
              </w:rPr>
              <w:t>1 083</w:t>
            </w:r>
          </w:p>
        </w:tc>
      </w:tr>
      <w:tr w:rsidR="00B65EDC" w:rsidRPr="00E675E8" w14:paraId="44205366" w14:textId="77777777" w:rsidTr="00A538F6">
        <w:trPr>
          <w:jc w:val="center"/>
        </w:trPr>
        <w:tc>
          <w:tcPr>
            <w:tcW w:w="1134" w:type="dxa"/>
            <w:tcBorders>
              <w:top w:val="nil"/>
              <w:left w:val="nil"/>
              <w:bottom w:val="nil"/>
              <w:right w:val="nil"/>
            </w:tcBorders>
            <w:hideMark/>
          </w:tcPr>
          <w:p w14:paraId="40CE2CD1" w14:textId="77777777" w:rsidR="00B65EDC" w:rsidRPr="00E675E8" w:rsidRDefault="00B65EDC">
            <w:pPr>
              <w:jc w:val="center"/>
              <w:rPr>
                <w:rFonts w:cs="Arial"/>
                <w:sz w:val="16"/>
                <w:szCs w:val="16"/>
                <w:lang w:val="es-ES_tradnl"/>
              </w:rPr>
            </w:pPr>
            <w:r w:rsidRPr="00E675E8">
              <w:rPr>
                <w:sz w:val="16"/>
                <w:lang w:val="es-ES_tradnl"/>
              </w:rPr>
              <w:t>4.1</w:t>
            </w:r>
          </w:p>
        </w:tc>
        <w:tc>
          <w:tcPr>
            <w:tcW w:w="5483" w:type="dxa"/>
            <w:tcBorders>
              <w:top w:val="nil"/>
              <w:left w:val="nil"/>
              <w:bottom w:val="nil"/>
              <w:right w:val="nil"/>
            </w:tcBorders>
            <w:hideMark/>
          </w:tcPr>
          <w:p w14:paraId="409A1D0D" w14:textId="5520C479" w:rsidR="00B65EDC" w:rsidRPr="00E675E8" w:rsidRDefault="000C10D9">
            <w:pPr>
              <w:jc w:val="left"/>
              <w:rPr>
                <w:rFonts w:cs="Arial"/>
                <w:sz w:val="16"/>
                <w:szCs w:val="16"/>
                <w:lang w:val="es-ES_tradnl"/>
              </w:rPr>
            </w:pPr>
            <w:r w:rsidRPr="00E675E8">
              <w:rPr>
                <w:sz w:val="16"/>
                <w:lang w:val="es-ES_tradnl"/>
              </w:rPr>
              <w:t>Garantizar la sostenibilidad financiera</w:t>
            </w:r>
          </w:p>
        </w:tc>
        <w:tc>
          <w:tcPr>
            <w:tcW w:w="1595" w:type="dxa"/>
            <w:tcBorders>
              <w:top w:val="nil"/>
              <w:left w:val="nil"/>
              <w:bottom w:val="nil"/>
              <w:right w:val="nil"/>
            </w:tcBorders>
            <w:hideMark/>
          </w:tcPr>
          <w:p w14:paraId="73594E5E" w14:textId="77777777" w:rsidR="00B65EDC" w:rsidRPr="00E675E8" w:rsidRDefault="00B65EDC">
            <w:pPr>
              <w:ind w:right="302"/>
              <w:jc w:val="right"/>
              <w:rPr>
                <w:rFonts w:cs="Arial"/>
                <w:sz w:val="16"/>
                <w:szCs w:val="16"/>
                <w:lang w:val="es-ES_tradnl"/>
              </w:rPr>
            </w:pPr>
            <w:r w:rsidRPr="00E675E8">
              <w:rPr>
                <w:sz w:val="16"/>
                <w:lang w:val="es-ES_tradnl"/>
              </w:rPr>
              <w:t>422</w:t>
            </w:r>
          </w:p>
        </w:tc>
      </w:tr>
      <w:tr w:rsidR="00B65EDC" w:rsidRPr="00E675E8" w14:paraId="5A0574C7" w14:textId="77777777" w:rsidTr="00A538F6">
        <w:trPr>
          <w:jc w:val="center"/>
        </w:trPr>
        <w:tc>
          <w:tcPr>
            <w:tcW w:w="1134" w:type="dxa"/>
            <w:tcBorders>
              <w:top w:val="nil"/>
              <w:left w:val="nil"/>
              <w:bottom w:val="nil"/>
              <w:right w:val="nil"/>
            </w:tcBorders>
            <w:hideMark/>
          </w:tcPr>
          <w:p w14:paraId="272C5596" w14:textId="77777777" w:rsidR="00B65EDC" w:rsidRPr="00E675E8" w:rsidRDefault="00B65EDC">
            <w:pPr>
              <w:jc w:val="center"/>
              <w:rPr>
                <w:rFonts w:cs="Arial"/>
                <w:sz w:val="16"/>
                <w:szCs w:val="16"/>
                <w:lang w:val="es-ES_tradnl"/>
              </w:rPr>
            </w:pPr>
            <w:r w:rsidRPr="00E675E8">
              <w:rPr>
                <w:sz w:val="16"/>
                <w:lang w:val="es-ES_tradnl"/>
              </w:rPr>
              <w:t>4.2</w:t>
            </w:r>
          </w:p>
        </w:tc>
        <w:tc>
          <w:tcPr>
            <w:tcW w:w="5483" w:type="dxa"/>
            <w:tcBorders>
              <w:top w:val="nil"/>
              <w:left w:val="nil"/>
              <w:bottom w:val="nil"/>
              <w:right w:val="nil"/>
            </w:tcBorders>
            <w:hideMark/>
          </w:tcPr>
          <w:p w14:paraId="6ADC13B0" w14:textId="77777777" w:rsidR="00B65EDC" w:rsidRPr="00E675E8" w:rsidRDefault="00B65EDC">
            <w:pPr>
              <w:jc w:val="left"/>
              <w:rPr>
                <w:rFonts w:cs="Arial"/>
                <w:sz w:val="16"/>
                <w:szCs w:val="16"/>
                <w:lang w:val="es-ES_tradnl"/>
              </w:rPr>
            </w:pPr>
            <w:r w:rsidRPr="00E675E8">
              <w:rPr>
                <w:sz w:val="16"/>
                <w:lang w:val="es-ES_tradnl"/>
              </w:rPr>
              <w:t>Una Secretaría empoderada y dotada de la formación y los recursos necesarios para trabajar de forma eficaz, colaborativa e innovadora</w:t>
            </w:r>
          </w:p>
        </w:tc>
        <w:tc>
          <w:tcPr>
            <w:tcW w:w="1595" w:type="dxa"/>
            <w:tcBorders>
              <w:top w:val="nil"/>
              <w:left w:val="nil"/>
              <w:bottom w:val="nil"/>
              <w:right w:val="nil"/>
            </w:tcBorders>
            <w:hideMark/>
          </w:tcPr>
          <w:p w14:paraId="17EC299F" w14:textId="77777777" w:rsidR="00B65EDC" w:rsidRPr="00E675E8" w:rsidRDefault="00B65EDC">
            <w:pPr>
              <w:ind w:right="302"/>
              <w:jc w:val="right"/>
              <w:rPr>
                <w:rFonts w:cs="Arial"/>
                <w:sz w:val="16"/>
                <w:szCs w:val="16"/>
                <w:lang w:val="es-ES_tradnl"/>
              </w:rPr>
            </w:pPr>
            <w:r w:rsidRPr="00E675E8">
              <w:rPr>
                <w:sz w:val="16"/>
                <w:lang w:val="es-ES_tradnl"/>
              </w:rPr>
              <w:t>1 390</w:t>
            </w:r>
          </w:p>
        </w:tc>
      </w:tr>
      <w:tr w:rsidR="00B65EDC" w:rsidRPr="00E675E8" w14:paraId="1F0E1F91" w14:textId="77777777" w:rsidTr="00A538F6">
        <w:trPr>
          <w:trHeight w:val="61"/>
          <w:jc w:val="center"/>
        </w:trPr>
        <w:tc>
          <w:tcPr>
            <w:tcW w:w="1134" w:type="dxa"/>
            <w:tcBorders>
              <w:top w:val="nil"/>
              <w:left w:val="nil"/>
              <w:bottom w:val="nil"/>
              <w:right w:val="nil"/>
            </w:tcBorders>
            <w:vAlign w:val="bottom"/>
            <w:hideMark/>
          </w:tcPr>
          <w:p w14:paraId="1E5DE317" w14:textId="77777777" w:rsidR="00B65EDC" w:rsidRPr="00E675E8" w:rsidRDefault="00B65EDC">
            <w:pPr>
              <w:jc w:val="right"/>
              <w:rPr>
                <w:rFonts w:cs="Arial"/>
                <w:sz w:val="16"/>
                <w:szCs w:val="16"/>
                <w:lang w:val="es-ES_tradnl"/>
              </w:rPr>
            </w:pPr>
          </w:p>
        </w:tc>
        <w:tc>
          <w:tcPr>
            <w:tcW w:w="5483" w:type="dxa"/>
            <w:tcBorders>
              <w:top w:val="nil"/>
              <w:left w:val="nil"/>
              <w:bottom w:val="nil"/>
              <w:right w:val="nil"/>
            </w:tcBorders>
            <w:vAlign w:val="bottom"/>
            <w:hideMark/>
          </w:tcPr>
          <w:p w14:paraId="12DDB94F" w14:textId="77777777" w:rsidR="00B65EDC" w:rsidRPr="00E675E8" w:rsidRDefault="00B65EDC">
            <w:pPr>
              <w:jc w:val="left"/>
              <w:rPr>
                <w:rFonts w:cs="Arial"/>
                <w:sz w:val="16"/>
                <w:szCs w:val="16"/>
                <w:lang w:val="es-ES_tradnl"/>
              </w:rPr>
            </w:pPr>
          </w:p>
        </w:tc>
        <w:tc>
          <w:tcPr>
            <w:tcW w:w="1595" w:type="dxa"/>
            <w:tcBorders>
              <w:top w:val="nil"/>
              <w:left w:val="nil"/>
              <w:bottom w:val="nil"/>
              <w:right w:val="nil"/>
            </w:tcBorders>
            <w:vAlign w:val="bottom"/>
            <w:hideMark/>
          </w:tcPr>
          <w:p w14:paraId="5F1AB7E8" w14:textId="77777777" w:rsidR="00B65EDC" w:rsidRPr="00E675E8" w:rsidRDefault="00B65EDC">
            <w:pPr>
              <w:ind w:right="302"/>
              <w:jc w:val="right"/>
              <w:rPr>
                <w:rFonts w:cs="Arial"/>
                <w:sz w:val="16"/>
                <w:szCs w:val="16"/>
                <w:lang w:val="es-ES_tradnl"/>
              </w:rPr>
            </w:pPr>
          </w:p>
        </w:tc>
      </w:tr>
      <w:tr w:rsidR="00B65EDC" w:rsidRPr="00E675E8" w14:paraId="7C5D839B" w14:textId="77777777" w:rsidTr="00A538F6">
        <w:trPr>
          <w:trHeight w:val="345"/>
          <w:jc w:val="center"/>
        </w:trPr>
        <w:tc>
          <w:tcPr>
            <w:tcW w:w="1134" w:type="dxa"/>
            <w:tcBorders>
              <w:top w:val="single" w:sz="4" w:space="0" w:color="AAB8C4"/>
              <w:left w:val="nil"/>
              <w:bottom w:val="single" w:sz="8" w:space="0" w:color="AAB8C4"/>
              <w:right w:val="nil"/>
            </w:tcBorders>
            <w:vAlign w:val="center"/>
            <w:hideMark/>
          </w:tcPr>
          <w:p w14:paraId="7BDDC0CF" w14:textId="77777777" w:rsidR="00B65EDC" w:rsidRPr="00E675E8" w:rsidRDefault="00B65EDC">
            <w:pPr>
              <w:ind w:firstLineChars="200" w:firstLine="321"/>
              <w:jc w:val="left"/>
              <w:rPr>
                <w:rFonts w:cs="Arial"/>
                <w:b/>
                <w:bCs/>
                <w:sz w:val="16"/>
                <w:szCs w:val="16"/>
                <w:lang w:val="es-ES_tradnl"/>
              </w:rPr>
            </w:pPr>
            <w:r w:rsidRPr="00E675E8">
              <w:rPr>
                <w:b/>
                <w:sz w:val="16"/>
                <w:lang w:val="es-ES_tradnl"/>
              </w:rPr>
              <w:t>TOTAL</w:t>
            </w:r>
          </w:p>
        </w:tc>
        <w:tc>
          <w:tcPr>
            <w:tcW w:w="5483" w:type="dxa"/>
            <w:tcBorders>
              <w:top w:val="single" w:sz="4" w:space="0" w:color="AAB8C4"/>
              <w:left w:val="nil"/>
              <w:bottom w:val="single" w:sz="8" w:space="0" w:color="AAB8C4"/>
              <w:right w:val="nil"/>
            </w:tcBorders>
            <w:vAlign w:val="center"/>
            <w:hideMark/>
          </w:tcPr>
          <w:p w14:paraId="053ABBD1" w14:textId="77777777" w:rsidR="00B65EDC" w:rsidRPr="00E675E8" w:rsidRDefault="00B65EDC">
            <w:pPr>
              <w:jc w:val="left"/>
              <w:rPr>
                <w:rFonts w:cs="Arial"/>
                <w:b/>
                <w:bCs/>
                <w:sz w:val="16"/>
                <w:szCs w:val="16"/>
                <w:lang w:val="es-ES_tradnl"/>
              </w:rPr>
            </w:pPr>
            <w:r w:rsidRPr="00E675E8">
              <w:rPr>
                <w:b/>
                <w:sz w:val="16"/>
                <w:lang w:val="es-ES_tradnl"/>
              </w:rPr>
              <w:t> </w:t>
            </w:r>
          </w:p>
        </w:tc>
        <w:tc>
          <w:tcPr>
            <w:tcW w:w="1595" w:type="dxa"/>
            <w:tcBorders>
              <w:top w:val="single" w:sz="4" w:space="0" w:color="C9C9C9"/>
              <w:left w:val="nil"/>
              <w:bottom w:val="single" w:sz="8" w:space="0" w:color="C9C9C9"/>
              <w:right w:val="nil"/>
            </w:tcBorders>
            <w:vAlign w:val="center"/>
            <w:hideMark/>
          </w:tcPr>
          <w:p w14:paraId="3943E2B8" w14:textId="77777777" w:rsidR="00B65EDC" w:rsidRPr="00E675E8" w:rsidRDefault="00B65EDC">
            <w:pPr>
              <w:ind w:right="302"/>
              <w:jc w:val="right"/>
              <w:rPr>
                <w:rFonts w:cs="Arial"/>
                <w:b/>
                <w:bCs/>
                <w:sz w:val="16"/>
                <w:szCs w:val="16"/>
                <w:lang w:val="es-ES_tradnl"/>
              </w:rPr>
            </w:pPr>
            <w:r w:rsidRPr="00E675E8">
              <w:rPr>
                <w:b/>
                <w:sz w:val="16"/>
                <w:lang w:val="es-ES_tradnl"/>
              </w:rPr>
              <w:t>7 616</w:t>
            </w:r>
          </w:p>
        </w:tc>
      </w:tr>
    </w:tbl>
    <w:p w14:paraId="2A8EDE8D" w14:textId="77777777" w:rsidR="00B65EDC" w:rsidRPr="00E675E8" w:rsidRDefault="00B65EDC" w:rsidP="00B65EDC">
      <w:pPr>
        <w:jc w:val="center"/>
        <w:rPr>
          <w:caps/>
          <w:color w:val="26724C" w:themeColor="accent1" w:themeShade="BF"/>
          <w:sz w:val="32"/>
          <w:szCs w:val="24"/>
          <w:lang w:val="es-ES_tradnl"/>
        </w:rPr>
      </w:pPr>
    </w:p>
    <w:p w14:paraId="45FC89D5" w14:textId="77777777" w:rsidR="00B65EDC" w:rsidRPr="00E675E8" w:rsidRDefault="00B65EDC" w:rsidP="00B65EDC">
      <w:pPr>
        <w:jc w:val="left"/>
        <w:rPr>
          <w:caps/>
          <w:color w:val="26724C" w:themeColor="accent1" w:themeShade="BF"/>
          <w:sz w:val="32"/>
          <w:szCs w:val="24"/>
          <w:lang w:val="es-ES_tradnl"/>
        </w:rPr>
      </w:pPr>
      <w:r w:rsidRPr="00E675E8">
        <w:rPr>
          <w:lang w:val="es-ES_tradnl"/>
        </w:rPr>
        <w:br w:type="page"/>
      </w:r>
    </w:p>
    <w:p w14:paraId="04409C94" w14:textId="77777777" w:rsidR="00B65EDC" w:rsidRPr="00E675E8" w:rsidRDefault="00B65EDC" w:rsidP="00FC7FED">
      <w:pPr>
        <w:pStyle w:val="Heading1"/>
        <w:rPr>
          <w:lang w:val="es-ES_tradnl"/>
        </w:rPr>
      </w:pPr>
      <w:bookmarkStart w:id="513" w:name="_Toc209777779"/>
      <w:r w:rsidRPr="00E675E8">
        <w:rPr>
          <w:lang w:val="es-ES_tradnl"/>
        </w:rPr>
        <w:lastRenderedPageBreak/>
        <w:t>Indicadores financieros 2020-2029</w:t>
      </w:r>
      <w:bookmarkEnd w:id="513"/>
    </w:p>
    <w:p w14:paraId="3DC39855" w14:textId="77777777" w:rsidR="00B65EDC" w:rsidRPr="00E675E8" w:rsidRDefault="00B65EDC" w:rsidP="00B65EDC">
      <w:pPr>
        <w:rPr>
          <w:lang w:val="es-ES_tradnl"/>
        </w:rPr>
      </w:pPr>
    </w:p>
    <w:p w14:paraId="13B7C20F" w14:textId="26F00BE0"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programa y presupuesto para el bienio 2026-2027 se incluyen indicadores financieros que abarcan un período de 10 años y comprenden los dos años posteriores al nuevo bienio e información recabada del pasado reciente.</w:t>
      </w:r>
      <w:r w:rsidR="002817AB" w:rsidRPr="00E675E8">
        <w:rPr>
          <w:lang w:val="es-ES_tradnl"/>
        </w:rPr>
        <w:t xml:space="preserve"> </w:t>
      </w:r>
      <w:r w:rsidRPr="00E675E8">
        <w:rPr>
          <w:lang w:val="es-ES_tradnl"/>
        </w:rPr>
        <w:t>La presentación de los indicadores financieros permite contextualizar la propuesta de presupuesto para el bienio 2026-2027, con indicación de las tendencias y una evaluación de su viabilidad financiera futura.</w:t>
      </w:r>
      <w:r w:rsidR="002817AB" w:rsidRPr="00E675E8">
        <w:rPr>
          <w:lang w:val="es-ES_tradnl"/>
        </w:rPr>
        <w:t xml:space="preserve"> </w:t>
      </w:r>
      <w:r w:rsidRPr="00E675E8">
        <w:rPr>
          <w:lang w:val="es-ES_tradnl"/>
        </w:rPr>
        <w:t>Esta información se proporciona con objeto de facilitar a los miembros la revisión de la propuesta de programa y presupuesto, así como la adopción de decisiones al respecto, por lo que no debe interpretarse que impone compromiso financiero alguno ni aprobación con posterioridad a 2025.</w:t>
      </w:r>
    </w:p>
    <w:p w14:paraId="0B9C7060" w14:textId="77777777" w:rsidR="00B65EDC" w:rsidRPr="00E675E8" w:rsidRDefault="00B65EDC" w:rsidP="00B65EDC">
      <w:pPr>
        <w:tabs>
          <w:tab w:val="left" w:pos="567"/>
        </w:tabs>
        <w:rPr>
          <w:lang w:val="es-ES_tradnl"/>
        </w:rPr>
      </w:pPr>
    </w:p>
    <w:p w14:paraId="0B8FCBD3" w14:textId="77777777" w:rsidR="00B65EDC" w:rsidRPr="00E675E8" w:rsidRDefault="00B65EDC" w:rsidP="00B65EDC">
      <w:pPr>
        <w:tabs>
          <w:tab w:val="left" w:pos="567"/>
        </w:tabs>
        <w:rPr>
          <w:lang w:val="es-ES_tradnl"/>
        </w:rPr>
      </w:pPr>
      <w:r w:rsidRPr="00E675E8">
        <w:rPr>
          <w:lang w:val="es-ES_tradnl"/>
        </w:rPr>
        <w:fldChar w:fldCharType="begin"/>
      </w:r>
      <w:r w:rsidRPr="00E675E8">
        <w:rPr>
          <w:lang w:val="es-ES_tradnl"/>
        </w:rPr>
        <w:instrText xml:space="preserve"> AUTONUM  </w:instrText>
      </w:r>
      <w:r w:rsidRPr="00E675E8">
        <w:rPr>
          <w:lang w:val="es-ES_tradnl"/>
        </w:rPr>
        <w:fldChar w:fldCharType="end"/>
      </w:r>
      <w:r w:rsidRPr="00E675E8">
        <w:rPr>
          <w:lang w:val="es-ES_tradnl"/>
        </w:rPr>
        <w:tab/>
        <w:t>En el cuadro 7 y la figura 1 se muestra la evolución prevista del presupuesto ordinario en lo que respecta a los ingresos, los gastos, y los fondos de reserva y de operaciones.</w:t>
      </w:r>
    </w:p>
    <w:p w14:paraId="268B12EE" w14:textId="77777777" w:rsidR="00B65EDC" w:rsidRPr="00E675E8" w:rsidRDefault="00B65EDC" w:rsidP="00B65EDC">
      <w:pPr>
        <w:rPr>
          <w:spacing w:val="-2"/>
          <w:szCs w:val="24"/>
          <w:lang w:val="es-ES_tradnl"/>
        </w:rPr>
      </w:pPr>
    </w:p>
    <w:p w14:paraId="4061ED8E" w14:textId="77777777" w:rsidR="00B65EDC" w:rsidRPr="00E675E8" w:rsidRDefault="00B65EDC" w:rsidP="00B65EDC">
      <w:pPr>
        <w:rPr>
          <w:spacing w:val="-2"/>
          <w:szCs w:val="24"/>
          <w:lang w:val="es-ES_tradnl"/>
        </w:rPr>
      </w:pPr>
    </w:p>
    <w:p w14:paraId="07E34A2A" w14:textId="5D773CA5" w:rsidR="00B65EDC" w:rsidRPr="00E675E8" w:rsidRDefault="00B65EDC" w:rsidP="00B65EDC">
      <w:pPr>
        <w:jc w:val="center"/>
        <w:rPr>
          <w:rFonts w:cs="Arial"/>
          <w:i/>
          <w:iCs/>
          <w:sz w:val="18"/>
          <w:szCs w:val="18"/>
          <w:lang w:val="es-ES_tradnl"/>
        </w:rPr>
      </w:pPr>
      <w:r w:rsidRPr="00E675E8">
        <w:rPr>
          <w:b/>
          <w:color w:val="26724C" w:themeColor="accent1" w:themeShade="BF"/>
          <w:lang w:val="es-ES_tradnl"/>
        </w:rPr>
        <w:t>Cuadro 7:</w:t>
      </w:r>
      <w:r w:rsidR="002817AB" w:rsidRPr="00E675E8">
        <w:rPr>
          <w:b/>
          <w:color w:val="26724C" w:themeColor="accent1" w:themeShade="BF"/>
          <w:lang w:val="es-ES_tradnl"/>
        </w:rPr>
        <w:t xml:space="preserve"> </w:t>
      </w:r>
      <w:r w:rsidRPr="00E675E8">
        <w:rPr>
          <w:b/>
          <w:color w:val="26724C" w:themeColor="accent1" w:themeShade="BF"/>
          <w:lang w:val="es-ES_tradnl"/>
        </w:rPr>
        <w:t>Ingresos, gastos y reservas correspondientes al período 2020-2029</w:t>
      </w:r>
      <w:r w:rsidRPr="00E675E8">
        <w:rPr>
          <w:b/>
          <w:lang w:val="es-ES_tradnl"/>
        </w:rPr>
        <w:br/>
      </w:r>
      <w:r w:rsidRPr="00E675E8">
        <w:rPr>
          <w:i/>
          <w:sz w:val="18"/>
          <w:lang w:val="es-ES_tradnl"/>
        </w:rPr>
        <w:t>(miles de francos suizos)</w:t>
      </w:r>
    </w:p>
    <w:p w14:paraId="35A0DE1D" w14:textId="77777777" w:rsidR="00B65EDC" w:rsidRPr="00E675E8" w:rsidRDefault="00B65EDC" w:rsidP="00B65EDC">
      <w:pPr>
        <w:jc w:val="center"/>
        <w:rPr>
          <w:spacing w:val="-2"/>
          <w:sz w:val="18"/>
          <w:szCs w:val="18"/>
          <w:lang w:val="es-ES_tradnl"/>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B65EDC" w:rsidRPr="00E675E8" w14:paraId="2CE5FB76" w14:textId="77777777" w:rsidTr="00A538F6">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E675E8" w:rsidRDefault="00B65EDC">
            <w:pPr>
              <w:jc w:val="left"/>
              <w:rPr>
                <w:rFonts w:cs="Arial"/>
                <w:i/>
                <w:iCs/>
                <w:lang w:val="es-ES_tradnl"/>
              </w:rPr>
            </w:pPr>
            <w:r w:rsidRPr="00E675E8">
              <w:rPr>
                <w:i/>
                <w:lang w:val="es-ES_tradnl"/>
              </w:rPr>
              <w:t xml:space="preserve">Base presupuestaria </w:t>
            </w:r>
          </w:p>
        </w:tc>
        <w:tc>
          <w:tcPr>
            <w:tcW w:w="1004" w:type="dxa"/>
            <w:tcBorders>
              <w:top w:val="nil"/>
              <w:left w:val="nil"/>
              <w:right w:val="nil"/>
            </w:tcBorders>
            <w:shd w:val="clear" w:color="000000" w:fill="FFFFFF"/>
            <w:noWrap/>
            <w:vAlign w:val="bottom"/>
            <w:hideMark/>
          </w:tcPr>
          <w:p w14:paraId="7BB3524F" w14:textId="77777777" w:rsidR="00B65EDC" w:rsidRPr="00E675E8" w:rsidRDefault="00B65EDC">
            <w:pPr>
              <w:jc w:val="left"/>
              <w:rPr>
                <w:rFonts w:cs="Arial"/>
                <w:lang w:val="es-ES_tradnl"/>
              </w:rPr>
            </w:pPr>
            <w:r w:rsidRPr="00E675E8">
              <w:rPr>
                <w:lang w:val="es-ES_tradnl"/>
              </w:rPr>
              <w:t> </w:t>
            </w:r>
          </w:p>
        </w:tc>
        <w:tc>
          <w:tcPr>
            <w:tcW w:w="1038" w:type="dxa"/>
            <w:tcBorders>
              <w:top w:val="nil"/>
              <w:left w:val="nil"/>
              <w:right w:val="nil"/>
            </w:tcBorders>
            <w:shd w:val="clear" w:color="000000" w:fill="FFFFFF"/>
            <w:noWrap/>
            <w:vAlign w:val="bottom"/>
            <w:hideMark/>
          </w:tcPr>
          <w:p w14:paraId="29698854" w14:textId="77777777" w:rsidR="00B65EDC" w:rsidRPr="00E675E8" w:rsidRDefault="00B65EDC">
            <w:pPr>
              <w:jc w:val="left"/>
              <w:rPr>
                <w:rFonts w:cs="Arial"/>
                <w:lang w:val="es-ES_tradnl"/>
              </w:rPr>
            </w:pPr>
            <w:r w:rsidRPr="00E675E8">
              <w:rPr>
                <w:lang w:val="es-ES_tradnl"/>
              </w:rPr>
              <w:t> </w:t>
            </w:r>
          </w:p>
        </w:tc>
        <w:tc>
          <w:tcPr>
            <w:tcW w:w="1216" w:type="dxa"/>
            <w:tcBorders>
              <w:top w:val="nil"/>
              <w:left w:val="nil"/>
              <w:right w:val="nil"/>
            </w:tcBorders>
            <w:shd w:val="clear" w:color="000000" w:fill="FFFFFF"/>
            <w:noWrap/>
            <w:vAlign w:val="bottom"/>
            <w:hideMark/>
          </w:tcPr>
          <w:p w14:paraId="509FBA15" w14:textId="77777777" w:rsidR="00B65EDC" w:rsidRPr="00E675E8" w:rsidRDefault="00B65EDC">
            <w:pPr>
              <w:jc w:val="left"/>
              <w:rPr>
                <w:rFonts w:cs="Arial"/>
                <w:lang w:val="es-ES_tradnl"/>
              </w:rPr>
            </w:pPr>
            <w:r w:rsidRPr="00E675E8">
              <w:rPr>
                <w:lang w:val="es-ES_tradnl"/>
              </w:rPr>
              <w:t> </w:t>
            </w:r>
          </w:p>
        </w:tc>
        <w:tc>
          <w:tcPr>
            <w:tcW w:w="1216" w:type="dxa"/>
            <w:tcBorders>
              <w:top w:val="nil"/>
              <w:left w:val="nil"/>
              <w:right w:val="nil"/>
            </w:tcBorders>
            <w:shd w:val="clear" w:color="000000" w:fill="FFFFFF"/>
            <w:noWrap/>
            <w:vAlign w:val="bottom"/>
            <w:hideMark/>
          </w:tcPr>
          <w:p w14:paraId="1AB2A0FB" w14:textId="77777777" w:rsidR="00B65EDC" w:rsidRPr="00E675E8" w:rsidRDefault="00B65EDC">
            <w:pPr>
              <w:jc w:val="left"/>
              <w:rPr>
                <w:rFonts w:cs="Arial"/>
                <w:lang w:val="es-ES_tradnl"/>
              </w:rPr>
            </w:pPr>
            <w:r w:rsidRPr="00E675E8">
              <w:rPr>
                <w:lang w:val="es-ES_tradnl"/>
              </w:rPr>
              <w:t> </w:t>
            </w:r>
          </w:p>
        </w:tc>
        <w:tc>
          <w:tcPr>
            <w:tcW w:w="1256" w:type="dxa"/>
            <w:tcBorders>
              <w:top w:val="nil"/>
              <w:left w:val="nil"/>
              <w:right w:val="nil"/>
            </w:tcBorders>
            <w:noWrap/>
            <w:vAlign w:val="bottom"/>
            <w:hideMark/>
          </w:tcPr>
          <w:p w14:paraId="51D67F7F" w14:textId="77777777" w:rsidR="00B65EDC" w:rsidRPr="00E675E8" w:rsidRDefault="00B65EDC">
            <w:pPr>
              <w:jc w:val="left"/>
              <w:rPr>
                <w:rFonts w:cs="Arial"/>
                <w:lang w:val="es-ES_tradnl"/>
              </w:rPr>
            </w:pPr>
          </w:p>
        </w:tc>
      </w:tr>
      <w:tr w:rsidR="00B65EDC" w:rsidRPr="00E675E8" w14:paraId="30EB510B" w14:textId="77777777">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E675E8" w:rsidRDefault="00B65EDC">
            <w:pPr>
              <w:jc w:val="center"/>
              <w:rPr>
                <w:rFonts w:cs="Arial"/>
                <w:i/>
                <w:iCs/>
                <w:color w:val="000000"/>
                <w:lang w:val="es-ES_tradnl"/>
              </w:rPr>
            </w:pPr>
            <w:r w:rsidRPr="00E675E8">
              <w:rPr>
                <w:i/>
                <w:color w:val="000000"/>
                <w:lang w:val="es-ES_tradnl"/>
              </w:rPr>
              <w:t> </w:t>
            </w:r>
          </w:p>
        </w:tc>
        <w:tc>
          <w:tcPr>
            <w:tcW w:w="2042" w:type="dxa"/>
            <w:gridSpan w:val="2"/>
            <w:tcBorders>
              <w:top w:val="nil"/>
              <w:left w:val="nil"/>
              <w:right w:val="nil"/>
            </w:tcBorders>
            <w:shd w:val="clear" w:color="000000" w:fill="C7CFD8"/>
            <w:vAlign w:val="center"/>
            <w:hideMark/>
          </w:tcPr>
          <w:p w14:paraId="4BB27F0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Real </w:t>
            </w:r>
          </w:p>
        </w:tc>
        <w:tc>
          <w:tcPr>
            <w:tcW w:w="1216" w:type="dxa"/>
            <w:tcBorders>
              <w:top w:val="nil"/>
              <w:left w:val="nil"/>
              <w:right w:val="nil"/>
            </w:tcBorders>
            <w:shd w:val="clear" w:color="000000" w:fill="C7CFD8"/>
            <w:vAlign w:val="center"/>
            <w:hideMark/>
          </w:tcPr>
          <w:p w14:paraId="19C0DABC"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Presupuesto </w:t>
            </w:r>
          </w:p>
        </w:tc>
        <w:tc>
          <w:tcPr>
            <w:tcW w:w="1216" w:type="dxa"/>
            <w:tcBorders>
              <w:top w:val="nil"/>
              <w:left w:val="nil"/>
              <w:right w:val="nil"/>
            </w:tcBorders>
            <w:shd w:val="clear" w:color="000000" w:fill="C7CFD8"/>
            <w:vAlign w:val="center"/>
            <w:hideMark/>
          </w:tcPr>
          <w:p w14:paraId="16941CF1"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Propuesto </w:t>
            </w:r>
          </w:p>
        </w:tc>
        <w:tc>
          <w:tcPr>
            <w:tcW w:w="1256" w:type="dxa"/>
            <w:tcBorders>
              <w:top w:val="nil"/>
              <w:left w:val="nil"/>
              <w:right w:val="nil"/>
            </w:tcBorders>
            <w:shd w:val="clear" w:color="000000" w:fill="C7CFD8"/>
            <w:vAlign w:val="center"/>
            <w:hideMark/>
          </w:tcPr>
          <w:p w14:paraId="4B26F755"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Estimado </w:t>
            </w:r>
          </w:p>
        </w:tc>
      </w:tr>
      <w:tr w:rsidR="00B65EDC" w:rsidRPr="00E675E8" w14:paraId="087568FA" w14:textId="77777777">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E675E8" w:rsidRDefault="00B65EDC">
            <w:pPr>
              <w:jc w:val="right"/>
              <w:rPr>
                <w:rFonts w:cs="Arial"/>
                <w:i/>
                <w:iCs/>
                <w:color w:val="000000"/>
                <w:lang w:val="es-ES_tradnl"/>
              </w:rPr>
            </w:pPr>
            <w:r w:rsidRPr="00E675E8">
              <w:rPr>
                <w:i/>
                <w:color w:val="000000"/>
                <w:lang w:val="es-ES_tradnl"/>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2020-2021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2022-2023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 xml:space="preserve">2024-2025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E675E8" w:rsidRDefault="00521C0D">
            <w:pPr>
              <w:jc w:val="center"/>
              <w:rPr>
                <w:rFonts w:ascii="Arial Narrow" w:hAnsi="Arial Narrow" w:cs="Arial"/>
                <w:b/>
                <w:bCs/>
                <w:sz w:val="18"/>
                <w:szCs w:val="18"/>
                <w:lang w:val="es-ES_tradnl"/>
              </w:rPr>
            </w:pPr>
            <w:r w:rsidRPr="00E675E8">
              <w:rPr>
                <w:rFonts w:ascii="Arial Narrow" w:hAnsi="Arial Narrow"/>
                <w:b/>
                <w:sz w:val="18"/>
                <w:lang w:val="es-ES_tradnl"/>
              </w:rPr>
              <w:t xml:space="preserve">2026-2027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E675E8" w:rsidRDefault="00B65EDC">
            <w:pPr>
              <w:jc w:val="center"/>
              <w:rPr>
                <w:rFonts w:ascii="Arial Narrow" w:hAnsi="Arial Narrow" w:cs="Arial"/>
                <w:b/>
                <w:bCs/>
                <w:sz w:val="18"/>
                <w:szCs w:val="18"/>
                <w:lang w:val="es-ES_tradnl"/>
              </w:rPr>
            </w:pPr>
            <w:r w:rsidRPr="00E675E8">
              <w:rPr>
                <w:rFonts w:ascii="Arial Narrow" w:hAnsi="Arial Narrow"/>
                <w:b/>
                <w:sz w:val="18"/>
                <w:lang w:val="es-ES_tradnl"/>
              </w:rPr>
              <w:t>2028-2029</w:t>
            </w:r>
          </w:p>
        </w:tc>
      </w:tr>
      <w:tr w:rsidR="00B65EDC" w:rsidRPr="00E675E8" w14:paraId="429F3800" w14:textId="77777777">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E675E8" w:rsidRDefault="00B65EDC">
            <w:pPr>
              <w:jc w:val="left"/>
              <w:rPr>
                <w:rFonts w:ascii="Arial Narrow" w:hAnsi="Arial Narrow" w:cs="Arial"/>
                <w:color w:val="000000"/>
                <w:lang w:val="es-ES_tradnl"/>
              </w:rPr>
            </w:pPr>
            <w:r w:rsidRPr="00E675E8">
              <w:rPr>
                <w:rFonts w:ascii="Arial Narrow" w:hAnsi="Arial Narrow"/>
                <w:color w:val="000000"/>
                <w:lang w:val="es-ES_tradnl"/>
              </w:rPr>
              <w:t>Ingresos</w:t>
            </w:r>
          </w:p>
        </w:tc>
        <w:tc>
          <w:tcPr>
            <w:tcW w:w="1004" w:type="dxa"/>
            <w:tcBorders>
              <w:top w:val="nil"/>
              <w:left w:val="nil"/>
              <w:bottom w:val="nil"/>
              <w:right w:val="nil"/>
            </w:tcBorders>
            <w:shd w:val="clear" w:color="000000" w:fill="FFFFFF"/>
            <w:vAlign w:val="center"/>
            <w:hideMark/>
          </w:tcPr>
          <w:p w14:paraId="58F9F9FA"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7 404</w:t>
            </w:r>
          </w:p>
        </w:tc>
        <w:tc>
          <w:tcPr>
            <w:tcW w:w="1038" w:type="dxa"/>
            <w:tcBorders>
              <w:top w:val="nil"/>
              <w:left w:val="nil"/>
              <w:bottom w:val="nil"/>
              <w:right w:val="nil"/>
            </w:tcBorders>
            <w:shd w:val="clear" w:color="000000" w:fill="FFFFFF"/>
            <w:vAlign w:val="center"/>
            <w:hideMark/>
          </w:tcPr>
          <w:p w14:paraId="08F7DC11"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7 572</w:t>
            </w:r>
          </w:p>
        </w:tc>
        <w:tc>
          <w:tcPr>
            <w:tcW w:w="1216" w:type="dxa"/>
            <w:tcBorders>
              <w:top w:val="nil"/>
              <w:left w:val="nil"/>
              <w:bottom w:val="nil"/>
              <w:right w:val="nil"/>
            </w:tcBorders>
            <w:shd w:val="clear" w:color="000000" w:fill="FFFFFF"/>
            <w:vAlign w:val="center"/>
            <w:hideMark/>
          </w:tcPr>
          <w:p w14:paraId="27C22F66"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216" w:type="dxa"/>
            <w:tcBorders>
              <w:top w:val="nil"/>
              <w:left w:val="nil"/>
              <w:bottom w:val="nil"/>
              <w:right w:val="nil"/>
            </w:tcBorders>
            <w:shd w:val="clear" w:color="000000" w:fill="FFFFFF"/>
            <w:vAlign w:val="center"/>
            <w:hideMark/>
          </w:tcPr>
          <w:p w14:paraId="5FA130DF"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7 616 </w:t>
            </w:r>
          </w:p>
        </w:tc>
        <w:tc>
          <w:tcPr>
            <w:tcW w:w="1256" w:type="dxa"/>
            <w:tcBorders>
              <w:top w:val="nil"/>
              <w:left w:val="nil"/>
              <w:bottom w:val="nil"/>
              <w:right w:val="nil"/>
            </w:tcBorders>
            <w:shd w:val="clear" w:color="000000" w:fill="FFFFFF"/>
            <w:vAlign w:val="center"/>
            <w:hideMark/>
          </w:tcPr>
          <w:p w14:paraId="45DCCC87"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7 641 </w:t>
            </w:r>
          </w:p>
        </w:tc>
      </w:tr>
      <w:tr w:rsidR="00B65EDC" w:rsidRPr="00E675E8" w14:paraId="723269EA" w14:textId="77777777">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E675E8" w:rsidRDefault="00B65EDC">
            <w:pPr>
              <w:jc w:val="left"/>
              <w:rPr>
                <w:rFonts w:ascii="Arial Narrow" w:hAnsi="Arial Narrow" w:cs="Arial"/>
                <w:color w:val="000000"/>
                <w:lang w:val="es-ES_tradnl"/>
              </w:rPr>
            </w:pPr>
            <w:r w:rsidRPr="00E675E8">
              <w:rPr>
                <w:rFonts w:ascii="Arial Narrow" w:hAnsi="Arial Narrow"/>
                <w:color w:val="000000"/>
                <w:lang w:val="es-ES_tradnl"/>
              </w:rPr>
              <w:t>Gastos</w:t>
            </w:r>
          </w:p>
        </w:tc>
        <w:tc>
          <w:tcPr>
            <w:tcW w:w="1004" w:type="dxa"/>
            <w:tcBorders>
              <w:top w:val="nil"/>
              <w:left w:val="nil"/>
              <w:bottom w:val="nil"/>
              <w:right w:val="nil"/>
            </w:tcBorders>
            <w:shd w:val="clear" w:color="000000" w:fill="FFFFFF"/>
            <w:vAlign w:val="center"/>
            <w:hideMark/>
          </w:tcPr>
          <w:p w14:paraId="7AA813EE"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7 071</w:t>
            </w:r>
          </w:p>
        </w:tc>
        <w:tc>
          <w:tcPr>
            <w:tcW w:w="1038" w:type="dxa"/>
            <w:tcBorders>
              <w:top w:val="nil"/>
              <w:left w:val="nil"/>
              <w:bottom w:val="nil"/>
              <w:right w:val="nil"/>
            </w:tcBorders>
            <w:shd w:val="clear" w:color="000000" w:fill="FFFFFF"/>
            <w:vAlign w:val="center"/>
            <w:hideMark/>
          </w:tcPr>
          <w:p w14:paraId="1D118348"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7 382</w:t>
            </w:r>
          </w:p>
        </w:tc>
        <w:tc>
          <w:tcPr>
            <w:tcW w:w="1216" w:type="dxa"/>
            <w:tcBorders>
              <w:top w:val="nil"/>
              <w:left w:val="nil"/>
              <w:bottom w:val="nil"/>
              <w:right w:val="nil"/>
            </w:tcBorders>
            <w:shd w:val="clear" w:color="000000" w:fill="FFFFFF"/>
            <w:vAlign w:val="center"/>
            <w:hideMark/>
          </w:tcPr>
          <w:p w14:paraId="43E61156" w14:textId="77777777" w:rsidR="00B65EDC" w:rsidRPr="00E675E8" w:rsidRDefault="00B65EDC">
            <w:pPr>
              <w:jc w:val="right"/>
              <w:rPr>
                <w:rFonts w:ascii="Arial Narrow" w:hAnsi="Arial Narrow" w:cs="Arial"/>
                <w:color w:val="000000"/>
                <w:lang w:val="es-ES_tradnl"/>
              </w:rPr>
            </w:pPr>
            <w:r w:rsidRPr="00E675E8">
              <w:rPr>
                <w:rFonts w:ascii="Arial Narrow" w:hAnsi="Arial Narrow"/>
                <w:color w:val="000000"/>
                <w:lang w:val="es-ES_tradnl"/>
              </w:rPr>
              <w:t>7 901</w:t>
            </w:r>
          </w:p>
        </w:tc>
        <w:tc>
          <w:tcPr>
            <w:tcW w:w="1216" w:type="dxa"/>
            <w:tcBorders>
              <w:top w:val="nil"/>
              <w:left w:val="nil"/>
              <w:bottom w:val="nil"/>
              <w:right w:val="nil"/>
            </w:tcBorders>
            <w:shd w:val="clear" w:color="000000" w:fill="FFFFFF"/>
            <w:vAlign w:val="center"/>
            <w:hideMark/>
          </w:tcPr>
          <w:p w14:paraId="6C33E236"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7 616 </w:t>
            </w:r>
          </w:p>
        </w:tc>
        <w:tc>
          <w:tcPr>
            <w:tcW w:w="1256" w:type="dxa"/>
            <w:tcBorders>
              <w:top w:val="nil"/>
              <w:left w:val="nil"/>
              <w:bottom w:val="nil"/>
              <w:right w:val="nil"/>
            </w:tcBorders>
            <w:shd w:val="clear" w:color="000000" w:fill="FFFFFF"/>
            <w:vAlign w:val="center"/>
            <w:hideMark/>
          </w:tcPr>
          <w:p w14:paraId="1D7A26E2" w14:textId="77777777" w:rsidR="00B65EDC" w:rsidRPr="00E675E8" w:rsidRDefault="00B65EDC">
            <w:pPr>
              <w:jc w:val="right"/>
              <w:rPr>
                <w:rFonts w:ascii="Arial Narrow" w:hAnsi="Arial Narrow" w:cs="Arial"/>
                <w:lang w:val="es-ES_tradnl"/>
              </w:rPr>
            </w:pPr>
            <w:r w:rsidRPr="00E675E8">
              <w:rPr>
                <w:rFonts w:ascii="Arial Narrow" w:hAnsi="Arial Narrow"/>
                <w:lang w:val="es-ES_tradnl"/>
              </w:rPr>
              <w:t xml:space="preserve">7 641 </w:t>
            </w:r>
          </w:p>
        </w:tc>
      </w:tr>
      <w:tr w:rsidR="00B65EDC" w:rsidRPr="00E675E8" w14:paraId="3803E7EF" w14:textId="77777777">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E675E8" w:rsidRDefault="00B65EDC">
            <w:pPr>
              <w:ind w:firstLineChars="100" w:firstLine="200"/>
              <w:jc w:val="left"/>
              <w:rPr>
                <w:rFonts w:ascii="Arial Narrow" w:hAnsi="Arial Narrow" w:cs="Arial"/>
                <w:i/>
                <w:iCs/>
                <w:color w:val="000000"/>
                <w:lang w:val="es-ES_tradnl"/>
              </w:rPr>
            </w:pPr>
            <w:r w:rsidRPr="00E675E8">
              <w:rPr>
                <w:rFonts w:ascii="Arial Narrow" w:hAnsi="Arial Narrow"/>
                <w:i/>
                <w:color w:val="000000"/>
                <w:lang w:val="es-ES_tradnl"/>
              </w:rPr>
              <w:t>Diferencia</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E675E8" w:rsidRDefault="00B65EDC">
            <w:pPr>
              <w:jc w:val="right"/>
              <w:rPr>
                <w:rFonts w:ascii="Arial Narrow" w:hAnsi="Arial Narrow" w:cs="Arial"/>
                <w:i/>
                <w:iCs/>
                <w:color w:val="000000"/>
                <w:lang w:val="es-ES_tradnl"/>
              </w:rPr>
            </w:pPr>
            <w:r w:rsidRPr="00E675E8">
              <w:rPr>
                <w:rFonts w:ascii="Arial Narrow" w:hAnsi="Arial Narrow"/>
                <w:i/>
                <w:color w:val="000000"/>
                <w:lang w:val="es-ES_tradnl"/>
              </w:rPr>
              <w:t>-</w:t>
            </w:r>
          </w:p>
        </w:tc>
      </w:tr>
    </w:tbl>
    <w:p w14:paraId="08E5A09B" w14:textId="77777777" w:rsidR="00B65EDC" w:rsidRPr="00E675E8" w:rsidRDefault="00B65EDC" w:rsidP="00B65EDC">
      <w:pPr>
        <w:rPr>
          <w:lang w:val="es-ES_tradnl"/>
        </w:rPr>
      </w:pPr>
    </w:p>
    <w:p w14:paraId="6C4F198C" w14:textId="77777777" w:rsidR="00B65EDC" w:rsidRPr="00E675E8" w:rsidRDefault="00B65EDC" w:rsidP="00B65EDC">
      <w:pPr>
        <w:rPr>
          <w:lang w:val="es-ES_tradnl"/>
        </w:rPr>
      </w:pPr>
    </w:p>
    <w:p w14:paraId="3193F563" w14:textId="3A3CA571" w:rsidR="00B65EDC" w:rsidRPr="00E675E8" w:rsidRDefault="00B65EDC" w:rsidP="00B65EDC">
      <w:pPr>
        <w:keepNext/>
        <w:jc w:val="center"/>
        <w:rPr>
          <w:i/>
          <w:color w:val="26724C" w:themeColor="accent1" w:themeShade="BF"/>
          <w:sz w:val="18"/>
          <w:lang w:val="es-ES_tradnl"/>
        </w:rPr>
      </w:pPr>
      <w:r w:rsidRPr="00E675E8">
        <w:rPr>
          <w:i/>
          <w:color w:val="26724C" w:themeColor="accent1" w:themeShade="BF"/>
          <w:sz w:val="18"/>
          <w:lang w:val="es-ES_tradnl"/>
        </w:rPr>
        <w:t>Figura 1.</w:t>
      </w:r>
      <w:r w:rsidR="002817AB" w:rsidRPr="00E675E8">
        <w:rPr>
          <w:i/>
          <w:color w:val="26724C" w:themeColor="accent1" w:themeShade="BF"/>
          <w:sz w:val="18"/>
          <w:lang w:val="es-ES_tradnl"/>
        </w:rPr>
        <w:t xml:space="preserve"> </w:t>
      </w:r>
      <w:r w:rsidRPr="00E675E8">
        <w:rPr>
          <w:i/>
          <w:color w:val="26724C" w:themeColor="accent1" w:themeShade="BF"/>
          <w:sz w:val="18"/>
          <w:lang w:val="es-ES_tradnl"/>
        </w:rPr>
        <w:t>Evolución de los ingresos, los gastos y las reservas durante el período 2020-2029</w:t>
      </w:r>
    </w:p>
    <w:p w14:paraId="1439B59A" w14:textId="77777777" w:rsidR="00B65EDC" w:rsidRPr="00E675E8" w:rsidRDefault="00B65EDC" w:rsidP="00B65EDC">
      <w:pPr>
        <w:keepNext/>
        <w:jc w:val="center"/>
        <w:rPr>
          <w:i/>
          <w:color w:val="26724C" w:themeColor="accent1" w:themeShade="BF"/>
          <w:sz w:val="18"/>
          <w:lang w:val="es-ES_tradnl"/>
        </w:rPr>
      </w:pPr>
    </w:p>
    <w:p w14:paraId="04F8983C" w14:textId="2CCDA708" w:rsidR="00B65EDC" w:rsidRPr="00E675E8" w:rsidRDefault="002F76CE" w:rsidP="00B65EDC">
      <w:pPr>
        <w:jc w:val="center"/>
        <w:rPr>
          <w:lang w:val="es-ES_tradnl"/>
        </w:rPr>
      </w:pPr>
      <w:r>
        <w:rPr>
          <w:i/>
          <w:noProof/>
          <w:color w:val="26724C" w:themeColor="accent1" w:themeShade="BF"/>
          <w:sz w:val="18"/>
        </w:rPr>
        <w:drawing>
          <wp:inline distT="0" distB="0" distL="0" distR="0" wp14:anchorId="688DAEAD" wp14:editId="1E731BB6">
            <wp:extent cx="5487632" cy="2816444"/>
            <wp:effectExtent l="0" t="0" r="0" b="3175"/>
            <wp:docPr id="8953893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6001" cy="2831004"/>
                    </a:xfrm>
                    <a:prstGeom prst="rect">
                      <a:avLst/>
                    </a:prstGeom>
                    <a:noFill/>
                  </pic:spPr>
                </pic:pic>
              </a:graphicData>
            </a:graphic>
          </wp:inline>
        </w:drawing>
      </w:r>
    </w:p>
    <w:p w14:paraId="4FF4ED9E" w14:textId="77777777" w:rsidR="00B65EDC" w:rsidRPr="00E675E8" w:rsidRDefault="00B65EDC" w:rsidP="00B65EDC">
      <w:pPr>
        <w:jc w:val="left"/>
        <w:rPr>
          <w:lang w:val="es-ES_tradnl"/>
        </w:rPr>
      </w:pPr>
    </w:p>
    <w:p w14:paraId="024CAC9B" w14:textId="77777777" w:rsidR="00B65EDC" w:rsidRPr="00E675E8" w:rsidRDefault="00B65EDC" w:rsidP="00B65EDC">
      <w:pPr>
        <w:jc w:val="left"/>
        <w:rPr>
          <w:lang w:val="es-ES_tradnl"/>
        </w:rPr>
      </w:pPr>
    </w:p>
    <w:p w14:paraId="5286607E" w14:textId="77777777" w:rsidR="00B65EDC" w:rsidRPr="00E675E8" w:rsidRDefault="00B65EDC" w:rsidP="00B65EDC">
      <w:pPr>
        <w:ind w:left="567" w:hanging="567"/>
        <w:rPr>
          <w:lang w:val="es-ES_tradnl"/>
        </w:rPr>
      </w:pPr>
    </w:p>
    <w:p w14:paraId="0830A5BC" w14:textId="445EC92E" w:rsidR="00B65EDC" w:rsidRPr="00E675E8" w:rsidRDefault="00B65EDC" w:rsidP="00B65EDC">
      <w:pPr>
        <w:ind w:left="567" w:hanging="567"/>
        <w:jc w:val="right"/>
        <w:rPr>
          <w:lang w:val="es-ES_tradnl"/>
        </w:rPr>
      </w:pPr>
      <w:r w:rsidRPr="00E675E8">
        <w:rPr>
          <w:lang w:val="es-ES_tradnl"/>
        </w:rPr>
        <w:t xml:space="preserve">[Siguen los </w:t>
      </w:r>
      <w:r w:rsidR="00756D3A" w:rsidRPr="00E675E8">
        <w:rPr>
          <w:lang w:val="es-ES_tradnl"/>
        </w:rPr>
        <w:t>A</w:t>
      </w:r>
      <w:r w:rsidRPr="00E675E8">
        <w:rPr>
          <w:lang w:val="es-ES_tradnl"/>
        </w:rPr>
        <w:t>péndices]</w:t>
      </w:r>
    </w:p>
    <w:p w14:paraId="4D52CD40" w14:textId="77777777" w:rsidR="00B65EDC" w:rsidRPr="00E675E8" w:rsidRDefault="00B65EDC" w:rsidP="00B65EDC">
      <w:pPr>
        <w:ind w:left="567" w:hanging="567"/>
        <w:jc w:val="right"/>
        <w:rPr>
          <w:lang w:val="es-ES_tradnl"/>
        </w:rPr>
        <w:sectPr w:rsidR="00B65EDC" w:rsidRPr="00E675E8" w:rsidSect="00CF1A3C">
          <w:headerReference w:type="even" r:id="rId19"/>
          <w:headerReference w:type="default" r:id="rId20"/>
          <w:footerReference w:type="even" r:id="rId21"/>
          <w:footerReference w:type="default" r:id="rId22"/>
          <w:headerReference w:type="first" r:id="rId23"/>
          <w:footerReference w:type="first" r:id="rId24"/>
          <w:pgSz w:w="11907" w:h="16840" w:code="9"/>
          <w:pgMar w:top="510" w:right="1134" w:bottom="709" w:left="1134" w:header="510" w:footer="680" w:gutter="0"/>
          <w:pgNumType w:start="1"/>
          <w:cols w:space="720"/>
          <w:titlePg/>
          <w:docGrid w:linePitch="272"/>
        </w:sectPr>
      </w:pPr>
    </w:p>
    <w:p w14:paraId="7C98F3AD" w14:textId="77777777" w:rsidR="00B65EDC" w:rsidRPr="00E675E8" w:rsidRDefault="00B65EDC" w:rsidP="00FC7FED">
      <w:pPr>
        <w:pStyle w:val="Heading1"/>
        <w:rPr>
          <w:lang w:val="es-ES_tradnl"/>
        </w:rPr>
      </w:pPr>
      <w:bookmarkStart w:id="514" w:name="_Toc209777780"/>
      <w:r w:rsidRPr="00E675E8">
        <w:rPr>
          <w:lang w:val="es-ES_tradnl"/>
        </w:rPr>
        <w:lastRenderedPageBreak/>
        <w:t>APÉNDICES</w:t>
      </w:r>
      <w:bookmarkEnd w:id="514"/>
    </w:p>
    <w:p w14:paraId="12C9357A" w14:textId="77777777" w:rsidR="00B65EDC" w:rsidRPr="00E675E8" w:rsidRDefault="00B65EDC" w:rsidP="00B65EDC">
      <w:pPr>
        <w:rPr>
          <w:sz w:val="32"/>
          <w:lang w:val="es-ES_tradnl"/>
        </w:rPr>
      </w:pPr>
    </w:p>
    <w:p w14:paraId="4C154616" w14:textId="048A74C6" w:rsidR="00B65EDC" w:rsidRPr="00E675E8" w:rsidRDefault="00B65EDC" w:rsidP="004448C7">
      <w:pPr>
        <w:pStyle w:val="Heading9"/>
        <w:rPr>
          <w:lang w:val="es-ES_tradnl"/>
        </w:rPr>
      </w:pPr>
      <w:bookmarkStart w:id="515" w:name="_Toc63091108"/>
      <w:bookmarkStart w:id="516" w:name="_Toc63091305"/>
      <w:bookmarkStart w:id="517" w:name="_Toc63091835"/>
      <w:bookmarkStart w:id="518" w:name="_Toc63091109"/>
      <w:bookmarkStart w:id="519" w:name="_Toc63091306"/>
      <w:bookmarkStart w:id="520" w:name="_Toc63091836"/>
      <w:bookmarkStart w:id="521" w:name="_Toc209777781"/>
      <w:bookmarkEnd w:id="515"/>
      <w:bookmarkEnd w:id="516"/>
      <w:bookmarkEnd w:id="517"/>
      <w:bookmarkEnd w:id="518"/>
      <w:bookmarkEnd w:id="519"/>
      <w:bookmarkEnd w:id="520"/>
      <w:r w:rsidRPr="00E675E8">
        <w:rPr>
          <w:lang w:val="es-ES_tradnl"/>
        </w:rPr>
        <w:t>Apéndice I</w:t>
      </w:r>
      <w:r w:rsidRPr="00E675E8">
        <w:rPr>
          <w:lang w:val="es-ES_tradnl"/>
        </w:rPr>
        <w:tab/>
        <w:t xml:space="preserve">Situación respecto de la Unión Internacional para la Protección de las Obtenciones Vegetales (UPOV) al </w:t>
      </w:r>
      <w:r w:rsidR="00C32E27">
        <w:rPr>
          <w:lang w:val="es-ES_tradnl"/>
        </w:rPr>
        <w:br/>
      </w:r>
      <w:r w:rsidRPr="00E675E8">
        <w:rPr>
          <w:lang w:val="es-ES_tradnl"/>
        </w:rPr>
        <w:t>16 de septiembre de 2025</w:t>
      </w:r>
      <w:bookmarkEnd w:id="521"/>
    </w:p>
    <w:p w14:paraId="672E9FBE" w14:textId="77777777" w:rsidR="00B65EDC" w:rsidRPr="00E675E8" w:rsidRDefault="00B65EDC" w:rsidP="00B65EDC">
      <w:pPr>
        <w:ind w:left="2268" w:hanging="1984"/>
        <w:jc w:val="center"/>
        <w:rPr>
          <w:b/>
          <w:lang w:val="es-ES_tradnl"/>
        </w:rPr>
      </w:pPr>
    </w:p>
    <w:p w14:paraId="02B32F7E" w14:textId="77777777" w:rsidR="00B65EDC" w:rsidRPr="00E675E8" w:rsidRDefault="00B65EDC" w:rsidP="00B65EDC">
      <w:pPr>
        <w:rPr>
          <w:rFonts w:cs="Arial"/>
          <w:i/>
          <w:sz w:val="16"/>
          <w:szCs w:val="24"/>
          <w:lang w:val="es-ES_tradnl"/>
        </w:rPr>
      </w:pPr>
    </w:p>
    <w:p w14:paraId="2F31A4BB" w14:textId="77777777" w:rsidR="00B65EDC" w:rsidRPr="00E675E8" w:rsidRDefault="00B65EDC" w:rsidP="00B65EDC">
      <w:pPr>
        <w:ind w:left="284" w:hanging="284"/>
        <w:jc w:val="left"/>
        <w:rPr>
          <w:rFonts w:cs="Arial"/>
          <w:b/>
          <w:color w:val="26724C" w:themeColor="accent1" w:themeShade="BF"/>
          <w:sz w:val="18"/>
          <w:lang w:val="es-ES_tradnl"/>
        </w:rPr>
      </w:pPr>
      <w:r w:rsidRPr="00E675E8">
        <w:rPr>
          <w:b/>
          <w:color w:val="26724C" w:themeColor="accent1" w:themeShade="BF"/>
          <w:sz w:val="18"/>
          <w:lang w:val="es-ES_tradnl"/>
        </w:rPr>
        <w:t>A.</w:t>
      </w:r>
      <w:r w:rsidRPr="00E675E8">
        <w:rPr>
          <w:b/>
          <w:color w:val="26724C" w:themeColor="accent1" w:themeShade="BF"/>
          <w:sz w:val="18"/>
          <w:lang w:val="es-ES_tradnl"/>
        </w:rPr>
        <w:tab/>
        <w:t>Miembros de la UPOV</w:t>
      </w:r>
    </w:p>
    <w:p w14:paraId="1E895701" w14:textId="77777777" w:rsidR="00B65EDC" w:rsidRPr="00E675E8" w:rsidRDefault="00B65EDC" w:rsidP="00B65EDC">
      <w:pPr>
        <w:pStyle w:val="BodyText"/>
        <w:rPr>
          <w:rFonts w:cs="Arial"/>
          <w:sz w:val="16"/>
          <w:szCs w:val="16"/>
          <w:lang w:val="es-ES_tradnl"/>
        </w:rPr>
      </w:pPr>
    </w:p>
    <w:p w14:paraId="15DB8D45" w14:textId="77777777" w:rsidR="00B65EDC" w:rsidRPr="00E675E8" w:rsidRDefault="00B65EDC" w:rsidP="00B65EDC">
      <w:pPr>
        <w:spacing w:before="40"/>
        <w:rPr>
          <w:rFonts w:cs="Arial"/>
          <w:sz w:val="16"/>
          <w:szCs w:val="16"/>
          <w:lang w:val="es-ES_tradnl"/>
        </w:rPr>
        <w:sectPr w:rsidR="00B65EDC" w:rsidRPr="00E675E8" w:rsidSect="00B65EDC">
          <w:headerReference w:type="even" r:id="rId25"/>
          <w:headerReference w:type="default" r:id="rId26"/>
          <w:footerReference w:type="even" r:id="rId27"/>
          <w:footerReference w:type="default" r:id="rId28"/>
          <w:headerReference w:type="first" r:id="rId29"/>
          <w:footerReference w:type="first" r:id="rId30"/>
          <w:pgSz w:w="11907" w:h="16840" w:code="9"/>
          <w:pgMar w:top="510" w:right="1134" w:bottom="851" w:left="1134" w:header="510" w:footer="624" w:gutter="0"/>
          <w:cols w:space="720"/>
          <w:docGrid w:linePitch="272"/>
        </w:sectPr>
      </w:pPr>
    </w:p>
    <w:p w14:paraId="22C7439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Organización Africana de la Propiedad Intelectual</w:t>
      </w:r>
      <w:r w:rsidRPr="00E675E8">
        <w:rPr>
          <w:sz w:val="16"/>
          <w:vertAlign w:val="superscript"/>
          <w:lang w:val="es-ES_tradnl"/>
        </w:rPr>
        <w:t>2, 4</w:t>
      </w:r>
    </w:p>
    <w:p w14:paraId="5179DD0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Albania</w:t>
      </w:r>
      <w:r w:rsidRPr="00E675E8">
        <w:rPr>
          <w:sz w:val="16"/>
          <w:vertAlign w:val="superscript"/>
          <w:lang w:val="es-ES_tradnl"/>
        </w:rPr>
        <w:t>2</w:t>
      </w:r>
    </w:p>
    <w:p w14:paraId="4B219DE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Argentina</w:t>
      </w:r>
      <w:r w:rsidRPr="00E675E8">
        <w:rPr>
          <w:rStyle w:val="FootnoteReference"/>
          <w:sz w:val="16"/>
          <w:lang w:val="es-ES_tradnl"/>
        </w:rPr>
        <w:t>1</w:t>
      </w:r>
    </w:p>
    <w:p w14:paraId="63B3758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Armenia</w:t>
      </w:r>
      <w:r w:rsidRPr="00E675E8">
        <w:rPr>
          <w:sz w:val="16"/>
          <w:vertAlign w:val="superscript"/>
          <w:lang w:val="es-ES_tradnl"/>
        </w:rPr>
        <w:t>2</w:t>
      </w:r>
    </w:p>
    <w:p w14:paraId="76B0378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Australia</w:t>
      </w:r>
      <w:r w:rsidRPr="00E675E8">
        <w:rPr>
          <w:sz w:val="16"/>
          <w:vertAlign w:val="superscript"/>
          <w:lang w:val="es-ES_tradnl"/>
        </w:rPr>
        <w:t>2</w:t>
      </w:r>
    </w:p>
    <w:p w14:paraId="614FD39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Austria</w:t>
      </w:r>
      <w:r w:rsidRPr="00E675E8">
        <w:rPr>
          <w:rStyle w:val="FootnoteReference"/>
          <w:sz w:val="16"/>
          <w:lang w:val="es-ES_tradnl"/>
        </w:rPr>
        <w:t>2</w:t>
      </w:r>
    </w:p>
    <w:p w14:paraId="4E75510C"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Azerbaiyán</w:t>
      </w:r>
      <w:r w:rsidRPr="00E675E8">
        <w:rPr>
          <w:sz w:val="16"/>
          <w:vertAlign w:val="superscript"/>
          <w:lang w:val="es-ES_tradnl"/>
        </w:rPr>
        <w:t>2</w:t>
      </w:r>
    </w:p>
    <w:p w14:paraId="05B3299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Belarús</w:t>
      </w:r>
      <w:r w:rsidRPr="00E675E8">
        <w:rPr>
          <w:sz w:val="16"/>
          <w:vertAlign w:val="superscript"/>
          <w:lang w:val="es-ES_tradnl"/>
        </w:rPr>
        <w:t>2</w:t>
      </w:r>
    </w:p>
    <w:p w14:paraId="454FD688"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Bélgica</w:t>
      </w:r>
      <w:r w:rsidRPr="00E675E8">
        <w:rPr>
          <w:rStyle w:val="FootnoteReference"/>
          <w:sz w:val="16"/>
          <w:lang w:val="es-ES_tradnl"/>
        </w:rPr>
        <w:t>2</w:t>
      </w:r>
    </w:p>
    <w:p w14:paraId="22E5F43A"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Bolivia (Estado Plurinacional de)</w:t>
      </w:r>
      <w:r w:rsidRPr="00E675E8">
        <w:rPr>
          <w:sz w:val="16"/>
          <w:vertAlign w:val="superscript"/>
          <w:lang w:val="es-ES_tradnl"/>
        </w:rPr>
        <w:t>1</w:t>
      </w:r>
    </w:p>
    <w:p w14:paraId="6AD72039"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Bosnia y Herzegovina</w:t>
      </w:r>
      <w:r w:rsidRPr="00E675E8">
        <w:rPr>
          <w:sz w:val="16"/>
          <w:vertAlign w:val="superscript"/>
          <w:lang w:val="es-ES_tradnl"/>
        </w:rPr>
        <w:t>2</w:t>
      </w:r>
    </w:p>
    <w:p w14:paraId="59FC0BA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Brasil</w:t>
      </w:r>
      <w:r w:rsidRPr="00E675E8">
        <w:rPr>
          <w:sz w:val="16"/>
          <w:vertAlign w:val="superscript"/>
          <w:lang w:val="es-ES_tradnl"/>
        </w:rPr>
        <w:t>1</w:t>
      </w:r>
    </w:p>
    <w:p w14:paraId="3558546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Bulgaria</w:t>
      </w:r>
      <w:r w:rsidRPr="00E675E8">
        <w:rPr>
          <w:sz w:val="16"/>
          <w:vertAlign w:val="superscript"/>
          <w:lang w:val="es-ES_tradnl"/>
        </w:rPr>
        <w:t>2</w:t>
      </w:r>
    </w:p>
    <w:p w14:paraId="18AA862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Canadá</w:t>
      </w:r>
      <w:r w:rsidRPr="00E675E8">
        <w:rPr>
          <w:rStyle w:val="FootnoteReference"/>
          <w:sz w:val="16"/>
          <w:lang w:val="es-ES_tradnl"/>
        </w:rPr>
        <w:t>2</w:t>
      </w:r>
    </w:p>
    <w:p w14:paraId="60E9496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Chile</w:t>
      </w:r>
      <w:r w:rsidRPr="00E675E8">
        <w:rPr>
          <w:sz w:val="16"/>
          <w:vertAlign w:val="superscript"/>
          <w:lang w:val="es-ES_tradnl"/>
        </w:rPr>
        <w:t>1</w:t>
      </w:r>
    </w:p>
    <w:p w14:paraId="70B0E57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China</w:t>
      </w:r>
      <w:r w:rsidRPr="00E675E8">
        <w:rPr>
          <w:sz w:val="16"/>
          <w:vertAlign w:val="superscript"/>
          <w:lang w:val="es-ES_tradnl"/>
        </w:rPr>
        <w:t>1</w:t>
      </w:r>
    </w:p>
    <w:p w14:paraId="4D5F7D77"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Colombia</w:t>
      </w:r>
      <w:r w:rsidRPr="00E675E8">
        <w:rPr>
          <w:sz w:val="16"/>
          <w:vertAlign w:val="superscript"/>
          <w:lang w:val="es-ES_tradnl"/>
        </w:rPr>
        <w:t>1</w:t>
      </w:r>
    </w:p>
    <w:p w14:paraId="635D0E7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Costa Rica</w:t>
      </w:r>
      <w:r w:rsidRPr="00E675E8">
        <w:rPr>
          <w:sz w:val="16"/>
          <w:vertAlign w:val="superscript"/>
          <w:lang w:val="es-ES_tradnl"/>
        </w:rPr>
        <w:t>2</w:t>
      </w:r>
    </w:p>
    <w:p w14:paraId="04014CC5"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Croacia</w:t>
      </w:r>
      <w:r w:rsidRPr="00E675E8">
        <w:rPr>
          <w:sz w:val="16"/>
          <w:vertAlign w:val="superscript"/>
          <w:lang w:val="es-ES_tradnl"/>
        </w:rPr>
        <w:t>2</w:t>
      </w:r>
    </w:p>
    <w:p w14:paraId="40EACB0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Checa</w:t>
      </w:r>
      <w:r w:rsidRPr="00E675E8">
        <w:rPr>
          <w:sz w:val="16"/>
          <w:vertAlign w:val="superscript"/>
          <w:lang w:val="es-ES_tradnl"/>
        </w:rPr>
        <w:t>2</w:t>
      </w:r>
    </w:p>
    <w:p w14:paraId="0A7AAA0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Dinamarca</w:t>
      </w:r>
      <w:r w:rsidRPr="00E675E8">
        <w:rPr>
          <w:rStyle w:val="FootnoteReference"/>
          <w:sz w:val="16"/>
          <w:lang w:val="es-ES_tradnl"/>
        </w:rPr>
        <w:t>2</w:t>
      </w:r>
    </w:p>
    <w:p w14:paraId="1ED8842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Dominicana</w:t>
      </w:r>
      <w:r w:rsidRPr="00E675E8">
        <w:rPr>
          <w:sz w:val="16"/>
          <w:vertAlign w:val="superscript"/>
          <w:lang w:val="es-ES_tradnl"/>
        </w:rPr>
        <w:t>2</w:t>
      </w:r>
    </w:p>
    <w:p w14:paraId="735301A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Ecuador</w:t>
      </w:r>
      <w:r w:rsidRPr="00E675E8">
        <w:rPr>
          <w:sz w:val="16"/>
          <w:vertAlign w:val="superscript"/>
          <w:lang w:val="es-ES_tradnl"/>
        </w:rPr>
        <w:t>1</w:t>
      </w:r>
    </w:p>
    <w:p w14:paraId="5272EE3B"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Egipto</w:t>
      </w:r>
      <w:r w:rsidRPr="00E675E8">
        <w:rPr>
          <w:sz w:val="16"/>
          <w:vertAlign w:val="superscript"/>
          <w:lang w:val="es-ES_tradnl"/>
        </w:rPr>
        <w:t>2</w:t>
      </w:r>
    </w:p>
    <w:p w14:paraId="1E2A3EC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Estonia</w:t>
      </w:r>
      <w:r w:rsidRPr="00E675E8">
        <w:rPr>
          <w:sz w:val="16"/>
          <w:vertAlign w:val="superscript"/>
          <w:lang w:val="es-ES_tradnl"/>
        </w:rPr>
        <w:t>2</w:t>
      </w:r>
    </w:p>
    <w:p w14:paraId="55B8117E"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Unión Europea</w:t>
      </w:r>
      <w:r w:rsidRPr="00E675E8">
        <w:rPr>
          <w:sz w:val="16"/>
          <w:vertAlign w:val="superscript"/>
          <w:lang w:val="es-ES_tradnl"/>
        </w:rPr>
        <w:t>2, 3</w:t>
      </w:r>
    </w:p>
    <w:p w14:paraId="1183F28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Finlandia</w:t>
      </w:r>
      <w:r w:rsidRPr="00E675E8">
        <w:rPr>
          <w:rStyle w:val="FootnoteReference"/>
          <w:sz w:val="16"/>
          <w:lang w:val="es-ES_tradnl"/>
        </w:rPr>
        <w:t>2</w:t>
      </w:r>
    </w:p>
    <w:p w14:paraId="0DFB0FA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Francia</w:t>
      </w:r>
      <w:r w:rsidRPr="00E675E8">
        <w:rPr>
          <w:rStyle w:val="FootnoteReference"/>
          <w:sz w:val="16"/>
          <w:lang w:val="es-ES_tradnl"/>
        </w:rPr>
        <w:t>2</w:t>
      </w:r>
    </w:p>
    <w:p w14:paraId="7393B2B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Georgia</w:t>
      </w:r>
      <w:r w:rsidRPr="00E675E8">
        <w:rPr>
          <w:sz w:val="16"/>
          <w:vertAlign w:val="superscript"/>
          <w:lang w:val="es-ES_tradnl"/>
        </w:rPr>
        <w:t>2</w:t>
      </w:r>
    </w:p>
    <w:p w14:paraId="043BC97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Alemania</w:t>
      </w:r>
      <w:r w:rsidRPr="00E675E8">
        <w:rPr>
          <w:rStyle w:val="FootnoteReference"/>
          <w:sz w:val="16"/>
          <w:lang w:val="es-ES_tradnl"/>
        </w:rPr>
        <w:t>2</w:t>
      </w:r>
    </w:p>
    <w:p w14:paraId="04AB6E9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Ghana</w:t>
      </w:r>
      <w:r w:rsidRPr="00E675E8">
        <w:rPr>
          <w:sz w:val="16"/>
          <w:vertAlign w:val="superscript"/>
          <w:lang w:val="es-ES_tradnl"/>
        </w:rPr>
        <w:t>2</w:t>
      </w:r>
    </w:p>
    <w:p w14:paraId="3FBE1A0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Hungría</w:t>
      </w:r>
      <w:r w:rsidRPr="00E675E8">
        <w:rPr>
          <w:rStyle w:val="FootnoteReference"/>
          <w:sz w:val="16"/>
          <w:lang w:val="es-ES_tradnl"/>
        </w:rPr>
        <w:t>2</w:t>
      </w:r>
    </w:p>
    <w:p w14:paraId="7AF863F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Islandia</w:t>
      </w:r>
      <w:r w:rsidRPr="00E675E8">
        <w:rPr>
          <w:rStyle w:val="FootnoteReference"/>
          <w:sz w:val="16"/>
          <w:lang w:val="es-ES_tradnl"/>
        </w:rPr>
        <w:t>2</w:t>
      </w:r>
    </w:p>
    <w:p w14:paraId="261FDF23"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Irlanda</w:t>
      </w:r>
      <w:r w:rsidRPr="00E675E8">
        <w:rPr>
          <w:rStyle w:val="FootnoteReference"/>
          <w:sz w:val="16"/>
          <w:lang w:val="es-ES_tradnl"/>
        </w:rPr>
        <w:t>2</w:t>
      </w:r>
    </w:p>
    <w:p w14:paraId="2FC0047A"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Israel</w:t>
      </w:r>
      <w:r w:rsidRPr="00E675E8">
        <w:rPr>
          <w:sz w:val="16"/>
          <w:vertAlign w:val="superscript"/>
          <w:lang w:val="es-ES_tradnl"/>
        </w:rPr>
        <w:t>2</w:t>
      </w:r>
    </w:p>
    <w:p w14:paraId="7478901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Italia</w:t>
      </w:r>
      <w:r w:rsidRPr="00E675E8">
        <w:rPr>
          <w:rStyle w:val="FootnoteReference"/>
          <w:sz w:val="16"/>
          <w:lang w:val="es-ES_tradnl"/>
        </w:rPr>
        <w:t>1</w:t>
      </w:r>
    </w:p>
    <w:p w14:paraId="503C9F0B"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Japón</w:t>
      </w:r>
      <w:r w:rsidRPr="00E675E8">
        <w:rPr>
          <w:sz w:val="16"/>
          <w:vertAlign w:val="superscript"/>
          <w:lang w:val="es-ES_tradnl"/>
        </w:rPr>
        <w:t>2</w:t>
      </w:r>
    </w:p>
    <w:p w14:paraId="40AE36F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Jordania</w:t>
      </w:r>
      <w:r w:rsidRPr="00E675E8">
        <w:rPr>
          <w:sz w:val="16"/>
          <w:vertAlign w:val="superscript"/>
          <w:lang w:val="es-ES_tradnl"/>
        </w:rPr>
        <w:t>2</w:t>
      </w:r>
    </w:p>
    <w:p w14:paraId="7680B1D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Kenya</w:t>
      </w:r>
      <w:r w:rsidRPr="00E675E8">
        <w:rPr>
          <w:sz w:val="16"/>
          <w:vertAlign w:val="superscript"/>
          <w:lang w:val="es-ES_tradnl"/>
        </w:rPr>
        <w:t>2</w:t>
      </w:r>
    </w:p>
    <w:p w14:paraId="4233AA2C"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Kirguistán</w:t>
      </w:r>
      <w:r w:rsidRPr="00E675E8">
        <w:rPr>
          <w:sz w:val="16"/>
          <w:vertAlign w:val="superscript"/>
          <w:lang w:val="es-ES_tradnl"/>
        </w:rPr>
        <w:t>2</w:t>
      </w:r>
    </w:p>
    <w:p w14:paraId="531439D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Letonia</w:t>
      </w:r>
      <w:r w:rsidRPr="00E675E8">
        <w:rPr>
          <w:sz w:val="16"/>
          <w:vertAlign w:val="superscript"/>
          <w:lang w:val="es-ES_tradnl"/>
        </w:rPr>
        <w:t>2</w:t>
      </w:r>
    </w:p>
    <w:p w14:paraId="49FAECF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Lituania</w:t>
      </w:r>
      <w:r w:rsidRPr="00E675E8">
        <w:rPr>
          <w:sz w:val="16"/>
          <w:vertAlign w:val="superscript"/>
          <w:lang w:val="es-ES_tradnl"/>
        </w:rPr>
        <w:t>2</w:t>
      </w:r>
    </w:p>
    <w:p w14:paraId="3A621BCC" w14:textId="77777777" w:rsidR="00B65EDC" w:rsidRPr="00C32E27" w:rsidRDefault="00B65EDC" w:rsidP="00B65EDC">
      <w:pPr>
        <w:spacing w:before="20"/>
        <w:ind w:left="113" w:hanging="113"/>
        <w:jc w:val="left"/>
        <w:rPr>
          <w:sz w:val="16"/>
          <w:lang w:val="es-ES_tradnl"/>
        </w:rPr>
      </w:pPr>
      <w:r w:rsidRPr="00C32E27">
        <w:rPr>
          <w:sz w:val="16"/>
          <w:lang w:val="es-ES_tradnl"/>
        </w:rPr>
        <w:t>México</w:t>
      </w:r>
      <w:r w:rsidRPr="00C32E27">
        <w:rPr>
          <w:sz w:val="16"/>
          <w:vertAlign w:val="superscript"/>
          <w:lang w:val="es-ES_tradnl"/>
        </w:rPr>
        <w:t>1</w:t>
      </w:r>
    </w:p>
    <w:p w14:paraId="60D126F1"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Montenegro</w:t>
      </w:r>
      <w:r w:rsidRPr="00E675E8">
        <w:rPr>
          <w:sz w:val="16"/>
          <w:vertAlign w:val="superscript"/>
          <w:lang w:val="es-ES_tradnl"/>
        </w:rPr>
        <w:t>2</w:t>
      </w:r>
    </w:p>
    <w:p w14:paraId="52CFD07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Marruecos</w:t>
      </w:r>
      <w:r w:rsidRPr="00E675E8">
        <w:rPr>
          <w:rStyle w:val="FootnoteReference"/>
          <w:sz w:val="16"/>
          <w:lang w:val="es-ES_tradnl"/>
        </w:rPr>
        <w:t>2</w:t>
      </w:r>
    </w:p>
    <w:p w14:paraId="097DCBD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Países Bajos (Reino de los)</w:t>
      </w:r>
      <w:r w:rsidRPr="00E675E8">
        <w:rPr>
          <w:sz w:val="16"/>
          <w:vertAlign w:val="superscript"/>
          <w:lang w:val="es-ES_tradnl"/>
        </w:rPr>
        <w:t>2</w:t>
      </w:r>
    </w:p>
    <w:p w14:paraId="3A02943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Nueva Zelandia</w:t>
      </w:r>
      <w:r w:rsidRPr="00E675E8">
        <w:rPr>
          <w:rStyle w:val="FootnoteReference"/>
          <w:sz w:val="16"/>
          <w:lang w:val="es-ES_tradnl"/>
        </w:rPr>
        <w:t>1</w:t>
      </w:r>
    </w:p>
    <w:p w14:paraId="0FFC949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Nicaragua</w:t>
      </w:r>
      <w:r w:rsidRPr="00E675E8">
        <w:rPr>
          <w:sz w:val="16"/>
          <w:vertAlign w:val="superscript"/>
          <w:lang w:val="es-ES_tradnl"/>
        </w:rPr>
        <w:t>1</w:t>
      </w:r>
    </w:p>
    <w:p w14:paraId="67DC33F3" w14:textId="0B9A839A" w:rsidR="00B65EDC" w:rsidRPr="00E675E8" w:rsidRDefault="00B65EDC" w:rsidP="00B65EDC">
      <w:pPr>
        <w:spacing w:before="20"/>
        <w:ind w:left="113" w:hanging="113"/>
        <w:jc w:val="left"/>
        <w:rPr>
          <w:rFonts w:cs="Arial"/>
          <w:sz w:val="16"/>
          <w:szCs w:val="16"/>
          <w:lang w:val="es-ES_tradnl"/>
        </w:rPr>
      </w:pPr>
      <w:r w:rsidRPr="00E675E8">
        <w:rPr>
          <w:sz w:val="16"/>
          <w:lang w:val="es-ES_tradnl"/>
        </w:rPr>
        <w:t>Nigeria</w:t>
      </w:r>
      <w:r w:rsidRPr="00E675E8">
        <w:rPr>
          <w:sz w:val="16"/>
          <w:vertAlign w:val="superscript"/>
          <w:lang w:val="es-ES_tradnl"/>
        </w:rPr>
        <w:t>2</w:t>
      </w:r>
    </w:p>
    <w:p w14:paraId="05C1D0BD"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Macedonia del Norte</w:t>
      </w:r>
      <w:r w:rsidRPr="00E675E8">
        <w:rPr>
          <w:sz w:val="16"/>
          <w:vertAlign w:val="superscript"/>
          <w:lang w:val="es-ES_tradnl"/>
        </w:rPr>
        <w:t>2</w:t>
      </w:r>
    </w:p>
    <w:p w14:paraId="7771A5D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Noruega</w:t>
      </w:r>
      <w:r w:rsidRPr="00E675E8">
        <w:rPr>
          <w:rStyle w:val="FootnoteReference"/>
          <w:sz w:val="16"/>
          <w:lang w:val="es-ES_tradnl"/>
        </w:rPr>
        <w:t>1</w:t>
      </w:r>
    </w:p>
    <w:p w14:paraId="5DF5333A"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Omán</w:t>
      </w:r>
      <w:r w:rsidRPr="00E675E8">
        <w:rPr>
          <w:sz w:val="16"/>
          <w:vertAlign w:val="superscript"/>
          <w:lang w:val="es-ES_tradnl"/>
        </w:rPr>
        <w:t>2</w:t>
      </w:r>
    </w:p>
    <w:p w14:paraId="22BB2265"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Panamá</w:t>
      </w:r>
      <w:r w:rsidRPr="00E675E8">
        <w:rPr>
          <w:sz w:val="16"/>
          <w:vertAlign w:val="superscript"/>
          <w:lang w:val="es-ES_tradnl"/>
        </w:rPr>
        <w:t>2</w:t>
      </w:r>
    </w:p>
    <w:p w14:paraId="00234CD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Paraguay</w:t>
      </w:r>
      <w:r w:rsidRPr="00E675E8">
        <w:rPr>
          <w:sz w:val="16"/>
          <w:vertAlign w:val="superscript"/>
          <w:lang w:val="es-ES_tradnl"/>
        </w:rPr>
        <w:t>1</w:t>
      </w:r>
    </w:p>
    <w:p w14:paraId="6548A1C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Perú</w:t>
      </w:r>
      <w:r w:rsidRPr="00E675E8">
        <w:rPr>
          <w:sz w:val="16"/>
          <w:vertAlign w:val="superscript"/>
          <w:lang w:val="es-ES_tradnl"/>
        </w:rPr>
        <w:t>2</w:t>
      </w:r>
    </w:p>
    <w:p w14:paraId="2E7289C3"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Polonia</w:t>
      </w:r>
      <w:r w:rsidRPr="00E675E8">
        <w:rPr>
          <w:rStyle w:val="FootnoteReference"/>
          <w:sz w:val="16"/>
          <w:lang w:val="es-ES_tradnl"/>
        </w:rPr>
        <w:t>2</w:t>
      </w:r>
    </w:p>
    <w:p w14:paraId="7B1BD07C"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Portugal</w:t>
      </w:r>
      <w:r w:rsidRPr="00E675E8">
        <w:rPr>
          <w:rFonts w:ascii="Arial" w:hAnsi="Arial"/>
          <w:sz w:val="16"/>
          <w:vertAlign w:val="superscript"/>
          <w:lang w:val="es-ES_tradnl"/>
        </w:rPr>
        <w:t>1</w:t>
      </w:r>
    </w:p>
    <w:p w14:paraId="751A0C4C"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República de Corea</w:t>
      </w:r>
      <w:r w:rsidRPr="00E675E8">
        <w:rPr>
          <w:rFonts w:ascii="Arial" w:hAnsi="Arial"/>
          <w:sz w:val="16"/>
          <w:vertAlign w:val="superscript"/>
          <w:lang w:val="es-ES_tradnl"/>
        </w:rPr>
        <w:t>2</w:t>
      </w:r>
    </w:p>
    <w:p w14:paraId="0356A524"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República de Moldova</w:t>
      </w:r>
      <w:r w:rsidRPr="00E675E8">
        <w:rPr>
          <w:rFonts w:ascii="Arial" w:hAnsi="Arial"/>
          <w:sz w:val="16"/>
          <w:vertAlign w:val="superscript"/>
          <w:lang w:val="es-ES_tradnl"/>
        </w:rPr>
        <w:t>2</w:t>
      </w:r>
    </w:p>
    <w:p w14:paraId="2E0A0E5A" w14:textId="77777777" w:rsidR="00B65EDC" w:rsidRPr="00E675E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E675E8">
        <w:rPr>
          <w:rFonts w:ascii="Arial" w:hAnsi="Arial"/>
          <w:sz w:val="16"/>
          <w:lang w:val="es-ES_tradnl"/>
        </w:rPr>
        <w:t>Rumania</w:t>
      </w:r>
      <w:r w:rsidRPr="00E675E8">
        <w:rPr>
          <w:rFonts w:ascii="Arial" w:hAnsi="Arial"/>
          <w:sz w:val="16"/>
          <w:vertAlign w:val="superscript"/>
          <w:lang w:val="es-ES_tradnl"/>
        </w:rPr>
        <w:t>2</w:t>
      </w:r>
    </w:p>
    <w:p w14:paraId="52D555FB"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Federación de Rusia</w:t>
      </w:r>
      <w:r w:rsidRPr="00E675E8">
        <w:rPr>
          <w:rFonts w:ascii="Arial" w:hAnsi="Arial"/>
          <w:sz w:val="16"/>
          <w:vertAlign w:val="superscript"/>
          <w:lang w:val="es-ES_tradnl"/>
        </w:rPr>
        <w:t>2</w:t>
      </w:r>
    </w:p>
    <w:p w14:paraId="5D505C5E"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San Vicente y las Granadinas</w:t>
      </w:r>
      <w:r w:rsidRPr="00E675E8">
        <w:rPr>
          <w:rFonts w:ascii="Arial" w:hAnsi="Arial"/>
          <w:sz w:val="16"/>
          <w:vertAlign w:val="superscript"/>
          <w:lang w:val="es-ES_tradnl"/>
        </w:rPr>
        <w:t>2</w:t>
      </w:r>
    </w:p>
    <w:p w14:paraId="6EF46859"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Serbia</w:t>
      </w:r>
      <w:r w:rsidRPr="00E675E8">
        <w:rPr>
          <w:rFonts w:ascii="Arial" w:hAnsi="Arial"/>
          <w:sz w:val="16"/>
          <w:vertAlign w:val="superscript"/>
          <w:lang w:val="es-ES_tradnl"/>
        </w:rPr>
        <w:t>2</w:t>
      </w:r>
    </w:p>
    <w:p w14:paraId="3154153F"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Singapur</w:t>
      </w:r>
      <w:r w:rsidRPr="00E675E8">
        <w:rPr>
          <w:rFonts w:ascii="Arial" w:hAnsi="Arial"/>
          <w:sz w:val="16"/>
          <w:vertAlign w:val="superscript"/>
          <w:lang w:val="es-ES_tradnl"/>
        </w:rPr>
        <w:t>2</w:t>
      </w:r>
    </w:p>
    <w:p w14:paraId="01BFCF8F"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Eslovaquia</w:t>
      </w:r>
      <w:r w:rsidRPr="00E675E8">
        <w:rPr>
          <w:sz w:val="16"/>
          <w:vertAlign w:val="superscript"/>
          <w:lang w:val="es-ES_tradnl"/>
        </w:rPr>
        <w:t>2</w:t>
      </w:r>
    </w:p>
    <w:p w14:paraId="368A40DF"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Eslovenia</w:t>
      </w:r>
      <w:r w:rsidRPr="00E675E8">
        <w:rPr>
          <w:sz w:val="16"/>
          <w:vertAlign w:val="superscript"/>
          <w:lang w:val="es-ES_tradnl"/>
        </w:rPr>
        <w:t>2</w:t>
      </w:r>
    </w:p>
    <w:p w14:paraId="70E76D06"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Sudáfrica</w:t>
      </w:r>
      <w:r w:rsidRPr="00E675E8">
        <w:rPr>
          <w:rStyle w:val="FootnoteReference"/>
          <w:sz w:val="16"/>
          <w:lang w:val="es-ES_tradnl"/>
        </w:rPr>
        <w:t>1</w:t>
      </w:r>
    </w:p>
    <w:p w14:paraId="794E70FE"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España</w:t>
      </w:r>
      <w:r w:rsidRPr="00E675E8">
        <w:rPr>
          <w:rStyle w:val="FootnoteReference"/>
          <w:sz w:val="16"/>
          <w:lang w:val="es-ES_tradnl"/>
        </w:rPr>
        <w:t>2</w:t>
      </w:r>
    </w:p>
    <w:p w14:paraId="5151BD2E" w14:textId="77777777" w:rsidR="00B65EDC" w:rsidRPr="00E675E8" w:rsidRDefault="00B65EDC" w:rsidP="00B65EDC">
      <w:pPr>
        <w:pStyle w:val="BodyTextKeep"/>
        <w:keepNext w:val="0"/>
        <w:spacing w:before="20" w:after="0"/>
        <w:ind w:left="113" w:hanging="113"/>
        <w:rPr>
          <w:rFonts w:ascii="Arial" w:hAnsi="Arial" w:cs="Arial"/>
          <w:sz w:val="16"/>
          <w:szCs w:val="16"/>
          <w:lang w:val="es-ES_tradnl"/>
        </w:rPr>
      </w:pPr>
      <w:r w:rsidRPr="00E675E8">
        <w:rPr>
          <w:rFonts w:ascii="Arial" w:hAnsi="Arial"/>
          <w:sz w:val="16"/>
          <w:lang w:val="es-ES_tradnl"/>
        </w:rPr>
        <w:t>Suecia</w:t>
      </w:r>
      <w:r w:rsidRPr="00E675E8">
        <w:rPr>
          <w:rFonts w:ascii="Arial" w:hAnsi="Arial"/>
          <w:sz w:val="16"/>
          <w:vertAlign w:val="superscript"/>
          <w:lang w:val="es-ES_tradnl"/>
        </w:rPr>
        <w:t>2</w:t>
      </w:r>
    </w:p>
    <w:p w14:paraId="47D35FC2"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Suiza</w:t>
      </w:r>
      <w:r w:rsidRPr="00E675E8">
        <w:rPr>
          <w:sz w:val="16"/>
          <w:vertAlign w:val="superscript"/>
          <w:lang w:val="es-ES_tradnl"/>
        </w:rPr>
        <w:t>2</w:t>
      </w:r>
    </w:p>
    <w:p w14:paraId="130D6B59"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Trinidad y Tabago</w:t>
      </w:r>
      <w:r w:rsidRPr="00E675E8">
        <w:rPr>
          <w:sz w:val="16"/>
          <w:vertAlign w:val="superscript"/>
          <w:lang w:val="es-ES_tradnl"/>
        </w:rPr>
        <w:t>1</w:t>
      </w:r>
    </w:p>
    <w:p w14:paraId="04DBEEF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Túnez</w:t>
      </w:r>
      <w:r w:rsidRPr="00E675E8">
        <w:rPr>
          <w:sz w:val="16"/>
          <w:vertAlign w:val="superscript"/>
          <w:lang w:val="es-ES_tradnl"/>
        </w:rPr>
        <w:t>2</w:t>
      </w:r>
    </w:p>
    <w:p w14:paraId="046AD44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Türkiye</w:t>
      </w:r>
      <w:r w:rsidRPr="00E675E8">
        <w:rPr>
          <w:sz w:val="16"/>
          <w:vertAlign w:val="superscript"/>
          <w:lang w:val="es-ES_tradnl"/>
        </w:rPr>
        <w:t>2</w:t>
      </w:r>
    </w:p>
    <w:p w14:paraId="115E1570"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Ucrania</w:t>
      </w:r>
      <w:r w:rsidRPr="00E675E8">
        <w:rPr>
          <w:sz w:val="16"/>
          <w:vertAlign w:val="superscript"/>
          <w:lang w:val="es-ES_tradnl"/>
        </w:rPr>
        <w:t>2</w:t>
      </w:r>
    </w:p>
    <w:p w14:paraId="6169304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Reino Unido</w:t>
      </w:r>
      <w:r w:rsidRPr="00E675E8">
        <w:rPr>
          <w:sz w:val="16"/>
          <w:vertAlign w:val="superscript"/>
          <w:lang w:val="es-ES_tradnl"/>
        </w:rPr>
        <w:t>2</w:t>
      </w:r>
    </w:p>
    <w:p w14:paraId="1B6DA4F4"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República Unida de Tanzanía</w:t>
      </w:r>
      <w:r w:rsidRPr="00E675E8">
        <w:rPr>
          <w:sz w:val="16"/>
          <w:vertAlign w:val="superscript"/>
          <w:lang w:val="es-ES_tradnl"/>
        </w:rPr>
        <w:t>2</w:t>
      </w:r>
    </w:p>
    <w:p w14:paraId="585DEEF8"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Estados Unidos de América</w:t>
      </w:r>
      <w:r w:rsidRPr="00E675E8">
        <w:rPr>
          <w:sz w:val="16"/>
          <w:vertAlign w:val="superscript"/>
          <w:lang w:val="es-ES_tradnl"/>
        </w:rPr>
        <w:t>2</w:t>
      </w:r>
    </w:p>
    <w:p w14:paraId="26A58121"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Uruguay</w:t>
      </w:r>
      <w:r w:rsidRPr="00E675E8">
        <w:rPr>
          <w:sz w:val="16"/>
          <w:vertAlign w:val="superscript"/>
          <w:lang w:val="es-ES_tradnl"/>
        </w:rPr>
        <w:t>1</w:t>
      </w:r>
    </w:p>
    <w:p w14:paraId="36578B15" w14:textId="77777777" w:rsidR="00B65EDC" w:rsidRPr="00E675E8" w:rsidRDefault="00B65EDC" w:rsidP="00B65EDC">
      <w:pPr>
        <w:spacing w:before="20"/>
        <w:ind w:left="113" w:hanging="113"/>
        <w:jc w:val="left"/>
        <w:rPr>
          <w:rFonts w:cs="Arial"/>
          <w:sz w:val="16"/>
          <w:szCs w:val="16"/>
          <w:lang w:val="es-ES_tradnl"/>
        </w:rPr>
      </w:pPr>
      <w:r w:rsidRPr="00E675E8">
        <w:rPr>
          <w:sz w:val="16"/>
          <w:lang w:val="es-ES_tradnl"/>
        </w:rPr>
        <w:t>Uzbekistán</w:t>
      </w:r>
      <w:r w:rsidRPr="00E675E8">
        <w:rPr>
          <w:sz w:val="16"/>
          <w:vertAlign w:val="superscript"/>
          <w:lang w:val="es-ES_tradnl"/>
        </w:rPr>
        <w:t>2</w:t>
      </w:r>
    </w:p>
    <w:p w14:paraId="577F7207" w14:textId="77777777" w:rsidR="00B65EDC" w:rsidRPr="00E675E8" w:rsidRDefault="00B65EDC" w:rsidP="00B65EDC">
      <w:pPr>
        <w:spacing w:before="20"/>
        <w:ind w:left="113" w:hanging="113"/>
        <w:jc w:val="left"/>
        <w:rPr>
          <w:rFonts w:cs="Arial"/>
          <w:sz w:val="16"/>
          <w:szCs w:val="16"/>
          <w:vertAlign w:val="superscript"/>
          <w:lang w:val="es-ES_tradnl"/>
        </w:rPr>
      </w:pPr>
      <w:r w:rsidRPr="00E675E8">
        <w:rPr>
          <w:sz w:val="16"/>
          <w:lang w:val="es-ES_tradnl"/>
        </w:rPr>
        <w:t>Viet Nam</w:t>
      </w:r>
      <w:r w:rsidRPr="00E675E8">
        <w:rPr>
          <w:sz w:val="16"/>
          <w:vertAlign w:val="superscript"/>
          <w:lang w:val="es-ES_tradnl"/>
        </w:rPr>
        <w:t>2</w:t>
      </w:r>
    </w:p>
    <w:p w14:paraId="4F4668BC" w14:textId="77777777" w:rsidR="00B65EDC" w:rsidRPr="00E675E8" w:rsidRDefault="00B65EDC" w:rsidP="00B65EDC">
      <w:pPr>
        <w:spacing w:before="20"/>
        <w:jc w:val="left"/>
        <w:rPr>
          <w:rFonts w:cs="Arial"/>
          <w:sz w:val="16"/>
          <w:szCs w:val="16"/>
          <w:lang w:val="es-ES_tradnl"/>
        </w:rPr>
      </w:pPr>
    </w:p>
    <w:p w14:paraId="5B2CC73E" w14:textId="77777777" w:rsidR="00B65EDC" w:rsidRPr="00E675E8" w:rsidRDefault="00B65EDC" w:rsidP="00B65EDC">
      <w:pPr>
        <w:spacing w:before="20"/>
        <w:ind w:left="113" w:hanging="113"/>
        <w:jc w:val="left"/>
        <w:rPr>
          <w:rFonts w:cs="Arial"/>
          <w:sz w:val="16"/>
          <w:szCs w:val="16"/>
          <w:lang w:val="es-ES_tradnl"/>
        </w:rPr>
      </w:pPr>
    </w:p>
    <w:p w14:paraId="5FE47248" w14:textId="77777777" w:rsidR="00B65EDC" w:rsidRPr="00E675E8" w:rsidRDefault="00B65EDC" w:rsidP="00B65EDC">
      <w:pPr>
        <w:spacing w:before="40"/>
        <w:rPr>
          <w:rFonts w:cs="Arial"/>
          <w:sz w:val="16"/>
          <w:szCs w:val="16"/>
          <w:lang w:val="es-ES_tradnl"/>
        </w:rPr>
      </w:pPr>
      <w:r w:rsidRPr="00E675E8">
        <w:rPr>
          <w:sz w:val="16"/>
          <w:lang w:val="es-ES_tradnl"/>
        </w:rPr>
        <w:t>(Total 80)</w:t>
      </w:r>
    </w:p>
    <w:p w14:paraId="5A012F69" w14:textId="77777777" w:rsidR="00B65EDC" w:rsidRPr="00E675E8" w:rsidRDefault="00B65EDC" w:rsidP="00B65EDC">
      <w:pPr>
        <w:spacing w:before="40"/>
        <w:jc w:val="left"/>
        <w:rPr>
          <w:rFonts w:cs="Arial"/>
          <w:sz w:val="16"/>
          <w:szCs w:val="16"/>
          <w:lang w:val="es-ES_tradnl"/>
        </w:rPr>
        <w:sectPr w:rsidR="00B65EDC" w:rsidRPr="00E675E8" w:rsidSect="00B65EDC">
          <w:headerReference w:type="even" r:id="rId31"/>
          <w:footerReference w:type="even" r:id="rId32"/>
          <w:footerReference w:type="default" r:id="rId33"/>
          <w:headerReference w:type="first" r:id="rId34"/>
          <w:footerReference w:type="first" r:id="rId35"/>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E675E8" w:rsidRDefault="00B65EDC" w:rsidP="00B65EDC">
      <w:pPr>
        <w:spacing w:before="40"/>
        <w:jc w:val="left"/>
        <w:rPr>
          <w:rFonts w:cs="Arial"/>
          <w:sz w:val="16"/>
          <w:szCs w:val="16"/>
          <w:lang w:val="es-ES_tradnl"/>
        </w:rPr>
      </w:pPr>
    </w:p>
    <w:p w14:paraId="52EB4853" w14:textId="77777777" w:rsidR="00B65EDC" w:rsidRPr="00E675E8" w:rsidRDefault="00B65EDC" w:rsidP="00B65EDC">
      <w:pPr>
        <w:spacing w:before="40"/>
        <w:rPr>
          <w:rFonts w:cs="Arial"/>
          <w:sz w:val="16"/>
          <w:szCs w:val="16"/>
          <w:lang w:val="es-ES_tradnl"/>
        </w:rPr>
        <w:sectPr w:rsidR="00B65EDC" w:rsidRPr="00E675E8"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E675E8" w:rsidRDefault="00B65EDC" w:rsidP="00B65EDC">
      <w:pPr>
        <w:tabs>
          <w:tab w:val="left" w:pos="1418"/>
        </w:tabs>
        <w:spacing w:before="40" w:after="120"/>
        <w:jc w:val="left"/>
        <w:rPr>
          <w:sz w:val="16"/>
          <w:u w:val="single"/>
          <w:lang w:val="es-ES_tradnl"/>
        </w:rPr>
      </w:pPr>
      <w:r w:rsidRPr="00E675E8">
        <w:rPr>
          <w:sz w:val="16"/>
          <w:u w:val="single"/>
          <w:lang w:val="es-ES_tradnl"/>
        </w:rPr>
        <w:tab/>
      </w:r>
    </w:p>
    <w:p w14:paraId="3B6C6B53" w14:textId="77777777" w:rsidR="00B65EDC" w:rsidRPr="00E675E8" w:rsidRDefault="00B65EDC" w:rsidP="00B65EDC">
      <w:pPr>
        <w:tabs>
          <w:tab w:val="left" w:pos="284"/>
        </w:tabs>
        <w:spacing w:after="60"/>
        <w:ind w:left="84"/>
        <w:rPr>
          <w:rFonts w:cs="Arial"/>
          <w:sz w:val="14"/>
          <w:szCs w:val="16"/>
          <w:lang w:val="es-ES_tradnl"/>
        </w:rPr>
      </w:pPr>
      <w:r w:rsidRPr="00E675E8">
        <w:rPr>
          <w:sz w:val="14"/>
          <w:vertAlign w:val="superscript"/>
          <w:lang w:val="es-ES_tradnl"/>
        </w:rPr>
        <w:t>1</w:t>
      </w:r>
      <w:r w:rsidRPr="00E675E8">
        <w:rPr>
          <w:sz w:val="14"/>
          <w:lang w:val="es-ES_tradnl"/>
        </w:rPr>
        <w:tab/>
        <w:t xml:space="preserve">El Acta de 1978 es la última Acta por la que se rigen 17 Estados. </w:t>
      </w:r>
    </w:p>
    <w:p w14:paraId="495E283E" w14:textId="77777777" w:rsidR="00B65EDC" w:rsidRPr="00E675E8" w:rsidRDefault="00B65EDC" w:rsidP="00B65EDC">
      <w:pPr>
        <w:tabs>
          <w:tab w:val="left" w:pos="284"/>
        </w:tabs>
        <w:spacing w:after="60"/>
        <w:ind w:left="84"/>
        <w:rPr>
          <w:rFonts w:cs="Arial"/>
          <w:sz w:val="14"/>
          <w:szCs w:val="16"/>
          <w:lang w:val="es-ES_tradnl"/>
        </w:rPr>
      </w:pPr>
      <w:r w:rsidRPr="00E675E8">
        <w:rPr>
          <w:sz w:val="14"/>
          <w:vertAlign w:val="superscript"/>
          <w:lang w:val="es-ES_tradnl"/>
        </w:rPr>
        <w:t>2</w:t>
      </w:r>
      <w:r w:rsidRPr="00E675E8">
        <w:rPr>
          <w:sz w:val="14"/>
          <w:lang w:val="es-ES_tradnl"/>
        </w:rPr>
        <w:tab/>
        <w:t>El Acta de 1991 es la última Acta por la que se rigen 60 Estados y 2 organizaciones.</w:t>
      </w:r>
    </w:p>
    <w:p w14:paraId="3C3AAB3D" w14:textId="77777777" w:rsidR="00B65EDC" w:rsidRPr="00E675E8" w:rsidRDefault="00B65EDC" w:rsidP="00B65EDC">
      <w:pPr>
        <w:tabs>
          <w:tab w:val="left" w:pos="284"/>
        </w:tabs>
        <w:spacing w:after="60"/>
        <w:ind w:left="284" w:hanging="200"/>
        <w:rPr>
          <w:rFonts w:cs="Arial"/>
          <w:sz w:val="14"/>
          <w:szCs w:val="16"/>
          <w:lang w:val="es-ES_tradnl"/>
        </w:rPr>
      </w:pPr>
      <w:r w:rsidRPr="00E675E8">
        <w:rPr>
          <w:sz w:val="14"/>
          <w:vertAlign w:val="superscript"/>
          <w:lang w:val="es-ES_tradnl"/>
        </w:rPr>
        <w:t>3</w:t>
      </w:r>
      <w:r w:rsidRPr="00E675E8">
        <w:rPr>
          <w:sz w:val="14"/>
          <w:lang w:val="es-ES_tradnl"/>
        </w:rPr>
        <w:tab/>
        <w:t>Aplica un sistema de protección de los derechos de obtentor que cubre el territorio de sus 27 Estados miembros (Alemania, Austria, Bélgica, Bulgaria, Chipre, Croacia, Dinamarca, Eslovaquia, Eslovenia, España, Estonia, Finlandia, Francia, Grecia, Hungría, Irlanda, Italia, Letonia, Lituania, Luxemburgo, Malta, Países Bajos, Polonia, Portugal, República Checa, Rumania, Suecia).</w:t>
      </w:r>
    </w:p>
    <w:p w14:paraId="31C81F66" w14:textId="77777777" w:rsidR="00B65EDC" w:rsidRPr="00E675E8" w:rsidRDefault="00B65EDC" w:rsidP="00B65EDC">
      <w:pPr>
        <w:tabs>
          <w:tab w:val="left" w:pos="284"/>
        </w:tabs>
        <w:spacing w:after="60"/>
        <w:ind w:left="284" w:hanging="200"/>
        <w:rPr>
          <w:rFonts w:cs="Arial"/>
          <w:i/>
          <w:sz w:val="14"/>
          <w:szCs w:val="16"/>
          <w:lang w:val="es-ES_tradnl"/>
        </w:rPr>
      </w:pPr>
      <w:r w:rsidRPr="00E675E8">
        <w:rPr>
          <w:sz w:val="14"/>
          <w:vertAlign w:val="superscript"/>
          <w:lang w:val="es-ES_tradnl"/>
        </w:rPr>
        <w:t>4</w:t>
      </w:r>
      <w:r w:rsidRPr="00E675E8">
        <w:rPr>
          <w:sz w:val="14"/>
          <w:lang w:val="es-ES_tradnl"/>
        </w:rPr>
        <w:tab/>
        <w:t>Aplica un sistema de protección de los derechos de obtentor que cubre el territorio de sus 17 Estados miembros (</w:t>
      </w:r>
      <w:proofErr w:type="spellStart"/>
      <w:r w:rsidRPr="00E675E8">
        <w:rPr>
          <w:sz w:val="14"/>
          <w:lang w:val="es-ES_tradnl"/>
        </w:rPr>
        <w:t>Benin</w:t>
      </w:r>
      <w:proofErr w:type="spellEnd"/>
      <w:r w:rsidRPr="00E675E8">
        <w:rPr>
          <w:sz w:val="14"/>
          <w:lang w:val="es-ES_tradnl"/>
        </w:rPr>
        <w:t xml:space="preserve">, Burkina Faso, Camerún, Chad, Comoras, Congo, </w:t>
      </w:r>
      <w:proofErr w:type="spellStart"/>
      <w:r w:rsidRPr="00E675E8">
        <w:rPr>
          <w:sz w:val="14"/>
          <w:lang w:val="es-ES_tradnl"/>
        </w:rPr>
        <w:t>Côte</w:t>
      </w:r>
      <w:proofErr w:type="spellEnd"/>
      <w:r w:rsidRPr="00E675E8">
        <w:rPr>
          <w:sz w:val="14"/>
          <w:lang w:val="es-ES_tradnl"/>
        </w:rPr>
        <w:t xml:space="preserve"> </w:t>
      </w:r>
      <w:proofErr w:type="spellStart"/>
      <w:r w:rsidRPr="00E675E8">
        <w:rPr>
          <w:sz w:val="14"/>
          <w:lang w:val="es-ES_tradnl"/>
        </w:rPr>
        <w:t>d’Ivoire</w:t>
      </w:r>
      <w:proofErr w:type="spellEnd"/>
      <w:r w:rsidRPr="00E675E8">
        <w:rPr>
          <w:sz w:val="14"/>
          <w:lang w:val="es-ES_tradnl"/>
        </w:rPr>
        <w:t>, Gabón, Guinea, Guinea-Bissau, Guinea Ecuatorial, Malí, Mauritania, Níger, República Centroafricana, Senegal, Togo).</w:t>
      </w:r>
    </w:p>
    <w:p w14:paraId="15298E61" w14:textId="77777777" w:rsidR="00B65EDC" w:rsidRPr="00E675E8" w:rsidRDefault="00B65EDC" w:rsidP="00B65EDC">
      <w:pPr>
        <w:pStyle w:val="BodyText3"/>
        <w:tabs>
          <w:tab w:val="left" w:pos="284"/>
        </w:tabs>
        <w:spacing w:after="0" w:line="360" w:lineRule="auto"/>
        <w:jc w:val="both"/>
        <w:rPr>
          <w:rFonts w:ascii="Arial" w:hAnsi="Arial" w:cs="Arial"/>
          <w:sz w:val="18"/>
          <w:szCs w:val="20"/>
          <w:lang w:val="es-ES_tradnl"/>
        </w:rPr>
      </w:pPr>
    </w:p>
    <w:p w14:paraId="7647D316" w14:textId="77777777" w:rsidR="00B65EDC" w:rsidRPr="00E675E8" w:rsidRDefault="00B65EDC" w:rsidP="00B65EDC">
      <w:pPr>
        <w:ind w:left="284" w:hanging="284"/>
        <w:jc w:val="left"/>
        <w:rPr>
          <w:rFonts w:cs="Arial"/>
          <w:b/>
          <w:color w:val="26724C" w:themeColor="accent1" w:themeShade="BF"/>
          <w:spacing w:val="-2"/>
          <w:sz w:val="18"/>
          <w:szCs w:val="16"/>
          <w:lang w:val="es-ES_tradnl"/>
        </w:rPr>
      </w:pPr>
      <w:r w:rsidRPr="00E675E8">
        <w:rPr>
          <w:b/>
          <w:color w:val="26724C" w:themeColor="accent1" w:themeShade="BF"/>
          <w:sz w:val="18"/>
          <w:lang w:val="es-ES_tradnl"/>
        </w:rPr>
        <w:t>B.</w:t>
      </w:r>
      <w:r w:rsidRPr="00E675E8">
        <w:rPr>
          <w:b/>
          <w:color w:val="26724C" w:themeColor="accent1" w:themeShade="BF"/>
          <w:sz w:val="18"/>
          <w:lang w:val="es-ES_tradnl"/>
        </w:rPr>
        <w:tab/>
        <w:t>Estados y organizaciones intergubernamentales que han iniciado el procedimiento de adhesión al Convenio de la UPOV</w:t>
      </w:r>
    </w:p>
    <w:p w14:paraId="3C79E782" w14:textId="77777777" w:rsidR="00B65EDC" w:rsidRPr="00E675E8" w:rsidRDefault="00B65EDC" w:rsidP="00B65EDC">
      <w:pPr>
        <w:tabs>
          <w:tab w:val="left" w:pos="284"/>
        </w:tabs>
        <w:ind w:left="284"/>
        <w:rPr>
          <w:rFonts w:cs="Arial"/>
          <w:sz w:val="16"/>
          <w:szCs w:val="16"/>
          <w:lang w:val="es-ES_tradnl"/>
        </w:rPr>
      </w:pPr>
    </w:p>
    <w:p w14:paraId="2BB32B16" w14:textId="77777777" w:rsidR="00B65EDC" w:rsidRPr="00E675E8" w:rsidRDefault="00B65EDC" w:rsidP="00B65EDC">
      <w:pPr>
        <w:keepNext/>
        <w:rPr>
          <w:rFonts w:cs="Arial"/>
          <w:i/>
          <w:sz w:val="16"/>
          <w:szCs w:val="16"/>
          <w:lang w:val="es-ES_tradnl"/>
        </w:rPr>
      </w:pPr>
      <w:r w:rsidRPr="00E675E8">
        <w:rPr>
          <w:i/>
          <w:sz w:val="16"/>
          <w:lang w:val="es-ES_tradnl"/>
        </w:rPr>
        <w:t>Estados (18):</w:t>
      </w:r>
    </w:p>
    <w:p w14:paraId="1388C210" w14:textId="77777777" w:rsidR="00B65EDC" w:rsidRPr="00E675E8" w:rsidRDefault="00B65EDC" w:rsidP="00B65EDC">
      <w:pPr>
        <w:keepNext/>
        <w:rPr>
          <w:rFonts w:cs="Arial"/>
          <w:sz w:val="10"/>
          <w:szCs w:val="16"/>
          <w:lang w:val="es-ES_tradnl"/>
        </w:rPr>
      </w:pPr>
    </w:p>
    <w:p w14:paraId="008995D7" w14:textId="77777777" w:rsidR="00B65EDC" w:rsidRPr="00E675E8" w:rsidRDefault="00B65EDC" w:rsidP="00B65EDC">
      <w:pPr>
        <w:rPr>
          <w:rFonts w:cs="Arial"/>
          <w:spacing w:val="-2"/>
          <w:sz w:val="16"/>
          <w:szCs w:val="16"/>
          <w:lang w:val="es-ES_tradnl"/>
        </w:rPr>
      </w:pPr>
      <w:r w:rsidRPr="00E675E8">
        <w:rPr>
          <w:sz w:val="16"/>
          <w:lang w:val="es-ES_tradnl"/>
        </w:rPr>
        <w:t xml:space="preserve">Afganistán, </w:t>
      </w:r>
      <w:proofErr w:type="spellStart"/>
      <w:r w:rsidRPr="00E675E8">
        <w:rPr>
          <w:sz w:val="16"/>
          <w:lang w:val="es-ES_tradnl"/>
        </w:rPr>
        <w:t>Brunei</w:t>
      </w:r>
      <w:proofErr w:type="spellEnd"/>
      <w:r w:rsidRPr="00E675E8">
        <w:rPr>
          <w:sz w:val="16"/>
          <w:lang w:val="es-ES_tradnl"/>
        </w:rPr>
        <w:t xml:space="preserve"> Darussalam, Emiratos Árabes Unidos, Filipinas, Guatemala, Honduras, India, Irán (República Islámica del), Jamaica, Kazajstán, Malasia, Mauricio, Mongolia, Myanmar, República Democrática Popular Lao, Tayikistán, Venezuela (República Bolivariana de) y </w:t>
      </w:r>
      <w:proofErr w:type="spellStart"/>
      <w:r w:rsidRPr="00E675E8">
        <w:rPr>
          <w:sz w:val="16"/>
          <w:lang w:val="es-ES_tradnl"/>
        </w:rPr>
        <w:t>Zimbabwe</w:t>
      </w:r>
      <w:proofErr w:type="spellEnd"/>
    </w:p>
    <w:p w14:paraId="39460B29" w14:textId="77777777" w:rsidR="00B65EDC" w:rsidRPr="00E675E8" w:rsidRDefault="00B65EDC" w:rsidP="00B65EDC">
      <w:pPr>
        <w:rPr>
          <w:rFonts w:cs="Arial"/>
          <w:sz w:val="16"/>
          <w:szCs w:val="16"/>
          <w:lang w:val="es-ES_tradnl"/>
        </w:rPr>
      </w:pPr>
    </w:p>
    <w:p w14:paraId="4F26E442" w14:textId="77777777" w:rsidR="00B65EDC" w:rsidRPr="00E675E8" w:rsidRDefault="00B65EDC" w:rsidP="00B65EDC">
      <w:pPr>
        <w:rPr>
          <w:rFonts w:cs="Arial"/>
          <w:i/>
          <w:spacing w:val="-2"/>
          <w:sz w:val="16"/>
          <w:szCs w:val="16"/>
          <w:lang w:val="es-ES_tradnl"/>
        </w:rPr>
      </w:pPr>
      <w:r w:rsidRPr="00E675E8">
        <w:rPr>
          <w:i/>
          <w:sz w:val="16"/>
          <w:lang w:val="es-ES_tradnl"/>
        </w:rPr>
        <w:t>Organización (1):</w:t>
      </w:r>
    </w:p>
    <w:p w14:paraId="220F9E68" w14:textId="77777777" w:rsidR="00B65EDC" w:rsidRPr="00E675E8" w:rsidRDefault="00B65EDC" w:rsidP="00B65EDC">
      <w:pPr>
        <w:rPr>
          <w:rFonts w:cs="Arial"/>
          <w:spacing w:val="-2"/>
          <w:sz w:val="10"/>
          <w:szCs w:val="16"/>
          <w:lang w:val="es-ES_tradnl"/>
        </w:rPr>
      </w:pPr>
    </w:p>
    <w:p w14:paraId="4C3CBADF" w14:textId="77777777" w:rsidR="00B65EDC" w:rsidRPr="00E675E8" w:rsidRDefault="00B65EDC" w:rsidP="00B65EDC">
      <w:pPr>
        <w:rPr>
          <w:rFonts w:cs="Arial"/>
          <w:sz w:val="16"/>
          <w:szCs w:val="24"/>
          <w:lang w:val="es-ES_tradnl"/>
        </w:rPr>
      </w:pPr>
      <w:r w:rsidRPr="00E675E8">
        <w:rPr>
          <w:sz w:val="16"/>
          <w:lang w:val="es-ES_tradnl"/>
        </w:rPr>
        <w:t xml:space="preserve">Organización Regional Africana de la Propiedad Intelectual (ARIPO) </w:t>
      </w:r>
    </w:p>
    <w:p w14:paraId="50D9D49A" w14:textId="793D4A7C" w:rsidR="00B65EDC" w:rsidRPr="00E675E8" w:rsidRDefault="00B65EDC" w:rsidP="00B65EDC">
      <w:pPr>
        <w:rPr>
          <w:rFonts w:cs="Arial"/>
          <w:sz w:val="16"/>
          <w:szCs w:val="16"/>
          <w:lang w:val="es-ES_tradnl"/>
        </w:rPr>
      </w:pPr>
      <w:r w:rsidRPr="00E675E8">
        <w:rPr>
          <w:i/>
          <w:sz w:val="16"/>
          <w:lang w:val="es-ES_tradnl"/>
        </w:rPr>
        <w:t>(Estados miembros de la ARIPO (22):</w:t>
      </w:r>
      <w:r w:rsidR="002817AB" w:rsidRPr="00E675E8">
        <w:rPr>
          <w:i/>
          <w:sz w:val="16"/>
          <w:lang w:val="es-ES_tradnl"/>
        </w:rPr>
        <w:t xml:space="preserve"> </w:t>
      </w:r>
      <w:proofErr w:type="spellStart"/>
      <w:r w:rsidRPr="00E675E8">
        <w:rPr>
          <w:i/>
          <w:sz w:val="16"/>
          <w:lang w:val="es-ES_tradnl"/>
        </w:rPr>
        <w:t>Botswana</w:t>
      </w:r>
      <w:proofErr w:type="spellEnd"/>
      <w:r w:rsidRPr="00E675E8">
        <w:rPr>
          <w:i/>
          <w:sz w:val="16"/>
          <w:lang w:val="es-ES_tradnl"/>
        </w:rPr>
        <w:t xml:space="preserve">, Cabo Verde, </w:t>
      </w:r>
      <w:proofErr w:type="spellStart"/>
      <w:r w:rsidRPr="00E675E8">
        <w:rPr>
          <w:i/>
          <w:sz w:val="16"/>
          <w:lang w:val="es-ES_tradnl"/>
        </w:rPr>
        <w:t>Eswatini</w:t>
      </w:r>
      <w:proofErr w:type="spellEnd"/>
      <w:r w:rsidRPr="00E675E8">
        <w:rPr>
          <w:i/>
          <w:sz w:val="16"/>
          <w:lang w:val="es-ES_tradnl"/>
        </w:rPr>
        <w:t xml:space="preserve">, Gambia, Ghana, </w:t>
      </w:r>
      <w:proofErr w:type="spellStart"/>
      <w:r w:rsidRPr="00E675E8">
        <w:rPr>
          <w:i/>
          <w:sz w:val="16"/>
          <w:lang w:val="es-ES_tradnl"/>
        </w:rPr>
        <w:t>Kenya</w:t>
      </w:r>
      <w:proofErr w:type="spellEnd"/>
      <w:r w:rsidRPr="00E675E8">
        <w:rPr>
          <w:i/>
          <w:sz w:val="16"/>
          <w:lang w:val="es-ES_tradnl"/>
        </w:rPr>
        <w:t xml:space="preserve">, </w:t>
      </w:r>
      <w:proofErr w:type="spellStart"/>
      <w:r w:rsidRPr="00E675E8">
        <w:rPr>
          <w:i/>
          <w:sz w:val="16"/>
          <w:lang w:val="es-ES_tradnl"/>
        </w:rPr>
        <w:t>Lesotho</w:t>
      </w:r>
      <w:proofErr w:type="spellEnd"/>
      <w:r w:rsidRPr="00E675E8">
        <w:rPr>
          <w:i/>
          <w:sz w:val="16"/>
          <w:lang w:val="es-ES_tradnl"/>
        </w:rPr>
        <w:t xml:space="preserve">, Liberia, Malawi, Mauricio, Mozambique, Namibia, República Unida de </w:t>
      </w:r>
      <w:proofErr w:type="spellStart"/>
      <w:r w:rsidRPr="00E675E8">
        <w:rPr>
          <w:i/>
          <w:sz w:val="16"/>
          <w:lang w:val="es-ES_tradnl"/>
        </w:rPr>
        <w:t>Tanzanía</w:t>
      </w:r>
      <w:proofErr w:type="spellEnd"/>
      <w:r w:rsidRPr="00E675E8">
        <w:rPr>
          <w:i/>
          <w:sz w:val="16"/>
          <w:lang w:val="es-ES_tradnl"/>
        </w:rPr>
        <w:t xml:space="preserve">, </w:t>
      </w:r>
      <w:proofErr w:type="spellStart"/>
      <w:r w:rsidRPr="00E675E8">
        <w:rPr>
          <w:i/>
          <w:sz w:val="16"/>
          <w:lang w:val="es-ES_tradnl"/>
        </w:rPr>
        <w:t>Rwanda</w:t>
      </w:r>
      <w:proofErr w:type="spellEnd"/>
      <w:r w:rsidRPr="00E675E8">
        <w:rPr>
          <w:i/>
          <w:sz w:val="16"/>
          <w:lang w:val="es-ES_tradnl"/>
        </w:rPr>
        <w:t xml:space="preserve">, Santo Tomé y Príncipe, Seychelles, Sierra Leona, Somalia, Sudán, Uganda, Zambia, </w:t>
      </w:r>
      <w:proofErr w:type="spellStart"/>
      <w:r w:rsidRPr="00E675E8">
        <w:rPr>
          <w:i/>
          <w:sz w:val="16"/>
          <w:lang w:val="es-ES_tradnl"/>
        </w:rPr>
        <w:t>Zimbabwe</w:t>
      </w:r>
      <w:proofErr w:type="spellEnd"/>
      <w:r w:rsidRPr="00E675E8">
        <w:rPr>
          <w:i/>
          <w:sz w:val="16"/>
          <w:lang w:val="es-ES_tradnl"/>
        </w:rPr>
        <w:t xml:space="preserve">) </w:t>
      </w:r>
    </w:p>
    <w:p w14:paraId="4FBDFEBF" w14:textId="77777777" w:rsidR="00B65EDC" w:rsidRPr="00E675E8" w:rsidRDefault="00B65EDC" w:rsidP="00B65EDC">
      <w:pPr>
        <w:rPr>
          <w:rFonts w:cs="Arial"/>
          <w:sz w:val="16"/>
          <w:szCs w:val="16"/>
          <w:lang w:val="es-ES_tradnl"/>
        </w:rPr>
      </w:pPr>
    </w:p>
    <w:p w14:paraId="46E2C751" w14:textId="77777777" w:rsidR="00B65EDC" w:rsidRPr="00E675E8" w:rsidRDefault="00B65EDC" w:rsidP="00B65EDC">
      <w:pPr>
        <w:rPr>
          <w:rFonts w:cs="Arial"/>
          <w:sz w:val="16"/>
          <w:szCs w:val="16"/>
          <w:lang w:val="es-ES_tradnl"/>
        </w:rPr>
      </w:pPr>
    </w:p>
    <w:p w14:paraId="050557C7" w14:textId="77777777" w:rsidR="00B65EDC" w:rsidRPr="00E675E8" w:rsidRDefault="00B65EDC" w:rsidP="00B65EDC">
      <w:pPr>
        <w:ind w:left="284" w:hanging="284"/>
        <w:jc w:val="left"/>
        <w:rPr>
          <w:rFonts w:cs="Arial"/>
          <w:b/>
          <w:color w:val="26724C" w:themeColor="accent1" w:themeShade="BF"/>
          <w:sz w:val="18"/>
          <w:szCs w:val="24"/>
          <w:lang w:val="es-ES_tradnl"/>
        </w:rPr>
      </w:pPr>
      <w:r w:rsidRPr="00E675E8">
        <w:rPr>
          <w:b/>
          <w:color w:val="26724C" w:themeColor="accent1" w:themeShade="BF"/>
          <w:sz w:val="18"/>
          <w:lang w:val="es-ES_tradnl"/>
        </w:rPr>
        <w:t>C.</w:t>
      </w:r>
      <w:r w:rsidRPr="00E675E8">
        <w:rPr>
          <w:b/>
          <w:color w:val="26724C" w:themeColor="accent1" w:themeShade="BF"/>
          <w:sz w:val="18"/>
          <w:lang w:val="es-ES_tradnl"/>
        </w:rPr>
        <w:tab/>
        <w:t>Estados y organizaciones intergubernamentales que se han puesto en contacto con la Oficina de la Unión para solicitar asistencia en la elaboración de legislación basada en el Convenio de la UPOV</w:t>
      </w:r>
    </w:p>
    <w:p w14:paraId="39052F9B" w14:textId="77777777" w:rsidR="00B65EDC" w:rsidRPr="00E675E8" w:rsidRDefault="00B65EDC" w:rsidP="00B65EDC">
      <w:pPr>
        <w:jc w:val="center"/>
        <w:rPr>
          <w:rFonts w:cs="Arial"/>
          <w:b/>
          <w:sz w:val="18"/>
          <w:szCs w:val="24"/>
          <w:lang w:val="es-ES_tradnl"/>
        </w:rPr>
      </w:pPr>
    </w:p>
    <w:p w14:paraId="17001DA2" w14:textId="77777777" w:rsidR="00B65EDC" w:rsidRPr="00E675E8" w:rsidRDefault="00B65EDC" w:rsidP="00B65EDC">
      <w:pPr>
        <w:keepNext/>
        <w:rPr>
          <w:rFonts w:cs="Arial"/>
          <w:i/>
          <w:sz w:val="16"/>
          <w:szCs w:val="24"/>
          <w:lang w:val="es-ES_tradnl"/>
        </w:rPr>
      </w:pPr>
      <w:r w:rsidRPr="00E675E8">
        <w:rPr>
          <w:i/>
          <w:sz w:val="16"/>
          <w:lang w:val="es-ES_tradnl"/>
        </w:rPr>
        <w:t>Estados (28):</w:t>
      </w:r>
    </w:p>
    <w:p w14:paraId="7A7D9EE6" w14:textId="77777777" w:rsidR="00B65EDC" w:rsidRPr="00E675E8" w:rsidRDefault="00B65EDC" w:rsidP="00B65EDC">
      <w:pPr>
        <w:keepNext/>
        <w:rPr>
          <w:rFonts w:cs="Arial"/>
          <w:sz w:val="10"/>
          <w:szCs w:val="24"/>
          <w:lang w:val="es-ES_tradnl"/>
        </w:rPr>
      </w:pPr>
    </w:p>
    <w:p w14:paraId="4045CF99" w14:textId="77777777" w:rsidR="00B65EDC" w:rsidRPr="00E675E8" w:rsidRDefault="00B65EDC" w:rsidP="00B65EDC">
      <w:pPr>
        <w:suppressAutoHyphens/>
        <w:rPr>
          <w:rFonts w:cs="Arial"/>
          <w:spacing w:val="-2"/>
          <w:sz w:val="16"/>
          <w:szCs w:val="24"/>
          <w:lang w:val="es-ES_tradnl"/>
        </w:rPr>
      </w:pPr>
      <w:r w:rsidRPr="00E675E8">
        <w:rPr>
          <w:sz w:val="16"/>
          <w:lang w:val="es-ES_tradnl"/>
        </w:rPr>
        <w:t xml:space="preserve">Antigua y Barbuda, Arabia Saudita, Argelia, </w:t>
      </w:r>
      <w:proofErr w:type="spellStart"/>
      <w:r w:rsidRPr="00E675E8">
        <w:rPr>
          <w:sz w:val="16"/>
          <w:lang w:val="es-ES_tradnl"/>
        </w:rPr>
        <w:t>Bahrein</w:t>
      </w:r>
      <w:proofErr w:type="spellEnd"/>
      <w:r w:rsidRPr="00E675E8">
        <w:rPr>
          <w:sz w:val="16"/>
          <w:lang w:val="es-ES_tradnl"/>
        </w:rPr>
        <w:t xml:space="preserve">, Barbados, Cabo Verde, Camboya, Chipre, Cuba, El Salvador, Gambia, Indonesia, Iraq, Libia, Liechtenstein, Malawi, Mozambique, Namibia, Pakistán, </w:t>
      </w:r>
      <w:proofErr w:type="spellStart"/>
      <w:r w:rsidRPr="00E675E8">
        <w:rPr>
          <w:sz w:val="16"/>
          <w:lang w:val="es-ES_tradnl"/>
        </w:rPr>
        <w:t>Rwanda</w:t>
      </w:r>
      <w:proofErr w:type="spellEnd"/>
      <w:r w:rsidRPr="00E675E8">
        <w:rPr>
          <w:sz w:val="16"/>
          <w:lang w:val="es-ES_tradnl"/>
        </w:rPr>
        <w:t xml:space="preserve">, Seychelles, Sudán, </w:t>
      </w:r>
      <w:proofErr w:type="spellStart"/>
      <w:r w:rsidRPr="00E675E8">
        <w:rPr>
          <w:sz w:val="16"/>
          <w:lang w:val="es-ES_tradnl"/>
        </w:rPr>
        <w:t>Suriname</w:t>
      </w:r>
      <w:proofErr w:type="spellEnd"/>
      <w:r w:rsidRPr="00E675E8">
        <w:rPr>
          <w:sz w:val="16"/>
          <w:lang w:val="es-ES_tradnl"/>
        </w:rPr>
        <w:t>, Tailandia, Timor-Leste, Tonga, Turkmenistán y Zambia</w:t>
      </w:r>
    </w:p>
    <w:p w14:paraId="5139E5BD" w14:textId="77777777" w:rsidR="00B65EDC" w:rsidRPr="00E675E8" w:rsidRDefault="00B65EDC" w:rsidP="00B65EDC">
      <w:pPr>
        <w:rPr>
          <w:rFonts w:cs="Arial"/>
          <w:sz w:val="16"/>
          <w:szCs w:val="24"/>
          <w:lang w:val="es-ES_tradnl"/>
        </w:rPr>
      </w:pPr>
    </w:p>
    <w:p w14:paraId="352F769A" w14:textId="77777777" w:rsidR="00B65EDC" w:rsidRPr="00E675E8" w:rsidRDefault="00B65EDC" w:rsidP="00B65EDC">
      <w:pPr>
        <w:keepNext/>
        <w:rPr>
          <w:rFonts w:cs="Arial"/>
          <w:i/>
          <w:sz w:val="16"/>
          <w:szCs w:val="24"/>
          <w:lang w:val="es-ES_tradnl"/>
        </w:rPr>
      </w:pPr>
      <w:r w:rsidRPr="00E675E8">
        <w:rPr>
          <w:i/>
          <w:sz w:val="16"/>
          <w:lang w:val="es-ES_tradnl"/>
        </w:rPr>
        <w:t>Organización (1):</w:t>
      </w:r>
    </w:p>
    <w:p w14:paraId="78E5BDD8" w14:textId="77777777" w:rsidR="00B65EDC" w:rsidRPr="00E675E8" w:rsidRDefault="00B65EDC" w:rsidP="00B65EDC">
      <w:pPr>
        <w:keepNext/>
        <w:rPr>
          <w:rFonts w:cs="Arial"/>
          <w:sz w:val="10"/>
          <w:szCs w:val="24"/>
          <w:lang w:val="es-ES_tradnl"/>
        </w:rPr>
      </w:pPr>
    </w:p>
    <w:p w14:paraId="20B107C0" w14:textId="77777777" w:rsidR="00B65EDC" w:rsidRPr="00E675E8" w:rsidRDefault="00B65EDC" w:rsidP="00B65EDC">
      <w:pPr>
        <w:rPr>
          <w:rFonts w:cs="Arial"/>
          <w:sz w:val="16"/>
          <w:szCs w:val="24"/>
          <w:lang w:val="es-ES_tradnl"/>
        </w:rPr>
      </w:pPr>
      <w:r w:rsidRPr="00E675E8">
        <w:rPr>
          <w:sz w:val="16"/>
          <w:lang w:val="es-ES_tradnl"/>
        </w:rPr>
        <w:t xml:space="preserve">Comunidad para el Desarrollo del África Austral (SADC) </w:t>
      </w:r>
    </w:p>
    <w:p w14:paraId="42830307" w14:textId="4BB6AC46" w:rsidR="00B65EDC" w:rsidRPr="00E675E8" w:rsidRDefault="00B65EDC" w:rsidP="00B65EDC">
      <w:pPr>
        <w:rPr>
          <w:rFonts w:cs="Arial"/>
          <w:i/>
          <w:sz w:val="16"/>
          <w:szCs w:val="24"/>
          <w:lang w:val="es-ES_tradnl"/>
        </w:rPr>
      </w:pPr>
      <w:r w:rsidRPr="00E675E8">
        <w:rPr>
          <w:i/>
          <w:sz w:val="16"/>
          <w:lang w:val="es-ES_tradnl"/>
        </w:rPr>
        <w:t>(Estados miembros de la SADC (15):</w:t>
      </w:r>
      <w:r w:rsidR="002817AB" w:rsidRPr="00E675E8">
        <w:rPr>
          <w:i/>
          <w:sz w:val="16"/>
          <w:lang w:val="es-ES_tradnl"/>
        </w:rPr>
        <w:t xml:space="preserve"> </w:t>
      </w:r>
      <w:r w:rsidRPr="00E675E8">
        <w:rPr>
          <w:i/>
          <w:sz w:val="16"/>
          <w:lang w:val="es-ES_tradnl"/>
        </w:rPr>
        <w:t xml:space="preserve">Angola, </w:t>
      </w:r>
      <w:proofErr w:type="spellStart"/>
      <w:r w:rsidRPr="00E675E8">
        <w:rPr>
          <w:i/>
          <w:sz w:val="16"/>
          <w:lang w:val="es-ES_tradnl"/>
        </w:rPr>
        <w:t>Botswana</w:t>
      </w:r>
      <w:proofErr w:type="spellEnd"/>
      <w:r w:rsidRPr="00E675E8">
        <w:rPr>
          <w:i/>
          <w:sz w:val="16"/>
          <w:lang w:val="es-ES_tradnl"/>
        </w:rPr>
        <w:t xml:space="preserve">, </w:t>
      </w:r>
      <w:proofErr w:type="spellStart"/>
      <w:r w:rsidRPr="00E675E8">
        <w:rPr>
          <w:i/>
          <w:sz w:val="16"/>
          <w:lang w:val="es-ES_tradnl"/>
        </w:rPr>
        <w:t>Eswatini</w:t>
      </w:r>
      <w:proofErr w:type="spellEnd"/>
      <w:r w:rsidRPr="00E675E8">
        <w:rPr>
          <w:i/>
          <w:sz w:val="16"/>
          <w:lang w:val="es-ES_tradnl"/>
        </w:rPr>
        <w:t xml:space="preserve">, </w:t>
      </w:r>
      <w:proofErr w:type="spellStart"/>
      <w:r w:rsidRPr="00E675E8">
        <w:rPr>
          <w:i/>
          <w:sz w:val="16"/>
          <w:lang w:val="es-ES_tradnl"/>
        </w:rPr>
        <w:t>Lesotho</w:t>
      </w:r>
      <w:proofErr w:type="spellEnd"/>
      <w:r w:rsidRPr="00E675E8">
        <w:rPr>
          <w:i/>
          <w:sz w:val="16"/>
          <w:lang w:val="es-ES_tradnl"/>
        </w:rPr>
        <w:t xml:space="preserve">, Madagascar, Malawi, Mauricio, Mozambique, Namibia, República Democrática del Congo, República Unida de </w:t>
      </w:r>
      <w:proofErr w:type="spellStart"/>
      <w:r w:rsidRPr="00E675E8">
        <w:rPr>
          <w:i/>
          <w:sz w:val="16"/>
          <w:lang w:val="es-ES_tradnl"/>
        </w:rPr>
        <w:t>Tanzanía</w:t>
      </w:r>
      <w:proofErr w:type="spellEnd"/>
      <w:r w:rsidRPr="00E675E8">
        <w:rPr>
          <w:i/>
          <w:sz w:val="16"/>
          <w:lang w:val="es-ES_tradnl"/>
        </w:rPr>
        <w:t xml:space="preserve">, Seychelles, Sudáfrica, Zambia, </w:t>
      </w:r>
      <w:proofErr w:type="spellStart"/>
      <w:r w:rsidRPr="00E675E8">
        <w:rPr>
          <w:i/>
          <w:sz w:val="16"/>
          <w:lang w:val="es-ES_tradnl"/>
        </w:rPr>
        <w:t>Zimbabwe</w:t>
      </w:r>
      <w:proofErr w:type="spellEnd"/>
      <w:r w:rsidRPr="00E675E8">
        <w:rPr>
          <w:i/>
          <w:sz w:val="16"/>
          <w:lang w:val="es-ES_tradnl"/>
        </w:rPr>
        <w:t>)</w:t>
      </w:r>
    </w:p>
    <w:p w14:paraId="1E53E0ED" w14:textId="77777777" w:rsidR="00953B60" w:rsidRPr="00E675E8" w:rsidRDefault="00953B60" w:rsidP="00B65EDC">
      <w:pPr>
        <w:rPr>
          <w:rFonts w:cs="Arial"/>
          <w:i/>
          <w:sz w:val="16"/>
          <w:szCs w:val="24"/>
          <w:lang w:val="es-ES_tradnl"/>
        </w:rPr>
      </w:pPr>
    </w:p>
    <w:p w14:paraId="00A12D5A" w14:textId="77777777" w:rsidR="00953B60" w:rsidRPr="00E675E8" w:rsidRDefault="00953B60" w:rsidP="00B65EDC">
      <w:pPr>
        <w:rPr>
          <w:rFonts w:cs="Arial"/>
          <w:i/>
          <w:sz w:val="16"/>
          <w:szCs w:val="24"/>
          <w:lang w:val="es-ES_tradnl"/>
        </w:rPr>
      </w:pPr>
    </w:p>
    <w:p w14:paraId="3717F8D0" w14:textId="77777777" w:rsidR="00B65EDC" w:rsidRPr="00E675E8" w:rsidRDefault="00B65EDC" w:rsidP="00B65EDC">
      <w:pPr>
        <w:pStyle w:val="Endofdocument"/>
        <w:spacing w:before="120"/>
        <w:jc w:val="right"/>
        <w:rPr>
          <w:rFonts w:ascii="Arial" w:hAnsi="Arial" w:cs="Arial"/>
          <w:snapToGrid w:val="0"/>
          <w:color w:val="000000"/>
          <w:sz w:val="20"/>
          <w:lang w:val="es-ES_tradnl"/>
        </w:rPr>
      </w:pPr>
      <w:r w:rsidRPr="00E675E8">
        <w:rPr>
          <w:rFonts w:ascii="Arial" w:hAnsi="Arial"/>
          <w:snapToGrid w:val="0"/>
          <w:color w:val="000000"/>
          <w:sz w:val="20"/>
          <w:lang w:val="es-ES_tradnl"/>
        </w:rPr>
        <w:t>[Sigue el Apéndice II]</w:t>
      </w:r>
    </w:p>
    <w:p w14:paraId="2DB1122A" w14:textId="77777777" w:rsidR="00B65EDC" w:rsidRPr="00E675E8" w:rsidRDefault="00B65EDC" w:rsidP="00B65EDC">
      <w:pPr>
        <w:pStyle w:val="Endofdocument"/>
        <w:jc w:val="both"/>
        <w:rPr>
          <w:rFonts w:ascii="Arial" w:hAnsi="Arial" w:cs="Arial"/>
          <w:snapToGrid w:val="0"/>
          <w:color w:val="000000"/>
          <w:sz w:val="20"/>
          <w:lang w:val="es-ES_tradnl"/>
        </w:rPr>
        <w:sectPr w:rsidR="00B65EDC" w:rsidRPr="00E675E8" w:rsidSect="00B65EDC">
          <w:headerReference w:type="even" r:id="rId36"/>
          <w:footerReference w:type="even" r:id="rId37"/>
          <w:footerReference w:type="default" r:id="rId38"/>
          <w:headerReference w:type="first" r:id="rId39"/>
          <w:footerReference w:type="first" r:id="rId40"/>
          <w:type w:val="continuous"/>
          <w:pgSz w:w="11907" w:h="16840" w:code="9"/>
          <w:pgMar w:top="510" w:right="1134" w:bottom="709" w:left="1134" w:header="510" w:footer="523" w:gutter="0"/>
          <w:cols w:space="720"/>
        </w:sectPr>
      </w:pPr>
    </w:p>
    <w:p w14:paraId="7D129D7C" w14:textId="63154F82" w:rsidR="00B65EDC" w:rsidRPr="00E675E8" w:rsidRDefault="00B65EDC" w:rsidP="004448C7">
      <w:pPr>
        <w:pStyle w:val="Heading9"/>
        <w:rPr>
          <w:lang w:val="es-ES_tradnl"/>
        </w:rPr>
      </w:pPr>
      <w:bookmarkStart w:id="522" w:name="_Toc209777782"/>
      <w:r w:rsidRPr="00E675E8">
        <w:rPr>
          <w:lang w:val="es-ES_tradnl"/>
        </w:rPr>
        <w:lastRenderedPageBreak/>
        <w:t>Apéndice II</w:t>
      </w:r>
      <w:r w:rsidRPr="00E675E8">
        <w:rPr>
          <w:lang w:val="es-ES_tradnl"/>
        </w:rPr>
        <w:tab/>
        <w:t>Contribuciones de los miembros</w:t>
      </w:r>
      <w:bookmarkEnd w:id="522"/>
      <w:r w:rsidRPr="00E675E8">
        <w:rPr>
          <w:lang w:val="es-ES_tradnl"/>
        </w:rPr>
        <w:t xml:space="preserve"> </w:t>
      </w:r>
    </w:p>
    <w:p w14:paraId="4E30A225" w14:textId="77777777" w:rsidR="00B65EDC" w:rsidRPr="00E675E8" w:rsidRDefault="00B65EDC" w:rsidP="00B65EDC">
      <w:pPr>
        <w:jc w:val="center"/>
        <w:rPr>
          <w:i/>
          <w:sz w:val="18"/>
          <w:szCs w:val="18"/>
          <w:lang w:val="es-ES_tradnl"/>
        </w:rPr>
      </w:pPr>
    </w:p>
    <w:p w14:paraId="3AC94846" w14:textId="77777777" w:rsidR="00B65EDC" w:rsidRPr="00E675E8" w:rsidRDefault="00B65EDC" w:rsidP="00B65EDC">
      <w:pPr>
        <w:spacing w:after="120"/>
        <w:jc w:val="center"/>
        <w:rPr>
          <w:i/>
          <w:caps/>
          <w:sz w:val="18"/>
          <w:szCs w:val="18"/>
          <w:lang w:val="es-ES_tradnl"/>
        </w:rPr>
      </w:pPr>
      <w:r w:rsidRPr="00E675E8">
        <w:rPr>
          <w:i/>
          <w:sz w:val="18"/>
          <w:lang w:val="es-ES_tradnl"/>
        </w:rPr>
        <w:t>(en francos suizos)</w:t>
      </w:r>
    </w:p>
    <w:tbl>
      <w:tblPr>
        <w:tblW w:w="9781" w:type="dxa"/>
        <w:tblLook w:val="04A0" w:firstRow="1" w:lastRow="0" w:firstColumn="1" w:lastColumn="0" w:noHBand="0" w:noVBand="1"/>
      </w:tblPr>
      <w:tblGrid>
        <w:gridCol w:w="1276"/>
        <w:gridCol w:w="1276"/>
        <w:gridCol w:w="3474"/>
        <w:gridCol w:w="1001"/>
        <w:gridCol w:w="1392"/>
        <w:gridCol w:w="1362"/>
      </w:tblGrid>
      <w:tr w:rsidR="00B65EDC" w:rsidRPr="00E675E8" w14:paraId="225864D4" w14:textId="77777777">
        <w:trPr>
          <w:trHeight w:val="472"/>
          <w:tblHeader/>
        </w:trPr>
        <w:tc>
          <w:tcPr>
            <w:tcW w:w="1276" w:type="dxa"/>
            <w:tcBorders>
              <w:top w:val="nil"/>
              <w:left w:val="nil"/>
              <w:bottom w:val="nil"/>
              <w:right w:val="nil"/>
            </w:tcBorders>
            <w:shd w:val="clear" w:color="000000" w:fill="C7CFD8"/>
            <w:vAlign w:val="center"/>
            <w:hideMark/>
          </w:tcPr>
          <w:p w14:paraId="56E66F4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2024</w:t>
            </w:r>
          </w:p>
        </w:tc>
        <w:tc>
          <w:tcPr>
            <w:tcW w:w="1276" w:type="dxa"/>
            <w:tcBorders>
              <w:top w:val="nil"/>
              <w:left w:val="nil"/>
              <w:bottom w:val="nil"/>
              <w:right w:val="nil"/>
            </w:tcBorders>
            <w:shd w:val="clear" w:color="000000" w:fill="C7CFD8"/>
            <w:vAlign w:val="center"/>
            <w:hideMark/>
          </w:tcPr>
          <w:p w14:paraId="61490748"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2025</w:t>
            </w:r>
          </w:p>
        </w:tc>
        <w:tc>
          <w:tcPr>
            <w:tcW w:w="3474" w:type="dxa"/>
            <w:vMerge w:val="restart"/>
            <w:tcBorders>
              <w:top w:val="nil"/>
              <w:left w:val="nil"/>
              <w:bottom w:val="single" w:sz="8" w:space="0" w:color="BFBFBF"/>
              <w:right w:val="nil"/>
            </w:tcBorders>
            <w:shd w:val="clear" w:color="000000" w:fill="C7CFD8"/>
            <w:vAlign w:val="center"/>
            <w:hideMark/>
          </w:tcPr>
          <w:p w14:paraId="49A95057"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Miembros</w:t>
            </w:r>
          </w:p>
        </w:tc>
        <w:tc>
          <w:tcPr>
            <w:tcW w:w="1001" w:type="dxa"/>
            <w:tcBorders>
              <w:top w:val="nil"/>
              <w:left w:val="nil"/>
              <w:bottom w:val="nil"/>
              <w:right w:val="nil"/>
            </w:tcBorders>
            <w:shd w:val="clear" w:color="000000" w:fill="C7CFD8"/>
            <w:vAlign w:val="center"/>
            <w:hideMark/>
          </w:tcPr>
          <w:p w14:paraId="7F7BE4C1"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Número</w:t>
            </w:r>
          </w:p>
        </w:tc>
        <w:tc>
          <w:tcPr>
            <w:tcW w:w="1392" w:type="dxa"/>
            <w:tcBorders>
              <w:top w:val="nil"/>
              <w:left w:val="nil"/>
              <w:bottom w:val="nil"/>
              <w:right w:val="nil"/>
            </w:tcBorders>
            <w:shd w:val="clear" w:color="000000" w:fill="C7CFD8"/>
            <w:vAlign w:val="center"/>
            <w:hideMark/>
          </w:tcPr>
          <w:p w14:paraId="4F03C76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2026</w:t>
            </w:r>
          </w:p>
        </w:tc>
        <w:tc>
          <w:tcPr>
            <w:tcW w:w="1362" w:type="dxa"/>
            <w:tcBorders>
              <w:top w:val="nil"/>
              <w:left w:val="nil"/>
              <w:bottom w:val="nil"/>
              <w:right w:val="nil"/>
            </w:tcBorders>
            <w:shd w:val="clear" w:color="000000" w:fill="C7CFD8"/>
            <w:vAlign w:val="center"/>
            <w:hideMark/>
          </w:tcPr>
          <w:p w14:paraId="5F06C8F6"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2027</w:t>
            </w:r>
          </w:p>
        </w:tc>
      </w:tr>
      <w:tr w:rsidR="00B65EDC" w:rsidRPr="00E675E8" w14:paraId="773BBB3A" w14:textId="77777777">
        <w:trPr>
          <w:trHeight w:val="462"/>
          <w:tblHeader/>
        </w:trPr>
        <w:tc>
          <w:tcPr>
            <w:tcW w:w="1276" w:type="dxa"/>
            <w:tcBorders>
              <w:top w:val="nil"/>
              <w:left w:val="nil"/>
              <w:bottom w:val="single" w:sz="8" w:space="0" w:color="BFBFBF"/>
              <w:right w:val="nil"/>
            </w:tcBorders>
            <w:shd w:val="clear" w:color="000000" w:fill="C7CFD8"/>
            <w:hideMark/>
          </w:tcPr>
          <w:p w14:paraId="3420DC3A"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Facturado</w:t>
            </w:r>
          </w:p>
        </w:tc>
        <w:tc>
          <w:tcPr>
            <w:tcW w:w="1276" w:type="dxa"/>
            <w:tcBorders>
              <w:top w:val="nil"/>
              <w:left w:val="nil"/>
              <w:bottom w:val="single" w:sz="8" w:space="0" w:color="BFBFBF"/>
              <w:right w:val="nil"/>
            </w:tcBorders>
            <w:shd w:val="clear" w:color="000000" w:fill="C7CFD8"/>
            <w:hideMark/>
          </w:tcPr>
          <w:p w14:paraId="6BAD7449"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Facturado</w:t>
            </w:r>
          </w:p>
        </w:tc>
        <w:tc>
          <w:tcPr>
            <w:tcW w:w="3474" w:type="dxa"/>
            <w:vMerge/>
            <w:tcBorders>
              <w:top w:val="nil"/>
              <w:left w:val="nil"/>
              <w:bottom w:val="single" w:sz="8" w:space="0" w:color="BFBFBF"/>
              <w:right w:val="nil"/>
            </w:tcBorders>
            <w:vAlign w:val="center"/>
            <w:hideMark/>
          </w:tcPr>
          <w:p w14:paraId="7852FED7" w14:textId="77777777" w:rsidR="00B65EDC" w:rsidRPr="00E675E8" w:rsidRDefault="00B65EDC">
            <w:pPr>
              <w:jc w:val="left"/>
              <w:rPr>
                <w:rFonts w:ascii="Arial Narrow" w:hAnsi="Arial Narrow" w:cs="Arial"/>
                <w:b/>
                <w:bCs/>
                <w:color w:val="000000"/>
                <w:sz w:val="18"/>
                <w:szCs w:val="18"/>
                <w:lang w:val="es-ES_tradnl"/>
              </w:rPr>
            </w:pPr>
          </w:p>
        </w:tc>
        <w:tc>
          <w:tcPr>
            <w:tcW w:w="1001" w:type="dxa"/>
            <w:tcBorders>
              <w:top w:val="nil"/>
              <w:left w:val="nil"/>
              <w:bottom w:val="single" w:sz="8" w:space="0" w:color="BFBFBF"/>
              <w:right w:val="nil"/>
            </w:tcBorders>
            <w:shd w:val="clear" w:color="000000" w:fill="C7CFD8"/>
            <w:hideMark/>
          </w:tcPr>
          <w:p w14:paraId="230774B8"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de unidades</w:t>
            </w:r>
          </w:p>
        </w:tc>
        <w:tc>
          <w:tcPr>
            <w:tcW w:w="1392" w:type="dxa"/>
            <w:tcBorders>
              <w:top w:val="nil"/>
              <w:left w:val="nil"/>
              <w:bottom w:val="single" w:sz="8" w:space="0" w:color="BFBFBF"/>
              <w:right w:val="nil"/>
            </w:tcBorders>
            <w:shd w:val="clear" w:color="000000" w:fill="C7CFD8"/>
            <w:vAlign w:val="center"/>
            <w:hideMark/>
          </w:tcPr>
          <w:p w14:paraId="70157EFF"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Facturación estimada</w:t>
            </w:r>
          </w:p>
        </w:tc>
        <w:tc>
          <w:tcPr>
            <w:tcW w:w="1362" w:type="dxa"/>
            <w:tcBorders>
              <w:top w:val="nil"/>
              <w:left w:val="nil"/>
              <w:bottom w:val="single" w:sz="8" w:space="0" w:color="BFBFBF"/>
              <w:right w:val="nil"/>
            </w:tcBorders>
            <w:shd w:val="clear" w:color="000000" w:fill="C7CFD8"/>
            <w:vAlign w:val="center"/>
            <w:hideMark/>
          </w:tcPr>
          <w:p w14:paraId="03B5F9C5" w14:textId="77777777" w:rsidR="00B65EDC" w:rsidRPr="00E675E8" w:rsidRDefault="00B65EDC">
            <w:pPr>
              <w:jc w:val="center"/>
              <w:rPr>
                <w:rFonts w:ascii="Arial Narrow" w:hAnsi="Arial Narrow" w:cs="Arial"/>
                <w:b/>
                <w:bCs/>
                <w:color w:val="000000"/>
                <w:sz w:val="18"/>
                <w:szCs w:val="18"/>
                <w:lang w:val="es-ES_tradnl"/>
              </w:rPr>
            </w:pPr>
            <w:r w:rsidRPr="00E675E8">
              <w:rPr>
                <w:rFonts w:ascii="Arial Narrow" w:hAnsi="Arial Narrow"/>
                <w:b/>
                <w:color w:val="000000"/>
                <w:sz w:val="18"/>
                <w:lang w:val="es-ES_tradnl"/>
              </w:rPr>
              <w:t>Facturación estimada</w:t>
            </w:r>
          </w:p>
        </w:tc>
      </w:tr>
      <w:tr w:rsidR="00B65EDC" w:rsidRPr="00E675E8" w14:paraId="009E41AB" w14:textId="77777777" w:rsidTr="00A538F6">
        <w:trPr>
          <w:trHeight w:val="162"/>
        </w:trPr>
        <w:tc>
          <w:tcPr>
            <w:tcW w:w="1276" w:type="dxa"/>
            <w:tcBorders>
              <w:top w:val="nil"/>
              <w:left w:val="nil"/>
              <w:bottom w:val="nil"/>
              <w:right w:val="nil"/>
            </w:tcBorders>
            <w:vAlign w:val="center"/>
            <w:hideMark/>
          </w:tcPr>
          <w:p w14:paraId="498A96E8" w14:textId="77777777" w:rsidR="00B65EDC" w:rsidRPr="00E675E8" w:rsidRDefault="00B65EDC">
            <w:pPr>
              <w:jc w:val="center"/>
              <w:rPr>
                <w:rFonts w:ascii="Arial Narrow" w:hAnsi="Arial Narrow" w:cs="Arial"/>
                <w:b/>
                <w:bCs/>
                <w:color w:val="000000"/>
                <w:sz w:val="18"/>
                <w:szCs w:val="18"/>
                <w:lang w:val="es-ES_tradnl"/>
              </w:rPr>
            </w:pPr>
          </w:p>
        </w:tc>
        <w:tc>
          <w:tcPr>
            <w:tcW w:w="1276" w:type="dxa"/>
            <w:tcBorders>
              <w:top w:val="nil"/>
              <w:left w:val="nil"/>
              <w:bottom w:val="nil"/>
              <w:right w:val="nil"/>
            </w:tcBorders>
            <w:vAlign w:val="center"/>
            <w:hideMark/>
          </w:tcPr>
          <w:p w14:paraId="64CC1F6A" w14:textId="77777777" w:rsidR="00B65EDC" w:rsidRPr="00E675E8" w:rsidRDefault="00B65EDC">
            <w:pPr>
              <w:jc w:val="right"/>
              <w:rPr>
                <w:rFonts w:ascii="Times New Roman" w:hAnsi="Times New Roman"/>
                <w:lang w:val="es-ES_tradnl"/>
              </w:rPr>
            </w:pPr>
          </w:p>
        </w:tc>
        <w:tc>
          <w:tcPr>
            <w:tcW w:w="3474" w:type="dxa"/>
            <w:tcBorders>
              <w:top w:val="nil"/>
              <w:left w:val="nil"/>
              <w:bottom w:val="nil"/>
              <w:right w:val="nil"/>
            </w:tcBorders>
            <w:vAlign w:val="center"/>
            <w:hideMark/>
          </w:tcPr>
          <w:p w14:paraId="05DE1D3F" w14:textId="77777777" w:rsidR="00B65EDC" w:rsidRPr="00E675E8" w:rsidRDefault="00B65EDC">
            <w:pPr>
              <w:jc w:val="right"/>
              <w:rPr>
                <w:rFonts w:ascii="Times New Roman" w:hAnsi="Times New Roman"/>
                <w:lang w:val="es-ES_tradnl"/>
              </w:rPr>
            </w:pPr>
          </w:p>
        </w:tc>
        <w:tc>
          <w:tcPr>
            <w:tcW w:w="1001" w:type="dxa"/>
            <w:tcBorders>
              <w:top w:val="nil"/>
              <w:left w:val="nil"/>
              <w:bottom w:val="nil"/>
              <w:right w:val="nil"/>
            </w:tcBorders>
            <w:vAlign w:val="center"/>
            <w:hideMark/>
          </w:tcPr>
          <w:p w14:paraId="3514B767" w14:textId="77777777" w:rsidR="00B65EDC" w:rsidRPr="00E675E8" w:rsidRDefault="00B65EDC">
            <w:pPr>
              <w:rPr>
                <w:rFonts w:ascii="Times New Roman" w:hAnsi="Times New Roman"/>
                <w:lang w:val="es-ES_tradnl"/>
              </w:rPr>
            </w:pPr>
          </w:p>
        </w:tc>
        <w:tc>
          <w:tcPr>
            <w:tcW w:w="1392" w:type="dxa"/>
            <w:tcBorders>
              <w:top w:val="nil"/>
              <w:left w:val="nil"/>
              <w:bottom w:val="nil"/>
              <w:right w:val="nil"/>
            </w:tcBorders>
            <w:vAlign w:val="center"/>
            <w:hideMark/>
          </w:tcPr>
          <w:p w14:paraId="76CCC920" w14:textId="77777777" w:rsidR="00B65EDC" w:rsidRPr="00E675E8" w:rsidRDefault="00B65EDC">
            <w:pPr>
              <w:jc w:val="left"/>
              <w:rPr>
                <w:rFonts w:ascii="Times New Roman" w:hAnsi="Times New Roman"/>
                <w:lang w:val="es-ES_tradnl"/>
              </w:rPr>
            </w:pPr>
          </w:p>
        </w:tc>
        <w:tc>
          <w:tcPr>
            <w:tcW w:w="1362" w:type="dxa"/>
            <w:tcBorders>
              <w:top w:val="nil"/>
              <w:left w:val="nil"/>
              <w:bottom w:val="nil"/>
              <w:right w:val="nil"/>
            </w:tcBorders>
            <w:vAlign w:val="center"/>
            <w:hideMark/>
          </w:tcPr>
          <w:p w14:paraId="294CC13E" w14:textId="77777777" w:rsidR="00B65EDC" w:rsidRPr="00E675E8" w:rsidRDefault="00B65EDC">
            <w:pPr>
              <w:jc w:val="right"/>
              <w:rPr>
                <w:rFonts w:ascii="Times New Roman" w:hAnsi="Times New Roman"/>
                <w:lang w:val="es-ES_tradnl"/>
              </w:rPr>
            </w:pPr>
          </w:p>
        </w:tc>
      </w:tr>
      <w:tr w:rsidR="00B65EDC" w:rsidRPr="00E675E8" w14:paraId="7642F862" w14:textId="77777777" w:rsidTr="00A538F6">
        <w:trPr>
          <w:trHeight w:val="256"/>
        </w:trPr>
        <w:tc>
          <w:tcPr>
            <w:tcW w:w="1276" w:type="dxa"/>
            <w:tcBorders>
              <w:top w:val="nil"/>
              <w:left w:val="nil"/>
              <w:bottom w:val="nil"/>
              <w:right w:val="nil"/>
            </w:tcBorders>
            <w:vAlign w:val="center"/>
          </w:tcPr>
          <w:p w14:paraId="5249DDF0" w14:textId="77777777" w:rsidR="00B65EDC" w:rsidRPr="00E675E8" w:rsidRDefault="00B65EDC">
            <w:pPr>
              <w:jc w:val="right"/>
              <w:rPr>
                <w:rFonts w:ascii="Arial Narrow" w:hAnsi="Arial Narrow" w:cs="Arial"/>
                <w:color w:val="000000"/>
                <w:sz w:val="18"/>
                <w:szCs w:val="18"/>
                <w:lang w:val="es-ES_tradnl"/>
              </w:rPr>
            </w:pPr>
            <w:bookmarkStart w:id="523" w:name="RANGE!A10"/>
            <w:r w:rsidRPr="00E675E8">
              <w:rPr>
                <w:rFonts w:ascii="Arial Narrow" w:hAnsi="Arial Narrow"/>
                <w:color w:val="000000"/>
                <w:sz w:val="18"/>
                <w:lang w:val="es-ES_tradnl"/>
              </w:rPr>
              <w:t>10 728</w:t>
            </w:r>
            <w:bookmarkEnd w:id="523"/>
          </w:p>
        </w:tc>
        <w:tc>
          <w:tcPr>
            <w:tcW w:w="1276" w:type="dxa"/>
            <w:tcBorders>
              <w:top w:val="nil"/>
              <w:left w:val="nil"/>
              <w:bottom w:val="nil"/>
              <w:right w:val="nil"/>
            </w:tcBorders>
            <w:vAlign w:val="center"/>
          </w:tcPr>
          <w:p w14:paraId="76D42F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52D76B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Organización Africana de la Propiedad Intelectual (OAPI)</w:t>
            </w:r>
          </w:p>
        </w:tc>
        <w:tc>
          <w:tcPr>
            <w:tcW w:w="1001" w:type="dxa"/>
            <w:tcBorders>
              <w:top w:val="nil"/>
              <w:left w:val="nil"/>
              <w:bottom w:val="nil"/>
              <w:right w:val="nil"/>
            </w:tcBorders>
            <w:vAlign w:val="center"/>
          </w:tcPr>
          <w:p w14:paraId="7C2F406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BC5F8D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4E953D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A4ED2F2" w14:textId="77777777" w:rsidTr="00A538F6">
        <w:trPr>
          <w:trHeight w:val="256"/>
        </w:trPr>
        <w:tc>
          <w:tcPr>
            <w:tcW w:w="1276" w:type="dxa"/>
            <w:tcBorders>
              <w:top w:val="nil"/>
              <w:left w:val="nil"/>
              <w:bottom w:val="nil"/>
              <w:right w:val="nil"/>
            </w:tcBorders>
            <w:vAlign w:val="center"/>
          </w:tcPr>
          <w:p w14:paraId="023FC32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32EC3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412BE4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Albania</w:t>
            </w:r>
          </w:p>
        </w:tc>
        <w:tc>
          <w:tcPr>
            <w:tcW w:w="1001" w:type="dxa"/>
            <w:tcBorders>
              <w:top w:val="nil"/>
              <w:left w:val="nil"/>
              <w:bottom w:val="nil"/>
              <w:right w:val="nil"/>
            </w:tcBorders>
            <w:vAlign w:val="center"/>
          </w:tcPr>
          <w:p w14:paraId="2E1A26F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C54EF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174D65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9CF63B9" w14:textId="77777777" w:rsidTr="00A538F6">
        <w:trPr>
          <w:trHeight w:val="256"/>
        </w:trPr>
        <w:tc>
          <w:tcPr>
            <w:tcW w:w="1276" w:type="dxa"/>
            <w:tcBorders>
              <w:top w:val="nil"/>
              <w:left w:val="nil"/>
              <w:bottom w:val="nil"/>
              <w:right w:val="nil"/>
            </w:tcBorders>
            <w:vAlign w:val="center"/>
          </w:tcPr>
          <w:p w14:paraId="5CFF488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488D7EB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7743040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Argentina</w:t>
            </w:r>
          </w:p>
        </w:tc>
        <w:tc>
          <w:tcPr>
            <w:tcW w:w="1001" w:type="dxa"/>
            <w:tcBorders>
              <w:top w:val="nil"/>
              <w:left w:val="nil"/>
              <w:bottom w:val="nil"/>
              <w:right w:val="nil"/>
            </w:tcBorders>
            <w:vAlign w:val="center"/>
          </w:tcPr>
          <w:p w14:paraId="60FD65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7437D9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1D9EA2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383DB54F" w14:textId="77777777" w:rsidTr="00A538F6">
        <w:trPr>
          <w:trHeight w:val="256"/>
        </w:trPr>
        <w:tc>
          <w:tcPr>
            <w:tcW w:w="1276" w:type="dxa"/>
            <w:tcBorders>
              <w:top w:val="nil"/>
              <w:left w:val="nil"/>
              <w:bottom w:val="nil"/>
              <w:right w:val="nil"/>
            </w:tcBorders>
            <w:vAlign w:val="center"/>
          </w:tcPr>
          <w:p w14:paraId="5431A23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1276" w:type="dxa"/>
            <w:tcBorders>
              <w:top w:val="nil"/>
              <w:left w:val="nil"/>
              <w:bottom w:val="nil"/>
              <w:right w:val="nil"/>
            </w:tcBorders>
            <w:vAlign w:val="center"/>
          </w:tcPr>
          <w:p w14:paraId="0F2A364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tcPr>
          <w:p w14:paraId="617066F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Armenia</w:t>
            </w:r>
            <w:r w:rsidRPr="00E675E8">
              <w:rPr>
                <w:rFonts w:ascii="Arial Narrow" w:hAnsi="Arial Narrow"/>
                <w:color w:val="000000"/>
                <w:sz w:val="18"/>
                <w:vertAlign w:val="superscript"/>
                <w:lang w:val="es-ES_tradnl"/>
              </w:rPr>
              <w:t>1</w:t>
            </w:r>
          </w:p>
        </w:tc>
        <w:tc>
          <w:tcPr>
            <w:tcW w:w="1001" w:type="dxa"/>
            <w:tcBorders>
              <w:top w:val="nil"/>
              <w:left w:val="nil"/>
              <w:bottom w:val="nil"/>
              <w:right w:val="nil"/>
            </w:tcBorders>
            <w:vAlign w:val="center"/>
          </w:tcPr>
          <w:p w14:paraId="302B7F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FC092A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9C7FCE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015FFB4" w14:textId="77777777" w:rsidTr="00A538F6">
        <w:trPr>
          <w:trHeight w:val="256"/>
        </w:trPr>
        <w:tc>
          <w:tcPr>
            <w:tcW w:w="1276" w:type="dxa"/>
            <w:tcBorders>
              <w:top w:val="nil"/>
              <w:left w:val="nil"/>
              <w:bottom w:val="nil"/>
              <w:right w:val="nil"/>
            </w:tcBorders>
            <w:vAlign w:val="center"/>
          </w:tcPr>
          <w:p w14:paraId="326162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5D0EA6A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61CDA1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Australia</w:t>
            </w:r>
          </w:p>
        </w:tc>
        <w:tc>
          <w:tcPr>
            <w:tcW w:w="1001" w:type="dxa"/>
            <w:tcBorders>
              <w:top w:val="nil"/>
              <w:left w:val="nil"/>
              <w:bottom w:val="nil"/>
              <w:right w:val="nil"/>
            </w:tcBorders>
            <w:vAlign w:val="center"/>
          </w:tcPr>
          <w:p w14:paraId="6BE79AB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2F2844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36DB24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7A2430AF" w14:textId="77777777" w:rsidTr="00A538F6">
        <w:trPr>
          <w:trHeight w:val="256"/>
        </w:trPr>
        <w:tc>
          <w:tcPr>
            <w:tcW w:w="1276" w:type="dxa"/>
            <w:tcBorders>
              <w:top w:val="nil"/>
              <w:left w:val="nil"/>
              <w:bottom w:val="nil"/>
              <w:right w:val="nil"/>
            </w:tcBorders>
            <w:vAlign w:val="center"/>
          </w:tcPr>
          <w:p w14:paraId="36FF64F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276" w:type="dxa"/>
            <w:tcBorders>
              <w:top w:val="nil"/>
              <w:left w:val="nil"/>
              <w:bottom w:val="nil"/>
              <w:right w:val="nil"/>
            </w:tcBorders>
            <w:vAlign w:val="center"/>
          </w:tcPr>
          <w:p w14:paraId="7ED264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3474" w:type="dxa"/>
            <w:tcBorders>
              <w:top w:val="nil"/>
              <w:left w:val="nil"/>
              <w:bottom w:val="nil"/>
              <w:right w:val="nil"/>
            </w:tcBorders>
            <w:vAlign w:val="center"/>
            <w:hideMark/>
          </w:tcPr>
          <w:p w14:paraId="6873CD5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Austria </w:t>
            </w:r>
          </w:p>
        </w:tc>
        <w:tc>
          <w:tcPr>
            <w:tcW w:w="1001" w:type="dxa"/>
            <w:tcBorders>
              <w:top w:val="nil"/>
              <w:left w:val="nil"/>
              <w:bottom w:val="nil"/>
              <w:right w:val="nil"/>
            </w:tcBorders>
            <w:vAlign w:val="center"/>
          </w:tcPr>
          <w:p w14:paraId="3D99943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0,75</w:t>
            </w:r>
          </w:p>
        </w:tc>
        <w:tc>
          <w:tcPr>
            <w:tcW w:w="1392" w:type="dxa"/>
            <w:tcBorders>
              <w:top w:val="nil"/>
              <w:left w:val="nil"/>
              <w:bottom w:val="nil"/>
              <w:right w:val="nil"/>
            </w:tcBorders>
            <w:vAlign w:val="center"/>
          </w:tcPr>
          <w:p w14:paraId="47D6F2D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362" w:type="dxa"/>
            <w:tcBorders>
              <w:top w:val="nil"/>
              <w:left w:val="nil"/>
              <w:bottom w:val="nil"/>
              <w:right w:val="nil"/>
            </w:tcBorders>
            <w:vAlign w:val="center"/>
          </w:tcPr>
          <w:p w14:paraId="1C300B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r>
      <w:tr w:rsidR="00B65EDC" w:rsidRPr="00E675E8" w14:paraId="4A9B5B12" w14:textId="77777777" w:rsidTr="00A538F6">
        <w:trPr>
          <w:trHeight w:val="256"/>
        </w:trPr>
        <w:tc>
          <w:tcPr>
            <w:tcW w:w="1276" w:type="dxa"/>
            <w:tcBorders>
              <w:top w:val="nil"/>
              <w:left w:val="nil"/>
              <w:bottom w:val="nil"/>
              <w:right w:val="nil"/>
            </w:tcBorders>
            <w:vAlign w:val="center"/>
          </w:tcPr>
          <w:p w14:paraId="596C904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4E8B50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E75022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Azerbaiyán</w:t>
            </w:r>
          </w:p>
        </w:tc>
        <w:tc>
          <w:tcPr>
            <w:tcW w:w="1001" w:type="dxa"/>
            <w:tcBorders>
              <w:top w:val="nil"/>
              <w:left w:val="nil"/>
              <w:bottom w:val="nil"/>
              <w:right w:val="nil"/>
            </w:tcBorders>
            <w:vAlign w:val="center"/>
          </w:tcPr>
          <w:p w14:paraId="49E0E97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46841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EB5416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2981F1" w14:textId="77777777" w:rsidTr="00A538F6">
        <w:trPr>
          <w:trHeight w:val="256"/>
        </w:trPr>
        <w:tc>
          <w:tcPr>
            <w:tcW w:w="1276" w:type="dxa"/>
            <w:tcBorders>
              <w:top w:val="nil"/>
              <w:left w:val="nil"/>
              <w:bottom w:val="nil"/>
              <w:right w:val="nil"/>
            </w:tcBorders>
            <w:vAlign w:val="center"/>
          </w:tcPr>
          <w:p w14:paraId="45019A0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97EEC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539B701" w14:textId="77777777" w:rsidR="00B65EDC" w:rsidRPr="00E675E8" w:rsidRDefault="00B65EDC">
            <w:pPr>
              <w:jc w:val="left"/>
              <w:rPr>
                <w:rFonts w:ascii="Arial Narrow" w:hAnsi="Arial Narrow" w:cs="Arial"/>
                <w:color w:val="000000"/>
                <w:sz w:val="18"/>
                <w:szCs w:val="18"/>
                <w:lang w:val="es-ES_tradnl"/>
              </w:rPr>
            </w:pPr>
            <w:proofErr w:type="spellStart"/>
            <w:r w:rsidRPr="00E675E8">
              <w:rPr>
                <w:rFonts w:ascii="Arial Narrow" w:hAnsi="Arial Narrow"/>
                <w:color w:val="000000"/>
                <w:sz w:val="18"/>
                <w:lang w:val="es-ES_tradnl"/>
              </w:rPr>
              <w:t>Belarús</w:t>
            </w:r>
            <w:proofErr w:type="spellEnd"/>
          </w:p>
        </w:tc>
        <w:tc>
          <w:tcPr>
            <w:tcW w:w="1001" w:type="dxa"/>
            <w:tcBorders>
              <w:top w:val="nil"/>
              <w:left w:val="nil"/>
              <w:bottom w:val="nil"/>
              <w:right w:val="nil"/>
            </w:tcBorders>
            <w:vAlign w:val="center"/>
          </w:tcPr>
          <w:p w14:paraId="522E68D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9790B3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3B1557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602D808" w14:textId="77777777" w:rsidTr="00A538F6">
        <w:trPr>
          <w:trHeight w:val="256"/>
        </w:trPr>
        <w:tc>
          <w:tcPr>
            <w:tcW w:w="1276" w:type="dxa"/>
            <w:tcBorders>
              <w:top w:val="nil"/>
              <w:left w:val="nil"/>
              <w:bottom w:val="nil"/>
              <w:right w:val="nil"/>
            </w:tcBorders>
            <w:vAlign w:val="center"/>
          </w:tcPr>
          <w:p w14:paraId="746AB2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3C582C1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1D9F6A8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Bélgica </w:t>
            </w:r>
          </w:p>
        </w:tc>
        <w:tc>
          <w:tcPr>
            <w:tcW w:w="1001" w:type="dxa"/>
            <w:tcBorders>
              <w:top w:val="nil"/>
              <w:left w:val="nil"/>
              <w:bottom w:val="nil"/>
              <w:right w:val="nil"/>
            </w:tcBorders>
            <w:vAlign w:val="center"/>
          </w:tcPr>
          <w:p w14:paraId="07C7B6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13AC9D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6024FCC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45BB203F" w14:textId="77777777" w:rsidTr="00A538F6">
        <w:trPr>
          <w:trHeight w:val="256"/>
        </w:trPr>
        <w:tc>
          <w:tcPr>
            <w:tcW w:w="1276" w:type="dxa"/>
            <w:tcBorders>
              <w:top w:val="nil"/>
              <w:left w:val="nil"/>
              <w:bottom w:val="nil"/>
              <w:right w:val="nil"/>
            </w:tcBorders>
            <w:vAlign w:val="center"/>
          </w:tcPr>
          <w:p w14:paraId="36266E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B586C3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0A3D74F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Bolivia (Estado Plurinacional de)</w:t>
            </w:r>
          </w:p>
        </w:tc>
        <w:tc>
          <w:tcPr>
            <w:tcW w:w="1001" w:type="dxa"/>
            <w:tcBorders>
              <w:top w:val="nil"/>
              <w:left w:val="nil"/>
              <w:bottom w:val="nil"/>
              <w:right w:val="nil"/>
            </w:tcBorders>
            <w:vAlign w:val="center"/>
          </w:tcPr>
          <w:p w14:paraId="72BD1E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C365E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CD6C11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2486FA7" w14:textId="77777777" w:rsidTr="00A538F6">
        <w:trPr>
          <w:trHeight w:val="256"/>
        </w:trPr>
        <w:tc>
          <w:tcPr>
            <w:tcW w:w="1276" w:type="dxa"/>
            <w:tcBorders>
              <w:top w:val="nil"/>
              <w:left w:val="nil"/>
              <w:bottom w:val="nil"/>
              <w:right w:val="nil"/>
            </w:tcBorders>
            <w:vAlign w:val="center"/>
          </w:tcPr>
          <w:p w14:paraId="36D0D8E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51D92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A77B8E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Bosnia y Herzegovina </w:t>
            </w:r>
          </w:p>
        </w:tc>
        <w:tc>
          <w:tcPr>
            <w:tcW w:w="1001" w:type="dxa"/>
            <w:tcBorders>
              <w:top w:val="nil"/>
              <w:left w:val="nil"/>
              <w:bottom w:val="nil"/>
              <w:right w:val="nil"/>
            </w:tcBorders>
            <w:vAlign w:val="center"/>
          </w:tcPr>
          <w:p w14:paraId="3DFE90F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A0C8C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E7FA7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844AF2D" w14:textId="77777777" w:rsidTr="00A538F6">
        <w:trPr>
          <w:trHeight w:val="256"/>
        </w:trPr>
        <w:tc>
          <w:tcPr>
            <w:tcW w:w="1276" w:type="dxa"/>
            <w:tcBorders>
              <w:top w:val="nil"/>
              <w:left w:val="nil"/>
              <w:bottom w:val="nil"/>
              <w:right w:val="nil"/>
            </w:tcBorders>
            <w:vAlign w:val="center"/>
          </w:tcPr>
          <w:p w14:paraId="2FF011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1276" w:type="dxa"/>
            <w:tcBorders>
              <w:top w:val="nil"/>
              <w:left w:val="nil"/>
              <w:bottom w:val="nil"/>
              <w:right w:val="nil"/>
            </w:tcBorders>
            <w:vAlign w:val="center"/>
          </w:tcPr>
          <w:p w14:paraId="27CA8F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3474" w:type="dxa"/>
            <w:tcBorders>
              <w:top w:val="nil"/>
              <w:left w:val="nil"/>
              <w:bottom w:val="nil"/>
              <w:right w:val="nil"/>
            </w:tcBorders>
            <w:vAlign w:val="center"/>
            <w:hideMark/>
          </w:tcPr>
          <w:p w14:paraId="20EBC93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Brasil</w:t>
            </w:r>
          </w:p>
        </w:tc>
        <w:tc>
          <w:tcPr>
            <w:tcW w:w="1001" w:type="dxa"/>
            <w:tcBorders>
              <w:top w:val="nil"/>
              <w:left w:val="nil"/>
              <w:bottom w:val="nil"/>
              <w:right w:val="nil"/>
            </w:tcBorders>
            <w:vAlign w:val="center"/>
          </w:tcPr>
          <w:p w14:paraId="1094282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0,25</w:t>
            </w:r>
          </w:p>
        </w:tc>
        <w:tc>
          <w:tcPr>
            <w:tcW w:w="1392" w:type="dxa"/>
            <w:tcBorders>
              <w:top w:val="nil"/>
              <w:left w:val="nil"/>
              <w:bottom w:val="nil"/>
              <w:right w:val="nil"/>
            </w:tcBorders>
            <w:vAlign w:val="center"/>
          </w:tcPr>
          <w:p w14:paraId="1ED5A8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c>
          <w:tcPr>
            <w:tcW w:w="1362" w:type="dxa"/>
            <w:tcBorders>
              <w:top w:val="nil"/>
              <w:left w:val="nil"/>
              <w:bottom w:val="nil"/>
              <w:right w:val="nil"/>
            </w:tcBorders>
            <w:vAlign w:val="center"/>
          </w:tcPr>
          <w:p w14:paraId="05AF11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13 410</w:t>
            </w:r>
          </w:p>
        </w:tc>
      </w:tr>
      <w:tr w:rsidR="00B65EDC" w:rsidRPr="00E675E8" w14:paraId="70EFA79E" w14:textId="77777777" w:rsidTr="00A538F6">
        <w:trPr>
          <w:trHeight w:val="256"/>
        </w:trPr>
        <w:tc>
          <w:tcPr>
            <w:tcW w:w="1276" w:type="dxa"/>
            <w:tcBorders>
              <w:top w:val="nil"/>
              <w:left w:val="nil"/>
              <w:bottom w:val="nil"/>
              <w:right w:val="nil"/>
            </w:tcBorders>
            <w:vAlign w:val="center"/>
          </w:tcPr>
          <w:p w14:paraId="6E0108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8B85D9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3EBA00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Bulgaria</w:t>
            </w:r>
          </w:p>
        </w:tc>
        <w:tc>
          <w:tcPr>
            <w:tcW w:w="1001" w:type="dxa"/>
            <w:tcBorders>
              <w:top w:val="nil"/>
              <w:left w:val="nil"/>
              <w:bottom w:val="nil"/>
              <w:right w:val="nil"/>
            </w:tcBorders>
            <w:vAlign w:val="center"/>
          </w:tcPr>
          <w:p w14:paraId="5166360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932B6E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9A097E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B228EC5" w14:textId="77777777" w:rsidTr="00A538F6">
        <w:trPr>
          <w:trHeight w:val="256"/>
        </w:trPr>
        <w:tc>
          <w:tcPr>
            <w:tcW w:w="1276" w:type="dxa"/>
            <w:tcBorders>
              <w:top w:val="nil"/>
              <w:left w:val="nil"/>
              <w:bottom w:val="nil"/>
              <w:right w:val="nil"/>
            </w:tcBorders>
            <w:vAlign w:val="center"/>
          </w:tcPr>
          <w:p w14:paraId="34FE558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1C24031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2C969A0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Canadá</w:t>
            </w:r>
          </w:p>
        </w:tc>
        <w:tc>
          <w:tcPr>
            <w:tcW w:w="1001" w:type="dxa"/>
            <w:tcBorders>
              <w:top w:val="nil"/>
              <w:left w:val="nil"/>
              <w:bottom w:val="nil"/>
              <w:right w:val="nil"/>
            </w:tcBorders>
            <w:vAlign w:val="center"/>
          </w:tcPr>
          <w:p w14:paraId="289F421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00B6BC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7D720B2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0EFD7FC6" w14:textId="77777777" w:rsidTr="00A538F6">
        <w:trPr>
          <w:trHeight w:val="256"/>
        </w:trPr>
        <w:tc>
          <w:tcPr>
            <w:tcW w:w="1276" w:type="dxa"/>
            <w:tcBorders>
              <w:top w:val="nil"/>
              <w:left w:val="nil"/>
              <w:bottom w:val="nil"/>
              <w:right w:val="nil"/>
            </w:tcBorders>
            <w:vAlign w:val="center"/>
          </w:tcPr>
          <w:p w14:paraId="17CBD2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145A5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7EAC72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Chile</w:t>
            </w:r>
          </w:p>
        </w:tc>
        <w:tc>
          <w:tcPr>
            <w:tcW w:w="1001" w:type="dxa"/>
            <w:tcBorders>
              <w:top w:val="nil"/>
              <w:left w:val="nil"/>
              <w:bottom w:val="nil"/>
              <w:right w:val="nil"/>
            </w:tcBorders>
            <w:vAlign w:val="center"/>
          </w:tcPr>
          <w:p w14:paraId="34E666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60775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742F6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3A2144C" w14:textId="77777777" w:rsidTr="00A538F6">
        <w:trPr>
          <w:trHeight w:val="256"/>
        </w:trPr>
        <w:tc>
          <w:tcPr>
            <w:tcW w:w="1276" w:type="dxa"/>
            <w:tcBorders>
              <w:top w:val="nil"/>
              <w:left w:val="nil"/>
              <w:bottom w:val="nil"/>
              <w:right w:val="nil"/>
            </w:tcBorders>
            <w:vAlign w:val="center"/>
          </w:tcPr>
          <w:p w14:paraId="2E1B824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7060E1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4FBFE4C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China</w:t>
            </w:r>
          </w:p>
        </w:tc>
        <w:tc>
          <w:tcPr>
            <w:tcW w:w="1001" w:type="dxa"/>
            <w:tcBorders>
              <w:top w:val="nil"/>
              <w:left w:val="nil"/>
              <w:bottom w:val="nil"/>
              <w:right w:val="nil"/>
            </w:tcBorders>
            <w:vAlign w:val="center"/>
          </w:tcPr>
          <w:p w14:paraId="0FB7674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0A02CE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28C1F3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749EB27F" w14:textId="77777777" w:rsidTr="00A538F6">
        <w:trPr>
          <w:trHeight w:val="256"/>
        </w:trPr>
        <w:tc>
          <w:tcPr>
            <w:tcW w:w="1276" w:type="dxa"/>
            <w:tcBorders>
              <w:top w:val="nil"/>
              <w:left w:val="nil"/>
              <w:bottom w:val="nil"/>
              <w:right w:val="nil"/>
            </w:tcBorders>
            <w:vAlign w:val="center"/>
          </w:tcPr>
          <w:p w14:paraId="6BF1757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933FF2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CFE8C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Colombia</w:t>
            </w:r>
          </w:p>
        </w:tc>
        <w:tc>
          <w:tcPr>
            <w:tcW w:w="1001" w:type="dxa"/>
            <w:tcBorders>
              <w:top w:val="nil"/>
              <w:left w:val="nil"/>
              <w:bottom w:val="nil"/>
              <w:right w:val="nil"/>
            </w:tcBorders>
            <w:vAlign w:val="center"/>
          </w:tcPr>
          <w:p w14:paraId="25233A2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37A7B5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CDA0F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6FEFA51" w14:textId="77777777" w:rsidTr="00A538F6">
        <w:trPr>
          <w:trHeight w:val="256"/>
        </w:trPr>
        <w:tc>
          <w:tcPr>
            <w:tcW w:w="1276" w:type="dxa"/>
            <w:tcBorders>
              <w:top w:val="nil"/>
              <w:left w:val="nil"/>
              <w:bottom w:val="nil"/>
              <w:right w:val="nil"/>
            </w:tcBorders>
            <w:vAlign w:val="center"/>
          </w:tcPr>
          <w:p w14:paraId="0732BAF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03B168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5DD1F5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Costa Rica</w:t>
            </w:r>
          </w:p>
        </w:tc>
        <w:tc>
          <w:tcPr>
            <w:tcW w:w="1001" w:type="dxa"/>
            <w:tcBorders>
              <w:top w:val="nil"/>
              <w:left w:val="nil"/>
              <w:bottom w:val="nil"/>
              <w:right w:val="nil"/>
            </w:tcBorders>
            <w:vAlign w:val="center"/>
          </w:tcPr>
          <w:p w14:paraId="7F088A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B2489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396B0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ABB13C9" w14:textId="77777777" w:rsidTr="00A538F6">
        <w:trPr>
          <w:trHeight w:val="256"/>
        </w:trPr>
        <w:tc>
          <w:tcPr>
            <w:tcW w:w="1276" w:type="dxa"/>
            <w:tcBorders>
              <w:top w:val="nil"/>
              <w:left w:val="nil"/>
              <w:bottom w:val="nil"/>
              <w:right w:val="nil"/>
            </w:tcBorders>
            <w:vAlign w:val="center"/>
          </w:tcPr>
          <w:p w14:paraId="5ED5D60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C7FE9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236B76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Croacia</w:t>
            </w:r>
          </w:p>
        </w:tc>
        <w:tc>
          <w:tcPr>
            <w:tcW w:w="1001" w:type="dxa"/>
            <w:tcBorders>
              <w:top w:val="nil"/>
              <w:left w:val="nil"/>
              <w:bottom w:val="nil"/>
              <w:right w:val="nil"/>
            </w:tcBorders>
            <w:vAlign w:val="center"/>
          </w:tcPr>
          <w:p w14:paraId="68279A2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252986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5AE4C8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3AA1071" w14:textId="77777777" w:rsidTr="00A538F6">
        <w:trPr>
          <w:trHeight w:val="256"/>
        </w:trPr>
        <w:tc>
          <w:tcPr>
            <w:tcW w:w="1276" w:type="dxa"/>
            <w:tcBorders>
              <w:top w:val="nil"/>
              <w:left w:val="nil"/>
              <w:bottom w:val="nil"/>
              <w:right w:val="nil"/>
            </w:tcBorders>
            <w:vAlign w:val="center"/>
          </w:tcPr>
          <w:p w14:paraId="05F2F51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54B047F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09C6CBA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República Checa </w:t>
            </w:r>
          </w:p>
        </w:tc>
        <w:tc>
          <w:tcPr>
            <w:tcW w:w="1001" w:type="dxa"/>
            <w:tcBorders>
              <w:top w:val="nil"/>
              <w:left w:val="nil"/>
              <w:bottom w:val="nil"/>
              <w:right w:val="nil"/>
            </w:tcBorders>
            <w:vAlign w:val="center"/>
          </w:tcPr>
          <w:p w14:paraId="2A8024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10FCAA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482EBA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68D49CDE" w14:textId="77777777" w:rsidTr="00A538F6">
        <w:trPr>
          <w:trHeight w:val="256"/>
        </w:trPr>
        <w:tc>
          <w:tcPr>
            <w:tcW w:w="1276" w:type="dxa"/>
            <w:tcBorders>
              <w:top w:val="nil"/>
              <w:left w:val="nil"/>
              <w:bottom w:val="nil"/>
              <w:right w:val="nil"/>
            </w:tcBorders>
            <w:vAlign w:val="center"/>
          </w:tcPr>
          <w:p w14:paraId="6E4597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ED936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6E0F4DC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Dinamarca</w:t>
            </w:r>
          </w:p>
        </w:tc>
        <w:tc>
          <w:tcPr>
            <w:tcW w:w="1001" w:type="dxa"/>
            <w:tcBorders>
              <w:top w:val="nil"/>
              <w:left w:val="nil"/>
              <w:bottom w:val="nil"/>
              <w:right w:val="nil"/>
            </w:tcBorders>
            <w:vAlign w:val="center"/>
          </w:tcPr>
          <w:p w14:paraId="5C2814A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08AC1A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4D87ABB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116FBB29" w14:textId="77777777" w:rsidTr="00A538F6">
        <w:trPr>
          <w:trHeight w:val="256"/>
        </w:trPr>
        <w:tc>
          <w:tcPr>
            <w:tcW w:w="1276" w:type="dxa"/>
            <w:tcBorders>
              <w:top w:val="nil"/>
              <w:left w:val="nil"/>
              <w:bottom w:val="nil"/>
              <w:right w:val="nil"/>
            </w:tcBorders>
            <w:vAlign w:val="center"/>
          </w:tcPr>
          <w:p w14:paraId="3F92F2B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37689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58AF14D"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Dominicana</w:t>
            </w:r>
          </w:p>
        </w:tc>
        <w:tc>
          <w:tcPr>
            <w:tcW w:w="1001" w:type="dxa"/>
            <w:tcBorders>
              <w:top w:val="nil"/>
              <w:left w:val="nil"/>
              <w:bottom w:val="nil"/>
              <w:right w:val="nil"/>
            </w:tcBorders>
            <w:vAlign w:val="center"/>
          </w:tcPr>
          <w:p w14:paraId="6E5814E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27AE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1706F6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1FD1796" w14:textId="77777777" w:rsidTr="00A538F6">
        <w:trPr>
          <w:trHeight w:val="256"/>
        </w:trPr>
        <w:tc>
          <w:tcPr>
            <w:tcW w:w="1276" w:type="dxa"/>
            <w:tcBorders>
              <w:top w:val="nil"/>
              <w:left w:val="nil"/>
              <w:bottom w:val="nil"/>
              <w:right w:val="nil"/>
            </w:tcBorders>
            <w:vAlign w:val="center"/>
          </w:tcPr>
          <w:p w14:paraId="066BD2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175C6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E3B714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Ecuador</w:t>
            </w:r>
          </w:p>
        </w:tc>
        <w:tc>
          <w:tcPr>
            <w:tcW w:w="1001" w:type="dxa"/>
            <w:tcBorders>
              <w:top w:val="nil"/>
              <w:left w:val="nil"/>
              <w:bottom w:val="nil"/>
              <w:right w:val="nil"/>
            </w:tcBorders>
            <w:vAlign w:val="center"/>
          </w:tcPr>
          <w:p w14:paraId="5975B68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3E8AE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08463F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A2AAAE1" w14:textId="77777777" w:rsidTr="00A538F6">
        <w:trPr>
          <w:trHeight w:val="256"/>
        </w:trPr>
        <w:tc>
          <w:tcPr>
            <w:tcW w:w="1276" w:type="dxa"/>
            <w:tcBorders>
              <w:top w:val="nil"/>
              <w:left w:val="nil"/>
              <w:bottom w:val="nil"/>
              <w:right w:val="nil"/>
            </w:tcBorders>
            <w:vAlign w:val="center"/>
          </w:tcPr>
          <w:p w14:paraId="757EA9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172D6C2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49B0C9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Egipto</w:t>
            </w:r>
          </w:p>
        </w:tc>
        <w:tc>
          <w:tcPr>
            <w:tcW w:w="1001" w:type="dxa"/>
            <w:tcBorders>
              <w:top w:val="nil"/>
              <w:left w:val="nil"/>
              <w:bottom w:val="nil"/>
              <w:right w:val="nil"/>
            </w:tcBorders>
            <w:vAlign w:val="center"/>
          </w:tcPr>
          <w:p w14:paraId="0B3E5F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2E7A9D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C6B44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F95EE7" w14:textId="77777777" w:rsidTr="00A538F6">
        <w:trPr>
          <w:trHeight w:val="256"/>
        </w:trPr>
        <w:tc>
          <w:tcPr>
            <w:tcW w:w="1276" w:type="dxa"/>
            <w:tcBorders>
              <w:top w:val="nil"/>
              <w:left w:val="nil"/>
              <w:bottom w:val="nil"/>
              <w:right w:val="nil"/>
            </w:tcBorders>
            <w:vAlign w:val="center"/>
          </w:tcPr>
          <w:p w14:paraId="51EA66A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87225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E19A9F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Estonia</w:t>
            </w:r>
          </w:p>
        </w:tc>
        <w:tc>
          <w:tcPr>
            <w:tcW w:w="1001" w:type="dxa"/>
            <w:tcBorders>
              <w:top w:val="nil"/>
              <w:left w:val="nil"/>
              <w:bottom w:val="nil"/>
              <w:right w:val="nil"/>
            </w:tcBorders>
            <w:vAlign w:val="center"/>
          </w:tcPr>
          <w:p w14:paraId="799934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923E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66258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CAEF4DE" w14:textId="77777777" w:rsidTr="00A538F6">
        <w:trPr>
          <w:trHeight w:val="256"/>
        </w:trPr>
        <w:tc>
          <w:tcPr>
            <w:tcW w:w="1276" w:type="dxa"/>
            <w:tcBorders>
              <w:top w:val="nil"/>
              <w:left w:val="nil"/>
              <w:bottom w:val="nil"/>
              <w:right w:val="nil"/>
            </w:tcBorders>
            <w:vAlign w:val="center"/>
          </w:tcPr>
          <w:p w14:paraId="1ABA744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E0A74C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22F7CC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Unión Europea</w:t>
            </w:r>
          </w:p>
        </w:tc>
        <w:tc>
          <w:tcPr>
            <w:tcW w:w="1001" w:type="dxa"/>
            <w:tcBorders>
              <w:top w:val="nil"/>
              <w:left w:val="nil"/>
              <w:bottom w:val="nil"/>
              <w:right w:val="nil"/>
            </w:tcBorders>
            <w:vAlign w:val="center"/>
          </w:tcPr>
          <w:p w14:paraId="22D2502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7958F5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64D2F9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B9DA893" w14:textId="77777777" w:rsidTr="00A538F6">
        <w:trPr>
          <w:trHeight w:val="256"/>
        </w:trPr>
        <w:tc>
          <w:tcPr>
            <w:tcW w:w="1276" w:type="dxa"/>
            <w:tcBorders>
              <w:top w:val="nil"/>
              <w:left w:val="nil"/>
              <w:bottom w:val="nil"/>
              <w:right w:val="nil"/>
            </w:tcBorders>
            <w:vAlign w:val="center"/>
          </w:tcPr>
          <w:p w14:paraId="2EF4AC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7B804D7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0429B07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Finlandia</w:t>
            </w:r>
          </w:p>
        </w:tc>
        <w:tc>
          <w:tcPr>
            <w:tcW w:w="1001" w:type="dxa"/>
            <w:tcBorders>
              <w:top w:val="nil"/>
              <w:left w:val="nil"/>
              <w:bottom w:val="nil"/>
              <w:right w:val="nil"/>
            </w:tcBorders>
            <w:vAlign w:val="center"/>
          </w:tcPr>
          <w:p w14:paraId="4E64A3D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05ED852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041A2F8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152E6FFB" w14:textId="77777777" w:rsidTr="00A538F6">
        <w:trPr>
          <w:trHeight w:val="256"/>
        </w:trPr>
        <w:tc>
          <w:tcPr>
            <w:tcW w:w="1276" w:type="dxa"/>
            <w:tcBorders>
              <w:top w:val="nil"/>
              <w:left w:val="nil"/>
              <w:bottom w:val="nil"/>
              <w:right w:val="nil"/>
            </w:tcBorders>
            <w:vAlign w:val="center"/>
          </w:tcPr>
          <w:p w14:paraId="6A59167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6C0F32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633D2A6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Francia</w:t>
            </w:r>
          </w:p>
        </w:tc>
        <w:tc>
          <w:tcPr>
            <w:tcW w:w="1001" w:type="dxa"/>
            <w:tcBorders>
              <w:top w:val="nil"/>
              <w:left w:val="nil"/>
              <w:bottom w:val="nil"/>
              <w:right w:val="nil"/>
            </w:tcBorders>
            <w:vAlign w:val="center"/>
          </w:tcPr>
          <w:p w14:paraId="3C8FDE5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7650DF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178CF20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256D49A8" w14:textId="77777777" w:rsidTr="00A538F6">
        <w:trPr>
          <w:trHeight w:val="256"/>
        </w:trPr>
        <w:tc>
          <w:tcPr>
            <w:tcW w:w="1276" w:type="dxa"/>
            <w:tcBorders>
              <w:top w:val="nil"/>
              <w:left w:val="nil"/>
              <w:bottom w:val="nil"/>
              <w:right w:val="nil"/>
            </w:tcBorders>
            <w:vAlign w:val="center"/>
          </w:tcPr>
          <w:p w14:paraId="318ABD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2A08EE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4982D6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Georgia</w:t>
            </w:r>
          </w:p>
        </w:tc>
        <w:tc>
          <w:tcPr>
            <w:tcW w:w="1001" w:type="dxa"/>
            <w:tcBorders>
              <w:top w:val="nil"/>
              <w:left w:val="nil"/>
              <w:bottom w:val="nil"/>
              <w:right w:val="nil"/>
            </w:tcBorders>
            <w:vAlign w:val="center"/>
          </w:tcPr>
          <w:p w14:paraId="6D12CC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4286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42CCA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6901B2A" w14:textId="77777777" w:rsidTr="00A538F6">
        <w:trPr>
          <w:trHeight w:val="256"/>
        </w:trPr>
        <w:tc>
          <w:tcPr>
            <w:tcW w:w="1276" w:type="dxa"/>
            <w:tcBorders>
              <w:top w:val="nil"/>
              <w:left w:val="nil"/>
              <w:bottom w:val="nil"/>
              <w:right w:val="nil"/>
            </w:tcBorders>
            <w:vAlign w:val="center"/>
          </w:tcPr>
          <w:p w14:paraId="6CAF7F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23B8912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AA5581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Alemania</w:t>
            </w:r>
          </w:p>
        </w:tc>
        <w:tc>
          <w:tcPr>
            <w:tcW w:w="1001" w:type="dxa"/>
            <w:tcBorders>
              <w:top w:val="nil"/>
              <w:left w:val="nil"/>
              <w:bottom w:val="nil"/>
              <w:right w:val="nil"/>
            </w:tcBorders>
            <w:vAlign w:val="center"/>
          </w:tcPr>
          <w:p w14:paraId="34322D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040091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24E093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39ACBC5" w14:textId="77777777" w:rsidTr="00A538F6">
        <w:trPr>
          <w:trHeight w:val="256"/>
        </w:trPr>
        <w:tc>
          <w:tcPr>
            <w:tcW w:w="1276" w:type="dxa"/>
            <w:tcBorders>
              <w:top w:val="nil"/>
              <w:left w:val="nil"/>
              <w:bottom w:val="nil"/>
              <w:right w:val="nil"/>
            </w:tcBorders>
            <w:vAlign w:val="center"/>
          </w:tcPr>
          <w:p w14:paraId="716EF6D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9018FF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5BFCF78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Ghana</w:t>
            </w:r>
          </w:p>
        </w:tc>
        <w:tc>
          <w:tcPr>
            <w:tcW w:w="1001" w:type="dxa"/>
            <w:tcBorders>
              <w:top w:val="nil"/>
              <w:left w:val="nil"/>
              <w:bottom w:val="nil"/>
              <w:right w:val="nil"/>
            </w:tcBorders>
            <w:vAlign w:val="center"/>
          </w:tcPr>
          <w:p w14:paraId="12B0FF7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2B4530A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86847E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5D66152" w14:textId="77777777" w:rsidTr="00A538F6">
        <w:trPr>
          <w:trHeight w:val="256"/>
        </w:trPr>
        <w:tc>
          <w:tcPr>
            <w:tcW w:w="1276" w:type="dxa"/>
            <w:tcBorders>
              <w:top w:val="nil"/>
              <w:left w:val="nil"/>
              <w:bottom w:val="nil"/>
              <w:right w:val="nil"/>
            </w:tcBorders>
            <w:vAlign w:val="center"/>
          </w:tcPr>
          <w:p w14:paraId="14882B8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46FA56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0CE7572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Hungría</w:t>
            </w:r>
          </w:p>
        </w:tc>
        <w:tc>
          <w:tcPr>
            <w:tcW w:w="1001" w:type="dxa"/>
            <w:tcBorders>
              <w:top w:val="nil"/>
              <w:left w:val="nil"/>
              <w:bottom w:val="nil"/>
              <w:right w:val="nil"/>
            </w:tcBorders>
            <w:vAlign w:val="center"/>
          </w:tcPr>
          <w:p w14:paraId="2206BA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773CD39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738DE6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13EF453A" w14:textId="77777777" w:rsidTr="00A538F6">
        <w:trPr>
          <w:trHeight w:val="256"/>
        </w:trPr>
        <w:tc>
          <w:tcPr>
            <w:tcW w:w="1276" w:type="dxa"/>
            <w:tcBorders>
              <w:top w:val="nil"/>
              <w:left w:val="nil"/>
              <w:bottom w:val="nil"/>
              <w:right w:val="nil"/>
            </w:tcBorders>
            <w:vAlign w:val="center"/>
          </w:tcPr>
          <w:p w14:paraId="2C6059B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75F5E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0A83A57"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Islandia</w:t>
            </w:r>
          </w:p>
        </w:tc>
        <w:tc>
          <w:tcPr>
            <w:tcW w:w="1001" w:type="dxa"/>
            <w:tcBorders>
              <w:top w:val="nil"/>
              <w:left w:val="nil"/>
              <w:bottom w:val="nil"/>
              <w:right w:val="nil"/>
            </w:tcBorders>
            <w:vAlign w:val="center"/>
          </w:tcPr>
          <w:p w14:paraId="00D3141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CB6933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3399A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93CB958" w14:textId="77777777" w:rsidTr="00A538F6">
        <w:trPr>
          <w:trHeight w:val="256"/>
        </w:trPr>
        <w:tc>
          <w:tcPr>
            <w:tcW w:w="1276" w:type="dxa"/>
            <w:tcBorders>
              <w:top w:val="nil"/>
              <w:left w:val="nil"/>
              <w:bottom w:val="nil"/>
              <w:right w:val="nil"/>
            </w:tcBorders>
            <w:vAlign w:val="center"/>
          </w:tcPr>
          <w:p w14:paraId="5D3F70E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65DB158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20D68E9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Irlanda</w:t>
            </w:r>
          </w:p>
        </w:tc>
        <w:tc>
          <w:tcPr>
            <w:tcW w:w="1001" w:type="dxa"/>
            <w:tcBorders>
              <w:top w:val="nil"/>
              <w:left w:val="nil"/>
              <w:bottom w:val="nil"/>
              <w:right w:val="nil"/>
            </w:tcBorders>
            <w:vAlign w:val="center"/>
          </w:tcPr>
          <w:p w14:paraId="62287AC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45FA711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33D2636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59A9648E" w14:textId="77777777" w:rsidTr="00A538F6">
        <w:trPr>
          <w:trHeight w:val="256"/>
        </w:trPr>
        <w:tc>
          <w:tcPr>
            <w:tcW w:w="1276" w:type="dxa"/>
            <w:tcBorders>
              <w:top w:val="nil"/>
              <w:left w:val="nil"/>
              <w:bottom w:val="nil"/>
              <w:right w:val="nil"/>
            </w:tcBorders>
            <w:vAlign w:val="center"/>
          </w:tcPr>
          <w:p w14:paraId="199F24A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094E2A0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16AE549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Israel</w:t>
            </w:r>
          </w:p>
        </w:tc>
        <w:tc>
          <w:tcPr>
            <w:tcW w:w="1001" w:type="dxa"/>
            <w:tcBorders>
              <w:top w:val="nil"/>
              <w:left w:val="nil"/>
              <w:bottom w:val="nil"/>
              <w:right w:val="nil"/>
            </w:tcBorders>
            <w:vAlign w:val="center"/>
          </w:tcPr>
          <w:p w14:paraId="38EED6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3DB642E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1431E8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71A51398" w14:textId="77777777" w:rsidTr="00A538F6">
        <w:trPr>
          <w:trHeight w:val="256"/>
        </w:trPr>
        <w:tc>
          <w:tcPr>
            <w:tcW w:w="1276" w:type="dxa"/>
            <w:tcBorders>
              <w:top w:val="nil"/>
              <w:left w:val="nil"/>
              <w:bottom w:val="nil"/>
              <w:right w:val="nil"/>
            </w:tcBorders>
            <w:vAlign w:val="center"/>
          </w:tcPr>
          <w:p w14:paraId="5283773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1881A52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40AA25D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Italia</w:t>
            </w:r>
          </w:p>
        </w:tc>
        <w:tc>
          <w:tcPr>
            <w:tcW w:w="1001" w:type="dxa"/>
            <w:tcBorders>
              <w:top w:val="nil"/>
              <w:left w:val="nil"/>
              <w:bottom w:val="nil"/>
              <w:right w:val="nil"/>
            </w:tcBorders>
            <w:vAlign w:val="center"/>
          </w:tcPr>
          <w:p w14:paraId="5A7A339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1D1A388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11F7FCA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57758497" w14:textId="77777777" w:rsidTr="00A538F6">
        <w:trPr>
          <w:trHeight w:val="256"/>
        </w:trPr>
        <w:tc>
          <w:tcPr>
            <w:tcW w:w="1276" w:type="dxa"/>
            <w:tcBorders>
              <w:top w:val="nil"/>
              <w:left w:val="nil"/>
              <w:bottom w:val="nil"/>
              <w:right w:val="nil"/>
            </w:tcBorders>
            <w:vAlign w:val="center"/>
          </w:tcPr>
          <w:p w14:paraId="64EDA8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0C6621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45118E4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Japón</w:t>
            </w:r>
          </w:p>
        </w:tc>
        <w:tc>
          <w:tcPr>
            <w:tcW w:w="1001" w:type="dxa"/>
            <w:tcBorders>
              <w:top w:val="nil"/>
              <w:left w:val="nil"/>
              <w:bottom w:val="nil"/>
              <w:right w:val="nil"/>
            </w:tcBorders>
            <w:vAlign w:val="center"/>
          </w:tcPr>
          <w:p w14:paraId="4D8D43B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3F6AB2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7B57196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72048183" w14:textId="77777777" w:rsidTr="00A538F6">
        <w:trPr>
          <w:trHeight w:val="256"/>
        </w:trPr>
        <w:tc>
          <w:tcPr>
            <w:tcW w:w="1276" w:type="dxa"/>
            <w:tcBorders>
              <w:top w:val="nil"/>
              <w:left w:val="nil"/>
              <w:bottom w:val="nil"/>
              <w:right w:val="nil"/>
            </w:tcBorders>
            <w:vAlign w:val="center"/>
          </w:tcPr>
          <w:p w14:paraId="526C737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5976C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D1959A2"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Jordania</w:t>
            </w:r>
          </w:p>
        </w:tc>
        <w:tc>
          <w:tcPr>
            <w:tcW w:w="1001" w:type="dxa"/>
            <w:tcBorders>
              <w:top w:val="nil"/>
              <w:left w:val="nil"/>
              <w:bottom w:val="nil"/>
              <w:right w:val="nil"/>
            </w:tcBorders>
            <w:vAlign w:val="center"/>
          </w:tcPr>
          <w:p w14:paraId="1090820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2DA23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595E1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3CAF172" w14:textId="77777777" w:rsidTr="00A538F6">
        <w:trPr>
          <w:trHeight w:val="256"/>
        </w:trPr>
        <w:tc>
          <w:tcPr>
            <w:tcW w:w="1276" w:type="dxa"/>
            <w:tcBorders>
              <w:top w:val="nil"/>
              <w:left w:val="nil"/>
              <w:bottom w:val="nil"/>
              <w:right w:val="nil"/>
            </w:tcBorders>
            <w:vAlign w:val="center"/>
          </w:tcPr>
          <w:p w14:paraId="31E96B1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2BE05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EE33004" w14:textId="77777777" w:rsidR="00B65EDC" w:rsidRPr="00E675E8" w:rsidRDefault="00B65EDC">
            <w:pPr>
              <w:jc w:val="left"/>
              <w:rPr>
                <w:rFonts w:ascii="Arial Narrow" w:hAnsi="Arial Narrow" w:cs="Arial"/>
                <w:color w:val="000000"/>
                <w:sz w:val="18"/>
                <w:szCs w:val="18"/>
                <w:lang w:val="es-ES_tradnl"/>
              </w:rPr>
            </w:pPr>
            <w:proofErr w:type="spellStart"/>
            <w:r w:rsidRPr="00E675E8">
              <w:rPr>
                <w:rFonts w:ascii="Arial Narrow" w:hAnsi="Arial Narrow"/>
                <w:color w:val="000000"/>
                <w:sz w:val="18"/>
                <w:lang w:val="es-ES_tradnl"/>
              </w:rPr>
              <w:t>Kenya</w:t>
            </w:r>
            <w:proofErr w:type="spellEnd"/>
          </w:p>
        </w:tc>
        <w:tc>
          <w:tcPr>
            <w:tcW w:w="1001" w:type="dxa"/>
            <w:tcBorders>
              <w:top w:val="nil"/>
              <w:left w:val="nil"/>
              <w:bottom w:val="nil"/>
              <w:right w:val="nil"/>
            </w:tcBorders>
            <w:vAlign w:val="center"/>
          </w:tcPr>
          <w:p w14:paraId="5CB5E8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99B3D6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38EAE8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F28EAE8" w14:textId="77777777" w:rsidTr="00A538F6">
        <w:trPr>
          <w:trHeight w:val="256"/>
        </w:trPr>
        <w:tc>
          <w:tcPr>
            <w:tcW w:w="1276" w:type="dxa"/>
            <w:tcBorders>
              <w:top w:val="nil"/>
              <w:left w:val="nil"/>
              <w:bottom w:val="nil"/>
              <w:right w:val="nil"/>
            </w:tcBorders>
            <w:vAlign w:val="center"/>
          </w:tcPr>
          <w:p w14:paraId="4B9D92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701B5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79694A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Kirguistán</w:t>
            </w:r>
          </w:p>
        </w:tc>
        <w:tc>
          <w:tcPr>
            <w:tcW w:w="1001" w:type="dxa"/>
            <w:tcBorders>
              <w:top w:val="nil"/>
              <w:left w:val="nil"/>
              <w:bottom w:val="nil"/>
              <w:right w:val="nil"/>
            </w:tcBorders>
            <w:vAlign w:val="center"/>
          </w:tcPr>
          <w:p w14:paraId="06D0F66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9888D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26A7670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D396ACB" w14:textId="77777777" w:rsidTr="00A538F6">
        <w:trPr>
          <w:trHeight w:val="256"/>
        </w:trPr>
        <w:tc>
          <w:tcPr>
            <w:tcW w:w="1276" w:type="dxa"/>
            <w:tcBorders>
              <w:top w:val="nil"/>
              <w:left w:val="nil"/>
              <w:bottom w:val="nil"/>
              <w:right w:val="nil"/>
            </w:tcBorders>
            <w:vAlign w:val="center"/>
          </w:tcPr>
          <w:p w14:paraId="5FC8C54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44556D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32231D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Letonia</w:t>
            </w:r>
          </w:p>
        </w:tc>
        <w:tc>
          <w:tcPr>
            <w:tcW w:w="1001" w:type="dxa"/>
            <w:tcBorders>
              <w:top w:val="nil"/>
              <w:left w:val="nil"/>
              <w:bottom w:val="nil"/>
              <w:right w:val="nil"/>
            </w:tcBorders>
            <w:vAlign w:val="center"/>
          </w:tcPr>
          <w:p w14:paraId="31DF62A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1D9183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0836E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6EF9AAE4" w14:textId="77777777" w:rsidTr="00A538F6">
        <w:trPr>
          <w:trHeight w:val="256"/>
        </w:trPr>
        <w:tc>
          <w:tcPr>
            <w:tcW w:w="1276" w:type="dxa"/>
            <w:tcBorders>
              <w:top w:val="nil"/>
              <w:left w:val="nil"/>
              <w:bottom w:val="nil"/>
              <w:right w:val="nil"/>
            </w:tcBorders>
            <w:vAlign w:val="center"/>
          </w:tcPr>
          <w:p w14:paraId="0EC2AAF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D25889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03F4FD6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Lituania</w:t>
            </w:r>
          </w:p>
        </w:tc>
        <w:tc>
          <w:tcPr>
            <w:tcW w:w="1001" w:type="dxa"/>
            <w:tcBorders>
              <w:top w:val="nil"/>
              <w:left w:val="nil"/>
              <w:bottom w:val="nil"/>
              <w:right w:val="nil"/>
            </w:tcBorders>
            <w:vAlign w:val="center"/>
          </w:tcPr>
          <w:p w14:paraId="68AAA41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5653B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79D0C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E710B6C" w14:textId="77777777" w:rsidTr="00A538F6">
        <w:trPr>
          <w:trHeight w:val="256"/>
        </w:trPr>
        <w:tc>
          <w:tcPr>
            <w:tcW w:w="1276" w:type="dxa"/>
            <w:tcBorders>
              <w:top w:val="nil"/>
              <w:left w:val="nil"/>
              <w:bottom w:val="nil"/>
              <w:right w:val="nil"/>
            </w:tcBorders>
            <w:vAlign w:val="center"/>
          </w:tcPr>
          <w:p w14:paraId="7B1DCE1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276" w:type="dxa"/>
            <w:tcBorders>
              <w:top w:val="nil"/>
              <w:left w:val="nil"/>
              <w:bottom w:val="nil"/>
              <w:right w:val="nil"/>
            </w:tcBorders>
            <w:vAlign w:val="center"/>
          </w:tcPr>
          <w:p w14:paraId="4177F32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3474" w:type="dxa"/>
            <w:tcBorders>
              <w:top w:val="nil"/>
              <w:left w:val="nil"/>
              <w:bottom w:val="nil"/>
              <w:right w:val="nil"/>
            </w:tcBorders>
            <w:vAlign w:val="center"/>
            <w:hideMark/>
          </w:tcPr>
          <w:p w14:paraId="31B77B2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México</w:t>
            </w:r>
          </w:p>
        </w:tc>
        <w:tc>
          <w:tcPr>
            <w:tcW w:w="1001" w:type="dxa"/>
            <w:tcBorders>
              <w:top w:val="nil"/>
              <w:left w:val="nil"/>
              <w:bottom w:val="nil"/>
              <w:right w:val="nil"/>
            </w:tcBorders>
            <w:vAlign w:val="center"/>
          </w:tcPr>
          <w:p w14:paraId="66FB6CA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0,75</w:t>
            </w:r>
          </w:p>
        </w:tc>
        <w:tc>
          <w:tcPr>
            <w:tcW w:w="1392" w:type="dxa"/>
            <w:tcBorders>
              <w:top w:val="nil"/>
              <w:left w:val="nil"/>
              <w:bottom w:val="nil"/>
              <w:right w:val="nil"/>
            </w:tcBorders>
            <w:vAlign w:val="center"/>
          </w:tcPr>
          <w:p w14:paraId="5684A1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c>
          <w:tcPr>
            <w:tcW w:w="1362" w:type="dxa"/>
            <w:tcBorders>
              <w:top w:val="nil"/>
              <w:left w:val="nil"/>
              <w:bottom w:val="nil"/>
              <w:right w:val="nil"/>
            </w:tcBorders>
            <w:vAlign w:val="center"/>
          </w:tcPr>
          <w:p w14:paraId="392653F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40 231</w:t>
            </w:r>
          </w:p>
        </w:tc>
      </w:tr>
      <w:tr w:rsidR="00B65EDC" w:rsidRPr="00E675E8" w14:paraId="469D9B85" w14:textId="77777777" w:rsidTr="00A538F6">
        <w:trPr>
          <w:trHeight w:val="256"/>
        </w:trPr>
        <w:tc>
          <w:tcPr>
            <w:tcW w:w="1276" w:type="dxa"/>
            <w:tcBorders>
              <w:top w:val="nil"/>
              <w:left w:val="nil"/>
              <w:bottom w:val="nil"/>
              <w:right w:val="nil"/>
            </w:tcBorders>
            <w:vAlign w:val="center"/>
          </w:tcPr>
          <w:p w14:paraId="21CFE1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3EF8F5F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00069C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Montenegro</w:t>
            </w:r>
          </w:p>
        </w:tc>
        <w:tc>
          <w:tcPr>
            <w:tcW w:w="1001" w:type="dxa"/>
            <w:tcBorders>
              <w:top w:val="nil"/>
              <w:left w:val="nil"/>
              <w:bottom w:val="nil"/>
              <w:right w:val="nil"/>
            </w:tcBorders>
            <w:vAlign w:val="center"/>
          </w:tcPr>
          <w:p w14:paraId="5AE602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F43C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8B0183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A468B4F" w14:textId="77777777" w:rsidTr="00A538F6">
        <w:trPr>
          <w:trHeight w:val="256"/>
        </w:trPr>
        <w:tc>
          <w:tcPr>
            <w:tcW w:w="1276" w:type="dxa"/>
            <w:tcBorders>
              <w:top w:val="nil"/>
              <w:left w:val="nil"/>
              <w:bottom w:val="nil"/>
              <w:right w:val="nil"/>
            </w:tcBorders>
            <w:vAlign w:val="center"/>
          </w:tcPr>
          <w:p w14:paraId="2764173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5DC0B1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5A1AD2C"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Marruecos</w:t>
            </w:r>
          </w:p>
        </w:tc>
        <w:tc>
          <w:tcPr>
            <w:tcW w:w="1001" w:type="dxa"/>
            <w:tcBorders>
              <w:top w:val="nil"/>
              <w:left w:val="nil"/>
              <w:bottom w:val="nil"/>
              <w:right w:val="nil"/>
            </w:tcBorders>
            <w:vAlign w:val="center"/>
          </w:tcPr>
          <w:p w14:paraId="467D3F9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DFD25B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39D07F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E3F1D74" w14:textId="77777777" w:rsidTr="00A538F6">
        <w:trPr>
          <w:trHeight w:val="256"/>
        </w:trPr>
        <w:tc>
          <w:tcPr>
            <w:tcW w:w="1276" w:type="dxa"/>
            <w:tcBorders>
              <w:top w:val="nil"/>
              <w:left w:val="nil"/>
              <w:bottom w:val="nil"/>
              <w:right w:val="nil"/>
            </w:tcBorders>
            <w:vAlign w:val="center"/>
          </w:tcPr>
          <w:p w14:paraId="3F5B189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1276" w:type="dxa"/>
            <w:tcBorders>
              <w:top w:val="nil"/>
              <w:left w:val="nil"/>
              <w:bottom w:val="nil"/>
              <w:right w:val="nil"/>
            </w:tcBorders>
            <w:vAlign w:val="center"/>
          </w:tcPr>
          <w:p w14:paraId="24CBFA6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3474" w:type="dxa"/>
            <w:tcBorders>
              <w:top w:val="nil"/>
              <w:left w:val="nil"/>
              <w:bottom w:val="nil"/>
              <w:right w:val="nil"/>
            </w:tcBorders>
            <w:vAlign w:val="center"/>
            <w:hideMark/>
          </w:tcPr>
          <w:p w14:paraId="40512FA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Países Bajos (Reino de los)</w:t>
            </w:r>
          </w:p>
        </w:tc>
        <w:tc>
          <w:tcPr>
            <w:tcW w:w="1001" w:type="dxa"/>
            <w:tcBorders>
              <w:top w:val="nil"/>
              <w:left w:val="nil"/>
              <w:bottom w:val="nil"/>
              <w:right w:val="nil"/>
            </w:tcBorders>
            <w:vAlign w:val="center"/>
          </w:tcPr>
          <w:p w14:paraId="059F1B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3,00</w:t>
            </w:r>
          </w:p>
        </w:tc>
        <w:tc>
          <w:tcPr>
            <w:tcW w:w="1392" w:type="dxa"/>
            <w:tcBorders>
              <w:top w:val="nil"/>
              <w:left w:val="nil"/>
              <w:bottom w:val="nil"/>
              <w:right w:val="nil"/>
            </w:tcBorders>
            <w:vAlign w:val="center"/>
          </w:tcPr>
          <w:p w14:paraId="43E5357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c>
          <w:tcPr>
            <w:tcW w:w="1362" w:type="dxa"/>
            <w:tcBorders>
              <w:top w:val="nil"/>
              <w:left w:val="nil"/>
              <w:bottom w:val="nil"/>
              <w:right w:val="nil"/>
            </w:tcBorders>
            <w:vAlign w:val="center"/>
          </w:tcPr>
          <w:p w14:paraId="4B4056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160 923</w:t>
            </w:r>
          </w:p>
        </w:tc>
      </w:tr>
      <w:tr w:rsidR="00B65EDC" w:rsidRPr="00E675E8" w14:paraId="113A6237" w14:textId="77777777" w:rsidTr="00A538F6">
        <w:trPr>
          <w:trHeight w:val="256"/>
        </w:trPr>
        <w:tc>
          <w:tcPr>
            <w:tcW w:w="1276" w:type="dxa"/>
            <w:tcBorders>
              <w:top w:val="nil"/>
              <w:left w:val="nil"/>
              <w:bottom w:val="nil"/>
              <w:right w:val="nil"/>
            </w:tcBorders>
            <w:vAlign w:val="center"/>
          </w:tcPr>
          <w:p w14:paraId="5659F7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lastRenderedPageBreak/>
              <w:t>53 641</w:t>
            </w:r>
          </w:p>
        </w:tc>
        <w:tc>
          <w:tcPr>
            <w:tcW w:w="1276" w:type="dxa"/>
            <w:tcBorders>
              <w:top w:val="nil"/>
              <w:left w:val="nil"/>
              <w:bottom w:val="nil"/>
              <w:right w:val="nil"/>
            </w:tcBorders>
            <w:vAlign w:val="center"/>
          </w:tcPr>
          <w:p w14:paraId="546F6C3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5197D15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Nueva Zelandia</w:t>
            </w:r>
          </w:p>
        </w:tc>
        <w:tc>
          <w:tcPr>
            <w:tcW w:w="1001" w:type="dxa"/>
            <w:tcBorders>
              <w:top w:val="nil"/>
              <w:left w:val="nil"/>
              <w:bottom w:val="nil"/>
              <w:right w:val="nil"/>
            </w:tcBorders>
            <w:vAlign w:val="center"/>
          </w:tcPr>
          <w:p w14:paraId="484638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48EC3D9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2A04B2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220F3521" w14:textId="77777777" w:rsidTr="00A538F6">
        <w:trPr>
          <w:trHeight w:val="256"/>
        </w:trPr>
        <w:tc>
          <w:tcPr>
            <w:tcW w:w="1276" w:type="dxa"/>
            <w:tcBorders>
              <w:top w:val="nil"/>
              <w:left w:val="nil"/>
              <w:bottom w:val="nil"/>
              <w:right w:val="nil"/>
            </w:tcBorders>
            <w:vAlign w:val="center"/>
          </w:tcPr>
          <w:p w14:paraId="07D68A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C941A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8C849D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Nicaragua</w:t>
            </w:r>
          </w:p>
        </w:tc>
        <w:tc>
          <w:tcPr>
            <w:tcW w:w="1001" w:type="dxa"/>
            <w:tcBorders>
              <w:top w:val="nil"/>
              <w:left w:val="nil"/>
              <w:bottom w:val="nil"/>
              <w:right w:val="nil"/>
            </w:tcBorders>
            <w:vAlign w:val="center"/>
          </w:tcPr>
          <w:p w14:paraId="66C53A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76FD2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7EC5F4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E239D8B" w14:textId="77777777" w:rsidTr="00A538F6">
        <w:trPr>
          <w:trHeight w:val="256"/>
        </w:trPr>
        <w:tc>
          <w:tcPr>
            <w:tcW w:w="1276" w:type="dxa"/>
            <w:tcBorders>
              <w:top w:val="nil"/>
              <w:left w:val="nil"/>
              <w:bottom w:val="nil"/>
              <w:right w:val="nil"/>
            </w:tcBorders>
            <w:vAlign w:val="center"/>
          </w:tcPr>
          <w:p w14:paraId="3C75F7C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1276" w:type="dxa"/>
            <w:tcBorders>
              <w:top w:val="nil"/>
              <w:left w:val="nil"/>
              <w:bottom w:val="nil"/>
              <w:right w:val="nil"/>
            </w:tcBorders>
            <w:vAlign w:val="center"/>
          </w:tcPr>
          <w:p w14:paraId="14AF370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w:t>
            </w:r>
          </w:p>
        </w:tc>
        <w:tc>
          <w:tcPr>
            <w:tcW w:w="3474" w:type="dxa"/>
            <w:tcBorders>
              <w:top w:val="nil"/>
              <w:left w:val="nil"/>
              <w:bottom w:val="nil"/>
              <w:right w:val="nil"/>
            </w:tcBorders>
            <w:vAlign w:val="center"/>
          </w:tcPr>
          <w:p w14:paraId="20DEE80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Nigeria</w:t>
            </w:r>
            <w:r w:rsidRPr="00E675E8">
              <w:rPr>
                <w:rFonts w:ascii="Arial Narrow" w:hAnsi="Arial Narrow"/>
                <w:color w:val="000000"/>
                <w:sz w:val="18"/>
                <w:vertAlign w:val="superscript"/>
                <w:lang w:val="es-ES_tradnl"/>
              </w:rPr>
              <w:t>2</w:t>
            </w:r>
          </w:p>
        </w:tc>
        <w:tc>
          <w:tcPr>
            <w:tcW w:w="1001" w:type="dxa"/>
            <w:tcBorders>
              <w:top w:val="nil"/>
              <w:left w:val="nil"/>
              <w:bottom w:val="nil"/>
              <w:right w:val="nil"/>
            </w:tcBorders>
            <w:vAlign w:val="center"/>
          </w:tcPr>
          <w:p w14:paraId="227912C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9D1AD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BEA14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67FF511" w14:textId="77777777" w:rsidTr="00A538F6">
        <w:trPr>
          <w:trHeight w:val="256"/>
        </w:trPr>
        <w:tc>
          <w:tcPr>
            <w:tcW w:w="1276" w:type="dxa"/>
            <w:tcBorders>
              <w:top w:val="nil"/>
              <w:left w:val="nil"/>
              <w:bottom w:val="nil"/>
              <w:right w:val="nil"/>
            </w:tcBorders>
            <w:vAlign w:val="center"/>
          </w:tcPr>
          <w:p w14:paraId="375FD76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2D778A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F3BE67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Macedonia del Norte</w:t>
            </w:r>
          </w:p>
        </w:tc>
        <w:tc>
          <w:tcPr>
            <w:tcW w:w="1001" w:type="dxa"/>
            <w:tcBorders>
              <w:top w:val="nil"/>
              <w:left w:val="nil"/>
              <w:bottom w:val="nil"/>
              <w:right w:val="nil"/>
            </w:tcBorders>
            <w:vAlign w:val="center"/>
          </w:tcPr>
          <w:p w14:paraId="4805811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1636B7C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4C355EB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0A911EF3" w14:textId="77777777" w:rsidTr="00A538F6">
        <w:trPr>
          <w:trHeight w:val="256"/>
        </w:trPr>
        <w:tc>
          <w:tcPr>
            <w:tcW w:w="1276" w:type="dxa"/>
            <w:tcBorders>
              <w:top w:val="nil"/>
              <w:left w:val="nil"/>
              <w:bottom w:val="nil"/>
              <w:right w:val="nil"/>
            </w:tcBorders>
            <w:vAlign w:val="center"/>
          </w:tcPr>
          <w:p w14:paraId="65E94B7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420005B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5E82B4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Noruega</w:t>
            </w:r>
          </w:p>
        </w:tc>
        <w:tc>
          <w:tcPr>
            <w:tcW w:w="1001" w:type="dxa"/>
            <w:tcBorders>
              <w:top w:val="nil"/>
              <w:left w:val="nil"/>
              <w:bottom w:val="nil"/>
              <w:right w:val="nil"/>
            </w:tcBorders>
            <w:vAlign w:val="center"/>
          </w:tcPr>
          <w:p w14:paraId="06D0141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779E6D2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13CF162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604C37AE" w14:textId="77777777" w:rsidTr="00A538F6">
        <w:trPr>
          <w:trHeight w:val="256"/>
        </w:trPr>
        <w:tc>
          <w:tcPr>
            <w:tcW w:w="1276" w:type="dxa"/>
            <w:tcBorders>
              <w:top w:val="nil"/>
              <w:left w:val="nil"/>
              <w:bottom w:val="nil"/>
              <w:right w:val="nil"/>
            </w:tcBorders>
            <w:vAlign w:val="center"/>
          </w:tcPr>
          <w:p w14:paraId="7C5D08C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18266C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50EB32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Omán</w:t>
            </w:r>
          </w:p>
        </w:tc>
        <w:tc>
          <w:tcPr>
            <w:tcW w:w="1001" w:type="dxa"/>
            <w:tcBorders>
              <w:top w:val="nil"/>
              <w:left w:val="nil"/>
              <w:bottom w:val="nil"/>
              <w:right w:val="nil"/>
            </w:tcBorders>
            <w:vAlign w:val="center"/>
          </w:tcPr>
          <w:p w14:paraId="6FFBF3D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2FC5CD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5277FD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4F82C639" w14:textId="77777777" w:rsidTr="00A538F6">
        <w:trPr>
          <w:trHeight w:val="256"/>
        </w:trPr>
        <w:tc>
          <w:tcPr>
            <w:tcW w:w="1276" w:type="dxa"/>
            <w:tcBorders>
              <w:top w:val="nil"/>
              <w:left w:val="nil"/>
              <w:bottom w:val="nil"/>
              <w:right w:val="nil"/>
            </w:tcBorders>
            <w:vAlign w:val="center"/>
          </w:tcPr>
          <w:p w14:paraId="6700F9E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B7F2D9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905CA0F"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Panamá</w:t>
            </w:r>
          </w:p>
        </w:tc>
        <w:tc>
          <w:tcPr>
            <w:tcW w:w="1001" w:type="dxa"/>
            <w:tcBorders>
              <w:top w:val="nil"/>
              <w:left w:val="nil"/>
              <w:bottom w:val="nil"/>
              <w:right w:val="nil"/>
            </w:tcBorders>
            <w:vAlign w:val="center"/>
          </w:tcPr>
          <w:p w14:paraId="7E257C1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F1736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88488D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A9B7FFA" w14:textId="77777777" w:rsidTr="00A538F6">
        <w:trPr>
          <w:trHeight w:val="256"/>
        </w:trPr>
        <w:tc>
          <w:tcPr>
            <w:tcW w:w="1276" w:type="dxa"/>
            <w:tcBorders>
              <w:top w:val="nil"/>
              <w:left w:val="nil"/>
              <w:bottom w:val="nil"/>
              <w:right w:val="nil"/>
            </w:tcBorders>
            <w:vAlign w:val="center"/>
          </w:tcPr>
          <w:p w14:paraId="66FB46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0DD0A9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EB9BB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Paraguay</w:t>
            </w:r>
          </w:p>
        </w:tc>
        <w:tc>
          <w:tcPr>
            <w:tcW w:w="1001" w:type="dxa"/>
            <w:tcBorders>
              <w:top w:val="nil"/>
              <w:left w:val="nil"/>
              <w:bottom w:val="nil"/>
              <w:right w:val="nil"/>
            </w:tcBorders>
            <w:vAlign w:val="center"/>
          </w:tcPr>
          <w:p w14:paraId="4BC2A8E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5D6A0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5E3AE1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A2F240F" w14:textId="77777777" w:rsidTr="00A538F6">
        <w:trPr>
          <w:trHeight w:val="256"/>
        </w:trPr>
        <w:tc>
          <w:tcPr>
            <w:tcW w:w="1276" w:type="dxa"/>
            <w:tcBorders>
              <w:top w:val="nil"/>
              <w:left w:val="nil"/>
              <w:bottom w:val="nil"/>
              <w:right w:val="nil"/>
            </w:tcBorders>
            <w:vAlign w:val="center"/>
          </w:tcPr>
          <w:p w14:paraId="1A8973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62CAB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1AC7F55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Perú</w:t>
            </w:r>
          </w:p>
        </w:tc>
        <w:tc>
          <w:tcPr>
            <w:tcW w:w="1001" w:type="dxa"/>
            <w:tcBorders>
              <w:top w:val="nil"/>
              <w:left w:val="nil"/>
              <w:bottom w:val="nil"/>
              <w:right w:val="nil"/>
            </w:tcBorders>
            <w:vAlign w:val="center"/>
          </w:tcPr>
          <w:p w14:paraId="041C264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6F669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636AA4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C8D8F16" w14:textId="77777777" w:rsidTr="00A538F6">
        <w:trPr>
          <w:trHeight w:val="256"/>
        </w:trPr>
        <w:tc>
          <w:tcPr>
            <w:tcW w:w="1276" w:type="dxa"/>
            <w:tcBorders>
              <w:top w:val="nil"/>
              <w:left w:val="nil"/>
              <w:bottom w:val="nil"/>
              <w:right w:val="nil"/>
            </w:tcBorders>
            <w:vAlign w:val="center"/>
          </w:tcPr>
          <w:p w14:paraId="6D872B3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590C52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4DE9293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Polonia</w:t>
            </w:r>
          </w:p>
        </w:tc>
        <w:tc>
          <w:tcPr>
            <w:tcW w:w="1001" w:type="dxa"/>
            <w:tcBorders>
              <w:top w:val="nil"/>
              <w:left w:val="nil"/>
              <w:bottom w:val="nil"/>
              <w:right w:val="nil"/>
            </w:tcBorders>
            <w:vAlign w:val="center"/>
          </w:tcPr>
          <w:p w14:paraId="04DDE83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502133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24BEF3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520B32F6" w14:textId="77777777" w:rsidTr="00A538F6">
        <w:trPr>
          <w:trHeight w:val="256"/>
        </w:trPr>
        <w:tc>
          <w:tcPr>
            <w:tcW w:w="1276" w:type="dxa"/>
            <w:tcBorders>
              <w:top w:val="nil"/>
              <w:left w:val="nil"/>
              <w:bottom w:val="nil"/>
              <w:right w:val="nil"/>
            </w:tcBorders>
            <w:vAlign w:val="center"/>
          </w:tcPr>
          <w:p w14:paraId="6DB72DC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76550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74DB1EA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Portugal</w:t>
            </w:r>
          </w:p>
        </w:tc>
        <w:tc>
          <w:tcPr>
            <w:tcW w:w="1001" w:type="dxa"/>
            <w:tcBorders>
              <w:top w:val="nil"/>
              <w:left w:val="nil"/>
              <w:bottom w:val="nil"/>
              <w:right w:val="nil"/>
            </w:tcBorders>
            <w:vAlign w:val="center"/>
          </w:tcPr>
          <w:p w14:paraId="1533984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765AA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257EC2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0D8F40E" w14:textId="77777777" w:rsidTr="00A538F6">
        <w:trPr>
          <w:trHeight w:val="256"/>
        </w:trPr>
        <w:tc>
          <w:tcPr>
            <w:tcW w:w="1276" w:type="dxa"/>
            <w:tcBorders>
              <w:top w:val="nil"/>
              <w:left w:val="nil"/>
              <w:bottom w:val="nil"/>
              <w:right w:val="nil"/>
            </w:tcBorders>
            <w:vAlign w:val="center"/>
          </w:tcPr>
          <w:p w14:paraId="12AEFA4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5DC5749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7B1711D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de Corea</w:t>
            </w:r>
          </w:p>
        </w:tc>
        <w:tc>
          <w:tcPr>
            <w:tcW w:w="1001" w:type="dxa"/>
            <w:tcBorders>
              <w:top w:val="nil"/>
              <w:left w:val="nil"/>
              <w:bottom w:val="nil"/>
              <w:right w:val="nil"/>
            </w:tcBorders>
            <w:vAlign w:val="center"/>
          </w:tcPr>
          <w:p w14:paraId="3F14FD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235052A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5B7FCC9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03811E33" w14:textId="77777777" w:rsidTr="00A538F6">
        <w:trPr>
          <w:trHeight w:val="256"/>
        </w:trPr>
        <w:tc>
          <w:tcPr>
            <w:tcW w:w="1276" w:type="dxa"/>
            <w:tcBorders>
              <w:top w:val="nil"/>
              <w:left w:val="nil"/>
              <w:bottom w:val="nil"/>
              <w:right w:val="nil"/>
            </w:tcBorders>
            <w:vAlign w:val="center"/>
          </w:tcPr>
          <w:p w14:paraId="2E179B3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AA9AC6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A4799B9"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República de Moldova</w:t>
            </w:r>
          </w:p>
        </w:tc>
        <w:tc>
          <w:tcPr>
            <w:tcW w:w="1001" w:type="dxa"/>
            <w:tcBorders>
              <w:top w:val="nil"/>
              <w:left w:val="nil"/>
              <w:bottom w:val="nil"/>
              <w:right w:val="nil"/>
            </w:tcBorders>
            <w:vAlign w:val="center"/>
          </w:tcPr>
          <w:p w14:paraId="67E131C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53FD53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CE3A01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4334E8E" w14:textId="77777777" w:rsidTr="00A538F6">
        <w:trPr>
          <w:trHeight w:val="256"/>
        </w:trPr>
        <w:tc>
          <w:tcPr>
            <w:tcW w:w="1276" w:type="dxa"/>
            <w:tcBorders>
              <w:top w:val="nil"/>
              <w:left w:val="nil"/>
              <w:bottom w:val="nil"/>
              <w:right w:val="nil"/>
            </w:tcBorders>
            <w:vAlign w:val="center"/>
          </w:tcPr>
          <w:p w14:paraId="0B7032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A4CD1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01F458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Rumania</w:t>
            </w:r>
          </w:p>
        </w:tc>
        <w:tc>
          <w:tcPr>
            <w:tcW w:w="1001" w:type="dxa"/>
            <w:tcBorders>
              <w:top w:val="nil"/>
              <w:left w:val="nil"/>
              <w:bottom w:val="nil"/>
              <w:right w:val="nil"/>
            </w:tcBorders>
            <w:vAlign w:val="center"/>
          </w:tcPr>
          <w:p w14:paraId="6AB9FA6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BC7C5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39F7D8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5F440A2A" w14:textId="77777777" w:rsidTr="00A538F6">
        <w:trPr>
          <w:trHeight w:val="256"/>
        </w:trPr>
        <w:tc>
          <w:tcPr>
            <w:tcW w:w="1276" w:type="dxa"/>
            <w:tcBorders>
              <w:top w:val="nil"/>
              <w:left w:val="nil"/>
              <w:bottom w:val="nil"/>
              <w:right w:val="nil"/>
            </w:tcBorders>
            <w:vAlign w:val="center"/>
          </w:tcPr>
          <w:p w14:paraId="6F598C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59695E5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3A54F1C5"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Federación de Rusia </w:t>
            </w:r>
          </w:p>
        </w:tc>
        <w:tc>
          <w:tcPr>
            <w:tcW w:w="1001" w:type="dxa"/>
            <w:tcBorders>
              <w:top w:val="nil"/>
              <w:left w:val="nil"/>
              <w:bottom w:val="nil"/>
              <w:right w:val="nil"/>
            </w:tcBorders>
            <w:vAlign w:val="center"/>
          </w:tcPr>
          <w:p w14:paraId="67CBD4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11B56BE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77FA7AC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43BAE6BA" w14:textId="77777777" w:rsidTr="00A538F6">
        <w:trPr>
          <w:trHeight w:val="256"/>
        </w:trPr>
        <w:tc>
          <w:tcPr>
            <w:tcW w:w="1276" w:type="dxa"/>
            <w:tcBorders>
              <w:top w:val="nil"/>
              <w:left w:val="nil"/>
              <w:bottom w:val="nil"/>
              <w:right w:val="nil"/>
            </w:tcBorders>
            <w:vAlign w:val="center"/>
          </w:tcPr>
          <w:p w14:paraId="5046D5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86D437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2C117F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San Vicente y las Granadinas</w:t>
            </w:r>
          </w:p>
        </w:tc>
        <w:tc>
          <w:tcPr>
            <w:tcW w:w="1001" w:type="dxa"/>
            <w:tcBorders>
              <w:top w:val="nil"/>
              <w:left w:val="nil"/>
              <w:bottom w:val="nil"/>
              <w:right w:val="nil"/>
            </w:tcBorders>
            <w:vAlign w:val="center"/>
          </w:tcPr>
          <w:p w14:paraId="64C08D3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9F6127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002FC59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CE0F515" w14:textId="77777777" w:rsidTr="00A538F6">
        <w:trPr>
          <w:trHeight w:val="256"/>
        </w:trPr>
        <w:tc>
          <w:tcPr>
            <w:tcW w:w="1276" w:type="dxa"/>
            <w:tcBorders>
              <w:top w:val="nil"/>
              <w:left w:val="nil"/>
              <w:bottom w:val="nil"/>
              <w:right w:val="nil"/>
            </w:tcBorders>
            <w:vAlign w:val="center"/>
          </w:tcPr>
          <w:p w14:paraId="7432370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574E38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3049748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Serbia</w:t>
            </w:r>
          </w:p>
        </w:tc>
        <w:tc>
          <w:tcPr>
            <w:tcW w:w="1001" w:type="dxa"/>
            <w:tcBorders>
              <w:top w:val="nil"/>
              <w:left w:val="nil"/>
              <w:bottom w:val="nil"/>
              <w:right w:val="nil"/>
            </w:tcBorders>
            <w:vAlign w:val="center"/>
          </w:tcPr>
          <w:p w14:paraId="0D0757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DA62D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B29C7C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7DA9619" w14:textId="77777777" w:rsidTr="00A538F6">
        <w:trPr>
          <w:trHeight w:val="256"/>
        </w:trPr>
        <w:tc>
          <w:tcPr>
            <w:tcW w:w="1276" w:type="dxa"/>
            <w:tcBorders>
              <w:top w:val="nil"/>
              <w:left w:val="nil"/>
              <w:bottom w:val="nil"/>
              <w:right w:val="nil"/>
            </w:tcBorders>
            <w:vAlign w:val="center"/>
          </w:tcPr>
          <w:p w14:paraId="4D26E26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67C9212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A08A4F0"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Singapur</w:t>
            </w:r>
          </w:p>
        </w:tc>
        <w:tc>
          <w:tcPr>
            <w:tcW w:w="1001" w:type="dxa"/>
            <w:tcBorders>
              <w:top w:val="nil"/>
              <w:left w:val="nil"/>
              <w:bottom w:val="nil"/>
              <w:right w:val="nil"/>
            </w:tcBorders>
            <w:vAlign w:val="center"/>
          </w:tcPr>
          <w:p w14:paraId="28AC5CA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776A9DB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030B69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F4585D5" w14:textId="77777777" w:rsidTr="00A538F6">
        <w:trPr>
          <w:trHeight w:val="256"/>
        </w:trPr>
        <w:tc>
          <w:tcPr>
            <w:tcW w:w="1276" w:type="dxa"/>
            <w:tcBorders>
              <w:top w:val="nil"/>
              <w:left w:val="nil"/>
              <w:bottom w:val="nil"/>
              <w:right w:val="nil"/>
            </w:tcBorders>
            <w:vAlign w:val="center"/>
          </w:tcPr>
          <w:p w14:paraId="17BD40F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5271C4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7199D4D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Eslovaquia</w:t>
            </w:r>
          </w:p>
        </w:tc>
        <w:tc>
          <w:tcPr>
            <w:tcW w:w="1001" w:type="dxa"/>
            <w:tcBorders>
              <w:top w:val="nil"/>
              <w:left w:val="nil"/>
              <w:bottom w:val="nil"/>
              <w:right w:val="nil"/>
            </w:tcBorders>
            <w:vAlign w:val="center"/>
          </w:tcPr>
          <w:p w14:paraId="3586CFF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0FE4EF7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5CC2FBD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2F1511D6" w14:textId="77777777" w:rsidTr="00A538F6">
        <w:trPr>
          <w:trHeight w:val="256"/>
        </w:trPr>
        <w:tc>
          <w:tcPr>
            <w:tcW w:w="1276" w:type="dxa"/>
            <w:tcBorders>
              <w:top w:val="nil"/>
              <w:left w:val="nil"/>
              <w:bottom w:val="nil"/>
              <w:right w:val="nil"/>
            </w:tcBorders>
            <w:vAlign w:val="center"/>
          </w:tcPr>
          <w:p w14:paraId="692C24D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D8DBAC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143FF8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Eslovenia</w:t>
            </w:r>
          </w:p>
        </w:tc>
        <w:tc>
          <w:tcPr>
            <w:tcW w:w="1001" w:type="dxa"/>
            <w:tcBorders>
              <w:top w:val="nil"/>
              <w:left w:val="nil"/>
              <w:bottom w:val="nil"/>
              <w:right w:val="nil"/>
            </w:tcBorders>
            <w:vAlign w:val="center"/>
          </w:tcPr>
          <w:p w14:paraId="48AE823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69C7075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13729D9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D6E2C02" w14:textId="77777777" w:rsidTr="00A538F6">
        <w:trPr>
          <w:trHeight w:val="256"/>
        </w:trPr>
        <w:tc>
          <w:tcPr>
            <w:tcW w:w="1276" w:type="dxa"/>
            <w:tcBorders>
              <w:top w:val="nil"/>
              <w:left w:val="nil"/>
              <w:bottom w:val="nil"/>
              <w:right w:val="nil"/>
            </w:tcBorders>
            <w:vAlign w:val="center"/>
          </w:tcPr>
          <w:p w14:paraId="565A000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276" w:type="dxa"/>
            <w:tcBorders>
              <w:top w:val="nil"/>
              <w:left w:val="nil"/>
              <w:bottom w:val="nil"/>
              <w:right w:val="nil"/>
            </w:tcBorders>
            <w:vAlign w:val="center"/>
          </w:tcPr>
          <w:p w14:paraId="55BF083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3474" w:type="dxa"/>
            <w:tcBorders>
              <w:top w:val="nil"/>
              <w:left w:val="nil"/>
              <w:bottom w:val="nil"/>
              <w:right w:val="nil"/>
            </w:tcBorders>
            <w:vAlign w:val="center"/>
            <w:hideMark/>
          </w:tcPr>
          <w:p w14:paraId="1CAB2EB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Sudáfrica</w:t>
            </w:r>
          </w:p>
        </w:tc>
        <w:tc>
          <w:tcPr>
            <w:tcW w:w="1001" w:type="dxa"/>
            <w:tcBorders>
              <w:top w:val="nil"/>
              <w:left w:val="nil"/>
              <w:bottom w:val="nil"/>
              <w:right w:val="nil"/>
            </w:tcBorders>
            <w:vAlign w:val="center"/>
          </w:tcPr>
          <w:p w14:paraId="6E2C5C0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36D2625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401269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5F62610E" w14:textId="77777777" w:rsidTr="00A538F6">
        <w:trPr>
          <w:trHeight w:val="256"/>
        </w:trPr>
        <w:tc>
          <w:tcPr>
            <w:tcW w:w="1276" w:type="dxa"/>
            <w:tcBorders>
              <w:top w:val="nil"/>
              <w:left w:val="nil"/>
              <w:bottom w:val="nil"/>
              <w:right w:val="nil"/>
            </w:tcBorders>
            <w:vAlign w:val="center"/>
          </w:tcPr>
          <w:p w14:paraId="269B07B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2484D4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16DEA8DE"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España</w:t>
            </w:r>
          </w:p>
        </w:tc>
        <w:tc>
          <w:tcPr>
            <w:tcW w:w="1001" w:type="dxa"/>
            <w:tcBorders>
              <w:top w:val="nil"/>
              <w:left w:val="nil"/>
              <w:bottom w:val="nil"/>
              <w:right w:val="nil"/>
            </w:tcBorders>
            <w:vAlign w:val="center"/>
          </w:tcPr>
          <w:p w14:paraId="770107D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7D96AFF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18E9E0D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3B401A51" w14:textId="77777777" w:rsidTr="00A538F6">
        <w:trPr>
          <w:trHeight w:val="256"/>
        </w:trPr>
        <w:tc>
          <w:tcPr>
            <w:tcW w:w="1276" w:type="dxa"/>
            <w:tcBorders>
              <w:top w:val="nil"/>
              <w:left w:val="nil"/>
              <w:bottom w:val="nil"/>
              <w:right w:val="nil"/>
            </w:tcBorders>
            <w:vAlign w:val="center"/>
          </w:tcPr>
          <w:p w14:paraId="5C32399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0DD838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3AEC82D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Suecia</w:t>
            </w:r>
            <w:r w:rsidRPr="00E675E8">
              <w:rPr>
                <w:rFonts w:ascii="Arial Narrow" w:hAnsi="Arial Narrow"/>
                <w:color w:val="000000"/>
                <w:sz w:val="18"/>
                <w:vertAlign w:val="superscript"/>
                <w:lang w:val="es-ES_tradnl"/>
              </w:rPr>
              <w:t>3</w:t>
            </w:r>
          </w:p>
        </w:tc>
        <w:tc>
          <w:tcPr>
            <w:tcW w:w="1001" w:type="dxa"/>
            <w:tcBorders>
              <w:top w:val="nil"/>
              <w:left w:val="nil"/>
              <w:bottom w:val="nil"/>
              <w:right w:val="nil"/>
            </w:tcBorders>
            <w:vAlign w:val="center"/>
          </w:tcPr>
          <w:p w14:paraId="1E64BD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1,00</w:t>
            </w:r>
          </w:p>
        </w:tc>
        <w:tc>
          <w:tcPr>
            <w:tcW w:w="1392" w:type="dxa"/>
            <w:tcBorders>
              <w:top w:val="nil"/>
              <w:left w:val="nil"/>
              <w:bottom w:val="nil"/>
              <w:right w:val="nil"/>
            </w:tcBorders>
            <w:vAlign w:val="center"/>
          </w:tcPr>
          <w:p w14:paraId="19C250C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c>
          <w:tcPr>
            <w:tcW w:w="1362" w:type="dxa"/>
            <w:tcBorders>
              <w:top w:val="nil"/>
              <w:left w:val="nil"/>
              <w:bottom w:val="nil"/>
              <w:right w:val="nil"/>
            </w:tcBorders>
            <w:vAlign w:val="center"/>
          </w:tcPr>
          <w:p w14:paraId="4EA2165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53 641</w:t>
            </w:r>
          </w:p>
        </w:tc>
      </w:tr>
      <w:tr w:rsidR="00B65EDC" w:rsidRPr="00E675E8" w14:paraId="733C6A56" w14:textId="77777777" w:rsidTr="00A538F6">
        <w:trPr>
          <w:trHeight w:val="256"/>
        </w:trPr>
        <w:tc>
          <w:tcPr>
            <w:tcW w:w="1276" w:type="dxa"/>
            <w:tcBorders>
              <w:top w:val="nil"/>
              <w:left w:val="nil"/>
              <w:bottom w:val="nil"/>
              <w:right w:val="nil"/>
            </w:tcBorders>
            <w:vAlign w:val="center"/>
          </w:tcPr>
          <w:p w14:paraId="253E61E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276" w:type="dxa"/>
            <w:tcBorders>
              <w:top w:val="nil"/>
              <w:left w:val="nil"/>
              <w:bottom w:val="nil"/>
              <w:right w:val="nil"/>
            </w:tcBorders>
            <w:vAlign w:val="center"/>
          </w:tcPr>
          <w:p w14:paraId="653FAC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3474" w:type="dxa"/>
            <w:tcBorders>
              <w:top w:val="nil"/>
              <w:left w:val="nil"/>
              <w:bottom w:val="nil"/>
              <w:right w:val="nil"/>
            </w:tcBorders>
            <w:vAlign w:val="center"/>
            <w:hideMark/>
          </w:tcPr>
          <w:p w14:paraId="56C57CB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Suiza</w:t>
            </w:r>
          </w:p>
        </w:tc>
        <w:tc>
          <w:tcPr>
            <w:tcW w:w="1001" w:type="dxa"/>
            <w:tcBorders>
              <w:top w:val="nil"/>
              <w:left w:val="nil"/>
              <w:bottom w:val="nil"/>
              <w:right w:val="nil"/>
            </w:tcBorders>
            <w:vAlign w:val="center"/>
          </w:tcPr>
          <w:p w14:paraId="714EC3D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1,50</w:t>
            </w:r>
          </w:p>
        </w:tc>
        <w:tc>
          <w:tcPr>
            <w:tcW w:w="1392" w:type="dxa"/>
            <w:tcBorders>
              <w:top w:val="nil"/>
              <w:left w:val="nil"/>
              <w:bottom w:val="nil"/>
              <w:right w:val="nil"/>
            </w:tcBorders>
            <w:vAlign w:val="center"/>
          </w:tcPr>
          <w:p w14:paraId="75BBC1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c>
          <w:tcPr>
            <w:tcW w:w="1362" w:type="dxa"/>
            <w:tcBorders>
              <w:top w:val="nil"/>
              <w:left w:val="nil"/>
              <w:bottom w:val="nil"/>
              <w:right w:val="nil"/>
            </w:tcBorders>
            <w:vAlign w:val="center"/>
          </w:tcPr>
          <w:p w14:paraId="3EFC61B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80 462</w:t>
            </w:r>
          </w:p>
        </w:tc>
      </w:tr>
      <w:tr w:rsidR="00B65EDC" w:rsidRPr="00E675E8" w14:paraId="16D05B12" w14:textId="77777777" w:rsidTr="00A538F6">
        <w:trPr>
          <w:trHeight w:val="256"/>
        </w:trPr>
        <w:tc>
          <w:tcPr>
            <w:tcW w:w="1276" w:type="dxa"/>
            <w:tcBorders>
              <w:top w:val="nil"/>
              <w:left w:val="nil"/>
              <w:bottom w:val="nil"/>
              <w:right w:val="nil"/>
            </w:tcBorders>
            <w:vAlign w:val="center"/>
          </w:tcPr>
          <w:p w14:paraId="6FC8576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73CF104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69B003E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Trinidad y </w:t>
            </w:r>
            <w:proofErr w:type="spellStart"/>
            <w:r w:rsidRPr="00E675E8">
              <w:rPr>
                <w:rFonts w:ascii="Arial Narrow" w:hAnsi="Arial Narrow"/>
                <w:color w:val="000000"/>
                <w:sz w:val="18"/>
                <w:lang w:val="es-ES_tradnl"/>
              </w:rPr>
              <w:t>Tabago</w:t>
            </w:r>
            <w:proofErr w:type="spellEnd"/>
          </w:p>
        </w:tc>
        <w:tc>
          <w:tcPr>
            <w:tcW w:w="1001" w:type="dxa"/>
            <w:tcBorders>
              <w:top w:val="nil"/>
              <w:left w:val="nil"/>
              <w:bottom w:val="nil"/>
              <w:right w:val="nil"/>
            </w:tcBorders>
            <w:vAlign w:val="center"/>
          </w:tcPr>
          <w:p w14:paraId="209290DB"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1CBF68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8BD72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10FBA95" w14:textId="77777777" w:rsidTr="00A538F6">
        <w:trPr>
          <w:trHeight w:val="256"/>
        </w:trPr>
        <w:tc>
          <w:tcPr>
            <w:tcW w:w="1276" w:type="dxa"/>
            <w:tcBorders>
              <w:top w:val="nil"/>
              <w:left w:val="nil"/>
              <w:bottom w:val="nil"/>
              <w:right w:val="nil"/>
            </w:tcBorders>
            <w:vAlign w:val="center"/>
          </w:tcPr>
          <w:p w14:paraId="524277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AEBE7F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72F9D84"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Túnez</w:t>
            </w:r>
          </w:p>
        </w:tc>
        <w:tc>
          <w:tcPr>
            <w:tcW w:w="1001" w:type="dxa"/>
            <w:tcBorders>
              <w:top w:val="nil"/>
              <w:left w:val="nil"/>
              <w:bottom w:val="nil"/>
              <w:right w:val="nil"/>
            </w:tcBorders>
            <w:vAlign w:val="center"/>
          </w:tcPr>
          <w:p w14:paraId="68BAAB2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5C455EC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C5196B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4941963A" w14:textId="77777777" w:rsidTr="00A538F6">
        <w:trPr>
          <w:trHeight w:val="256"/>
        </w:trPr>
        <w:tc>
          <w:tcPr>
            <w:tcW w:w="1276" w:type="dxa"/>
            <w:tcBorders>
              <w:top w:val="nil"/>
              <w:left w:val="nil"/>
              <w:bottom w:val="nil"/>
              <w:right w:val="nil"/>
            </w:tcBorders>
            <w:vAlign w:val="center"/>
          </w:tcPr>
          <w:p w14:paraId="2375A05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276" w:type="dxa"/>
            <w:tcBorders>
              <w:top w:val="nil"/>
              <w:left w:val="nil"/>
              <w:bottom w:val="nil"/>
              <w:right w:val="nil"/>
            </w:tcBorders>
            <w:vAlign w:val="center"/>
          </w:tcPr>
          <w:p w14:paraId="7295555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3474" w:type="dxa"/>
            <w:tcBorders>
              <w:top w:val="nil"/>
              <w:left w:val="nil"/>
              <w:bottom w:val="nil"/>
              <w:right w:val="nil"/>
            </w:tcBorders>
            <w:vAlign w:val="center"/>
            <w:hideMark/>
          </w:tcPr>
          <w:p w14:paraId="65F7D0BB"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Türkiye</w:t>
            </w:r>
          </w:p>
        </w:tc>
        <w:tc>
          <w:tcPr>
            <w:tcW w:w="1001" w:type="dxa"/>
            <w:tcBorders>
              <w:top w:val="nil"/>
              <w:left w:val="nil"/>
              <w:bottom w:val="nil"/>
              <w:right w:val="nil"/>
            </w:tcBorders>
            <w:vAlign w:val="center"/>
          </w:tcPr>
          <w:p w14:paraId="6F0F85F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0,50</w:t>
            </w:r>
          </w:p>
        </w:tc>
        <w:tc>
          <w:tcPr>
            <w:tcW w:w="1392" w:type="dxa"/>
            <w:tcBorders>
              <w:top w:val="nil"/>
              <w:left w:val="nil"/>
              <w:bottom w:val="nil"/>
              <w:right w:val="nil"/>
            </w:tcBorders>
            <w:vAlign w:val="center"/>
          </w:tcPr>
          <w:p w14:paraId="4192AA5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c>
          <w:tcPr>
            <w:tcW w:w="1362" w:type="dxa"/>
            <w:tcBorders>
              <w:top w:val="nil"/>
              <w:left w:val="nil"/>
              <w:bottom w:val="nil"/>
              <w:right w:val="nil"/>
            </w:tcBorders>
            <w:vAlign w:val="center"/>
          </w:tcPr>
          <w:p w14:paraId="329CED1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26 820</w:t>
            </w:r>
          </w:p>
        </w:tc>
      </w:tr>
      <w:tr w:rsidR="00B65EDC" w:rsidRPr="00E675E8" w14:paraId="31893578" w14:textId="77777777" w:rsidTr="00A538F6">
        <w:trPr>
          <w:trHeight w:val="256"/>
        </w:trPr>
        <w:tc>
          <w:tcPr>
            <w:tcW w:w="1276" w:type="dxa"/>
            <w:tcBorders>
              <w:top w:val="nil"/>
              <w:left w:val="nil"/>
              <w:bottom w:val="nil"/>
              <w:right w:val="nil"/>
            </w:tcBorders>
            <w:vAlign w:val="center"/>
          </w:tcPr>
          <w:p w14:paraId="742D125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0025D40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643AF0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Ucrania</w:t>
            </w:r>
          </w:p>
        </w:tc>
        <w:tc>
          <w:tcPr>
            <w:tcW w:w="1001" w:type="dxa"/>
            <w:tcBorders>
              <w:top w:val="nil"/>
              <w:left w:val="nil"/>
              <w:bottom w:val="nil"/>
              <w:right w:val="nil"/>
            </w:tcBorders>
            <w:vAlign w:val="center"/>
          </w:tcPr>
          <w:p w14:paraId="2D9EE9B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47862C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5973261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152F78E4" w14:textId="77777777" w:rsidTr="00A538F6">
        <w:trPr>
          <w:trHeight w:val="256"/>
        </w:trPr>
        <w:tc>
          <w:tcPr>
            <w:tcW w:w="1276" w:type="dxa"/>
            <w:tcBorders>
              <w:top w:val="nil"/>
              <w:left w:val="nil"/>
              <w:bottom w:val="nil"/>
              <w:right w:val="nil"/>
            </w:tcBorders>
            <w:vAlign w:val="center"/>
          </w:tcPr>
          <w:p w14:paraId="77D512C2"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276" w:type="dxa"/>
            <w:tcBorders>
              <w:top w:val="nil"/>
              <w:left w:val="nil"/>
              <w:bottom w:val="nil"/>
              <w:right w:val="nil"/>
            </w:tcBorders>
            <w:vAlign w:val="center"/>
          </w:tcPr>
          <w:p w14:paraId="443D985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3474" w:type="dxa"/>
            <w:tcBorders>
              <w:top w:val="nil"/>
              <w:left w:val="nil"/>
              <w:bottom w:val="nil"/>
              <w:right w:val="nil"/>
            </w:tcBorders>
            <w:vAlign w:val="center"/>
            <w:hideMark/>
          </w:tcPr>
          <w:p w14:paraId="0A09D876"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Reino Unido</w:t>
            </w:r>
          </w:p>
        </w:tc>
        <w:tc>
          <w:tcPr>
            <w:tcW w:w="1001" w:type="dxa"/>
            <w:tcBorders>
              <w:top w:val="nil"/>
              <w:left w:val="nil"/>
              <w:bottom w:val="nil"/>
              <w:right w:val="nil"/>
            </w:tcBorders>
            <w:vAlign w:val="center"/>
          </w:tcPr>
          <w:p w14:paraId="36C1E9B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2,00</w:t>
            </w:r>
          </w:p>
        </w:tc>
        <w:tc>
          <w:tcPr>
            <w:tcW w:w="1392" w:type="dxa"/>
            <w:tcBorders>
              <w:top w:val="nil"/>
              <w:left w:val="nil"/>
              <w:bottom w:val="nil"/>
              <w:right w:val="nil"/>
            </w:tcBorders>
            <w:vAlign w:val="center"/>
          </w:tcPr>
          <w:p w14:paraId="482F79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c>
          <w:tcPr>
            <w:tcW w:w="1362" w:type="dxa"/>
            <w:tcBorders>
              <w:top w:val="nil"/>
              <w:left w:val="nil"/>
              <w:bottom w:val="nil"/>
              <w:right w:val="nil"/>
            </w:tcBorders>
            <w:vAlign w:val="center"/>
          </w:tcPr>
          <w:p w14:paraId="6046BF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107 282</w:t>
            </w:r>
          </w:p>
        </w:tc>
      </w:tr>
      <w:tr w:rsidR="00B65EDC" w:rsidRPr="00E675E8" w14:paraId="44C5A731" w14:textId="77777777" w:rsidTr="00A538F6">
        <w:trPr>
          <w:trHeight w:val="256"/>
        </w:trPr>
        <w:tc>
          <w:tcPr>
            <w:tcW w:w="1276" w:type="dxa"/>
            <w:tcBorders>
              <w:top w:val="nil"/>
              <w:left w:val="nil"/>
              <w:bottom w:val="nil"/>
              <w:right w:val="nil"/>
            </w:tcBorders>
            <w:vAlign w:val="center"/>
          </w:tcPr>
          <w:p w14:paraId="593D6F2F"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24DF4C4C"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257EBA81"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 xml:space="preserve">República Unida de </w:t>
            </w:r>
            <w:proofErr w:type="spellStart"/>
            <w:r w:rsidRPr="00E675E8">
              <w:rPr>
                <w:rFonts w:ascii="Arial Narrow" w:hAnsi="Arial Narrow"/>
                <w:color w:val="000000"/>
                <w:sz w:val="18"/>
                <w:lang w:val="es-ES_tradnl"/>
              </w:rPr>
              <w:t>Tanzanía</w:t>
            </w:r>
            <w:proofErr w:type="spellEnd"/>
          </w:p>
        </w:tc>
        <w:tc>
          <w:tcPr>
            <w:tcW w:w="1001" w:type="dxa"/>
            <w:tcBorders>
              <w:top w:val="nil"/>
              <w:left w:val="nil"/>
              <w:bottom w:val="nil"/>
              <w:right w:val="nil"/>
            </w:tcBorders>
            <w:vAlign w:val="center"/>
          </w:tcPr>
          <w:p w14:paraId="09C5B7D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012B5A5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7734EF1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32F2A8F" w14:textId="77777777" w:rsidTr="00A538F6">
        <w:trPr>
          <w:trHeight w:val="256"/>
        </w:trPr>
        <w:tc>
          <w:tcPr>
            <w:tcW w:w="1276" w:type="dxa"/>
            <w:tcBorders>
              <w:top w:val="nil"/>
              <w:left w:val="nil"/>
              <w:bottom w:val="nil"/>
              <w:right w:val="nil"/>
            </w:tcBorders>
            <w:vAlign w:val="center"/>
          </w:tcPr>
          <w:p w14:paraId="6DABD3A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276" w:type="dxa"/>
            <w:tcBorders>
              <w:top w:val="nil"/>
              <w:left w:val="nil"/>
              <w:bottom w:val="nil"/>
              <w:right w:val="nil"/>
            </w:tcBorders>
            <w:vAlign w:val="center"/>
          </w:tcPr>
          <w:p w14:paraId="73E360C4"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3474" w:type="dxa"/>
            <w:tcBorders>
              <w:top w:val="nil"/>
              <w:left w:val="nil"/>
              <w:bottom w:val="nil"/>
              <w:right w:val="nil"/>
            </w:tcBorders>
            <w:vAlign w:val="center"/>
            <w:hideMark/>
          </w:tcPr>
          <w:p w14:paraId="75043AE8"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Estados Unidos de América</w:t>
            </w:r>
          </w:p>
        </w:tc>
        <w:tc>
          <w:tcPr>
            <w:tcW w:w="1001" w:type="dxa"/>
            <w:tcBorders>
              <w:top w:val="nil"/>
              <w:left w:val="nil"/>
              <w:bottom w:val="nil"/>
              <w:right w:val="nil"/>
            </w:tcBorders>
            <w:vAlign w:val="center"/>
          </w:tcPr>
          <w:p w14:paraId="3E54D24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5,00</w:t>
            </w:r>
          </w:p>
        </w:tc>
        <w:tc>
          <w:tcPr>
            <w:tcW w:w="1392" w:type="dxa"/>
            <w:tcBorders>
              <w:top w:val="nil"/>
              <w:left w:val="nil"/>
              <w:bottom w:val="nil"/>
              <w:right w:val="nil"/>
            </w:tcBorders>
            <w:vAlign w:val="center"/>
          </w:tcPr>
          <w:p w14:paraId="57142C0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c>
          <w:tcPr>
            <w:tcW w:w="1362" w:type="dxa"/>
            <w:tcBorders>
              <w:top w:val="nil"/>
              <w:left w:val="nil"/>
              <w:bottom w:val="nil"/>
              <w:right w:val="nil"/>
            </w:tcBorders>
            <w:vAlign w:val="center"/>
          </w:tcPr>
          <w:p w14:paraId="3BEA363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268 205</w:t>
            </w:r>
          </w:p>
        </w:tc>
      </w:tr>
      <w:tr w:rsidR="00B65EDC" w:rsidRPr="00E675E8" w14:paraId="03474BD5" w14:textId="77777777" w:rsidTr="00A538F6">
        <w:trPr>
          <w:trHeight w:val="256"/>
        </w:trPr>
        <w:tc>
          <w:tcPr>
            <w:tcW w:w="1276" w:type="dxa"/>
            <w:tcBorders>
              <w:top w:val="nil"/>
              <w:left w:val="nil"/>
              <w:bottom w:val="nil"/>
              <w:right w:val="nil"/>
            </w:tcBorders>
            <w:vAlign w:val="center"/>
          </w:tcPr>
          <w:p w14:paraId="63808178"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53F3CA6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hideMark/>
          </w:tcPr>
          <w:p w14:paraId="4AA8F49D"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Uruguay</w:t>
            </w:r>
          </w:p>
        </w:tc>
        <w:tc>
          <w:tcPr>
            <w:tcW w:w="1001" w:type="dxa"/>
            <w:tcBorders>
              <w:top w:val="nil"/>
              <w:left w:val="nil"/>
              <w:bottom w:val="nil"/>
              <w:right w:val="nil"/>
            </w:tcBorders>
            <w:vAlign w:val="center"/>
          </w:tcPr>
          <w:p w14:paraId="4EBCF60A"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4237B0A7"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D80DA6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302599D4" w14:textId="77777777" w:rsidTr="00A538F6">
        <w:trPr>
          <w:trHeight w:val="256"/>
        </w:trPr>
        <w:tc>
          <w:tcPr>
            <w:tcW w:w="1276" w:type="dxa"/>
            <w:tcBorders>
              <w:top w:val="nil"/>
              <w:left w:val="nil"/>
              <w:bottom w:val="nil"/>
              <w:right w:val="nil"/>
            </w:tcBorders>
            <w:vAlign w:val="center"/>
          </w:tcPr>
          <w:p w14:paraId="6134D6A9"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nil"/>
              <w:right w:val="nil"/>
            </w:tcBorders>
            <w:vAlign w:val="center"/>
          </w:tcPr>
          <w:p w14:paraId="431BF8A6"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nil"/>
              <w:right w:val="nil"/>
            </w:tcBorders>
            <w:vAlign w:val="center"/>
          </w:tcPr>
          <w:p w14:paraId="231ECE53"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Uzbekistán</w:t>
            </w:r>
          </w:p>
        </w:tc>
        <w:tc>
          <w:tcPr>
            <w:tcW w:w="1001" w:type="dxa"/>
            <w:tcBorders>
              <w:top w:val="nil"/>
              <w:left w:val="nil"/>
              <w:bottom w:val="nil"/>
              <w:right w:val="nil"/>
            </w:tcBorders>
            <w:vAlign w:val="center"/>
          </w:tcPr>
          <w:p w14:paraId="6FDE0DB5"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nil"/>
              <w:right w:val="nil"/>
            </w:tcBorders>
            <w:vAlign w:val="center"/>
          </w:tcPr>
          <w:p w14:paraId="34C0C48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nil"/>
              <w:right w:val="nil"/>
            </w:tcBorders>
            <w:vAlign w:val="center"/>
          </w:tcPr>
          <w:p w14:paraId="623F442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7BB57A1C" w14:textId="77777777" w:rsidTr="00A538F6">
        <w:trPr>
          <w:trHeight w:val="256"/>
        </w:trPr>
        <w:tc>
          <w:tcPr>
            <w:tcW w:w="1276" w:type="dxa"/>
            <w:tcBorders>
              <w:top w:val="nil"/>
              <w:left w:val="nil"/>
              <w:bottom w:val="single" w:sz="8" w:space="0" w:color="BFBFBF"/>
              <w:right w:val="nil"/>
            </w:tcBorders>
            <w:vAlign w:val="center"/>
          </w:tcPr>
          <w:p w14:paraId="2D8B2CD0"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276" w:type="dxa"/>
            <w:tcBorders>
              <w:top w:val="nil"/>
              <w:left w:val="nil"/>
              <w:bottom w:val="single" w:sz="8" w:space="0" w:color="BFBFBF"/>
              <w:right w:val="nil"/>
            </w:tcBorders>
            <w:vAlign w:val="center"/>
          </w:tcPr>
          <w:p w14:paraId="4F42F663"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3474" w:type="dxa"/>
            <w:tcBorders>
              <w:top w:val="nil"/>
              <w:left w:val="nil"/>
              <w:bottom w:val="single" w:sz="8" w:space="0" w:color="BFBFBF"/>
              <w:right w:val="nil"/>
            </w:tcBorders>
            <w:vAlign w:val="center"/>
          </w:tcPr>
          <w:p w14:paraId="56F3111A" w14:textId="77777777" w:rsidR="00B65EDC" w:rsidRPr="00E675E8" w:rsidRDefault="00B65EDC">
            <w:pPr>
              <w:jc w:val="left"/>
              <w:rPr>
                <w:rFonts w:ascii="Arial Narrow" w:hAnsi="Arial Narrow" w:cs="Arial"/>
                <w:color w:val="000000"/>
                <w:sz w:val="18"/>
                <w:szCs w:val="18"/>
                <w:lang w:val="es-ES_tradnl"/>
              </w:rPr>
            </w:pPr>
            <w:r w:rsidRPr="00E675E8">
              <w:rPr>
                <w:rFonts w:ascii="Arial Narrow" w:hAnsi="Arial Narrow"/>
                <w:color w:val="000000"/>
                <w:sz w:val="18"/>
                <w:lang w:val="es-ES_tradnl"/>
              </w:rPr>
              <w:t>Viet </w:t>
            </w:r>
            <w:proofErr w:type="spellStart"/>
            <w:r w:rsidRPr="00E675E8">
              <w:rPr>
                <w:rFonts w:ascii="Arial Narrow" w:hAnsi="Arial Narrow"/>
                <w:color w:val="000000"/>
                <w:sz w:val="18"/>
                <w:lang w:val="es-ES_tradnl"/>
              </w:rPr>
              <w:t>Nam</w:t>
            </w:r>
            <w:proofErr w:type="spellEnd"/>
          </w:p>
        </w:tc>
        <w:tc>
          <w:tcPr>
            <w:tcW w:w="1001" w:type="dxa"/>
            <w:tcBorders>
              <w:top w:val="nil"/>
              <w:left w:val="nil"/>
              <w:bottom w:val="single" w:sz="8" w:space="0" w:color="BFBFBF"/>
              <w:right w:val="nil"/>
            </w:tcBorders>
            <w:vAlign w:val="center"/>
          </w:tcPr>
          <w:p w14:paraId="45E3E3D1"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0,20</w:t>
            </w:r>
          </w:p>
        </w:tc>
        <w:tc>
          <w:tcPr>
            <w:tcW w:w="1392" w:type="dxa"/>
            <w:tcBorders>
              <w:top w:val="nil"/>
              <w:left w:val="nil"/>
              <w:bottom w:val="single" w:sz="8" w:space="0" w:color="BFBFBF"/>
              <w:right w:val="nil"/>
            </w:tcBorders>
            <w:vAlign w:val="center"/>
          </w:tcPr>
          <w:p w14:paraId="52A7ACCE"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c>
          <w:tcPr>
            <w:tcW w:w="1362" w:type="dxa"/>
            <w:tcBorders>
              <w:top w:val="nil"/>
              <w:left w:val="nil"/>
              <w:bottom w:val="single" w:sz="8" w:space="0" w:color="BFBFBF"/>
              <w:right w:val="nil"/>
            </w:tcBorders>
            <w:vAlign w:val="center"/>
          </w:tcPr>
          <w:p w14:paraId="059D398D" w14:textId="77777777" w:rsidR="00B65EDC" w:rsidRPr="00E675E8" w:rsidRDefault="00B65EDC">
            <w:pPr>
              <w:jc w:val="right"/>
              <w:rPr>
                <w:rFonts w:ascii="Arial Narrow" w:hAnsi="Arial Narrow" w:cs="Arial"/>
                <w:color w:val="000000"/>
                <w:sz w:val="18"/>
                <w:szCs w:val="18"/>
                <w:lang w:val="es-ES_tradnl"/>
              </w:rPr>
            </w:pPr>
            <w:r w:rsidRPr="00E675E8">
              <w:rPr>
                <w:rFonts w:ascii="Arial Narrow" w:hAnsi="Arial Narrow"/>
                <w:color w:val="000000"/>
                <w:sz w:val="18"/>
                <w:lang w:val="es-ES_tradnl"/>
              </w:rPr>
              <w:t>10 728</w:t>
            </w:r>
          </w:p>
        </w:tc>
      </w:tr>
      <w:tr w:rsidR="00B65EDC" w:rsidRPr="00E675E8" w14:paraId="24867323" w14:textId="77777777" w:rsidTr="00A538F6">
        <w:trPr>
          <w:trHeight w:val="275"/>
        </w:trPr>
        <w:tc>
          <w:tcPr>
            <w:tcW w:w="1276" w:type="dxa"/>
            <w:tcBorders>
              <w:top w:val="nil"/>
              <w:left w:val="nil"/>
              <w:bottom w:val="single" w:sz="8" w:space="0" w:color="BFBFBF"/>
              <w:right w:val="nil"/>
            </w:tcBorders>
            <w:vAlign w:val="center"/>
            <w:hideMark/>
          </w:tcPr>
          <w:p w14:paraId="7C1A8498"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3 569 798</w:t>
            </w:r>
          </w:p>
        </w:tc>
        <w:tc>
          <w:tcPr>
            <w:tcW w:w="1276" w:type="dxa"/>
            <w:tcBorders>
              <w:top w:val="nil"/>
              <w:left w:val="nil"/>
              <w:bottom w:val="single" w:sz="8" w:space="0" w:color="BFBFBF"/>
              <w:right w:val="nil"/>
            </w:tcBorders>
            <w:vAlign w:val="center"/>
            <w:hideMark/>
          </w:tcPr>
          <w:p w14:paraId="205DC850"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3 580 526</w:t>
            </w:r>
          </w:p>
        </w:tc>
        <w:tc>
          <w:tcPr>
            <w:tcW w:w="3474" w:type="dxa"/>
            <w:tcBorders>
              <w:top w:val="nil"/>
              <w:left w:val="nil"/>
              <w:bottom w:val="single" w:sz="8" w:space="0" w:color="BFBFBF"/>
              <w:right w:val="nil"/>
            </w:tcBorders>
            <w:vAlign w:val="center"/>
            <w:hideMark/>
          </w:tcPr>
          <w:p w14:paraId="48DA59BD" w14:textId="77777777" w:rsidR="00B65EDC" w:rsidRPr="00E675E8" w:rsidRDefault="00B65EDC">
            <w:pPr>
              <w:jc w:val="left"/>
              <w:rPr>
                <w:rFonts w:ascii="Arial Narrow" w:hAnsi="Arial Narrow" w:cs="Arial"/>
                <w:b/>
                <w:bCs/>
                <w:color w:val="000000"/>
                <w:sz w:val="18"/>
                <w:szCs w:val="18"/>
                <w:lang w:val="es-ES_tradnl"/>
              </w:rPr>
            </w:pPr>
          </w:p>
        </w:tc>
        <w:tc>
          <w:tcPr>
            <w:tcW w:w="1001" w:type="dxa"/>
            <w:tcBorders>
              <w:top w:val="nil"/>
              <w:left w:val="nil"/>
              <w:bottom w:val="single" w:sz="8" w:space="0" w:color="BFBFBF"/>
              <w:right w:val="nil"/>
            </w:tcBorders>
            <w:vAlign w:val="center"/>
            <w:hideMark/>
          </w:tcPr>
          <w:p w14:paraId="7BB175BB"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66,45</w:t>
            </w:r>
          </w:p>
        </w:tc>
        <w:tc>
          <w:tcPr>
            <w:tcW w:w="1392" w:type="dxa"/>
            <w:tcBorders>
              <w:top w:val="nil"/>
              <w:left w:val="nil"/>
              <w:bottom w:val="single" w:sz="8" w:space="0" w:color="BFBFBF"/>
              <w:right w:val="nil"/>
            </w:tcBorders>
            <w:vAlign w:val="center"/>
            <w:hideMark/>
          </w:tcPr>
          <w:p w14:paraId="61FE9179"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3 564 433</w:t>
            </w:r>
          </w:p>
        </w:tc>
        <w:tc>
          <w:tcPr>
            <w:tcW w:w="1362" w:type="dxa"/>
            <w:tcBorders>
              <w:top w:val="nil"/>
              <w:left w:val="nil"/>
              <w:bottom w:val="single" w:sz="8" w:space="0" w:color="BFBFBF"/>
              <w:right w:val="nil"/>
            </w:tcBorders>
            <w:vAlign w:val="center"/>
            <w:hideMark/>
          </w:tcPr>
          <w:p w14:paraId="7E1FC99C" w14:textId="77777777" w:rsidR="00B65EDC" w:rsidRPr="00E675E8" w:rsidRDefault="00B65EDC">
            <w:pPr>
              <w:jc w:val="right"/>
              <w:rPr>
                <w:rFonts w:ascii="Arial Narrow" w:hAnsi="Arial Narrow" w:cs="Arial"/>
                <w:b/>
                <w:bCs/>
                <w:color w:val="000000"/>
                <w:sz w:val="18"/>
                <w:szCs w:val="18"/>
                <w:lang w:val="es-ES_tradnl"/>
              </w:rPr>
            </w:pPr>
            <w:r w:rsidRPr="00E675E8">
              <w:rPr>
                <w:rFonts w:ascii="Arial Narrow" w:hAnsi="Arial Narrow"/>
                <w:b/>
                <w:color w:val="000000"/>
                <w:sz w:val="18"/>
                <w:lang w:val="es-ES_tradnl"/>
              </w:rPr>
              <w:t>3 564 433</w:t>
            </w:r>
          </w:p>
        </w:tc>
      </w:tr>
    </w:tbl>
    <w:p w14:paraId="54FBDD28" w14:textId="77777777" w:rsidR="00B65EDC" w:rsidRPr="00E675E8" w:rsidRDefault="00B65EDC" w:rsidP="00B65EDC">
      <w:pPr>
        <w:rPr>
          <w:lang w:val="es-ES_tradnl"/>
        </w:rPr>
      </w:pPr>
    </w:p>
    <w:p w14:paraId="5D602065" w14:textId="0D26ECC4"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1</w:t>
      </w:r>
      <w:r w:rsidRPr="00E675E8">
        <w:rPr>
          <w:rFonts w:ascii="Arial Narrow" w:hAnsi="Arial Narrow"/>
          <w:sz w:val="18"/>
          <w:lang w:val="es-ES_tradnl"/>
        </w:rPr>
        <w:tab/>
        <w:t>Armenia:</w:t>
      </w:r>
      <w:r w:rsidR="002817AB" w:rsidRPr="00E675E8">
        <w:rPr>
          <w:rFonts w:ascii="Arial Narrow" w:hAnsi="Arial Narrow"/>
          <w:sz w:val="18"/>
          <w:lang w:val="es-ES_tradnl"/>
        </w:rPr>
        <w:t xml:space="preserve"> </w:t>
      </w:r>
      <w:r w:rsidRPr="00E675E8">
        <w:rPr>
          <w:rFonts w:ascii="Arial Narrow" w:hAnsi="Arial Narrow"/>
          <w:sz w:val="18"/>
          <w:lang w:val="es-ES_tradnl"/>
        </w:rPr>
        <w:t>nuevo miembro a partir del 2 de marzo de 2024.</w:t>
      </w:r>
    </w:p>
    <w:p w14:paraId="4BC7ACDD" w14:textId="77777777"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2</w:t>
      </w:r>
      <w:r w:rsidRPr="00E675E8">
        <w:rPr>
          <w:rFonts w:ascii="Arial Narrow" w:hAnsi="Arial Narrow"/>
          <w:sz w:val="18"/>
          <w:lang w:val="es-ES_tradnl"/>
        </w:rPr>
        <w:t xml:space="preserve"> </w:t>
      </w:r>
      <w:r w:rsidRPr="00E675E8">
        <w:rPr>
          <w:rFonts w:ascii="Arial Narrow" w:hAnsi="Arial Narrow"/>
          <w:sz w:val="18"/>
          <w:lang w:val="es-ES_tradnl"/>
        </w:rPr>
        <w:tab/>
        <w:t>Suecia redujo el número de unidades de contribución a partir de enero de 2026.</w:t>
      </w:r>
    </w:p>
    <w:p w14:paraId="463F82E3" w14:textId="77777777" w:rsidR="00B65EDC" w:rsidRPr="00E675E8" w:rsidRDefault="00B65EDC" w:rsidP="00B65EDC">
      <w:pPr>
        <w:ind w:left="284" w:hanging="284"/>
        <w:rPr>
          <w:rFonts w:ascii="Arial Narrow" w:hAnsi="Arial Narrow"/>
          <w:sz w:val="18"/>
          <w:szCs w:val="18"/>
          <w:lang w:val="es-ES_tradnl"/>
        </w:rPr>
      </w:pPr>
      <w:r w:rsidRPr="00E675E8">
        <w:rPr>
          <w:rFonts w:ascii="Arial Narrow" w:hAnsi="Arial Narrow"/>
          <w:sz w:val="18"/>
          <w:vertAlign w:val="superscript"/>
          <w:lang w:val="es-ES_tradnl"/>
        </w:rPr>
        <w:t>3</w:t>
      </w:r>
      <w:r w:rsidRPr="00E675E8">
        <w:rPr>
          <w:rFonts w:ascii="Arial Narrow" w:hAnsi="Arial Narrow"/>
          <w:sz w:val="18"/>
          <w:lang w:val="es-ES_tradnl"/>
        </w:rPr>
        <w:t xml:space="preserve"> </w:t>
      </w:r>
      <w:r w:rsidRPr="00E675E8">
        <w:rPr>
          <w:rFonts w:ascii="Arial Narrow" w:hAnsi="Arial Narrow"/>
          <w:sz w:val="18"/>
          <w:lang w:val="es-ES_tradnl"/>
        </w:rPr>
        <w:tab/>
        <w:t>Nigeria: nuevo miembro a partir del 27 de marzo de 2025.</w:t>
      </w:r>
    </w:p>
    <w:p w14:paraId="0D8D07D3" w14:textId="77777777" w:rsidR="00B65EDC" w:rsidRPr="00E675E8" w:rsidRDefault="00B65EDC" w:rsidP="00B65EDC">
      <w:pPr>
        <w:rPr>
          <w:lang w:val="es-ES_tradnl"/>
        </w:rPr>
      </w:pPr>
    </w:p>
    <w:p w14:paraId="7671D675" w14:textId="77777777" w:rsidR="00B65EDC" w:rsidRPr="00E675E8" w:rsidRDefault="00B65EDC" w:rsidP="00B65EDC">
      <w:pPr>
        <w:rPr>
          <w:lang w:val="es-ES_tradnl"/>
        </w:rPr>
      </w:pPr>
    </w:p>
    <w:p w14:paraId="083D382D" w14:textId="77777777" w:rsidR="00B65EDC" w:rsidRPr="00E675E8" w:rsidRDefault="00B65EDC" w:rsidP="00B65EDC">
      <w:pPr>
        <w:rPr>
          <w:lang w:val="es-ES_tradnl"/>
        </w:rPr>
      </w:pPr>
    </w:p>
    <w:p w14:paraId="2FA0B897" w14:textId="77777777" w:rsidR="00B65EDC" w:rsidRPr="00E675E8" w:rsidRDefault="00B65EDC" w:rsidP="00B65EDC">
      <w:pPr>
        <w:pStyle w:val="Endofdocument"/>
        <w:tabs>
          <w:tab w:val="decimal" w:pos="9071"/>
        </w:tabs>
        <w:ind w:right="-1"/>
        <w:jc w:val="right"/>
        <w:rPr>
          <w:lang w:val="es-ES_tradnl"/>
        </w:rPr>
      </w:pPr>
      <w:r w:rsidRPr="00E675E8">
        <w:rPr>
          <w:rFonts w:ascii="Arial" w:hAnsi="Arial"/>
          <w:snapToGrid w:val="0"/>
          <w:sz w:val="20"/>
          <w:lang w:val="es-ES_tradnl"/>
        </w:rPr>
        <w:t>[Sigue el Apéndice III]</w:t>
      </w:r>
    </w:p>
    <w:p w14:paraId="43D65312" w14:textId="77777777" w:rsidR="00B65EDC" w:rsidRPr="00E675E8" w:rsidRDefault="00B65EDC" w:rsidP="00B65EDC">
      <w:pPr>
        <w:rPr>
          <w:rFonts w:cs="Arial"/>
          <w:b/>
          <w:color w:val="0000FF"/>
          <w:lang w:val="es-ES_tradnl"/>
        </w:rPr>
        <w:sectPr w:rsidR="00B65EDC" w:rsidRPr="00E675E8" w:rsidSect="00B65EDC">
          <w:headerReference w:type="even" r:id="rId41"/>
          <w:headerReference w:type="default" r:id="rId42"/>
          <w:footerReference w:type="even" r:id="rId43"/>
          <w:footerReference w:type="default" r:id="rId44"/>
          <w:headerReference w:type="first" r:id="rId45"/>
          <w:footerReference w:type="first" r:id="rId46"/>
          <w:pgSz w:w="11907" w:h="16840" w:code="9"/>
          <w:pgMar w:top="510" w:right="1134" w:bottom="1134" w:left="1134" w:header="510" w:footer="624" w:gutter="0"/>
          <w:cols w:space="720"/>
          <w:docGrid w:linePitch="272"/>
        </w:sectPr>
      </w:pPr>
      <w:r w:rsidRPr="00E675E8">
        <w:rPr>
          <w:b/>
          <w:color w:val="0000FF"/>
          <w:lang w:val="es-ES_tradnl"/>
        </w:rPr>
        <w:t xml:space="preserve"> </w:t>
      </w:r>
    </w:p>
    <w:p w14:paraId="103DA7B1" w14:textId="77777777" w:rsidR="00B65EDC" w:rsidRPr="00E675E8" w:rsidRDefault="00B65EDC" w:rsidP="004448C7">
      <w:pPr>
        <w:pStyle w:val="Heading9"/>
        <w:rPr>
          <w:lang w:val="es-ES_tradnl"/>
        </w:rPr>
      </w:pPr>
      <w:bookmarkStart w:id="524" w:name="_Toc209777783"/>
      <w:r w:rsidRPr="00E675E8">
        <w:rPr>
          <w:lang w:val="es-ES_tradnl"/>
        </w:rPr>
        <w:lastRenderedPageBreak/>
        <w:t>Apéndice III</w:t>
      </w:r>
      <w:r w:rsidRPr="00E675E8">
        <w:rPr>
          <w:lang w:val="es-ES_tradnl"/>
        </w:rPr>
        <w:tab/>
        <w:t>Definición de fuentes de ingresos y categorías de gastos</w:t>
      </w:r>
      <w:bookmarkEnd w:id="524"/>
    </w:p>
    <w:p w14:paraId="2856F616" w14:textId="77777777" w:rsidR="00B65EDC" w:rsidRPr="00E675E8" w:rsidRDefault="00B65EDC" w:rsidP="00B65EDC">
      <w:pPr>
        <w:rPr>
          <w:lang w:val="es-ES_tradnl"/>
        </w:rPr>
      </w:pPr>
    </w:p>
    <w:p w14:paraId="2B2B7A18" w14:textId="77777777" w:rsidR="00B65EDC" w:rsidRPr="00E675E8" w:rsidRDefault="00B65EDC" w:rsidP="00B65EDC">
      <w:pPr>
        <w:rPr>
          <w:color w:val="26724C" w:themeColor="accent1" w:themeShade="BF"/>
          <w:sz w:val="28"/>
          <w:lang w:val="es-ES_tradnl"/>
        </w:rPr>
      </w:pPr>
      <w:r w:rsidRPr="00E675E8">
        <w:rPr>
          <w:color w:val="26724C" w:themeColor="accent1" w:themeShade="BF"/>
          <w:sz w:val="28"/>
          <w:lang w:val="es-ES_tradnl"/>
        </w:rPr>
        <w:t>Fuentes de ingresos</w:t>
      </w:r>
    </w:p>
    <w:p w14:paraId="3DF7A4DD" w14:textId="77777777" w:rsidR="00B65EDC" w:rsidRPr="00E675E8" w:rsidRDefault="00B65EDC" w:rsidP="00B65EDC">
      <w:pPr>
        <w:rPr>
          <w:lang w:val="es-ES_tradnl"/>
        </w:rPr>
      </w:pPr>
    </w:p>
    <w:p w14:paraId="607C8A53" w14:textId="77777777" w:rsidR="00B65EDC" w:rsidRPr="00E675E8" w:rsidRDefault="00B65EDC" w:rsidP="00B65EDC">
      <w:pPr>
        <w:rPr>
          <w:lang w:val="es-ES_tradnl"/>
        </w:rPr>
      </w:pPr>
      <w:r w:rsidRPr="00E675E8">
        <w:rPr>
          <w:lang w:val="es-ES_tradnl"/>
        </w:rPr>
        <w:t>Contribuciones: contribuciones de los miembros de la Unión en virtud del Convenio de la UPOV (artículo 29 del Acta de 1991 y artículo 26 del Acta de 1978).</w:t>
      </w:r>
    </w:p>
    <w:p w14:paraId="24D37C67" w14:textId="77777777" w:rsidR="00B65EDC" w:rsidRPr="00E675E8" w:rsidRDefault="00B65EDC" w:rsidP="00B65EDC">
      <w:pPr>
        <w:rPr>
          <w:lang w:val="es-ES_tradnl"/>
        </w:rPr>
      </w:pPr>
    </w:p>
    <w:p w14:paraId="6058449F" w14:textId="5EE0789C" w:rsidR="00B65EDC" w:rsidRPr="00E675E8" w:rsidRDefault="00B65EDC" w:rsidP="00B65EDC">
      <w:pPr>
        <w:keepNext/>
        <w:spacing w:after="40"/>
        <w:rPr>
          <w:lang w:val="es-ES_tradnl"/>
        </w:rPr>
      </w:pPr>
      <w:r w:rsidRPr="00E675E8">
        <w:rPr>
          <w:lang w:val="es-ES_tradnl"/>
        </w:rPr>
        <w:t>Tasas por herramientas y servicios informáticos de la UPOV:</w:t>
      </w:r>
      <w:r w:rsidR="002817AB" w:rsidRPr="00E675E8">
        <w:rPr>
          <w:lang w:val="es-ES_tradnl"/>
        </w:rPr>
        <w:t xml:space="preserve"> </w:t>
      </w:r>
      <w:r w:rsidRPr="00E675E8">
        <w:rPr>
          <w:lang w:val="es-ES_tradnl"/>
        </w:rPr>
        <w:t>tasas de las bases de datos, herramientas y servicios informáticos de la UPOV.</w:t>
      </w:r>
    </w:p>
    <w:p w14:paraId="354D735C" w14:textId="77777777" w:rsidR="00B65EDC" w:rsidRPr="00E675E8" w:rsidRDefault="00B65EDC" w:rsidP="00B65EDC">
      <w:pPr>
        <w:rPr>
          <w:lang w:val="es-ES_tradnl"/>
        </w:rPr>
      </w:pPr>
    </w:p>
    <w:p w14:paraId="774F63F7" w14:textId="77777777" w:rsidR="00B65EDC" w:rsidRPr="00E675E8" w:rsidRDefault="00B65EDC" w:rsidP="00B65EDC">
      <w:pPr>
        <w:keepNext/>
        <w:spacing w:after="40"/>
        <w:rPr>
          <w:lang w:val="es-ES_tradnl"/>
        </w:rPr>
      </w:pPr>
      <w:r w:rsidRPr="00E675E8">
        <w:rPr>
          <w:lang w:val="es-ES_tradnl"/>
        </w:rPr>
        <w:t>Ingresos diversos: ajustes contables (créditos) respecto de años anteriores, ajustes por fluctuación cambiaria, ingresos destinados a sufragar los gastos relativos a actividades extrapresupuestarias ejecutadas por la UPOV y financiadas mediante fondos fiduciarios, y tasas de los programas de enseñanza a distancia.</w:t>
      </w:r>
    </w:p>
    <w:p w14:paraId="3BBAE8E0" w14:textId="77777777" w:rsidR="00B65EDC" w:rsidRPr="00E675E8" w:rsidRDefault="00B65EDC" w:rsidP="00B65EDC">
      <w:pPr>
        <w:rPr>
          <w:sz w:val="24"/>
          <w:lang w:val="es-ES_tradnl"/>
        </w:rPr>
      </w:pPr>
    </w:p>
    <w:p w14:paraId="0C84B3D1" w14:textId="77777777" w:rsidR="00B65EDC" w:rsidRPr="00E675E8" w:rsidRDefault="00B65EDC" w:rsidP="00B65EDC">
      <w:pPr>
        <w:rPr>
          <w:sz w:val="24"/>
          <w:lang w:val="es-ES_tradnl"/>
        </w:rPr>
      </w:pPr>
    </w:p>
    <w:p w14:paraId="59F3159E" w14:textId="77777777" w:rsidR="00B65EDC" w:rsidRPr="00E675E8" w:rsidRDefault="00B65EDC" w:rsidP="00B65EDC">
      <w:pPr>
        <w:rPr>
          <w:color w:val="26724C" w:themeColor="accent1" w:themeShade="BF"/>
          <w:sz w:val="28"/>
          <w:szCs w:val="24"/>
          <w:lang w:val="es-ES_tradnl"/>
        </w:rPr>
      </w:pPr>
      <w:r w:rsidRPr="00E675E8">
        <w:rPr>
          <w:color w:val="26724C" w:themeColor="accent1" w:themeShade="BF"/>
          <w:sz w:val="28"/>
          <w:lang w:val="es-ES_tradnl"/>
        </w:rPr>
        <w:t>Categorías de gasto</w:t>
      </w:r>
    </w:p>
    <w:p w14:paraId="5D912D2E" w14:textId="77777777" w:rsidR="00B65EDC" w:rsidRPr="00E675E8" w:rsidRDefault="00B65EDC" w:rsidP="00B65EDC">
      <w:pPr>
        <w:rPr>
          <w:lang w:val="es-ES_tradnl"/>
        </w:rPr>
      </w:pPr>
    </w:p>
    <w:p w14:paraId="257F354C" w14:textId="77777777" w:rsidR="00B65EDC" w:rsidRPr="00E675E8" w:rsidRDefault="00B65EDC" w:rsidP="00B65EDC">
      <w:pPr>
        <w:rPr>
          <w:b/>
          <w:color w:val="26724C" w:themeColor="accent1" w:themeShade="BF"/>
          <w:lang w:val="es-ES_tradnl"/>
        </w:rPr>
      </w:pPr>
      <w:r w:rsidRPr="00E675E8">
        <w:rPr>
          <w:b/>
          <w:color w:val="26724C" w:themeColor="accent1" w:themeShade="BF"/>
          <w:lang w:val="es-ES_tradnl"/>
        </w:rPr>
        <w:t>Recursos de personal</w:t>
      </w:r>
    </w:p>
    <w:p w14:paraId="1C2C7A8E" w14:textId="77777777" w:rsidR="00B65EDC" w:rsidRPr="00E675E8" w:rsidRDefault="00B65EDC" w:rsidP="00B65EDC">
      <w:pPr>
        <w:rPr>
          <w:lang w:val="es-ES_tradnl"/>
        </w:rPr>
      </w:pPr>
    </w:p>
    <w:p w14:paraId="71665A2C" w14:textId="77777777" w:rsidR="00B65EDC" w:rsidRPr="00E675E8" w:rsidRDefault="00B65EDC" w:rsidP="00B65EDC">
      <w:pPr>
        <w:keepNext/>
        <w:spacing w:after="40"/>
        <w:rPr>
          <w:lang w:val="es-ES_tradnl"/>
        </w:rPr>
      </w:pPr>
      <w:r w:rsidRPr="00E675E8">
        <w:rPr>
          <w:b/>
          <w:lang w:val="es-ES_tradnl"/>
        </w:rPr>
        <w:t>Puestos:</w:t>
      </w:r>
      <w:r w:rsidRPr="00E675E8">
        <w:rPr>
          <w:lang w:val="es-ES_tradnl"/>
        </w:rPr>
        <w:t xml:space="preserve"> remuneración recibida por los miembros del personal, en particular, sueldos, ajustes por lugar de destino, prestaciones por personas a cargo, primas de idiomas y horas extraordinarias, subsidios de no residentes, primas por asignación y subsidios por gastos de representación.</w:t>
      </w:r>
    </w:p>
    <w:p w14:paraId="7E9E39D9" w14:textId="77777777" w:rsidR="00B65EDC" w:rsidRPr="00E675E8" w:rsidRDefault="00B65EDC" w:rsidP="00B65EDC">
      <w:pPr>
        <w:rPr>
          <w:color w:val="7F7F7F" w:themeColor="text1" w:themeTint="80"/>
          <w:lang w:val="es-ES_tradnl"/>
        </w:rPr>
      </w:pPr>
    </w:p>
    <w:p w14:paraId="171E4161" w14:textId="77777777" w:rsidR="00B65EDC" w:rsidRPr="00E675E8" w:rsidRDefault="00B65EDC" w:rsidP="00B65EDC">
      <w:pPr>
        <w:rPr>
          <w:lang w:val="es-ES_tradnl"/>
        </w:rPr>
      </w:pPr>
      <w:r w:rsidRPr="00E675E8">
        <w:rPr>
          <w:b/>
          <w:lang w:val="es-ES_tradnl"/>
        </w:rPr>
        <w:t>Personal temporal:</w:t>
      </w:r>
      <w:r w:rsidRPr="00E675E8">
        <w:rPr>
          <w:lang w:val="es-ES_tradnl"/>
        </w:rPr>
        <w:t xml:space="preserve"> remuneración y subsidios pagados a profesionales o empleados de servicios generales con contratos de corta duración.</w:t>
      </w:r>
    </w:p>
    <w:p w14:paraId="7EBEF057" w14:textId="77777777" w:rsidR="00B65EDC" w:rsidRPr="00E675E8" w:rsidRDefault="00B65EDC" w:rsidP="00B65EDC">
      <w:pPr>
        <w:rPr>
          <w:lang w:val="es-ES_tradnl"/>
        </w:rPr>
      </w:pPr>
    </w:p>
    <w:p w14:paraId="7E172C18" w14:textId="77777777" w:rsidR="00B65EDC" w:rsidRPr="00E675E8" w:rsidRDefault="00B65EDC" w:rsidP="00B65EDC">
      <w:pPr>
        <w:rPr>
          <w:b/>
          <w:color w:val="26724C" w:themeColor="accent1" w:themeShade="BF"/>
          <w:lang w:val="es-ES_tradnl"/>
        </w:rPr>
      </w:pPr>
      <w:r w:rsidRPr="00E675E8">
        <w:rPr>
          <w:b/>
          <w:color w:val="26724C" w:themeColor="accent1" w:themeShade="BF"/>
          <w:lang w:val="es-ES_tradnl"/>
        </w:rPr>
        <w:t>Recursos no relativos a personal</w:t>
      </w:r>
    </w:p>
    <w:p w14:paraId="5A038389" w14:textId="77777777" w:rsidR="00B65EDC" w:rsidRPr="00E675E8" w:rsidRDefault="00B65EDC" w:rsidP="00B65EDC">
      <w:pPr>
        <w:rPr>
          <w:b/>
          <w:color w:val="26724C" w:themeColor="accent1" w:themeShade="BF"/>
          <w:lang w:val="es-ES_tradnl"/>
        </w:rPr>
      </w:pPr>
    </w:p>
    <w:p w14:paraId="53DA117C"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Pasantías y becas</w:t>
      </w:r>
    </w:p>
    <w:p w14:paraId="6FDD9F68" w14:textId="77777777" w:rsidR="00B65EDC" w:rsidRPr="00E675E8" w:rsidRDefault="00B65EDC" w:rsidP="00B65EDC">
      <w:pPr>
        <w:rPr>
          <w:rFonts w:cs="Arial"/>
          <w:lang w:val="es-ES_tradnl"/>
        </w:rPr>
      </w:pPr>
    </w:p>
    <w:p w14:paraId="24393F0F" w14:textId="77777777" w:rsidR="00B65EDC" w:rsidRPr="00E675E8" w:rsidRDefault="00B65EDC" w:rsidP="00B65EDC">
      <w:pPr>
        <w:rPr>
          <w:rFonts w:cs="Arial"/>
          <w:lang w:val="es-ES_tradnl"/>
        </w:rPr>
      </w:pPr>
      <w:r w:rsidRPr="00E675E8">
        <w:rPr>
          <w:b/>
          <w:color w:val="000000"/>
          <w:lang w:val="es-ES_tradnl"/>
        </w:rPr>
        <w:t>Pasantías:</w:t>
      </w:r>
      <w:r w:rsidRPr="00E675E8">
        <w:rPr>
          <w:lang w:val="es-ES_tradnl"/>
        </w:rPr>
        <w:t xml:space="preserve"> remuneración y subsidios pagados a los pasantes. </w:t>
      </w:r>
    </w:p>
    <w:p w14:paraId="4334FA0A" w14:textId="77777777" w:rsidR="00B65EDC" w:rsidRPr="00E675E8" w:rsidRDefault="00B65EDC" w:rsidP="00B65EDC">
      <w:pPr>
        <w:rPr>
          <w:lang w:val="es-ES_tradnl"/>
        </w:rPr>
      </w:pPr>
    </w:p>
    <w:p w14:paraId="6269386F" w14:textId="77777777" w:rsidR="00B65EDC" w:rsidRPr="00E675E8" w:rsidRDefault="00B65EDC" w:rsidP="00B65EDC">
      <w:pPr>
        <w:rPr>
          <w:rFonts w:cs="Arial"/>
          <w:lang w:val="es-ES_tradnl"/>
        </w:rPr>
      </w:pPr>
      <w:r w:rsidRPr="00E675E8">
        <w:rPr>
          <w:b/>
          <w:color w:val="000000"/>
          <w:lang w:val="es-ES_tradnl"/>
        </w:rPr>
        <w:t>Becas:</w:t>
      </w:r>
      <w:r w:rsidRPr="00E675E8">
        <w:rPr>
          <w:lang w:val="es-ES_tradnl"/>
        </w:rPr>
        <w:t xml:space="preserve"> gastos relacionados con una actividad de formación para la que se concede una subvención económica a personas cualificadas a fin de que cumplan determinados objetivos de aprendizaje. </w:t>
      </w:r>
    </w:p>
    <w:p w14:paraId="79A6DC41" w14:textId="77777777" w:rsidR="00B65EDC" w:rsidRPr="00E675E8" w:rsidRDefault="00B65EDC" w:rsidP="00B65EDC">
      <w:pPr>
        <w:rPr>
          <w:u w:val="single"/>
          <w:lang w:val="es-ES_tradnl"/>
        </w:rPr>
      </w:pPr>
    </w:p>
    <w:p w14:paraId="115C92F7"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 xml:space="preserve">Viajes, formación y subvenciones </w:t>
      </w:r>
    </w:p>
    <w:p w14:paraId="277ED032" w14:textId="77777777" w:rsidR="00B65EDC" w:rsidRPr="00E675E8" w:rsidRDefault="00B65EDC" w:rsidP="00B65EDC">
      <w:pPr>
        <w:keepNext/>
        <w:rPr>
          <w:u w:val="single"/>
          <w:lang w:val="es-ES_tradnl"/>
        </w:rPr>
      </w:pPr>
    </w:p>
    <w:p w14:paraId="4705C60F" w14:textId="77777777" w:rsidR="00B65EDC" w:rsidRPr="00E675E8" w:rsidRDefault="00B65EDC" w:rsidP="00B65EDC">
      <w:pPr>
        <w:rPr>
          <w:rFonts w:cs="Arial"/>
          <w:color w:val="000000"/>
          <w:lang w:val="es-ES_tradnl"/>
        </w:rPr>
      </w:pPr>
      <w:r w:rsidRPr="00E675E8">
        <w:rPr>
          <w:b/>
          <w:lang w:val="es-ES_tradnl"/>
        </w:rPr>
        <w:t>Misiones del personal:</w:t>
      </w:r>
      <w:r w:rsidRPr="00E675E8">
        <w:rPr>
          <w:lang w:val="es-ES_tradnl"/>
        </w:rPr>
        <w:t xml:space="preserve"> gastos de viaje y dietas para el personal que efectúa viajes oficiales.</w:t>
      </w:r>
    </w:p>
    <w:p w14:paraId="438C1A9F" w14:textId="77777777" w:rsidR="00B65EDC" w:rsidRPr="00E675E8" w:rsidRDefault="00B65EDC" w:rsidP="00B65EDC">
      <w:pPr>
        <w:rPr>
          <w:lang w:val="es-ES_tradnl"/>
        </w:rPr>
      </w:pPr>
    </w:p>
    <w:p w14:paraId="70E61230" w14:textId="7D54438C" w:rsidR="00B65EDC" w:rsidRPr="00E675E8" w:rsidRDefault="00B65EDC" w:rsidP="00B65EDC">
      <w:pPr>
        <w:rPr>
          <w:rFonts w:cs="Arial"/>
          <w:color w:val="000000"/>
          <w:lang w:val="es-ES_tradnl"/>
        </w:rPr>
      </w:pPr>
      <w:r w:rsidRPr="00E675E8">
        <w:rPr>
          <w:b/>
          <w:color w:val="000000"/>
          <w:lang w:val="es-ES_tradnl"/>
        </w:rPr>
        <w:t>Viajes de terceros (incluidos los gastos de viaje, formación y otras subvenciones relacionadas con los viajes):</w:t>
      </w:r>
      <w:r w:rsidRPr="00E675E8">
        <w:rPr>
          <w:color w:val="000000"/>
          <w:lang w:val="es-ES_tradnl"/>
        </w:rPr>
        <w:t xml:space="preserve"> gastos de viaje y dietas, gastos de formación y otras tasas para todos los terceros, incluidos los gastos de viaje de los funcionarios gubernamentales, participantes y ponentes que asistan a reuniones, seminarios y talleres patrocinados por la UPOV.</w:t>
      </w:r>
    </w:p>
    <w:p w14:paraId="48F0F52F" w14:textId="77777777" w:rsidR="00B65EDC" w:rsidRPr="00E675E8" w:rsidRDefault="00B65EDC" w:rsidP="00B65EDC">
      <w:pPr>
        <w:rPr>
          <w:lang w:val="es-ES_tradnl"/>
        </w:rPr>
      </w:pPr>
    </w:p>
    <w:p w14:paraId="5EFAE443" w14:textId="77777777" w:rsidR="00B65EDC" w:rsidRPr="00E675E8" w:rsidRDefault="00B65EDC" w:rsidP="00B65EDC">
      <w:pPr>
        <w:rPr>
          <w:rFonts w:cs="Arial"/>
          <w:bCs/>
          <w:i/>
          <w:color w:val="26724C" w:themeColor="accent1" w:themeShade="BF"/>
          <w:lang w:val="es-ES_tradnl"/>
        </w:rPr>
      </w:pPr>
      <w:r w:rsidRPr="00E675E8">
        <w:rPr>
          <w:i/>
          <w:color w:val="26724C" w:themeColor="accent1" w:themeShade="BF"/>
          <w:lang w:val="es-ES_tradnl"/>
        </w:rPr>
        <w:t>Servicios contractuales</w:t>
      </w:r>
    </w:p>
    <w:p w14:paraId="5A13D686" w14:textId="77777777" w:rsidR="00B65EDC" w:rsidRPr="00E675E8" w:rsidRDefault="00B65EDC" w:rsidP="00B65EDC">
      <w:pPr>
        <w:keepNext/>
        <w:rPr>
          <w:u w:val="single"/>
          <w:lang w:val="es-ES_tradnl"/>
        </w:rPr>
      </w:pPr>
    </w:p>
    <w:p w14:paraId="4619BA01" w14:textId="66880C74" w:rsidR="00B65EDC" w:rsidRPr="00E675E8" w:rsidRDefault="00B65EDC" w:rsidP="00B65EDC">
      <w:pPr>
        <w:keepNext/>
        <w:keepLines/>
        <w:rPr>
          <w:color w:val="000000"/>
          <w:szCs w:val="22"/>
          <w:lang w:val="es-ES_tradnl"/>
        </w:rPr>
      </w:pPr>
      <w:r w:rsidRPr="00E675E8">
        <w:rPr>
          <w:b/>
          <w:color w:val="000000"/>
          <w:lang w:val="es-ES_tradnl"/>
        </w:rPr>
        <w:t>Conferencias:</w:t>
      </w:r>
      <w:r w:rsidRPr="00E675E8">
        <w:rPr>
          <w:color w:val="000000"/>
          <w:lang w:val="es-ES_tradnl"/>
        </w:rPr>
        <w:t xml:space="preserve"> remuneración, gastos de viaje y dietas de los intérpretes, alquiler de salas de conferencias y equipo de interpretación, refrigerios y recepciones, y el costo de cualquier otro servicio relacionado directamente con la organización de una conferencia.</w:t>
      </w:r>
    </w:p>
    <w:p w14:paraId="6401A4B5" w14:textId="77777777" w:rsidR="00B65EDC" w:rsidRPr="00E675E8" w:rsidRDefault="00B65EDC" w:rsidP="00B65EDC">
      <w:pPr>
        <w:rPr>
          <w:lang w:val="es-ES_tradnl"/>
        </w:rPr>
      </w:pPr>
    </w:p>
    <w:p w14:paraId="2E18A69F" w14:textId="1E066EAF" w:rsidR="00B65EDC" w:rsidRPr="00E675E8" w:rsidRDefault="00B65EDC" w:rsidP="00B65EDC">
      <w:pPr>
        <w:rPr>
          <w:color w:val="000000"/>
          <w:szCs w:val="22"/>
          <w:lang w:val="es-ES_tradnl"/>
        </w:rPr>
      </w:pPr>
      <w:r w:rsidRPr="00E675E8">
        <w:rPr>
          <w:b/>
          <w:color w:val="000000"/>
          <w:lang w:val="es-ES_tradnl"/>
        </w:rPr>
        <w:t>Edición:</w:t>
      </w:r>
      <w:r w:rsidRPr="00E675E8">
        <w:rPr>
          <w:color w:val="000000"/>
          <w:lang w:val="es-ES_tradnl"/>
        </w:rPr>
        <w:t xml:space="preserve"> externalización de la impresión (folletos, tratados, colecciones de textos, manuales, guías y materiales), y de la producción de vídeos y otras formas de edición electrónica. </w:t>
      </w:r>
    </w:p>
    <w:p w14:paraId="02BCE6B3" w14:textId="77777777" w:rsidR="00B65EDC" w:rsidRPr="00E675E8" w:rsidRDefault="00B65EDC" w:rsidP="00B65EDC">
      <w:pPr>
        <w:rPr>
          <w:lang w:val="es-ES_tradnl"/>
        </w:rPr>
      </w:pPr>
    </w:p>
    <w:p w14:paraId="23EB18B3" w14:textId="4BAF16AB" w:rsidR="00B65EDC" w:rsidRPr="00E675E8" w:rsidRDefault="00B65EDC" w:rsidP="00B65EDC">
      <w:pPr>
        <w:keepNext/>
        <w:rPr>
          <w:color w:val="000000"/>
          <w:szCs w:val="22"/>
          <w:lang w:val="es-ES_tradnl"/>
        </w:rPr>
      </w:pPr>
      <w:r w:rsidRPr="00E675E8">
        <w:rPr>
          <w:b/>
          <w:color w:val="000000"/>
          <w:lang w:val="es-ES_tradnl"/>
        </w:rPr>
        <w:t>Servicios contractuales individuales:</w:t>
      </w:r>
      <w:r w:rsidRPr="00E675E8">
        <w:rPr>
          <w:color w:val="000000"/>
          <w:lang w:val="es-ES_tradnl"/>
        </w:rPr>
        <w:t xml:space="preserve"> remuneración pagada por servicios contractuales individuales.</w:t>
      </w:r>
    </w:p>
    <w:p w14:paraId="0D1F634C" w14:textId="77777777" w:rsidR="00B65EDC" w:rsidRPr="00E675E8" w:rsidRDefault="00B65EDC" w:rsidP="00B65EDC">
      <w:pPr>
        <w:keepNext/>
        <w:rPr>
          <w:lang w:val="es-ES_tradnl"/>
        </w:rPr>
      </w:pPr>
    </w:p>
    <w:p w14:paraId="0831240B" w14:textId="085A35EC" w:rsidR="00B65EDC" w:rsidRPr="00E675E8" w:rsidRDefault="00B65EDC" w:rsidP="00B65EDC">
      <w:pPr>
        <w:rPr>
          <w:color w:val="000000"/>
          <w:szCs w:val="22"/>
          <w:lang w:val="es-ES_tradnl"/>
        </w:rPr>
      </w:pPr>
      <w:r w:rsidRPr="00E675E8">
        <w:rPr>
          <w:b/>
          <w:color w:val="000000"/>
          <w:lang w:val="es-ES_tradnl"/>
        </w:rPr>
        <w:t>Otros servicios contractuales:</w:t>
      </w:r>
      <w:r w:rsidRPr="00E675E8">
        <w:rPr>
          <w:color w:val="000000"/>
          <w:lang w:val="es-ES_tradnl"/>
        </w:rPr>
        <w:t xml:space="preserve"> todos los demás servicios contractuales con proveedores de servicios comerciales y no comerciales, incluidos el alojamiento de infraestructura informática (local y en la nube) y los programas informáticos como servicio (SaaS). </w:t>
      </w:r>
    </w:p>
    <w:p w14:paraId="60406DC5" w14:textId="77777777" w:rsidR="00B65EDC" w:rsidRPr="00E675E8" w:rsidRDefault="00B65EDC" w:rsidP="00B65EDC">
      <w:pPr>
        <w:rPr>
          <w:color w:val="000000"/>
          <w:szCs w:val="22"/>
          <w:lang w:val="es-ES_tradnl"/>
        </w:rPr>
      </w:pPr>
    </w:p>
    <w:p w14:paraId="22C00C1D" w14:textId="77777777" w:rsidR="00B65EDC" w:rsidRPr="00E675E8" w:rsidRDefault="00B65EDC" w:rsidP="00B65EDC">
      <w:pPr>
        <w:keepNext/>
        <w:rPr>
          <w:rFonts w:cs="Arial"/>
          <w:bCs/>
          <w:i/>
          <w:color w:val="26724C" w:themeColor="accent1" w:themeShade="BF"/>
          <w:lang w:val="es-ES_tradnl"/>
        </w:rPr>
      </w:pPr>
      <w:r w:rsidRPr="00E675E8">
        <w:rPr>
          <w:i/>
          <w:color w:val="26724C" w:themeColor="accent1" w:themeShade="BF"/>
          <w:lang w:val="es-ES_tradnl"/>
        </w:rPr>
        <w:lastRenderedPageBreak/>
        <w:t>Gastos de explotación</w:t>
      </w:r>
    </w:p>
    <w:p w14:paraId="3C9D7D71" w14:textId="77777777" w:rsidR="00B65EDC" w:rsidRPr="00E675E8" w:rsidRDefault="00B65EDC" w:rsidP="00B65EDC">
      <w:pPr>
        <w:keepNext/>
        <w:rPr>
          <w:b/>
          <w:u w:val="single"/>
          <w:lang w:val="es-ES_tradnl"/>
        </w:rPr>
      </w:pPr>
    </w:p>
    <w:p w14:paraId="673F84FA" w14:textId="77777777" w:rsidR="009B69EB" w:rsidRPr="00E675E8" w:rsidRDefault="009B69EB" w:rsidP="009B69EB">
      <w:pPr>
        <w:rPr>
          <w:lang w:val="es-ES_tradnl"/>
        </w:rPr>
      </w:pPr>
      <w:r w:rsidRPr="00E675E8">
        <w:rPr>
          <w:b/>
          <w:lang w:val="es-ES_tradnl"/>
        </w:rPr>
        <w:t>Locales y mantenimiento:</w:t>
      </w:r>
      <w:r w:rsidRPr="00E675E8">
        <w:rPr>
          <w:lang w:val="es-ES_tradnl"/>
        </w:rPr>
        <w:t xml:space="preserve"> adquisición, alquiler, mejora y mantenimiento de espacios de oficina, servicios públicos, alquiler o mantenimiento de equipos informáticos y licencias.</w:t>
      </w:r>
    </w:p>
    <w:p w14:paraId="5DE8447F" w14:textId="77777777" w:rsidR="009B69EB" w:rsidRPr="00E675E8" w:rsidRDefault="009B69EB" w:rsidP="009B69EB">
      <w:pPr>
        <w:rPr>
          <w:b/>
          <w:lang w:val="es-ES_tradnl"/>
        </w:rPr>
      </w:pPr>
    </w:p>
    <w:p w14:paraId="0ADD548C" w14:textId="5ABB48E4" w:rsidR="009B69EB" w:rsidRPr="00E675E8" w:rsidRDefault="009B69EB" w:rsidP="009B69EB">
      <w:pPr>
        <w:rPr>
          <w:lang w:val="es-ES_tradnl"/>
        </w:rPr>
      </w:pPr>
      <w:r w:rsidRPr="00E675E8">
        <w:rPr>
          <w:b/>
          <w:lang w:val="es-ES_tradnl"/>
        </w:rPr>
        <w:t>Comunicación:</w:t>
      </w:r>
      <w:r w:rsidRPr="00E675E8">
        <w:rPr>
          <w:lang w:val="es-ES_tradnl"/>
        </w:rPr>
        <w:t xml:space="preserve"> gastos de comunicación como teléfono, Internet, correo y franqueo. </w:t>
      </w:r>
    </w:p>
    <w:p w14:paraId="242A08F0" w14:textId="77777777" w:rsidR="009B69EB" w:rsidRPr="00E675E8" w:rsidRDefault="009B69EB" w:rsidP="009B69EB">
      <w:pPr>
        <w:rPr>
          <w:b/>
          <w:bCs/>
          <w:lang w:val="es-ES_tradnl"/>
        </w:rPr>
      </w:pPr>
    </w:p>
    <w:p w14:paraId="68013DA6" w14:textId="7BD48CCA" w:rsidR="009B69EB" w:rsidRPr="00E675E8" w:rsidRDefault="009B69EB" w:rsidP="009B69EB">
      <w:pPr>
        <w:rPr>
          <w:lang w:val="es-ES_tradnl"/>
        </w:rPr>
      </w:pPr>
      <w:r w:rsidRPr="00E675E8">
        <w:rPr>
          <w:b/>
          <w:lang w:val="es-ES_tradnl"/>
        </w:rPr>
        <w:t>Representación y otros gastos de explotación:</w:t>
      </w:r>
      <w:r w:rsidRPr="00E675E8">
        <w:rPr>
          <w:lang w:val="es-ES_tradnl"/>
        </w:rPr>
        <w:t xml:space="preserve"> atenciones oficiales, contribución a la asociación del personal de la OMPI y otros gastos de explotación.</w:t>
      </w:r>
    </w:p>
    <w:p w14:paraId="32E2F355" w14:textId="77777777" w:rsidR="009B69EB" w:rsidRPr="00E675E8" w:rsidRDefault="009B69EB" w:rsidP="009B69EB">
      <w:pPr>
        <w:rPr>
          <w:b/>
          <w:lang w:val="es-ES_tradnl"/>
        </w:rPr>
      </w:pPr>
    </w:p>
    <w:p w14:paraId="12A6EB64" w14:textId="49E6B60D" w:rsidR="009B69EB" w:rsidRPr="00E675E8" w:rsidRDefault="009B69EB" w:rsidP="009B69EB">
      <w:pPr>
        <w:rPr>
          <w:lang w:val="es-ES_tradnl"/>
        </w:rPr>
      </w:pPr>
      <w:r w:rsidRPr="00E675E8">
        <w:rPr>
          <w:b/>
          <w:lang w:val="es-ES_tradnl"/>
        </w:rPr>
        <w:t>Servicios conjuntos de las Naciones Unidas:</w:t>
      </w:r>
      <w:r w:rsidRPr="00E675E8">
        <w:rPr>
          <w:lang w:val="es-ES_tradnl"/>
        </w:rPr>
        <w:t xml:space="preserve"> asistencia médica, contribuciones a actividades administrativas conjuntas dentro del sistema de las Naciones Unidas, actividades de las Naciones Unidas con costos compartidos, Tribunal Administrativo.</w:t>
      </w:r>
    </w:p>
    <w:p w14:paraId="00E227C7" w14:textId="157E0A41" w:rsidR="00B65EDC" w:rsidRPr="00E675E8" w:rsidRDefault="00B65EDC" w:rsidP="00B65EDC">
      <w:pPr>
        <w:rPr>
          <w:b/>
          <w:lang w:val="es-ES_tradnl"/>
        </w:rPr>
      </w:pPr>
      <w:r w:rsidRPr="00E675E8">
        <w:rPr>
          <w:color w:val="000000"/>
          <w:lang w:val="es-ES_tradnl"/>
        </w:rPr>
        <w:t>También se incluyen todos los gastos comunes relacionados con actividades conjuntas con la OMPI o con servicios efectivamente prestados por esta última en virtud del acuerdo entre la OMPI y la UPOV.</w:t>
      </w:r>
    </w:p>
    <w:p w14:paraId="7F1CBAF5" w14:textId="77777777" w:rsidR="00B65EDC" w:rsidRPr="00E675E8" w:rsidRDefault="00B65EDC" w:rsidP="00B65EDC">
      <w:pPr>
        <w:rPr>
          <w:b/>
          <w:lang w:val="es-ES_tradnl"/>
        </w:rPr>
      </w:pPr>
    </w:p>
    <w:p w14:paraId="0C3D35A8" w14:textId="77777777" w:rsidR="00B65EDC" w:rsidRPr="00E675E8" w:rsidRDefault="00B65EDC" w:rsidP="00B65EDC">
      <w:pPr>
        <w:keepNext/>
        <w:rPr>
          <w:rFonts w:cs="Arial"/>
          <w:bCs/>
          <w:i/>
          <w:color w:val="26724C" w:themeColor="accent1" w:themeShade="BF"/>
          <w:lang w:val="es-ES_tradnl"/>
        </w:rPr>
      </w:pPr>
      <w:r w:rsidRPr="00E675E8">
        <w:rPr>
          <w:i/>
          <w:color w:val="26724C" w:themeColor="accent1" w:themeShade="BF"/>
          <w:lang w:val="es-ES_tradnl"/>
        </w:rPr>
        <w:t>Equipo y suministros</w:t>
      </w:r>
    </w:p>
    <w:p w14:paraId="23401539" w14:textId="77777777" w:rsidR="00B65EDC" w:rsidRPr="00E675E8" w:rsidRDefault="00B65EDC" w:rsidP="00B65EDC">
      <w:pPr>
        <w:rPr>
          <w:rFonts w:cs="Arial"/>
          <w:lang w:val="es-ES_tradnl"/>
        </w:rPr>
      </w:pPr>
    </w:p>
    <w:p w14:paraId="6C7ADF1B" w14:textId="77777777" w:rsidR="00B65EDC" w:rsidRPr="00E675E8" w:rsidRDefault="00B65EDC" w:rsidP="00B65EDC">
      <w:pPr>
        <w:rPr>
          <w:rFonts w:cs="Arial"/>
          <w:color w:val="000000"/>
          <w:lang w:val="es-ES_tradnl"/>
        </w:rPr>
      </w:pPr>
      <w:r w:rsidRPr="00E675E8">
        <w:rPr>
          <w:b/>
          <w:lang w:val="es-ES_tradnl"/>
        </w:rPr>
        <w:t>Mobiliario y equipo:</w:t>
      </w:r>
      <w:r w:rsidRPr="00E675E8">
        <w:rPr>
          <w:lang w:val="es-ES_tradnl"/>
        </w:rPr>
        <w:t xml:space="preserve"> compra de mobiliario y máquinas de oficina; equipo informático (computadoras de sobremesa y portátiles, impresoras, servidores, etc.); equipo para servicios de conferencias; equipo de reproducción; y equipo de transporte.</w:t>
      </w:r>
    </w:p>
    <w:p w14:paraId="40CDFFE0" w14:textId="77777777" w:rsidR="00B65EDC" w:rsidRPr="00E675E8" w:rsidRDefault="00B65EDC" w:rsidP="00B65EDC">
      <w:pPr>
        <w:rPr>
          <w:lang w:val="es-ES_tradnl"/>
        </w:rPr>
      </w:pPr>
    </w:p>
    <w:p w14:paraId="39DE11F6" w14:textId="68D06A1C" w:rsidR="00B65EDC" w:rsidRPr="00E675E8" w:rsidRDefault="00B65EDC" w:rsidP="00B65EDC">
      <w:pPr>
        <w:rPr>
          <w:rFonts w:cs="Arial"/>
          <w:color w:val="000000"/>
          <w:lang w:val="es-ES_tradnl"/>
        </w:rPr>
      </w:pPr>
      <w:r w:rsidRPr="00E675E8">
        <w:rPr>
          <w:b/>
          <w:color w:val="000000"/>
          <w:lang w:val="es-ES_tradnl"/>
        </w:rPr>
        <w:t>Suministros y materiales:</w:t>
      </w:r>
      <w:r w:rsidRPr="00E675E8">
        <w:rPr>
          <w:color w:val="000000"/>
          <w:lang w:val="es-ES_tradnl"/>
        </w:rPr>
        <w:t xml:space="preserve"> papelería y material de oficina, libros de la biblioteca, suscripciones a revistas y publicaciones periódicas, uniformes y programas informáticos.</w:t>
      </w:r>
    </w:p>
    <w:p w14:paraId="1763DF30" w14:textId="77777777" w:rsidR="00B65EDC" w:rsidRPr="00E675E8" w:rsidRDefault="00B65EDC" w:rsidP="00B65EDC">
      <w:pPr>
        <w:rPr>
          <w:rFonts w:cs="Arial"/>
          <w:color w:val="000000"/>
          <w:lang w:val="es-ES_tradnl"/>
        </w:rPr>
      </w:pPr>
    </w:p>
    <w:p w14:paraId="559758CB" w14:textId="0625163A" w:rsidR="00050E16" w:rsidRPr="00E675E8" w:rsidRDefault="00B65EDC" w:rsidP="00BB7BA1">
      <w:pPr>
        <w:pStyle w:val="endofdoc"/>
        <w:rPr>
          <w:rFonts w:cs="Arial"/>
          <w:lang w:val="es-ES_tradnl"/>
        </w:rPr>
      </w:pPr>
      <w:r w:rsidRPr="00E675E8">
        <w:rPr>
          <w:lang w:val="es-ES_tradnl"/>
        </w:rPr>
        <w:t>[Fin del Apéndice III y del documento]</w:t>
      </w:r>
    </w:p>
    <w:sectPr w:rsidR="00050E16" w:rsidRPr="00E675E8" w:rsidSect="00B56FC0">
      <w:headerReference w:type="default" r:id="rId47"/>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87A8" w14:textId="77777777" w:rsidR="007E7D90" w:rsidRDefault="007E7D90" w:rsidP="006655D3">
      <w:r>
        <w:separator/>
      </w:r>
    </w:p>
    <w:p w14:paraId="0CBD22A8" w14:textId="77777777" w:rsidR="007E7D90" w:rsidRDefault="007E7D90" w:rsidP="006655D3"/>
    <w:p w14:paraId="4EE74CB7" w14:textId="77777777" w:rsidR="007E7D90" w:rsidRDefault="007E7D90" w:rsidP="006655D3"/>
  </w:endnote>
  <w:endnote w:type="continuationSeparator" w:id="0">
    <w:p w14:paraId="5D67FA60" w14:textId="77777777" w:rsidR="007E7D90" w:rsidRDefault="007E7D90" w:rsidP="006655D3">
      <w:r>
        <w:separator/>
      </w:r>
    </w:p>
    <w:p w14:paraId="78FD1169" w14:textId="77777777" w:rsidR="007E7D90" w:rsidRPr="00294751" w:rsidRDefault="007E7D90">
      <w:pPr>
        <w:pStyle w:val="Footer"/>
        <w:spacing w:after="60"/>
        <w:rPr>
          <w:sz w:val="18"/>
          <w:lang w:val="fr-FR"/>
        </w:rPr>
      </w:pPr>
      <w:r w:rsidRPr="00294751">
        <w:rPr>
          <w:sz w:val="18"/>
          <w:lang w:val="fr-FR"/>
        </w:rPr>
        <w:t>[Suite de la note de la page précédente]</w:t>
      </w:r>
    </w:p>
    <w:p w14:paraId="1F91CF80" w14:textId="77777777" w:rsidR="007E7D90" w:rsidRPr="00294751" w:rsidRDefault="007E7D90" w:rsidP="006655D3">
      <w:pPr>
        <w:rPr>
          <w:lang w:val="fr-FR"/>
        </w:rPr>
      </w:pPr>
    </w:p>
    <w:p w14:paraId="37D219C6" w14:textId="77777777" w:rsidR="007E7D90" w:rsidRPr="00294751" w:rsidRDefault="007E7D90" w:rsidP="006655D3">
      <w:pPr>
        <w:rPr>
          <w:lang w:val="fr-FR"/>
        </w:rPr>
      </w:pPr>
    </w:p>
  </w:endnote>
  <w:endnote w:type="continuationNotice" w:id="1">
    <w:p w14:paraId="5D64102A" w14:textId="77777777" w:rsidR="007E7D90" w:rsidRPr="00294751" w:rsidRDefault="007E7D90" w:rsidP="006655D3">
      <w:pPr>
        <w:rPr>
          <w:lang w:val="fr-FR"/>
        </w:rPr>
      </w:pPr>
      <w:r w:rsidRPr="00294751">
        <w:rPr>
          <w:lang w:val="fr-FR"/>
        </w:rPr>
        <w:t>[Suite de la note page suivante]</w:t>
      </w:r>
    </w:p>
    <w:p w14:paraId="62CD0175" w14:textId="77777777" w:rsidR="007E7D90" w:rsidRPr="00294751" w:rsidRDefault="007E7D90" w:rsidP="006655D3">
      <w:pPr>
        <w:rPr>
          <w:lang w:val="fr-FR"/>
        </w:rPr>
      </w:pPr>
    </w:p>
    <w:p w14:paraId="6DBDDC6A" w14:textId="77777777" w:rsidR="007E7D90" w:rsidRPr="00294751" w:rsidRDefault="007E7D9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5AE22D13" w:rsidR="00B65EDC" w:rsidRDefault="00B65E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32B99B07" w:rsidR="00B65EDC" w:rsidRDefault="00B65ED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154C7F3A" w:rsidR="00B65EDC" w:rsidRDefault="00B65ED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41452941" w:rsidR="00B65EDC" w:rsidRDefault="00B65ED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6887EABC" w:rsidR="00B65EDC" w:rsidRDefault="00B65ED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21E1BEC2" w:rsidR="00B65EDC" w:rsidRPr="00AB1801" w:rsidRDefault="00B65EDC" w:rsidP="00AB180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2BE76E87" w:rsidR="00B65EDC" w:rsidRPr="00621F63" w:rsidRDefault="00B65EDC" w:rsidP="0062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5CEA90A1" w:rsidR="00B65EDC" w:rsidRPr="00AB1801" w:rsidRDefault="00B65EDC" w:rsidP="00AB1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76F14DB0" w:rsidR="00B65EDC" w:rsidRPr="00AB1801" w:rsidRDefault="00B65EDC" w:rsidP="00AB1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47AD354A" w:rsidR="00B65EDC" w:rsidRDefault="00B65E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0DA0D5FF" w:rsidR="00B65EDC" w:rsidRPr="00AB1801" w:rsidRDefault="00B65EDC"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423007EF" w:rsidR="00B65EDC" w:rsidRDefault="00B65E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6797B60D" w:rsidR="00B65EDC" w:rsidRDefault="00B65E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7F89E15D" w:rsidR="00B65EDC" w:rsidRDefault="00B65ED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157D35E9" w:rsidR="00B65EDC" w:rsidRDefault="00B65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4292" w14:textId="77777777" w:rsidR="007E7D90" w:rsidRDefault="007E7D90" w:rsidP="006655D3">
      <w:r>
        <w:separator/>
      </w:r>
    </w:p>
  </w:footnote>
  <w:footnote w:type="continuationSeparator" w:id="0">
    <w:p w14:paraId="4A769240" w14:textId="77777777" w:rsidR="007E7D90" w:rsidRDefault="007E7D90" w:rsidP="006655D3">
      <w:r>
        <w:separator/>
      </w:r>
    </w:p>
  </w:footnote>
  <w:footnote w:type="continuationNotice" w:id="1">
    <w:p w14:paraId="38585694" w14:textId="77777777" w:rsidR="007E7D90" w:rsidRPr="00AB530F" w:rsidRDefault="007E7D90" w:rsidP="00AB530F">
      <w:pPr>
        <w:pStyle w:val="Footer"/>
      </w:pPr>
    </w:p>
  </w:footnote>
  <w:footnote w:id="2">
    <w:p w14:paraId="71BFFEEF" w14:textId="77777777" w:rsidR="00B65EDC" w:rsidRDefault="00B65EDC" w:rsidP="00B104C1">
      <w:pPr>
        <w:pStyle w:val="FootnoteText"/>
      </w:pPr>
      <w:r>
        <w:rPr>
          <w:rStyle w:val="FootnoteReference"/>
        </w:rPr>
        <w:footnoteRef/>
      </w:r>
      <w:r>
        <w:tab/>
        <w:t>Es posible que las cifras de los cuadros 1 a 7 no se correspondan con el total debido al redondeo de los importes.</w:t>
      </w:r>
    </w:p>
  </w:footnote>
  <w:footnote w:id="3">
    <w:p w14:paraId="6DA3F9A7" w14:textId="77777777" w:rsidR="00B65EDC" w:rsidRDefault="00B65EDC" w:rsidP="00B104C1">
      <w:pPr>
        <w:pStyle w:val="FootnoteText"/>
      </w:pPr>
      <w:r>
        <w:rPr>
          <w:rStyle w:val="FootnoteReference"/>
        </w:rPr>
        <w:footnoteRef/>
      </w:r>
      <w:r>
        <w:tab/>
        <w:t>En el artículo 6.1) del documento UPOV/INF/8, “Acuerdo entre la Organización Mundial de la Propiedad Intelectual y la Unión Internacional para la Protección de las Obtenciones Vegetales”, se estipula lo siguiente: “1) A los fines de este acuerdo, se entenderá por ‘el personal de la Oficina de la UPOV’ el secretario general adjunto de la UPOV y cualquier otra persona que trabaje exclusivamente para la UPOV, mientras que se entenderá por ‘la Oficina de la UPOV’, el secretario general de la UPOV y el personal de la Oficina de la UPOV”.</w:t>
      </w:r>
    </w:p>
  </w:footnote>
  <w:footnote w:id="4">
    <w:p w14:paraId="5168D235" w14:textId="2C8606C2" w:rsidR="00B104C1" w:rsidRDefault="00B104C1" w:rsidP="00B104C1">
      <w:pPr>
        <w:pStyle w:val="FootnoteText"/>
      </w:pPr>
      <w:r>
        <w:rPr>
          <w:rStyle w:val="FootnoteReference"/>
        </w:rPr>
        <w:footnoteRef/>
      </w:r>
      <w:r>
        <w:tab/>
        <w:t>La metodología del Programa Ejecutivo de la UPOV (27 participantes) se aplicó al taller regional de la ARIPO sobre la protección de las variedades vegetales para los Estados miembros de la ARIPO (48 participantes).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8680" w14:textId="2341E4BE" w:rsidR="002817AB" w:rsidRDefault="007044CE" w:rsidP="002817AB">
    <w:pPr>
      <w:pStyle w:val="Header"/>
    </w:pPr>
    <w:r>
      <w:t>C/59/4 Rev.</w:t>
    </w:r>
  </w:p>
  <w:p w14:paraId="4CA2C170" w14:textId="5EC0259B" w:rsidR="002817AB" w:rsidRDefault="002817AB" w:rsidP="002817AB">
    <w:pPr>
      <w:pStyle w:val="Header"/>
    </w:pPr>
    <w:r>
      <w:t xml:space="preserve">página </w:t>
    </w:r>
    <w:sdt>
      <w:sdtPr>
        <w:id w:val="-8972767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AB7F74" w14:textId="77777777" w:rsidR="002817AB" w:rsidRPr="00766E51" w:rsidRDefault="002817AB"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766E51" w:rsidRDefault="00B65EDC">
    <w:pPr>
      <w:pStyle w:val="Header"/>
      <w:rPr>
        <w:rStyle w:val="PageNumber"/>
      </w:rPr>
    </w:pPr>
    <w:r>
      <w:t>Anteproyecto de programa y presupuesto para el bienio 2026</w:t>
    </w:r>
    <w:r>
      <w:noBreakHyphen/>
      <w:t>2027</w:t>
    </w:r>
  </w:p>
  <w:p w14:paraId="2A2356D9" w14:textId="77777777" w:rsidR="00B65EDC" w:rsidRPr="00FE0119" w:rsidRDefault="00B65EDC">
    <w:pPr>
      <w:pStyle w:val="Header"/>
    </w:pPr>
    <w:r>
      <w:t xml:space="preserve">Anexo II, página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28C783B9" w14:textId="77777777" w:rsidR="00B65EDC" w:rsidRPr="00FE0119" w:rsidRDefault="00B65E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766E51" w:rsidRDefault="00B65EDC">
    <w:pPr>
      <w:pStyle w:val="Header"/>
      <w:rPr>
        <w:rStyle w:val="PageNumber"/>
      </w:rPr>
    </w:pPr>
    <w:r>
      <w:t>Anteproyecto de programa y presupuesto para el bienio 2026</w:t>
    </w:r>
    <w:r>
      <w:noBreakHyphen/>
      <w:t>2027</w:t>
    </w:r>
  </w:p>
  <w:p w14:paraId="66D1FFE7" w14:textId="77777777" w:rsidR="00B65EDC" w:rsidRPr="002817AB" w:rsidRDefault="00B65E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766E51" w:rsidRDefault="00B65EDC">
    <w:pPr>
      <w:pStyle w:val="Header"/>
      <w:jc w:val="right"/>
      <w:rPr>
        <w:b/>
        <w:color w:val="26724C" w:themeColor="accent1" w:themeShade="BF"/>
      </w:rPr>
    </w:pPr>
    <w:r>
      <w:rPr>
        <w:b/>
        <w:color w:val="26724C" w:themeColor="accent1" w:themeShade="BF"/>
      </w:rPr>
      <w:t>UPOV</w:t>
    </w:r>
  </w:p>
  <w:p w14:paraId="4BA62D59" w14:textId="00FEC6AF" w:rsidR="00B65EDC" w:rsidRPr="00766E51" w:rsidRDefault="00B65EDC">
    <w:pPr>
      <w:pStyle w:val="Header"/>
      <w:jc w:val="right"/>
      <w:rPr>
        <w:color w:val="26724C" w:themeColor="accent1" w:themeShade="BF"/>
      </w:rPr>
    </w:pPr>
    <w:r>
      <w:rPr>
        <w:color w:val="26724C" w:themeColor="accent1" w:themeShade="BF"/>
      </w:rPr>
      <w:t>Anteproyecto de programa y presupuesto 2026</w:t>
    </w:r>
    <w:r>
      <w:rPr>
        <w:color w:val="26724C" w:themeColor="accent1" w:themeShade="BF"/>
      </w:rPr>
      <w:noBreakHyphen/>
      <w:t>2027</w:t>
    </w:r>
  </w:p>
  <w:p w14:paraId="41269828"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Apéndice II,</w:t>
    </w:r>
    <w:r>
      <w:t xml:space="preserve"> </w:t>
    </w:r>
    <w:r>
      <w:rPr>
        <w:color w:val="26724C" w:themeColor="accent1" w:themeShade="BF"/>
      </w:rPr>
      <w:t xml:space="preserve">página </w:t>
    </w:r>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p>
  <w:p w14:paraId="00A814CC" w14:textId="77777777" w:rsidR="00B65EDC" w:rsidRPr="00D4705E" w:rsidRDefault="00B65EDC">
    <w:pPr>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766E51" w:rsidRDefault="00B65EDC">
    <w:pPr>
      <w:pStyle w:val="Header"/>
      <w:jc w:val="right"/>
      <w:rPr>
        <w:b/>
        <w:color w:val="26724C" w:themeColor="accent1" w:themeShade="BF"/>
      </w:rPr>
    </w:pPr>
    <w:r>
      <w:rPr>
        <w:b/>
        <w:color w:val="26724C" w:themeColor="accent1" w:themeShade="BF"/>
      </w:rPr>
      <w:t>UPOV</w:t>
    </w:r>
  </w:p>
  <w:p w14:paraId="5B234CE2" w14:textId="5DB8D5B5" w:rsidR="00B65EDC" w:rsidRPr="00766E51" w:rsidRDefault="00B65EDC">
    <w:pPr>
      <w:pStyle w:val="Header"/>
      <w:jc w:val="right"/>
      <w:rPr>
        <w:color w:val="26724C" w:themeColor="accent1" w:themeShade="BF"/>
      </w:rPr>
    </w:pPr>
    <w:r>
      <w:rPr>
        <w:color w:val="26724C" w:themeColor="accent1" w:themeShade="BF"/>
      </w:rPr>
      <w:t>Programa y presupuesto 2026-2027</w:t>
    </w:r>
  </w:p>
  <w:p w14:paraId="7449543D"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II, página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3C3195B5" w14:textId="77777777" w:rsidR="00B65EDC" w:rsidRPr="008B40C0" w:rsidRDefault="00B65EDC">
    <w:pPr>
      <w:pStyle w:val="Header"/>
      <w:jc w:val="right"/>
      <w:rPr>
        <w:color w:val="26724C" w:themeColor="accent1" w:themeShade="BF"/>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766E51" w:rsidRDefault="00B65EDC">
    <w:pPr>
      <w:pStyle w:val="Header"/>
      <w:jc w:val="right"/>
      <w:rPr>
        <w:b/>
        <w:color w:val="26724C" w:themeColor="accent1" w:themeShade="BF"/>
      </w:rPr>
    </w:pPr>
    <w:r>
      <w:rPr>
        <w:b/>
        <w:color w:val="26724C" w:themeColor="accent1" w:themeShade="BF"/>
      </w:rPr>
      <w:t>UPOV</w:t>
    </w:r>
  </w:p>
  <w:p w14:paraId="27AE4EB2" w14:textId="04863230" w:rsidR="00B65EDC" w:rsidRPr="00766E51" w:rsidRDefault="00B65EDC">
    <w:pPr>
      <w:pStyle w:val="Header"/>
      <w:jc w:val="right"/>
      <w:rPr>
        <w:color w:val="26724C" w:themeColor="accent1" w:themeShade="BF"/>
      </w:rPr>
    </w:pPr>
    <w:r>
      <w:rPr>
        <w:color w:val="26724C" w:themeColor="accent1" w:themeShade="BF"/>
      </w:rPr>
      <w:t>Proyecto de programa y presupuesto 2026-2027</w:t>
    </w:r>
  </w:p>
  <w:p w14:paraId="650DCC77"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II, página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37</w:t>
        </w:r>
        <w:r w:rsidRPr="008B40C0">
          <w:rPr>
            <w:color w:val="26724C" w:themeColor="accent1" w:themeShade="BF"/>
          </w:rPr>
          <w:fldChar w:fldCharType="end"/>
        </w:r>
      </w:sdtContent>
    </w:sdt>
  </w:p>
  <w:p w14:paraId="5D69EE36" w14:textId="77777777" w:rsidR="00B65EDC" w:rsidRPr="001522BD" w:rsidRDefault="00B65ED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766E51" w:rsidRDefault="00B56FC0">
    <w:pPr>
      <w:pStyle w:val="Header"/>
      <w:jc w:val="right"/>
      <w:rPr>
        <w:b/>
        <w:color w:val="26724C" w:themeColor="accent1" w:themeShade="BF"/>
      </w:rPr>
    </w:pPr>
    <w:r>
      <w:rPr>
        <w:b/>
        <w:color w:val="26724C" w:themeColor="accent1" w:themeShade="BF"/>
      </w:rPr>
      <w:t>UPOV</w:t>
    </w:r>
  </w:p>
  <w:p w14:paraId="66DC7EBA" w14:textId="16EB7652" w:rsidR="00B56FC0" w:rsidRPr="00766E51" w:rsidRDefault="00B56FC0">
    <w:pPr>
      <w:pStyle w:val="Header"/>
      <w:jc w:val="right"/>
      <w:rPr>
        <w:color w:val="26724C" w:themeColor="accent1" w:themeShade="BF"/>
      </w:rPr>
    </w:pPr>
    <w:r>
      <w:rPr>
        <w:color w:val="26724C" w:themeColor="accent1" w:themeShade="BF"/>
      </w:rPr>
      <w:t>Programa y presupuesto 2026-2027</w:t>
    </w:r>
  </w:p>
  <w:p w14:paraId="33F686D4" w14:textId="60010E7D" w:rsidR="00B56FC0" w:rsidRPr="008B40C0" w:rsidRDefault="00B56FC0">
    <w:pPr>
      <w:pStyle w:val="Header"/>
      <w:pBdr>
        <w:bottom w:val="single" w:sz="4" w:space="1" w:color="auto"/>
      </w:pBdr>
      <w:jc w:val="right"/>
      <w:rPr>
        <w:color w:val="26724C" w:themeColor="accent1" w:themeShade="BF"/>
      </w:rPr>
    </w:pPr>
    <w:r>
      <w:rPr>
        <w:color w:val="26724C" w:themeColor="accent1" w:themeShade="BF"/>
      </w:rPr>
      <w:t xml:space="preserve">Apéndice III, página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26</w:t>
        </w:r>
        <w:r w:rsidRPr="008B40C0">
          <w:rPr>
            <w:color w:val="26724C" w:themeColor="accent1" w:themeShade="BF"/>
          </w:rPr>
          <w:fldChar w:fldCharType="end"/>
        </w:r>
      </w:sdtContent>
    </w:sdt>
  </w:p>
  <w:p w14:paraId="139F4404" w14:textId="77777777" w:rsidR="00B56FC0" w:rsidRPr="008B40C0" w:rsidRDefault="00B56FC0">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766E51" w:rsidRDefault="00B65EDC">
    <w:pPr>
      <w:pStyle w:val="Header"/>
      <w:jc w:val="right"/>
      <w:rPr>
        <w:b/>
        <w:color w:val="26724C" w:themeColor="accent1" w:themeShade="BF"/>
      </w:rPr>
    </w:pPr>
    <w:r>
      <w:rPr>
        <w:b/>
        <w:color w:val="26724C" w:themeColor="accent1" w:themeShade="BF"/>
      </w:rPr>
      <w:t>UPOV</w:t>
    </w:r>
  </w:p>
  <w:p w14:paraId="4E57F92B" w14:textId="1099AE67" w:rsidR="00B65EDC" w:rsidRPr="00766E51" w:rsidRDefault="00B65EDC">
    <w:pPr>
      <w:pStyle w:val="Header"/>
      <w:jc w:val="right"/>
      <w:rPr>
        <w:color w:val="26724C" w:themeColor="accent1" w:themeShade="BF"/>
      </w:rPr>
    </w:pPr>
    <w:r>
      <w:rPr>
        <w:color w:val="26724C" w:themeColor="accent1" w:themeShade="BF"/>
      </w:rPr>
      <w:t>Programa y presupuesto 2026-2027 </w:t>
    </w:r>
  </w:p>
  <w:p w14:paraId="1FFEB8E5"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página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18</w:t>
        </w:r>
        <w:r w:rsidRPr="008B40C0">
          <w:rPr>
            <w:color w:val="26724C" w:themeColor="accent1" w:themeShade="BF"/>
          </w:rPr>
          <w:fldChar w:fldCharType="end"/>
        </w:r>
      </w:sdtContent>
    </w:sdt>
  </w:p>
  <w:p w14:paraId="0A07ED9B" w14:textId="77777777" w:rsidR="00B65EDC" w:rsidRPr="00FE0119" w:rsidRDefault="00B6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F123" w14:textId="77777777" w:rsidR="006856BC" w:rsidRPr="00766E51" w:rsidRDefault="006856BC" w:rsidP="006856BC">
    <w:pPr>
      <w:pStyle w:val="Header"/>
      <w:jc w:val="right"/>
      <w:rPr>
        <w:b/>
        <w:color w:val="26724C" w:themeColor="accent1" w:themeShade="BF"/>
      </w:rPr>
    </w:pPr>
    <w:r>
      <w:rPr>
        <w:b/>
        <w:color w:val="26724C" w:themeColor="accent1" w:themeShade="BF"/>
      </w:rPr>
      <w:t>UPOV</w:t>
    </w:r>
  </w:p>
  <w:p w14:paraId="0361AC4D" w14:textId="2AD5E427" w:rsidR="006856BC" w:rsidRPr="00766E51" w:rsidRDefault="006856BC" w:rsidP="006856BC">
    <w:pPr>
      <w:pStyle w:val="Header"/>
      <w:jc w:val="right"/>
      <w:rPr>
        <w:color w:val="26724C" w:themeColor="accent1" w:themeShade="BF"/>
      </w:rPr>
    </w:pPr>
    <w:r>
      <w:rPr>
        <w:color w:val="26724C" w:themeColor="accent1" w:themeShade="BF"/>
      </w:rPr>
      <w:t>Programa y presupuesto 2026-2027</w:t>
    </w:r>
  </w:p>
  <w:p w14:paraId="551BBEB1" w14:textId="77777777" w:rsidR="006856BC" w:rsidRPr="00766E51" w:rsidRDefault="006856BC" w:rsidP="006856BC">
    <w:pPr>
      <w:pStyle w:val="Header"/>
      <w:pBdr>
        <w:bottom w:val="single" w:sz="4" w:space="1" w:color="auto"/>
      </w:pBdr>
      <w:jc w:val="right"/>
      <w:rPr>
        <w:color w:val="26724C" w:themeColor="accent1" w:themeShade="BF"/>
      </w:rPr>
    </w:pPr>
    <w:r>
      <w:rPr>
        <w:color w:val="26724C" w:themeColor="accent1" w:themeShade="BF"/>
      </w:rPr>
      <w:t xml:space="preserve">página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w:t>
        </w:r>
        <w:r w:rsidRPr="008B40C0">
          <w:rPr>
            <w:color w:val="26724C" w:themeColor="accent1" w:themeShade="BF"/>
          </w:rPr>
          <w:fldChar w:fldCharType="end"/>
        </w:r>
      </w:sdtContent>
    </w:sdt>
  </w:p>
  <w:p w14:paraId="246F7966" w14:textId="77777777" w:rsidR="006856BC" w:rsidRPr="00766E51" w:rsidRDefault="006856BC" w:rsidP="006856BC">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0A13CD7B" w:rsidR="005D2CBA" w:rsidRDefault="007044CE">
    <w:pPr>
      <w:pStyle w:val="Header"/>
    </w:pPr>
    <w:r>
      <w:t>C/59/4 Rev.</w:t>
    </w:r>
  </w:p>
  <w:p w14:paraId="1D22E3C9" w14:textId="77777777" w:rsidR="005D2CBA" w:rsidRDefault="005D2CBA">
    <w:pPr>
      <w:pStyle w:val="Header"/>
    </w:pPr>
  </w:p>
  <w:p w14:paraId="56E33BA1" w14:textId="55681CE8" w:rsidR="005D2CBA" w:rsidRDefault="005D2CBA">
    <w:pPr>
      <w:pStyle w:val="Header"/>
    </w:pPr>
    <w:r>
      <w:t>ANEXO</w:t>
    </w:r>
  </w:p>
  <w:p w14:paraId="6015CC93" w14:textId="77777777" w:rsidR="005D2CBA" w:rsidRDefault="005D2CBA">
    <w:pPr>
      <w:pStyle w:val="Header"/>
    </w:pPr>
  </w:p>
  <w:p w14:paraId="61B2DBC1" w14:textId="77777777" w:rsidR="005D2CBA" w:rsidRDefault="005D2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774917AE" w:rsidR="00B65EDC" w:rsidRPr="00766E51" w:rsidRDefault="00B65EDC">
    <w:pPr>
      <w:pStyle w:val="Header"/>
      <w:rPr>
        <w:rStyle w:val="PageNumber"/>
      </w:rPr>
    </w:pPr>
    <w:r>
      <w:t>Proyecto de programa y presupuesto para el bienio 2026</w:t>
    </w:r>
    <w:r>
      <w:noBreakHyphen/>
      <w:t>2027</w:t>
    </w:r>
  </w:p>
  <w:p w14:paraId="7C12845A" w14:textId="77777777" w:rsidR="00B65EDC" w:rsidRPr="00FE0119" w:rsidRDefault="00B65EDC">
    <w:pPr>
      <w:pStyle w:val="Header"/>
    </w:pPr>
    <w:r>
      <w:t xml:space="preserve">Anexo II, página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6D6C6342" w14:textId="77777777" w:rsidR="00B65EDC" w:rsidRPr="00FE0119" w:rsidRDefault="00B65E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766E51" w:rsidRDefault="00B65EDC">
    <w:pPr>
      <w:pStyle w:val="Header"/>
      <w:jc w:val="right"/>
      <w:rPr>
        <w:b/>
        <w:color w:val="26724C" w:themeColor="accent1" w:themeShade="BF"/>
      </w:rPr>
    </w:pPr>
    <w:r>
      <w:rPr>
        <w:b/>
        <w:color w:val="26724C" w:themeColor="accent1" w:themeShade="BF"/>
      </w:rPr>
      <w:t>UPOV</w:t>
    </w:r>
  </w:p>
  <w:p w14:paraId="1D196507" w14:textId="6A9E809C" w:rsidR="00B65EDC" w:rsidRPr="00766E51" w:rsidRDefault="00B65EDC">
    <w:pPr>
      <w:pStyle w:val="Header"/>
      <w:jc w:val="right"/>
      <w:rPr>
        <w:color w:val="26724C" w:themeColor="accent1" w:themeShade="BF"/>
      </w:rPr>
    </w:pPr>
    <w:r>
      <w:rPr>
        <w:color w:val="26724C" w:themeColor="accent1" w:themeShade="BF"/>
      </w:rPr>
      <w:t>Programa y presupuesto 2026-2027</w:t>
    </w:r>
  </w:p>
  <w:p w14:paraId="72458147"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 página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24</w:t>
        </w:r>
        <w:r w:rsidRPr="008B40C0">
          <w:rPr>
            <w:color w:val="26724C" w:themeColor="accent1" w:themeShade="BF"/>
          </w:rPr>
          <w:fldChar w:fldCharType="end"/>
        </w:r>
      </w:sdtContent>
    </w:sdt>
  </w:p>
  <w:p w14:paraId="6F7D626C" w14:textId="77777777" w:rsidR="00B65EDC" w:rsidRPr="008B40C0" w:rsidRDefault="00B65EDC">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766E51" w:rsidRDefault="00B65EDC">
    <w:pPr>
      <w:pStyle w:val="Header"/>
      <w:jc w:val="right"/>
      <w:rPr>
        <w:b/>
        <w:color w:val="26724C" w:themeColor="accent1" w:themeShade="BF"/>
      </w:rPr>
    </w:pPr>
    <w:r>
      <w:rPr>
        <w:b/>
        <w:color w:val="26724C" w:themeColor="accent1" w:themeShade="BF"/>
      </w:rPr>
      <w:t>UPOV</w:t>
    </w:r>
  </w:p>
  <w:p w14:paraId="4ED03FA7" w14:textId="59C93C4E" w:rsidR="00B65EDC" w:rsidRPr="00766E51" w:rsidRDefault="00B65EDC">
    <w:pPr>
      <w:pStyle w:val="Header"/>
      <w:jc w:val="right"/>
      <w:rPr>
        <w:color w:val="26724C" w:themeColor="accent1" w:themeShade="BF"/>
      </w:rPr>
    </w:pPr>
    <w:r>
      <w:rPr>
        <w:color w:val="26724C" w:themeColor="accent1" w:themeShade="BF"/>
      </w:rPr>
      <w:t>Anteproyecto de programa y presupuesto 2026</w:t>
    </w:r>
    <w:r>
      <w:rPr>
        <w:color w:val="26724C" w:themeColor="accent1" w:themeShade="BF"/>
      </w:rPr>
      <w:noBreakHyphen/>
      <w:t>2027</w:t>
    </w:r>
  </w:p>
  <w:p w14:paraId="2626C84E" w14:textId="77777777" w:rsidR="00B65EDC" w:rsidRPr="008B40C0" w:rsidRDefault="00B65EDC">
    <w:pPr>
      <w:pStyle w:val="Header"/>
      <w:pBdr>
        <w:bottom w:val="single" w:sz="4" w:space="1" w:color="auto"/>
      </w:pBdr>
      <w:jc w:val="right"/>
      <w:rPr>
        <w:color w:val="26724C" w:themeColor="accent1" w:themeShade="BF"/>
      </w:rPr>
    </w:pPr>
    <w:r>
      <w:rPr>
        <w:color w:val="26724C" w:themeColor="accent1" w:themeShade="BF"/>
      </w:rPr>
      <w:t xml:space="preserve">Apéndice I, página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color w:val="26724C" w:themeColor="accent1" w:themeShade="BF"/>
          </w:rPr>
          <w:t>38</w:t>
        </w:r>
        <w:r w:rsidRPr="008B40C0">
          <w:rPr>
            <w:color w:val="26724C" w:themeColor="accent1" w:themeShade="BF"/>
          </w:rPr>
          <w:fldChar w:fldCharType="end"/>
        </w:r>
      </w:sdtContent>
    </w:sdt>
  </w:p>
  <w:p w14:paraId="38DF1B9F" w14:textId="77777777" w:rsidR="00B65EDC" w:rsidRPr="008B40C0" w:rsidRDefault="00B65EDC">
    <w:pPr>
      <w:pStyle w:val="Header"/>
      <w:jc w:val="right"/>
      <w:rPr>
        <w:color w:val="26724C" w:themeColor="accent1" w:themeShade="B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766E51" w:rsidRDefault="00B65EDC">
    <w:pPr>
      <w:pStyle w:val="Header"/>
      <w:rPr>
        <w:rStyle w:val="PageNumber"/>
      </w:rPr>
    </w:pPr>
    <w:r>
      <w:t>Anteproyecto de programa y presupuesto para el bienio 2026</w:t>
    </w:r>
    <w:r>
      <w:noBreakHyphen/>
      <w:t>2027</w:t>
    </w:r>
  </w:p>
  <w:p w14:paraId="5432A9B2" w14:textId="77777777" w:rsidR="00B65EDC" w:rsidRPr="00FE0119" w:rsidRDefault="00B65EDC">
    <w:pPr>
      <w:pStyle w:val="Header"/>
    </w:pPr>
    <w:r>
      <w:t xml:space="preserve">Anexo II, página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36A4FA0A" w14:textId="77777777" w:rsidR="00B65EDC" w:rsidRPr="00FE0119" w:rsidRDefault="00B65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766E51" w:rsidRDefault="00B65EDC">
    <w:pPr>
      <w:pStyle w:val="Header"/>
      <w:rPr>
        <w:rStyle w:val="PageNumber"/>
      </w:rPr>
    </w:pPr>
    <w:r>
      <w:t>Anteproyecto de programa y presupuesto para el bienio 2026</w:t>
    </w:r>
    <w:r>
      <w:noBreakHyphen/>
      <w:t>2027</w:t>
    </w:r>
  </w:p>
  <w:p w14:paraId="0C263071" w14:textId="77777777" w:rsidR="00B65EDC" w:rsidRPr="00FE0119" w:rsidRDefault="00B65EDC">
    <w:pPr>
      <w:pStyle w:val="Header"/>
    </w:pPr>
    <w:r>
      <w:t xml:space="preserve">Anexo II, página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t>39</w:t>
        </w:r>
        <w:r w:rsidRPr="00FE0119">
          <w:fldChar w:fldCharType="end"/>
        </w:r>
      </w:sdtContent>
    </w:sdt>
  </w:p>
  <w:p w14:paraId="301D2051" w14:textId="77777777" w:rsidR="00B65EDC" w:rsidRPr="00FE0119" w:rsidRDefault="00B65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88246D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2"/>
  </w:num>
  <w:num w:numId="2" w16cid:durableId="1078132920">
    <w:abstractNumId w:val="3"/>
  </w:num>
  <w:num w:numId="3" w16cid:durableId="1890417295">
    <w:abstractNumId w:val="1"/>
  </w:num>
  <w:num w:numId="4" w16cid:durableId="852766145">
    <w:abstractNumId w:val="4"/>
  </w:num>
  <w:num w:numId="5" w16cid:durableId="1323196453">
    <w:abstractNumId w:val="0"/>
  </w:num>
  <w:num w:numId="6" w16cid:durableId="1392851706">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049F6"/>
    <w:rsid w:val="0000503E"/>
    <w:rsid w:val="00005852"/>
    <w:rsid w:val="00010CF3"/>
    <w:rsid w:val="00011E27"/>
    <w:rsid w:val="000148BC"/>
    <w:rsid w:val="00014B08"/>
    <w:rsid w:val="00014EC4"/>
    <w:rsid w:val="00020C6E"/>
    <w:rsid w:val="00024AB8"/>
    <w:rsid w:val="00026B8A"/>
    <w:rsid w:val="00030854"/>
    <w:rsid w:val="00036028"/>
    <w:rsid w:val="000363C4"/>
    <w:rsid w:val="00040BDC"/>
    <w:rsid w:val="000411C9"/>
    <w:rsid w:val="00044642"/>
    <w:rsid w:val="000446B9"/>
    <w:rsid w:val="00046C63"/>
    <w:rsid w:val="000475D2"/>
    <w:rsid w:val="00047E21"/>
    <w:rsid w:val="00050E16"/>
    <w:rsid w:val="0005476A"/>
    <w:rsid w:val="00067F90"/>
    <w:rsid w:val="00072276"/>
    <w:rsid w:val="00082A53"/>
    <w:rsid w:val="00083E01"/>
    <w:rsid w:val="00085505"/>
    <w:rsid w:val="0008705F"/>
    <w:rsid w:val="00090431"/>
    <w:rsid w:val="000944A2"/>
    <w:rsid w:val="000A2039"/>
    <w:rsid w:val="000A4D10"/>
    <w:rsid w:val="000B6349"/>
    <w:rsid w:val="000C10D9"/>
    <w:rsid w:val="000C1242"/>
    <w:rsid w:val="000C4E25"/>
    <w:rsid w:val="000C7021"/>
    <w:rsid w:val="000C7161"/>
    <w:rsid w:val="000D3AC4"/>
    <w:rsid w:val="000D5653"/>
    <w:rsid w:val="000D6BBC"/>
    <w:rsid w:val="000D7780"/>
    <w:rsid w:val="000E636A"/>
    <w:rsid w:val="000F2F11"/>
    <w:rsid w:val="000F48CF"/>
    <w:rsid w:val="000F738A"/>
    <w:rsid w:val="00105929"/>
    <w:rsid w:val="00110C36"/>
    <w:rsid w:val="001131D5"/>
    <w:rsid w:val="001149F6"/>
    <w:rsid w:val="0012672E"/>
    <w:rsid w:val="00126748"/>
    <w:rsid w:val="00137F11"/>
    <w:rsid w:val="00141CFE"/>
    <w:rsid w:val="00141DB8"/>
    <w:rsid w:val="00162FB4"/>
    <w:rsid w:val="0016697F"/>
    <w:rsid w:val="00172084"/>
    <w:rsid w:val="0017474A"/>
    <w:rsid w:val="001758C6"/>
    <w:rsid w:val="00176543"/>
    <w:rsid w:val="00182B99"/>
    <w:rsid w:val="00192B9F"/>
    <w:rsid w:val="00195D29"/>
    <w:rsid w:val="001A6970"/>
    <w:rsid w:val="001B0B64"/>
    <w:rsid w:val="001B2129"/>
    <w:rsid w:val="001B2385"/>
    <w:rsid w:val="001C1525"/>
    <w:rsid w:val="001C1CDA"/>
    <w:rsid w:val="001D1FB2"/>
    <w:rsid w:val="001D2573"/>
    <w:rsid w:val="001E1BC8"/>
    <w:rsid w:val="0020304B"/>
    <w:rsid w:val="002131F4"/>
    <w:rsid w:val="0021332C"/>
    <w:rsid w:val="0021375A"/>
    <w:rsid w:val="00213982"/>
    <w:rsid w:val="002147A0"/>
    <w:rsid w:val="00214C72"/>
    <w:rsid w:val="00216C5D"/>
    <w:rsid w:val="002322DF"/>
    <w:rsid w:val="00233D7A"/>
    <w:rsid w:val="00235400"/>
    <w:rsid w:val="002379B6"/>
    <w:rsid w:val="002416F8"/>
    <w:rsid w:val="0024416D"/>
    <w:rsid w:val="00250B4A"/>
    <w:rsid w:val="00252926"/>
    <w:rsid w:val="00256BFA"/>
    <w:rsid w:val="00260298"/>
    <w:rsid w:val="00263ED5"/>
    <w:rsid w:val="00271911"/>
    <w:rsid w:val="00276234"/>
    <w:rsid w:val="002800A0"/>
    <w:rsid w:val="002801B3"/>
    <w:rsid w:val="00281060"/>
    <w:rsid w:val="002817AB"/>
    <w:rsid w:val="00284C14"/>
    <w:rsid w:val="002940E8"/>
    <w:rsid w:val="00294751"/>
    <w:rsid w:val="00295E57"/>
    <w:rsid w:val="002A6E50"/>
    <w:rsid w:val="002B4298"/>
    <w:rsid w:val="002B4437"/>
    <w:rsid w:val="002C256A"/>
    <w:rsid w:val="002C4576"/>
    <w:rsid w:val="002E0EFA"/>
    <w:rsid w:val="002E478E"/>
    <w:rsid w:val="002F3A2B"/>
    <w:rsid w:val="002F76CE"/>
    <w:rsid w:val="00305A7F"/>
    <w:rsid w:val="0031440C"/>
    <w:rsid w:val="003152FE"/>
    <w:rsid w:val="003230AC"/>
    <w:rsid w:val="00327436"/>
    <w:rsid w:val="003414A6"/>
    <w:rsid w:val="00344BD6"/>
    <w:rsid w:val="0035528D"/>
    <w:rsid w:val="003556FC"/>
    <w:rsid w:val="00361821"/>
    <w:rsid w:val="00361E9E"/>
    <w:rsid w:val="00367596"/>
    <w:rsid w:val="00372F77"/>
    <w:rsid w:val="00374097"/>
    <w:rsid w:val="00382179"/>
    <w:rsid w:val="00383CE0"/>
    <w:rsid w:val="003863B8"/>
    <w:rsid w:val="003900D5"/>
    <w:rsid w:val="0039478A"/>
    <w:rsid w:val="0039633A"/>
    <w:rsid w:val="003A212A"/>
    <w:rsid w:val="003A26C8"/>
    <w:rsid w:val="003B40D0"/>
    <w:rsid w:val="003C0635"/>
    <w:rsid w:val="003C7FBE"/>
    <w:rsid w:val="003D227C"/>
    <w:rsid w:val="003D2A75"/>
    <w:rsid w:val="003D2B4D"/>
    <w:rsid w:val="003F0FA5"/>
    <w:rsid w:val="003F1324"/>
    <w:rsid w:val="003F1457"/>
    <w:rsid w:val="003F289C"/>
    <w:rsid w:val="003F5F2B"/>
    <w:rsid w:val="003F68BB"/>
    <w:rsid w:val="004028FE"/>
    <w:rsid w:val="00424B9F"/>
    <w:rsid w:val="00430E73"/>
    <w:rsid w:val="00433C83"/>
    <w:rsid w:val="004354C9"/>
    <w:rsid w:val="00435740"/>
    <w:rsid w:val="00437CC2"/>
    <w:rsid w:val="00437FC8"/>
    <w:rsid w:val="00443835"/>
    <w:rsid w:val="0044405F"/>
    <w:rsid w:val="004448C7"/>
    <w:rsid w:val="00444A88"/>
    <w:rsid w:val="0044554D"/>
    <w:rsid w:val="004526C8"/>
    <w:rsid w:val="00453DBD"/>
    <w:rsid w:val="00454F55"/>
    <w:rsid w:val="004647ED"/>
    <w:rsid w:val="00465049"/>
    <w:rsid w:val="004711B2"/>
    <w:rsid w:val="00474DA4"/>
    <w:rsid w:val="00476ACD"/>
    <w:rsid w:val="00476B4D"/>
    <w:rsid w:val="004805FA"/>
    <w:rsid w:val="00483279"/>
    <w:rsid w:val="004935D2"/>
    <w:rsid w:val="004B1215"/>
    <w:rsid w:val="004B4DFC"/>
    <w:rsid w:val="004B5DA7"/>
    <w:rsid w:val="004C0C4B"/>
    <w:rsid w:val="004C500F"/>
    <w:rsid w:val="004D047D"/>
    <w:rsid w:val="004D1507"/>
    <w:rsid w:val="004D7F64"/>
    <w:rsid w:val="004E006E"/>
    <w:rsid w:val="004E11A5"/>
    <w:rsid w:val="004F1E9E"/>
    <w:rsid w:val="004F2FA5"/>
    <w:rsid w:val="004F305A"/>
    <w:rsid w:val="004F5EE8"/>
    <w:rsid w:val="00500058"/>
    <w:rsid w:val="00503001"/>
    <w:rsid w:val="005053FF"/>
    <w:rsid w:val="0050707B"/>
    <w:rsid w:val="0051059A"/>
    <w:rsid w:val="00512164"/>
    <w:rsid w:val="0051361E"/>
    <w:rsid w:val="005170D3"/>
    <w:rsid w:val="00520297"/>
    <w:rsid w:val="00521A13"/>
    <w:rsid w:val="00521C0D"/>
    <w:rsid w:val="0052247A"/>
    <w:rsid w:val="005268B8"/>
    <w:rsid w:val="005338F9"/>
    <w:rsid w:val="005405E0"/>
    <w:rsid w:val="0054281C"/>
    <w:rsid w:val="00543870"/>
    <w:rsid w:val="00544581"/>
    <w:rsid w:val="00547FCF"/>
    <w:rsid w:val="0055268D"/>
    <w:rsid w:val="00554AE6"/>
    <w:rsid w:val="00563E58"/>
    <w:rsid w:val="00575E00"/>
    <w:rsid w:val="00576BE4"/>
    <w:rsid w:val="005912E2"/>
    <w:rsid w:val="005972FA"/>
    <w:rsid w:val="005A400A"/>
    <w:rsid w:val="005B0358"/>
    <w:rsid w:val="005B7A61"/>
    <w:rsid w:val="005D291B"/>
    <w:rsid w:val="005D2CBA"/>
    <w:rsid w:val="005F7B92"/>
    <w:rsid w:val="00611EFD"/>
    <w:rsid w:val="00612379"/>
    <w:rsid w:val="006153B6"/>
    <w:rsid w:val="0061555F"/>
    <w:rsid w:val="00620794"/>
    <w:rsid w:val="0062107E"/>
    <w:rsid w:val="00621AD9"/>
    <w:rsid w:val="00621F63"/>
    <w:rsid w:val="00622454"/>
    <w:rsid w:val="00632CA9"/>
    <w:rsid w:val="00636CA6"/>
    <w:rsid w:val="00641200"/>
    <w:rsid w:val="00642845"/>
    <w:rsid w:val="00645CA8"/>
    <w:rsid w:val="006507E8"/>
    <w:rsid w:val="00652B1A"/>
    <w:rsid w:val="006537FE"/>
    <w:rsid w:val="006655D3"/>
    <w:rsid w:val="00667404"/>
    <w:rsid w:val="0067424F"/>
    <w:rsid w:val="0067770A"/>
    <w:rsid w:val="006814F8"/>
    <w:rsid w:val="00681B2E"/>
    <w:rsid w:val="0068396D"/>
    <w:rsid w:val="006856BC"/>
    <w:rsid w:val="00687EB4"/>
    <w:rsid w:val="00695C56"/>
    <w:rsid w:val="006A036F"/>
    <w:rsid w:val="006A5CDE"/>
    <w:rsid w:val="006A644A"/>
    <w:rsid w:val="006B17D2"/>
    <w:rsid w:val="006C135F"/>
    <w:rsid w:val="006C224E"/>
    <w:rsid w:val="006C5BB5"/>
    <w:rsid w:val="006D780A"/>
    <w:rsid w:val="006D7C20"/>
    <w:rsid w:val="006E351B"/>
    <w:rsid w:val="006E5C48"/>
    <w:rsid w:val="007044CE"/>
    <w:rsid w:val="0070657B"/>
    <w:rsid w:val="0071271E"/>
    <w:rsid w:val="00712998"/>
    <w:rsid w:val="007151CF"/>
    <w:rsid w:val="00715D97"/>
    <w:rsid w:val="0073158F"/>
    <w:rsid w:val="00732DEC"/>
    <w:rsid w:val="00735BD5"/>
    <w:rsid w:val="007451EC"/>
    <w:rsid w:val="00747E51"/>
    <w:rsid w:val="007500BD"/>
    <w:rsid w:val="00751613"/>
    <w:rsid w:val="0075217D"/>
    <w:rsid w:val="007556F6"/>
    <w:rsid w:val="00756D3A"/>
    <w:rsid w:val="00760A29"/>
    <w:rsid w:val="00760EEF"/>
    <w:rsid w:val="00763682"/>
    <w:rsid w:val="00766E51"/>
    <w:rsid w:val="00777EE5"/>
    <w:rsid w:val="00782255"/>
    <w:rsid w:val="00784836"/>
    <w:rsid w:val="0079023E"/>
    <w:rsid w:val="00797F25"/>
    <w:rsid w:val="007A2854"/>
    <w:rsid w:val="007B740F"/>
    <w:rsid w:val="007B7E62"/>
    <w:rsid w:val="007C1D92"/>
    <w:rsid w:val="007C3C19"/>
    <w:rsid w:val="007C4CB9"/>
    <w:rsid w:val="007D0B9D"/>
    <w:rsid w:val="007D19B0"/>
    <w:rsid w:val="007D4635"/>
    <w:rsid w:val="007E7D90"/>
    <w:rsid w:val="007F06A2"/>
    <w:rsid w:val="007F498F"/>
    <w:rsid w:val="0080679D"/>
    <w:rsid w:val="0081005D"/>
    <w:rsid w:val="008108B0"/>
    <w:rsid w:val="00811B20"/>
    <w:rsid w:val="00815593"/>
    <w:rsid w:val="008211B5"/>
    <w:rsid w:val="0082296E"/>
    <w:rsid w:val="00824099"/>
    <w:rsid w:val="0083359E"/>
    <w:rsid w:val="00846C81"/>
    <w:rsid w:val="00846D7C"/>
    <w:rsid w:val="008548B5"/>
    <w:rsid w:val="008601ED"/>
    <w:rsid w:val="00867AC1"/>
    <w:rsid w:val="00876E55"/>
    <w:rsid w:val="00880868"/>
    <w:rsid w:val="0088452A"/>
    <w:rsid w:val="00884CFD"/>
    <w:rsid w:val="00890DF8"/>
    <w:rsid w:val="008A2BA2"/>
    <w:rsid w:val="008A5BF9"/>
    <w:rsid w:val="008A743F"/>
    <w:rsid w:val="008C0970"/>
    <w:rsid w:val="008C63D3"/>
    <w:rsid w:val="008D0BC5"/>
    <w:rsid w:val="008D2CF7"/>
    <w:rsid w:val="008D623E"/>
    <w:rsid w:val="008D762C"/>
    <w:rsid w:val="008E18F1"/>
    <w:rsid w:val="008F3A5C"/>
    <w:rsid w:val="00900C26"/>
    <w:rsid w:val="0090197F"/>
    <w:rsid w:val="00903264"/>
    <w:rsid w:val="00906DDC"/>
    <w:rsid w:val="00912A85"/>
    <w:rsid w:val="00927740"/>
    <w:rsid w:val="00930CB8"/>
    <w:rsid w:val="00933747"/>
    <w:rsid w:val="00934E09"/>
    <w:rsid w:val="00936253"/>
    <w:rsid w:val="00937051"/>
    <w:rsid w:val="00940D46"/>
    <w:rsid w:val="009412DD"/>
    <w:rsid w:val="00946F92"/>
    <w:rsid w:val="00950A9F"/>
    <w:rsid w:val="00952DD4"/>
    <w:rsid w:val="00953B60"/>
    <w:rsid w:val="009609D8"/>
    <w:rsid w:val="00965AE7"/>
    <w:rsid w:val="00970FED"/>
    <w:rsid w:val="00973B77"/>
    <w:rsid w:val="00980A67"/>
    <w:rsid w:val="00980FB5"/>
    <w:rsid w:val="009863D1"/>
    <w:rsid w:val="00987CB1"/>
    <w:rsid w:val="00992D82"/>
    <w:rsid w:val="00997029"/>
    <w:rsid w:val="009A0A72"/>
    <w:rsid w:val="009A1137"/>
    <w:rsid w:val="009A1402"/>
    <w:rsid w:val="009A7339"/>
    <w:rsid w:val="009A7747"/>
    <w:rsid w:val="009B2740"/>
    <w:rsid w:val="009B440E"/>
    <w:rsid w:val="009B56AE"/>
    <w:rsid w:val="009B69EB"/>
    <w:rsid w:val="009C40AA"/>
    <w:rsid w:val="009D690D"/>
    <w:rsid w:val="009E0FB9"/>
    <w:rsid w:val="009E1454"/>
    <w:rsid w:val="009E65B6"/>
    <w:rsid w:val="009E6C95"/>
    <w:rsid w:val="009F348C"/>
    <w:rsid w:val="009F77CF"/>
    <w:rsid w:val="00A0374E"/>
    <w:rsid w:val="00A053C1"/>
    <w:rsid w:val="00A227B8"/>
    <w:rsid w:val="00A232F6"/>
    <w:rsid w:val="00A24C10"/>
    <w:rsid w:val="00A3365A"/>
    <w:rsid w:val="00A37635"/>
    <w:rsid w:val="00A41AE7"/>
    <w:rsid w:val="00A42AC3"/>
    <w:rsid w:val="00A430CF"/>
    <w:rsid w:val="00A4696B"/>
    <w:rsid w:val="00A5343A"/>
    <w:rsid w:val="00A538F6"/>
    <w:rsid w:val="00A54309"/>
    <w:rsid w:val="00A566EE"/>
    <w:rsid w:val="00A57ECB"/>
    <w:rsid w:val="00A708B4"/>
    <w:rsid w:val="00A7468D"/>
    <w:rsid w:val="00A90CE6"/>
    <w:rsid w:val="00A92440"/>
    <w:rsid w:val="00A92701"/>
    <w:rsid w:val="00AA207C"/>
    <w:rsid w:val="00AA2FBA"/>
    <w:rsid w:val="00AB1801"/>
    <w:rsid w:val="00AB2B93"/>
    <w:rsid w:val="00AB530F"/>
    <w:rsid w:val="00AB7E5B"/>
    <w:rsid w:val="00AC2883"/>
    <w:rsid w:val="00AD6963"/>
    <w:rsid w:val="00AE0EF1"/>
    <w:rsid w:val="00AE1A27"/>
    <w:rsid w:val="00AE2937"/>
    <w:rsid w:val="00AE29CD"/>
    <w:rsid w:val="00B07301"/>
    <w:rsid w:val="00B104C1"/>
    <w:rsid w:val="00B11F3E"/>
    <w:rsid w:val="00B13FD5"/>
    <w:rsid w:val="00B15CDA"/>
    <w:rsid w:val="00B224DE"/>
    <w:rsid w:val="00B306C1"/>
    <w:rsid w:val="00B324D4"/>
    <w:rsid w:val="00B3738C"/>
    <w:rsid w:val="00B37AAA"/>
    <w:rsid w:val="00B37F80"/>
    <w:rsid w:val="00B46575"/>
    <w:rsid w:val="00B532C1"/>
    <w:rsid w:val="00B56FC0"/>
    <w:rsid w:val="00B61777"/>
    <w:rsid w:val="00B61E62"/>
    <w:rsid w:val="00B64123"/>
    <w:rsid w:val="00B65EDC"/>
    <w:rsid w:val="00B67831"/>
    <w:rsid w:val="00B7281F"/>
    <w:rsid w:val="00B84BBD"/>
    <w:rsid w:val="00B96C7F"/>
    <w:rsid w:val="00B97877"/>
    <w:rsid w:val="00BA43FB"/>
    <w:rsid w:val="00BA4485"/>
    <w:rsid w:val="00BA5B46"/>
    <w:rsid w:val="00BB7BA1"/>
    <w:rsid w:val="00BC127D"/>
    <w:rsid w:val="00BC1FE6"/>
    <w:rsid w:val="00BD28FC"/>
    <w:rsid w:val="00BE4C07"/>
    <w:rsid w:val="00BE6E28"/>
    <w:rsid w:val="00C0177A"/>
    <w:rsid w:val="00C01C3B"/>
    <w:rsid w:val="00C01DA5"/>
    <w:rsid w:val="00C02C41"/>
    <w:rsid w:val="00C0361E"/>
    <w:rsid w:val="00C06120"/>
    <w:rsid w:val="00C061B6"/>
    <w:rsid w:val="00C1074F"/>
    <w:rsid w:val="00C1254C"/>
    <w:rsid w:val="00C2190F"/>
    <w:rsid w:val="00C21BA4"/>
    <w:rsid w:val="00C23910"/>
    <w:rsid w:val="00C2446C"/>
    <w:rsid w:val="00C32E27"/>
    <w:rsid w:val="00C33293"/>
    <w:rsid w:val="00C36AE5"/>
    <w:rsid w:val="00C41F17"/>
    <w:rsid w:val="00C50DFD"/>
    <w:rsid w:val="00C527A1"/>
    <w:rsid w:val="00C527FA"/>
    <w:rsid w:val="00C5280D"/>
    <w:rsid w:val="00C53EB3"/>
    <w:rsid w:val="00C5791C"/>
    <w:rsid w:val="00C66290"/>
    <w:rsid w:val="00C70C3F"/>
    <w:rsid w:val="00C70DFF"/>
    <w:rsid w:val="00C72B7A"/>
    <w:rsid w:val="00C74C05"/>
    <w:rsid w:val="00C75029"/>
    <w:rsid w:val="00C75A58"/>
    <w:rsid w:val="00C81848"/>
    <w:rsid w:val="00C829F1"/>
    <w:rsid w:val="00C8561D"/>
    <w:rsid w:val="00C87D7E"/>
    <w:rsid w:val="00C91489"/>
    <w:rsid w:val="00C92046"/>
    <w:rsid w:val="00C973F2"/>
    <w:rsid w:val="00CA03BB"/>
    <w:rsid w:val="00CA2147"/>
    <w:rsid w:val="00CA304C"/>
    <w:rsid w:val="00CA5539"/>
    <w:rsid w:val="00CA774A"/>
    <w:rsid w:val="00CA7BA1"/>
    <w:rsid w:val="00CB003B"/>
    <w:rsid w:val="00CB748D"/>
    <w:rsid w:val="00CC11B0"/>
    <w:rsid w:val="00CC2841"/>
    <w:rsid w:val="00CC338F"/>
    <w:rsid w:val="00CE0FD5"/>
    <w:rsid w:val="00CF1330"/>
    <w:rsid w:val="00CF1A3C"/>
    <w:rsid w:val="00CF3D8B"/>
    <w:rsid w:val="00CF7E36"/>
    <w:rsid w:val="00D00D09"/>
    <w:rsid w:val="00D00D83"/>
    <w:rsid w:val="00D03722"/>
    <w:rsid w:val="00D03886"/>
    <w:rsid w:val="00D046C5"/>
    <w:rsid w:val="00D14C5A"/>
    <w:rsid w:val="00D36E1C"/>
    <w:rsid w:val="00D3708D"/>
    <w:rsid w:val="00D40426"/>
    <w:rsid w:val="00D427C3"/>
    <w:rsid w:val="00D42F46"/>
    <w:rsid w:val="00D454B1"/>
    <w:rsid w:val="00D506CF"/>
    <w:rsid w:val="00D560A7"/>
    <w:rsid w:val="00D5669D"/>
    <w:rsid w:val="00D57C96"/>
    <w:rsid w:val="00D57D18"/>
    <w:rsid w:val="00D76A6E"/>
    <w:rsid w:val="00D81587"/>
    <w:rsid w:val="00D91203"/>
    <w:rsid w:val="00D95174"/>
    <w:rsid w:val="00D95537"/>
    <w:rsid w:val="00D9763C"/>
    <w:rsid w:val="00DA049F"/>
    <w:rsid w:val="00DA2169"/>
    <w:rsid w:val="00DA4973"/>
    <w:rsid w:val="00DA690A"/>
    <w:rsid w:val="00DA6F36"/>
    <w:rsid w:val="00DA7794"/>
    <w:rsid w:val="00DB323D"/>
    <w:rsid w:val="00DB596E"/>
    <w:rsid w:val="00DB5D67"/>
    <w:rsid w:val="00DB7773"/>
    <w:rsid w:val="00DC00EA"/>
    <w:rsid w:val="00DC17F8"/>
    <w:rsid w:val="00DC3802"/>
    <w:rsid w:val="00DE1371"/>
    <w:rsid w:val="00DE40FD"/>
    <w:rsid w:val="00DE55B0"/>
    <w:rsid w:val="00DF6507"/>
    <w:rsid w:val="00DF692D"/>
    <w:rsid w:val="00E07D87"/>
    <w:rsid w:val="00E12ED3"/>
    <w:rsid w:val="00E25172"/>
    <w:rsid w:val="00E308CC"/>
    <w:rsid w:val="00E3132D"/>
    <w:rsid w:val="00E32F7E"/>
    <w:rsid w:val="00E364BF"/>
    <w:rsid w:val="00E37B2D"/>
    <w:rsid w:val="00E410C6"/>
    <w:rsid w:val="00E447F7"/>
    <w:rsid w:val="00E5267B"/>
    <w:rsid w:val="00E55365"/>
    <w:rsid w:val="00E623A5"/>
    <w:rsid w:val="00E63C0E"/>
    <w:rsid w:val="00E672CE"/>
    <w:rsid w:val="00E675E8"/>
    <w:rsid w:val="00E709FD"/>
    <w:rsid w:val="00E72D49"/>
    <w:rsid w:val="00E7593C"/>
    <w:rsid w:val="00E7678A"/>
    <w:rsid w:val="00E935F1"/>
    <w:rsid w:val="00E948F9"/>
    <w:rsid w:val="00E94A81"/>
    <w:rsid w:val="00EA1FFB"/>
    <w:rsid w:val="00EA28EE"/>
    <w:rsid w:val="00EB048E"/>
    <w:rsid w:val="00EB37D1"/>
    <w:rsid w:val="00EB4E9C"/>
    <w:rsid w:val="00EB7ED3"/>
    <w:rsid w:val="00ED7F3E"/>
    <w:rsid w:val="00EE0265"/>
    <w:rsid w:val="00EE34DF"/>
    <w:rsid w:val="00EE4E91"/>
    <w:rsid w:val="00EF196C"/>
    <w:rsid w:val="00EF2F89"/>
    <w:rsid w:val="00F03E98"/>
    <w:rsid w:val="00F05868"/>
    <w:rsid w:val="00F1237A"/>
    <w:rsid w:val="00F13B88"/>
    <w:rsid w:val="00F22CBD"/>
    <w:rsid w:val="00F272F1"/>
    <w:rsid w:val="00F34B17"/>
    <w:rsid w:val="00F40D70"/>
    <w:rsid w:val="00F44DCF"/>
    <w:rsid w:val="00F45372"/>
    <w:rsid w:val="00F52739"/>
    <w:rsid w:val="00F560F7"/>
    <w:rsid w:val="00F60BE6"/>
    <w:rsid w:val="00F63291"/>
    <w:rsid w:val="00F6334D"/>
    <w:rsid w:val="00F63599"/>
    <w:rsid w:val="00F713A0"/>
    <w:rsid w:val="00F73621"/>
    <w:rsid w:val="00F772F5"/>
    <w:rsid w:val="00FA098D"/>
    <w:rsid w:val="00FA49AB"/>
    <w:rsid w:val="00FB75FA"/>
    <w:rsid w:val="00FC6BF7"/>
    <w:rsid w:val="00FC7FED"/>
    <w:rsid w:val="00FD19F3"/>
    <w:rsid w:val="00FE08DE"/>
    <w:rsid w:val="00FE39C7"/>
    <w:rsid w:val="00FF4D07"/>
    <w:rsid w:val="014F06A8"/>
    <w:rsid w:val="11CD6E8B"/>
    <w:rsid w:val="13CD7880"/>
    <w:rsid w:val="1FBB4A88"/>
    <w:rsid w:val="28A0ABEF"/>
    <w:rsid w:val="2C07D160"/>
    <w:rsid w:val="2EC94AB3"/>
    <w:rsid w:val="360764B0"/>
    <w:rsid w:val="37278B5F"/>
    <w:rsid w:val="46161091"/>
    <w:rsid w:val="52E40541"/>
    <w:rsid w:val="53809F5A"/>
    <w:rsid w:val="57D2630B"/>
    <w:rsid w:val="59DEE1C8"/>
    <w:rsid w:val="5E5402C2"/>
    <w:rsid w:val="63A63388"/>
    <w:rsid w:val="653ADAA8"/>
    <w:rsid w:val="668F05E3"/>
    <w:rsid w:val="67138D89"/>
    <w:rsid w:val="71450992"/>
    <w:rsid w:val="7187E33D"/>
    <w:rsid w:val="7A2B4FBE"/>
    <w:rsid w:val="7AEB7FE9"/>
    <w:rsid w:val="7F398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CB1886E7-0A32-4B4E-B599-128AC82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FC7FED"/>
    <w:pPr>
      <w:keepNext/>
      <w:pageBreakBefore/>
      <w:numPr>
        <w:numId w:val="5"/>
      </w:numPr>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0363C4"/>
    <w:pPr>
      <w:keepNext/>
      <w:jc w:val="both"/>
      <w:outlineLvl w:val="2"/>
    </w:pPr>
    <w:rPr>
      <w:rFonts w:ascii="Arial" w:hAnsi="Arial"/>
      <w:b/>
      <w:color w:val="26724C" w:themeColor="accent1" w:themeShade="BF"/>
      <w:sz w:val="22"/>
    </w:rPr>
  </w:style>
  <w:style w:type="paragraph" w:styleId="Heading4">
    <w:name w:val="heading 4"/>
    <w:next w:val="Normal"/>
    <w:autoRedefine/>
    <w:qFormat/>
    <w:rsid w:val="003F289C"/>
    <w:pPr>
      <w:keepNext/>
      <w:ind w:left="1134" w:hanging="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B104C1"/>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s-E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es-ES"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es-ES"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0363C4"/>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es-ES"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B65EDC"/>
    <w:rPr>
      <w:rFonts w:ascii="Arial" w:hAnsi="Arial"/>
      <w:b/>
      <w:bCs/>
      <w:spacing w:val="10"/>
      <w:sz w:val="18"/>
      <w:lang w:val="es-ES"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es-ES" w:eastAsia="en-US" w:bidi="ar-SA"/>
    </w:rPr>
  </w:style>
  <w:style w:type="character" w:customStyle="1" w:styleId="StyleDocoriginalNotBold1">
    <w:name w:val="Style Doc_original + Not Bold1"/>
    <w:basedOn w:val="DefaultParagraphFont"/>
    <w:rsid w:val="00B65EDC"/>
    <w:rPr>
      <w:rFonts w:ascii="Arial" w:hAnsi="Arial"/>
      <w:b/>
      <w:bCs/>
      <w:spacing w:val="10"/>
      <w:lang w:val="es-ES" w:eastAsia="en-US" w:bidi="ar-SA"/>
    </w:rPr>
  </w:style>
  <w:style w:type="character" w:customStyle="1" w:styleId="StyleDoclangBold">
    <w:name w:val="Style Doc_lang + Bold"/>
    <w:basedOn w:val="Doclang"/>
    <w:rsid w:val="00B65EDC"/>
    <w:rPr>
      <w:rFonts w:ascii="Arial" w:hAnsi="Arial"/>
      <w:b/>
      <w:bCs/>
      <w:sz w:val="20"/>
      <w:lang w:val="es-E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es-ES"/>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B104C1"/>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0C7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footer" Target="footer1.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resource/es/pvp_certificate.html" TargetMode="External"/><Relationship Id="rId29"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3.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0903FCF2-2FBE-41A5-B53D-CC20DFBAD72A}">
  <ds:schemaRefs>
    <ds:schemaRef ds:uri="http://schemas.microsoft.com/sharepoint/v3/contenttype/forms"/>
  </ds:schemaRefs>
</ds:datastoreItem>
</file>

<file path=customXml/itemProps2.xml><?xml version="1.0" encoding="utf-8"?>
<ds:datastoreItem xmlns:ds="http://schemas.openxmlformats.org/officeDocument/2006/customXml" ds:itemID="{A4311F7A-4E72-45CB-A072-2C3E353E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D3A4A-C368-4D21-8120-EE922592B0D4}">
  <ds:schemaRefs>
    <ds:schemaRef ds:uri="http://schemas.openxmlformats.org/officeDocument/2006/bibliography"/>
  </ds:schemaRefs>
</ds:datastoreItem>
</file>

<file path=customXml/itemProps4.xml><?xml version="1.0" encoding="utf-8"?>
<ds:datastoreItem xmlns:ds="http://schemas.openxmlformats.org/officeDocument/2006/customXml" ds:itemID="{8799C0FE-3CDC-4AD9-A180-A43AE7E121FC}">
  <ds:schemaRefs>
    <ds:schemaRef ds:uri="http://schemas.microsoft.com/office/2006/metadata/properties"/>
    <ds:schemaRef ds:uri="http://schemas.microsoft.com/office/infopath/2007/PartnerControl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14160</Words>
  <Characters>72085</Characters>
  <Application>Microsoft Office Word</Application>
  <DocSecurity>0</DocSecurity>
  <Lines>2635</Lines>
  <Paragraphs>1417</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85053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 Rev.</dc:title>
  <dc:subject/>
  <dc:creator>SANCHEZ VIZCAINO GOMEZ Rosa Maria</dc:creator>
  <cp:keywords/>
  <cp:lastModifiedBy>SANCHEZ VIZCAINO GOMEZ Rosa Maria</cp:lastModifiedBy>
  <cp:revision>7</cp:revision>
  <cp:lastPrinted>2025-09-05T07:14:00Z</cp:lastPrinted>
  <dcterms:created xsi:type="dcterms:W3CDTF">2025-11-05T12:03:00Z</dcterms:created>
  <dcterms:modified xsi:type="dcterms:W3CDTF">2025-11-05T12:14:00Z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5b3bc20a,2fa97c58,6c6af7c5,5bf11c7e,79b4bdc2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ContentTypeId">
    <vt:lpwstr>0x010100301BD4133F28514D8C0E6121C9C63BEE</vt:lpwstr>
  </property>
  <property fmtid="{D5CDD505-2E9C-101B-9397-08002B2CF9AE}" pid="6" name="docLang">
    <vt:lpwstr>en</vt:lpwstr>
  </property>
  <property fmtid="{D5CDD505-2E9C-101B-9397-08002B2CF9AE}" pid="7" name="MSIP_Label_20773ee6-353b-4fb9-a59d-0b94c8c67bea_Enabled">
    <vt:lpwstr>true</vt:lpwstr>
  </property>
  <property fmtid="{D5CDD505-2E9C-101B-9397-08002B2CF9AE}" pid="8" name="MSIP_Label_20773ee6-353b-4fb9-a59d-0b94c8c67bea_SetDate">
    <vt:lpwstr>2025-09-23T13:35:46Z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9911360e-f234-4001-9851-3143a1589bf7</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