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E675E8" w14:paraId="33804FB6" w14:textId="77777777" w:rsidTr="00EB4E9C">
        <w:tc>
          <w:tcPr>
            <w:tcW w:w="6522" w:type="dxa"/>
          </w:tcPr>
          <w:p w14:paraId="11EB7F1F" w14:textId="77777777" w:rsidR="00DC3802" w:rsidRPr="00E675E8" w:rsidRDefault="00CA7BA1" w:rsidP="00AC2883">
            <w:pPr>
              <w:rPr>
                <w:lang w:val="es-ES_tradnl"/>
              </w:rPr>
            </w:pPr>
            <w:r w:rsidRPr="00E675E8">
              <w:rPr>
                <w:noProof/>
                <w:lang w:val="es-ES_tradnl"/>
              </w:rPr>
              <w:drawing>
                <wp:inline distT="0" distB="0" distL="0" distR="0" wp14:anchorId="2A364BC0" wp14:editId="0004BCBA">
                  <wp:extent cx="933450" cy="266700"/>
                  <wp:effectExtent l="0" t="0" r="0" b="0"/>
                  <wp:docPr id="1613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79380"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12787DD7" w14:textId="77777777" w:rsidR="00DC3802" w:rsidRPr="00E675E8" w:rsidRDefault="00DC3802" w:rsidP="00AC2883">
            <w:pPr>
              <w:pStyle w:val="Lettrine"/>
              <w:rPr>
                <w:lang w:val="es-ES_tradnl"/>
              </w:rPr>
            </w:pPr>
            <w:r w:rsidRPr="00E675E8">
              <w:rPr>
                <w:lang w:val="es-ES_tradnl"/>
              </w:rPr>
              <w:t>S</w:t>
            </w:r>
          </w:p>
        </w:tc>
      </w:tr>
      <w:tr w:rsidR="00DC3802" w:rsidRPr="00E675E8" w14:paraId="7631ED54" w14:textId="77777777" w:rsidTr="00645CA8">
        <w:trPr>
          <w:trHeight w:val="219"/>
        </w:trPr>
        <w:tc>
          <w:tcPr>
            <w:tcW w:w="6522" w:type="dxa"/>
          </w:tcPr>
          <w:p w14:paraId="5C7ED235" w14:textId="77777777" w:rsidR="00DC3802" w:rsidRPr="00E675E8" w:rsidRDefault="00DC3802" w:rsidP="00AC2883">
            <w:pPr>
              <w:pStyle w:val="upove"/>
              <w:rPr>
                <w:lang w:val="es-ES_tradnl"/>
              </w:rPr>
            </w:pPr>
            <w:r w:rsidRPr="00E675E8">
              <w:rPr>
                <w:lang w:val="es-ES_tradnl"/>
              </w:rPr>
              <w:t>Unión Internacional para la Protección de las Obtenciones Vegetales</w:t>
            </w:r>
          </w:p>
        </w:tc>
        <w:tc>
          <w:tcPr>
            <w:tcW w:w="3117" w:type="dxa"/>
          </w:tcPr>
          <w:p w14:paraId="085313F9" w14:textId="77777777" w:rsidR="00DC3802" w:rsidRPr="00E675E8" w:rsidRDefault="00DC3802" w:rsidP="00DA4973">
            <w:pPr>
              <w:rPr>
                <w:lang w:val="es-ES_tradnl"/>
              </w:rPr>
            </w:pPr>
          </w:p>
        </w:tc>
      </w:tr>
    </w:tbl>
    <w:p w14:paraId="746AA05B" w14:textId="77777777" w:rsidR="00DC3802" w:rsidRPr="00E675E8" w:rsidRDefault="00DC3802" w:rsidP="00DC3802">
      <w:pPr>
        <w:rPr>
          <w:lang w:val="es-ES_tradnl"/>
        </w:rPr>
      </w:pPr>
    </w:p>
    <w:p w14:paraId="3996B22E" w14:textId="77777777" w:rsidR="00DA4973" w:rsidRPr="00E675E8" w:rsidRDefault="00DA4973" w:rsidP="00DC3802">
      <w:pPr>
        <w:rPr>
          <w:lang w:val="es-ES_tradnl"/>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E675E8" w14:paraId="172E9C97" w14:textId="77777777" w:rsidTr="00EB4E9C">
        <w:tc>
          <w:tcPr>
            <w:tcW w:w="6512" w:type="dxa"/>
          </w:tcPr>
          <w:p w14:paraId="653E5092" w14:textId="77777777" w:rsidR="00EB4E9C" w:rsidRPr="00E675E8" w:rsidRDefault="00A3365A" w:rsidP="00AC2883">
            <w:pPr>
              <w:pStyle w:val="Sessiontc"/>
              <w:spacing w:line="240" w:lineRule="auto"/>
              <w:rPr>
                <w:lang w:val="es-ES_tradnl"/>
              </w:rPr>
            </w:pPr>
            <w:r w:rsidRPr="00E675E8">
              <w:rPr>
                <w:lang w:val="es-ES_tradnl"/>
              </w:rPr>
              <w:t>Consejo</w:t>
            </w:r>
          </w:p>
          <w:p w14:paraId="22A5E448" w14:textId="77777777" w:rsidR="0083359E" w:rsidRPr="00E675E8" w:rsidRDefault="00A3365A" w:rsidP="0051361E">
            <w:pPr>
              <w:pStyle w:val="Sessiontcplacedate"/>
              <w:rPr>
                <w:lang w:val="es-ES_tradnl"/>
              </w:rPr>
            </w:pPr>
            <w:r w:rsidRPr="00E675E8">
              <w:rPr>
                <w:lang w:val="es-ES_tradnl"/>
              </w:rPr>
              <w:t>Quincuagésima novena sesión ordinaria</w:t>
            </w:r>
          </w:p>
          <w:p w14:paraId="51335F91" w14:textId="77777777" w:rsidR="00EB4E9C" w:rsidRPr="00E675E8" w:rsidRDefault="00EB4E9C" w:rsidP="00E364BF">
            <w:pPr>
              <w:pStyle w:val="Sessiontcplacedate"/>
              <w:rPr>
                <w:sz w:val="22"/>
                <w:lang w:val="es-ES_tradnl"/>
              </w:rPr>
            </w:pPr>
            <w:r w:rsidRPr="00E675E8">
              <w:rPr>
                <w:lang w:val="es-ES_tradnl"/>
              </w:rPr>
              <w:t>Ginebra, 24 de octubre de 2025</w:t>
            </w:r>
          </w:p>
        </w:tc>
        <w:tc>
          <w:tcPr>
            <w:tcW w:w="3127" w:type="dxa"/>
          </w:tcPr>
          <w:p w14:paraId="3AE62D78" w14:textId="420B24E1" w:rsidR="00EB4E9C" w:rsidRPr="00E675E8" w:rsidRDefault="00B65EDC" w:rsidP="003C7FBE">
            <w:pPr>
              <w:pStyle w:val="Doccode"/>
              <w:rPr>
                <w:lang w:val="es-ES_tradnl"/>
              </w:rPr>
            </w:pPr>
            <w:r w:rsidRPr="00E675E8">
              <w:rPr>
                <w:lang w:val="es-ES_tradnl"/>
              </w:rPr>
              <w:t>C/59/4</w:t>
            </w:r>
          </w:p>
          <w:p w14:paraId="2B6B2EBC" w14:textId="0ADFB5A0" w:rsidR="00EB4E9C" w:rsidRPr="00E675E8" w:rsidRDefault="00EB4E9C" w:rsidP="003C7FBE">
            <w:pPr>
              <w:pStyle w:val="Docoriginal"/>
              <w:rPr>
                <w:lang w:val="es-ES_tradnl"/>
              </w:rPr>
            </w:pPr>
            <w:r w:rsidRPr="00E675E8">
              <w:rPr>
                <w:lang w:val="es-ES_tradnl"/>
              </w:rPr>
              <w:t>Original:</w:t>
            </w:r>
            <w:r w:rsidR="002817AB" w:rsidRPr="00E675E8">
              <w:rPr>
                <w:b w:val="0"/>
                <w:lang w:val="es-ES_tradnl"/>
              </w:rPr>
              <w:t xml:space="preserve"> </w:t>
            </w:r>
            <w:r w:rsidRPr="005170D3">
              <w:rPr>
                <w:b w:val="0"/>
                <w:spacing w:val="0"/>
                <w:lang w:val="es-ES_tradnl"/>
              </w:rPr>
              <w:t>Inglés</w:t>
            </w:r>
          </w:p>
          <w:p w14:paraId="49ECA97A" w14:textId="02E5BDCB" w:rsidR="00EB4E9C" w:rsidRPr="00E675E8" w:rsidRDefault="00EB4E9C" w:rsidP="00E364BF">
            <w:pPr>
              <w:pStyle w:val="Docoriginal"/>
              <w:rPr>
                <w:lang w:val="es-ES_tradnl"/>
              </w:rPr>
            </w:pPr>
            <w:r w:rsidRPr="00E675E8">
              <w:rPr>
                <w:lang w:val="es-ES_tradnl"/>
              </w:rPr>
              <w:t>Fecha:</w:t>
            </w:r>
            <w:r w:rsidR="002817AB" w:rsidRPr="00E675E8">
              <w:rPr>
                <w:b w:val="0"/>
                <w:lang w:val="es-ES_tradnl"/>
              </w:rPr>
              <w:t xml:space="preserve"> </w:t>
            </w:r>
            <w:r w:rsidRPr="005170D3">
              <w:rPr>
                <w:b w:val="0"/>
                <w:spacing w:val="0"/>
                <w:lang w:val="es-ES_tradnl"/>
              </w:rPr>
              <w:t>1</w:t>
            </w:r>
            <w:r w:rsidR="005170D3" w:rsidRPr="005170D3">
              <w:rPr>
                <w:b w:val="0"/>
                <w:spacing w:val="0"/>
                <w:lang w:val="es-ES_tradnl"/>
              </w:rPr>
              <w:t>9</w:t>
            </w:r>
            <w:r w:rsidRPr="005170D3">
              <w:rPr>
                <w:b w:val="0"/>
                <w:spacing w:val="0"/>
                <w:lang w:val="es-ES_tradnl"/>
              </w:rPr>
              <w:t xml:space="preserve"> de septiembre de 2025</w:t>
            </w:r>
          </w:p>
        </w:tc>
      </w:tr>
    </w:tbl>
    <w:p w14:paraId="3DDD6FE8" w14:textId="5D7D9197" w:rsidR="00B65EDC" w:rsidRPr="00E675E8" w:rsidRDefault="00B65EDC" w:rsidP="00B65EDC">
      <w:pPr>
        <w:pStyle w:val="Titleofdoc0"/>
        <w:rPr>
          <w:lang w:val="es-ES_tradnl"/>
        </w:rPr>
      </w:pPr>
      <w:r w:rsidRPr="00E675E8">
        <w:rPr>
          <w:lang w:val="es-ES_tradnl"/>
        </w:rPr>
        <w:t>PROYECTO DE PROGRAMA Y PRESUPUESTO PARA EL BIENIO 2026-2027</w:t>
      </w:r>
    </w:p>
    <w:p w14:paraId="731AE50E" w14:textId="77777777" w:rsidR="00B65EDC" w:rsidRPr="00E675E8" w:rsidRDefault="00B65EDC" w:rsidP="00B65EDC">
      <w:pPr>
        <w:pStyle w:val="preparedby1"/>
        <w:jc w:val="left"/>
        <w:rPr>
          <w:lang w:val="es-ES_tradnl"/>
        </w:rPr>
      </w:pPr>
      <w:r w:rsidRPr="00E675E8">
        <w:rPr>
          <w:lang w:val="es-ES_tradnl"/>
        </w:rPr>
        <w:t>Documento preparado por la Oficina de la Unión</w:t>
      </w:r>
    </w:p>
    <w:p w14:paraId="69D238C1" w14:textId="56FDEBC2" w:rsidR="00B65EDC" w:rsidRPr="00E675E8" w:rsidRDefault="00B65EDC" w:rsidP="00B65EDC">
      <w:pPr>
        <w:pStyle w:val="Disclaimer"/>
        <w:rPr>
          <w:lang w:val="es-ES_tradnl"/>
        </w:rPr>
      </w:pPr>
      <w:r w:rsidRPr="00E675E8">
        <w:rPr>
          <w:lang w:val="es-ES_tradnl"/>
        </w:rPr>
        <w:t>Descargo de responsabilidad:</w:t>
      </w:r>
      <w:r w:rsidR="002817AB" w:rsidRPr="00E675E8">
        <w:rPr>
          <w:lang w:val="es-ES_tradnl"/>
        </w:rPr>
        <w:t xml:space="preserve"> </w:t>
      </w:r>
      <w:r w:rsidRPr="00E675E8">
        <w:rPr>
          <w:lang w:val="es-ES_tradnl"/>
        </w:rPr>
        <w:t>el presente documento no constituye un documento de política u orientación de la UPOV</w:t>
      </w:r>
    </w:p>
    <w:p w14:paraId="40D828E4" w14:textId="77777777" w:rsidR="00B65EDC" w:rsidRPr="00E675E8" w:rsidRDefault="00B65EDC" w:rsidP="00B65EDC">
      <w:pPr>
        <w:rPr>
          <w:lang w:val="es-ES_tradnl"/>
        </w:rPr>
      </w:pPr>
      <w:r w:rsidRPr="00E675E8">
        <w:rPr>
          <w:lang w:val="es-ES_tradnl"/>
        </w:rPr>
        <w:t>RESUMEN</w:t>
      </w:r>
    </w:p>
    <w:p w14:paraId="3FA5986E" w14:textId="77777777" w:rsidR="00B65EDC" w:rsidRPr="00E675E8" w:rsidRDefault="00B65EDC" w:rsidP="00B65EDC">
      <w:pPr>
        <w:rPr>
          <w:lang w:val="es-ES_tradnl"/>
        </w:rPr>
      </w:pPr>
    </w:p>
    <w:p w14:paraId="02326063" w14:textId="7682ABFC" w:rsidR="00A41AE7" w:rsidRPr="00E675E8" w:rsidRDefault="00D00D83" w:rsidP="00A41AE7">
      <w:pPr>
        <w:rPr>
          <w:lang w:val="es-ES_tradnl"/>
        </w:rPr>
      </w:pPr>
      <w:r w:rsidRPr="00E675E8">
        <w:rPr>
          <w:lang w:val="es-ES_tradnl"/>
        </w:rPr>
        <w:t>1.</w:t>
      </w:r>
      <w:r w:rsidRPr="00E675E8">
        <w:rPr>
          <w:lang w:val="es-ES_tradnl"/>
        </w:rPr>
        <w:tab/>
        <w:t xml:space="preserve">Las propuestas para el “Anteproyecto de programa y presupuesto para el bienio 2026-2027” se distribuyeron el 28 de febrero de 2025 y fueron aprobadas por correspondencia por </w:t>
      </w:r>
      <w:r w:rsidR="000411C9">
        <w:rPr>
          <w:lang w:val="es-ES_tradnl"/>
        </w:rPr>
        <w:t>el Comité Consultivo</w:t>
      </w:r>
      <w:r w:rsidR="000411C9">
        <w:rPr>
          <w:lang w:val="es-ES_tradnl"/>
        </w:rPr>
        <w:br/>
      </w:r>
      <w:r w:rsidRPr="00E675E8">
        <w:rPr>
          <w:lang w:val="es-ES_tradnl"/>
        </w:rPr>
        <w:t>el</w:t>
      </w:r>
      <w:r w:rsidR="002817AB" w:rsidRPr="00E675E8">
        <w:rPr>
          <w:lang w:val="es-ES_tradnl"/>
        </w:rPr>
        <w:t> </w:t>
      </w:r>
      <w:r w:rsidRPr="00E675E8">
        <w:rPr>
          <w:lang w:val="es-ES_tradnl"/>
        </w:rPr>
        <w:t>11 de abril de 2025 (circular E-25/013).</w:t>
      </w:r>
    </w:p>
    <w:p w14:paraId="61A86FF5" w14:textId="77777777" w:rsidR="00A41AE7" w:rsidRPr="00E675E8" w:rsidRDefault="00A41AE7" w:rsidP="00A41AE7">
      <w:pPr>
        <w:rPr>
          <w:lang w:val="es-ES_tradnl"/>
        </w:rPr>
      </w:pPr>
    </w:p>
    <w:p w14:paraId="5BC68F9F" w14:textId="52F815CF" w:rsidR="00A41AE7" w:rsidRPr="00E675E8" w:rsidRDefault="00D00D83" w:rsidP="00575E00">
      <w:pPr>
        <w:rPr>
          <w:lang w:val="es-ES_tradnl"/>
        </w:rPr>
      </w:pPr>
      <w:r w:rsidRPr="00E675E8">
        <w:rPr>
          <w:lang w:val="es-ES_tradnl"/>
        </w:rPr>
        <w:t>2.</w:t>
      </w:r>
      <w:r w:rsidRPr="00E675E8">
        <w:rPr>
          <w:lang w:val="es-ES_tradnl"/>
        </w:rPr>
        <w:tab/>
        <w:t>El proyecto de programa y presupuesto para el bienio 2026-2027 contiene las mismas propuestas que se distribuyeron al Comité Consultivo, ya que no se recibieron cambios sustanciales de los miembros de la</w:t>
      </w:r>
      <w:r w:rsidR="002817AB" w:rsidRPr="00E675E8">
        <w:rPr>
          <w:lang w:val="es-ES_tradnl"/>
        </w:rPr>
        <w:t> </w:t>
      </w:r>
      <w:r w:rsidRPr="00E675E8">
        <w:rPr>
          <w:lang w:val="es-ES_tradnl"/>
        </w:rPr>
        <w:t xml:space="preserve">Unión. </w:t>
      </w:r>
    </w:p>
    <w:p w14:paraId="6EE6743B" w14:textId="77777777" w:rsidR="005D291B" w:rsidRPr="00E675E8" w:rsidRDefault="005D291B" w:rsidP="00575E00">
      <w:pPr>
        <w:rPr>
          <w:lang w:val="es-ES_tradnl"/>
        </w:rPr>
      </w:pPr>
    </w:p>
    <w:p w14:paraId="72E7DAE1" w14:textId="4E152901" w:rsidR="00884CFD" w:rsidRPr="00E675E8" w:rsidRDefault="005D291B" w:rsidP="00575E00">
      <w:pPr>
        <w:rPr>
          <w:lang w:val="es-ES_tradnl"/>
        </w:rPr>
      </w:pPr>
      <w:r w:rsidRPr="00E675E8">
        <w:rPr>
          <w:lang w:val="es-ES_tradnl"/>
        </w:rPr>
        <w:t>3.</w:t>
      </w:r>
      <w:r w:rsidRPr="00E675E8">
        <w:rPr>
          <w:lang w:val="es-ES_tradnl"/>
        </w:rPr>
        <w:tab/>
        <w:t xml:space="preserve">En julio de 2025 finalizó la revisión del </w:t>
      </w:r>
      <w:r w:rsidR="005170D3" w:rsidRPr="00E675E8">
        <w:rPr>
          <w:lang w:val="es-ES_tradnl"/>
        </w:rPr>
        <w:t xml:space="preserve">acuerdo de nivel de servicio </w:t>
      </w:r>
      <w:r w:rsidRPr="00E675E8">
        <w:rPr>
          <w:lang w:val="es-ES_tradnl"/>
        </w:rPr>
        <w:t>(SLA) OMPI/UPOV.</w:t>
      </w:r>
      <w:r w:rsidR="002817AB" w:rsidRPr="00E675E8">
        <w:rPr>
          <w:lang w:val="es-ES_tradnl"/>
        </w:rPr>
        <w:t xml:space="preserve"> </w:t>
      </w:r>
      <w:r w:rsidR="005170D3">
        <w:rPr>
          <w:lang w:val="es-ES_tradnl"/>
        </w:rPr>
        <w:t xml:space="preserve"> </w:t>
      </w:r>
      <w:r w:rsidRPr="00E675E8">
        <w:rPr>
          <w:lang w:val="es-ES_tradnl"/>
        </w:rPr>
        <w:t>El resultado fue un aumento sustancial del costo de los servicios prestados por la OMPI a la UPOV.</w:t>
      </w:r>
      <w:r w:rsidR="002817AB" w:rsidRPr="00E675E8">
        <w:rPr>
          <w:lang w:val="es-ES_tradnl"/>
        </w:rPr>
        <w:t xml:space="preserve"> </w:t>
      </w:r>
      <w:r w:rsidR="005170D3">
        <w:rPr>
          <w:lang w:val="es-ES_tradnl"/>
        </w:rPr>
        <w:t xml:space="preserve"> </w:t>
      </w:r>
      <w:r w:rsidRPr="00E675E8">
        <w:rPr>
          <w:lang w:val="es-ES_tradnl"/>
        </w:rPr>
        <w:t>Teniendo en cuenta la repercusión que este importante aumento tendría en el presupuesto de la UPOV, el bienio 2026-2027 será un período de transición en el que la OMPI facturará el 25 % del aumento.</w:t>
      </w:r>
      <w:r w:rsidR="002817AB" w:rsidRPr="00E675E8">
        <w:rPr>
          <w:lang w:val="es-ES_tradnl"/>
        </w:rPr>
        <w:t xml:space="preserve"> </w:t>
      </w:r>
      <w:r w:rsidR="005170D3">
        <w:rPr>
          <w:lang w:val="es-ES_tradnl"/>
        </w:rPr>
        <w:t xml:space="preserve"> </w:t>
      </w:r>
      <w:r w:rsidRPr="00E675E8">
        <w:rPr>
          <w:lang w:val="es-ES_tradnl"/>
        </w:rPr>
        <w:t xml:space="preserve">Esta cantidad no se refleja en las cifras presentadas en el proyecto de programa y presupuesto para el período 2026-2027 (documento C/59/4) y se absorberá mediante los ahorros generados durante su ejecución. </w:t>
      </w:r>
    </w:p>
    <w:p w14:paraId="78D266EF" w14:textId="77777777" w:rsidR="00884CFD" w:rsidRPr="00E675E8" w:rsidRDefault="00884CFD" w:rsidP="00575E00">
      <w:pPr>
        <w:rPr>
          <w:lang w:val="es-ES_tradnl"/>
        </w:rPr>
      </w:pPr>
    </w:p>
    <w:p w14:paraId="58F84B9D" w14:textId="1ED11805" w:rsidR="005D291B" w:rsidRPr="00E675E8" w:rsidRDefault="00500058" w:rsidP="00575E00">
      <w:pPr>
        <w:rPr>
          <w:lang w:val="es-ES_tradnl"/>
        </w:rPr>
      </w:pPr>
      <w:r w:rsidRPr="00E675E8">
        <w:rPr>
          <w:lang w:val="es-ES_tradnl"/>
        </w:rPr>
        <w:t>4.</w:t>
      </w:r>
      <w:r w:rsidRPr="00E675E8">
        <w:rPr>
          <w:lang w:val="es-ES_tradnl"/>
        </w:rPr>
        <w:tab/>
        <w:t>Los servicios prestados por la OMPI y la cantidad que deberá pagar la UPOV en virtud del acuerdo de nivel de servicios se examinarán en el contexto de la preparación de cada programa y presupuesto bienal de la UPOV.</w:t>
      </w:r>
      <w:r w:rsidR="002817AB" w:rsidRPr="00E675E8">
        <w:rPr>
          <w:lang w:val="es-ES_tradnl"/>
        </w:rPr>
        <w:t xml:space="preserve"> </w:t>
      </w:r>
      <w:r w:rsidR="005170D3">
        <w:rPr>
          <w:lang w:val="es-ES_tradnl"/>
        </w:rPr>
        <w:t xml:space="preserve"> </w:t>
      </w:r>
      <w:r w:rsidRPr="00E675E8">
        <w:rPr>
          <w:lang w:val="es-ES_tradnl"/>
        </w:rPr>
        <w:t>La facturación de la OMPI a la UPOV se ajustará cada dos años.</w:t>
      </w:r>
      <w:r w:rsidR="002817AB" w:rsidRPr="00E675E8">
        <w:rPr>
          <w:lang w:val="es-ES_tradnl"/>
        </w:rPr>
        <w:t xml:space="preserve"> </w:t>
      </w:r>
      <w:r w:rsidR="005170D3">
        <w:rPr>
          <w:lang w:val="es-ES_tradnl"/>
        </w:rPr>
        <w:t xml:space="preserve"> </w:t>
      </w:r>
      <w:r w:rsidRPr="00E675E8">
        <w:rPr>
          <w:lang w:val="es-ES_tradnl"/>
        </w:rPr>
        <w:t>La estrategia de recursos de la</w:t>
      </w:r>
      <w:r w:rsidR="000411C9">
        <w:rPr>
          <w:lang w:val="es-ES_tradnl"/>
        </w:rPr>
        <w:t> </w:t>
      </w:r>
      <w:r w:rsidRPr="00E675E8">
        <w:rPr>
          <w:lang w:val="es-ES_tradnl"/>
        </w:rPr>
        <w:t xml:space="preserve">UPOV (documento C/59/16) es esencial para garantizar que la UPOV pueda cubrir el costo total de los servicios prestados por la OMPI en los próximos bienios. </w:t>
      </w:r>
    </w:p>
    <w:p w14:paraId="6778EDBA" w14:textId="77777777" w:rsidR="00A41AE7" w:rsidRPr="00E675E8" w:rsidRDefault="00A41AE7" w:rsidP="00575E00">
      <w:pPr>
        <w:rPr>
          <w:lang w:val="es-ES_tradnl"/>
        </w:rPr>
      </w:pPr>
    </w:p>
    <w:p w14:paraId="2D2C38C4" w14:textId="34B108A9" w:rsidR="00575E00" w:rsidRPr="00E675E8" w:rsidRDefault="00500058" w:rsidP="00575E00">
      <w:pPr>
        <w:rPr>
          <w:lang w:val="es-ES_tradnl"/>
        </w:rPr>
      </w:pPr>
      <w:r w:rsidRPr="00E675E8">
        <w:rPr>
          <w:lang w:val="es-ES_tradnl"/>
        </w:rPr>
        <w:t>5.</w:t>
      </w:r>
      <w:r w:rsidRPr="00E675E8">
        <w:rPr>
          <w:lang w:val="es-ES_tradnl"/>
        </w:rPr>
        <w:tab/>
        <w:t>Sobre la base de lo anterior, y de conformidad con el Convenio de la UPOV (artículo 23.2 del Acta</w:t>
      </w:r>
      <w:r w:rsidR="005170D3">
        <w:rPr>
          <w:lang w:val="es-ES_tradnl"/>
        </w:rPr>
        <w:t> </w:t>
      </w:r>
      <w:r w:rsidRPr="00E675E8">
        <w:rPr>
          <w:lang w:val="es-ES_tradnl"/>
        </w:rPr>
        <w:t>de</w:t>
      </w:r>
      <w:r w:rsidR="002817AB" w:rsidRPr="00E675E8">
        <w:rPr>
          <w:lang w:val="es-ES_tradnl"/>
        </w:rPr>
        <w:t> </w:t>
      </w:r>
      <w:r w:rsidRPr="00E675E8">
        <w:rPr>
          <w:lang w:val="es-ES_tradnl"/>
        </w:rPr>
        <w:t>1978 y artículo 27.2 del Acta de 1991), así como con el Reglamento Financiero y la Reglamentación Financiera de la UPOV (documento UPOV/INF/4/6), se somete al Consejo para su aprobación el proyecto de programa y presupuesto para el bienio 2026-2027.</w:t>
      </w:r>
    </w:p>
    <w:p w14:paraId="148A71BA" w14:textId="77777777" w:rsidR="00575E00" w:rsidRPr="00E675E8" w:rsidRDefault="00575E00" w:rsidP="00575E00">
      <w:pPr>
        <w:rPr>
          <w:lang w:val="es-ES_tradnl"/>
        </w:rPr>
      </w:pPr>
    </w:p>
    <w:p w14:paraId="1E399ABB" w14:textId="390D61C5" w:rsidR="00575E00" w:rsidRPr="00E675E8" w:rsidRDefault="00500058" w:rsidP="00575E00">
      <w:pPr>
        <w:rPr>
          <w:lang w:val="es-ES_tradnl"/>
        </w:rPr>
      </w:pPr>
      <w:r w:rsidRPr="00E675E8">
        <w:rPr>
          <w:lang w:val="es-ES_tradnl"/>
        </w:rPr>
        <w:t>6.</w:t>
      </w:r>
      <w:r w:rsidRPr="00E675E8">
        <w:rPr>
          <w:lang w:val="es-ES_tradnl"/>
        </w:rPr>
        <w:tab/>
        <w:t>El proyecto de programa y presupuesto para el bienio 2026-2027 figura en el anexo de este documento.</w:t>
      </w:r>
    </w:p>
    <w:p w14:paraId="5367CDB1" w14:textId="77777777" w:rsidR="00F772F5" w:rsidRPr="00E675E8" w:rsidRDefault="00F772F5" w:rsidP="00575E00">
      <w:pPr>
        <w:rPr>
          <w:lang w:val="es-ES_tradnl"/>
        </w:rPr>
      </w:pPr>
    </w:p>
    <w:p w14:paraId="4615EC21" w14:textId="3DE6CCC2" w:rsidR="00575E00" w:rsidRPr="00E675E8" w:rsidRDefault="00500058" w:rsidP="005170D3">
      <w:pPr>
        <w:pStyle w:val="DecisionParagraphs"/>
        <w:rPr>
          <w:lang w:val="es-ES_tradnl"/>
        </w:rPr>
      </w:pPr>
      <w:r w:rsidRPr="00E675E8">
        <w:rPr>
          <w:lang w:val="es-ES_tradnl"/>
        </w:rPr>
        <w:t>7.</w:t>
      </w:r>
      <w:r w:rsidRPr="00E675E8">
        <w:rPr>
          <w:lang w:val="es-ES_tradnl"/>
        </w:rPr>
        <w:tab/>
        <w:t>Se invita al Consejo a aprobar el proyecto de programa y presupuesto de la Unión para el bienio</w:t>
      </w:r>
      <w:r w:rsidR="002817AB" w:rsidRPr="00E675E8">
        <w:rPr>
          <w:lang w:val="es-ES_tradnl"/>
        </w:rPr>
        <w:t> </w:t>
      </w:r>
      <w:r w:rsidRPr="00E675E8">
        <w:rPr>
          <w:lang w:val="es-ES_tradnl"/>
        </w:rPr>
        <w:t>2026-2027, tal y como figura en el anexo del presente documento, que incluye:</w:t>
      </w:r>
    </w:p>
    <w:p w14:paraId="5210897A" w14:textId="77777777" w:rsidR="00575E00" w:rsidRPr="00E675E8" w:rsidRDefault="00575E00" w:rsidP="005170D3">
      <w:pPr>
        <w:pStyle w:val="DecisionParagraphs"/>
        <w:rPr>
          <w:lang w:val="es-ES_tradnl"/>
        </w:rPr>
      </w:pPr>
    </w:p>
    <w:p w14:paraId="5F76DED7" w14:textId="77777777" w:rsidR="00575E00" w:rsidRPr="00E675E8" w:rsidRDefault="00575E00" w:rsidP="005170D3">
      <w:pPr>
        <w:pStyle w:val="DecisionParagraphs"/>
        <w:rPr>
          <w:lang w:val="es-ES_tradnl"/>
        </w:rPr>
      </w:pPr>
      <w:r w:rsidRPr="00E675E8">
        <w:rPr>
          <w:lang w:val="es-ES_tradnl"/>
        </w:rPr>
        <w:tab/>
        <w:t>i)</w:t>
      </w:r>
      <w:r w:rsidRPr="00E675E8">
        <w:rPr>
          <w:lang w:val="es-ES_tradnl"/>
        </w:rPr>
        <w:tab/>
        <w:t>el importe de las contribuciones de los miembros de la Unión;</w:t>
      </w:r>
    </w:p>
    <w:p w14:paraId="6E4FCFEB" w14:textId="77777777" w:rsidR="00575E00" w:rsidRPr="00E675E8" w:rsidRDefault="00575E00" w:rsidP="005170D3">
      <w:pPr>
        <w:pStyle w:val="DecisionParagraphs"/>
        <w:rPr>
          <w:lang w:val="es-ES_tradnl"/>
        </w:rPr>
      </w:pPr>
    </w:p>
    <w:p w14:paraId="06E86735" w14:textId="44AC4B9E" w:rsidR="00575E00" w:rsidRPr="00E675E8" w:rsidRDefault="00575E00" w:rsidP="005170D3">
      <w:pPr>
        <w:pStyle w:val="DecisionParagraphs"/>
        <w:rPr>
          <w:lang w:val="es-ES_tradnl"/>
        </w:rPr>
      </w:pPr>
      <w:r w:rsidRPr="00E675E8">
        <w:rPr>
          <w:lang w:val="es-ES_tradnl"/>
        </w:rPr>
        <w:tab/>
      </w:r>
      <w:proofErr w:type="spellStart"/>
      <w:r w:rsidRPr="00E675E8">
        <w:rPr>
          <w:lang w:val="es-ES_tradnl"/>
        </w:rPr>
        <w:t>ii</w:t>
      </w:r>
      <w:proofErr w:type="spellEnd"/>
      <w:r w:rsidRPr="00E675E8">
        <w:rPr>
          <w:lang w:val="es-ES_tradnl"/>
        </w:rPr>
        <w:t>)</w:t>
      </w:r>
      <w:r w:rsidRPr="00E675E8">
        <w:rPr>
          <w:lang w:val="es-ES_tradnl"/>
        </w:rPr>
        <w:tab/>
        <w:t>el límite máximo propuesto de gastos del presupuesto ordinario, a saber, 7 615 864 francos suizos, o los ingresos recibidos en el bienio, si esa cifra es inferior; y</w:t>
      </w:r>
    </w:p>
    <w:p w14:paraId="1CCC010C" w14:textId="77777777" w:rsidR="00575E00" w:rsidRPr="00E675E8" w:rsidRDefault="00575E00" w:rsidP="005170D3">
      <w:pPr>
        <w:pStyle w:val="DecisionParagraphs"/>
        <w:rPr>
          <w:lang w:val="es-ES_tradnl"/>
        </w:rPr>
      </w:pPr>
    </w:p>
    <w:p w14:paraId="5950E3F4" w14:textId="77777777" w:rsidR="00575E00" w:rsidRPr="00E675E8" w:rsidRDefault="00575E00" w:rsidP="005170D3">
      <w:pPr>
        <w:pStyle w:val="DecisionParagraphs"/>
        <w:rPr>
          <w:lang w:val="es-ES_tradnl"/>
        </w:rPr>
      </w:pPr>
      <w:r w:rsidRPr="00E675E8">
        <w:rPr>
          <w:lang w:val="es-ES_tradnl"/>
        </w:rPr>
        <w:tab/>
      </w:r>
      <w:proofErr w:type="spellStart"/>
      <w:r w:rsidRPr="00E675E8">
        <w:rPr>
          <w:lang w:val="es-ES_tradnl"/>
        </w:rPr>
        <w:t>iii</w:t>
      </w:r>
      <w:proofErr w:type="spellEnd"/>
      <w:r w:rsidRPr="00E675E8">
        <w:rPr>
          <w:lang w:val="es-ES_tradnl"/>
        </w:rPr>
        <w:t>)</w:t>
      </w:r>
      <w:r w:rsidRPr="00E675E8">
        <w:rPr>
          <w:lang w:val="es-ES_tradnl"/>
        </w:rPr>
        <w:tab/>
        <w:t>el número total de puestos.</w:t>
      </w:r>
    </w:p>
    <w:p w14:paraId="48889FC4" w14:textId="77777777" w:rsidR="005170D3" w:rsidRDefault="005170D3" w:rsidP="00B65EDC">
      <w:pPr>
        <w:jc w:val="right"/>
        <w:rPr>
          <w:lang w:val="es-ES_tradnl"/>
        </w:rPr>
      </w:pPr>
    </w:p>
    <w:p w14:paraId="2D3B7DEC" w14:textId="77777777" w:rsidR="005170D3" w:rsidRDefault="005170D3" w:rsidP="00B65EDC">
      <w:pPr>
        <w:jc w:val="right"/>
        <w:rPr>
          <w:lang w:val="es-ES_tradnl"/>
        </w:rPr>
      </w:pPr>
    </w:p>
    <w:p w14:paraId="6F7788EA" w14:textId="3C65ECD5" w:rsidR="00B65EDC" w:rsidRPr="00E675E8" w:rsidRDefault="00B65EDC" w:rsidP="00B65EDC">
      <w:pPr>
        <w:jc w:val="right"/>
        <w:rPr>
          <w:lang w:val="es-ES_tradnl"/>
        </w:rPr>
      </w:pPr>
      <w:r w:rsidRPr="00E675E8">
        <w:rPr>
          <w:lang w:val="es-ES_tradnl"/>
        </w:rPr>
        <w:t>[Sigue el Anexo]</w:t>
      </w:r>
    </w:p>
    <w:p w14:paraId="57CC7038" w14:textId="77777777" w:rsidR="00B65EDC" w:rsidRPr="00E675E8" w:rsidRDefault="00B65EDC" w:rsidP="00B65EDC">
      <w:pPr>
        <w:jc w:val="left"/>
        <w:rPr>
          <w:lang w:val="es-ES_tradnl"/>
        </w:rPr>
        <w:sectPr w:rsidR="00B65EDC" w:rsidRPr="00E675E8" w:rsidSect="005170D3">
          <w:headerReference w:type="default" r:id="rId12"/>
          <w:pgSz w:w="11907" w:h="16840" w:code="9"/>
          <w:pgMar w:top="510" w:right="1134" w:bottom="567" w:left="1134" w:header="510" w:footer="680" w:gutter="0"/>
          <w:cols w:space="720"/>
          <w:titlePg/>
          <w:docGrid w:linePitch="272"/>
        </w:sectPr>
      </w:pPr>
    </w:p>
    <w:p w14:paraId="580BEB9A" w14:textId="54E6C292" w:rsidR="005D2CBA" w:rsidRPr="00E675E8" w:rsidRDefault="005D2CBA" w:rsidP="005D2CBA">
      <w:pPr>
        <w:pStyle w:val="Titleofdoc0"/>
        <w:spacing w:before="0" w:after="0"/>
        <w:jc w:val="center"/>
        <w:rPr>
          <w:caps w:val="0"/>
          <w:color w:val="194C33" w:themeColor="accent1" w:themeShade="80"/>
          <w:sz w:val="32"/>
          <w:szCs w:val="32"/>
          <w:lang w:val="es-ES_tradnl"/>
        </w:rPr>
      </w:pPr>
      <w:bookmarkStart w:id="0" w:name="_Toc63091083"/>
      <w:bookmarkStart w:id="1" w:name="_Toc63091280"/>
      <w:bookmarkStart w:id="2" w:name="_Toc63091810"/>
      <w:bookmarkStart w:id="3" w:name="_Toc63149887"/>
      <w:bookmarkStart w:id="4" w:name="_Toc63091084"/>
      <w:bookmarkStart w:id="5" w:name="_Toc63091281"/>
      <w:bookmarkStart w:id="6" w:name="_Toc63091811"/>
      <w:bookmarkStart w:id="7" w:name="_Toc63149888"/>
      <w:bookmarkStart w:id="8" w:name="_Toc63091085"/>
      <w:bookmarkStart w:id="9" w:name="_Toc63091282"/>
      <w:bookmarkStart w:id="10" w:name="_Toc63091812"/>
      <w:bookmarkStart w:id="11" w:name="_Toc63149889"/>
      <w:bookmarkEnd w:id="0"/>
      <w:bookmarkEnd w:id="1"/>
      <w:bookmarkEnd w:id="2"/>
      <w:bookmarkEnd w:id="3"/>
      <w:bookmarkEnd w:id="4"/>
      <w:bookmarkEnd w:id="5"/>
      <w:bookmarkEnd w:id="6"/>
      <w:bookmarkEnd w:id="7"/>
      <w:bookmarkEnd w:id="8"/>
      <w:bookmarkEnd w:id="9"/>
      <w:bookmarkEnd w:id="10"/>
      <w:bookmarkEnd w:id="11"/>
      <w:r w:rsidRPr="00E675E8">
        <w:rPr>
          <w:caps w:val="0"/>
          <w:color w:val="194C33" w:themeColor="accent1" w:themeShade="80"/>
          <w:sz w:val="32"/>
          <w:lang w:val="es-ES_tradnl"/>
        </w:rPr>
        <w:lastRenderedPageBreak/>
        <w:t>Proyecto de programa y presupuesto 2026-2027</w:t>
      </w:r>
    </w:p>
    <w:p w14:paraId="7B8BD863" w14:textId="77777777" w:rsidR="005D2CBA" w:rsidRPr="00E675E8" w:rsidRDefault="005D2CBA" w:rsidP="00B65EDC">
      <w:pPr>
        <w:rPr>
          <w:lang w:val="es-ES_tradnl"/>
        </w:rPr>
      </w:pPr>
    </w:p>
    <w:p w14:paraId="7D46F8A5" w14:textId="77777777" w:rsidR="005D2CBA" w:rsidRPr="00E675E8" w:rsidRDefault="005D2CBA" w:rsidP="00B65EDC">
      <w:pPr>
        <w:rPr>
          <w:lang w:val="es-ES_tradnl"/>
        </w:rPr>
      </w:pPr>
    </w:p>
    <w:sdt>
      <w:sdtPr>
        <w:rPr>
          <w:b/>
          <w:bCs/>
          <w:lang w:val="es-ES_tradnl"/>
        </w:rPr>
        <w:id w:val="-1719118402"/>
        <w:docPartObj>
          <w:docPartGallery w:val="Table of Contents"/>
          <w:docPartUnique/>
        </w:docPartObj>
      </w:sdtPr>
      <w:sdtEndPr>
        <w:rPr>
          <w:b w:val="0"/>
          <w:bCs w:val="0"/>
        </w:rPr>
      </w:sdtEndPr>
      <w:sdtContent>
        <w:p w14:paraId="3E992AF5" w14:textId="3EF94E8B" w:rsidR="00B65EDC" w:rsidRPr="00E675E8" w:rsidRDefault="00B65EDC" w:rsidP="00B65EDC">
          <w:pPr>
            <w:rPr>
              <w:b/>
              <w:bCs/>
              <w:lang w:val="es-ES_tradnl"/>
            </w:rPr>
          </w:pPr>
          <w:r w:rsidRPr="00E675E8">
            <w:rPr>
              <w:b/>
              <w:color w:val="26724C" w:themeColor="accent1" w:themeShade="BF"/>
              <w:lang w:val="es-ES_tradnl"/>
            </w:rPr>
            <w:t>Índice</w:t>
          </w:r>
        </w:p>
        <w:p w14:paraId="38EC5819" w14:textId="6BE01BE1" w:rsidR="00CF1A3C" w:rsidRDefault="00B65EDC">
          <w:pPr>
            <w:pStyle w:val="TOC1"/>
            <w:rPr>
              <w:rFonts w:asciiTheme="minorHAnsi" w:eastAsiaTheme="minorEastAsia" w:hAnsiTheme="minorHAnsi" w:cstheme="minorBidi"/>
              <w:bCs w:val="0"/>
              <w:caps w:val="0"/>
              <w:noProof/>
              <w:kern w:val="2"/>
              <w:sz w:val="24"/>
              <w:szCs w:val="24"/>
              <w:lang w:val="en-GB" w:eastAsia="en-GB"/>
              <w14:ligatures w14:val="standardContextual"/>
            </w:rPr>
          </w:pPr>
          <w:r w:rsidRPr="00E675E8">
            <w:rPr>
              <w:lang w:val="es-ES_tradnl"/>
            </w:rPr>
            <w:fldChar w:fldCharType="begin"/>
          </w:r>
          <w:r w:rsidRPr="00E675E8">
            <w:rPr>
              <w:lang w:val="es-ES_tradnl"/>
            </w:rPr>
            <w:instrText xml:space="preserve"> TOC \o "1-3" \u \t "Heading 9,4" </w:instrText>
          </w:r>
          <w:r w:rsidRPr="00E675E8">
            <w:rPr>
              <w:lang w:val="es-ES_tradnl"/>
            </w:rPr>
            <w:fldChar w:fldCharType="separate"/>
          </w:r>
          <w:r w:rsidR="00CF1A3C" w:rsidRPr="006D2535">
            <w:rPr>
              <w:noProof/>
              <w:lang w:val="es-ES_tradnl"/>
            </w:rPr>
            <w:t>I.</w:t>
          </w:r>
          <w:r w:rsidR="00CF1A3C">
            <w:rPr>
              <w:rFonts w:asciiTheme="minorHAnsi" w:eastAsiaTheme="minorEastAsia" w:hAnsiTheme="minorHAnsi" w:cstheme="minorBidi"/>
              <w:bCs w:val="0"/>
              <w:caps w:val="0"/>
              <w:noProof/>
              <w:kern w:val="2"/>
              <w:sz w:val="24"/>
              <w:szCs w:val="24"/>
              <w:lang w:val="en-GB" w:eastAsia="en-GB"/>
              <w14:ligatures w14:val="standardContextual"/>
            </w:rPr>
            <w:tab/>
          </w:r>
          <w:r w:rsidR="00CF1A3C" w:rsidRPr="006D2535">
            <w:rPr>
              <w:noProof/>
              <w:lang w:val="es-ES_tradnl"/>
            </w:rPr>
            <w:t>Contexto general</w:t>
          </w:r>
          <w:r w:rsidR="00CF1A3C">
            <w:rPr>
              <w:noProof/>
            </w:rPr>
            <w:tab/>
          </w:r>
          <w:r w:rsidR="00CF1A3C">
            <w:rPr>
              <w:noProof/>
            </w:rPr>
            <w:fldChar w:fldCharType="begin"/>
          </w:r>
          <w:r w:rsidR="00CF1A3C">
            <w:rPr>
              <w:noProof/>
            </w:rPr>
            <w:instrText xml:space="preserve"> PAGEREF _Toc209777758 \h </w:instrText>
          </w:r>
          <w:r w:rsidR="00CF1A3C">
            <w:rPr>
              <w:noProof/>
            </w:rPr>
          </w:r>
          <w:r w:rsidR="00CF1A3C">
            <w:rPr>
              <w:noProof/>
            </w:rPr>
            <w:fldChar w:fldCharType="separate"/>
          </w:r>
          <w:r w:rsidR="00C2190F">
            <w:rPr>
              <w:noProof/>
            </w:rPr>
            <w:t>2</w:t>
          </w:r>
          <w:r w:rsidR="00CF1A3C">
            <w:rPr>
              <w:noProof/>
            </w:rPr>
            <w:fldChar w:fldCharType="end"/>
          </w:r>
        </w:p>
        <w:p w14:paraId="5DFC7AF7" w14:textId="3149CD13" w:rsidR="00CF1A3C" w:rsidRDefault="00CF1A3C">
          <w:pPr>
            <w:pStyle w:val="TOC1"/>
            <w:rPr>
              <w:rFonts w:asciiTheme="minorHAnsi" w:eastAsiaTheme="minorEastAsia" w:hAnsiTheme="minorHAnsi" w:cstheme="minorBidi"/>
              <w:bCs w:val="0"/>
              <w:caps w:val="0"/>
              <w:noProof/>
              <w:kern w:val="2"/>
              <w:sz w:val="24"/>
              <w:szCs w:val="24"/>
              <w:lang w:val="en-GB" w:eastAsia="en-GB"/>
              <w14:ligatures w14:val="standardContextual"/>
            </w:rPr>
          </w:pPr>
          <w:r w:rsidRPr="006D2535">
            <w:rPr>
              <w:noProof/>
              <w:lang w:val="es-ES_tradnl"/>
            </w:rPr>
            <w:t>II.</w:t>
          </w:r>
          <w:r>
            <w:rPr>
              <w:rFonts w:asciiTheme="minorHAnsi" w:eastAsiaTheme="minorEastAsia" w:hAnsiTheme="minorHAnsi" w:cstheme="minorBidi"/>
              <w:bCs w:val="0"/>
              <w:caps w:val="0"/>
              <w:noProof/>
              <w:kern w:val="2"/>
              <w:sz w:val="24"/>
              <w:szCs w:val="24"/>
              <w:lang w:val="en-GB" w:eastAsia="en-GB"/>
              <w14:ligatures w14:val="standardContextual"/>
            </w:rPr>
            <w:tab/>
          </w:r>
          <w:r w:rsidRPr="006D2535">
            <w:rPr>
              <w:noProof/>
              <w:lang w:val="es-ES_tradnl"/>
            </w:rPr>
            <w:t>Panorama general del programa y presupuesto</w:t>
          </w:r>
          <w:r>
            <w:rPr>
              <w:noProof/>
            </w:rPr>
            <w:tab/>
          </w:r>
          <w:r>
            <w:rPr>
              <w:noProof/>
            </w:rPr>
            <w:fldChar w:fldCharType="begin"/>
          </w:r>
          <w:r>
            <w:rPr>
              <w:noProof/>
            </w:rPr>
            <w:instrText xml:space="preserve"> PAGEREF _Toc209777759 \h </w:instrText>
          </w:r>
          <w:r>
            <w:rPr>
              <w:noProof/>
            </w:rPr>
          </w:r>
          <w:r>
            <w:rPr>
              <w:noProof/>
            </w:rPr>
            <w:fldChar w:fldCharType="separate"/>
          </w:r>
          <w:r w:rsidR="00C2190F">
            <w:rPr>
              <w:noProof/>
            </w:rPr>
            <w:t>4</w:t>
          </w:r>
          <w:r>
            <w:rPr>
              <w:noProof/>
            </w:rPr>
            <w:fldChar w:fldCharType="end"/>
          </w:r>
        </w:p>
        <w:p w14:paraId="3A06454D" w14:textId="671B039D" w:rsidR="00CF1A3C" w:rsidRDefault="00CF1A3C">
          <w:pPr>
            <w:pStyle w:val="TOC2"/>
            <w:rPr>
              <w:rFonts w:asciiTheme="minorHAnsi" w:eastAsiaTheme="minorEastAsia" w:hAnsiTheme="minorHAnsi" w:cstheme="minorBidi"/>
              <w:iCs w:val="0"/>
              <w:noProof/>
              <w:kern w:val="2"/>
              <w:sz w:val="24"/>
              <w:szCs w:val="24"/>
              <w:lang w:val="en-GB" w:eastAsia="en-GB"/>
              <w14:ligatures w14:val="standardContextual"/>
            </w:rPr>
          </w:pPr>
          <w:r w:rsidRPr="006D2535">
            <w:rPr>
              <w:noProof/>
              <w:lang w:val="es-ES_tradnl"/>
            </w:rPr>
            <w:t>Panorama financiero</w:t>
          </w:r>
          <w:r>
            <w:rPr>
              <w:noProof/>
            </w:rPr>
            <w:tab/>
          </w:r>
          <w:r>
            <w:rPr>
              <w:noProof/>
            </w:rPr>
            <w:fldChar w:fldCharType="begin"/>
          </w:r>
          <w:r>
            <w:rPr>
              <w:noProof/>
            </w:rPr>
            <w:instrText xml:space="preserve"> PAGEREF _Toc209777760 \h </w:instrText>
          </w:r>
          <w:r>
            <w:rPr>
              <w:noProof/>
            </w:rPr>
          </w:r>
          <w:r>
            <w:rPr>
              <w:noProof/>
            </w:rPr>
            <w:fldChar w:fldCharType="separate"/>
          </w:r>
          <w:r w:rsidR="00C2190F">
            <w:rPr>
              <w:noProof/>
            </w:rPr>
            <w:t>4</w:t>
          </w:r>
          <w:r>
            <w:rPr>
              <w:noProof/>
            </w:rPr>
            <w:fldChar w:fldCharType="end"/>
          </w:r>
        </w:p>
        <w:p w14:paraId="1D9D6035" w14:textId="057B1FB7" w:rsidR="00CF1A3C" w:rsidRDefault="00CF1A3C">
          <w:pPr>
            <w:pStyle w:val="TOC3"/>
            <w:rPr>
              <w:rFonts w:asciiTheme="minorHAnsi" w:eastAsiaTheme="minorEastAsia" w:hAnsiTheme="minorHAnsi" w:cstheme="minorBidi"/>
              <w:i w:val="0"/>
              <w:noProof/>
              <w:kern w:val="2"/>
              <w:sz w:val="24"/>
              <w:szCs w:val="24"/>
              <w:lang w:val="en-GB" w:eastAsia="en-GB"/>
              <w14:ligatures w14:val="standardContextual"/>
            </w:rPr>
          </w:pPr>
          <w:r w:rsidRPr="006D2535">
            <w:rPr>
              <w:noProof/>
              <w:lang w:val="es-ES_tradnl"/>
            </w:rPr>
            <w:t>Ingresos</w:t>
          </w:r>
          <w:r>
            <w:rPr>
              <w:noProof/>
            </w:rPr>
            <w:tab/>
          </w:r>
          <w:r>
            <w:rPr>
              <w:noProof/>
            </w:rPr>
            <w:fldChar w:fldCharType="begin"/>
          </w:r>
          <w:r>
            <w:rPr>
              <w:noProof/>
            </w:rPr>
            <w:instrText xml:space="preserve"> PAGEREF _Toc209777761 \h </w:instrText>
          </w:r>
          <w:r>
            <w:rPr>
              <w:noProof/>
            </w:rPr>
          </w:r>
          <w:r>
            <w:rPr>
              <w:noProof/>
            </w:rPr>
            <w:fldChar w:fldCharType="separate"/>
          </w:r>
          <w:r w:rsidR="00C2190F">
            <w:rPr>
              <w:noProof/>
            </w:rPr>
            <w:t>4</w:t>
          </w:r>
          <w:r>
            <w:rPr>
              <w:noProof/>
            </w:rPr>
            <w:fldChar w:fldCharType="end"/>
          </w:r>
        </w:p>
        <w:p w14:paraId="3980A4CD" w14:textId="432394B5" w:rsidR="00CF1A3C" w:rsidRDefault="00CF1A3C">
          <w:pPr>
            <w:pStyle w:val="TOC3"/>
            <w:rPr>
              <w:rFonts w:asciiTheme="minorHAnsi" w:eastAsiaTheme="minorEastAsia" w:hAnsiTheme="minorHAnsi" w:cstheme="minorBidi"/>
              <w:i w:val="0"/>
              <w:noProof/>
              <w:kern w:val="2"/>
              <w:sz w:val="24"/>
              <w:szCs w:val="24"/>
              <w:lang w:val="en-GB" w:eastAsia="en-GB"/>
              <w14:ligatures w14:val="standardContextual"/>
            </w:rPr>
          </w:pPr>
          <w:r w:rsidRPr="006D2535">
            <w:rPr>
              <w:noProof/>
              <w:lang w:val="es-ES_tradnl"/>
            </w:rPr>
            <w:t>Plan general de dotación de recursos</w:t>
          </w:r>
          <w:r>
            <w:rPr>
              <w:noProof/>
            </w:rPr>
            <w:tab/>
          </w:r>
          <w:r>
            <w:rPr>
              <w:noProof/>
            </w:rPr>
            <w:fldChar w:fldCharType="begin"/>
          </w:r>
          <w:r>
            <w:rPr>
              <w:noProof/>
            </w:rPr>
            <w:instrText xml:space="preserve"> PAGEREF _Toc209777762 \h </w:instrText>
          </w:r>
          <w:r>
            <w:rPr>
              <w:noProof/>
            </w:rPr>
          </w:r>
          <w:r>
            <w:rPr>
              <w:noProof/>
            </w:rPr>
            <w:fldChar w:fldCharType="separate"/>
          </w:r>
          <w:r w:rsidR="00C2190F">
            <w:rPr>
              <w:noProof/>
            </w:rPr>
            <w:t>6</w:t>
          </w:r>
          <w:r>
            <w:rPr>
              <w:noProof/>
            </w:rPr>
            <w:fldChar w:fldCharType="end"/>
          </w:r>
        </w:p>
        <w:p w14:paraId="173F1442" w14:textId="510B6849" w:rsidR="00CF1A3C" w:rsidRDefault="00CF1A3C">
          <w:pPr>
            <w:pStyle w:val="TOC3"/>
            <w:rPr>
              <w:rFonts w:asciiTheme="minorHAnsi" w:eastAsiaTheme="minorEastAsia" w:hAnsiTheme="minorHAnsi" w:cstheme="minorBidi"/>
              <w:i w:val="0"/>
              <w:noProof/>
              <w:kern w:val="2"/>
              <w:sz w:val="24"/>
              <w:szCs w:val="24"/>
              <w:lang w:val="en-GB" w:eastAsia="en-GB"/>
              <w14:ligatures w14:val="standardContextual"/>
            </w:rPr>
          </w:pPr>
          <w:r w:rsidRPr="006D2535">
            <w:rPr>
              <w:noProof/>
              <w:lang w:val="es-ES_tradnl"/>
            </w:rPr>
            <w:t>Gastos</w:t>
          </w:r>
          <w:r>
            <w:rPr>
              <w:noProof/>
            </w:rPr>
            <w:tab/>
          </w:r>
          <w:r>
            <w:rPr>
              <w:noProof/>
            </w:rPr>
            <w:fldChar w:fldCharType="begin"/>
          </w:r>
          <w:r>
            <w:rPr>
              <w:noProof/>
            </w:rPr>
            <w:instrText xml:space="preserve"> PAGEREF _Toc209777763 \h </w:instrText>
          </w:r>
          <w:r>
            <w:rPr>
              <w:noProof/>
            </w:rPr>
          </w:r>
          <w:r>
            <w:rPr>
              <w:noProof/>
            </w:rPr>
            <w:fldChar w:fldCharType="separate"/>
          </w:r>
          <w:r w:rsidR="00C2190F">
            <w:rPr>
              <w:noProof/>
            </w:rPr>
            <w:t>7</w:t>
          </w:r>
          <w:r>
            <w:rPr>
              <w:noProof/>
            </w:rPr>
            <w:fldChar w:fldCharType="end"/>
          </w:r>
        </w:p>
        <w:p w14:paraId="69F8DBE6" w14:textId="1ED9B7B8" w:rsidR="00CF1A3C" w:rsidRDefault="00CF1A3C">
          <w:pPr>
            <w:pStyle w:val="TOC3"/>
            <w:rPr>
              <w:rFonts w:asciiTheme="minorHAnsi" w:eastAsiaTheme="minorEastAsia" w:hAnsiTheme="minorHAnsi" w:cstheme="minorBidi"/>
              <w:i w:val="0"/>
              <w:noProof/>
              <w:kern w:val="2"/>
              <w:sz w:val="24"/>
              <w:szCs w:val="24"/>
              <w:lang w:val="en-GB" w:eastAsia="en-GB"/>
              <w14:ligatures w14:val="standardContextual"/>
            </w:rPr>
          </w:pPr>
          <w:r w:rsidRPr="006D2535">
            <w:rPr>
              <w:noProof/>
              <w:lang w:val="es-ES_tradnl"/>
            </w:rPr>
            <w:t>Gastos de personal</w:t>
          </w:r>
          <w:r>
            <w:rPr>
              <w:noProof/>
            </w:rPr>
            <w:tab/>
          </w:r>
          <w:r>
            <w:rPr>
              <w:noProof/>
            </w:rPr>
            <w:fldChar w:fldCharType="begin"/>
          </w:r>
          <w:r>
            <w:rPr>
              <w:noProof/>
            </w:rPr>
            <w:instrText xml:space="preserve"> PAGEREF _Toc209777764 \h </w:instrText>
          </w:r>
          <w:r>
            <w:rPr>
              <w:noProof/>
            </w:rPr>
          </w:r>
          <w:r>
            <w:rPr>
              <w:noProof/>
            </w:rPr>
            <w:fldChar w:fldCharType="separate"/>
          </w:r>
          <w:r w:rsidR="00C2190F">
            <w:rPr>
              <w:noProof/>
            </w:rPr>
            <w:t>9</w:t>
          </w:r>
          <w:r>
            <w:rPr>
              <w:noProof/>
            </w:rPr>
            <w:fldChar w:fldCharType="end"/>
          </w:r>
        </w:p>
        <w:p w14:paraId="0B19020A" w14:textId="73CADA32" w:rsidR="00CF1A3C" w:rsidRDefault="00CF1A3C">
          <w:pPr>
            <w:pStyle w:val="TOC1"/>
            <w:rPr>
              <w:rFonts w:asciiTheme="minorHAnsi" w:eastAsiaTheme="minorEastAsia" w:hAnsiTheme="minorHAnsi" w:cstheme="minorBidi"/>
              <w:bCs w:val="0"/>
              <w:caps w:val="0"/>
              <w:noProof/>
              <w:kern w:val="2"/>
              <w:sz w:val="24"/>
              <w:szCs w:val="24"/>
              <w:lang w:val="en-GB" w:eastAsia="en-GB"/>
              <w14:ligatures w14:val="standardContextual"/>
            </w:rPr>
          </w:pPr>
          <w:r w:rsidRPr="006D2535">
            <w:rPr>
              <w:noProof/>
              <w:lang w:val="es-ES_tradnl"/>
            </w:rPr>
            <w:t>III.</w:t>
          </w:r>
          <w:r>
            <w:rPr>
              <w:rFonts w:asciiTheme="minorHAnsi" w:eastAsiaTheme="minorEastAsia" w:hAnsiTheme="minorHAnsi" w:cstheme="minorBidi"/>
              <w:bCs w:val="0"/>
              <w:caps w:val="0"/>
              <w:noProof/>
              <w:kern w:val="2"/>
              <w:sz w:val="24"/>
              <w:szCs w:val="24"/>
              <w:lang w:val="en-GB" w:eastAsia="en-GB"/>
              <w14:ligatures w14:val="standardContextual"/>
            </w:rPr>
            <w:tab/>
          </w:r>
          <w:r w:rsidRPr="006D2535">
            <w:rPr>
              <w:noProof/>
              <w:lang w:val="es-ES_tradnl"/>
            </w:rPr>
            <w:t>Objetivos y resultados previstos</w:t>
          </w:r>
          <w:r>
            <w:rPr>
              <w:noProof/>
            </w:rPr>
            <w:tab/>
          </w:r>
          <w:r>
            <w:rPr>
              <w:noProof/>
            </w:rPr>
            <w:fldChar w:fldCharType="begin"/>
          </w:r>
          <w:r>
            <w:rPr>
              <w:noProof/>
            </w:rPr>
            <w:instrText xml:space="preserve"> PAGEREF _Toc209777765 \h </w:instrText>
          </w:r>
          <w:r>
            <w:rPr>
              <w:noProof/>
            </w:rPr>
          </w:r>
          <w:r>
            <w:rPr>
              <w:noProof/>
            </w:rPr>
            <w:fldChar w:fldCharType="separate"/>
          </w:r>
          <w:r w:rsidR="00C2190F">
            <w:rPr>
              <w:noProof/>
            </w:rPr>
            <w:t>11</w:t>
          </w:r>
          <w:r>
            <w:rPr>
              <w:noProof/>
            </w:rPr>
            <w:fldChar w:fldCharType="end"/>
          </w:r>
        </w:p>
        <w:p w14:paraId="596FFA4B" w14:textId="4E9D61B9" w:rsidR="00CF1A3C" w:rsidRDefault="00CF1A3C">
          <w:pPr>
            <w:pStyle w:val="TOC2"/>
            <w:rPr>
              <w:rFonts w:asciiTheme="minorHAnsi" w:eastAsiaTheme="minorEastAsia" w:hAnsiTheme="minorHAnsi" w:cstheme="minorBidi"/>
              <w:iCs w:val="0"/>
              <w:noProof/>
              <w:kern w:val="2"/>
              <w:sz w:val="24"/>
              <w:szCs w:val="24"/>
              <w:lang w:val="en-GB" w:eastAsia="en-GB"/>
              <w14:ligatures w14:val="standardContextual"/>
            </w:rPr>
          </w:pPr>
          <w:r w:rsidRPr="006D2535">
            <w:rPr>
              <w:noProof/>
              <w:lang w:val="es-ES_tradnl"/>
            </w:rPr>
            <w:t>Introducción</w:t>
          </w:r>
          <w:r>
            <w:rPr>
              <w:noProof/>
            </w:rPr>
            <w:tab/>
          </w:r>
          <w:r>
            <w:rPr>
              <w:noProof/>
            </w:rPr>
            <w:fldChar w:fldCharType="begin"/>
          </w:r>
          <w:r>
            <w:rPr>
              <w:noProof/>
            </w:rPr>
            <w:instrText xml:space="preserve"> PAGEREF _Toc209777766 \h </w:instrText>
          </w:r>
          <w:r>
            <w:rPr>
              <w:noProof/>
            </w:rPr>
          </w:r>
          <w:r>
            <w:rPr>
              <w:noProof/>
            </w:rPr>
            <w:fldChar w:fldCharType="separate"/>
          </w:r>
          <w:r w:rsidR="00C2190F">
            <w:rPr>
              <w:noProof/>
            </w:rPr>
            <w:t>11</w:t>
          </w:r>
          <w:r>
            <w:rPr>
              <w:noProof/>
            </w:rPr>
            <w:fldChar w:fldCharType="end"/>
          </w:r>
        </w:p>
        <w:p w14:paraId="37E20615" w14:textId="49B7B7EB" w:rsidR="00CF1A3C" w:rsidRDefault="00CF1A3C">
          <w:pPr>
            <w:pStyle w:val="TOC2"/>
            <w:rPr>
              <w:rFonts w:asciiTheme="minorHAnsi" w:eastAsiaTheme="minorEastAsia" w:hAnsiTheme="minorHAnsi" w:cstheme="minorBidi"/>
              <w:iCs w:val="0"/>
              <w:noProof/>
              <w:kern w:val="2"/>
              <w:sz w:val="24"/>
              <w:szCs w:val="24"/>
              <w:lang w:val="en-GB" w:eastAsia="en-GB"/>
              <w14:ligatures w14:val="standardContextual"/>
            </w:rPr>
          </w:pPr>
          <w:r w:rsidRPr="006D2535">
            <w:rPr>
              <w:noProof/>
              <w:lang w:val="es-ES_tradnl"/>
            </w:rPr>
            <w:t>Pilar 1: Reunir a las partes interesadas para que contribuyan a dar forma al sistema de la UPOV</w:t>
          </w:r>
          <w:r>
            <w:rPr>
              <w:noProof/>
            </w:rPr>
            <w:tab/>
          </w:r>
          <w:r>
            <w:rPr>
              <w:noProof/>
            </w:rPr>
            <w:fldChar w:fldCharType="begin"/>
          </w:r>
          <w:r>
            <w:rPr>
              <w:noProof/>
            </w:rPr>
            <w:instrText xml:space="preserve"> PAGEREF _Toc209777767 \h </w:instrText>
          </w:r>
          <w:r>
            <w:rPr>
              <w:noProof/>
            </w:rPr>
          </w:r>
          <w:r>
            <w:rPr>
              <w:noProof/>
            </w:rPr>
            <w:fldChar w:fldCharType="separate"/>
          </w:r>
          <w:r w:rsidR="00C2190F">
            <w:rPr>
              <w:noProof/>
            </w:rPr>
            <w:t>12</w:t>
          </w:r>
          <w:r>
            <w:rPr>
              <w:noProof/>
            </w:rPr>
            <w:fldChar w:fldCharType="end"/>
          </w:r>
        </w:p>
        <w:p w14:paraId="7510309D" w14:textId="283A3E82" w:rsidR="00CF1A3C" w:rsidRDefault="00CF1A3C">
          <w:pPr>
            <w:pStyle w:val="TOC3"/>
            <w:rPr>
              <w:rFonts w:asciiTheme="minorHAnsi" w:eastAsiaTheme="minorEastAsia" w:hAnsiTheme="minorHAnsi" w:cstheme="minorBidi"/>
              <w:i w:val="0"/>
              <w:noProof/>
              <w:kern w:val="2"/>
              <w:sz w:val="24"/>
              <w:szCs w:val="24"/>
              <w:lang w:val="en-GB" w:eastAsia="en-GB"/>
              <w14:ligatures w14:val="standardContextual"/>
            </w:rPr>
          </w:pPr>
          <w:r w:rsidRPr="006D2535">
            <w:rPr>
              <w:noProof/>
              <w:lang w:val="es-ES_tradnl"/>
            </w:rPr>
            <w:t>Estrategia para lograr los resultados previstos</w:t>
          </w:r>
          <w:r>
            <w:rPr>
              <w:noProof/>
            </w:rPr>
            <w:tab/>
          </w:r>
          <w:r>
            <w:rPr>
              <w:noProof/>
            </w:rPr>
            <w:fldChar w:fldCharType="begin"/>
          </w:r>
          <w:r>
            <w:rPr>
              <w:noProof/>
            </w:rPr>
            <w:instrText xml:space="preserve"> PAGEREF _Toc209777768 \h </w:instrText>
          </w:r>
          <w:r>
            <w:rPr>
              <w:noProof/>
            </w:rPr>
          </w:r>
          <w:r>
            <w:rPr>
              <w:noProof/>
            </w:rPr>
            <w:fldChar w:fldCharType="separate"/>
          </w:r>
          <w:r w:rsidR="00C2190F">
            <w:rPr>
              <w:noProof/>
            </w:rPr>
            <w:t>12</w:t>
          </w:r>
          <w:r>
            <w:rPr>
              <w:noProof/>
            </w:rPr>
            <w:fldChar w:fldCharType="end"/>
          </w:r>
        </w:p>
        <w:p w14:paraId="0925E0D6" w14:textId="198E111E" w:rsidR="00CF1A3C" w:rsidRDefault="00CF1A3C">
          <w:pPr>
            <w:pStyle w:val="TOC3"/>
            <w:rPr>
              <w:rFonts w:asciiTheme="minorHAnsi" w:eastAsiaTheme="minorEastAsia" w:hAnsiTheme="minorHAnsi" w:cstheme="minorBidi"/>
              <w:i w:val="0"/>
              <w:noProof/>
              <w:kern w:val="2"/>
              <w:sz w:val="24"/>
              <w:szCs w:val="24"/>
              <w:lang w:val="en-GB" w:eastAsia="en-GB"/>
              <w14:ligatures w14:val="standardContextual"/>
            </w:rPr>
          </w:pPr>
          <w:r w:rsidRPr="006D2535">
            <w:rPr>
              <w:noProof/>
              <w:lang w:val="es-ES_tradnl"/>
            </w:rPr>
            <w:t>Resultados previstos e indicadores de rendimiento</w:t>
          </w:r>
          <w:r>
            <w:rPr>
              <w:noProof/>
            </w:rPr>
            <w:tab/>
          </w:r>
          <w:r>
            <w:rPr>
              <w:noProof/>
            </w:rPr>
            <w:fldChar w:fldCharType="begin"/>
          </w:r>
          <w:r>
            <w:rPr>
              <w:noProof/>
            </w:rPr>
            <w:instrText xml:space="preserve"> PAGEREF _Toc209777769 \h </w:instrText>
          </w:r>
          <w:r>
            <w:rPr>
              <w:noProof/>
            </w:rPr>
          </w:r>
          <w:r>
            <w:rPr>
              <w:noProof/>
            </w:rPr>
            <w:fldChar w:fldCharType="separate"/>
          </w:r>
          <w:r w:rsidR="00C2190F">
            <w:rPr>
              <w:noProof/>
            </w:rPr>
            <w:t>13</w:t>
          </w:r>
          <w:r>
            <w:rPr>
              <w:noProof/>
            </w:rPr>
            <w:fldChar w:fldCharType="end"/>
          </w:r>
        </w:p>
        <w:p w14:paraId="0D2F3781" w14:textId="22EF743E" w:rsidR="00CF1A3C" w:rsidRDefault="00CF1A3C">
          <w:pPr>
            <w:pStyle w:val="TOC2"/>
            <w:rPr>
              <w:rFonts w:asciiTheme="minorHAnsi" w:eastAsiaTheme="minorEastAsia" w:hAnsiTheme="minorHAnsi" w:cstheme="minorBidi"/>
              <w:iCs w:val="0"/>
              <w:noProof/>
              <w:kern w:val="2"/>
              <w:sz w:val="24"/>
              <w:szCs w:val="24"/>
              <w:lang w:val="en-GB" w:eastAsia="en-GB"/>
              <w14:ligatures w14:val="standardContextual"/>
            </w:rPr>
          </w:pPr>
          <w:r w:rsidRPr="006D2535">
            <w:rPr>
              <w:noProof/>
              <w:lang w:val="es-ES_tradnl"/>
            </w:rPr>
            <w:t>Pilar 2: Proporcionar orientación y asistencia y facilitar la cooperación para la puesta en práctica del sistema de la UPOV</w:t>
          </w:r>
          <w:r>
            <w:rPr>
              <w:noProof/>
            </w:rPr>
            <w:tab/>
          </w:r>
          <w:r>
            <w:rPr>
              <w:noProof/>
            </w:rPr>
            <w:fldChar w:fldCharType="begin"/>
          </w:r>
          <w:r>
            <w:rPr>
              <w:noProof/>
            </w:rPr>
            <w:instrText xml:space="preserve"> PAGEREF _Toc209777770 \h </w:instrText>
          </w:r>
          <w:r>
            <w:rPr>
              <w:noProof/>
            </w:rPr>
          </w:r>
          <w:r>
            <w:rPr>
              <w:noProof/>
            </w:rPr>
            <w:fldChar w:fldCharType="separate"/>
          </w:r>
          <w:r w:rsidR="00C2190F">
            <w:rPr>
              <w:noProof/>
            </w:rPr>
            <w:t>13</w:t>
          </w:r>
          <w:r>
            <w:rPr>
              <w:noProof/>
            </w:rPr>
            <w:fldChar w:fldCharType="end"/>
          </w:r>
        </w:p>
        <w:p w14:paraId="67710775" w14:textId="7C357FB3" w:rsidR="00CF1A3C" w:rsidRDefault="00CF1A3C">
          <w:pPr>
            <w:pStyle w:val="TOC3"/>
            <w:rPr>
              <w:rFonts w:asciiTheme="minorHAnsi" w:eastAsiaTheme="minorEastAsia" w:hAnsiTheme="minorHAnsi" w:cstheme="minorBidi"/>
              <w:i w:val="0"/>
              <w:noProof/>
              <w:kern w:val="2"/>
              <w:sz w:val="24"/>
              <w:szCs w:val="24"/>
              <w:lang w:val="en-GB" w:eastAsia="en-GB"/>
              <w14:ligatures w14:val="standardContextual"/>
            </w:rPr>
          </w:pPr>
          <w:r w:rsidRPr="006D2535">
            <w:rPr>
              <w:noProof/>
              <w:lang w:val="es-ES_tradnl"/>
            </w:rPr>
            <w:t>Estrategia para lograr los resultados previstos</w:t>
          </w:r>
          <w:r>
            <w:rPr>
              <w:noProof/>
            </w:rPr>
            <w:tab/>
          </w:r>
          <w:r>
            <w:rPr>
              <w:noProof/>
            </w:rPr>
            <w:fldChar w:fldCharType="begin"/>
          </w:r>
          <w:r>
            <w:rPr>
              <w:noProof/>
            </w:rPr>
            <w:instrText xml:space="preserve"> PAGEREF _Toc209777771 \h </w:instrText>
          </w:r>
          <w:r>
            <w:rPr>
              <w:noProof/>
            </w:rPr>
          </w:r>
          <w:r>
            <w:rPr>
              <w:noProof/>
            </w:rPr>
            <w:fldChar w:fldCharType="separate"/>
          </w:r>
          <w:r w:rsidR="00C2190F">
            <w:rPr>
              <w:noProof/>
            </w:rPr>
            <w:t>13</w:t>
          </w:r>
          <w:r>
            <w:rPr>
              <w:noProof/>
            </w:rPr>
            <w:fldChar w:fldCharType="end"/>
          </w:r>
        </w:p>
        <w:p w14:paraId="76380B29" w14:textId="248F6A9E" w:rsidR="00CF1A3C" w:rsidRDefault="00CF1A3C">
          <w:pPr>
            <w:pStyle w:val="TOC3"/>
            <w:rPr>
              <w:rFonts w:asciiTheme="minorHAnsi" w:eastAsiaTheme="minorEastAsia" w:hAnsiTheme="minorHAnsi" w:cstheme="minorBidi"/>
              <w:i w:val="0"/>
              <w:noProof/>
              <w:kern w:val="2"/>
              <w:sz w:val="24"/>
              <w:szCs w:val="24"/>
              <w:lang w:val="en-GB" w:eastAsia="en-GB"/>
              <w14:ligatures w14:val="standardContextual"/>
            </w:rPr>
          </w:pPr>
          <w:r w:rsidRPr="006D2535">
            <w:rPr>
              <w:noProof/>
              <w:lang w:val="es-ES_tradnl"/>
            </w:rPr>
            <w:t>Resultados previstos e indicadores de rendimiento</w:t>
          </w:r>
          <w:r>
            <w:rPr>
              <w:noProof/>
            </w:rPr>
            <w:tab/>
          </w:r>
          <w:r>
            <w:rPr>
              <w:noProof/>
            </w:rPr>
            <w:fldChar w:fldCharType="begin"/>
          </w:r>
          <w:r>
            <w:rPr>
              <w:noProof/>
            </w:rPr>
            <w:instrText xml:space="preserve"> PAGEREF _Toc209777772 \h </w:instrText>
          </w:r>
          <w:r>
            <w:rPr>
              <w:noProof/>
            </w:rPr>
          </w:r>
          <w:r>
            <w:rPr>
              <w:noProof/>
            </w:rPr>
            <w:fldChar w:fldCharType="separate"/>
          </w:r>
          <w:r w:rsidR="00C2190F">
            <w:rPr>
              <w:noProof/>
            </w:rPr>
            <w:t>18</w:t>
          </w:r>
          <w:r>
            <w:rPr>
              <w:noProof/>
            </w:rPr>
            <w:fldChar w:fldCharType="end"/>
          </w:r>
        </w:p>
        <w:p w14:paraId="5F11272B" w14:textId="0CF9B517" w:rsidR="00CF1A3C" w:rsidRDefault="00CF1A3C">
          <w:pPr>
            <w:pStyle w:val="TOC2"/>
            <w:rPr>
              <w:rFonts w:asciiTheme="minorHAnsi" w:eastAsiaTheme="minorEastAsia" w:hAnsiTheme="minorHAnsi" w:cstheme="minorBidi"/>
              <w:iCs w:val="0"/>
              <w:noProof/>
              <w:kern w:val="2"/>
              <w:sz w:val="24"/>
              <w:szCs w:val="24"/>
              <w:lang w:val="en-GB" w:eastAsia="en-GB"/>
              <w14:ligatures w14:val="standardContextual"/>
            </w:rPr>
          </w:pPr>
          <w:r w:rsidRPr="006D2535">
            <w:rPr>
              <w:noProof/>
              <w:lang w:val="es-ES_tradnl"/>
            </w:rPr>
            <w:t>Pilar 3: Proporcionar servicios de alta calidad a los miembros de la UPOV y a los usuarios del sistema de la UPOV</w:t>
          </w:r>
          <w:r>
            <w:rPr>
              <w:noProof/>
            </w:rPr>
            <w:tab/>
          </w:r>
          <w:r>
            <w:rPr>
              <w:noProof/>
            </w:rPr>
            <w:fldChar w:fldCharType="begin"/>
          </w:r>
          <w:r>
            <w:rPr>
              <w:noProof/>
            </w:rPr>
            <w:instrText xml:space="preserve"> PAGEREF _Toc209777773 \h </w:instrText>
          </w:r>
          <w:r>
            <w:rPr>
              <w:noProof/>
            </w:rPr>
          </w:r>
          <w:r>
            <w:rPr>
              <w:noProof/>
            </w:rPr>
            <w:fldChar w:fldCharType="separate"/>
          </w:r>
          <w:r w:rsidR="00C2190F">
            <w:rPr>
              <w:noProof/>
            </w:rPr>
            <w:t>19</w:t>
          </w:r>
          <w:r>
            <w:rPr>
              <w:noProof/>
            </w:rPr>
            <w:fldChar w:fldCharType="end"/>
          </w:r>
        </w:p>
        <w:p w14:paraId="30187F74" w14:textId="6A0A78A1" w:rsidR="00CF1A3C" w:rsidRDefault="00CF1A3C">
          <w:pPr>
            <w:pStyle w:val="TOC3"/>
            <w:rPr>
              <w:rFonts w:asciiTheme="minorHAnsi" w:eastAsiaTheme="minorEastAsia" w:hAnsiTheme="minorHAnsi" w:cstheme="minorBidi"/>
              <w:i w:val="0"/>
              <w:noProof/>
              <w:kern w:val="2"/>
              <w:sz w:val="24"/>
              <w:szCs w:val="24"/>
              <w:lang w:val="en-GB" w:eastAsia="en-GB"/>
              <w14:ligatures w14:val="standardContextual"/>
            </w:rPr>
          </w:pPr>
          <w:r w:rsidRPr="006D2535">
            <w:rPr>
              <w:noProof/>
              <w:lang w:val="es-ES_tradnl"/>
            </w:rPr>
            <w:t>Estrategia para lograr los resultados previstos</w:t>
          </w:r>
          <w:r>
            <w:rPr>
              <w:noProof/>
            </w:rPr>
            <w:tab/>
          </w:r>
          <w:r>
            <w:rPr>
              <w:noProof/>
            </w:rPr>
            <w:fldChar w:fldCharType="begin"/>
          </w:r>
          <w:r>
            <w:rPr>
              <w:noProof/>
            </w:rPr>
            <w:instrText xml:space="preserve"> PAGEREF _Toc209777774 \h </w:instrText>
          </w:r>
          <w:r>
            <w:rPr>
              <w:noProof/>
            </w:rPr>
          </w:r>
          <w:r>
            <w:rPr>
              <w:noProof/>
            </w:rPr>
            <w:fldChar w:fldCharType="separate"/>
          </w:r>
          <w:r w:rsidR="00C2190F">
            <w:rPr>
              <w:noProof/>
            </w:rPr>
            <w:t>19</w:t>
          </w:r>
          <w:r>
            <w:rPr>
              <w:noProof/>
            </w:rPr>
            <w:fldChar w:fldCharType="end"/>
          </w:r>
        </w:p>
        <w:p w14:paraId="36DE4F05" w14:textId="7AFE4077" w:rsidR="00CF1A3C" w:rsidRDefault="00CF1A3C">
          <w:pPr>
            <w:pStyle w:val="TOC3"/>
            <w:rPr>
              <w:rFonts w:asciiTheme="minorHAnsi" w:eastAsiaTheme="minorEastAsia" w:hAnsiTheme="minorHAnsi" w:cstheme="minorBidi"/>
              <w:i w:val="0"/>
              <w:noProof/>
              <w:kern w:val="2"/>
              <w:sz w:val="24"/>
              <w:szCs w:val="24"/>
              <w:lang w:val="en-GB" w:eastAsia="en-GB"/>
              <w14:ligatures w14:val="standardContextual"/>
            </w:rPr>
          </w:pPr>
          <w:r w:rsidRPr="006D2535">
            <w:rPr>
              <w:noProof/>
              <w:lang w:val="es-ES_tradnl"/>
            </w:rPr>
            <w:t>Resultados previstos e indicadores de rendimiento</w:t>
          </w:r>
          <w:r>
            <w:rPr>
              <w:noProof/>
            </w:rPr>
            <w:tab/>
          </w:r>
          <w:r>
            <w:rPr>
              <w:noProof/>
            </w:rPr>
            <w:fldChar w:fldCharType="begin"/>
          </w:r>
          <w:r>
            <w:rPr>
              <w:noProof/>
            </w:rPr>
            <w:instrText xml:space="preserve"> PAGEREF _Toc209777775 \h </w:instrText>
          </w:r>
          <w:r>
            <w:rPr>
              <w:noProof/>
            </w:rPr>
          </w:r>
          <w:r>
            <w:rPr>
              <w:noProof/>
            </w:rPr>
            <w:fldChar w:fldCharType="separate"/>
          </w:r>
          <w:r w:rsidR="00C2190F">
            <w:rPr>
              <w:noProof/>
            </w:rPr>
            <w:t>21</w:t>
          </w:r>
          <w:r>
            <w:rPr>
              <w:noProof/>
            </w:rPr>
            <w:fldChar w:fldCharType="end"/>
          </w:r>
        </w:p>
        <w:p w14:paraId="098A5068" w14:textId="115EA32C" w:rsidR="00CF1A3C" w:rsidRDefault="00CF1A3C">
          <w:pPr>
            <w:pStyle w:val="TOC2"/>
            <w:rPr>
              <w:rFonts w:asciiTheme="minorHAnsi" w:eastAsiaTheme="minorEastAsia" w:hAnsiTheme="minorHAnsi" w:cstheme="minorBidi"/>
              <w:iCs w:val="0"/>
              <w:noProof/>
              <w:kern w:val="2"/>
              <w:sz w:val="24"/>
              <w:szCs w:val="24"/>
              <w:lang w:val="en-GB" w:eastAsia="en-GB"/>
              <w14:ligatures w14:val="standardContextual"/>
            </w:rPr>
          </w:pPr>
          <w:r w:rsidRPr="006D2535">
            <w:rPr>
              <w:noProof/>
              <w:lang w:val="es-ES_tradnl"/>
            </w:rPr>
            <w:t>Fundamento: Velar por que nuestro personal tenga los medios de trabajar de forma eficaz, colaborativa e innovadora, y proporcionarle con ese fin los recursos, la formación y un entorno adecuados</w:t>
          </w:r>
          <w:r>
            <w:rPr>
              <w:noProof/>
            </w:rPr>
            <w:tab/>
          </w:r>
          <w:r>
            <w:rPr>
              <w:noProof/>
            </w:rPr>
            <w:fldChar w:fldCharType="begin"/>
          </w:r>
          <w:r>
            <w:rPr>
              <w:noProof/>
            </w:rPr>
            <w:instrText xml:space="preserve"> PAGEREF _Toc209777776 \h </w:instrText>
          </w:r>
          <w:r>
            <w:rPr>
              <w:noProof/>
            </w:rPr>
          </w:r>
          <w:r>
            <w:rPr>
              <w:noProof/>
            </w:rPr>
            <w:fldChar w:fldCharType="separate"/>
          </w:r>
          <w:r w:rsidR="00C2190F">
            <w:rPr>
              <w:noProof/>
            </w:rPr>
            <w:t>21</w:t>
          </w:r>
          <w:r>
            <w:rPr>
              <w:noProof/>
            </w:rPr>
            <w:fldChar w:fldCharType="end"/>
          </w:r>
        </w:p>
        <w:p w14:paraId="1A3B543D" w14:textId="6F51BEBB" w:rsidR="00CF1A3C" w:rsidRDefault="00CF1A3C">
          <w:pPr>
            <w:pStyle w:val="TOC3"/>
            <w:rPr>
              <w:rFonts w:asciiTheme="minorHAnsi" w:eastAsiaTheme="minorEastAsia" w:hAnsiTheme="minorHAnsi" w:cstheme="minorBidi"/>
              <w:i w:val="0"/>
              <w:noProof/>
              <w:kern w:val="2"/>
              <w:sz w:val="24"/>
              <w:szCs w:val="24"/>
              <w:lang w:val="en-GB" w:eastAsia="en-GB"/>
              <w14:ligatures w14:val="standardContextual"/>
            </w:rPr>
          </w:pPr>
          <w:r w:rsidRPr="006D2535">
            <w:rPr>
              <w:noProof/>
              <w:lang w:val="es-ES_tradnl"/>
            </w:rPr>
            <w:t>Estrategia para lograr los resultados previstos</w:t>
          </w:r>
          <w:r>
            <w:rPr>
              <w:noProof/>
            </w:rPr>
            <w:tab/>
          </w:r>
          <w:r>
            <w:rPr>
              <w:noProof/>
            </w:rPr>
            <w:fldChar w:fldCharType="begin"/>
          </w:r>
          <w:r>
            <w:rPr>
              <w:noProof/>
            </w:rPr>
            <w:instrText xml:space="preserve"> PAGEREF _Toc209777777 \h </w:instrText>
          </w:r>
          <w:r>
            <w:rPr>
              <w:noProof/>
            </w:rPr>
          </w:r>
          <w:r>
            <w:rPr>
              <w:noProof/>
            </w:rPr>
            <w:fldChar w:fldCharType="separate"/>
          </w:r>
          <w:r w:rsidR="00C2190F">
            <w:rPr>
              <w:noProof/>
            </w:rPr>
            <w:t>21</w:t>
          </w:r>
          <w:r>
            <w:rPr>
              <w:noProof/>
            </w:rPr>
            <w:fldChar w:fldCharType="end"/>
          </w:r>
        </w:p>
        <w:p w14:paraId="711B7350" w14:textId="11B63373" w:rsidR="00CF1A3C" w:rsidRDefault="00CF1A3C">
          <w:pPr>
            <w:pStyle w:val="TOC3"/>
            <w:rPr>
              <w:rFonts w:asciiTheme="minorHAnsi" w:eastAsiaTheme="minorEastAsia" w:hAnsiTheme="minorHAnsi" w:cstheme="minorBidi"/>
              <w:i w:val="0"/>
              <w:noProof/>
              <w:kern w:val="2"/>
              <w:sz w:val="24"/>
              <w:szCs w:val="24"/>
              <w:lang w:val="en-GB" w:eastAsia="en-GB"/>
              <w14:ligatures w14:val="standardContextual"/>
            </w:rPr>
          </w:pPr>
          <w:r w:rsidRPr="006D2535">
            <w:rPr>
              <w:noProof/>
              <w:lang w:val="es-ES_tradnl"/>
            </w:rPr>
            <w:t>Resultados previstos e indicadores de rendimiento</w:t>
          </w:r>
          <w:r>
            <w:rPr>
              <w:noProof/>
            </w:rPr>
            <w:tab/>
          </w:r>
          <w:r>
            <w:rPr>
              <w:noProof/>
            </w:rPr>
            <w:fldChar w:fldCharType="begin"/>
          </w:r>
          <w:r>
            <w:rPr>
              <w:noProof/>
            </w:rPr>
            <w:instrText xml:space="preserve"> PAGEREF _Toc209777778 \h </w:instrText>
          </w:r>
          <w:r>
            <w:rPr>
              <w:noProof/>
            </w:rPr>
          </w:r>
          <w:r>
            <w:rPr>
              <w:noProof/>
            </w:rPr>
            <w:fldChar w:fldCharType="separate"/>
          </w:r>
          <w:r w:rsidR="00C2190F">
            <w:rPr>
              <w:noProof/>
            </w:rPr>
            <w:t>23</w:t>
          </w:r>
          <w:r>
            <w:rPr>
              <w:noProof/>
            </w:rPr>
            <w:fldChar w:fldCharType="end"/>
          </w:r>
        </w:p>
        <w:p w14:paraId="4523A505" w14:textId="5EFA4F39" w:rsidR="00CF1A3C" w:rsidRDefault="00CF1A3C">
          <w:pPr>
            <w:pStyle w:val="TOC1"/>
            <w:rPr>
              <w:rFonts w:asciiTheme="minorHAnsi" w:eastAsiaTheme="minorEastAsia" w:hAnsiTheme="minorHAnsi" w:cstheme="minorBidi"/>
              <w:bCs w:val="0"/>
              <w:caps w:val="0"/>
              <w:noProof/>
              <w:kern w:val="2"/>
              <w:sz w:val="24"/>
              <w:szCs w:val="24"/>
              <w:lang w:val="en-GB" w:eastAsia="en-GB"/>
              <w14:ligatures w14:val="standardContextual"/>
            </w:rPr>
          </w:pPr>
          <w:r w:rsidRPr="006D2535">
            <w:rPr>
              <w:noProof/>
              <w:lang w:val="es-ES_tradnl"/>
            </w:rPr>
            <w:t>IV.</w:t>
          </w:r>
          <w:r>
            <w:rPr>
              <w:rFonts w:asciiTheme="minorHAnsi" w:eastAsiaTheme="minorEastAsia" w:hAnsiTheme="minorHAnsi" w:cstheme="minorBidi"/>
              <w:bCs w:val="0"/>
              <w:caps w:val="0"/>
              <w:noProof/>
              <w:kern w:val="2"/>
              <w:sz w:val="24"/>
              <w:szCs w:val="24"/>
              <w:lang w:val="en-GB" w:eastAsia="en-GB"/>
              <w14:ligatures w14:val="standardContextual"/>
            </w:rPr>
            <w:tab/>
          </w:r>
          <w:r w:rsidRPr="006D2535">
            <w:rPr>
              <w:noProof/>
              <w:lang w:val="es-ES_tradnl"/>
            </w:rPr>
            <w:t>Indicadores financieros 2020-2029</w:t>
          </w:r>
          <w:r>
            <w:rPr>
              <w:noProof/>
            </w:rPr>
            <w:tab/>
          </w:r>
          <w:r>
            <w:rPr>
              <w:noProof/>
            </w:rPr>
            <w:fldChar w:fldCharType="begin"/>
          </w:r>
          <w:r>
            <w:rPr>
              <w:noProof/>
            </w:rPr>
            <w:instrText xml:space="preserve"> PAGEREF _Toc209777779 \h </w:instrText>
          </w:r>
          <w:r>
            <w:rPr>
              <w:noProof/>
            </w:rPr>
          </w:r>
          <w:r>
            <w:rPr>
              <w:noProof/>
            </w:rPr>
            <w:fldChar w:fldCharType="separate"/>
          </w:r>
          <w:r w:rsidR="00C2190F">
            <w:rPr>
              <w:noProof/>
            </w:rPr>
            <w:t>25</w:t>
          </w:r>
          <w:r>
            <w:rPr>
              <w:noProof/>
            </w:rPr>
            <w:fldChar w:fldCharType="end"/>
          </w:r>
        </w:p>
        <w:p w14:paraId="037E8C75" w14:textId="720C9FD3" w:rsidR="00CF1A3C" w:rsidRDefault="00CF1A3C">
          <w:pPr>
            <w:pStyle w:val="TOC1"/>
            <w:rPr>
              <w:rFonts w:asciiTheme="minorHAnsi" w:eastAsiaTheme="minorEastAsia" w:hAnsiTheme="minorHAnsi" w:cstheme="minorBidi"/>
              <w:bCs w:val="0"/>
              <w:caps w:val="0"/>
              <w:noProof/>
              <w:kern w:val="2"/>
              <w:sz w:val="24"/>
              <w:szCs w:val="24"/>
              <w:lang w:val="en-GB" w:eastAsia="en-GB"/>
              <w14:ligatures w14:val="standardContextual"/>
            </w:rPr>
          </w:pPr>
          <w:r w:rsidRPr="006D2535">
            <w:rPr>
              <w:noProof/>
              <w:lang w:val="es-ES_tradnl"/>
            </w:rPr>
            <w:t>V.</w:t>
          </w:r>
          <w:r>
            <w:rPr>
              <w:rFonts w:asciiTheme="minorHAnsi" w:eastAsiaTheme="minorEastAsia" w:hAnsiTheme="minorHAnsi" w:cstheme="minorBidi"/>
              <w:bCs w:val="0"/>
              <w:caps w:val="0"/>
              <w:noProof/>
              <w:kern w:val="2"/>
              <w:sz w:val="24"/>
              <w:szCs w:val="24"/>
              <w:lang w:val="en-GB" w:eastAsia="en-GB"/>
              <w14:ligatures w14:val="standardContextual"/>
            </w:rPr>
            <w:tab/>
          </w:r>
          <w:r w:rsidRPr="006D2535">
            <w:rPr>
              <w:noProof/>
              <w:lang w:val="es-ES_tradnl"/>
            </w:rPr>
            <w:t>APÉNDICES</w:t>
          </w:r>
          <w:r>
            <w:rPr>
              <w:noProof/>
            </w:rPr>
            <w:tab/>
          </w:r>
          <w:r>
            <w:rPr>
              <w:noProof/>
            </w:rPr>
            <w:fldChar w:fldCharType="begin"/>
          </w:r>
          <w:r>
            <w:rPr>
              <w:noProof/>
            </w:rPr>
            <w:instrText xml:space="preserve"> PAGEREF _Toc209777780 \h </w:instrText>
          </w:r>
          <w:r>
            <w:rPr>
              <w:noProof/>
            </w:rPr>
          </w:r>
          <w:r>
            <w:rPr>
              <w:noProof/>
            </w:rPr>
            <w:fldChar w:fldCharType="separate"/>
          </w:r>
          <w:r w:rsidR="00C2190F">
            <w:rPr>
              <w:noProof/>
            </w:rPr>
            <w:t>26</w:t>
          </w:r>
          <w:r>
            <w:rPr>
              <w:noProof/>
            </w:rPr>
            <w:fldChar w:fldCharType="end"/>
          </w:r>
        </w:p>
        <w:p w14:paraId="28DF1D9A" w14:textId="18313F96" w:rsidR="00CF1A3C" w:rsidRDefault="00CF1A3C">
          <w:pPr>
            <w:pStyle w:val="TOC4"/>
            <w:rPr>
              <w:rFonts w:eastAsiaTheme="minorEastAsia" w:cstheme="minorBidi"/>
              <w:noProof/>
              <w:kern w:val="2"/>
              <w:sz w:val="24"/>
              <w:szCs w:val="24"/>
              <w:lang w:val="en-GB" w:eastAsia="en-GB"/>
              <w14:ligatures w14:val="standardContextual"/>
            </w:rPr>
          </w:pPr>
          <w:r w:rsidRPr="006D2535">
            <w:rPr>
              <w:noProof/>
              <w:lang w:val="es-ES_tradnl"/>
            </w:rPr>
            <w:t>Apéndice I</w:t>
          </w:r>
          <w:r>
            <w:rPr>
              <w:rFonts w:eastAsiaTheme="minorEastAsia" w:cstheme="minorBidi"/>
              <w:noProof/>
              <w:kern w:val="2"/>
              <w:sz w:val="24"/>
              <w:szCs w:val="24"/>
              <w:lang w:val="en-GB" w:eastAsia="en-GB"/>
              <w14:ligatures w14:val="standardContextual"/>
            </w:rPr>
            <w:tab/>
          </w:r>
          <w:r w:rsidRPr="006D2535">
            <w:rPr>
              <w:noProof/>
              <w:lang w:val="es-ES_tradnl"/>
            </w:rPr>
            <w:t>Situación respecto de la Unión Internacional para la Protección de las Obtenciones Vegetales (UPOV) al 16 de septiembre de 2025</w:t>
          </w:r>
          <w:r>
            <w:rPr>
              <w:noProof/>
            </w:rPr>
            <w:tab/>
          </w:r>
          <w:r>
            <w:rPr>
              <w:noProof/>
            </w:rPr>
            <w:fldChar w:fldCharType="begin"/>
          </w:r>
          <w:r>
            <w:rPr>
              <w:noProof/>
            </w:rPr>
            <w:instrText xml:space="preserve"> PAGEREF _Toc209777781 \h </w:instrText>
          </w:r>
          <w:r>
            <w:rPr>
              <w:noProof/>
            </w:rPr>
          </w:r>
          <w:r>
            <w:rPr>
              <w:noProof/>
            </w:rPr>
            <w:fldChar w:fldCharType="separate"/>
          </w:r>
          <w:r w:rsidR="00C2190F">
            <w:rPr>
              <w:noProof/>
            </w:rPr>
            <w:t>26</w:t>
          </w:r>
          <w:r>
            <w:rPr>
              <w:noProof/>
            </w:rPr>
            <w:fldChar w:fldCharType="end"/>
          </w:r>
        </w:p>
        <w:p w14:paraId="127F6029" w14:textId="0D6CCDE5" w:rsidR="00CF1A3C" w:rsidRDefault="00CF1A3C">
          <w:pPr>
            <w:pStyle w:val="TOC4"/>
            <w:rPr>
              <w:rFonts w:eastAsiaTheme="minorEastAsia" w:cstheme="minorBidi"/>
              <w:noProof/>
              <w:kern w:val="2"/>
              <w:sz w:val="24"/>
              <w:szCs w:val="24"/>
              <w:lang w:val="en-GB" w:eastAsia="en-GB"/>
              <w14:ligatures w14:val="standardContextual"/>
            </w:rPr>
          </w:pPr>
          <w:r w:rsidRPr="006D2535">
            <w:rPr>
              <w:noProof/>
              <w:lang w:val="es-ES_tradnl"/>
            </w:rPr>
            <w:t>Apéndice II</w:t>
          </w:r>
          <w:r>
            <w:rPr>
              <w:rFonts w:eastAsiaTheme="minorEastAsia" w:cstheme="minorBidi"/>
              <w:noProof/>
              <w:kern w:val="2"/>
              <w:sz w:val="24"/>
              <w:szCs w:val="24"/>
              <w:lang w:val="en-GB" w:eastAsia="en-GB"/>
              <w14:ligatures w14:val="standardContextual"/>
            </w:rPr>
            <w:tab/>
          </w:r>
          <w:r w:rsidRPr="006D2535">
            <w:rPr>
              <w:noProof/>
              <w:lang w:val="es-ES_tradnl"/>
            </w:rPr>
            <w:t>Contribuciones de los miembros</w:t>
          </w:r>
          <w:r>
            <w:rPr>
              <w:noProof/>
            </w:rPr>
            <w:tab/>
          </w:r>
          <w:r>
            <w:rPr>
              <w:noProof/>
            </w:rPr>
            <w:fldChar w:fldCharType="begin"/>
          </w:r>
          <w:r>
            <w:rPr>
              <w:noProof/>
            </w:rPr>
            <w:instrText xml:space="preserve"> PAGEREF _Toc209777782 \h </w:instrText>
          </w:r>
          <w:r>
            <w:rPr>
              <w:noProof/>
            </w:rPr>
          </w:r>
          <w:r>
            <w:rPr>
              <w:noProof/>
            </w:rPr>
            <w:fldChar w:fldCharType="separate"/>
          </w:r>
          <w:r w:rsidR="00C2190F">
            <w:rPr>
              <w:noProof/>
            </w:rPr>
            <w:t>27</w:t>
          </w:r>
          <w:r>
            <w:rPr>
              <w:noProof/>
            </w:rPr>
            <w:fldChar w:fldCharType="end"/>
          </w:r>
        </w:p>
        <w:p w14:paraId="3B98B5C0" w14:textId="4798AF48" w:rsidR="00CF1A3C" w:rsidRDefault="00CF1A3C">
          <w:pPr>
            <w:pStyle w:val="TOC4"/>
            <w:rPr>
              <w:rFonts w:eastAsiaTheme="minorEastAsia" w:cstheme="minorBidi"/>
              <w:noProof/>
              <w:kern w:val="2"/>
              <w:sz w:val="24"/>
              <w:szCs w:val="24"/>
              <w:lang w:val="en-GB" w:eastAsia="en-GB"/>
              <w14:ligatures w14:val="standardContextual"/>
            </w:rPr>
          </w:pPr>
          <w:r w:rsidRPr="006D2535">
            <w:rPr>
              <w:noProof/>
              <w:lang w:val="es-ES_tradnl"/>
            </w:rPr>
            <w:t>Apéndice III</w:t>
          </w:r>
          <w:r>
            <w:rPr>
              <w:rFonts w:eastAsiaTheme="minorEastAsia" w:cstheme="minorBidi"/>
              <w:noProof/>
              <w:kern w:val="2"/>
              <w:sz w:val="24"/>
              <w:szCs w:val="24"/>
              <w:lang w:val="en-GB" w:eastAsia="en-GB"/>
              <w14:ligatures w14:val="standardContextual"/>
            </w:rPr>
            <w:tab/>
          </w:r>
          <w:r w:rsidRPr="006D2535">
            <w:rPr>
              <w:noProof/>
              <w:lang w:val="es-ES_tradnl"/>
            </w:rPr>
            <w:t>Definición de fuentes de ingresos y categorías de gastos</w:t>
          </w:r>
          <w:r>
            <w:rPr>
              <w:noProof/>
            </w:rPr>
            <w:tab/>
          </w:r>
          <w:r>
            <w:rPr>
              <w:noProof/>
            </w:rPr>
            <w:fldChar w:fldCharType="begin"/>
          </w:r>
          <w:r>
            <w:rPr>
              <w:noProof/>
            </w:rPr>
            <w:instrText xml:space="preserve"> PAGEREF _Toc209777783 \h </w:instrText>
          </w:r>
          <w:r>
            <w:rPr>
              <w:noProof/>
            </w:rPr>
          </w:r>
          <w:r>
            <w:rPr>
              <w:noProof/>
            </w:rPr>
            <w:fldChar w:fldCharType="separate"/>
          </w:r>
          <w:r w:rsidR="00C2190F">
            <w:rPr>
              <w:noProof/>
            </w:rPr>
            <w:t>29</w:t>
          </w:r>
          <w:r>
            <w:rPr>
              <w:noProof/>
            </w:rPr>
            <w:fldChar w:fldCharType="end"/>
          </w:r>
        </w:p>
        <w:p w14:paraId="574746AB" w14:textId="6C814AB5" w:rsidR="00B65EDC" w:rsidRPr="00E675E8" w:rsidRDefault="00B65EDC" w:rsidP="00B65EDC">
          <w:pPr>
            <w:rPr>
              <w:lang w:val="es-ES_tradnl"/>
            </w:rPr>
          </w:pPr>
          <w:r w:rsidRPr="00E675E8">
            <w:rPr>
              <w:rFonts w:cstheme="minorHAnsi"/>
              <w:lang w:val="es-ES_tradnl"/>
            </w:rPr>
            <w:fldChar w:fldCharType="end"/>
          </w:r>
        </w:p>
      </w:sdtContent>
    </w:sdt>
    <w:p w14:paraId="646EE436" w14:textId="77777777" w:rsidR="00B65EDC" w:rsidRPr="00E675E8" w:rsidRDefault="00B65EDC" w:rsidP="00FC7FED">
      <w:pPr>
        <w:pStyle w:val="Heading1"/>
        <w:numPr>
          <w:ilvl w:val="0"/>
          <w:numId w:val="6"/>
        </w:numPr>
        <w:rPr>
          <w:lang w:val="es-ES_tradnl"/>
        </w:rPr>
      </w:pPr>
      <w:bookmarkStart w:id="12" w:name="_Toc63091087"/>
      <w:bookmarkStart w:id="13" w:name="_Toc63091284"/>
      <w:bookmarkStart w:id="14" w:name="_Toc63091814"/>
      <w:bookmarkStart w:id="15" w:name="_Toc63177676"/>
      <w:bookmarkStart w:id="16" w:name="_Toc63177802"/>
      <w:bookmarkStart w:id="17" w:name="_Toc63178431"/>
      <w:bookmarkStart w:id="18" w:name="_Toc63182523"/>
      <w:bookmarkStart w:id="19" w:name="_Toc63091088"/>
      <w:bookmarkStart w:id="20" w:name="_Toc63091285"/>
      <w:bookmarkStart w:id="21" w:name="_Toc63091815"/>
      <w:bookmarkStart w:id="22" w:name="_Toc63177677"/>
      <w:bookmarkStart w:id="23" w:name="_Toc63177803"/>
      <w:bookmarkStart w:id="24" w:name="_Toc63178432"/>
      <w:bookmarkStart w:id="25" w:name="_Toc63182524"/>
      <w:bookmarkStart w:id="26" w:name="_Toc63177678"/>
      <w:bookmarkStart w:id="27" w:name="_Toc63177804"/>
      <w:bookmarkStart w:id="28" w:name="_Toc63178433"/>
      <w:bookmarkStart w:id="29" w:name="_Toc63182525"/>
      <w:bookmarkStart w:id="30" w:name="_Toc63177679"/>
      <w:bookmarkStart w:id="31" w:name="_Toc63177805"/>
      <w:bookmarkStart w:id="32" w:name="_Toc63178434"/>
      <w:bookmarkStart w:id="33" w:name="_Toc63182526"/>
      <w:bookmarkStart w:id="34" w:name="_Toc63177680"/>
      <w:bookmarkStart w:id="35" w:name="_Toc63177806"/>
      <w:bookmarkStart w:id="36" w:name="_Toc63178435"/>
      <w:bookmarkStart w:id="37" w:name="_Toc63182527"/>
      <w:bookmarkStart w:id="38" w:name="_Toc63177681"/>
      <w:bookmarkStart w:id="39" w:name="_Toc63177807"/>
      <w:bookmarkStart w:id="40" w:name="_Toc63178436"/>
      <w:bookmarkStart w:id="41" w:name="_Toc63182528"/>
      <w:bookmarkStart w:id="42" w:name="_Toc63177682"/>
      <w:bookmarkStart w:id="43" w:name="_Toc63177808"/>
      <w:bookmarkStart w:id="44" w:name="_Toc63178437"/>
      <w:bookmarkStart w:id="45" w:name="_Toc63182529"/>
      <w:bookmarkStart w:id="46" w:name="_Toc63177683"/>
      <w:bookmarkStart w:id="47" w:name="_Toc63177809"/>
      <w:bookmarkStart w:id="48" w:name="_Toc63178438"/>
      <w:bookmarkStart w:id="49" w:name="_Toc63182530"/>
      <w:bookmarkStart w:id="50" w:name="_Toc63177684"/>
      <w:bookmarkStart w:id="51" w:name="_Toc63177810"/>
      <w:bookmarkStart w:id="52" w:name="_Toc63178439"/>
      <w:bookmarkStart w:id="53" w:name="_Toc63182531"/>
      <w:bookmarkStart w:id="54" w:name="_Toc63177685"/>
      <w:bookmarkStart w:id="55" w:name="_Toc63177811"/>
      <w:bookmarkStart w:id="56" w:name="_Toc63178440"/>
      <w:bookmarkStart w:id="57" w:name="_Toc63182532"/>
      <w:bookmarkStart w:id="58" w:name="_Toc63177686"/>
      <w:bookmarkStart w:id="59" w:name="_Toc63177812"/>
      <w:bookmarkStart w:id="60" w:name="_Toc63178441"/>
      <w:bookmarkStart w:id="61" w:name="_Toc63182533"/>
      <w:bookmarkStart w:id="62" w:name="_Toc63177687"/>
      <w:bookmarkStart w:id="63" w:name="_Toc63177813"/>
      <w:bookmarkStart w:id="64" w:name="_Toc63178442"/>
      <w:bookmarkStart w:id="65" w:name="_Toc63182534"/>
      <w:bookmarkStart w:id="66" w:name="_Toc63177688"/>
      <w:bookmarkStart w:id="67" w:name="_Toc63177814"/>
      <w:bookmarkStart w:id="68" w:name="_Toc63178443"/>
      <w:bookmarkStart w:id="69" w:name="_Toc63182535"/>
      <w:bookmarkStart w:id="70" w:name="_Toc63177689"/>
      <w:bookmarkStart w:id="71" w:name="_Toc63177815"/>
      <w:bookmarkStart w:id="72" w:name="_Toc63178444"/>
      <w:bookmarkStart w:id="73" w:name="_Toc63182536"/>
      <w:bookmarkStart w:id="74" w:name="_Toc63177690"/>
      <w:bookmarkStart w:id="75" w:name="_Toc63177816"/>
      <w:bookmarkStart w:id="76" w:name="_Toc63178445"/>
      <w:bookmarkStart w:id="77" w:name="_Toc63182537"/>
      <w:bookmarkStart w:id="78" w:name="_Toc63177691"/>
      <w:bookmarkStart w:id="79" w:name="_Toc63177817"/>
      <w:bookmarkStart w:id="80" w:name="_Toc63178446"/>
      <w:bookmarkStart w:id="81" w:name="_Toc63182538"/>
      <w:bookmarkStart w:id="82" w:name="_Toc63177692"/>
      <w:bookmarkStart w:id="83" w:name="_Toc63177818"/>
      <w:bookmarkStart w:id="84" w:name="_Toc63178447"/>
      <w:bookmarkStart w:id="85" w:name="_Toc63182539"/>
      <w:bookmarkStart w:id="86" w:name="_Toc63177693"/>
      <w:bookmarkStart w:id="87" w:name="_Toc63177819"/>
      <w:bookmarkStart w:id="88" w:name="_Toc63178448"/>
      <w:bookmarkStart w:id="89" w:name="_Toc63182540"/>
      <w:bookmarkStart w:id="90" w:name="_Toc63177694"/>
      <w:bookmarkStart w:id="91" w:name="_Toc63177820"/>
      <w:bookmarkStart w:id="92" w:name="_Toc63178449"/>
      <w:bookmarkStart w:id="93" w:name="_Toc63182541"/>
      <w:bookmarkStart w:id="94" w:name="_Toc63177695"/>
      <w:bookmarkStart w:id="95" w:name="_Toc63177821"/>
      <w:bookmarkStart w:id="96" w:name="_Toc63178450"/>
      <w:bookmarkStart w:id="97" w:name="_Toc63182542"/>
      <w:bookmarkStart w:id="98" w:name="_Toc63177696"/>
      <w:bookmarkStart w:id="99" w:name="_Toc63177822"/>
      <w:bookmarkStart w:id="100" w:name="_Toc63178451"/>
      <w:bookmarkStart w:id="101" w:name="_Toc63182543"/>
      <w:bookmarkStart w:id="102" w:name="_Toc63177697"/>
      <w:bookmarkStart w:id="103" w:name="_Toc63177823"/>
      <w:bookmarkStart w:id="104" w:name="_Toc63178452"/>
      <w:bookmarkStart w:id="105" w:name="_Toc63182544"/>
      <w:bookmarkStart w:id="106" w:name="_Toc63177698"/>
      <w:bookmarkStart w:id="107" w:name="_Toc63177824"/>
      <w:bookmarkStart w:id="108" w:name="_Toc63178453"/>
      <w:bookmarkStart w:id="109" w:name="_Toc63182545"/>
      <w:bookmarkStart w:id="110" w:name="_Toc63177699"/>
      <w:bookmarkStart w:id="111" w:name="_Toc63177825"/>
      <w:bookmarkStart w:id="112" w:name="_Toc63178454"/>
      <w:bookmarkStart w:id="113" w:name="_Toc63182546"/>
      <w:bookmarkStart w:id="114" w:name="_Toc63177700"/>
      <w:bookmarkStart w:id="115" w:name="_Toc63177826"/>
      <w:bookmarkStart w:id="116" w:name="_Toc63178455"/>
      <w:bookmarkStart w:id="117" w:name="_Toc63182547"/>
      <w:bookmarkStart w:id="118" w:name="_Toc63177701"/>
      <w:bookmarkStart w:id="119" w:name="_Toc63177827"/>
      <w:bookmarkStart w:id="120" w:name="_Toc63178456"/>
      <w:bookmarkStart w:id="121" w:name="_Toc63182548"/>
      <w:bookmarkStart w:id="122" w:name="_Toc63177702"/>
      <w:bookmarkStart w:id="123" w:name="_Toc63177828"/>
      <w:bookmarkStart w:id="124" w:name="_Toc63178457"/>
      <w:bookmarkStart w:id="125" w:name="_Toc63182549"/>
      <w:bookmarkStart w:id="126" w:name="_Toc63177703"/>
      <w:bookmarkStart w:id="127" w:name="_Toc63177829"/>
      <w:bookmarkStart w:id="128" w:name="_Toc63178458"/>
      <w:bookmarkStart w:id="129" w:name="_Toc63182550"/>
      <w:bookmarkStart w:id="130" w:name="_Toc63177704"/>
      <w:bookmarkStart w:id="131" w:name="_Toc63177830"/>
      <w:bookmarkStart w:id="132" w:name="_Toc63178459"/>
      <w:bookmarkStart w:id="133" w:name="_Toc63182551"/>
      <w:bookmarkStart w:id="134" w:name="_Toc63177705"/>
      <w:bookmarkStart w:id="135" w:name="_Toc63177831"/>
      <w:bookmarkStart w:id="136" w:name="_Toc63178460"/>
      <w:bookmarkStart w:id="137" w:name="_Toc63182552"/>
      <w:bookmarkStart w:id="138" w:name="_Toc63177706"/>
      <w:bookmarkStart w:id="139" w:name="_Toc63177832"/>
      <w:bookmarkStart w:id="140" w:name="_Toc63178461"/>
      <w:bookmarkStart w:id="141" w:name="_Toc63182553"/>
      <w:bookmarkStart w:id="142" w:name="_Toc63177707"/>
      <w:bookmarkStart w:id="143" w:name="_Toc63177833"/>
      <w:bookmarkStart w:id="144" w:name="_Toc63178462"/>
      <w:bookmarkStart w:id="145" w:name="_Toc63182554"/>
      <w:bookmarkStart w:id="146" w:name="_Toc63177708"/>
      <w:bookmarkStart w:id="147" w:name="_Toc63177834"/>
      <w:bookmarkStart w:id="148" w:name="_Toc63178463"/>
      <w:bookmarkStart w:id="149" w:name="_Toc63182555"/>
      <w:bookmarkStart w:id="150" w:name="_Toc63177709"/>
      <w:bookmarkStart w:id="151" w:name="_Toc63177835"/>
      <w:bookmarkStart w:id="152" w:name="_Toc63178464"/>
      <w:bookmarkStart w:id="153" w:name="_Toc63182556"/>
      <w:bookmarkStart w:id="154" w:name="_Toc63177710"/>
      <w:bookmarkStart w:id="155" w:name="_Toc63177836"/>
      <w:bookmarkStart w:id="156" w:name="_Toc63178465"/>
      <w:bookmarkStart w:id="157" w:name="_Toc63182557"/>
      <w:bookmarkStart w:id="158" w:name="_Toc63177711"/>
      <w:bookmarkStart w:id="159" w:name="_Toc63177837"/>
      <w:bookmarkStart w:id="160" w:name="_Toc63178466"/>
      <w:bookmarkStart w:id="161" w:name="_Toc63182558"/>
      <w:bookmarkStart w:id="162" w:name="_Toc63177712"/>
      <w:bookmarkStart w:id="163" w:name="_Toc63177838"/>
      <w:bookmarkStart w:id="164" w:name="_Toc63178467"/>
      <w:bookmarkStart w:id="165" w:name="_Toc63182559"/>
      <w:bookmarkStart w:id="166" w:name="_Toc63177713"/>
      <w:bookmarkStart w:id="167" w:name="_Toc63177839"/>
      <w:bookmarkStart w:id="168" w:name="_Toc63178468"/>
      <w:bookmarkStart w:id="169" w:name="_Toc63182560"/>
      <w:bookmarkStart w:id="170" w:name="_Toc63177714"/>
      <w:bookmarkStart w:id="171" w:name="_Toc63177840"/>
      <w:bookmarkStart w:id="172" w:name="_Toc63178469"/>
      <w:bookmarkStart w:id="173" w:name="_Toc63182561"/>
      <w:bookmarkStart w:id="174" w:name="_Toc63177715"/>
      <w:bookmarkStart w:id="175" w:name="_Toc63177841"/>
      <w:bookmarkStart w:id="176" w:name="_Toc63178470"/>
      <w:bookmarkStart w:id="177" w:name="_Toc63182562"/>
      <w:bookmarkStart w:id="178" w:name="_Toc63177716"/>
      <w:bookmarkStart w:id="179" w:name="_Toc63177842"/>
      <w:bookmarkStart w:id="180" w:name="_Toc63178471"/>
      <w:bookmarkStart w:id="181" w:name="_Toc63182563"/>
      <w:bookmarkStart w:id="182" w:name="_Toc63177717"/>
      <w:bookmarkStart w:id="183" w:name="_Toc63177843"/>
      <w:bookmarkStart w:id="184" w:name="_Toc63178472"/>
      <w:bookmarkStart w:id="185" w:name="_Toc63182564"/>
      <w:bookmarkStart w:id="186" w:name="_Toc63177718"/>
      <w:bookmarkStart w:id="187" w:name="_Toc63177844"/>
      <w:bookmarkStart w:id="188" w:name="_Toc63178473"/>
      <w:bookmarkStart w:id="189" w:name="_Toc63182565"/>
      <w:bookmarkStart w:id="190" w:name="_Toc63177719"/>
      <w:bookmarkStart w:id="191" w:name="_Toc63177845"/>
      <w:bookmarkStart w:id="192" w:name="_Toc63178474"/>
      <w:bookmarkStart w:id="193" w:name="_Toc63182566"/>
      <w:bookmarkStart w:id="194" w:name="_Toc63177720"/>
      <w:bookmarkStart w:id="195" w:name="_Toc63177846"/>
      <w:bookmarkStart w:id="196" w:name="_Toc63178475"/>
      <w:bookmarkStart w:id="197" w:name="_Toc63182567"/>
      <w:bookmarkStart w:id="198" w:name="_Toc63177721"/>
      <w:bookmarkStart w:id="199" w:name="_Toc63177847"/>
      <w:bookmarkStart w:id="200" w:name="_Toc63178476"/>
      <w:bookmarkStart w:id="201" w:name="_Toc63182568"/>
      <w:bookmarkStart w:id="202" w:name="_Toc63177722"/>
      <w:bookmarkStart w:id="203" w:name="_Toc63177848"/>
      <w:bookmarkStart w:id="204" w:name="_Toc63178477"/>
      <w:bookmarkStart w:id="205" w:name="_Toc63182569"/>
      <w:bookmarkStart w:id="206" w:name="_Toc63177723"/>
      <w:bookmarkStart w:id="207" w:name="_Toc63177849"/>
      <w:bookmarkStart w:id="208" w:name="_Toc63178478"/>
      <w:bookmarkStart w:id="209" w:name="_Toc63182570"/>
      <w:bookmarkStart w:id="210" w:name="_Toc63177724"/>
      <w:bookmarkStart w:id="211" w:name="_Toc63177850"/>
      <w:bookmarkStart w:id="212" w:name="_Toc63178479"/>
      <w:bookmarkStart w:id="213" w:name="_Toc63182571"/>
      <w:bookmarkStart w:id="214" w:name="_Toc63177725"/>
      <w:bookmarkStart w:id="215" w:name="_Toc63177851"/>
      <w:bookmarkStart w:id="216" w:name="_Toc63178480"/>
      <w:bookmarkStart w:id="217" w:name="_Toc63182572"/>
      <w:bookmarkStart w:id="218" w:name="_Toc63177726"/>
      <w:bookmarkStart w:id="219" w:name="_Toc63177852"/>
      <w:bookmarkStart w:id="220" w:name="_Toc63178481"/>
      <w:bookmarkStart w:id="221" w:name="_Toc63182573"/>
      <w:bookmarkStart w:id="222" w:name="_Toc63177727"/>
      <w:bookmarkStart w:id="223" w:name="_Toc63177853"/>
      <w:bookmarkStart w:id="224" w:name="_Toc63178482"/>
      <w:bookmarkStart w:id="225" w:name="_Toc63182574"/>
      <w:bookmarkStart w:id="226" w:name="_Toc63177728"/>
      <w:bookmarkStart w:id="227" w:name="_Toc63177854"/>
      <w:bookmarkStart w:id="228" w:name="_Toc63178483"/>
      <w:bookmarkStart w:id="229" w:name="_Toc63182575"/>
      <w:bookmarkStart w:id="230" w:name="_Toc63177729"/>
      <w:bookmarkStart w:id="231" w:name="_Toc63177855"/>
      <w:bookmarkStart w:id="232" w:name="_Toc63178484"/>
      <w:bookmarkStart w:id="233" w:name="_Toc63182576"/>
      <w:bookmarkStart w:id="234" w:name="_Toc63177730"/>
      <w:bookmarkStart w:id="235" w:name="_Toc63177856"/>
      <w:bookmarkStart w:id="236" w:name="_Toc63178485"/>
      <w:bookmarkStart w:id="237" w:name="_Toc63182577"/>
      <w:bookmarkStart w:id="238" w:name="_Toc63177731"/>
      <w:bookmarkStart w:id="239" w:name="_Toc63177857"/>
      <w:bookmarkStart w:id="240" w:name="_Toc63178486"/>
      <w:bookmarkStart w:id="241" w:name="_Toc63182578"/>
      <w:bookmarkStart w:id="242" w:name="_Toc63177732"/>
      <w:bookmarkStart w:id="243" w:name="_Toc63177858"/>
      <w:bookmarkStart w:id="244" w:name="_Toc63178487"/>
      <w:bookmarkStart w:id="245" w:name="_Toc63182579"/>
      <w:bookmarkStart w:id="246" w:name="_Toc63177733"/>
      <w:bookmarkStart w:id="247" w:name="_Toc63177859"/>
      <w:bookmarkStart w:id="248" w:name="_Toc63178488"/>
      <w:bookmarkStart w:id="249" w:name="_Toc63182580"/>
      <w:bookmarkStart w:id="250" w:name="_Toc63177734"/>
      <w:bookmarkStart w:id="251" w:name="_Toc63177860"/>
      <w:bookmarkStart w:id="252" w:name="_Toc63178489"/>
      <w:bookmarkStart w:id="253" w:name="_Toc63182581"/>
      <w:bookmarkStart w:id="254" w:name="_Toc63177735"/>
      <w:bookmarkStart w:id="255" w:name="_Toc63177861"/>
      <w:bookmarkStart w:id="256" w:name="_Toc63178490"/>
      <w:bookmarkStart w:id="257" w:name="_Toc63182582"/>
      <w:bookmarkStart w:id="258" w:name="_Toc63177736"/>
      <w:bookmarkStart w:id="259" w:name="_Toc63177862"/>
      <w:bookmarkStart w:id="260" w:name="_Toc63178491"/>
      <w:bookmarkStart w:id="261" w:name="_Toc63182583"/>
      <w:bookmarkStart w:id="262" w:name="_Toc63177737"/>
      <w:bookmarkStart w:id="263" w:name="_Toc63177863"/>
      <w:bookmarkStart w:id="264" w:name="_Toc63178492"/>
      <w:bookmarkStart w:id="265" w:name="_Toc63182584"/>
      <w:bookmarkStart w:id="266" w:name="_Toc63177738"/>
      <w:bookmarkStart w:id="267" w:name="_Toc63177864"/>
      <w:bookmarkStart w:id="268" w:name="_Toc63178493"/>
      <w:bookmarkStart w:id="269" w:name="_Toc63182585"/>
      <w:bookmarkStart w:id="270" w:name="_Toc63177739"/>
      <w:bookmarkStart w:id="271" w:name="_Toc63177865"/>
      <w:bookmarkStart w:id="272" w:name="_Toc63178494"/>
      <w:bookmarkStart w:id="273" w:name="_Toc63182586"/>
      <w:bookmarkStart w:id="274" w:name="_Toc63177740"/>
      <w:bookmarkStart w:id="275" w:name="_Toc63177866"/>
      <w:bookmarkStart w:id="276" w:name="_Toc63178495"/>
      <w:bookmarkStart w:id="277" w:name="_Toc63182587"/>
      <w:bookmarkStart w:id="278" w:name="_Toc63177741"/>
      <w:bookmarkStart w:id="279" w:name="_Toc63177867"/>
      <w:bookmarkStart w:id="280" w:name="_Toc63178496"/>
      <w:bookmarkStart w:id="281" w:name="_Toc63182588"/>
      <w:bookmarkStart w:id="282" w:name="_Toc63177742"/>
      <w:bookmarkStart w:id="283" w:name="_Toc63177868"/>
      <w:bookmarkStart w:id="284" w:name="_Toc63178497"/>
      <w:bookmarkStart w:id="285" w:name="_Toc63182589"/>
      <w:bookmarkStart w:id="286" w:name="_Toc63177743"/>
      <w:bookmarkStart w:id="287" w:name="_Toc63177869"/>
      <w:bookmarkStart w:id="288" w:name="_Toc63178498"/>
      <w:bookmarkStart w:id="289" w:name="_Toc63182590"/>
      <w:bookmarkStart w:id="290" w:name="_Toc63177744"/>
      <w:bookmarkStart w:id="291" w:name="_Toc63177870"/>
      <w:bookmarkStart w:id="292" w:name="_Toc63178499"/>
      <w:bookmarkStart w:id="293" w:name="_Toc63182591"/>
      <w:bookmarkStart w:id="294" w:name="_Toc63177745"/>
      <w:bookmarkStart w:id="295" w:name="_Toc63177871"/>
      <w:bookmarkStart w:id="296" w:name="_Toc63178500"/>
      <w:bookmarkStart w:id="297" w:name="_Toc63182592"/>
      <w:bookmarkStart w:id="298" w:name="_Toc63177746"/>
      <w:bookmarkStart w:id="299" w:name="_Toc63177872"/>
      <w:bookmarkStart w:id="300" w:name="_Toc63178501"/>
      <w:bookmarkStart w:id="301" w:name="_Toc63182593"/>
      <w:bookmarkStart w:id="302" w:name="_Toc63177747"/>
      <w:bookmarkStart w:id="303" w:name="_Toc63177873"/>
      <w:bookmarkStart w:id="304" w:name="_Toc63178502"/>
      <w:bookmarkStart w:id="305" w:name="_Toc63182594"/>
      <w:bookmarkStart w:id="306" w:name="_Toc63177748"/>
      <w:bookmarkStart w:id="307" w:name="_Toc63177874"/>
      <w:bookmarkStart w:id="308" w:name="_Toc63178503"/>
      <w:bookmarkStart w:id="309" w:name="_Toc63182595"/>
      <w:bookmarkStart w:id="310" w:name="_Toc63177749"/>
      <w:bookmarkStart w:id="311" w:name="_Toc63177875"/>
      <w:bookmarkStart w:id="312" w:name="_Toc63178504"/>
      <w:bookmarkStart w:id="313" w:name="_Toc63182596"/>
      <w:bookmarkStart w:id="314" w:name="_Toc63177750"/>
      <w:bookmarkStart w:id="315" w:name="_Toc63177876"/>
      <w:bookmarkStart w:id="316" w:name="_Toc63178505"/>
      <w:bookmarkStart w:id="317" w:name="_Toc63182597"/>
      <w:bookmarkStart w:id="318" w:name="_Toc63177751"/>
      <w:bookmarkStart w:id="319" w:name="_Toc63177877"/>
      <w:bookmarkStart w:id="320" w:name="_Toc63178506"/>
      <w:bookmarkStart w:id="321" w:name="_Toc63182598"/>
      <w:bookmarkStart w:id="322" w:name="_Toc63177752"/>
      <w:bookmarkStart w:id="323" w:name="_Toc63177878"/>
      <w:bookmarkStart w:id="324" w:name="_Toc63178507"/>
      <w:bookmarkStart w:id="325" w:name="_Toc63182599"/>
      <w:bookmarkStart w:id="326" w:name="_Toc63177753"/>
      <w:bookmarkStart w:id="327" w:name="_Toc63177879"/>
      <w:bookmarkStart w:id="328" w:name="_Toc63178508"/>
      <w:bookmarkStart w:id="329" w:name="_Toc63182600"/>
      <w:bookmarkStart w:id="330" w:name="_Toc63177754"/>
      <w:bookmarkStart w:id="331" w:name="_Toc63177880"/>
      <w:bookmarkStart w:id="332" w:name="_Toc63178509"/>
      <w:bookmarkStart w:id="333" w:name="_Toc63182601"/>
      <w:bookmarkStart w:id="334" w:name="_Toc63177755"/>
      <w:bookmarkStart w:id="335" w:name="_Toc63177881"/>
      <w:bookmarkStart w:id="336" w:name="_Toc63178510"/>
      <w:bookmarkStart w:id="337" w:name="_Toc63182602"/>
      <w:bookmarkStart w:id="338" w:name="_Toc63177756"/>
      <w:bookmarkStart w:id="339" w:name="_Toc63177882"/>
      <w:bookmarkStart w:id="340" w:name="_Toc63178511"/>
      <w:bookmarkStart w:id="341" w:name="_Toc63182603"/>
      <w:bookmarkStart w:id="342" w:name="_Toc63177757"/>
      <w:bookmarkStart w:id="343" w:name="_Toc63177883"/>
      <w:bookmarkStart w:id="344" w:name="_Toc63178512"/>
      <w:bookmarkStart w:id="345" w:name="_Toc63182604"/>
      <w:bookmarkStart w:id="346" w:name="_Toc63177758"/>
      <w:bookmarkStart w:id="347" w:name="_Toc63177884"/>
      <w:bookmarkStart w:id="348" w:name="_Toc63178513"/>
      <w:bookmarkStart w:id="349" w:name="_Toc63182605"/>
      <w:bookmarkStart w:id="350" w:name="_Toc63177759"/>
      <w:bookmarkStart w:id="351" w:name="_Toc63177885"/>
      <w:bookmarkStart w:id="352" w:name="_Toc63178514"/>
      <w:bookmarkStart w:id="353" w:name="_Toc63182606"/>
      <w:bookmarkStart w:id="354" w:name="_Toc63177760"/>
      <w:bookmarkStart w:id="355" w:name="_Toc63177886"/>
      <w:bookmarkStart w:id="356" w:name="_Toc63178515"/>
      <w:bookmarkStart w:id="357" w:name="_Toc63182607"/>
      <w:bookmarkStart w:id="358" w:name="_Toc63177761"/>
      <w:bookmarkStart w:id="359" w:name="_Toc63177887"/>
      <w:bookmarkStart w:id="360" w:name="_Toc63178516"/>
      <w:bookmarkStart w:id="361" w:name="_Toc63182608"/>
      <w:bookmarkStart w:id="362" w:name="_Toc63177762"/>
      <w:bookmarkStart w:id="363" w:name="_Toc63177888"/>
      <w:bookmarkStart w:id="364" w:name="_Toc63178517"/>
      <w:bookmarkStart w:id="365" w:name="_Toc63182609"/>
      <w:bookmarkStart w:id="366" w:name="_Toc63177763"/>
      <w:bookmarkStart w:id="367" w:name="_Toc63177889"/>
      <w:bookmarkStart w:id="368" w:name="_Toc63178518"/>
      <w:bookmarkStart w:id="369" w:name="_Toc63182610"/>
      <w:bookmarkStart w:id="370" w:name="_Toc63177764"/>
      <w:bookmarkStart w:id="371" w:name="_Toc63177890"/>
      <w:bookmarkStart w:id="372" w:name="_Toc63178519"/>
      <w:bookmarkStart w:id="373" w:name="_Toc63182611"/>
      <w:bookmarkStart w:id="374" w:name="_Toc63177765"/>
      <w:bookmarkStart w:id="375" w:name="_Toc63177891"/>
      <w:bookmarkStart w:id="376" w:name="_Toc63178520"/>
      <w:bookmarkStart w:id="377" w:name="_Toc63182612"/>
      <w:bookmarkStart w:id="378" w:name="_Toc63177766"/>
      <w:bookmarkStart w:id="379" w:name="_Toc63177892"/>
      <w:bookmarkStart w:id="380" w:name="_Toc63178521"/>
      <w:bookmarkStart w:id="381" w:name="_Toc63182613"/>
      <w:bookmarkStart w:id="382" w:name="_Toc63177767"/>
      <w:bookmarkStart w:id="383" w:name="_Toc63177893"/>
      <w:bookmarkStart w:id="384" w:name="_Toc63178522"/>
      <w:bookmarkStart w:id="385" w:name="_Toc63182614"/>
      <w:bookmarkStart w:id="386" w:name="_Toc63177768"/>
      <w:bookmarkStart w:id="387" w:name="_Toc63177894"/>
      <w:bookmarkStart w:id="388" w:name="_Toc63178523"/>
      <w:bookmarkStart w:id="389" w:name="_Toc63182615"/>
      <w:bookmarkStart w:id="390" w:name="_Toc63177769"/>
      <w:bookmarkStart w:id="391" w:name="_Toc63177895"/>
      <w:bookmarkStart w:id="392" w:name="_Toc63178524"/>
      <w:bookmarkStart w:id="393" w:name="_Toc63182616"/>
      <w:bookmarkStart w:id="394" w:name="_Toc63177770"/>
      <w:bookmarkStart w:id="395" w:name="_Toc63177896"/>
      <w:bookmarkStart w:id="396" w:name="_Toc63178525"/>
      <w:bookmarkStart w:id="397" w:name="_Toc63182617"/>
      <w:bookmarkStart w:id="398" w:name="_Toc63177771"/>
      <w:bookmarkStart w:id="399" w:name="_Toc63177897"/>
      <w:bookmarkStart w:id="400" w:name="_Toc63178526"/>
      <w:bookmarkStart w:id="401" w:name="_Toc63182618"/>
      <w:bookmarkStart w:id="402" w:name="_Toc63177772"/>
      <w:bookmarkStart w:id="403" w:name="_Toc63177898"/>
      <w:bookmarkStart w:id="404" w:name="_Toc63178527"/>
      <w:bookmarkStart w:id="405" w:name="_Toc63182619"/>
      <w:bookmarkStart w:id="406" w:name="_Toc63177773"/>
      <w:bookmarkStart w:id="407" w:name="_Toc63177899"/>
      <w:bookmarkStart w:id="408" w:name="_Toc63178528"/>
      <w:bookmarkStart w:id="409" w:name="_Toc63182620"/>
      <w:bookmarkStart w:id="410" w:name="_Toc63177774"/>
      <w:bookmarkStart w:id="411" w:name="_Toc63177900"/>
      <w:bookmarkStart w:id="412" w:name="_Toc63178529"/>
      <w:bookmarkStart w:id="413" w:name="_Toc63182621"/>
      <w:bookmarkStart w:id="414" w:name="_Toc63177775"/>
      <w:bookmarkStart w:id="415" w:name="_Toc63177901"/>
      <w:bookmarkStart w:id="416" w:name="_Toc63178530"/>
      <w:bookmarkStart w:id="417" w:name="_Toc63182622"/>
      <w:bookmarkStart w:id="418" w:name="_Toc63177776"/>
      <w:bookmarkStart w:id="419" w:name="_Toc63177902"/>
      <w:bookmarkStart w:id="420" w:name="_Toc63178531"/>
      <w:bookmarkStart w:id="421" w:name="_Toc63182623"/>
      <w:bookmarkStart w:id="422" w:name="_Toc63177777"/>
      <w:bookmarkStart w:id="423" w:name="_Toc63177903"/>
      <w:bookmarkStart w:id="424" w:name="_Toc63178532"/>
      <w:bookmarkStart w:id="425" w:name="_Toc63182624"/>
      <w:bookmarkStart w:id="426" w:name="_Toc63177778"/>
      <w:bookmarkStart w:id="427" w:name="_Toc63177904"/>
      <w:bookmarkStart w:id="428" w:name="_Toc63178533"/>
      <w:bookmarkStart w:id="429" w:name="_Toc63182625"/>
      <w:bookmarkStart w:id="430" w:name="_Toc209777758"/>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sidRPr="00E675E8">
        <w:rPr>
          <w:lang w:val="es-ES_tradnl"/>
        </w:rPr>
        <w:lastRenderedPageBreak/>
        <w:t>Contexto general</w:t>
      </w:r>
      <w:bookmarkEnd w:id="430"/>
    </w:p>
    <w:p w14:paraId="0D35E082" w14:textId="77777777" w:rsidR="00B65EDC" w:rsidRPr="00E675E8" w:rsidRDefault="00B65EDC" w:rsidP="00B65EDC">
      <w:pPr>
        <w:rPr>
          <w:lang w:val="es-ES_tradnl"/>
        </w:rPr>
      </w:pPr>
    </w:p>
    <w:p w14:paraId="66F29C7D" w14:textId="37289F28" w:rsidR="00B65EDC" w:rsidRPr="00E675E8" w:rsidRDefault="00B65EDC" w:rsidP="00B65EDC">
      <w:pPr>
        <w:rPr>
          <w:bCs/>
          <w:color w:val="000000" w:themeColor="text1"/>
          <w:lang w:val="es-ES_tradnl"/>
        </w:rPr>
      </w:pPr>
      <w:r w:rsidRPr="00E675E8">
        <w:rPr>
          <w:color w:val="000000" w:themeColor="text1"/>
          <w:lang w:val="es-ES_tradnl"/>
        </w:rPr>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Pr="00E675E8">
        <w:rPr>
          <w:color w:val="000000" w:themeColor="text1"/>
          <w:lang w:val="es-ES_tradnl"/>
        </w:rPr>
        <w:tab/>
      </w:r>
      <w:bookmarkStart w:id="431" w:name="_Hlk191662773"/>
      <w:r w:rsidRPr="00E675E8">
        <w:rPr>
          <w:color w:val="000000" w:themeColor="text1"/>
          <w:lang w:val="es-ES_tradnl"/>
        </w:rPr>
        <w:t>La misión de la UPOV consiste en proporcionar y fomentar un sistema eficaz de protección de las obtenciones vegetales con miras al desarrollo de nuevas variedades vegetales en beneficio de la sociedad.</w:t>
      </w:r>
      <w:r w:rsidR="002817AB" w:rsidRPr="00E675E8">
        <w:rPr>
          <w:color w:val="000000" w:themeColor="text1"/>
          <w:lang w:val="es-ES_tradnl"/>
        </w:rPr>
        <w:t xml:space="preserve"> </w:t>
      </w:r>
    </w:p>
    <w:p w14:paraId="046A4945" w14:textId="77777777" w:rsidR="00B65EDC" w:rsidRPr="00E675E8" w:rsidRDefault="00B65EDC" w:rsidP="00B65EDC">
      <w:pPr>
        <w:rPr>
          <w:lang w:val="es-ES_tradnl"/>
        </w:rPr>
      </w:pPr>
    </w:p>
    <w:p w14:paraId="7C899815" w14:textId="131F5E90"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Durante el bienio 2026-2027, la UPOV se centrará en ámbitos prioritarios, de conformidad con su Plan Operativo Estratégico.</w:t>
      </w:r>
      <w:r w:rsidR="002817AB" w:rsidRPr="00E675E8">
        <w:rPr>
          <w:lang w:val="es-ES_tradnl"/>
        </w:rPr>
        <w:t xml:space="preserve"> </w:t>
      </w:r>
      <w:r w:rsidRPr="00E675E8">
        <w:rPr>
          <w:lang w:val="es-ES_tradnl"/>
        </w:rPr>
        <w:t xml:space="preserve">Es algo que ha quedado reflejado en los gastos propuestos para esas áreas prioritarias y en la contención de los </w:t>
      </w:r>
      <w:r w:rsidR="000411C9">
        <w:rPr>
          <w:lang w:val="es-ES_tradnl"/>
        </w:rPr>
        <w:t>gastos</w:t>
      </w:r>
      <w:r w:rsidRPr="00E675E8">
        <w:rPr>
          <w:lang w:val="es-ES_tradnl"/>
        </w:rPr>
        <w:t xml:space="preserve"> de personal.</w:t>
      </w:r>
      <w:r w:rsidR="002817AB" w:rsidRPr="00E675E8">
        <w:rPr>
          <w:lang w:val="es-ES_tradnl"/>
        </w:rPr>
        <w:t xml:space="preserve"> </w:t>
      </w:r>
      <w:r w:rsidR="000411C9">
        <w:rPr>
          <w:lang w:val="es-ES_tradnl"/>
        </w:rPr>
        <w:t xml:space="preserve"> </w:t>
      </w:r>
      <w:r w:rsidRPr="00E675E8">
        <w:rPr>
          <w:lang w:val="es-ES_tradnl"/>
        </w:rPr>
        <w:t>Las labores de comunicación y digitalización desempeñarán un papel clave para lograr los resultados esperados.</w:t>
      </w:r>
      <w:r w:rsidR="002817AB" w:rsidRPr="00E675E8">
        <w:rPr>
          <w:lang w:val="es-ES_tradnl"/>
        </w:rPr>
        <w:t xml:space="preserve"> </w:t>
      </w:r>
      <w:r w:rsidRPr="00E675E8">
        <w:rPr>
          <w:lang w:val="es-ES_tradnl"/>
        </w:rPr>
        <w:t>Mientras no se consiga una financiación adicional, se realizará una evaluación cuidadosa de nuevas iniciativas y se fomentará el uso de herramientas de reuniones virtuales/híbridas y de participación en línea en eventos organizados por terceros, lo que se traducirá en una reducción del tiempo y los costos de viajes.</w:t>
      </w:r>
    </w:p>
    <w:p w14:paraId="459C4A6D" w14:textId="77777777" w:rsidR="00B65EDC" w:rsidRPr="00E675E8" w:rsidRDefault="00B65EDC" w:rsidP="00B65EDC">
      <w:pPr>
        <w:rPr>
          <w:lang w:val="es-ES_tradnl"/>
        </w:rPr>
      </w:pPr>
    </w:p>
    <w:p w14:paraId="17E0078D" w14:textId="4074BF80"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En octubre de 2025, se presentará al Consejo de la UPOV una estrategia de recursos (documento</w:t>
      </w:r>
      <w:r w:rsidR="003F289C" w:rsidRPr="00E675E8">
        <w:rPr>
          <w:lang w:val="es-ES_tradnl"/>
        </w:rPr>
        <w:t> </w:t>
      </w:r>
      <w:r w:rsidRPr="00E675E8">
        <w:rPr>
          <w:lang w:val="es-ES_tradnl"/>
        </w:rPr>
        <w:t>C/59/16) que incluirá propuestas para hacer frente a los desafíos y oportunidades financieras con el fin de garantizar el desarrollo sostenible de la UPOV.</w:t>
      </w:r>
    </w:p>
    <w:p w14:paraId="088E586F" w14:textId="77777777" w:rsidR="00B65EDC" w:rsidRPr="00E675E8" w:rsidRDefault="00B65EDC" w:rsidP="00B65EDC">
      <w:pPr>
        <w:rPr>
          <w:bCs/>
          <w:color w:val="000000" w:themeColor="text1"/>
          <w:lang w:val="es-ES_tradnl"/>
        </w:rPr>
      </w:pPr>
    </w:p>
    <w:p w14:paraId="57E3543E" w14:textId="77777777" w:rsidR="00B65EDC" w:rsidRPr="00E675E8" w:rsidRDefault="00B65EDC" w:rsidP="00B65EDC">
      <w:pPr>
        <w:rPr>
          <w:bCs/>
          <w:color w:val="000000" w:themeColor="text1"/>
          <w:lang w:val="es-ES_tradnl"/>
        </w:rPr>
      </w:pPr>
    </w:p>
    <w:p w14:paraId="4723B806" w14:textId="77777777" w:rsidR="00B65EDC" w:rsidRPr="00E675E8" w:rsidRDefault="00B65EDC" w:rsidP="00B65EDC">
      <w:pPr>
        <w:rPr>
          <w:bCs/>
          <w:color w:val="000000" w:themeColor="text1"/>
          <w:u w:val="single"/>
          <w:lang w:val="es-ES_tradnl"/>
        </w:rPr>
      </w:pPr>
      <w:r w:rsidRPr="00E675E8">
        <w:rPr>
          <w:color w:val="000000" w:themeColor="text1"/>
          <w:u w:val="single"/>
          <w:lang w:val="es-ES_tradnl"/>
        </w:rPr>
        <w:t>Ampliación del número de miembros de la UPOV</w:t>
      </w:r>
    </w:p>
    <w:p w14:paraId="40578E6E" w14:textId="77777777" w:rsidR="00B65EDC" w:rsidRPr="00E675E8" w:rsidRDefault="00B65EDC" w:rsidP="00B65EDC">
      <w:pPr>
        <w:rPr>
          <w:bCs/>
          <w:color w:val="000000" w:themeColor="text1"/>
          <w:lang w:val="es-ES_tradnl"/>
        </w:rPr>
      </w:pPr>
    </w:p>
    <w:p w14:paraId="79FFDA0A" w14:textId="636B392B" w:rsidR="00B65EDC" w:rsidRPr="00E675E8" w:rsidRDefault="00B65EDC" w:rsidP="00B65EDC">
      <w:pPr>
        <w:rPr>
          <w:bCs/>
          <w:color w:val="000000" w:themeColor="text1"/>
          <w:lang w:val="es-ES_tradnl"/>
        </w:rPr>
      </w:pPr>
      <w:r w:rsidRPr="00E675E8">
        <w:rPr>
          <w:color w:val="000000" w:themeColor="text1"/>
          <w:lang w:val="es-ES_tradnl"/>
        </w:rPr>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Pr="00E675E8">
        <w:rPr>
          <w:color w:val="000000" w:themeColor="text1"/>
          <w:lang w:val="es-ES_tradnl"/>
        </w:rPr>
        <w:tab/>
        <w:t>La ampliación de los miembros de la UPOV sigue siendo una prioridad para la organización.</w:t>
      </w:r>
      <w:r w:rsidR="002817AB" w:rsidRPr="00E675E8">
        <w:rPr>
          <w:color w:val="000000" w:themeColor="text1"/>
          <w:lang w:val="es-ES_tradnl"/>
        </w:rPr>
        <w:t xml:space="preserve"> </w:t>
      </w:r>
      <w:r w:rsidRPr="00E675E8">
        <w:rPr>
          <w:color w:val="000000" w:themeColor="text1"/>
          <w:lang w:val="es-ES_tradnl"/>
        </w:rPr>
        <w:t xml:space="preserve">En el bienio 2026-2027, la UPOV seguirá colaborando con las organizaciones internacionales y regionales para integrar esta prioridad en las conversaciones sobre desarrollo (por ejemplo, el papel de la protección de las obtenciones vegetales en los Objetivos de Desarrollo Sostenible, la lucha contra el cambio climático y la contribución a una </w:t>
      </w:r>
      <w:proofErr w:type="gramStart"/>
      <w:r w:rsidRPr="00E675E8">
        <w:rPr>
          <w:color w:val="000000" w:themeColor="text1"/>
          <w:lang w:val="es-ES_tradnl"/>
        </w:rPr>
        <w:t>vida mejor y un planeta mejor</w:t>
      </w:r>
      <w:proofErr w:type="gramEnd"/>
      <w:r w:rsidRPr="00E675E8">
        <w:rPr>
          <w:color w:val="000000" w:themeColor="text1"/>
          <w:lang w:val="es-ES_tradnl"/>
        </w:rPr>
        <w:t>).</w:t>
      </w:r>
      <w:r w:rsidR="002817AB" w:rsidRPr="00E675E8">
        <w:rPr>
          <w:color w:val="000000" w:themeColor="text1"/>
          <w:lang w:val="es-ES_tradnl"/>
        </w:rPr>
        <w:t xml:space="preserve"> </w:t>
      </w:r>
    </w:p>
    <w:p w14:paraId="675CA7CB" w14:textId="77777777" w:rsidR="00B65EDC" w:rsidRPr="00E675E8" w:rsidRDefault="00B65EDC" w:rsidP="00B65EDC">
      <w:pPr>
        <w:rPr>
          <w:bCs/>
          <w:color w:val="000000" w:themeColor="text1"/>
          <w:lang w:val="es-ES_tradnl"/>
        </w:rPr>
      </w:pPr>
    </w:p>
    <w:p w14:paraId="689E01D1" w14:textId="59E37634" w:rsidR="00B65EDC" w:rsidRPr="00E675E8" w:rsidRDefault="00B65EDC" w:rsidP="00B65EDC">
      <w:pPr>
        <w:rPr>
          <w:bCs/>
          <w:color w:val="000000" w:themeColor="text1"/>
          <w:lang w:val="es-ES_tradnl"/>
        </w:rPr>
      </w:pPr>
      <w:r w:rsidRPr="00E675E8">
        <w:rPr>
          <w:color w:val="000000" w:themeColor="text1"/>
          <w:lang w:val="es-ES_tradnl"/>
        </w:rPr>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003F289C" w:rsidRPr="00E675E8">
        <w:rPr>
          <w:color w:val="000000" w:themeColor="text1"/>
          <w:lang w:val="es-ES_tradnl"/>
        </w:rPr>
        <w:tab/>
      </w:r>
      <w:r w:rsidRPr="00E675E8">
        <w:rPr>
          <w:color w:val="000000" w:themeColor="text1"/>
          <w:lang w:val="es-ES_tradnl"/>
        </w:rPr>
        <w:t>El creciente interés por la protección de las obtenciones vegetales entre los países de África y el Sudeste Asiático, muchos de los cuales se han adherido o están en vía de adherirse a la UPOV, pone de manifiesto la repercusión de estas iniciativas.</w:t>
      </w:r>
      <w:r w:rsidR="002817AB" w:rsidRPr="00E675E8">
        <w:rPr>
          <w:color w:val="000000" w:themeColor="text1"/>
          <w:lang w:val="es-ES_tradnl"/>
        </w:rPr>
        <w:t xml:space="preserve"> </w:t>
      </w:r>
      <w:r w:rsidRPr="00E675E8">
        <w:rPr>
          <w:color w:val="000000" w:themeColor="text1"/>
          <w:lang w:val="es-ES_tradnl"/>
        </w:rPr>
        <w:t>Al fomentar el acceso a variedades resistentes al clima, el marco de protección de las obtenciones vegetales de la UPOV apoya tanto la productividad como la sostenibilidad en toda la cadena de valor agrícola y hortícola.</w:t>
      </w:r>
    </w:p>
    <w:p w14:paraId="10B89E6C" w14:textId="77777777" w:rsidR="00B65EDC" w:rsidRPr="00E675E8" w:rsidRDefault="00B65EDC" w:rsidP="00B65EDC">
      <w:pPr>
        <w:rPr>
          <w:bCs/>
          <w:color w:val="000000" w:themeColor="text1"/>
          <w:lang w:val="es-ES_tradnl"/>
        </w:rPr>
      </w:pPr>
    </w:p>
    <w:p w14:paraId="15A25381" w14:textId="43F147E1" w:rsidR="00B65EDC" w:rsidRPr="00E675E8" w:rsidRDefault="00B65EDC" w:rsidP="00B65EDC">
      <w:pPr>
        <w:rPr>
          <w:bCs/>
          <w:color w:val="000000" w:themeColor="text1"/>
          <w:lang w:val="es-ES_tradnl"/>
        </w:rPr>
      </w:pPr>
      <w:r w:rsidRPr="00E675E8">
        <w:rPr>
          <w:color w:val="000000" w:themeColor="text1"/>
          <w:lang w:val="es-ES_tradnl"/>
        </w:rPr>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Pr="00E675E8">
        <w:rPr>
          <w:color w:val="000000" w:themeColor="text1"/>
          <w:lang w:val="es-ES_tradnl"/>
        </w:rPr>
        <w:tab/>
        <w:t>También es importante mejorar la cooperación con plataformas regionales como la Organización Regional Africana de la Propiedad Intelectual (ARIPO).</w:t>
      </w:r>
      <w:r w:rsidR="002817AB" w:rsidRPr="00E675E8">
        <w:rPr>
          <w:color w:val="000000" w:themeColor="text1"/>
          <w:lang w:val="es-ES_tradnl"/>
        </w:rPr>
        <w:t xml:space="preserve"> </w:t>
      </w:r>
      <w:r w:rsidRPr="00E675E8">
        <w:rPr>
          <w:color w:val="000000" w:themeColor="text1"/>
          <w:lang w:val="es-ES_tradnl"/>
        </w:rPr>
        <w:t>La entrada en vigor, en noviembre de 2024, del Protocolo de Arusha para la Protección de las Obtenciones Vegetales de la ARIPO, paralelamente al creciente compromiso de dicha organización, demuestra el impulso que se está generando en toda África para reforzar la protección de las obtenciones vegetales y apoyar la innovación agrícola.</w:t>
      </w:r>
    </w:p>
    <w:p w14:paraId="0F6A2D2B" w14:textId="77777777" w:rsidR="00B65EDC" w:rsidRPr="00E675E8" w:rsidRDefault="00B65EDC" w:rsidP="00B65EDC">
      <w:pPr>
        <w:rPr>
          <w:bCs/>
          <w:color w:val="000000" w:themeColor="text1"/>
          <w:lang w:val="es-ES_tradnl"/>
        </w:rPr>
      </w:pPr>
    </w:p>
    <w:p w14:paraId="77539206" w14:textId="77777777" w:rsidR="00B65EDC" w:rsidRPr="00E675E8" w:rsidRDefault="00B65EDC" w:rsidP="00B65EDC">
      <w:pPr>
        <w:rPr>
          <w:bCs/>
          <w:color w:val="000000" w:themeColor="text1"/>
          <w:lang w:val="es-ES_tradnl"/>
        </w:rPr>
      </w:pPr>
    </w:p>
    <w:p w14:paraId="5C15F45A" w14:textId="77777777" w:rsidR="00B65EDC" w:rsidRPr="00E675E8" w:rsidRDefault="00B65EDC" w:rsidP="00B65EDC">
      <w:pPr>
        <w:rPr>
          <w:bCs/>
          <w:color w:val="000000" w:themeColor="text1"/>
          <w:u w:val="single"/>
          <w:lang w:val="es-ES_tradnl"/>
        </w:rPr>
      </w:pPr>
      <w:r w:rsidRPr="00E675E8">
        <w:rPr>
          <w:color w:val="000000" w:themeColor="text1"/>
          <w:u w:val="single"/>
          <w:lang w:val="es-ES_tradnl"/>
        </w:rPr>
        <w:t>Seguridad alimentaria e incidencias climáticas</w:t>
      </w:r>
    </w:p>
    <w:p w14:paraId="514C0A6B" w14:textId="77777777" w:rsidR="00B65EDC" w:rsidRPr="00E675E8" w:rsidRDefault="00B65EDC" w:rsidP="00B65EDC">
      <w:pPr>
        <w:rPr>
          <w:bCs/>
          <w:color w:val="000000" w:themeColor="text1"/>
          <w:lang w:val="es-ES_tradnl"/>
        </w:rPr>
      </w:pPr>
    </w:p>
    <w:p w14:paraId="6D389006" w14:textId="2902742B" w:rsidR="00B65EDC" w:rsidRPr="00E675E8" w:rsidRDefault="00B65EDC" w:rsidP="00B65EDC">
      <w:pPr>
        <w:rPr>
          <w:bCs/>
          <w:color w:val="000000" w:themeColor="text1"/>
          <w:lang w:val="es-ES_tradnl"/>
        </w:rPr>
      </w:pPr>
      <w:r w:rsidRPr="00E675E8">
        <w:rPr>
          <w:color w:val="000000" w:themeColor="text1"/>
          <w:lang w:val="es-ES_tradnl"/>
        </w:rPr>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Pr="00E675E8">
        <w:rPr>
          <w:lang w:val="es-ES_tradnl"/>
        </w:rPr>
        <w:tab/>
      </w:r>
      <w:r w:rsidRPr="00E675E8">
        <w:rPr>
          <w:color w:val="000000" w:themeColor="text1"/>
          <w:lang w:val="es-ES_tradnl"/>
        </w:rPr>
        <w:t>En su discurso ante el Consejo de la UPOV en octubre de 2024, el secretario general de la UPOV informó de que 2023 fue el año más cálido registrado.</w:t>
      </w:r>
      <w:r w:rsidR="002817AB" w:rsidRPr="00E675E8">
        <w:rPr>
          <w:color w:val="000000" w:themeColor="text1"/>
          <w:lang w:val="es-ES_tradnl"/>
        </w:rPr>
        <w:t xml:space="preserve"> </w:t>
      </w:r>
      <w:r w:rsidRPr="00E675E8">
        <w:rPr>
          <w:color w:val="000000" w:themeColor="text1"/>
          <w:lang w:val="es-ES_tradnl"/>
        </w:rPr>
        <w:t>Al mismo tiempo, más de 860 millones de personas sufren una grave inseguridad alimentaria.</w:t>
      </w:r>
      <w:r w:rsidR="002817AB" w:rsidRPr="00E675E8">
        <w:rPr>
          <w:color w:val="000000" w:themeColor="text1"/>
          <w:lang w:val="es-ES_tradnl"/>
        </w:rPr>
        <w:t xml:space="preserve"> </w:t>
      </w:r>
      <w:r w:rsidRPr="00E675E8">
        <w:rPr>
          <w:color w:val="000000" w:themeColor="text1"/>
          <w:lang w:val="es-ES_tradnl"/>
        </w:rPr>
        <w:t xml:space="preserve">En África, casi el 60 % de la población padece inseguridad alimentaria moderada o grave. </w:t>
      </w:r>
    </w:p>
    <w:p w14:paraId="2DFA1843" w14:textId="77777777" w:rsidR="00B65EDC" w:rsidRPr="00E675E8" w:rsidRDefault="00B65EDC" w:rsidP="00B65EDC">
      <w:pPr>
        <w:rPr>
          <w:bCs/>
          <w:color w:val="000000" w:themeColor="text1"/>
          <w:lang w:val="es-ES_tradnl"/>
        </w:rPr>
      </w:pPr>
    </w:p>
    <w:p w14:paraId="6E819356" w14:textId="5CBCD492" w:rsidR="00B65EDC" w:rsidRPr="00E675E8" w:rsidRDefault="00B65EDC" w:rsidP="00B65EDC">
      <w:pPr>
        <w:rPr>
          <w:bCs/>
          <w:color w:val="000000" w:themeColor="text1"/>
          <w:lang w:val="es-ES_tradnl"/>
        </w:rPr>
      </w:pPr>
      <w:r w:rsidRPr="00E675E8">
        <w:rPr>
          <w:color w:val="000000" w:themeColor="text1"/>
          <w:lang w:val="es-ES_tradnl"/>
        </w:rPr>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Pr="00E675E8">
        <w:rPr>
          <w:lang w:val="es-ES_tradnl"/>
        </w:rPr>
        <w:tab/>
      </w:r>
      <w:r w:rsidRPr="00E675E8">
        <w:rPr>
          <w:color w:val="000000" w:themeColor="text1"/>
          <w:lang w:val="es-ES_tradnl"/>
        </w:rPr>
        <w:t>A medida que aumenta la demanda de alimentos impulsada por el crecimiento demográfico y se intensifican los efectos del cambio climático, la innovación se convierte en un elemento esencial para garantizar la seguridad alimentaria, mejorar la productividad y aumentar la resiliencia.</w:t>
      </w:r>
      <w:r w:rsidR="002817AB" w:rsidRPr="00E675E8">
        <w:rPr>
          <w:color w:val="000000" w:themeColor="text1"/>
          <w:lang w:val="es-ES_tradnl"/>
        </w:rPr>
        <w:t xml:space="preserve"> </w:t>
      </w:r>
      <w:r w:rsidRPr="00E675E8">
        <w:rPr>
          <w:color w:val="000000" w:themeColor="text1"/>
          <w:lang w:val="es-ES_tradnl"/>
        </w:rPr>
        <w:t xml:space="preserve">Estos avances ponen de manifiesto la importancia cada vez mayor de la innovación en los sectores agrícola y hortícola. </w:t>
      </w:r>
    </w:p>
    <w:p w14:paraId="7BFE31A4" w14:textId="77777777" w:rsidR="00B65EDC" w:rsidRPr="00E675E8" w:rsidRDefault="00B65EDC" w:rsidP="00B65EDC">
      <w:pPr>
        <w:rPr>
          <w:bCs/>
          <w:color w:val="000000" w:themeColor="text1"/>
          <w:lang w:val="es-ES_tradnl"/>
        </w:rPr>
      </w:pPr>
    </w:p>
    <w:p w14:paraId="61C353E4" w14:textId="0C68C3CB" w:rsidR="00B65EDC" w:rsidRPr="00E675E8" w:rsidRDefault="00B65EDC" w:rsidP="00B65EDC">
      <w:pPr>
        <w:rPr>
          <w:bCs/>
          <w:color w:val="000000" w:themeColor="text1"/>
          <w:lang w:val="es-ES_tradnl"/>
        </w:rPr>
      </w:pPr>
      <w:r w:rsidRPr="00E675E8">
        <w:rPr>
          <w:color w:val="000000" w:themeColor="text1"/>
          <w:lang w:val="es-ES_tradnl"/>
        </w:rPr>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Pr="00E675E8">
        <w:rPr>
          <w:color w:val="000000" w:themeColor="text1"/>
          <w:lang w:val="es-ES_tradnl"/>
        </w:rPr>
        <w:tab/>
        <w:t>Esto es especialmente importante en los sectores agrícola y hortícola, en los que una parte considerable de la población de muchos países se dedica a la producción y el comercio.</w:t>
      </w:r>
      <w:r w:rsidR="002817AB" w:rsidRPr="00E675E8">
        <w:rPr>
          <w:color w:val="000000" w:themeColor="text1"/>
          <w:lang w:val="es-ES_tradnl"/>
        </w:rPr>
        <w:t xml:space="preserve"> </w:t>
      </w:r>
      <w:r w:rsidRPr="00E675E8">
        <w:rPr>
          <w:color w:val="000000" w:themeColor="text1"/>
          <w:lang w:val="es-ES_tradnl"/>
        </w:rPr>
        <w:t>El marco de protección de la UPOV desempeña un papel fundamental al fomentar la innovación en estos sectores y facilitar el desarrollo y la comercialización de nuevas variedades vegetales.</w:t>
      </w:r>
      <w:r w:rsidR="002817AB" w:rsidRPr="00E675E8">
        <w:rPr>
          <w:color w:val="000000" w:themeColor="text1"/>
          <w:lang w:val="es-ES_tradnl"/>
        </w:rPr>
        <w:t xml:space="preserve"> </w:t>
      </w:r>
      <w:r w:rsidRPr="00E675E8">
        <w:rPr>
          <w:color w:val="000000" w:themeColor="text1"/>
          <w:lang w:val="es-ES_tradnl"/>
        </w:rPr>
        <w:t>Al proteger los derechos de los obtentores, estos pueden recuperar la inversión realizada en su obtención, lo que impulsa la introducción de cultivos de alto rendimiento, resistentes a las plagas y adaptados al clima.</w:t>
      </w:r>
      <w:r w:rsidR="002817AB" w:rsidRPr="00E675E8">
        <w:rPr>
          <w:color w:val="000000" w:themeColor="text1"/>
          <w:lang w:val="es-ES_tradnl"/>
        </w:rPr>
        <w:t xml:space="preserve"> </w:t>
      </w:r>
      <w:r w:rsidRPr="00E675E8">
        <w:rPr>
          <w:color w:val="000000" w:themeColor="text1"/>
          <w:lang w:val="es-ES_tradnl"/>
        </w:rPr>
        <w:t>Las pruebas aportadas por países como Viet </w:t>
      </w:r>
      <w:proofErr w:type="spellStart"/>
      <w:r w:rsidRPr="00E675E8">
        <w:rPr>
          <w:color w:val="000000" w:themeColor="text1"/>
          <w:lang w:val="es-ES_tradnl"/>
        </w:rPr>
        <w:t>Nam</w:t>
      </w:r>
      <w:proofErr w:type="spellEnd"/>
      <w:r w:rsidRPr="00E675E8">
        <w:rPr>
          <w:color w:val="000000" w:themeColor="text1"/>
          <w:lang w:val="es-ES_tradnl"/>
        </w:rPr>
        <w:t xml:space="preserve"> muestran que la protección de las obtenciones vegetales y la pertenencia a la UPOV han dado lugar a un aumento de la inversión del sector privado en el desarrollo de variedades vegetales, lo que ha acelerado la innovación agrícola y el crecimiento económico.</w:t>
      </w:r>
      <w:r w:rsidR="002817AB" w:rsidRPr="00E675E8">
        <w:rPr>
          <w:color w:val="000000" w:themeColor="text1"/>
          <w:lang w:val="es-ES_tradnl"/>
        </w:rPr>
        <w:t xml:space="preserve"> </w:t>
      </w:r>
      <w:r w:rsidRPr="00E675E8">
        <w:rPr>
          <w:color w:val="000000" w:themeColor="text1"/>
          <w:lang w:val="es-ES_tradnl"/>
        </w:rPr>
        <w:t>Al proteger los derechos de los obtentores, no solo se fomenta la innovación, sino que también se impulsa la difusión de las nuevas variedades, lo que aumenta la productividad y la sostenibilidad.</w:t>
      </w:r>
      <w:r w:rsidR="002817AB" w:rsidRPr="00E675E8">
        <w:rPr>
          <w:color w:val="000000" w:themeColor="text1"/>
          <w:lang w:val="es-ES_tradnl"/>
        </w:rPr>
        <w:t xml:space="preserve"> </w:t>
      </w:r>
    </w:p>
    <w:p w14:paraId="5C9AEC95" w14:textId="5992FDC6" w:rsidR="00B65EDC" w:rsidRPr="00E675E8" w:rsidRDefault="00B65EDC" w:rsidP="00B65EDC">
      <w:pPr>
        <w:rPr>
          <w:bCs/>
          <w:color w:val="000000" w:themeColor="text1"/>
          <w:lang w:val="es-ES_tradnl"/>
        </w:rPr>
      </w:pPr>
      <w:r w:rsidRPr="00E675E8">
        <w:rPr>
          <w:color w:val="000000" w:themeColor="text1"/>
          <w:lang w:val="es-ES_tradnl"/>
        </w:rPr>
        <w:lastRenderedPageBreak/>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Pr="00E675E8">
        <w:rPr>
          <w:lang w:val="es-ES_tradnl"/>
        </w:rPr>
        <w:tab/>
      </w:r>
      <w:r w:rsidRPr="00E675E8">
        <w:rPr>
          <w:color w:val="000000" w:themeColor="text1"/>
          <w:lang w:val="es-ES_tradnl"/>
        </w:rPr>
        <w:t>El sistema de la UPOV, que tiene por fin garantizar que todos los agricultores y cultivadores tengan acceso a variedades vegetales de alta calidad que respondan a sus necesidades y sean resilientes a los cambios climáticos, seguirá desempeñando un papel prioritario.</w:t>
      </w:r>
      <w:r w:rsidR="002817AB" w:rsidRPr="00E675E8">
        <w:rPr>
          <w:color w:val="000000" w:themeColor="text1"/>
          <w:lang w:val="es-ES_tradnl"/>
        </w:rPr>
        <w:t xml:space="preserve"> </w:t>
      </w:r>
      <w:r w:rsidRPr="00E675E8">
        <w:rPr>
          <w:color w:val="000000" w:themeColor="text1"/>
          <w:lang w:val="es-ES_tradnl"/>
        </w:rPr>
        <w:t>Las experiencias exitosas protagonizadas por los usuarios del sistema UPOV serán fundamentales para demostrar sus beneficios.</w:t>
      </w:r>
      <w:r w:rsidR="002817AB" w:rsidRPr="00E675E8">
        <w:rPr>
          <w:color w:val="000000" w:themeColor="text1"/>
          <w:lang w:val="es-ES_tradnl"/>
        </w:rPr>
        <w:t xml:space="preserve"> </w:t>
      </w:r>
      <w:r w:rsidRPr="00E675E8">
        <w:rPr>
          <w:color w:val="000000" w:themeColor="text1"/>
          <w:lang w:val="es-ES_tradnl"/>
        </w:rPr>
        <w:t>En 2026 se organizará un seminario para destacar estas cuestiones.</w:t>
      </w:r>
    </w:p>
    <w:p w14:paraId="3E72E686" w14:textId="77777777" w:rsidR="00B65EDC" w:rsidRPr="00CF1A3C" w:rsidRDefault="00B65EDC" w:rsidP="00B65EDC">
      <w:pPr>
        <w:rPr>
          <w:bCs/>
          <w:color w:val="000000" w:themeColor="text1"/>
          <w:sz w:val="18"/>
          <w:szCs w:val="18"/>
          <w:lang w:val="es-ES_tradnl"/>
        </w:rPr>
      </w:pPr>
    </w:p>
    <w:p w14:paraId="590266B7" w14:textId="77777777" w:rsidR="00B65EDC" w:rsidRPr="00CF1A3C" w:rsidRDefault="00B65EDC" w:rsidP="00B65EDC">
      <w:pPr>
        <w:rPr>
          <w:bCs/>
          <w:color w:val="000000" w:themeColor="text1"/>
          <w:sz w:val="18"/>
          <w:szCs w:val="18"/>
          <w:lang w:val="es-ES_tradnl"/>
        </w:rPr>
      </w:pPr>
    </w:p>
    <w:p w14:paraId="4C2B519F" w14:textId="77777777" w:rsidR="00B65EDC" w:rsidRPr="00E675E8" w:rsidRDefault="00B65EDC" w:rsidP="00B65EDC">
      <w:pPr>
        <w:keepNext/>
        <w:rPr>
          <w:iCs/>
          <w:u w:val="single"/>
          <w:lang w:val="es-ES_tradnl"/>
        </w:rPr>
      </w:pPr>
      <w:r w:rsidRPr="00E675E8">
        <w:rPr>
          <w:u w:val="single"/>
          <w:lang w:val="es-ES_tradnl"/>
        </w:rPr>
        <w:t xml:space="preserve">Digitalización y nuevas tecnologías </w:t>
      </w:r>
    </w:p>
    <w:p w14:paraId="34E7241E" w14:textId="77777777" w:rsidR="00B65EDC" w:rsidRPr="00E675E8" w:rsidRDefault="00B65EDC" w:rsidP="00B65EDC">
      <w:pPr>
        <w:keepNext/>
        <w:rPr>
          <w:u w:val="single"/>
          <w:lang w:val="es-ES_tradnl"/>
        </w:rPr>
      </w:pPr>
    </w:p>
    <w:p w14:paraId="22616732" w14:textId="0060CBA8" w:rsidR="00B65EDC" w:rsidRPr="00E675E8" w:rsidRDefault="00B65EDC" w:rsidP="00B65EDC">
      <w:pPr>
        <w:rPr>
          <w:bCs/>
          <w:color w:val="000000" w:themeColor="text1"/>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r>
      <w:r w:rsidRPr="00E675E8">
        <w:rPr>
          <w:color w:val="000000" w:themeColor="text1"/>
          <w:lang w:val="es-ES_tradnl"/>
        </w:rPr>
        <w:t>En los últimos años, el desarrollo y la adopción de nuevas tecnologías, como la inteligencia artificial, han avanzado a un ritmo sin precedentes y el ámbito de la protección de las variedades vegetales no es una excepción.</w:t>
      </w:r>
      <w:r w:rsidR="002817AB" w:rsidRPr="00E675E8">
        <w:rPr>
          <w:color w:val="000000" w:themeColor="text1"/>
          <w:lang w:val="es-ES_tradnl"/>
        </w:rPr>
        <w:t xml:space="preserve"> </w:t>
      </w:r>
      <w:r w:rsidRPr="00E675E8">
        <w:rPr>
          <w:color w:val="000000" w:themeColor="text1"/>
          <w:lang w:val="es-ES_tradnl"/>
        </w:rPr>
        <w:t>Los avances en las ciencias biológicas y la información basada en el ADN brindan oportunidades para mejorar la cooperación entre los miembros de la UPOV y aumentar la eficacia del examen de variedades, reduciendo potencialmente el tiempo y otros recursos necesarios para conceder derechos de obtentor.</w:t>
      </w:r>
      <w:r w:rsidR="002817AB" w:rsidRPr="00E675E8">
        <w:rPr>
          <w:color w:val="000000" w:themeColor="text1"/>
          <w:lang w:val="es-ES_tradnl"/>
        </w:rPr>
        <w:t xml:space="preserve"> </w:t>
      </w:r>
      <w:r w:rsidRPr="00E675E8">
        <w:rPr>
          <w:lang w:val="es-ES_tradnl"/>
        </w:rPr>
        <w:t>En cooperación con los miembros de la UPOV y los obtentores, se han elaborado herramientas digitales como UPOV e-PVP.</w:t>
      </w:r>
      <w:r w:rsidR="002817AB" w:rsidRPr="00E675E8">
        <w:rPr>
          <w:lang w:val="es-ES_tradnl"/>
        </w:rPr>
        <w:t xml:space="preserve"> </w:t>
      </w:r>
      <w:r w:rsidRPr="00E675E8">
        <w:rPr>
          <w:lang w:val="es-ES_tradnl"/>
        </w:rPr>
        <w:t xml:space="preserve">Esta iniciativa representa una oportunidad para prestar servicios a los miembros de la UPOV y a las partes interesadas de manera que mejore la eficacia del conjunto del sistema de la UPOV y se logre una “nivelación” de la capacidad en el seno de la Unión. </w:t>
      </w:r>
    </w:p>
    <w:p w14:paraId="0DC0A9E8" w14:textId="77777777" w:rsidR="00B65EDC" w:rsidRPr="00CF1A3C" w:rsidRDefault="00B65EDC" w:rsidP="00B65EDC">
      <w:pPr>
        <w:rPr>
          <w:bCs/>
          <w:color w:val="000000" w:themeColor="text1"/>
          <w:sz w:val="18"/>
          <w:szCs w:val="18"/>
          <w:lang w:val="es-ES_tradnl"/>
        </w:rPr>
      </w:pPr>
    </w:p>
    <w:p w14:paraId="3342DA5C" w14:textId="7ADA52FE" w:rsidR="00B65EDC" w:rsidRPr="00E675E8" w:rsidRDefault="00B65EDC" w:rsidP="00B65EDC">
      <w:pPr>
        <w:rPr>
          <w:bCs/>
          <w:color w:val="000000" w:themeColor="text1"/>
          <w:lang w:val="es-ES_tradnl"/>
        </w:rPr>
      </w:pPr>
      <w:r w:rsidRPr="00E675E8">
        <w:rPr>
          <w:color w:val="000000" w:themeColor="text1"/>
          <w:lang w:val="es-ES_tradnl"/>
        </w:rPr>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Pr="00E675E8">
        <w:rPr>
          <w:lang w:val="es-ES_tradnl"/>
        </w:rPr>
        <w:tab/>
      </w:r>
      <w:r w:rsidRPr="00E675E8">
        <w:rPr>
          <w:color w:val="000000" w:themeColor="text1"/>
          <w:lang w:val="es-ES_tradnl"/>
        </w:rPr>
        <w:t>En el “Seminario sobre la interacción entre la protección de las obtenciones vegetales y el uso de tecnologías de fitomejoramiento” de la UPOV (2023) se presentaron ejemplos sobre el uso de tecnologías como la secuenciación del genoma, la selección asistida por marcadores, la mutación inducida, la edición genómica y los dobles haploides en apoyo del fitomejoramiento.</w:t>
      </w:r>
      <w:r w:rsidR="002817AB" w:rsidRPr="00E675E8">
        <w:rPr>
          <w:color w:val="000000" w:themeColor="text1"/>
          <w:lang w:val="es-ES_tradnl"/>
        </w:rPr>
        <w:t xml:space="preserve"> </w:t>
      </w:r>
      <w:r w:rsidRPr="00E675E8">
        <w:rPr>
          <w:color w:val="000000" w:themeColor="text1"/>
          <w:lang w:val="es-ES_tradnl"/>
        </w:rPr>
        <w:t>Varios especialistas señalaron que los últimos avances están haciendo que el uso de estas tecnologías sea “más barato y fácil”.</w:t>
      </w:r>
      <w:r w:rsidR="002817AB" w:rsidRPr="00E675E8">
        <w:rPr>
          <w:color w:val="000000" w:themeColor="text1"/>
          <w:lang w:val="es-ES_tradnl"/>
        </w:rPr>
        <w:t xml:space="preserve"> </w:t>
      </w:r>
      <w:r w:rsidRPr="00E675E8">
        <w:rPr>
          <w:color w:val="000000" w:themeColor="text1"/>
          <w:lang w:val="es-ES_tradnl"/>
        </w:rPr>
        <w:t>Después del seminario de 2023 se procedió a la adopción de las notas explicativas revisadas sobre las variedades esencialmente derivadas.</w:t>
      </w:r>
      <w:r w:rsidR="002817AB" w:rsidRPr="00E675E8">
        <w:rPr>
          <w:color w:val="000000" w:themeColor="text1"/>
          <w:lang w:val="es-ES_tradnl"/>
        </w:rPr>
        <w:t xml:space="preserve"> </w:t>
      </w:r>
      <w:r w:rsidRPr="00E675E8">
        <w:rPr>
          <w:color w:val="000000" w:themeColor="text1"/>
          <w:lang w:val="es-ES_tradnl"/>
        </w:rPr>
        <w:t>Las nuevas tecnologías de fitomejoramiento aceleran el desarrollo de obtenciones vegetales.</w:t>
      </w:r>
      <w:r w:rsidR="002817AB" w:rsidRPr="00E675E8">
        <w:rPr>
          <w:color w:val="000000" w:themeColor="text1"/>
          <w:lang w:val="es-ES_tradnl"/>
        </w:rPr>
        <w:t xml:space="preserve"> </w:t>
      </w:r>
      <w:r w:rsidRPr="00E675E8">
        <w:rPr>
          <w:color w:val="000000" w:themeColor="text1"/>
          <w:lang w:val="es-ES_tradnl"/>
        </w:rPr>
        <w:t>Ciertas tecnologías permiten modificar con precisión los genes y desarrollar variedades con uno o pocos cambios en las características morfológicas, fisiológicas, agronómicas, industriales o bioquímicas.</w:t>
      </w:r>
      <w:r w:rsidR="002817AB" w:rsidRPr="00E675E8">
        <w:rPr>
          <w:color w:val="000000" w:themeColor="text1"/>
          <w:lang w:val="es-ES_tradnl"/>
        </w:rPr>
        <w:t xml:space="preserve"> </w:t>
      </w:r>
      <w:r w:rsidRPr="00E675E8">
        <w:rPr>
          <w:color w:val="000000" w:themeColor="text1"/>
          <w:lang w:val="es-ES_tradnl"/>
        </w:rPr>
        <w:t>Esto podría dar lugar ciclos de vida más cortos de las variedades y a un reemplazo más frecuente de las variedades comercializadas previamente.</w:t>
      </w:r>
      <w:r w:rsidR="002817AB" w:rsidRPr="00E675E8">
        <w:rPr>
          <w:color w:val="000000" w:themeColor="text1"/>
          <w:lang w:val="es-ES_tradnl"/>
        </w:rPr>
        <w:t xml:space="preserve"> </w:t>
      </w:r>
    </w:p>
    <w:p w14:paraId="26BFD44A" w14:textId="77777777" w:rsidR="00B65EDC" w:rsidRPr="00CF1A3C" w:rsidRDefault="00B65EDC" w:rsidP="00B65EDC">
      <w:pPr>
        <w:jc w:val="left"/>
        <w:rPr>
          <w:sz w:val="18"/>
          <w:szCs w:val="18"/>
          <w:lang w:val="es-ES_tradnl"/>
        </w:rPr>
      </w:pPr>
    </w:p>
    <w:p w14:paraId="283FDEB2" w14:textId="642B3E9E"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Durante el bienio 2026-2027, la UPOV seguirá explorando el uso de herramientas de información y fenotipado basadas en el ADN, como el análisis de imágenes, la automatización de la recopilación de datos/procesos para ayudar en el examen y la identificación de variedades.</w:t>
      </w:r>
      <w:r w:rsidR="002817AB" w:rsidRPr="00E675E8">
        <w:rPr>
          <w:lang w:val="es-ES_tradnl"/>
        </w:rPr>
        <w:t xml:space="preserve"> </w:t>
      </w:r>
      <w:r w:rsidRPr="00E675E8">
        <w:rPr>
          <w:lang w:val="es-ES_tradnl"/>
        </w:rPr>
        <w:t xml:space="preserve">Los Grupos de Trabajo Técnico se encargan de hacer avanzar los debates sobre estas cuestiones. </w:t>
      </w:r>
    </w:p>
    <w:p w14:paraId="354F14E7" w14:textId="77777777" w:rsidR="00B65EDC" w:rsidRPr="00CF1A3C" w:rsidRDefault="00B65EDC" w:rsidP="00B65EDC">
      <w:pPr>
        <w:rPr>
          <w:sz w:val="18"/>
          <w:szCs w:val="18"/>
          <w:lang w:val="es-ES_tradnl"/>
        </w:rPr>
      </w:pPr>
    </w:p>
    <w:p w14:paraId="35E1AB46" w14:textId="381BCEF6"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Para obtener el máximo beneficio del sistema de la UPOV, es esencial explorar cómo las medidas jurídicas adecuadas y los avances tecnológicos pueden apoyar su aplicación efectiva.</w:t>
      </w:r>
      <w:r w:rsidR="002817AB" w:rsidRPr="00E675E8">
        <w:rPr>
          <w:lang w:val="es-ES_tradnl"/>
        </w:rPr>
        <w:t xml:space="preserve"> </w:t>
      </w:r>
      <w:r w:rsidRPr="00E675E8">
        <w:rPr>
          <w:lang w:val="es-ES_tradnl"/>
        </w:rPr>
        <w:t>Se prevé que el Grupo de Trabajo Técnico sobre Métodos y Técnicas de Examen (TWM) se convierta en una plataforma importante para el intercambio de experiencias sobre la función de las técnicas moleculares en la identificación y la observancia de las variedades.</w:t>
      </w:r>
    </w:p>
    <w:p w14:paraId="2D746F9A" w14:textId="77777777" w:rsidR="00B65EDC" w:rsidRPr="00CF1A3C" w:rsidRDefault="00B65EDC" w:rsidP="00B65EDC">
      <w:pPr>
        <w:rPr>
          <w:bCs/>
          <w:color w:val="000000" w:themeColor="text1"/>
          <w:sz w:val="18"/>
          <w:szCs w:val="18"/>
          <w:lang w:val="es-ES_tradnl"/>
        </w:rPr>
      </w:pPr>
    </w:p>
    <w:p w14:paraId="66EA323F" w14:textId="77777777" w:rsidR="00B65EDC" w:rsidRPr="00CF1A3C" w:rsidRDefault="00B65EDC" w:rsidP="00B65EDC">
      <w:pPr>
        <w:rPr>
          <w:bCs/>
          <w:color w:val="000000" w:themeColor="text1"/>
          <w:sz w:val="18"/>
          <w:szCs w:val="18"/>
          <w:lang w:val="es-ES_tradnl"/>
        </w:rPr>
      </w:pPr>
    </w:p>
    <w:p w14:paraId="419689C8" w14:textId="77777777" w:rsidR="00B65EDC" w:rsidRPr="00E675E8" w:rsidDel="003B0A44" w:rsidRDefault="00B65EDC" w:rsidP="00B65EDC">
      <w:pPr>
        <w:rPr>
          <w:bCs/>
          <w:color w:val="000000" w:themeColor="text1"/>
          <w:u w:val="single"/>
          <w:lang w:val="es-ES_tradnl"/>
        </w:rPr>
      </w:pPr>
      <w:r w:rsidRPr="00E675E8">
        <w:rPr>
          <w:color w:val="000000" w:themeColor="text1"/>
          <w:u w:val="single"/>
          <w:lang w:val="es-ES_tradnl"/>
        </w:rPr>
        <w:t>Mejora continua de las normas, la orientación y la formación</w:t>
      </w:r>
    </w:p>
    <w:p w14:paraId="473090E7" w14:textId="77777777" w:rsidR="00B65EDC" w:rsidRPr="00E675E8" w:rsidRDefault="00B65EDC" w:rsidP="00B65EDC">
      <w:pPr>
        <w:rPr>
          <w:bCs/>
          <w:color w:val="000000" w:themeColor="text1"/>
          <w:lang w:val="es-ES_tradnl"/>
        </w:rPr>
      </w:pPr>
    </w:p>
    <w:p w14:paraId="2D33C031" w14:textId="1226BF93" w:rsidR="00B65EDC" w:rsidRPr="00E675E8" w:rsidRDefault="00B65EDC" w:rsidP="00B65EDC">
      <w:pPr>
        <w:rPr>
          <w:bCs/>
          <w:color w:val="000000" w:themeColor="text1"/>
          <w:lang w:val="es-ES_tradnl"/>
        </w:rPr>
      </w:pPr>
      <w:r w:rsidRPr="00E675E8">
        <w:rPr>
          <w:color w:val="000000" w:themeColor="text1"/>
          <w:lang w:val="es-ES_tradnl"/>
        </w:rPr>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Pr="00E675E8">
        <w:rPr>
          <w:lang w:val="es-ES_tradnl"/>
        </w:rPr>
        <w:tab/>
      </w:r>
      <w:r w:rsidRPr="00E675E8">
        <w:rPr>
          <w:color w:val="000000" w:themeColor="text1"/>
          <w:lang w:val="es-ES_tradnl"/>
        </w:rPr>
        <w:t>La UPOV desempeña un papel fundamental en el establecimiento de normas internacionales para la protección de las obtenciones vegetales en los ámbitos jurídico, técnico, digital y de formación.</w:t>
      </w:r>
      <w:r w:rsidR="002817AB" w:rsidRPr="00E675E8">
        <w:rPr>
          <w:lang w:val="es-ES_tradnl"/>
        </w:rPr>
        <w:t xml:space="preserve"> </w:t>
      </w:r>
      <w:r w:rsidRPr="00E675E8">
        <w:rPr>
          <w:color w:val="000000" w:themeColor="text1"/>
          <w:lang w:val="es-ES_tradnl"/>
        </w:rPr>
        <w:t>El papel de la UPOV como organización internacional de normalización en materia de protección de las obtenciones vegetales proporciona claridad, transparencia, estabilidad y favorece colaboraciones sostenibles y de largo plazo.</w:t>
      </w:r>
      <w:r w:rsidR="002817AB" w:rsidRPr="00E675E8">
        <w:rPr>
          <w:lang w:val="es-ES_tradnl"/>
        </w:rPr>
        <w:t xml:space="preserve"> </w:t>
      </w:r>
      <w:r w:rsidRPr="00E675E8">
        <w:rPr>
          <w:color w:val="000000" w:themeColor="text1"/>
          <w:lang w:val="es-ES_tradnl"/>
        </w:rPr>
        <w:t xml:space="preserve">El compromiso continuo con los miembros de la UPOV y las partes interesadas de la cadena de valor es esencial para garantizar que la UPOV siga desempeñando dicho papel. </w:t>
      </w:r>
    </w:p>
    <w:p w14:paraId="3560DC36" w14:textId="77777777" w:rsidR="00B65EDC" w:rsidRPr="00CF1A3C" w:rsidRDefault="00B65EDC" w:rsidP="00B65EDC">
      <w:pPr>
        <w:rPr>
          <w:bCs/>
          <w:color w:val="000000" w:themeColor="text1"/>
          <w:sz w:val="18"/>
          <w:szCs w:val="18"/>
          <w:lang w:val="es-ES_tradnl"/>
        </w:rPr>
      </w:pPr>
    </w:p>
    <w:p w14:paraId="5FECD73C" w14:textId="7B9D697C" w:rsidR="00B65EDC" w:rsidRPr="00E675E8" w:rsidRDefault="00B65EDC" w:rsidP="00B65EDC">
      <w:pPr>
        <w:rPr>
          <w:iCs/>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En el bienio 2026-2027 proseguirá la labor de orientación sobre las disposiciones clave del Acta de 1991 del Convenio de la UPOV.</w:t>
      </w:r>
      <w:r w:rsidR="002817AB" w:rsidRPr="00E675E8">
        <w:rPr>
          <w:lang w:val="es-ES_tradnl"/>
        </w:rPr>
        <w:t xml:space="preserve"> </w:t>
      </w:r>
      <w:r w:rsidRPr="00E675E8">
        <w:rPr>
          <w:lang w:val="es-ES_tradnl"/>
        </w:rPr>
        <w:t>Está previsto que, en 2025, se finalice un estudio encargado por la UPOV sobre el “Alcance del derecho de obtentor” y su relación con el “agotamiento del derecho de obtentor”, que aportará interesante información para seguir facilitando orientación.</w:t>
      </w:r>
    </w:p>
    <w:p w14:paraId="1C0A0DEA" w14:textId="77777777" w:rsidR="00B65EDC" w:rsidRPr="00CF1A3C" w:rsidRDefault="00B65EDC" w:rsidP="003F289C">
      <w:pPr>
        <w:keepNext/>
        <w:keepLines/>
        <w:rPr>
          <w:iCs/>
          <w:sz w:val="18"/>
          <w:szCs w:val="18"/>
          <w:lang w:val="es-ES_tradnl"/>
        </w:rPr>
      </w:pPr>
    </w:p>
    <w:p w14:paraId="48C479D0" w14:textId="14C99CF2" w:rsidR="00B65EDC" w:rsidRPr="00E675E8" w:rsidRDefault="00B65EDC" w:rsidP="00CF1A3C">
      <w:pPr>
        <w:rPr>
          <w:iCs/>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El programa de certificados de protección de las obtenciones vegetales de la UPOV, puesto en marcha en 2024, seguirá desempeñando un papel fundamental como plataforma de participación sobre asuntos de formación en materia de protección de las obtenciones vegetales.</w:t>
      </w:r>
      <w:r w:rsidR="002817AB" w:rsidRPr="00E675E8">
        <w:rPr>
          <w:lang w:val="es-ES_tradnl"/>
        </w:rPr>
        <w:t xml:space="preserve"> </w:t>
      </w:r>
      <w:r w:rsidRPr="00E675E8">
        <w:rPr>
          <w:lang w:val="es-ES_tradnl"/>
        </w:rPr>
        <w:t>Se permitirá la inscripción de estudiantes del sector privado y de organizaciones que no estén cubiertas por las prioridades del Consejo de la UPOV, previo pago de una tasa.</w:t>
      </w:r>
      <w:r w:rsidR="002817AB" w:rsidRPr="00E675E8">
        <w:rPr>
          <w:lang w:val="es-ES_tradnl"/>
        </w:rPr>
        <w:t xml:space="preserve"> </w:t>
      </w:r>
      <w:r w:rsidRPr="00E675E8">
        <w:rPr>
          <w:lang w:val="es-ES_tradnl"/>
        </w:rPr>
        <w:t>Este programa de acreditación seguirá atrayendo nuevos programas de formación y académicos, convirtiéndose en el repositorio de las normas y orientaciones elaboradas por la UPOV y sus miembros.</w:t>
      </w:r>
    </w:p>
    <w:p w14:paraId="78C95A96" w14:textId="77777777" w:rsidR="00B65EDC" w:rsidRPr="00E675E8" w:rsidRDefault="00B65EDC" w:rsidP="00FC7FED">
      <w:pPr>
        <w:pStyle w:val="Heading1"/>
        <w:rPr>
          <w:lang w:val="es-ES_tradnl"/>
        </w:rPr>
      </w:pPr>
      <w:bookmarkStart w:id="432" w:name="_Toc209777759"/>
      <w:bookmarkEnd w:id="431"/>
      <w:r w:rsidRPr="00E675E8">
        <w:rPr>
          <w:lang w:val="es-ES_tradnl"/>
        </w:rPr>
        <w:lastRenderedPageBreak/>
        <w:t>Panorama general del programa y presupuesto</w:t>
      </w:r>
      <w:bookmarkEnd w:id="432"/>
      <w:r w:rsidRPr="00E675E8">
        <w:rPr>
          <w:lang w:val="es-ES_tradnl"/>
        </w:rPr>
        <w:t xml:space="preserve"> </w:t>
      </w:r>
    </w:p>
    <w:p w14:paraId="5FA53516" w14:textId="77777777" w:rsidR="00B65EDC" w:rsidRPr="00E675E8" w:rsidRDefault="00B65EDC" w:rsidP="00B65EDC">
      <w:pPr>
        <w:rPr>
          <w:lang w:val="es-ES_tradnl"/>
        </w:rPr>
      </w:pPr>
    </w:p>
    <w:p w14:paraId="5FF26BED" w14:textId="77777777" w:rsidR="00B65EDC" w:rsidRPr="00E675E8" w:rsidRDefault="00B65EDC" w:rsidP="004448C7">
      <w:pPr>
        <w:pStyle w:val="Heading2"/>
        <w:rPr>
          <w:lang w:val="es-ES_tradnl"/>
        </w:rPr>
      </w:pPr>
      <w:bookmarkStart w:id="433" w:name="_Toc209777760"/>
      <w:r w:rsidRPr="00E675E8">
        <w:rPr>
          <w:lang w:val="es-ES_tradnl"/>
        </w:rPr>
        <w:t>Panorama financiero</w:t>
      </w:r>
      <w:bookmarkEnd w:id="433"/>
    </w:p>
    <w:p w14:paraId="72234241" w14:textId="77777777" w:rsidR="00B65EDC" w:rsidRPr="00E675E8" w:rsidRDefault="00B65EDC" w:rsidP="00B65EDC">
      <w:pPr>
        <w:rPr>
          <w:lang w:val="es-ES_tradnl"/>
        </w:rPr>
      </w:pPr>
    </w:p>
    <w:p w14:paraId="4DB1ABAD" w14:textId="111672E6" w:rsidR="00B65EDC" w:rsidRPr="00E675E8" w:rsidRDefault="00B65EDC" w:rsidP="00B65EDC">
      <w:pPr>
        <w:rPr>
          <w:spacing w:val="-2"/>
          <w:szCs w:val="24"/>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La propuesta de presupuesto</w:t>
      </w:r>
      <w:r w:rsidRPr="00E675E8">
        <w:rPr>
          <w:rStyle w:val="FootnoteReference"/>
          <w:lang w:val="es-ES_tradnl"/>
        </w:rPr>
        <w:footnoteReference w:id="2"/>
      </w:r>
      <w:r w:rsidRPr="00E675E8">
        <w:rPr>
          <w:lang w:val="es-ES_tradnl"/>
        </w:rPr>
        <w:t xml:space="preserve"> para el bienio 2026-2027 prevé unos ingresos de 7 615 864 francos suizos frente a los 7 901 307 francos suizos del presupuesto para 2024-2025.</w:t>
      </w:r>
      <w:r w:rsidR="002817AB" w:rsidRPr="00E675E8">
        <w:rPr>
          <w:lang w:val="es-ES_tradnl"/>
        </w:rPr>
        <w:t xml:space="preserve"> </w:t>
      </w:r>
      <w:r w:rsidRPr="00E675E8">
        <w:rPr>
          <w:lang w:val="es-ES_tradnl"/>
        </w:rPr>
        <w:t>Se estima que los gastos estén al mismo nivel que los ingresos previstos (véase el cuadro 1).</w:t>
      </w:r>
    </w:p>
    <w:p w14:paraId="3413F3A0" w14:textId="77777777" w:rsidR="00B65EDC" w:rsidRPr="00E675E8" w:rsidRDefault="00B65EDC" w:rsidP="00B65EDC">
      <w:pPr>
        <w:rPr>
          <w:lang w:val="es-ES_tradnl"/>
        </w:rPr>
      </w:pPr>
    </w:p>
    <w:p w14:paraId="7C760A8D" w14:textId="77777777" w:rsidR="00B65EDC" w:rsidRPr="00E675E8" w:rsidRDefault="00B65EDC" w:rsidP="00B65EDC">
      <w:pPr>
        <w:jc w:val="center"/>
        <w:rPr>
          <w:lang w:val="es-ES_tradnl"/>
        </w:rPr>
      </w:pPr>
    </w:p>
    <w:p w14:paraId="577FC3B9" w14:textId="082810E4" w:rsidR="00B65EDC" w:rsidRPr="00E675E8" w:rsidRDefault="00B65EDC" w:rsidP="00B65EDC">
      <w:pPr>
        <w:jc w:val="center"/>
        <w:rPr>
          <w:b/>
          <w:color w:val="26724C" w:themeColor="accent1" w:themeShade="BF"/>
          <w:lang w:val="es-ES_tradnl"/>
        </w:rPr>
      </w:pPr>
      <w:r w:rsidRPr="00E675E8">
        <w:rPr>
          <w:b/>
          <w:color w:val="26724C" w:themeColor="accent1" w:themeShade="BF"/>
          <w:lang w:val="es-ES_tradnl"/>
        </w:rPr>
        <w:t>Cuadro 1:</w:t>
      </w:r>
      <w:r w:rsidR="002817AB" w:rsidRPr="00E675E8">
        <w:rPr>
          <w:b/>
          <w:color w:val="26724C" w:themeColor="accent1" w:themeShade="BF"/>
          <w:lang w:val="es-ES_tradnl"/>
        </w:rPr>
        <w:t xml:space="preserve"> </w:t>
      </w:r>
      <w:r w:rsidRPr="00E675E8">
        <w:rPr>
          <w:b/>
          <w:color w:val="26724C" w:themeColor="accent1" w:themeShade="BF"/>
          <w:lang w:val="es-ES_tradnl"/>
        </w:rPr>
        <w:t>Ingresos y gastos correspondientes a los bienios 2022-2023, 2024-2025 y 2026-2027</w:t>
      </w:r>
    </w:p>
    <w:p w14:paraId="5B847DD3" w14:textId="77777777" w:rsidR="00B65EDC" w:rsidRPr="00E675E8" w:rsidRDefault="00B65EDC" w:rsidP="00B65EDC">
      <w:pPr>
        <w:jc w:val="center"/>
        <w:rPr>
          <w:i/>
          <w:sz w:val="18"/>
          <w:lang w:val="es-ES_tradnl"/>
        </w:rPr>
      </w:pPr>
      <w:r w:rsidRPr="00E675E8">
        <w:rPr>
          <w:i/>
          <w:sz w:val="18"/>
          <w:lang w:val="es-ES_tradnl"/>
        </w:rPr>
        <w:t>(en miles de francos suizos)</w:t>
      </w:r>
    </w:p>
    <w:p w14:paraId="04DBFDE5" w14:textId="77777777" w:rsidR="00B65EDC" w:rsidRPr="00E675E8" w:rsidRDefault="00B65EDC" w:rsidP="00B65EDC">
      <w:pPr>
        <w:rPr>
          <w:spacing w:val="-2"/>
          <w:szCs w:val="24"/>
          <w:lang w:val="es-ES_tradnl"/>
        </w:rPr>
      </w:pPr>
    </w:p>
    <w:tbl>
      <w:tblPr>
        <w:tblW w:w="9560" w:type="dxa"/>
        <w:tblLook w:val="04A0" w:firstRow="1" w:lastRow="0" w:firstColumn="1" w:lastColumn="0" w:noHBand="0" w:noVBand="1"/>
      </w:tblPr>
      <w:tblGrid>
        <w:gridCol w:w="3800"/>
        <w:gridCol w:w="1180"/>
        <w:gridCol w:w="1180"/>
        <w:gridCol w:w="870"/>
        <w:gridCol w:w="870"/>
        <w:gridCol w:w="1660"/>
      </w:tblGrid>
      <w:tr w:rsidR="00B65EDC" w:rsidRPr="00E675E8" w14:paraId="00F751FC" w14:textId="77777777">
        <w:trPr>
          <w:trHeight w:val="255"/>
        </w:trPr>
        <w:tc>
          <w:tcPr>
            <w:tcW w:w="3800" w:type="dxa"/>
            <w:tcBorders>
              <w:top w:val="nil"/>
              <w:left w:val="nil"/>
              <w:bottom w:val="nil"/>
              <w:right w:val="nil"/>
            </w:tcBorders>
            <w:shd w:val="clear" w:color="000000" w:fill="C7CFD8"/>
            <w:hideMark/>
          </w:tcPr>
          <w:p w14:paraId="06A7DF6F" w14:textId="77777777" w:rsidR="00B65EDC" w:rsidRPr="00E675E8" w:rsidRDefault="00B65EDC">
            <w:pPr>
              <w:ind w:firstLineChars="100" w:firstLine="201"/>
              <w:jc w:val="left"/>
              <w:rPr>
                <w:rFonts w:cs="Arial"/>
                <w:b/>
                <w:bCs/>
                <w:i/>
                <w:iCs/>
                <w:lang w:val="es-ES_tradnl"/>
              </w:rPr>
            </w:pPr>
            <w:r w:rsidRPr="00E675E8">
              <w:rPr>
                <w:b/>
                <w:i/>
                <w:lang w:val="es-ES_tradnl"/>
              </w:rPr>
              <w:t> </w:t>
            </w:r>
          </w:p>
        </w:tc>
        <w:tc>
          <w:tcPr>
            <w:tcW w:w="1180" w:type="dxa"/>
            <w:tcBorders>
              <w:top w:val="nil"/>
              <w:left w:val="nil"/>
              <w:bottom w:val="nil"/>
              <w:right w:val="nil"/>
            </w:tcBorders>
            <w:shd w:val="clear" w:color="000000" w:fill="C7CFD8"/>
            <w:vAlign w:val="center"/>
            <w:hideMark/>
          </w:tcPr>
          <w:p w14:paraId="7133635D"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2022-2023 </w:t>
            </w:r>
          </w:p>
        </w:tc>
        <w:tc>
          <w:tcPr>
            <w:tcW w:w="1180" w:type="dxa"/>
            <w:tcBorders>
              <w:top w:val="nil"/>
              <w:left w:val="nil"/>
              <w:bottom w:val="nil"/>
              <w:right w:val="nil"/>
            </w:tcBorders>
            <w:shd w:val="clear" w:color="000000" w:fill="C7CFD8"/>
            <w:vAlign w:val="center"/>
            <w:hideMark/>
          </w:tcPr>
          <w:p w14:paraId="5B77CFE9"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2024-2025 </w:t>
            </w:r>
          </w:p>
        </w:tc>
        <w:tc>
          <w:tcPr>
            <w:tcW w:w="1740" w:type="dxa"/>
            <w:gridSpan w:val="2"/>
            <w:vMerge w:val="restart"/>
            <w:tcBorders>
              <w:top w:val="nil"/>
              <w:left w:val="nil"/>
              <w:bottom w:val="single" w:sz="4" w:space="0" w:color="748B9E"/>
              <w:right w:val="nil"/>
            </w:tcBorders>
            <w:shd w:val="clear" w:color="000000" w:fill="C7CFD8"/>
            <w:vAlign w:val="center"/>
            <w:hideMark/>
          </w:tcPr>
          <w:p w14:paraId="1E6FF17E"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Variación</w:t>
            </w:r>
          </w:p>
        </w:tc>
        <w:tc>
          <w:tcPr>
            <w:tcW w:w="1660" w:type="dxa"/>
            <w:tcBorders>
              <w:top w:val="nil"/>
              <w:left w:val="nil"/>
              <w:bottom w:val="nil"/>
              <w:right w:val="nil"/>
            </w:tcBorders>
            <w:shd w:val="clear" w:color="000000" w:fill="C7CFD8"/>
            <w:vAlign w:val="center"/>
            <w:hideMark/>
          </w:tcPr>
          <w:p w14:paraId="47902C11" w14:textId="17206A4C" w:rsidR="00B65EDC" w:rsidRPr="00E675E8" w:rsidRDefault="00521C0D">
            <w:pPr>
              <w:jc w:val="center"/>
              <w:rPr>
                <w:rFonts w:ascii="Arial Narrow" w:hAnsi="Arial Narrow" w:cs="Arial"/>
                <w:b/>
                <w:bCs/>
                <w:sz w:val="18"/>
                <w:szCs w:val="18"/>
                <w:lang w:val="es-ES_tradnl"/>
              </w:rPr>
            </w:pPr>
            <w:r w:rsidRPr="00E675E8">
              <w:rPr>
                <w:rFonts w:ascii="Arial Narrow" w:hAnsi="Arial Narrow"/>
                <w:b/>
                <w:sz w:val="18"/>
                <w:lang w:val="es-ES_tradnl"/>
              </w:rPr>
              <w:t>2026-2027</w:t>
            </w:r>
          </w:p>
        </w:tc>
      </w:tr>
      <w:tr w:rsidR="00B65EDC" w:rsidRPr="00E675E8" w14:paraId="7F791BC2" w14:textId="77777777">
        <w:trPr>
          <w:trHeight w:val="260"/>
        </w:trPr>
        <w:tc>
          <w:tcPr>
            <w:tcW w:w="3800" w:type="dxa"/>
            <w:tcBorders>
              <w:top w:val="nil"/>
              <w:left w:val="nil"/>
              <w:bottom w:val="nil"/>
              <w:right w:val="nil"/>
            </w:tcBorders>
            <w:shd w:val="clear" w:color="000000" w:fill="C7CFD8"/>
            <w:hideMark/>
          </w:tcPr>
          <w:p w14:paraId="2B10E0CD" w14:textId="77777777" w:rsidR="00B65EDC" w:rsidRPr="00E675E8" w:rsidRDefault="00B65EDC">
            <w:pPr>
              <w:ind w:firstLineChars="100" w:firstLine="201"/>
              <w:jc w:val="left"/>
              <w:rPr>
                <w:rFonts w:cs="Arial"/>
                <w:b/>
                <w:bCs/>
                <w:i/>
                <w:iCs/>
                <w:lang w:val="es-ES_tradnl"/>
              </w:rPr>
            </w:pPr>
            <w:r w:rsidRPr="00E675E8">
              <w:rPr>
                <w:b/>
                <w:i/>
                <w:lang w:val="es-ES_tradnl"/>
              </w:rPr>
              <w:t> </w:t>
            </w:r>
          </w:p>
        </w:tc>
        <w:tc>
          <w:tcPr>
            <w:tcW w:w="1180" w:type="dxa"/>
            <w:tcBorders>
              <w:top w:val="nil"/>
              <w:left w:val="nil"/>
              <w:bottom w:val="nil"/>
              <w:right w:val="nil"/>
            </w:tcBorders>
            <w:shd w:val="clear" w:color="000000" w:fill="C7CFD8"/>
            <w:vAlign w:val="center"/>
            <w:hideMark/>
          </w:tcPr>
          <w:p w14:paraId="418CF16A"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Real </w:t>
            </w:r>
          </w:p>
        </w:tc>
        <w:tc>
          <w:tcPr>
            <w:tcW w:w="1180" w:type="dxa"/>
            <w:tcBorders>
              <w:top w:val="nil"/>
              <w:left w:val="nil"/>
              <w:bottom w:val="nil"/>
              <w:right w:val="nil"/>
            </w:tcBorders>
            <w:shd w:val="clear" w:color="000000" w:fill="C7CFD8"/>
            <w:vAlign w:val="center"/>
            <w:hideMark/>
          </w:tcPr>
          <w:p w14:paraId="571645C9"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Presupuesto </w:t>
            </w:r>
          </w:p>
        </w:tc>
        <w:tc>
          <w:tcPr>
            <w:tcW w:w="1740" w:type="dxa"/>
            <w:gridSpan w:val="2"/>
            <w:vMerge/>
            <w:tcBorders>
              <w:top w:val="nil"/>
              <w:left w:val="nil"/>
              <w:bottom w:val="nil"/>
              <w:right w:val="nil"/>
            </w:tcBorders>
            <w:vAlign w:val="center"/>
            <w:hideMark/>
          </w:tcPr>
          <w:p w14:paraId="0C80231D" w14:textId="77777777" w:rsidR="00B65EDC" w:rsidRPr="00E675E8" w:rsidRDefault="00B65EDC">
            <w:pPr>
              <w:jc w:val="left"/>
              <w:rPr>
                <w:rFonts w:ascii="Arial Narrow" w:hAnsi="Arial Narrow" w:cs="Arial"/>
                <w:b/>
                <w:bCs/>
                <w:sz w:val="18"/>
                <w:szCs w:val="18"/>
                <w:lang w:val="es-ES_tradnl"/>
              </w:rPr>
            </w:pPr>
          </w:p>
        </w:tc>
        <w:tc>
          <w:tcPr>
            <w:tcW w:w="1660" w:type="dxa"/>
            <w:tcBorders>
              <w:top w:val="nil"/>
              <w:left w:val="nil"/>
              <w:bottom w:val="nil"/>
              <w:right w:val="nil"/>
            </w:tcBorders>
            <w:shd w:val="clear" w:color="000000" w:fill="C7CFD8"/>
            <w:vAlign w:val="center"/>
            <w:hideMark/>
          </w:tcPr>
          <w:p w14:paraId="2ACFC303"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Propuesto </w:t>
            </w:r>
          </w:p>
        </w:tc>
      </w:tr>
      <w:tr w:rsidR="00B65EDC" w:rsidRPr="00E675E8" w14:paraId="18B03438" w14:textId="77777777">
        <w:trPr>
          <w:trHeight w:val="260"/>
        </w:trPr>
        <w:tc>
          <w:tcPr>
            <w:tcW w:w="3800" w:type="dxa"/>
            <w:tcBorders>
              <w:top w:val="nil"/>
              <w:left w:val="nil"/>
              <w:bottom w:val="nil"/>
              <w:right w:val="nil"/>
            </w:tcBorders>
            <w:shd w:val="clear" w:color="000000" w:fill="C7CFD8"/>
            <w:vAlign w:val="bottom"/>
            <w:hideMark/>
          </w:tcPr>
          <w:p w14:paraId="642AE13A" w14:textId="77777777" w:rsidR="00B65EDC" w:rsidRPr="00E675E8" w:rsidRDefault="00B65EDC">
            <w:pPr>
              <w:ind w:firstLineChars="100" w:firstLine="201"/>
              <w:jc w:val="left"/>
              <w:rPr>
                <w:rFonts w:cs="Arial"/>
                <w:b/>
                <w:bCs/>
                <w:i/>
                <w:iCs/>
                <w:lang w:val="es-ES_tradnl"/>
              </w:rPr>
            </w:pPr>
            <w:r w:rsidRPr="00E675E8">
              <w:rPr>
                <w:b/>
                <w:i/>
                <w:lang w:val="es-ES_tradnl"/>
              </w:rPr>
              <w:t> </w:t>
            </w:r>
          </w:p>
        </w:tc>
        <w:tc>
          <w:tcPr>
            <w:tcW w:w="1180" w:type="dxa"/>
            <w:tcBorders>
              <w:top w:val="nil"/>
              <w:left w:val="nil"/>
              <w:bottom w:val="nil"/>
              <w:right w:val="nil"/>
            </w:tcBorders>
            <w:shd w:val="clear" w:color="000000" w:fill="C7CFD8"/>
            <w:vAlign w:val="center"/>
            <w:hideMark/>
          </w:tcPr>
          <w:p w14:paraId="5C0F62BB"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A </w:t>
            </w:r>
          </w:p>
        </w:tc>
        <w:tc>
          <w:tcPr>
            <w:tcW w:w="1180" w:type="dxa"/>
            <w:tcBorders>
              <w:top w:val="nil"/>
              <w:left w:val="nil"/>
              <w:bottom w:val="nil"/>
              <w:right w:val="nil"/>
            </w:tcBorders>
            <w:shd w:val="clear" w:color="000000" w:fill="C7CFD8"/>
            <w:noWrap/>
            <w:vAlign w:val="center"/>
            <w:hideMark/>
          </w:tcPr>
          <w:p w14:paraId="554B9904"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B </w:t>
            </w:r>
          </w:p>
        </w:tc>
        <w:tc>
          <w:tcPr>
            <w:tcW w:w="870" w:type="dxa"/>
            <w:tcBorders>
              <w:top w:val="nil"/>
              <w:left w:val="nil"/>
              <w:bottom w:val="nil"/>
              <w:right w:val="nil"/>
            </w:tcBorders>
            <w:shd w:val="clear" w:color="000000" w:fill="C7CFD8"/>
            <w:vAlign w:val="center"/>
            <w:hideMark/>
          </w:tcPr>
          <w:p w14:paraId="503A1CAC"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C </w:t>
            </w:r>
          </w:p>
        </w:tc>
        <w:tc>
          <w:tcPr>
            <w:tcW w:w="870" w:type="dxa"/>
            <w:tcBorders>
              <w:top w:val="nil"/>
              <w:left w:val="nil"/>
              <w:bottom w:val="nil"/>
              <w:right w:val="nil"/>
            </w:tcBorders>
            <w:shd w:val="clear" w:color="000000" w:fill="C7CFD8"/>
            <w:vAlign w:val="center"/>
            <w:hideMark/>
          </w:tcPr>
          <w:p w14:paraId="606AD3BD"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C/B</w:t>
            </w:r>
          </w:p>
        </w:tc>
        <w:tc>
          <w:tcPr>
            <w:tcW w:w="1660" w:type="dxa"/>
            <w:tcBorders>
              <w:top w:val="nil"/>
              <w:left w:val="nil"/>
              <w:bottom w:val="nil"/>
              <w:right w:val="nil"/>
            </w:tcBorders>
            <w:shd w:val="clear" w:color="000000" w:fill="C7CFD8"/>
            <w:noWrap/>
            <w:vAlign w:val="center"/>
            <w:hideMark/>
          </w:tcPr>
          <w:p w14:paraId="7D49F104"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D=B+C </w:t>
            </w:r>
          </w:p>
        </w:tc>
      </w:tr>
      <w:tr w:rsidR="00B65EDC" w:rsidRPr="00E675E8" w14:paraId="0C1E407C" w14:textId="77777777" w:rsidTr="00A538F6">
        <w:trPr>
          <w:trHeight w:val="330"/>
        </w:trPr>
        <w:tc>
          <w:tcPr>
            <w:tcW w:w="3800" w:type="dxa"/>
            <w:tcBorders>
              <w:top w:val="nil"/>
              <w:left w:val="nil"/>
              <w:bottom w:val="nil"/>
              <w:right w:val="nil"/>
            </w:tcBorders>
            <w:vAlign w:val="center"/>
            <w:hideMark/>
          </w:tcPr>
          <w:p w14:paraId="3AD0154C" w14:textId="77777777" w:rsidR="00B65EDC" w:rsidRPr="00E675E8" w:rsidRDefault="00B65EDC">
            <w:pPr>
              <w:jc w:val="left"/>
              <w:rPr>
                <w:rFonts w:ascii="Arial Narrow" w:hAnsi="Arial Narrow" w:cs="Arial"/>
                <w:b/>
                <w:bCs/>
                <w:lang w:val="es-ES_tradnl"/>
              </w:rPr>
            </w:pPr>
            <w:r w:rsidRPr="00E675E8">
              <w:rPr>
                <w:rFonts w:ascii="Arial Narrow" w:hAnsi="Arial Narrow"/>
                <w:b/>
                <w:lang w:val="es-ES_tradnl"/>
              </w:rPr>
              <w:t>1. Ingresos</w:t>
            </w:r>
          </w:p>
        </w:tc>
        <w:tc>
          <w:tcPr>
            <w:tcW w:w="1180" w:type="dxa"/>
            <w:tcBorders>
              <w:top w:val="nil"/>
              <w:left w:val="nil"/>
              <w:bottom w:val="nil"/>
              <w:right w:val="nil"/>
            </w:tcBorders>
            <w:vAlign w:val="center"/>
          </w:tcPr>
          <w:p w14:paraId="5BCDCCFD"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7 572</w:t>
            </w:r>
          </w:p>
        </w:tc>
        <w:tc>
          <w:tcPr>
            <w:tcW w:w="1180" w:type="dxa"/>
            <w:tcBorders>
              <w:top w:val="nil"/>
              <w:left w:val="nil"/>
              <w:bottom w:val="nil"/>
              <w:right w:val="nil"/>
            </w:tcBorders>
            <w:vAlign w:val="center"/>
          </w:tcPr>
          <w:p w14:paraId="013DF196"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7 901</w:t>
            </w:r>
          </w:p>
        </w:tc>
        <w:tc>
          <w:tcPr>
            <w:tcW w:w="870" w:type="dxa"/>
            <w:tcBorders>
              <w:top w:val="nil"/>
              <w:left w:val="nil"/>
              <w:bottom w:val="nil"/>
              <w:right w:val="nil"/>
            </w:tcBorders>
            <w:vAlign w:val="center"/>
          </w:tcPr>
          <w:p w14:paraId="4069BBA5" w14:textId="77777777" w:rsidR="00B65EDC" w:rsidRPr="00E675E8" w:rsidRDefault="00B65EDC">
            <w:pPr>
              <w:jc w:val="right"/>
              <w:rPr>
                <w:rFonts w:ascii="Arial Narrow" w:hAnsi="Arial Narrow" w:cs="Arial"/>
                <w:b/>
                <w:bCs/>
                <w:lang w:val="es-ES_tradnl"/>
              </w:rPr>
            </w:pPr>
            <w:r w:rsidRPr="00E675E8">
              <w:rPr>
                <w:rFonts w:ascii="Arial Narrow" w:hAnsi="Arial Narrow"/>
                <w:b/>
                <w:color w:val="000000"/>
                <w:lang w:val="es-ES_tradnl"/>
              </w:rPr>
              <w:t>(285)</w:t>
            </w:r>
          </w:p>
        </w:tc>
        <w:tc>
          <w:tcPr>
            <w:tcW w:w="870" w:type="dxa"/>
            <w:tcBorders>
              <w:top w:val="nil"/>
              <w:left w:val="nil"/>
              <w:bottom w:val="nil"/>
              <w:right w:val="nil"/>
            </w:tcBorders>
            <w:vAlign w:val="center"/>
          </w:tcPr>
          <w:p w14:paraId="33506C9B"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-3,6%</w:t>
            </w:r>
          </w:p>
        </w:tc>
        <w:tc>
          <w:tcPr>
            <w:tcW w:w="1660" w:type="dxa"/>
            <w:tcBorders>
              <w:top w:val="nil"/>
              <w:left w:val="nil"/>
              <w:bottom w:val="nil"/>
              <w:right w:val="nil"/>
            </w:tcBorders>
            <w:vAlign w:val="center"/>
          </w:tcPr>
          <w:p w14:paraId="2F633613"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 xml:space="preserve">7 616 </w:t>
            </w:r>
          </w:p>
        </w:tc>
      </w:tr>
      <w:tr w:rsidR="00B65EDC" w:rsidRPr="00E675E8" w14:paraId="600DDAAD" w14:textId="77777777" w:rsidTr="00A538F6">
        <w:trPr>
          <w:trHeight w:val="330"/>
        </w:trPr>
        <w:tc>
          <w:tcPr>
            <w:tcW w:w="3800" w:type="dxa"/>
            <w:tcBorders>
              <w:top w:val="nil"/>
              <w:left w:val="nil"/>
              <w:bottom w:val="single" w:sz="4" w:space="0" w:color="AAB8C4"/>
              <w:right w:val="nil"/>
            </w:tcBorders>
            <w:noWrap/>
            <w:vAlign w:val="center"/>
            <w:hideMark/>
          </w:tcPr>
          <w:p w14:paraId="7F9C96C1" w14:textId="77777777" w:rsidR="00B65EDC" w:rsidRPr="00E675E8" w:rsidRDefault="00B65EDC">
            <w:pPr>
              <w:jc w:val="left"/>
              <w:rPr>
                <w:rFonts w:ascii="Arial Narrow" w:hAnsi="Arial Narrow" w:cs="Arial"/>
                <w:b/>
                <w:bCs/>
                <w:lang w:val="es-ES_tradnl"/>
              </w:rPr>
            </w:pPr>
            <w:r w:rsidRPr="00E675E8">
              <w:rPr>
                <w:rFonts w:ascii="Arial Narrow" w:hAnsi="Arial Narrow"/>
                <w:b/>
                <w:lang w:val="es-ES_tradnl"/>
              </w:rPr>
              <w:t>2. Gastos</w:t>
            </w:r>
          </w:p>
        </w:tc>
        <w:tc>
          <w:tcPr>
            <w:tcW w:w="1180" w:type="dxa"/>
            <w:tcBorders>
              <w:top w:val="nil"/>
              <w:left w:val="nil"/>
              <w:bottom w:val="single" w:sz="4" w:space="0" w:color="BFBFBF"/>
              <w:right w:val="nil"/>
            </w:tcBorders>
            <w:vAlign w:val="center"/>
          </w:tcPr>
          <w:p w14:paraId="355075C8"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7 382</w:t>
            </w:r>
          </w:p>
        </w:tc>
        <w:tc>
          <w:tcPr>
            <w:tcW w:w="1180" w:type="dxa"/>
            <w:tcBorders>
              <w:top w:val="nil"/>
              <w:left w:val="nil"/>
              <w:bottom w:val="single" w:sz="4" w:space="0" w:color="AAB8C4"/>
              <w:right w:val="nil"/>
            </w:tcBorders>
            <w:vAlign w:val="center"/>
          </w:tcPr>
          <w:p w14:paraId="6AC3434F"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7 901</w:t>
            </w:r>
          </w:p>
        </w:tc>
        <w:tc>
          <w:tcPr>
            <w:tcW w:w="870" w:type="dxa"/>
            <w:tcBorders>
              <w:top w:val="nil"/>
              <w:left w:val="nil"/>
              <w:bottom w:val="single" w:sz="4" w:space="0" w:color="AAB8C4"/>
              <w:right w:val="nil"/>
            </w:tcBorders>
            <w:vAlign w:val="center"/>
          </w:tcPr>
          <w:p w14:paraId="5FFA1CBE" w14:textId="77777777" w:rsidR="00B65EDC" w:rsidRPr="00E675E8" w:rsidRDefault="00B65EDC">
            <w:pPr>
              <w:jc w:val="right"/>
              <w:rPr>
                <w:rFonts w:ascii="Arial Narrow" w:hAnsi="Arial Narrow" w:cs="Arial"/>
                <w:b/>
                <w:bCs/>
                <w:lang w:val="es-ES_tradnl"/>
              </w:rPr>
            </w:pPr>
            <w:r w:rsidRPr="00E675E8">
              <w:rPr>
                <w:rFonts w:ascii="Arial Narrow" w:hAnsi="Arial Narrow"/>
                <w:b/>
                <w:color w:val="000000"/>
                <w:lang w:val="es-ES_tradnl"/>
              </w:rPr>
              <w:t>(285)</w:t>
            </w:r>
          </w:p>
        </w:tc>
        <w:tc>
          <w:tcPr>
            <w:tcW w:w="870" w:type="dxa"/>
            <w:tcBorders>
              <w:top w:val="nil"/>
              <w:left w:val="nil"/>
              <w:bottom w:val="single" w:sz="4" w:space="0" w:color="BFBFBF"/>
              <w:right w:val="nil"/>
            </w:tcBorders>
            <w:vAlign w:val="center"/>
          </w:tcPr>
          <w:p w14:paraId="192D8635"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-3,6%</w:t>
            </w:r>
          </w:p>
        </w:tc>
        <w:tc>
          <w:tcPr>
            <w:tcW w:w="1660" w:type="dxa"/>
            <w:tcBorders>
              <w:top w:val="nil"/>
              <w:left w:val="nil"/>
              <w:bottom w:val="single" w:sz="4" w:space="0" w:color="AAB8C4"/>
              <w:right w:val="nil"/>
            </w:tcBorders>
            <w:vAlign w:val="center"/>
          </w:tcPr>
          <w:p w14:paraId="0282694A"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 xml:space="preserve">7 616 </w:t>
            </w:r>
          </w:p>
        </w:tc>
      </w:tr>
      <w:tr w:rsidR="00B65EDC" w:rsidRPr="00E675E8" w14:paraId="57B0E166" w14:textId="77777777" w:rsidTr="00A538F6">
        <w:trPr>
          <w:trHeight w:val="330"/>
        </w:trPr>
        <w:tc>
          <w:tcPr>
            <w:tcW w:w="3800" w:type="dxa"/>
            <w:tcBorders>
              <w:top w:val="nil"/>
              <w:left w:val="nil"/>
              <w:bottom w:val="nil"/>
              <w:right w:val="nil"/>
            </w:tcBorders>
            <w:vAlign w:val="bottom"/>
            <w:hideMark/>
          </w:tcPr>
          <w:p w14:paraId="0E8B11CB" w14:textId="77777777" w:rsidR="00B65EDC" w:rsidRPr="00E675E8" w:rsidRDefault="00B65EDC">
            <w:pPr>
              <w:ind w:firstLineChars="100" w:firstLine="200"/>
              <w:jc w:val="left"/>
              <w:rPr>
                <w:rFonts w:ascii="Arial Narrow" w:hAnsi="Arial Narrow" w:cs="Arial"/>
                <w:i/>
                <w:iCs/>
                <w:lang w:val="es-ES_tradnl"/>
              </w:rPr>
            </w:pPr>
            <w:r w:rsidRPr="00E675E8">
              <w:rPr>
                <w:rFonts w:ascii="Arial Narrow" w:hAnsi="Arial Narrow"/>
                <w:i/>
                <w:lang w:val="es-ES_tradnl"/>
              </w:rPr>
              <w:t xml:space="preserve">Diferencia </w:t>
            </w:r>
          </w:p>
        </w:tc>
        <w:tc>
          <w:tcPr>
            <w:tcW w:w="1180" w:type="dxa"/>
            <w:tcBorders>
              <w:top w:val="nil"/>
              <w:left w:val="nil"/>
              <w:bottom w:val="nil"/>
              <w:right w:val="nil"/>
            </w:tcBorders>
            <w:vAlign w:val="bottom"/>
          </w:tcPr>
          <w:p w14:paraId="0836554B" w14:textId="77777777" w:rsidR="00B65EDC" w:rsidRPr="00E675E8" w:rsidRDefault="00B65EDC">
            <w:pPr>
              <w:jc w:val="right"/>
              <w:rPr>
                <w:rFonts w:ascii="Arial Narrow" w:hAnsi="Arial Narrow" w:cs="Arial"/>
                <w:i/>
                <w:iCs/>
                <w:lang w:val="es-ES_tradnl"/>
              </w:rPr>
            </w:pPr>
            <w:r w:rsidRPr="00E675E8">
              <w:rPr>
                <w:rFonts w:ascii="Arial Narrow" w:hAnsi="Arial Narrow"/>
                <w:i/>
                <w:lang w:val="es-ES_tradnl"/>
              </w:rPr>
              <w:t>190</w:t>
            </w:r>
          </w:p>
        </w:tc>
        <w:tc>
          <w:tcPr>
            <w:tcW w:w="1180" w:type="dxa"/>
            <w:tcBorders>
              <w:top w:val="nil"/>
              <w:left w:val="nil"/>
              <w:bottom w:val="nil"/>
              <w:right w:val="nil"/>
            </w:tcBorders>
            <w:vAlign w:val="bottom"/>
          </w:tcPr>
          <w:p w14:paraId="2772C8BB" w14:textId="77777777" w:rsidR="00B65EDC" w:rsidRPr="00E675E8" w:rsidRDefault="00B65EDC">
            <w:pPr>
              <w:jc w:val="right"/>
              <w:rPr>
                <w:rFonts w:ascii="Arial Narrow" w:hAnsi="Arial Narrow" w:cs="Arial"/>
                <w:i/>
                <w:iCs/>
                <w:lang w:val="es-ES_tradnl"/>
              </w:rPr>
            </w:pPr>
            <w:r w:rsidRPr="00E675E8">
              <w:rPr>
                <w:rFonts w:ascii="Arial Narrow" w:hAnsi="Arial Narrow"/>
                <w:i/>
                <w:lang w:val="es-ES_tradnl"/>
              </w:rPr>
              <w:t>-</w:t>
            </w:r>
          </w:p>
        </w:tc>
        <w:tc>
          <w:tcPr>
            <w:tcW w:w="870" w:type="dxa"/>
            <w:tcBorders>
              <w:top w:val="nil"/>
              <w:left w:val="nil"/>
              <w:bottom w:val="nil"/>
              <w:right w:val="nil"/>
            </w:tcBorders>
            <w:vAlign w:val="bottom"/>
          </w:tcPr>
          <w:p w14:paraId="798B8765" w14:textId="77777777" w:rsidR="00B65EDC" w:rsidRPr="00E675E8" w:rsidRDefault="00B65EDC">
            <w:pPr>
              <w:jc w:val="right"/>
              <w:rPr>
                <w:rFonts w:ascii="Arial Narrow" w:hAnsi="Arial Narrow" w:cs="Arial"/>
                <w:i/>
                <w:iCs/>
                <w:lang w:val="es-ES_tradnl"/>
              </w:rPr>
            </w:pPr>
            <w:r w:rsidRPr="00E675E8">
              <w:rPr>
                <w:rFonts w:ascii="Arial Narrow" w:hAnsi="Arial Narrow"/>
                <w:i/>
                <w:lang w:val="es-ES_tradnl"/>
              </w:rPr>
              <w:t>-</w:t>
            </w:r>
          </w:p>
        </w:tc>
        <w:tc>
          <w:tcPr>
            <w:tcW w:w="870" w:type="dxa"/>
            <w:tcBorders>
              <w:top w:val="nil"/>
              <w:left w:val="nil"/>
              <w:bottom w:val="nil"/>
              <w:right w:val="nil"/>
            </w:tcBorders>
            <w:vAlign w:val="bottom"/>
          </w:tcPr>
          <w:p w14:paraId="78D6293F" w14:textId="77777777" w:rsidR="00B65EDC" w:rsidRPr="00E675E8" w:rsidRDefault="00B65EDC">
            <w:pPr>
              <w:jc w:val="right"/>
              <w:rPr>
                <w:rFonts w:ascii="Arial Narrow" w:hAnsi="Arial Narrow" w:cs="Arial"/>
                <w:i/>
                <w:iCs/>
                <w:lang w:val="es-ES_tradnl"/>
              </w:rPr>
            </w:pPr>
            <w:r w:rsidRPr="00E675E8">
              <w:rPr>
                <w:rFonts w:ascii="Arial Narrow" w:hAnsi="Arial Narrow"/>
                <w:i/>
                <w:lang w:val="es-ES_tradnl"/>
              </w:rPr>
              <w:t>-</w:t>
            </w:r>
          </w:p>
        </w:tc>
        <w:tc>
          <w:tcPr>
            <w:tcW w:w="1660" w:type="dxa"/>
            <w:tcBorders>
              <w:top w:val="nil"/>
              <w:left w:val="nil"/>
              <w:bottom w:val="nil"/>
              <w:right w:val="nil"/>
            </w:tcBorders>
            <w:vAlign w:val="bottom"/>
          </w:tcPr>
          <w:p w14:paraId="4AF943F5" w14:textId="77777777" w:rsidR="00B65EDC" w:rsidRPr="00E675E8" w:rsidRDefault="00B65EDC">
            <w:pPr>
              <w:jc w:val="right"/>
              <w:rPr>
                <w:rFonts w:ascii="Arial Narrow" w:hAnsi="Arial Narrow" w:cs="Arial"/>
                <w:i/>
                <w:iCs/>
                <w:lang w:val="es-ES_tradnl"/>
              </w:rPr>
            </w:pPr>
            <w:r w:rsidRPr="00E675E8">
              <w:rPr>
                <w:rFonts w:ascii="Arial Narrow" w:hAnsi="Arial Narrow"/>
                <w:i/>
                <w:lang w:val="es-ES_tradnl"/>
              </w:rPr>
              <w:t>-</w:t>
            </w:r>
          </w:p>
        </w:tc>
      </w:tr>
      <w:tr w:rsidR="00B65EDC" w:rsidRPr="00E675E8" w14:paraId="76536324" w14:textId="77777777" w:rsidTr="00A538F6">
        <w:trPr>
          <w:trHeight w:val="260"/>
        </w:trPr>
        <w:tc>
          <w:tcPr>
            <w:tcW w:w="3800" w:type="dxa"/>
            <w:tcBorders>
              <w:top w:val="nil"/>
              <w:left w:val="nil"/>
              <w:bottom w:val="nil"/>
              <w:right w:val="nil"/>
            </w:tcBorders>
            <w:vAlign w:val="bottom"/>
            <w:hideMark/>
          </w:tcPr>
          <w:p w14:paraId="37C3E643" w14:textId="77777777" w:rsidR="00B65EDC" w:rsidRPr="00E675E8" w:rsidRDefault="00B65EDC">
            <w:pPr>
              <w:jc w:val="left"/>
              <w:rPr>
                <w:rFonts w:ascii="Arial Narrow" w:hAnsi="Arial Narrow" w:cs="Arial"/>
                <w:i/>
                <w:iCs/>
                <w:color w:val="000000"/>
                <w:lang w:val="es-ES_tradnl"/>
              </w:rPr>
            </w:pPr>
          </w:p>
        </w:tc>
        <w:tc>
          <w:tcPr>
            <w:tcW w:w="1180" w:type="dxa"/>
            <w:tcBorders>
              <w:top w:val="nil"/>
              <w:left w:val="nil"/>
              <w:bottom w:val="nil"/>
              <w:right w:val="nil"/>
            </w:tcBorders>
            <w:vAlign w:val="bottom"/>
          </w:tcPr>
          <w:p w14:paraId="71657ADE" w14:textId="77777777" w:rsidR="00B65EDC" w:rsidRPr="00E675E8" w:rsidRDefault="00B65EDC">
            <w:pPr>
              <w:jc w:val="right"/>
              <w:rPr>
                <w:rFonts w:ascii="Times New Roman" w:hAnsi="Times New Roman"/>
                <w:lang w:val="es-ES_tradnl"/>
              </w:rPr>
            </w:pPr>
          </w:p>
        </w:tc>
        <w:tc>
          <w:tcPr>
            <w:tcW w:w="1180" w:type="dxa"/>
            <w:tcBorders>
              <w:top w:val="nil"/>
              <w:left w:val="nil"/>
              <w:bottom w:val="nil"/>
              <w:right w:val="nil"/>
            </w:tcBorders>
            <w:vAlign w:val="bottom"/>
          </w:tcPr>
          <w:p w14:paraId="5D279161" w14:textId="77777777" w:rsidR="00B65EDC" w:rsidRPr="00E675E8" w:rsidRDefault="00B65EDC">
            <w:pPr>
              <w:jc w:val="right"/>
              <w:rPr>
                <w:rFonts w:ascii="Times New Roman" w:hAnsi="Times New Roman"/>
                <w:lang w:val="es-ES_tradnl"/>
              </w:rPr>
            </w:pPr>
          </w:p>
        </w:tc>
        <w:tc>
          <w:tcPr>
            <w:tcW w:w="870" w:type="dxa"/>
            <w:tcBorders>
              <w:top w:val="nil"/>
              <w:left w:val="nil"/>
              <w:bottom w:val="nil"/>
              <w:right w:val="nil"/>
            </w:tcBorders>
            <w:vAlign w:val="bottom"/>
          </w:tcPr>
          <w:p w14:paraId="52012475" w14:textId="77777777" w:rsidR="00B65EDC" w:rsidRPr="00E675E8" w:rsidRDefault="00B65EDC">
            <w:pPr>
              <w:jc w:val="right"/>
              <w:rPr>
                <w:rFonts w:ascii="Times New Roman" w:hAnsi="Times New Roman"/>
                <w:lang w:val="es-ES_tradnl"/>
              </w:rPr>
            </w:pPr>
          </w:p>
        </w:tc>
        <w:tc>
          <w:tcPr>
            <w:tcW w:w="870" w:type="dxa"/>
            <w:tcBorders>
              <w:top w:val="nil"/>
              <w:left w:val="nil"/>
              <w:bottom w:val="nil"/>
              <w:right w:val="nil"/>
            </w:tcBorders>
            <w:vAlign w:val="bottom"/>
          </w:tcPr>
          <w:p w14:paraId="10E07DC4" w14:textId="77777777" w:rsidR="00B65EDC" w:rsidRPr="00E675E8" w:rsidRDefault="00B65EDC">
            <w:pPr>
              <w:jc w:val="right"/>
              <w:rPr>
                <w:rFonts w:ascii="Times New Roman" w:hAnsi="Times New Roman"/>
                <w:lang w:val="es-ES_tradnl"/>
              </w:rPr>
            </w:pPr>
          </w:p>
        </w:tc>
        <w:tc>
          <w:tcPr>
            <w:tcW w:w="1660" w:type="dxa"/>
            <w:tcBorders>
              <w:top w:val="nil"/>
              <w:left w:val="nil"/>
              <w:bottom w:val="nil"/>
              <w:right w:val="nil"/>
            </w:tcBorders>
            <w:vAlign w:val="bottom"/>
          </w:tcPr>
          <w:p w14:paraId="0F4572D7" w14:textId="77777777" w:rsidR="00B65EDC" w:rsidRPr="00E675E8" w:rsidRDefault="00B65EDC">
            <w:pPr>
              <w:jc w:val="right"/>
              <w:rPr>
                <w:rFonts w:ascii="Times New Roman" w:hAnsi="Times New Roman"/>
                <w:lang w:val="es-ES_tradnl"/>
              </w:rPr>
            </w:pPr>
          </w:p>
        </w:tc>
      </w:tr>
      <w:tr w:rsidR="00B65EDC" w:rsidRPr="00E675E8" w14:paraId="5217DB30" w14:textId="77777777" w:rsidTr="00A538F6">
        <w:trPr>
          <w:trHeight w:val="330"/>
        </w:trPr>
        <w:tc>
          <w:tcPr>
            <w:tcW w:w="3800" w:type="dxa"/>
            <w:tcBorders>
              <w:top w:val="single" w:sz="4" w:space="0" w:color="AAB8C4"/>
              <w:left w:val="nil"/>
              <w:bottom w:val="single" w:sz="8" w:space="0" w:color="AAB8C4"/>
              <w:right w:val="nil"/>
            </w:tcBorders>
            <w:vAlign w:val="bottom"/>
            <w:hideMark/>
          </w:tcPr>
          <w:p w14:paraId="780F4F64" w14:textId="77777777" w:rsidR="00B65EDC" w:rsidRPr="00E675E8" w:rsidRDefault="00B65EDC">
            <w:pPr>
              <w:jc w:val="left"/>
              <w:rPr>
                <w:rFonts w:ascii="Arial Narrow" w:hAnsi="Arial Narrow" w:cs="Arial"/>
                <w:b/>
                <w:bCs/>
                <w:lang w:val="es-ES_tradnl"/>
              </w:rPr>
            </w:pPr>
            <w:r w:rsidRPr="00E675E8">
              <w:rPr>
                <w:rFonts w:ascii="Arial Narrow" w:hAnsi="Arial Narrow"/>
                <w:b/>
                <w:lang w:val="es-ES_tradnl"/>
              </w:rPr>
              <w:t>3. Fondo de operaciones</w:t>
            </w:r>
          </w:p>
        </w:tc>
        <w:tc>
          <w:tcPr>
            <w:tcW w:w="1180" w:type="dxa"/>
            <w:tcBorders>
              <w:top w:val="single" w:sz="4" w:space="0" w:color="AAB8C4"/>
              <w:left w:val="nil"/>
              <w:bottom w:val="single" w:sz="8" w:space="0" w:color="AAB8C4"/>
              <w:right w:val="nil"/>
            </w:tcBorders>
            <w:vAlign w:val="bottom"/>
          </w:tcPr>
          <w:p w14:paraId="7E659E25"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578</w:t>
            </w:r>
          </w:p>
        </w:tc>
        <w:tc>
          <w:tcPr>
            <w:tcW w:w="1180" w:type="dxa"/>
            <w:tcBorders>
              <w:top w:val="single" w:sz="4" w:space="0" w:color="AAB8C4"/>
              <w:left w:val="nil"/>
              <w:bottom w:val="single" w:sz="8" w:space="0" w:color="AAB8C4"/>
              <w:right w:val="nil"/>
            </w:tcBorders>
            <w:vAlign w:val="bottom"/>
          </w:tcPr>
          <w:p w14:paraId="1B70E429"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583</w:t>
            </w:r>
          </w:p>
        </w:tc>
        <w:tc>
          <w:tcPr>
            <w:tcW w:w="870" w:type="dxa"/>
            <w:tcBorders>
              <w:top w:val="single" w:sz="4" w:space="0" w:color="AAB8C4"/>
              <w:left w:val="nil"/>
              <w:bottom w:val="single" w:sz="8" w:space="0" w:color="AAB8C4"/>
              <w:right w:val="nil"/>
            </w:tcBorders>
            <w:vAlign w:val="bottom"/>
          </w:tcPr>
          <w:p w14:paraId="54EDAFF7"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0</w:t>
            </w:r>
          </w:p>
        </w:tc>
        <w:tc>
          <w:tcPr>
            <w:tcW w:w="870" w:type="dxa"/>
            <w:tcBorders>
              <w:top w:val="single" w:sz="4" w:space="0" w:color="BFBFBF"/>
              <w:left w:val="nil"/>
              <w:bottom w:val="single" w:sz="8" w:space="0" w:color="BFBFBF"/>
              <w:right w:val="nil"/>
            </w:tcBorders>
            <w:vAlign w:val="bottom"/>
          </w:tcPr>
          <w:p w14:paraId="3D8483FA"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0,0 %</w:t>
            </w:r>
          </w:p>
        </w:tc>
        <w:tc>
          <w:tcPr>
            <w:tcW w:w="1660" w:type="dxa"/>
            <w:tcBorders>
              <w:top w:val="single" w:sz="4" w:space="0" w:color="AAB8C4"/>
              <w:left w:val="nil"/>
              <w:bottom w:val="single" w:sz="8" w:space="0" w:color="AAB8C4"/>
              <w:right w:val="nil"/>
            </w:tcBorders>
            <w:vAlign w:val="bottom"/>
          </w:tcPr>
          <w:p w14:paraId="1FC7E138"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583</w:t>
            </w:r>
          </w:p>
        </w:tc>
      </w:tr>
    </w:tbl>
    <w:p w14:paraId="7840A2F7" w14:textId="77777777" w:rsidR="00B65EDC" w:rsidRPr="00E675E8" w:rsidRDefault="00B65EDC" w:rsidP="00B65EDC">
      <w:pPr>
        <w:rPr>
          <w:spacing w:val="-2"/>
          <w:szCs w:val="24"/>
          <w:lang w:val="es-ES_tradnl"/>
        </w:rPr>
      </w:pPr>
    </w:p>
    <w:p w14:paraId="62B8D876" w14:textId="77777777" w:rsidR="00B65EDC" w:rsidRPr="00E675E8" w:rsidRDefault="00B65EDC" w:rsidP="00B65EDC">
      <w:pPr>
        <w:rPr>
          <w:spacing w:val="-2"/>
          <w:szCs w:val="24"/>
          <w:lang w:val="es-ES_tradnl"/>
        </w:rPr>
      </w:pPr>
    </w:p>
    <w:p w14:paraId="68551516" w14:textId="5A328533" w:rsidR="00B65EDC" w:rsidRPr="00E675E8" w:rsidRDefault="00B65EDC" w:rsidP="00B65EDC">
      <w:pPr>
        <w:rPr>
          <w:spacing w:val="-2"/>
          <w:szCs w:val="24"/>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Con respecto al fondo de reserva, cabe recordar que en el artículo 4.6 del “Reglamento Financiero y Reglamentación Financiera de la UPOV” (documento UPOV/INF/4/6) se prevé lo siguiente: “[…] Si, tras el cierre del ejercicio económico, el importe del fondo de reserva supera el 15 % de los ingresos totales del ejercicio económico, el Consejo decidirá sobre la utilización de los ingresos que excedan de los gastos del ejercicio económico”.</w:t>
      </w:r>
      <w:r w:rsidR="002817AB" w:rsidRPr="00E675E8">
        <w:rPr>
          <w:lang w:val="es-ES_tradnl"/>
        </w:rPr>
        <w:t xml:space="preserve"> </w:t>
      </w:r>
      <w:r w:rsidRPr="00E675E8">
        <w:rPr>
          <w:lang w:val="es-ES_tradnl"/>
        </w:rPr>
        <w:t xml:space="preserve">Se efectuarán los preparativos necesarios a fin de que el Comité Consultivo y el Consejo consideren si es aplicable esa situación al cierre del ejercicio bienal 2026-2027. </w:t>
      </w:r>
    </w:p>
    <w:p w14:paraId="2316CE40" w14:textId="77777777" w:rsidR="00B65EDC" w:rsidRPr="00E675E8" w:rsidRDefault="00B65EDC" w:rsidP="00B65EDC">
      <w:pPr>
        <w:rPr>
          <w:spacing w:val="-2"/>
          <w:szCs w:val="24"/>
          <w:lang w:val="es-ES_tradnl"/>
        </w:rPr>
      </w:pPr>
    </w:p>
    <w:p w14:paraId="3CF33E3F" w14:textId="77777777" w:rsidR="00B65EDC" w:rsidRPr="00E675E8" w:rsidRDefault="00B65EDC" w:rsidP="00B65EDC">
      <w:pPr>
        <w:rPr>
          <w:spacing w:val="-2"/>
          <w:szCs w:val="24"/>
          <w:lang w:val="es-ES_tradnl"/>
        </w:rPr>
      </w:pPr>
    </w:p>
    <w:p w14:paraId="5AA7DE49" w14:textId="77777777" w:rsidR="00B65EDC" w:rsidRPr="00E675E8" w:rsidRDefault="00B65EDC" w:rsidP="000363C4">
      <w:pPr>
        <w:pStyle w:val="Heading3"/>
        <w:rPr>
          <w:lang w:val="es-ES_tradnl"/>
        </w:rPr>
      </w:pPr>
      <w:bookmarkStart w:id="434" w:name="_Toc209777761"/>
      <w:r w:rsidRPr="00E675E8">
        <w:rPr>
          <w:lang w:val="es-ES_tradnl"/>
        </w:rPr>
        <w:t>Ingresos</w:t>
      </w:r>
      <w:bookmarkEnd w:id="434"/>
    </w:p>
    <w:p w14:paraId="750789D5" w14:textId="77777777" w:rsidR="00B65EDC" w:rsidRPr="00E675E8" w:rsidRDefault="00B65EDC" w:rsidP="00B65EDC">
      <w:pPr>
        <w:rPr>
          <w:spacing w:val="-2"/>
          <w:szCs w:val="24"/>
          <w:lang w:val="es-ES_tradnl"/>
        </w:rPr>
      </w:pPr>
    </w:p>
    <w:p w14:paraId="3D3F9F20" w14:textId="54CB9E71"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Los ingresos previstos en el presupuesto ordinario para el bienio 2026-2027 se estiman en 7 615 864 francos suizos, es decir, 285 443 francos suizos (3,6 %) más que los ingresos estimados para el bienio 2024-2025 (7 901 307 francos suizos) (véase el cuadro 2).</w:t>
      </w:r>
      <w:r w:rsidR="002817AB" w:rsidRPr="00E675E8">
        <w:rPr>
          <w:lang w:val="es-ES_tradnl"/>
        </w:rPr>
        <w:t xml:space="preserve"> </w:t>
      </w:r>
      <w:r w:rsidRPr="00E675E8">
        <w:rPr>
          <w:lang w:val="es-ES_tradnl"/>
        </w:rPr>
        <w:t>La estimación de ingresos del bienio 2026-2027 se basa en 66,45 unidades de contribución en 2026 y 66,65 unidades de contribución en 2027, sin modificar el valor de la unidad de contribución, que se propone mantener en 53 641 francos suizos en el bienio 2026-2027, igual que en 2024-2025.</w:t>
      </w:r>
    </w:p>
    <w:p w14:paraId="4CC85415" w14:textId="77777777" w:rsidR="00B65EDC" w:rsidRPr="00E675E8" w:rsidRDefault="00B65EDC" w:rsidP="00B65EDC">
      <w:pPr>
        <w:rPr>
          <w:lang w:val="es-ES_tradnl"/>
        </w:rPr>
      </w:pPr>
    </w:p>
    <w:p w14:paraId="3C4E9214" w14:textId="1743CA40"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Las contribuciones de los miembros constituyen la principal fuente de ingresos de la UPOV, es decir, el 93 %.</w:t>
      </w:r>
      <w:r w:rsidR="002817AB" w:rsidRPr="00E675E8">
        <w:rPr>
          <w:lang w:val="es-ES_tradnl"/>
        </w:rPr>
        <w:t xml:space="preserve"> </w:t>
      </w:r>
      <w:r w:rsidRPr="00E675E8">
        <w:rPr>
          <w:lang w:val="es-ES_tradnl"/>
        </w:rPr>
        <w:t>El valor de la unidad de contribución ha permanecido invariable en 53 641 francos suizos desde 1995.</w:t>
      </w:r>
      <w:r w:rsidR="002817AB" w:rsidRPr="00E675E8">
        <w:rPr>
          <w:lang w:val="es-ES_tradnl"/>
        </w:rPr>
        <w:t xml:space="preserve"> </w:t>
      </w:r>
      <w:r w:rsidRPr="00E675E8">
        <w:rPr>
          <w:lang w:val="es-ES_tradnl"/>
        </w:rPr>
        <w:t>Las proyecciones de ingresos para 2026-2027 prevén una disminución general de los ingresos, mientras que la demanda de los servicios de la UPOV sigue creciendo. Para compensar la disminución de los ingresos y garantizar que la UPOV pueda satisfacer sus necesidades en los ámbitos prioritarios acordados por el Consejo, el secretario general, junto con la Oficina de la UPOV, emprenderá consultas para evaluar el valor de la unidad de contribución e incluirá una propuesta para su examen por el Comité Consultivo y el Consejo en octubre de 2025 (</w:t>
      </w:r>
      <w:r w:rsidR="00020C6E">
        <w:rPr>
          <w:lang w:val="es-ES_tradnl"/>
        </w:rPr>
        <w:t xml:space="preserve">véase el </w:t>
      </w:r>
      <w:r w:rsidRPr="00E675E8">
        <w:rPr>
          <w:lang w:val="es-ES_tradnl"/>
        </w:rPr>
        <w:t xml:space="preserve">documento C/59/16 </w:t>
      </w:r>
      <w:r w:rsidR="00020C6E">
        <w:rPr>
          <w:lang w:val="es-ES_tradnl"/>
        </w:rPr>
        <w:t>“E</w:t>
      </w:r>
      <w:r w:rsidRPr="00E675E8">
        <w:rPr>
          <w:lang w:val="es-ES_tradnl"/>
        </w:rPr>
        <w:t>strategia de recursos</w:t>
      </w:r>
      <w:r w:rsidR="00020C6E">
        <w:rPr>
          <w:lang w:val="es-ES_tradnl"/>
        </w:rPr>
        <w:t xml:space="preserve"> de la UPOV”</w:t>
      </w:r>
      <w:r w:rsidRPr="00E675E8">
        <w:rPr>
          <w:lang w:val="es-ES_tradnl"/>
        </w:rPr>
        <w:t>).</w:t>
      </w:r>
    </w:p>
    <w:p w14:paraId="2D46EB0C" w14:textId="77777777" w:rsidR="00B65EDC" w:rsidRPr="00E675E8" w:rsidRDefault="00B65EDC" w:rsidP="00B65EDC">
      <w:pPr>
        <w:rPr>
          <w:lang w:val="es-ES_tradnl"/>
        </w:rPr>
      </w:pPr>
    </w:p>
    <w:p w14:paraId="14B406C6" w14:textId="54F1C90D" w:rsidR="00B65EDC"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Los ingresos obtenidos de las contribuciones se han calculado a partir del supuesto de que cada año haya un nuevo miembro de la Unión con una aportación de 0,2 unidades de contribución al presupuesto (y 1 667 francos suizos al fondo de operaciones).</w:t>
      </w:r>
      <w:r w:rsidR="002817AB" w:rsidRPr="00E675E8">
        <w:rPr>
          <w:lang w:val="es-ES_tradnl"/>
        </w:rPr>
        <w:t xml:space="preserve"> </w:t>
      </w:r>
      <w:r w:rsidRPr="00E675E8">
        <w:rPr>
          <w:lang w:val="es-ES_tradnl"/>
        </w:rPr>
        <w:t>El 27 de febrero de 2025, Nigeria depositó su instrumento de adhesión al Convenio de la UPOV.</w:t>
      </w:r>
      <w:r w:rsidR="002817AB" w:rsidRPr="00E675E8">
        <w:rPr>
          <w:lang w:val="es-ES_tradnl"/>
        </w:rPr>
        <w:t xml:space="preserve"> </w:t>
      </w:r>
      <w:r w:rsidRPr="00E675E8">
        <w:rPr>
          <w:lang w:val="es-ES_tradnl"/>
        </w:rPr>
        <w:t>Nigeria se convertirá en el octogésimo miembro de la UPOV el 27 de marzo de 2025.</w:t>
      </w:r>
      <w:r w:rsidR="002817AB" w:rsidRPr="00E675E8">
        <w:rPr>
          <w:lang w:val="es-ES_tradnl"/>
        </w:rPr>
        <w:t xml:space="preserve"> </w:t>
      </w:r>
      <w:r w:rsidRPr="00E675E8">
        <w:rPr>
          <w:lang w:val="es-ES_tradnl"/>
        </w:rPr>
        <w:t>La contribución anual de Nigeria a los gastos de la Unión será de una quinta parte de una unidad (0,2).</w:t>
      </w:r>
      <w:r w:rsidR="002817AB" w:rsidRPr="00E675E8">
        <w:rPr>
          <w:lang w:val="es-ES_tradnl"/>
        </w:rPr>
        <w:t xml:space="preserve"> </w:t>
      </w:r>
      <w:r w:rsidRPr="00E675E8">
        <w:rPr>
          <w:lang w:val="es-ES_tradnl"/>
        </w:rPr>
        <w:t xml:space="preserve">En su vigesimotercera sesión extraordinaria, celebrada el 7 de abril de 2006 en Ginebra, el Consejo decidió que “los miembros de la Unión no ajusten a la baja el número de unidades de contribución sin tener en cuenta las consecuencias que ello tendría para la UPOV y la forma en que dicha reducción tendría </w:t>
      </w:r>
      <w:r w:rsidRPr="00E675E8">
        <w:rPr>
          <w:lang w:val="es-ES_tradnl"/>
        </w:rPr>
        <w:lastRenderedPageBreak/>
        <w:t>que ser compensada por otros miembros de la Unión.</w:t>
      </w:r>
      <w:r w:rsidR="002817AB" w:rsidRPr="00E675E8">
        <w:rPr>
          <w:lang w:val="es-ES_tradnl"/>
        </w:rPr>
        <w:t xml:space="preserve"> </w:t>
      </w:r>
      <w:r w:rsidRPr="00E675E8">
        <w:rPr>
          <w:lang w:val="es-ES_tradnl"/>
        </w:rPr>
        <w:t>En particular, los miembros de la Unión no deben proceder a una reducción del número de sus unidades de contribución mientras esté vigente el ejercicio financiero aprobado por el Consejo, salvo en casos excepcionales e inevitables” (véase el Anexo III del documento C(</w:t>
      </w:r>
      <w:proofErr w:type="spellStart"/>
      <w:r w:rsidRPr="00E675E8">
        <w:rPr>
          <w:lang w:val="es-ES_tradnl"/>
        </w:rPr>
        <w:t>Extr</w:t>
      </w:r>
      <w:proofErr w:type="spellEnd"/>
      <w:r w:rsidRPr="00E675E8">
        <w:rPr>
          <w:lang w:val="es-ES_tradnl"/>
        </w:rPr>
        <w:t xml:space="preserve">.)/23/5). </w:t>
      </w:r>
    </w:p>
    <w:p w14:paraId="0A238A2A" w14:textId="77777777" w:rsidR="00E675E8" w:rsidRPr="00E675E8" w:rsidRDefault="00E675E8" w:rsidP="00B65EDC">
      <w:pPr>
        <w:rPr>
          <w:lang w:val="es-ES_tradnl"/>
        </w:rPr>
      </w:pPr>
    </w:p>
    <w:p w14:paraId="5974A47B" w14:textId="5033A2E0"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El 25 de octubre de 2024, se notificó a la UPOV que el número de unidades de contribución aplicables a Suecia se reducirá de 1,5 a 1, con efecto a partir de enero de 2026.</w:t>
      </w:r>
      <w:r w:rsidR="002817AB" w:rsidRPr="00E675E8">
        <w:rPr>
          <w:lang w:val="es-ES_tradnl"/>
        </w:rPr>
        <w:t xml:space="preserve"> </w:t>
      </w:r>
      <w:r w:rsidRPr="00E675E8">
        <w:rPr>
          <w:lang w:val="es-ES_tradnl"/>
        </w:rPr>
        <w:t xml:space="preserve">En vista de ello, no se prevén reducciones en el número de unidades de contribución de los miembros de la Unión en el bienio 2026-2027. </w:t>
      </w:r>
    </w:p>
    <w:p w14:paraId="6AD6F89E" w14:textId="77777777" w:rsidR="00B65EDC" w:rsidRPr="00E675E8" w:rsidRDefault="00B65EDC" w:rsidP="00B65EDC">
      <w:pPr>
        <w:rPr>
          <w:lang w:val="es-ES_tradnl"/>
        </w:rPr>
      </w:pPr>
    </w:p>
    <w:p w14:paraId="540CC1DA" w14:textId="54205ED7" w:rsidR="00B65EDC" w:rsidRPr="00E675E8" w:rsidRDefault="00B65EDC" w:rsidP="00B65EDC">
      <w:pPr>
        <w:tabs>
          <w:tab w:val="left" w:pos="567"/>
        </w:tabs>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 xml:space="preserve">Además de las contribuciones de los miembros de la Unión, se prevén ingresos en concepto de tasas por uso de las herramientas y los servicios informáticos de la UPOV (326 520 francos suizos) e ingresos diversos (149 749 francos suizos), entre ellos: i) costo de administración de los fondos fiduciarios (109 749 francos suizos); y </w:t>
      </w:r>
      <w:proofErr w:type="spellStart"/>
      <w:r w:rsidRPr="00E675E8">
        <w:rPr>
          <w:lang w:val="es-ES_tradnl"/>
        </w:rPr>
        <w:t>ii</w:t>
      </w:r>
      <w:proofErr w:type="spellEnd"/>
      <w:r w:rsidRPr="00E675E8">
        <w:rPr>
          <w:lang w:val="es-ES_tradnl"/>
        </w:rPr>
        <w:t>) tasas obtenidas del programa de enseñanza a distancia (40 000 francos suizos).</w:t>
      </w:r>
      <w:r w:rsidR="002817AB" w:rsidRPr="00E675E8">
        <w:rPr>
          <w:lang w:val="es-ES_tradnl"/>
        </w:rPr>
        <w:t xml:space="preserve"> </w:t>
      </w:r>
      <w:r w:rsidRPr="00E675E8">
        <w:rPr>
          <w:lang w:val="es-ES_tradnl"/>
        </w:rPr>
        <w:t xml:space="preserve">Las fuentes de ingresos distintas de las contribuciones representan el 6,3 % de los ingresos totales estimados para 2026-2027. </w:t>
      </w:r>
    </w:p>
    <w:p w14:paraId="0875BD29" w14:textId="77777777" w:rsidR="00B65EDC" w:rsidRPr="00E675E8" w:rsidRDefault="00B65EDC" w:rsidP="00B65EDC">
      <w:pPr>
        <w:rPr>
          <w:spacing w:val="-2"/>
          <w:szCs w:val="24"/>
          <w:lang w:val="es-ES_tradnl"/>
        </w:rPr>
      </w:pPr>
    </w:p>
    <w:p w14:paraId="27E69621" w14:textId="77777777" w:rsidR="00B65EDC" w:rsidRPr="00E675E8" w:rsidRDefault="00B65EDC" w:rsidP="00B65EDC">
      <w:pPr>
        <w:rPr>
          <w:spacing w:val="-2"/>
          <w:szCs w:val="24"/>
          <w:lang w:val="es-ES_tradnl"/>
        </w:rPr>
      </w:pPr>
    </w:p>
    <w:p w14:paraId="541A275C" w14:textId="42AEF083" w:rsidR="00B65EDC" w:rsidRPr="00E675E8" w:rsidRDefault="00B65EDC" w:rsidP="00B65EDC">
      <w:pPr>
        <w:keepNext/>
        <w:jc w:val="center"/>
        <w:rPr>
          <w:rFonts w:cs="Arial"/>
          <w:i/>
          <w:iCs/>
          <w:sz w:val="18"/>
          <w:szCs w:val="18"/>
          <w:lang w:val="es-ES_tradnl"/>
        </w:rPr>
      </w:pPr>
      <w:r w:rsidRPr="00E675E8">
        <w:rPr>
          <w:b/>
          <w:color w:val="26724C" w:themeColor="accent1" w:themeShade="BF"/>
          <w:lang w:val="es-ES_tradnl"/>
        </w:rPr>
        <w:t>Cuadro 2:</w:t>
      </w:r>
      <w:r w:rsidR="002817AB" w:rsidRPr="00E675E8">
        <w:rPr>
          <w:b/>
          <w:color w:val="26724C" w:themeColor="accent1" w:themeShade="BF"/>
          <w:lang w:val="es-ES_tradnl"/>
        </w:rPr>
        <w:t xml:space="preserve"> </w:t>
      </w:r>
      <w:bookmarkStart w:id="435" w:name="_Hlk189579333"/>
      <w:r w:rsidRPr="00E675E8">
        <w:rPr>
          <w:b/>
          <w:color w:val="26724C" w:themeColor="accent1" w:themeShade="BF"/>
          <w:lang w:val="es-ES_tradnl"/>
        </w:rPr>
        <w:t>Ingresos 2024</w:t>
      </w:r>
      <w:r w:rsidRPr="00E675E8">
        <w:rPr>
          <w:b/>
          <w:color w:val="26724C" w:themeColor="accent1" w:themeShade="BF"/>
          <w:lang w:val="es-ES_tradnl"/>
        </w:rPr>
        <w:noBreakHyphen/>
        <w:t>2025 y 2026</w:t>
      </w:r>
      <w:r w:rsidRPr="00E675E8">
        <w:rPr>
          <w:b/>
          <w:color w:val="26724C" w:themeColor="accent1" w:themeShade="BF"/>
          <w:lang w:val="es-ES_tradnl"/>
        </w:rPr>
        <w:noBreakHyphen/>
        <w:t>2027</w:t>
      </w:r>
      <w:bookmarkEnd w:id="435"/>
      <w:r w:rsidRPr="00E675E8">
        <w:rPr>
          <w:b/>
          <w:color w:val="26724C" w:themeColor="accent1" w:themeShade="BF"/>
          <w:lang w:val="es-ES_tradnl"/>
        </w:rPr>
        <w:t xml:space="preserve"> </w:t>
      </w:r>
      <w:r w:rsidRPr="00E675E8">
        <w:rPr>
          <w:b/>
          <w:lang w:val="es-ES_tradnl"/>
        </w:rPr>
        <w:br/>
      </w:r>
      <w:r w:rsidRPr="00E675E8">
        <w:rPr>
          <w:i/>
          <w:sz w:val="18"/>
          <w:lang w:val="es-ES_tradnl"/>
        </w:rPr>
        <w:t>(en miles de francos suizos)</w:t>
      </w:r>
    </w:p>
    <w:p w14:paraId="0A64D72E" w14:textId="77777777" w:rsidR="00B65EDC" w:rsidRPr="00E675E8" w:rsidRDefault="00B65EDC" w:rsidP="00B65EDC">
      <w:pPr>
        <w:keepNext/>
        <w:rPr>
          <w:rFonts w:cs="Arial"/>
          <w:i/>
          <w:iCs/>
          <w:lang w:val="es-ES_tradnl"/>
        </w:rPr>
      </w:pPr>
    </w:p>
    <w:tbl>
      <w:tblPr>
        <w:tblW w:w="9587" w:type="dxa"/>
        <w:tblLook w:val="04A0" w:firstRow="1" w:lastRow="0" w:firstColumn="1" w:lastColumn="0" w:noHBand="0" w:noVBand="1"/>
      </w:tblPr>
      <w:tblGrid>
        <w:gridCol w:w="3402"/>
        <w:gridCol w:w="1276"/>
        <w:gridCol w:w="1418"/>
        <w:gridCol w:w="1134"/>
        <w:gridCol w:w="1114"/>
        <w:gridCol w:w="1243"/>
      </w:tblGrid>
      <w:tr w:rsidR="00B65EDC" w:rsidRPr="00E675E8" w14:paraId="5ABBAEFC" w14:textId="77777777">
        <w:trPr>
          <w:trHeight w:val="317"/>
        </w:trPr>
        <w:tc>
          <w:tcPr>
            <w:tcW w:w="3402" w:type="dxa"/>
            <w:tcBorders>
              <w:top w:val="nil"/>
              <w:left w:val="nil"/>
              <w:bottom w:val="nil"/>
              <w:right w:val="nil"/>
            </w:tcBorders>
            <w:shd w:val="clear" w:color="000000" w:fill="C7CFD8"/>
            <w:hideMark/>
          </w:tcPr>
          <w:p w14:paraId="599FC29F" w14:textId="77777777" w:rsidR="00B65EDC" w:rsidRPr="00E675E8" w:rsidRDefault="00B65EDC">
            <w:pPr>
              <w:ind w:firstLineChars="100" w:firstLine="181"/>
              <w:jc w:val="left"/>
              <w:rPr>
                <w:rFonts w:cs="Arial"/>
                <w:b/>
                <w:bCs/>
                <w:i/>
                <w:iCs/>
                <w:sz w:val="18"/>
                <w:szCs w:val="18"/>
                <w:lang w:val="es-ES_tradnl"/>
              </w:rPr>
            </w:pPr>
          </w:p>
        </w:tc>
        <w:tc>
          <w:tcPr>
            <w:tcW w:w="1276" w:type="dxa"/>
            <w:tcBorders>
              <w:top w:val="nil"/>
              <w:left w:val="nil"/>
              <w:bottom w:val="nil"/>
              <w:right w:val="nil"/>
            </w:tcBorders>
            <w:shd w:val="clear" w:color="000000" w:fill="C7CFD8"/>
            <w:vAlign w:val="center"/>
            <w:hideMark/>
          </w:tcPr>
          <w:p w14:paraId="60FA2F77"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2022-2023</w:t>
            </w:r>
          </w:p>
        </w:tc>
        <w:tc>
          <w:tcPr>
            <w:tcW w:w="1418" w:type="dxa"/>
            <w:tcBorders>
              <w:top w:val="nil"/>
              <w:left w:val="nil"/>
              <w:bottom w:val="nil"/>
              <w:right w:val="nil"/>
            </w:tcBorders>
            <w:shd w:val="clear" w:color="000000" w:fill="C7CFD8"/>
            <w:vAlign w:val="center"/>
            <w:hideMark/>
          </w:tcPr>
          <w:p w14:paraId="78FBE309"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2024-2025 </w:t>
            </w:r>
          </w:p>
        </w:tc>
        <w:tc>
          <w:tcPr>
            <w:tcW w:w="2248" w:type="dxa"/>
            <w:gridSpan w:val="2"/>
            <w:vMerge w:val="restart"/>
            <w:tcBorders>
              <w:top w:val="nil"/>
              <w:left w:val="nil"/>
              <w:bottom w:val="single" w:sz="4" w:space="0" w:color="748B9E"/>
              <w:right w:val="nil"/>
            </w:tcBorders>
            <w:shd w:val="clear" w:color="000000" w:fill="C7CFD8"/>
            <w:vAlign w:val="center"/>
            <w:hideMark/>
          </w:tcPr>
          <w:p w14:paraId="7241C54E"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Variación</w:t>
            </w:r>
          </w:p>
        </w:tc>
        <w:tc>
          <w:tcPr>
            <w:tcW w:w="1243" w:type="dxa"/>
            <w:tcBorders>
              <w:top w:val="nil"/>
              <w:left w:val="nil"/>
              <w:bottom w:val="nil"/>
              <w:right w:val="nil"/>
            </w:tcBorders>
            <w:shd w:val="clear" w:color="000000" w:fill="C7CFD8"/>
            <w:vAlign w:val="center"/>
            <w:hideMark/>
          </w:tcPr>
          <w:p w14:paraId="603B370C" w14:textId="19723B34" w:rsidR="00B65EDC" w:rsidRPr="00E675E8" w:rsidRDefault="00521C0D">
            <w:pPr>
              <w:jc w:val="center"/>
              <w:rPr>
                <w:rFonts w:ascii="Arial Narrow" w:hAnsi="Arial Narrow" w:cs="Arial"/>
                <w:b/>
                <w:bCs/>
                <w:sz w:val="18"/>
                <w:szCs w:val="18"/>
                <w:lang w:val="es-ES_tradnl"/>
              </w:rPr>
            </w:pPr>
            <w:r w:rsidRPr="00E675E8">
              <w:rPr>
                <w:rFonts w:ascii="Arial Narrow" w:hAnsi="Arial Narrow"/>
                <w:b/>
                <w:sz w:val="18"/>
                <w:lang w:val="es-ES_tradnl"/>
              </w:rPr>
              <w:t>2026-2027</w:t>
            </w:r>
          </w:p>
        </w:tc>
      </w:tr>
      <w:tr w:rsidR="00B65EDC" w:rsidRPr="00E675E8" w14:paraId="58D4A2EC" w14:textId="77777777">
        <w:trPr>
          <w:trHeight w:val="272"/>
        </w:trPr>
        <w:tc>
          <w:tcPr>
            <w:tcW w:w="3402" w:type="dxa"/>
            <w:tcBorders>
              <w:top w:val="nil"/>
              <w:left w:val="nil"/>
              <w:bottom w:val="nil"/>
              <w:right w:val="nil"/>
            </w:tcBorders>
            <w:shd w:val="clear" w:color="000000" w:fill="C7CFD8"/>
            <w:hideMark/>
          </w:tcPr>
          <w:p w14:paraId="6D34DB67" w14:textId="77777777" w:rsidR="00B65EDC" w:rsidRPr="00E675E8" w:rsidRDefault="00B65EDC">
            <w:pPr>
              <w:ind w:firstLineChars="100" w:firstLine="181"/>
              <w:jc w:val="left"/>
              <w:rPr>
                <w:rFonts w:ascii="Arial Narrow" w:hAnsi="Arial Narrow" w:cs="Arial"/>
                <w:b/>
                <w:bCs/>
                <w:sz w:val="18"/>
                <w:szCs w:val="18"/>
                <w:lang w:val="es-ES_tradnl"/>
              </w:rPr>
            </w:pPr>
            <w:r w:rsidRPr="00E675E8">
              <w:rPr>
                <w:rFonts w:ascii="Arial Narrow" w:hAnsi="Arial Narrow"/>
                <w:b/>
                <w:sz w:val="18"/>
                <w:lang w:val="es-ES_tradnl"/>
              </w:rPr>
              <w:t>Fuente</w:t>
            </w:r>
          </w:p>
        </w:tc>
        <w:tc>
          <w:tcPr>
            <w:tcW w:w="1276" w:type="dxa"/>
            <w:tcBorders>
              <w:top w:val="nil"/>
              <w:left w:val="nil"/>
              <w:bottom w:val="nil"/>
              <w:right w:val="nil"/>
            </w:tcBorders>
            <w:shd w:val="clear" w:color="000000" w:fill="C7CFD8"/>
            <w:vAlign w:val="center"/>
            <w:hideMark/>
          </w:tcPr>
          <w:p w14:paraId="1FD1E0CD"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Real</w:t>
            </w:r>
            <w:r w:rsidRPr="00E675E8">
              <w:rPr>
                <w:b/>
                <w:i/>
                <w:color w:val="000000"/>
                <w:sz w:val="18"/>
                <w:vertAlign w:val="superscript"/>
                <w:lang w:val="es-ES_tradnl"/>
              </w:rPr>
              <w:t>1</w:t>
            </w:r>
          </w:p>
        </w:tc>
        <w:tc>
          <w:tcPr>
            <w:tcW w:w="1418" w:type="dxa"/>
            <w:tcBorders>
              <w:top w:val="nil"/>
              <w:left w:val="nil"/>
              <w:bottom w:val="nil"/>
              <w:right w:val="nil"/>
            </w:tcBorders>
            <w:shd w:val="clear" w:color="000000" w:fill="C7CFD8"/>
            <w:vAlign w:val="center"/>
            <w:hideMark/>
          </w:tcPr>
          <w:p w14:paraId="51A9DEFB"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Aprobado</w:t>
            </w:r>
          </w:p>
        </w:tc>
        <w:tc>
          <w:tcPr>
            <w:tcW w:w="2248" w:type="dxa"/>
            <w:gridSpan w:val="2"/>
            <w:vMerge/>
            <w:tcBorders>
              <w:top w:val="nil"/>
              <w:left w:val="nil"/>
              <w:bottom w:val="nil"/>
              <w:right w:val="nil"/>
            </w:tcBorders>
            <w:vAlign w:val="center"/>
            <w:hideMark/>
          </w:tcPr>
          <w:p w14:paraId="7CDC1A19" w14:textId="77777777" w:rsidR="00B65EDC" w:rsidRPr="00E675E8" w:rsidRDefault="00B65EDC">
            <w:pPr>
              <w:jc w:val="left"/>
              <w:rPr>
                <w:rFonts w:ascii="Arial Narrow" w:hAnsi="Arial Narrow" w:cs="Arial"/>
                <w:b/>
                <w:bCs/>
                <w:sz w:val="18"/>
                <w:szCs w:val="18"/>
                <w:lang w:val="es-ES_tradnl"/>
              </w:rPr>
            </w:pPr>
          </w:p>
        </w:tc>
        <w:tc>
          <w:tcPr>
            <w:tcW w:w="1243" w:type="dxa"/>
            <w:tcBorders>
              <w:top w:val="nil"/>
              <w:left w:val="nil"/>
              <w:bottom w:val="nil"/>
              <w:right w:val="nil"/>
            </w:tcBorders>
            <w:shd w:val="clear" w:color="000000" w:fill="C7CFD8"/>
            <w:vAlign w:val="center"/>
            <w:hideMark/>
          </w:tcPr>
          <w:p w14:paraId="22E225E6"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Propuesto </w:t>
            </w:r>
          </w:p>
        </w:tc>
      </w:tr>
      <w:tr w:rsidR="00B65EDC" w:rsidRPr="00E675E8" w14:paraId="0BCA6E5C" w14:textId="77777777">
        <w:trPr>
          <w:trHeight w:val="287"/>
        </w:trPr>
        <w:tc>
          <w:tcPr>
            <w:tcW w:w="3402" w:type="dxa"/>
            <w:tcBorders>
              <w:top w:val="nil"/>
              <w:left w:val="nil"/>
              <w:bottom w:val="nil"/>
              <w:right w:val="nil"/>
            </w:tcBorders>
            <w:shd w:val="clear" w:color="000000" w:fill="C7CFD8"/>
            <w:vAlign w:val="bottom"/>
            <w:hideMark/>
          </w:tcPr>
          <w:p w14:paraId="707B24AD" w14:textId="77777777" w:rsidR="00B65EDC" w:rsidRPr="00E675E8" w:rsidRDefault="00B65EDC">
            <w:pPr>
              <w:ind w:firstLineChars="100" w:firstLine="181"/>
              <w:jc w:val="left"/>
              <w:rPr>
                <w:rFonts w:cs="Arial"/>
                <w:b/>
                <w:bCs/>
                <w:i/>
                <w:iCs/>
                <w:sz w:val="18"/>
                <w:szCs w:val="18"/>
                <w:lang w:val="es-ES_tradnl"/>
              </w:rPr>
            </w:pPr>
          </w:p>
        </w:tc>
        <w:tc>
          <w:tcPr>
            <w:tcW w:w="1276" w:type="dxa"/>
            <w:tcBorders>
              <w:top w:val="nil"/>
              <w:left w:val="nil"/>
              <w:bottom w:val="nil"/>
              <w:right w:val="nil"/>
            </w:tcBorders>
            <w:shd w:val="clear" w:color="000000" w:fill="C7CFD8"/>
            <w:vAlign w:val="center"/>
            <w:hideMark/>
          </w:tcPr>
          <w:p w14:paraId="3F3B0519"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A</w:t>
            </w:r>
          </w:p>
        </w:tc>
        <w:tc>
          <w:tcPr>
            <w:tcW w:w="1418" w:type="dxa"/>
            <w:tcBorders>
              <w:top w:val="nil"/>
              <w:left w:val="nil"/>
              <w:bottom w:val="nil"/>
              <w:right w:val="nil"/>
            </w:tcBorders>
            <w:shd w:val="clear" w:color="000000" w:fill="C7CFD8"/>
            <w:noWrap/>
            <w:vAlign w:val="center"/>
            <w:hideMark/>
          </w:tcPr>
          <w:p w14:paraId="563F5A7C"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B</w:t>
            </w:r>
          </w:p>
        </w:tc>
        <w:tc>
          <w:tcPr>
            <w:tcW w:w="1134" w:type="dxa"/>
            <w:tcBorders>
              <w:top w:val="nil"/>
              <w:left w:val="nil"/>
              <w:bottom w:val="nil"/>
              <w:right w:val="nil"/>
            </w:tcBorders>
            <w:shd w:val="clear" w:color="000000" w:fill="C7CFD8"/>
            <w:vAlign w:val="center"/>
            <w:hideMark/>
          </w:tcPr>
          <w:p w14:paraId="577F2F0C"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C</w:t>
            </w:r>
          </w:p>
        </w:tc>
        <w:tc>
          <w:tcPr>
            <w:tcW w:w="1114" w:type="dxa"/>
            <w:tcBorders>
              <w:top w:val="nil"/>
              <w:left w:val="nil"/>
              <w:bottom w:val="nil"/>
              <w:right w:val="nil"/>
            </w:tcBorders>
            <w:shd w:val="clear" w:color="000000" w:fill="C7CFD8"/>
            <w:vAlign w:val="center"/>
            <w:hideMark/>
          </w:tcPr>
          <w:p w14:paraId="453CBDB2"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C/B (%)</w:t>
            </w:r>
          </w:p>
        </w:tc>
        <w:tc>
          <w:tcPr>
            <w:tcW w:w="1243" w:type="dxa"/>
            <w:tcBorders>
              <w:top w:val="nil"/>
              <w:left w:val="nil"/>
              <w:bottom w:val="nil"/>
              <w:right w:val="nil"/>
            </w:tcBorders>
            <w:shd w:val="clear" w:color="000000" w:fill="C7CFD8"/>
            <w:noWrap/>
            <w:vAlign w:val="center"/>
            <w:hideMark/>
          </w:tcPr>
          <w:p w14:paraId="46462371"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D=B+C </w:t>
            </w:r>
          </w:p>
        </w:tc>
      </w:tr>
      <w:tr w:rsidR="00B65EDC" w:rsidRPr="00E675E8" w14:paraId="2F53AE58" w14:textId="77777777" w:rsidTr="00A538F6">
        <w:trPr>
          <w:trHeight w:val="362"/>
        </w:trPr>
        <w:tc>
          <w:tcPr>
            <w:tcW w:w="3402" w:type="dxa"/>
            <w:tcBorders>
              <w:top w:val="nil"/>
              <w:left w:val="nil"/>
              <w:bottom w:val="nil"/>
              <w:right w:val="nil"/>
            </w:tcBorders>
            <w:vAlign w:val="bottom"/>
            <w:hideMark/>
          </w:tcPr>
          <w:p w14:paraId="6FF87DC2" w14:textId="77777777" w:rsidR="00B65EDC" w:rsidRPr="00E675E8" w:rsidRDefault="00B65EDC">
            <w:pPr>
              <w:jc w:val="left"/>
              <w:rPr>
                <w:rFonts w:ascii="Arial Narrow" w:hAnsi="Arial Narrow" w:cs="Arial"/>
                <w:b/>
                <w:bCs/>
                <w:color w:val="000000"/>
                <w:lang w:val="es-ES_tradnl"/>
              </w:rPr>
            </w:pPr>
            <w:r w:rsidRPr="00E675E8">
              <w:rPr>
                <w:rFonts w:ascii="Arial Narrow" w:hAnsi="Arial Narrow"/>
                <w:b/>
                <w:color w:val="000000"/>
                <w:lang w:val="es-ES_tradnl"/>
              </w:rPr>
              <w:t>Contribuciones</w:t>
            </w:r>
          </w:p>
        </w:tc>
        <w:tc>
          <w:tcPr>
            <w:tcW w:w="1276" w:type="dxa"/>
            <w:tcBorders>
              <w:top w:val="nil"/>
              <w:left w:val="nil"/>
              <w:bottom w:val="nil"/>
              <w:right w:val="nil"/>
            </w:tcBorders>
            <w:vAlign w:val="bottom"/>
          </w:tcPr>
          <w:p w14:paraId="2AFD807A"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7 140</w:t>
            </w:r>
          </w:p>
        </w:tc>
        <w:tc>
          <w:tcPr>
            <w:tcW w:w="1418" w:type="dxa"/>
            <w:tcBorders>
              <w:top w:val="nil"/>
              <w:left w:val="nil"/>
              <w:bottom w:val="nil"/>
              <w:right w:val="nil"/>
            </w:tcBorders>
            <w:vAlign w:val="bottom"/>
          </w:tcPr>
          <w:p w14:paraId="5A368BAE"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7 193</w:t>
            </w:r>
          </w:p>
        </w:tc>
        <w:tc>
          <w:tcPr>
            <w:tcW w:w="1134" w:type="dxa"/>
            <w:tcBorders>
              <w:top w:val="nil"/>
              <w:left w:val="nil"/>
              <w:bottom w:val="nil"/>
              <w:right w:val="nil"/>
            </w:tcBorders>
            <w:vAlign w:val="bottom"/>
          </w:tcPr>
          <w:p w14:paraId="7999775C"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(54)</w:t>
            </w:r>
          </w:p>
        </w:tc>
        <w:tc>
          <w:tcPr>
            <w:tcW w:w="1114" w:type="dxa"/>
            <w:tcBorders>
              <w:top w:val="nil"/>
              <w:left w:val="nil"/>
              <w:bottom w:val="nil"/>
              <w:right w:val="nil"/>
            </w:tcBorders>
            <w:vAlign w:val="bottom"/>
          </w:tcPr>
          <w:p w14:paraId="0F850CDF"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-0,7 %</w:t>
            </w:r>
          </w:p>
        </w:tc>
        <w:tc>
          <w:tcPr>
            <w:tcW w:w="1243" w:type="dxa"/>
            <w:tcBorders>
              <w:top w:val="nil"/>
              <w:left w:val="nil"/>
              <w:bottom w:val="nil"/>
              <w:right w:val="nil"/>
            </w:tcBorders>
            <w:vAlign w:val="bottom"/>
          </w:tcPr>
          <w:p w14:paraId="7E4B71A4"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lang w:val="es-ES_tradnl"/>
              </w:rPr>
              <w:t>7 140</w:t>
            </w:r>
          </w:p>
        </w:tc>
      </w:tr>
      <w:tr w:rsidR="00B65EDC" w:rsidRPr="00E675E8" w14:paraId="087F58E6" w14:textId="77777777" w:rsidTr="00A538F6">
        <w:trPr>
          <w:trHeight w:val="347"/>
        </w:trPr>
        <w:tc>
          <w:tcPr>
            <w:tcW w:w="3402" w:type="dxa"/>
            <w:tcBorders>
              <w:top w:val="nil"/>
              <w:left w:val="nil"/>
              <w:bottom w:val="nil"/>
              <w:right w:val="nil"/>
            </w:tcBorders>
            <w:vAlign w:val="bottom"/>
            <w:hideMark/>
          </w:tcPr>
          <w:p w14:paraId="385432EC" w14:textId="77777777" w:rsidR="00B65EDC" w:rsidRPr="00E675E8" w:rsidRDefault="00B65EDC">
            <w:pPr>
              <w:jc w:val="left"/>
              <w:rPr>
                <w:rFonts w:ascii="Arial Narrow" w:hAnsi="Arial Narrow" w:cs="Arial"/>
                <w:b/>
                <w:bCs/>
                <w:color w:val="000000"/>
                <w:lang w:val="es-ES_tradnl"/>
              </w:rPr>
            </w:pPr>
            <w:r w:rsidRPr="00E675E8">
              <w:rPr>
                <w:rFonts w:ascii="Arial Narrow" w:hAnsi="Arial Narrow"/>
                <w:b/>
                <w:color w:val="000000"/>
                <w:lang w:val="es-ES_tradnl"/>
              </w:rPr>
              <w:t>Tasas por uso de las herramientas y servicios informáticos de la UPOV</w:t>
            </w:r>
          </w:p>
        </w:tc>
        <w:tc>
          <w:tcPr>
            <w:tcW w:w="1276" w:type="dxa"/>
            <w:tcBorders>
              <w:top w:val="nil"/>
              <w:left w:val="nil"/>
              <w:bottom w:val="nil"/>
              <w:right w:val="nil"/>
            </w:tcBorders>
            <w:vAlign w:val="bottom"/>
          </w:tcPr>
          <w:p w14:paraId="1132501E"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307</w:t>
            </w:r>
          </w:p>
        </w:tc>
        <w:tc>
          <w:tcPr>
            <w:tcW w:w="1418" w:type="dxa"/>
            <w:tcBorders>
              <w:top w:val="nil"/>
              <w:left w:val="nil"/>
              <w:bottom w:val="nil"/>
              <w:right w:val="nil"/>
            </w:tcBorders>
            <w:vAlign w:val="bottom"/>
          </w:tcPr>
          <w:p w14:paraId="52385435"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508</w:t>
            </w:r>
          </w:p>
        </w:tc>
        <w:tc>
          <w:tcPr>
            <w:tcW w:w="1134" w:type="dxa"/>
            <w:tcBorders>
              <w:top w:val="nil"/>
              <w:left w:val="nil"/>
              <w:bottom w:val="nil"/>
              <w:right w:val="nil"/>
            </w:tcBorders>
            <w:vAlign w:val="bottom"/>
          </w:tcPr>
          <w:p w14:paraId="56034FC4"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(182)</w:t>
            </w:r>
          </w:p>
        </w:tc>
        <w:tc>
          <w:tcPr>
            <w:tcW w:w="1114" w:type="dxa"/>
            <w:tcBorders>
              <w:top w:val="nil"/>
              <w:left w:val="nil"/>
              <w:bottom w:val="nil"/>
              <w:right w:val="nil"/>
            </w:tcBorders>
            <w:vAlign w:val="bottom"/>
          </w:tcPr>
          <w:p w14:paraId="5817FC3A"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-35,8 %</w:t>
            </w:r>
          </w:p>
        </w:tc>
        <w:tc>
          <w:tcPr>
            <w:tcW w:w="1243" w:type="dxa"/>
            <w:tcBorders>
              <w:top w:val="nil"/>
              <w:left w:val="nil"/>
              <w:bottom w:val="nil"/>
              <w:right w:val="nil"/>
            </w:tcBorders>
            <w:vAlign w:val="bottom"/>
          </w:tcPr>
          <w:p w14:paraId="2B3417BC"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lang w:val="es-ES_tradnl"/>
              </w:rPr>
              <w:t>327</w:t>
            </w:r>
          </w:p>
        </w:tc>
      </w:tr>
      <w:tr w:rsidR="00B65EDC" w:rsidRPr="00E675E8" w14:paraId="4720A4BC" w14:textId="77777777" w:rsidTr="00A538F6">
        <w:trPr>
          <w:trHeight w:val="347"/>
        </w:trPr>
        <w:tc>
          <w:tcPr>
            <w:tcW w:w="3402" w:type="dxa"/>
            <w:tcBorders>
              <w:top w:val="nil"/>
              <w:left w:val="nil"/>
              <w:bottom w:val="nil"/>
              <w:right w:val="nil"/>
            </w:tcBorders>
            <w:vAlign w:val="bottom"/>
            <w:hideMark/>
          </w:tcPr>
          <w:p w14:paraId="18821B9E" w14:textId="77777777" w:rsidR="00B65EDC" w:rsidRPr="00E675E8" w:rsidRDefault="00B65EDC">
            <w:pPr>
              <w:jc w:val="left"/>
              <w:rPr>
                <w:rFonts w:ascii="Arial Narrow" w:hAnsi="Arial Narrow" w:cs="Arial"/>
                <w:b/>
                <w:bCs/>
                <w:color w:val="000000"/>
                <w:lang w:val="es-ES_tradnl"/>
              </w:rPr>
            </w:pPr>
            <w:r w:rsidRPr="00E675E8">
              <w:rPr>
                <w:rFonts w:ascii="Arial Narrow" w:hAnsi="Arial Narrow"/>
                <w:b/>
                <w:color w:val="000000"/>
                <w:lang w:val="es-ES_tradnl"/>
              </w:rPr>
              <w:t>Otros ingresos</w:t>
            </w:r>
          </w:p>
        </w:tc>
        <w:tc>
          <w:tcPr>
            <w:tcW w:w="1276" w:type="dxa"/>
            <w:tcBorders>
              <w:top w:val="nil"/>
              <w:left w:val="nil"/>
              <w:bottom w:val="nil"/>
              <w:right w:val="nil"/>
            </w:tcBorders>
            <w:vAlign w:val="bottom"/>
          </w:tcPr>
          <w:p w14:paraId="526A2861"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126</w:t>
            </w:r>
          </w:p>
        </w:tc>
        <w:tc>
          <w:tcPr>
            <w:tcW w:w="1418" w:type="dxa"/>
            <w:tcBorders>
              <w:top w:val="nil"/>
              <w:left w:val="nil"/>
              <w:bottom w:val="nil"/>
              <w:right w:val="nil"/>
            </w:tcBorders>
            <w:vAlign w:val="bottom"/>
          </w:tcPr>
          <w:p w14:paraId="4D9C02FB"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200</w:t>
            </w:r>
          </w:p>
        </w:tc>
        <w:tc>
          <w:tcPr>
            <w:tcW w:w="1134" w:type="dxa"/>
            <w:tcBorders>
              <w:top w:val="nil"/>
              <w:left w:val="nil"/>
              <w:bottom w:val="nil"/>
              <w:right w:val="nil"/>
            </w:tcBorders>
            <w:vAlign w:val="bottom"/>
          </w:tcPr>
          <w:p w14:paraId="752B26AE"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(50)</w:t>
            </w:r>
          </w:p>
        </w:tc>
        <w:tc>
          <w:tcPr>
            <w:tcW w:w="1114" w:type="dxa"/>
            <w:tcBorders>
              <w:top w:val="nil"/>
              <w:left w:val="nil"/>
              <w:bottom w:val="nil"/>
              <w:right w:val="nil"/>
            </w:tcBorders>
            <w:vAlign w:val="bottom"/>
          </w:tcPr>
          <w:p w14:paraId="1377D6B4"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-25,0 %</w:t>
            </w:r>
          </w:p>
        </w:tc>
        <w:tc>
          <w:tcPr>
            <w:tcW w:w="1243" w:type="dxa"/>
            <w:tcBorders>
              <w:top w:val="nil"/>
              <w:left w:val="nil"/>
              <w:bottom w:val="nil"/>
              <w:right w:val="nil"/>
            </w:tcBorders>
            <w:vAlign w:val="bottom"/>
          </w:tcPr>
          <w:p w14:paraId="777463AC"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150</w:t>
            </w:r>
          </w:p>
        </w:tc>
      </w:tr>
      <w:tr w:rsidR="00B65EDC" w:rsidRPr="00E675E8" w14:paraId="24EE9DC3" w14:textId="77777777" w:rsidTr="00A538F6">
        <w:trPr>
          <w:trHeight w:val="347"/>
        </w:trPr>
        <w:tc>
          <w:tcPr>
            <w:tcW w:w="3402" w:type="dxa"/>
            <w:tcBorders>
              <w:top w:val="nil"/>
              <w:left w:val="nil"/>
              <w:bottom w:val="nil"/>
              <w:right w:val="nil"/>
            </w:tcBorders>
            <w:vAlign w:val="bottom"/>
            <w:hideMark/>
          </w:tcPr>
          <w:p w14:paraId="4A5CA5D3" w14:textId="77777777" w:rsidR="00B65EDC" w:rsidRPr="00E675E8" w:rsidRDefault="00B65EDC">
            <w:pPr>
              <w:ind w:firstLineChars="200" w:firstLine="400"/>
              <w:jc w:val="left"/>
              <w:rPr>
                <w:rFonts w:ascii="Arial Narrow" w:hAnsi="Arial Narrow" w:cs="Arial"/>
                <w:i/>
                <w:iCs/>
                <w:color w:val="000000"/>
                <w:lang w:val="es-ES_tradnl"/>
              </w:rPr>
            </w:pPr>
            <w:r w:rsidRPr="00E675E8">
              <w:rPr>
                <w:rFonts w:ascii="Arial Narrow" w:hAnsi="Arial Narrow"/>
                <w:i/>
                <w:color w:val="000000"/>
                <w:lang w:val="es-ES_tradnl"/>
              </w:rPr>
              <w:t>Costos de apoyo administrativo (programa de fondos fiduciarios)</w:t>
            </w:r>
          </w:p>
        </w:tc>
        <w:tc>
          <w:tcPr>
            <w:tcW w:w="1276" w:type="dxa"/>
            <w:tcBorders>
              <w:top w:val="nil"/>
              <w:left w:val="nil"/>
              <w:bottom w:val="nil"/>
              <w:right w:val="nil"/>
            </w:tcBorders>
            <w:vAlign w:val="bottom"/>
          </w:tcPr>
          <w:p w14:paraId="5F526E36"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119</w:t>
            </w:r>
          </w:p>
        </w:tc>
        <w:tc>
          <w:tcPr>
            <w:tcW w:w="1418" w:type="dxa"/>
            <w:tcBorders>
              <w:top w:val="nil"/>
              <w:left w:val="nil"/>
              <w:bottom w:val="nil"/>
              <w:right w:val="nil"/>
            </w:tcBorders>
            <w:vAlign w:val="bottom"/>
          </w:tcPr>
          <w:p w14:paraId="785AF04B"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120</w:t>
            </w:r>
          </w:p>
        </w:tc>
        <w:tc>
          <w:tcPr>
            <w:tcW w:w="1134" w:type="dxa"/>
            <w:tcBorders>
              <w:top w:val="nil"/>
              <w:left w:val="nil"/>
              <w:bottom w:val="nil"/>
              <w:right w:val="nil"/>
            </w:tcBorders>
            <w:vAlign w:val="bottom"/>
          </w:tcPr>
          <w:p w14:paraId="53C175EA"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(10)</w:t>
            </w:r>
          </w:p>
        </w:tc>
        <w:tc>
          <w:tcPr>
            <w:tcW w:w="1114" w:type="dxa"/>
            <w:tcBorders>
              <w:top w:val="nil"/>
              <w:left w:val="nil"/>
              <w:bottom w:val="nil"/>
              <w:right w:val="nil"/>
            </w:tcBorders>
            <w:vAlign w:val="bottom"/>
          </w:tcPr>
          <w:p w14:paraId="3FD577D6"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-8,3 %</w:t>
            </w:r>
          </w:p>
        </w:tc>
        <w:tc>
          <w:tcPr>
            <w:tcW w:w="1243" w:type="dxa"/>
            <w:tcBorders>
              <w:top w:val="nil"/>
              <w:left w:val="nil"/>
              <w:bottom w:val="nil"/>
              <w:right w:val="nil"/>
            </w:tcBorders>
            <w:vAlign w:val="bottom"/>
          </w:tcPr>
          <w:p w14:paraId="7B6320CF" w14:textId="77777777" w:rsidR="00B65EDC" w:rsidRPr="00E675E8" w:rsidRDefault="00B65EDC">
            <w:pPr>
              <w:jc w:val="right"/>
              <w:rPr>
                <w:rFonts w:ascii="Arial Narrow" w:hAnsi="Arial Narrow" w:cs="Arial"/>
                <w:b/>
                <w:bCs/>
                <w:color w:val="000000"/>
                <w:lang w:val="es-ES_tradnl"/>
              </w:rPr>
            </w:pPr>
            <w:bookmarkStart w:id="436" w:name="_Hlk190003129"/>
            <w:r w:rsidRPr="00E675E8">
              <w:rPr>
                <w:rFonts w:ascii="Arial Narrow" w:hAnsi="Arial Narrow"/>
                <w:b/>
                <w:lang w:val="es-ES_tradnl"/>
              </w:rPr>
              <w:t>110</w:t>
            </w:r>
            <w:bookmarkEnd w:id="436"/>
          </w:p>
        </w:tc>
      </w:tr>
      <w:tr w:rsidR="00B65EDC" w:rsidRPr="00E675E8" w14:paraId="00B3CCDD" w14:textId="77777777" w:rsidTr="00A538F6">
        <w:trPr>
          <w:trHeight w:val="347"/>
        </w:trPr>
        <w:tc>
          <w:tcPr>
            <w:tcW w:w="3402" w:type="dxa"/>
            <w:tcBorders>
              <w:top w:val="nil"/>
              <w:left w:val="nil"/>
              <w:bottom w:val="nil"/>
              <w:right w:val="nil"/>
            </w:tcBorders>
            <w:vAlign w:val="bottom"/>
            <w:hideMark/>
          </w:tcPr>
          <w:p w14:paraId="7126FF5A" w14:textId="77777777" w:rsidR="00B65EDC" w:rsidRPr="00E675E8" w:rsidRDefault="00B65EDC">
            <w:pPr>
              <w:ind w:firstLineChars="200" w:firstLine="400"/>
              <w:jc w:val="left"/>
              <w:rPr>
                <w:rFonts w:ascii="Arial Narrow" w:hAnsi="Arial Narrow" w:cs="Arial"/>
                <w:i/>
                <w:iCs/>
                <w:color w:val="000000"/>
                <w:lang w:val="es-ES_tradnl"/>
              </w:rPr>
            </w:pPr>
            <w:r w:rsidRPr="00E675E8">
              <w:rPr>
                <w:rFonts w:ascii="Arial Narrow" w:hAnsi="Arial Narrow"/>
                <w:i/>
                <w:color w:val="000000"/>
                <w:lang w:val="es-ES_tradnl"/>
              </w:rPr>
              <w:t>Programa de Enseñanza a Distancia</w:t>
            </w:r>
          </w:p>
        </w:tc>
        <w:tc>
          <w:tcPr>
            <w:tcW w:w="1276" w:type="dxa"/>
            <w:tcBorders>
              <w:top w:val="nil"/>
              <w:left w:val="nil"/>
              <w:bottom w:val="nil"/>
              <w:right w:val="nil"/>
            </w:tcBorders>
            <w:vAlign w:val="bottom"/>
          </w:tcPr>
          <w:p w14:paraId="001F24C6"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50</w:t>
            </w:r>
          </w:p>
        </w:tc>
        <w:tc>
          <w:tcPr>
            <w:tcW w:w="1418" w:type="dxa"/>
            <w:tcBorders>
              <w:top w:val="nil"/>
              <w:left w:val="nil"/>
              <w:bottom w:val="nil"/>
              <w:right w:val="nil"/>
            </w:tcBorders>
            <w:vAlign w:val="bottom"/>
          </w:tcPr>
          <w:p w14:paraId="45D263D2"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80</w:t>
            </w:r>
          </w:p>
        </w:tc>
        <w:tc>
          <w:tcPr>
            <w:tcW w:w="1134" w:type="dxa"/>
            <w:tcBorders>
              <w:top w:val="nil"/>
              <w:left w:val="nil"/>
              <w:bottom w:val="nil"/>
              <w:right w:val="nil"/>
            </w:tcBorders>
            <w:vAlign w:val="bottom"/>
          </w:tcPr>
          <w:p w14:paraId="334C495B"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(40)</w:t>
            </w:r>
          </w:p>
        </w:tc>
        <w:tc>
          <w:tcPr>
            <w:tcW w:w="1114" w:type="dxa"/>
            <w:tcBorders>
              <w:top w:val="nil"/>
              <w:left w:val="nil"/>
              <w:bottom w:val="nil"/>
              <w:right w:val="nil"/>
            </w:tcBorders>
            <w:vAlign w:val="bottom"/>
          </w:tcPr>
          <w:p w14:paraId="10A6F6A9"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-50,0 %</w:t>
            </w:r>
          </w:p>
        </w:tc>
        <w:tc>
          <w:tcPr>
            <w:tcW w:w="1243" w:type="dxa"/>
            <w:tcBorders>
              <w:top w:val="nil"/>
              <w:left w:val="nil"/>
              <w:bottom w:val="nil"/>
              <w:right w:val="nil"/>
            </w:tcBorders>
            <w:vAlign w:val="bottom"/>
          </w:tcPr>
          <w:p w14:paraId="7051799F"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lang w:val="es-ES_tradnl"/>
              </w:rPr>
              <w:t>40</w:t>
            </w:r>
          </w:p>
        </w:tc>
      </w:tr>
      <w:tr w:rsidR="00B65EDC" w:rsidRPr="00E675E8" w14:paraId="638F0E10" w14:textId="77777777" w:rsidTr="00A538F6">
        <w:trPr>
          <w:trHeight w:val="347"/>
        </w:trPr>
        <w:tc>
          <w:tcPr>
            <w:tcW w:w="3402" w:type="dxa"/>
            <w:tcBorders>
              <w:top w:val="nil"/>
              <w:left w:val="nil"/>
              <w:bottom w:val="nil"/>
              <w:right w:val="nil"/>
            </w:tcBorders>
            <w:vAlign w:val="bottom"/>
            <w:hideMark/>
          </w:tcPr>
          <w:p w14:paraId="0CC6F6C1" w14:textId="77777777" w:rsidR="00B65EDC" w:rsidRPr="00E675E8" w:rsidRDefault="00B65EDC">
            <w:pPr>
              <w:ind w:firstLineChars="200" w:firstLine="400"/>
              <w:jc w:val="left"/>
              <w:rPr>
                <w:rFonts w:ascii="Arial Narrow" w:hAnsi="Arial Narrow" w:cs="Arial"/>
                <w:i/>
                <w:iCs/>
                <w:color w:val="000000"/>
                <w:lang w:val="es-ES_tradnl"/>
              </w:rPr>
            </w:pPr>
            <w:r w:rsidRPr="00E675E8">
              <w:rPr>
                <w:rFonts w:ascii="Arial Narrow" w:hAnsi="Arial Narrow"/>
                <w:i/>
                <w:color w:val="000000"/>
                <w:lang w:val="es-ES_tradnl"/>
              </w:rPr>
              <w:t xml:space="preserve">Otros </w:t>
            </w:r>
          </w:p>
        </w:tc>
        <w:tc>
          <w:tcPr>
            <w:tcW w:w="1276" w:type="dxa"/>
            <w:tcBorders>
              <w:top w:val="nil"/>
              <w:left w:val="nil"/>
              <w:bottom w:val="nil"/>
              <w:right w:val="nil"/>
            </w:tcBorders>
            <w:vAlign w:val="bottom"/>
          </w:tcPr>
          <w:p w14:paraId="47F513FE"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(44)</w:t>
            </w:r>
          </w:p>
        </w:tc>
        <w:tc>
          <w:tcPr>
            <w:tcW w:w="1418" w:type="dxa"/>
            <w:tcBorders>
              <w:top w:val="nil"/>
              <w:left w:val="nil"/>
              <w:bottom w:val="nil"/>
              <w:right w:val="nil"/>
            </w:tcBorders>
            <w:vAlign w:val="bottom"/>
          </w:tcPr>
          <w:p w14:paraId="200CE05D"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w:t>
            </w:r>
          </w:p>
        </w:tc>
        <w:tc>
          <w:tcPr>
            <w:tcW w:w="1134" w:type="dxa"/>
            <w:tcBorders>
              <w:top w:val="nil"/>
              <w:left w:val="nil"/>
              <w:bottom w:val="nil"/>
              <w:right w:val="nil"/>
            </w:tcBorders>
            <w:vAlign w:val="bottom"/>
          </w:tcPr>
          <w:p w14:paraId="29080CEE"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w:t>
            </w:r>
          </w:p>
        </w:tc>
        <w:tc>
          <w:tcPr>
            <w:tcW w:w="1114" w:type="dxa"/>
            <w:tcBorders>
              <w:top w:val="nil"/>
              <w:left w:val="nil"/>
              <w:bottom w:val="nil"/>
              <w:right w:val="nil"/>
            </w:tcBorders>
            <w:vAlign w:val="bottom"/>
          </w:tcPr>
          <w:p w14:paraId="34E4C254"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w:t>
            </w:r>
          </w:p>
        </w:tc>
        <w:tc>
          <w:tcPr>
            <w:tcW w:w="1243" w:type="dxa"/>
            <w:tcBorders>
              <w:top w:val="nil"/>
              <w:left w:val="nil"/>
              <w:bottom w:val="nil"/>
              <w:right w:val="nil"/>
            </w:tcBorders>
            <w:vAlign w:val="bottom"/>
          </w:tcPr>
          <w:p w14:paraId="46FFEF60"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lang w:val="es-ES_tradnl"/>
              </w:rPr>
              <w:t>-</w:t>
            </w:r>
          </w:p>
        </w:tc>
      </w:tr>
      <w:tr w:rsidR="00B65EDC" w:rsidRPr="00E675E8" w14:paraId="597D928F" w14:textId="77777777" w:rsidTr="00A538F6">
        <w:trPr>
          <w:trHeight w:val="181"/>
        </w:trPr>
        <w:tc>
          <w:tcPr>
            <w:tcW w:w="3402" w:type="dxa"/>
            <w:tcBorders>
              <w:top w:val="nil"/>
              <w:left w:val="nil"/>
              <w:bottom w:val="nil"/>
              <w:right w:val="nil"/>
            </w:tcBorders>
            <w:vAlign w:val="bottom"/>
            <w:hideMark/>
          </w:tcPr>
          <w:p w14:paraId="021B7400" w14:textId="77777777" w:rsidR="00B65EDC" w:rsidRPr="00E675E8" w:rsidRDefault="00B65EDC">
            <w:pPr>
              <w:jc w:val="right"/>
              <w:rPr>
                <w:rFonts w:ascii="Arial Narrow" w:hAnsi="Arial Narrow" w:cs="Arial"/>
                <w:b/>
                <w:bCs/>
                <w:color w:val="000000"/>
                <w:lang w:val="es-ES_tradnl"/>
              </w:rPr>
            </w:pPr>
          </w:p>
        </w:tc>
        <w:tc>
          <w:tcPr>
            <w:tcW w:w="1276" w:type="dxa"/>
            <w:tcBorders>
              <w:top w:val="nil"/>
              <w:left w:val="nil"/>
              <w:bottom w:val="nil"/>
              <w:right w:val="nil"/>
            </w:tcBorders>
            <w:vAlign w:val="bottom"/>
          </w:tcPr>
          <w:p w14:paraId="723DE4F6" w14:textId="77777777" w:rsidR="00B65EDC" w:rsidRPr="00E675E8" w:rsidRDefault="00B65EDC">
            <w:pPr>
              <w:ind w:firstLineChars="200" w:firstLine="400"/>
              <w:jc w:val="left"/>
              <w:rPr>
                <w:rFonts w:ascii="Times New Roman" w:hAnsi="Times New Roman"/>
                <w:lang w:val="es-ES_tradnl"/>
              </w:rPr>
            </w:pPr>
          </w:p>
        </w:tc>
        <w:tc>
          <w:tcPr>
            <w:tcW w:w="1418" w:type="dxa"/>
            <w:tcBorders>
              <w:top w:val="nil"/>
              <w:left w:val="nil"/>
              <w:bottom w:val="nil"/>
              <w:right w:val="nil"/>
            </w:tcBorders>
            <w:vAlign w:val="bottom"/>
          </w:tcPr>
          <w:p w14:paraId="4B859DB7" w14:textId="77777777" w:rsidR="00B65EDC" w:rsidRPr="00E675E8" w:rsidRDefault="00B65EDC">
            <w:pPr>
              <w:jc w:val="right"/>
              <w:rPr>
                <w:rFonts w:ascii="Times New Roman" w:hAnsi="Times New Roman"/>
                <w:lang w:val="es-ES_tradnl"/>
              </w:rPr>
            </w:pPr>
          </w:p>
        </w:tc>
        <w:tc>
          <w:tcPr>
            <w:tcW w:w="1134" w:type="dxa"/>
            <w:tcBorders>
              <w:top w:val="nil"/>
              <w:left w:val="nil"/>
              <w:bottom w:val="nil"/>
              <w:right w:val="nil"/>
            </w:tcBorders>
            <w:vAlign w:val="bottom"/>
          </w:tcPr>
          <w:p w14:paraId="6000590F" w14:textId="77777777" w:rsidR="00B65EDC" w:rsidRPr="00E675E8" w:rsidRDefault="00B65EDC">
            <w:pPr>
              <w:jc w:val="right"/>
              <w:rPr>
                <w:rFonts w:ascii="Times New Roman" w:hAnsi="Times New Roman"/>
                <w:lang w:val="es-ES_tradnl"/>
              </w:rPr>
            </w:pPr>
          </w:p>
        </w:tc>
        <w:tc>
          <w:tcPr>
            <w:tcW w:w="1114" w:type="dxa"/>
            <w:tcBorders>
              <w:top w:val="nil"/>
              <w:left w:val="nil"/>
              <w:bottom w:val="nil"/>
              <w:right w:val="nil"/>
            </w:tcBorders>
            <w:vAlign w:val="bottom"/>
          </w:tcPr>
          <w:p w14:paraId="08657DA7" w14:textId="77777777" w:rsidR="00B65EDC" w:rsidRPr="00E675E8" w:rsidRDefault="00B65EDC">
            <w:pPr>
              <w:jc w:val="right"/>
              <w:rPr>
                <w:rFonts w:ascii="Times New Roman" w:hAnsi="Times New Roman"/>
                <w:lang w:val="es-ES_tradnl"/>
              </w:rPr>
            </w:pPr>
          </w:p>
        </w:tc>
        <w:tc>
          <w:tcPr>
            <w:tcW w:w="1243" w:type="dxa"/>
            <w:tcBorders>
              <w:top w:val="nil"/>
              <w:left w:val="nil"/>
              <w:bottom w:val="nil"/>
              <w:right w:val="nil"/>
            </w:tcBorders>
            <w:vAlign w:val="bottom"/>
          </w:tcPr>
          <w:p w14:paraId="3892240B" w14:textId="77777777" w:rsidR="00B65EDC" w:rsidRPr="00E675E8" w:rsidRDefault="00B65EDC">
            <w:pPr>
              <w:jc w:val="right"/>
              <w:rPr>
                <w:rFonts w:ascii="Times New Roman" w:hAnsi="Times New Roman"/>
                <w:lang w:val="es-ES_tradnl"/>
              </w:rPr>
            </w:pPr>
          </w:p>
        </w:tc>
      </w:tr>
      <w:tr w:rsidR="00B65EDC" w:rsidRPr="00E675E8" w14:paraId="2A1E2C8C" w14:textId="77777777" w:rsidTr="00A538F6">
        <w:trPr>
          <w:trHeight w:val="423"/>
        </w:trPr>
        <w:tc>
          <w:tcPr>
            <w:tcW w:w="3402" w:type="dxa"/>
            <w:tcBorders>
              <w:top w:val="single" w:sz="4" w:space="0" w:color="AAB8C4"/>
              <w:left w:val="nil"/>
              <w:bottom w:val="single" w:sz="8" w:space="0" w:color="AAB8C4"/>
              <w:right w:val="nil"/>
            </w:tcBorders>
            <w:vAlign w:val="center"/>
            <w:hideMark/>
          </w:tcPr>
          <w:p w14:paraId="416C6C9D" w14:textId="77777777" w:rsidR="00B65EDC" w:rsidRPr="00E675E8" w:rsidRDefault="00B65EDC">
            <w:pPr>
              <w:rPr>
                <w:rFonts w:ascii="Arial Narrow" w:hAnsi="Arial Narrow" w:cs="Arial"/>
                <w:b/>
                <w:bCs/>
                <w:color w:val="000000"/>
                <w:lang w:val="es-ES_tradnl"/>
              </w:rPr>
            </w:pPr>
            <w:r w:rsidRPr="00E675E8">
              <w:rPr>
                <w:rFonts w:ascii="Arial Narrow" w:hAnsi="Arial Narrow"/>
                <w:b/>
                <w:color w:val="000000"/>
                <w:lang w:val="es-ES_tradnl"/>
              </w:rPr>
              <w:t>Total</w:t>
            </w:r>
          </w:p>
        </w:tc>
        <w:tc>
          <w:tcPr>
            <w:tcW w:w="1276" w:type="dxa"/>
            <w:tcBorders>
              <w:top w:val="single" w:sz="4" w:space="0" w:color="AAB8C4"/>
              <w:left w:val="nil"/>
              <w:bottom w:val="single" w:sz="8" w:space="0" w:color="AAB8C4"/>
              <w:right w:val="nil"/>
            </w:tcBorders>
            <w:vAlign w:val="center"/>
          </w:tcPr>
          <w:p w14:paraId="778F95C1"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7 572</w:t>
            </w:r>
          </w:p>
        </w:tc>
        <w:tc>
          <w:tcPr>
            <w:tcW w:w="1418" w:type="dxa"/>
            <w:tcBorders>
              <w:top w:val="single" w:sz="4" w:space="0" w:color="AAB8C4"/>
              <w:left w:val="nil"/>
              <w:bottom w:val="single" w:sz="8" w:space="0" w:color="AAB8C4"/>
              <w:right w:val="nil"/>
            </w:tcBorders>
            <w:vAlign w:val="center"/>
          </w:tcPr>
          <w:p w14:paraId="5A70FB55"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7 901</w:t>
            </w:r>
          </w:p>
        </w:tc>
        <w:tc>
          <w:tcPr>
            <w:tcW w:w="1134" w:type="dxa"/>
            <w:tcBorders>
              <w:top w:val="single" w:sz="4" w:space="0" w:color="AAB8C4"/>
              <w:left w:val="nil"/>
              <w:bottom w:val="single" w:sz="8" w:space="0" w:color="AAB8C4"/>
              <w:right w:val="nil"/>
            </w:tcBorders>
            <w:vAlign w:val="center"/>
          </w:tcPr>
          <w:p w14:paraId="3B66CD36"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(285)</w:t>
            </w:r>
          </w:p>
        </w:tc>
        <w:tc>
          <w:tcPr>
            <w:tcW w:w="1114" w:type="dxa"/>
            <w:tcBorders>
              <w:top w:val="single" w:sz="4" w:space="0" w:color="AAB8C4"/>
              <w:left w:val="nil"/>
              <w:bottom w:val="single" w:sz="8" w:space="0" w:color="AAB8C4"/>
              <w:right w:val="nil"/>
            </w:tcBorders>
            <w:vAlign w:val="center"/>
          </w:tcPr>
          <w:p w14:paraId="71DB6895"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-3,6%</w:t>
            </w:r>
          </w:p>
        </w:tc>
        <w:tc>
          <w:tcPr>
            <w:tcW w:w="1243" w:type="dxa"/>
            <w:tcBorders>
              <w:top w:val="single" w:sz="4" w:space="0" w:color="AAB8C4"/>
              <w:left w:val="nil"/>
              <w:bottom w:val="single" w:sz="8" w:space="0" w:color="AAB8C4"/>
              <w:right w:val="nil"/>
            </w:tcBorders>
            <w:vAlign w:val="center"/>
          </w:tcPr>
          <w:p w14:paraId="0947FF6A"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lang w:val="es-ES_tradnl"/>
              </w:rPr>
              <w:t xml:space="preserve">7 616 </w:t>
            </w:r>
          </w:p>
        </w:tc>
      </w:tr>
    </w:tbl>
    <w:p w14:paraId="629FC2AF" w14:textId="77777777" w:rsidR="00B65EDC" w:rsidRPr="00E675E8" w:rsidRDefault="00B65EDC" w:rsidP="00B65EDC">
      <w:pPr>
        <w:keepNext/>
        <w:spacing w:before="120"/>
        <w:rPr>
          <w:rFonts w:cs="Arial"/>
          <w:i/>
          <w:iCs/>
          <w:sz w:val="16"/>
          <w:szCs w:val="16"/>
          <w:lang w:val="es-ES_tradnl"/>
        </w:rPr>
      </w:pPr>
      <w:r w:rsidRPr="00E675E8">
        <w:rPr>
          <w:i/>
          <w:sz w:val="16"/>
          <w:vertAlign w:val="superscript"/>
          <w:lang w:val="es-ES_tradnl"/>
        </w:rPr>
        <w:t xml:space="preserve">1 </w:t>
      </w:r>
      <w:r w:rsidRPr="00E675E8">
        <w:rPr>
          <w:i/>
          <w:sz w:val="16"/>
          <w:lang w:val="es-ES_tradnl"/>
        </w:rPr>
        <w:t>En el bienio 2022-2023, los ingresos diversos representan principalmente ganancias (o pérdidas) de divisas no realizadas debido al proceso de reevaluación del efectivo y otras cuentas de activos y pasivos (divisas distintas de los francos suizos).</w:t>
      </w:r>
    </w:p>
    <w:p w14:paraId="25FCACE3" w14:textId="77777777" w:rsidR="00B65EDC" w:rsidRPr="00E675E8" w:rsidRDefault="00B65EDC" w:rsidP="00B65EDC">
      <w:pPr>
        <w:rPr>
          <w:lang w:val="es-ES_tradnl"/>
        </w:rPr>
      </w:pPr>
    </w:p>
    <w:p w14:paraId="698136DC" w14:textId="77777777" w:rsidR="00B65EDC" w:rsidRPr="00E675E8" w:rsidRDefault="00B65EDC" w:rsidP="00B65EDC">
      <w:pPr>
        <w:rPr>
          <w:lang w:val="es-ES_tradnl"/>
        </w:rPr>
      </w:pPr>
    </w:p>
    <w:p w14:paraId="1D22912E" w14:textId="77777777"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A continuación figuran los ingresos presupuestados para las tasas por uso de las herramientas y servicios informáticos de la UPOV:</w:t>
      </w:r>
    </w:p>
    <w:p w14:paraId="522863D5" w14:textId="77777777" w:rsidR="00B65EDC" w:rsidRPr="00E675E8" w:rsidRDefault="00B65EDC" w:rsidP="00B65EDC">
      <w:pPr>
        <w:rPr>
          <w:lang w:val="es-ES_tradnl"/>
        </w:rPr>
      </w:pPr>
    </w:p>
    <w:tbl>
      <w:tblPr>
        <w:tblW w:w="9639" w:type="dxa"/>
        <w:tblLayout w:type="fixed"/>
        <w:tblLook w:val="04A0" w:firstRow="1" w:lastRow="0" w:firstColumn="1" w:lastColumn="0" w:noHBand="0" w:noVBand="1"/>
      </w:tblPr>
      <w:tblGrid>
        <w:gridCol w:w="2694"/>
        <w:gridCol w:w="1417"/>
        <w:gridCol w:w="921"/>
        <w:gridCol w:w="921"/>
        <w:gridCol w:w="922"/>
        <w:gridCol w:w="921"/>
        <w:gridCol w:w="921"/>
        <w:gridCol w:w="922"/>
      </w:tblGrid>
      <w:tr w:rsidR="00B65EDC" w:rsidRPr="00E675E8" w14:paraId="3E00FB1C" w14:textId="77777777">
        <w:trPr>
          <w:trHeight w:val="735"/>
        </w:trPr>
        <w:tc>
          <w:tcPr>
            <w:tcW w:w="2694" w:type="dxa"/>
            <w:vMerge w:val="restart"/>
            <w:tcBorders>
              <w:top w:val="nil"/>
              <w:left w:val="nil"/>
              <w:bottom w:val="nil"/>
              <w:right w:val="nil"/>
            </w:tcBorders>
            <w:shd w:val="clear" w:color="000000" w:fill="C7CFD8"/>
            <w:vAlign w:val="bottom"/>
          </w:tcPr>
          <w:p w14:paraId="728ABF36" w14:textId="77777777" w:rsidR="00B65EDC" w:rsidRPr="00E675E8" w:rsidRDefault="00B65EDC">
            <w:pPr>
              <w:rPr>
                <w:sz w:val="18"/>
                <w:szCs w:val="18"/>
                <w:lang w:val="es-ES_tradnl" w:eastAsia="en-GB"/>
              </w:rPr>
            </w:pPr>
          </w:p>
        </w:tc>
        <w:tc>
          <w:tcPr>
            <w:tcW w:w="1417" w:type="dxa"/>
            <w:vMerge w:val="restart"/>
            <w:tcBorders>
              <w:top w:val="nil"/>
              <w:left w:val="nil"/>
              <w:bottom w:val="nil"/>
              <w:right w:val="nil"/>
            </w:tcBorders>
            <w:shd w:val="clear" w:color="000000" w:fill="C7CFD8"/>
            <w:vAlign w:val="center"/>
            <w:hideMark/>
          </w:tcPr>
          <w:p w14:paraId="4FD67CD8"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Tasa de presentación /suscripción</w:t>
            </w:r>
          </w:p>
        </w:tc>
        <w:tc>
          <w:tcPr>
            <w:tcW w:w="2764" w:type="dxa"/>
            <w:gridSpan w:val="3"/>
            <w:tcBorders>
              <w:top w:val="nil"/>
              <w:left w:val="nil"/>
              <w:bottom w:val="single" w:sz="4" w:space="0" w:color="BFBFBF"/>
              <w:right w:val="nil"/>
            </w:tcBorders>
            <w:shd w:val="clear" w:color="000000" w:fill="C7CFD8"/>
            <w:vAlign w:val="center"/>
            <w:hideMark/>
          </w:tcPr>
          <w:p w14:paraId="7280389E"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Previsión de solicitudes/</w:t>
            </w:r>
            <w:r w:rsidRPr="00E675E8">
              <w:rPr>
                <w:rFonts w:ascii="Arial Narrow" w:hAnsi="Arial Narrow"/>
                <w:b/>
                <w:sz w:val="18"/>
                <w:lang w:val="es-ES_tradnl"/>
              </w:rPr>
              <w:cr/>
            </w:r>
            <w:r w:rsidRPr="00E675E8">
              <w:rPr>
                <w:rFonts w:ascii="Arial Narrow" w:hAnsi="Arial Narrow"/>
                <w:b/>
                <w:sz w:val="18"/>
                <w:lang w:val="es-ES_tradnl"/>
              </w:rPr>
              <w:br/>
              <w:t>suscriptores</w:t>
            </w:r>
          </w:p>
        </w:tc>
        <w:tc>
          <w:tcPr>
            <w:tcW w:w="2764" w:type="dxa"/>
            <w:gridSpan w:val="3"/>
            <w:tcBorders>
              <w:top w:val="nil"/>
              <w:left w:val="nil"/>
              <w:bottom w:val="single" w:sz="4" w:space="0" w:color="BFBFBF"/>
              <w:right w:val="nil"/>
            </w:tcBorders>
            <w:shd w:val="clear" w:color="000000" w:fill="C7CFD8"/>
            <w:vAlign w:val="center"/>
            <w:hideMark/>
          </w:tcPr>
          <w:p w14:paraId="3C08F08C"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Ingresos por solicitudes/</w:t>
            </w:r>
            <w:r w:rsidRPr="00E675E8">
              <w:rPr>
                <w:rFonts w:ascii="Arial Narrow" w:hAnsi="Arial Narrow"/>
                <w:b/>
                <w:sz w:val="18"/>
                <w:lang w:val="es-ES_tradnl"/>
              </w:rPr>
              <w:cr/>
            </w:r>
            <w:r w:rsidRPr="00E675E8">
              <w:rPr>
                <w:rFonts w:ascii="Arial Narrow" w:hAnsi="Arial Narrow"/>
                <w:b/>
                <w:sz w:val="18"/>
                <w:lang w:val="es-ES_tradnl"/>
              </w:rPr>
              <w:br/>
              <w:t>subscriptores</w:t>
            </w:r>
          </w:p>
        </w:tc>
      </w:tr>
      <w:tr w:rsidR="00B65EDC" w:rsidRPr="00E675E8" w14:paraId="19A05661" w14:textId="77777777">
        <w:trPr>
          <w:trHeight w:val="495"/>
        </w:trPr>
        <w:tc>
          <w:tcPr>
            <w:tcW w:w="2694" w:type="dxa"/>
            <w:vMerge/>
            <w:tcBorders>
              <w:top w:val="nil"/>
              <w:left w:val="nil"/>
              <w:bottom w:val="nil"/>
              <w:right w:val="nil"/>
            </w:tcBorders>
            <w:vAlign w:val="center"/>
            <w:hideMark/>
          </w:tcPr>
          <w:p w14:paraId="46AE2941" w14:textId="77777777" w:rsidR="00B65EDC" w:rsidRPr="00E675E8" w:rsidRDefault="00B65EDC">
            <w:pPr>
              <w:jc w:val="left"/>
              <w:rPr>
                <w:rFonts w:ascii="Arial Narrow" w:hAnsi="Arial Narrow" w:cs="Arial"/>
                <w:b/>
                <w:bCs/>
                <w:color w:val="00B050"/>
                <w:sz w:val="18"/>
                <w:szCs w:val="18"/>
                <w:lang w:val="es-ES_tradnl" w:eastAsia="en-GB"/>
              </w:rPr>
            </w:pPr>
          </w:p>
        </w:tc>
        <w:tc>
          <w:tcPr>
            <w:tcW w:w="1417" w:type="dxa"/>
            <w:vMerge/>
            <w:tcBorders>
              <w:top w:val="nil"/>
              <w:left w:val="nil"/>
              <w:bottom w:val="nil"/>
              <w:right w:val="nil"/>
            </w:tcBorders>
            <w:vAlign w:val="center"/>
            <w:hideMark/>
          </w:tcPr>
          <w:p w14:paraId="2271726A" w14:textId="77777777" w:rsidR="00B65EDC" w:rsidRPr="00E675E8" w:rsidRDefault="00B65EDC">
            <w:pPr>
              <w:jc w:val="left"/>
              <w:rPr>
                <w:rFonts w:ascii="Arial Narrow" w:hAnsi="Arial Narrow" w:cs="Arial"/>
                <w:b/>
                <w:bCs/>
                <w:sz w:val="18"/>
                <w:szCs w:val="18"/>
                <w:lang w:val="es-ES_tradnl" w:eastAsia="en-GB"/>
              </w:rPr>
            </w:pPr>
          </w:p>
        </w:tc>
        <w:tc>
          <w:tcPr>
            <w:tcW w:w="921" w:type="dxa"/>
            <w:tcBorders>
              <w:top w:val="nil"/>
              <w:left w:val="nil"/>
              <w:bottom w:val="nil"/>
              <w:right w:val="nil"/>
            </w:tcBorders>
            <w:shd w:val="clear" w:color="000000" w:fill="C7CFD8"/>
            <w:vAlign w:val="center"/>
            <w:hideMark/>
          </w:tcPr>
          <w:p w14:paraId="753F1124"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2026</w:t>
            </w:r>
          </w:p>
        </w:tc>
        <w:tc>
          <w:tcPr>
            <w:tcW w:w="921" w:type="dxa"/>
            <w:tcBorders>
              <w:top w:val="nil"/>
              <w:left w:val="nil"/>
              <w:bottom w:val="nil"/>
              <w:right w:val="nil"/>
            </w:tcBorders>
            <w:shd w:val="clear" w:color="000000" w:fill="C7CFD8"/>
            <w:vAlign w:val="center"/>
            <w:hideMark/>
          </w:tcPr>
          <w:p w14:paraId="0F817A9B"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2027</w:t>
            </w:r>
          </w:p>
        </w:tc>
        <w:tc>
          <w:tcPr>
            <w:tcW w:w="922" w:type="dxa"/>
            <w:tcBorders>
              <w:top w:val="nil"/>
              <w:left w:val="nil"/>
              <w:bottom w:val="nil"/>
              <w:right w:val="nil"/>
            </w:tcBorders>
            <w:shd w:val="clear" w:color="000000" w:fill="C7CFD8"/>
            <w:vAlign w:val="center"/>
            <w:hideMark/>
          </w:tcPr>
          <w:p w14:paraId="75494EC4"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Total</w:t>
            </w:r>
          </w:p>
        </w:tc>
        <w:tc>
          <w:tcPr>
            <w:tcW w:w="921" w:type="dxa"/>
            <w:tcBorders>
              <w:top w:val="nil"/>
              <w:left w:val="single" w:sz="4" w:space="0" w:color="BFBFBF"/>
              <w:bottom w:val="nil"/>
              <w:right w:val="nil"/>
            </w:tcBorders>
            <w:shd w:val="clear" w:color="000000" w:fill="C7CFD8"/>
            <w:vAlign w:val="center"/>
            <w:hideMark/>
          </w:tcPr>
          <w:p w14:paraId="185FB9D4"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2026</w:t>
            </w:r>
          </w:p>
        </w:tc>
        <w:tc>
          <w:tcPr>
            <w:tcW w:w="921" w:type="dxa"/>
            <w:tcBorders>
              <w:top w:val="nil"/>
              <w:left w:val="nil"/>
              <w:bottom w:val="nil"/>
              <w:right w:val="nil"/>
            </w:tcBorders>
            <w:shd w:val="clear" w:color="000000" w:fill="C7CFD8"/>
            <w:vAlign w:val="center"/>
            <w:hideMark/>
          </w:tcPr>
          <w:p w14:paraId="2B68C0F9"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2027</w:t>
            </w:r>
          </w:p>
        </w:tc>
        <w:tc>
          <w:tcPr>
            <w:tcW w:w="922" w:type="dxa"/>
            <w:tcBorders>
              <w:top w:val="nil"/>
              <w:left w:val="nil"/>
              <w:bottom w:val="nil"/>
              <w:right w:val="nil"/>
            </w:tcBorders>
            <w:shd w:val="clear" w:color="000000" w:fill="C7CFD8"/>
            <w:vAlign w:val="center"/>
            <w:hideMark/>
          </w:tcPr>
          <w:p w14:paraId="6CBFEAD1"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Total</w:t>
            </w:r>
          </w:p>
        </w:tc>
      </w:tr>
      <w:tr w:rsidR="00B65EDC" w:rsidRPr="00E675E8" w14:paraId="3EA4DCDA" w14:textId="77777777" w:rsidTr="00A538F6">
        <w:trPr>
          <w:trHeight w:val="255"/>
        </w:trPr>
        <w:tc>
          <w:tcPr>
            <w:tcW w:w="2694" w:type="dxa"/>
            <w:tcBorders>
              <w:top w:val="nil"/>
              <w:left w:val="nil"/>
              <w:bottom w:val="nil"/>
              <w:right w:val="nil"/>
            </w:tcBorders>
            <w:vAlign w:val="center"/>
            <w:hideMark/>
          </w:tcPr>
          <w:p w14:paraId="371E83DB" w14:textId="77777777" w:rsidR="00B65EDC" w:rsidRPr="00E675E8" w:rsidRDefault="00B65EDC">
            <w:pPr>
              <w:jc w:val="left"/>
              <w:rPr>
                <w:rFonts w:ascii="Arial Narrow" w:hAnsi="Arial Narrow" w:cs="Arial"/>
                <w:sz w:val="18"/>
                <w:szCs w:val="18"/>
                <w:lang w:val="es-ES_tradnl"/>
              </w:rPr>
            </w:pPr>
            <w:r w:rsidRPr="00E675E8">
              <w:rPr>
                <w:rFonts w:ascii="Arial Narrow" w:hAnsi="Arial Narrow"/>
                <w:sz w:val="18"/>
                <w:lang w:val="es-ES_tradnl"/>
              </w:rPr>
              <w:t>UPOV PRISMA</w:t>
            </w:r>
          </w:p>
        </w:tc>
        <w:tc>
          <w:tcPr>
            <w:tcW w:w="1417" w:type="dxa"/>
            <w:tcBorders>
              <w:top w:val="nil"/>
              <w:left w:val="nil"/>
              <w:bottom w:val="nil"/>
              <w:right w:val="nil"/>
            </w:tcBorders>
            <w:noWrap/>
            <w:vAlign w:val="center"/>
            <w:hideMark/>
          </w:tcPr>
          <w:p w14:paraId="28B54060" w14:textId="77777777" w:rsidR="00B65EDC" w:rsidRPr="00E675E8" w:rsidRDefault="00B65EDC">
            <w:pPr>
              <w:jc w:val="right"/>
              <w:rPr>
                <w:rFonts w:ascii="Arial Narrow" w:hAnsi="Arial Narrow" w:cs="Arial"/>
                <w:sz w:val="18"/>
                <w:szCs w:val="18"/>
                <w:lang w:val="es-ES_tradnl"/>
              </w:rPr>
            </w:pPr>
            <w:r w:rsidRPr="00E675E8">
              <w:rPr>
                <w:rFonts w:ascii="Arial Narrow" w:hAnsi="Arial Narrow"/>
                <w:sz w:val="18"/>
                <w:lang w:val="es-ES_tradnl"/>
              </w:rPr>
              <w:t>90</w:t>
            </w:r>
          </w:p>
        </w:tc>
        <w:tc>
          <w:tcPr>
            <w:tcW w:w="921" w:type="dxa"/>
            <w:tcBorders>
              <w:top w:val="nil"/>
              <w:left w:val="nil"/>
              <w:bottom w:val="nil"/>
              <w:right w:val="nil"/>
            </w:tcBorders>
            <w:noWrap/>
            <w:vAlign w:val="center"/>
            <w:hideMark/>
          </w:tcPr>
          <w:p w14:paraId="4C737838" w14:textId="77777777" w:rsidR="00B65EDC" w:rsidRPr="00E675E8" w:rsidRDefault="00B65EDC">
            <w:pPr>
              <w:jc w:val="right"/>
              <w:rPr>
                <w:rFonts w:ascii="Arial Narrow" w:hAnsi="Arial Narrow" w:cs="Arial"/>
                <w:sz w:val="18"/>
                <w:szCs w:val="18"/>
                <w:lang w:val="es-ES_tradnl"/>
              </w:rPr>
            </w:pPr>
            <w:r w:rsidRPr="00E675E8">
              <w:rPr>
                <w:rFonts w:ascii="Arial Narrow" w:hAnsi="Arial Narrow"/>
                <w:sz w:val="18"/>
                <w:lang w:val="es-ES_tradnl"/>
              </w:rPr>
              <w:t>1 648</w:t>
            </w:r>
          </w:p>
        </w:tc>
        <w:tc>
          <w:tcPr>
            <w:tcW w:w="921" w:type="dxa"/>
            <w:tcBorders>
              <w:top w:val="nil"/>
              <w:left w:val="nil"/>
              <w:bottom w:val="nil"/>
              <w:right w:val="nil"/>
            </w:tcBorders>
            <w:noWrap/>
            <w:vAlign w:val="center"/>
            <w:hideMark/>
          </w:tcPr>
          <w:p w14:paraId="04D7D1EA" w14:textId="77777777" w:rsidR="00B65EDC" w:rsidRPr="00E675E8" w:rsidRDefault="00B65EDC">
            <w:pPr>
              <w:jc w:val="right"/>
              <w:rPr>
                <w:rFonts w:ascii="Arial Narrow" w:hAnsi="Arial Narrow" w:cs="Arial"/>
                <w:sz w:val="18"/>
                <w:szCs w:val="18"/>
                <w:lang w:val="es-ES_tradnl"/>
              </w:rPr>
            </w:pPr>
            <w:r w:rsidRPr="00E675E8">
              <w:rPr>
                <w:rFonts w:ascii="Arial Narrow" w:hAnsi="Arial Narrow"/>
                <w:sz w:val="18"/>
                <w:lang w:val="es-ES_tradnl"/>
              </w:rPr>
              <w:t>1 730</w:t>
            </w:r>
          </w:p>
        </w:tc>
        <w:tc>
          <w:tcPr>
            <w:tcW w:w="922" w:type="dxa"/>
            <w:tcBorders>
              <w:top w:val="nil"/>
              <w:left w:val="nil"/>
              <w:bottom w:val="nil"/>
              <w:right w:val="nil"/>
            </w:tcBorders>
            <w:noWrap/>
            <w:vAlign w:val="center"/>
            <w:hideMark/>
          </w:tcPr>
          <w:p w14:paraId="669CC21E" w14:textId="77777777" w:rsidR="00B65EDC" w:rsidRPr="00E675E8" w:rsidRDefault="00B65EDC">
            <w:pPr>
              <w:jc w:val="right"/>
              <w:rPr>
                <w:rFonts w:ascii="Arial Narrow" w:hAnsi="Arial Narrow" w:cs="Arial"/>
                <w:sz w:val="18"/>
                <w:szCs w:val="18"/>
                <w:lang w:val="es-ES_tradnl"/>
              </w:rPr>
            </w:pPr>
            <w:r w:rsidRPr="00E675E8">
              <w:rPr>
                <w:rFonts w:ascii="Arial Narrow" w:hAnsi="Arial Narrow"/>
                <w:sz w:val="18"/>
                <w:lang w:val="es-ES_tradnl"/>
              </w:rPr>
              <w:t>3 378</w:t>
            </w:r>
          </w:p>
        </w:tc>
        <w:tc>
          <w:tcPr>
            <w:tcW w:w="921" w:type="dxa"/>
            <w:tcBorders>
              <w:top w:val="nil"/>
              <w:left w:val="single" w:sz="4" w:space="0" w:color="BFBFBF"/>
              <w:bottom w:val="nil"/>
              <w:right w:val="nil"/>
            </w:tcBorders>
            <w:noWrap/>
            <w:vAlign w:val="center"/>
            <w:hideMark/>
          </w:tcPr>
          <w:p w14:paraId="26CFD703" w14:textId="77777777" w:rsidR="00B65EDC" w:rsidRPr="00E675E8" w:rsidRDefault="00B65EDC">
            <w:pPr>
              <w:jc w:val="right"/>
              <w:rPr>
                <w:rFonts w:ascii="Arial Narrow" w:hAnsi="Arial Narrow" w:cs="Arial"/>
                <w:sz w:val="18"/>
                <w:szCs w:val="18"/>
                <w:lang w:val="es-ES_tradnl"/>
              </w:rPr>
            </w:pPr>
            <w:r w:rsidRPr="00E675E8">
              <w:rPr>
                <w:rFonts w:ascii="Arial Narrow" w:hAnsi="Arial Narrow"/>
                <w:sz w:val="18"/>
                <w:lang w:val="es-ES_tradnl"/>
              </w:rPr>
              <w:t>148 320</w:t>
            </w:r>
          </w:p>
        </w:tc>
        <w:tc>
          <w:tcPr>
            <w:tcW w:w="921" w:type="dxa"/>
            <w:tcBorders>
              <w:top w:val="nil"/>
              <w:left w:val="nil"/>
              <w:bottom w:val="nil"/>
              <w:right w:val="nil"/>
            </w:tcBorders>
            <w:noWrap/>
            <w:vAlign w:val="center"/>
            <w:hideMark/>
          </w:tcPr>
          <w:p w14:paraId="0E7846F7" w14:textId="77777777" w:rsidR="00B65EDC" w:rsidRPr="00E675E8" w:rsidRDefault="00B65EDC">
            <w:pPr>
              <w:jc w:val="right"/>
              <w:rPr>
                <w:rFonts w:ascii="Arial Narrow" w:hAnsi="Arial Narrow" w:cs="Arial"/>
                <w:sz w:val="18"/>
                <w:szCs w:val="18"/>
                <w:lang w:val="es-ES_tradnl"/>
              </w:rPr>
            </w:pPr>
            <w:r w:rsidRPr="00E675E8">
              <w:rPr>
                <w:rFonts w:ascii="Arial Narrow" w:hAnsi="Arial Narrow"/>
                <w:sz w:val="18"/>
                <w:lang w:val="es-ES_tradnl"/>
              </w:rPr>
              <w:t>155 700</w:t>
            </w:r>
          </w:p>
        </w:tc>
        <w:tc>
          <w:tcPr>
            <w:tcW w:w="922" w:type="dxa"/>
            <w:tcBorders>
              <w:top w:val="nil"/>
              <w:left w:val="nil"/>
              <w:bottom w:val="nil"/>
              <w:right w:val="nil"/>
            </w:tcBorders>
            <w:noWrap/>
            <w:vAlign w:val="center"/>
            <w:hideMark/>
          </w:tcPr>
          <w:p w14:paraId="37472009" w14:textId="77777777" w:rsidR="00B65EDC" w:rsidRPr="00E675E8" w:rsidRDefault="00B65EDC">
            <w:pPr>
              <w:jc w:val="right"/>
              <w:rPr>
                <w:rFonts w:ascii="Arial Narrow" w:hAnsi="Arial Narrow" w:cs="Arial"/>
                <w:sz w:val="18"/>
                <w:szCs w:val="18"/>
                <w:lang w:val="es-ES_tradnl"/>
              </w:rPr>
            </w:pPr>
            <w:r w:rsidRPr="00E675E8">
              <w:rPr>
                <w:rFonts w:ascii="Arial Narrow" w:hAnsi="Arial Narrow"/>
                <w:sz w:val="18"/>
                <w:lang w:val="es-ES_tradnl"/>
              </w:rPr>
              <w:t>304 020</w:t>
            </w:r>
          </w:p>
        </w:tc>
      </w:tr>
      <w:tr w:rsidR="00B65EDC" w:rsidRPr="00E675E8" w14:paraId="7AC3DF26" w14:textId="77777777" w:rsidTr="00A538F6">
        <w:trPr>
          <w:trHeight w:val="255"/>
        </w:trPr>
        <w:tc>
          <w:tcPr>
            <w:tcW w:w="2694" w:type="dxa"/>
            <w:tcBorders>
              <w:top w:val="nil"/>
              <w:left w:val="nil"/>
              <w:bottom w:val="nil"/>
              <w:right w:val="nil"/>
            </w:tcBorders>
            <w:vAlign w:val="center"/>
            <w:hideMark/>
          </w:tcPr>
          <w:p w14:paraId="55B95A08" w14:textId="77777777" w:rsidR="00B65EDC" w:rsidRPr="00E675E8" w:rsidRDefault="00B65EDC">
            <w:pPr>
              <w:jc w:val="left"/>
              <w:rPr>
                <w:rFonts w:ascii="Arial Narrow" w:hAnsi="Arial Narrow" w:cs="Arial"/>
                <w:sz w:val="18"/>
                <w:szCs w:val="18"/>
                <w:lang w:val="es-ES_tradnl"/>
              </w:rPr>
            </w:pPr>
            <w:r w:rsidRPr="00E675E8">
              <w:rPr>
                <w:rFonts w:ascii="Arial Narrow" w:hAnsi="Arial Narrow"/>
                <w:sz w:val="18"/>
                <w:lang w:val="es-ES_tradnl"/>
              </w:rPr>
              <w:t>PLUTO</w:t>
            </w:r>
          </w:p>
        </w:tc>
        <w:tc>
          <w:tcPr>
            <w:tcW w:w="1417" w:type="dxa"/>
            <w:tcBorders>
              <w:top w:val="nil"/>
              <w:left w:val="nil"/>
              <w:bottom w:val="nil"/>
              <w:right w:val="nil"/>
            </w:tcBorders>
            <w:noWrap/>
            <w:vAlign w:val="center"/>
            <w:hideMark/>
          </w:tcPr>
          <w:p w14:paraId="42BFBFA5" w14:textId="77777777" w:rsidR="00B65EDC" w:rsidRPr="00E675E8" w:rsidRDefault="00B65EDC">
            <w:pPr>
              <w:jc w:val="right"/>
              <w:rPr>
                <w:rFonts w:ascii="Arial Narrow" w:hAnsi="Arial Narrow" w:cs="Arial"/>
                <w:sz w:val="18"/>
                <w:szCs w:val="18"/>
                <w:lang w:val="es-ES_tradnl"/>
              </w:rPr>
            </w:pPr>
            <w:r w:rsidRPr="00E675E8">
              <w:rPr>
                <w:rFonts w:ascii="Arial Narrow" w:hAnsi="Arial Narrow"/>
                <w:sz w:val="18"/>
                <w:lang w:val="es-ES_tradnl"/>
              </w:rPr>
              <w:t>750</w:t>
            </w:r>
          </w:p>
        </w:tc>
        <w:tc>
          <w:tcPr>
            <w:tcW w:w="921" w:type="dxa"/>
            <w:tcBorders>
              <w:top w:val="nil"/>
              <w:left w:val="nil"/>
              <w:bottom w:val="nil"/>
              <w:right w:val="nil"/>
            </w:tcBorders>
            <w:noWrap/>
            <w:vAlign w:val="center"/>
            <w:hideMark/>
          </w:tcPr>
          <w:p w14:paraId="5127F582" w14:textId="77777777" w:rsidR="00B65EDC" w:rsidRPr="00E675E8" w:rsidRDefault="00B65EDC">
            <w:pPr>
              <w:jc w:val="right"/>
              <w:rPr>
                <w:rFonts w:ascii="Arial Narrow" w:hAnsi="Arial Narrow" w:cs="Arial"/>
                <w:sz w:val="18"/>
                <w:szCs w:val="18"/>
                <w:lang w:val="es-ES_tradnl"/>
              </w:rPr>
            </w:pPr>
            <w:r w:rsidRPr="00E675E8">
              <w:rPr>
                <w:rFonts w:ascii="Arial Narrow" w:hAnsi="Arial Narrow"/>
                <w:sz w:val="18"/>
                <w:lang w:val="es-ES_tradnl"/>
              </w:rPr>
              <w:t>15</w:t>
            </w:r>
          </w:p>
        </w:tc>
        <w:tc>
          <w:tcPr>
            <w:tcW w:w="921" w:type="dxa"/>
            <w:tcBorders>
              <w:top w:val="nil"/>
              <w:left w:val="nil"/>
              <w:bottom w:val="nil"/>
              <w:right w:val="nil"/>
            </w:tcBorders>
            <w:noWrap/>
            <w:vAlign w:val="center"/>
            <w:hideMark/>
          </w:tcPr>
          <w:p w14:paraId="05024A88" w14:textId="77777777" w:rsidR="00B65EDC" w:rsidRPr="00E675E8" w:rsidRDefault="00B65EDC">
            <w:pPr>
              <w:jc w:val="right"/>
              <w:rPr>
                <w:rFonts w:ascii="Arial Narrow" w:hAnsi="Arial Narrow" w:cs="Arial"/>
                <w:sz w:val="18"/>
                <w:szCs w:val="18"/>
                <w:lang w:val="es-ES_tradnl"/>
              </w:rPr>
            </w:pPr>
            <w:r w:rsidRPr="00E675E8">
              <w:rPr>
                <w:rFonts w:ascii="Arial Narrow" w:hAnsi="Arial Narrow"/>
                <w:sz w:val="18"/>
                <w:lang w:val="es-ES_tradnl"/>
              </w:rPr>
              <w:t>15</w:t>
            </w:r>
          </w:p>
        </w:tc>
        <w:tc>
          <w:tcPr>
            <w:tcW w:w="922" w:type="dxa"/>
            <w:tcBorders>
              <w:top w:val="nil"/>
              <w:left w:val="nil"/>
              <w:bottom w:val="nil"/>
              <w:right w:val="nil"/>
            </w:tcBorders>
            <w:noWrap/>
            <w:vAlign w:val="center"/>
            <w:hideMark/>
          </w:tcPr>
          <w:p w14:paraId="43F1EFC4" w14:textId="77777777" w:rsidR="00B65EDC" w:rsidRPr="00E675E8" w:rsidRDefault="00B65EDC">
            <w:pPr>
              <w:jc w:val="right"/>
              <w:rPr>
                <w:rFonts w:ascii="Arial Narrow" w:hAnsi="Arial Narrow" w:cs="Arial"/>
                <w:sz w:val="18"/>
                <w:szCs w:val="18"/>
                <w:lang w:val="es-ES_tradnl"/>
              </w:rPr>
            </w:pPr>
            <w:r w:rsidRPr="00E675E8">
              <w:rPr>
                <w:rFonts w:ascii="Arial Narrow" w:hAnsi="Arial Narrow"/>
                <w:sz w:val="18"/>
                <w:lang w:val="es-ES_tradnl"/>
              </w:rPr>
              <w:t>30</w:t>
            </w:r>
          </w:p>
        </w:tc>
        <w:tc>
          <w:tcPr>
            <w:tcW w:w="921" w:type="dxa"/>
            <w:tcBorders>
              <w:top w:val="nil"/>
              <w:left w:val="single" w:sz="4" w:space="0" w:color="BFBFBF"/>
              <w:bottom w:val="single" w:sz="4" w:space="0" w:color="BFBFBF"/>
              <w:right w:val="nil"/>
            </w:tcBorders>
            <w:noWrap/>
            <w:vAlign w:val="center"/>
            <w:hideMark/>
          </w:tcPr>
          <w:p w14:paraId="3387FA0F" w14:textId="77777777" w:rsidR="00B65EDC" w:rsidRPr="00E675E8" w:rsidRDefault="00B65EDC">
            <w:pPr>
              <w:jc w:val="right"/>
              <w:rPr>
                <w:rFonts w:ascii="Arial Narrow" w:hAnsi="Arial Narrow" w:cs="Arial"/>
                <w:sz w:val="18"/>
                <w:szCs w:val="18"/>
                <w:lang w:val="es-ES_tradnl"/>
              </w:rPr>
            </w:pPr>
            <w:r w:rsidRPr="00E675E8">
              <w:rPr>
                <w:rFonts w:ascii="Arial Narrow" w:hAnsi="Arial Narrow"/>
                <w:sz w:val="18"/>
                <w:lang w:val="es-ES_tradnl"/>
              </w:rPr>
              <w:t>11 250</w:t>
            </w:r>
          </w:p>
        </w:tc>
        <w:tc>
          <w:tcPr>
            <w:tcW w:w="921" w:type="dxa"/>
            <w:tcBorders>
              <w:top w:val="nil"/>
              <w:left w:val="nil"/>
              <w:bottom w:val="nil"/>
              <w:right w:val="nil"/>
            </w:tcBorders>
            <w:noWrap/>
            <w:vAlign w:val="center"/>
            <w:hideMark/>
          </w:tcPr>
          <w:p w14:paraId="0290F2B6" w14:textId="77777777" w:rsidR="00B65EDC" w:rsidRPr="00E675E8" w:rsidRDefault="00B65EDC">
            <w:pPr>
              <w:jc w:val="right"/>
              <w:rPr>
                <w:rFonts w:ascii="Arial Narrow" w:hAnsi="Arial Narrow" w:cs="Arial"/>
                <w:sz w:val="18"/>
                <w:szCs w:val="18"/>
                <w:lang w:val="es-ES_tradnl"/>
              </w:rPr>
            </w:pPr>
            <w:r w:rsidRPr="00E675E8">
              <w:rPr>
                <w:rFonts w:ascii="Arial Narrow" w:hAnsi="Arial Narrow"/>
                <w:sz w:val="18"/>
                <w:lang w:val="es-ES_tradnl"/>
              </w:rPr>
              <w:t>11 250</w:t>
            </w:r>
          </w:p>
        </w:tc>
        <w:tc>
          <w:tcPr>
            <w:tcW w:w="922" w:type="dxa"/>
            <w:tcBorders>
              <w:top w:val="nil"/>
              <w:left w:val="nil"/>
              <w:bottom w:val="nil"/>
              <w:right w:val="nil"/>
            </w:tcBorders>
            <w:noWrap/>
            <w:vAlign w:val="center"/>
            <w:hideMark/>
          </w:tcPr>
          <w:p w14:paraId="0DBBDAC1" w14:textId="77777777" w:rsidR="00B65EDC" w:rsidRPr="00E675E8" w:rsidRDefault="00B65EDC">
            <w:pPr>
              <w:jc w:val="right"/>
              <w:rPr>
                <w:rFonts w:ascii="Arial Narrow" w:hAnsi="Arial Narrow" w:cs="Arial"/>
                <w:sz w:val="18"/>
                <w:szCs w:val="18"/>
                <w:lang w:val="es-ES_tradnl"/>
              </w:rPr>
            </w:pPr>
            <w:r w:rsidRPr="00E675E8">
              <w:rPr>
                <w:rFonts w:ascii="Arial Narrow" w:hAnsi="Arial Narrow"/>
                <w:sz w:val="18"/>
                <w:lang w:val="es-ES_tradnl"/>
              </w:rPr>
              <w:t>22 500</w:t>
            </w:r>
          </w:p>
        </w:tc>
      </w:tr>
      <w:tr w:rsidR="00B65EDC" w:rsidRPr="00E675E8" w14:paraId="5DD8D33C" w14:textId="77777777" w:rsidTr="00A538F6">
        <w:trPr>
          <w:trHeight w:val="270"/>
        </w:trPr>
        <w:tc>
          <w:tcPr>
            <w:tcW w:w="2694" w:type="dxa"/>
            <w:tcBorders>
              <w:top w:val="single" w:sz="4" w:space="0" w:color="BFBFBF"/>
              <w:left w:val="nil"/>
              <w:bottom w:val="single" w:sz="8" w:space="0" w:color="BFBFBF"/>
              <w:right w:val="nil"/>
            </w:tcBorders>
            <w:vAlign w:val="center"/>
            <w:hideMark/>
          </w:tcPr>
          <w:p w14:paraId="4754BF1F" w14:textId="77777777" w:rsidR="00B65EDC" w:rsidRPr="00E675E8" w:rsidRDefault="00B65EDC">
            <w:pPr>
              <w:jc w:val="left"/>
              <w:rPr>
                <w:rFonts w:ascii="Arial Narrow" w:hAnsi="Arial Narrow" w:cs="Arial"/>
                <w:b/>
                <w:bCs/>
                <w:sz w:val="18"/>
                <w:szCs w:val="18"/>
                <w:lang w:val="es-ES_tradnl"/>
              </w:rPr>
            </w:pPr>
            <w:r w:rsidRPr="00E675E8">
              <w:rPr>
                <w:rFonts w:ascii="Arial Narrow" w:hAnsi="Arial Narrow"/>
                <w:b/>
                <w:sz w:val="18"/>
                <w:lang w:val="es-ES_tradnl"/>
              </w:rPr>
              <w:t>Total UPOV PRISMA y PLUTO</w:t>
            </w:r>
          </w:p>
        </w:tc>
        <w:tc>
          <w:tcPr>
            <w:tcW w:w="1417" w:type="dxa"/>
            <w:tcBorders>
              <w:top w:val="single" w:sz="4" w:space="0" w:color="BFBFBF"/>
              <w:left w:val="nil"/>
              <w:bottom w:val="single" w:sz="8" w:space="0" w:color="BFBFBF"/>
              <w:right w:val="nil"/>
            </w:tcBorders>
            <w:vAlign w:val="center"/>
            <w:hideMark/>
          </w:tcPr>
          <w:p w14:paraId="1934EE18" w14:textId="77777777" w:rsidR="00B65EDC" w:rsidRPr="00E675E8" w:rsidRDefault="00B65EDC">
            <w:pPr>
              <w:jc w:val="right"/>
              <w:rPr>
                <w:rFonts w:ascii="Arial Narrow" w:hAnsi="Arial Narrow" w:cs="Arial"/>
                <w:b/>
                <w:bCs/>
                <w:sz w:val="18"/>
                <w:szCs w:val="18"/>
                <w:lang w:val="es-ES_tradnl" w:eastAsia="en-GB"/>
              </w:rPr>
            </w:pPr>
          </w:p>
        </w:tc>
        <w:tc>
          <w:tcPr>
            <w:tcW w:w="921" w:type="dxa"/>
            <w:tcBorders>
              <w:top w:val="single" w:sz="4" w:space="0" w:color="BFBFBF"/>
              <w:left w:val="nil"/>
              <w:bottom w:val="single" w:sz="8" w:space="0" w:color="BFBFBF"/>
              <w:right w:val="nil"/>
            </w:tcBorders>
            <w:noWrap/>
            <w:vAlign w:val="center"/>
            <w:hideMark/>
          </w:tcPr>
          <w:p w14:paraId="1E9EBC6D" w14:textId="77777777" w:rsidR="00B65EDC" w:rsidRPr="00E675E8" w:rsidRDefault="00B65EDC">
            <w:pPr>
              <w:jc w:val="right"/>
              <w:rPr>
                <w:rFonts w:ascii="Arial Narrow" w:hAnsi="Arial Narrow" w:cs="Arial"/>
                <w:b/>
                <w:bCs/>
                <w:sz w:val="18"/>
                <w:szCs w:val="18"/>
                <w:lang w:val="es-ES_tradnl" w:eastAsia="en-GB"/>
              </w:rPr>
            </w:pPr>
          </w:p>
        </w:tc>
        <w:tc>
          <w:tcPr>
            <w:tcW w:w="921" w:type="dxa"/>
            <w:tcBorders>
              <w:top w:val="single" w:sz="4" w:space="0" w:color="BFBFBF"/>
              <w:left w:val="nil"/>
              <w:bottom w:val="single" w:sz="8" w:space="0" w:color="BFBFBF"/>
              <w:right w:val="nil"/>
            </w:tcBorders>
            <w:noWrap/>
            <w:vAlign w:val="center"/>
            <w:hideMark/>
          </w:tcPr>
          <w:p w14:paraId="4AAF73CB" w14:textId="77777777" w:rsidR="00B65EDC" w:rsidRPr="00E675E8" w:rsidRDefault="00B65EDC">
            <w:pPr>
              <w:jc w:val="right"/>
              <w:rPr>
                <w:rFonts w:ascii="Arial Narrow" w:hAnsi="Arial Narrow" w:cs="Arial"/>
                <w:b/>
                <w:bCs/>
                <w:sz w:val="18"/>
                <w:szCs w:val="18"/>
                <w:lang w:val="es-ES_tradnl" w:eastAsia="en-GB"/>
              </w:rPr>
            </w:pPr>
          </w:p>
        </w:tc>
        <w:tc>
          <w:tcPr>
            <w:tcW w:w="922" w:type="dxa"/>
            <w:tcBorders>
              <w:top w:val="single" w:sz="4" w:space="0" w:color="BFBFBF"/>
              <w:left w:val="nil"/>
              <w:bottom w:val="single" w:sz="8" w:space="0" w:color="BFBFBF"/>
              <w:right w:val="nil"/>
            </w:tcBorders>
            <w:noWrap/>
            <w:vAlign w:val="center"/>
            <w:hideMark/>
          </w:tcPr>
          <w:p w14:paraId="47FA168D" w14:textId="77777777" w:rsidR="00B65EDC" w:rsidRPr="00E675E8" w:rsidRDefault="00B65EDC">
            <w:pPr>
              <w:jc w:val="right"/>
              <w:rPr>
                <w:rFonts w:ascii="Arial Narrow" w:hAnsi="Arial Narrow" w:cs="Arial"/>
                <w:b/>
                <w:bCs/>
                <w:sz w:val="18"/>
                <w:szCs w:val="18"/>
                <w:lang w:val="es-ES_tradnl" w:eastAsia="en-GB"/>
              </w:rPr>
            </w:pPr>
          </w:p>
        </w:tc>
        <w:tc>
          <w:tcPr>
            <w:tcW w:w="921" w:type="dxa"/>
            <w:tcBorders>
              <w:top w:val="nil"/>
              <w:left w:val="nil"/>
              <w:bottom w:val="single" w:sz="8" w:space="0" w:color="BFBFBF"/>
              <w:right w:val="nil"/>
            </w:tcBorders>
            <w:noWrap/>
            <w:vAlign w:val="center"/>
            <w:hideMark/>
          </w:tcPr>
          <w:p w14:paraId="603FF6F6" w14:textId="77777777" w:rsidR="00B65EDC" w:rsidRPr="00E675E8" w:rsidRDefault="00B65EDC">
            <w:pPr>
              <w:jc w:val="right"/>
              <w:rPr>
                <w:rFonts w:ascii="Arial Narrow" w:hAnsi="Arial Narrow" w:cs="Arial"/>
                <w:b/>
                <w:bCs/>
                <w:sz w:val="18"/>
                <w:szCs w:val="18"/>
                <w:lang w:val="es-ES_tradnl"/>
              </w:rPr>
            </w:pPr>
            <w:r w:rsidRPr="00E675E8">
              <w:rPr>
                <w:rFonts w:ascii="Arial Narrow" w:hAnsi="Arial Narrow"/>
                <w:b/>
                <w:sz w:val="18"/>
                <w:lang w:val="es-ES_tradnl"/>
              </w:rPr>
              <w:t>159 570</w:t>
            </w:r>
          </w:p>
        </w:tc>
        <w:tc>
          <w:tcPr>
            <w:tcW w:w="921" w:type="dxa"/>
            <w:tcBorders>
              <w:top w:val="single" w:sz="4" w:space="0" w:color="BFBFBF"/>
              <w:left w:val="nil"/>
              <w:bottom w:val="single" w:sz="8" w:space="0" w:color="BFBFBF"/>
              <w:right w:val="nil"/>
            </w:tcBorders>
            <w:noWrap/>
            <w:vAlign w:val="center"/>
            <w:hideMark/>
          </w:tcPr>
          <w:p w14:paraId="10F2301C" w14:textId="77777777" w:rsidR="00B65EDC" w:rsidRPr="00E675E8" w:rsidRDefault="00B65EDC">
            <w:pPr>
              <w:jc w:val="right"/>
              <w:rPr>
                <w:rFonts w:ascii="Arial Narrow" w:hAnsi="Arial Narrow" w:cs="Arial"/>
                <w:b/>
                <w:bCs/>
                <w:sz w:val="18"/>
                <w:szCs w:val="18"/>
                <w:lang w:val="es-ES_tradnl"/>
              </w:rPr>
            </w:pPr>
            <w:r w:rsidRPr="00E675E8">
              <w:rPr>
                <w:rFonts w:ascii="Arial Narrow" w:hAnsi="Arial Narrow"/>
                <w:b/>
                <w:sz w:val="18"/>
                <w:lang w:val="es-ES_tradnl"/>
              </w:rPr>
              <w:t>166 950</w:t>
            </w:r>
          </w:p>
        </w:tc>
        <w:tc>
          <w:tcPr>
            <w:tcW w:w="922" w:type="dxa"/>
            <w:tcBorders>
              <w:top w:val="single" w:sz="4" w:space="0" w:color="BFBFBF"/>
              <w:left w:val="nil"/>
              <w:bottom w:val="single" w:sz="8" w:space="0" w:color="BFBFBF"/>
              <w:right w:val="nil"/>
            </w:tcBorders>
            <w:noWrap/>
            <w:vAlign w:val="center"/>
            <w:hideMark/>
          </w:tcPr>
          <w:p w14:paraId="362C5580" w14:textId="77777777" w:rsidR="00B65EDC" w:rsidRPr="00E675E8" w:rsidRDefault="00B65EDC">
            <w:pPr>
              <w:jc w:val="right"/>
              <w:rPr>
                <w:rFonts w:ascii="Arial Narrow" w:hAnsi="Arial Narrow" w:cs="Arial"/>
                <w:b/>
                <w:bCs/>
                <w:sz w:val="18"/>
                <w:szCs w:val="18"/>
                <w:lang w:val="es-ES_tradnl"/>
              </w:rPr>
            </w:pPr>
            <w:bookmarkStart w:id="437" w:name="_Hlk190003051"/>
            <w:r w:rsidRPr="00E675E8">
              <w:rPr>
                <w:rFonts w:ascii="Arial Narrow" w:hAnsi="Arial Narrow"/>
                <w:b/>
                <w:sz w:val="18"/>
                <w:lang w:val="es-ES_tradnl"/>
              </w:rPr>
              <w:t>326 520</w:t>
            </w:r>
            <w:bookmarkEnd w:id="437"/>
          </w:p>
        </w:tc>
      </w:tr>
    </w:tbl>
    <w:p w14:paraId="622C866D" w14:textId="77777777" w:rsidR="00B65EDC" w:rsidRPr="00E675E8" w:rsidRDefault="00B65EDC" w:rsidP="00B65EDC">
      <w:pPr>
        <w:rPr>
          <w:lang w:val="es-ES_tradnl"/>
        </w:rPr>
      </w:pPr>
    </w:p>
    <w:p w14:paraId="612DF76F" w14:textId="77777777" w:rsidR="00B65EDC" w:rsidRPr="00E675E8" w:rsidRDefault="00B65EDC" w:rsidP="00B65EDC">
      <w:pPr>
        <w:rPr>
          <w:lang w:val="es-ES_tradnl"/>
        </w:rPr>
      </w:pPr>
    </w:p>
    <w:p w14:paraId="3B7A567C" w14:textId="795FC315"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Las cifras correspondientes a UPOV PRISMA se basan en las previsiones que figuran en el documento</w:t>
      </w:r>
      <w:r w:rsidR="000411C9">
        <w:rPr>
          <w:lang w:val="es-ES_tradnl"/>
        </w:rPr>
        <w:t xml:space="preserve"> </w:t>
      </w:r>
      <w:r w:rsidRPr="00E675E8">
        <w:rPr>
          <w:lang w:val="es-ES_tradnl"/>
        </w:rPr>
        <w:t>CC/102/4 “Desarrollo y financiación de UPOV e-PVP”, así como en las últimas novedades y las estimaciones sobre el uso de UPOV PRISMA en el futuro.</w:t>
      </w:r>
    </w:p>
    <w:p w14:paraId="5F54A1DF" w14:textId="77777777" w:rsidR="00B65EDC" w:rsidRPr="00E675E8" w:rsidRDefault="00B65EDC" w:rsidP="00B65EDC">
      <w:pPr>
        <w:rPr>
          <w:lang w:val="es-ES_tradnl"/>
        </w:rPr>
      </w:pPr>
    </w:p>
    <w:p w14:paraId="4CD2C526" w14:textId="1B743995"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Las previsiones del presupuesto 2024-2025 anticipaban un aumento del 20 % de las solicitudes de pago que utilizan UPOV PRISMA.</w:t>
      </w:r>
      <w:r w:rsidR="002817AB" w:rsidRPr="00E675E8">
        <w:rPr>
          <w:lang w:val="es-ES_tradnl"/>
        </w:rPr>
        <w:t xml:space="preserve"> </w:t>
      </w:r>
      <w:r w:rsidRPr="00E675E8">
        <w:rPr>
          <w:lang w:val="es-ES_tradnl"/>
        </w:rPr>
        <w:t>El análisis del documento CC/102/4 refleja que en 2024 se produjo un aumento medio del 5 % de las solicitudes de pago en lugar del 20 %.</w:t>
      </w:r>
      <w:r w:rsidR="002817AB" w:rsidRPr="00E675E8">
        <w:rPr>
          <w:lang w:val="es-ES_tradnl"/>
        </w:rPr>
        <w:t xml:space="preserve"> </w:t>
      </w:r>
      <w:r w:rsidRPr="00E675E8">
        <w:rPr>
          <w:lang w:val="es-ES_tradnl"/>
        </w:rPr>
        <w:t xml:space="preserve">La proyección para 2026-2027 es, por lo tanto, un aumento más realista del 5 % de las solicitudes de pago, basado en la ampliación de los géneros </w:t>
      </w:r>
      <w:r w:rsidRPr="00E675E8">
        <w:rPr>
          <w:lang w:val="es-ES_tradnl"/>
        </w:rPr>
        <w:lastRenderedPageBreak/>
        <w:t>y especies en los miembros de la UPOV participantes y los datos que muestran que los solicitantes están utilizando UPOV PRISMA en más miembros de la UPOV.</w:t>
      </w:r>
      <w:r w:rsidR="002817AB" w:rsidRPr="00E675E8">
        <w:rPr>
          <w:lang w:val="es-ES_tradnl"/>
        </w:rPr>
        <w:t xml:space="preserve"> </w:t>
      </w:r>
    </w:p>
    <w:p w14:paraId="4CE2142D" w14:textId="77777777" w:rsidR="00B65EDC" w:rsidRPr="00E675E8" w:rsidRDefault="00B65EDC" w:rsidP="00B65EDC">
      <w:pPr>
        <w:rPr>
          <w:lang w:val="es-ES_tradnl"/>
        </w:rPr>
      </w:pPr>
    </w:p>
    <w:p w14:paraId="182CE63B" w14:textId="117EC6F8"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 xml:space="preserve">A partir de 2022, 12 usuarios </w:t>
      </w:r>
      <w:proofErr w:type="spellStart"/>
      <w:r w:rsidRPr="00E675E8">
        <w:rPr>
          <w:lang w:val="es-ES_tradnl"/>
        </w:rPr>
        <w:t>prémium</w:t>
      </w:r>
      <w:proofErr w:type="spellEnd"/>
      <w:r w:rsidRPr="00E675E8">
        <w:rPr>
          <w:lang w:val="es-ES_tradnl"/>
        </w:rPr>
        <w:t xml:space="preserve"> de pago han renovado automáticamente sus suscripciones anuales a PLUTO.</w:t>
      </w:r>
      <w:r w:rsidR="002817AB" w:rsidRPr="00E675E8">
        <w:rPr>
          <w:lang w:val="es-ES_tradnl"/>
        </w:rPr>
        <w:t xml:space="preserve"> </w:t>
      </w:r>
      <w:r w:rsidRPr="00E675E8">
        <w:rPr>
          <w:lang w:val="es-ES_tradnl"/>
        </w:rPr>
        <w:t xml:space="preserve">Sobre la base de esta tendencia, se prevé que, para 2026-2027, habrá 15 suscripciones a PLUTO generadoras de ingresos cada año. </w:t>
      </w:r>
    </w:p>
    <w:p w14:paraId="0D891DC8" w14:textId="77777777" w:rsidR="00B65EDC" w:rsidRPr="00E675E8" w:rsidRDefault="00B65EDC" w:rsidP="00B65EDC">
      <w:pPr>
        <w:tabs>
          <w:tab w:val="left" w:pos="760"/>
        </w:tabs>
        <w:rPr>
          <w:lang w:val="es-ES_tradnl"/>
        </w:rPr>
      </w:pPr>
    </w:p>
    <w:p w14:paraId="2727EDAE" w14:textId="77777777" w:rsidR="003F289C" w:rsidRPr="00E675E8" w:rsidRDefault="003F289C" w:rsidP="00B65EDC">
      <w:pPr>
        <w:tabs>
          <w:tab w:val="left" w:pos="760"/>
        </w:tabs>
        <w:rPr>
          <w:lang w:val="es-ES_tradnl"/>
        </w:rPr>
      </w:pPr>
    </w:p>
    <w:p w14:paraId="60484BE9" w14:textId="77777777" w:rsidR="00B65EDC" w:rsidRPr="00E675E8" w:rsidRDefault="00B65EDC" w:rsidP="000363C4">
      <w:pPr>
        <w:pStyle w:val="Heading3"/>
        <w:rPr>
          <w:lang w:val="es-ES_tradnl"/>
        </w:rPr>
      </w:pPr>
      <w:bookmarkStart w:id="438" w:name="_Toc209777762"/>
      <w:r w:rsidRPr="00E675E8">
        <w:rPr>
          <w:lang w:val="es-ES_tradnl"/>
        </w:rPr>
        <w:t>Plan general de dotación de recursos</w:t>
      </w:r>
      <w:bookmarkEnd w:id="438"/>
    </w:p>
    <w:p w14:paraId="509503B5" w14:textId="77777777" w:rsidR="00B65EDC" w:rsidRPr="00E675E8" w:rsidRDefault="00B65EDC" w:rsidP="003F289C">
      <w:pPr>
        <w:pStyle w:val="annexiparanumbered"/>
        <w:numPr>
          <w:ilvl w:val="0"/>
          <w:numId w:val="0"/>
        </w:numPr>
        <w:rPr>
          <w:sz w:val="18"/>
          <w:szCs w:val="16"/>
          <w:lang w:val="es-ES_tradnl"/>
        </w:rPr>
      </w:pPr>
    </w:p>
    <w:p w14:paraId="7FBC1D54" w14:textId="735ABF79" w:rsidR="00B65EDC" w:rsidRPr="00E675E8" w:rsidRDefault="00B65EDC" w:rsidP="003F289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Para el programa de actividades que realizará la UPOV en el bienio 2026-2027, el total de los recursos asciende a 8 460 091 francos suizos (véase el cuadro 3).</w:t>
      </w:r>
      <w:r w:rsidR="002817AB" w:rsidRPr="00E675E8">
        <w:rPr>
          <w:lang w:val="es-ES_tradnl"/>
        </w:rPr>
        <w:t xml:space="preserve"> </w:t>
      </w:r>
      <w:r w:rsidRPr="00E675E8">
        <w:rPr>
          <w:lang w:val="es-ES_tradnl"/>
        </w:rPr>
        <w:t>Este importe incluye 7 615 864 francos suizos previstos en el presupuesto ordinario (véase el cuadro 1), y una estimación de 844 227 francos suizos financiados mediante fondos fiduciarios.</w:t>
      </w:r>
    </w:p>
    <w:p w14:paraId="6EBE12E7" w14:textId="77777777" w:rsidR="00B65EDC" w:rsidRPr="00E675E8" w:rsidRDefault="00B65EDC" w:rsidP="003F289C">
      <w:pPr>
        <w:tabs>
          <w:tab w:val="left" w:pos="567"/>
        </w:tabs>
        <w:rPr>
          <w:lang w:val="es-ES_tradnl"/>
        </w:rPr>
      </w:pPr>
    </w:p>
    <w:p w14:paraId="0CE81DA2" w14:textId="2AEE9333" w:rsidR="00B65EDC" w:rsidRPr="00E675E8" w:rsidRDefault="00B65EDC" w:rsidP="003F289C">
      <w:pPr>
        <w:tabs>
          <w:tab w:val="left" w:pos="567"/>
        </w:tabs>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En el bienio 2026-2027 se prevé que los ingresos y los gastos del presupuesto ordinario estén equilibrados.</w:t>
      </w:r>
    </w:p>
    <w:p w14:paraId="3FC5911D" w14:textId="77777777" w:rsidR="00B65EDC" w:rsidRPr="00E675E8" w:rsidRDefault="00B65EDC" w:rsidP="003F289C">
      <w:pPr>
        <w:tabs>
          <w:tab w:val="left" w:pos="567"/>
        </w:tabs>
        <w:rPr>
          <w:lang w:val="es-ES_tradnl"/>
        </w:rPr>
      </w:pPr>
    </w:p>
    <w:p w14:paraId="195CE765" w14:textId="259D30A1" w:rsidR="00B65EDC" w:rsidRPr="00E675E8" w:rsidRDefault="00B65EDC" w:rsidP="003F289C">
      <w:pPr>
        <w:tabs>
          <w:tab w:val="left" w:pos="567"/>
        </w:tabs>
        <w:rPr>
          <w:spacing w:val="-2"/>
          <w:szCs w:val="24"/>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Los fondos fiduciarios son fondos financieros que por lo general algún miembro de la Unión ofrece voluntariamente a la UPOV para un determinado programa de actividades acordado mutuamente entre la Oficina de la Unión y el miembro en cuestión.</w:t>
      </w:r>
      <w:r w:rsidR="002817AB" w:rsidRPr="00E675E8">
        <w:rPr>
          <w:lang w:val="es-ES_tradnl"/>
        </w:rPr>
        <w:t xml:space="preserve"> </w:t>
      </w:r>
      <w:r w:rsidRPr="00E675E8">
        <w:rPr>
          <w:lang w:val="es-ES_tradnl"/>
        </w:rPr>
        <w:t>Sin perjuicio de las decisiones de competencia exclusiva de los donantes de fondos, se espera que el importe total de esos fondos fiduciarios para el bienio 2026-2027 alcance los 844 227 francos suizos.</w:t>
      </w:r>
      <w:r w:rsidR="002817AB" w:rsidRPr="00E675E8">
        <w:rPr>
          <w:lang w:val="es-ES_tradnl"/>
        </w:rPr>
        <w:t xml:space="preserve"> </w:t>
      </w:r>
      <w:r w:rsidRPr="00E675E8">
        <w:rPr>
          <w:lang w:val="es-ES_tradnl"/>
        </w:rPr>
        <w:t>Cabe observar que el apoyo financiero (por ejemplo, los fondos fiduciarios) y el apoyo no financiero (en especie), en particular para las actividades de asistencia técnica y formación, no se incluyen en el programa y presupuesto de la UPOV.</w:t>
      </w:r>
    </w:p>
    <w:p w14:paraId="1C25C9B6" w14:textId="77777777" w:rsidR="00B65EDC" w:rsidRPr="00E675E8" w:rsidRDefault="00B65EDC" w:rsidP="00B65EDC">
      <w:pPr>
        <w:rPr>
          <w:spacing w:val="-2"/>
          <w:szCs w:val="24"/>
          <w:lang w:val="es-ES_tradnl"/>
        </w:rPr>
      </w:pPr>
    </w:p>
    <w:p w14:paraId="70B8118C" w14:textId="1EE077B5"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Se espera que en 2025 comience un nuevo programa de fondos fiduciarios con el Japón.</w:t>
      </w:r>
      <w:r w:rsidR="002817AB" w:rsidRPr="00E675E8">
        <w:rPr>
          <w:lang w:val="es-ES_tradnl"/>
        </w:rPr>
        <w:t xml:space="preserve"> </w:t>
      </w:r>
      <w:r w:rsidRPr="00E675E8">
        <w:rPr>
          <w:lang w:val="es-ES_tradnl"/>
        </w:rPr>
        <w:t>El programa apoyará la recopilación y el análisis de datos sobre la incidencia de la protección de las obtenciones vegetales en los miembros de la UPOV y la difusión de información de conformidad con la estrategia de comunicación de la UPOV.</w:t>
      </w:r>
      <w:r w:rsidR="002817AB" w:rsidRPr="00E675E8">
        <w:rPr>
          <w:lang w:val="es-ES_tradnl"/>
        </w:rPr>
        <w:t xml:space="preserve"> </w:t>
      </w:r>
      <w:r w:rsidRPr="00E675E8">
        <w:rPr>
          <w:lang w:val="es-ES_tradnl"/>
        </w:rPr>
        <w:t>El nuevo programa de fondos fiduciarios también incluirá un funcionario subalterno de la categoría profesional financiado por el Japón.</w:t>
      </w:r>
      <w:r w:rsidR="002817AB" w:rsidRPr="00E675E8">
        <w:rPr>
          <w:lang w:val="es-ES_tradnl"/>
        </w:rPr>
        <w:t xml:space="preserve"> </w:t>
      </w:r>
      <w:r w:rsidRPr="00E675E8">
        <w:rPr>
          <w:lang w:val="es-ES_tradnl"/>
        </w:rPr>
        <w:t>Se espera que el nuevo programa de fondos fiduciarios con el Japón continúe durante el bienio 2026-2027.</w:t>
      </w:r>
    </w:p>
    <w:p w14:paraId="60861E2B" w14:textId="77777777" w:rsidR="00B65EDC" w:rsidRPr="00E675E8" w:rsidRDefault="00B65EDC" w:rsidP="00B65EDC">
      <w:pPr>
        <w:rPr>
          <w:lang w:val="es-ES_tradnl"/>
        </w:rPr>
      </w:pPr>
    </w:p>
    <w:p w14:paraId="144050A2" w14:textId="77777777" w:rsidR="00B65EDC" w:rsidRPr="00E675E8" w:rsidRDefault="00B65EDC" w:rsidP="00B65EDC">
      <w:pPr>
        <w:rPr>
          <w:szCs w:val="24"/>
          <w:lang w:val="es-ES_tradnl"/>
        </w:rPr>
      </w:pPr>
    </w:p>
    <w:p w14:paraId="026217BE" w14:textId="24F71111" w:rsidR="00B65EDC" w:rsidRPr="00E675E8" w:rsidRDefault="00B65EDC" w:rsidP="00B65EDC">
      <w:pPr>
        <w:jc w:val="center"/>
        <w:rPr>
          <w:color w:val="26724C" w:themeColor="accent1" w:themeShade="BF"/>
          <w:spacing w:val="-2"/>
          <w:szCs w:val="24"/>
          <w:lang w:val="es-ES_tradnl"/>
        </w:rPr>
      </w:pPr>
      <w:r w:rsidRPr="00E675E8">
        <w:rPr>
          <w:b/>
          <w:color w:val="26724C" w:themeColor="accent1" w:themeShade="BF"/>
          <w:lang w:val="es-ES_tradnl"/>
        </w:rPr>
        <w:t>Cuadro 3:</w:t>
      </w:r>
      <w:r w:rsidR="002817AB" w:rsidRPr="00E675E8">
        <w:rPr>
          <w:b/>
          <w:color w:val="26724C" w:themeColor="accent1" w:themeShade="BF"/>
          <w:lang w:val="es-ES_tradnl"/>
        </w:rPr>
        <w:t xml:space="preserve"> </w:t>
      </w:r>
      <w:r w:rsidRPr="00E675E8">
        <w:rPr>
          <w:b/>
          <w:color w:val="26724C" w:themeColor="accent1" w:themeShade="BF"/>
          <w:lang w:val="es-ES_tradnl"/>
        </w:rPr>
        <w:t>Plan de dotación de recursos correspondiente a los bienios 2024-2025 y 2026-2027</w:t>
      </w:r>
    </w:p>
    <w:p w14:paraId="0835930B" w14:textId="77777777" w:rsidR="00B65EDC" w:rsidRPr="00E675E8" w:rsidRDefault="00B65EDC" w:rsidP="00B65EDC">
      <w:pPr>
        <w:jc w:val="center"/>
        <w:rPr>
          <w:rFonts w:cs="Arial"/>
          <w:i/>
          <w:iCs/>
          <w:sz w:val="18"/>
          <w:lang w:val="es-ES_tradnl"/>
        </w:rPr>
      </w:pPr>
      <w:r w:rsidRPr="00E675E8">
        <w:rPr>
          <w:i/>
          <w:sz w:val="18"/>
          <w:lang w:val="es-ES_tradnl"/>
        </w:rPr>
        <w:t>(en miles de francos suizos)</w:t>
      </w:r>
    </w:p>
    <w:p w14:paraId="0A56B743" w14:textId="77777777" w:rsidR="00B65EDC" w:rsidRPr="00E675E8" w:rsidRDefault="00B65EDC" w:rsidP="00B65EDC">
      <w:pPr>
        <w:jc w:val="center"/>
        <w:rPr>
          <w:spacing w:val="-2"/>
          <w:szCs w:val="24"/>
          <w:lang w:val="es-ES_tradnl"/>
        </w:rPr>
      </w:pPr>
    </w:p>
    <w:tbl>
      <w:tblPr>
        <w:tblW w:w="9729" w:type="dxa"/>
        <w:tblLook w:val="04A0" w:firstRow="1" w:lastRow="0" w:firstColumn="1" w:lastColumn="0" w:noHBand="0" w:noVBand="1"/>
      </w:tblPr>
      <w:tblGrid>
        <w:gridCol w:w="482"/>
        <w:gridCol w:w="3837"/>
        <w:gridCol w:w="1727"/>
        <w:gridCol w:w="1778"/>
        <w:gridCol w:w="1905"/>
      </w:tblGrid>
      <w:tr w:rsidR="00B65EDC" w:rsidRPr="00E675E8" w14:paraId="06FAB401" w14:textId="77777777">
        <w:trPr>
          <w:trHeight w:val="431"/>
        </w:trPr>
        <w:tc>
          <w:tcPr>
            <w:tcW w:w="4319" w:type="dxa"/>
            <w:gridSpan w:val="2"/>
            <w:vMerge w:val="restart"/>
            <w:tcBorders>
              <w:top w:val="nil"/>
              <w:left w:val="nil"/>
              <w:bottom w:val="nil"/>
              <w:right w:val="nil"/>
            </w:tcBorders>
            <w:shd w:val="clear" w:color="000000" w:fill="C7CFD8"/>
            <w:vAlign w:val="center"/>
            <w:hideMark/>
          </w:tcPr>
          <w:p w14:paraId="3BC13A88" w14:textId="77777777" w:rsidR="00B65EDC" w:rsidRPr="00E675E8" w:rsidRDefault="00B65EDC">
            <w:pPr>
              <w:jc w:val="left"/>
              <w:rPr>
                <w:rFonts w:ascii="Arial Narrow" w:hAnsi="Arial Narrow" w:cs="Arial"/>
                <w:b/>
                <w:bCs/>
                <w:sz w:val="18"/>
                <w:szCs w:val="18"/>
                <w:lang w:val="es-ES_tradnl"/>
              </w:rPr>
            </w:pPr>
            <w:r w:rsidRPr="00E675E8">
              <w:rPr>
                <w:rFonts w:ascii="Arial Narrow" w:hAnsi="Arial Narrow"/>
                <w:b/>
                <w:sz w:val="18"/>
                <w:lang w:val="es-ES_tradnl"/>
              </w:rPr>
              <w:t>Presupuesto y disponibilidad de recursos</w:t>
            </w:r>
          </w:p>
        </w:tc>
        <w:tc>
          <w:tcPr>
            <w:tcW w:w="1727" w:type="dxa"/>
            <w:tcBorders>
              <w:top w:val="nil"/>
              <w:left w:val="nil"/>
              <w:bottom w:val="nil"/>
              <w:right w:val="nil"/>
            </w:tcBorders>
            <w:shd w:val="clear" w:color="000000" w:fill="C7CFD8"/>
            <w:vAlign w:val="center"/>
            <w:hideMark/>
          </w:tcPr>
          <w:p w14:paraId="7EEF3CA3"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Presupuesto ordinario </w:t>
            </w:r>
          </w:p>
        </w:tc>
        <w:tc>
          <w:tcPr>
            <w:tcW w:w="1778" w:type="dxa"/>
            <w:tcBorders>
              <w:top w:val="nil"/>
              <w:left w:val="nil"/>
              <w:bottom w:val="nil"/>
              <w:right w:val="nil"/>
            </w:tcBorders>
            <w:shd w:val="clear" w:color="000000" w:fill="C7CFD8"/>
            <w:vAlign w:val="center"/>
            <w:hideMark/>
          </w:tcPr>
          <w:p w14:paraId="3AF62C3B"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Fondos fiduciarios * </w:t>
            </w:r>
          </w:p>
        </w:tc>
        <w:tc>
          <w:tcPr>
            <w:tcW w:w="1905" w:type="dxa"/>
            <w:tcBorders>
              <w:top w:val="nil"/>
              <w:left w:val="nil"/>
              <w:bottom w:val="nil"/>
              <w:right w:val="nil"/>
            </w:tcBorders>
            <w:shd w:val="clear" w:color="000000" w:fill="C7CFD8"/>
            <w:vAlign w:val="center"/>
            <w:hideMark/>
          </w:tcPr>
          <w:p w14:paraId="110BA662"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Total de recursos </w:t>
            </w:r>
          </w:p>
        </w:tc>
      </w:tr>
      <w:tr w:rsidR="00B65EDC" w:rsidRPr="00E675E8" w14:paraId="64A8C5DF" w14:textId="77777777">
        <w:trPr>
          <w:trHeight w:val="70"/>
        </w:trPr>
        <w:tc>
          <w:tcPr>
            <w:tcW w:w="4319" w:type="dxa"/>
            <w:gridSpan w:val="2"/>
            <w:vMerge/>
            <w:tcBorders>
              <w:top w:val="nil"/>
              <w:left w:val="nil"/>
              <w:bottom w:val="nil"/>
              <w:right w:val="nil"/>
            </w:tcBorders>
            <w:vAlign w:val="center"/>
            <w:hideMark/>
          </w:tcPr>
          <w:p w14:paraId="5AD838E4" w14:textId="77777777" w:rsidR="00B65EDC" w:rsidRPr="00E675E8" w:rsidRDefault="00B65EDC">
            <w:pPr>
              <w:jc w:val="left"/>
              <w:rPr>
                <w:rFonts w:ascii="Arial Narrow" w:hAnsi="Arial Narrow" w:cs="Arial"/>
                <w:b/>
                <w:bCs/>
                <w:sz w:val="18"/>
                <w:szCs w:val="18"/>
                <w:lang w:val="es-ES_tradnl"/>
              </w:rPr>
            </w:pPr>
          </w:p>
        </w:tc>
        <w:tc>
          <w:tcPr>
            <w:tcW w:w="1727" w:type="dxa"/>
            <w:tcBorders>
              <w:top w:val="nil"/>
              <w:left w:val="nil"/>
              <w:bottom w:val="nil"/>
              <w:right w:val="nil"/>
            </w:tcBorders>
            <w:shd w:val="clear" w:color="000000" w:fill="C7CFD8"/>
            <w:noWrap/>
            <w:vAlign w:val="center"/>
            <w:hideMark/>
          </w:tcPr>
          <w:p w14:paraId="340B7B50" w14:textId="77777777" w:rsidR="00B65EDC" w:rsidRPr="00E675E8" w:rsidRDefault="00B65EDC">
            <w:pPr>
              <w:jc w:val="center"/>
              <w:rPr>
                <w:rFonts w:ascii="Arial Narrow" w:hAnsi="Arial Narrow" w:cs="Arial"/>
                <w:b/>
                <w:bCs/>
                <w:i/>
                <w:iCs/>
                <w:sz w:val="18"/>
                <w:szCs w:val="18"/>
                <w:lang w:val="es-ES_tradnl"/>
              </w:rPr>
            </w:pPr>
            <w:r w:rsidRPr="00E675E8">
              <w:rPr>
                <w:rFonts w:ascii="Arial Narrow" w:hAnsi="Arial Narrow"/>
                <w:b/>
                <w:i/>
                <w:sz w:val="18"/>
                <w:lang w:val="es-ES_tradnl"/>
              </w:rPr>
              <w:t xml:space="preserve">A </w:t>
            </w:r>
          </w:p>
        </w:tc>
        <w:tc>
          <w:tcPr>
            <w:tcW w:w="1778" w:type="dxa"/>
            <w:tcBorders>
              <w:top w:val="nil"/>
              <w:left w:val="nil"/>
              <w:bottom w:val="nil"/>
              <w:right w:val="nil"/>
            </w:tcBorders>
            <w:shd w:val="clear" w:color="000000" w:fill="C7CFD8"/>
            <w:vAlign w:val="center"/>
            <w:hideMark/>
          </w:tcPr>
          <w:p w14:paraId="378688E6" w14:textId="77777777" w:rsidR="00B65EDC" w:rsidRPr="00E675E8" w:rsidRDefault="00B65EDC">
            <w:pPr>
              <w:jc w:val="center"/>
              <w:rPr>
                <w:rFonts w:ascii="Arial Narrow" w:hAnsi="Arial Narrow" w:cs="Arial"/>
                <w:b/>
                <w:bCs/>
                <w:i/>
                <w:iCs/>
                <w:sz w:val="18"/>
                <w:szCs w:val="18"/>
                <w:lang w:val="es-ES_tradnl"/>
              </w:rPr>
            </w:pPr>
            <w:r w:rsidRPr="00E675E8">
              <w:rPr>
                <w:rFonts w:ascii="Arial Narrow" w:hAnsi="Arial Narrow"/>
                <w:b/>
                <w:i/>
                <w:sz w:val="18"/>
                <w:lang w:val="es-ES_tradnl"/>
              </w:rPr>
              <w:t>B</w:t>
            </w:r>
          </w:p>
        </w:tc>
        <w:tc>
          <w:tcPr>
            <w:tcW w:w="1905" w:type="dxa"/>
            <w:tcBorders>
              <w:top w:val="nil"/>
              <w:left w:val="nil"/>
              <w:bottom w:val="nil"/>
              <w:right w:val="nil"/>
            </w:tcBorders>
            <w:shd w:val="clear" w:color="000000" w:fill="C7CFD8"/>
            <w:vAlign w:val="center"/>
            <w:hideMark/>
          </w:tcPr>
          <w:p w14:paraId="3F3EBB6B" w14:textId="77777777" w:rsidR="00B65EDC" w:rsidRPr="00E675E8" w:rsidRDefault="00B65EDC">
            <w:pPr>
              <w:jc w:val="center"/>
              <w:rPr>
                <w:rFonts w:ascii="Arial Narrow" w:hAnsi="Arial Narrow" w:cs="Arial"/>
                <w:b/>
                <w:bCs/>
                <w:i/>
                <w:iCs/>
                <w:sz w:val="18"/>
                <w:szCs w:val="18"/>
                <w:lang w:val="es-ES_tradnl"/>
              </w:rPr>
            </w:pPr>
            <w:r w:rsidRPr="00E675E8">
              <w:rPr>
                <w:rFonts w:ascii="Arial Narrow" w:hAnsi="Arial Narrow"/>
                <w:b/>
                <w:i/>
                <w:sz w:val="18"/>
                <w:lang w:val="es-ES_tradnl"/>
              </w:rPr>
              <w:t>C = A+B</w:t>
            </w:r>
          </w:p>
        </w:tc>
      </w:tr>
      <w:tr w:rsidR="00B65EDC" w:rsidRPr="00E675E8" w14:paraId="18443706" w14:textId="77777777" w:rsidTr="00A538F6">
        <w:trPr>
          <w:trHeight w:val="263"/>
        </w:trPr>
        <w:tc>
          <w:tcPr>
            <w:tcW w:w="4319" w:type="dxa"/>
            <w:gridSpan w:val="2"/>
            <w:tcBorders>
              <w:top w:val="nil"/>
              <w:left w:val="nil"/>
              <w:bottom w:val="nil"/>
              <w:right w:val="nil"/>
            </w:tcBorders>
            <w:hideMark/>
          </w:tcPr>
          <w:p w14:paraId="39BBD939" w14:textId="77777777" w:rsidR="00B65EDC" w:rsidRPr="00E675E8" w:rsidRDefault="00B65EDC">
            <w:pPr>
              <w:jc w:val="center"/>
              <w:rPr>
                <w:rFonts w:ascii="Arial Narrow" w:hAnsi="Arial Narrow" w:cs="Arial"/>
                <w:b/>
                <w:bCs/>
                <w:i/>
                <w:iCs/>
                <w:sz w:val="18"/>
                <w:szCs w:val="18"/>
                <w:lang w:val="es-ES_tradnl"/>
              </w:rPr>
            </w:pPr>
          </w:p>
        </w:tc>
        <w:tc>
          <w:tcPr>
            <w:tcW w:w="1727" w:type="dxa"/>
            <w:tcBorders>
              <w:top w:val="nil"/>
              <w:left w:val="nil"/>
              <w:bottom w:val="nil"/>
              <w:right w:val="nil"/>
            </w:tcBorders>
            <w:hideMark/>
          </w:tcPr>
          <w:p w14:paraId="7689380B" w14:textId="77777777" w:rsidR="00B65EDC" w:rsidRPr="00E675E8" w:rsidRDefault="00B65EDC">
            <w:pPr>
              <w:rPr>
                <w:rFonts w:ascii="Times New Roman" w:hAnsi="Times New Roman"/>
                <w:lang w:val="es-ES_tradnl"/>
              </w:rPr>
            </w:pPr>
          </w:p>
        </w:tc>
        <w:tc>
          <w:tcPr>
            <w:tcW w:w="1778" w:type="dxa"/>
            <w:tcBorders>
              <w:top w:val="nil"/>
              <w:left w:val="nil"/>
              <w:bottom w:val="nil"/>
              <w:right w:val="nil"/>
            </w:tcBorders>
            <w:hideMark/>
          </w:tcPr>
          <w:p w14:paraId="0938041F" w14:textId="77777777" w:rsidR="00B65EDC" w:rsidRPr="00E675E8" w:rsidRDefault="00B65EDC">
            <w:pPr>
              <w:rPr>
                <w:rFonts w:ascii="Times New Roman" w:hAnsi="Times New Roman"/>
                <w:lang w:val="es-ES_tradnl"/>
              </w:rPr>
            </w:pPr>
          </w:p>
        </w:tc>
        <w:tc>
          <w:tcPr>
            <w:tcW w:w="1905" w:type="dxa"/>
            <w:tcBorders>
              <w:top w:val="nil"/>
              <w:left w:val="nil"/>
              <w:bottom w:val="nil"/>
              <w:right w:val="nil"/>
            </w:tcBorders>
            <w:hideMark/>
          </w:tcPr>
          <w:p w14:paraId="4502D222" w14:textId="77777777" w:rsidR="00B65EDC" w:rsidRPr="00E675E8" w:rsidRDefault="00B65EDC">
            <w:pPr>
              <w:jc w:val="left"/>
              <w:rPr>
                <w:rFonts w:ascii="Times New Roman" w:hAnsi="Times New Roman"/>
                <w:lang w:val="es-ES_tradnl"/>
              </w:rPr>
            </w:pPr>
          </w:p>
        </w:tc>
      </w:tr>
      <w:tr w:rsidR="00B65EDC" w:rsidRPr="00E675E8" w14:paraId="4779A1D3" w14:textId="77777777" w:rsidTr="00A538F6">
        <w:trPr>
          <w:trHeight w:val="318"/>
        </w:trPr>
        <w:tc>
          <w:tcPr>
            <w:tcW w:w="4319" w:type="dxa"/>
            <w:gridSpan w:val="2"/>
            <w:tcBorders>
              <w:top w:val="nil"/>
              <w:left w:val="nil"/>
              <w:bottom w:val="nil"/>
              <w:right w:val="nil"/>
            </w:tcBorders>
            <w:hideMark/>
          </w:tcPr>
          <w:p w14:paraId="0BFF9E66" w14:textId="77777777" w:rsidR="00B65EDC" w:rsidRPr="00E675E8" w:rsidRDefault="00B65EDC">
            <w:pPr>
              <w:rPr>
                <w:rFonts w:ascii="Arial Narrow" w:hAnsi="Arial Narrow" w:cs="Arial"/>
                <w:b/>
                <w:bCs/>
                <w:color w:val="000000"/>
                <w:lang w:val="es-ES_tradnl"/>
              </w:rPr>
            </w:pPr>
            <w:r w:rsidRPr="00E675E8">
              <w:rPr>
                <w:rFonts w:ascii="Arial Narrow" w:hAnsi="Arial Narrow"/>
                <w:b/>
                <w:color w:val="000000"/>
                <w:lang w:val="es-ES_tradnl"/>
              </w:rPr>
              <w:t>Disponibilidad de recursos 2024-2025</w:t>
            </w:r>
          </w:p>
        </w:tc>
        <w:tc>
          <w:tcPr>
            <w:tcW w:w="1727" w:type="dxa"/>
            <w:tcBorders>
              <w:top w:val="nil"/>
              <w:left w:val="nil"/>
              <w:bottom w:val="nil"/>
              <w:right w:val="nil"/>
            </w:tcBorders>
            <w:noWrap/>
            <w:vAlign w:val="bottom"/>
            <w:hideMark/>
          </w:tcPr>
          <w:p w14:paraId="686C71E3" w14:textId="77777777" w:rsidR="00B65EDC" w:rsidRPr="00E675E8" w:rsidRDefault="00B65EDC">
            <w:pPr>
              <w:jc w:val="right"/>
              <w:rPr>
                <w:rFonts w:ascii="Arial Narrow" w:hAnsi="Arial Narrow" w:cs="Arial"/>
                <w:b/>
                <w:bCs/>
                <w:color w:val="000000"/>
                <w:lang w:val="es-ES_tradnl"/>
              </w:rPr>
            </w:pPr>
          </w:p>
        </w:tc>
        <w:tc>
          <w:tcPr>
            <w:tcW w:w="1778" w:type="dxa"/>
            <w:tcBorders>
              <w:top w:val="nil"/>
              <w:left w:val="nil"/>
              <w:bottom w:val="nil"/>
              <w:right w:val="nil"/>
            </w:tcBorders>
            <w:hideMark/>
          </w:tcPr>
          <w:p w14:paraId="235A1292" w14:textId="77777777" w:rsidR="00B65EDC" w:rsidRPr="00E675E8" w:rsidRDefault="00B65EDC">
            <w:pPr>
              <w:jc w:val="right"/>
              <w:rPr>
                <w:rFonts w:ascii="Times New Roman" w:hAnsi="Times New Roman"/>
                <w:lang w:val="es-ES_tradnl"/>
              </w:rPr>
            </w:pPr>
          </w:p>
        </w:tc>
        <w:tc>
          <w:tcPr>
            <w:tcW w:w="1905" w:type="dxa"/>
            <w:tcBorders>
              <w:top w:val="nil"/>
              <w:left w:val="nil"/>
              <w:bottom w:val="nil"/>
              <w:right w:val="nil"/>
            </w:tcBorders>
            <w:hideMark/>
          </w:tcPr>
          <w:p w14:paraId="51871D3E" w14:textId="77777777" w:rsidR="00B65EDC" w:rsidRPr="00E675E8" w:rsidRDefault="00B65EDC">
            <w:pPr>
              <w:jc w:val="right"/>
              <w:rPr>
                <w:rFonts w:ascii="Times New Roman" w:hAnsi="Times New Roman"/>
                <w:lang w:val="es-ES_tradnl"/>
              </w:rPr>
            </w:pPr>
          </w:p>
        </w:tc>
      </w:tr>
      <w:tr w:rsidR="00B65EDC" w:rsidRPr="00E675E8" w14:paraId="2665EE8B" w14:textId="77777777" w:rsidTr="00A538F6">
        <w:trPr>
          <w:trHeight w:val="349"/>
        </w:trPr>
        <w:tc>
          <w:tcPr>
            <w:tcW w:w="482" w:type="dxa"/>
            <w:tcBorders>
              <w:top w:val="nil"/>
              <w:left w:val="nil"/>
              <w:bottom w:val="nil"/>
              <w:right w:val="nil"/>
            </w:tcBorders>
            <w:vAlign w:val="center"/>
            <w:hideMark/>
          </w:tcPr>
          <w:p w14:paraId="2041EE60"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1</w:t>
            </w:r>
          </w:p>
        </w:tc>
        <w:tc>
          <w:tcPr>
            <w:tcW w:w="3837" w:type="dxa"/>
            <w:tcBorders>
              <w:top w:val="nil"/>
              <w:left w:val="nil"/>
              <w:bottom w:val="nil"/>
              <w:right w:val="nil"/>
            </w:tcBorders>
            <w:vAlign w:val="center"/>
            <w:hideMark/>
          </w:tcPr>
          <w:p w14:paraId="1C62A0BC" w14:textId="77777777" w:rsidR="00B65EDC" w:rsidRPr="00E675E8" w:rsidRDefault="00B65EDC">
            <w:pPr>
              <w:rPr>
                <w:rFonts w:ascii="Arial Narrow" w:hAnsi="Arial Narrow" w:cs="Arial"/>
                <w:color w:val="000000"/>
                <w:lang w:val="es-ES_tradnl"/>
              </w:rPr>
            </w:pPr>
            <w:r w:rsidRPr="00E675E8">
              <w:rPr>
                <w:rFonts w:ascii="Arial Narrow" w:hAnsi="Arial Narrow"/>
                <w:color w:val="000000"/>
                <w:lang w:val="es-ES_tradnl"/>
              </w:rPr>
              <w:t>Ingresos</w:t>
            </w:r>
          </w:p>
        </w:tc>
        <w:tc>
          <w:tcPr>
            <w:tcW w:w="1727" w:type="dxa"/>
            <w:tcBorders>
              <w:top w:val="nil"/>
              <w:left w:val="nil"/>
              <w:bottom w:val="nil"/>
              <w:right w:val="nil"/>
            </w:tcBorders>
            <w:vAlign w:val="center"/>
          </w:tcPr>
          <w:p w14:paraId="0EBD0732"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7 901</w:t>
            </w:r>
          </w:p>
        </w:tc>
        <w:tc>
          <w:tcPr>
            <w:tcW w:w="1778" w:type="dxa"/>
            <w:tcBorders>
              <w:top w:val="nil"/>
              <w:left w:val="nil"/>
              <w:bottom w:val="nil"/>
              <w:right w:val="nil"/>
            </w:tcBorders>
            <w:vAlign w:val="center"/>
          </w:tcPr>
          <w:p w14:paraId="04C9B3CD"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965</w:t>
            </w:r>
          </w:p>
        </w:tc>
        <w:tc>
          <w:tcPr>
            <w:tcW w:w="1905" w:type="dxa"/>
            <w:tcBorders>
              <w:top w:val="nil"/>
              <w:left w:val="nil"/>
              <w:bottom w:val="nil"/>
              <w:right w:val="nil"/>
            </w:tcBorders>
            <w:vAlign w:val="center"/>
          </w:tcPr>
          <w:p w14:paraId="49038083"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8 867</w:t>
            </w:r>
          </w:p>
        </w:tc>
      </w:tr>
      <w:tr w:rsidR="00B65EDC" w:rsidRPr="00E675E8" w14:paraId="5E49BB4B" w14:textId="77777777" w:rsidTr="00A538F6">
        <w:trPr>
          <w:trHeight w:val="349"/>
        </w:trPr>
        <w:tc>
          <w:tcPr>
            <w:tcW w:w="482" w:type="dxa"/>
            <w:tcBorders>
              <w:top w:val="nil"/>
              <w:left w:val="nil"/>
              <w:bottom w:val="nil"/>
              <w:right w:val="nil"/>
            </w:tcBorders>
            <w:vAlign w:val="center"/>
            <w:hideMark/>
          </w:tcPr>
          <w:p w14:paraId="2F7D12E1"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2</w:t>
            </w:r>
          </w:p>
        </w:tc>
        <w:tc>
          <w:tcPr>
            <w:tcW w:w="3837" w:type="dxa"/>
            <w:tcBorders>
              <w:top w:val="nil"/>
              <w:left w:val="nil"/>
              <w:bottom w:val="nil"/>
              <w:right w:val="nil"/>
            </w:tcBorders>
            <w:vAlign w:val="center"/>
            <w:hideMark/>
          </w:tcPr>
          <w:p w14:paraId="6C4A070B" w14:textId="77777777" w:rsidR="00B65EDC" w:rsidRPr="00E675E8" w:rsidRDefault="00B65EDC">
            <w:pPr>
              <w:rPr>
                <w:rFonts w:ascii="Arial Narrow" w:hAnsi="Arial Narrow" w:cs="Arial"/>
                <w:color w:val="000000"/>
                <w:lang w:val="es-ES_tradnl"/>
              </w:rPr>
            </w:pPr>
            <w:r w:rsidRPr="00E675E8">
              <w:rPr>
                <w:rFonts w:ascii="Arial Narrow" w:hAnsi="Arial Narrow"/>
                <w:color w:val="000000"/>
                <w:lang w:val="es-ES_tradnl"/>
              </w:rPr>
              <w:t>+/(-) Transferencias hacia/desde reservas</w:t>
            </w:r>
          </w:p>
        </w:tc>
        <w:tc>
          <w:tcPr>
            <w:tcW w:w="1727" w:type="dxa"/>
            <w:tcBorders>
              <w:top w:val="nil"/>
              <w:left w:val="nil"/>
              <w:bottom w:val="nil"/>
              <w:right w:val="nil"/>
            </w:tcBorders>
            <w:vAlign w:val="center"/>
          </w:tcPr>
          <w:p w14:paraId="6EFD31DF"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w:t>
            </w:r>
          </w:p>
        </w:tc>
        <w:tc>
          <w:tcPr>
            <w:tcW w:w="1778" w:type="dxa"/>
            <w:tcBorders>
              <w:top w:val="nil"/>
              <w:left w:val="nil"/>
              <w:bottom w:val="nil"/>
              <w:right w:val="nil"/>
            </w:tcBorders>
            <w:vAlign w:val="center"/>
          </w:tcPr>
          <w:p w14:paraId="026F220A"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w:t>
            </w:r>
          </w:p>
        </w:tc>
        <w:tc>
          <w:tcPr>
            <w:tcW w:w="1905" w:type="dxa"/>
            <w:tcBorders>
              <w:top w:val="nil"/>
              <w:left w:val="nil"/>
              <w:bottom w:val="nil"/>
              <w:right w:val="nil"/>
            </w:tcBorders>
            <w:vAlign w:val="center"/>
          </w:tcPr>
          <w:p w14:paraId="7C798E01"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w:t>
            </w:r>
          </w:p>
        </w:tc>
      </w:tr>
      <w:tr w:rsidR="00B65EDC" w:rsidRPr="00E675E8" w14:paraId="3C3EBEB5" w14:textId="77777777" w:rsidTr="00A538F6">
        <w:trPr>
          <w:trHeight w:val="349"/>
        </w:trPr>
        <w:tc>
          <w:tcPr>
            <w:tcW w:w="482" w:type="dxa"/>
            <w:tcBorders>
              <w:top w:val="single" w:sz="4" w:space="0" w:color="AAB8C4"/>
              <w:left w:val="nil"/>
              <w:bottom w:val="single" w:sz="8" w:space="0" w:color="AAB8C4"/>
              <w:right w:val="nil"/>
            </w:tcBorders>
            <w:vAlign w:val="center"/>
            <w:hideMark/>
          </w:tcPr>
          <w:p w14:paraId="4DA311A0"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3</w:t>
            </w:r>
          </w:p>
        </w:tc>
        <w:tc>
          <w:tcPr>
            <w:tcW w:w="3837" w:type="dxa"/>
            <w:tcBorders>
              <w:top w:val="single" w:sz="4" w:space="0" w:color="AAB8C4"/>
              <w:left w:val="nil"/>
              <w:bottom w:val="single" w:sz="8" w:space="0" w:color="AAB8C4"/>
              <w:right w:val="nil"/>
            </w:tcBorders>
            <w:vAlign w:val="center"/>
            <w:hideMark/>
          </w:tcPr>
          <w:p w14:paraId="03E7F7C0" w14:textId="77777777" w:rsidR="00B65EDC" w:rsidRPr="00E675E8" w:rsidRDefault="00B65EDC">
            <w:pPr>
              <w:rPr>
                <w:rFonts w:ascii="Arial Narrow" w:hAnsi="Arial Narrow" w:cs="Arial"/>
                <w:color w:val="000000"/>
                <w:lang w:val="es-ES_tradnl"/>
              </w:rPr>
            </w:pPr>
            <w:r w:rsidRPr="00E675E8">
              <w:rPr>
                <w:rFonts w:ascii="Arial Narrow" w:hAnsi="Arial Narrow"/>
                <w:color w:val="000000"/>
                <w:lang w:val="es-ES_tradnl"/>
              </w:rPr>
              <w:t>Total, recursos</w:t>
            </w:r>
          </w:p>
        </w:tc>
        <w:tc>
          <w:tcPr>
            <w:tcW w:w="1727" w:type="dxa"/>
            <w:tcBorders>
              <w:top w:val="single" w:sz="4" w:space="0" w:color="AAB8C4"/>
              <w:left w:val="nil"/>
              <w:bottom w:val="single" w:sz="8" w:space="0" w:color="AAB8C4"/>
              <w:right w:val="nil"/>
            </w:tcBorders>
            <w:vAlign w:val="center"/>
          </w:tcPr>
          <w:p w14:paraId="7518454E"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7 901</w:t>
            </w:r>
          </w:p>
        </w:tc>
        <w:tc>
          <w:tcPr>
            <w:tcW w:w="1778" w:type="dxa"/>
            <w:tcBorders>
              <w:top w:val="single" w:sz="4" w:space="0" w:color="AAB8C4"/>
              <w:left w:val="nil"/>
              <w:bottom w:val="single" w:sz="8" w:space="0" w:color="AAB8C4"/>
              <w:right w:val="nil"/>
            </w:tcBorders>
            <w:vAlign w:val="center"/>
          </w:tcPr>
          <w:p w14:paraId="3F27C942"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965</w:t>
            </w:r>
          </w:p>
        </w:tc>
        <w:tc>
          <w:tcPr>
            <w:tcW w:w="1905" w:type="dxa"/>
            <w:tcBorders>
              <w:top w:val="single" w:sz="4" w:space="0" w:color="AAB8C4"/>
              <w:left w:val="nil"/>
              <w:bottom w:val="single" w:sz="8" w:space="0" w:color="AAB8C4"/>
              <w:right w:val="nil"/>
            </w:tcBorders>
            <w:vAlign w:val="center"/>
          </w:tcPr>
          <w:p w14:paraId="7460AFA2"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8 867</w:t>
            </w:r>
          </w:p>
        </w:tc>
      </w:tr>
      <w:tr w:rsidR="00B65EDC" w:rsidRPr="00E675E8" w14:paraId="249E410D" w14:textId="77777777" w:rsidTr="00A538F6">
        <w:trPr>
          <w:trHeight w:val="263"/>
        </w:trPr>
        <w:tc>
          <w:tcPr>
            <w:tcW w:w="482" w:type="dxa"/>
            <w:tcBorders>
              <w:top w:val="nil"/>
              <w:left w:val="nil"/>
              <w:bottom w:val="nil"/>
              <w:right w:val="nil"/>
            </w:tcBorders>
            <w:vAlign w:val="center"/>
            <w:hideMark/>
          </w:tcPr>
          <w:p w14:paraId="4E26EC1C" w14:textId="77777777" w:rsidR="00B65EDC" w:rsidRPr="00E675E8" w:rsidRDefault="00B65EDC">
            <w:pPr>
              <w:jc w:val="right"/>
              <w:rPr>
                <w:rFonts w:ascii="Arial Narrow" w:hAnsi="Arial Narrow" w:cs="Arial"/>
                <w:color w:val="000000"/>
                <w:lang w:val="es-ES_tradnl"/>
              </w:rPr>
            </w:pPr>
          </w:p>
        </w:tc>
        <w:tc>
          <w:tcPr>
            <w:tcW w:w="3837" w:type="dxa"/>
            <w:tcBorders>
              <w:top w:val="nil"/>
              <w:left w:val="nil"/>
              <w:bottom w:val="nil"/>
              <w:right w:val="nil"/>
            </w:tcBorders>
            <w:vAlign w:val="center"/>
            <w:hideMark/>
          </w:tcPr>
          <w:p w14:paraId="463CDD84" w14:textId="77777777" w:rsidR="00B65EDC" w:rsidRPr="00E675E8" w:rsidRDefault="00B65EDC">
            <w:pPr>
              <w:jc w:val="right"/>
              <w:rPr>
                <w:rFonts w:ascii="Times New Roman" w:hAnsi="Times New Roman"/>
                <w:lang w:val="es-ES_tradnl"/>
              </w:rPr>
            </w:pPr>
          </w:p>
        </w:tc>
        <w:tc>
          <w:tcPr>
            <w:tcW w:w="1727" w:type="dxa"/>
            <w:tcBorders>
              <w:top w:val="nil"/>
              <w:left w:val="nil"/>
              <w:bottom w:val="nil"/>
              <w:right w:val="nil"/>
            </w:tcBorders>
            <w:vAlign w:val="center"/>
          </w:tcPr>
          <w:p w14:paraId="280AE7A6" w14:textId="77777777" w:rsidR="00B65EDC" w:rsidRPr="00E675E8" w:rsidRDefault="00B65EDC">
            <w:pPr>
              <w:jc w:val="right"/>
              <w:rPr>
                <w:rFonts w:ascii="Times New Roman" w:hAnsi="Times New Roman"/>
                <w:lang w:val="es-ES_tradnl"/>
              </w:rPr>
            </w:pPr>
          </w:p>
        </w:tc>
        <w:tc>
          <w:tcPr>
            <w:tcW w:w="1778" w:type="dxa"/>
            <w:tcBorders>
              <w:top w:val="nil"/>
              <w:left w:val="nil"/>
              <w:bottom w:val="nil"/>
              <w:right w:val="nil"/>
            </w:tcBorders>
            <w:vAlign w:val="center"/>
          </w:tcPr>
          <w:p w14:paraId="456584DA" w14:textId="77777777" w:rsidR="00B65EDC" w:rsidRPr="00E675E8" w:rsidRDefault="00B65EDC">
            <w:pPr>
              <w:jc w:val="right"/>
              <w:rPr>
                <w:rFonts w:ascii="Times New Roman" w:hAnsi="Times New Roman"/>
                <w:lang w:val="es-ES_tradnl"/>
              </w:rPr>
            </w:pPr>
          </w:p>
        </w:tc>
        <w:tc>
          <w:tcPr>
            <w:tcW w:w="1905" w:type="dxa"/>
            <w:tcBorders>
              <w:top w:val="nil"/>
              <w:left w:val="nil"/>
              <w:bottom w:val="nil"/>
              <w:right w:val="nil"/>
            </w:tcBorders>
            <w:vAlign w:val="center"/>
          </w:tcPr>
          <w:p w14:paraId="62A665DA" w14:textId="77777777" w:rsidR="00B65EDC" w:rsidRPr="00E675E8" w:rsidRDefault="00B65EDC">
            <w:pPr>
              <w:jc w:val="right"/>
              <w:rPr>
                <w:rFonts w:ascii="Times New Roman" w:hAnsi="Times New Roman"/>
                <w:lang w:val="es-ES_tradnl"/>
              </w:rPr>
            </w:pPr>
          </w:p>
        </w:tc>
      </w:tr>
      <w:tr w:rsidR="00B65EDC" w:rsidRPr="00E675E8" w14:paraId="09590297" w14:textId="77777777" w:rsidTr="00A538F6">
        <w:trPr>
          <w:trHeight w:val="349"/>
        </w:trPr>
        <w:tc>
          <w:tcPr>
            <w:tcW w:w="4319" w:type="dxa"/>
            <w:gridSpan w:val="2"/>
            <w:tcBorders>
              <w:top w:val="nil"/>
              <w:left w:val="nil"/>
              <w:bottom w:val="nil"/>
              <w:right w:val="nil"/>
            </w:tcBorders>
            <w:vAlign w:val="center"/>
            <w:hideMark/>
          </w:tcPr>
          <w:p w14:paraId="663255EE" w14:textId="6B32C432" w:rsidR="00B65EDC" w:rsidRPr="00E675E8" w:rsidRDefault="00B65EDC">
            <w:pPr>
              <w:rPr>
                <w:rFonts w:ascii="Arial Narrow" w:hAnsi="Arial Narrow" w:cs="Arial"/>
                <w:b/>
                <w:bCs/>
                <w:color w:val="000000"/>
                <w:lang w:val="es-ES_tradnl"/>
              </w:rPr>
            </w:pPr>
            <w:r w:rsidRPr="00E675E8">
              <w:rPr>
                <w:rFonts w:ascii="Arial Narrow" w:hAnsi="Arial Narrow"/>
                <w:b/>
                <w:color w:val="000000"/>
                <w:lang w:val="es-ES_tradnl"/>
              </w:rPr>
              <w:t>Disponibilidad de recursos 2026-2027</w:t>
            </w:r>
          </w:p>
        </w:tc>
        <w:tc>
          <w:tcPr>
            <w:tcW w:w="1727" w:type="dxa"/>
            <w:tcBorders>
              <w:top w:val="nil"/>
              <w:left w:val="nil"/>
              <w:bottom w:val="nil"/>
              <w:right w:val="nil"/>
            </w:tcBorders>
            <w:vAlign w:val="center"/>
          </w:tcPr>
          <w:p w14:paraId="34176CDE" w14:textId="77777777" w:rsidR="00B65EDC" w:rsidRPr="00E675E8" w:rsidRDefault="00B65EDC">
            <w:pPr>
              <w:jc w:val="right"/>
              <w:rPr>
                <w:rFonts w:ascii="Arial Narrow" w:hAnsi="Arial Narrow" w:cs="Arial"/>
                <w:b/>
                <w:bCs/>
                <w:color w:val="000000"/>
                <w:lang w:val="es-ES_tradnl"/>
              </w:rPr>
            </w:pPr>
          </w:p>
        </w:tc>
        <w:tc>
          <w:tcPr>
            <w:tcW w:w="1778" w:type="dxa"/>
            <w:tcBorders>
              <w:top w:val="nil"/>
              <w:left w:val="nil"/>
              <w:bottom w:val="nil"/>
              <w:right w:val="nil"/>
            </w:tcBorders>
            <w:vAlign w:val="center"/>
          </w:tcPr>
          <w:p w14:paraId="01B85F96" w14:textId="77777777" w:rsidR="00B65EDC" w:rsidRPr="00E675E8" w:rsidRDefault="00B65EDC">
            <w:pPr>
              <w:jc w:val="right"/>
              <w:rPr>
                <w:rFonts w:ascii="Times New Roman" w:hAnsi="Times New Roman"/>
                <w:lang w:val="es-ES_tradnl"/>
              </w:rPr>
            </w:pPr>
          </w:p>
        </w:tc>
        <w:tc>
          <w:tcPr>
            <w:tcW w:w="1905" w:type="dxa"/>
            <w:tcBorders>
              <w:top w:val="nil"/>
              <w:left w:val="nil"/>
              <w:bottom w:val="nil"/>
              <w:right w:val="nil"/>
            </w:tcBorders>
            <w:vAlign w:val="center"/>
          </w:tcPr>
          <w:p w14:paraId="1937B64A" w14:textId="77777777" w:rsidR="00B65EDC" w:rsidRPr="00E675E8" w:rsidRDefault="00B65EDC">
            <w:pPr>
              <w:jc w:val="right"/>
              <w:rPr>
                <w:rFonts w:ascii="Times New Roman" w:hAnsi="Times New Roman"/>
                <w:lang w:val="es-ES_tradnl"/>
              </w:rPr>
            </w:pPr>
          </w:p>
        </w:tc>
      </w:tr>
      <w:tr w:rsidR="00B65EDC" w:rsidRPr="00E675E8" w14:paraId="73196B90" w14:textId="77777777" w:rsidTr="00A538F6">
        <w:trPr>
          <w:trHeight w:val="349"/>
        </w:trPr>
        <w:tc>
          <w:tcPr>
            <w:tcW w:w="482" w:type="dxa"/>
            <w:tcBorders>
              <w:top w:val="nil"/>
              <w:left w:val="nil"/>
              <w:bottom w:val="nil"/>
              <w:right w:val="nil"/>
            </w:tcBorders>
            <w:vAlign w:val="center"/>
            <w:hideMark/>
          </w:tcPr>
          <w:p w14:paraId="36C50CD5"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4</w:t>
            </w:r>
          </w:p>
        </w:tc>
        <w:tc>
          <w:tcPr>
            <w:tcW w:w="3837" w:type="dxa"/>
            <w:tcBorders>
              <w:top w:val="nil"/>
              <w:left w:val="nil"/>
              <w:bottom w:val="nil"/>
              <w:right w:val="nil"/>
            </w:tcBorders>
            <w:vAlign w:val="center"/>
            <w:hideMark/>
          </w:tcPr>
          <w:p w14:paraId="408A2723" w14:textId="77777777" w:rsidR="00B65EDC" w:rsidRPr="00E675E8" w:rsidRDefault="00B65EDC">
            <w:pPr>
              <w:rPr>
                <w:rFonts w:ascii="Arial Narrow" w:hAnsi="Arial Narrow" w:cs="Arial"/>
                <w:color w:val="000000"/>
                <w:lang w:val="es-ES_tradnl"/>
              </w:rPr>
            </w:pPr>
            <w:r w:rsidRPr="00E675E8">
              <w:rPr>
                <w:rFonts w:ascii="Arial Narrow" w:hAnsi="Arial Narrow"/>
                <w:color w:val="000000"/>
                <w:lang w:val="es-ES_tradnl"/>
              </w:rPr>
              <w:t>Ingresos</w:t>
            </w:r>
          </w:p>
        </w:tc>
        <w:tc>
          <w:tcPr>
            <w:tcW w:w="1727" w:type="dxa"/>
            <w:tcBorders>
              <w:top w:val="nil"/>
              <w:left w:val="nil"/>
              <w:bottom w:val="nil"/>
              <w:right w:val="nil"/>
            </w:tcBorders>
            <w:vAlign w:val="center"/>
          </w:tcPr>
          <w:p w14:paraId="0F0C48CD" w14:textId="77777777" w:rsidR="00B65EDC" w:rsidRPr="00E675E8" w:rsidRDefault="00B65EDC">
            <w:pPr>
              <w:jc w:val="right"/>
              <w:rPr>
                <w:rFonts w:ascii="Arial Narrow" w:hAnsi="Arial Narrow" w:cs="Arial"/>
                <w:color w:val="000000"/>
                <w:lang w:val="es-ES_tradnl"/>
              </w:rPr>
            </w:pPr>
            <w:bookmarkStart w:id="439" w:name="_Hlk190005485"/>
            <w:r w:rsidRPr="00E675E8">
              <w:rPr>
                <w:rFonts w:ascii="Arial Narrow" w:hAnsi="Arial Narrow"/>
                <w:lang w:val="es-ES_tradnl"/>
              </w:rPr>
              <w:t>7 616</w:t>
            </w:r>
            <w:bookmarkEnd w:id="439"/>
          </w:p>
        </w:tc>
        <w:tc>
          <w:tcPr>
            <w:tcW w:w="1778" w:type="dxa"/>
            <w:tcBorders>
              <w:top w:val="nil"/>
              <w:left w:val="nil"/>
              <w:bottom w:val="nil"/>
              <w:right w:val="nil"/>
            </w:tcBorders>
            <w:vAlign w:val="center"/>
          </w:tcPr>
          <w:p w14:paraId="6551A734" w14:textId="77777777" w:rsidR="00B65EDC" w:rsidRPr="00E675E8" w:rsidRDefault="00B65EDC">
            <w:pPr>
              <w:jc w:val="right"/>
              <w:rPr>
                <w:rFonts w:ascii="Arial Narrow" w:hAnsi="Arial Narrow" w:cs="Arial"/>
                <w:color w:val="000000"/>
                <w:lang w:val="es-ES_tradnl"/>
              </w:rPr>
            </w:pPr>
            <w:bookmarkStart w:id="440" w:name="_Hlk190005036"/>
            <w:r w:rsidRPr="00E675E8">
              <w:rPr>
                <w:rFonts w:ascii="Arial Narrow" w:hAnsi="Arial Narrow"/>
                <w:lang w:val="es-ES_tradnl"/>
              </w:rPr>
              <w:t>844</w:t>
            </w:r>
            <w:bookmarkEnd w:id="440"/>
          </w:p>
        </w:tc>
        <w:tc>
          <w:tcPr>
            <w:tcW w:w="1905" w:type="dxa"/>
            <w:tcBorders>
              <w:top w:val="nil"/>
              <w:left w:val="nil"/>
              <w:bottom w:val="nil"/>
              <w:right w:val="nil"/>
            </w:tcBorders>
            <w:vAlign w:val="center"/>
          </w:tcPr>
          <w:p w14:paraId="088861B7" w14:textId="77777777" w:rsidR="00B65EDC" w:rsidRPr="00E675E8" w:rsidRDefault="00B65EDC">
            <w:pPr>
              <w:jc w:val="right"/>
              <w:rPr>
                <w:rFonts w:ascii="Arial Narrow" w:hAnsi="Arial Narrow" w:cs="Arial"/>
                <w:color w:val="000000"/>
                <w:lang w:val="es-ES_tradnl"/>
              </w:rPr>
            </w:pPr>
            <w:bookmarkStart w:id="441" w:name="_Hlk190004987"/>
            <w:r w:rsidRPr="00E675E8">
              <w:rPr>
                <w:rFonts w:ascii="Arial Narrow" w:hAnsi="Arial Narrow"/>
                <w:lang w:val="es-ES_tradnl"/>
              </w:rPr>
              <w:t>8 460</w:t>
            </w:r>
            <w:bookmarkEnd w:id="441"/>
          </w:p>
        </w:tc>
      </w:tr>
      <w:tr w:rsidR="00B65EDC" w:rsidRPr="00E675E8" w14:paraId="538C61A9" w14:textId="77777777" w:rsidTr="00A538F6">
        <w:trPr>
          <w:trHeight w:val="349"/>
        </w:trPr>
        <w:tc>
          <w:tcPr>
            <w:tcW w:w="482" w:type="dxa"/>
            <w:tcBorders>
              <w:top w:val="nil"/>
              <w:left w:val="nil"/>
              <w:bottom w:val="nil"/>
              <w:right w:val="nil"/>
            </w:tcBorders>
            <w:vAlign w:val="center"/>
            <w:hideMark/>
          </w:tcPr>
          <w:p w14:paraId="31407B75"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5</w:t>
            </w:r>
          </w:p>
        </w:tc>
        <w:tc>
          <w:tcPr>
            <w:tcW w:w="3837" w:type="dxa"/>
            <w:tcBorders>
              <w:top w:val="nil"/>
              <w:left w:val="nil"/>
              <w:bottom w:val="nil"/>
              <w:right w:val="nil"/>
            </w:tcBorders>
            <w:vAlign w:val="center"/>
            <w:hideMark/>
          </w:tcPr>
          <w:p w14:paraId="11CD12FF" w14:textId="77777777" w:rsidR="00B65EDC" w:rsidRPr="00E675E8" w:rsidRDefault="00B65EDC">
            <w:pPr>
              <w:rPr>
                <w:rFonts w:ascii="Arial Narrow" w:hAnsi="Arial Narrow" w:cs="Arial"/>
                <w:color w:val="000000"/>
                <w:lang w:val="es-ES_tradnl"/>
              </w:rPr>
            </w:pPr>
            <w:r w:rsidRPr="00E675E8">
              <w:rPr>
                <w:rFonts w:ascii="Arial Narrow" w:hAnsi="Arial Narrow"/>
                <w:color w:val="000000"/>
                <w:lang w:val="es-ES_tradnl"/>
              </w:rPr>
              <w:t>+/(-) Transferencias hacia/desde reservas</w:t>
            </w:r>
          </w:p>
        </w:tc>
        <w:tc>
          <w:tcPr>
            <w:tcW w:w="1727" w:type="dxa"/>
            <w:tcBorders>
              <w:top w:val="nil"/>
              <w:left w:val="nil"/>
              <w:bottom w:val="nil"/>
              <w:right w:val="nil"/>
            </w:tcBorders>
            <w:vAlign w:val="center"/>
          </w:tcPr>
          <w:p w14:paraId="035E6BCD" w14:textId="77777777" w:rsidR="00B65EDC" w:rsidRPr="00E675E8" w:rsidRDefault="00B65EDC">
            <w:pPr>
              <w:jc w:val="right"/>
              <w:rPr>
                <w:rFonts w:ascii="Arial Narrow" w:hAnsi="Arial Narrow" w:cs="Arial"/>
                <w:color w:val="000000"/>
                <w:lang w:val="es-ES_tradnl"/>
              </w:rPr>
            </w:pPr>
            <w:r w:rsidRPr="00E675E8">
              <w:rPr>
                <w:rFonts w:ascii="Arial Narrow" w:hAnsi="Arial Narrow"/>
                <w:lang w:val="es-ES_tradnl"/>
              </w:rPr>
              <w:t>-</w:t>
            </w:r>
          </w:p>
        </w:tc>
        <w:tc>
          <w:tcPr>
            <w:tcW w:w="1778" w:type="dxa"/>
            <w:tcBorders>
              <w:top w:val="nil"/>
              <w:left w:val="nil"/>
              <w:bottom w:val="nil"/>
              <w:right w:val="nil"/>
            </w:tcBorders>
            <w:vAlign w:val="center"/>
          </w:tcPr>
          <w:p w14:paraId="585A3C90" w14:textId="77777777" w:rsidR="00B65EDC" w:rsidRPr="00E675E8" w:rsidRDefault="00B65EDC">
            <w:pPr>
              <w:jc w:val="right"/>
              <w:rPr>
                <w:rFonts w:ascii="Arial Narrow" w:hAnsi="Arial Narrow" w:cs="Arial"/>
                <w:color w:val="000000"/>
                <w:lang w:val="es-ES_tradnl"/>
              </w:rPr>
            </w:pPr>
            <w:r w:rsidRPr="00E675E8">
              <w:rPr>
                <w:rFonts w:ascii="Arial Narrow" w:hAnsi="Arial Narrow"/>
                <w:lang w:val="es-ES_tradnl"/>
              </w:rPr>
              <w:t>-</w:t>
            </w:r>
          </w:p>
        </w:tc>
        <w:tc>
          <w:tcPr>
            <w:tcW w:w="1905" w:type="dxa"/>
            <w:tcBorders>
              <w:top w:val="nil"/>
              <w:left w:val="nil"/>
              <w:bottom w:val="nil"/>
              <w:right w:val="nil"/>
            </w:tcBorders>
            <w:vAlign w:val="center"/>
          </w:tcPr>
          <w:p w14:paraId="18D236C8" w14:textId="77777777" w:rsidR="00B65EDC" w:rsidRPr="00E675E8" w:rsidRDefault="00B65EDC">
            <w:pPr>
              <w:jc w:val="right"/>
              <w:rPr>
                <w:rFonts w:ascii="Arial Narrow" w:hAnsi="Arial Narrow" w:cs="Arial"/>
                <w:color w:val="000000"/>
                <w:lang w:val="es-ES_tradnl"/>
              </w:rPr>
            </w:pPr>
            <w:r w:rsidRPr="00E675E8">
              <w:rPr>
                <w:rFonts w:ascii="Arial Narrow" w:hAnsi="Arial Narrow"/>
                <w:lang w:val="es-ES_tradnl"/>
              </w:rPr>
              <w:t>-</w:t>
            </w:r>
          </w:p>
        </w:tc>
      </w:tr>
      <w:tr w:rsidR="00B65EDC" w:rsidRPr="00E675E8" w14:paraId="63DF9610" w14:textId="77777777" w:rsidTr="00A538F6">
        <w:trPr>
          <w:trHeight w:val="379"/>
        </w:trPr>
        <w:tc>
          <w:tcPr>
            <w:tcW w:w="482" w:type="dxa"/>
            <w:tcBorders>
              <w:top w:val="single" w:sz="4" w:space="0" w:color="AAB8C4"/>
              <w:left w:val="nil"/>
              <w:bottom w:val="single" w:sz="8" w:space="0" w:color="AAB8C4"/>
              <w:right w:val="nil"/>
            </w:tcBorders>
            <w:vAlign w:val="center"/>
            <w:hideMark/>
          </w:tcPr>
          <w:p w14:paraId="4B8B636A"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6</w:t>
            </w:r>
          </w:p>
        </w:tc>
        <w:tc>
          <w:tcPr>
            <w:tcW w:w="3837" w:type="dxa"/>
            <w:tcBorders>
              <w:top w:val="single" w:sz="4" w:space="0" w:color="AAB8C4"/>
              <w:left w:val="nil"/>
              <w:bottom w:val="single" w:sz="8" w:space="0" w:color="AAB8C4"/>
              <w:right w:val="nil"/>
            </w:tcBorders>
            <w:vAlign w:val="center"/>
            <w:hideMark/>
          </w:tcPr>
          <w:p w14:paraId="3D71BD3D" w14:textId="77777777" w:rsidR="00B65EDC" w:rsidRPr="00E675E8" w:rsidRDefault="00B65EDC">
            <w:pPr>
              <w:rPr>
                <w:rFonts w:ascii="Arial Narrow" w:hAnsi="Arial Narrow" w:cs="Arial"/>
                <w:b/>
                <w:bCs/>
                <w:color w:val="000000"/>
                <w:lang w:val="es-ES_tradnl"/>
              </w:rPr>
            </w:pPr>
            <w:r w:rsidRPr="00E675E8">
              <w:rPr>
                <w:rFonts w:ascii="Arial Narrow" w:hAnsi="Arial Narrow"/>
                <w:b/>
                <w:color w:val="000000"/>
                <w:lang w:val="es-ES_tradnl"/>
              </w:rPr>
              <w:t>Total, recursos</w:t>
            </w:r>
          </w:p>
        </w:tc>
        <w:tc>
          <w:tcPr>
            <w:tcW w:w="1727" w:type="dxa"/>
            <w:tcBorders>
              <w:top w:val="single" w:sz="4" w:space="0" w:color="AAB8C4"/>
              <w:left w:val="nil"/>
              <w:bottom w:val="single" w:sz="8" w:space="0" w:color="AAB8C4"/>
              <w:right w:val="nil"/>
            </w:tcBorders>
            <w:vAlign w:val="center"/>
          </w:tcPr>
          <w:p w14:paraId="4F759DEF"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 xml:space="preserve">7 616 </w:t>
            </w:r>
          </w:p>
        </w:tc>
        <w:tc>
          <w:tcPr>
            <w:tcW w:w="1778" w:type="dxa"/>
            <w:tcBorders>
              <w:top w:val="single" w:sz="4" w:space="0" w:color="AAB8C4"/>
              <w:left w:val="nil"/>
              <w:bottom w:val="single" w:sz="8" w:space="0" w:color="AAB8C4"/>
              <w:right w:val="nil"/>
            </w:tcBorders>
            <w:vAlign w:val="center"/>
          </w:tcPr>
          <w:p w14:paraId="6E38AC51"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 xml:space="preserve">844 </w:t>
            </w:r>
          </w:p>
        </w:tc>
        <w:tc>
          <w:tcPr>
            <w:tcW w:w="1905" w:type="dxa"/>
            <w:tcBorders>
              <w:top w:val="single" w:sz="4" w:space="0" w:color="AAB8C4"/>
              <w:left w:val="nil"/>
              <w:bottom w:val="single" w:sz="8" w:space="0" w:color="AAB8C4"/>
              <w:right w:val="nil"/>
            </w:tcBorders>
            <w:vAlign w:val="center"/>
          </w:tcPr>
          <w:p w14:paraId="0F379F1B"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 xml:space="preserve">8 460 </w:t>
            </w:r>
          </w:p>
        </w:tc>
      </w:tr>
      <w:tr w:rsidR="00B65EDC" w:rsidRPr="00E675E8" w14:paraId="4FD53A27" w14:textId="77777777" w:rsidTr="00A538F6">
        <w:trPr>
          <w:trHeight w:val="334"/>
        </w:trPr>
        <w:tc>
          <w:tcPr>
            <w:tcW w:w="482" w:type="dxa"/>
            <w:tcBorders>
              <w:top w:val="nil"/>
              <w:left w:val="nil"/>
              <w:bottom w:val="nil"/>
              <w:right w:val="nil"/>
            </w:tcBorders>
            <w:hideMark/>
          </w:tcPr>
          <w:p w14:paraId="138CDA0D" w14:textId="77777777" w:rsidR="00B65EDC" w:rsidRPr="00E675E8" w:rsidRDefault="00B65EDC">
            <w:pPr>
              <w:jc w:val="right"/>
              <w:rPr>
                <w:rFonts w:ascii="Arial Narrow" w:hAnsi="Arial Narrow" w:cs="Arial"/>
                <w:b/>
                <w:bCs/>
                <w:color w:val="000000"/>
                <w:lang w:val="es-ES_tradnl"/>
              </w:rPr>
            </w:pPr>
          </w:p>
        </w:tc>
        <w:tc>
          <w:tcPr>
            <w:tcW w:w="3837" w:type="dxa"/>
            <w:tcBorders>
              <w:top w:val="nil"/>
              <w:left w:val="nil"/>
              <w:bottom w:val="nil"/>
              <w:right w:val="nil"/>
            </w:tcBorders>
            <w:vAlign w:val="center"/>
            <w:hideMark/>
          </w:tcPr>
          <w:p w14:paraId="1D95F054" w14:textId="77777777" w:rsidR="00B65EDC" w:rsidRPr="00E675E8" w:rsidRDefault="00B65EDC">
            <w:pPr>
              <w:rPr>
                <w:rFonts w:ascii="Arial Narrow" w:hAnsi="Arial Narrow" w:cs="Arial"/>
                <w:i/>
                <w:iCs/>
                <w:color w:val="000000"/>
                <w:lang w:val="es-ES_tradnl"/>
              </w:rPr>
            </w:pPr>
            <w:r w:rsidRPr="00E675E8">
              <w:rPr>
                <w:rFonts w:ascii="Arial Narrow" w:hAnsi="Arial Narrow"/>
                <w:i/>
                <w:color w:val="000000"/>
                <w:lang w:val="es-ES_tradnl"/>
              </w:rPr>
              <w:t>Variación</w:t>
            </w:r>
          </w:p>
        </w:tc>
        <w:tc>
          <w:tcPr>
            <w:tcW w:w="1727" w:type="dxa"/>
            <w:tcBorders>
              <w:top w:val="nil"/>
              <w:left w:val="nil"/>
              <w:bottom w:val="nil"/>
              <w:right w:val="nil"/>
            </w:tcBorders>
            <w:vAlign w:val="center"/>
          </w:tcPr>
          <w:p w14:paraId="1C31848F"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-3,6 %</w:t>
            </w:r>
          </w:p>
        </w:tc>
        <w:tc>
          <w:tcPr>
            <w:tcW w:w="1778" w:type="dxa"/>
            <w:tcBorders>
              <w:top w:val="nil"/>
              <w:left w:val="nil"/>
              <w:bottom w:val="nil"/>
              <w:right w:val="nil"/>
            </w:tcBorders>
            <w:vAlign w:val="center"/>
          </w:tcPr>
          <w:p w14:paraId="32B724B6" w14:textId="77777777" w:rsidR="00B65EDC" w:rsidRPr="00E675E8" w:rsidRDefault="00B65EDC">
            <w:pPr>
              <w:jc w:val="right"/>
              <w:rPr>
                <w:rFonts w:ascii="Arial Narrow" w:hAnsi="Arial Narrow" w:cs="Arial"/>
                <w:i/>
                <w:iCs/>
                <w:color w:val="000000"/>
                <w:lang w:val="es-ES_tradnl"/>
              </w:rPr>
            </w:pPr>
          </w:p>
        </w:tc>
        <w:tc>
          <w:tcPr>
            <w:tcW w:w="1905" w:type="dxa"/>
            <w:tcBorders>
              <w:top w:val="nil"/>
              <w:left w:val="nil"/>
              <w:bottom w:val="nil"/>
              <w:right w:val="nil"/>
            </w:tcBorders>
            <w:vAlign w:val="center"/>
          </w:tcPr>
          <w:p w14:paraId="37082DE3"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-4,6 %</w:t>
            </w:r>
          </w:p>
        </w:tc>
      </w:tr>
    </w:tbl>
    <w:p w14:paraId="4224B818" w14:textId="77777777" w:rsidR="00B65EDC" w:rsidRPr="00E675E8" w:rsidRDefault="00B65EDC" w:rsidP="00B65EDC">
      <w:pPr>
        <w:tabs>
          <w:tab w:val="left" w:pos="284"/>
        </w:tabs>
        <w:spacing w:before="120"/>
        <w:rPr>
          <w:i/>
          <w:iCs/>
          <w:sz w:val="16"/>
          <w:lang w:val="es-ES_tradnl"/>
        </w:rPr>
      </w:pPr>
      <w:r w:rsidRPr="00E675E8">
        <w:rPr>
          <w:i/>
          <w:sz w:val="16"/>
          <w:lang w:val="es-ES_tradnl"/>
        </w:rPr>
        <w:t>* Excluidos los gastos de apoyo administrativo del 13 % en el marco de los fondos fiduciarios</w:t>
      </w:r>
    </w:p>
    <w:p w14:paraId="15B746F7" w14:textId="77777777" w:rsidR="00B65EDC" w:rsidRPr="00E675E8" w:rsidRDefault="00B65EDC" w:rsidP="00B65EDC">
      <w:pPr>
        <w:rPr>
          <w:lang w:val="es-ES_tradnl"/>
        </w:rPr>
      </w:pPr>
    </w:p>
    <w:p w14:paraId="332A27D4" w14:textId="77777777" w:rsidR="00B65EDC" w:rsidRPr="00E675E8" w:rsidRDefault="00B65EDC" w:rsidP="00B65EDC">
      <w:pPr>
        <w:rPr>
          <w:lang w:val="es-ES_tradnl"/>
        </w:rPr>
      </w:pPr>
    </w:p>
    <w:p w14:paraId="7346CF66" w14:textId="77777777" w:rsidR="00B65EDC" w:rsidRPr="00E675E8" w:rsidRDefault="00B65EDC" w:rsidP="000363C4">
      <w:pPr>
        <w:pStyle w:val="Heading3"/>
        <w:rPr>
          <w:lang w:val="es-ES_tradnl"/>
        </w:rPr>
      </w:pPr>
      <w:bookmarkStart w:id="442" w:name="_Toc209777763"/>
      <w:r w:rsidRPr="00E675E8">
        <w:rPr>
          <w:lang w:val="es-ES_tradnl"/>
        </w:rPr>
        <w:lastRenderedPageBreak/>
        <w:t>Gastos</w:t>
      </w:r>
      <w:bookmarkEnd w:id="442"/>
    </w:p>
    <w:p w14:paraId="7E8F5EA8" w14:textId="77777777" w:rsidR="00B65EDC" w:rsidRPr="00E675E8" w:rsidRDefault="00B65EDC" w:rsidP="00BB7BA1">
      <w:pPr>
        <w:keepNext/>
        <w:rPr>
          <w:lang w:val="es-ES_tradnl"/>
        </w:rPr>
      </w:pPr>
    </w:p>
    <w:p w14:paraId="5D2F54BB" w14:textId="04226BF0" w:rsidR="00B65EDC" w:rsidRPr="00E675E8" w:rsidRDefault="00B65EDC" w:rsidP="00B65EDC">
      <w:pPr>
        <w:tabs>
          <w:tab w:val="left" w:pos="567"/>
        </w:tabs>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La propuesta de presupuesto para 2026-2027 asciende a 7 615 864 francos suizos, lo que representa una disminución de 285 443 francos suizos, es decir, un 3,6 %, en comparación con el presupuesto para 2024-2025 (véase el cuadro 4).</w:t>
      </w:r>
    </w:p>
    <w:p w14:paraId="7BD273F4" w14:textId="77777777" w:rsidR="00B65EDC" w:rsidRPr="00E675E8" w:rsidRDefault="00B65EDC" w:rsidP="00B65EDC">
      <w:pPr>
        <w:tabs>
          <w:tab w:val="left" w:pos="567"/>
        </w:tabs>
        <w:rPr>
          <w:lang w:val="es-ES_tradnl"/>
        </w:rPr>
      </w:pPr>
    </w:p>
    <w:bookmarkStart w:id="443" w:name="_Hlk190102689"/>
    <w:p w14:paraId="53B758AB" w14:textId="4A47D042" w:rsidR="00B65EDC" w:rsidRPr="00E675E8" w:rsidRDefault="00B65EDC" w:rsidP="00B65EDC">
      <w:pPr>
        <w:tabs>
          <w:tab w:val="left" w:pos="567"/>
        </w:tabs>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El gasto propuesto se centra en áreas prioritarias, al tiempo que contiene los gastos de personal y los gastos operativos.</w:t>
      </w:r>
      <w:r w:rsidR="002817AB" w:rsidRPr="00E675E8">
        <w:rPr>
          <w:lang w:val="es-ES_tradnl"/>
        </w:rPr>
        <w:t xml:space="preserve"> </w:t>
      </w:r>
      <w:r w:rsidR="000411C9">
        <w:rPr>
          <w:lang w:val="es-ES_tradnl"/>
        </w:rPr>
        <w:t xml:space="preserve"> </w:t>
      </w:r>
      <w:r w:rsidRPr="00E675E8">
        <w:rPr>
          <w:lang w:val="es-ES_tradnl"/>
        </w:rPr>
        <w:t>El uso habitual de tecnologías de traducción automática para traducir documentos ha permitido reducir los costos de traducción en un 68</w:t>
      </w:r>
      <w:r w:rsidR="000475D2">
        <w:rPr>
          <w:lang w:val="es-ES_tradnl"/>
        </w:rPr>
        <w:t> </w:t>
      </w:r>
      <w:r w:rsidRPr="00E675E8">
        <w:rPr>
          <w:lang w:val="es-ES_tradnl"/>
        </w:rPr>
        <w:t>%.</w:t>
      </w:r>
      <w:r w:rsidR="002817AB" w:rsidRPr="00E675E8">
        <w:rPr>
          <w:lang w:val="es-ES_tradnl"/>
        </w:rPr>
        <w:t xml:space="preserve"> </w:t>
      </w:r>
      <w:r w:rsidR="000411C9">
        <w:rPr>
          <w:lang w:val="es-ES_tradnl"/>
        </w:rPr>
        <w:t xml:space="preserve"> </w:t>
      </w:r>
      <w:r w:rsidRPr="00E675E8">
        <w:rPr>
          <w:lang w:val="es-ES_tradnl"/>
        </w:rPr>
        <w:t xml:space="preserve">Mientras no se consigan recursos adicionales, se incrementará el uso de herramientas de reunión virtuales o híbridas y la participación en línea en actos organizados por terceros, lo que se traducirá en una reducción del tiempo de viaje y de los costos (disminución del 31 % entre 2026 y 2027 con respecto a 2024 y 2025). </w:t>
      </w:r>
    </w:p>
    <w:bookmarkEnd w:id="443"/>
    <w:p w14:paraId="3BD169DE" w14:textId="77777777" w:rsidR="00B65EDC" w:rsidRPr="00E675E8" w:rsidRDefault="00B65EDC" w:rsidP="00B65EDC">
      <w:pPr>
        <w:pStyle w:val="ListParagraph"/>
        <w:tabs>
          <w:tab w:val="left" w:pos="851"/>
        </w:tabs>
        <w:ind w:left="0"/>
        <w:contextualSpacing w:val="0"/>
        <w:rPr>
          <w:lang w:val="es-ES_tradnl"/>
        </w:rPr>
      </w:pPr>
    </w:p>
    <w:p w14:paraId="199DF61C" w14:textId="5C7FD94A" w:rsidR="004B5DA7" w:rsidRPr="00E675E8" w:rsidRDefault="00B65EDC" w:rsidP="003A26C8">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La revisión del acuerdo sobre el nivel de servicio suscrito entre la OMPI y la UPOV en 2025 ha dado lugar a un aumento de 368</w:t>
      </w:r>
      <w:r w:rsidR="000475D2">
        <w:rPr>
          <w:lang w:val="es-ES_tradnl"/>
        </w:rPr>
        <w:t> </w:t>
      </w:r>
      <w:r w:rsidRPr="00E675E8">
        <w:rPr>
          <w:lang w:val="es-ES_tradnl"/>
        </w:rPr>
        <w:t xml:space="preserve">054 francos suizos en el costo de los servicios prestados por la OMPI a la UPOV para el bienio 2026-2027. </w:t>
      </w:r>
      <w:r w:rsidR="000411C9">
        <w:rPr>
          <w:lang w:val="es-ES_tradnl"/>
        </w:rPr>
        <w:t xml:space="preserve"> </w:t>
      </w:r>
      <w:r w:rsidRPr="00E675E8">
        <w:rPr>
          <w:lang w:val="es-ES_tradnl"/>
        </w:rPr>
        <w:t>Teniendo en cuenta la repercusión que este aumento tendría en el presupuesto de la UPOV, el bienio 2026-2027 será un período de transición en el que la OMPI facturará el 25 % del aumento, es decir, 92</w:t>
      </w:r>
      <w:r w:rsidR="000411C9">
        <w:rPr>
          <w:lang w:val="es-ES_tradnl"/>
        </w:rPr>
        <w:t> </w:t>
      </w:r>
      <w:r w:rsidRPr="00E675E8">
        <w:rPr>
          <w:lang w:val="es-ES_tradnl"/>
        </w:rPr>
        <w:t xml:space="preserve">014 francos suizos. </w:t>
      </w:r>
      <w:r w:rsidR="000411C9">
        <w:rPr>
          <w:lang w:val="es-ES_tradnl"/>
        </w:rPr>
        <w:t xml:space="preserve"> </w:t>
      </w:r>
      <w:r w:rsidRPr="00E675E8">
        <w:rPr>
          <w:lang w:val="es-ES_tradnl"/>
        </w:rPr>
        <w:t xml:space="preserve">Esta cantidad no se refleja en las cifras presentadas en el proyecto de programa y presupuesto para el período 2026-2027 (documento C/59/4) y se absorberá mediante los ahorros generados durante su ejecución. </w:t>
      </w:r>
    </w:p>
    <w:p w14:paraId="14C63727" w14:textId="77777777" w:rsidR="004B5DA7" w:rsidRPr="00E675E8" w:rsidRDefault="004B5DA7" w:rsidP="003A26C8">
      <w:pPr>
        <w:rPr>
          <w:lang w:val="es-ES_tradnl"/>
        </w:rPr>
      </w:pPr>
    </w:p>
    <w:p w14:paraId="35D91716" w14:textId="7F8F021D" w:rsidR="003A26C8" w:rsidRPr="00E675E8" w:rsidRDefault="00090431" w:rsidP="003A26C8">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 xml:space="preserve">Los servicios prestados por la OMPI y la cantidad que deberá pagar la UPOV en virtud del acuerdo de nivel de servicios se examinarán en el contexto de la preparación de cada programa y presupuesto bienal de la UPOV. </w:t>
      </w:r>
      <w:r w:rsidR="000411C9">
        <w:rPr>
          <w:lang w:val="es-ES_tradnl"/>
        </w:rPr>
        <w:t xml:space="preserve"> </w:t>
      </w:r>
      <w:r w:rsidRPr="00E675E8">
        <w:rPr>
          <w:lang w:val="es-ES_tradnl"/>
        </w:rPr>
        <w:t xml:space="preserve">La facturación de la OMPI a la UPOV se ajustará cada dos años. </w:t>
      </w:r>
      <w:r w:rsidR="000411C9">
        <w:rPr>
          <w:lang w:val="es-ES_tradnl"/>
        </w:rPr>
        <w:t xml:space="preserve"> </w:t>
      </w:r>
      <w:r w:rsidRPr="00E675E8">
        <w:rPr>
          <w:lang w:val="es-ES_tradnl"/>
        </w:rPr>
        <w:t>La estrategia de recursos de la</w:t>
      </w:r>
      <w:r w:rsidR="000411C9">
        <w:rPr>
          <w:lang w:val="es-ES_tradnl"/>
        </w:rPr>
        <w:t> </w:t>
      </w:r>
      <w:r w:rsidRPr="00E675E8">
        <w:rPr>
          <w:lang w:val="es-ES_tradnl"/>
        </w:rPr>
        <w:t xml:space="preserve">UPOV (documento C/59/16) es esencial para garantizar que la UPOV pueda cubrir el costo total de los servicios prestados por la OMPI en los próximos bienios. </w:t>
      </w:r>
    </w:p>
    <w:p w14:paraId="3536A772" w14:textId="77777777" w:rsidR="00F34B17" w:rsidRPr="00E675E8" w:rsidRDefault="00F34B17" w:rsidP="00B65EDC">
      <w:pPr>
        <w:rPr>
          <w:lang w:val="es-ES_tradnl"/>
        </w:rPr>
      </w:pPr>
    </w:p>
    <w:p w14:paraId="3B68AF78" w14:textId="77777777" w:rsidR="000411C9" w:rsidRDefault="000411C9">
      <w:pPr>
        <w:jc w:val="left"/>
        <w:rPr>
          <w:b/>
          <w:color w:val="26724C" w:themeColor="accent1" w:themeShade="BF"/>
          <w:lang w:val="es-ES_tradnl"/>
        </w:rPr>
      </w:pPr>
      <w:r>
        <w:rPr>
          <w:b/>
          <w:color w:val="26724C" w:themeColor="accent1" w:themeShade="BF"/>
          <w:lang w:val="es-ES_tradnl"/>
        </w:rPr>
        <w:br w:type="page"/>
      </w:r>
    </w:p>
    <w:p w14:paraId="33DCCF95" w14:textId="2C51063A" w:rsidR="00B65EDC" w:rsidRPr="00E675E8" w:rsidRDefault="00B65EDC" w:rsidP="00B65EDC">
      <w:pPr>
        <w:keepNext/>
        <w:jc w:val="center"/>
        <w:rPr>
          <w:rFonts w:cs="Arial"/>
          <w:b/>
          <w:bCs/>
          <w:color w:val="26724C" w:themeColor="accent1" w:themeShade="BF"/>
          <w:lang w:val="es-ES_tradnl"/>
        </w:rPr>
      </w:pPr>
      <w:r w:rsidRPr="00E675E8">
        <w:rPr>
          <w:b/>
          <w:color w:val="26724C" w:themeColor="accent1" w:themeShade="BF"/>
          <w:lang w:val="es-ES_tradnl"/>
        </w:rPr>
        <w:lastRenderedPageBreak/>
        <w:t>Cuadro 4:</w:t>
      </w:r>
      <w:r w:rsidR="002817AB" w:rsidRPr="00E675E8">
        <w:rPr>
          <w:b/>
          <w:color w:val="26724C" w:themeColor="accent1" w:themeShade="BF"/>
          <w:lang w:val="es-ES_tradnl"/>
        </w:rPr>
        <w:t xml:space="preserve"> </w:t>
      </w:r>
      <w:r w:rsidRPr="00E675E8">
        <w:rPr>
          <w:b/>
          <w:color w:val="26724C" w:themeColor="accent1" w:themeShade="BF"/>
          <w:lang w:val="es-ES_tradnl"/>
        </w:rPr>
        <w:t>Propuesta de presupuesto 2026</w:t>
      </w:r>
      <w:r w:rsidRPr="00E675E8">
        <w:rPr>
          <w:b/>
          <w:color w:val="26724C" w:themeColor="accent1" w:themeShade="BF"/>
          <w:lang w:val="es-ES_tradnl"/>
        </w:rPr>
        <w:noBreakHyphen/>
        <w:t>2027:</w:t>
      </w:r>
      <w:r w:rsidR="002817AB" w:rsidRPr="00E675E8">
        <w:rPr>
          <w:b/>
          <w:color w:val="26724C" w:themeColor="accent1" w:themeShade="BF"/>
          <w:lang w:val="es-ES_tradnl"/>
        </w:rPr>
        <w:t xml:space="preserve"> </w:t>
      </w:r>
      <w:r w:rsidRPr="00E675E8">
        <w:rPr>
          <w:b/>
          <w:color w:val="26724C" w:themeColor="accent1" w:themeShade="BF"/>
          <w:lang w:val="es-ES_tradnl"/>
        </w:rPr>
        <w:t>Presupuesto por categoría de gasto</w:t>
      </w:r>
    </w:p>
    <w:p w14:paraId="3914568E" w14:textId="77777777" w:rsidR="00B65EDC" w:rsidRPr="00E675E8" w:rsidRDefault="00B65EDC" w:rsidP="00B65EDC">
      <w:pPr>
        <w:keepNext/>
        <w:jc w:val="center"/>
        <w:rPr>
          <w:rFonts w:cs="Arial"/>
          <w:i/>
          <w:iCs/>
          <w:sz w:val="18"/>
          <w:szCs w:val="18"/>
          <w:lang w:val="es-ES_tradnl"/>
        </w:rPr>
      </w:pPr>
      <w:r w:rsidRPr="00E675E8">
        <w:rPr>
          <w:i/>
          <w:sz w:val="18"/>
          <w:lang w:val="es-ES_tradnl"/>
        </w:rPr>
        <w:t>(en miles de francos suizos)</w:t>
      </w:r>
    </w:p>
    <w:p w14:paraId="5C494DBE" w14:textId="77777777" w:rsidR="00B65EDC" w:rsidRPr="00E675E8" w:rsidRDefault="00B65EDC" w:rsidP="00B65EDC">
      <w:pPr>
        <w:keepNext/>
        <w:rPr>
          <w:rFonts w:cs="Arial"/>
          <w:i/>
          <w:iCs/>
          <w:lang w:val="es-ES_tradnl"/>
        </w:rPr>
      </w:pPr>
    </w:p>
    <w:tbl>
      <w:tblPr>
        <w:tblW w:w="9081" w:type="dxa"/>
        <w:jc w:val="center"/>
        <w:tblLook w:val="04A0" w:firstRow="1" w:lastRow="0" w:firstColumn="1" w:lastColumn="0" w:noHBand="0" w:noVBand="1"/>
      </w:tblPr>
      <w:tblGrid>
        <w:gridCol w:w="419"/>
        <w:gridCol w:w="3123"/>
        <w:gridCol w:w="1142"/>
        <w:gridCol w:w="1123"/>
        <w:gridCol w:w="933"/>
        <w:gridCol w:w="1123"/>
        <w:gridCol w:w="1218"/>
      </w:tblGrid>
      <w:tr w:rsidR="00B65EDC" w:rsidRPr="00E675E8" w14:paraId="7DF868BE" w14:textId="77777777" w:rsidTr="003F289C">
        <w:trPr>
          <w:trHeight w:val="340"/>
          <w:tblHeader/>
          <w:jc w:val="center"/>
        </w:trPr>
        <w:tc>
          <w:tcPr>
            <w:tcW w:w="419" w:type="dxa"/>
            <w:vMerge w:val="restart"/>
            <w:tcBorders>
              <w:top w:val="nil"/>
              <w:left w:val="nil"/>
              <w:bottom w:val="single" w:sz="4" w:space="0" w:color="BFBFBF"/>
              <w:right w:val="nil"/>
            </w:tcBorders>
            <w:shd w:val="clear" w:color="000000" w:fill="C7CFD8"/>
            <w:vAlign w:val="bottom"/>
            <w:hideMark/>
          </w:tcPr>
          <w:p w14:paraId="033848CB" w14:textId="77777777" w:rsidR="00B65EDC" w:rsidRPr="00E675E8" w:rsidRDefault="00B65EDC">
            <w:pPr>
              <w:jc w:val="center"/>
              <w:rPr>
                <w:rFonts w:cs="Arial"/>
                <w:b/>
                <w:bCs/>
                <w:lang w:val="es-ES_tradnl"/>
              </w:rPr>
            </w:pPr>
          </w:p>
        </w:tc>
        <w:tc>
          <w:tcPr>
            <w:tcW w:w="3123" w:type="dxa"/>
            <w:vMerge w:val="restart"/>
            <w:tcBorders>
              <w:top w:val="nil"/>
              <w:left w:val="nil"/>
              <w:bottom w:val="single" w:sz="4" w:space="0" w:color="BFBFBF"/>
              <w:right w:val="nil"/>
            </w:tcBorders>
            <w:shd w:val="clear" w:color="000000" w:fill="C7CFD8"/>
            <w:vAlign w:val="bottom"/>
            <w:hideMark/>
          </w:tcPr>
          <w:p w14:paraId="214D5443" w14:textId="77777777" w:rsidR="00B65EDC" w:rsidRPr="00E675E8" w:rsidRDefault="00B65EDC">
            <w:pPr>
              <w:jc w:val="center"/>
              <w:rPr>
                <w:rFonts w:cs="Arial"/>
                <w:b/>
                <w:bCs/>
                <w:lang w:val="es-ES_tradnl"/>
              </w:rPr>
            </w:pPr>
            <w:r w:rsidRPr="00E675E8">
              <w:rPr>
                <w:b/>
                <w:lang w:val="es-ES_tradnl"/>
              </w:rPr>
              <w:t xml:space="preserve"> </w:t>
            </w:r>
          </w:p>
        </w:tc>
        <w:tc>
          <w:tcPr>
            <w:tcW w:w="1142" w:type="dxa"/>
            <w:vMerge w:val="restart"/>
            <w:tcBorders>
              <w:top w:val="single" w:sz="4" w:space="0" w:color="BFBFBF"/>
              <w:left w:val="nil"/>
              <w:bottom w:val="nil"/>
              <w:right w:val="nil"/>
            </w:tcBorders>
            <w:shd w:val="clear" w:color="000000" w:fill="C7CFD8"/>
            <w:vAlign w:val="center"/>
            <w:hideMark/>
          </w:tcPr>
          <w:p w14:paraId="2EA650E1"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 2022-2023 Real </w:t>
            </w:r>
          </w:p>
        </w:tc>
        <w:tc>
          <w:tcPr>
            <w:tcW w:w="1123" w:type="dxa"/>
            <w:vMerge w:val="restart"/>
            <w:tcBorders>
              <w:top w:val="single" w:sz="4" w:space="0" w:color="BFBFBF"/>
              <w:left w:val="nil"/>
              <w:bottom w:val="nil"/>
              <w:right w:val="nil"/>
            </w:tcBorders>
            <w:shd w:val="clear" w:color="000000" w:fill="C7CFD8"/>
            <w:vAlign w:val="center"/>
            <w:hideMark/>
          </w:tcPr>
          <w:p w14:paraId="3D799D9B"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 2024-2025 Presupuesto </w:t>
            </w:r>
          </w:p>
        </w:tc>
        <w:tc>
          <w:tcPr>
            <w:tcW w:w="2056" w:type="dxa"/>
            <w:gridSpan w:val="2"/>
            <w:tcBorders>
              <w:top w:val="single" w:sz="4" w:space="0" w:color="BFBFBF"/>
              <w:left w:val="nil"/>
              <w:bottom w:val="nil"/>
              <w:right w:val="nil"/>
            </w:tcBorders>
            <w:shd w:val="clear" w:color="000000" w:fill="C7CFD8"/>
            <w:vAlign w:val="center"/>
            <w:hideMark/>
          </w:tcPr>
          <w:p w14:paraId="7DA0234A" w14:textId="5E32C6D4"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Variación </w:t>
            </w:r>
          </w:p>
        </w:tc>
        <w:tc>
          <w:tcPr>
            <w:tcW w:w="1218" w:type="dxa"/>
            <w:vMerge w:val="restart"/>
            <w:tcBorders>
              <w:top w:val="single" w:sz="4" w:space="0" w:color="BFBFBF"/>
              <w:left w:val="nil"/>
              <w:bottom w:val="nil"/>
              <w:right w:val="nil"/>
            </w:tcBorders>
            <w:shd w:val="clear" w:color="000000" w:fill="C7CFD8"/>
            <w:vAlign w:val="center"/>
            <w:hideMark/>
          </w:tcPr>
          <w:p w14:paraId="0376C1E0" w14:textId="6957442D" w:rsidR="00B65EDC" w:rsidRPr="00E675E8" w:rsidRDefault="00521C0D">
            <w:pPr>
              <w:jc w:val="center"/>
              <w:rPr>
                <w:rFonts w:ascii="Arial Narrow" w:hAnsi="Arial Narrow" w:cs="Arial"/>
                <w:b/>
                <w:bCs/>
                <w:sz w:val="18"/>
                <w:szCs w:val="18"/>
                <w:lang w:val="es-ES_tradnl"/>
              </w:rPr>
            </w:pPr>
            <w:r w:rsidRPr="00E675E8">
              <w:rPr>
                <w:rFonts w:ascii="Arial Narrow" w:hAnsi="Arial Narrow"/>
                <w:b/>
                <w:sz w:val="18"/>
                <w:lang w:val="es-ES_tradnl"/>
              </w:rPr>
              <w:t>Propuesta para 2026-2027</w:t>
            </w:r>
          </w:p>
        </w:tc>
      </w:tr>
      <w:tr w:rsidR="00B65EDC" w:rsidRPr="00E675E8" w14:paraId="50AA827C" w14:textId="77777777" w:rsidTr="003F289C">
        <w:trPr>
          <w:trHeight w:val="337"/>
          <w:tblHeader/>
          <w:jc w:val="center"/>
        </w:trPr>
        <w:tc>
          <w:tcPr>
            <w:tcW w:w="419" w:type="dxa"/>
            <w:vMerge/>
            <w:tcBorders>
              <w:top w:val="nil"/>
              <w:left w:val="nil"/>
              <w:bottom w:val="single" w:sz="4" w:space="0" w:color="BFBFBF"/>
              <w:right w:val="nil"/>
            </w:tcBorders>
            <w:vAlign w:val="center"/>
            <w:hideMark/>
          </w:tcPr>
          <w:p w14:paraId="3DD72DF8" w14:textId="77777777" w:rsidR="00B65EDC" w:rsidRPr="00E675E8" w:rsidRDefault="00B65EDC">
            <w:pPr>
              <w:jc w:val="left"/>
              <w:rPr>
                <w:rFonts w:cs="Arial"/>
                <w:b/>
                <w:bCs/>
                <w:lang w:val="es-ES_tradnl"/>
              </w:rPr>
            </w:pPr>
          </w:p>
        </w:tc>
        <w:tc>
          <w:tcPr>
            <w:tcW w:w="3123" w:type="dxa"/>
            <w:vMerge/>
            <w:tcBorders>
              <w:top w:val="nil"/>
              <w:left w:val="nil"/>
              <w:bottom w:val="single" w:sz="4" w:space="0" w:color="BFBFBF"/>
              <w:right w:val="nil"/>
            </w:tcBorders>
            <w:vAlign w:val="center"/>
            <w:hideMark/>
          </w:tcPr>
          <w:p w14:paraId="030B6122" w14:textId="77777777" w:rsidR="00B65EDC" w:rsidRPr="00E675E8" w:rsidRDefault="00B65EDC">
            <w:pPr>
              <w:jc w:val="left"/>
              <w:rPr>
                <w:rFonts w:cs="Arial"/>
                <w:b/>
                <w:bCs/>
                <w:lang w:val="es-ES_tradnl"/>
              </w:rPr>
            </w:pPr>
          </w:p>
        </w:tc>
        <w:tc>
          <w:tcPr>
            <w:tcW w:w="1142" w:type="dxa"/>
            <w:vMerge/>
            <w:tcBorders>
              <w:top w:val="single" w:sz="4" w:space="0" w:color="BFBFBF"/>
              <w:left w:val="nil"/>
              <w:bottom w:val="nil"/>
              <w:right w:val="nil"/>
            </w:tcBorders>
            <w:vAlign w:val="center"/>
            <w:hideMark/>
          </w:tcPr>
          <w:p w14:paraId="669A0740" w14:textId="77777777" w:rsidR="00B65EDC" w:rsidRPr="00E675E8" w:rsidRDefault="00B65EDC">
            <w:pPr>
              <w:jc w:val="left"/>
              <w:rPr>
                <w:rFonts w:ascii="Arial Narrow" w:hAnsi="Arial Narrow" w:cs="Arial"/>
                <w:b/>
                <w:bCs/>
                <w:sz w:val="18"/>
                <w:szCs w:val="18"/>
                <w:lang w:val="es-ES_tradnl"/>
              </w:rPr>
            </w:pPr>
          </w:p>
        </w:tc>
        <w:tc>
          <w:tcPr>
            <w:tcW w:w="1123" w:type="dxa"/>
            <w:vMerge/>
            <w:tcBorders>
              <w:top w:val="single" w:sz="4" w:space="0" w:color="BFBFBF"/>
              <w:left w:val="nil"/>
              <w:bottom w:val="nil"/>
              <w:right w:val="nil"/>
            </w:tcBorders>
            <w:vAlign w:val="center"/>
            <w:hideMark/>
          </w:tcPr>
          <w:p w14:paraId="3E152168" w14:textId="77777777" w:rsidR="00B65EDC" w:rsidRPr="00E675E8" w:rsidRDefault="00B65EDC">
            <w:pPr>
              <w:jc w:val="left"/>
              <w:rPr>
                <w:rFonts w:ascii="Arial Narrow" w:hAnsi="Arial Narrow" w:cs="Arial"/>
                <w:b/>
                <w:bCs/>
                <w:sz w:val="18"/>
                <w:szCs w:val="18"/>
                <w:lang w:val="es-ES_tradnl"/>
              </w:rPr>
            </w:pPr>
          </w:p>
        </w:tc>
        <w:tc>
          <w:tcPr>
            <w:tcW w:w="933" w:type="dxa"/>
            <w:tcBorders>
              <w:top w:val="single" w:sz="4" w:space="0" w:color="748B9E"/>
              <w:left w:val="nil"/>
              <w:bottom w:val="nil"/>
              <w:right w:val="nil"/>
            </w:tcBorders>
            <w:shd w:val="clear" w:color="000000" w:fill="C7CFD8"/>
            <w:vAlign w:val="center"/>
            <w:hideMark/>
          </w:tcPr>
          <w:p w14:paraId="4BAF66A0" w14:textId="5D0288BB"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Importe </w:t>
            </w:r>
          </w:p>
        </w:tc>
        <w:tc>
          <w:tcPr>
            <w:tcW w:w="1123" w:type="dxa"/>
            <w:tcBorders>
              <w:top w:val="single" w:sz="4" w:space="0" w:color="748B9E"/>
              <w:left w:val="nil"/>
              <w:bottom w:val="nil"/>
              <w:right w:val="nil"/>
            </w:tcBorders>
            <w:shd w:val="clear" w:color="000000" w:fill="C7CFD8"/>
            <w:vAlign w:val="center"/>
            <w:hideMark/>
          </w:tcPr>
          <w:p w14:paraId="2300EBC8" w14:textId="45446658"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 </w:t>
            </w:r>
          </w:p>
        </w:tc>
        <w:tc>
          <w:tcPr>
            <w:tcW w:w="1218" w:type="dxa"/>
            <w:vMerge/>
            <w:tcBorders>
              <w:top w:val="single" w:sz="4" w:space="0" w:color="BFBFBF"/>
              <w:left w:val="nil"/>
              <w:bottom w:val="nil"/>
              <w:right w:val="nil"/>
            </w:tcBorders>
            <w:vAlign w:val="center"/>
            <w:hideMark/>
          </w:tcPr>
          <w:p w14:paraId="75622175" w14:textId="77777777" w:rsidR="00B65EDC" w:rsidRPr="00E675E8" w:rsidRDefault="00B65EDC">
            <w:pPr>
              <w:jc w:val="left"/>
              <w:rPr>
                <w:rFonts w:ascii="Arial Narrow" w:hAnsi="Arial Narrow" w:cs="Arial"/>
                <w:b/>
                <w:bCs/>
                <w:sz w:val="18"/>
                <w:szCs w:val="18"/>
                <w:lang w:val="es-ES_tradnl"/>
              </w:rPr>
            </w:pPr>
          </w:p>
        </w:tc>
      </w:tr>
      <w:tr w:rsidR="00B65EDC" w:rsidRPr="00E675E8" w14:paraId="5971B9B1" w14:textId="77777777" w:rsidTr="003F289C">
        <w:trPr>
          <w:trHeight w:val="258"/>
          <w:tblHeader/>
          <w:jc w:val="center"/>
        </w:trPr>
        <w:tc>
          <w:tcPr>
            <w:tcW w:w="419" w:type="dxa"/>
            <w:vMerge/>
            <w:tcBorders>
              <w:top w:val="nil"/>
              <w:left w:val="nil"/>
              <w:bottom w:val="single" w:sz="4" w:space="0" w:color="BFBFBF"/>
              <w:right w:val="nil"/>
            </w:tcBorders>
            <w:vAlign w:val="center"/>
            <w:hideMark/>
          </w:tcPr>
          <w:p w14:paraId="385CA7FD" w14:textId="77777777" w:rsidR="00B65EDC" w:rsidRPr="00E675E8" w:rsidRDefault="00B65EDC">
            <w:pPr>
              <w:jc w:val="left"/>
              <w:rPr>
                <w:rFonts w:cs="Arial"/>
                <w:b/>
                <w:bCs/>
                <w:lang w:val="es-ES_tradnl"/>
              </w:rPr>
            </w:pPr>
          </w:p>
        </w:tc>
        <w:tc>
          <w:tcPr>
            <w:tcW w:w="3123" w:type="dxa"/>
            <w:vMerge/>
            <w:tcBorders>
              <w:top w:val="nil"/>
              <w:left w:val="nil"/>
              <w:bottom w:val="single" w:sz="4" w:space="0" w:color="BFBFBF"/>
              <w:right w:val="nil"/>
            </w:tcBorders>
            <w:vAlign w:val="center"/>
            <w:hideMark/>
          </w:tcPr>
          <w:p w14:paraId="55A55FB0" w14:textId="77777777" w:rsidR="00B65EDC" w:rsidRPr="00E675E8" w:rsidRDefault="00B65EDC">
            <w:pPr>
              <w:jc w:val="left"/>
              <w:rPr>
                <w:rFonts w:cs="Arial"/>
                <w:b/>
                <w:bCs/>
                <w:lang w:val="es-ES_tradnl"/>
              </w:rPr>
            </w:pPr>
          </w:p>
        </w:tc>
        <w:tc>
          <w:tcPr>
            <w:tcW w:w="1142" w:type="dxa"/>
            <w:tcBorders>
              <w:top w:val="nil"/>
              <w:left w:val="nil"/>
              <w:bottom w:val="nil"/>
              <w:right w:val="nil"/>
            </w:tcBorders>
            <w:shd w:val="clear" w:color="000000" w:fill="C7CFD8"/>
            <w:vAlign w:val="center"/>
            <w:hideMark/>
          </w:tcPr>
          <w:p w14:paraId="4454C76B"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 A </w:t>
            </w:r>
          </w:p>
        </w:tc>
        <w:tc>
          <w:tcPr>
            <w:tcW w:w="1123" w:type="dxa"/>
            <w:tcBorders>
              <w:top w:val="nil"/>
              <w:left w:val="nil"/>
              <w:bottom w:val="nil"/>
              <w:right w:val="nil"/>
            </w:tcBorders>
            <w:shd w:val="clear" w:color="000000" w:fill="C7CFD8"/>
            <w:noWrap/>
            <w:vAlign w:val="center"/>
            <w:hideMark/>
          </w:tcPr>
          <w:p w14:paraId="03731D9B"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 B </w:t>
            </w:r>
          </w:p>
        </w:tc>
        <w:tc>
          <w:tcPr>
            <w:tcW w:w="933" w:type="dxa"/>
            <w:tcBorders>
              <w:top w:val="nil"/>
              <w:left w:val="nil"/>
              <w:bottom w:val="nil"/>
              <w:right w:val="nil"/>
            </w:tcBorders>
            <w:shd w:val="clear" w:color="000000" w:fill="C7CFD8"/>
            <w:vAlign w:val="center"/>
            <w:hideMark/>
          </w:tcPr>
          <w:p w14:paraId="72436C97"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 C </w:t>
            </w:r>
          </w:p>
        </w:tc>
        <w:tc>
          <w:tcPr>
            <w:tcW w:w="1123" w:type="dxa"/>
            <w:tcBorders>
              <w:top w:val="nil"/>
              <w:left w:val="nil"/>
              <w:bottom w:val="nil"/>
              <w:right w:val="nil"/>
            </w:tcBorders>
            <w:shd w:val="clear" w:color="000000" w:fill="C7CFD8"/>
            <w:vAlign w:val="center"/>
            <w:hideMark/>
          </w:tcPr>
          <w:p w14:paraId="1FA9E048"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C/B</w:t>
            </w:r>
          </w:p>
        </w:tc>
        <w:tc>
          <w:tcPr>
            <w:tcW w:w="1218" w:type="dxa"/>
            <w:tcBorders>
              <w:top w:val="nil"/>
              <w:left w:val="nil"/>
              <w:bottom w:val="nil"/>
              <w:right w:val="nil"/>
            </w:tcBorders>
            <w:shd w:val="clear" w:color="000000" w:fill="C7CFD8"/>
            <w:noWrap/>
            <w:vAlign w:val="center"/>
            <w:hideMark/>
          </w:tcPr>
          <w:p w14:paraId="530DF4B6"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D=B+C</w:t>
            </w:r>
          </w:p>
        </w:tc>
      </w:tr>
      <w:tr w:rsidR="00B65EDC" w:rsidRPr="00E675E8" w14:paraId="57DA510A" w14:textId="77777777" w:rsidTr="00A538F6">
        <w:trPr>
          <w:trHeight w:val="337"/>
          <w:jc w:val="center"/>
        </w:trPr>
        <w:tc>
          <w:tcPr>
            <w:tcW w:w="3542" w:type="dxa"/>
            <w:gridSpan w:val="2"/>
            <w:tcBorders>
              <w:top w:val="nil"/>
              <w:left w:val="nil"/>
              <w:bottom w:val="nil"/>
              <w:right w:val="nil"/>
            </w:tcBorders>
            <w:noWrap/>
            <w:vAlign w:val="center"/>
            <w:hideMark/>
          </w:tcPr>
          <w:p w14:paraId="7AED9164" w14:textId="77777777" w:rsidR="00B65EDC" w:rsidRPr="00E675E8" w:rsidRDefault="00B65EDC">
            <w:pPr>
              <w:jc w:val="left"/>
              <w:rPr>
                <w:rFonts w:ascii="Arial Narrow" w:hAnsi="Arial Narrow" w:cs="Arial"/>
                <w:b/>
                <w:bCs/>
                <w:sz w:val="22"/>
                <w:szCs w:val="22"/>
                <w:lang w:val="es-ES_tradnl"/>
              </w:rPr>
            </w:pPr>
            <w:r w:rsidRPr="00E675E8">
              <w:rPr>
                <w:rFonts w:ascii="Arial Narrow" w:hAnsi="Arial Narrow"/>
                <w:b/>
                <w:sz w:val="22"/>
                <w:lang w:val="es-ES_tradnl"/>
              </w:rPr>
              <w:t>A. Recursos de personal</w:t>
            </w:r>
          </w:p>
        </w:tc>
        <w:tc>
          <w:tcPr>
            <w:tcW w:w="1142" w:type="dxa"/>
            <w:tcBorders>
              <w:top w:val="nil"/>
              <w:left w:val="nil"/>
              <w:bottom w:val="nil"/>
              <w:right w:val="nil"/>
            </w:tcBorders>
            <w:vAlign w:val="center"/>
            <w:hideMark/>
          </w:tcPr>
          <w:p w14:paraId="06EF9E38" w14:textId="77777777" w:rsidR="00B65EDC" w:rsidRPr="00E675E8" w:rsidRDefault="00B65EDC">
            <w:pPr>
              <w:jc w:val="left"/>
              <w:rPr>
                <w:rFonts w:ascii="Arial Narrow" w:hAnsi="Arial Narrow" w:cs="Arial"/>
                <w:b/>
                <w:bCs/>
                <w:sz w:val="22"/>
                <w:szCs w:val="22"/>
                <w:lang w:val="es-ES_tradnl"/>
              </w:rPr>
            </w:pPr>
          </w:p>
        </w:tc>
        <w:tc>
          <w:tcPr>
            <w:tcW w:w="1123" w:type="dxa"/>
            <w:tcBorders>
              <w:top w:val="nil"/>
              <w:left w:val="nil"/>
              <w:bottom w:val="nil"/>
              <w:right w:val="nil"/>
            </w:tcBorders>
            <w:vAlign w:val="center"/>
            <w:hideMark/>
          </w:tcPr>
          <w:p w14:paraId="31958B9C" w14:textId="77777777" w:rsidR="00B65EDC" w:rsidRPr="00E675E8" w:rsidRDefault="00B65EDC">
            <w:pPr>
              <w:jc w:val="left"/>
              <w:rPr>
                <w:rFonts w:ascii="Times New Roman" w:hAnsi="Times New Roman"/>
                <w:lang w:val="es-ES_tradnl"/>
              </w:rPr>
            </w:pPr>
          </w:p>
        </w:tc>
        <w:tc>
          <w:tcPr>
            <w:tcW w:w="933" w:type="dxa"/>
            <w:tcBorders>
              <w:top w:val="nil"/>
              <w:left w:val="nil"/>
              <w:bottom w:val="nil"/>
              <w:right w:val="nil"/>
            </w:tcBorders>
            <w:vAlign w:val="center"/>
            <w:hideMark/>
          </w:tcPr>
          <w:p w14:paraId="51199B2A" w14:textId="77777777" w:rsidR="00B65EDC" w:rsidRPr="00E675E8" w:rsidRDefault="00B65EDC">
            <w:pPr>
              <w:jc w:val="left"/>
              <w:rPr>
                <w:rFonts w:ascii="Times New Roman" w:hAnsi="Times New Roman"/>
                <w:lang w:val="es-ES_tradnl"/>
              </w:rPr>
            </w:pPr>
          </w:p>
        </w:tc>
        <w:tc>
          <w:tcPr>
            <w:tcW w:w="1123" w:type="dxa"/>
            <w:tcBorders>
              <w:top w:val="nil"/>
              <w:left w:val="nil"/>
              <w:bottom w:val="nil"/>
              <w:right w:val="nil"/>
            </w:tcBorders>
            <w:vAlign w:val="center"/>
            <w:hideMark/>
          </w:tcPr>
          <w:p w14:paraId="5E627CA3" w14:textId="77777777" w:rsidR="00B65EDC" w:rsidRPr="00E675E8" w:rsidRDefault="00B65EDC">
            <w:pPr>
              <w:jc w:val="left"/>
              <w:rPr>
                <w:rFonts w:ascii="Times New Roman" w:hAnsi="Times New Roman"/>
                <w:lang w:val="es-ES_tradnl"/>
              </w:rPr>
            </w:pPr>
          </w:p>
        </w:tc>
        <w:tc>
          <w:tcPr>
            <w:tcW w:w="1218" w:type="dxa"/>
            <w:tcBorders>
              <w:top w:val="nil"/>
              <w:left w:val="nil"/>
              <w:bottom w:val="nil"/>
              <w:right w:val="nil"/>
            </w:tcBorders>
            <w:vAlign w:val="center"/>
            <w:hideMark/>
          </w:tcPr>
          <w:p w14:paraId="03546604" w14:textId="77777777" w:rsidR="00B65EDC" w:rsidRPr="00E675E8" w:rsidRDefault="00B65EDC">
            <w:pPr>
              <w:jc w:val="left"/>
              <w:rPr>
                <w:rFonts w:ascii="Times New Roman" w:hAnsi="Times New Roman"/>
                <w:lang w:val="es-ES_tradnl"/>
              </w:rPr>
            </w:pPr>
          </w:p>
        </w:tc>
      </w:tr>
      <w:tr w:rsidR="00B65EDC" w:rsidRPr="00E675E8" w14:paraId="63D0B635" w14:textId="77777777" w:rsidTr="00E12ED3">
        <w:trPr>
          <w:trHeight w:val="340"/>
          <w:jc w:val="center"/>
        </w:trPr>
        <w:tc>
          <w:tcPr>
            <w:tcW w:w="419" w:type="dxa"/>
            <w:tcBorders>
              <w:top w:val="nil"/>
              <w:left w:val="nil"/>
              <w:bottom w:val="nil"/>
              <w:right w:val="nil"/>
            </w:tcBorders>
            <w:noWrap/>
            <w:vAlign w:val="bottom"/>
            <w:hideMark/>
          </w:tcPr>
          <w:p w14:paraId="6D63BF34" w14:textId="77777777" w:rsidR="00B65EDC" w:rsidRPr="00E675E8" w:rsidRDefault="00B65EDC">
            <w:pPr>
              <w:jc w:val="left"/>
              <w:rPr>
                <w:rFonts w:ascii="Times New Roman" w:hAnsi="Times New Roman"/>
                <w:lang w:val="es-ES_tradnl"/>
              </w:rPr>
            </w:pPr>
          </w:p>
        </w:tc>
        <w:tc>
          <w:tcPr>
            <w:tcW w:w="3123" w:type="dxa"/>
            <w:tcBorders>
              <w:top w:val="nil"/>
              <w:left w:val="nil"/>
              <w:bottom w:val="nil"/>
              <w:right w:val="nil"/>
            </w:tcBorders>
            <w:vAlign w:val="bottom"/>
            <w:hideMark/>
          </w:tcPr>
          <w:p w14:paraId="26AB252E" w14:textId="77777777" w:rsidR="00B65EDC" w:rsidRPr="00E675E8" w:rsidRDefault="00B65EDC">
            <w:pPr>
              <w:ind w:firstLineChars="200" w:firstLine="400"/>
              <w:jc w:val="left"/>
              <w:rPr>
                <w:rFonts w:ascii="Arial Narrow" w:hAnsi="Arial Narrow" w:cs="Arial"/>
                <w:i/>
                <w:iCs/>
                <w:color w:val="000000"/>
                <w:lang w:val="es-ES_tradnl"/>
              </w:rPr>
            </w:pPr>
            <w:r w:rsidRPr="00E675E8">
              <w:rPr>
                <w:rFonts w:ascii="Arial Narrow" w:hAnsi="Arial Narrow"/>
                <w:i/>
                <w:color w:val="000000"/>
                <w:lang w:val="es-ES_tradnl"/>
              </w:rPr>
              <w:t>Puestos</w:t>
            </w:r>
          </w:p>
        </w:tc>
        <w:tc>
          <w:tcPr>
            <w:tcW w:w="1142" w:type="dxa"/>
            <w:tcBorders>
              <w:top w:val="nil"/>
              <w:left w:val="nil"/>
              <w:bottom w:val="nil"/>
              <w:right w:val="nil"/>
            </w:tcBorders>
            <w:vAlign w:val="bottom"/>
            <w:hideMark/>
          </w:tcPr>
          <w:p w14:paraId="0EBE0FC9"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4 302 </w:t>
            </w:r>
          </w:p>
        </w:tc>
        <w:tc>
          <w:tcPr>
            <w:tcW w:w="1123" w:type="dxa"/>
            <w:tcBorders>
              <w:top w:val="nil"/>
              <w:left w:val="nil"/>
              <w:bottom w:val="nil"/>
              <w:right w:val="nil"/>
            </w:tcBorders>
            <w:vAlign w:val="bottom"/>
            <w:hideMark/>
          </w:tcPr>
          <w:p w14:paraId="2C703CBB"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5 186 </w:t>
            </w:r>
          </w:p>
        </w:tc>
        <w:tc>
          <w:tcPr>
            <w:tcW w:w="933" w:type="dxa"/>
            <w:tcBorders>
              <w:top w:val="nil"/>
              <w:left w:val="nil"/>
              <w:bottom w:val="nil"/>
              <w:right w:val="nil"/>
            </w:tcBorders>
            <w:vAlign w:val="bottom"/>
            <w:hideMark/>
          </w:tcPr>
          <w:p w14:paraId="68D699F0"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(225)</w:t>
            </w:r>
          </w:p>
        </w:tc>
        <w:tc>
          <w:tcPr>
            <w:tcW w:w="1123" w:type="dxa"/>
            <w:tcBorders>
              <w:top w:val="nil"/>
              <w:left w:val="nil"/>
              <w:bottom w:val="nil"/>
              <w:right w:val="nil"/>
            </w:tcBorders>
            <w:vAlign w:val="bottom"/>
            <w:hideMark/>
          </w:tcPr>
          <w:p w14:paraId="0BDC7B62"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-4 %</w:t>
            </w:r>
          </w:p>
        </w:tc>
        <w:tc>
          <w:tcPr>
            <w:tcW w:w="1218" w:type="dxa"/>
            <w:tcBorders>
              <w:top w:val="nil"/>
              <w:left w:val="nil"/>
              <w:bottom w:val="nil"/>
              <w:right w:val="nil"/>
            </w:tcBorders>
            <w:vAlign w:val="bottom"/>
            <w:hideMark/>
          </w:tcPr>
          <w:p w14:paraId="2476275C"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4 961</w:t>
            </w:r>
          </w:p>
        </w:tc>
      </w:tr>
      <w:tr w:rsidR="00B65EDC" w:rsidRPr="00E675E8" w14:paraId="323E9C26" w14:textId="77777777" w:rsidTr="00E12ED3">
        <w:trPr>
          <w:trHeight w:val="340"/>
          <w:jc w:val="center"/>
        </w:trPr>
        <w:tc>
          <w:tcPr>
            <w:tcW w:w="419" w:type="dxa"/>
            <w:tcBorders>
              <w:top w:val="nil"/>
              <w:left w:val="nil"/>
              <w:bottom w:val="nil"/>
              <w:right w:val="nil"/>
            </w:tcBorders>
            <w:noWrap/>
            <w:vAlign w:val="bottom"/>
            <w:hideMark/>
          </w:tcPr>
          <w:p w14:paraId="58EAFB86" w14:textId="77777777" w:rsidR="00B65EDC" w:rsidRPr="00E675E8" w:rsidRDefault="00B65EDC">
            <w:pPr>
              <w:jc w:val="right"/>
              <w:rPr>
                <w:rFonts w:ascii="Arial Narrow" w:hAnsi="Arial Narrow" w:cs="Arial"/>
                <w:lang w:val="es-ES_tradnl"/>
              </w:rPr>
            </w:pPr>
          </w:p>
        </w:tc>
        <w:tc>
          <w:tcPr>
            <w:tcW w:w="3123" w:type="dxa"/>
            <w:tcBorders>
              <w:top w:val="nil"/>
              <w:left w:val="nil"/>
              <w:bottom w:val="nil"/>
              <w:right w:val="nil"/>
            </w:tcBorders>
            <w:vAlign w:val="bottom"/>
            <w:hideMark/>
          </w:tcPr>
          <w:p w14:paraId="49C02F93" w14:textId="77777777" w:rsidR="00B65EDC" w:rsidRPr="00E675E8" w:rsidRDefault="00B65EDC">
            <w:pPr>
              <w:ind w:firstLineChars="200" w:firstLine="400"/>
              <w:jc w:val="left"/>
              <w:rPr>
                <w:rFonts w:ascii="Arial Narrow" w:hAnsi="Arial Narrow" w:cs="Arial"/>
                <w:i/>
                <w:iCs/>
                <w:color w:val="000000"/>
                <w:lang w:val="es-ES_tradnl"/>
              </w:rPr>
            </w:pPr>
            <w:r w:rsidRPr="00E675E8">
              <w:rPr>
                <w:rFonts w:ascii="Arial Narrow" w:hAnsi="Arial Narrow"/>
                <w:i/>
                <w:color w:val="000000"/>
                <w:lang w:val="es-ES_tradnl"/>
              </w:rPr>
              <w:t>Personal temporal</w:t>
            </w:r>
          </w:p>
        </w:tc>
        <w:tc>
          <w:tcPr>
            <w:tcW w:w="1142" w:type="dxa"/>
            <w:tcBorders>
              <w:top w:val="nil"/>
              <w:left w:val="nil"/>
              <w:bottom w:val="nil"/>
              <w:right w:val="nil"/>
            </w:tcBorders>
            <w:vAlign w:val="bottom"/>
            <w:hideMark/>
          </w:tcPr>
          <w:p w14:paraId="6CEE09D1"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324 </w:t>
            </w:r>
          </w:p>
        </w:tc>
        <w:tc>
          <w:tcPr>
            <w:tcW w:w="1123" w:type="dxa"/>
            <w:tcBorders>
              <w:top w:val="nil"/>
              <w:left w:val="nil"/>
              <w:bottom w:val="nil"/>
              <w:right w:val="nil"/>
            </w:tcBorders>
            <w:vAlign w:val="bottom"/>
            <w:hideMark/>
          </w:tcPr>
          <w:p w14:paraId="02FB9AF4"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569 </w:t>
            </w:r>
          </w:p>
        </w:tc>
        <w:tc>
          <w:tcPr>
            <w:tcW w:w="933" w:type="dxa"/>
            <w:tcBorders>
              <w:top w:val="nil"/>
              <w:left w:val="nil"/>
              <w:bottom w:val="nil"/>
              <w:right w:val="nil"/>
            </w:tcBorders>
            <w:vAlign w:val="bottom"/>
            <w:hideMark/>
          </w:tcPr>
          <w:p w14:paraId="09743838"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211</w:t>
            </w:r>
          </w:p>
        </w:tc>
        <w:tc>
          <w:tcPr>
            <w:tcW w:w="1123" w:type="dxa"/>
            <w:tcBorders>
              <w:top w:val="nil"/>
              <w:left w:val="nil"/>
              <w:bottom w:val="nil"/>
              <w:right w:val="nil"/>
            </w:tcBorders>
            <w:vAlign w:val="bottom"/>
            <w:hideMark/>
          </w:tcPr>
          <w:p w14:paraId="4A9D6AF3"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37 %</w:t>
            </w:r>
          </w:p>
        </w:tc>
        <w:tc>
          <w:tcPr>
            <w:tcW w:w="1218" w:type="dxa"/>
            <w:tcBorders>
              <w:top w:val="nil"/>
              <w:left w:val="nil"/>
              <w:bottom w:val="nil"/>
              <w:right w:val="nil"/>
            </w:tcBorders>
            <w:vAlign w:val="bottom"/>
            <w:hideMark/>
          </w:tcPr>
          <w:p w14:paraId="141CDC5D"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780</w:t>
            </w:r>
          </w:p>
        </w:tc>
      </w:tr>
      <w:tr w:rsidR="00B65EDC" w:rsidRPr="00E675E8" w14:paraId="19F8CACA" w14:textId="77777777" w:rsidTr="00E12ED3">
        <w:trPr>
          <w:trHeight w:val="340"/>
          <w:jc w:val="center"/>
        </w:trPr>
        <w:tc>
          <w:tcPr>
            <w:tcW w:w="419" w:type="dxa"/>
            <w:tcBorders>
              <w:top w:val="nil"/>
              <w:left w:val="nil"/>
              <w:bottom w:val="nil"/>
              <w:right w:val="nil"/>
            </w:tcBorders>
            <w:noWrap/>
            <w:vAlign w:val="bottom"/>
            <w:hideMark/>
          </w:tcPr>
          <w:p w14:paraId="26F938C5" w14:textId="77777777" w:rsidR="00B65EDC" w:rsidRPr="00E675E8" w:rsidRDefault="00B65EDC">
            <w:pPr>
              <w:jc w:val="right"/>
              <w:rPr>
                <w:rFonts w:ascii="Arial Narrow" w:hAnsi="Arial Narrow" w:cs="Arial"/>
                <w:lang w:val="es-ES_tradnl"/>
              </w:rPr>
            </w:pPr>
          </w:p>
        </w:tc>
        <w:tc>
          <w:tcPr>
            <w:tcW w:w="3123" w:type="dxa"/>
            <w:tcBorders>
              <w:top w:val="nil"/>
              <w:left w:val="nil"/>
              <w:bottom w:val="nil"/>
              <w:right w:val="nil"/>
            </w:tcBorders>
            <w:vAlign w:val="bottom"/>
            <w:hideMark/>
          </w:tcPr>
          <w:p w14:paraId="4203A4AC" w14:textId="77777777" w:rsidR="00B65EDC" w:rsidRPr="00E675E8" w:rsidRDefault="00B65EDC">
            <w:pPr>
              <w:ind w:firstLineChars="200" w:firstLine="400"/>
              <w:jc w:val="left"/>
              <w:rPr>
                <w:rFonts w:ascii="Arial Narrow" w:hAnsi="Arial Narrow" w:cs="Arial"/>
                <w:i/>
                <w:iCs/>
                <w:color w:val="000000"/>
                <w:lang w:val="es-ES_tradnl"/>
              </w:rPr>
            </w:pPr>
            <w:r w:rsidRPr="00E675E8">
              <w:rPr>
                <w:rFonts w:ascii="Arial Narrow" w:hAnsi="Arial Narrow"/>
                <w:i/>
                <w:color w:val="000000"/>
                <w:lang w:val="es-ES_tradnl"/>
              </w:rPr>
              <w:t>Otros gastos de personal</w:t>
            </w:r>
          </w:p>
        </w:tc>
        <w:tc>
          <w:tcPr>
            <w:tcW w:w="1142" w:type="dxa"/>
            <w:tcBorders>
              <w:top w:val="nil"/>
              <w:left w:val="nil"/>
              <w:bottom w:val="nil"/>
              <w:right w:val="nil"/>
            </w:tcBorders>
            <w:vAlign w:val="bottom"/>
            <w:hideMark/>
          </w:tcPr>
          <w:p w14:paraId="20D142C9"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w:t>
            </w:r>
          </w:p>
        </w:tc>
        <w:tc>
          <w:tcPr>
            <w:tcW w:w="1123" w:type="dxa"/>
            <w:tcBorders>
              <w:top w:val="nil"/>
              <w:left w:val="nil"/>
              <w:bottom w:val="nil"/>
              <w:right w:val="nil"/>
            </w:tcBorders>
            <w:vAlign w:val="bottom"/>
            <w:hideMark/>
          </w:tcPr>
          <w:p w14:paraId="16FBECDE"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w:t>
            </w:r>
          </w:p>
        </w:tc>
        <w:tc>
          <w:tcPr>
            <w:tcW w:w="933" w:type="dxa"/>
            <w:tcBorders>
              <w:top w:val="nil"/>
              <w:left w:val="nil"/>
              <w:bottom w:val="nil"/>
              <w:right w:val="nil"/>
            </w:tcBorders>
            <w:vAlign w:val="bottom"/>
            <w:hideMark/>
          </w:tcPr>
          <w:p w14:paraId="59BABDF0"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w:t>
            </w:r>
          </w:p>
        </w:tc>
        <w:tc>
          <w:tcPr>
            <w:tcW w:w="1123" w:type="dxa"/>
            <w:tcBorders>
              <w:top w:val="nil"/>
              <w:left w:val="nil"/>
              <w:bottom w:val="single" w:sz="4" w:space="0" w:color="BFBFBF"/>
              <w:right w:val="nil"/>
            </w:tcBorders>
            <w:vAlign w:val="bottom"/>
            <w:hideMark/>
          </w:tcPr>
          <w:p w14:paraId="6C15905A"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w:t>
            </w:r>
          </w:p>
        </w:tc>
        <w:tc>
          <w:tcPr>
            <w:tcW w:w="1218" w:type="dxa"/>
            <w:tcBorders>
              <w:top w:val="nil"/>
              <w:left w:val="nil"/>
              <w:bottom w:val="nil"/>
              <w:right w:val="nil"/>
            </w:tcBorders>
            <w:vAlign w:val="bottom"/>
            <w:hideMark/>
          </w:tcPr>
          <w:p w14:paraId="124FC9AE"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w:t>
            </w:r>
          </w:p>
        </w:tc>
      </w:tr>
      <w:tr w:rsidR="00B65EDC" w:rsidRPr="00E675E8" w14:paraId="61E14555" w14:textId="77777777" w:rsidTr="00A538F6">
        <w:trPr>
          <w:trHeight w:val="352"/>
          <w:jc w:val="center"/>
        </w:trPr>
        <w:tc>
          <w:tcPr>
            <w:tcW w:w="419" w:type="dxa"/>
            <w:tcBorders>
              <w:top w:val="single" w:sz="4" w:space="0" w:color="AAB8C4"/>
              <w:left w:val="nil"/>
              <w:bottom w:val="single" w:sz="8" w:space="0" w:color="AAB8C4"/>
              <w:right w:val="nil"/>
            </w:tcBorders>
            <w:noWrap/>
            <w:vAlign w:val="bottom"/>
            <w:hideMark/>
          </w:tcPr>
          <w:p w14:paraId="78887228" w14:textId="77777777" w:rsidR="00B65EDC" w:rsidRPr="00E675E8" w:rsidRDefault="00B65EDC">
            <w:pPr>
              <w:jc w:val="left"/>
              <w:rPr>
                <w:rFonts w:cs="Arial"/>
                <w:b/>
                <w:bCs/>
                <w:lang w:val="es-ES_tradnl"/>
              </w:rPr>
            </w:pPr>
            <w:r w:rsidRPr="00E675E8">
              <w:rPr>
                <w:b/>
                <w:lang w:val="es-ES_tradnl"/>
              </w:rPr>
              <w:t> </w:t>
            </w:r>
          </w:p>
        </w:tc>
        <w:tc>
          <w:tcPr>
            <w:tcW w:w="3123" w:type="dxa"/>
            <w:tcBorders>
              <w:top w:val="single" w:sz="4" w:space="0" w:color="AAB8C4"/>
              <w:left w:val="nil"/>
              <w:bottom w:val="single" w:sz="8" w:space="0" w:color="AAB8C4"/>
              <w:right w:val="nil"/>
            </w:tcBorders>
            <w:vAlign w:val="bottom"/>
            <w:hideMark/>
          </w:tcPr>
          <w:p w14:paraId="25907360" w14:textId="77777777" w:rsidR="00B65EDC" w:rsidRPr="00E675E8" w:rsidRDefault="00B65EDC">
            <w:pPr>
              <w:jc w:val="left"/>
              <w:rPr>
                <w:rFonts w:ascii="Arial Narrow" w:hAnsi="Arial Narrow" w:cs="Arial"/>
                <w:b/>
                <w:bCs/>
                <w:color w:val="000000"/>
                <w:lang w:val="es-ES_tradnl"/>
              </w:rPr>
            </w:pPr>
            <w:r w:rsidRPr="00E675E8">
              <w:rPr>
                <w:rFonts w:ascii="Arial Narrow" w:hAnsi="Arial Narrow"/>
                <w:b/>
                <w:color w:val="000000"/>
                <w:lang w:val="es-ES_tradnl"/>
              </w:rPr>
              <w:t>Total A</w:t>
            </w:r>
          </w:p>
        </w:tc>
        <w:tc>
          <w:tcPr>
            <w:tcW w:w="1142" w:type="dxa"/>
            <w:tcBorders>
              <w:top w:val="single" w:sz="4" w:space="0" w:color="AAB8C4"/>
              <w:left w:val="nil"/>
              <w:bottom w:val="single" w:sz="8" w:space="0" w:color="AAB8C4"/>
              <w:right w:val="nil"/>
            </w:tcBorders>
            <w:vAlign w:val="bottom"/>
            <w:hideMark/>
          </w:tcPr>
          <w:p w14:paraId="31A6F3AE"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 xml:space="preserve">4 626 </w:t>
            </w:r>
          </w:p>
        </w:tc>
        <w:tc>
          <w:tcPr>
            <w:tcW w:w="1123" w:type="dxa"/>
            <w:tcBorders>
              <w:top w:val="single" w:sz="4" w:space="0" w:color="AAB8C4"/>
              <w:left w:val="nil"/>
              <w:bottom w:val="single" w:sz="8" w:space="0" w:color="AAB8C4"/>
              <w:right w:val="nil"/>
            </w:tcBorders>
            <w:vAlign w:val="bottom"/>
            <w:hideMark/>
          </w:tcPr>
          <w:p w14:paraId="6CDF30D3"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 xml:space="preserve">5 755 </w:t>
            </w:r>
          </w:p>
        </w:tc>
        <w:tc>
          <w:tcPr>
            <w:tcW w:w="933" w:type="dxa"/>
            <w:tcBorders>
              <w:top w:val="single" w:sz="4" w:space="0" w:color="BFBFBF"/>
              <w:left w:val="nil"/>
              <w:bottom w:val="single" w:sz="8" w:space="0" w:color="BFBFBF"/>
              <w:right w:val="nil"/>
            </w:tcBorders>
            <w:vAlign w:val="bottom"/>
            <w:hideMark/>
          </w:tcPr>
          <w:p w14:paraId="49610DF5"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(15)</w:t>
            </w:r>
          </w:p>
        </w:tc>
        <w:tc>
          <w:tcPr>
            <w:tcW w:w="1123" w:type="dxa"/>
            <w:tcBorders>
              <w:top w:val="nil"/>
              <w:left w:val="nil"/>
              <w:bottom w:val="single" w:sz="8" w:space="0" w:color="BFBFBF"/>
              <w:right w:val="nil"/>
            </w:tcBorders>
            <w:vAlign w:val="bottom"/>
            <w:hideMark/>
          </w:tcPr>
          <w:p w14:paraId="2B613ADC"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0 %</w:t>
            </w:r>
          </w:p>
        </w:tc>
        <w:tc>
          <w:tcPr>
            <w:tcW w:w="1218" w:type="dxa"/>
            <w:tcBorders>
              <w:top w:val="single" w:sz="4" w:space="0" w:color="AAB8C4"/>
              <w:left w:val="nil"/>
              <w:bottom w:val="single" w:sz="8" w:space="0" w:color="AAB8C4"/>
              <w:right w:val="nil"/>
            </w:tcBorders>
            <w:vAlign w:val="bottom"/>
            <w:hideMark/>
          </w:tcPr>
          <w:p w14:paraId="4C1BCF01"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5 740</w:t>
            </w:r>
          </w:p>
        </w:tc>
      </w:tr>
      <w:tr w:rsidR="00B65EDC" w:rsidRPr="00E675E8" w14:paraId="24116368" w14:textId="77777777" w:rsidTr="00A538F6">
        <w:trPr>
          <w:trHeight w:val="258"/>
          <w:jc w:val="center"/>
        </w:trPr>
        <w:tc>
          <w:tcPr>
            <w:tcW w:w="419" w:type="dxa"/>
            <w:tcBorders>
              <w:top w:val="nil"/>
              <w:left w:val="nil"/>
              <w:bottom w:val="nil"/>
              <w:right w:val="nil"/>
            </w:tcBorders>
            <w:noWrap/>
            <w:vAlign w:val="bottom"/>
            <w:hideMark/>
          </w:tcPr>
          <w:p w14:paraId="1A2DC445" w14:textId="77777777" w:rsidR="00B65EDC" w:rsidRPr="00E675E8" w:rsidRDefault="00B65EDC">
            <w:pPr>
              <w:jc w:val="right"/>
              <w:rPr>
                <w:rFonts w:ascii="Arial Narrow" w:hAnsi="Arial Narrow" w:cs="Arial"/>
                <w:b/>
                <w:bCs/>
                <w:lang w:val="es-ES_tradnl"/>
              </w:rPr>
            </w:pPr>
          </w:p>
        </w:tc>
        <w:tc>
          <w:tcPr>
            <w:tcW w:w="3123" w:type="dxa"/>
            <w:tcBorders>
              <w:top w:val="nil"/>
              <w:left w:val="nil"/>
              <w:bottom w:val="nil"/>
              <w:right w:val="nil"/>
            </w:tcBorders>
            <w:noWrap/>
            <w:vAlign w:val="bottom"/>
            <w:hideMark/>
          </w:tcPr>
          <w:p w14:paraId="68CF3E3E" w14:textId="77777777" w:rsidR="00B65EDC" w:rsidRPr="00E675E8" w:rsidRDefault="00B65EDC">
            <w:pPr>
              <w:jc w:val="left"/>
              <w:rPr>
                <w:rFonts w:ascii="Times New Roman" w:hAnsi="Times New Roman"/>
                <w:lang w:val="es-ES_tradnl"/>
              </w:rPr>
            </w:pPr>
          </w:p>
        </w:tc>
        <w:tc>
          <w:tcPr>
            <w:tcW w:w="1142" w:type="dxa"/>
            <w:tcBorders>
              <w:top w:val="nil"/>
              <w:left w:val="nil"/>
              <w:bottom w:val="nil"/>
              <w:right w:val="nil"/>
            </w:tcBorders>
            <w:noWrap/>
            <w:vAlign w:val="bottom"/>
            <w:hideMark/>
          </w:tcPr>
          <w:p w14:paraId="7193ACAF" w14:textId="77777777" w:rsidR="00B65EDC" w:rsidRPr="00E675E8" w:rsidRDefault="00B65EDC">
            <w:pPr>
              <w:jc w:val="left"/>
              <w:rPr>
                <w:rFonts w:ascii="Times New Roman" w:hAnsi="Times New Roman"/>
                <w:lang w:val="es-ES_tradnl"/>
              </w:rPr>
            </w:pPr>
          </w:p>
        </w:tc>
        <w:tc>
          <w:tcPr>
            <w:tcW w:w="1123" w:type="dxa"/>
            <w:tcBorders>
              <w:top w:val="nil"/>
              <w:left w:val="nil"/>
              <w:bottom w:val="nil"/>
              <w:right w:val="nil"/>
            </w:tcBorders>
            <w:noWrap/>
            <w:vAlign w:val="bottom"/>
            <w:hideMark/>
          </w:tcPr>
          <w:p w14:paraId="49549F73" w14:textId="77777777" w:rsidR="00B65EDC" w:rsidRPr="00E675E8" w:rsidRDefault="00B65EDC">
            <w:pPr>
              <w:jc w:val="left"/>
              <w:rPr>
                <w:rFonts w:ascii="Times New Roman" w:hAnsi="Times New Roman"/>
                <w:lang w:val="es-ES_tradnl"/>
              </w:rPr>
            </w:pPr>
          </w:p>
        </w:tc>
        <w:tc>
          <w:tcPr>
            <w:tcW w:w="933" w:type="dxa"/>
            <w:tcBorders>
              <w:top w:val="nil"/>
              <w:left w:val="nil"/>
              <w:bottom w:val="nil"/>
              <w:right w:val="nil"/>
            </w:tcBorders>
            <w:noWrap/>
            <w:vAlign w:val="bottom"/>
            <w:hideMark/>
          </w:tcPr>
          <w:p w14:paraId="4E75CB94" w14:textId="77777777" w:rsidR="00B65EDC" w:rsidRPr="00E675E8" w:rsidRDefault="00B65EDC">
            <w:pPr>
              <w:jc w:val="left"/>
              <w:rPr>
                <w:rFonts w:ascii="Times New Roman" w:hAnsi="Times New Roman"/>
                <w:lang w:val="es-ES_tradnl"/>
              </w:rPr>
            </w:pPr>
          </w:p>
        </w:tc>
        <w:tc>
          <w:tcPr>
            <w:tcW w:w="1123" w:type="dxa"/>
            <w:tcBorders>
              <w:top w:val="nil"/>
              <w:left w:val="nil"/>
              <w:bottom w:val="nil"/>
              <w:right w:val="nil"/>
            </w:tcBorders>
            <w:noWrap/>
            <w:vAlign w:val="bottom"/>
            <w:hideMark/>
          </w:tcPr>
          <w:p w14:paraId="180FCD93" w14:textId="77777777" w:rsidR="00B65EDC" w:rsidRPr="00E675E8" w:rsidRDefault="00B65EDC">
            <w:pPr>
              <w:jc w:val="left"/>
              <w:rPr>
                <w:rFonts w:ascii="Times New Roman" w:hAnsi="Times New Roman"/>
                <w:lang w:val="es-ES_tradnl"/>
              </w:rPr>
            </w:pPr>
          </w:p>
        </w:tc>
        <w:tc>
          <w:tcPr>
            <w:tcW w:w="1218" w:type="dxa"/>
            <w:tcBorders>
              <w:top w:val="nil"/>
              <w:left w:val="nil"/>
              <w:bottom w:val="nil"/>
              <w:right w:val="nil"/>
            </w:tcBorders>
            <w:noWrap/>
            <w:vAlign w:val="bottom"/>
            <w:hideMark/>
          </w:tcPr>
          <w:p w14:paraId="314E4DF4" w14:textId="77777777" w:rsidR="00B65EDC" w:rsidRPr="00E675E8" w:rsidRDefault="00B65EDC">
            <w:pPr>
              <w:jc w:val="left"/>
              <w:rPr>
                <w:rFonts w:ascii="Times New Roman" w:hAnsi="Times New Roman"/>
                <w:lang w:val="es-ES_tradnl"/>
              </w:rPr>
            </w:pPr>
          </w:p>
        </w:tc>
      </w:tr>
      <w:tr w:rsidR="00B65EDC" w:rsidRPr="00E675E8" w14:paraId="52809E92" w14:textId="77777777" w:rsidTr="00E12ED3">
        <w:trPr>
          <w:trHeight w:val="340"/>
          <w:jc w:val="center"/>
        </w:trPr>
        <w:tc>
          <w:tcPr>
            <w:tcW w:w="3542" w:type="dxa"/>
            <w:gridSpan w:val="2"/>
            <w:tcBorders>
              <w:top w:val="nil"/>
              <w:left w:val="nil"/>
              <w:bottom w:val="nil"/>
              <w:right w:val="nil"/>
            </w:tcBorders>
            <w:noWrap/>
            <w:vAlign w:val="center"/>
            <w:hideMark/>
          </w:tcPr>
          <w:p w14:paraId="4A1F577C" w14:textId="77777777" w:rsidR="00B65EDC" w:rsidRPr="00E675E8" w:rsidRDefault="00B65EDC">
            <w:pPr>
              <w:jc w:val="left"/>
              <w:rPr>
                <w:rFonts w:ascii="Arial Narrow" w:hAnsi="Arial Narrow" w:cs="Arial"/>
                <w:b/>
                <w:bCs/>
                <w:sz w:val="22"/>
                <w:szCs w:val="22"/>
                <w:lang w:val="es-ES_tradnl"/>
              </w:rPr>
            </w:pPr>
            <w:r w:rsidRPr="00E675E8">
              <w:rPr>
                <w:rFonts w:ascii="Arial Narrow" w:hAnsi="Arial Narrow"/>
                <w:b/>
                <w:sz w:val="22"/>
                <w:lang w:val="es-ES_tradnl"/>
              </w:rPr>
              <w:t>B. Recursos no relativos a personal</w:t>
            </w:r>
          </w:p>
        </w:tc>
        <w:tc>
          <w:tcPr>
            <w:tcW w:w="1142" w:type="dxa"/>
            <w:tcBorders>
              <w:top w:val="nil"/>
              <w:left w:val="nil"/>
              <w:bottom w:val="nil"/>
              <w:right w:val="nil"/>
            </w:tcBorders>
            <w:vAlign w:val="center"/>
            <w:hideMark/>
          </w:tcPr>
          <w:p w14:paraId="2F6C0D8F" w14:textId="77777777" w:rsidR="00B65EDC" w:rsidRPr="00E675E8" w:rsidRDefault="00B65EDC">
            <w:pPr>
              <w:jc w:val="left"/>
              <w:rPr>
                <w:rFonts w:ascii="Arial Narrow" w:hAnsi="Arial Narrow" w:cs="Arial"/>
                <w:b/>
                <w:bCs/>
                <w:sz w:val="22"/>
                <w:szCs w:val="22"/>
                <w:lang w:val="es-ES_tradnl"/>
              </w:rPr>
            </w:pPr>
          </w:p>
        </w:tc>
        <w:tc>
          <w:tcPr>
            <w:tcW w:w="1123" w:type="dxa"/>
            <w:tcBorders>
              <w:top w:val="nil"/>
              <w:left w:val="nil"/>
              <w:bottom w:val="nil"/>
              <w:right w:val="nil"/>
            </w:tcBorders>
            <w:vAlign w:val="center"/>
            <w:hideMark/>
          </w:tcPr>
          <w:p w14:paraId="5F50F4CC" w14:textId="77777777" w:rsidR="00B65EDC" w:rsidRPr="00E675E8" w:rsidRDefault="00B65EDC">
            <w:pPr>
              <w:jc w:val="left"/>
              <w:rPr>
                <w:rFonts w:ascii="Times New Roman" w:hAnsi="Times New Roman"/>
                <w:lang w:val="es-ES_tradnl"/>
              </w:rPr>
            </w:pPr>
          </w:p>
        </w:tc>
        <w:tc>
          <w:tcPr>
            <w:tcW w:w="933" w:type="dxa"/>
            <w:tcBorders>
              <w:top w:val="nil"/>
              <w:left w:val="nil"/>
              <w:bottom w:val="nil"/>
              <w:right w:val="nil"/>
            </w:tcBorders>
            <w:vAlign w:val="center"/>
            <w:hideMark/>
          </w:tcPr>
          <w:p w14:paraId="3FCC2BBF" w14:textId="77777777" w:rsidR="00B65EDC" w:rsidRPr="00E675E8" w:rsidRDefault="00B65EDC">
            <w:pPr>
              <w:jc w:val="left"/>
              <w:rPr>
                <w:rFonts w:ascii="Times New Roman" w:hAnsi="Times New Roman"/>
                <w:lang w:val="es-ES_tradnl"/>
              </w:rPr>
            </w:pPr>
          </w:p>
        </w:tc>
        <w:tc>
          <w:tcPr>
            <w:tcW w:w="1123" w:type="dxa"/>
            <w:tcBorders>
              <w:top w:val="nil"/>
              <w:left w:val="nil"/>
              <w:bottom w:val="nil"/>
              <w:right w:val="nil"/>
            </w:tcBorders>
            <w:vAlign w:val="center"/>
            <w:hideMark/>
          </w:tcPr>
          <w:p w14:paraId="16B71EF9" w14:textId="77777777" w:rsidR="00B65EDC" w:rsidRPr="00E675E8" w:rsidRDefault="00B65EDC">
            <w:pPr>
              <w:jc w:val="left"/>
              <w:rPr>
                <w:rFonts w:ascii="Times New Roman" w:hAnsi="Times New Roman"/>
                <w:lang w:val="es-ES_tradnl"/>
              </w:rPr>
            </w:pPr>
          </w:p>
        </w:tc>
        <w:tc>
          <w:tcPr>
            <w:tcW w:w="1218" w:type="dxa"/>
            <w:tcBorders>
              <w:top w:val="nil"/>
              <w:left w:val="nil"/>
              <w:bottom w:val="nil"/>
              <w:right w:val="nil"/>
            </w:tcBorders>
            <w:vAlign w:val="center"/>
            <w:hideMark/>
          </w:tcPr>
          <w:p w14:paraId="0A2BEF1B" w14:textId="77777777" w:rsidR="00B65EDC" w:rsidRPr="00E675E8" w:rsidRDefault="00B65EDC">
            <w:pPr>
              <w:jc w:val="left"/>
              <w:rPr>
                <w:rFonts w:ascii="Times New Roman" w:hAnsi="Times New Roman"/>
                <w:lang w:val="es-ES_tradnl"/>
              </w:rPr>
            </w:pPr>
          </w:p>
        </w:tc>
      </w:tr>
      <w:tr w:rsidR="00B65EDC" w:rsidRPr="00E675E8" w14:paraId="0047F249" w14:textId="77777777" w:rsidTr="00A538F6">
        <w:trPr>
          <w:trHeight w:val="352"/>
          <w:jc w:val="center"/>
        </w:trPr>
        <w:tc>
          <w:tcPr>
            <w:tcW w:w="419" w:type="dxa"/>
            <w:tcBorders>
              <w:top w:val="nil"/>
              <w:left w:val="nil"/>
              <w:bottom w:val="nil"/>
              <w:right w:val="nil"/>
            </w:tcBorders>
            <w:noWrap/>
            <w:vAlign w:val="bottom"/>
            <w:hideMark/>
          </w:tcPr>
          <w:p w14:paraId="2B5036FC" w14:textId="77777777" w:rsidR="00B65EDC" w:rsidRPr="00E675E8" w:rsidRDefault="00B65EDC">
            <w:pPr>
              <w:jc w:val="left"/>
              <w:rPr>
                <w:rFonts w:ascii="Times New Roman" w:hAnsi="Times New Roman"/>
                <w:lang w:val="es-ES_tradnl"/>
              </w:rPr>
            </w:pPr>
          </w:p>
        </w:tc>
        <w:tc>
          <w:tcPr>
            <w:tcW w:w="3123" w:type="dxa"/>
            <w:tcBorders>
              <w:top w:val="nil"/>
              <w:left w:val="nil"/>
              <w:bottom w:val="nil"/>
              <w:right w:val="nil"/>
            </w:tcBorders>
            <w:vAlign w:val="bottom"/>
            <w:hideMark/>
          </w:tcPr>
          <w:p w14:paraId="3F5A2342" w14:textId="77777777" w:rsidR="00B65EDC" w:rsidRPr="00E675E8" w:rsidRDefault="00B65EDC">
            <w:pPr>
              <w:jc w:val="left"/>
              <w:rPr>
                <w:rFonts w:ascii="Arial Narrow" w:hAnsi="Arial Narrow" w:cs="Arial"/>
                <w:b/>
                <w:bCs/>
                <w:lang w:val="es-ES_tradnl"/>
              </w:rPr>
            </w:pPr>
            <w:r w:rsidRPr="00E675E8">
              <w:rPr>
                <w:rFonts w:ascii="Arial Narrow" w:hAnsi="Arial Narrow"/>
                <w:b/>
                <w:lang w:val="es-ES_tradnl"/>
              </w:rPr>
              <w:t>Pasantías y becas</w:t>
            </w:r>
          </w:p>
        </w:tc>
        <w:tc>
          <w:tcPr>
            <w:tcW w:w="1142" w:type="dxa"/>
            <w:tcBorders>
              <w:top w:val="nil"/>
              <w:left w:val="nil"/>
              <w:bottom w:val="nil"/>
              <w:right w:val="nil"/>
            </w:tcBorders>
            <w:vAlign w:val="bottom"/>
            <w:hideMark/>
          </w:tcPr>
          <w:p w14:paraId="00078049" w14:textId="77777777" w:rsidR="00B65EDC" w:rsidRPr="00E675E8" w:rsidRDefault="00B65EDC">
            <w:pPr>
              <w:jc w:val="left"/>
              <w:rPr>
                <w:rFonts w:ascii="Arial Narrow" w:hAnsi="Arial Narrow" w:cs="Arial"/>
                <w:b/>
                <w:bCs/>
                <w:lang w:val="es-ES_tradnl"/>
              </w:rPr>
            </w:pPr>
          </w:p>
        </w:tc>
        <w:tc>
          <w:tcPr>
            <w:tcW w:w="1123" w:type="dxa"/>
            <w:tcBorders>
              <w:top w:val="nil"/>
              <w:left w:val="nil"/>
              <w:bottom w:val="nil"/>
              <w:right w:val="nil"/>
            </w:tcBorders>
            <w:vAlign w:val="bottom"/>
            <w:hideMark/>
          </w:tcPr>
          <w:p w14:paraId="3AD113D0" w14:textId="77777777" w:rsidR="00B65EDC" w:rsidRPr="00E675E8" w:rsidRDefault="00B65EDC">
            <w:pPr>
              <w:jc w:val="left"/>
              <w:rPr>
                <w:rFonts w:ascii="Times New Roman" w:hAnsi="Times New Roman"/>
                <w:lang w:val="es-ES_tradnl"/>
              </w:rPr>
            </w:pPr>
          </w:p>
        </w:tc>
        <w:tc>
          <w:tcPr>
            <w:tcW w:w="933" w:type="dxa"/>
            <w:tcBorders>
              <w:top w:val="nil"/>
              <w:left w:val="nil"/>
              <w:bottom w:val="nil"/>
              <w:right w:val="nil"/>
            </w:tcBorders>
            <w:vAlign w:val="bottom"/>
            <w:hideMark/>
          </w:tcPr>
          <w:p w14:paraId="01F1DB40" w14:textId="77777777" w:rsidR="00B65EDC" w:rsidRPr="00E675E8" w:rsidRDefault="00B65EDC">
            <w:pPr>
              <w:jc w:val="left"/>
              <w:rPr>
                <w:rFonts w:ascii="Times New Roman" w:hAnsi="Times New Roman"/>
                <w:lang w:val="es-ES_tradnl"/>
              </w:rPr>
            </w:pPr>
          </w:p>
        </w:tc>
        <w:tc>
          <w:tcPr>
            <w:tcW w:w="1123" w:type="dxa"/>
            <w:tcBorders>
              <w:top w:val="nil"/>
              <w:left w:val="nil"/>
              <w:bottom w:val="nil"/>
              <w:right w:val="nil"/>
            </w:tcBorders>
            <w:vAlign w:val="bottom"/>
            <w:hideMark/>
          </w:tcPr>
          <w:p w14:paraId="3674C858" w14:textId="77777777" w:rsidR="00B65EDC" w:rsidRPr="00E675E8" w:rsidRDefault="00B65EDC">
            <w:pPr>
              <w:jc w:val="left"/>
              <w:rPr>
                <w:rFonts w:ascii="Times New Roman" w:hAnsi="Times New Roman"/>
                <w:lang w:val="es-ES_tradnl"/>
              </w:rPr>
            </w:pPr>
          </w:p>
        </w:tc>
        <w:tc>
          <w:tcPr>
            <w:tcW w:w="1218" w:type="dxa"/>
            <w:tcBorders>
              <w:top w:val="nil"/>
              <w:left w:val="nil"/>
              <w:bottom w:val="nil"/>
              <w:right w:val="nil"/>
            </w:tcBorders>
            <w:vAlign w:val="bottom"/>
            <w:hideMark/>
          </w:tcPr>
          <w:p w14:paraId="3936A440" w14:textId="77777777" w:rsidR="00B65EDC" w:rsidRPr="00E675E8" w:rsidRDefault="00B65EDC">
            <w:pPr>
              <w:jc w:val="left"/>
              <w:rPr>
                <w:rFonts w:ascii="Times New Roman" w:hAnsi="Times New Roman"/>
                <w:lang w:val="es-ES_tradnl"/>
              </w:rPr>
            </w:pPr>
          </w:p>
        </w:tc>
      </w:tr>
      <w:tr w:rsidR="00B65EDC" w:rsidRPr="00E675E8" w14:paraId="573D3EBF" w14:textId="77777777" w:rsidTr="00A538F6">
        <w:trPr>
          <w:trHeight w:val="352"/>
          <w:jc w:val="center"/>
        </w:trPr>
        <w:tc>
          <w:tcPr>
            <w:tcW w:w="419" w:type="dxa"/>
            <w:tcBorders>
              <w:top w:val="nil"/>
              <w:left w:val="nil"/>
              <w:bottom w:val="nil"/>
              <w:right w:val="nil"/>
            </w:tcBorders>
            <w:noWrap/>
            <w:vAlign w:val="bottom"/>
            <w:hideMark/>
          </w:tcPr>
          <w:p w14:paraId="6326957C" w14:textId="77777777" w:rsidR="00B65EDC" w:rsidRPr="00E675E8" w:rsidRDefault="00B65EDC">
            <w:pPr>
              <w:jc w:val="left"/>
              <w:rPr>
                <w:rFonts w:ascii="Times New Roman" w:hAnsi="Times New Roman"/>
                <w:lang w:val="es-ES_tradnl"/>
              </w:rPr>
            </w:pPr>
          </w:p>
        </w:tc>
        <w:tc>
          <w:tcPr>
            <w:tcW w:w="3123" w:type="dxa"/>
            <w:tcBorders>
              <w:top w:val="nil"/>
              <w:left w:val="nil"/>
              <w:bottom w:val="nil"/>
              <w:right w:val="nil"/>
            </w:tcBorders>
            <w:vAlign w:val="bottom"/>
            <w:hideMark/>
          </w:tcPr>
          <w:p w14:paraId="5A41B460" w14:textId="77777777" w:rsidR="00B65EDC" w:rsidRPr="00E675E8" w:rsidRDefault="00B65EDC">
            <w:pPr>
              <w:ind w:firstLineChars="200" w:firstLine="400"/>
              <w:jc w:val="left"/>
              <w:rPr>
                <w:rFonts w:ascii="Arial Narrow" w:hAnsi="Arial Narrow" w:cs="Arial"/>
                <w:i/>
                <w:iCs/>
                <w:lang w:val="es-ES_tradnl"/>
              </w:rPr>
            </w:pPr>
            <w:r w:rsidRPr="00E675E8">
              <w:rPr>
                <w:rFonts w:ascii="Arial Narrow" w:hAnsi="Arial Narrow"/>
                <w:i/>
                <w:lang w:val="es-ES_tradnl"/>
              </w:rPr>
              <w:t>Pasantías</w:t>
            </w:r>
          </w:p>
        </w:tc>
        <w:tc>
          <w:tcPr>
            <w:tcW w:w="1142" w:type="dxa"/>
            <w:tcBorders>
              <w:top w:val="nil"/>
              <w:left w:val="nil"/>
              <w:bottom w:val="nil"/>
              <w:right w:val="nil"/>
            </w:tcBorders>
            <w:vAlign w:val="bottom"/>
            <w:hideMark/>
          </w:tcPr>
          <w:p w14:paraId="25B1B88B"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w:t>
            </w:r>
          </w:p>
        </w:tc>
        <w:tc>
          <w:tcPr>
            <w:tcW w:w="1123" w:type="dxa"/>
            <w:tcBorders>
              <w:top w:val="nil"/>
              <w:left w:val="nil"/>
              <w:bottom w:val="nil"/>
              <w:right w:val="nil"/>
            </w:tcBorders>
            <w:vAlign w:val="bottom"/>
            <w:hideMark/>
          </w:tcPr>
          <w:p w14:paraId="2E017507"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15 </w:t>
            </w:r>
          </w:p>
        </w:tc>
        <w:tc>
          <w:tcPr>
            <w:tcW w:w="933" w:type="dxa"/>
            <w:tcBorders>
              <w:top w:val="nil"/>
              <w:left w:val="nil"/>
              <w:bottom w:val="nil"/>
              <w:right w:val="nil"/>
            </w:tcBorders>
            <w:vAlign w:val="bottom"/>
            <w:hideMark/>
          </w:tcPr>
          <w:p w14:paraId="08F360CB"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(15)</w:t>
            </w:r>
          </w:p>
        </w:tc>
        <w:tc>
          <w:tcPr>
            <w:tcW w:w="1123" w:type="dxa"/>
            <w:tcBorders>
              <w:top w:val="nil"/>
              <w:left w:val="nil"/>
              <w:bottom w:val="nil"/>
              <w:right w:val="nil"/>
            </w:tcBorders>
            <w:vAlign w:val="bottom"/>
            <w:hideMark/>
          </w:tcPr>
          <w:p w14:paraId="7BD4F7A7"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-100 %</w:t>
            </w:r>
          </w:p>
        </w:tc>
        <w:tc>
          <w:tcPr>
            <w:tcW w:w="1218" w:type="dxa"/>
            <w:tcBorders>
              <w:top w:val="nil"/>
              <w:left w:val="nil"/>
              <w:bottom w:val="nil"/>
              <w:right w:val="nil"/>
            </w:tcBorders>
            <w:vAlign w:val="bottom"/>
            <w:hideMark/>
          </w:tcPr>
          <w:p w14:paraId="342DAC71"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w:t>
            </w:r>
          </w:p>
        </w:tc>
      </w:tr>
      <w:tr w:rsidR="00B65EDC" w:rsidRPr="00E675E8" w14:paraId="3F35DC65" w14:textId="77777777" w:rsidTr="00A538F6">
        <w:trPr>
          <w:trHeight w:val="352"/>
          <w:jc w:val="center"/>
        </w:trPr>
        <w:tc>
          <w:tcPr>
            <w:tcW w:w="419" w:type="dxa"/>
            <w:tcBorders>
              <w:top w:val="nil"/>
              <w:left w:val="nil"/>
              <w:bottom w:val="nil"/>
              <w:right w:val="nil"/>
            </w:tcBorders>
            <w:noWrap/>
            <w:vAlign w:val="bottom"/>
            <w:hideMark/>
          </w:tcPr>
          <w:p w14:paraId="639CFB1A" w14:textId="77777777" w:rsidR="00B65EDC" w:rsidRPr="00E675E8" w:rsidRDefault="00B65EDC">
            <w:pPr>
              <w:jc w:val="right"/>
              <w:rPr>
                <w:rFonts w:ascii="Arial Narrow" w:hAnsi="Arial Narrow" w:cs="Arial"/>
                <w:lang w:val="es-ES_tradnl"/>
              </w:rPr>
            </w:pPr>
          </w:p>
        </w:tc>
        <w:tc>
          <w:tcPr>
            <w:tcW w:w="3123" w:type="dxa"/>
            <w:tcBorders>
              <w:top w:val="nil"/>
              <w:left w:val="nil"/>
              <w:bottom w:val="nil"/>
              <w:right w:val="nil"/>
            </w:tcBorders>
            <w:vAlign w:val="bottom"/>
            <w:hideMark/>
          </w:tcPr>
          <w:p w14:paraId="185A0CDC" w14:textId="77777777" w:rsidR="00B65EDC" w:rsidRPr="00E675E8" w:rsidRDefault="00B65EDC">
            <w:pPr>
              <w:ind w:firstLineChars="200" w:firstLine="400"/>
              <w:jc w:val="left"/>
              <w:rPr>
                <w:rFonts w:ascii="Arial Narrow" w:hAnsi="Arial Narrow" w:cs="Arial"/>
                <w:i/>
                <w:iCs/>
                <w:lang w:val="es-ES_tradnl"/>
              </w:rPr>
            </w:pPr>
            <w:r w:rsidRPr="00E675E8">
              <w:rPr>
                <w:rFonts w:ascii="Arial Narrow" w:hAnsi="Arial Narrow"/>
                <w:i/>
                <w:lang w:val="es-ES_tradnl"/>
              </w:rPr>
              <w:t>Becas</w:t>
            </w:r>
          </w:p>
        </w:tc>
        <w:tc>
          <w:tcPr>
            <w:tcW w:w="1142" w:type="dxa"/>
            <w:tcBorders>
              <w:top w:val="nil"/>
              <w:left w:val="nil"/>
              <w:bottom w:val="nil"/>
              <w:right w:val="nil"/>
            </w:tcBorders>
            <w:vAlign w:val="bottom"/>
            <w:hideMark/>
          </w:tcPr>
          <w:p w14:paraId="51AC036D"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w:t>
            </w:r>
          </w:p>
        </w:tc>
        <w:tc>
          <w:tcPr>
            <w:tcW w:w="1123" w:type="dxa"/>
            <w:tcBorders>
              <w:top w:val="nil"/>
              <w:left w:val="nil"/>
              <w:bottom w:val="nil"/>
              <w:right w:val="nil"/>
            </w:tcBorders>
            <w:vAlign w:val="bottom"/>
            <w:hideMark/>
          </w:tcPr>
          <w:p w14:paraId="4F0C4C95"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15 </w:t>
            </w:r>
          </w:p>
        </w:tc>
        <w:tc>
          <w:tcPr>
            <w:tcW w:w="933" w:type="dxa"/>
            <w:tcBorders>
              <w:top w:val="nil"/>
              <w:left w:val="nil"/>
              <w:bottom w:val="nil"/>
              <w:right w:val="nil"/>
            </w:tcBorders>
            <w:vAlign w:val="bottom"/>
            <w:hideMark/>
          </w:tcPr>
          <w:p w14:paraId="25E2BDC2"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(15)</w:t>
            </w:r>
          </w:p>
        </w:tc>
        <w:tc>
          <w:tcPr>
            <w:tcW w:w="1123" w:type="dxa"/>
            <w:tcBorders>
              <w:top w:val="nil"/>
              <w:left w:val="nil"/>
              <w:bottom w:val="nil"/>
              <w:right w:val="nil"/>
            </w:tcBorders>
            <w:vAlign w:val="bottom"/>
            <w:hideMark/>
          </w:tcPr>
          <w:p w14:paraId="069675D9"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-100 %</w:t>
            </w:r>
          </w:p>
        </w:tc>
        <w:tc>
          <w:tcPr>
            <w:tcW w:w="1218" w:type="dxa"/>
            <w:tcBorders>
              <w:top w:val="nil"/>
              <w:left w:val="nil"/>
              <w:bottom w:val="nil"/>
              <w:right w:val="nil"/>
            </w:tcBorders>
            <w:vAlign w:val="bottom"/>
            <w:hideMark/>
          </w:tcPr>
          <w:p w14:paraId="5533CC6A"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w:t>
            </w:r>
          </w:p>
        </w:tc>
      </w:tr>
      <w:tr w:rsidR="00B65EDC" w:rsidRPr="00E675E8" w14:paraId="3EFC657B" w14:textId="77777777" w:rsidTr="00A538F6">
        <w:trPr>
          <w:trHeight w:val="352"/>
          <w:jc w:val="center"/>
        </w:trPr>
        <w:tc>
          <w:tcPr>
            <w:tcW w:w="419" w:type="dxa"/>
            <w:tcBorders>
              <w:top w:val="nil"/>
              <w:left w:val="nil"/>
              <w:bottom w:val="single" w:sz="4" w:space="0" w:color="A6A6A6"/>
              <w:right w:val="nil"/>
            </w:tcBorders>
            <w:noWrap/>
            <w:vAlign w:val="bottom"/>
            <w:hideMark/>
          </w:tcPr>
          <w:p w14:paraId="1054D906" w14:textId="77777777" w:rsidR="00B65EDC" w:rsidRPr="00E675E8" w:rsidRDefault="00B65EDC">
            <w:pPr>
              <w:jc w:val="left"/>
              <w:rPr>
                <w:rFonts w:cs="Arial"/>
                <w:b/>
                <w:bCs/>
                <w:lang w:val="es-ES_tradnl"/>
              </w:rPr>
            </w:pPr>
            <w:r w:rsidRPr="00E675E8">
              <w:rPr>
                <w:b/>
                <w:lang w:val="es-ES_tradnl"/>
              </w:rPr>
              <w:t> </w:t>
            </w:r>
          </w:p>
        </w:tc>
        <w:tc>
          <w:tcPr>
            <w:tcW w:w="3123" w:type="dxa"/>
            <w:tcBorders>
              <w:top w:val="nil"/>
              <w:left w:val="nil"/>
              <w:bottom w:val="single" w:sz="4" w:space="0" w:color="A6A6A6"/>
              <w:right w:val="nil"/>
            </w:tcBorders>
            <w:vAlign w:val="bottom"/>
            <w:hideMark/>
          </w:tcPr>
          <w:p w14:paraId="221675DA" w14:textId="77777777" w:rsidR="00B65EDC" w:rsidRPr="00E675E8" w:rsidRDefault="00B65EDC">
            <w:pPr>
              <w:jc w:val="left"/>
              <w:rPr>
                <w:rFonts w:ascii="Arial Narrow" w:hAnsi="Arial Narrow" w:cs="Arial"/>
                <w:b/>
                <w:bCs/>
                <w:lang w:val="es-ES_tradnl"/>
              </w:rPr>
            </w:pPr>
            <w:r w:rsidRPr="00E675E8">
              <w:rPr>
                <w:rFonts w:ascii="Arial Narrow" w:hAnsi="Arial Narrow"/>
                <w:b/>
                <w:lang w:val="es-ES_tradnl"/>
              </w:rPr>
              <w:t>Subtotal</w:t>
            </w:r>
          </w:p>
        </w:tc>
        <w:tc>
          <w:tcPr>
            <w:tcW w:w="1142" w:type="dxa"/>
            <w:tcBorders>
              <w:top w:val="nil"/>
              <w:left w:val="nil"/>
              <w:bottom w:val="single" w:sz="4" w:space="0" w:color="A6A6A6"/>
              <w:right w:val="nil"/>
            </w:tcBorders>
            <w:vAlign w:val="bottom"/>
            <w:hideMark/>
          </w:tcPr>
          <w:p w14:paraId="52B3E849" w14:textId="77777777" w:rsidR="00B65EDC" w:rsidRPr="00E675E8" w:rsidRDefault="00B65EDC">
            <w:pPr>
              <w:jc w:val="right"/>
              <w:rPr>
                <w:rFonts w:ascii="Arial Narrow" w:hAnsi="Arial Narrow" w:cs="Arial"/>
                <w:b/>
                <w:bCs/>
                <w:lang w:val="es-ES_tradnl"/>
              </w:rPr>
            </w:pPr>
            <w:r w:rsidRPr="00E675E8">
              <w:rPr>
                <w:rFonts w:ascii="Arial Narrow" w:hAnsi="Arial Narrow"/>
                <w:lang w:val="es-ES_tradnl"/>
              </w:rPr>
              <w:t>-</w:t>
            </w:r>
          </w:p>
        </w:tc>
        <w:tc>
          <w:tcPr>
            <w:tcW w:w="1123" w:type="dxa"/>
            <w:tcBorders>
              <w:top w:val="nil"/>
              <w:left w:val="nil"/>
              <w:bottom w:val="single" w:sz="4" w:space="0" w:color="A6A6A6"/>
              <w:right w:val="nil"/>
            </w:tcBorders>
            <w:vAlign w:val="bottom"/>
            <w:hideMark/>
          </w:tcPr>
          <w:p w14:paraId="5AE32C48"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 xml:space="preserve">30 </w:t>
            </w:r>
          </w:p>
        </w:tc>
        <w:tc>
          <w:tcPr>
            <w:tcW w:w="933" w:type="dxa"/>
            <w:tcBorders>
              <w:top w:val="nil"/>
              <w:left w:val="nil"/>
              <w:bottom w:val="single" w:sz="4" w:space="0" w:color="A6A6A6"/>
              <w:right w:val="nil"/>
            </w:tcBorders>
            <w:vAlign w:val="bottom"/>
            <w:hideMark/>
          </w:tcPr>
          <w:p w14:paraId="5826B859"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36-38</w:t>
            </w:r>
          </w:p>
        </w:tc>
        <w:tc>
          <w:tcPr>
            <w:tcW w:w="1123" w:type="dxa"/>
            <w:tcBorders>
              <w:top w:val="nil"/>
              <w:left w:val="nil"/>
              <w:bottom w:val="single" w:sz="4" w:space="0" w:color="A6A6A6"/>
              <w:right w:val="nil"/>
            </w:tcBorders>
            <w:vAlign w:val="bottom"/>
            <w:hideMark/>
          </w:tcPr>
          <w:p w14:paraId="607B0147"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-100 %</w:t>
            </w:r>
          </w:p>
        </w:tc>
        <w:tc>
          <w:tcPr>
            <w:tcW w:w="1218" w:type="dxa"/>
            <w:tcBorders>
              <w:top w:val="nil"/>
              <w:left w:val="nil"/>
              <w:bottom w:val="single" w:sz="4" w:space="0" w:color="A6A6A6"/>
              <w:right w:val="nil"/>
            </w:tcBorders>
            <w:vAlign w:val="bottom"/>
            <w:hideMark/>
          </w:tcPr>
          <w:p w14:paraId="69ECDD8D"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0</w:t>
            </w:r>
          </w:p>
        </w:tc>
      </w:tr>
      <w:tr w:rsidR="00B65EDC" w:rsidRPr="00E675E8" w14:paraId="37EDAF3A" w14:textId="77777777" w:rsidTr="00E12ED3">
        <w:trPr>
          <w:trHeight w:val="397"/>
          <w:jc w:val="center"/>
        </w:trPr>
        <w:tc>
          <w:tcPr>
            <w:tcW w:w="419" w:type="dxa"/>
            <w:tcBorders>
              <w:top w:val="nil"/>
              <w:left w:val="nil"/>
              <w:bottom w:val="nil"/>
              <w:right w:val="nil"/>
            </w:tcBorders>
            <w:noWrap/>
            <w:vAlign w:val="bottom"/>
            <w:hideMark/>
          </w:tcPr>
          <w:p w14:paraId="73CDF1CD" w14:textId="77777777" w:rsidR="00B65EDC" w:rsidRPr="00E675E8" w:rsidRDefault="00B65EDC">
            <w:pPr>
              <w:jc w:val="right"/>
              <w:rPr>
                <w:rFonts w:ascii="Arial Narrow" w:hAnsi="Arial Narrow" w:cs="Arial"/>
                <w:b/>
                <w:bCs/>
                <w:lang w:val="es-ES_tradnl"/>
              </w:rPr>
            </w:pPr>
          </w:p>
        </w:tc>
        <w:tc>
          <w:tcPr>
            <w:tcW w:w="3123" w:type="dxa"/>
            <w:tcBorders>
              <w:top w:val="nil"/>
              <w:left w:val="nil"/>
              <w:bottom w:val="nil"/>
              <w:right w:val="nil"/>
            </w:tcBorders>
            <w:vAlign w:val="bottom"/>
            <w:hideMark/>
          </w:tcPr>
          <w:p w14:paraId="3EC248AC" w14:textId="77777777" w:rsidR="00B65EDC" w:rsidRPr="00E675E8" w:rsidRDefault="00B65EDC">
            <w:pPr>
              <w:jc w:val="left"/>
              <w:rPr>
                <w:rFonts w:ascii="Arial Narrow" w:hAnsi="Arial Narrow" w:cs="Arial"/>
                <w:b/>
                <w:bCs/>
                <w:lang w:val="es-ES_tradnl"/>
              </w:rPr>
            </w:pPr>
            <w:r w:rsidRPr="00E675E8">
              <w:rPr>
                <w:rFonts w:ascii="Arial Narrow" w:hAnsi="Arial Narrow"/>
                <w:b/>
                <w:lang w:val="es-ES_tradnl"/>
              </w:rPr>
              <w:t>Viajes, formación y subvenciones</w:t>
            </w:r>
          </w:p>
        </w:tc>
        <w:tc>
          <w:tcPr>
            <w:tcW w:w="1142" w:type="dxa"/>
            <w:tcBorders>
              <w:top w:val="nil"/>
              <w:left w:val="nil"/>
              <w:bottom w:val="nil"/>
              <w:right w:val="nil"/>
            </w:tcBorders>
            <w:vAlign w:val="center"/>
            <w:hideMark/>
          </w:tcPr>
          <w:p w14:paraId="3E6ACA6C" w14:textId="77777777" w:rsidR="00B65EDC" w:rsidRPr="00E675E8" w:rsidRDefault="00B65EDC">
            <w:pPr>
              <w:jc w:val="left"/>
              <w:rPr>
                <w:rFonts w:ascii="Arial Narrow" w:hAnsi="Arial Narrow" w:cs="Arial"/>
                <w:b/>
                <w:bCs/>
                <w:lang w:val="es-ES_tradnl"/>
              </w:rPr>
            </w:pPr>
          </w:p>
        </w:tc>
        <w:tc>
          <w:tcPr>
            <w:tcW w:w="1123" w:type="dxa"/>
            <w:tcBorders>
              <w:top w:val="nil"/>
              <w:left w:val="nil"/>
              <w:bottom w:val="nil"/>
              <w:right w:val="nil"/>
            </w:tcBorders>
            <w:vAlign w:val="center"/>
            <w:hideMark/>
          </w:tcPr>
          <w:p w14:paraId="21E46635" w14:textId="77777777" w:rsidR="00B65EDC" w:rsidRPr="00E675E8" w:rsidRDefault="00B65EDC">
            <w:pPr>
              <w:jc w:val="right"/>
              <w:rPr>
                <w:rFonts w:ascii="Times New Roman" w:hAnsi="Times New Roman"/>
                <w:lang w:val="es-ES_tradnl"/>
              </w:rPr>
            </w:pPr>
          </w:p>
        </w:tc>
        <w:tc>
          <w:tcPr>
            <w:tcW w:w="933" w:type="dxa"/>
            <w:tcBorders>
              <w:top w:val="nil"/>
              <w:left w:val="nil"/>
              <w:bottom w:val="nil"/>
              <w:right w:val="nil"/>
            </w:tcBorders>
            <w:vAlign w:val="center"/>
            <w:hideMark/>
          </w:tcPr>
          <w:p w14:paraId="5231B1FB" w14:textId="77777777" w:rsidR="00B65EDC" w:rsidRPr="00E675E8" w:rsidRDefault="00B65EDC">
            <w:pPr>
              <w:jc w:val="right"/>
              <w:rPr>
                <w:rFonts w:ascii="Times New Roman" w:hAnsi="Times New Roman"/>
                <w:lang w:val="es-ES_tradnl"/>
              </w:rPr>
            </w:pPr>
          </w:p>
        </w:tc>
        <w:tc>
          <w:tcPr>
            <w:tcW w:w="1123" w:type="dxa"/>
            <w:tcBorders>
              <w:top w:val="nil"/>
              <w:left w:val="nil"/>
              <w:bottom w:val="nil"/>
              <w:right w:val="nil"/>
            </w:tcBorders>
            <w:vAlign w:val="center"/>
            <w:hideMark/>
          </w:tcPr>
          <w:p w14:paraId="5785C2E6" w14:textId="77777777" w:rsidR="00B65EDC" w:rsidRPr="00E675E8" w:rsidRDefault="00B65EDC">
            <w:pPr>
              <w:jc w:val="right"/>
              <w:rPr>
                <w:rFonts w:ascii="Times New Roman" w:hAnsi="Times New Roman"/>
                <w:lang w:val="es-ES_tradnl"/>
              </w:rPr>
            </w:pPr>
          </w:p>
        </w:tc>
        <w:tc>
          <w:tcPr>
            <w:tcW w:w="1218" w:type="dxa"/>
            <w:tcBorders>
              <w:top w:val="nil"/>
              <w:left w:val="nil"/>
              <w:bottom w:val="nil"/>
              <w:right w:val="nil"/>
            </w:tcBorders>
            <w:vAlign w:val="center"/>
            <w:hideMark/>
          </w:tcPr>
          <w:p w14:paraId="4192CDCB" w14:textId="77777777" w:rsidR="00B65EDC" w:rsidRPr="00E675E8" w:rsidRDefault="00B65EDC">
            <w:pPr>
              <w:jc w:val="right"/>
              <w:rPr>
                <w:rFonts w:ascii="Times New Roman" w:hAnsi="Times New Roman"/>
                <w:lang w:val="es-ES_tradnl"/>
              </w:rPr>
            </w:pPr>
          </w:p>
        </w:tc>
      </w:tr>
      <w:tr w:rsidR="00B65EDC" w:rsidRPr="00E675E8" w14:paraId="1D202C35" w14:textId="77777777" w:rsidTr="00A538F6">
        <w:trPr>
          <w:trHeight w:val="352"/>
          <w:jc w:val="center"/>
        </w:trPr>
        <w:tc>
          <w:tcPr>
            <w:tcW w:w="419" w:type="dxa"/>
            <w:tcBorders>
              <w:top w:val="nil"/>
              <w:left w:val="nil"/>
              <w:bottom w:val="nil"/>
              <w:right w:val="nil"/>
            </w:tcBorders>
            <w:noWrap/>
            <w:vAlign w:val="bottom"/>
            <w:hideMark/>
          </w:tcPr>
          <w:p w14:paraId="34680CAD" w14:textId="77777777" w:rsidR="00B65EDC" w:rsidRPr="00E675E8" w:rsidRDefault="00B65EDC">
            <w:pPr>
              <w:jc w:val="right"/>
              <w:rPr>
                <w:rFonts w:ascii="Times New Roman" w:hAnsi="Times New Roman"/>
                <w:lang w:val="es-ES_tradnl"/>
              </w:rPr>
            </w:pPr>
          </w:p>
        </w:tc>
        <w:tc>
          <w:tcPr>
            <w:tcW w:w="3123" w:type="dxa"/>
            <w:tcBorders>
              <w:top w:val="nil"/>
              <w:left w:val="nil"/>
              <w:bottom w:val="nil"/>
              <w:right w:val="nil"/>
            </w:tcBorders>
            <w:vAlign w:val="bottom"/>
            <w:hideMark/>
          </w:tcPr>
          <w:p w14:paraId="16BB2310" w14:textId="77777777" w:rsidR="00B65EDC" w:rsidRPr="00E675E8" w:rsidRDefault="00B65EDC">
            <w:pPr>
              <w:ind w:firstLineChars="200" w:firstLine="400"/>
              <w:jc w:val="left"/>
              <w:rPr>
                <w:rFonts w:ascii="Arial Narrow" w:hAnsi="Arial Narrow" w:cs="Arial"/>
                <w:i/>
                <w:iCs/>
                <w:color w:val="000000"/>
                <w:lang w:val="es-ES_tradnl"/>
              </w:rPr>
            </w:pPr>
            <w:r w:rsidRPr="00E675E8">
              <w:rPr>
                <w:rFonts w:ascii="Arial Narrow" w:hAnsi="Arial Narrow"/>
                <w:i/>
                <w:color w:val="000000"/>
                <w:lang w:val="es-ES_tradnl"/>
              </w:rPr>
              <w:t>Misiones del personal</w:t>
            </w:r>
          </w:p>
        </w:tc>
        <w:tc>
          <w:tcPr>
            <w:tcW w:w="1142" w:type="dxa"/>
            <w:tcBorders>
              <w:top w:val="nil"/>
              <w:left w:val="nil"/>
              <w:bottom w:val="nil"/>
              <w:right w:val="nil"/>
            </w:tcBorders>
            <w:vAlign w:val="bottom"/>
            <w:hideMark/>
          </w:tcPr>
          <w:p w14:paraId="243CEAF7"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99 </w:t>
            </w:r>
          </w:p>
        </w:tc>
        <w:tc>
          <w:tcPr>
            <w:tcW w:w="1123" w:type="dxa"/>
            <w:tcBorders>
              <w:top w:val="nil"/>
              <w:left w:val="nil"/>
              <w:bottom w:val="nil"/>
              <w:right w:val="nil"/>
            </w:tcBorders>
            <w:vAlign w:val="bottom"/>
            <w:hideMark/>
          </w:tcPr>
          <w:p w14:paraId="500ECA84"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145 </w:t>
            </w:r>
          </w:p>
        </w:tc>
        <w:tc>
          <w:tcPr>
            <w:tcW w:w="933" w:type="dxa"/>
            <w:tcBorders>
              <w:top w:val="nil"/>
              <w:left w:val="nil"/>
              <w:bottom w:val="nil"/>
              <w:right w:val="nil"/>
            </w:tcBorders>
            <w:vAlign w:val="bottom"/>
            <w:hideMark/>
          </w:tcPr>
          <w:p w14:paraId="627BFA0D"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(45)</w:t>
            </w:r>
          </w:p>
        </w:tc>
        <w:tc>
          <w:tcPr>
            <w:tcW w:w="1123" w:type="dxa"/>
            <w:tcBorders>
              <w:top w:val="nil"/>
              <w:left w:val="nil"/>
              <w:bottom w:val="nil"/>
              <w:right w:val="nil"/>
            </w:tcBorders>
            <w:vAlign w:val="bottom"/>
            <w:hideMark/>
          </w:tcPr>
          <w:p w14:paraId="4934A53B"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-31 %</w:t>
            </w:r>
          </w:p>
        </w:tc>
        <w:tc>
          <w:tcPr>
            <w:tcW w:w="1218" w:type="dxa"/>
            <w:tcBorders>
              <w:top w:val="nil"/>
              <w:left w:val="nil"/>
              <w:bottom w:val="nil"/>
              <w:right w:val="nil"/>
            </w:tcBorders>
            <w:vAlign w:val="bottom"/>
            <w:hideMark/>
          </w:tcPr>
          <w:p w14:paraId="03B3A07A"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100</w:t>
            </w:r>
          </w:p>
        </w:tc>
      </w:tr>
      <w:tr w:rsidR="00B65EDC" w:rsidRPr="00E675E8" w14:paraId="6F42A098" w14:textId="77777777" w:rsidTr="00A538F6">
        <w:trPr>
          <w:trHeight w:val="352"/>
          <w:jc w:val="center"/>
        </w:trPr>
        <w:tc>
          <w:tcPr>
            <w:tcW w:w="419" w:type="dxa"/>
            <w:tcBorders>
              <w:top w:val="nil"/>
              <w:left w:val="nil"/>
              <w:bottom w:val="nil"/>
              <w:right w:val="nil"/>
            </w:tcBorders>
            <w:noWrap/>
            <w:vAlign w:val="bottom"/>
            <w:hideMark/>
          </w:tcPr>
          <w:p w14:paraId="764CB675" w14:textId="77777777" w:rsidR="00B65EDC" w:rsidRPr="00E675E8" w:rsidRDefault="00B65EDC">
            <w:pPr>
              <w:jc w:val="right"/>
              <w:rPr>
                <w:rFonts w:ascii="Arial Narrow" w:hAnsi="Arial Narrow" w:cs="Arial"/>
                <w:lang w:val="es-ES_tradnl"/>
              </w:rPr>
            </w:pPr>
          </w:p>
        </w:tc>
        <w:tc>
          <w:tcPr>
            <w:tcW w:w="3123" w:type="dxa"/>
            <w:tcBorders>
              <w:top w:val="nil"/>
              <w:left w:val="nil"/>
              <w:bottom w:val="nil"/>
              <w:right w:val="nil"/>
            </w:tcBorders>
            <w:vAlign w:val="bottom"/>
            <w:hideMark/>
          </w:tcPr>
          <w:p w14:paraId="78009219" w14:textId="77777777" w:rsidR="00B65EDC" w:rsidRPr="00E675E8" w:rsidRDefault="00B65EDC">
            <w:pPr>
              <w:ind w:firstLineChars="200" w:firstLine="400"/>
              <w:jc w:val="left"/>
              <w:rPr>
                <w:rFonts w:ascii="Arial Narrow" w:hAnsi="Arial Narrow" w:cs="Arial"/>
                <w:i/>
                <w:iCs/>
                <w:color w:val="000000"/>
                <w:lang w:val="es-ES_tradnl"/>
              </w:rPr>
            </w:pPr>
            <w:r w:rsidRPr="00E675E8">
              <w:rPr>
                <w:rFonts w:ascii="Arial Narrow" w:hAnsi="Arial Narrow"/>
                <w:i/>
                <w:color w:val="000000"/>
                <w:lang w:val="es-ES_tradnl"/>
              </w:rPr>
              <w:t>Viajes de terceros</w:t>
            </w:r>
          </w:p>
        </w:tc>
        <w:tc>
          <w:tcPr>
            <w:tcW w:w="1142" w:type="dxa"/>
            <w:tcBorders>
              <w:top w:val="nil"/>
              <w:left w:val="nil"/>
              <w:bottom w:val="nil"/>
              <w:right w:val="nil"/>
            </w:tcBorders>
            <w:vAlign w:val="bottom"/>
            <w:hideMark/>
          </w:tcPr>
          <w:p w14:paraId="48F1C2FD"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w:t>
            </w:r>
          </w:p>
        </w:tc>
        <w:tc>
          <w:tcPr>
            <w:tcW w:w="1123" w:type="dxa"/>
            <w:tcBorders>
              <w:top w:val="nil"/>
              <w:left w:val="nil"/>
              <w:bottom w:val="nil"/>
              <w:right w:val="nil"/>
            </w:tcBorders>
            <w:vAlign w:val="bottom"/>
            <w:hideMark/>
          </w:tcPr>
          <w:p w14:paraId="7DD25220"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5 </w:t>
            </w:r>
          </w:p>
        </w:tc>
        <w:tc>
          <w:tcPr>
            <w:tcW w:w="933" w:type="dxa"/>
            <w:tcBorders>
              <w:top w:val="nil"/>
              <w:left w:val="nil"/>
              <w:bottom w:val="nil"/>
              <w:right w:val="nil"/>
            </w:tcBorders>
            <w:vAlign w:val="bottom"/>
            <w:hideMark/>
          </w:tcPr>
          <w:p w14:paraId="08A59D40"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(5)</w:t>
            </w:r>
          </w:p>
        </w:tc>
        <w:tc>
          <w:tcPr>
            <w:tcW w:w="1123" w:type="dxa"/>
            <w:tcBorders>
              <w:top w:val="nil"/>
              <w:left w:val="nil"/>
              <w:bottom w:val="nil"/>
              <w:right w:val="nil"/>
            </w:tcBorders>
            <w:vAlign w:val="bottom"/>
            <w:hideMark/>
          </w:tcPr>
          <w:p w14:paraId="548E4B08"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-100 %</w:t>
            </w:r>
          </w:p>
        </w:tc>
        <w:tc>
          <w:tcPr>
            <w:tcW w:w="1218" w:type="dxa"/>
            <w:tcBorders>
              <w:top w:val="nil"/>
              <w:left w:val="nil"/>
              <w:bottom w:val="nil"/>
              <w:right w:val="nil"/>
            </w:tcBorders>
            <w:vAlign w:val="bottom"/>
            <w:hideMark/>
          </w:tcPr>
          <w:p w14:paraId="71E1673E"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w:t>
            </w:r>
          </w:p>
        </w:tc>
      </w:tr>
      <w:tr w:rsidR="00B65EDC" w:rsidRPr="00E675E8" w14:paraId="45600296" w14:textId="77777777" w:rsidTr="00A538F6">
        <w:trPr>
          <w:trHeight w:val="352"/>
          <w:jc w:val="center"/>
        </w:trPr>
        <w:tc>
          <w:tcPr>
            <w:tcW w:w="419" w:type="dxa"/>
            <w:tcBorders>
              <w:top w:val="nil"/>
              <w:left w:val="nil"/>
              <w:bottom w:val="single" w:sz="4" w:space="0" w:color="A6A6A6"/>
              <w:right w:val="nil"/>
            </w:tcBorders>
            <w:noWrap/>
            <w:vAlign w:val="bottom"/>
            <w:hideMark/>
          </w:tcPr>
          <w:p w14:paraId="6A17D6C9" w14:textId="77777777" w:rsidR="00B65EDC" w:rsidRPr="00E675E8" w:rsidRDefault="00B65EDC">
            <w:pPr>
              <w:jc w:val="left"/>
              <w:rPr>
                <w:rFonts w:cs="Arial"/>
                <w:b/>
                <w:bCs/>
                <w:lang w:val="es-ES_tradnl"/>
              </w:rPr>
            </w:pPr>
            <w:r w:rsidRPr="00E675E8">
              <w:rPr>
                <w:b/>
                <w:lang w:val="es-ES_tradnl"/>
              </w:rPr>
              <w:t> </w:t>
            </w:r>
          </w:p>
        </w:tc>
        <w:tc>
          <w:tcPr>
            <w:tcW w:w="3123" w:type="dxa"/>
            <w:tcBorders>
              <w:top w:val="nil"/>
              <w:left w:val="nil"/>
              <w:bottom w:val="single" w:sz="4" w:space="0" w:color="A6A6A6"/>
              <w:right w:val="nil"/>
            </w:tcBorders>
            <w:vAlign w:val="bottom"/>
            <w:hideMark/>
          </w:tcPr>
          <w:p w14:paraId="2F97C8B1" w14:textId="77777777" w:rsidR="00B65EDC" w:rsidRPr="00E675E8" w:rsidRDefault="00B65EDC">
            <w:pPr>
              <w:jc w:val="left"/>
              <w:rPr>
                <w:rFonts w:ascii="Arial Narrow" w:hAnsi="Arial Narrow" w:cs="Arial"/>
                <w:b/>
                <w:bCs/>
                <w:lang w:val="es-ES_tradnl"/>
              </w:rPr>
            </w:pPr>
            <w:r w:rsidRPr="00E675E8">
              <w:rPr>
                <w:rFonts w:ascii="Arial Narrow" w:hAnsi="Arial Narrow"/>
                <w:b/>
                <w:lang w:val="es-ES_tradnl"/>
              </w:rPr>
              <w:t>Subtotal</w:t>
            </w:r>
          </w:p>
        </w:tc>
        <w:tc>
          <w:tcPr>
            <w:tcW w:w="1142" w:type="dxa"/>
            <w:tcBorders>
              <w:top w:val="nil"/>
              <w:left w:val="nil"/>
              <w:bottom w:val="single" w:sz="4" w:space="0" w:color="A6A6A6"/>
              <w:right w:val="nil"/>
            </w:tcBorders>
            <w:vAlign w:val="bottom"/>
            <w:hideMark/>
          </w:tcPr>
          <w:p w14:paraId="6CFB08D0"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 xml:space="preserve">99 </w:t>
            </w:r>
          </w:p>
        </w:tc>
        <w:tc>
          <w:tcPr>
            <w:tcW w:w="1123" w:type="dxa"/>
            <w:tcBorders>
              <w:top w:val="nil"/>
              <w:left w:val="nil"/>
              <w:bottom w:val="single" w:sz="4" w:space="0" w:color="A6A6A6"/>
              <w:right w:val="nil"/>
            </w:tcBorders>
            <w:vAlign w:val="bottom"/>
            <w:hideMark/>
          </w:tcPr>
          <w:p w14:paraId="758DFD95"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 xml:space="preserve">150 </w:t>
            </w:r>
          </w:p>
        </w:tc>
        <w:tc>
          <w:tcPr>
            <w:tcW w:w="933" w:type="dxa"/>
            <w:tcBorders>
              <w:top w:val="nil"/>
              <w:left w:val="nil"/>
              <w:bottom w:val="single" w:sz="4" w:space="0" w:color="A6A6A6"/>
              <w:right w:val="nil"/>
            </w:tcBorders>
            <w:vAlign w:val="bottom"/>
            <w:hideMark/>
          </w:tcPr>
          <w:p w14:paraId="63463E3B"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(50)</w:t>
            </w:r>
          </w:p>
        </w:tc>
        <w:tc>
          <w:tcPr>
            <w:tcW w:w="1123" w:type="dxa"/>
            <w:tcBorders>
              <w:top w:val="nil"/>
              <w:left w:val="nil"/>
              <w:bottom w:val="single" w:sz="4" w:space="0" w:color="A6A6A6"/>
              <w:right w:val="nil"/>
            </w:tcBorders>
            <w:vAlign w:val="bottom"/>
            <w:hideMark/>
          </w:tcPr>
          <w:p w14:paraId="18CE3614"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-33 %</w:t>
            </w:r>
          </w:p>
        </w:tc>
        <w:tc>
          <w:tcPr>
            <w:tcW w:w="1218" w:type="dxa"/>
            <w:tcBorders>
              <w:top w:val="nil"/>
              <w:left w:val="nil"/>
              <w:bottom w:val="single" w:sz="4" w:space="0" w:color="A6A6A6"/>
              <w:right w:val="nil"/>
            </w:tcBorders>
            <w:vAlign w:val="bottom"/>
            <w:hideMark/>
          </w:tcPr>
          <w:p w14:paraId="39FD4C2C"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100</w:t>
            </w:r>
          </w:p>
        </w:tc>
      </w:tr>
      <w:tr w:rsidR="00B65EDC" w:rsidRPr="00E675E8" w14:paraId="3009D873" w14:textId="77777777" w:rsidTr="00E12ED3">
        <w:trPr>
          <w:trHeight w:val="397"/>
          <w:jc w:val="center"/>
        </w:trPr>
        <w:tc>
          <w:tcPr>
            <w:tcW w:w="419" w:type="dxa"/>
            <w:tcBorders>
              <w:top w:val="nil"/>
              <w:left w:val="nil"/>
              <w:bottom w:val="nil"/>
              <w:right w:val="nil"/>
            </w:tcBorders>
            <w:noWrap/>
            <w:vAlign w:val="bottom"/>
            <w:hideMark/>
          </w:tcPr>
          <w:p w14:paraId="0F4FFCBA" w14:textId="77777777" w:rsidR="00B65EDC" w:rsidRPr="00E675E8" w:rsidRDefault="00B65EDC" w:rsidP="003F289C">
            <w:pPr>
              <w:keepNext/>
              <w:keepLines/>
              <w:jc w:val="right"/>
              <w:rPr>
                <w:rFonts w:ascii="Arial Narrow" w:hAnsi="Arial Narrow" w:cs="Arial"/>
                <w:b/>
                <w:bCs/>
                <w:lang w:val="es-ES_tradnl"/>
              </w:rPr>
            </w:pPr>
          </w:p>
        </w:tc>
        <w:tc>
          <w:tcPr>
            <w:tcW w:w="3123" w:type="dxa"/>
            <w:tcBorders>
              <w:top w:val="nil"/>
              <w:left w:val="nil"/>
              <w:bottom w:val="nil"/>
              <w:right w:val="nil"/>
            </w:tcBorders>
            <w:vAlign w:val="bottom"/>
            <w:hideMark/>
          </w:tcPr>
          <w:p w14:paraId="0A9F22F2" w14:textId="77777777" w:rsidR="00B65EDC" w:rsidRPr="00E675E8" w:rsidRDefault="00B65EDC" w:rsidP="003F289C">
            <w:pPr>
              <w:keepNext/>
              <w:keepLines/>
              <w:jc w:val="left"/>
              <w:rPr>
                <w:rFonts w:ascii="Arial Narrow" w:hAnsi="Arial Narrow" w:cs="Arial"/>
                <w:b/>
                <w:bCs/>
                <w:lang w:val="es-ES_tradnl"/>
              </w:rPr>
            </w:pPr>
            <w:r w:rsidRPr="00E675E8">
              <w:rPr>
                <w:rFonts w:ascii="Arial Narrow" w:hAnsi="Arial Narrow"/>
                <w:b/>
                <w:lang w:val="es-ES_tradnl"/>
              </w:rPr>
              <w:t>Servicios contractuales</w:t>
            </w:r>
          </w:p>
        </w:tc>
        <w:tc>
          <w:tcPr>
            <w:tcW w:w="1142" w:type="dxa"/>
            <w:tcBorders>
              <w:top w:val="nil"/>
              <w:left w:val="nil"/>
              <w:bottom w:val="nil"/>
              <w:right w:val="nil"/>
            </w:tcBorders>
            <w:vAlign w:val="center"/>
            <w:hideMark/>
          </w:tcPr>
          <w:p w14:paraId="160C5A4F" w14:textId="77777777" w:rsidR="00B65EDC" w:rsidRPr="00E675E8" w:rsidRDefault="00B65EDC" w:rsidP="003F289C">
            <w:pPr>
              <w:keepNext/>
              <w:keepLines/>
              <w:jc w:val="left"/>
              <w:rPr>
                <w:rFonts w:ascii="Arial Narrow" w:hAnsi="Arial Narrow" w:cs="Arial"/>
                <w:b/>
                <w:bCs/>
                <w:lang w:val="es-ES_tradnl"/>
              </w:rPr>
            </w:pPr>
          </w:p>
        </w:tc>
        <w:tc>
          <w:tcPr>
            <w:tcW w:w="1123" w:type="dxa"/>
            <w:tcBorders>
              <w:top w:val="nil"/>
              <w:left w:val="nil"/>
              <w:bottom w:val="nil"/>
              <w:right w:val="nil"/>
            </w:tcBorders>
            <w:vAlign w:val="center"/>
            <w:hideMark/>
          </w:tcPr>
          <w:p w14:paraId="72F14B9B" w14:textId="77777777" w:rsidR="00B65EDC" w:rsidRPr="00E675E8" w:rsidRDefault="00B65EDC" w:rsidP="003F289C">
            <w:pPr>
              <w:keepNext/>
              <w:keepLines/>
              <w:jc w:val="right"/>
              <w:rPr>
                <w:rFonts w:ascii="Times New Roman" w:hAnsi="Times New Roman"/>
                <w:lang w:val="es-ES_tradnl"/>
              </w:rPr>
            </w:pPr>
          </w:p>
        </w:tc>
        <w:tc>
          <w:tcPr>
            <w:tcW w:w="933" w:type="dxa"/>
            <w:tcBorders>
              <w:top w:val="nil"/>
              <w:left w:val="nil"/>
              <w:bottom w:val="nil"/>
              <w:right w:val="nil"/>
            </w:tcBorders>
            <w:vAlign w:val="center"/>
            <w:hideMark/>
          </w:tcPr>
          <w:p w14:paraId="2DEE8161" w14:textId="77777777" w:rsidR="00B65EDC" w:rsidRPr="00E675E8" w:rsidRDefault="00B65EDC" w:rsidP="003F289C">
            <w:pPr>
              <w:keepNext/>
              <w:keepLines/>
              <w:jc w:val="right"/>
              <w:rPr>
                <w:rFonts w:ascii="Times New Roman" w:hAnsi="Times New Roman"/>
                <w:lang w:val="es-ES_tradnl"/>
              </w:rPr>
            </w:pPr>
          </w:p>
        </w:tc>
        <w:tc>
          <w:tcPr>
            <w:tcW w:w="1123" w:type="dxa"/>
            <w:tcBorders>
              <w:top w:val="nil"/>
              <w:left w:val="nil"/>
              <w:bottom w:val="nil"/>
              <w:right w:val="nil"/>
            </w:tcBorders>
            <w:vAlign w:val="center"/>
            <w:hideMark/>
          </w:tcPr>
          <w:p w14:paraId="31E63AAF" w14:textId="77777777" w:rsidR="00B65EDC" w:rsidRPr="00E675E8" w:rsidRDefault="00B65EDC" w:rsidP="003F289C">
            <w:pPr>
              <w:keepNext/>
              <w:keepLines/>
              <w:jc w:val="right"/>
              <w:rPr>
                <w:rFonts w:ascii="Times New Roman" w:hAnsi="Times New Roman"/>
                <w:lang w:val="es-ES_tradnl"/>
              </w:rPr>
            </w:pPr>
          </w:p>
        </w:tc>
        <w:tc>
          <w:tcPr>
            <w:tcW w:w="1218" w:type="dxa"/>
            <w:tcBorders>
              <w:top w:val="nil"/>
              <w:left w:val="nil"/>
              <w:bottom w:val="nil"/>
              <w:right w:val="nil"/>
            </w:tcBorders>
            <w:vAlign w:val="center"/>
            <w:hideMark/>
          </w:tcPr>
          <w:p w14:paraId="68661A3F" w14:textId="77777777" w:rsidR="00B65EDC" w:rsidRPr="00E675E8" w:rsidRDefault="00B65EDC" w:rsidP="003F289C">
            <w:pPr>
              <w:keepNext/>
              <w:keepLines/>
              <w:jc w:val="right"/>
              <w:rPr>
                <w:rFonts w:ascii="Times New Roman" w:hAnsi="Times New Roman"/>
                <w:lang w:val="es-ES_tradnl"/>
              </w:rPr>
            </w:pPr>
          </w:p>
        </w:tc>
      </w:tr>
      <w:tr w:rsidR="00B65EDC" w:rsidRPr="00E675E8" w14:paraId="37A1D6E0" w14:textId="77777777" w:rsidTr="00A538F6">
        <w:trPr>
          <w:trHeight w:val="352"/>
          <w:jc w:val="center"/>
        </w:trPr>
        <w:tc>
          <w:tcPr>
            <w:tcW w:w="419" w:type="dxa"/>
            <w:tcBorders>
              <w:top w:val="nil"/>
              <w:left w:val="nil"/>
              <w:bottom w:val="nil"/>
              <w:right w:val="nil"/>
            </w:tcBorders>
            <w:noWrap/>
            <w:vAlign w:val="bottom"/>
            <w:hideMark/>
          </w:tcPr>
          <w:p w14:paraId="04C18D65" w14:textId="77777777" w:rsidR="00B65EDC" w:rsidRPr="00E675E8" w:rsidRDefault="00B65EDC" w:rsidP="003F289C">
            <w:pPr>
              <w:keepNext/>
              <w:keepLines/>
              <w:jc w:val="right"/>
              <w:rPr>
                <w:rFonts w:ascii="Times New Roman" w:hAnsi="Times New Roman"/>
                <w:lang w:val="es-ES_tradnl"/>
              </w:rPr>
            </w:pPr>
          </w:p>
        </w:tc>
        <w:tc>
          <w:tcPr>
            <w:tcW w:w="3123" w:type="dxa"/>
            <w:tcBorders>
              <w:top w:val="nil"/>
              <w:left w:val="nil"/>
              <w:bottom w:val="nil"/>
              <w:right w:val="nil"/>
            </w:tcBorders>
            <w:vAlign w:val="bottom"/>
            <w:hideMark/>
          </w:tcPr>
          <w:p w14:paraId="105A1876" w14:textId="77777777" w:rsidR="00B65EDC" w:rsidRPr="00E675E8" w:rsidRDefault="00B65EDC" w:rsidP="003F289C">
            <w:pPr>
              <w:keepNext/>
              <w:keepLines/>
              <w:ind w:firstLineChars="200" w:firstLine="400"/>
              <w:jc w:val="left"/>
              <w:rPr>
                <w:rFonts w:ascii="Arial Narrow" w:hAnsi="Arial Narrow" w:cs="Arial"/>
                <w:i/>
                <w:iCs/>
                <w:color w:val="000000"/>
                <w:lang w:val="es-ES_tradnl"/>
              </w:rPr>
            </w:pPr>
            <w:r w:rsidRPr="00E675E8">
              <w:rPr>
                <w:rFonts w:ascii="Arial Narrow" w:hAnsi="Arial Narrow"/>
                <w:i/>
                <w:color w:val="000000"/>
                <w:lang w:val="es-ES_tradnl"/>
              </w:rPr>
              <w:t>Conferencias</w:t>
            </w:r>
          </w:p>
        </w:tc>
        <w:tc>
          <w:tcPr>
            <w:tcW w:w="1142" w:type="dxa"/>
            <w:tcBorders>
              <w:top w:val="nil"/>
              <w:left w:val="nil"/>
              <w:bottom w:val="nil"/>
              <w:right w:val="nil"/>
            </w:tcBorders>
            <w:vAlign w:val="bottom"/>
            <w:hideMark/>
          </w:tcPr>
          <w:p w14:paraId="6B692641" w14:textId="77777777" w:rsidR="00B65EDC" w:rsidRPr="00E675E8" w:rsidRDefault="00B65EDC" w:rsidP="003F289C">
            <w:pPr>
              <w:keepNext/>
              <w:keepLines/>
              <w:jc w:val="right"/>
              <w:rPr>
                <w:rFonts w:ascii="Arial Narrow" w:hAnsi="Arial Narrow" w:cs="Arial"/>
                <w:lang w:val="es-ES_tradnl"/>
              </w:rPr>
            </w:pPr>
            <w:r w:rsidRPr="00E675E8">
              <w:rPr>
                <w:rFonts w:ascii="Arial Narrow" w:hAnsi="Arial Narrow"/>
                <w:lang w:val="es-ES_tradnl"/>
              </w:rPr>
              <w:t xml:space="preserve">264 </w:t>
            </w:r>
          </w:p>
        </w:tc>
        <w:tc>
          <w:tcPr>
            <w:tcW w:w="1123" w:type="dxa"/>
            <w:tcBorders>
              <w:top w:val="nil"/>
              <w:left w:val="nil"/>
              <w:bottom w:val="nil"/>
              <w:right w:val="nil"/>
            </w:tcBorders>
            <w:vAlign w:val="bottom"/>
            <w:hideMark/>
          </w:tcPr>
          <w:p w14:paraId="3BED7F14" w14:textId="77777777" w:rsidR="00B65EDC" w:rsidRPr="00E675E8" w:rsidRDefault="00B65EDC" w:rsidP="003F289C">
            <w:pPr>
              <w:keepNext/>
              <w:keepLines/>
              <w:jc w:val="right"/>
              <w:rPr>
                <w:rFonts w:ascii="Arial Narrow" w:hAnsi="Arial Narrow" w:cs="Arial"/>
                <w:lang w:val="es-ES_tradnl"/>
              </w:rPr>
            </w:pPr>
            <w:r w:rsidRPr="00E675E8">
              <w:rPr>
                <w:rFonts w:ascii="Arial Narrow" w:hAnsi="Arial Narrow"/>
                <w:lang w:val="es-ES_tradnl"/>
              </w:rPr>
              <w:t xml:space="preserve">200 </w:t>
            </w:r>
          </w:p>
        </w:tc>
        <w:tc>
          <w:tcPr>
            <w:tcW w:w="933" w:type="dxa"/>
            <w:tcBorders>
              <w:top w:val="nil"/>
              <w:left w:val="nil"/>
              <w:bottom w:val="nil"/>
              <w:right w:val="nil"/>
            </w:tcBorders>
            <w:vAlign w:val="bottom"/>
            <w:hideMark/>
          </w:tcPr>
          <w:p w14:paraId="2130F8A9" w14:textId="77777777" w:rsidR="00B65EDC" w:rsidRPr="00E675E8" w:rsidRDefault="00B65EDC" w:rsidP="003F289C">
            <w:pPr>
              <w:keepNext/>
              <w:keepLines/>
              <w:jc w:val="right"/>
              <w:rPr>
                <w:rFonts w:ascii="Arial Narrow" w:hAnsi="Arial Narrow" w:cs="Arial"/>
                <w:lang w:val="es-ES_tradnl"/>
              </w:rPr>
            </w:pPr>
            <w:r w:rsidRPr="00E675E8">
              <w:rPr>
                <w:rFonts w:ascii="Arial Narrow" w:hAnsi="Arial Narrow"/>
                <w:lang w:val="es-ES_tradnl"/>
              </w:rPr>
              <w:t>-</w:t>
            </w:r>
          </w:p>
        </w:tc>
        <w:tc>
          <w:tcPr>
            <w:tcW w:w="1123" w:type="dxa"/>
            <w:tcBorders>
              <w:top w:val="nil"/>
              <w:left w:val="nil"/>
              <w:bottom w:val="nil"/>
              <w:right w:val="nil"/>
            </w:tcBorders>
            <w:vAlign w:val="bottom"/>
            <w:hideMark/>
          </w:tcPr>
          <w:p w14:paraId="6EC02F6D" w14:textId="77777777" w:rsidR="00B65EDC" w:rsidRPr="00E675E8" w:rsidRDefault="00B65EDC" w:rsidP="003F289C">
            <w:pPr>
              <w:keepNext/>
              <w:keepLines/>
              <w:jc w:val="right"/>
              <w:rPr>
                <w:rFonts w:ascii="Arial Narrow" w:hAnsi="Arial Narrow" w:cs="Arial"/>
                <w:lang w:val="es-ES_tradnl"/>
              </w:rPr>
            </w:pPr>
            <w:r w:rsidRPr="00E675E8">
              <w:rPr>
                <w:rFonts w:ascii="Arial Narrow" w:hAnsi="Arial Narrow"/>
                <w:lang w:val="es-ES_tradnl"/>
              </w:rPr>
              <w:t>-</w:t>
            </w:r>
          </w:p>
        </w:tc>
        <w:tc>
          <w:tcPr>
            <w:tcW w:w="1218" w:type="dxa"/>
            <w:tcBorders>
              <w:top w:val="nil"/>
              <w:left w:val="nil"/>
              <w:bottom w:val="nil"/>
              <w:right w:val="nil"/>
            </w:tcBorders>
            <w:vAlign w:val="bottom"/>
            <w:hideMark/>
          </w:tcPr>
          <w:p w14:paraId="5DE8661A" w14:textId="77777777" w:rsidR="00B65EDC" w:rsidRPr="00E675E8" w:rsidRDefault="00B65EDC" w:rsidP="003F289C">
            <w:pPr>
              <w:keepNext/>
              <w:keepLines/>
              <w:jc w:val="right"/>
              <w:rPr>
                <w:rFonts w:ascii="Arial Narrow" w:hAnsi="Arial Narrow" w:cs="Arial"/>
                <w:lang w:val="es-ES_tradnl"/>
              </w:rPr>
            </w:pPr>
            <w:r w:rsidRPr="00E675E8">
              <w:rPr>
                <w:rFonts w:ascii="Arial Narrow" w:hAnsi="Arial Narrow"/>
                <w:lang w:val="es-ES_tradnl"/>
              </w:rPr>
              <w:t>200</w:t>
            </w:r>
          </w:p>
        </w:tc>
      </w:tr>
      <w:tr w:rsidR="00B65EDC" w:rsidRPr="00E675E8" w14:paraId="53D93D67" w14:textId="77777777" w:rsidTr="00A538F6">
        <w:trPr>
          <w:trHeight w:val="352"/>
          <w:jc w:val="center"/>
        </w:trPr>
        <w:tc>
          <w:tcPr>
            <w:tcW w:w="419" w:type="dxa"/>
            <w:tcBorders>
              <w:top w:val="nil"/>
              <w:left w:val="nil"/>
              <w:bottom w:val="nil"/>
              <w:right w:val="nil"/>
            </w:tcBorders>
            <w:noWrap/>
            <w:vAlign w:val="bottom"/>
            <w:hideMark/>
          </w:tcPr>
          <w:p w14:paraId="56BD2AA3" w14:textId="77777777" w:rsidR="00B65EDC" w:rsidRPr="00E675E8" w:rsidRDefault="00B65EDC" w:rsidP="003F289C">
            <w:pPr>
              <w:keepNext/>
              <w:keepLines/>
              <w:jc w:val="right"/>
              <w:rPr>
                <w:rFonts w:ascii="Arial Narrow" w:hAnsi="Arial Narrow" w:cs="Arial"/>
                <w:lang w:val="es-ES_tradnl"/>
              </w:rPr>
            </w:pPr>
          </w:p>
        </w:tc>
        <w:tc>
          <w:tcPr>
            <w:tcW w:w="3123" w:type="dxa"/>
            <w:tcBorders>
              <w:top w:val="nil"/>
              <w:left w:val="nil"/>
              <w:bottom w:val="nil"/>
              <w:right w:val="nil"/>
            </w:tcBorders>
            <w:vAlign w:val="bottom"/>
            <w:hideMark/>
          </w:tcPr>
          <w:p w14:paraId="32199232" w14:textId="77777777" w:rsidR="00B65EDC" w:rsidRPr="00E675E8" w:rsidRDefault="00B65EDC" w:rsidP="003F289C">
            <w:pPr>
              <w:keepNext/>
              <w:keepLines/>
              <w:ind w:firstLineChars="200" w:firstLine="400"/>
              <w:jc w:val="left"/>
              <w:rPr>
                <w:rFonts w:ascii="Arial Narrow" w:hAnsi="Arial Narrow" w:cs="Arial"/>
                <w:i/>
                <w:iCs/>
                <w:color w:val="000000"/>
                <w:lang w:val="es-ES_tradnl"/>
              </w:rPr>
            </w:pPr>
            <w:r w:rsidRPr="00E675E8">
              <w:rPr>
                <w:rFonts w:ascii="Arial Narrow" w:hAnsi="Arial Narrow"/>
                <w:i/>
                <w:color w:val="000000"/>
                <w:lang w:val="es-ES_tradnl"/>
              </w:rPr>
              <w:t>Publicaciones</w:t>
            </w:r>
          </w:p>
        </w:tc>
        <w:tc>
          <w:tcPr>
            <w:tcW w:w="1142" w:type="dxa"/>
            <w:tcBorders>
              <w:top w:val="nil"/>
              <w:left w:val="nil"/>
              <w:bottom w:val="nil"/>
              <w:right w:val="nil"/>
            </w:tcBorders>
            <w:vAlign w:val="bottom"/>
            <w:hideMark/>
          </w:tcPr>
          <w:p w14:paraId="1A0A5FFC" w14:textId="77777777" w:rsidR="00B65EDC" w:rsidRPr="00E675E8" w:rsidRDefault="00B65EDC" w:rsidP="003F289C">
            <w:pPr>
              <w:keepNext/>
              <w:keepLines/>
              <w:jc w:val="right"/>
              <w:rPr>
                <w:rFonts w:ascii="Arial Narrow" w:hAnsi="Arial Narrow" w:cs="Arial"/>
                <w:lang w:val="es-ES_tradnl"/>
              </w:rPr>
            </w:pPr>
            <w:r w:rsidRPr="00E675E8">
              <w:rPr>
                <w:rFonts w:ascii="Arial Narrow" w:hAnsi="Arial Narrow"/>
                <w:lang w:val="es-ES_tradnl"/>
              </w:rPr>
              <w:t>-</w:t>
            </w:r>
          </w:p>
        </w:tc>
        <w:tc>
          <w:tcPr>
            <w:tcW w:w="1123" w:type="dxa"/>
            <w:tcBorders>
              <w:top w:val="nil"/>
              <w:left w:val="nil"/>
              <w:bottom w:val="nil"/>
              <w:right w:val="nil"/>
            </w:tcBorders>
            <w:vAlign w:val="bottom"/>
            <w:hideMark/>
          </w:tcPr>
          <w:p w14:paraId="1B10F588" w14:textId="77777777" w:rsidR="00B65EDC" w:rsidRPr="00E675E8" w:rsidRDefault="00B65EDC" w:rsidP="003F289C">
            <w:pPr>
              <w:keepNext/>
              <w:keepLines/>
              <w:jc w:val="right"/>
              <w:rPr>
                <w:rFonts w:ascii="Arial Narrow" w:hAnsi="Arial Narrow" w:cs="Arial"/>
                <w:lang w:val="es-ES_tradnl"/>
              </w:rPr>
            </w:pPr>
            <w:r w:rsidRPr="00E675E8">
              <w:rPr>
                <w:rFonts w:ascii="Arial Narrow" w:hAnsi="Arial Narrow"/>
                <w:lang w:val="es-ES_tradnl"/>
              </w:rPr>
              <w:t>-</w:t>
            </w:r>
          </w:p>
        </w:tc>
        <w:tc>
          <w:tcPr>
            <w:tcW w:w="933" w:type="dxa"/>
            <w:tcBorders>
              <w:top w:val="nil"/>
              <w:left w:val="nil"/>
              <w:bottom w:val="nil"/>
              <w:right w:val="nil"/>
            </w:tcBorders>
            <w:vAlign w:val="bottom"/>
            <w:hideMark/>
          </w:tcPr>
          <w:p w14:paraId="74A8119C" w14:textId="77777777" w:rsidR="00B65EDC" w:rsidRPr="00E675E8" w:rsidRDefault="00B65EDC" w:rsidP="003F289C">
            <w:pPr>
              <w:keepNext/>
              <w:keepLines/>
              <w:jc w:val="right"/>
              <w:rPr>
                <w:rFonts w:ascii="Arial Narrow" w:hAnsi="Arial Narrow" w:cs="Arial"/>
                <w:lang w:val="es-ES_tradnl"/>
              </w:rPr>
            </w:pPr>
            <w:r w:rsidRPr="00E675E8">
              <w:rPr>
                <w:rFonts w:ascii="Arial Narrow" w:hAnsi="Arial Narrow"/>
                <w:lang w:val="es-ES_tradnl"/>
              </w:rPr>
              <w:t>-</w:t>
            </w:r>
          </w:p>
        </w:tc>
        <w:tc>
          <w:tcPr>
            <w:tcW w:w="1123" w:type="dxa"/>
            <w:tcBorders>
              <w:top w:val="nil"/>
              <w:left w:val="nil"/>
              <w:bottom w:val="nil"/>
              <w:right w:val="nil"/>
            </w:tcBorders>
            <w:vAlign w:val="bottom"/>
            <w:hideMark/>
          </w:tcPr>
          <w:p w14:paraId="6EB87824" w14:textId="77777777" w:rsidR="00B65EDC" w:rsidRPr="00E675E8" w:rsidRDefault="00B65EDC" w:rsidP="003F289C">
            <w:pPr>
              <w:keepNext/>
              <w:keepLines/>
              <w:jc w:val="right"/>
              <w:rPr>
                <w:rFonts w:ascii="Arial Narrow" w:hAnsi="Arial Narrow" w:cs="Arial"/>
                <w:lang w:val="es-ES_tradnl"/>
              </w:rPr>
            </w:pPr>
            <w:r w:rsidRPr="00E675E8">
              <w:rPr>
                <w:rFonts w:ascii="Arial Narrow" w:hAnsi="Arial Narrow"/>
                <w:lang w:val="es-ES_tradnl"/>
              </w:rPr>
              <w:t>-</w:t>
            </w:r>
          </w:p>
        </w:tc>
        <w:tc>
          <w:tcPr>
            <w:tcW w:w="1218" w:type="dxa"/>
            <w:tcBorders>
              <w:top w:val="nil"/>
              <w:left w:val="nil"/>
              <w:bottom w:val="nil"/>
              <w:right w:val="nil"/>
            </w:tcBorders>
            <w:vAlign w:val="bottom"/>
            <w:hideMark/>
          </w:tcPr>
          <w:p w14:paraId="35E601A1" w14:textId="77777777" w:rsidR="00B65EDC" w:rsidRPr="00E675E8" w:rsidRDefault="00B65EDC" w:rsidP="003F289C">
            <w:pPr>
              <w:keepNext/>
              <w:keepLines/>
              <w:jc w:val="right"/>
              <w:rPr>
                <w:rFonts w:ascii="Arial Narrow" w:hAnsi="Arial Narrow" w:cs="Arial"/>
                <w:lang w:val="es-ES_tradnl"/>
              </w:rPr>
            </w:pPr>
            <w:r w:rsidRPr="00E675E8">
              <w:rPr>
                <w:rFonts w:ascii="Arial Narrow" w:hAnsi="Arial Narrow"/>
                <w:lang w:val="es-ES_tradnl"/>
              </w:rPr>
              <w:t>-</w:t>
            </w:r>
          </w:p>
        </w:tc>
      </w:tr>
      <w:tr w:rsidR="00B65EDC" w:rsidRPr="00E675E8" w14:paraId="2611DA14" w14:textId="77777777" w:rsidTr="00A538F6">
        <w:trPr>
          <w:trHeight w:val="352"/>
          <w:jc w:val="center"/>
        </w:trPr>
        <w:tc>
          <w:tcPr>
            <w:tcW w:w="419" w:type="dxa"/>
            <w:tcBorders>
              <w:top w:val="nil"/>
              <w:left w:val="nil"/>
              <w:bottom w:val="nil"/>
              <w:right w:val="nil"/>
            </w:tcBorders>
            <w:noWrap/>
            <w:vAlign w:val="bottom"/>
            <w:hideMark/>
          </w:tcPr>
          <w:p w14:paraId="50156FEF" w14:textId="77777777" w:rsidR="00B65EDC" w:rsidRPr="00E675E8" w:rsidRDefault="00B65EDC">
            <w:pPr>
              <w:jc w:val="right"/>
              <w:rPr>
                <w:rFonts w:ascii="Arial Narrow" w:hAnsi="Arial Narrow" w:cs="Arial"/>
                <w:lang w:val="es-ES_tradnl"/>
              </w:rPr>
            </w:pPr>
          </w:p>
        </w:tc>
        <w:tc>
          <w:tcPr>
            <w:tcW w:w="3123" w:type="dxa"/>
            <w:tcBorders>
              <w:top w:val="nil"/>
              <w:left w:val="nil"/>
              <w:bottom w:val="nil"/>
              <w:right w:val="nil"/>
            </w:tcBorders>
            <w:vAlign w:val="bottom"/>
            <w:hideMark/>
          </w:tcPr>
          <w:p w14:paraId="617403A8" w14:textId="77777777" w:rsidR="00B65EDC" w:rsidRPr="00E675E8" w:rsidRDefault="00B65EDC">
            <w:pPr>
              <w:ind w:firstLineChars="200" w:firstLine="400"/>
              <w:jc w:val="left"/>
              <w:rPr>
                <w:rFonts w:ascii="Arial Narrow" w:hAnsi="Arial Narrow" w:cs="Arial"/>
                <w:i/>
                <w:iCs/>
                <w:color w:val="000000"/>
                <w:lang w:val="es-ES_tradnl"/>
              </w:rPr>
            </w:pPr>
            <w:r w:rsidRPr="00E675E8">
              <w:rPr>
                <w:rFonts w:ascii="Arial Narrow" w:hAnsi="Arial Narrow"/>
                <w:i/>
                <w:color w:val="000000"/>
                <w:lang w:val="es-ES_tradnl"/>
              </w:rPr>
              <w:t>Servicios contractuales individuales</w:t>
            </w:r>
          </w:p>
        </w:tc>
        <w:tc>
          <w:tcPr>
            <w:tcW w:w="1142" w:type="dxa"/>
            <w:tcBorders>
              <w:top w:val="nil"/>
              <w:left w:val="nil"/>
              <w:bottom w:val="nil"/>
              <w:right w:val="nil"/>
            </w:tcBorders>
            <w:vAlign w:val="bottom"/>
            <w:hideMark/>
          </w:tcPr>
          <w:p w14:paraId="3ABD2A16"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114 </w:t>
            </w:r>
          </w:p>
        </w:tc>
        <w:tc>
          <w:tcPr>
            <w:tcW w:w="1123" w:type="dxa"/>
            <w:tcBorders>
              <w:top w:val="nil"/>
              <w:left w:val="nil"/>
              <w:bottom w:val="nil"/>
              <w:right w:val="nil"/>
            </w:tcBorders>
            <w:vAlign w:val="bottom"/>
            <w:hideMark/>
          </w:tcPr>
          <w:p w14:paraId="0604509B"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100 </w:t>
            </w:r>
          </w:p>
        </w:tc>
        <w:tc>
          <w:tcPr>
            <w:tcW w:w="933" w:type="dxa"/>
            <w:tcBorders>
              <w:top w:val="nil"/>
              <w:left w:val="nil"/>
              <w:bottom w:val="nil"/>
              <w:right w:val="nil"/>
            </w:tcBorders>
            <w:vAlign w:val="bottom"/>
            <w:hideMark/>
          </w:tcPr>
          <w:p w14:paraId="6E951024"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(75)</w:t>
            </w:r>
          </w:p>
        </w:tc>
        <w:tc>
          <w:tcPr>
            <w:tcW w:w="1123" w:type="dxa"/>
            <w:tcBorders>
              <w:top w:val="nil"/>
              <w:left w:val="nil"/>
              <w:bottom w:val="nil"/>
              <w:right w:val="nil"/>
            </w:tcBorders>
            <w:vAlign w:val="bottom"/>
            <w:hideMark/>
          </w:tcPr>
          <w:p w14:paraId="67991A01"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-75 %</w:t>
            </w:r>
          </w:p>
        </w:tc>
        <w:tc>
          <w:tcPr>
            <w:tcW w:w="1218" w:type="dxa"/>
            <w:tcBorders>
              <w:top w:val="nil"/>
              <w:left w:val="nil"/>
              <w:bottom w:val="nil"/>
              <w:right w:val="nil"/>
            </w:tcBorders>
            <w:vAlign w:val="bottom"/>
            <w:hideMark/>
          </w:tcPr>
          <w:p w14:paraId="77878BF9"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25</w:t>
            </w:r>
          </w:p>
        </w:tc>
      </w:tr>
      <w:tr w:rsidR="00B65EDC" w:rsidRPr="00E675E8" w14:paraId="6666ECD2" w14:textId="77777777" w:rsidTr="00A538F6">
        <w:trPr>
          <w:trHeight w:val="352"/>
          <w:jc w:val="center"/>
        </w:trPr>
        <w:tc>
          <w:tcPr>
            <w:tcW w:w="419" w:type="dxa"/>
            <w:tcBorders>
              <w:top w:val="nil"/>
              <w:left w:val="nil"/>
              <w:bottom w:val="nil"/>
              <w:right w:val="nil"/>
            </w:tcBorders>
            <w:noWrap/>
            <w:vAlign w:val="bottom"/>
            <w:hideMark/>
          </w:tcPr>
          <w:p w14:paraId="15E7E63E" w14:textId="77777777" w:rsidR="00B65EDC" w:rsidRPr="00E675E8" w:rsidRDefault="00B65EDC">
            <w:pPr>
              <w:jc w:val="right"/>
              <w:rPr>
                <w:rFonts w:ascii="Arial Narrow" w:hAnsi="Arial Narrow" w:cs="Arial"/>
                <w:lang w:val="es-ES_tradnl"/>
              </w:rPr>
            </w:pPr>
          </w:p>
        </w:tc>
        <w:tc>
          <w:tcPr>
            <w:tcW w:w="3123" w:type="dxa"/>
            <w:tcBorders>
              <w:top w:val="nil"/>
              <w:left w:val="nil"/>
              <w:bottom w:val="nil"/>
              <w:right w:val="nil"/>
            </w:tcBorders>
            <w:vAlign w:val="bottom"/>
            <w:hideMark/>
          </w:tcPr>
          <w:p w14:paraId="7C789C1B" w14:textId="77777777" w:rsidR="00B65EDC" w:rsidRPr="00E675E8" w:rsidRDefault="00B65EDC">
            <w:pPr>
              <w:ind w:firstLineChars="200" w:firstLine="400"/>
              <w:jc w:val="left"/>
              <w:rPr>
                <w:rFonts w:ascii="Arial Narrow" w:hAnsi="Arial Narrow" w:cs="Arial"/>
                <w:i/>
                <w:iCs/>
                <w:color w:val="000000"/>
                <w:lang w:val="es-ES_tradnl"/>
              </w:rPr>
            </w:pPr>
            <w:r w:rsidRPr="00E675E8">
              <w:rPr>
                <w:rFonts w:ascii="Arial Narrow" w:hAnsi="Arial Narrow"/>
                <w:i/>
                <w:color w:val="000000"/>
                <w:lang w:val="es-ES_tradnl"/>
              </w:rPr>
              <w:t>Otros servicios contractuales</w:t>
            </w:r>
          </w:p>
        </w:tc>
        <w:tc>
          <w:tcPr>
            <w:tcW w:w="1142" w:type="dxa"/>
            <w:tcBorders>
              <w:top w:val="nil"/>
              <w:left w:val="nil"/>
              <w:bottom w:val="nil"/>
              <w:right w:val="nil"/>
            </w:tcBorders>
            <w:vAlign w:val="bottom"/>
            <w:hideMark/>
          </w:tcPr>
          <w:p w14:paraId="3A09B1DE"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1 009 </w:t>
            </w:r>
          </w:p>
        </w:tc>
        <w:tc>
          <w:tcPr>
            <w:tcW w:w="1123" w:type="dxa"/>
            <w:tcBorders>
              <w:top w:val="nil"/>
              <w:left w:val="nil"/>
              <w:bottom w:val="nil"/>
              <w:right w:val="nil"/>
            </w:tcBorders>
            <w:vAlign w:val="bottom"/>
            <w:hideMark/>
          </w:tcPr>
          <w:p w14:paraId="20F96772"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415 </w:t>
            </w:r>
          </w:p>
        </w:tc>
        <w:tc>
          <w:tcPr>
            <w:tcW w:w="933" w:type="dxa"/>
            <w:tcBorders>
              <w:top w:val="nil"/>
              <w:left w:val="nil"/>
              <w:bottom w:val="nil"/>
              <w:right w:val="nil"/>
            </w:tcBorders>
            <w:vAlign w:val="bottom"/>
            <w:hideMark/>
          </w:tcPr>
          <w:p w14:paraId="1B023311"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(102)</w:t>
            </w:r>
          </w:p>
        </w:tc>
        <w:tc>
          <w:tcPr>
            <w:tcW w:w="1123" w:type="dxa"/>
            <w:tcBorders>
              <w:top w:val="nil"/>
              <w:left w:val="nil"/>
              <w:bottom w:val="nil"/>
              <w:right w:val="nil"/>
            </w:tcBorders>
            <w:vAlign w:val="bottom"/>
            <w:hideMark/>
          </w:tcPr>
          <w:p w14:paraId="3E6DE4EC"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-25 %</w:t>
            </w:r>
          </w:p>
        </w:tc>
        <w:tc>
          <w:tcPr>
            <w:tcW w:w="1218" w:type="dxa"/>
            <w:tcBorders>
              <w:top w:val="nil"/>
              <w:left w:val="nil"/>
              <w:bottom w:val="nil"/>
              <w:right w:val="nil"/>
            </w:tcBorders>
            <w:vAlign w:val="bottom"/>
            <w:hideMark/>
          </w:tcPr>
          <w:p w14:paraId="18F41218"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313</w:t>
            </w:r>
          </w:p>
        </w:tc>
      </w:tr>
      <w:tr w:rsidR="00B65EDC" w:rsidRPr="00E675E8" w14:paraId="4DFD7AE8" w14:textId="77777777" w:rsidTr="00A538F6">
        <w:trPr>
          <w:trHeight w:val="352"/>
          <w:jc w:val="center"/>
        </w:trPr>
        <w:tc>
          <w:tcPr>
            <w:tcW w:w="419" w:type="dxa"/>
            <w:tcBorders>
              <w:top w:val="nil"/>
              <w:left w:val="nil"/>
              <w:bottom w:val="single" w:sz="4" w:space="0" w:color="AAB8C4"/>
              <w:right w:val="nil"/>
            </w:tcBorders>
            <w:noWrap/>
            <w:vAlign w:val="bottom"/>
            <w:hideMark/>
          </w:tcPr>
          <w:p w14:paraId="159826C8" w14:textId="77777777" w:rsidR="00B65EDC" w:rsidRPr="00E675E8" w:rsidRDefault="00B65EDC">
            <w:pPr>
              <w:jc w:val="left"/>
              <w:rPr>
                <w:rFonts w:cs="Arial"/>
                <w:b/>
                <w:bCs/>
                <w:lang w:val="es-ES_tradnl"/>
              </w:rPr>
            </w:pPr>
            <w:r w:rsidRPr="00E675E8">
              <w:rPr>
                <w:b/>
                <w:lang w:val="es-ES_tradnl"/>
              </w:rPr>
              <w:t> </w:t>
            </w:r>
          </w:p>
        </w:tc>
        <w:tc>
          <w:tcPr>
            <w:tcW w:w="3123" w:type="dxa"/>
            <w:tcBorders>
              <w:top w:val="nil"/>
              <w:left w:val="nil"/>
              <w:bottom w:val="single" w:sz="4" w:space="0" w:color="AAB8C4"/>
              <w:right w:val="nil"/>
            </w:tcBorders>
            <w:vAlign w:val="bottom"/>
            <w:hideMark/>
          </w:tcPr>
          <w:p w14:paraId="09148F1E" w14:textId="77777777" w:rsidR="00B65EDC" w:rsidRPr="00E675E8" w:rsidRDefault="00B65EDC">
            <w:pPr>
              <w:jc w:val="left"/>
              <w:rPr>
                <w:rFonts w:ascii="Arial Narrow" w:hAnsi="Arial Narrow" w:cs="Arial"/>
                <w:b/>
                <w:bCs/>
                <w:lang w:val="es-ES_tradnl"/>
              </w:rPr>
            </w:pPr>
            <w:r w:rsidRPr="00E675E8">
              <w:rPr>
                <w:rFonts w:ascii="Arial Narrow" w:hAnsi="Arial Narrow"/>
                <w:b/>
                <w:lang w:val="es-ES_tradnl"/>
              </w:rPr>
              <w:t>Subtotal</w:t>
            </w:r>
          </w:p>
        </w:tc>
        <w:tc>
          <w:tcPr>
            <w:tcW w:w="1142" w:type="dxa"/>
            <w:tcBorders>
              <w:top w:val="nil"/>
              <w:left w:val="nil"/>
              <w:bottom w:val="single" w:sz="4" w:space="0" w:color="A6A6A6"/>
              <w:right w:val="nil"/>
            </w:tcBorders>
            <w:vAlign w:val="bottom"/>
            <w:hideMark/>
          </w:tcPr>
          <w:p w14:paraId="74C317CF"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 xml:space="preserve">1 388 </w:t>
            </w:r>
          </w:p>
        </w:tc>
        <w:tc>
          <w:tcPr>
            <w:tcW w:w="1123" w:type="dxa"/>
            <w:tcBorders>
              <w:top w:val="nil"/>
              <w:left w:val="nil"/>
              <w:bottom w:val="single" w:sz="4" w:space="0" w:color="A6A6A6"/>
              <w:right w:val="nil"/>
            </w:tcBorders>
            <w:vAlign w:val="bottom"/>
            <w:hideMark/>
          </w:tcPr>
          <w:p w14:paraId="7B755CF4"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 xml:space="preserve">715 </w:t>
            </w:r>
          </w:p>
        </w:tc>
        <w:tc>
          <w:tcPr>
            <w:tcW w:w="933" w:type="dxa"/>
            <w:tcBorders>
              <w:top w:val="nil"/>
              <w:left w:val="nil"/>
              <w:bottom w:val="single" w:sz="4" w:space="0" w:color="A6A6A6"/>
              <w:right w:val="nil"/>
            </w:tcBorders>
            <w:vAlign w:val="bottom"/>
            <w:hideMark/>
          </w:tcPr>
          <w:p w14:paraId="607BE71D"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(177)</w:t>
            </w:r>
          </w:p>
        </w:tc>
        <w:tc>
          <w:tcPr>
            <w:tcW w:w="1123" w:type="dxa"/>
            <w:tcBorders>
              <w:top w:val="nil"/>
              <w:left w:val="nil"/>
              <w:bottom w:val="single" w:sz="4" w:space="0" w:color="A6A6A6"/>
              <w:right w:val="nil"/>
            </w:tcBorders>
            <w:vAlign w:val="bottom"/>
            <w:hideMark/>
          </w:tcPr>
          <w:p w14:paraId="0C5E21B9"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-25 %</w:t>
            </w:r>
          </w:p>
        </w:tc>
        <w:tc>
          <w:tcPr>
            <w:tcW w:w="1218" w:type="dxa"/>
            <w:tcBorders>
              <w:top w:val="nil"/>
              <w:left w:val="nil"/>
              <w:bottom w:val="single" w:sz="4" w:space="0" w:color="A6A6A6"/>
              <w:right w:val="nil"/>
            </w:tcBorders>
            <w:vAlign w:val="bottom"/>
            <w:hideMark/>
          </w:tcPr>
          <w:p w14:paraId="1240760D"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538</w:t>
            </w:r>
          </w:p>
        </w:tc>
      </w:tr>
      <w:tr w:rsidR="00B65EDC" w:rsidRPr="00E675E8" w14:paraId="1451554C" w14:textId="77777777" w:rsidTr="00E12ED3">
        <w:trPr>
          <w:trHeight w:val="397"/>
          <w:jc w:val="center"/>
        </w:trPr>
        <w:tc>
          <w:tcPr>
            <w:tcW w:w="419" w:type="dxa"/>
            <w:tcBorders>
              <w:top w:val="nil"/>
              <w:left w:val="nil"/>
              <w:bottom w:val="nil"/>
              <w:right w:val="nil"/>
            </w:tcBorders>
            <w:noWrap/>
            <w:vAlign w:val="bottom"/>
            <w:hideMark/>
          </w:tcPr>
          <w:p w14:paraId="1060FA3D" w14:textId="77777777" w:rsidR="00B65EDC" w:rsidRPr="00E675E8" w:rsidRDefault="00B65EDC">
            <w:pPr>
              <w:jc w:val="right"/>
              <w:rPr>
                <w:rFonts w:ascii="Arial Narrow" w:hAnsi="Arial Narrow" w:cs="Arial"/>
                <w:b/>
                <w:bCs/>
                <w:lang w:val="es-ES_tradnl"/>
              </w:rPr>
            </w:pPr>
          </w:p>
        </w:tc>
        <w:tc>
          <w:tcPr>
            <w:tcW w:w="3123" w:type="dxa"/>
            <w:tcBorders>
              <w:top w:val="nil"/>
              <w:left w:val="nil"/>
              <w:bottom w:val="nil"/>
              <w:right w:val="nil"/>
            </w:tcBorders>
            <w:vAlign w:val="bottom"/>
            <w:hideMark/>
          </w:tcPr>
          <w:p w14:paraId="736CB579" w14:textId="77777777" w:rsidR="00B65EDC" w:rsidRPr="00E675E8" w:rsidRDefault="00B65EDC">
            <w:pPr>
              <w:jc w:val="left"/>
              <w:rPr>
                <w:rFonts w:ascii="Arial Narrow" w:hAnsi="Arial Narrow" w:cs="Arial"/>
                <w:b/>
                <w:bCs/>
                <w:lang w:val="es-ES_tradnl"/>
              </w:rPr>
            </w:pPr>
            <w:r w:rsidRPr="00E675E8">
              <w:rPr>
                <w:rFonts w:ascii="Arial Narrow" w:hAnsi="Arial Narrow"/>
                <w:b/>
                <w:lang w:val="es-ES_tradnl"/>
              </w:rPr>
              <w:t>Gastos de explotación</w:t>
            </w:r>
          </w:p>
        </w:tc>
        <w:tc>
          <w:tcPr>
            <w:tcW w:w="1142" w:type="dxa"/>
            <w:tcBorders>
              <w:top w:val="nil"/>
              <w:left w:val="nil"/>
              <w:bottom w:val="nil"/>
              <w:right w:val="nil"/>
            </w:tcBorders>
            <w:vAlign w:val="center"/>
            <w:hideMark/>
          </w:tcPr>
          <w:p w14:paraId="2C7ACF74" w14:textId="77777777" w:rsidR="00B65EDC" w:rsidRPr="00E675E8" w:rsidRDefault="00B65EDC">
            <w:pPr>
              <w:jc w:val="left"/>
              <w:rPr>
                <w:rFonts w:ascii="Arial Narrow" w:hAnsi="Arial Narrow" w:cs="Arial"/>
                <w:b/>
                <w:bCs/>
                <w:lang w:val="es-ES_tradnl"/>
              </w:rPr>
            </w:pPr>
          </w:p>
        </w:tc>
        <w:tc>
          <w:tcPr>
            <w:tcW w:w="1123" w:type="dxa"/>
            <w:tcBorders>
              <w:top w:val="nil"/>
              <w:left w:val="nil"/>
              <w:bottom w:val="nil"/>
              <w:right w:val="nil"/>
            </w:tcBorders>
            <w:vAlign w:val="center"/>
            <w:hideMark/>
          </w:tcPr>
          <w:p w14:paraId="7E756F93" w14:textId="77777777" w:rsidR="00B65EDC" w:rsidRPr="00E675E8" w:rsidRDefault="00B65EDC">
            <w:pPr>
              <w:jc w:val="right"/>
              <w:rPr>
                <w:rFonts w:ascii="Times New Roman" w:hAnsi="Times New Roman"/>
                <w:lang w:val="es-ES_tradnl"/>
              </w:rPr>
            </w:pPr>
          </w:p>
        </w:tc>
        <w:tc>
          <w:tcPr>
            <w:tcW w:w="933" w:type="dxa"/>
            <w:tcBorders>
              <w:top w:val="nil"/>
              <w:left w:val="nil"/>
              <w:bottom w:val="nil"/>
              <w:right w:val="nil"/>
            </w:tcBorders>
            <w:vAlign w:val="center"/>
            <w:hideMark/>
          </w:tcPr>
          <w:p w14:paraId="7A4663D1" w14:textId="77777777" w:rsidR="00B65EDC" w:rsidRPr="00E675E8" w:rsidRDefault="00B65EDC">
            <w:pPr>
              <w:jc w:val="right"/>
              <w:rPr>
                <w:rFonts w:ascii="Times New Roman" w:hAnsi="Times New Roman"/>
                <w:lang w:val="es-ES_tradnl"/>
              </w:rPr>
            </w:pPr>
          </w:p>
        </w:tc>
        <w:tc>
          <w:tcPr>
            <w:tcW w:w="1123" w:type="dxa"/>
            <w:tcBorders>
              <w:top w:val="nil"/>
              <w:left w:val="nil"/>
              <w:bottom w:val="nil"/>
              <w:right w:val="nil"/>
            </w:tcBorders>
            <w:vAlign w:val="center"/>
            <w:hideMark/>
          </w:tcPr>
          <w:p w14:paraId="79704E38" w14:textId="77777777" w:rsidR="00B65EDC" w:rsidRPr="00E675E8" w:rsidRDefault="00B65EDC">
            <w:pPr>
              <w:jc w:val="right"/>
              <w:rPr>
                <w:rFonts w:ascii="Times New Roman" w:hAnsi="Times New Roman"/>
                <w:lang w:val="es-ES_tradnl"/>
              </w:rPr>
            </w:pPr>
          </w:p>
        </w:tc>
        <w:tc>
          <w:tcPr>
            <w:tcW w:w="1218" w:type="dxa"/>
            <w:tcBorders>
              <w:top w:val="nil"/>
              <w:left w:val="nil"/>
              <w:bottom w:val="nil"/>
              <w:right w:val="nil"/>
            </w:tcBorders>
            <w:vAlign w:val="center"/>
            <w:hideMark/>
          </w:tcPr>
          <w:p w14:paraId="6475BFF0" w14:textId="77777777" w:rsidR="00B65EDC" w:rsidRPr="00E675E8" w:rsidRDefault="00B65EDC">
            <w:pPr>
              <w:jc w:val="right"/>
              <w:rPr>
                <w:rFonts w:ascii="Times New Roman" w:hAnsi="Times New Roman"/>
                <w:lang w:val="es-ES_tradnl"/>
              </w:rPr>
            </w:pPr>
          </w:p>
        </w:tc>
      </w:tr>
      <w:tr w:rsidR="00B65EDC" w:rsidRPr="00E675E8" w14:paraId="698FF30F" w14:textId="77777777" w:rsidTr="00A538F6">
        <w:trPr>
          <w:trHeight w:val="352"/>
          <w:jc w:val="center"/>
        </w:trPr>
        <w:tc>
          <w:tcPr>
            <w:tcW w:w="419" w:type="dxa"/>
            <w:tcBorders>
              <w:top w:val="nil"/>
              <w:left w:val="nil"/>
              <w:bottom w:val="single" w:sz="4" w:space="0" w:color="AAB8C4"/>
              <w:right w:val="nil"/>
            </w:tcBorders>
            <w:noWrap/>
            <w:vAlign w:val="bottom"/>
            <w:hideMark/>
          </w:tcPr>
          <w:p w14:paraId="0F4208CC" w14:textId="77777777" w:rsidR="00B65EDC" w:rsidRPr="00E675E8" w:rsidRDefault="00B65EDC">
            <w:pPr>
              <w:jc w:val="left"/>
              <w:rPr>
                <w:rFonts w:cs="Arial"/>
                <w:b/>
                <w:bCs/>
                <w:lang w:val="es-ES_tradnl"/>
              </w:rPr>
            </w:pPr>
            <w:r w:rsidRPr="00E675E8">
              <w:rPr>
                <w:b/>
                <w:lang w:val="es-ES_tradnl"/>
              </w:rPr>
              <w:t> </w:t>
            </w:r>
          </w:p>
        </w:tc>
        <w:tc>
          <w:tcPr>
            <w:tcW w:w="3123" w:type="dxa"/>
            <w:tcBorders>
              <w:top w:val="nil"/>
              <w:left w:val="nil"/>
              <w:bottom w:val="single" w:sz="4" w:space="0" w:color="AAB8C4"/>
              <w:right w:val="nil"/>
            </w:tcBorders>
            <w:vAlign w:val="bottom"/>
            <w:hideMark/>
          </w:tcPr>
          <w:p w14:paraId="735838D2" w14:textId="77777777" w:rsidR="00B65EDC" w:rsidRPr="00E675E8" w:rsidRDefault="00B65EDC">
            <w:pPr>
              <w:jc w:val="left"/>
              <w:rPr>
                <w:rFonts w:ascii="Arial Narrow" w:hAnsi="Arial Narrow" w:cs="Arial"/>
                <w:b/>
                <w:bCs/>
                <w:lang w:val="es-ES_tradnl"/>
              </w:rPr>
            </w:pPr>
            <w:r w:rsidRPr="00E675E8">
              <w:rPr>
                <w:rFonts w:ascii="Arial Narrow" w:hAnsi="Arial Narrow"/>
                <w:b/>
                <w:lang w:val="es-ES_tradnl"/>
              </w:rPr>
              <w:t>Subtotal</w:t>
            </w:r>
          </w:p>
        </w:tc>
        <w:tc>
          <w:tcPr>
            <w:tcW w:w="1142" w:type="dxa"/>
            <w:tcBorders>
              <w:top w:val="nil"/>
              <w:left w:val="nil"/>
              <w:bottom w:val="single" w:sz="4" w:space="0" w:color="AAB8C4"/>
              <w:right w:val="nil"/>
            </w:tcBorders>
            <w:vAlign w:val="bottom"/>
            <w:hideMark/>
          </w:tcPr>
          <w:p w14:paraId="1A88D1C5"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 xml:space="preserve">1 267 </w:t>
            </w:r>
          </w:p>
        </w:tc>
        <w:tc>
          <w:tcPr>
            <w:tcW w:w="1123" w:type="dxa"/>
            <w:tcBorders>
              <w:top w:val="nil"/>
              <w:left w:val="nil"/>
              <w:bottom w:val="single" w:sz="4" w:space="0" w:color="AAB8C4"/>
              <w:right w:val="nil"/>
            </w:tcBorders>
            <w:vAlign w:val="bottom"/>
            <w:hideMark/>
          </w:tcPr>
          <w:p w14:paraId="0DE42140"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 xml:space="preserve">1 250 </w:t>
            </w:r>
          </w:p>
        </w:tc>
        <w:tc>
          <w:tcPr>
            <w:tcW w:w="933" w:type="dxa"/>
            <w:tcBorders>
              <w:top w:val="nil"/>
              <w:left w:val="nil"/>
              <w:bottom w:val="single" w:sz="4" w:space="0" w:color="BFBFBF"/>
              <w:right w:val="nil"/>
            </w:tcBorders>
            <w:vAlign w:val="bottom"/>
            <w:hideMark/>
          </w:tcPr>
          <w:p w14:paraId="03DC4DF3"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(14)</w:t>
            </w:r>
          </w:p>
        </w:tc>
        <w:tc>
          <w:tcPr>
            <w:tcW w:w="1123" w:type="dxa"/>
            <w:tcBorders>
              <w:top w:val="nil"/>
              <w:left w:val="nil"/>
              <w:bottom w:val="single" w:sz="4" w:space="0" w:color="BFBFBF"/>
              <w:right w:val="nil"/>
            </w:tcBorders>
            <w:vAlign w:val="bottom"/>
            <w:hideMark/>
          </w:tcPr>
          <w:p w14:paraId="35A71182"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-1 %</w:t>
            </w:r>
          </w:p>
        </w:tc>
        <w:tc>
          <w:tcPr>
            <w:tcW w:w="1218" w:type="dxa"/>
            <w:tcBorders>
              <w:top w:val="nil"/>
              <w:left w:val="nil"/>
              <w:bottom w:val="single" w:sz="4" w:space="0" w:color="BFBFBF"/>
              <w:right w:val="nil"/>
            </w:tcBorders>
            <w:vAlign w:val="bottom"/>
            <w:hideMark/>
          </w:tcPr>
          <w:p w14:paraId="655784D6"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1 236</w:t>
            </w:r>
          </w:p>
        </w:tc>
      </w:tr>
      <w:tr w:rsidR="00B65EDC" w:rsidRPr="00E675E8" w14:paraId="3A527C91" w14:textId="77777777" w:rsidTr="00E12ED3">
        <w:trPr>
          <w:trHeight w:val="397"/>
          <w:jc w:val="center"/>
        </w:trPr>
        <w:tc>
          <w:tcPr>
            <w:tcW w:w="419" w:type="dxa"/>
            <w:tcBorders>
              <w:top w:val="nil"/>
              <w:left w:val="nil"/>
              <w:bottom w:val="nil"/>
              <w:right w:val="nil"/>
            </w:tcBorders>
            <w:noWrap/>
            <w:vAlign w:val="bottom"/>
            <w:hideMark/>
          </w:tcPr>
          <w:p w14:paraId="526C872D" w14:textId="77777777" w:rsidR="00B65EDC" w:rsidRPr="00E675E8" w:rsidRDefault="00B65EDC">
            <w:pPr>
              <w:jc w:val="right"/>
              <w:rPr>
                <w:rFonts w:ascii="Arial Narrow" w:hAnsi="Arial Narrow" w:cs="Arial"/>
                <w:b/>
                <w:bCs/>
                <w:lang w:val="es-ES_tradnl"/>
              </w:rPr>
            </w:pPr>
          </w:p>
        </w:tc>
        <w:tc>
          <w:tcPr>
            <w:tcW w:w="3123" w:type="dxa"/>
            <w:tcBorders>
              <w:top w:val="nil"/>
              <w:left w:val="nil"/>
              <w:bottom w:val="nil"/>
              <w:right w:val="nil"/>
            </w:tcBorders>
            <w:vAlign w:val="bottom"/>
            <w:hideMark/>
          </w:tcPr>
          <w:p w14:paraId="288AA570" w14:textId="77777777" w:rsidR="00B65EDC" w:rsidRPr="00E675E8" w:rsidRDefault="00B65EDC">
            <w:pPr>
              <w:jc w:val="left"/>
              <w:rPr>
                <w:rFonts w:ascii="Arial Narrow" w:hAnsi="Arial Narrow" w:cs="Arial"/>
                <w:b/>
                <w:bCs/>
                <w:lang w:val="es-ES_tradnl"/>
              </w:rPr>
            </w:pPr>
            <w:r w:rsidRPr="00E675E8">
              <w:rPr>
                <w:rFonts w:ascii="Arial Narrow" w:hAnsi="Arial Narrow"/>
                <w:b/>
                <w:lang w:val="es-ES_tradnl"/>
              </w:rPr>
              <w:t>Equipo y suministros</w:t>
            </w:r>
          </w:p>
        </w:tc>
        <w:tc>
          <w:tcPr>
            <w:tcW w:w="1142" w:type="dxa"/>
            <w:tcBorders>
              <w:top w:val="nil"/>
              <w:left w:val="nil"/>
              <w:bottom w:val="nil"/>
              <w:right w:val="nil"/>
            </w:tcBorders>
            <w:vAlign w:val="center"/>
            <w:hideMark/>
          </w:tcPr>
          <w:p w14:paraId="69F9763A" w14:textId="77777777" w:rsidR="00B65EDC" w:rsidRPr="00E675E8" w:rsidRDefault="00B65EDC">
            <w:pPr>
              <w:jc w:val="left"/>
              <w:rPr>
                <w:rFonts w:ascii="Arial Narrow" w:hAnsi="Arial Narrow" w:cs="Arial"/>
                <w:b/>
                <w:bCs/>
                <w:lang w:val="es-ES_tradnl"/>
              </w:rPr>
            </w:pPr>
          </w:p>
        </w:tc>
        <w:tc>
          <w:tcPr>
            <w:tcW w:w="1123" w:type="dxa"/>
            <w:tcBorders>
              <w:top w:val="nil"/>
              <w:left w:val="nil"/>
              <w:bottom w:val="nil"/>
              <w:right w:val="nil"/>
            </w:tcBorders>
            <w:vAlign w:val="center"/>
            <w:hideMark/>
          </w:tcPr>
          <w:p w14:paraId="22398649" w14:textId="77777777" w:rsidR="00B65EDC" w:rsidRPr="00E675E8" w:rsidRDefault="00B65EDC">
            <w:pPr>
              <w:jc w:val="right"/>
              <w:rPr>
                <w:rFonts w:ascii="Times New Roman" w:hAnsi="Times New Roman"/>
                <w:lang w:val="es-ES_tradnl"/>
              </w:rPr>
            </w:pPr>
          </w:p>
        </w:tc>
        <w:tc>
          <w:tcPr>
            <w:tcW w:w="933" w:type="dxa"/>
            <w:tcBorders>
              <w:top w:val="nil"/>
              <w:left w:val="nil"/>
              <w:bottom w:val="nil"/>
              <w:right w:val="nil"/>
            </w:tcBorders>
            <w:vAlign w:val="center"/>
            <w:hideMark/>
          </w:tcPr>
          <w:p w14:paraId="13E151A0" w14:textId="77777777" w:rsidR="00B65EDC" w:rsidRPr="00E675E8" w:rsidRDefault="00B65EDC">
            <w:pPr>
              <w:jc w:val="right"/>
              <w:rPr>
                <w:rFonts w:ascii="Times New Roman" w:hAnsi="Times New Roman"/>
                <w:lang w:val="es-ES_tradnl"/>
              </w:rPr>
            </w:pPr>
          </w:p>
        </w:tc>
        <w:tc>
          <w:tcPr>
            <w:tcW w:w="1123" w:type="dxa"/>
            <w:tcBorders>
              <w:top w:val="nil"/>
              <w:left w:val="nil"/>
              <w:bottom w:val="nil"/>
              <w:right w:val="nil"/>
            </w:tcBorders>
            <w:vAlign w:val="center"/>
            <w:hideMark/>
          </w:tcPr>
          <w:p w14:paraId="460515F5" w14:textId="77777777" w:rsidR="00B65EDC" w:rsidRPr="00E675E8" w:rsidRDefault="00B65EDC">
            <w:pPr>
              <w:jc w:val="right"/>
              <w:rPr>
                <w:rFonts w:ascii="Times New Roman" w:hAnsi="Times New Roman"/>
                <w:lang w:val="es-ES_tradnl"/>
              </w:rPr>
            </w:pPr>
          </w:p>
        </w:tc>
        <w:tc>
          <w:tcPr>
            <w:tcW w:w="1218" w:type="dxa"/>
            <w:tcBorders>
              <w:top w:val="nil"/>
              <w:left w:val="nil"/>
              <w:bottom w:val="nil"/>
              <w:right w:val="nil"/>
            </w:tcBorders>
            <w:vAlign w:val="center"/>
            <w:hideMark/>
          </w:tcPr>
          <w:p w14:paraId="4C281FA3" w14:textId="77777777" w:rsidR="00B65EDC" w:rsidRPr="00E675E8" w:rsidRDefault="00B65EDC">
            <w:pPr>
              <w:jc w:val="right"/>
              <w:rPr>
                <w:rFonts w:ascii="Times New Roman" w:hAnsi="Times New Roman"/>
                <w:lang w:val="es-ES_tradnl"/>
              </w:rPr>
            </w:pPr>
          </w:p>
        </w:tc>
      </w:tr>
      <w:tr w:rsidR="00B65EDC" w:rsidRPr="00E675E8" w14:paraId="4FFEB37D" w14:textId="77777777" w:rsidTr="00A538F6">
        <w:trPr>
          <w:trHeight w:val="352"/>
          <w:jc w:val="center"/>
        </w:trPr>
        <w:tc>
          <w:tcPr>
            <w:tcW w:w="419" w:type="dxa"/>
            <w:tcBorders>
              <w:top w:val="nil"/>
              <w:left w:val="nil"/>
              <w:bottom w:val="nil"/>
              <w:right w:val="nil"/>
            </w:tcBorders>
            <w:noWrap/>
            <w:vAlign w:val="bottom"/>
            <w:hideMark/>
          </w:tcPr>
          <w:p w14:paraId="0981A40A" w14:textId="77777777" w:rsidR="00B65EDC" w:rsidRPr="00E675E8" w:rsidRDefault="00B65EDC">
            <w:pPr>
              <w:jc w:val="right"/>
              <w:rPr>
                <w:rFonts w:ascii="Times New Roman" w:hAnsi="Times New Roman"/>
                <w:lang w:val="es-ES_tradnl"/>
              </w:rPr>
            </w:pPr>
          </w:p>
        </w:tc>
        <w:tc>
          <w:tcPr>
            <w:tcW w:w="3123" w:type="dxa"/>
            <w:tcBorders>
              <w:top w:val="nil"/>
              <w:left w:val="nil"/>
              <w:bottom w:val="nil"/>
              <w:right w:val="nil"/>
            </w:tcBorders>
            <w:vAlign w:val="bottom"/>
            <w:hideMark/>
          </w:tcPr>
          <w:p w14:paraId="4D7ED38C" w14:textId="77777777" w:rsidR="00B65EDC" w:rsidRPr="00E675E8" w:rsidRDefault="00B65EDC">
            <w:pPr>
              <w:ind w:firstLineChars="200" w:firstLine="400"/>
              <w:jc w:val="left"/>
              <w:rPr>
                <w:rFonts w:ascii="Arial Narrow" w:hAnsi="Arial Narrow" w:cs="Arial"/>
                <w:i/>
                <w:iCs/>
                <w:color w:val="000000"/>
                <w:lang w:val="es-ES_tradnl"/>
              </w:rPr>
            </w:pPr>
            <w:r w:rsidRPr="00E675E8">
              <w:rPr>
                <w:rFonts w:ascii="Arial Narrow" w:hAnsi="Arial Narrow"/>
                <w:i/>
                <w:color w:val="000000"/>
                <w:lang w:val="es-ES_tradnl"/>
              </w:rPr>
              <w:t>Mobiliario y equipo</w:t>
            </w:r>
          </w:p>
        </w:tc>
        <w:tc>
          <w:tcPr>
            <w:tcW w:w="1142" w:type="dxa"/>
            <w:tcBorders>
              <w:top w:val="nil"/>
              <w:left w:val="nil"/>
              <w:bottom w:val="nil"/>
              <w:right w:val="nil"/>
            </w:tcBorders>
            <w:vAlign w:val="bottom"/>
            <w:hideMark/>
          </w:tcPr>
          <w:p w14:paraId="15867961"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w:t>
            </w:r>
          </w:p>
        </w:tc>
        <w:tc>
          <w:tcPr>
            <w:tcW w:w="1123" w:type="dxa"/>
            <w:tcBorders>
              <w:top w:val="nil"/>
              <w:left w:val="nil"/>
              <w:bottom w:val="nil"/>
              <w:right w:val="nil"/>
            </w:tcBorders>
            <w:vAlign w:val="bottom"/>
            <w:hideMark/>
          </w:tcPr>
          <w:p w14:paraId="62EB37B5"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1 </w:t>
            </w:r>
          </w:p>
        </w:tc>
        <w:tc>
          <w:tcPr>
            <w:tcW w:w="933" w:type="dxa"/>
            <w:tcBorders>
              <w:top w:val="nil"/>
              <w:left w:val="nil"/>
              <w:bottom w:val="nil"/>
              <w:right w:val="nil"/>
            </w:tcBorders>
            <w:vAlign w:val="bottom"/>
            <w:hideMark/>
          </w:tcPr>
          <w:p w14:paraId="74C500CE"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w:t>
            </w:r>
          </w:p>
        </w:tc>
        <w:tc>
          <w:tcPr>
            <w:tcW w:w="1123" w:type="dxa"/>
            <w:tcBorders>
              <w:top w:val="nil"/>
              <w:left w:val="nil"/>
              <w:bottom w:val="nil"/>
              <w:right w:val="nil"/>
            </w:tcBorders>
            <w:vAlign w:val="bottom"/>
            <w:hideMark/>
          </w:tcPr>
          <w:p w14:paraId="44BCC7CF"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w:t>
            </w:r>
          </w:p>
        </w:tc>
        <w:tc>
          <w:tcPr>
            <w:tcW w:w="1218" w:type="dxa"/>
            <w:tcBorders>
              <w:top w:val="nil"/>
              <w:left w:val="nil"/>
              <w:bottom w:val="nil"/>
              <w:right w:val="nil"/>
            </w:tcBorders>
            <w:vAlign w:val="bottom"/>
            <w:hideMark/>
          </w:tcPr>
          <w:p w14:paraId="194A3C79"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1</w:t>
            </w:r>
          </w:p>
        </w:tc>
      </w:tr>
      <w:tr w:rsidR="00B65EDC" w:rsidRPr="00E675E8" w14:paraId="14823837" w14:textId="77777777" w:rsidTr="00A538F6">
        <w:trPr>
          <w:trHeight w:val="352"/>
          <w:jc w:val="center"/>
        </w:trPr>
        <w:tc>
          <w:tcPr>
            <w:tcW w:w="419" w:type="dxa"/>
            <w:tcBorders>
              <w:top w:val="nil"/>
              <w:left w:val="nil"/>
              <w:bottom w:val="nil"/>
              <w:right w:val="nil"/>
            </w:tcBorders>
            <w:noWrap/>
            <w:vAlign w:val="bottom"/>
            <w:hideMark/>
          </w:tcPr>
          <w:p w14:paraId="7938B1D3" w14:textId="77777777" w:rsidR="00B65EDC" w:rsidRPr="00E675E8" w:rsidRDefault="00B65EDC">
            <w:pPr>
              <w:jc w:val="right"/>
              <w:rPr>
                <w:rFonts w:ascii="Arial Narrow" w:hAnsi="Arial Narrow" w:cs="Arial"/>
                <w:lang w:val="es-ES_tradnl"/>
              </w:rPr>
            </w:pPr>
          </w:p>
        </w:tc>
        <w:tc>
          <w:tcPr>
            <w:tcW w:w="3123" w:type="dxa"/>
            <w:tcBorders>
              <w:top w:val="nil"/>
              <w:left w:val="nil"/>
              <w:bottom w:val="nil"/>
              <w:right w:val="nil"/>
            </w:tcBorders>
            <w:vAlign w:val="bottom"/>
            <w:hideMark/>
          </w:tcPr>
          <w:p w14:paraId="0F0AEFAE" w14:textId="77777777" w:rsidR="00B65EDC" w:rsidRPr="00E675E8" w:rsidRDefault="00B65EDC">
            <w:pPr>
              <w:ind w:firstLineChars="200" w:firstLine="400"/>
              <w:jc w:val="left"/>
              <w:rPr>
                <w:rFonts w:ascii="Arial Narrow" w:hAnsi="Arial Narrow" w:cs="Arial"/>
                <w:i/>
                <w:iCs/>
                <w:color w:val="000000"/>
                <w:lang w:val="es-ES_tradnl"/>
              </w:rPr>
            </w:pPr>
            <w:r w:rsidRPr="00E675E8">
              <w:rPr>
                <w:rFonts w:ascii="Arial Narrow" w:hAnsi="Arial Narrow"/>
                <w:i/>
                <w:color w:val="000000"/>
                <w:lang w:val="es-ES_tradnl"/>
              </w:rPr>
              <w:t>Suministros y material</w:t>
            </w:r>
          </w:p>
        </w:tc>
        <w:tc>
          <w:tcPr>
            <w:tcW w:w="1142" w:type="dxa"/>
            <w:tcBorders>
              <w:top w:val="nil"/>
              <w:left w:val="nil"/>
              <w:bottom w:val="nil"/>
              <w:right w:val="nil"/>
            </w:tcBorders>
            <w:vAlign w:val="bottom"/>
            <w:hideMark/>
          </w:tcPr>
          <w:p w14:paraId="31999BC9"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3 </w:t>
            </w:r>
          </w:p>
        </w:tc>
        <w:tc>
          <w:tcPr>
            <w:tcW w:w="1123" w:type="dxa"/>
            <w:tcBorders>
              <w:top w:val="nil"/>
              <w:left w:val="nil"/>
              <w:bottom w:val="nil"/>
              <w:right w:val="nil"/>
            </w:tcBorders>
            <w:vAlign w:val="bottom"/>
            <w:hideMark/>
          </w:tcPr>
          <w:p w14:paraId="6CFA42FC"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1 </w:t>
            </w:r>
          </w:p>
        </w:tc>
        <w:tc>
          <w:tcPr>
            <w:tcW w:w="933" w:type="dxa"/>
            <w:tcBorders>
              <w:top w:val="nil"/>
              <w:left w:val="nil"/>
              <w:bottom w:val="nil"/>
              <w:right w:val="nil"/>
            </w:tcBorders>
            <w:vAlign w:val="bottom"/>
            <w:hideMark/>
          </w:tcPr>
          <w:p w14:paraId="57E8BD00"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w:t>
            </w:r>
          </w:p>
        </w:tc>
        <w:tc>
          <w:tcPr>
            <w:tcW w:w="1123" w:type="dxa"/>
            <w:tcBorders>
              <w:top w:val="nil"/>
              <w:left w:val="nil"/>
              <w:bottom w:val="nil"/>
              <w:right w:val="nil"/>
            </w:tcBorders>
            <w:vAlign w:val="bottom"/>
            <w:hideMark/>
          </w:tcPr>
          <w:p w14:paraId="16A781CB"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w:t>
            </w:r>
          </w:p>
        </w:tc>
        <w:tc>
          <w:tcPr>
            <w:tcW w:w="1218" w:type="dxa"/>
            <w:tcBorders>
              <w:top w:val="nil"/>
              <w:left w:val="nil"/>
              <w:bottom w:val="nil"/>
              <w:right w:val="nil"/>
            </w:tcBorders>
            <w:vAlign w:val="bottom"/>
            <w:hideMark/>
          </w:tcPr>
          <w:p w14:paraId="332B0597"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1</w:t>
            </w:r>
          </w:p>
        </w:tc>
      </w:tr>
      <w:tr w:rsidR="00B65EDC" w:rsidRPr="00E675E8" w14:paraId="64632BEF" w14:textId="77777777" w:rsidTr="00A538F6">
        <w:trPr>
          <w:trHeight w:val="352"/>
          <w:jc w:val="center"/>
        </w:trPr>
        <w:tc>
          <w:tcPr>
            <w:tcW w:w="419" w:type="dxa"/>
            <w:tcBorders>
              <w:top w:val="nil"/>
              <w:left w:val="nil"/>
              <w:bottom w:val="single" w:sz="4" w:space="0" w:color="AAB8C4"/>
              <w:right w:val="nil"/>
            </w:tcBorders>
            <w:noWrap/>
            <w:vAlign w:val="bottom"/>
            <w:hideMark/>
          </w:tcPr>
          <w:p w14:paraId="62B35EF5" w14:textId="77777777" w:rsidR="00B65EDC" w:rsidRPr="00E675E8" w:rsidRDefault="00B65EDC">
            <w:pPr>
              <w:jc w:val="left"/>
              <w:rPr>
                <w:rFonts w:cs="Arial"/>
                <w:b/>
                <w:bCs/>
                <w:lang w:val="es-ES_tradnl"/>
              </w:rPr>
            </w:pPr>
            <w:r w:rsidRPr="00E675E8">
              <w:rPr>
                <w:b/>
                <w:lang w:val="es-ES_tradnl"/>
              </w:rPr>
              <w:t> </w:t>
            </w:r>
          </w:p>
        </w:tc>
        <w:tc>
          <w:tcPr>
            <w:tcW w:w="3123" w:type="dxa"/>
            <w:tcBorders>
              <w:top w:val="nil"/>
              <w:left w:val="nil"/>
              <w:bottom w:val="single" w:sz="4" w:space="0" w:color="AAB8C4"/>
              <w:right w:val="nil"/>
            </w:tcBorders>
            <w:vAlign w:val="bottom"/>
            <w:hideMark/>
          </w:tcPr>
          <w:p w14:paraId="164EDA10" w14:textId="77777777" w:rsidR="00B65EDC" w:rsidRPr="00E675E8" w:rsidRDefault="00B65EDC">
            <w:pPr>
              <w:jc w:val="left"/>
              <w:rPr>
                <w:rFonts w:ascii="Arial Narrow" w:hAnsi="Arial Narrow" w:cs="Arial"/>
                <w:b/>
                <w:bCs/>
                <w:lang w:val="es-ES_tradnl"/>
              </w:rPr>
            </w:pPr>
            <w:r w:rsidRPr="00E675E8">
              <w:rPr>
                <w:rFonts w:ascii="Arial Narrow" w:hAnsi="Arial Narrow"/>
                <w:b/>
                <w:lang w:val="es-ES_tradnl"/>
              </w:rPr>
              <w:t>Subtotal</w:t>
            </w:r>
          </w:p>
        </w:tc>
        <w:tc>
          <w:tcPr>
            <w:tcW w:w="1142" w:type="dxa"/>
            <w:tcBorders>
              <w:top w:val="nil"/>
              <w:left w:val="nil"/>
              <w:bottom w:val="single" w:sz="4" w:space="0" w:color="AAB8C4"/>
              <w:right w:val="nil"/>
            </w:tcBorders>
            <w:vAlign w:val="bottom"/>
            <w:hideMark/>
          </w:tcPr>
          <w:p w14:paraId="6A10515B"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 xml:space="preserve">3 </w:t>
            </w:r>
          </w:p>
        </w:tc>
        <w:tc>
          <w:tcPr>
            <w:tcW w:w="1123" w:type="dxa"/>
            <w:tcBorders>
              <w:top w:val="nil"/>
              <w:left w:val="nil"/>
              <w:bottom w:val="single" w:sz="4" w:space="0" w:color="AAB8C4"/>
              <w:right w:val="nil"/>
            </w:tcBorders>
            <w:vAlign w:val="bottom"/>
            <w:hideMark/>
          </w:tcPr>
          <w:p w14:paraId="0F0DFD15"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 xml:space="preserve">2 </w:t>
            </w:r>
          </w:p>
        </w:tc>
        <w:tc>
          <w:tcPr>
            <w:tcW w:w="933" w:type="dxa"/>
            <w:tcBorders>
              <w:top w:val="nil"/>
              <w:left w:val="nil"/>
              <w:bottom w:val="nil"/>
              <w:right w:val="nil"/>
            </w:tcBorders>
            <w:vAlign w:val="bottom"/>
            <w:hideMark/>
          </w:tcPr>
          <w:p w14:paraId="26B2CD1F"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w:t>
            </w:r>
          </w:p>
        </w:tc>
        <w:tc>
          <w:tcPr>
            <w:tcW w:w="1123" w:type="dxa"/>
            <w:tcBorders>
              <w:top w:val="nil"/>
              <w:left w:val="nil"/>
              <w:bottom w:val="nil"/>
              <w:right w:val="nil"/>
            </w:tcBorders>
            <w:vAlign w:val="bottom"/>
            <w:hideMark/>
          </w:tcPr>
          <w:p w14:paraId="3473E478"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0 %</w:t>
            </w:r>
          </w:p>
        </w:tc>
        <w:tc>
          <w:tcPr>
            <w:tcW w:w="1218" w:type="dxa"/>
            <w:tcBorders>
              <w:top w:val="nil"/>
              <w:left w:val="nil"/>
              <w:bottom w:val="nil"/>
              <w:right w:val="nil"/>
            </w:tcBorders>
            <w:vAlign w:val="bottom"/>
            <w:hideMark/>
          </w:tcPr>
          <w:p w14:paraId="5D10B100"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2</w:t>
            </w:r>
          </w:p>
        </w:tc>
      </w:tr>
      <w:tr w:rsidR="00B65EDC" w:rsidRPr="00E675E8" w14:paraId="3B97A3E4" w14:textId="77777777" w:rsidTr="00A538F6">
        <w:trPr>
          <w:trHeight w:val="352"/>
          <w:jc w:val="center"/>
        </w:trPr>
        <w:tc>
          <w:tcPr>
            <w:tcW w:w="419" w:type="dxa"/>
            <w:tcBorders>
              <w:top w:val="nil"/>
              <w:left w:val="nil"/>
              <w:bottom w:val="single" w:sz="8" w:space="0" w:color="AAB8C4"/>
              <w:right w:val="nil"/>
            </w:tcBorders>
            <w:noWrap/>
            <w:vAlign w:val="bottom"/>
            <w:hideMark/>
          </w:tcPr>
          <w:p w14:paraId="4B994EFC" w14:textId="77777777" w:rsidR="00B65EDC" w:rsidRPr="00E675E8" w:rsidRDefault="00B65EDC">
            <w:pPr>
              <w:jc w:val="left"/>
              <w:rPr>
                <w:rFonts w:cs="Arial"/>
                <w:b/>
                <w:bCs/>
                <w:lang w:val="es-ES_tradnl"/>
              </w:rPr>
            </w:pPr>
            <w:r w:rsidRPr="00E675E8">
              <w:rPr>
                <w:b/>
                <w:lang w:val="es-ES_tradnl"/>
              </w:rPr>
              <w:t> </w:t>
            </w:r>
          </w:p>
        </w:tc>
        <w:tc>
          <w:tcPr>
            <w:tcW w:w="3123" w:type="dxa"/>
            <w:tcBorders>
              <w:top w:val="nil"/>
              <w:left w:val="nil"/>
              <w:bottom w:val="single" w:sz="8" w:space="0" w:color="AAB8C4"/>
              <w:right w:val="nil"/>
            </w:tcBorders>
            <w:vAlign w:val="bottom"/>
            <w:hideMark/>
          </w:tcPr>
          <w:p w14:paraId="5377E73F" w14:textId="77777777" w:rsidR="00B65EDC" w:rsidRPr="00E675E8" w:rsidRDefault="00B65EDC">
            <w:pPr>
              <w:jc w:val="left"/>
              <w:rPr>
                <w:rFonts w:ascii="Arial Narrow" w:hAnsi="Arial Narrow" w:cs="Arial"/>
                <w:b/>
                <w:bCs/>
                <w:color w:val="000000"/>
                <w:lang w:val="es-ES_tradnl"/>
              </w:rPr>
            </w:pPr>
            <w:r w:rsidRPr="00E675E8">
              <w:rPr>
                <w:rFonts w:ascii="Arial Narrow" w:hAnsi="Arial Narrow"/>
                <w:b/>
                <w:color w:val="000000"/>
                <w:lang w:val="es-ES_tradnl"/>
              </w:rPr>
              <w:t>Total B</w:t>
            </w:r>
          </w:p>
        </w:tc>
        <w:tc>
          <w:tcPr>
            <w:tcW w:w="1142" w:type="dxa"/>
            <w:tcBorders>
              <w:top w:val="nil"/>
              <w:left w:val="nil"/>
              <w:bottom w:val="single" w:sz="8" w:space="0" w:color="AAB8C4"/>
              <w:right w:val="nil"/>
            </w:tcBorders>
            <w:vAlign w:val="bottom"/>
            <w:hideMark/>
          </w:tcPr>
          <w:p w14:paraId="39EF4397"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 xml:space="preserve">2 756 </w:t>
            </w:r>
          </w:p>
        </w:tc>
        <w:tc>
          <w:tcPr>
            <w:tcW w:w="1123" w:type="dxa"/>
            <w:tcBorders>
              <w:top w:val="nil"/>
              <w:left w:val="nil"/>
              <w:bottom w:val="single" w:sz="8" w:space="0" w:color="AAB8C4"/>
              <w:right w:val="nil"/>
            </w:tcBorders>
            <w:vAlign w:val="bottom"/>
            <w:hideMark/>
          </w:tcPr>
          <w:p w14:paraId="2B00BA52"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 xml:space="preserve">2 147 </w:t>
            </w:r>
          </w:p>
        </w:tc>
        <w:tc>
          <w:tcPr>
            <w:tcW w:w="933" w:type="dxa"/>
            <w:tcBorders>
              <w:top w:val="single" w:sz="4" w:space="0" w:color="BFBFBF"/>
              <w:left w:val="nil"/>
              <w:bottom w:val="single" w:sz="8" w:space="0" w:color="BFBFBF"/>
              <w:right w:val="nil"/>
            </w:tcBorders>
            <w:vAlign w:val="bottom"/>
            <w:hideMark/>
          </w:tcPr>
          <w:p w14:paraId="55F893AF"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(271)</w:t>
            </w:r>
          </w:p>
        </w:tc>
        <w:tc>
          <w:tcPr>
            <w:tcW w:w="1123" w:type="dxa"/>
            <w:tcBorders>
              <w:top w:val="single" w:sz="4" w:space="0" w:color="BFBFBF"/>
              <w:left w:val="nil"/>
              <w:bottom w:val="single" w:sz="8" w:space="0" w:color="BFBFBF"/>
              <w:right w:val="nil"/>
            </w:tcBorders>
            <w:vAlign w:val="bottom"/>
            <w:hideMark/>
          </w:tcPr>
          <w:p w14:paraId="3C468DBF"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-13 %</w:t>
            </w:r>
          </w:p>
        </w:tc>
        <w:tc>
          <w:tcPr>
            <w:tcW w:w="1218" w:type="dxa"/>
            <w:tcBorders>
              <w:top w:val="single" w:sz="4" w:space="0" w:color="AAB8C4"/>
              <w:left w:val="nil"/>
              <w:bottom w:val="single" w:sz="8" w:space="0" w:color="AAB8C4"/>
              <w:right w:val="nil"/>
            </w:tcBorders>
            <w:vAlign w:val="bottom"/>
            <w:hideMark/>
          </w:tcPr>
          <w:p w14:paraId="79B8A4CF"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1 876</w:t>
            </w:r>
          </w:p>
        </w:tc>
      </w:tr>
      <w:tr w:rsidR="00B65EDC" w:rsidRPr="00E675E8" w14:paraId="2BC3E8B7" w14:textId="77777777" w:rsidTr="00252926">
        <w:trPr>
          <w:trHeight w:val="352"/>
          <w:jc w:val="center"/>
        </w:trPr>
        <w:tc>
          <w:tcPr>
            <w:tcW w:w="419" w:type="dxa"/>
            <w:tcBorders>
              <w:top w:val="nil"/>
              <w:left w:val="nil"/>
              <w:bottom w:val="single" w:sz="8" w:space="0" w:color="AAB8C4"/>
              <w:right w:val="nil"/>
            </w:tcBorders>
            <w:noWrap/>
            <w:vAlign w:val="bottom"/>
            <w:hideMark/>
          </w:tcPr>
          <w:p w14:paraId="4377440F" w14:textId="77777777" w:rsidR="00B65EDC" w:rsidRPr="00E675E8" w:rsidRDefault="00B65EDC">
            <w:pPr>
              <w:jc w:val="left"/>
              <w:rPr>
                <w:rFonts w:cs="Arial"/>
                <w:b/>
                <w:bCs/>
                <w:lang w:val="es-ES_tradnl"/>
              </w:rPr>
            </w:pPr>
            <w:r w:rsidRPr="00E675E8">
              <w:rPr>
                <w:b/>
                <w:lang w:val="es-ES_tradnl"/>
              </w:rPr>
              <w:t> </w:t>
            </w:r>
          </w:p>
        </w:tc>
        <w:tc>
          <w:tcPr>
            <w:tcW w:w="3123" w:type="dxa"/>
            <w:tcBorders>
              <w:top w:val="nil"/>
              <w:left w:val="nil"/>
              <w:bottom w:val="single" w:sz="8" w:space="0" w:color="AAB8C4"/>
              <w:right w:val="nil"/>
            </w:tcBorders>
            <w:vAlign w:val="bottom"/>
            <w:hideMark/>
          </w:tcPr>
          <w:p w14:paraId="517AD24F" w14:textId="77777777" w:rsidR="00B65EDC" w:rsidRPr="00E675E8" w:rsidRDefault="00B65EDC" w:rsidP="00252926">
            <w:pPr>
              <w:jc w:val="left"/>
              <w:rPr>
                <w:rFonts w:ascii="Arial Narrow" w:hAnsi="Arial Narrow" w:cs="Arial"/>
                <w:b/>
                <w:bCs/>
                <w:lang w:val="es-ES_tradnl"/>
              </w:rPr>
            </w:pPr>
            <w:r w:rsidRPr="00E675E8">
              <w:rPr>
                <w:rFonts w:ascii="Arial Narrow" w:hAnsi="Arial Narrow"/>
                <w:b/>
                <w:lang w:val="es-ES_tradnl"/>
              </w:rPr>
              <w:t>TOTAL, A + B</w:t>
            </w:r>
          </w:p>
        </w:tc>
        <w:tc>
          <w:tcPr>
            <w:tcW w:w="1142" w:type="dxa"/>
            <w:tcBorders>
              <w:top w:val="nil"/>
              <w:left w:val="nil"/>
              <w:bottom w:val="single" w:sz="8" w:space="0" w:color="AAB8C4"/>
              <w:right w:val="nil"/>
            </w:tcBorders>
            <w:vAlign w:val="bottom"/>
            <w:hideMark/>
          </w:tcPr>
          <w:p w14:paraId="6FE2F8E3" w14:textId="77777777" w:rsidR="00B65EDC" w:rsidRPr="00E675E8" w:rsidRDefault="00B65EDC" w:rsidP="00252926">
            <w:pPr>
              <w:jc w:val="right"/>
              <w:rPr>
                <w:rFonts w:ascii="Arial Narrow" w:hAnsi="Arial Narrow" w:cs="Arial"/>
                <w:b/>
                <w:bCs/>
                <w:lang w:val="es-ES_tradnl"/>
              </w:rPr>
            </w:pPr>
            <w:r w:rsidRPr="00E675E8">
              <w:rPr>
                <w:rFonts w:ascii="Arial Narrow" w:hAnsi="Arial Narrow"/>
                <w:b/>
                <w:lang w:val="es-ES_tradnl"/>
              </w:rPr>
              <w:t xml:space="preserve">7 382 </w:t>
            </w:r>
          </w:p>
        </w:tc>
        <w:tc>
          <w:tcPr>
            <w:tcW w:w="1123" w:type="dxa"/>
            <w:tcBorders>
              <w:top w:val="nil"/>
              <w:left w:val="nil"/>
              <w:bottom w:val="single" w:sz="8" w:space="0" w:color="AAB8C4"/>
              <w:right w:val="nil"/>
            </w:tcBorders>
            <w:vAlign w:val="bottom"/>
            <w:hideMark/>
          </w:tcPr>
          <w:p w14:paraId="717314A6" w14:textId="77777777" w:rsidR="00B65EDC" w:rsidRPr="00E675E8" w:rsidRDefault="00B65EDC" w:rsidP="00252926">
            <w:pPr>
              <w:jc w:val="right"/>
              <w:rPr>
                <w:rFonts w:ascii="Arial Narrow" w:hAnsi="Arial Narrow" w:cs="Arial"/>
                <w:b/>
                <w:bCs/>
                <w:lang w:val="es-ES_tradnl"/>
              </w:rPr>
            </w:pPr>
            <w:r w:rsidRPr="00E675E8">
              <w:rPr>
                <w:rFonts w:ascii="Arial Narrow" w:hAnsi="Arial Narrow"/>
                <w:b/>
                <w:lang w:val="es-ES_tradnl"/>
              </w:rPr>
              <w:t xml:space="preserve">7 901 </w:t>
            </w:r>
          </w:p>
        </w:tc>
        <w:tc>
          <w:tcPr>
            <w:tcW w:w="933" w:type="dxa"/>
            <w:tcBorders>
              <w:top w:val="single" w:sz="4" w:space="0" w:color="BFBFBF"/>
              <w:left w:val="nil"/>
              <w:bottom w:val="single" w:sz="8" w:space="0" w:color="BFBFBF"/>
              <w:right w:val="nil"/>
            </w:tcBorders>
            <w:vAlign w:val="bottom"/>
            <w:hideMark/>
          </w:tcPr>
          <w:p w14:paraId="66EC0BA1" w14:textId="77777777" w:rsidR="00B65EDC" w:rsidRPr="00E675E8" w:rsidRDefault="00B65EDC" w:rsidP="00252926">
            <w:pPr>
              <w:jc w:val="right"/>
              <w:rPr>
                <w:rFonts w:ascii="Arial Narrow" w:hAnsi="Arial Narrow" w:cs="Arial"/>
                <w:b/>
                <w:bCs/>
                <w:lang w:val="es-ES_tradnl"/>
              </w:rPr>
            </w:pPr>
            <w:r w:rsidRPr="00E675E8">
              <w:rPr>
                <w:rFonts w:ascii="Arial Narrow" w:hAnsi="Arial Narrow"/>
                <w:b/>
                <w:lang w:val="es-ES_tradnl"/>
              </w:rPr>
              <w:t>(285)</w:t>
            </w:r>
          </w:p>
        </w:tc>
        <w:tc>
          <w:tcPr>
            <w:tcW w:w="1123" w:type="dxa"/>
            <w:tcBorders>
              <w:top w:val="nil"/>
              <w:left w:val="nil"/>
              <w:bottom w:val="single" w:sz="8" w:space="0" w:color="BFBFBF"/>
              <w:right w:val="nil"/>
            </w:tcBorders>
            <w:vAlign w:val="bottom"/>
            <w:hideMark/>
          </w:tcPr>
          <w:p w14:paraId="08870BEA" w14:textId="77777777" w:rsidR="00B65EDC" w:rsidRPr="00E675E8" w:rsidRDefault="00B65EDC" w:rsidP="00252926">
            <w:pPr>
              <w:jc w:val="right"/>
              <w:rPr>
                <w:rFonts w:ascii="Arial Narrow" w:hAnsi="Arial Narrow" w:cs="Arial"/>
                <w:b/>
                <w:bCs/>
                <w:lang w:val="es-ES_tradnl"/>
              </w:rPr>
            </w:pPr>
            <w:r w:rsidRPr="00E675E8">
              <w:rPr>
                <w:rFonts w:ascii="Arial Narrow" w:hAnsi="Arial Narrow"/>
                <w:b/>
                <w:lang w:val="es-ES_tradnl"/>
              </w:rPr>
              <w:t>-4 %</w:t>
            </w:r>
          </w:p>
        </w:tc>
        <w:tc>
          <w:tcPr>
            <w:tcW w:w="1218" w:type="dxa"/>
            <w:tcBorders>
              <w:top w:val="nil"/>
              <w:left w:val="nil"/>
              <w:bottom w:val="single" w:sz="8" w:space="0" w:color="AAB8C4"/>
              <w:right w:val="nil"/>
            </w:tcBorders>
            <w:vAlign w:val="bottom"/>
            <w:hideMark/>
          </w:tcPr>
          <w:p w14:paraId="3FE0BD1D" w14:textId="77777777" w:rsidR="00B65EDC" w:rsidRPr="00E675E8" w:rsidRDefault="00B65EDC" w:rsidP="00252926">
            <w:pPr>
              <w:jc w:val="right"/>
              <w:rPr>
                <w:rFonts w:ascii="Arial Narrow" w:hAnsi="Arial Narrow" w:cs="Arial"/>
                <w:b/>
                <w:bCs/>
                <w:lang w:val="es-ES_tradnl"/>
              </w:rPr>
            </w:pPr>
            <w:r w:rsidRPr="00E675E8">
              <w:rPr>
                <w:rFonts w:ascii="Arial Narrow" w:hAnsi="Arial Narrow"/>
                <w:b/>
                <w:lang w:val="es-ES_tradnl"/>
              </w:rPr>
              <w:t>7 616</w:t>
            </w:r>
          </w:p>
        </w:tc>
      </w:tr>
    </w:tbl>
    <w:p w14:paraId="07C0A298" w14:textId="77777777" w:rsidR="000411C9" w:rsidRPr="000411C9" w:rsidRDefault="000411C9" w:rsidP="000411C9">
      <w:bookmarkStart w:id="444" w:name="_Toc209777764"/>
    </w:p>
    <w:p w14:paraId="69AF036D" w14:textId="77777777" w:rsidR="000411C9" w:rsidRDefault="000411C9">
      <w:pPr>
        <w:jc w:val="left"/>
        <w:rPr>
          <w:b/>
          <w:color w:val="26724C" w:themeColor="accent1" w:themeShade="BF"/>
          <w:sz w:val="22"/>
          <w:lang w:val="es-ES_tradnl"/>
        </w:rPr>
      </w:pPr>
      <w:r>
        <w:rPr>
          <w:lang w:val="es-ES_tradnl"/>
        </w:rPr>
        <w:br w:type="page"/>
      </w:r>
    </w:p>
    <w:p w14:paraId="6053C7C1" w14:textId="042A669B" w:rsidR="00B65EDC" w:rsidRPr="00E675E8" w:rsidRDefault="00B65EDC" w:rsidP="000363C4">
      <w:pPr>
        <w:pStyle w:val="Heading3"/>
        <w:rPr>
          <w:lang w:val="es-ES_tradnl"/>
        </w:rPr>
      </w:pPr>
      <w:r w:rsidRPr="00E675E8">
        <w:rPr>
          <w:lang w:val="es-ES_tradnl"/>
        </w:rPr>
        <w:lastRenderedPageBreak/>
        <w:t>Gastos de personal</w:t>
      </w:r>
      <w:bookmarkEnd w:id="444"/>
    </w:p>
    <w:p w14:paraId="0923123B" w14:textId="77777777" w:rsidR="00B65EDC" w:rsidRPr="00E675E8" w:rsidRDefault="00B65EDC" w:rsidP="00ED7F3E">
      <w:pPr>
        <w:keepNext/>
        <w:rPr>
          <w:lang w:val="es-ES_tradnl"/>
        </w:rPr>
      </w:pPr>
    </w:p>
    <w:p w14:paraId="217F101E" w14:textId="3820D38A"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Los gastos de personal se centran en las áreas prioritarias, conforme al Plan Operativo Estratégico</w:t>
      </w:r>
      <w:r w:rsidR="000411C9">
        <w:rPr>
          <w:lang w:val="es-ES_tradnl"/>
        </w:rPr>
        <w:t xml:space="preserve"> </w:t>
      </w:r>
      <w:r w:rsidRPr="00E675E8">
        <w:rPr>
          <w:lang w:val="es-ES_tradnl"/>
        </w:rPr>
        <w:t>2026-2029 de la UPOV.</w:t>
      </w:r>
    </w:p>
    <w:p w14:paraId="229A0898" w14:textId="77777777" w:rsidR="00B65EDC" w:rsidRPr="00E675E8" w:rsidRDefault="00B65EDC" w:rsidP="00B65EDC">
      <w:pPr>
        <w:rPr>
          <w:lang w:val="es-ES_tradnl"/>
        </w:rPr>
      </w:pPr>
    </w:p>
    <w:p w14:paraId="0A4883D1" w14:textId="5E602348"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 xml:space="preserve">Se prevé contener los gastos de personal gracias a la incorporación de vacantes en puestos fijos y temporales. </w:t>
      </w:r>
      <w:r w:rsidR="000411C9">
        <w:rPr>
          <w:lang w:val="es-ES_tradnl"/>
        </w:rPr>
        <w:t xml:space="preserve"> </w:t>
      </w:r>
      <w:r w:rsidRPr="00E675E8">
        <w:rPr>
          <w:lang w:val="es-ES_tradnl"/>
        </w:rPr>
        <w:t xml:space="preserve">Las labores de comunicación y digitalización desempeñarán un papel clave para lograr los resultados esperados. </w:t>
      </w:r>
    </w:p>
    <w:p w14:paraId="1AF59F2D" w14:textId="77777777" w:rsidR="00B65EDC" w:rsidRPr="00E675E8" w:rsidRDefault="00B65EDC" w:rsidP="00B65EDC">
      <w:pPr>
        <w:rPr>
          <w:lang w:val="es-ES_tradnl"/>
        </w:rPr>
      </w:pPr>
    </w:p>
    <w:p w14:paraId="5BE8484E" w14:textId="49A5C757"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Para apoyar estas esferas prioritarias, se han presupuestado dos puestos temporales para el bienio</w:t>
      </w:r>
      <w:r w:rsidR="003F289C" w:rsidRPr="00E675E8">
        <w:rPr>
          <w:lang w:val="es-ES_tradnl"/>
        </w:rPr>
        <w:t> </w:t>
      </w:r>
      <w:r w:rsidRPr="00E675E8">
        <w:rPr>
          <w:lang w:val="es-ES_tradnl"/>
        </w:rPr>
        <w:t>2026-2027. Aunque el puesto de TI ya estaba presupuestado para el período 2024-2025, la persona seleccionada para ocuparlo aceptó otra oferta de trabajo.</w:t>
      </w:r>
      <w:r w:rsidR="002817AB" w:rsidRPr="00E675E8">
        <w:rPr>
          <w:lang w:val="es-ES_tradnl"/>
        </w:rPr>
        <w:t xml:space="preserve"> </w:t>
      </w:r>
      <w:r w:rsidRPr="00E675E8">
        <w:rPr>
          <w:lang w:val="es-ES_tradnl"/>
        </w:rPr>
        <w:t>El ejercicio puso de manifiesto la necesidad de revisar el enfoque para atraer y retener a expertos cualificados en TI.</w:t>
      </w:r>
      <w:r w:rsidR="002817AB" w:rsidRPr="00E675E8">
        <w:rPr>
          <w:lang w:val="es-ES_tradnl"/>
        </w:rPr>
        <w:t xml:space="preserve"> </w:t>
      </w:r>
      <w:r w:rsidRPr="00E675E8">
        <w:rPr>
          <w:lang w:val="es-ES_tradnl"/>
        </w:rPr>
        <w:t>La función del experto en tecnologías de la información consiste en ejecutar aspectos clave de la labor de la UPOV, concretamente en el desarrollo y mantenimiento de las herramientas y los servicios de la UPOV (PLUTO, UPOV PRISMA, módulo de intercambio DHE y plantilla de documentos TG).</w:t>
      </w:r>
    </w:p>
    <w:p w14:paraId="792AB2B2" w14:textId="77777777" w:rsidR="00B65EDC" w:rsidRPr="00E675E8" w:rsidRDefault="00B65EDC" w:rsidP="00B65EDC">
      <w:pPr>
        <w:rPr>
          <w:lang w:val="es-ES_tradnl"/>
        </w:rPr>
      </w:pPr>
    </w:p>
    <w:p w14:paraId="7616591C" w14:textId="62DF00EB"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En 2025 quedará vacante un puesto de servicios generales por jubilación.</w:t>
      </w:r>
      <w:r w:rsidR="002817AB" w:rsidRPr="00E675E8">
        <w:rPr>
          <w:lang w:val="es-ES_tradnl"/>
        </w:rPr>
        <w:t xml:space="preserve"> </w:t>
      </w:r>
      <w:r w:rsidRPr="00E675E8">
        <w:rPr>
          <w:lang w:val="es-ES_tradnl"/>
        </w:rPr>
        <w:t xml:space="preserve">Este puesto se ha presupuestado para 2026-2027 en la categoría profesional con el fin de hacer frente a la creciente demanda de asistencia y orientación en materia de protección de las obtenciones vegetales. </w:t>
      </w:r>
    </w:p>
    <w:p w14:paraId="52659084" w14:textId="77777777" w:rsidR="00B65EDC" w:rsidRPr="00E675E8" w:rsidRDefault="00B65EDC" w:rsidP="00B65EDC">
      <w:pPr>
        <w:rPr>
          <w:lang w:val="es-ES_tradnl"/>
        </w:rPr>
      </w:pPr>
    </w:p>
    <w:p w14:paraId="6AAF0DC7" w14:textId="6E6DA6F1" w:rsidR="00B65EDC" w:rsidRPr="00E675E8" w:rsidRDefault="00B65EDC" w:rsidP="00B65EDC">
      <w:pPr>
        <w:jc w:val="center"/>
        <w:rPr>
          <w:rFonts w:cs="Arial"/>
          <w:b/>
          <w:bCs/>
          <w:color w:val="26724C" w:themeColor="accent1" w:themeShade="BF"/>
          <w:lang w:val="es-ES_tradnl"/>
        </w:rPr>
      </w:pPr>
      <w:r w:rsidRPr="00E675E8">
        <w:rPr>
          <w:b/>
          <w:color w:val="26724C" w:themeColor="accent1" w:themeShade="BF"/>
          <w:lang w:val="es-ES_tradnl"/>
        </w:rPr>
        <w:t>Cuadro 5:</w:t>
      </w:r>
      <w:r w:rsidR="002817AB" w:rsidRPr="00E675E8">
        <w:rPr>
          <w:b/>
          <w:color w:val="26724C" w:themeColor="accent1" w:themeShade="BF"/>
          <w:lang w:val="es-ES_tradnl"/>
        </w:rPr>
        <w:t xml:space="preserve"> </w:t>
      </w:r>
      <w:r w:rsidRPr="00E675E8">
        <w:rPr>
          <w:b/>
          <w:color w:val="26724C" w:themeColor="accent1" w:themeShade="BF"/>
          <w:lang w:val="es-ES_tradnl"/>
        </w:rPr>
        <w:t>Presupuesto 2026</w:t>
      </w:r>
      <w:r w:rsidRPr="00E675E8">
        <w:rPr>
          <w:b/>
          <w:color w:val="26724C" w:themeColor="accent1" w:themeShade="BF"/>
          <w:lang w:val="es-ES_tradnl"/>
        </w:rPr>
        <w:noBreakHyphen/>
        <w:t>2027:</w:t>
      </w:r>
      <w:r w:rsidR="002817AB" w:rsidRPr="00E675E8">
        <w:rPr>
          <w:b/>
          <w:color w:val="26724C" w:themeColor="accent1" w:themeShade="BF"/>
          <w:lang w:val="es-ES_tradnl"/>
        </w:rPr>
        <w:t xml:space="preserve"> </w:t>
      </w:r>
      <w:r w:rsidRPr="00E675E8">
        <w:rPr>
          <w:b/>
          <w:color w:val="26724C" w:themeColor="accent1" w:themeShade="BF"/>
          <w:lang w:val="es-ES_tradnl"/>
        </w:rPr>
        <w:t>Puestos por categoría</w:t>
      </w:r>
    </w:p>
    <w:p w14:paraId="58B0831A" w14:textId="77777777" w:rsidR="00B65EDC" w:rsidRPr="00E675E8" w:rsidRDefault="00B65EDC" w:rsidP="00B65EDC">
      <w:pPr>
        <w:rPr>
          <w:rFonts w:cs="Arial"/>
          <w:b/>
          <w:bCs/>
          <w:color w:val="26724C" w:themeColor="accent1" w:themeShade="BF"/>
          <w:lang w:val="es-ES_tradnl"/>
        </w:rPr>
      </w:pPr>
    </w:p>
    <w:tbl>
      <w:tblPr>
        <w:tblW w:w="7980" w:type="dxa"/>
        <w:jc w:val="center"/>
        <w:tblLook w:val="04A0" w:firstRow="1" w:lastRow="0" w:firstColumn="1" w:lastColumn="0" w:noHBand="0" w:noVBand="1"/>
      </w:tblPr>
      <w:tblGrid>
        <w:gridCol w:w="2260"/>
        <w:gridCol w:w="1480"/>
        <w:gridCol w:w="1440"/>
        <w:gridCol w:w="1400"/>
        <w:gridCol w:w="1400"/>
      </w:tblGrid>
      <w:tr w:rsidR="00B65EDC" w:rsidRPr="00E675E8" w14:paraId="1A51A639" w14:textId="77777777">
        <w:trPr>
          <w:trHeight w:val="460"/>
          <w:jc w:val="center"/>
        </w:trPr>
        <w:tc>
          <w:tcPr>
            <w:tcW w:w="2260" w:type="dxa"/>
            <w:tcBorders>
              <w:top w:val="nil"/>
              <w:left w:val="nil"/>
              <w:bottom w:val="nil"/>
              <w:right w:val="nil"/>
            </w:tcBorders>
            <w:shd w:val="clear" w:color="000000" w:fill="C7CFD8"/>
            <w:vAlign w:val="center"/>
            <w:hideMark/>
          </w:tcPr>
          <w:p w14:paraId="06A2674C"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Categoría del puesto </w:t>
            </w:r>
          </w:p>
        </w:tc>
        <w:tc>
          <w:tcPr>
            <w:tcW w:w="1480" w:type="dxa"/>
            <w:tcBorders>
              <w:top w:val="nil"/>
              <w:left w:val="nil"/>
              <w:bottom w:val="nil"/>
              <w:right w:val="nil"/>
            </w:tcBorders>
            <w:shd w:val="clear" w:color="000000" w:fill="C7CFD8"/>
            <w:vAlign w:val="center"/>
            <w:hideMark/>
          </w:tcPr>
          <w:p w14:paraId="1F6182D6"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2022-2023</w:t>
            </w:r>
            <w:r w:rsidRPr="00E675E8">
              <w:rPr>
                <w:rFonts w:ascii="Arial Narrow" w:hAnsi="Arial Narrow"/>
                <w:b/>
                <w:sz w:val="18"/>
                <w:lang w:val="es-ES_tradnl"/>
              </w:rPr>
              <w:br/>
              <w:t xml:space="preserve">Real </w:t>
            </w:r>
          </w:p>
        </w:tc>
        <w:tc>
          <w:tcPr>
            <w:tcW w:w="1440" w:type="dxa"/>
            <w:tcBorders>
              <w:top w:val="nil"/>
              <w:left w:val="nil"/>
              <w:bottom w:val="nil"/>
              <w:right w:val="nil"/>
            </w:tcBorders>
            <w:shd w:val="clear" w:color="000000" w:fill="C7CFD8"/>
            <w:vAlign w:val="center"/>
            <w:hideMark/>
          </w:tcPr>
          <w:p w14:paraId="7AE5165E" w14:textId="47EEDD1E"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2024-2025</w:t>
            </w:r>
            <w:r w:rsidRPr="00E675E8">
              <w:rPr>
                <w:rFonts w:ascii="Arial Narrow" w:hAnsi="Arial Narrow"/>
                <w:b/>
                <w:sz w:val="18"/>
                <w:lang w:val="es-ES_tradnl"/>
              </w:rPr>
              <w:br/>
              <w:t>Presupuesto</w:t>
            </w:r>
            <w:r w:rsidR="002817AB" w:rsidRPr="00E675E8">
              <w:rPr>
                <w:rFonts w:ascii="Arial Narrow" w:hAnsi="Arial Narrow"/>
                <w:b/>
                <w:sz w:val="18"/>
                <w:lang w:val="es-ES_tradnl"/>
              </w:rPr>
              <w:t xml:space="preserve"> </w:t>
            </w:r>
          </w:p>
        </w:tc>
        <w:tc>
          <w:tcPr>
            <w:tcW w:w="1400" w:type="dxa"/>
            <w:tcBorders>
              <w:top w:val="nil"/>
              <w:left w:val="nil"/>
              <w:bottom w:val="nil"/>
              <w:right w:val="nil"/>
            </w:tcBorders>
            <w:shd w:val="clear" w:color="000000" w:fill="C7CFD8"/>
            <w:vAlign w:val="center"/>
            <w:hideMark/>
          </w:tcPr>
          <w:p w14:paraId="4198110E"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Variación </w:t>
            </w:r>
          </w:p>
        </w:tc>
        <w:tc>
          <w:tcPr>
            <w:tcW w:w="1400" w:type="dxa"/>
            <w:tcBorders>
              <w:top w:val="nil"/>
              <w:left w:val="nil"/>
              <w:bottom w:val="nil"/>
              <w:right w:val="nil"/>
            </w:tcBorders>
            <w:shd w:val="clear" w:color="000000" w:fill="C7CFD8"/>
            <w:vAlign w:val="center"/>
            <w:hideMark/>
          </w:tcPr>
          <w:p w14:paraId="01D31823" w14:textId="25F98AE6" w:rsidR="00B65EDC" w:rsidRPr="00E675E8" w:rsidRDefault="00521C0D">
            <w:pPr>
              <w:jc w:val="center"/>
              <w:rPr>
                <w:rFonts w:ascii="Arial Narrow" w:hAnsi="Arial Narrow" w:cs="Arial"/>
                <w:b/>
                <w:bCs/>
                <w:sz w:val="18"/>
                <w:szCs w:val="18"/>
                <w:lang w:val="es-ES_tradnl"/>
              </w:rPr>
            </w:pPr>
            <w:r w:rsidRPr="00E675E8">
              <w:rPr>
                <w:rFonts w:ascii="Arial Narrow" w:hAnsi="Arial Narrow"/>
                <w:b/>
                <w:sz w:val="18"/>
                <w:lang w:val="es-ES_tradnl"/>
              </w:rPr>
              <w:t xml:space="preserve">Propuesta para 2026-2027 </w:t>
            </w:r>
          </w:p>
        </w:tc>
      </w:tr>
      <w:tr w:rsidR="00B65EDC" w:rsidRPr="00E675E8" w14:paraId="071FF521" w14:textId="77777777">
        <w:trPr>
          <w:trHeight w:val="250"/>
          <w:jc w:val="center"/>
        </w:trPr>
        <w:tc>
          <w:tcPr>
            <w:tcW w:w="2260" w:type="dxa"/>
            <w:tcBorders>
              <w:top w:val="nil"/>
              <w:left w:val="nil"/>
              <w:bottom w:val="nil"/>
              <w:right w:val="nil"/>
            </w:tcBorders>
            <w:shd w:val="clear" w:color="000000" w:fill="C7CFD8"/>
            <w:vAlign w:val="center"/>
            <w:hideMark/>
          </w:tcPr>
          <w:p w14:paraId="49629254"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w:t>
            </w:r>
          </w:p>
        </w:tc>
        <w:tc>
          <w:tcPr>
            <w:tcW w:w="1480" w:type="dxa"/>
            <w:tcBorders>
              <w:top w:val="nil"/>
              <w:left w:val="nil"/>
              <w:bottom w:val="nil"/>
              <w:right w:val="nil"/>
            </w:tcBorders>
            <w:shd w:val="clear" w:color="000000" w:fill="C7CFD8"/>
            <w:vAlign w:val="center"/>
            <w:hideMark/>
          </w:tcPr>
          <w:p w14:paraId="65948524"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A </w:t>
            </w:r>
          </w:p>
        </w:tc>
        <w:tc>
          <w:tcPr>
            <w:tcW w:w="1440" w:type="dxa"/>
            <w:tcBorders>
              <w:top w:val="nil"/>
              <w:left w:val="nil"/>
              <w:bottom w:val="nil"/>
              <w:right w:val="nil"/>
            </w:tcBorders>
            <w:shd w:val="clear" w:color="000000" w:fill="C7CFD8"/>
            <w:vAlign w:val="center"/>
            <w:hideMark/>
          </w:tcPr>
          <w:p w14:paraId="0DC4B41C"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B </w:t>
            </w:r>
          </w:p>
        </w:tc>
        <w:tc>
          <w:tcPr>
            <w:tcW w:w="1400" w:type="dxa"/>
            <w:tcBorders>
              <w:top w:val="nil"/>
              <w:left w:val="nil"/>
              <w:bottom w:val="nil"/>
              <w:right w:val="nil"/>
            </w:tcBorders>
            <w:shd w:val="clear" w:color="000000" w:fill="C7CFD8"/>
            <w:vAlign w:val="center"/>
            <w:hideMark/>
          </w:tcPr>
          <w:p w14:paraId="4E3E5D94"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C-B </w:t>
            </w:r>
          </w:p>
        </w:tc>
        <w:tc>
          <w:tcPr>
            <w:tcW w:w="1400" w:type="dxa"/>
            <w:tcBorders>
              <w:top w:val="nil"/>
              <w:left w:val="nil"/>
              <w:bottom w:val="nil"/>
              <w:right w:val="nil"/>
            </w:tcBorders>
            <w:shd w:val="clear" w:color="000000" w:fill="C7CFD8"/>
            <w:vAlign w:val="center"/>
            <w:hideMark/>
          </w:tcPr>
          <w:p w14:paraId="4998D493"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C </w:t>
            </w:r>
          </w:p>
        </w:tc>
      </w:tr>
      <w:tr w:rsidR="00B65EDC" w:rsidRPr="00E675E8" w14:paraId="39E43C40" w14:textId="77777777" w:rsidTr="00A538F6">
        <w:trPr>
          <w:trHeight w:val="150"/>
          <w:jc w:val="center"/>
        </w:trPr>
        <w:tc>
          <w:tcPr>
            <w:tcW w:w="2260" w:type="dxa"/>
            <w:tcBorders>
              <w:top w:val="nil"/>
              <w:left w:val="nil"/>
              <w:bottom w:val="nil"/>
              <w:right w:val="nil"/>
            </w:tcBorders>
            <w:hideMark/>
          </w:tcPr>
          <w:p w14:paraId="700BB1C7" w14:textId="77777777" w:rsidR="00B65EDC" w:rsidRPr="00E675E8" w:rsidRDefault="00B65EDC">
            <w:pPr>
              <w:jc w:val="center"/>
              <w:rPr>
                <w:rFonts w:ascii="Arial Narrow" w:hAnsi="Arial Narrow" w:cs="Arial"/>
                <w:b/>
                <w:bCs/>
                <w:sz w:val="18"/>
                <w:szCs w:val="18"/>
                <w:lang w:val="es-ES_tradnl"/>
              </w:rPr>
            </w:pPr>
          </w:p>
        </w:tc>
        <w:tc>
          <w:tcPr>
            <w:tcW w:w="1480" w:type="dxa"/>
            <w:tcBorders>
              <w:top w:val="nil"/>
              <w:left w:val="nil"/>
              <w:bottom w:val="nil"/>
              <w:right w:val="nil"/>
            </w:tcBorders>
            <w:hideMark/>
          </w:tcPr>
          <w:p w14:paraId="0BB00161" w14:textId="77777777" w:rsidR="00B65EDC" w:rsidRPr="00E675E8" w:rsidRDefault="00B65EDC">
            <w:pPr>
              <w:rPr>
                <w:rFonts w:ascii="Times New Roman" w:hAnsi="Times New Roman"/>
                <w:lang w:val="es-ES_tradnl"/>
              </w:rPr>
            </w:pPr>
          </w:p>
        </w:tc>
        <w:tc>
          <w:tcPr>
            <w:tcW w:w="1440" w:type="dxa"/>
            <w:tcBorders>
              <w:top w:val="nil"/>
              <w:left w:val="nil"/>
              <w:bottom w:val="nil"/>
              <w:right w:val="nil"/>
            </w:tcBorders>
            <w:hideMark/>
          </w:tcPr>
          <w:p w14:paraId="7A3190DF" w14:textId="77777777" w:rsidR="00B65EDC" w:rsidRPr="00E675E8" w:rsidRDefault="00B65EDC">
            <w:pPr>
              <w:jc w:val="center"/>
              <w:rPr>
                <w:rFonts w:ascii="Times New Roman" w:hAnsi="Times New Roman"/>
                <w:lang w:val="es-ES_tradnl"/>
              </w:rPr>
            </w:pPr>
          </w:p>
        </w:tc>
        <w:tc>
          <w:tcPr>
            <w:tcW w:w="1400" w:type="dxa"/>
            <w:tcBorders>
              <w:top w:val="nil"/>
              <w:left w:val="nil"/>
              <w:bottom w:val="nil"/>
              <w:right w:val="nil"/>
            </w:tcBorders>
            <w:hideMark/>
          </w:tcPr>
          <w:p w14:paraId="5A8FA269" w14:textId="77777777" w:rsidR="00B65EDC" w:rsidRPr="00E675E8" w:rsidRDefault="00B65EDC">
            <w:pPr>
              <w:jc w:val="center"/>
              <w:rPr>
                <w:rFonts w:ascii="Times New Roman" w:hAnsi="Times New Roman"/>
                <w:lang w:val="es-ES_tradnl"/>
              </w:rPr>
            </w:pPr>
          </w:p>
        </w:tc>
        <w:tc>
          <w:tcPr>
            <w:tcW w:w="1400" w:type="dxa"/>
            <w:tcBorders>
              <w:top w:val="nil"/>
              <w:left w:val="nil"/>
              <w:bottom w:val="nil"/>
              <w:right w:val="nil"/>
            </w:tcBorders>
            <w:hideMark/>
          </w:tcPr>
          <w:p w14:paraId="53568975" w14:textId="77777777" w:rsidR="00B65EDC" w:rsidRPr="00E675E8" w:rsidRDefault="00B65EDC">
            <w:pPr>
              <w:jc w:val="left"/>
              <w:rPr>
                <w:rFonts w:ascii="Times New Roman" w:hAnsi="Times New Roman"/>
                <w:lang w:val="es-ES_tradnl"/>
              </w:rPr>
            </w:pPr>
          </w:p>
        </w:tc>
      </w:tr>
      <w:tr w:rsidR="00B65EDC" w:rsidRPr="00E675E8" w14:paraId="55AE34D3" w14:textId="77777777" w:rsidTr="00A538F6">
        <w:trPr>
          <w:trHeight w:val="330"/>
          <w:jc w:val="center"/>
        </w:trPr>
        <w:tc>
          <w:tcPr>
            <w:tcW w:w="2260" w:type="dxa"/>
            <w:tcBorders>
              <w:top w:val="nil"/>
              <w:left w:val="nil"/>
              <w:bottom w:val="nil"/>
              <w:right w:val="nil"/>
            </w:tcBorders>
            <w:hideMark/>
          </w:tcPr>
          <w:p w14:paraId="03E82890" w14:textId="77777777" w:rsidR="00B65EDC" w:rsidRPr="00E675E8" w:rsidRDefault="00B65EDC">
            <w:pPr>
              <w:rPr>
                <w:rFonts w:ascii="Arial Narrow" w:hAnsi="Arial Narrow" w:cs="Arial"/>
                <w:lang w:val="es-ES_tradnl"/>
              </w:rPr>
            </w:pPr>
            <w:r w:rsidRPr="00E675E8">
              <w:rPr>
                <w:rFonts w:ascii="Arial Narrow" w:hAnsi="Arial Narrow"/>
                <w:lang w:val="es-ES_tradnl"/>
              </w:rPr>
              <w:t>Directores*</w:t>
            </w:r>
          </w:p>
        </w:tc>
        <w:tc>
          <w:tcPr>
            <w:tcW w:w="1480" w:type="dxa"/>
            <w:tcBorders>
              <w:top w:val="nil"/>
              <w:left w:val="nil"/>
              <w:bottom w:val="nil"/>
              <w:right w:val="nil"/>
            </w:tcBorders>
          </w:tcPr>
          <w:p w14:paraId="7C68D076"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4</w:t>
            </w:r>
          </w:p>
        </w:tc>
        <w:tc>
          <w:tcPr>
            <w:tcW w:w="1440" w:type="dxa"/>
            <w:tcBorders>
              <w:top w:val="nil"/>
              <w:left w:val="nil"/>
              <w:bottom w:val="nil"/>
              <w:right w:val="nil"/>
            </w:tcBorders>
          </w:tcPr>
          <w:p w14:paraId="5C1228E4"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4</w:t>
            </w:r>
          </w:p>
        </w:tc>
        <w:tc>
          <w:tcPr>
            <w:tcW w:w="1400" w:type="dxa"/>
            <w:tcBorders>
              <w:top w:val="nil"/>
              <w:left w:val="nil"/>
              <w:bottom w:val="nil"/>
              <w:right w:val="nil"/>
            </w:tcBorders>
          </w:tcPr>
          <w:p w14:paraId="3FB78D91"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0</w:t>
            </w:r>
          </w:p>
        </w:tc>
        <w:tc>
          <w:tcPr>
            <w:tcW w:w="1400" w:type="dxa"/>
            <w:tcBorders>
              <w:top w:val="nil"/>
              <w:left w:val="nil"/>
              <w:bottom w:val="nil"/>
              <w:right w:val="nil"/>
            </w:tcBorders>
          </w:tcPr>
          <w:p w14:paraId="7FBECC3D"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4</w:t>
            </w:r>
          </w:p>
        </w:tc>
      </w:tr>
      <w:tr w:rsidR="00B65EDC" w:rsidRPr="00E675E8" w14:paraId="68644C30" w14:textId="77777777" w:rsidTr="00A538F6">
        <w:trPr>
          <w:trHeight w:val="330"/>
          <w:jc w:val="center"/>
        </w:trPr>
        <w:tc>
          <w:tcPr>
            <w:tcW w:w="2260" w:type="dxa"/>
            <w:tcBorders>
              <w:top w:val="nil"/>
              <w:left w:val="nil"/>
              <w:bottom w:val="nil"/>
              <w:right w:val="nil"/>
            </w:tcBorders>
            <w:hideMark/>
          </w:tcPr>
          <w:p w14:paraId="172D5573" w14:textId="77777777" w:rsidR="00B65EDC" w:rsidRPr="00E675E8" w:rsidRDefault="00B65EDC">
            <w:pPr>
              <w:rPr>
                <w:rFonts w:ascii="Arial Narrow" w:hAnsi="Arial Narrow" w:cs="Arial"/>
                <w:lang w:val="es-ES_tradnl"/>
              </w:rPr>
            </w:pPr>
            <w:r w:rsidRPr="00E675E8">
              <w:rPr>
                <w:rFonts w:ascii="Arial Narrow" w:hAnsi="Arial Narrow"/>
                <w:lang w:val="es-ES_tradnl"/>
              </w:rPr>
              <w:t>Profesionales</w:t>
            </w:r>
          </w:p>
        </w:tc>
        <w:tc>
          <w:tcPr>
            <w:tcW w:w="1480" w:type="dxa"/>
            <w:tcBorders>
              <w:top w:val="nil"/>
              <w:left w:val="nil"/>
              <w:bottom w:val="nil"/>
              <w:right w:val="nil"/>
            </w:tcBorders>
          </w:tcPr>
          <w:p w14:paraId="4133EB9A"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2</w:t>
            </w:r>
          </w:p>
        </w:tc>
        <w:tc>
          <w:tcPr>
            <w:tcW w:w="1440" w:type="dxa"/>
            <w:tcBorders>
              <w:top w:val="nil"/>
              <w:left w:val="nil"/>
              <w:bottom w:val="nil"/>
              <w:right w:val="nil"/>
            </w:tcBorders>
          </w:tcPr>
          <w:p w14:paraId="7FE25014"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7</w:t>
            </w:r>
          </w:p>
        </w:tc>
        <w:tc>
          <w:tcPr>
            <w:tcW w:w="1400" w:type="dxa"/>
            <w:tcBorders>
              <w:top w:val="nil"/>
              <w:left w:val="nil"/>
              <w:bottom w:val="nil"/>
              <w:right w:val="nil"/>
            </w:tcBorders>
          </w:tcPr>
          <w:p w14:paraId="28270701"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1</w:t>
            </w:r>
          </w:p>
        </w:tc>
        <w:tc>
          <w:tcPr>
            <w:tcW w:w="1400" w:type="dxa"/>
            <w:tcBorders>
              <w:top w:val="nil"/>
              <w:left w:val="nil"/>
              <w:bottom w:val="nil"/>
              <w:right w:val="nil"/>
            </w:tcBorders>
          </w:tcPr>
          <w:p w14:paraId="7C446F07"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8</w:t>
            </w:r>
          </w:p>
        </w:tc>
      </w:tr>
      <w:tr w:rsidR="00B65EDC" w:rsidRPr="00E675E8" w14:paraId="78E3CFCD" w14:textId="77777777" w:rsidTr="00A538F6">
        <w:trPr>
          <w:trHeight w:val="330"/>
          <w:jc w:val="center"/>
        </w:trPr>
        <w:tc>
          <w:tcPr>
            <w:tcW w:w="2260" w:type="dxa"/>
            <w:tcBorders>
              <w:top w:val="nil"/>
              <w:left w:val="nil"/>
              <w:bottom w:val="nil"/>
              <w:right w:val="nil"/>
            </w:tcBorders>
            <w:hideMark/>
          </w:tcPr>
          <w:p w14:paraId="6ACBB5F6" w14:textId="77777777" w:rsidR="00B65EDC" w:rsidRPr="00E675E8" w:rsidRDefault="00B65EDC">
            <w:pPr>
              <w:rPr>
                <w:rFonts w:ascii="Arial Narrow" w:hAnsi="Arial Narrow" w:cs="Arial"/>
                <w:lang w:val="es-ES_tradnl"/>
              </w:rPr>
            </w:pPr>
            <w:r w:rsidRPr="00E675E8">
              <w:rPr>
                <w:rFonts w:ascii="Arial Narrow" w:hAnsi="Arial Narrow"/>
                <w:lang w:val="es-ES_tradnl"/>
              </w:rPr>
              <w:t>Servicios generales</w:t>
            </w:r>
          </w:p>
        </w:tc>
        <w:tc>
          <w:tcPr>
            <w:tcW w:w="1480" w:type="dxa"/>
            <w:tcBorders>
              <w:top w:val="nil"/>
              <w:left w:val="nil"/>
              <w:bottom w:val="nil"/>
              <w:right w:val="nil"/>
            </w:tcBorders>
          </w:tcPr>
          <w:p w14:paraId="2410871E"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5</w:t>
            </w:r>
          </w:p>
        </w:tc>
        <w:tc>
          <w:tcPr>
            <w:tcW w:w="1440" w:type="dxa"/>
            <w:tcBorders>
              <w:top w:val="nil"/>
              <w:left w:val="nil"/>
              <w:bottom w:val="nil"/>
              <w:right w:val="nil"/>
            </w:tcBorders>
          </w:tcPr>
          <w:p w14:paraId="291C6157"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4</w:t>
            </w:r>
          </w:p>
        </w:tc>
        <w:tc>
          <w:tcPr>
            <w:tcW w:w="1400" w:type="dxa"/>
            <w:tcBorders>
              <w:top w:val="nil"/>
              <w:left w:val="nil"/>
              <w:bottom w:val="nil"/>
              <w:right w:val="nil"/>
            </w:tcBorders>
          </w:tcPr>
          <w:p w14:paraId="40CF1F78"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-1</w:t>
            </w:r>
          </w:p>
        </w:tc>
        <w:tc>
          <w:tcPr>
            <w:tcW w:w="1400" w:type="dxa"/>
            <w:tcBorders>
              <w:top w:val="nil"/>
              <w:left w:val="nil"/>
              <w:bottom w:val="nil"/>
              <w:right w:val="nil"/>
            </w:tcBorders>
          </w:tcPr>
          <w:p w14:paraId="64F728C4"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3</w:t>
            </w:r>
          </w:p>
        </w:tc>
      </w:tr>
      <w:tr w:rsidR="00B65EDC" w:rsidRPr="00E675E8" w14:paraId="54F15454" w14:textId="77777777" w:rsidTr="00A538F6">
        <w:trPr>
          <w:trHeight w:val="330"/>
          <w:jc w:val="center"/>
        </w:trPr>
        <w:tc>
          <w:tcPr>
            <w:tcW w:w="2260" w:type="dxa"/>
            <w:tcBorders>
              <w:top w:val="single" w:sz="4" w:space="0" w:color="AAB8C4"/>
              <w:left w:val="nil"/>
              <w:bottom w:val="single" w:sz="8" w:space="0" w:color="AAB8C4"/>
              <w:right w:val="nil"/>
            </w:tcBorders>
            <w:vAlign w:val="center"/>
            <w:hideMark/>
          </w:tcPr>
          <w:p w14:paraId="56A7DB31" w14:textId="77777777" w:rsidR="00B65EDC" w:rsidRPr="00E675E8" w:rsidRDefault="00B65EDC">
            <w:pPr>
              <w:rPr>
                <w:rFonts w:ascii="Arial Narrow" w:hAnsi="Arial Narrow" w:cs="Arial"/>
                <w:b/>
                <w:bCs/>
                <w:lang w:val="es-ES_tradnl"/>
              </w:rPr>
            </w:pPr>
            <w:r w:rsidRPr="00E675E8">
              <w:rPr>
                <w:rFonts w:ascii="Arial Narrow" w:hAnsi="Arial Narrow"/>
                <w:b/>
                <w:lang w:val="es-ES_tradnl"/>
              </w:rPr>
              <w:t>Total</w:t>
            </w:r>
          </w:p>
        </w:tc>
        <w:tc>
          <w:tcPr>
            <w:tcW w:w="1480" w:type="dxa"/>
            <w:tcBorders>
              <w:top w:val="single" w:sz="4" w:space="0" w:color="AAB8C4"/>
              <w:left w:val="nil"/>
              <w:bottom w:val="single" w:sz="8" w:space="0" w:color="AAB8C4"/>
              <w:right w:val="nil"/>
            </w:tcBorders>
            <w:vAlign w:val="center"/>
          </w:tcPr>
          <w:p w14:paraId="0090BA0D" w14:textId="77777777" w:rsidR="00B65EDC" w:rsidRPr="00E675E8" w:rsidRDefault="00B65EDC">
            <w:pPr>
              <w:jc w:val="center"/>
              <w:rPr>
                <w:rFonts w:ascii="Arial Narrow" w:hAnsi="Arial Narrow" w:cs="Arial"/>
                <w:b/>
                <w:bCs/>
                <w:lang w:val="es-ES_tradnl"/>
              </w:rPr>
            </w:pPr>
            <w:r w:rsidRPr="00E675E8">
              <w:rPr>
                <w:rFonts w:ascii="Arial Narrow" w:hAnsi="Arial Narrow"/>
                <w:b/>
                <w:lang w:val="es-ES_tradnl"/>
              </w:rPr>
              <w:t>11</w:t>
            </w:r>
          </w:p>
        </w:tc>
        <w:tc>
          <w:tcPr>
            <w:tcW w:w="1440" w:type="dxa"/>
            <w:tcBorders>
              <w:top w:val="single" w:sz="4" w:space="0" w:color="AAB8C4"/>
              <w:left w:val="nil"/>
              <w:bottom w:val="single" w:sz="8" w:space="0" w:color="AAB8C4"/>
              <w:right w:val="nil"/>
            </w:tcBorders>
            <w:vAlign w:val="center"/>
          </w:tcPr>
          <w:p w14:paraId="4B3E30A1" w14:textId="77777777" w:rsidR="00B65EDC" w:rsidRPr="00E675E8" w:rsidRDefault="00B65EDC">
            <w:pPr>
              <w:jc w:val="center"/>
              <w:rPr>
                <w:rFonts w:ascii="Arial Narrow" w:hAnsi="Arial Narrow" w:cs="Arial"/>
                <w:b/>
                <w:bCs/>
                <w:lang w:val="es-ES_tradnl"/>
              </w:rPr>
            </w:pPr>
            <w:r w:rsidRPr="00E675E8">
              <w:rPr>
                <w:rFonts w:ascii="Arial Narrow" w:hAnsi="Arial Narrow"/>
                <w:b/>
                <w:lang w:val="es-ES_tradnl"/>
              </w:rPr>
              <w:t>15</w:t>
            </w:r>
          </w:p>
        </w:tc>
        <w:tc>
          <w:tcPr>
            <w:tcW w:w="1400" w:type="dxa"/>
            <w:tcBorders>
              <w:top w:val="single" w:sz="4" w:space="0" w:color="AAB8C4"/>
              <w:left w:val="nil"/>
              <w:bottom w:val="single" w:sz="8" w:space="0" w:color="AAB8C4"/>
              <w:right w:val="nil"/>
            </w:tcBorders>
            <w:vAlign w:val="center"/>
          </w:tcPr>
          <w:p w14:paraId="2BDC7B44" w14:textId="77777777" w:rsidR="00B65EDC" w:rsidRPr="00E675E8" w:rsidRDefault="00B65EDC">
            <w:pPr>
              <w:jc w:val="center"/>
              <w:rPr>
                <w:rFonts w:ascii="Arial Narrow" w:hAnsi="Arial Narrow" w:cs="Arial"/>
                <w:lang w:val="es-ES_tradnl"/>
              </w:rPr>
            </w:pPr>
            <w:r w:rsidRPr="00E675E8">
              <w:rPr>
                <w:rFonts w:ascii="Arial Narrow" w:hAnsi="Arial Narrow"/>
                <w:b/>
                <w:lang w:val="es-ES_tradnl"/>
              </w:rPr>
              <w:t>0</w:t>
            </w:r>
          </w:p>
        </w:tc>
        <w:tc>
          <w:tcPr>
            <w:tcW w:w="1400" w:type="dxa"/>
            <w:tcBorders>
              <w:top w:val="single" w:sz="4" w:space="0" w:color="AAB8C4"/>
              <w:left w:val="nil"/>
              <w:bottom w:val="single" w:sz="8" w:space="0" w:color="AAB8C4"/>
              <w:right w:val="nil"/>
            </w:tcBorders>
            <w:vAlign w:val="center"/>
          </w:tcPr>
          <w:p w14:paraId="4471986D" w14:textId="77777777" w:rsidR="00B65EDC" w:rsidRPr="00E675E8" w:rsidRDefault="00B65EDC">
            <w:pPr>
              <w:jc w:val="center"/>
              <w:rPr>
                <w:rFonts w:ascii="Arial Narrow" w:hAnsi="Arial Narrow" w:cs="Arial"/>
                <w:b/>
                <w:bCs/>
                <w:lang w:val="es-ES_tradnl"/>
              </w:rPr>
            </w:pPr>
            <w:r w:rsidRPr="00E675E8">
              <w:rPr>
                <w:rFonts w:ascii="Arial Narrow" w:hAnsi="Arial Narrow"/>
                <w:b/>
                <w:lang w:val="es-ES_tradnl"/>
              </w:rPr>
              <w:t>15</w:t>
            </w:r>
          </w:p>
        </w:tc>
      </w:tr>
    </w:tbl>
    <w:p w14:paraId="493D0656" w14:textId="77777777" w:rsidR="00B65EDC" w:rsidRPr="00E675E8" w:rsidRDefault="00B65EDC" w:rsidP="00B65EDC">
      <w:pPr>
        <w:rPr>
          <w:spacing w:val="-2"/>
          <w:szCs w:val="24"/>
          <w:lang w:val="es-ES_tradnl"/>
        </w:rPr>
      </w:pPr>
    </w:p>
    <w:p w14:paraId="4528F9B1" w14:textId="77777777" w:rsidR="00B65EDC" w:rsidRPr="00E675E8" w:rsidRDefault="00B65EDC" w:rsidP="00B65EDC">
      <w:pPr>
        <w:ind w:left="851" w:right="850"/>
        <w:rPr>
          <w:spacing w:val="-2"/>
          <w:sz w:val="16"/>
          <w:szCs w:val="24"/>
          <w:lang w:val="es-ES_tradnl"/>
        </w:rPr>
      </w:pPr>
      <w:r w:rsidRPr="00E675E8">
        <w:rPr>
          <w:sz w:val="16"/>
          <w:lang w:val="es-ES_tradnl"/>
        </w:rPr>
        <w:t>* Se incluye el puesto de secretario general,</w:t>
      </w:r>
      <w:r w:rsidRPr="00E675E8">
        <w:rPr>
          <w:rStyle w:val="FootnoteReference"/>
          <w:spacing w:val="-2"/>
          <w:sz w:val="16"/>
          <w:szCs w:val="24"/>
          <w:lang w:val="es-ES_tradnl"/>
        </w:rPr>
        <w:footnoteReference w:id="3"/>
      </w:r>
      <w:r w:rsidRPr="00E675E8">
        <w:rPr>
          <w:sz w:val="16"/>
          <w:lang w:val="es-ES_tradnl"/>
        </w:rPr>
        <w:t xml:space="preserve"> aunque sin incidencia en el gasto, porque el actual director general de la OMPI ha declinado recibir sueldo o asignación alguna como secretario general de la UPOV.</w:t>
      </w:r>
    </w:p>
    <w:p w14:paraId="25D14A0B" w14:textId="77777777" w:rsidR="00B65EDC" w:rsidRPr="00E675E8" w:rsidRDefault="00B65EDC" w:rsidP="00B65EDC">
      <w:pPr>
        <w:jc w:val="left"/>
        <w:rPr>
          <w:lang w:val="es-ES_tradnl"/>
        </w:rPr>
      </w:pPr>
    </w:p>
    <w:p w14:paraId="6912528C" w14:textId="6F72AC06"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El cuadro siguiente ofrece una indicación de la mano de obra flexible, es decir, personal temporal, trabajadores de agencias y funcionarios subalternos de la categoría profesional que podrá utilizarse en el bienio 2026-2027, siempre que haya recursos disponibles en el presupuesto ordinario, en fondos extrapresupuestarios y que los miembros de la Unión pongan recursos humanos a disposición.</w:t>
      </w:r>
    </w:p>
    <w:p w14:paraId="7EF5BACB" w14:textId="77777777" w:rsidR="00B65EDC" w:rsidRPr="00E675E8" w:rsidRDefault="00B65EDC" w:rsidP="00B65EDC">
      <w:pPr>
        <w:rPr>
          <w:lang w:val="es-ES_tradnl"/>
        </w:rPr>
      </w:pPr>
    </w:p>
    <w:p w14:paraId="340BFA34" w14:textId="3C73C7BA"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El “Programa para el uso del idioma chino en la UPOV” adoptado por el Consejo de la UPOV el 29 de octubre de 2021, hace referencia al compromiso del Gobierno chino para que un profesional de habla china trabaje para la UPOV, en Ginebra, a través del programa de funcionarios subalternos de la categoría profesional.</w:t>
      </w:r>
      <w:r w:rsidR="002817AB" w:rsidRPr="00E675E8">
        <w:rPr>
          <w:lang w:val="es-ES_tradnl"/>
        </w:rPr>
        <w:t xml:space="preserve"> </w:t>
      </w:r>
      <w:r w:rsidRPr="00E675E8">
        <w:rPr>
          <w:lang w:val="es-ES_tradnl"/>
        </w:rPr>
        <w:t>Se prevé que en 2025 un funcionario subalterno de la categoría profesional financiado por China comience a trabajar en la Oficina de la UPOV y que el programa de funcionarios subalternos de la categoría profesional con China continúe durante el bienio 2026-2027.</w:t>
      </w:r>
    </w:p>
    <w:p w14:paraId="4A8A6B7D" w14:textId="77777777" w:rsidR="00B65EDC" w:rsidRPr="00E675E8" w:rsidRDefault="00B65EDC" w:rsidP="00B65EDC">
      <w:pPr>
        <w:rPr>
          <w:lang w:val="es-ES_tradnl"/>
        </w:rPr>
      </w:pPr>
    </w:p>
    <w:p w14:paraId="3B4A8901" w14:textId="61073C87"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Se espera que en 2025 comience un nuevo programa de fondos fiduciarios con el Japón.</w:t>
      </w:r>
      <w:r w:rsidR="002817AB" w:rsidRPr="00E675E8">
        <w:rPr>
          <w:lang w:val="es-ES_tradnl"/>
        </w:rPr>
        <w:t xml:space="preserve"> </w:t>
      </w:r>
      <w:r w:rsidRPr="00E675E8">
        <w:rPr>
          <w:lang w:val="es-ES_tradnl"/>
        </w:rPr>
        <w:t>El programa incluirá un funcionario subalterno de la categoría profesional financiado por dicho país con la tarea de recopilar y difundir información sobre los beneficios de la protección de las obtenciones vegetales y la pertenencia a la UPOV de acuerdo con la estrategia de comunicación de la UPOV.</w:t>
      </w:r>
      <w:r w:rsidR="002817AB" w:rsidRPr="00E675E8">
        <w:rPr>
          <w:lang w:val="es-ES_tradnl"/>
        </w:rPr>
        <w:t xml:space="preserve"> </w:t>
      </w:r>
      <w:r w:rsidRPr="00E675E8">
        <w:rPr>
          <w:lang w:val="es-ES_tradnl"/>
        </w:rPr>
        <w:t>Se espera que el nuevo programa de fondos fiduciarios con el Japón continúe durante el bienio 2026-2027.</w:t>
      </w:r>
    </w:p>
    <w:p w14:paraId="3576C919" w14:textId="77777777" w:rsidR="00B65EDC" w:rsidRPr="00E675E8" w:rsidRDefault="00B65EDC" w:rsidP="00B65EDC">
      <w:pPr>
        <w:rPr>
          <w:lang w:val="es-ES_tradnl"/>
        </w:rPr>
      </w:pPr>
    </w:p>
    <w:p w14:paraId="290DA6D7" w14:textId="2955ED94" w:rsidR="00B65EDC" w:rsidRPr="00E675E8" w:rsidRDefault="00B65EDC" w:rsidP="000411C9">
      <w:pPr>
        <w:keepNext/>
        <w:keepLines/>
        <w:rPr>
          <w:lang w:val="es-ES_tradnl"/>
        </w:rPr>
      </w:pPr>
      <w:r w:rsidRPr="00E675E8">
        <w:rPr>
          <w:lang w:val="es-ES_tradnl"/>
        </w:rPr>
        <w:lastRenderedPageBreak/>
        <w:fldChar w:fldCharType="begin"/>
      </w:r>
      <w:r w:rsidRPr="00E675E8">
        <w:rPr>
          <w:lang w:val="es-ES_tradnl"/>
        </w:rPr>
        <w:instrText xml:space="preserve"> AUTONUM  </w:instrText>
      </w:r>
      <w:r w:rsidRPr="00E675E8">
        <w:rPr>
          <w:lang w:val="es-ES_tradnl"/>
        </w:rPr>
        <w:fldChar w:fldCharType="end"/>
      </w:r>
      <w:r w:rsidRPr="00E675E8">
        <w:rPr>
          <w:lang w:val="es-ES_tradnl"/>
        </w:rPr>
        <w:tab/>
        <w:t>Las tareas que antes realizaba un trabajador de agencia se han transformado ahora en el puesto fijo de un oficial adjunto de apoyo a los servicios.</w:t>
      </w:r>
      <w:r w:rsidR="002817AB" w:rsidRPr="00E675E8">
        <w:rPr>
          <w:lang w:val="es-ES_tradnl"/>
        </w:rPr>
        <w:t xml:space="preserve"> </w:t>
      </w:r>
      <w:r w:rsidRPr="00E675E8">
        <w:rPr>
          <w:lang w:val="es-ES_tradnl"/>
        </w:rPr>
        <w:t>Con el fin de adaptarse a la evolución de las necesidades derivadas del aumento de la demanda de servicios y actividades de la UPOV, se ha presupuestado la contratación de un trabajador de agencia para el bienio 2026-2027.</w:t>
      </w:r>
    </w:p>
    <w:p w14:paraId="50EC0029" w14:textId="77777777" w:rsidR="00B65EDC" w:rsidRPr="00E675E8" w:rsidRDefault="00B65EDC" w:rsidP="00B65EDC">
      <w:pPr>
        <w:rPr>
          <w:lang w:val="es-ES_tradnl"/>
        </w:rPr>
      </w:pPr>
    </w:p>
    <w:tbl>
      <w:tblPr>
        <w:tblW w:w="6580" w:type="dxa"/>
        <w:jc w:val="center"/>
        <w:tblLook w:val="04A0" w:firstRow="1" w:lastRow="0" w:firstColumn="1" w:lastColumn="0" w:noHBand="0" w:noVBand="1"/>
      </w:tblPr>
      <w:tblGrid>
        <w:gridCol w:w="2260"/>
        <w:gridCol w:w="1480"/>
        <w:gridCol w:w="1440"/>
        <w:gridCol w:w="1400"/>
      </w:tblGrid>
      <w:tr w:rsidR="00B65EDC" w:rsidRPr="00E675E8" w14:paraId="1213579E" w14:textId="77777777">
        <w:trPr>
          <w:trHeight w:val="520"/>
          <w:jc w:val="center"/>
        </w:trPr>
        <w:tc>
          <w:tcPr>
            <w:tcW w:w="2260" w:type="dxa"/>
            <w:vMerge w:val="restart"/>
            <w:tcBorders>
              <w:top w:val="nil"/>
              <w:left w:val="nil"/>
              <w:bottom w:val="nil"/>
              <w:right w:val="nil"/>
            </w:tcBorders>
            <w:shd w:val="clear" w:color="000000" w:fill="C7CFD8"/>
            <w:vAlign w:val="bottom"/>
            <w:hideMark/>
          </w:tcPr>
          <w:p w14:paraId="08CEF958" w14:textId="77777777" w:rsidR="00B65EDC" w:rsidRPr="00E675E8" w:rsidRDefault="00B65EDC">
            <w:pPr>
              <w:jc w:val="left"/>
              <w:rPr>
                <w:rFonts w:ascii="Arial Narrow" w:hAnsi="Arial Narrow" w:cs="Arial"/>
                <w:lang w:val="es-ES_tradnl"/>
              </w:rPr>
            </w:pPr>
            <w:r w:rsidRPr="00E675E8">
              <w:rPr>
                <w:rFonts w:ascii="Arial Narrow" w:hAnsi="Arial Narrow"/>
                <w:lang w:val="es-ES_tradnl"/>
              </w:rPr>
              <w:t> </w:t>
            </w:r>
          </w:p>
        </w:tc>
        <w:tc>
          <w:tcPr>
            <w:tcW w:w="1480" w:type="dxa"/>
            <w:tcBorders>
              <w:top w:val="nil"/>
              <w:left w:val="nil"/>
              <w:right w:val="nil"/>
            </w:tcBorders>
            <w:shd w:val="clear" w:color="000000" w:fill="C7CFD8"/>
            <w:vAlign w:val="center"/>
            <w:hideMark/>
          </w:tcPr>
          <w:p w14:paraId="07404D49" w14:textId="77777777" w:rsidR="00B65EDC" w:rsidRPr="00E675E8" w:rsidRDefault="00B65EDC">
            <w:pPr>
              <w:jc w:val="center"/>
              <w:rPr>
                <w:rFonts w:ascii="Arial Narrow" w:hAnsi="Arial Narrow" w:cs="Arial"/>
                <w:b/>
                <w:bCs/>
                <w:i/>
                <w:iCs/>
                <w:lang w:val="es-ES_tradnl"/>
              </w:rPr>
            </w:pPr>
            <w:r w:rsidRPr="00E675E8">
              <w:rPr>
                <w:rFonts w:ascii="Arial Narrow" w:hAnsi="Arial Narrow"/>
                <w:b/>
                <w:i/>
                <w:lang w:val="es-ES_tradnl"/>
              </w:rPr>
              <w:t>2022-2023 Real</w:t>
            </w:r>
          </w:p>
        </w:tc>
        <w:tc>
          <w:tcPr>
            <w:tcW w:w="1440" w:type="dxa"/>
            <w:tcBorders>
              <w:top w:val="nil"/>
              <w:left w:val="nil"/>
              <w:right w:val="nil"/>
            </w:tcBorders>
            <w:shd w:val="clear" w:color="000000" w:fill="C7CFD8"/>
            <w:vAlign w:val="center"/>
            <w:hideMark/>
          </w:tcPr>
          <w:p w14:paraId="48E1925B" w14:textId="77777777" w:rsidR="00B65EDC" w:rsidRPr="00E675E8" w:rsidRDefault="00B65EDC">
            <w:pPr>
              <w:jc w:val="center"/>
              <w:rPr>
                <w:rFonts w:ascii="Arial Narrow" w:hAnsi="Arial Narrow" w:cs="Arial"/>
                <w:b/>
                <w:bCs/>
                <w:i/>
                <w:iCs/>
                <w:lang w:val="es-ES_tradnl"/>
              </w:rPr>
            </w:pPr>
            <w:r w:rsidRPr="00E675E8">
              <w:rPr>
                <w:rFonts w:ascii="Arial Narrow" w:hAnsi="Arial Narrow"/>
                <w:b/>
                <w:i/>
                <w:lang w:val="es-ES_tradnl"/>
              </w:rPr>
              <w:t>2024-2025 Presupuesto</w:t>
            </w:r>
          </w:p>
        </w:tc>
        <w:tc>
          <w:tcPr>
            <w:tcW w:w="1400" w:type="dxa"/>
            <w:tcBorders>
              <w:top w:val="nil"/>
              <w:left w:val="nil"/>
              <w:right w:val="nil"/>
            </w:tcBorders>
            <w:shd w:val="clear" w:color="000000" w:fill="C7CFD8"/>
            <w:vAlign w:val="center"/>
            <w:hideMark/>
          </w:tcPr>
          <w:p w14:paraId="10B886AD" w14:textId="62A135AD" w:rsidR="00B65EDC" w:rsidRPr="00E675E8" w:rsidRDefault="00521C0D">
            <w:pPr>
              <w:jc w:val="center"/>
              <w:rPr>
                <w:rFonts w:ascii="Arial Narrow" w:hAnsi="Arial Narrow" w:cs="Arial"/>
                <w:b/>
                <w:bCs/>
                <w:i/>
                <w:iCs/>
                <w:lang w:val="es-ES_tradnl"/>
              </w:rPr>
            </w:pPr>
            <w:r w:rsidRPr="00E675E8">
              <w:rPr>
                <w:rFonts w:ascii="Arial Narrow" w:hAnsi="Arial Narrow"/>
                <w:b/>
                <w:i/>
                <w:lang w:val="es-ES_tradnl"/>
              </w:rPr>
              <w:t>Propuesta para 2026-2027</w:t>
            </w:r>
          </w:p>
        </w:tc>
      </w:tr>
      <w:tr w:rsidR="00B65EDC" w:rsidRPr="00E675E8" w14:paraId="27B2D43F" w14:textId="77777777">
        <w:trPr>
          <w:trHeight w:val="260"/>
          <w:jc w:val="center"/>
        </w:trPr>
        <w:tc>
          <w:tcPr>
            <w:tcW w:w="2260" w:type="dxa"/>
            <w:vMerge/>
            <w:tcBorders>
              <w:top w:val="nil"/>
              <w:left w:val="nil"/>
              <w:bottom w:val="nil"/>
              <w:right w:val="nil"/>
            </w:tcBorders>
            <w:vAlign w:val="center"/>
            <w:hideMark/>
          </w:tcPr>
          <w:p w14:paraId="0B1507CB" w14:textId="77777777" w:rsidR="00B65EDC" w:rsidRPr="00E675E8" w:rsidRDefault="00B65EDC">
            <w:pPr>
              <w:jc w:val="left"/>
              <w:rPr>
                <w:rFonts w:ascii="Arial Narrow" w:hAnsi="Arial Narrow" w:cs="Arial"/>
                <w:lang w:val="es-ES_tradnl"/>
              </w:rPr>
            </w:pPr>
          </w:p>
        </w:tc>
        <w:tc>
          <w:tcPr>
            <w:tcW w:w="1480" w:type="dxa"/>
            <w:tcBorders>
              <w:top w:val="nil"/>
              <w:left w:val="nil"/>
              <w:right w:val="nil"/>
            </w:tcBorders>
            <w:shd w:val="clear" w:color="000000" w:fill="C7CFD8"/>
            <w:vAlign w:val="center"/>
            <w:hideMark/>
          </w:tcPr>
          <w:p w14:paraId="40D89D7C" w14:textId="77777777" w:rsidR="00B65EDC" w:rsidRPr="00E675E8" w:rsidRDefault="00B65EDC">
            <w:pPr>
              <w:jc w:val="center"/>
              <w:rPr>
                <w:rFonts w:ascii="Arial Narrow" w:hAnsi="Arial Narrow" w:cs="Arial"/>
                <w:b/>
                <w:bCs/>
                <w:i/>
                <w:iCs/>
                <w:lang w:val="es-ES_tradnl"/>
              </w:rPr>
            </w:pPr>
            <w:r w:rsidRPr="00E675E8">
              <w:rPr>
                <w:rFonts w:ascii="Arial Narrow" w:hAnsi="Arial Narrow"/>
                <w:b/>
                <w:i/>
                <w:lang w:val="es-ES_tradnl"/>
              </w:rPr>
              <w:t>A</w:t>
            </w:r>
          </w:p>
        </w:tc>
        <w:tc>
          <w:tcPr>
            <w:tcW w:w="1440" w:type="dxa"/>
            <w:tcBorders>
              <w:top w:val="nil"/>
              <w:left w:val="nil"/>
              <w:right w:val="nil"/>
            </w:tcBorders>
            <w:shd w:val="clear" w:color="000000" w:fill="C7CFD8"/>
            <w:vAlign w:val="center"/>
            <w:hideMark/>
          </w:tcPr>
          <w:p w14:paraId="511E745D" w14:textId="77777777" w:rsidR="00B65EDC" w:rsidRPr="00E675E8" w:rsidRDefault="00B65EDC">
            <w:pPr>
              <w:jc w:val="center"/>
              <w:rPr>
                <w:rFonts w:ascii="Arial Narrow" w:hAnsi="Arial Narrow" w:cs="Arial"/>
                <w:b/>
                <w:bCs/>
                <w:i/>
                <w:iCs/>
                <w:lang w:val="es-ES_tradnl"/>
              </w:rPr>
            </w:pPr>
            <w:r w:rsidRPr="00E675E8">
              <w:rPr>
                <w:rFonts w:ascii="Arial Narrow" w:hAnsi="Arial Narrow"/>
                <w:b/>
                <w:i/>
                <w:lang w:val="es-ES_tradnl"/>
              </w:rPr>
              <w:t>B</w:t>
            </w:r>
          </w:p>
        </w:tc>
        <w:tc>
          <w:tcPr>
            <w:tcW w:w="1400" w:type="dxa"/>
            <w:tcBorders>
              <w:top w:val="nil"/>
              <w:left w:val="nil"/>
              <w:right w:val="nil"/>
            </w:tcBorders>
            <w:shd w:val="clear" w:color="000000" w:fill="C7CFD8"/>
            <w:vAlign w:val="center"/>
            <w:hideMark/>
          </w:tcPr>
          <w:p w14:paraId="1862F738" w14:textId="77777777" w:rsidR="00B65EDC" w:rsidRPr="00E675E8" w:rsidRDefault="00B65EDC">
            <w:pPr>
              <w:jc w:val="center"/>
              <w:rPr>
                <w:rFonts w:ascii="Arial Narrow" w:hAnsi="Arial Narrow" w:cs="Arial"/>
                <w:b/>
                <w:bCs/>
                <w:i/>
                <w:iCs/>
                <w:lang w:val="es-ES_tradnl"/>
              </w:rPr>
            </w:pPr>
            <w:r w:rsidRPr="00E675E8">
              <w:rPr>
                <w:rFonts w:ascii="Arial Narrow" w:hAnsi="Arial Narrow"/>
                <w:b/>
                <w:i/>
                <w:lang w:val="es-ES_tradnl"/>
              </w:rPr>
              <w:t>C</w:t>
            </w:r>
          </w:p>
        </w:tc>
      </w:tr>
      <w:tr w:rsidR="00B65EDC" w:rsidRPr="00E675E8" w14:paraId="6D0E50A3" w14:textId="77777777" w:rsidTr="00A538F6">
        <w:trPr>
          <w:trHeight w:val="260"/>
          <w:jc w:val="center"/>
        </w:trPr>
        <w:tc>
          <w:tcPr>
            <w:tcW w:w="2260" w:type="dxa"/>
            <w:tcBorders>
              <w:top w:val="nil"/>
              <w:left w:val="nil"/>
              <w:bottom w:val="nil"/>
              <w:right w:val="nil"/>
            </w:tcBorders>
            <w:vAlign w:val="center"/>
            <w:hideMark/>
          </w:tcPr>
          <w:p w14:paraId="12853182" w14:textId="77777777" w:rsidR="00B65EDC" w:rsidRPr="00E675E8" w:rsidRDefault="00B65EDC">
            <w:pPr>
              <w:jc w:val="left"/>
              <w:rPr>
                <w:rFonts w:ascii="Arial Narrow" w:hAnsi="Arial Narrow" w:cs="Arial"/>
                <w:lang w:val="es-ES_tradnl"/>
              </w:rPr>
            </w:pPr>
            <w:r w:rsidRPr="00E675E8">
              <w:rPr>
                <w:rFonts w:ascii="Arial Narrow" w:hAnsi="Arial Narrow"/>
                <w:lang w:val="es-ES_tradnl"/>
              </w:rPr>
              <w:t>Personal temporal</w:t>
            </w:r>
          </w:p>
        </w:tc>
        <w:tc>
          <w:tcPr>
            <w:tcW w:w="1480" w:type="dxa"/>
            <w:tcBorders>
              <w:top w:val="nil"/>
              <w:left w:val="nil"/>
              <w:bottom w:val="nil"/>
              <w:right w:val="nil"/>
            </w:tcBorders>
            <w:vAlign w:val="center"/>
          </w:tcPr>
          <w:p w14:paraId="1AC8F9AF"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1</w:t>
            </w:r>
          </w:p>
        </w:tc>
        <w:tc>
          <w:tcPr>
            <w:tcW w:w="1440" w:type="dxa"/>
            <w:tcBorders>
              <w:top w:val="nil"/>
              <w:left w:val="nil"/>
              <w:bottom w:val="nil"/>
              <w:right w:val="nil"/>
            </w:tcBorders>
            <w:vAlign w:val="center"/>
          </w:tcPr>
          <w:p w14:paraId="2B1F5D8E"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1</w:t>
            </w:r>
          </w:p>
        </w:tc>
        <w:tc>
          <w:tcPr>
            <w:tcW w:w="1400" w:type="dxa"/>
            <w:tcBorders>
              <w:top w:val="nil"/>
              <w:left w:val="nil"/>
              <w:bottom w:val="nil"/>
              <w:right w:val="nil"/>
            </w:tcBorders>
            <w:vAlign w:val="center"/>
          </w:tcPr>
          <w:p w14:paraId="6D54E627"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2</w:t>
            </w:r>
          </w:p>
        </w:tc>
      </w:tr>
      <w:tr w:rsidR="00B65EDC" w:rsidRPr="00E675E8" w14:paraId="2085DBA9" w14:textId="77777777" w:rsidTr="00A538F6">
        <w:trPr>
          <w:trHeight w:val="260"/>
          <w:jc w:val="center"/>
        </w:trPr>
        <w:tc>
          <w:tcPr>
            <w:tcW w:w="2260" w:type="dxa"/>
            <w:tcBorders>
              <w:top w:val="nil"/>
              <w:left w:val="nil"/>
              <w:bottom w:val="nil"/>
              <w:right w:val="nil"/>
            </w:tcBorders>
            <w:vAlign w:val="center"/>
            <w:hideMark/>
          </w:tcPr>
          <w:p w14:paraId="593881C3" w14:textId="77777777" w:rsidR="00B65EDC" w:rsidRPr="00E675E8" w:rsidRDefault="00B65EDC">
            <w:pPr>
              <w:jc w:val="left"/>
              <w:rPr>
                <w:rFonts w:ascii="Arial Narrow" w:hAnsi="Arial Narrow" w:cs="Arial"/>
                <w:lang w:val="es-ES_tradnl"/>
              </w:rPr>
            </w:pPr>
            <w:r w:rsidRPr="00E675E8">
              <w:rPr>
                <w:rFonts w:ascii="Arial Narrow" w:hAnsi="Arial Narrow"/>
                <w:lang w:val="es-ES_tradnl"/>
              </w:rPr>
              <w:t>Trabajadores de agencia</w:t>
            </w:r>
          </w:p>
        </w:tc>
        <w:tc>
          <w:tcPr>
            <w:tcW w:w="1480" w:type="dxa"/>
            <w:tcBorders>
              <w:top w:val="nil"/>
              <w:left w:val="nil"/>
              <w:bottom w:val="nil"/>
              <w:right w:val="nil"/>
            </w:tcBorders>
            <w:vAlign w:val="center"/>
          </w:tcPr>
          <w:p w14:paraId="67D6FC1D"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3</w:t>
            </w:r>
          </w:p>
        </w:tc>
        <w:tc>
          <w:tcPr>
            <w:tcW w:w="1440" w:type="dxa"/>
            <w:tcBorders>
              <w:top w:val="nil"/>
              <w:left w:val="nil"/>
              <w:bottom w:val="nil"/>
              <w:right w:val="nil"/>
            </w:tcBorders>
            <w:vAlign w:val="center"/>
          </w:tcPr>
          <w:p w14:paraId="3D92E26A"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2</w:t>
            </w:r>
          </w:p>
        </w:tc>
        <w:tc>
          <w:tcPr>
            <w:tcW w:w="1400" w:type="dxa"/>
            <w:tcBorders>
              <w:top w:val="nil"/>
              <w:left w:val="nil"/>
              <w:bottom w:val="nil"/>
              <w:right w:val="nil"/>
            </w:tcBorders>
            <w:vAlign w:val="center"/>
          </w:tcPr>
          <w:p w14:paraId="4704DC57"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1</w:t>
            </w:r>
          </w:p>
        </w:tc>
      </w:tr>
      <w:tr w:rsidR="00B65EDC" w:rsidRPr="00E675E8" w14:paraId="482D5371" w14:textId="77777777" w:rsidTr="00A538F6">
        <w:trPr>
          <w:trHeight w:val="260"/>
          <w:jc w:val="center"/>
        </w:trPr>
        <w:tc>
          <w:tcPr>
            <w:tcW w:w="2260" w:type="dxa"/>
            <w:tcBorders>
              <w:top w:val="nil"/>
              <w:left w:val="nil"/>
              <w:bottom w:val="nil"/>
              <w:right w:val="nil"/>
            </w:tcBorders>
            <w:vAlign w:val="center"/>
            <w:hideMark/>
          </w:tcPr>
          <w:p w14:paraId="4A48A501" w14:textId="77777777" w:rsidR="00B65EDC" w:rsidRPr="00E675E8" w:rsidRDefault="00B65EDC">
            <w:pPr>
              <w:jc w:val="left"/>
              <w:rPr>
                <w:rFonts w:ascii="Arial Narrow" w:hAnsi="Arial Narrow" w:cs="Arial"/>
                <w:lang w:val="es-ES_tradnl"/>
              </w:rPr>
            </w:pPr>
            <w:r w:rsidRPr="00E675E8">
              <w:rPr>
                <w:rFonts w:ascii="Arial Narrow" w:hAnsi="Arial Narrow"/>
                <w:lang w:val="es-ES_tradnl"/>
              </w:rPr>
              <w:t>Becarios</w:t>
            </w:r>
          </w:p>
        </w:tc>
        <w:tc>
          <w:tcPr>
            <w:tcW w:w="1480" w:type="dxa"/>
            <w:tcBorders>
              <w:top w:val="nil"/>
              <w:left w:val="nil"/>
              <w:bottom w:val="nil"/>
              <w:right w:val="nil"/>
            </w:tcBorders>
            <w:vAlign w:val="center"/>
          </w:tcPr>
          <w:p w14:paraId="5FEF038F"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1</w:t>
            </w:r>
          </w:p>
        </w:tc>
        <w:tc>
          <w:tcPr>
            <w:tcW w:w="1440" w:type="dxa"/>
            <w:tcBorders>
              <w:top w:val="nil"/>
              <w:left w:val="nil"/>
              <w:bottom w:val="nil"/>
              <w:right w:val="nil"/>
            </w:tcBorders>
            <w:vAlign w:val="center"/>
          </w:tcPr>
          <w:p w14:paraId="6F6869E0"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1</w:t>
            </w:r>
          </w:p>
        </w:tc>
        <w:tc>
          <w:tcPr>
            <w:tcW w:w="1400" w:type="dxa"/>
            <w:tcBorders>
              <w:top w:val="nil"/>
              <w:left w:val="nil"/>
              <w:bottom w:val="nil"/>
              <w:right w:val="nil"/>
            </w:tcBorders>
            <w:vAlign w:val="center"/>
          </w:tcPr>
          <w:p w14:paraId="13B2A9EB"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0</w:t>
            </w:r>
          </w:p>
        </w:tc>
      </w:tr>
      <w:tr w:rsidR="00B65EDC" w:rsidRPr="00E675E8" w14:paraId="679CC868" w14:textId="77777777" w:rsidTr="00A538F6">
        <w:trPr>
          <w:trHeight w:val="260"/>
          <w:jc w:val="center"/>
        </w:trPr>
        <w:tc>
          <w:tcPr>
            <w:tcW w:w="2260" w:type="dxa"/>
            <w:tcBorders>
              <w:top w:val="nil"/>
              <w:left w:val="nil"/>
              <w:bottom w:val="nil"/>
              <w:right w:val="nil"/>
            </w:tcBorders>
            <w:vAlign w:val="center"/>
            <w:hideMark/>
          </w:tcPr>
          <w:p w14:paraId="0DE7034D" w14:textId="77777777" w:rsidR="00B65EDC" w:rsidRPr="00E675E8" w:rsidRDefault="00B65EDC">
            <w:pPr>
              <w:jc w:val="left"/>
              <w:rPr>
                <w:rFonts w:ascii="Arial Narrow" w:hAnsi="Arial Narrow" w:cs="Arial"/>
                <w:lang w:val="es-ES_tradnl"/>
              </w:rPr>
            </w:pPr>
            <w:r w:rsidRPr="00E675E8">
              <w:rPr>
                <w:rFonts w:ascii="Arial Narrow" w:hAnsi="Arial Narrow"/>
                <w:lang w:val="es-ES_tradnl"/>
              </w:rPr>
              <w:t>Funcionarios subalternos de la categoría profesional</w:t>
            </w:r>
          </w:p>
        </w:tc>
        <w:tc>
          <w:tcPr>
            <w:tcW w:w="1480" w:type="dxa"/>
            <w:tcBorders>
              <w:top w:val="nil"/>
              <w:left w:val="nil"/>
              <w:bottom w:val="nil"/>
              <w:right w:val="nil"/>
            </w:tcBorders>
            <w:vAlign w:val="center"/>
          </w:tcPr>
          <w:p w14:paraId="72764E00"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0</w:t>
            </w:r>
          </w:p>
        </w:tc>
        <w:tc>
          <w:tcPr>
            <w:tcW w:w="1440" w:type="dxa"/>
            <w:tcBorders>
              <w:top w:val="nil"/>
              <w:left w:val="nil"/>
              <w:bottom w:val="nil"/>
              <w:right w:val="nil"/>
            </w:tcBorders>
            <w:vAlign w:val="center"/>
          </w:tcPr>
          <w:p w14:paraId="3F9B5C92"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1</w:t>
            </w:r>
          </w:p>
        </w:tc>
        <w:tc>
          <w:tcPr>
            <w:tcW w:w="1400" w:type="dxa"/>
            <w:tcBorders>
              <w:top w:val="nil"/>
              <w:left w:val="nil"/>
              <w:bottom w:val="nil"/>
              <w:right w:val="nil"/>
            </w:tcBorders>
            <w:vAlign w:val="center"/>
          </w:tcPr>
          <w:p w14:paraId="463B2F92"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2</w:t>
            </w:r>
          </w:p>
        </w:tc>
      </w:tr>
      <w:tr w:rsidR="00B65EDC" w:rsidRPr="00E675E8" w14:paraId="5B7CCD23" w14:textId="77777777" w:rsidTr="00A538F6">
        <w:trPr>
          <w:trHeight w:val="260"/>
          <w:jc w:val="center"/>
        </w:trPr>
        <w:tc>
          <w:tcPr>
            <w:tcW w:w="2260" w:type="dxa"/>
            <w:tcBorders>
              <w:top w:val="nil"/>
              <w:left w:val="nil"/>
              <w:bottom w:val="nil"/>
              <w:right w:val="nil"/>
            </w:tcBorders>
            <w:vAlign w:val="center"/>
            <w:hideMark/>
          </w:tcPr>
          <w:p w14:paraId="04C12BDB" w14:textId="77777777" w:rsidR="00B65EDC" w:rsidRPr="00E675E8" w:rsidRDefault="00B65EDC">
            <w:pPr>
              <w:jc w:val="left"/>
              <w:rPr>
                <w:rFonts w:ascii="Arial Narrow" w:hAnsi="Arial Narrow" w:cs="Arial"/>
                <w:lang w:val="es-ES_tradnl"/>
              </w:rPr>
            </w:pPr>
            <w:r w:rsidRPr="00E675E8">
              <w:rPr>
                <w:rFonts w:ascii="Arial Narrow" w:hAnsi="Arial Narrow"/>
                <w:lang w:val="es-ES_tradnl"/>
              </w:rPr>
              <w:t>Pasantes</w:t>
            </w:r>
          </w:p>
        </w:tc>
        <w:tc>
          <w:tcPr>
            <w:tcW w:w="1480" w:type="dxa"/>
            <w:tcBorders>
              <w:top w:val="nil"/>
              <w:left w:val="nil"/>
              <w:bottom w:val="nil"/>
              <w:right w:val="nil"/>
            </w:tcBorders>
            <w:vAlign w:val="center"/>
          </w:tcPr>
          <w:p w14:paraId="01BC1D85"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1</w:t>
            </w:r>
          </w:p>
        </w:tc>
        <w:tc>
          <w:tcPr>
            <w:tcW w:w="1440" w:type="dxa"/>
            <w:tcBorders>
              <w:top w:val="nil"/>
              <w:left w:val="nil"/>
              <w:bottom w:val="nil"/>
              <w:right w:val="nil"/>
            </w:tcBorders>
            <w:vAlign w:val="center"/>
          </w:tcPr>
          <w:p w14:paraId="28C52A32"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1</w:t>
            </w:r>
          </w:p>
        </w:tc>
        <w:tc>
          <w:tcPr>
            <w:tcW w:w="1400" w:type="dxa"/>
            <w:tcBorders>
              <w:top w:val="nil"/>
              <w:left w:val="nil"/>
              <w:bottom w:val="nil"/>
              <w:right w:val="nil"/>
            </w:tcBorders>
            <w:vAlign w:val="center"/>
          </w:tcPr>
          <w:p w14:paraId="2EF08075"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0</w:t>
            </w:r>
          </w:p>
        </w:tc>
      </w:tr>
    </w:tbl>
    <w:p w14:paraId="5DD6A03D" w14:textId="77777777" w:rsidR="00B65EDC" w:rsidRPr="00E675E8" w:rsidRDefault="00B65EDC" w:rsidP="00B65EDC">
      <w:pPr>
        <w:rPr>
          <w:color w:val="000000" w:themeColor="text1"/>
          <w:lang w:val="es-ES_tradnl"/>
        </w:rPr>
      </w:pPr>
    </w:p>
    <w:p w14:paraId="0DCE2CEA" w14:textId="77777777" w:rsidR="00B65EDC" w:rsidRPr="00E675E8" w:rsidRDefault="00B65EDC" w:rsidP="00B65EDC">
      <w:pPr>
        <w:jc w:val="left"/>
        <w:rPr>
          <w:color w:val="26724C" w:themeColor="accent1" w:themeShade="BF"/>
          <w:sz w:val="28"/>
          <w:lang w:val="es-ES_tradnl"/>
        </w:rPr>
      </w:pPr>
      <w:bookmarkStart w:id="445" w:name="_Toc61532295"/>
      <w:bookmarkStart w:id="446" w:name="_Toc61533690"/>
      <w:r w:rsidRPr="00E675E8">
        <w:rPr>
          <w:lang w:val="es-ES_tradnl"/>
        </w:rPr>
        <w:br w:type="page"/>
      </w:r>
    </w:p>
    <w:p w14:paraId="399DBDF0" w14:textId="77777777" w:rsidR="00B65EDC" w:rsidRPr="00E675E8" w:rsidRDefault="00B65EDC" w:rsidP="00FC7FED">
      <w:pPr>
        <w:pStyle w:val="Heading1"/>
        <w:rPr>
          <w:lang w:val="es-ES_tradnl"/>
        </w:rPr>
      </w:pPr>
      <w:bookmarkStart w:id="447" w:name="_Toc209777765"/>
      <w:bookmarkEnd w:id="445"/>
      <w:bookmarkEnd w:id="446"/>
      <w:r w:rsidRPr="00E675E8">
        <w:rPr>
          <w:lang w:val="es-ES_tradnl"/>
        </w:rPr>
        <w:lastRenderedPageBreak/>
        <w:t>Objetivos y resultados previstos</w:t>
      </w:r>
      <w:bookmarkEnd w:id="447"/>
    </w:p>
    <w:p w14:paraId="738C6B1D" w14:textId="77777777" w:rsidR="00B65EDC" w:rsidRPr="00E675E8" w:rsidRDefault="00B65EDC" w:rsidP="00B65EDC">
      <w:pPr>
        <w:keepNext/>
        <w:rPr>
          <w:lang w:val="es-ES_tradnl"/>
        </w:rPr>
      </w:pPr>
    </w:p>
    <w:p w14:paraId="6CF629F3" w14:textId="77777777" w:rsidR="00B65EDC" w:rsidRPr="00E675E8" w:rsidRDefault="00B65EDC" w:rsidP="004448C7">
      <w:pPr>
        <w:pStyle w:val="Heading2"/>
        <w:rPr>
          <w:lang w:val="es-ES_tradnl"/>
        </w:rPr>
      </w:pPr>
      <w:bookmarkStart w:id="448" w:name="_Toc61532296"/>
      <w:bookmarkStart w:id="449" w:name="_Toc61533691"/>
      <w:bookmarkStart w:id="450" w:name="_Toc209777766"/>
      <w:r w:rsidRPr="00E675E8">
        <w:rPr>
          <w:lang w:val="es-ES_tradnl"/>
        </w:rPr>
        <w:t>Introducción</w:t>
      </w:r>
      <w:bookmarkEnd w:id="448"/>
      <w:bookmarkEnd w:id="449"/>
      <w:bookmarkEnd w:id="450"/>
    </w:p>
    <w:p w14:paraId="3AB43734" w14:textId="77777777" w:rsidR="00B65EDC" w:rsidRPr="00E675E8" w:rsidRDefault="00B65EDC" w:rsidP="00B65EDC">
      <w:pPr>
        <w:rPr>
          <w:lang w:val="es-ES_tradnl"/>
        </w:rPr>
      </w:pPr>
    </w:p>
    <w:p w14:paraId="2EB69D55" w14:textId="5C7A28D2" w:rsidR="00B65EDC" w:rsidRPr="00E675E8" w:rsidRDefault="00B65EDC" w:rsidP="00B65EDC">
      <w:pPr>
        <w:rPr>
          <w:color w:val="000000" w:themeColor="text1"/>
          <w:lang w:val="es-ES_tradnl"/>
        </w:rPr>
      </w:pPr>
      <w:r w:rsidRPr="00E675E8">
        <w:rPr>
          <w:color w:val="000000" w:themeColor="text1"/>
          <w:lang w:val="es-ES_tradnl"/>
        </w:rPr>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Pr="00E675E8">
        <w:rPr>
          <w:color w:val="000000" w:themeColor="text1"/>
          <w:lang w:val="es-ES_tradnl"/>
        </w:rPr>
        <w:tab/>
        <w:t>El Plan Operativo Estratégico de la UPOV para el período 2026-2029 constituye la base del proyecto de programa y presupuesto para el bienio 2026-2027.</w:t>
      </w:r>
    </w:p>
    <w:p w14:paraId="2EBE9EBF" w14:textId="77777777" w:rsidR="00B65EDC" w:rsidRPr="00E675E8" w:rsidRDefault="00B65EDC" w:rsidP="00B65EDC">
      <w:pPr>
        <w:rPr>
          <w:color w:val="000000" w:themeColor="text1"/>
          <w:lang w:val="es-ES_tradnl"/>
        </w:rPr>
      </w:pPr>
    </w:p>
    <w:p w14:paraId="61DCC932" w14:textId="77777777" w:rsidR="00B65EDC" w:rsidRPr="00E675E8" w:rsidRDefault="00B65EDC" w:rsidP="00B65EDC">
      <w:pPr>
        <w:rPr>
          <w:color w:val="000000" w:themeColor="text1"/>
          <w:lang w:val="es-ES_tradnl"/>
        </w:rPr>
      </w:pPr>
      <w:r w:rsidRPr="00E675E8">
        <w:rPr>
          <w:color w:val="000000" w:themeColor="text1"/>
          <w:lang w:val="es-ES_tradnl"/>
        </w:rPr>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Pr="00E675E8">
        <w:rPr>
          <w:color w:val="000000" w:themeColor="text1"/>
          <w:lang w:val="es-ES_tradnl"/>
        </w:rPr>
        <w:tab/>
        <w:t>El Edificio de la Estrategia resume la misión, los pilares estratégicos y el fundamento de la UPOV, al tiempo que proporciona un marco para responder a la necesidad de un sistema eficaz de protección de las obtenciones vegetales que fomente el desarrollo de nuevas variedades vegetales, en beneficio de la sociedad.</w:t>
      </w:r>
    </w:p>
    <w:p w14:paraId="6E1F6BC3" w14:textId="77777777" w:rsidR="00B65EDC" w:rsidRPr="00E675E8" w:rsidRDefault="00B65EDC" w:rsidP="00B65EDC">
      <w:pPr>
        <w:rPr>
          <w:color w:val="000000" w:themeColor="text1"/>
          <w:lang w:val="es-ES_tradnl"/>
        </w:rPr>
      </w:pPr>
    </w:p>
    <w:tbl>
      <w:tblPr>
        <w:tblStyle w:val="TableGrid"/>
        <w:tblW w:w="0" w:type="auto"/>
        <w:tblLook w:val="04A0" w:firstRow="1" w:lastRow="0" w:firstColumn="1" w:lastColumn="0" w:noHBand="0" w:noVBand="1"/>
      </w:tblPr>
      <w:tblGrid>
        <w:gridCol w:w="9639"/>
      </w:tblGrid>
      <w:tr w:rsidR="00B65EDC" w:rsidRPr="00E675E8" w14:paraId="390CCC32" w14:textId="77777777">
        <w:tc>
          <w:tcPr>
            <w:tcW w:w="9639" w:type="dxa"/>
            <w:tcBorders>
              <w:top w:val="nil"/>
              <w:left w:val="nil"/>
              <w:bottom w:val="nil"/>
              <w:right w:val="nil"/>
            </w:tcBorders>
            <w:hideMark/>
          </w:tcPr>
          <w:p w14:paraId="4676078F" w14:textId="2FF350B5" w:rsidR="00B65EDC" w:rsidRPr="00E675E8" w:rsidRDefault="00DE1371">
            <w:pPr>
              <w:jc w:val="center"/>
              <w:rPr>
                <w:color w:val="000000" w:themeColor="text1"/>
                <w:highlight w:val="yellow"/>
                <w:lang w:val="es-ES_tradnl"/>
              </w:rPr>
            </w:pPr>
            <w:r w:rsidRPr="000231EE">
              <w:rPr>
                <w:noProof/>
                <w:color w:val="000000" w:themeColor="text1"/>
                <w:lang w:val="es-419"/>
              </w:rPr>
              <w:drawing>
                <wp:inline distT="0" distB="0" distL="0" distR="0" wp14:anchorId="246BF0A5" wp14:editId="5BFBA8F4">
                  <wp:extent cx="4694400" cy="3110540"/>
                  <wp:effectExtent l="0" t="0" r="5080" b="1270"/>
                  <wp:docPr id="2000428811" name="Picture 2000428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94400" cy="3110540"/>
                          </a:xfrm>
                          <a:prstGeom prst="rect">
                            <a:avLst/>
                          </a:prstGeom>
                          <a:noFill/>
                          <a:ln>
                            <a:noFill/>
                          </a:ln>
                        </pic:spPr>
                      </pic:pic>
                    </a:graphicData>
                  </a:graphic>
                </wp:inline>
              </w:drawing>
            </w:r>
          </w:p>
        </w:tc>
      </w:tr>
    </w:tbl>
    <w:p w14:paraId="3B026C70" w14:textId="77777777" w:rsidR="00B65EDC" w:rsidRPr="00E675E8" w:rsidRDefault="00B65EDC" w:rsidP="00B65EDC">
      <w:pPr>
        <w:rPr>
          <w:lang w:val="es-ES_tradnl"/>
        </w:rPr>
      </w:pPr>
    </w:p>
    <w:p w14:paraId="6706C918" w14:textId="77777777" w:rsidR="00B65EDC" w:rsidRPr="00E675E8" w:rsidRDefault="00B65EDC" w:rsidP="00B65EDC">
      <w:pPr>
        <w:rPr>
          <w:bCs/>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Los tres pilares estratégicos sustentan la misión de la UPOV. Representan las grandes áreas de interés estratégico de la UPOV que, a su vez, se traducen en los siguientes resultados previstos:</w:t>
      </w:r>
    </w:p>
    <w:p w14:paraId="0A5D97B5" w14:textId="77777777" w:rsidR="00B65EDC" w:rsidRPr="00E675E8" w:rsidRDefault="00B65EDC" w:rsidP="00B65EDC">
      <w:pPr>
        <w:rPr>
          <w:bCs/>
          <w:lang w:val="es-ES_tradnl"/>
        </w:rPr>
      </w:pPr>
    </w:p>
    <w:tbl>
      <w:tblPr>
        <w:tblStyle w:val="TableGrid"/>
        <w:tblW w:w="0" w:type="auto"/>
        <w:tblLook w:val="04A0" w:firstRow="1" w:lastRow="0" w:firstColumn="1" w:lastColumn="0" w:noHBand="0" w:noVBand="1"/>
      </w:tblPr>
      <w:tblGrid>
        <w:gridCol w:w="9639"/>
      </w:tblGrid>
      <w:tr w:rsidR="00B65EDC" w:rsidRPr="00E675E8" w14:paraId="452C723F" w14:textId="77777777" w:rsidTr="00DE1371">
        <w:trPr>
          <w:trHeight w:val="5062"/>
        </w:trPr>
        <w:tc>
          <w:tcPr>
            <w:tcW w:w="9639" w:type="dxa"/>
            <w:tcBorders>
              <w:top w:val="nil"/>
              <w:left w:val="nil"/>
              <w:bottom w:val="nil"/>
              <w:right w:val="nil"/>
            </w:tcBorders>
            <w:hideMark/>
          </w:tcPr>
          <w:p w14:paraId="4391A324" w14:textId="62035DC6" w:rsidR="00B65EDC" w:rsidRPr="00E675E8" w:rsidRDefault="00DE1371">
            <w:pPr>
              <w:jc w:val="center"/>
              <w:rPr>
                <w:bCs/>
                <w:lang w:val="es-ES_tradnl"/>
              </w:rPr>
            </w:pPr>
            <w:r>
              <w:rPr>
                <w:bCs/>
                <w:noProof/>
                <w:lang w:val="es-ES_tradnl"/>
              </w:rPr>
              <w:drawing>
                <wp:inline distT="0" distB="0" distL="0" distR="0" wp14:anchorId="403B1F7E" wp14:editId="53CE16E0">
                  <wp:extent cx="4854078" cy="3171135"/>
                  <wp:effectExtent l="0" t="0" r="3810" b="0"/>
                  <wp:docPr id="5390212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7881" cy="3173619"/>
                          </a:xfrm>
                          <a:prstGeom prst="rect">
                            <a:avLst/>
                          </a:prstGeom>
                          <a:noFill/>
                        </pic:spPr>
                      </pic:pic>
                    </a:graphicData>
                  </a:graphic>
                </wp:inline>
              </w:drawing>
            </w:r>
          </w:p>
        </w:tc>
      </w:tr>
    </w:tbl>
    <w:p w14:paraId="5527B061" w14:textId="77777777" w:rsidR="00B65EDC" w:rsidRPr="00E675E8" w:rsidRDefault="00B65EDC" w:rsidP="00B65EDC">
      <w:pPr>
        <w:rPr>
          <w:bCs/>
          <w:lang w:val="es-ES_tradnl"/>
        </w:rPr>
      </w:pPr>
    </w:p>
    <w:p w14:paraId="6EA65CBE" w14:textId="5C896355" w:rsidR="00B65EDC" w:rsidRPr="00E675E8" w:rsidRDefault="00B65EDC" w:rsidP="00B65EDC">
      <w:pPr>
        <w:rPr>
          <w:bCs/>
          <w:lang w:val="es-ES_tradnl"/>
        </w:rPr>
      </w:pPr>
      <w:r w:rsidRPr="00E675E8">
        <w:rPr>
          <w:lang w:val="es-ES_tradnl"/>
        </w:rPr>
        <w:lastRenderedPageBreak/>
        <w:fldChar w:fldCharType="begin"/>
      </w:r>
      <w:r w:rsidRPr="00E675E8">
        <w:rPr>
          <w:lang w:val="es-ES_tradnl"/>
        </w:rPr>
        <w:instrText xml:space="preserve"> AUTONUM  </w:instrText>
      </w:r>
      <w:r w:rsidRPr="00E675E8">
        <w:rPr>
          <w:lang w:val="es-ES_tradnl"/>
        </w:rPr>
        <w:fldChar w:fldCharType="end"/>
      </w:r>
      <w:r w:rsidRPr="00E675E8">
        <w:rPr>
          <w:lang w:val="es-ES_tradnl"/>
        </w:rPr>
        <w:tab/>
        <w:t>En las siguientes secciones se explican con más detalle los tres pilares estratégicos y el fundamento, así como sus respectivos resultados previstos.</w:t>
      </w:r>
      <w:r w:rsidR="002817AB" w:rsidRPr="00E675E8">
        <w:rPr>
          <w:lang w:val="es-ES_tradnl"/>
        </w:rPr>
        <w:t xml:space="preserve"> </w:t>
      </w:r>
      <w:r w:rsidRPr="00E675E8">
        <w:rPr>
          <w:lang w:val="es-ES_tradnl"/>
        </w:rPr>
        <w:t>Los riesgos estratégicos y las respuestas asociadas a los pilares del Plan Operativo Estratégico y al fundamento figuran en el Plan Operativo Estratégico 2026-2029.</w:t>
      </w:r>
    </w:p>
    <w:p w14:paraId="7B9E0265" w14:textId="77777777" w:rsidR="0052247A" w:rsidRPr="00E675E8" w:rsidRDefault="0052247A" w:rsidP="00B65EDC">
      <w:pPr>
        <w:rPr>
          <w:bCs/>
          <w:lang w:val="es-ES_tradnl"/>
        </w:rPr>
      </w:pPr>
    </w:p>
    <w:p w14:paraId="7F40C740" w14:textId="77777777" w:rsidR="00B65EDC" w:rsidRPr="00E675E8" w:rsidRDefault="00B65EDC" w:rsidP="00B65EDC">
      <w:pPr>
        <w:rPr>
          <w:lang w:val="es-ES_tradnl"/>
        </w:rPr>
      </w:pPr>
    </w:p>
    <w:p w14:paraId="7328E78B" w14:textId="77777777" w:rsidR="00B65EDC" w:rsidRPr="00E675E8" w:rsidRDefault="00B65EDC" w:rsidP="00B65EDC">
      <w:pPr>
        <w:rPr>
          <w:lang w:val="es-ES_tradnl"/>
        </w:rPr>
      </w:pPr>
    </w:p>
    <w:p w14:paraId="0347C519" w14:textId="3279DFD8" w:rsidR="00B65EDC" w:rsidRPr="00E675E8" w:rsidRDefault="00B65EDC" w:rsidP="004448C7">
      <w:pPr>
        <w:pStyle w:val="Heading2"/>
        <w:rPr>
          <w:lang w:val="es-ES_tradnl"/>
        </w:rPr>
      </w:pPr>
      <w:bookmarkStart w:id="451" w:name="_Toc117798882"/>
      <w:bookmarkStart w:id="452" w:name="_Toc107239587"/>
      <w:bookmarkStart w:id="453" w:name="_Toc107239337"/>
      <w:bookmarkStart w:id="454" w:name="_Toc209777767"/>
      <w:r w:rsidRPr="00E675E8">
        <w:rPr>
          <w:lang w:val="es-ES_tradnl"/>
        </w:rPr>
        <w:t>Pilar 1:</w:t>
      </w:r>
      <w:r w:rsidR="002817AB" w:rsidRPr="00E675E8">
        <w:rPr>
          <w:lang w:val="es-ES_tradnl"/>
        </w:rPr>
        <w:t xml:space="preserve"> </w:t>
      </w:r>
      <w:r w:rsidRPr="00E675E8">
        <w:rPr>
          <w:lang w:val="es-ES_tradnl"/>
        </w:rPr>
        <w:t>Reunir a las partes interesadas para que contribuyan a dar forma al sistema de la UPOV</w:t>
      </w:r>
      <w:bookmarkEnd w:id="451"/>
      <w:bookmarkEnd w:id="452"/>
      <w:bookmarkEnd w:id="453"/>
      <w:bookmarkEnd w:id="454"/>
    </w:p>
    <w:p w14:paraId="7360FE76" w14:textId="77777777" w:rsidR="00B65EDC" w:rsidRPr="00E675E8" w:rsidRDefault="00B65EDC" w:rsidP="00B65EDC">
      <w:pPr>
        <w:rPr>
          <w:b/>
          <w:bCs/>
          <w:sz w:val="22"/>
          <w:szCs w:val="22"/>
          <w:lang w:val="es-ES_tradnl"/>
        </w:rPr>
      </w:pPr>
    </w:p>
    <w:p w14:paraId="6B0EDF6A" w14:textId="77777777" w:rsidR="00B65EDC" w:rsidRPr="00E675E8" w:rsidRDefault="00B65EDC" w:rsidP="000363C4">
      <w:pPr>
        <w:pStyle w:val="Heading3"/>
        <w:rPr>
          <w:sz w:val="20"/>
          <w:lang w:val="es-ES_tradnl"/>
        </w:rPr>
      </w:pPr>
      <w:bookmarkStart w:id="455" w:name="_Toc209777768"/>
      <w:r w:rsidRPr="00E675E8">
        <w:rPr>
          <w:lang w:val="es-ES_tradnl"/>
        </w:rPr>
        <w:t>Estrategia para lograr los resultados previstos</w:t>
      </w:r>
      <w:bookmarkEnd w:id="455"/>
    </w:p>
    <w:p w14:paraId="349DE1AA" w14:textId="77777777" w:rsidR="00B65EDC" w:rsidRPr="00E675E8" w:rsidRDefault="00B65EDC" w:rsidP="00B65EDC">
      <w:pPr>
        <w:rPr>
          <w:b/>
          <w:bCs/>
          <w:sz w:val="22"/>
          <w:szCs w:val="22"/>
          <w:lang w:val="es-ES_tradnl"/>
        </w:rPr>
      </w:pPr>
    </w:p>
    <w:p w14:paraId="27E70FD9" w14:textId="77777777" w:rsidR="00B65EDC" w:rsidRPr="00E675E8" w:rsidRDefault="00B65EDC" w:rsidP="00B65EDC">
      <w:pPr>
        <w:rPr>
          <w:bCs/>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Este pilar estratégico se centra en la función de la UPOV como espacio de encuentro de los miembros de la Unión para que supervisen y coordinen el trabajo de la Organización y trabajen con las partes interesadas para que contribuyan a dar forma al futuro del sistema de la UPOV.</w:t>
      </w:r>
    </w:p>
    <w:p w14:paraId="6657D08C" w14:textId="77777777" w:rsidR="00B65EDC" w:rsidRPr="00E675E8" w:rsidRDefault="00B65EDC" w:rsidP="00B65EDC">
      <w:pPr>
        <w:rPr>
          <w:bCs/>
          <w:lang w:val="es-ES_tradnl"/>
        </w:rPr>
      </w:pPr>
    </w:p>
    <w:p w14:paraId="51E86718" w14:textId="6A734446" w:rsidR="00B65EDC" w:rsidRPr="00E675E8" w:rsidRDefault="00B65EDC" w:rsidP="00B65EDC">
      <w:pPr>
        <w:rPr>
          <w:bCs/>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r>
      <w:bookmarkStart w:id="456" w:name="_Hlk190115212"/>
      <w:r w:rsidRPr="00E675E8">
        <w:rPr>
          <w:lang w:val="es-ES_tradnl"/>
        </w:rPr>
        <w:t>En octubre de 2024, el Comité Consultivo aprobó el desarrollo del análisis prospectivo y la integración de las estrategias clave identificadas en el documento CC/102/3 en las futuras versiones del Plan Operativo Estratégico.</w:t>
      </w:r>
      <w:r w:rsidR="002817AB" w:rsidRPr="00E675E8">
        <w:rPr>
          <w:lang w:val="es-ES_tradnl"/>
        </w:rPr>
        <w:t xml:space="preserve"> </w:t>
      </w:r>
      <w:r w:rsidRPr="00E675E8">
        <w:rPr>
          <w:lang w:val="es-ES_tradnl"/>
        </w:rPr>
        <w:t xml:space="preserve">En octubre de 2025, se someterá a consideración de los miembros de la UPOV una serie de propuestas para una </w:t>
      </w:r>
      <w:r w:rsidR="000475D2">
        <w:rPr>
          <w:lang w:val="es-ES_tradnl"/>
        </w:rPr>
        <w:t>E</w:t>
      </w:r>
      <w:r w:rsidRPr="00E675E8">
        <w:rPr>
          <w:lang w:val="es-ES_tradnl"/>
        </w:rPr>
        <w:t xml:space="preserve">strategia de recursos </w:t>
      </w:r>
      <w:r w:rsidR="000475D2">
        <w:rPr>
          <w:lang w:val="es-ES_tradnl"/>
        </w:rPr>
        <w:t xml:space="preserve">de la UPOV </w:t>
      </w:r>
      <w:r w:rsidRPr="00E675E8">
        <w:rPr>
          <w:lang w:val="es-ES_tradnl"/>
        </w:rPr>
        <w:t>(documento C/59/16), que permita el desarrollo sostenible de la UPOV, así como un aumento de su divulgación e incidencia.</w:t>
      </w:r>
    </w:p>
    <w:bookmarkEnd w:id="456"/>
    <w:p w14:paraId="5BC7F48F" w14:textId="77777777" w:rsidR="00B65EDC" w:rsidRPr="00E675E8" w:rsidRDefault="00B65EDC" w:rsidP="00B65EDC">
      <w:pPr>
        <w:rPr>
          <w:b/>
          <w:bCs/>
          <w:sz w:val="22"/>
          <w:szCs w:val="22"/>
          <w:lang w:val="es-ES_tradnl"/>
        </w:rPr>
      </w:pPr>
    </w:p>
    <w:p w14:paraId="20FE00EC" w14:textId="77777777" w:rsidR="00B65EDC" w:rsidRPr="00E675E8" w:rsidRDefault="00B65EDC" w:rsidP="003F289C">
      <w:pPr>
        <w:pStyle w:val="Heading4"/>
        <w:rPr>
          <w:lang w:val="es-ES_tradnl"/>
        </w:rPr>
      </w:pPr>
      <w:r w:rsidRPr="00E675E8">
        <w:rPr>
          <w:u w:val="none"/>
          <w:lang w:val="es-ES_tradnl"/>
        </w:rPr>
        <w:t>1.1</w:t>
      </w:r>
      <w:r w:rsidRPr="00E675E8">
        <w:rPr>
          <w:u w:val="none"/>
          <w:lang w:val="es-ES_tradnl"/>
        </w:rPr>
        <w:tab/>
      </w:r>
      <w:r w:rsidRPr="00E675E8">
        <w:rPr>
          <w:lang w:val="es-ES_tradnl"/>
        </w:rPr>
        <w:t xml:space="preserve">Gobernanza del Consejo de la UPOV y labor de los comités y otros órganos de la UPOV </w:t>
      </w:r>
    </w:p>
    <w:p w14:paraId="4B761196" w14:textId="77777777" w:rsidR="00B65EDC" w:rsidRPr="00E675E8" w:rsidRDefault="00B65EDC" w:rsidP="003F289C">
      <w:pPr>
        <w:rPr>
          <w:lang w:val="es-ES_tradnl"/>
        </w:rPr>
      </w:pPr>
    </w:p>
    <w:p w14:paraId="0B8D75A5" w14:textId="77777777"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El Consejo, integrado por miembros de la Unión y observadores, seguirá llevando la dirección de la UPOV, con la orientación del Comité Consultivo, el Comité Administrativo y Jurídico y el Comité Técnico.</w:t>
      </w:r>
    </w:p>
    <w:p w14:paraId="4CE6FFBA" w14:textId="77777777" w:rsidR="00B65EDC" w:rsidRPr="00E675E8" w:rsidRDefault="00B65EDC" w:rsidP="00B65EDC">
      <w:pPr>
        <w:rPr>
          <w:lang w:val="es-ES_tradnl"/>
        </w:rPr>
      </w:pPr>
    </w:p>
    <w:p w14:paraId="54ED52AB" w14:textId="12AA853F"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El uso de herramientas de reunión virtual aumentó la participación en las sesiones de los órganos de la UPOV.</w:t>
      </w:r>
      <w:r w:rsidR="002817AB" w:rsidRPr="00E675E8">
        <w:rPr>
          <w:lang w:val="es-ES_tradnl"/>
        </w:rPr>
        <w:t xml:space="preserve"> </w:t>
      </w:r>
      <w:r w:rsidRPr="00E675E8">
        <w:rPr>
          <w:lang w:val="es-ES_tradnl"/>
        </w:rPr>
        <w:t xml:space="preserve">El número de miembros de la UPOV que asistieron a las reuniones de los Grupos de Trabajo Técnico de 2020 a 2024 aumentó en un 43 % con respecto al período de 2015 a 2019, antes de la introducción de la participación virtual (promedio de 2015 a 2019, 30 miembros; promedio de 2020 a 2024, 43 miembros). El número total de participantes aumentó en un 86 % de 2020 a 2024 en comparación con el período de 2015 a 2019 (de 277 a 516 participantes). </w:t>
      </w:r>
    </w:p>
    <w:p w14:paraId="2F894AA1" w14:textId="77777777" w:rsidR="00B65EDC" w:rsidRPr="00E675E8" w:rsidRDefault="00B65EDC" w:rsidP="00B65EDC">
      <w:pPr>
        <w:rPr>
          <w:lang w:val="es-ES_tradnl"/>
        </w:rPr>
      </w:pPr>
    </w:p>
    <w:bookmarkStart w:id="457" w:name="_Hlk190100681"/>
    <w:p w14:paraId="4100DA87" w14:textId="18F011DF"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A medida que evolucione la UPOV, y en aras de lograr la máxima eficacia, se revisará la labor de los comités.</w:t>
      </w:r>
      <w:r w:rsidR="002817AB" w:rsidRPr="00E675E8">
        <w:rPr>
          <w:lang w:val="es-ES_tradnl"/>
        </w:rPr>
        <w:t xml:space="preserve"> </w:t>
      </w:r>
      <w:r w:rsidRPr="00E675E8">
        <w:rPr>
          <w:lang w:val="es-ES_tradnl"/>
        </w:rPr>
        <w:t>En 2023, el Comité Técnico acordó revisar periódicamente la labor de los Grupos de Trabajo Técnico basándose en indicadores de rendimiento y en encuestas periódicas a los miembros de la UPOV y a las organizaciones observadoras.</w:t>
      </w:r>
      <w:r w:rsidR="002817AB" w:rsidRPr="00E675E8">
        <w:rPr>
          <w:lang w:val="es-ES_tradnl"/>
        </w:rPr>
        <w:t xml:space="preserve"> </w:t>
      </w:r>
      <w:r w:rsidRPr="00E675E8">
        <w:rPr>
          <w:lang w:val="es-ES_tradnl"/>
        </w:rPr>
        <w:t>Durante el bienio 2026-2027, este proceso continuará para evaluar la posibilidad de que la labor del Comité Técnico sea más eficaz, sobre todo con vistas a aumentar la cooperación como beneficio fundamental de la pertenencia a la UPOV.</w:t>
      </w:r>
      <w:r w:rsidR="002817AB" w:rsidRPr="00E675E8">
        <w:rPr>
          <w:lang w:val="es-ES_tradnl"/>
        </w:rPr>
        <w:t xml:space="preserve"> </w:t>
      </w:r>
    </w:p>
    <w:p w14:paraId="58CC574A" w14:textId="77777777" w:rsidR="00B65EDC" w:rsidRPr="00E675E8" w:rsidRDefault="00B65EDC" w:rsidP="00B65EDC">
      <w:pPr>
        <w:rPr>
          <w:lang w:val="es-ES_tradnl"/>
        </w:rPr>
      </w:pPr>
    </w:p>
    <w:bookmarkEnd w:id="457"/>
    <w:p w14:paraId="323DA174" w14:textId="77777777" w:rsidR="00B65EDC" w:rsidRPr="00E675E8" w:rsidRDefault="00B65EDC" w:rsidP="003F289C">
      <w:pPr>
        <w:pStyle w:val="Heading4"/>
        <w:rPr>
          <w:lang w:val="es-ES_tradnl"/>
        </w:rPr>
      </w:pPr>
      <w:r w:rsidRPr="00E675E8">
        <w:rPr>
          <w:u w:val="none"/>
          <w:lang w:val="es-ES_tradnl"/>
        </w:rPr>
        <w:t>1.2</w:t>
      </w:r>
      <w:r w:rsidRPr="00E675E8">
        <w:rPr>
          <w:u w:val="none"/>
          <w:lang w:val="es-ES_tradnl"/>
        </w:rPr>
        <w:tab/>
      </w:r>
      <w:r w:rsidRPr="00E675E8">
        <w:rPr>
          <w:lang w:val="es-ES_tradnl"/>
        </w:rPr>
        <w:t>Elaboración de legislación sobre la protección de las obtenciones vegetales de conformidad con el Acta de 1991 del Convenio de la UPOV</w:t>
      </w:r>
    </w:p>
    <w:p w14:paraId="0167A461" w14:textId="77777777" w:rsidR="00B65EDC" w:rsidRPr="00E675E8" w:rsidRDefault="00B65EDC" w:rsidP="00B65EDC">
      <w:pPr>
        <w:rPr>
          <w:bCs/>
          <w:lang w:val="es-ES_tradnl"/>
        </w:rPr>
      </w:pPr>
    </w:p>
    <w:p w14:paraId="0019CA6D" w14:textId="0CAC34AE" w:rsidR="00B65EDC" w:rsidRPr="00E675E8" w:rsidRDefault="00B65EDC" w:rsidP="00B65EDC">
      <w:pPr>
        <w:rPr>
          <w:bCs/>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Todo Estado u organización intergubernamental que desee pasar a ser miembro de la UPOV ha de recibir una opinión positiva del Consejo de la UPOV sobre la conformidad de su legislación con las disposiciones del Convenio de la UPOV antes de depositar su instrumento de adhesión.</w:t>
      </w:r>
      <w:r w:rsidR="002817AB" w:rsidRPr="00E675E8">
        <w:rPr>
          <w:lang w:val="es-ES_tradnl"/>
        </w:rPr>
        <w:t xml:space="preserve"> </w:t>
      </w:r>
      <w:r w:rsidRPr="00E675E8">
        <w:rPr>
          <w:lang w:val="es-ES_tradnl"/>
        </w:rPr>
        <w:t>Una parte fundamental de la labor de la UPOV consiste en orientar a los Estados y organizaciones intergubernamentales que deseen elaborar leyes de conformidad con el Acta de 1991 del Convenio de la UPOV.</w:t>
      </w:r>
      <w:r w:rsidR="002817AB" w:rsidRPr="00E675E8">
        <w:rPr>
          <w:lang w:val="es-ES_tradnl"/>
        </w:rPr>
        <w:t xml:space="preserve"> </w:t>
      </w:r>
    </w:p>
    <w:p w14:paraId="78775904" w14:textId="77777777" w:rsidR="00B65EDC" w:rsidRPr="00E675E8" w:rsidRDefault="00B65EDC" w:rsidP="00B65EDC">
      <w:pPr>
        <w:rPr>
          <w:bCs/>
          <w:lang w:val="es-ES_tradnl"/>
        </w:rPr>
      </w:pPr>
    </w:p>
    <w:p w14:paraId="159ED43E" w14:textId="011BC996" w:rsidR="00B65EDC" w:rsidRPr="00E675E8" w:rsidRDefault="00B65EDC" w:rsidP="00B65EDC">
      <w:pPr>
        <w:rPr>
          <w:bCs/>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En el bienio 2026-2027, se espera seguir recibiendo un elevado número de solicitudes de asesoramiento legislativo por parte de Estados/organizaciones intergubernamentales, principalmente de países de África, la región árabe, el Caribe y el sudeste asiático.</w:t>
      </w:r>
      <w:r w:rsidR="002817AB" w:rsidRPr="00E675E8">
        <w:rPr>
          <w:lang w:val="es-ES_tradnl"/>
        </w:rPr>
        <w:t xml:space="preserve"> </w:t>
      </w:r>
      <w:r w:rsidRPr="00E675E8">
        <w:rPr>
          <w:lang w:val="es-ES_tradnl"/>
        </w:rPr>
        <w:t>La experiencia demuestra que los miembros candidatos valoran el apoyo legislativo prestado por la Oficina de la Unión y que este tiene una repercusión global positiva.</w:t>
      </w:r>
      <w:r w:rsidR="002817AB" w:rsidRPr="00E675E8">
        <w:rPr>
          <w:lang w:val="es-ES_tradnl"/>
        </w:rPr>
        <w:t xml:space="preserve"> </w:t>
      </w:r>
      <w:r w:rsidRPr="00E675E8">
        <w:rPr>
          <w:lang w:val="es-ES_tradnl"/>
        </w:rPr>
        <w:t>No obstante, la experiencia también demuestra que, incluso cuando un candidato a miembro ha recibido orientaciones, estas no siempre conducen a las modificaciones legislativas necesarias para incorporar las disposiciones esenciales del Convenio de la UPOV y a la posterior presentación del instrumento de adhesión para convertirse en miembro de la UPOV.</w:t>
      </w:r>
      <w:r w:rsidR="002817AB" w:rsidRPr="00E675E8">
        <w:rPr>
          <w:lang w:val="es-ES_tradnl"/>
        </w:rPr>
        <w:t xml:space="preserve"> </w:t>
      </w:r>
      <w:r w:rsidRPr="00E675E8">
        <w:rPr>
          <w:lang w:val="es-ES_tradnl"/>
        </w:rPr>
        <w:t>Es necesario comprender los objetivos de política y las circunstancias locales para apoyar el camino de los países hacia la adhesión a la UPOV.</w:t>
      </w:r>
      <w:r w:rsidR="002817AB" w:rsidRPr="00E675E8">
        <w:rPr>
          <w:lang w:val="es-ES_tradnl"/>
        </w:rPr>
        <w:t xml:space="preserve"> </w:t>
      </w:r>
      <w:r w:rsidRPr="00E675E8">
        <w:rPr>
          <w:lang w:val="es-ES_tradnl"/>
        </w:rPr>
        <w:t>Por consiguiente, la orientación legislativa proporcionada por la Oficina de la UPOV y/o el asesoramiento positivo proporcionado por el Consejo de la UPOV en muchos casos deben ir acompañados de actividades de divulgación dirigidas a los responsables de políticas y a las partes interesadas, para mostrarles los beneficios de pertenecer a la UPOV y la contribución a los objetivos de desarrollo de los países.</w:t>
      </w:r>
      <w:r w:rsidR="002817AB" w:rsidRPr="00E675E8">
        <w:rPr>
          <w:lang w:val="es-ES_tradnl"/>
        </w:rPr>
        <w:t xml:space="preserve"> </w:t>
      </w:r>
      <w:r w:rsidRPr="00E675E8">
        <w:rPr>
          <w:lang w:val="es-ES_tradnl"/>
        </w:rPr>
        <w:t xml:space="preserve">El “Programa de la UPOV para directivos </w:t>
      </w:r>
      <w:r w:rsidRPr="00E675E8">
        <w:rPr>
          <w:lang w:val="es-ES_tradnl"/>
        </w:rPr>
        <w:lastRenderedPageBreak/>
        <w:t>sobre protección de las obtenciones vegetales para el desarrollo de la agricultura”, celebrado en Ginebra del 3 al 6 de diciembre de 2024, constituyó un importante foro para que las personas encargadas de formular políticas se comprometieran en este ámbito.</w:t>
      </w:r>
      <w:r w:rsidR="002817AB" w:rsidRPr="00E675E8">
        <w:rPr>
          <w:lang w:val="es-ES_tradnl"/>
        </w:rPr>
        <w:t xml:space="preserve"> </w:t>
      </w:r>
      <w:r w:rsidRPr="00E675E8">
        <w:rPr>
          <w:lang w:val="es-ES_tradnl"/>
        </w:rPr>
        <w:t xml:space="preserve">En 2026-2027, la Oficina de la UPOV seguirá contribuyendo a las actividades de divulgación, en función de los recursos disponibles. </w:t>
      </w:r>
    </w:p>
    <w:p w14:paraId="09411D94" w14:textId="77777777" w:rsidR="00B65EDC" w:rsidRPr="00E675E8" w:rsidRDefault="00B65EDC" w:rsidP="00B65EDC">
      <w:pPr>
        <w:rPr>
          <w:bCs/>
          <w:lang w:val="es-ES_tradnl"/>
        </w:rPr>
      </w:pPr>
      <w:bookmarkStart w:id="458" w:name="_Hlk190098373"/>
    </w:p>
    <w:p w14:paraId="22185C15" w14:textId="4ABF1B58" w:rsidR="00B65EDC" w:rsidRPr="00E675E8" w:rsidRDefault="00B65EDC" w:rsidP="00B65EDC">
      <w:pPr>
        <w:rPr>
          <w:bCs/>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Las solicitudes de protección de las obtenciones vegetales entre los miembros de la UPOV han crecido un 80 % en los últimos ocho años.</w:t>
      </w:r>
      <w:r w:rsidR="002817AB" w:rsidRPr="00E675E8">
        <w:rPr>
          <w:lang w:val="es-ES_tradnl"/>
        </w:rPr>
        <w:t xml:space="preserve"> </w:t>
      </w:r>
      <w:r w:rsidR="00DE1371">
        <w:rPr>
          <w:lang w:val="es-ES_tradnl"/>
        </w:rPr>
        <w:t xml:space="preserve"> </w:t>
      </w:r>
      <w:r w:rsidRPr="00E675E8">
        <w:rPr>
          <w:lang w:val="es-ES_tradnl"/>
        </w:rPr>
        <w:t>En 2024 se presentaron aproximadamente 29</w:t>
      </w:r>
      <w:r w:rsidR="00DE1371">
        <w:rPr>
          <w:lang w:val="es-ES_tradnl"/>
        </w:rPr>
        <w:t> </w:t>
      </w:r>
      <w:r w:rsidRPr="00E675E8">
        <w:rPr>
          <w:lang w:val="es-ES_tradnl"/>
        </w:rPr>
        <w:t>250 solicitudes de variedades vegetales en los países miembros de la UPOV, lo que supone un aumento del 0,6 % con respecto a 2023 y el noveno año consecutivo de crecimiento.</w:t>
      </w:r>
      <w:r w:rsidR="002817AB" w:rsidRPr="00E675E8">
        <w:rPr>
          <w:lang w:val="es-ES_tradnl"/>
        </w:rPr>
        <w:t xml:space="preserve"> </w:t>
      </w:r>
      <w:r w:rsidR="00DE1371">
        <w:rPr>
          <w:lang w:val="es-ES_tradnl"/>
        </w:rPr>
        <w:t xml:space="preserve"> </w:t>
      </w:r>
      <w:r w:rsidRPr="00E675E8">
        <w:rPr>
          <w:lang w:val="es-ES_tradnl"/>
        </w:rPr>
        <w:t>No obstante, este modesto aumento también refleja la tasa de crecimiento interanual más baja desde 2015, debido principalmente a la desaceleración de las solicitudes procedentes de China.</w:t>
      </w:r>
      <w:r w:rsidR="002817AB" w:rsidRPr="00E675E8">
        <w:rPr>
          <w:lang w:val="es-ES_tradnl"/>
        </w:rPr>
        <w:t xml:space="preserve"> </w:t>
      </w:r>
      <w:r w:rsidR="00DE1371">
        <w:rPr>
          <w:lang w:val="es-ES_tradnl"/>
        </w:rPr>
        <w:t xml:space="preserve"> </w:t>
      </w:r>
      <w:r w:rsidRPr="00E675E8">
        <w:rPr>
          <w:lang w:val="es-ES_tradnl"/>
        </w:rPr>
        <w:t>En la actualidad, hay más de 200</w:t>
      </w:r>
      <w:r w:rsidR="00DE1371">
        <w:rPr>
          <w:lang w:val="es-ES_tradnl"/>
        </w:rPr>
        <w:t> </w:t>
      </w:r>
      <w:r w:rsidRPr="00E675E8">
        <w:rPr>
          <w:lang w:val="es-ES_tradnl"/>
        </w:rPr>
        <w:t>000 títulos en vigor.</w:t>
      </w:r>
      <w:r w:rsidR="002817AB" w:rsidRPr="00E675E8">
        <w:rPr>
          <w:lang w:val="es-ES_tradnl"/>
        </w:rPr>
        <w:t xml:space="preserve"> </w:t>
      </w:r>
      <w:r w:rsidR="00DE1371">
        <w:rPr>
          <w:lang w:val="es-ES_tradnl"/>
        </w:rPr>
        <w:t xml:space="preserve"> </w:t>
      </w:r>
      <w:r w:rsidRPr="00E675E8">
        <w:rPr>
          <w:lang w:val="es-ES_tradnl"/>
        </w:rPr>
        <w:t>El objetivo propuesto para el período 2026-2027 es un crecimiento anual del 1</w:t>
      </w:r>
      <w:r w:rsidR="00DE1371">
        <w:rPr>
          <w:lang w:val="es-ES_tradnl"/>
        </w:rPr>
        <w:t> </w:t>
      </w:r>
      <w:r w:rsidRPr="00E675E8">
        <w:rPr>
          <w:lang w:val="es-ES_tradnl"/>
        </w:rPr>
        <w:t>% en el número total de solicitudes y títulos concedidos, debido a un aumento moderado de las solicitudes presentadas por la mayoría de los miembros de la UPOV, y un crecimiento del 2</w:t>
      </w:r>
      <w:r w:rsidR="00DE1371">
        <w:rPr>
          <w:lang w:val="es-ES_tradnl"/>
        </w:rPr>
        <w:t> </w:t>
      </w:r>
      <w:r w:rsidRPr="00E675E8">
        <w:rPr>
          <w:lang w:val="es-ES_tradnl"/>
        </w:rPr>
        <w:t>% en los títulos concedidos, teniendo en cuenta el gran número de solicitudes presentadas en los últimos años.</w:t>
      </w:r>
    </w:p>
    <w:bookmarkEnd w:id="458"/>
    <w:p w14:paraId="1B9156A4" w14:textId="77777777" w:rsidR="00B65EDC" w:rsidRPr="00E675E8" w:rsidRDefault="00B65EDC" w:rsidP="00B65EDC">
      <w:pPr>
        <w:rPr>
          <w:bCs/>
          <w:lang w:val="es-ES_tradnl"/>
        </w:rPr>
      </w:pPr>
    </w:p>
    <w:p w14:paraId="31B59038" w14:textId="77777777" w:rsidR="00B65EDC" w:rsidRPr="00E675E8" w:rsidRDefault="00B65EDC" w:rsidP="00B65EDC">
      <w:pPr>
        <w:rPr>
          <w:bCs/>
          <w:lang w:val="es-ES_tradnl"/>
        </w:rPr>
      </w:pPr>
    </w:p>
    <w:p w14:paraId="1D6A887E" w14:textId="77777777" w:rsidR="00B65EDC" w:rsidRPr="00E675E8" w:rsidRDefault="00B65EDC" w:rsidP="000363C4">
      <w:pPr>
        <w:pStyle w:val="Heading3"/>
        <w:rPr>
          <w:lang w:val="es-ES_tradnl"/>
        </w:rPr>
      </w:pPr>
      <w:bookmarkStart w:id="459" w:name="_Toc209777769"/>
      <w:r w:rsidRPr="00E675E8">
        <w:rPr>
          <w:lang w:val="es-ES_tradnl"/>
        </w:rPr>
        <w:t>Resultados previstos e indicadores de rendimiento</w:t>
      </w:r>
      <w:bookmarkEnd w:id="459"/>
      <w:r w:rsidRPr="00E675E8">
        <w:rPr>
          <w:lang w:val="es-ES_tradnl"/>
        </w:rPr>
        <w:t xml:space="preserve"> </w:t>
      </w:r>
    </w:p>
    <w:p w14:paraId="1B02FC94" w14:textId="77777777" w:rsidR="00B65EDC" w:rsidRPr="00E675E8" w:rsidRDefault="00B65EDC" w:rsidP="00B65EDC">
      <w:pPr>
        <w:rPr>
          <w:bCs/>
          <w:lang w:val="es-ES_tradnl"/>
        </w:rPr>
      </w:pPr>
    </w:p>
    <w:tbl>
      <w:tblPr>
        <w:tblStyle w:val="TableGrid"/>
        <w:tblW w:w="9634" w:type="dxa"/>
        <w:tblBorders>
          <w:top w:val="none" w:sz="0" w:space="0" w:color="auto"/>
          <w:left w:val="none" w:sz="0" w:space="0" w:color="auto"/>
          <w:bottom w:val="single" w:sz="4" w:space="0" w:color="F2F2F2" w:themeColor="background1" w:themeShade="F2"/>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26"/>
        <w:gridCol w:w="3255"/>
        <w:gridCol w:w="305"/>
        <w:gridCol w:w="2457"/>
        <w:gridCol w:w="1632"/>
        <w:gridCol w:w="1559"/>
      </w:tblGrid>
      <w:tr w:rsidR="00B65EDC" w:rsidRPr="00E675E8" w14:paraId="39CB7F38" w14:textId="77777777">
        <w:tc>
          <w:tcPr>
            <w:tcW w:w="426" w:type="dxa"/>
            <w:tcBorders>
              <w:bottom w:val="single" w:sz="4" w:space="0" w:color="D9D9D9" w:themeColor="background1" w:themeShade="D9"/>
            </w:tcBorders>
            <w:shd w:val="clear" w:color="auto" w:fill="E2E7EB" w:themeFill="accent3" w:themeFillTint="33"/>
          </w:tcPr>
          <w:p w14:paraId="5CA07316" w14:textId="77777777" w:rsidR="00B65EDC" w:rsidRPr="00E675E8" w:rsidRDefault="00B65EDC">
            <w:pPr>
              <w:jc w:val="left"/>
              <w:rPr>
                <w:b/>
                <w:bCs/>
                <w:sz w:val="16"/>
                <w:szCs w:val="16"/>
                <w:lang w:val="es-ES_tradnl"/>
              </w:rPr>
            </w:pPr>
          </w:p>
        </w:tc>
        <w:tc>
          <w:tcPr>
            <w:tcW w:w="3255" w:type="dxa"/>
            <w:tcBorders>
              <w:bottom w:val="single" w:sz="4" w:space="0" w:color="D9D9D9" w:themeColor="background1" w:themeShade="D9"/>
            </w:tcBorders>
            <w:shd w:val="clear" w:color="auto" w:fill="E2E7EB" w:themeFill="accent3" w:themeFillTint="33"/>
          </w:tcPr>
          <w:p w14:paraId="126BEB1C" w14:textId="77777777" w:rsidR="00B65EDC" w:rsidRPr="00E675E8" w:rsidRDefault="00B65EDC">
            <w:pPr>
              <w:jc w:val="left"/>
              <w:rPr>
                <w:b/>
                <w:bCs/>
                <w:sz w:val="16"/>
                <w:szCs w:val="16"/>
                <w:lang w:val="es-ES_tradnl"/>
              </w:rPr>
            </w:pPr>
            <w:r w:rsidRPr="00E675E8">
              <w:rPr>
                <w:b/>
                <w:sz w:val="16"/>
                <w:lang w:val="es-ES_tradnl"/>
              </w:rPr>
              <w:t>Resultados previstos</w:t>
            </w:r>
          </w:p>
        </w:tc>
        <w:tc>
          <w:tcPr>
            <w:tcW w:w="305" w:type="dxa"/>
            <w:tcBorders>
              <w:bottom w:val="single" w:sz="4" w:space="0" w:color="D9D9D9" w:themeColor="background1" w:themeShade="D9"/>
            </w:tcBorders>
            <w:shd w:val="clear" w:color="auto" w:fill="E2E7EB" w:themeFill="accent3" w:themeFillTint="33"/>
          </w:tcPr>
          <w:p w14:paraId="51275C06" w14:textId="77777777" w:rsidR="00B65EDC" w:rsidRPr="00E675E8" w:rsidRDefault="00B65EDC">
            <w:pPr>
              <w:jc w:val="center"/>
              <w:rPr>
                <w:b/>
                <w:bCs/>
                <w:sz w:val="16"/>
                <w:szCs w:val="16"/>
                <w:lang w:val="es-ES_tradnl"/>
              </w:rPr>
            </w:pPr>
          </w:p>
        </w:tc>
        <w:tc>
          <w:tcPr>
            <w:tcW w:w="2457" w:type="dxa"/>
            <w:tcBorders>
              <w:bottom w:val="single" w:sz="4" w:space="0" w:color="D9D9D9" w:themeColor="background1" w:themeShade="D9"/>
            </w:tcBorders>
            <w:shd w:val="clear" w:color="auto" w:fill="E2E7EB" w:themeFill="accent3" w:themeFillTint="33"/>
          </w:tcPr>
          <w:p w14:paraId="6E023DA0" w14:textId="77777777" w:rsidR="00B65EDC" w:rsidRPr="00E675E8" w:rsidRDefault="00B65EDC">
            <w:pPr>
              <w:rPr>
                <w:b/>
                <w:bCs/>
                <w:sz w:val="16"/>
                <w:szCs w:val="16"/>
                <w:lang w:val="es-ES_tradnl"/>
              </w:rPr>
            </w:pPr>
            <w:r w:rsidRPr="00E675E8">
              <w:rPr>
                <w:b/>
                <w:sz w:val="16"/>
                <w:lang w:val="es-ES_tradnl"/>
              </w:rPr>
              <w:t>Indicadores de rendimiento</w:t>
            </w:r>
          </w:p>
        </w:tc>
        <w:tc>
          <w:tcPr>
            <w:tcW w:w="1632" w:type="dxa"/>
            <w:tcBorders>
              <w:bottom w:val="single" w:sz="4" w:space="0" w:color="D9D9D9" w:themeColor="background1" w:themeShade="D9"/>
            </w:tcBorders>
            <w:shd w:val="clear" w:color="auto" w:fill="E2E7EB" w:themeFill="accent3" w:themeFillTint="33"/>
          </w:tcPr>
          <w:p w14:paraId="67030F18" w14:textId="77777777" w:rsidR="00B65EDC" w:rsidRPr="00E675E8" w:rsidRDefault="00B65EDC">
            <w:pPr>
              <w:jc w:val="center"/>
              <w:rPr>
                <w:b/>
                <w:bCs/>
                <w:sz w:val="16"/>
                <w:szCs w:val="16"/>
                <w:lang w:val="es-ES_tradnl"/>
              </w:rPr>
            </w:pPr>
            <w:r w:rsidRPr="00E675E8">
              <w:rPr>
                <w:b/>
                <w:sz w:val="16"/>
                <w:lang w:val="es-ES_tradnl"/>
              </w:rPr>
              <w:t>Referencias</w:t>
            </w:r>
          </w:p>
        </w:tc>
        <w:tc>
          <w:tcPr>
            <w:tcW w:w="1559" w:type="dxa"/>
            <w:tcBorders>
              <w:bottom w:val="single" w:sz="4" w:space="0" w:color="D9D9D9" w:themeColor="background1" w:themeShade="D9"/>
            </w:tcBorders>
            <w:shd w:val="clear" w:color="auto" w:fill="E2E7EB" w:themeFill="accent3" w:themeFillTint="33"/>
          </w:tcPr>
          <w:p w14:paraId="7B67022D" w14:textId="77777777" w:rsidR="00B65EDC" w:rsidRPr="00E675E8" w:rsidRDefault="00B65EDC">
            <w:pPr>
              <w:jc w:val="center"/>
              <w:rPr>
                <w:b/>
                <w:bCs/>
                <w:sz w:val="16"/>
                <w:szCs w:val="16"/>
                <w:lang w:val="es-ES_tradnl"/>
              </w:rPr>
            </w:pPr>
            <w:r w:rsidRPr="00E675E8">
              <w:rPr>
                <w:b/>
                <w:sz w:val="16"/>
                <w:lang w:val="es-ES_tradnl"/>
              </w:rPr>
              <w:t>Objetivo (2026/27)</w:t>
            </w:r>
          </w:p>
        </w:tc>
      </w:tr>
      <w:tr w:rsidR="00B65EDC" w:rsidRPr="00E675E8" w14:paraId="59140254" w14:textId="77777777">
        <w:tc>
          <w:tcPr>
            <w:tcW w:w="426" w:type="dxa"/>
            <w:tcBorders>
              <w:top w:val="single" w:sz="4" w:space="0" w:color="D9D9D9" w:themeColor="background1" w:themeShade="D9"/>
            </w:tcBorders>
          </w:tcPr>
          <w:p w14:paraId="4EDC5F62" w14:textId="77777777" w:rsidR="00B65EDC" w:rsidRPr="00E675E8" w:rsidRDefault="00B65EDC">
            <w:pPr>
              <w:jc w:val="left"/>
              <w:rPr>
                <w:rFonts w:cs="Arial"/>
                <w:sz w:val="16"/>
                <w:szCs w:val="16"/>
                <w:lang w:val="es-ES_tradnl"/>
              </w:rPr>
            </w:pPr>
            <w:r w:rsidRPr="00E675E8">
              <w:rPr>
                <w:sz w:val="16"/>
                <w:lang w:val="es-ES_tradnl"/>
              </w:rPr>
              <w:t>1.1</w:t>
            </w:r>
          </w:p>
        </w:tc>
        <w:tc>
          <w:tcPr>
            <w:tcW w:w="3255" w:type="dxa"/>
            <w:tcBorders>
              <w:top w:val="single" w:sz="4" w:space="0" w:color="D9D9D9" w:themeColor="background1" w:themeShade="D9"/>
            </w:tcBorders>
          </w:tcPr>
          <w:p w14:paraId="77441CD9" w14:textId="77777777" w:rsidR="00B65EDC" w:rsidRPr="00E675E8" w:rsidRDefault="00B65EDC">
            <w:pPr>
              <w:jc w:val="left"/>
              <w:rPr>
                <w:rFonts w:cs="Arial"/>
                <w:sz w:val="16"/>
                <w:szCs w:val="16"/>
                <w:lang w:val="es-ES_tradnl"/>
              </w:rPr>
            </w:pPr>
            <w:r w:rsidRPr="00E675E8">
              <w:rPr>
                <w:sz w:val="16"/>
                <w:lang w:val="es-ES_tradnl"/>
              </w:rPr>
              <w:t>Gobernanza del Consejo de la UPOV y labor de los comités y otros órganos de la UPOV</w:t>
            </w:r>
          </w:p>
        </w:tc>
        <w:tc>
          <w:tcPr>
            <w:tcW w:w="305" w:type="dxa"/>
            <w:tcBorders>
              <w:top w:val="single" w:sz="4" w:space="0" w:color="D9D9D9" w:themeColor="background1" w:themeShade="D9"/>
            </w:tcBorders>
          </w:tcPr>
          <w:p w14:paraId="0B13A067" w14:textId="77777777" w:rsidR="00B65EDC" w:rsidRPr="00E675E8" w:rsidRDefault="00B65EDC">
            <w:pPr>
              <w:jc w:val="center"/>
              <w:rPr>
                <w:rFonts w:cs="Arial"/>
                <w:sz w:val="16"/>
                <w:szCs w:val="16"/>
                <w:lang w:val="es-ES_tradnl"/>
              </w:rPr>
            </w:pPr>
            <w:r w:rsidRPr="00E675E8">
              <w:rPr>
                <w:sz w:val="16"/>
                <w:lang w:val="es-ES_tradnl"/>
              </w:rPr>
              <w:t>1</w:t>
            </w:r>
          </w:p>
        </w:tc>
        <w:tc>
          <w:tcPr>
            <w:tcW w:w="2457" w:type="dxa"/>
            <w:tcBorders>
              <w:top w:val="single" w:sz="4" w:space="0" w:color="D9D9D9" w:themeColor="background1" w:themeShade="D9"/>
            </w:tcBorders>
          </w:tcPr>
          <w:p w14:paraId="0AFD54BB" w14:textId="77777777" w:rsidR="00B65EDC" w:rsidRPr="00E675E8" w:rsidRDefault="00B65EDC">
            <w:pPr>
              <w:jc w:val="left"/>
              <w:rPr>
                <w:rFonts w:cs="Arial"/>
                <w:sz w:val="16"/>
                <w:szCs w:val="16"/>
                <w:lang w:val="es-ES_tradnl"/>
              </w:rPr>
            </w:pPr>
          </w:p>
        </w:tc>
        <w:tc>
          <w:tcPr>
            <w:tcW w:w="1632" w:type="dxa"/>
            <w:tcBorders>
              <w:top w:val="single" w:sz="4" w:space="0" w:color="D9D9D9" w:themeColor="background1" w:themeShade="D9"/>
            </w:tcBorders>
            <w:vAlign w:val="bottom"/>
          </w:tcPr>
          <w:p w14:paraId="33A83E16" w14:textId="77777777" w:rsidR="00B65EDC" w:rsidRPr="00E675E8" w:rsidRDefault="00B65EDC">
            <w:pPr>
              <w:jc w:val="left"/>
              <w:rPr>
                <w:rFonts w:cs="Arial"/>
                <w:sz w:val="16"/>
                <w:szCs w:val="16"/>
                <w:lang w:val="es-ES_tradnl"/>
              </w:rPr>
            </w:pPr>
          </w:p>
        </w:tc>
        <w:tc>
          <w:tcPr>
            <w:tcW w:w="1559" w:type="dxa"/>
            <w:tcBorders>
              <w:top w:val="single" w:sz="4" w:space="0" w:color="D9D9D9" w:themeColor="background1" w:themeShade="D9"/>
            </w:tcBorders>
            <w:vAlign w:val="bottom"/>
          </w:tcPr>
          <w:p w14:paraId="586295A7" w14:textId="77777777" w:rsidR="00B65EDC" w:rsidRPr="00E675E8" w:rsidRDefault="00B65EDC">
            <w:pPr>
              <w:jc w:val="center"/>
              <w:rPr>
                <w:rFonts w:cs="Arial"/>
                <w:sz w:val="16"/>
                <w:szCs w:val="16"/>
                <w:lang w:val="es-ES_tradnl"/>
              </w:rPr>
            </w:pPr>
          </w:p>
        </w:tc>
      </w:tr>
      <w:tr w:rsidR="00B65EDC" w:rsidRPr="00E675E8" w14:paraId="2504296E" w14:textId="77777777">
        <w:tc>
          <w:tcPr>
            <w:tcW w:w="426" w:type="dxa"/>
            <w:tcBorders>
              <w:top w:val="single" w:sz="4" w:space="0" w:color="D9D9D9" w:themeColor="background1" w:themeShade="D9"/>
            </w:tcBorders>
          </w:tcPr>
          <w:p w14:paraId="6FAA4879" w14:textId="77777777" w:rsidR="00B65EDC" w:rsidRPr="00E675E8" w:rsidRDefault="00B65EDC">
            <w:pPr>
              <w:jc w:val="left"/>
              <w:rPr>
                <w:rFonts w:cs="Arial"/>
                <w:sz w:val="16"/>
                <w:szCs w:val="16"/>
                <w:lang w:val="es-ES_tradnl"/>
              </w:rPr>
            </w:pPr>
          </w:p>
        </w:tc>
        <w:tc>
          <w:tcPr>
            <w:tcW w:w="3255" w:type="dxa"/>
            <w:tcBorders>
              <w:top w:val="single" w:sz="4" w:space="0" w:color="D9D9D9" w:themeColor="background1" w:themeShade="D9"/>
            </w:tcBorders>
          </w:tcPr>
          <w:p w14:paraId="72AB42BD" w14:textId="77777777" w:rsidR="00B65EDC" w:rsidRPr="00E675E8" w:rsidRDefault="00B65EDC">
            <w:pPr>
              <w:jc w:val="left"/>
              <w:rPr>
                <w:rFonts w:cs="Arial"/>
                <w:sz w:val="16"/>
                <w:szCs w:val="16"/>
                <w:lang w:val="es-ES_tradnl"/>
              </w:rPr>
            </w:pPr>
          </w:p>
        </w:tc>
        <w:tc>
          <w:tcPr>
            <w:tcW w:w="305" w:type="dxa"/>
            <w:tcBorders>
              <w:top w:val="single" w:sz="4" w:space="0" w:color="D9D9D9" w:themeColor="background1" w:themeShade="D9"/>
            </w:tcBorders>
          </w:tcPr>
          <w:p w14:paraId="2F2C455F" w14:textId="77777777" w:rsidR="00B65EDC" w:rsidRPr="00E675E8" w:rsidRDefault="00B65EDC">
            <w:pPr>
              <w:jc w:val="center"/>
              <w:rPr>
                <w:rFonts w:cs="Arial"/>
                <w:sz w:val="16"/>
                <w:szCs w:val="16"/>
                <w:lang w:val="es-ES_tradnl"/>
              </w:rPr>
            </w:pPr>
          </w:p>
        </w:tc>
        <w:tc>
          <w:tcPr>
            <w:tcW w:w="2457" w:type="dxa"/>
            <w:tcBorders>
              <w:top w:val="single" w:sz="4" w:space="0" w:color="D9D9D9" w:themeColor="background1" w:themeShade="D9"/>
            </w:tcBorders>
          </w:tcPr>
          <w:p w14:paraId="506E18F7" w14:textId="77777777" w:rsidR="00B65EDC" w:rsidRPr="00E675E8" w:rsidRDefault="00B65EDC">
            <w:pPr>
              <w:jc w:val="left"/>
              <w:rPr>
                <w:rFonts w:cs="Arial"/>
                <w:sz w:val="16"/>
                <w:szCs w:val="16"/>
                <w:lang w:val="es-ES_tradnl"/>
              </w:rPr>
            </w:pPr>
          </w:p>
        </w:tc>
        <w:tc>
          <w:tcPr>
            <w:tcW w:w="1632" w:type="dxa"/>
            <w:tcBorders>
              <w:top w:val="single" w:sz="4" w:space="0" w:color="D9D9D9" w:themeColor="background1" w:themeShade="D9"/>
            </w:tcBorders>
            <w:vAlign w:val="bottom"/>
          </w:tcPr>
          <w:p w14:paraId="2AC09233" w14:textId="77777777" w:rsidR="00B65EDC" w:rsidRPr="00E675E8" w:rsidRDefault="00B65EDC">
            <w:pPr>
              <w:jc w:val="left"/>
              <w:rPr>
                <w:rFonts w:cs="Arial"/>
                <w:sz w:val="16"/>
                <w:szCs w:val="16"/>
                <w:lang w:val="es-ES_tradnl"/>
              </w:rPr>
            </w:pPr>
          </w:p>
        </w:tc>
        <w:tc>
          <w:tcPr>
            <w:tcW w:w="1559" w:type="dxa"/>
            <w:tcBorders>
              <w:top w:val="single" w:sz="4" w:space="0" w:color="D9D9D9" w:themeColor="background1" w:themeShade="D9"/>
            </w:tcBorders>
            <w:vAlign w:val="bottom"/>
          </w:tcPr>
          <w:p w14:paraId="38B57988" w14:textId="77777777" w:rsidR="00B65EDC" w:rsidRPr="00E675E8" w:rsidRDefault="00B65EDC">
            <w:pPr>
              <w:jc w:val="center"/>
              <w:rPr>
                <w:rFonts w:cs="Arial"/>
                <w:sz w:val="16"/>
                <w:szCs w:val="16"/>
                <w:lang w:val="es-ES_tradnl"/>
              </w:rPr>
            </w:pPr>
          </w:p>
        </w:tc>
      </w:tr>
      <w:tr w:rsidR="00B65EDC" w:rsidRPr="00E675E8" w14:paraId="36191B93" w14:textId="77777777">
        <w:tc>
          <w:tcPr>
            <w:tcW w:w="426" w:type="dxa"/>
          </w:tcPr>
          <w:p w14:paraId="2BB61E54" w14:textId="77777777" w:rsidR="00B65EDC" w:rsidRPr="00E675E8" w:rsidRDefault="00B65EDC">
            <w:pPr>
              <w:jc w:val="left"/>
              <w:rPr>
                <w:rFonts w:cs="Arial"/>
                <w:sz w:val="16"/>
                <w:szCs w:val="16"/>
                <w:lang w:val="es-ES_tradnl"/>
              </w:rPr>
            </w:pPr>
          </w:p>
        </w:tc>
        <w:tc>
          <w:tcPr>
            <w:tcW w:w="3255" w:type="dxa"/>
          </w:tcPr>
          <w:p w14:paraId="04B64D4B" w14:textId="77777777" w:rsidR="00B65EDC" w:rsidRPr="00E675E8" w:rsidRDefault="00B65EDC">
            <w:pPr>
              <w:jc w:val="left"/>
              <w:rPr>
                <w:rFonts w:cs="Arial"/>
                <w:sz w:val="16"/>
                <w:szCs w:val="16"/>
                <w:lang w:val="es-ES_tradnl"/>
              </w:rPr>
            </w:pPr>
            <w:r w:rsidRPr="00E675E8">
              <w:rPr>
                <w:sz w:val="16"/>
                <w:lang w:val="es-ES_tradnl"/>
              </w:rPr>
              <w:t>Aumento del número de variedades desarrolladas en el marco del sistema de la UPOV</w:t>
            </w:r>
          </w:p>
        </w:tc>
        <w:tc>
          <w:tcPr>
            <w:tcW w:w="305" w:type="dxa"/>
          </w:tcPr>
          <w:p w14:paraId="60BFE261" w14:textId="77777777" w:rsidR="00B65EDC" w:rsidRPr="00E675E8" w:rsidRDefault="00B65EDC">
            <w:pPr>
              <w:jc w:val="center"/>
              <w:rPr>
                <w:rFonts w:cs="Arial"/>
                <w:sz w:val="16"/>
                <w:szCs w:val="16"/>
                <w:lang w:val="es-ES_tradnl"/>
              </w:rPr>
            </w:pPr>
          </w:p>
        </w:tc>
        <w:tc>
          <w:tcPr>
            <w:tcW w:w="2457" w:type="dxa"/>
          </w:tcPr>
          <w:p w14:paraId="3C5C7C8E" w14:textId="77777777" w:rsidR="00B65EDC" w:rsidRPr="00E675E8" w:rsidRDefault="00B65EDC">
            <w:pPr>
              <w:ind w:left="284"/>
              <w:jc w:val="left"/>
              <w:rPr>
                <w:rFonts w:cs="Arial"/>
                <w:sz w:val="16"/>
                <w:szCs w:val="16"/>
                <w:lang w:val="es-ES_tradnl"/>
              </w:rPr>
            </w:pPr>
            <w:r w:rsidRPr="00E675E8">
              <w:rPr>
                <w:sz w:val="16"/>
                <w:lang w:val="es-ES_tradnl"/>
              </w:rPr>
              <w:t>Número de solicitudes en los miembros de la UPOV</w:t>
            </w:r>
          </w:p>
        </w:tc>
        <w:tc>
          <w:tcPr>
            <w:tcW w:w="1632" w:type="dxa"/>
            <w:vAlign w:val="center"/>
          </w:tcPr>
          <w:p w14:paraId="43231AD8" w14:textId="379D7936" w:rsidR="00B65EDC" w:rsidRPr="00E675E8" w:rsidRDefault="0088452A">
            <w:pPr>
              <w:ind w:right="221"/>
              <w:jc w:val="right"/>
              <w:rPr>
                <w:rFonts w:cs="Arial"/>
                <w:sz w:val="16"/>
                <w:szCs w:val="16"/>
                <w:lang w:val="es-ES_tradnl"/>
              </w:rPr>
            </w:pPr>
            <w:r w:rsidRPr="00E675E8">
              <w:rPr>
                <w:sz w:val="16"/>
                <w:lang w:val="es-ES_tradnl"/>
              </w:rPr>
              <w:t>29 250 (2024)</w:t>
            </w:r>
          </w:p>
        </w:tc>
        <w:tc>
          <w:tcPr>
            <w:tcW w:w="1559" w:type="dxa"/>
            <w:vAlign w:val="center"/>
          </w:tcPr>
          <w:p w14:paraId="67EDE929" w14:textId="1AE49E49" w:rsidR="00B65EDC" w:rsidRPr="00E675E8" w:rsidRDefault="00367596">
            <w:pPr>
              <w:ind w:right="230"/>
              <w:jc w:val="right"/>
              <w:rPr>
                <w:rFonts w:cs="Arial"/>
                <w:sz w:val="16"/>
                <w:szCs w:val="16"/>
                <w:lang w:val="es-ES_tradnl"/>
              </w:rPr>
            </w:pPr>
            <w:r w:rsidRPr="00E675E8">
              <w:rPr>
                <w:sz w:val="16"/>
                <w:lang w:val="es-ES_tradnl"/>
              </w:rPr>
              <w:t>29 800 (2026)</w:t>
            </w:r>
          </w:p>
          <w:p w14:paraId="34C9A058" w14:textId="2F3FCFE7" w:rsidR="003F1324" w:rsidRPr="00E675E8" w:rsidRDefault="003A212A" w:rsidP="00443835">
            <w:pPr>
              <w:ind w:right="230"/>
              <w:jc w:val="right"/>
              <w:rPr>
                <w:rFonts w:cs="Arial"/>
                <w:sz w:val="16"/>
                <w:szCs w:val="16"/>
                <w:lang w:val="es-ES_tradnl"/>
              </w:rPr>
            </w:pPr>
            <w:r w:rsidRPr="00E675E8">
              <w:rPr>
                <w:sz w:val="16"/>
                <w:lang w:val="es-ES_tradnl"/>
              </w:rPr>
              <w:t>30 100 (2027)</w:t>
            </w:r>
          </w:p>
        </w:tc>
      </w:tr>
      <w:tr w:rsidR="00B65EDC" w:rsidRPr="00E675E8" w14:paraId="6D65FC5D" w14:textId="77777777">
        <w:tc>
          <w:tcPr>
            <w:tcW w:w="426" w:type="dxa"/>
          </w:tcPr>
          <w:p w14:paraId="7C439471" w14:textId="77777777" w:rsidR="00B65EDC" w:rsidRPr="00E675E8" w:rsidRDefault="00B65EDC">
            <w:pPr>
              <w:jc w:val="left"/>
              <w:rPr>
                <w:rFonts w:cs="Arial"/>
                <w:sz w:val="16"/>
                <w:szCs w:val="16"/>
                <w:lang w:val="es-ES_tradnl"/>
              </w:rPr>
            </w:pPr>
          </w:p>
        </w:tc>
        <w:tc>
          <w:tcPr>
            <w:tcW w:w="3255" w:type="dxa"/>
          </w:tcPr>
          <w:p w14:paraId="47A29C2D" w14:textId="77777777" w:rsidR="00B65EDC" w:rsidRPr="00E675E8" w:rsidRDefault="00B65EDC">
            <w:pPr>
              <w:jc w:val="left"/>
              <w:rPr>
                <w:rFonts w:cs="Arial"/>
                <w:sz w:val="16"/>
                <w:szCs w:val="16"/>
                <w:lang w:val="es-ES_tradnl"/>
              </w:rPr>
            </w:pPr>
          </w:p>
        </w:tc>
        <w:tc>
          <w:tcPr>
            <w:tcW w:w="305" w:type="dxa"/>
            <w:tcBorders>
              <w:bottom w:val="nil"/>
            </w:tcBorders>
          </w:tcPr>
          <w:p w14:paraId="444E3E31" w14:textId="77777777" w:rsidR="00B65EDC" w:rsidRPr="00E675E8" w:rsidRDefault="00B65EDC">
            <w:pPr>
              <w:jc w:val="center"/>
              <w:rPr>
                <w:rFonts w:cs="Arial"/>
                <w:sz w:val="16"/>
                <w:szCs w:val="16"/>
                <w:lang w:val="es-ES_tradnl"/>
              </w:rPr>
            </w:pPr>
          </w:p>
        </w:tc>
        <w:tc>
          <w:tcPr>
            <w:tcW w:w="2457" w:type="dxa"/>
            <w:tcBorders>
              <w:bottom w:val="nil"/>
            </w:tcBorders>
          </w:tcPr>
          <w:p w14:paraId="08B4C176" w14:textId="77777777" w:rsidR="00B65EDC" w:rsidRPr="00E675E8" w:rsidRDefault="00B65EDC">
            <w:pPr>
              <w:ind w:left="284"/>
              <w:jc w:val="left"/>
              <w:rPr>
                <w:rFonts w:cs="Arial"/>
                <w:sz w:val="16"/>
                <w:szCs w:val="16"/>
                <w:lang w:val="es-ES_tradnl"/>
              </w:rPr>
            </w:pPr>
            <w:r w:rsidRPr="00E675E8">
              <w:rPr>
                <w:sz w:val="16"/>
                <w:lang w:val="es-ES_tradnl"/>
              </w:rPr>
              <w:t>Número de títulos concedidos en los miembros de la UPOV</w:t>
            </w:r>
          </w:p>
        </w:tc>
        <w:tc>
          <w:tcPr>
            <w:tcW w:w="1632" w:type="dxa"/>
            <w:vAlign w:val="center"/>
          </w:tcPr>
          <w:p w14:paraId="196E6F50" w14:textId="010CB653" w:rsidR="00B65EDC" w:rsidRPr="00E675E8" w:rsidRDefault="0088452A">
            <w:pPr>
              <w:ind w:right="221"/>
              <w:jc w:val="right"/>
              <w:rPr>
                <w:rFonts w:cs="Arial"/>
                <w:sz w:val="16"/>
                <w:szCs w:val="16"/>
                <w:lang w:val="es-ES_tradnl"/>
              </w:rPr>
            </w:pPr>
            <w:r w:rsidRPr="00E675E8">
              <w:rPr>
                <w:sz w:val="16"/>
                <w:lang w:val="es-ES_tradnl"/>
              </w:rPr>
              <w:t>17 270 (2024)</w:t>
            </w:r>
          </w:p>
        </w:tc>
        <w:tc>
          <w:tcPr>
            <w:tcW w:w="1559" w:type="dxa"/>
            <w:vAlign w:val="center"/>
          </w:tcPr>
          <w:p w14:paraId="04785238" w14:textId="26ED4D4D" w:rsidR="00B65EDC" w:rsidRPr="00E675E8" w:rsidRDefault="007151CF">
            <w:pPr>
              <w:ind w:right="230"/>
              <w:jc w:val="right"/>
              <w:rPr>
                <w:rFonts w:cs="Arial"/>
                <w:sz w:val="16"/>
                <w:szCs w:val="16"/>
                <w:lang w:val="es-ES_tradnl"/>
              </w:rPr>
            </w:pPr>
            <w:r w:rsidRPr="00E675E8">
              <w:rPr>
                <w:sz w:val="16"/>
                <w:lang w:val="es-ES_tradnl"/>
              </w:rPr>
              <w:t>18 000 (2026)</w:t>
            </w:r>
          </w:p>
          <w:p w14:paraId="3CB10051" w14:textId="33F7E5F2" w:rsidR="002379B6" w:rsidRPr="00E675E8" w:rsidRDefault="00162FB4">
            <w:pPr>
              <w:ind w:right="230"/>
              <w:jc w:val="right"/>
              <w:rPr>
                <w:rFonts w:cs="Arial"/>
                <w:sz w:val="16"/>
                <w:szCs w:val="16"/>
                <w:highlight w:val="magenta"/>
                <w:lang w:val="es-ES_tradnl"/>
              </w:rPr>
            </w:pPr>
            <w:r w:rsidRPr="00E675E8">
              <w:rPr>
                <w:sz w:val="16"/>
                <w:lang w:val="es-ES_tradnl"/>
              </w:rPr>
              <w:t>18 300 (2027)</w:t>
            </w:r>
          </w:p>
        </w:tc>
      </w:tr>
      <w:tr w:rsidR="00B65EDC" w:rsidRPr="00E675E8" w14:paraId="41B405DF" w14:textId="77777777">
        <w:tc>
          <w:tcPr>
            <w:tcW w:w="426" w:type="dxa"/>
            <w:tcBorders>
              <w:bottom w:val="single" w:sz="4" w:space="0" w:color="D9D9D9" w:themeColor="background1" w:themeShade="D9"/>
            </w:tcBorders>
          </w:tcPr>
          <w:p w14:paraId="7C8F6CEC" w14:textId="77777777" w:rsidR="00B65EDC" w:rsidRPr="00E675E8" w:rsidRDefault="00B65EDC">
            <w:pPr>
              <w:jc w:val="left"/>
              <w:rPr>
                <w:rFonts w:cs="Arial"/>
                <w:sz w:val="16"/>
                <w:szCs w:val="16"/>
                <w:lang w:val="es-ES_tradnl"/>
              </w:rPr>
            </w:pPr>
          </w:p>
        </w:tc>
        <w:tc>
          <w:tcPr>
            <w:tcW w:w="3255" w:type="dxa"/>
            <w:tcBorders>
              <w:bottom w:val="single" w:sz="4" w:space="0" w:color="D9D9D9" w:themeColor="background1" w:themeShade="D9"/>
            </w:tcBorders>
          </w:tcPr>
          <w:p w14:paraId="2552A4BA" w14:textId="77777777" w:rsidR="00B65EDC" w:rsidRPr="00E675E8" w:rsidRDefault="00B65EDC">
            <w:pPr>
              <w:jc w:val="left"/>
              <w:rPr>
                <w:rFonts w:cs="Arial"/>
                <w:sz w:val="16"/>
                <w:szCs w:val="16"/>
                <w:lang w:val="es-ES_tradnl"/>
              </w:rPr>
            </w:pPr>
          </w:p>
        </w:tc>
        <w:tc>
          <w:tcPr>
            <w:tcW w:w="305" w:type="dxa"/>
            <w:tcBorders>
              <w:bottom w:val="single" w:sz="4" w:space="0" w:color="D9D9D9" w:themeColor="background1" w:themeShade="D9"/>
              <w:right w:val="nil"/>
            </w:tcBorders>
          </w:tcPr>
          <w:p w14:paraId="6E864B4F" w14:textId="77777777" w:rsidR="00B65EDC" w:rsidRPr="00E675E8" w:rsidRDefault="00B65EDC">
            <w:pPr>
              <w:jc w:val="center"/>
              <w:rPr>
                <w:rFonts w:cs="Arial"/>
                <w:sz w:val="16"/>
                <w:szCs w:val="16"/>
                <w:lang w:val="es-ES_tradnl"/>
              </w:rPr>
            </w:pPr>
          </w:p>
        </w:tc>
        <w:tc>
          <w:tcPr>
            <w:tcW w:w="2457" w:type="dxa"/>
            <w:tcBorders>
              <w:left w:val="nil"/>
              <w:bottom w:val="single" w:sz="4" w:space="0" w:color="D9D9D9" w:themeColor="background1" w:themeShade="D9"/>
            </w:tcBorders>
          </w:tcPr>
          <w:p w14:paraId="31040A70" w14:textId="77777777" w:rsidR="00B65EDC" w:rsidRPr="00E675E8" w:rsidRDefault="00B65EDC">
            <w:pPr>
              <w:ind w:left="284"/>
              <w:jc w:val="left"/>
              <w:rPr>
                <w:rFonts w:cs="Arial"/>
                <w:sz w:val="16"/>
                <w:szCs w:val="16"/>
                <w:lang w:val="es-ES_tradnl"/>
              </w:rPr>
            </w:pPr>
            <w:r w:rsidRPr="00E675E8">
              <w:rPr>
                <w:sz w:val="16"/>
                <w:lang w:val="es-ES_tradnl"/>
              </w:rPr>
              <w:t>Número de títulos en vigor en los miembros de la UPOV</w:t>
            </w:r>
          </w:p>
        </w:tc>
        <w:tc>
          <w:tcPr>
            <w:tcW w:w="1632" w:type="dxa"/>
            <w:tcBorders>
              <w:bottom w:val="single" w:sz="4" w:space="0" w:color="D9D9D9" w:themeColor="background1" w:themeShade="D9"/>
            </w:tcBorders>
            <w:vAlign w:val="center"/>
          </w:tcPr>
          <w:p w14:paraId="03114488" w14:textId="5FBB5063" w:rsidR="00B65EDC" w:rsidRPr="00E675E8" w:rsidRDefault="0088452A">
            <w:pPr>
              <w:ind w:right="221"/>
              <w:jc w:val="right"/>
              <w:rPr>
                <w:rFonts w:cs="Arial"/>
                <w:sz w:val="16"/>
                <w:szCs w:val="16"/>
                <w:lang w:val="es-ES_tradnl"/>
              </w:rPr>
            </w:pPr>
            <w:r w:rsidRPr="00E675E8">
              <w:rPr>
                <w:sz w:val="16"/>
                <w:lang w:val="es-ES_tradnl"/>
              </w:rPr>
              <w:t>203 760 (2024)</w:t>
            </w:r>
          </w:p>
        </w:tc>
        <w:tc>
          <w:tcPr>
            <w:tcW w:w="1559" w:type="dxa"/>
            <w:tcBorders>
              <w:bottom w:val="single" w:sz="4" w:space="0" w:color="D9D9D9" w:themeColor="background1" w:themeShade="D9"/>
            </w:tcBorders>
            <w:vAlign w:val="center"/>
          </w:tcPr>
          <w:p w14:paraId="7CDF557F" w14:textId="5A47DBEE" w:rsidR="00B65EDC" w:rsidRPr="00E675E8" w:rsidRDefault="00632CA9">
            <w:pPr>
              <w:ind w:right="230"/>
              <w:jc w:val="right"/>
              <w:rPr>
                <w:rFonts w:cs="Arial"/>
                <w:sz w:val="16"/>
                <w:szCs w:val="16"/>
                <w:lang w:val="es-ES_tradnl"/>
              </w:rPr>
            </w:pPr>
            <w:r w:rsidRPr="00E675E8">
              <w:rPr>
                <w:sz w:val="16"/>
                <w:lang w:val="es-ES_tradnl"/>
              </w:rPr>
              <w:t>224 000 (2026)</w:t>
            </w:r>
          </w:p>
          <w:p w14:paraId="487EC0B7" w14:textId="3007D5AF" w:rsidR="009C40AA" w:rsidRPr="00E675E8" w:rsidRDefault="006537FE" w:rsidP="00443835">
            <w:pPr>
              <w:ind w:right="230"/>
              <w:jc w:val="right"/>
              <w:rPr>
                <w:rFonts w:cs="Arial"/>
                <w:sz w:val="16"/>
                <w:szCs w:val="16"/>
                <w:lang w:val="es-ES_tradnl"/>
              </w:rPr>
            </w:pPr>
            <w:r w:rsidRPr="00E675E8">
              <w:rPr>
                <w:sz w:val="16"/>
                <w:lang w:val="es-ES_tradnl"/>
              </w:rPr>
              <w:t>235 000 (2027)</w:t>
            </w:r>
          </w:p>
        </w:tc>
      </w:tr>
      <w:tr w:rsidR="00B65EDC" w:rsidRPr="00E675E8" w14:paraId="6E2C6202" w14:textId="77777777">
        <w:tc>
          <w:tcPr>
            <w:tcW w:w="426" w:type="dxa"/>
            <w:tcBorders>
              <w:top w:val="single" w:sz="4" w:space="0" w:color="D9D9D9" w:themeColor="background1" w:themeShade="D9"/>
            </w:tcBorders>
          </w:tcPr>
          <w:p w14:paraId="3252213E" w14:textId="77777777" w:rsidR="00B65EDC" w:rsidRPr="00E675E8" w:rsidRDefault="00B65EDC">
            <w:pPr>
              <w:jc w:val="left"/>
              <w:rPr>
                <w:rFonts w:cs="Arial"/>
                <w:sz w:val="16"/>
                <w:szCs w:val="16"/>
                <w:lang w:val="es-ES_tradnl"/>
              </w:rPr>
            </w:pPr>
          </w:p>
        </w:tc>
        <w:tc>
          <w:tcPr>
            <w:tcW w:w="3255" w:type="dxa"/>
            <w:tcBorders>
              <w:top w:val="single" w:sz="4" w:space="0" w:color="D9D9D9" w:themeColor="background1" w:themeShade="D9"/>
            </w:tcBorders>
          </w:tcPr>
          <w:p w14:paraId="13D20A36" w14:textId="77777777" w:rsidR="00B65EDC" w:rsidRPr="00E675E8" w:rsidRDefault="00B65EDC">
            <w:pPr>
              <w:jc w:val="left"/>
              <w:rPr>
                <w:rFonts w:cs="Arial"/>
                <w:sz w:val="16"/>
                <w:szCs w:val="16"/>
                <w:lang w:val="es-ES_tradnl"/>
              </w:rPr>
            </w:pPr>
          </w:p>
        </w:tc>
        <w:tc>
          <w:tcPr>
            <w:tcW w:w="305" w:type="dxa"/>
            <w:tcBorders>
              <w:top w:val="single" w:sz="4" w:space="0" w:color="D9D9D9" w:themeColor="background1" w:themeShade="D9"/>
            </w:tcBorders>
          </w:tcPr>
          <w:p w14:paraId="7BDE866A" w14:textId="77777777" w:rsidR="00B65EDC" w:rsidRPr="00E675E8" w:rsidRDefault="00B65EDC">
            <w:pPr>
              <w:jc w:val="center"/>
              <w:rPr>
                <w:rFonts w:cs="Arial"/>
                <w:sz w:val="16"/>
                <w:szCs w:val="16"/>
                <w:lang w:val="es-ES_tradnl"/>
              </w:rPr>
            </w:pPr>
          </w:p>
        </w:tc>
        <w:tc>
          <w:tcPr>
            <w:tcW w:w="2457" w:type="dxa"/>
            <w:tcBorders>
              <w:top w:val="single" w:sz="4" w:space="0" w:color="D9D9D9" w:themeColor="background1" w:themeShade="D9"/>
            </w:tcBorders>
          </w:tcPr>
          <w:p w14:paraId="22D797AE" w14:textId="77777777" w:rsidR="00B65EDC" w:rsidRPr="00E675E8" w:rsidDel="001D1E86" w:rsidRDefault="00B65EDC">
            <w:pPr>
              <w:jc w:val="left"/>
              <w:rPr>
                <w:rFonts w:cs="Arial"/>
                <w:sz w:val="16"/>
                <w:szCs w:val="16"/>
                <w:lang w:val="es-ES_tradnl"/>
              </w:rPr>
            </w:pPr>
          </w:p>
        </w:tc>
        <w:tc>
          <w:tcPr>
            <w:tcW w:w="1632" w:type="dxa"/>
            <w:tcBorders>
              <w:top w:val="single" w:sz="4" w:space="0" w:color="D9D9D9" w:themeColor="background1" w:themeShade="D9"/>
            </w:tcBorders>
            <w:vAlign w:val="bottom"/>
          </w:tcPr>
          <w:p w14:paraId="43E2BBC3" w14:textId="77777777" w:rsidR="00B65EDC" w:rsidRPr="00E675E8" w:rsidRDefault="00B65EDC">
            <w:pPr>
              <w:jc w:val="left"/>
              <w:rPr>
                <w:rFonts w:cs="Arial"/>
                <w:sz w:val="16"/>
                <w:szCs w:val="16"/>
                <w:lang w:val="es-ES_tradnl"/>
              </w:rPr>
            </w:pPr>
          </w:p>
        </w:tc>
        <w:tc>
          <w:tcPr>
            <w:tcW w:w="1559" w:type="dxa"/>
            <w:tcBorders>
              <w:top w:val="single" w:sz="4" w:space="0" w:color="D9D9D9" w:themeColor="background1" w:themeShade="D9"/>
            </w:tcBorders>
            <w:vAlign w:val="bottom"/>
          </w:tcPr>
          <w:p w14:paraId="6C4A019A" w14:textId="77777777" w:rsidR="00B65EDC" w:rsidRPr="00E675E8" w:rsidRDefault="00B65EDC">
            <w:pPr>
              <w:jc w:val="center"/>
              <w:rPr>
                <w:rFonts w:cs="Arial"/>
                <w:sz w:val="16"/>
                <w:szCs w:val="16"/>
                <w:lang w:val="es-ES_tradnl"/>
              </w:rPr>
            </w:pPr>
          </w:p>
        </w:tc>
      </w:tr>
      <w:tr w:rsidR="00B65EDC" w:rsidRPr="00E675E8" w14:paraId="4CA27FEF" w14:textId="77777777">
        <w:tc>
          <w:tcPr>
            <w:tcW w:w="426" w:type="dxa"/>
            <w:tcBorders>
              <w:bottom w:val="single" w:sz="4" w:space="0" w:color="D9D9D9" w:themeColor="background1" w:themeShade="D9"/>
            </w:tcBorders>
          </w:tcPr>
          <w:p w14:paraId="37B8EAAD" w14:textId="77777777" w:rsidR="00B65EDC" w:rsidRPr="00E675E8" w:rsidRDefault="00B65EDC">
            <w:pPr>
              <w:jc w:val="left"/>
              <w:rPr>
                <w:rFonts w:cs="Arial"/>
                <w:sz w:val="16"/>
                <w:szCs w:val="16"/>
                <w:highlight w:val="yellow"/>
                <w:lang w:val="es-ES_tradnl"/>
              </w:rPr>
            </w:pPr>
            <w:r w:rsidRPr="00E675E8">
              <w:rPr>
                <w:sz w:val="16"/>
                <w:lang w:val="es-ES_tradnl"/>
              </w:rPr>
              <w:t>1.2</w:t>
            </w:r>
          </w:p>
        </w:tc>
        <w:tc>
          <w:tcPr>
            <w:tcW w:w="3255" w:type="dxa"/>
            <w:tcBorders>
              <w:bottom w:val="single" w:sz="4" w:space="0" w:color="D9D9D9" w:themeColor="background1" w:themeShade="D9"/>
            </w:tcBorders>
          </w:tcPr>
          <w:p w14:paraId="4C0FC3BE" w14:textId="77777777" w:rsidR="00B65EDC" w:rsidRPr="00E675E8" w:rsidRDefault="00B65EDC">
            <w:pPr>
              <w:jc w:val="left"/>
              <w:rPr>
                <w:rFonts w:cs="Arial"/>
                <w:strike/>
                <w:sz w:val="16"/>
                <w:szCs w:val="16"/>
                <w:lang w:val="es-ES_tradnl"/>
              </w:rPr>
            </w:pPr>
            <w:r w:rsidRPr="00E675E8">
              <w:rPr>
                <w:sz w:val="16"/>
                <w:lang w:val="es-ES_tradnl"/>
              </w:rPr>
              <w:t>Elaboración de legislación sobre la protección de las obtenciones vegetales de conformidad con el Acta de 1991 del Convenio de la UPOV</w:t>
            </w:r>
          </w:p>
        </w:tc>
        <w:tc>
          <w:tcPr>
            <w:tcW w:w="305" w:type="dxa"/>
            <w:tcBorders>
              <w:bottom w:val="single" w:sz="4" w:space="0" w:color="D9D9D9" w:themeColor="background1" w:themeShade="D9"/>
            </w:tcBorders>
          </w:tcPr>
          <w:p w14:paraId="13D52226" w14:textId="77777777" w:rsidR="00B65EDC" w:rsidRPr="00E675E8" w:rsidRDefault="00B65EDC">
            <w:pPr>
              <w:jc w:val="center"/>
              <w:rPr>
                <w:rFonts w:cs="Arial"/>
                <w:sz w:val="16"/>
                <w:szCs w:val="16"/>
                <w:lang w:val="es-ES_tradnl"/>
              </w:rPr>
            </w:pPr>
            <w:r w:rsidRPr="00E675E8">
              <w:rPr>
                <w:sz w:val="16"/>
                <w:lang w:val="es-ES_tradnl"/>
              </w:rPr>
              <w:t>2</w:t>
            </w:r>
          </w:p>
        </w:tc>
        <w:tc>
          <w:tcPr>
            <w:tcW w:w="2457" w:type="dxa"/>
            <w:tcBorders>
              <w:bottom w:val="single" w:sz="4" w:space="0" w:color="D9D9D9" w:themeColor="background1" w:themeShade="D9"/>
            </w:tcBorders>
          </w:tcPr>
          <w:p w14:paraId="728BC246" w14:textId="77777777" w:rsidR="00B65EDC" w:rsidRPr="00E675E8" w:rsidRDefault="00B65EDC">
            <w:pPr>
              <w:ind w:left="284"/>
              <w:jc w:val="left"/>
              <w:rPr>
                <w:rFonts w:cs="Arial"/>
                <w:sz w:val="16"/>
                <w:szCs w:val="16"/>
                <w:lang w:val="es-ES_tradnl"/>
              </w:rPr>
            </w:pPr>
            <w:r w:rsidRPr="00E675E8">
              <w:rPr>
                <w:sz w:val="16"/>
                <w:lang w:val="es-ES_tradnl"/>
              </w:rPr>
              <w:t>Estados y organizaciones que se hacen miembros de la Unión</w:t>
            </w:r>
          </w:p>
        </w:tc>
        <w:tc>
          <w:tcPr>
            <w:tcW w:w="1632" w:type="dxa"/>
            <w:tcBorders>
              <w:bottom w:val="single" w:sz="4" w:space="0" w:color="D9D9D9" w:themeColor="background1" w:themeShade="D9"/>
            </w:tcBorders>
            <w:vAlign w:val="center"/>
          </w:tcPr>
          <w:p w14:paraId="76A8F9A7" w14:textId="77777777" w:rsidR="00B65EDC" w:rsidRPr="00E675E8" w:rsidRDefault="00B65EDC">
            <w:pPr>
              <w:jc w:val="center"/>
              <w:rPr>
                <w:rFonts w:cs="Arial"/>
                <w:sz w:val="16"/>
                <w:szCs w:val="16"/>
                <w:highlight w:val="yellow"/>
                <w:lang w:val="es-ES_tradnl"/>
              </w:rPr>
            </w:pPr>
            <w:r w:rsidRPr="00E675E8">
              <w:rPr>
                <w:sz w:val="16"/>
                <w:lang w:val="es-ES_tradnl"/>
              </w:rPr>
              <w:t>1 al año (2024)</w:t>
            </w:r>
          </w:p>
        </w:tc>
        <w:tc>
          <w:tcPr>
            <w:tcW w:w="1559" w:type="dxa"/>
            <w:tcBorders>
              <w:bottom w:val="single" w:sz="4" w:space="0" w:color="D9D9D9" w:themeColor="background1" w:themeShade="D9"/>
            </w:tcBorders>
            <w:vAlign w:val="center"/>
          </w:tcPr>
          <w:p w14:paraId="4B7E702E" w14:textId="77777777" w:rsidR="00B65EDC" w:rsidRPr="00E675E8" w:rsidRDefault="00B65EDC">
            <w:pPr>
              <w:jc w:val="center"/>
              <w:rPr>
                <w:rFonts w:cs="Arial"/>
                <w:sz w:val="16"/>
                <w:szCs w:val="16"/>
                <w:highlight w:val="yellow"/>
                <w:lang w:val="es-ES_tradnl"/>
              </w:rPr>
            </w:pPr>
            <w:r w:rsidRPr="00E675E8">
              <w:rPr>
                <w:sz w:val="16"/>
                <w:lang w:val="es-ES_tradnl"/>
              </w:rPr>
              <w:t>1 al año</w:t>
            </w:r>
          </w:p>
        </w:tc>
      </w:tr>
    </w:tbl>
    <w:p w14:paraId="1112CAE5" w14:textId="77777777" w:rsidR="00B65EDC" w:rsidRPr="00E675E8" w:rsidRDefault="00B65EDC" w:rsidP="00B65EDC">
      <w:pPr>
        <w:rPr>
          <w:lang w:val="es-ES_tradnl"/>
        </w:rPr>
      </w:pPr>
    </w:p>
    <w:p w14:paraId="18FE6938" w14:textId="77777777" w:rsidR="00B65EDC" w:rsidRPr="00E675E8" w:rsidRDefault="00B65EDC" w:rsidP="00B65EDC">
      <w:pPr>
        <w:rPr>
          <w:lang w:val="es-ES_tradnl"/>
        </w:rPr>
      </w:pPr>
    </w:p>
    <w:p w14:paraId="73173B65" w14:textId="77777777" w:rsidR="00B65EDC" w:rsidRPr="00E675E8" w:rsidRDefault="00B65EDC" w:rsidP="00B65EDC">
      <w:pPr>
        <w:rPr>
          <w:lang w:val="es-ES_tradnl"/>
        </w:rPr>
      </w:pPr>
    </w:p>
    <w:p w14:paraId="5D4E786B" w14:textId="419A0107" w:rsidR="00B65EDC" w:rsidRPr="00E675E8" w:rsidRDefault="00B65EDC" w:rsidP="004448C7">
      <w:pPr>
        <w:pStyle w:val="Heading2"/>
        <w:rPr>
          <w:lang w:val="es-ES_tradnl"/>
        </w:rPr>
      </w:pPr>
      <w:bookmarkStart w:id="460" w:name="_Toc209777770"/>
      <w:r w:rsidRPr="00E675E8">
        <w:rPr>
          <w:lang w:val="es-ES_tradnl"/>
        </w:rPr>
        <w:t>Pilar 2:</w:t>
      </w:r>
      <w:r w:rsidR="002817AB" w:rsidRPr="00E675E8">
        <w:rPr>
          <w:lang w:val="es-ES_tradnl"/>
        </w:rPr>
        <w:t xml:space="preserve"> </w:t>
      </w:r>
      <w:r w:rsidRPr="00E675E8">
        <w:rPr>
          <w:lang w:val="es-ES_tradnl"/>
        </w:rPr>
        <w:t>Proporcionar orientación y asistencia y facilitar la cooperación para la puesta en práctica del sistema de la UPOV</w:t>
      </w:r>
      <w:bookmarkEnd w:id="460"/>
    </w:p>
    <w:p w14:paraId="266E7BE9" w14:textId="77777777" w:rsidR="00B65EDC" w:rsidRPr="00E675E8" w:rsidRDefault="00B65EDC" w:rsidP="00B65EDC">
      <w:pPr>
        <w:keepNext/>
        <w:jc w:val="left"/>
        <w:rPr>
          <w:b/>
          <w:lang w:val="es-ES_tradnl"/>
        </w:rPr>
      </w:pPr>
    </w:p>
    <w:p w14:paraId="779467B7" w14:textId="77777777" w:rsidR="00B65EDC" w:rsidRPr="00E675E8" w:rsidRDefault="00B65EDC" w:rsidP="000363C4">
      <w:pPr>
        <w:pStyle w:val="Heading3"/>
        <w:rPr>
          <w:sz w:val="20"/>
          <w:lang w:val="es-ES_tradnl"/>
        </w:rPr>
      </w:pPr>
      <w:bookmarkStart w:id="461" w:name="_Toc209777771"/>
      <w:r w:rsidRPr="00E675E8">
        <w:rPr>
          <w:lang w:val="es-ES_tradnl"/>
        </w:rPr>
        <w:t>Estrategia para lograr los resultados previstos</w:t>
      </w:r>
      <w:bookmarkEnd w:id="461"/>
    </w:p>
    <w:p w14:paraId="135BE207" w14:textId="77777777" w:rsidR="00B65EDC" w:rsidRPr="00E675E8" w:rsidRDefault="00B65EDC" w:rsidP="00B65EDC">
      <w:pPr>
        <w:keepNext/>
        <w:rPr>
          <w:color w:val="000000" w:themeColor="text1"/>
          <w:lang w:val="es-ES_tradnl"/>
        </w:rPr>
      </w:pPr>
    </w:p>
    <w:p w14:paraId="46FAD479" w14:textId="7F7333BA" w:rsidR="00B65EDC" w:rsidRPr="00E675E8" w:rsidRDefault="00B65EDC" w:rsidP="00B65EDC">
      <w:pPr>
        <w:rPr>
          <w:color w:val="000000" w:themeColor="text1"/>
          <w:lang w:val="es-ES_tradnl"/>
        </w:rPr>
      </w:pPr>
      <w:r w:rsidRPr="00E675E8">
        <w:rPr>
          <w:color w:val="000000" w:themeColor="text1"/>
          <w:lang w:val="es-ES_tradnl"/>
        </w:rPr>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Pr="00E675E8">
        <w:rPr>
          <w:color w:val="000000" w:themeColor="text1"/>
          <w:lang w:val="es-ES_tradnl"/>
        </w:rPr>
        <w:tab/>
        <w:t>Este pilar estratégico engloba la labor de la UPOV dirigida a explicar el estímulo que supone su sistema para el desarrollo de obtenciones vegetales y el beneficio que reportan las nuevas variedades para la sociedad, así como la función que desempeña el sistema de la UPOV en relación con la agricultura y el desarrollo económico del sector rural.</w:t>
      </w:r>
      <w:r w:rsidR="002817AB" w:rsidRPr="00E675E8">
        <w:rPr>
          <w:color w:val="000000" w:themeColor="text1"/>
          <w:lang w:val="es-ES_tradnl"/>
        </w:rPr>
        <w:t xml:space="preserve"> </w:t>
      </w:r>
      <w:r w:rsidRPr="00E675E8">
        <w:rPr>
          <w:color w:val="000000" w:themeColor="text1"/>
          <w:lang w:val="es-ES_tradnl"/>
        </w:rPr>
        <w:t>Un objetivo específico es sensibilizar a los Estados y las organizaciones intergubernamentales que no son miembros de la Unión sobre las ventajas que entraña la protección de las obtenciones vegetales con arreglo al Convenio de la UPOV y la condición de miembro de la UPOV.</w:t>
      </w:r>
      <w:r w:rsidR="002817AB" w:rsidRPr="00E675E8">
        <w:rPr>
          <w:color w:val="000000" w:themeColor="text1"/>
          <w:lang w:val="es-ES_tradnl"/>
        </w:rPr>
        <w:t xml:space="preserve"> </w:t>
      </w:r>
      <w:r w:rsidRPr="00E675E8">
        <w:rPr>
          <w:color w:val="000000" w:themeColor="text1"/>
          <w:lang w:val="es-ES_tradnl"/>
        </w:rPr>
        <w:t>Cabe incluir también en este pilar el suministro de las orientaciones e informaciones que sean necesarias para el funcionamiento del sistema de protección de las obtenciones vegetales y el apoyo a la cooperación entre los miembros de la Unión, en particular la labor de armonización.</w:t>
      </w:r>
    </w:p>
    <w:p w14:paraId="1FB60D10" w14:textId="77777777" w:rsidR="00B65EDC" w:rsidRPr="00E675E8" w:rsidRDefault="00B65EDC" w:rsidP="00B65EDC">
      <w:pPr>
        <w:rPr>
          <w:color w:val="000000" w:themeColor="text1"/>
          <w:lang w:val="es-ES_tradnl"/>
        </w:rPr>
      </w:pPr>
    </w:p>
    <w:p w14:paraId="261FCFE4" w14:textId="77777777" w:rsidR="00B65EDC" w:rsidRPr="00E675E8" w:rsidRDefault="00B65EDC" w:rsidP="003F289C">
      <w:pPr>
        <w:pStyle w:val="Heading4"/>
        <w:rPr>
          <w:color w:val="000000"/>
          <w:lang w:val="es-ES_tradnl"/>
          <w14:textFill>
            <w14:solidFill>
              <w14:srgbClr w14:val="000000">
                <w14:lumMod w14:val="75000"/>
              </w14:srgbClr>
            </w14:solidFill>
          </w14:textFill>
        </w:rPr>
      </w:pPr>
      <w:bookmarkStart w:id="462" w:name="_Toc117798890"/>
      <w:bookmarkStart w:id="463" w:name="_Toc107239595"/>
      <w:bookmarkStart w:id="464" w:name="_Toc107239345"/>
      <w:r w:rsidRPr="00E675E8">
        <w:rPr>
          <w:u w:val="none"/>
          <w:lang w:val="es-ES_tradnl"/>
        </w:rPr>
        <w:t>2.1</w:t>
      </w:r>
      <w:r w:rsidRPr="00E675E8">
        <w:rPr>
          <w:u w:val="none"/>
          <w:lang w:val="es-ES_tradnl"/>
        </w:rPr>
        <w:tab/>
      </w:r>
      <w:r w:rsidRPr="00E675E8">
        <w:rPr>
          <w:lang w:val="es-ES_tradnl"/>
        </w:rPr>
        <w:t>Sensibilización sobre la función que cumple el sistema de la UPOV</w:t>
      </w:r>
      <w:bookmarkEnd w:id="462"/>
      <w:bookmarkEnd w:id="463"/>
      <w:bookmarkEnd w:id="464"/>
    </w:p>
    <w:p w14:paraId="2D7736B2" w14:textId="77777777" w:rsidR="00B65EDC" w:rsidRPr="00E675E8" w:rsidRDefault="00B65EDC" w:rsidP="00B65EDC">
      <w:pPr>
        <w:pStyle w:val="Heading5"/>
        <w:rPr>
          <w:lang w:val="es-ES_tradnl"/>
        </w:rPr>
      </w:pPr>
    </w:p>
    <w:p w14:paraId="517A0E79" w14:textId="3403F971"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En el marco de la estrategia de comunicación de la UPOV, la atención se centrará en el desarrollo de nueva información relativa a las ventajas que ofrece la protección de las variedades vegetales y la pertenencia a la UPOV.</w:t>
      </w:r>
      <w:r w:rsidR="002817AB" w:rsidRPr="00E675E8">
        <w:rPr>
          <w:lang w:val="es-ES_tradnl"/>
        </w:rPr>
        <w:t xml:space="preserve"> </w:t>
      </w:r>
      <w:r w:rsidRPr="00E675E8">
        <w:rPr>
          <w:lang w:val="es-ES_tradnl"/>
        </w:rPr>
        <w:t xml:space="preserve">La Oficina de la Unión colaborará con los miembros de la Unión para desarrollar ejemplos </w:t>
      </w:r>
      <w:r w:rsidRPr="00E675E8">
        <w:rPr>
          <w:lang w:val="es-ES_tradnl"/>
        </w:rPr>
        <w:lastRenderedPageBreak/>
        <w:t>ilustrativos, estudios de casos y datos que permitan comunicar los beneficios del sistema de la UPOV de formas que resulten atractivas, como por ejemplo a través de vídeos, viajes de estudio y estudios de incidencia.</w:t>
      </w:r>
    </w:p>
    <w:p w14:paraId="528A208E" w14:textId="77777777" w:rsidR="00B65EDC" w:rsidRPr="00E675E8" w:rsidRDefault="00B65EDC" w:rsidP="00B65EDC">
      <w:pPr>
        <w:rPr>
          <w:lang w:val="es-ES_tradnl"/>
        </w:rPr>
      </w:pPr>
    </w:p>
    <w:p w14:paraId="180FD74F" w14:textId="77777777"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 xml:space="preserve">La UPOV participará activamente en las reuniones y eventos de las organizaciones pertinentes y la Oficina de la Unión tratará de colaborar estrechamente con las Secretarías de otras organizaciones para aumentar el conocimiento y la comprensión de la misión de la UPOV. </w:t>
      </w:r>
    </w:p>
    <w:p w14:paraId="32C39E82" w14:textId="77777777" w:rsidR="00B65EDC" w:rsidRPr="00E675E8" w:rsidRDefault="00B65EDC" w:rsidP="00B65EDC">
      <w:pPr>
        <w:rPr>
          <w:lang w:val="es-ES_tradnl"/>
        </w:rPr>
      </w:pPr>
    </w:p>
    <w:p w14:paraId="15A4AC88" w14:textId="6AAA7345" w:rsidR="00B65EDC" w:rsidRPr="00E675E8" w:rsidRDefault="00B65EDC" w:rsidP="00B65EDC">
      <w:pPr>
        <w:rPr>
          <w:color w:val="000000" w:themeColor="text1"/>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Los eventos y actividades tradicionales, como seminarios y talleres, seguirán desempeñando un papel fundamental en la divulgación.</w:t>
      </w:r>
      <w:r w:rsidR="002817AB" w:rsidRPr="00E675E8">
        <w:rPr>
          <w:color w:val="000000" w:themeColor="text1"/>
          <w:lang w:val="es-ES_tradnl"/>
        </w:rPr>
        <w:t xml:space="preserve"> </w:t>
      </w:r>
      <w:r w:rsidRPr="00E675E8">
        <w:rPr>
          <w:color w:val="000000" w:themeColor="text1"/>
          <w:lang w:val="es-ES_tradnl"/>
        </w:rPr>
        <w:t>Sin embargo, se hará mayor hincapié en las actividades virtuales para ampliar el alcance, lograr una mayor repercusión, rebajar los costos y reducir el impacto de las actividades de la Oficina de la Unión en el medio ambiente.</w:t>
      </w:r>
    </w:p>
    <w:p w14:paraId="60EADF00" w14:textId="77777777" w:rsidR="003F289C" w:rsidRPr="00E675E8" w:rsidRDefault="003F289C" w:rsidP="00B65EDC">
      <w:pPr>
        <w:rPr>
          <w:color w:val="000000" w:themeColor="text1"/>
          <w:lang w:val="es-ES_tradnl"/>
        </w:rPr>
      </w:pPr>
    </w:p>
    <w:p w14:paraId="4799BB6F" w14:textId="725E6882" w:rsidR="00B65EDC" w:rsidRPr="00E675E8" w:rsidRDefault="00B65EDC" w:rsidP="00B65EDC">
      <w:pPr>
        <w:pStyle w:val="EndnoteText"/>
        <w:keepNext/>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El sitio web de la UPOV sustenta la estrategia de comunicación.</w:t>
      </w:r>
      <w:r w:rsidR="002817AB" w:rsidRPr="00E675E8">
        <w:rPr>
          <w:lang w:val="es-ES_tradnl"/>
        </w:rPr>
        <w:t xml:space="preserve"> </w:t>
      </w:r>
      <w:r w:rsidRPr="00E675E8">
        <w:rPr>
          <w:lang w:val="es-ES_tradnl"/>
        </w:rPr>
        <w:t>Proporciona una plataforma para comunicarse con distintos públicos que además brinda acceso a documentos de reuniones, orientaciones y material de información, información sobre servicios, formación, estadísticas y preguntas frecuentes.</w:t>
      </w:r>
      <w:r w:rsidR="002817AB" w:rsidRPr="00E675E8">
        <w:rPr>
          <w:lang w:val="es-ES_tradnl"/>
        </w:rPr>
        <w:t xml:space="preserve"> </w:t>
      </w:r>
      <w:r w:rsidRPr="00E675E8">
        <w:rPr>
          <w:lang w:val="es-ES_tradnl"/>
        </w:rPr>
        <w:t>El proyecto de rediseño del sitio web de la UPOV se inició en enero de 2025.</w:t>
      </w:r>
      <w:r w:rsidR="002817AB" w:rsidRPr="00E675E8">
        <w:rPr>
          <w:lang w:val="es-ES_tradnl"/>
        </w:rPr>
        <w:t xml:space="preserve"> </w:t>
      </w:r>
      <w:r w:rsidRPr="00E675E8">
        <w:rPr>
          <w:lang w:val="es-ES_tradnl"/>
        </w:rPr>
        <w:t xml:space="preserve">En el bienio 2026-2027 se implantará el nuevo sitio web y se seguirá desarrollando para facilitar el acceso a la información, incluso mediante consultas en motores de búsqueda. </w:t>
      </w:r>
    </w:p>
    <w:p w14:paraId="6FB86398" w14:textId="77777777" w:rsidR="00B65EDC" w:rsidRPr="00E675E8" w:rsidRDefault="00B65EDC" w:rsidP="00B65EDC">
      <w:pPr>
        <w:rPr>
          <w:lang w:val="es-ES_tradnl"/>
        </w:rPr>
      </w:pPr>
    </w:p>
    <w:p w14:paraId="0FD1A8FF" w14:textId="7CA22711" w:rsidR="00B65EDC" w:rsidRPr="00E675E8" w:rsidRDefault="00B65EDC" w:rsidP="00B65EDC">
      <w:pPr>
        <w:keepLines/>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Las redes sociales tendrán un papel cada vez más importante en la comunicación de la información.</w:t>
      </w:r>
      <w:r w:rsidR="002817AB" w:rsidRPr="00E675E8">
        <w:rPr>
          <w:lang w:val="es-ES_tradnl"/>
        </w:rPr>
        <w:t xml:space="preserve"> </w:t>
      </w:r>
      <w:r w:rsidRPr="00E675E8">
        <w:rPr>
          <w:lang w:val="es-ES_tradnl"/>
        </w:rPr>
        <w:t>Debería aumentar la presencia de la UPOV en los canales de comunicación y sensibilizar sobre la presencia y la repercusión mundial de la UPOV.</w:t>
      </w:r>
      <w:r w:rsidR="002817AB" w:rsidRPr="00E675E8">
        <w:rPr>
          <w:lang w:val="es-ES_tradnl"/>
        </w:rPr>
        <w:t xml:space="preserve"> </w:t>
      </w:r>
      <w:r w:rsidRPr="00E675E8">
        <w:rPr>
          <w:lang w:val="es-ES_tradnl"/>
        </w:rPr>
        <w:t>Su uso estratégico se centrará en medidas de equilibrio y eficiencia debido a los limitados recursos de la UPOV.</w:t>
      </w:r>
      <w:r w:rsidR="002817AB" w:rsidRPr="00E675E8">
        <w:rPr>
          <w:lang w:val="es-ES_tradnl"/>
        </w:rPr>
        <w:t xml:space="preserve"> </w:t>
      </w:r>
    </w:p>
    <w:p w14:paraId="794CEBF7" w14:textId="77777777" w:rsidR="00B65EDC" w:rsidRPr="00E675E8" w:rsidRDefault="00B65EDC" w:rsidP="00B65EDC">
      <w:pPr>
        <w:rPr>
          <w:lang w:val="es-ES_tradnl"/>
        </w:rPr>
      </w:pPr>
    </w:p>
    <w:p w14:paraId="17055ED1" w14:textId="3207E56D"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Una de las principales áreas de atención será hacer hincapié en la importancia de garantizar que todos los agricultores tengan acceso a variedades vegetales de alta calidad que satisfagan sus necesidades y sean resilientes a los cambios climáticos, destacando al mismo tiempo el papel fundamental que desempeña el sistema de la UPOV a este respecto.</w:t>
      </w:r>
      <w:r w:rsidR="002817AB" w:rsidRPr="00E675E8">
        <w:rPr>
          <w:lang w:val="es-ES_tradnl"/>
        </w:rPr>
        <w:t xml:space="preserve"> </w:t>
      </w:r>
      <w:r w:rsidRPr="00E675E8">
        <w:rPr>
          <w:lang w:val="es-ES_tradnl"/>
        </w:rPr>
        <w:t>Las experiencias exitosas protagonizadas por los usuarios del sistema UPOV serán fundamentales para demostrar sus beneficios.</w:t>
      </w:r>
      <w:r w:rsidR="002817AB" w:rsidRPr="00E675E8">
        <w:rPr>
          <w:lang w:val="es-ES_tradnl"/>
        </w:rPr>
        <w:t xml:space="preserve"> </w:t>
      </w:r>
      <w:r w:rsidRPr="00E675E8">
        <w:rPr>
          <w:lang w:val="es-ES_tradnl"/>
        </w:rPr>
        <w:t>Para poner de relieve estas cuestiones, se organizará un seminario en 2026.</w:t>
      </w:r>
    </w:p>
    <w:p w14:paraId="4413239C" w14:textId="77777777" w:rsidR="00B65EDC" w:rsidRPr="00E675E8" w:rsidRDefault="00B65EDC" w:rsidP="00B65EDC">
      <w:pPr>
        <w:rPr>
          <w:lang w:val="es-ES_tradnl"/>
        </w:rPr>
      </w:pPr>
    </w:p>
    <w:p w14:paraId="2D49ED8B" w14:textId="4162B572"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En consonancia con la ambición de impulsar sus actividades de comunicación, se ha creado un puesto temporal de oficial adjunto de comunicaciones.</w:t>
      </w:r>
      <w:r w:rsidR="002817AB" w:rsidRPr="00E675E8">
        <w:rPr>
          <w:lang w:val="es-ES_tradnl"/>
        </w:rPr>
        <w:t xml:space="preserve"> </w:t>
      </w:r>
      <w:r w:rsidRPr="00E675E8">
        <w:rPr>
          <w:lang w:val="es-ES_tradnl"/>
        </w:rPr>
        <w:t>Este puesto trabajará en la consecución de los objetivos establecidos en la estrategia de comunicación.</w:t>
      </w:r>
    </w:p>
    <w:p w14:paraId="082AA71F" w14:textId="77777777" w:rsidR="00B65EDC" w:rsidRPr="00E675E8" w:rsidRDefault="00B65EDC" w:rsidP="00B65EDC">
      <w:pPr>
        <w:rPr>
          <w:lang w:val="es-ES_tradnl"/>
        </w:rPr>
      </w:pPr>
    </w:p>
    <w:p w14:paraId="6759F786" w14:textId="2F52623A"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Está previsto que, en 2025, comience un nuevo programa de fondos fiduciarios con el Japón y que continúe en 2026-2027, para apoyar la recopilación y difusión de información sobre la incidencia de la protección de las obtenciones vegetales.</w:t>
      </w:r>
    </w:p>
    <w:p w14:paraId="0179B06B" w14:textId="77777777" w:rsidR="00B65EDC" w:rsidRPr="00E675E8" w:rsidRDefault="00B65EDC" w:rsidP="00B65EDC">
      <w:pPr>
        <w:rPr>
          <w:lang w:val="es-ES_tradnl"/>
        </w:rPr>
      </w:pPr>
    </w:p>
    <w:p w14:paraId="34719917" w14:textId="2707857F"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La política de traducción de la UPOV tiene por objeto utilizar la traducción automática para aumentar la disponibilidad del material de la UPOV en diversos idiomas mediante una traducción cada vez más rentable.</w:t>
      </w:r>
      <w:r w:rsidR="002817AB" w:rsidRPr="00E675E8">
        <w:rPr>
          <w:lang w:val="es-ES_tradnl"/>
        </w:rPr>
        <w:t xml:space="preserve"> </w:t>
      </w:r>
      <w:r w:rsidRPr="00E675E8">
        <w:rPr>
          <w:lang w:val="es-ES_tradnl"/>
        </w:rPr>
        <w:t>El nuevo sitio web de la UPOV mejorará la accesibilidad de la información de la UPOV en diferentes idiomas.</w:t>
      </w:r>
    </w:p>
    <w:p w14:paraId="050AE53F" w14:textId="77777777" w:rsidR="00B65EDC" w:rsidRPr="00E675E8" w:rsidRDefault="00B65EDC" w:rsidP="00B65EDC">
      <w:pPr>
        <w:jc w:val="left"/>
        <w:rPr>
          <w:bCs/>
          <w:lang w:val="es-ES_tradnl"/>
        </w:rPr>
      </w:pPr>
    </w:p>
    <w:p w14:paraId="0E09515B" w14:textId="77777777" w:rsidR="00B65EDC" w:rsidRPr="00E675E8" w:rsidRDefault="00B65EDC" w:rsidP="003F289C">
      <w:pPr>
        <w:pStyle w:val="Heading4"/>
        <w:rPr>
          <w:lang w:val="es-ES_tradnl"/>
        </w:rPr>
      </w:pPr>
      <w:bookmarkStart w:id="465" w:name="_Toc117798891"/>
      <w:bookmarkStart w:id="466" w:name="_Toc107239596"/>
      <w:bookmarkStart w:id="467" w:name="_Toc107239346"/>
      <w:r w:rsidRPr="00E675E8">
        <w:rPr>
          <w:u w:val="none"/>
          <w:lang w:val="es-ES_tradnl"/>
        </w:rPr>
        <w:t>2.2</w:t>
      </w:r>
      <w:r w:rsidRPr="00E675E8">
        <w:rPr>
          <w:u w:val="none"/>
          <w:lang w:val="es-ES_tradnl"/>
        </w:rPr>
        <w:tab/>
      </w:r>
      <w:r w:rsidRPr="00E675E8">
        <w:rPr>
          <w:lang w:val="es-ES_tradnl"/>
        </w:rPr>
        <w:t>Orientación y asistencia sobre el Convenio de la UPOV y su aplicación</w:t>
      </w:r>
      <w:bookmarkEnd w:id="465"/>
      <w:bookmarkEnd w:id="466"/>
      <w:bookmarkEnd w:id="467"/>
    </w:p>
    <w:p w14:paraId="1682D961" w14:textId="77777777" w:rsidR="00B65EDC" w:rsidRPr="00E675E8" w:rsidRDefault="00B65EDC" w:rsidP="00B65EDC">
      <w:pPr>
        <w:keepNext/>
        <w:rPr>
          <w:lang w:val="es-ES_tradnl"/>
        </w:rPr>
      </w:pPr>
    </w:p>
    <w:p w14:paraId="34DA1ABE" w14:textId="77777777" w:rsidR="00B65EDC" w:rsidRPr="00E675E8" w:rsidRDefault="00B65EDC" w:rsidP="00B65EDC">
      <w:pPr>
        <w:pStyle w:val="Heading5"/>
        <w:rPr>
          <w:lang w:val="es-ES_tradnl"/>
        </w:rPr>
      </w:pPr>
      <w:bookmarkStart w:id="468" w:name="_Toc117798892"/>
      <w:bookmarkStart w:id="469" w:name="_Toc107239597"/>
      <w:bookmarkStart w:id="470" w:name="_Toc107239347"/>
      <w:r w:rsidRPr="00E675E8">
        <w:rPr>
          <w:lang w:val="es-ES_tradnl"/>
        </w:rPr>
        <w:t>Material de orientación e información</w:t>
      </w:r>
      <w:bookmarkEnd w:id="468"/>
      <w:bookmarkEnd w:id="469"/>
      <w:bookmarkEnd w:id="470"/>
    </w:p>
    <w:p w14:paraId="2E40CB92" w14:textId="77777777" w:rsidR="00B65EDC" w:rsidRPr="00E675E8" w:rsidRDefault="00B65EDC" w:rsidP="00B65EDC">
      <w:pPr>
        <w:keepNext/>
        <w:rPr>
          <w:lang w:val="es-ES_tradnl"/>
        </w:rPr>
      </w:pPr>
    </w:p>
    <w:p w14:paraId="06CE6863" w14:textId="77777777"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 xml:space="preserve">La UPOV seguirá actualizando y elaborando nuevo material de orientación de conformidad con los programas de trabajo de los órganos correspondientes. </w:t>
      </w:r>
    </w:p>
    <w:p w14:paraId="37874C9C" w14:textId="77777777" w:rsidR="00B65EDC" w:rsidRPr="00E675E8" w:rsidRDefault="00B65EDC" w:rsidP="00B65EDC">
      <w:pPr>
        <w:rPr>
          <w:lang w:val="es-ES_tradnl"/>
        </w:rPr>
      </w:pPr>
    </w:p>
    <w:p w14:paraId="5C92C610" w14:textId="3F4FF4E2"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El material y los recursos de la Unión están disponibles en alemán, español, francés e inglés.</w:t>
      </w:r>
      <w:r w:rsidR="002817AB" w:rsidRPr="00E675E8">
        <w:rPr>
          <w:lang w:val="es-ES_tradnl"/>
        </w:rPr>
        <w:t xml:space="preserve"> </w:t>
      </w:r>
      <w:r w:rsidRPr="00E675E8">
        <w:rPr>
          <w:lang w:val="es-ES_tradnl"/>
        </w:rPr>
        <w:t>Sin embargo, teniendo en cuenta la ampliación de la UPOV y el creciente interés que suscita la adhesión a la Unión, puede ser importante ofrecer el material y los recursos en un mayor número de idiomas.</w:t>
      </w:r>
      <w:r w:rsidR="002817AB" w:rsidRPr="00E675E8">
        <w:rPr>
          <w:lang w:val="es-ES_tradnl"/>
        </w:rPr>
        <w:t xml:space="preserve"> </w:t>
      </w:r>
      <w:r w:rsidRPr="00E675E8">
        <w:rPr>
          <w:lang w:val="es-ES_tradnl"/>
        </w:rPr>
        <w:t>La traducción de los materiales y su puesta a disposición en distintos idiomas tiene importantes implicaciones en materia de recursos, por lo que el logro de este objetivo requerirá una serie de medidas de cooperación con los miembros de la Unión interesados.</w:t>
      </w:r>
      <w:r w:rsidR="002817AB" w:rsidRPr="00E675E8">
        <w:rPr>
          <w:lang w:val="es-ES_tradnl"/>
        </w:rPr>
        <w:t xml:space="preserve"> </w:t>
      </w:r>
      <w:r w:rsidRPr="00E675E8">
        <w:rPr>
          <w:lang w:val="es-ES_tradnl"/>
        </w:rPr>
        <w:t>Sin embargo, los rápidos avances en la tecnología de la traducción automática ofrecen nuevas oportunidades para reducir los costos de traducción de los documentos de la UPOV a los distintos idiomas de la Unión y para generar materiales en una mayor variedad de idiomas, por lo que se abordarán de forma prioritaria.</w:t>
      </w:r>
      <w:r w:rsidR="002817AB" w:rsidRPr="00E675E8">
        <w:rPr>
          <w:lang w:val="es-ES_tradnl"/>
        </w:rPr>
        <w:t xml:space="preserve"> </w:t>
      </w:r>
    </w:p>
    <w:p w14:paraId="05C53D9D" w14:textId="77777777" w:rsidR="00B65EDC" w:rsidRPr="00E675E8" w:rsidRDefault="00B65EDC" w:rsidP="00B65EDC">
      <w:pPr>
        <w:rPr>
          <w:lang w:val="es-ES_tradnl"/>
        </w:rPr>
      </w:pPr>
    </w:p>
    <w:p w14:paraId="7AD975CA" w14:textId="14EF7E51" w:rsidR="00B65EDC" w:rsidRPr="00E675E8" w:rsidRDefault="00B65EDC" w:rsidP="00797F25">
      <w:pPr>
        <w:keepLines/>
        <w:rPr>
          <w:lang w:val="es-ES_tradnl"/>
        </w:rPr>
      </w:pPr>
      <w:r w:rsidRPr="00E675E8">
        <w:rPr>
          <w:lang w:val="es-ES_tradnl"/>
        </w:rPr>
        <w:lastRenderedPageBreak/>
        <w:fldChar w:fldCharType="begin"/>
      </w:r>
      <w:r w:rsidRPr="00E675E8">
        <w:rPr>
          <w:lang w:val="es-ES_tradnl"/>
        </w:rPr>
        <w:instrText xml:space="preserve"> AUTONUM  </w:instrText>
      </w:r>
      <w:r w:rsidRPr="00E675E8">
        <w:rPr>
          <w:lang w:val="es-ES_tradnl"/>
        </w:rPr>
        <w:fldChar w:fldCharType="end"/>
      </w:r>
      <w:r w:rsidRPr="00E675E8">
        <w:rPr>
          <w:lang w:val="es-ES_tradnl"/>
        </w:rPr>
        <w:tab/>
        <w:t>Basándose en la experiencia adquirida en la fase de aplicación 2022-2023 de la política de la UPOV para el uso de la traducción automática, los miembros de la UPOV acordaron seguir utilizando la traducción automática no solo para los documentos de las sesiones de la UPOV, sino también para otra información y material que no requiera una gran precisión (por ejemplo, las actas de seminarios).</w:t>
      </w:r>
      <w:r w:rsidR="002817AB" w:rsidRPr="00E675E8">
        <w:rPr>
          <w:lang w:val="es-ES_tradnl"/>
        </w:rPr>
        <w:t xml:space="preserve"> </w:t>
      </w:r>
      <w:r w:rsidRPr="00E675E8">
        <w:rPr>
          <w:lang w:val="es-ES_tradnl"/>
        </w:rPr>
        <w:t>La precisión de esta tecnología está evolucionando y su potencial hace pensar que el material y la información de la UPOV estarán disponibles en otros idiomas en muy poco tiempo.</w:t>
      </w:r>
      <w:r w:rsidR="002817AB" w:rsidRPr="00E675E8">
        <w:rPr>
          <w:lang w:val="es-ES_tradnl"/>
        </w:rPr>
        <w:t xml:space="preserve"> </w:t>
      </w:r>
      <w:r w:rsidRPr="00E675E8">
        <w:rPr>
          <w:lang w:val="es-ES_tradnl"/>
        </w:rPr>
        <w:t xml:space="preserve">Por ejemplo, el total de documentos traducidos para las sesiones de octubre de 2023 fue de 85 (véase el informe en el documento CC/101/6 </w:t>
      </w:r>
      <w:proofErr w:type="spellStart"/>
      <w:r w:rsidRPr="00E675E8">
        <w:rPr>
          <w:lang w:val="es-ES_tradnl"/>
        </w:rPr>
        <w:t>Corr</w:t>
      </w:r>
      <w:proofErr w:type="spellEnd"/>
      <w:r w:rsidRPr="00E675E8">
        <w:rPr>
          <w:lang w:val="es-ES_tradnl"/>
        </w:rPr>
        <w:t>.).</w:t>
      </w:r>
    </w:p>
    <w:p w14:paraId="0388CAB6" w14:textId="77777777" w:rsidR="00B65EDC" w:rsidRPr="00E675E8" w:rsidRDefault="00B65EDC" w:rsidP="00B65EDC">
      <w:pPr>
        <w:rPr>
          <w:lang w:val="es-ES_tradnl"/>
        </w:rPr>
      </w:pPr>
    </w:p>
    <w:p w14:paraId="31D55334" w14:textId="1B1F8593" w:rsidR="00B65EDC" w:rsidRPr="00E675E8" w:rsidRDefault="00DE1371" w:rsidP="00B65EDC">
      <w:pPr>
        <w:jc w:val="center"/>
        <w:rPr>
          <w:lang w:val="es-ES_tradnl"/>
        </w:rPr>
      </w:pPr>
      <w:r w:rsidRPr="000231EE">
        <w:rPr>
          <w:noProof/>
          <w:lang w:val="es-419"/>
        </w:rPr>
        <w:drawing>
          <wp:inline distT="0" distB="0" distL="0" distR="0" wp14:anchorId="23540F7A" wp14:editId="73E3B429">
            <wp:extent cx="3566160" cy="21285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799" t="1158" r="1104" b="1823"/>
                    <a:stretch>
                      <a:fillRect/>
                    </a:stretch>
                  </pic:blipFill>
                  <pic:spPr bwMode="auto">
                    <a:xfrm>
                      <a:off x="0" y="0"/>
                      <a:ext cx="3576647" cy="2134779"/>
                    </a:xfrm>
                    <a:prstGeom prst="rect">
                      <a:avLst/>
                    </a:prstGeom>
                    <a:noFill/>
                    <a:ln>
                      <a:noFill/>
                    </a:ln>
                    <a:extLst>
                      <a:ext uri="{53640926-AAD7-44D8-BBD7-CCE9431645EC}">
                        <a14:shadowObscured xmlns:a14="http://schemas.microsoft.com/office/drawing/2010/main"/>
                      </a:ext>
                    </a:extLst>
                  </pic:spPr>
                </pic:pic>
              </a:graphicData>
            </a:graphic>
          </wp:inline>
        </w:drawing>
      </w:r>
    </w:p>
    <w:p w14:paraId="2BCBAEDC" w14:textId="5EB9137C" w:rsidR="00B65EDC" w:rsidRPr="00E675E8" w:rsidRDefault="00B65EDC" w:rsidP="00B65EDC">
      <w:pPr>
        <w:tabs>
          <w:tab w:val="left" w:pos="567"/>
        </w:tabs>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Las directrices de examen son materiales de orientación importantes para el examen de variedades (examen DHE).</w:t>
      </w:r>
      <w:r w:rsidR="002817AB" w:rsidRPr="00E675E8">
        <w:rPr>
          <w:lang w:val="es-ES_tradnl"/>
        </w:rPr>
        <w:t xml:space="preserve"> </w:t>
      </w:r>
      <w:r w:rsidRPr="00E675E8">
        <w:rPr>
          <w:lang w:val="es-ES_tradnl"/>
        </w:rPr>
        <w:t>Cuando la UPOV ha establecido directrices de examen específicas para una especie determinada, estas representan un planteamiento acordado y armonizado para el examen de nuevas variedades y forman la base del examen DHE.</w:t>
      </w:r>
      <w:r w:rsidR="002817AB" w:rsidRPr="00E675E8">
        <w:rPr>
          <w:lang w:val="es-ES_tradnl"/>
        </w:rPr>
        <w:t xml:space="preserve"> </w:t>
      </w:r>
      <w:r w:rsidRPr="00E675E8">
        <w:rPr>
          <w:lang w:val="es-ES_tradnl"/>
        </w:rPr>
        <w:t>Las directrices de examen están destinadas a ser utilizadas por las distintas autoridades, con las modificaciones administrativas adecuadas, como base del examen DHE y de la armonización de las descripciones de variedades.</w:t>
      </w:r>
    </w:p>
    <w:p w14:paraId="40000477" w14:textId="77777777" w:rsidR="00B65EDC" w:rsidRPr="00E675E8" w:rsidRDefault="00B65EDC" w:rsidP="00B65EDC">
      <w:pPr>
        <w:tabs>
          <w:tab w:val="left" w:pos="567"/>
        </w:tabs>
        <w:rPr>
          <w:lang w:val="es-ES_tradnl"/>
        </w:rPr>
      </w:pPr>
    </w:p>
    <w:p w14:paraId="5BB81B33" w14:textId="3F785A3A" w:rsidR="00B65EDC" w:rsidRPr="00E675E8" w:rsidRDefault="00B65EDC" w:rsidP="00B65EDC">
      <w:pPr>
        <w:tabs>
          <w:tab w:val="left" w:pos="567"/>
        </w:tabs>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La UPOV ha elaborado un conjunto de 339 directrices de examen que corresponden a los géneros y especies del 94 % de las solicitudes presentadas en los miembros de la UPOV.</w:t>
      </w:r>
      <w:r w:rsidR="002817AB" w:rsidRPr="00E675E8">
        <w:rPr>
          <w:lang w:val="es-ES_tradnl"/>
        </w:rPr>
        <w:t xml:space="preserve"> </w:t>
      </w:r>
      <w:r w:rsidRPr="00E675E8">
        <w:rPr>
          <w:lang w:val="es-ES_tradnl"/>
        </w:rPr>
        <w:t>Esta cobertura de las directrices de examen de la UPOV se basa en los datos sobre variedades vegetales notificados por los miembros de la UPOV a la base de datos sobre variedades vegetales de la UPOV (base de datos PLUTO).</w:t>
      </w:r>
      <w:r w:rsidR="002817AB" w:rsidRPr="00E675E8">
        <w:rPr>
          <w:lang w:val="es-ES_tradnl"/>
        </w:rPr>
        <w:t xml:space="preserve"> </w:t>
      </w:r>
      <w:r w:rsidRPr="00E675E8">
        <w:rPr>
          <w:lang w:val="es-ES_tradnl"/>
        </w:rPr>
        <w:t>En el bienio 2026-2027, la UPOV seguirá ofreciendo el espacio para la armonización internacional de las directrices de examen nacionales de los miembros de la UPOV.</w:t>
      </w:r>
      <w:r w:rsidR="002817AB" w:rsidRPr="00E675E8">
        <w:rPr>
          <w:lang w:val="es-ES_tradnl"/>
        </w:rPr>
        <w:t xml:space="preserve"> </w:t>
      </w:r>
      <w:r w:rsidRPr="00E675E8">
        <w:rPr>
          <w:lang w:val="es-ES_tradnl"/>
        </w:rPr>
        <w:t xml:space="preserve">Además, los Grupos de Trabajo Técnico seguirán ofreciendo oportunidades de fortalecimiento de capacidades a los miembros de la UPOV para: a) armonizar los procedimientos; b) proporcionar información sobre los avances; c) integrar a nuevos expertos en la labor de la UPOV; d) proporcionar orientación práctica sobre los procedimientos de examen DHE, incluida la utilización de las directrices de examen. </w:t>
      </w:r>
    </w:p>
    <w:p w14:paraId="40F868CA" w14:textId="77777777" w:rsidR="00B65EDC" w:rsidRPr="00E675E8" w:rsidRDefault="00B65EDC" w:rsidP="00B65EDC">
      <w:pPr>
        <w:tabs>
          <w:tab w:val="left" w:pos="851"/>
        </w:tabs>
        <w:rPr>
          <w:lang w:val="es-ES_tradnl"/>
        </w:rPr>
      </w:pPr>
    </w:p>
    <w:p w14:paraId="14D8F17D" w14:textId="77777777" w:rsidR="00B65EDC" w:rsidRPr="00E675E8" w:rsidRDefault="00B65EDC" w:rsidP="00B65EDC">
      <w:pPr>
        <w:pStyle w:val="Heading5"/>
        <w:rPr>
          <w:lang w:val="es-ES_tradnl"/>
        </w:rPr>
      </w:pPr>
      <w:bookmarkStart w:id="471" w:name="_Toc117798893"/>
      <w:bookmarkStart w:id="472" w:name="_Toc107239598"/>
      <w:bookmarkStart w:id="473" w:name="_Toc107239348"/>
      <w:r w:rsidRPr="00E675E8">
        <w:rPr>
          <w:lang w:val="es-ES_tradnl"/>
        </w:rPr>
        <w:t>Formación y asistencia</w:t>
      </w:r>
      <w:bookmarkEnd w:id="471"/>
      <w:bookmarkEnd w:id="472"/>
      <w:bookmarkEnd w:id="473"/>
    </w:p>
    <w:p w14:paraId="61B515A9" w14:textId="77777777" w:rsidR="00B65EDC" w:rsidRPr="00E675E8" w:rsidRDefault="00B65EDC" w:rsidP="00B65EDC">
      <w:pPr>
        <w:tabs>
          <w:tab w:val="left" w:pos="851"/>
        </w:tabs>
        <w:rPr>
          <w:color w:val="000000" w:themeColor="text1"/>
          <w:lang w:val="es-ES_tradnl"/>
        </w:rPr>
      </w:pPr>
    </w:p>
    <w:p w14:paraId="7B0CD8A5" w14:textId="77777777"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La estrategia de formación y asistencia de la UPOV sustenta las actividades en este ámbito.</w:t>
      </w:r>
    </w:p>
    <w:p w14:paraId="36E0337E" w14:textId="77777777" w:rsidR="00B65EDC" w:rsidRPr="00E675E8" w:rsidRDefault="00B65EDC" w:rsidP="00B65EDC">
      <w:pPr>
        <w:rPr>
          <w:lang w:val="es-ES_tradnl"/>
        </w:rPr>
      </w:pPr>
    </w:p>
    <w:p w14:paraId="522444DC" w14:textId="6B751163"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Los cursos de enseñanza a distancia, el establecimiento de prioridades en las labores de asistencia de la Oficina de la Unión, la ayuda facilitada por los miembros de la Unión y la colaboración con otros proveedores de asistencia son algunos de los medios que se emplean, teniendo en cuenta los recursos disponibles, a fin de satisfacer la demanda de asistencia en la introducción y aplicación del sistema de la UPOV.</w:t>
      </w:r>
      <w:r w:rsidR="002817AB" w:rsidRPr="00E675E8">
        <w:rPr>
          <w:lang w:val="es-ES_tradnl"/>
        </w:rPr>
        <w:t xml:space="preserve"> </w:t>
      </w:r>
      <w:r w:rsidRPr="00E675E8">
        <w:rPr>
          <w:lang w:val="es-ES_tradnl"/>
        </w:rPr>
        <w:t>El presente pilar temático cuenta con el respaldo del presupuesto ordinario, aunque los fondos extrapresupuestarios y la ayuda en especie aportan buena parte de los recursos que se destinan a la asistencia.</w:t>
      </w:r>
      <w:r w:rsidR="002817AB" w:rsidRPr="00E675E8">
        <w:rPr>
          <w:lang w:val="es-ES_tradnl"/>
        </w:rPr>
        <w:t xml:space="preserve"> </w:t>
      </w:r>
      <w:r w:rsidRPr="00E675E8">
        <w:rPr>
          <w:lang w:val="es-ES_tradnl"/>
        </w:rPr>
        <w:t>A fin de utilizar los recursos disponibles de la manera más eficaz posible, la Oficina de la Unión seguirá aplicando criterios de prioridad a sus actividades y procurando encontrar sinergias con los miembros de la Unión y otros colaboradores.</w:t>
      </w:r>
    </w:p>
    <w:p w14:paraId="54728ED4" w14:textId="77777777" w:rsidR="00B65EDC" w:rsidRPr="00E675E8" w:rsidRDefault="00B65EDC" w:rsidP="00B65EDC">
      <w:pPr>
        <w:rPr>
          <w:lang w:val="es-ES_tradnl"/>
        </w:rPr>
      </w:pPr>
    </w:p>
    <w:p w14:paraId="49DE2BDD" w14:textId="77777777" w:rsidR="00B65EDC" w:rsidRPr="00E675E8" w:rsidRDefault="00B65EDC" w:rsidP="003F289C">
      <w:pPr>
        <w:keepNext/>
        <w:keepLines/>
        <w:rPr>
          <w:color w:val="000000" w:themeColor="text1"/>
          <w:lang w:val="es-ES_tradnl"/>
        </w:rPr>
      </w:pPr>
      <w:r w:rsidRPr="00E675E8">
        <w:rPr>
          <w:color w:val="000000" w:themeColor="text1"/>
          <w:lang w:val="es-ES_tradnl"/>
        </w:rPr>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Pr="00E675E8">
        <w:rPr>
          <w:color w:val="000000" w:themeColor="text1"/>
          <w:lang w:val="es-ES_tradnl"/>
        </w:rPr>
        <w:tab/>
        <w:t>El orden de prioridad para la prestación de asistencia por parte de la Oficina de la Unión seguirá siendo el siguiente:</w:t>
      </w:r>
    </w:p>
    <w:p w14:paraId="6B4596BF" w14:textId="77777777" w:rsidR="00B65EDC" w:rsidRPr="00E675E8" w:rsidRDefault="00B65EDC" w:rsidP="00B65EDC">
      <w:pPr>
        <w:keepNext/>
        <w:rPr>
          <w:color w:val="000000" w:themeColor="text1"/>
          <w:lang w:val="es-ES_tradnl"/>
        </w:rPr>
      </w:pPr>
    </w:p>
    <w:p w14:paraId="67B518F1" w14:textId="77777777" w:rsidR="00B65EDC" w:rsidRPr="00E675E8" w:rsidRDefault="00B65EDC" w:rsidP="00B65EDC">
      <w:pPr>
        <w:keepNext/>
        <w:spacing w:after="120"/>
        <w:ind w:left="567"/>
        <w:rPr>
          <w:color w:val="000000" w:themeColor="text1"/>
          <w:lang w:val="es-ES_tradnl"/>
        </w:rPr>
      </w:pPr>
      <w:r w:rsidRPr="00E675E8">
        <w:rPr>
          <w:color w:val="000000" w:themeColor="text1"/>
          <w:lang w:val="es-ES_tradnl"/>
        </w:rPr>
        <w:t>i)</w:t>
      </w:r>
      <w:r w:rsidRPr="00E675E8">
        <w:rPr>
          <w:color w:val="000000" w:themeColor="text1"/>
          <w:lang w:val="es-ES_tradnl"/>
        </w:rPr>
        <w:tab/>
        <w:t>asistencia a los miembros actuales de la Unión;</w:t>
      </w:r>
    </w:p>
    <w:p w14:paraId="298AC39F" w14:textId="77777777" w:rsidR="00B65EDC" w:rsidRPr="00E675E8" w:rsidRDefault="00B65EDC" w:rsidP="00B65EDC">
      <w:pPr>
        <w:spacing w:after="120"/>
        <w:ind w:left="1134" w:hanging="567"/>
        <w:rPr>
          <w:color w:val="000000" w:themeColor="text1"/>
          <w:lang w:val="es-ES_tradnl"/>
        </w:rPr>
      </w:pPr>
      <w:proofErr w:type="spellStart"/>
      <w:r w:rsidRPr="00E675E8">
        <w:rPr>
          <w:color w:val="000000" w:themeColor="text1"/>
          <w:lang w:val="es-ES_tradnl"/>
        </w:rPr>
        <w:t>ii</w:t>
      </w:r>
      <w:proofErr w:type="spellEnd"/>
      <w:r w:rsidRPr="00E675E8">
        <w:rPr>
          <w:color w:val="000000" w:themeColor="text1"/>
          <w:lang w:val="es-ES_tradnl"/>
        </w:rPr>
        <w:t>)</w:t>
      </w:r>
      <w:r w:rsidRPr="00E675E8">
        <w:rPr>
          <w:color w:val="000000" w:themeColor="text1"/>
          <w:lang w:val="es-ES_tradnl"/>
        </w:rPr>
        <w:tab/>
        <w:t>asistencia a los Estados y a determinadas organizaciones que no son miembros de la Unión, concretamente los gobiernos de los países en desarrollo y los países en transición a una economía de mercado, con miras a la elaboración de legislación conforme al Acta de 1991 del Convenio de la UPOV y a su adhesión al Convenio de la UPOV; y</w:t>
      </w:r>
    </w:p>
    <w:p w14:paraId="4B7F7E15" w14:textId="77777777" w:rsidR="00B65EDC" w:rsidRPr="00E675E8" w:rsidRDefault="00B65EDC" w:rsidP="00B65EDC">
      <w:pPr>
        <w:tabs>
          <w:tab w:val="left" w:pos="567"/>
        </w:tabs>
        <w:ind w:left="1134" w:hanging="567"/>
        <w:rPr>
          <w:color w:val="000000" w:themeColor="text1"/>
          <w:lang w:val="es-ES_tradnl"/>
        </w:rPr>
      </w:pPr>
      <w:proofErr w:type="spellStart"/>
      <w:r w:rsidRPr="00E675E8">
        <w:rPr>
          <w:color w:val="000000" w:themeColor="text1"/>
          <w:lang w:val="es-ES_tradnl"/>
        </w:rPr>
        <w:lastRenderedPageBreak/>
        <w:t>iii</w:t>
      </w:r>
      <w:proofErr w:type="spellEnd"/>
      <w:r w:rsidRPr="00E675E8">
        <w:rPr>
          <w:color w:val="000000" w:themeColor="text1"/>
          <w:lang w:val="es-ES_tradnl"/>
        </w:rPr>
        <w:t>)</w:t>
      </w:r>
      <w:r w:rsidRPr="00E675E8">
        <w:rPr>
          <w:color w:val="000000" w:themeColor="text1"/>
          <w:lang w:val="es-ES_tradnl"/>
        </w:rPr>
        <w:tab/>
        <w:t>asistencia a los Estados y a determinadas organizaciones que no son miembros de la Unión en la aplicación de la legislación que haya suscitado una decisión positiva del Consejo en relación con su adhesión al Convenio de la UPOV.</w:t>
      </w:r>
    </w:p>
    <w:p w14:paraId="7514C4DE" w14:textId="77777777" w:rsidR="00B65EDC" w:rsidRPr="00E675E8" w:rsidRDefault="00B65EDC" w:rsidP="00B65EDC">
      <w:pPr>
        <w:rPr>
          <w:color w:val="000000" w:themeColor="text1"/>
          <w:lang w:val="es-ES_tradnl"/>
        </w:rPr>
      </w:pPr>
    </w:p>
    <w:p w14:paraId="38D15F4D" w14:textId="070549C0"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Las reuniones, seminarios, talleres, formaciones y otros eventos y actividades seguirán desempeñando un papel fundamental en las labores de asistencia.</w:t>
      </w:r>
      <w:r w:rsidR="002817AB" w:rsidRPr="00E675E8">
        <w:rPr>
          <w:lang w:val="es-ES_tradnl"/>
        </w:rPr>
        <w:t xml:space="preserve"> </w:t>
      </w:r>
      <w:r w:rsidRPr="00E675E8">
        <w:rPr>
          <w:lang w:val="es-ES_tradnl"/>
        </w:rPr>
        <w:t>Sin embargo, se hará mayor hincapié en las actividades virtuales para ampliar el alcance, lograr una mayor repercusión, rebajar los costos y reducir el impacto de las actividades de la Oficina de la Unión en el medio ambiente.</w:t>
      </w:r>
      <w:r w:rsidR="002817AB" w:rsidRPr="00E675E8">
        <w:rPr>
          <w:lang w:val="es-ES_tradnl"/>
        </w:rPr>
        <w:t xml:space="preserve"> </w:t>
      </w:r>
    </w:p>
    <w:p w14:paraId="5341E11E" w14:textId="77777777" w:rsidR="00B65EDC" w:rsidRPr="00E675E8" w:rsidRDefault="00B65EDC" w:rsidP="00B65EDC">
      <w:pPr>
        <w:rPr>
          <w:lang w:val="es-ES_tradnl"/>
        </w:rPr>
      </w:pPr>
    </w:p>
    <w:p w14:paraId="21661511" w14:textId="77777777"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 xml:space="preserve">Se prevé que el sistema e-PVP de la UPOV (sección 3.1) complemente la labor de formación y capacitación proporcionando asistencia práctica a los miembros de la Unión en la aplicación del sistema de protección de las obtenciones vegetales. </w:t>
      </w:r>
      <w:bookmarkStart w:id="474" w:name="_Hlk188212864"/>
    </w:p>
    <w:p w14:paraId="6442E67E" w14:textId="77777777" w:rsidR="00B65EDC" w:rsidRPr="00E675E8" w:rsidRDefault="00B65EDC" w:rsidP="00B65EDC">
      <w:pPr>
        <w:rPr>
          <w:lang w:val="es-ES_tradnl"/>
        </w:rPr>
      </w:pPr>
    </w:p>
    <w:p w14:paraId="75916E40" w14:textId="77777777"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En octubre de 2024, el Consejo autorizó el uso de UPOV e-PVP por los Estados y organizaciones en proceso de convertirse en miembros de la UPOV, como se indica a continuación:</w:t>
      </w:r>
    </w:p>
    <w:p w14:paraId="673F7E77" w14:textId="77777777" w:rsidR="00B65EDC" w:rsidRPr="00E675E8" w:rsidRDefault="00B65EDC" w:rsidP="00B65EDC">
      <w:pPr>
        <w:rPr>
          <w:lang w:val="es-ES_tradnl"/>
        </w:rPr>
      </w:pPr>
    </w:p>
    <w:p w14:paraId="09E386C2" w14:textId="77777777" w:rsidR="00B65EDC" w:rsidRPr="00E675E8" w:rsidRDefault="00B65EDC" w:rsidP="00B65EDC">
      <w:pPr>
        <w:spacing w:after="120"/>
        <w:ind w:firstLine="567"/>
        <w:rPr>
          <w:lang w:val="es-ES_tradnl"/>
        </w:rPr>
      </w:pPr>
      <w:r w:rsidRPr="00E675E8">
        <w:rPr>
          <w:lang w:val="es-ES_tradnl"/>
        </w:rPr>
        <w:t>a)</w:t>
      </w:r>
      <w:r w:rsidRPr="00E675E8">
        <w:rPr>
          <w:lang w:val="es-ES_tradnl"/>
        </w:rPr>
        <w:tab/>
        <w:t>se deberá contar con el asesoramiento positivo del Consejo sobre la conformidad de la legislación con el Convenio de la UPOV;</w:t>
      </w:r>
    </w:p>
    <w:p w14:paraId="78B566B0" w14:textId="77777777" w:rsidR="00B65EDC" w:rsidRPr="00E675E8" w:rsidRDefault="00B65EDC" w:rsidP="00B65EDC">
      <w:pPr>
        <w:spacing w:after="120"/>
        <w:ind w:firstLine="567"/>
        <w:rPr>
          <w:lang w:val="es-ES_tradnl"/>
        </w:rPr>
      </w:pPr>
      <w:r w:rsidRPr="00E675E8">
        <w:rPr>
          <w:lang w:val="es-ES_tradnl"/>
        </w:rPr>
        <w:t>b)</w:t>
      </w:r>
      <w:r w:rsidRPr="00E675E8">
        <w:rPr>
          <w:lang w:val="es-ES_tradnl"/>
        </w:rPr>
        <w:tab/>
        <w:t xml:space="preserve">se autorizará el uso de UPOV e-PVP durante un período de prueba de tres años; </w:t>
      </w:r>
    </w:p>
    <w:p w14:paraId="62316034" w14:textId="01FCAAB0" w:rsidR="00B65EDC" w:rsidRPr="00E675E8" w:rsidRDefault="00B65EDC" w:rsidP="00B65EDC">
      <w:pPr>
        <w:ind w:firstLine="567"/>
        <w:rPr>
          <w:lang w:val="es-ES_tradnl"/>
        </w:rPr>
      </w:pPr>
      <w:r w:rsidRPr="00E675E8">
        <w:rPr>
          <w:lang w:val="es-ES_tradnl"/>
        </w:rPr>
        <w:t>c)</w:t>
      </w:r>
      <w:r w:rsidRPr="00E675E8">
        <w:rPr>
          <w:lang w:val="es-ES_tradnl"/>
        </w:rPr>
        <w:tab/>
        <w:t>podrán establecerse otros criterios para garantizar el uso eficaz de los recursos.</w:t>
      </w:r>
      <w:r w:rsidR="002817AB" w:rsidRPr="00E675E8">
        <w:rPr>
          <w:lang w:val="es-ES_tradnl"/>
        </w:rPr>
        <w:t xml:space="preserve"> </w:t>
      </w:r>
      <w:r w:rsidRPr="00E675E8">
        <w:rPr>
          <w:lang w:val="es-ES_tradnl"/>
        </w:rPr>
        <w:t>La utilización de UPOV e-PVP por cualquier Estado y organización en proceso de convertirse en miembro de la UPOV se comunicará periódicamente al Comité Consultivo en el documento de información “Situación relativa a los Estados y las organizaciones intergubernamentales que han iniciado el procedimiento de adhesión al Convenio de la UPOV o que han entrado en contacto con la Oficina de la Unión para solicitar asistencia en la elaboración de leyes basadas en el Convenio de la UPOV”.</w:t>
      </w:r>
    </w:p>
    <w:p w14:paraId="1B4484E2" w14:textId="77777777" w:rsidR="00B65EDC" w:rsidRPr="00E675E8" w:rsidRDefault="00B65EDC" w:rsidP="00B65EDC">
      <w:pPr>
        <w:rPr>
          <w:lang w:val="es-ES_tradnl"/>
        </w:rPr>
      </w:pPr>
    </w:p>
    <w:p w14:paraId="2EAA8B59" w14:textId="47C8C59A"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Con el fin de aprovechar las iniciativas de formación disponibles que ofrecen la UPOV y sus miembros, la Organización creó, en abril de 2024, un “certificado internacional de protección de las obtenciones vegetales”.</w:t>
      </w:r>
      <w:r w:rsidR="002817AB" w:rsidRPr="00E675E8">
        <w:rPr>
          <w:lang w:val="es-ES_tradnl"/>
        </w:rPr>
        <w:t xml:space="preserve"> </w:t>
      </w:r>
      <w:r w:rsidRPr="00E675E8">
        <w:rPr>
          <w:lang w:val="es-ES_tradnl"/>
        </w:rPr>
        <w:t>El certificado de la UPOV de protección de las obtenciones vegetales es un certificado internacional de protección de las obtenciones vegetales reconocido por la UPOV.</w:t>
      </w:r>
      <w:r w:rsidR="002817AB" w:rsidRPr="00E675E8">
        <w:rPr>
          <w:lang w:val="es-ES_tradnl"/>
        </w:rPr>
        <w:t xml:space="preserve"> </w:t>
      </w:r>
      <w:r w:rsidRPr="00E675E8">
        <w:rPr>
          <w:lang w:val="es-ES_tradnl"/>
        </w:rPr>
        <w:t>Los titulares del certificado demuestran haber seguido una determinada formación o participado en actividades relacionadas con el Convenio de la UPOV, el funcionamiento de una oficina de protección de las obtenciones vegetales y el examen de solicitudes, incluido el examen DHE. En 2024, se expidieron 50 certificados de la UPOV de protección de las obtenciones vegetales.</w:t>
      </w:r>
    </w:p>
    <w:p w14:paraId="5FB0A67A" w14:textId="77777777" w:rsidR="00B65EDC" w:rsidRPr="00E675E8" w:rsidRDefault="00B65EDC" w:rsidP="00B65EDC">
      <w:pPr>
        <w:rPr>
          <w:lang w:val="es-ES_tradnl"/>
        </w:rPr>
      </w:pPr>
    </w:p>
    <w:p w14:paraId="16EF8BA9" w14:textId="2CB9380C"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La participación en el programa de certificados de la UPOV de protección de las obtenciones vegetales es gratuita para las categorías prioritarias del Consejo (véase el apartado 74).</w:t>
      </w:r>
      <w:r w:rsidR="002817AB" w:rsidRPr="00E675E8">
        <w:rPr>
          <w:lang w:val="es-ES_tradnl"/>
        </w:rPr>
        <w:t xml:space="preserve"> </w:t>
      </w:r>
      <w:r w:rsidRPr="00E675E8">
        <w:rPr>
          <w:lang w:val="es-ES_tradnl"/>
        </w:rPr>
        <w:t>En 2025 se habilitará la inscripción de estudiantes del sector privado y de organizaciones que no estén cubiertas por las prioridades del Consejo de la UPOV, previo pago de una tasa.</w:t>
      </w:r>
      <w:r w:rsidR="002817AB" w:rsidRPr="00E675E8">
        <w:rPr>
          <w:lang w:val="es-ES_tradnl"/>
        </w:rPr>
        <w:t xml:space="preserve"> </w:t>
      </w:r>
      <w:r w:rsidRPr="00E675E8">
        <w:rPr>
          <w:lang w:val="es-ES_tradnl"/>
        </w:rPr>
        <w:t>La Oficina de la UPOV está elaborando los procedimientos de facturación a dichos participantes y de tratamiento de los pagos recibidos para el programa de certificados de la UPOV de protección de las obtenciones vegetales.</w:t>
      </w:r>
      <w:r w:rsidR="002817AB" w:rsidRPr="00E675E8">
        <w:rPr>
          <w:lang w:val="es-ES_tradnl"/>
        </w:rPr>
        <w:t xml:space="preserve"> </w:t>
      </w:r>
      <w:r w:rsidRPr="00E675E8">
        <w:rPr>
          <w:lang w:val="es-ES_tradnl"/>
        </w:rPr>
        <w:t xml:space="preserve">El plan de aplicación preveía una tasa de 500 francos suizos para la inscripción de esos participantes. </w:t>
      </w:r>
    </w:p>
    <w:p w14:paraId="7ECD971A" w14:textId="77777777" w:rsidR="00B65EDC" w:rsidRPr="00E675E8" w:rsidRDefault="00B65EDC" w:rsidP="00B65EDC">
      <w:pPr>
        <w:rPr>
          <w:lang w:val="es-ES_tradnl"/>
        </w:rPr>
      </w:pPr>
    </w:p>
    <w:p w14:paraId="302AAFF1" w14:textId="43A95FA9"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El programa de certificados de la UPOV de protección de las obtenciones vegetales seguirá ampliándose con la incorporación de nuevos cursos y actividades en la lista de formación avalada.</w:t>
      </w:r>
      <w:r w:rsidR="002817AB" w:rsidRPr="00E675E8">
        <w:rPr>
          <w:lang w:val="es-ES_tradnl"/>
        </w:rPr>
        <w:t xml:space="preserve"> </w:t>
      </w:r>
      <w:r w:rsidRPr="00E675E8">
        <w:rPr>
          <w:lang w:val="es-ES_tradnl"/>
        </w:rPr>
        <w:t>Esto aumentará el número de oportunidades de acumular el número necesario de créditos para obtener el certificado.</w:t>
      </w:r>
      <w:r w:rsidR="002817AB" w:rsidRPr="00E675E8">
        <w:rPr>
          <w:lang w:val="es-ES_tradnl"/>
        </w:rPr>
        <w:t xml:space="preserve"> </w:t>
      </w:r>
      <w:r w:rsidRPr="00E675E8">
        <w:rPr>
          <w:lang w:val="es-ES_tradnl"/>
        </w:rPr>
        <w:t>También contribuirá a establecer un repositorio de información sobre formación en materia de la UPOV y una red de especialistas en el tema.</w:t>
      </w:r>
      <w:r w:rsidR="002817AB" w:rsidRPr="00E675E8">
        <w:rPr>
          <w:lang w:val="es-ES_tradnl"/>
        </w:rPr>
        <w:t xml:space="preserve"> </w:t>
      </w:r>
      <w:r w:rsidRPr="00E675E8">
        <w:rPr>
          <w:lang w:val="es-ES_tradnl"/>
        </w:rPr>
        <w:t>La lista de cursos y actividades avalados figura en el sitio web de la UPOV:</w:t>
      </w:r>
      <w:r w:rsidR="002817AB" w:rsidRPr="00E675E8">
        <w:rPr>
          <w:lang w:val="es-ES_tradnl"/>
        </w:rPr>
        <w:t xml:space="preserve"> </w:t>
      </w:r>
      <w:hyperlink r:id="rId16" w:history="1">
        <w:r w:rsidRPr="00E675E8">
          <w:rPr>
            <w:rStyle w:val="Hyperlink"/>
            <w:lang w:val="es-ES_tradnl"/>
          </w:rPr>
          <w:t>https://www.upov.int/resource/es/pvp_certificate.html</w:t>
        </w:r>
      </w:hyperlink>
    </w:p>
    <w:p w14:paraId="70AC6ED0" w14:textId="77777777" w:rsidR="00B65EDC" w:rsidRPr="00E675E8" w:rsidRDefault="00B65EDC" w:rsidP="003F289C">
      <w:pPr>
        <w:keepNext/>
        <w:keepLines/>
        <w:rPr>
          <w:lang w:val="es-ES_tradnl"/>
        </w:rPr>
      </w:pPr>
    </w:p>
    <w:p w14:paraId="22241F98" w14:textId="77777777" w:rsidR="00B65EDC" w:rsidRPr="00E675E8" w:rsidRDefault="00B65EDC" w:rsidP="003F289C">
      <w:pPr>
        <w:pStyle w:val="Heading4"/>
        <w:rPr>
          <w:color w:val="000000"/>
          <w:lang w:val="es-ES_tradnl"/>
          <w14:textFill>
            <w14:solidFill>
              <w14:srgbClr w14:val="000000">
                <w14:lumMod w14:val="75000"/>
              </w14:srgbClr>
            </w14:solidFill>
          </w14:textFill>
        </w:rPr>
      </w:pPr>
      <w:bookmarkStart w:id="475" w:name="_Toc117798894"/>
      <w:bookmarkStart w:id="476" w:name="_Toc107239599"/>
      <w:bookmarkStart w:id="477" w:name="_Toc107239349"/>
      <w:bookmarkEnd w:id="474"/>
      <w:r w:rsidRPr="00E675E8">
        <w:rPr>
          <w:u w:val="none"/>
          <w:lang w:val="es-ES_tradnl"/>
        </w:rPr>
        <w:t>2.3</w:t>
      </w:r>
      <w:r w:rsidRPr="00E675E8">
        <w:rPr>
          <w:u w:val="none"/>
          <w:lang w:val="es-ES_tradnl"/>
        </w:rPr>
        <w:tab/>
      </w:r>
      <w:r w:rsidRPr="00E675E8">
        <w:rPr>
          <w:lang w:val="es-ES_tradnl"/>
        </w:rPr>
        <w:t>Mayor armonización y cooperación en los exámenes</w:t>
      </w:r>
      <w:bookmarkEnd w:id="475"/>
      <w:bookmarkEnd w:id="476"/>
      <w:bookmarkEnd w:id="477"/>
    </w:p>
    <w:p w14:paraId="5EDCD1C6" w14:textId="77777777" w:rsidR="00B65EDC" w:rsidRPr="00E675E8" w:rsidRDefault="00B65EDC" w:rsidP="003F289C">
      <w:pPr>
        <w:keepNext/>
        <w:keepLines/>
        <w:tabs>
          <w:tab w:val="left" w:pos="851"/>
        </w:tabs>
        <w:rPr>
          <w:color w:val="000000" w:themeColor="text1"/>
          <w:lang w:val="es-ES_tradnl"/>
        </w:rPr>
      </w:pPr>
    </w:p>
    <w:p w14:paraId="586884AD" w14:textId="102E7C6E" w:rsidR="00B65EDC" w:rsidRPr="00E675E8" w:rsidRDefault="00B65EDC" w:rsidP="00B65EDC">
      <w:pPr>
        <w:rPr>
          <w:bCs/>
          <w:color w:val="000000" w:themeColor="text1"/>
          <w:szCs w:val="24"/>
          <w:lang w:val="es-ES_tradnl"/>
        </w:rPr>
      </w:pPr>
      <w:r w:rsidRPr="00E675E8">
        <w:rPr>
          <w:color w:val="000000" w:themeColor="text1"/>
          <w:lang w:val="es-ES_tradnl"/>
        </w:rPr>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Pr="00E675E8">
        <w:rPr>
          <w:color w:val="000000" w:themeColor="text1"/>
          <w:lang w:val="es-ES_tradnl"/>
        </w:rPr>
        <w:tab/>
        <w:t>La cooperación entre los miembros de la Unión es una característica fundamental del sistema de la UPOV y constituye la base de su eficiencia, que se traduce en una disponibilidad más rápida de nuevas variedades para los obtentores y a un menor costo.</w:t>
      </w:r>
      <w:r w:rsidR="002817AB" w:rsidRPr="00E675E8">
        <w:rPr>
          <w:color w:val="000000" w:themeColor="text1"/>
          <w:lang w:val="es-ES_tradnl"/>
        </w:rPr>
        <w:t xml:space="preserve"> </w:t>
      </w:r>
      <w:r w:rsidRPr="00E675E8">
        <w:rPr>
          <w:color w:val="000000" w:themeColor="text1"/>
          <w:lang w:val="es-ES_tradnl"/>
        </w:rPr>
        <w:t>Para responder a los desafíos a los que se enfrentan la agricultura y la horticultura, especialmente en relación con el cambio climático y la seguridad alimentaria, se dará prioridad a una mayor cooperación que aumente la disponibilidad de variedades vegetales.</w:t>
      </w:r>
      <w:r w:rsidR="002817AB" w:rsidRPr="00E675E8">
        <w:rPr>
          <w:color w:val="000000" w:themeColor="text1"/>
          <w:lang w:val="es-ES_tradnl"/>
        </w:rPr>
        <w:t xml:space="preserve"> </w:t>
      </w:r>
      <w:r w:rsidRPr="00E675E8">
        <w:rPr>
          <w:color w:val="000000" w:themeColor="text1"/>
          <w:lang w:val="es-ES_tradnl"/>
        </w:rPr>
        <w:t>En este sentido, los órganos de la UPOV seguirán trabajando para determinar las medidas e instrumentos que pueden facilitar la cooperación de forma voluntaria.</w:t>
      </w:r>
      <w:r w:rsidR="002817AB" w:rsidRPr="00E675E8">
        <w:rPr>
          <w:color w:val="000000" w:themeColor="text1"/>
          <w:lang w:val="es-ES_tradnl"/>
        </w:rPr>
        <w:t xml:space="preserve"> </w:t>
      </w:r>
    </w:p>
    <w:p w14:paraId="3CB6C254" w14:textId="77777777" w:rsidR="00B65EDC" w:rsidRPr="00E675E8" w:rsidRDefault="00B65EDC" w:rsidP="00B65EDC">
      <w:pPr>
        <w:rPr>
          <w:bCs/>
          <w:color w:val="000000" w:themeColor="text1"/>
          <w:szCs w:val="24"/>
          <w:lang w:val="es-ES_tradnl"/>
        </w:rPr>
      </w:pPr>
    </w:p>
    <w:p w14:paraId="4A49F66B" w14:textId="5A00CAE8" w:rsidR="00B65EDC" w:rsidRPr="00E675E8" w:rsidRDefault="00B65EDC" w:rsidP="00797F25">
      <w:pPr>
        <w:keepLines/>
        <w:rPr>
          <w:bCs/>
          <w:color w:val="000000" w:themeColor="text1"/>
          <w:szCs w:val="24"/>
          <w:lang w:val="es-ES_tradnl"/>
        </w:rPr>
      </w:pPr>
      <w:r w:rsidRPr="00E675E8">
        <w:rPr>
          <w:color w:val="000000" w:themeColor="text1"/>
          <w:lang w:val="es-ES_tradnl"/>
        </w:rPr>
        <w:lastRenderedPageBreak/>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Pr="00E675E8">
        <w:rPr>
          <w:lang w:val="es-ES_tradnl"/>
        </w:rPr>
        <w:tab/>
      </w:r>
      <w:r w:rsidRPr="00E675E8">
        <w:rPr>
          <w:color w:val="000000" w:themeColor="text1"/>
          <w:lang w:val="es-ES_tradnl"/>
        </w:rPr>
        <w:t>El Comité Técnico ha acordado una serie de medidas para mejorar el apoyo prestado al examen DHE, en particular con miras a aumentar la cooperación como beneficio fundamental de la pertenencia a la UPOV (véase la Sección 1.1).</w:t>
      </w:r>
      <w:r w:rsidR="002817AB" w:rsidRPr="00E675E8">
        <w:rPr>
          <w:color w:val="000000" w:themeColor="text1"/>
          <w:lang w:val="es-ES_tradnl"/>
        </w:rPr>
        <w:t xml:space="preserve"> </w:t>
      </w:r>
      <w:r w:rsidRPr="00E675E8">
        <w:rPr>
          <w:lang w:val="es-ES_tradnl"/>
        </w:rPr>
        <w:t xml:space="preserve">En el bienio 2026-2027, el Comité Técnico avanzará en la aplicación de estas medidas </w:t>
      </w:r>
      <w:proofErr w:type="gramStart"/>
      <w:r w:rsidRPr="00E675E8">
        <w:rPr>
          <w:lang w:val="es-ES_tradnl"/>
        </w:rPr>
        <w:t>haciendo especial hincapié</w:t>
      </w:r>
      <w:proofErr w:type="gramEnd"/>
      <w:r w:rsidRPr="00E675E8">
        <w:rPr>
          <w:lang w:val="es-ES_tradnl"/>
        </w:rPr>
        <w:t xml:space="preserve"> en el apoyo a los redactores de directrices de examen mediante: formación; mentoría e información sobre cooperación para la redacción de directrices de examen nacionales; mejora de la estructura de las directrices de examen; y mejora de la herramienta en línea de la UPOV para la redacción de directrices de examen (es decir, la plantilla de documentos TG).</w:t>
      </w:r>
      <w:r w:rsidR="002817AB" w:rsidRPr="00E675E8">
        <w:rPr>
          <w:lang w:val="es-ES_tradnl"/>
        </w:rPr>
        <w:t xml:space="preserve"> </w:t>
      </w:r>
      <w:r w:rsidRPr="00E675E8">
        <w:rPr>
          <w:lang w:val="es-ES_tradnl"/>
        </w:rPr>
        <w:t>Estas medidas deberían acelerar la elaboración y actualización de las directrices de examen y la ampliación de la protección a más géneros y especies.</w:t>
      </w:r>
    </w:p>
    <w:p w14:paraId="127F41E9" w14:textId="77777777" w:rsidR="00B65EDC" w:rsidRPr="00E675E8" w:rsidRDefault="00B65EDC" w:rsidP="00B65EDC">
      <w:pPr>
        <w:rPr>
          <w:bCs/>
          <w:color w:val="000000" w:themeColor="text1"/>
          <w:szCs w:val="24"/>
          <w:lang w:val="es-ES_tradnl"/>
        </w:rPr>
      </w:pPr>
    </w:p>
    <w:p w14:paraId="371055B8" w14:textId="77777777" w:rsidR="00B65EDC" w:rsidRPr="00E675E8" w:rsidRDefault="00B65EDC" w:rsidP="00B65EDC">
      <w:pPr>
        <w:rPr>
          <w:bCs/>
          <w:color w:val="000000" w:themeColor="text1"/>
          <w:szCs w:val="24"/>
          <w:lang w:val="es-ES_tradnl"/>
        </w:rPr>
      </w:pPr>
      <w:r w:rsidRPr="00E675E8">
        <w:rPr>
          <w:color w:val="000000" w:themeColor="text1"/>
          <w:lang w:val="es-ES_tradnl"/>
        </w:rPr>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Pr="00E675E8">
        <w:rPr>
          <w:lang w:val="es-ES_tradnl"/>
        </w:rPr>
        <w:tab/>
      </w:r>
      <w:r w:rsidRPr="00E675E8">
        <w:rPr>
          <w:color w:val="000000" w:themeColor="text1"/>
          <w:lang w:val="es-ES_tradnl"/>
        </w:rPr>
        <w:t>Se prevé que el programa de certificados de protección de las obtenciones vegetales de la UPOV facilite la cooperación entre los miembros de la Unión al proporcionar un indicador de las competencias adquiridas por los profesionales y examinadores de las oficinas de protección de las obtenciones vegetales.</w:t>
      </w:r>
    </w:p>
    <w:p w14:paraId="08B55807" w14:textId="77777777" w:rsidR="00B65EDC" w:rsidRPr="00E675E8" w:rsidRDefault="00B65EDC" w:rsidP="00B65EDC">
      <w:pPr>
        <w:rPr>
          <w:bCs/>
          <w:color w:val="000000" w:themeColor="text1"/>
          <w:szCs w:val="24"/>
          <w:lang w:val="es-ES_tradnl"/>
        </w:rPr>
      </w:pPr>
    </w:p>
    <w:p w14:paraId="2FFEB267" w14:textId="04BA5E1B" w:rsidR="00B65EDC" w:rsidRPr="00E675E8" w:rsidRDefault="00B65EDC" w:rsidP="00B65EDC">
      <w:pPr>
        <w:rPr>
          <w:bCs/>
          <w:szCs w:val="24"/>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El Comité Técnico ha identificado una serie de cuestiones técnicas, administrativas, normativas y jurídicas que pueden convertirse en obstáculos para una mayor cooperación en el examen DHE.</w:t>
      </w:r>
      <w:r w:rsidR="002817AB" w:rsidRPr="00E675E8">
        <w:rPr>
          <w:lang w:val="es-ES_tradnl"/>
        </w:rPr>
        <w:t xml:space="preserve"> </w:t>
      </w:r>
      <w:r w:rsidRPr="00E675E8">
        <w:rPr>
          <w:lang w:val="es-ES_tradnl"/>
        </w:rPr>
        <w:t xml:space="preserve">Un objetivo clave en el bienio </w:t>
      </w:r>
      <w:r w:rsidRPr="00E675E8">
        <w:rPr>
          <w:snapToGrid w:val="0"/>
          <w:lang w:val="es-ES_tradnl"/>
        </w:rPr>
        <w:t>2026</w:t>
      </w:r>
      <w:r w:rsidRPr="00E675E8">
        <w:rPr>
          <w:snapToGrid w:val="0"/>
          <w:lang w:val="es-ES_tradnl"/>
        </w:rPr>
        <w:noBreakHyphen/>
        <w:t>2027</w:t>
      </w:r>
      <w:r w:rsidRPr="00E675E8">
        <w:rPr>
          <w:lang w:val="es-ES_tradnl"/>
        </w:rPr>
        <w:t xml:space="preserve"> será abordar estos posibles obstáculos para incrementar la cooperación y la eficacia del examen DHE.</w:t>
      </w:r>
    </w:p>
    <w:p w14:paraId="590ED330" w14:textId="77777777" w:rsidR="00B65EDC" w:rsidRPr="00E675E8" w:rsidRDefault="00B65EDC" w:rsidP="00B65EDC">
      <w:pPr>
        <w:rPr>
          <w:bCs/>
          <w:szCs w:val="24"/>
          <w:lang w:val="es-ES_tradnl"/>
        </w:rPr>
      </w:pPr>
    </w:p>
    <w:p w14:paraId="28C8B400" w14:textId="29AC06C1" w:rsidR="00B65EDC" w:rsidRPr="00E675E8" w:rsidRDefault="00B65EDC" w:rsidP="00B65EDC">
      <w:pPr>
        <w:rPr>
          <w:bCs/>
          <w:szCs w:val="24"/>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El Convenio de la UPOV ofrece flexibilidad a los miembros de la UPOV para decidir cómo organizar los exámenes DHE de la forma más rentable en función de sus circunstancias.</w:t>
      </w:r>
      <w:r w:rsidR="002817AB" w:rsidRPr="00E675E8">
        <w:rPr>
          <w:lang w:val="es-ES_tradnl"/>
        </w:rPr>
        <w:t xml:space="preserve"> </w:t>
      </w:r>
      <w:r w:rsidRPr="00E675E8">
        <w:rPr>
          <w:lang w:val="es-ES_tradnl"/>
        </w:rPr>
        <w:t>Algunos miembros de la UPOV han experimentado que la cooperación con los obtentores aumenta la eficacia en el examen de variedades.</w:t>
      </w:r>
      <w:r w:rsidR="002817AB" w:rsidRPr="00E675E8">
        <w:rPr>
          <w:lang w:val="es-ES_tradnl"/>
        </w:rPr>
        <w:t xml:space="preserve"> </w:t>
      </w:r>
      <w:r w:rsidRPr="00E675E8">
        <w:rPr>
          <w:lang w:val="es-ES_tradnl"/>
        </w:rPr>
        <w:t>En 2025 se celebrará una serie de webinarios y un seminario para dar a conocer y comprender cómo algunos miembros de la UPOV llevan a cabo los exámenes DHE en cooperación con los obtentores.</w:t>
      </w:r>
      <w:r w:rsidR="002817AB" w:rsidRPr="00E675E8">
        <w:rPr>
          <w:lang w:val="es-ES_tradnl"/>
        </w:rPr>
        <w:t xml:space="preserve"> </w:t>
      </w:r>
      <w:r w:rsidRPr="00E675E8">
        <w:rPr>
          <w:lang w:val="es-ES_tradnl"/>
        </w:rPr>
        <w:t>Dicho seminario tendrá lugar en octubre de 2025.</w:t>
      </w:r>
      <w:r w:rsidR="002817AB" w:rsidRPr="00E675E8">
        <w:rPr>
          <w:lang w:val="es-ES_tradnl"/>
        </w:rPr>
        <w:t xml:space="preserve"> </w:t>
      </w:r>
      <w:r w:rsidRPr="00E675E8">
        <w:rPr>
          <w:lang w:val="es-ES_tradnl"/>
        </w:rPr>
        <w:t>Después del seminario, durante el bienio 2026-2027, se procederá, entre otras cosas, a la recopilación de presentaciones y de la documentación que se utilizarán para el fortalecimiento de capacidades y la sensibilización.</w:t>
      </w:r>
    </w:p>
    <w:p w14:paraId="36AE3C7E" w14:textId="77777777" w:rsidR="00B65EDC" w:rsidRPr="00E675E8" w:rsidRDefault="00B65EDC" w:rsidP="00B65EDC">
      <w:pPr>
        <w:rPr>
          <w:bCs/>
          <w:szCs w:val="24"/>
          <w:lang w:val="es-ES_tradnl"/>
        </w:rPr>
      </w:pPr>
    </w:p>
    <w:p w14:paraId="5553751B" w14:textId="77777777" w:rsidR="00B65EDC" w:rsidRPr="00E675E8" w:rsidRDefault="00B65EDC" w:rsidP="00B65EDC">
      <w:pPr>
        <w:rPr>
          <w:bCs/>
          <w:szCs w:val="24"/>
          <w:lang w:val="es-ES_tradnl"/>
        </w:rPr>
      </w:pPr>
    </w:p>
    <w:p w14:paraId="480A1FDD" w14:textId="77777777" w:rsidR="00F05868" w:rsidRPr="00E675E8" w:rsidRDefault="00F05868">
      <w:pPr>
        <w:jc w:val="left"/>
        <w:rPr>
          <w:b/>
          <w:color w:val="26724C" w:themeColor="accent1" w:themeShade="BF"/>
          <w:sz w:val="22"/>
          <w:lang w:val="es-ES_tradnl"/>
        </w:rPr>
      </w:pPr>
      <w:r w:rsidRPr="00E675E8">
        <w:rPr>
          <w:lang w:val="es-ES_tradnl"/>
        </w:rPr>
        <w:br w:type="page"/>
      </w:r>
    </w:p>
    <w:p w14:paraId="7DC063A6" w14:textId="62789C1E" w:rsidR="00B65EDC" w:rsidRPr="00E675E8" w:rsidRDefault="00B65EDC" w:rsidP="000363C4">
      <w:pPr>
        <w:pStyle w:val="Heading3"/>
        <w:rPr>
          <w:lang w:val="es-ES_tradnl"/>
        </w:rPr>
      </w:pPr>
      <w:bookmarkStart w:id="478" w:name="_Toc209777772"/>
      <w:r w:rsidRPr="00E675E8">
        <w:rPr>
          <w:lang w:val="es-ES_tradnl"/>
        </w:rPr>
        <w:lastRenderedPageBreak/>
        <w:t>Resultados previstos e indicadores de rendimiento</w:t>
      </w:r>
      <w:bookmarkEnd w:id="478"/>
      <w:r w:rsidRPr="00E675E8">
        <w:rPr>
          <w:lang w:val="es-ES_tradnl"/>
        </w:rPr>
        <w:t xml:space="preserve"> </w:t>
      </w:r>
    </w:p>
    <w:p w14:paraId="58BBC526" w14:textId="77777777" w:rsidR="00B65EDC" w:rsidRPr="00E675E8" w:rsidRDefault="00B65EDC" w:rsidP="004448C7">
      <w:pPr>
        <w:keepNext/>
        <w:rPr>
          <w:bCs/>
          <w:lang w:val="es-ES_tradnl"/>
        </w:rPr>
      </w:pPr>
    </w:p>
    <w:tbl>
      <w:tblPr>
        <w:tblStyle w:val="TableGrid"/>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26"/>
        <w:gridCol w:w="3118"/>
        <w:gridCol w:w="305"/>
        <w:gridCol w:w="2457"/>
        <w:gridCol w:w="1495"/>
        <w:gridCol w:w="1843"/>
      </w:tblGrid>
      <w:tr w:rsidR="00B65EDC" w:rsidRPr="00E675E8" w14:paraId="4F4F4B6C" w14:textId="77777777" w:rsidTr="00383CE0">
        <w:trPr>
          <w:tblHeader/>
        </w:trPr>
        <w:tc>
          <w:tcPr>
            <w:tcW w:w="426" w:type="dxa"/>
            <w:tcBorders>
              <w:bottom w:val="single" w:sz="4" w:space="0" w:color="D9D9D9" w:themeColor="background1" w:themeShade="D9"/>
            </w:tcBorders>
            <w:shd w:val="clear" w:color="auto" w:fill="E2E7EB" w:themeFill="accent3" w:themeFillTint="33"/>
          </w:tcPr>
          <w:p w14:paraId="368727BC" w14:textId="77777777" w:rsidR="00B65EDC" w:rsidRPr="00E675E8" w:rsidRDefault="00B65EDC">
            <w:pPr>
              <w:jc w:val="left"/>
              <w:rPr>
                <w:b/>
                <w:bCs/>
                <w:sz w:val="16"/>
                <w:szCs w:val="16"/>
                <w:lang w:val="es-ES_tradnl"/>
              </w:rPr>
            </w:pPr>
          </w:p>
        </w:tc>
        <w:tc>
          <w:tcPr>
            <w:tcW w:w="3118" w:type="dxa"/>
            <w:tcBorders>
              <w:bottom w:val="single" w:sz="4" w:space="0" w:color="D9D9D9" w:themeColor="background1" w:themeShade="D9"/>
            </w:tcBorders>
            <w:shd w:val="clear" w:color="auto" w:fill="E2E7EB" w:themeFill="accent3" w:themeFillTint="33"/>
          </w:tcPr>
          <w:p w14:paraId="7A0C2478" w14:textId="77777777" w:rsidR="00B65EDC" w:rsidRPr="00E675E8" w:rsidRDefault="00B65EDC">
            <w:pPr>
              <w:jc w:val="left"/>
              <w:rPr>
                <w:b/>
                <w:bCs/>
                <w:sz w:val="16"/>
                <w:szCs w:val="16"/>
                <w:lang w:val="es-ES_tradnl"/>
              </w:rPr>
            </w:pPr>
            <w:r w:rsidRPr="00E675E8">
              <w:rPr>
                <w:b/>
                <w:sz w:val="16"/>
                <w:lang w:val="es-ES_tradnl"/>
              </w:rPr>
              <w:t>Resultados previstos</w:t>
            </w:r>
          </w:p>
        </w:tc>
        <w:tc>
          <w:tcPr>
            <w:tcW w:w="305" w:type="dxa"/>
            <w:tcBorders>
              <w:bottom w:val="single" w:sz="4" w:space="0" w:color="D9D9D9" w:themeColor="background1" w:themeShade="D9"/>
            </w:tcBorders>
            <w:shd w:val="clear" w:color="auto" w:fill="E2E7EB" w:themeFill="accent3" w:themeFillTint="33"/>
          </w:tcPr>
          <w:p w14:paraId="3EE0133E" w14:textId="77777777" w:rsidR="00B65EDC" w:rsidRPr="00E675E8" w:rsidRDefault="00B65EDC">
            <w:pPr>
              <w:jc w:val="center"/>
              <w:rPr>
                <w:b/>
                <w:bCs/>
                <w:sz w:val="16"/>
                <w:szCs w:val="16"/>
                <w:lang w:val="es-ES_tradnl"/>
              </w:rPr>
            </w:pPr>
          </w:p>
        </w:tc>
        <w:tc>
          <w:tcPr>
            <w:tcW w:w="2457" w:type="dxa"/>
            <w:tcBorders>
              <w:bottom w:val="single" w:sz="4" w:space="0" w:color="D9D9D9" w:themeColor="background1" w:themeShade="D9"/>
            </w:tcBorders>
            <w:shd w:val="clear" w:color="auto" w:fill="E2E7EB" w:themeFill="accent3" w:themeFillTint="33"/>
          </w:tcPr>
          <w:p w14:paraId="354F10E8" w14:textId="77777777" w:rsidR="00B65EDC" w:rsidRPr="00E675E8" w:rsidRDefault="00B65EDC">
            <w:pPr>
              <w:rPr>
                <w:b/>
                <w:bCs/>
                <w:sz w:val="16"/>
                <w:szCs w:val="16"/>
                <w:lang w:val="es-ES_tradnl"/>
              </w:rPr>
            </w:pPr>
            <w:r w:rsidRPr="00E675E8">
              <w:rPr>
                <w:b/>
                <w:sz w:val="16"/>
                <w:lang w:val="es-ES_tradnl"/>
              </w:rPr>
              <w:t>Indicadores de rendimiento</w:t>
            </w:r>
          </w:p>
        </w:tc>
        <w:tc>
          <w:tcPr>
            <w:tcW w:w="1495" w:type="dxa"/>
            <w:tcBorders>
              <w:bottom w:val="single" w:sz="4" w:space="0" w:color="D9D9D9" w:themeColor="background1" w:themeShade="D9"/>
            </w:tcBorders>
            <w:shd w:val="clear" w:color="auto" w:fill="E2E7EB" w:themeFill="accent3" w:themeFillTint="33"/>
          </w:tcPr>
          <w:p w14:paraId="354876E3" w14:textId="77777777" w:rsidR="00B65EDC" w:rsidRPr="00E675E8" w:rsidRDefault="00B65EDC">
            <w:pPr>
              <w:jc w:val="center"/>
              <w:rPr>
                <w:rFonts w:asciiTheme="majorHAnsi" w:hAnsiTheme="majorHAnsi" w:cstheme="majorHAnsi"/>
                <w:b/>
                <w:bCs/>
                <w:sz w:val="16"/>
                <w:szCs w:val="16"/>
                <w:lang w:val="es-ES_tradnl"/>
              </w:rPr>
            </w:pPr>
            <w:r w:rsidRPr="00E675E8">
              <w:rPr>
                <w:rFonts w:asciiTheme="majorHAnsi" w:hAnsiTheme="majorHAnsi"/>
                <w:b/>
                <w:sz w:val="16"/>
                <w:lang w:val="es-ES_tradnl"/>
              </w:rPr>
              <w:t>Referencias</w:t>
            </w:r>
          </w:p>
        </w:tc>
        <w:tc>
          <w:tcPr>
            <w:tcW w:w="1843" w:type="dxa"/>
            <w:tcBorders>
              <w:bottom w:val="single" w:sz="4" w:space="0" w:color="D9D9D9" w:themeColor="background1" w:themeShade="D9"/>
            </w:tcBorders>
            <w:shd w:val="clear" w:color="auto" w:fill="E2E7EB" w:themeFill="accent3" w:themeFillTint="33"/>
          </w:tcPr>
          <w:p w14:paraId="3805BDCE" w14:textId="77777777" w:rsidR="00B65EDC" w:rsidRPr="00E675E8" w:rsidRDefault="00B65EDC">
            <w:pPr>
              <w:jc w:val="center"/>
              <w:rPr>
                <w:rFonts w:asciiTheme="majorHAnsi" w:hAnsiTheme="majorHAnsi" w:cstheme="majorHAnsi"/>
                <w:b/>
                <w:bCs/>
                <w:sz w:val="16"/>
                <w:szCs w:val="16"/>
                <w:lang w:val="es-ES_tradnl"/>
              </w:rPr>
            </w:pPr>
            <w:r w:rsidRPr="00E675E8">
              <w:rPr>
                <w:rFonts w:asciiTheme="majorHAnsi" w:hAnsiTheme="majorHAnsi"/>
                <w:b/>
                <w:sz w:val="16"/>
                <w:lang w:val="es-ES_tradnl"/>
              </w:rPr>
              <w:t>Objetivo (2026/27)</w:t>
            </w:r>
          </w:p>
        </w:tc>
      </w:tr>
      <w:tr w:rsidR="00B65EDC" w:rsidRPr="00E675E8" w14:paraId="50E7F56F" w14:textId="77777777" w:rsidTr="00383CE0">
        <w:tc>
          <w:tcPr>
            <w:tcW w:w="426" w:type="dxa"/>
            <w:tcBorders>
              <w:top w:val="single" w:sz="4" w:space="0" w:color="D9D9D9" w:themeColor="background1" w:themeShade="D9"/>
            </w:tcBorders>
          </w:tcPr>
          <w:p w14:paraId="300D41EE" w14:textId="77777777" w:rsidR="00B65EDC" w:rsidRPr="00E675E8" w:rsidRDefault="00B65EDC">
            <w:pPr>
              <w:jc w:val="left"/>
              <w:rPr>
                <w:rFonts w:cs="Arial"/>
                <w:sz w:val="16"/>
                <w:szCs w:val="16"/>
                <w:lang w:val="es-ES_tradnl"/>
              </w:rPr>
            </w:pPr>
            <w:r w:rsidRPr="00E675E8">
              <w:rPr>
                <w:sz w:val="16"/>
                <w:lang w:val="es-ES_tradnl"/>
              </w:rPr>
              <w:t>2.1</w:t>
            </w:r>
          </w:p>
        </w:tc>
        <w:tc>
          <w:tcPr>
            <w:tcW w:w="3118" w:type="dxa"/>
            <w:tcBorders>
              <w:top w:val="single" w:sz="4" w:space="0" w:color="D9D9D9" w:themeColor="background1" w:themeShade="D9"/>
            </w:tcBorders>
          </w:tcPr>
          <w:p w14:paraId="07A71D2F" w14:textId="77777777" w:rsidR="00B65EDC" w:rsidRPr="00E675E8" w:rsidRDefault="00B65EDC">
            <w:pPr>
              <w:jc w:val="left"/>
              <w:rPr>
                <w:rFonts w:cs="Arial"/>
                <w:sz w:val="16"/>
                <w:szCs w:val="16"/>
                <w:lang w:val="es-ES_tradnl"/>
              </w:rPr>
            </w:pPr>
            <w:r w:rsidRPr="00E675E8">
              <w:rPr>
                <w:sz w:val="16"/>
                <w:lang w:val="es-ES_tradnl"/>
              </w:rPr>
              <w:t>Sensibilización sobre la función que cumple el sistema de la UPOV</w:t>
            </w:r>
          </w:p>
        </w:tc>
        <w:tc>
          <w:tcPr>
            <w:tcW w:w="305" w:type="dxa"/>
            <w:tcBorders>
              <w:top w:val="single" w:sz="4" w:space="0" w:color="D9D9D9" w:themeColor="background1" w:themeShade="D9"/>
            </w:tcBorders>
          </w:tcPr>
          <w:p w14:paraId="31173FC2" w14:textId="77777777" w:rsidR="00B65EDC" w:rsidRPr="00E675E8" w:rsidRDefault="00B65EDC">
            <w:pPr>
              <w:jc w:val="left"/>
              <w:rPr>
                <w:rFonts w:cs="Arial"/>
                <w:sz w:val="16"/>
                <w:szCs w:val="16"/>
                <w:lang w:val="es-ES_tradnl"/>
              </w:rPr>
            </w:pPr>
            <w:r w:rsidRPr="00E675E8">
              <w:rPr>
                <w:sz w:val="16"/>
                <w:lang w:val="es-ES_tradnl"/>
              </w:rPr>
              <w:t>3</w:t>
            </w:r>
          </w:p>
        </w:tc>
        <w:tc>
          <w:tcPr>
            <w:tcW w:w="2457" w:type="dxa"/>
            <w:tcBorders>
              <w:top w:val="single" w:sz="4" w:space="0" w:color="D9D9D9" w:themeColor="background1" w:themeShade="D9"/>
            </w:tcBorders>
          </w:tcPr>
          <w:p w14:paraId="63F5CB58" w14:textId="77777777" w:rsidR="00B65EDC" w:rsidRPr="00E675E8" w:rsidRDefault="00B65EDC">
            <w:pPr>
              <w:jc w:val="left"/>
              <w:rPr>
                <w:rFonts w:cs="Arial"/>
                <w:sz w:val="16"/>
                <w:szCs w:val="16"/>
                <w:lang w:val="es-ES_tradnl"/>
              </w:rPr>
            </w:pPr>
            <w:r w:rsidRPr="00E675E8">
              <w:rPr>
                <w:sz w:val="16"/>
                <w:lang w:val="es-ES_tradnl"/>
              </w:rPr>
              <w:t>Vistas de la información de la UPOV</w:t>
            </w:r>
          </w:p>
        </w:tc>
        <w:tc>
          <w:tcPr>
            <w:tcW w:w="1495" w:type="dxa"/>
            <w:tcBorders>
              <w:top w:val="single" w:sz="4" w:space="0" w:color="D9D9D9" w:themeColor="background1" w:themeShade="D9"/>
            </w:tcBorders>
          </w:tcPr>
          <w:p w14:paraId="6786CEF3" w14:textId="77777777" w:rsidR="00B65EDC" w:rsidRPr="00E675E8" w:rsidRDefault="00B65EDC">
            <w:pPr>
              <w:jc w:val="center"/>
              <w:rPr>
                <w:rFonts w:asciiTheme="majorHAnsi" w:hAnsiTheme="majorHAnsi" w:cstheme="majorHAnsi"/>
                <w:sz w:val="16"/>
                <w:szCs w:val="16"/>
                <w:lang w:val="es-ES_tradnl"/>
              </w:rPr>
            </w:pPr>
          </w:p>
        </w:tc>
        <w:tc>
          <w:tcPr>
            <w:tcW w:w="1843" w:type="dxa"/>
            <w:tcBorders>
              <w:top w:val="single" w:sz="4" w:space="0" w:color="D9D9D9" w:themeColor="background1" w:themeShade="D9"/>
            </w:tcBorders>
          </w:tcPr>
          <w:p w14:paraId="39BE3444" w14:textId="77777777" w:rsidR="00B65EDC" w:rsidRPr="00E675E8" w:rsidRDefault="00B65EDC">
            <w:pPr>
              <w:jc w:val="center"/>
              <w:rPr>
                <w:rFonts w:asciiTheme="majorHAnsi" w:hAnsiTheme="majorHAnsi" w:cstheme="majorHAnsi"/>
                <w:sz w:val="16"/>
                <w:szCs w:val="16"/>
                <w:lang w:val="es-ES_tradnl"/>
              </w:rPr>
            </w:pPr>
          </w:p>
        </w:tc>
      </w:tr>
      <w:tr w:rsidR="00B65EDC" w:rsidRPr="00E675E8" w14:paraId="1859800D" w14:textId="77777777" w:rsidTr="00383CE0">
        <w:tc>
          <w:tcPr>
            <w:tcW w:w="426" w:type="dxa"/>
          </w:tcPr>
          <w:p w14:paraId="6DBF9044" w14:textId="77777777" w:rsidR="00B65EDC" w:rsidRPr="00E675E8" w:rsidRDefault="00B65EDC">
            <w:pPr>
              <w:jc w:val="left"/>
              <w:rPr>
                <w:rFonts w:cs="Arial"/>
                <w:sz w:val="16"/>
                <w:szCs w:val="16"/>
                <w:lang w:val="es-ES_tradnl"/>
              </w:rPr>
            </w:pPr>
          </w:p>
        </w:tc>
        <w:tc>
          <w:tcPr>
            <w:tcW w:w="3118" w:type="dxa"/>
          </w:tcPr>
          <w:p w14:paraId="690E84F3" w14:textId="77777777" w:rsidR="00B65EDC" w:rsidRPr="00E675E8" w:rsidRDefault="00B65EDC">
            <w:pPr>
              <w:jc w:val="left"/>
              <w:rPr>
                <w:rFonts w:cs="Arial"/>
                <w:sz w:val="16"/>
                <w:szCs w:val="16"/>
                <w:lang w:val="es-ES_tradnl"/>
              </w:rPr>
            </w:pPr>
          </w:p>
        </w:tc>
        <w:tc>
          <w:tcPr>
            <w:tcW w:w="305" w:type="dxa"/>
          </w:tcPr>
          <w:p w14:paraId="6D0F4F0B" w14:textId="77777777" w:rsidR="00B65EDC" w:rsidRPr="00E675E8" w:rsidRDefault="00B65EDC">
            <w:pPr>
              <w:jc w:val="left"/>
              <w:rPr>
                <w:rFonts w:cs="Arial"/>
                <w:sz w:val="16"/>
                <w:szCs w:val="16"/>
                <w:lang w:val="es-ES_tradnl"/>
              </w:rPr>
            </w:pPr>
          </w:p>
        </w:tc>
        <w:tc>
          <w:tcPr>
            <w:tcW w:w="2457" w:type="dxa"/>
          </w:tcPr>
          <w:p w14:paraId="7F5840FE" w14:textId="14F54153" w:rsidR="00B65EDC" w:rsidRPr="00E675E8" w:rsidRDefault="00B65EDC">
            <w:pPr>
              <w:ind w:left="284"/>
              <w:jc w:val="left"/>
              <w:rPr>
                <w:rFonts w:cs="Arial"/>
                <w:sz w:val="16"/>
                <w:szCs w:val="16"/>
                <w:lang w:val="es-ES_tradnl"/>
              </w:rPr>
            </w:pPr>
            <w:r w:rsidRPr="00E675E8">
              <w:rPr>
                <w:sz w:val="16"/>
                <w:lang w:val="es-ES_tradnl"/>
              </w:rPr>
              <w:t>Visitas al sitio web de la UPOV</w:t>
            </w:r>
          </w:p>
        </w:tc>
        <w:tc>
          <w:tcPr>
            <w:tcW w:w="1495" w:type="dxa"/>
          </w:tcPr>
          <w:p w14:paraId="77C254F8" w14:textId="4F80A2C3" w:rsidR="00B65EDC" w:rsidRPr="00E675E8" w:rsidRDefault="00C75029">
            <w:pPr>
              <w:jc w:val="center"/>
              <w:rPr>
                <w:rFonts w:asciiTheme="majorHAnsi" w:hAnsiTheme="majorHAnsi" w:cstheme="majorHAnsi"/>
                <w:sz w:val="16"/>
                <w:szCs w:val="16"/>
                <w:lang w:val="es-ES_tradnl"/>
              </w:rPr>
            </w:pPr>
            <w:r w:rsidRPr="00E675E8">
              <w:rPr>
                <w:rFonts w:asciiTheme="majorHAnsi" w:hAnsiTheme="majorHAnsi"/>
                <w:sz w:val="16"/>
                <w:lang w:val="es-ES_tradnl"/>
              </w:rPr>
              <w:t>1 130 631 (2024)</w:t>
            </w:r>
          </w:p>
        </w:tc>
        <w:tc>
          <w:tcPr>
            <w:tcW w:w="1843" w:type="dxa"/>
          </w:tcPr>
          <w:p w14:paraId="797803EB" w14:textId="6081DFCC" w:rsidR="00E55365" w:rsidRPr="00E675E8" w:rsidRDefault="00CE0FD5" w:rsidP="00437CC2">
            <w:pPr>
              <w:jc w:val="center"/>
              <w:rPr>
                <w:rFonts w:asciiTheme="majorHAnsi" w:hAnsiTheme="majorHAnsi" w:cstheme="majorHAnsi"/>
                <w:sz w:val="16"/>
                <w:szCs w:val="16"/>
                <w:lang w:val="es-ES_tradnl"/>
              </w:rPr>
            </w:pPr>
            <w:r w:rsidRPr="00E675E8">
              <w:rPr>
                <w:rFonts w:asciiTheme="majorHAnsi" w:hAnsiTheme="majorHAnsi"/>
                <w:sz w:val="16"/>
                <w:lang w:val="es-ES_tradnl"/>
              </w:rPr>
              <w:t>1 350 000 (2026)</w:t>
            </w:r>
          </w:p>
          <w:p w14:paraId="7542A24E" w14:textId="37E8CFC8" w:rsidR="00620794" w:rsidRPr="00E675E8" w:rsidRDefault="00437CC2" w:rsidP="00437CC2">
            <w:pPr>
              <w:jc w:val="center"/>
              <w:rPr>
                <w:rFonts w:asciiTheme="majorHAnsi" w:hAnsiTheme="majorHAnsi" w:cstheme="majorHAnsi"/>
                <w:sz w:val="16"/>
                <w:szCs w:val="16"/>
                <w:lang w:val="es-ES_tradnl"/>
              </w:rPr>
            </w:pPr>
            <w:r w:rsidRPr="00E675E8">
              <w:rPr>
                <w:rFonts w:asciiTheme="majorHAnsi" w:hAnsiTheme="majorHAnsi"/>
                <w:sz w:val="16"/>
                <w:lang w:val="es-ES_tradnl"/>
              </w:rPr>
              <w:t>1 500 000 (2027)</w:t>
            </w:r>
          </w:p>
        </w:tc>
      </w:tr>
      <w:tr w:rsidR="00B65EDC" w:rsidRPr="00E675E8" w14:paraId="50FC4D80" w14:textId="77777777" w:rsidTr="00383CE0">
        <w:tc>
          <w:tcPr>
            <w:tcW w:w="426" w:type="dxa"/>
          </w:tcPr>
          <w:p w14:paraId="3C9233FC" w14:textId="77777777" w:rsidR="00B65EDC" w:rsidRPr="00E675E8" w:rsidRDefault="00B65EDC">
            <w:pPr>
              <w:jc w:val="left"/>
              <w:rPr>
                <w:rFonts w:cs="Arial"/>
                <w:sz w:val="16"/>
                <w:szCs w:val="16"/>
                <w:lang w:val="es-ES_tradnl"/>
              </w:rPr>
            </w:pPr>
          </w:p>
        </w:tc>
        <w:tc>
          <w:tcPr>
            <w:tcW w:w="3118" w:type="dxa"/>
          </w:tcPr>
          <w:p w14:paraId="4FE12C67" w14:textId="77777777" w:rsidR="00B65EDC" w:rsidRPr="00E675E8" w:rsidRDefault="00B65EDC">
            <w:pPr>
              <w:jc w:val="left"/>
              <w:rPr>
                <w:rFonts w:cs="Arial"/>
                <w:sz w:val="16"/>
                <w:szCs w:val="16"/>
                <w:lang w:val="es-ES_tradnl"/>
              </w:rPr>
            </w:pPr>
          </w:p>
        </w:tc>
        <w:tc>
          <w:tcPr>
            <w:tcW w:w="305" w:type="dxa"/>
          </w:tcPr>
          <w:p w14:paraId="0C714DCD" w14:textId="77777777" w:rsidR="00B65EDC" w:rsidRPr="00E675E8" w:rsidRDefault="00B65EDC">
            <w:pPr>
              <w:jc w:val="left"/>
              <w:rPr>
                <w:rFonts w:cs="Arial"/>
                <w:sz w:val="16"/>
                <w:szCs w:val="16"/>
                <w:lang w:val="es-ES_tradnl"/>
              </w:rPr>
            </w:pPr>
          </w:p>
        </w:tc>
        <w:tc>
          <w:tcPr>
            <w:tcW w:w="2457" w:type="dxa"/>
          </w:tcPr>
          <w:p w14:paraId="71C277E7" w14:textId="77777777" w:rsidR="00B65EDC" w:rsidRPr="00E675E8" w:rsidRDefault="00B65EDC">
            <w:pPr>
              <w:ind w:left="284"/>
              <w:jc w:val="left"/>
              <w:rPr>
                <w:rFonts w:cs="Arial"/>
                <w:sz w:val="16"/>
                <w:szCs w:val="16"/>
                <w:lang w:val="es-ES_tradnl"/>
              </w:rPr>
            </w:pPr>
            <w:r w:rsidRPr="00E675E8">
              <w:rPr>
                <w:sz w:val="16"/>
                <w:lang w:val="es-ES_tradnl"/>
              </w:rPr>
              <w:t>Número de visitantes únicos del sitio web de la UPOV</w:t>
            </w:r>
          </w:p>
        </w:tc>
        <w:tc>
          <w:tcPr>
            <w:tcW w:w="1495" w:type="dxa"/>
          </w:tcPr>
          <w:p w14:paraId="4C7ECF3B" w14:textId="18289B30" w:rsidR="00B65EDC" w:rsidRPr="00E675E8" w:rsidRDefault="00B65EDC">
            <w:pPr>
              <w:jc w:val="center"/>
              <w:rPr>
                <w:rFonts w:asciiTheme="majorHAnsi" w:hAnsiTheme="majorHAnsi" w:cstheme="majorHAnsi"/>
                <w:sz w:val="16"/>
                <w:szCs w:val="16"/>
                <w:lang w:val="es-ES_tradnl"/>
              </w:rPr>
            </w:pPr>
            <w:r w:rsidRPr="00E675E8">
              <w:rPr>
                <w:rFonts w:asciiTheme="majorHAnsi" w:hAnsiTheme="majorHAnsi"/>
                <w:sz w:val="16"/>
                <w:lang w:val="es-ES_tradnl"/>
              </w:rPr>
              <w:t>147 244</w:t>
            </w:r>
          </w:p>
          <w:p w14:paraId="37E0DD15" w14:textId="77777777" w:rsidR="00B65EDC" w:rsidRPr="00E675E8" w:rsidRDefault="00B65EDC">
            <w:pPr>
              <w:jc w:val="center"/>
              <w:rPr>
                <w:rFonts w:asciiTheme="majorHAnsi" w:hAnsiTheme="majorHAnsi" w:cstheme="majorHAnsi"/>
                <w:sz w:val="16"/>
                <w:szCs w:val="16"/>
                <w:lang w:val="es-ES_tradnl"/>
              </w:rPr>
            </w:pPr>
            <w:r w:rsidRPr="00E675E8">
              <w:rPr>
                <w:rFonts w:asciiTheme="majorHAnsi" w:hAnsiTheme="majorHAnsi"/>
                <w:sz w:val="16"/>
                <w:lang w:val="es-ES_tradnl"/>
              </w:rPr>
              <w:t>(2024)</w:t>
            </w:r>
          </w:p>
        </w:tc>
        <w:tc>
          <w:tcPr>
            <w:tcW w:w="1843" w:type="dxa"/>
          </w:tcPr>
          <w:p w14:paraId="5045DCC3" w14:textId="364F4431" w:rsidR="005B0358" w:rsidRPr="00E675E8" w:rsidRDefault="005B0358">
            <w:pPr>
              <w:jc w:val="center"/>
              <w:rPr>
                <w:rFonts w:asciiTheme="majorHAnsi" w:hAnsiTheme="majorHAnsi" w:cstheme="majorHAnsi"/>
                <w:sz w:val="16"/>
                <w:szCs w:val="16"/>
                <w:lang w:val="es-ES_tradnl"/>
              </w:rPr>
            </w:pPr>
            <w:r w:rsidRPr="00E675E8">
              <w:rPr>
                <w:rFonts w:asciiTheme="majorHAnsi" w:hAnsiTheme="majorHAnsi"/>
                <w:sz w:val="16"/>
                <w:lang w:val="es-ES_tradnl"/>
              </w:rPr>
              <w:t>175 000 (2026)</w:t>
            </w:r>
          </w:p>
          <w:p w14:paraId="11C1C056" w14:textId="3F5B7160" w:rsidR="00620794" w:rsidRPr="00E675E8" w:rsidRDefault="00437CC2" w:rsidP="00BD28FC">
            <w:pPr>
              <w:jc w:val="center"/>
              <w:rPr>
                <w:rFonts w:asciiTheme="majorHAnsi" w:hAnsiTheme="majorHAnsi" w:cstheme="majorHAnsi"/>
                <w:sz w:val="16"/>
                <w:szCs w:val="16"/>
                <w:lang w:val="es-ES_tradnl"/>
              </w:rPr>
            </w:pPr>
            <w:r w:rsidRPr="00E675E8">
              <w:rPr>
                <w:rFonts w:asciiTheme="majorHAnsi" w:hAnsiTheme="majorHAnsi"/>
                <w:sz w:val="16"/>
                <w:lang w:val="es-ES_tradnl"/>
              </w:rPr>
              <w:t>200 000 (2027)</w:t>
            </w:r>
          </w:p>
        </w:tc>
      </w:tr>
      <w:tr w:rsidR="00B65EDC" w:rsidRPr="00E675E8" w14:paraId="2E1FABB3" w14:textId="77777777" w:rsidTr="00383CE0">
        <w:tc>
          <w:tcPr>
            <w:tcW w:w="426" w:type="dxa"/>
          </w:tcPr>
          <w:p w14:paraId="7A36126B" w14:textId="77777777" w:rsidR="00B65EDC" w:rsidRPr="00E675E8" w:rsidRDefault="00B65EDC">
            <w:pPr>
              <w:jc w:val="left"/>
              <w:rPr>
                <w:rFonts w:cs="Arial"/>
                <w:sz w:val="16"/>
                <w:szCs w:val="16"/>
                <w:lang w:val="es-ES_tradnl"/>
              </w:rPr>
            </w:pPr>
          </w:p>
        </w:tc>
        <w:tc>
          <w:tcPr>
            <w:tcW w:w="3118" w:type="dxa"/>
          </w:tcPr>
          <w:p w14:paraId="076D9ACB" w14:textId="77777777" w:rsidR="00B65EDC" w:rsidRPr="00E675E8" w:rsidRDefault="00B65EDC">
            <w:pPr>
              <w:jc w:val="left"/>
              <w:rPr>
                <w:rFonts w:cs="Arial"/>
                <w:sz w:val="16"/>
                <w:szCs w:val="16"/>
                <w:lang w:val="es-ES_tradnl"/>
              </w:rPr>
            </w:pPr>
          </w:p>
        </w:tc>
        <w:tc>
          <w:tcPr>
            <w:tcW w:w="305" w:type="dxa"/>
          </w:tcPr>
          <w:p w14:paraId="12D82468" w14:textId="77777777" w:rsidR="00B65EDC" w:rsidRPr="00E675E8" w:rsidRDefault="00B65EDC">
            <w:pPr>
              <w:jc w:val="left"/>
              <w:rPr>
                <w:rFonts w:cs="Arial"/>
                <w:sz w:val="16"/>
                <w:szCs w:val="16"/>
                <w:lang w:val="es-ES_tradnl"/>
              </w:rPr>
            </w:pPr>
          </w:p>
        </w:tc>
        <w:tc>
          <w:tcPr>
            <w:tcW w:w="2457" w:type="dxa"/>
          </w:tcPr>
          <w:p w14:paraId="08F96846" w14:textId="77777777" w:rsidR="00B65EDC" w:rsidRPr="00E675E8" w:rsidRDefault="00B65EDC">
            <w:pPr>
              <w:ind w:left="284"/>
              <w:jc w:val="left"/>
              <w:rPr>
                <w:rFonts w:cs="Arial"/>
                <w:sz w:val="16"/>
                <w:szCs w:val="16"/>
                <w:lang w:val="es-ES_tradnl"/>
              </w:rPr>
            </w:pPr>
            <w:r w:rsidRPr="00E675E8">
              <w:rPr>
                <w:sz w:val="16"/>
                <w:lang w:val="es-ES_tradnl"/>
              </w:rPr>
              <w:t>Número de seguidores en las redes sociales</w:t>
            </w:r>
          </w:p>
        </w:tc>
        <w:tc>
          <w:tcPr>
            <w:tcW w:w="1495" w:type="dxa"/>
          </w:tcPr>
          <w:p w14:paraId="63220BA3" w14:textId="33EC3F04" w:rsidR="00B65EDC" w:rsidRPr="00E675E8" w:rsidRDefault="00B65EDC">
            <w:pPr>
              <w:jc w:val="center"/>
              <w:rPr>
                <w:rFonts w:asciiTheme="majorHAnsi" w:hAnsiTheme="majorHAnsi" w:cstheme="majorHAnsi"/>
                <w:sz w:val="16"/>
                <w:szCs w:val="16"/>
                <w:lang w:val="es-ES_tradnl"/>
              </w:rPr>
            </w:pPr>
            <w:r w:rsidRPr="00E675E8">
              <w:rPr>
                <w:rFonts w:asciiTheme="majorHAnsi" w:hAnsiTheme="majorHAnsi"/>
                <w:sz w:val="16"/>
                <w:lang w:val="es-ES_tradnl"/>
              </w:rPr>
              <w:t xml:space="preserve">X: 2 668 (2024); </w:t>
            </w:r>
            <w:r w:rsidR="00383CE0">
              <w:rPr>
                <w:rFonts w:asciiTheme="majorHAnsi" w:hAnsiTheme="majorHAnsi"/>
                <w:sz w:val="16"/>
                <w:lang w:val="es-ES_tradnl"/>
              </w:rPr>
              <w:br/>
            </w:r>
            <w:r w:rsidRPr="00E675E8">
              <w:rPr>
                <w:rFonts w:asciiTheme="majorHAnsi" w:hAnsiTheme="majorHAnsi"/>
                <w:sz w:val="16"/>
                <w:lang w:val="es-ES_tradnl"/>
              </w:rPr>
              <w:t xml:space="preserve">LinkedIn: </w:t>
            </w:r>
            <w:r w:rsidR="00383CE0">
              <w:rPr>
                <w:rFonts w:asciiTheme="majorHAnsi" w:hAnsiTheme="majorHAnsi"/>
                <w:sz w:val="16"/>
                <w:lang w:val="es-ES_tradnl"/>
              </w:rPr>
              <w:br/>
            </w:r>
            <w:r w:rsidRPr="00E675E8">
              <w:rPr>
                <w:rFonts w:asciiTheme="majorHAnsi" w:hAnsiTheme="majorHAnsi"/>
                <w:sz w:val="16"/>
                <w:lang w:val="es-ES_tradnl"/>
              </w:rPr>
              <w:t>6 831</w:t>
            </w:r>
            <w:r w:rsidR="00383CE0">
              <w:rPr>
                <w:rFonts w:asciiTheme="majorHAnsi" w:hAnsiTheme="majorHAnsi"/>
                <w:sz w:val="16"/>
                <w:lang w:val="es-ES_tradnl"/>
              </w:rPr>
              <w:t xml:space="preserve"> </w:t>
            </w:r>
            <w:r w:rsidRPr="00E675E8">
              <w:rPr>
                <w:rFonts w:asciiTheme="majorHAnsi" w:hAnsiTheme="majorHAnsi"/>
                <w:sz w:val="16"/>
                <w:lang w:val="es-ES_tradnl"/>
              </w:rPr>
              <w:t>(2024)</w:t>
            </w:r>
          </w:p>
        </w:tc>
        <w:tc>
          <w:tcPr>
            <w:tcW w:w="1843" w:type="dxa"/>
          </w:tcPr>
          <w:p w14:paraId="3D123838" w14:textId="41E15168" w:rsidR="00C74C05" w:rsidRPr="00E675E8" w:rsidRDefault="00C74C05" w:rsidP="00C74C05">
            <w:pPr>
              <w:jc w:val="center"/>
              <w:rPr>
                <w:rFonts w:asciiTheme="majorHAnsi" w:hAnsiTheme="majorHAnsi" w:cstheme="majorHAnsi"/>
                <w:sz w:val="16"/>
                <w:szCs w:val="16"/>
                <w:lang w:val="es-ES_tradnl"/>
              </w:rPr>
            </w:pPr>
            <w:r w:rsidRPr="00E675E8">
              <w:rPr>
                <w:rFonts w:asciiTheme="majorHAnsi" w:hAnsiTheme="majorHAnsi"/>
                <w:sz w:val="16"/>
                <w:lang w:val="es-ES_tradnl"/>
              </w:rPr>
              <w:t>X: 3 300 (2026)</w:t>
            </w:r>
            <w:r w:rsidRPr="00E675E8">
              <w:rPr>
                <w:rFonts w:asciiTheme="majorHAnsi" w:hAnsiTheme="majorHAnsi"/>
                <w:sz w:val="16"/>
                <w:lang w:val="es-ES_tradnl"/>
              </w:rPr>
              <w:br/>
              <w:t>4 000 (2027)</w:t>
            </w:r>
          </w:p>
          <w:p w14:paraId="5410F5C2" w14:textId="77777777" w:rsidR="00383CE0" w:rsidRDefault="00C74C05" w:rsidP="00C74C05">
            <w:pPr>
              <w:jc w:val="center"/>
              <w:rPr>
                <w:rFonts w:asciiTheme="majorHAnsi" w:hAnsiTheme="majorHAnsi"/>
                <w:sz w:val="16"/>
                <w:lang w:val="es-ES_tradnl"/>
              </w:rPr>
            </w:pPr>
            <w:r w:rsidRPr="00E675E8">
              <w:rPr>
                <w:rFonts w:asciiTheme="majorHAnsi" w:hAnsiTheme="majorHAnsi"/>
                <w:sz w:val="16"/>
                <w:lang w:val="es-ES_tradnl"/>
              </w:rPr>
              <w:t>LinkedIn: 9 000 (2026)</w:t>
            </w:r>
          </w:p>
          <w:p w14:paraId="2C254DA0" w14:textId="29B0E5D3" w:rsidR="00B65EDC" w:rsidRPr="00E675E8" w:rsidRDefault="00C74C05" w:rsidP="00C74C05">
            <w:pPr>
              <w:jc w:val="center"/>
              <w:rPr>
                <w:rFonts w:asciiTheme="majorHAnsi" w:hAnsiTheme="majorHAnsi" w:cstheme="majorHAnsi"/>
                <w:sz w:val="16"/>
                <w:szCs w:val="16"/>
                <w:lang w:val="es-ES_tradnl"/>
              </w:rPr>
            </w:pPr>
            <w:r w:rsidRPr="00E675E8">
              <w:rPr>
                <w:rFonts w:asciiTheme="majorHAnsi" w:hAnsiTheme="majorHAnsi"/>
                <w:sz w:val="16"/>
                <w:lang w:val="es-ES_tradnl"/>
              </w:rPr>
              <w:t>10 000</w:t>
            </w:r>
            <w:r w:rsidR="00383CE0">
              <w:rPr>
                <w:rFonts w:asciiTheme="majorHAnsi" w:hAnsiTheme="majorHAnsi"/>
                <w:sz w:val="16"/>
                <w:lang w:val="es-ES_tradnl"/>
              </w:rPr>
              <w:t xml:space="preserve"> </w:t>
            </w:r>
            <w:r w:rsidRPr="00E675E8">
              <w:rPr>
                <w:rFonts w:asciiTheme="majorHAnsi" w:hAnsiTheme="majorHAnsi"/>
                <w:sz w:val="16"/>
                <w:lang w:val="es-ES_tradnl"/>
              </w:rPr>
              <w:t>(2027)</w:t>
            </w:r>
          </w:p>
        </w:tc>
      </w:tr>
      <w:tr w:rsidR="00B65EDC" w:rsidRPr="00E675E8" w14:paraId="4E1C4CCF" w14:textId="77777777" w:rsidTr="00383CE0">
        <w:tc>
          <w:tcPr>
            <w:tcW w:w="426" w:type="dxa"/>
            <w:tcBorders>
              <w:bottom w:val="single" w:sz="4" w:space="0" w:color="D9D9D9" w:themeColor="background1" w:themeShade="D9"/>
            </w:tcBorders>
          </w:tcPr>
          <w:p w14:paraId="100AAAD4" w14:textId="77777777" w:rsidR="00B65EDC" w:rsidRPr="00E675E8" w:rsidRDefault="00B65EDC">
            <w:pPr>
              <w:jc w:val="left"/>
              <w:rPr>
                <w:rFonts w:cs="Arial"/>
                <w:sz w:val="16"/>
                <w:szCs w:val="16"/>
                <w:lang w:val="es-ES_tradnl"/>
              </w:rPr>
            </w:pPr>
          </w:p>
        </w:tc>
        <w:tc>
          <w:tcPr>
            <w:tcW w:w="3118" w:type="dxa"/>
            <w:tcBorders>
              <w:bottom w:val="single" w:sz="4" w:space="0" w:color="D9D9D9" w:themeColor="background1" w:themeShade="D9"/>
            </w:tcBorders>
          </w:tcPr>
          <w:p w14:paraId="04482E5B" w14:textId="77777777" w:rsidR="00B65EDC" w:rsidRPr="00E675E8" w:rsidRDefault="00B65EDC">
            <w:pPr>
              <w:jc w:val="left"/>
              <w:rPr>
                <w:rFonts w:cs="Arial"/>
                <w:sz w:val="16"/>
                <w:szCs w:val="16"/>
                <w:lang w:val="es-ES_tradnl"/>
              </w:rPr>
            </w:pPr>
          </w:p>
        </w:tc>
        <w:tc>
          <w:tcPr>
            <w:tcW w:w="305" w:type="dxa"/>
            <w:tcBorders>
              <w:bottom w:val="single" w:sz="4" w:space="0" w:color="D9D9D9" w:themeColor="background1" w:themeShade="D9"/>
            </w:tcBorders>
          </w:tcPr>
          <w:p w14:paraId="60271A65" w14:textId="77777777" w:rsidR="00B65EDC" w:rsidRPr="00E675E8" w:rsidRDefault="00B65EDC">
            <w:pPr>
              <w:jc w:val="center"/>
              <w:rPr>
                <w:rFonts w:cs="Arial"/>
                <w:sz w:val="16"/>
                <w:szCs w:val="16"/>
                <w:lang w:val="es-ES_tradnl"/>
              </w:rPr>
            </w:pPr>
          </w:p>
        </w:tc>
        <w:tc>
          <w:tcPr>
            <w:tcW w:w="2457" w:type="dxa"/>
            <w:tcBorders>
              <w:bottom w:val="single" w:sz="4" w:space="0" w:color="D9D9D9" w:themeColor="background1" w:themeShade="D9"/>
            </w:tcBorders>
          </w:tcPr>
          <w:p w14:paraId="572C7D84" w14:textId="77777777" w:rsidR="00B65EDC" w:rsidRPr="00E675E8" w:rsidRDefault="00B65EDC">
            <w:pPr>
              <w:ind w:left="284"/>
              <w:jc w:val="left"/>
              <w:rPr>
                <w:rFonts w:cs="Arial"/>
                <w:sz w:val="16"/>
                <w:szCs w:val="16"/>
                <w:lang w:val="es-ES_tradnl"/>
              </w:rPr>
            </w:pPr>
            <w:r w:rsidRPr="00E675E8">
              <w:rPr>
                <w:sz w:val="16"/>
                <w:lang w:val="es-ES_tradnl"/>
              </w:rPr>
              <w:t>Número de reproducciones de vídeos en la página de ventajas del sitio web de la UPOV</w:t>
            </w:r>
          </w:p>
        </w:tc>
        <w:tc>
          <w:tcPr>
            <w:tcW w:w="1495" w:type="dxa"/>
            <w:tcBorders>
              <w:bottom w:val="single" w:sz="4" w:space="0" w:color="D9D9D9" w:themeColor="background1" w:themeShade="D9"/>
            </w:tcBorders>
          </w:tcPr>
          <w:p w14:paraId="60D80F36" w14:textId="170A5390" w:rsidR="00B65EDC" w:rsidRPr="00E675E8" w:rsidRDefault="00620794">
            <w:pPr>
              <w:jc w:val="center"/>
              <w:rPr>
                <w:rFonts w:asciiTheme="majorHAnsi" w:hAnsiTheme="majorHAnsi" w:cstheme="majorHAnsi"/>
                <w:sz w:val="16"/>
                <w:szCs w:val="16"/>
                <w:lang w:val="es-ES_tradnl"/>
              </w:rPr>
            </w:pPr>
            <w:r w:rsidRPr="00E675E8">
              <w:rPr>
                <w:rFonts w:asciiTheme="majorHAnsi" w:hAnsiTheme="majorHAnsi"/>
                <w:sz w:val="16"/>
                <w:lang w:val="es-ES_tradnl"/>
              </w:rPr>
              <w:t>3 921 (2024)</w:t>
            </w:r>
          </w:p>
        </w:tc>
        <w:tc>
          <w:tcPr>
            <w:tcW w:w="1843" w:type="dxa"/>
            <w:tcBorders>
              <w:bottom w:val="single" w:sz="4" w:space="0" w:color="D9D9D9" w:themeColor="background1" w:themeShade="D9"/>
            </w:tcBorders>
          </w:tcPr>
          <w:p w14:paraId="46177467" w14:textId="5F1F0B31" w:rsidR="00435740" w:rsidRPr="00E675E8" w:rsidRDefault="004E006E">
            <w:pPr>
              <w:jc w:val="center"/>
              <w:rPr>
                <w:rFonts w:asciiTheme="majorHAnsi" w:hAnsiTheme="majorHAnsi" w:cstheme="majorHAnsi"/>
                <w:sz w:val="16"/>
                <w:szCs w:val="16"/>
                <w:lang w:val="es-ES_tradnl"/>
              </w:rPr>
            </w:pPr>
            <w:r w:rsidRPr="00E675E8">
              <w:rPr>
                <w:rFonts w:asciiTheme="majorHAnsi" w:hAnsiTheme="majorHAnsi"/>
                <w:sz w:val="16"/>
                <w:lang w:val="es-ES_tradnl"/>
              </w:rPr>
              <w:t>4 800 (2026)</w:t>
            </w:r>
          </w:p>
          <w:p w14:paraId="5BCC77C9" w14:textId="181A5ABB" w:rsidR="00B65EDC" w:rsidRPr="00E675E8" w:rsidRDefault="00B65EDC">
            <w:pPr>
              <w:jc w:val="center"/>
              <w:rPr>
                <w:rFonts w:asciiTheme="majorHAnsi" w:hAnsiTheme="majorHAnsi" w:cstheme="majorHAnsi"/>
                <w:sz w:val="16"/>
                <w:szCs w:val="16"/>
                <w:lang w:val="es-ES_tradnl"/>
              </w:rPr>
            </w:pPr>
            <w:r w:rsidRPr="00E675E8">
              <w:rPr>
                <w:rFonts w:asciiTheme="majorHAnsi" w:hAnsiTheme="majorHAnsi"/>
                <w:sz w:val="16"/>
                <w:lang w:val="es-ES_tradnl"/>
              </w:rPr>
              <w:t>5 500 (2027)</w:t>
            </w:r>
          </w:p>
        </w:tc>
      </w:tr>
      <w:tr w:rsidR="00950A9F" w:rsidRPr="00E675E8" w14:paraId="46F1920C" w14:textId="77777777" w:rsidTr="00383CE0">
        <w:tc>
          <w:tcPr>
            <w:tcW w:w="426" w:type="dxa"/>
            <w:tcBorders>
              <w:top w:val="single" w:sz="4" w:space="0" w:color="D9D9D9" w:themeColor="background1" w:themeShade="D9"/>
            </w:tcBorders>
          </w:tcPr>
          <w:p w14:paraId="2EBB8588" w14:textId="77777777" w:rsidR="00B65EDC" w:rsidRPr="00E675E8" w:rsidRDefault="00B65EDC">
            <w:pPr>
              <w:jc w:val="left"/>
              <w:rPr>
                <w:rFonts w:cs="Arial"/>
                <w:sz w:val="16"/>
                <w:szCs w:val="16"/>
                <w:lang w:val="es-ES_tradnl"/>
              </w:rPr>
            </w:pPr>
            <w:r w:rsidRPr="00E675E8">
              <w:rPr>
                <w:sz w:val="16"/>
                <w:lang w:val="es-ES_tradnl"/>
              </w:rPr>
              <w:t>2.2</w:t>
            </w:r>
          </w:p>
        </w:tc>
        <w:tc>
          <w:tcPr>
            <w:tcW w:w="3118" w:type="dxa"/>
            <w:tcBorders>
              <w:top w:val="single" w:sz="4" w:space="0" w:color="D9D9D9" w:themeColor="background1" w:themeShade="D9"/>
            </w:tcBorders>
          </w:tcPr>
          <w:p w14:paraId="6AFE6E32" w14:textId="77777777" w:rsidR="00B65EDC" w:rsidRPr="00E675E8" w:rsidRDefault="00B65EDC">
            <w:pPr>
              <w:jc w:val="left"/>
              <w:rPr>
                <w:rFonts w:cs="Arial"/>
                <w:sz w:val="16"/>
                <w:szCs w:val="16"/>
                <w:lang w:val="es-ES_tradnl"/>
              </w:rPr>
            </w:pPr>
            <w:r w:rsidRPr="00E675E8">
              <w:rPr>
                <w:sz w:val="16"/>
                <w:lang w:val="es-ES_tradnl"/>
              </w:rPr>
              <w:t>Orientación y asistencia sobre el Convenio de la UPOV y su aplicación</w:t>
            </w:r>
          </w:p>
        </w:tc>
        <w:tc>
          <w:tcPr>
            <w:tcW w:w="305" w:type="dxa"/>
            <w:tcBorders>
              <w:top w:val="single" w:sz="4" w:space="0" w:color="D9D9D9" w:themeColor="background1" w:themeShade="D9"/>
            </w:tcBorders>
          </w:tcPr>
          <w:p w14:paraId="3DD6726B" w14:textId="77777777" w:rsidR="00B65EDC" w:rsidRPr="00E675E8" w:rsidRDefault="00B65EDC">
            <w:pPr>
              <w:jc w:val="center"/>
              <w:rPr>
                <w:rFonts w:cs="Arial"/>
                <w:sz w:val="16"/>
                <w:szCs w:val="16"/>
                <w:lang w:val="es-ES_tradnl"/>
              </w:rPr>
            </w:pPr>
            <w:r w:rsidRPr="00E675E8">
              <w:rPr>
                <w:sz w:val="16"/>
                <w:lang w:val="es-ES_tradnl"/>
              </w:rPr>
              <w:t>4</w:t>
            </w:r>
          </w:p>
        </w:tc>
        <w:tc>
          <w:tcPr>
            <w:tcW w:w="2457" w:type="dxa"/>
            <w:tcBorders>
              <w:top w:val="single" w:sz="4" w:space="0" w:color="D9D9D9" w:themeColor="background1" w:themeShade="D9"/>
            </w:tcBorders>
          </w:tcPr>
          <w:p w14:paraId="66F04F41" w14:textId="77777777" w:rsidR="00B65EDC" w:rsidRPr="00E675E8" w:rsidRDefault="00B65EDC">
            <w:pPr>
              <w:jc w:val="left"/>
              <w:rPr>
                <w:rFonts w:cs="Arial"/>
                <w:sz w:val="16"/>
                <w:szCs w:val="16"/>
                <w:lang w:val="es-ES_tradnl"/>
              </w:rPr>
            </w:pPr>
            <w:r w:rsidRPr="00E675E8">
              <w:rPr>
                <w:sz w:val="16"/>
                <w:lang w:val="es-ES_tradnl"/>
              </w:rPr>
              <w:t>Número de Estados y organizaciones que participan en las actividades de formación/asistencia de la UPOV</w:t>
            </w:r>
          </w:p>
        </w:tc>
        <w:tc>
          <w:tcPr>
            <w:tcW w:w="1495" w:type="dxa"/>
            <w:tcBorders>
              <w:top w:val="single" w:sz="4" w:space="0" w:color="D9D9D9" w:themeColor="background1" w:themeShade="D9"/>
            </w:tcBorders>
            <w:shd w:val="clear" w:color="auto" w:fill="FFFFFF" w:themeFill="background1"/>
          </w:tcPr>
          <w:p w14:paraId="2C1D6F65" w14:textId="044B299C" w:rsidR="00B65EDC" w:rsidRPr="00E675E8" w:rsidRDefault="00620794" w:rsidP="00443835">
            <w:pPr>
              <w:jc w:val="center"/>
              <w:rPr>
                <w:rFonts w:asciiTheme="majorHAnsi" w:hAnsiTheme="majorHAnsi" w:cstheme="majorHAnsi"/>
                <w:sz w:val="16"/>
                <w:szCs w:val="16"/>
                <w:lang w:val="es-ES_tradnl"/>
              </w:rPr>
            </w:pPr>
            <w:r w:rsidRPr="00E675E8">
              <w:rPr>
                <w:rFonts w:asciiTheme="majorHAnsi" w:hAnsiTheme="majorHAnsi"/>
                <w:sz w:val="16"/>
                <w:lang w:val="es-ES_tradnl"/>
              </w:rPr>
              <w:t xml:space="preserve">128 Estados; </w:t>
            </w:r>
            <w:r w:rsidRPr="00E675E8">
              <w:rPr>
                <w:rFonts w:asciiTheme="majorHAnsi" w:hAnsiTheme="majorHAnsi"/>
                <w:sz w:val="16"/>
                <w:lang w:val="es-ES_tradnl"/>
              </w:rPr>
              <w:br/>
              <w:t>31 organizaciones (2024)</w:t>
            </w:r>
          </w:p>
        </w:tc>
        <w:tc>
          <w:tcPr>
            <w:tcW w:w="1843" w:type="dxa"/>
            <w:tcBorders>
              <w:top w:val="single" w:sz="4" w:space="0" w:color="D9D9D9" w:themeColor="background1" w:themeShade="D9"/>
            </w:tcBorders>
            <w:shd w:val="clear" w:color="auto" w:fill="FFFFFF" w:themeFill="background1"/>
          </w:tcPr>
          <w:p w14:paraId="550B3E51" w14:textId="777DD91B" w:rsidR="00C74C05" w:rsidRPr="00E675E8" w:rsidRDefault="00C74C05">
            <w:pPr>
              <w:jc w:val="center"/>
              <w:rPr>
                <w:rFonts w:asciiTheme="majorHAnsi" w:hAnsiTheme="majorHAnsi" w:cstheme="majorHAnsi"/>
                <w:sz w:val="16"/>
                <w:szCs w:val="16"/>
                <w:lang w:val="es-ES_tradnl"/>
              </w:rPr>
            </w:pPr>
            <w:r w:rsidRPr="00E675E8">
              <w:rPr>
                <w:rFonts w:asciiTheme="majorHAnsi" w:hAnsiTheme="majorHAnsi"/>
                <w:sz w:val="16"/>
                <w:lang w:val="es-ES_tradnl"/>
              </w:rPr>
              <w:t xml:space="preserve">Estados: 140 (2026); </w:t>
            </w:r>
            <w:r w:rsidRPr="00E675E8">
              <w:rPr>
                <w:rFonts w:asciiTheme="majorHAnsi" w:hAnsiTheme="majorHAnsi"/>
                <w:sz w:val="16"/>
                <w:lang w:val="es-ES_tradnl"/>
              </w:rPr>
              <w:br/>
              <w:t>150 (2027)</w:t>
            </w:r>
          </w:p>
          <w:p w14:paraId="3531BDCA" w14:textId="093A3ADF" w:rsidR="00C74C05" w:rsidRPr="00E675E8" w:rsidRDefault="00B65EDC">
            <w:pPr>
              <w:jc w:val="center"/>
              <w:rPr>
                <w:rFonts w:asciiTheme="majorHAnsi" w:hAnsiTheme="majorHAnsi" w:cstheme="majorHAnsi"/>
                <w:sz w:val="16"/>
                <w:szCs w:val="16"/>
                <w:lang w:val="es-ES_tradnl"/>
              </w:rPr>
            </w:pPr>
            <w:r w:rsidRPr="00E675E8">
              <w:rPr>
                <w:rFonts w:asciiTheme="majorHAnsi" w:hAnsiTheme="majorHAnsi"/>
                <w:sz w:val="16"/>
                <w:lang w:val="es-ES_tradnl"/>
              </w:rPr>
              <w:t>Organizaciones:</w:t>
            </w:r>
          </w:p>
          <w:p w14:paraId="3731F050" w14:textId="36CFEC09" w:rsidR="00C74C05" w:rsidRPr="00E675E8" w:rsidRDefault="00C74C05">
            <w:pPr>
              <w:jc w:val="center"/>
              <w:rPr>
                <w:rFonts w:asciiTheme="majorHAnsi" w:hAnsiTheme="majorHAnsi" w:cstheme="majorHAnsi"/>
                <w:sz w:val="16"/>
                <w:szCs w:val="16"/>
                <w:lang w:val="es-ES_tradnl"/>
              </w:rPr>
            </w:pPr>
            <w:r w:rsidRPr="00E675E8">
              <w:rPr>
                <w:rFonts w:asciiTheme="majorHAnsi" w:hAnsiTheme="majorHAnsi"/>
                <w:sz w:val="16"/>
                <w:lang w:val="es-ES_tradnl"/>
              </w:rPr>
              <w:t xml:space="preserve">33 (2026) </w:t>
            </w:r>
          </w:p>
          <w:p w14:paraId="0047360F" w14:textId="4BE07D52" w:rsidR="00B65EDC" w:rsidRPr="00E675E8" w:rsidRDefault="00026B8A">
            <w:pPr>
              <w:jc w:val="center"/>
              <w:rPr>
                <w:rFonts w:asciiTheme="majorHAnsi" w:hAnsiTheme="majorHAnsi" w:cstheme="majorHAnsi"/>
                <w:sz w:val="16"/>
                <w:szCs w:val="16"/>
                <w:lang w:val="es-ES_tradnl"/>
              </w:rPr>
            </w:pPr>
            <w:r w:rsidRPr="00E675E8">
              <w:rPr>
                <w:rFonts w:asciiTheme="majorHAnsi" w:hAnsiTheme="majorHAnsi"/>
                <w:sz w:val="16"/>
                <w:lang w:val="es-ES_tradnl"/>
              </w:rPr>
              <w:t>35 (2027)</w:t>
            </w:r>
          </w:p>
        </w:tc>
      </w:tr>
      <w:tr w:rsidR="0044405F" w:rsidRPr="00E675E8" w14:paraId="559783BB" w14:textId="77777777" w:rsidTr="00383CE0">
        <w:tc>
          <w:tcPr>
            <w:tcW w:w="426" w:type="dxa"/>
          </w:tcPr>
          <w:p w14:paraId="3C7CC3D5" w14:textId="77777777" w:rsidR="00B65EDC" w:rsidRPr="00E675E8" w:rsidRDefault="00B65EDC">
            <w:pPr>
              <w:jc w:val="left"/>
              <w:rPr>
                <w:rFonts w:cs="Arial"/>
                <w:sz w:val="16"/>
                <w:szCs w:val="16"/>
                <w:lang w:val="es-ES_tradnl"/>
              </w:rPr>
            </w:pPr>
          </w:p>
        </w:tc>
        <w:tc>
          <w:tcPr>
            <w:tcW w:w="3118" w:type="dxa"/>
          </w:tcPr>
          <w:p w14:paraId="197192B4" w14:textId="77777777" w:rsidR="00B65EDC" w:rsidRPr="00E675E8" w:rsidRDefault="00B65EDC">
            <w:pPr>
              <w:jc w:val="left"/>
              <w:rPr>
                <w:rFonts w:cs="Arial"/>
                <w:sz w:val="16"/>
                <w:szCs w:val="16"/>
                <w:lang w:val="es-ES_tradnl"/>
              </w:rPr>
            </w:pPr>
          </w:p>
        </w:tc>
        <w:tc>
          <w:tcPr>
            <w:tcW w:w="305" w:type="dxa"/>
          </w:tcPr>
          <w:p w14:paraId="3515D271" w14:textId="77777777" w:rsidR="00B65EDC" w:rsidRPr="00E675E8" w:rsidRDefault="00B65EDC">
            <w:pPr>
              <w:jc w:val="center"/>
              <w:rPr>
                <w:rFonts w:cs="Arial"/>
                <w:sz w:val="16"/>
                <w:szCs w:val="16"/>
                <w:lang w:val="es-ES_tradnl"/>
              </w:rPr>
            </w:pPr>
            <w:r w:rsidRPr="00E675E8">
              <w:rPr>
                <w:sz w:val="16"/>
                <w:lang w:val="es-ES_tradnl"/>
              </w:rPr>
              <w:t>5</w:t>
            </w:r>
          </w:p>
        </w:tc>
        <w:tc>
          <w:tcPr>
            <w:tcW w:w="2457" w:type="dxa"/>
          </w:tcPr>
          <w:p w14:paraId="213704BB" w14:textId="77777777" w:rsidR="00B65EDC" w:rsidRPr="00E675E8" w:rsidRDefault="00B65EDC">
            <w:pPr>
              <w:jc w:val="left"/>
              <w:rPr>
                <w:rFonts w:cs="Arial"/>
                <w:sz w:val="16"/>
                <w:szCs w:val="16"/>
                <w:lang w:val="es-ES_tradnl"/>
              </w:rPr>
            </w:pPr>
            <w:r w:rsidRPr="00E675E8">
              <w:rPr>
                <w:sz w:val="16"/>
                <w:lang w:val="es-ES_tradnl"/>
              </w:rPr>
              <w:t>Número de participantes que finalizan satisfactoriamente los cursos de enseñanza a distancia de la UPOV</w:t>
            </w:r>
          </w:p>
        </w:tc>
        <w:tc>
          <w:tcPr>
            <w:tcW w:w="1495" w:type="dxa"/>
            <w:shd w:val="clear" w:color="auto" w:fill="FFFFFF" w:themeFill="background1"/>
          </w:tcPr>
          <w:p w14:paraId="56BD3EF1" w14:textId="2D1C738C" w:rsidR="00B65EDC" w:rsidRPr="00E675E8" w:rsidRDefault="008548B5">
            <w:pPr>
              <w:jc w:val="center"/>
              <w:rPr>
                <w:rFonts w:asciiTheme="majorHAnsi" w:hAnsiTheme="majorHAnsi" w:cstheme="majorHAnsi"/>
                <w:sz w:val="16"/>
                <w:szCs w:val="16"/>
                <w:lang w:val="es-ES_tradnl"/>
              </w:rPr>
            </w:pPr>
            <w:r w:rsidRPr="00E675E8">
              <w:rPr>
                <w:rFonts w:asciiTheme="majorHAnsi" w:hAnsiTheme="majorHAnsi"/>
                <w:sz w:val="16"/>
                <w:lang w:val="es-ES_tradnl"/>
              </w:rPr>
              <w:t>1 027 (2024)</w:t>
            </w:r>
          </w:p>
        </w:tc>
        <w:tc>
          <w:tcPr>
            <w:tcW w:w="1843" w:type="dxa"/>
          </w:tcPr>
          <w:p w14:paraId="6B5C20B4" w14:textId="4442E688" w:rsidR="001B0B64" w:rsidRPr="00E675E8" w:rsidRDefault="001B0B64">
            <w:pPr>
              <w:jc w:val="center"/>
              <w:rPr>
                <w:rFonts w:asciiTheme="majorHAnsi" w:hAnsiTheme="majorHAnsi" w:cstheme="majorHAnsi"/>
                <w:sz w:val="16"/>
                <w:szCs w:val="16"/>
                <w:lang w:val="es-ES_tradnl"/>
              </w:rPr>
            </w:pPr>
            <w:r w:rsidRPr="00E675E8">
              <w:rPr>
                <w:rFonts w:asciiTheme="majorHAnsi" w:hAnsiTheme="majorHAnsi"/>
                <w:sz w:val="16"/>
                <w:lang w:val="es-ES_tradnl"/>
              </w:rPr>
              <w:t>1 100 (2026)</w:t>
            </w:r>
          </w:p>
          <w:p w14:paraId="3524888E" w14:textId="7735F099" w:rsidR="00B65EDC" w:rsidRPr="00E675E8" w:rsidRDefault="00026B8A">
            <w:pPr>
              <w:jc w:val="center"/>
              <w:rPr>
                <w:rFonts w:asciiTheme="majorHAnsi" w:hAnsiTheme="majorHAnsi" w:cstheme="majorHAnsi"/>
                <w:sz w:val="16"/>
                <w:szCs w:val="16"/>
                <w:lang w:val="es-ES_tradnl"/>
              </w:rPr>
            </w:pPr>
            <w:r w:rsidRPr="00E675E8">
              <w:rPr>
                <w:rFonts w:asciiTheme="majorHAnsi" w:hAnsiTheme="majorHAnsi"/>
                <w:sz w:val="16"/>
                <w:lang w:val="es-ES_tradnl"/>
              </w:rPr>
              <w:t>1 200 (2027)</w:t>
            </w:r>
          </w:p>
        </w:tc>
      </w:tr>
      <w:tr w:rsidR="00B65EDC" w:rsidRPr="00E675E8" w14:paraId="059FC045" w14:textId="77777777" w:rsidTr="00383CE0">
        <w:tc>
          <w:tcPr>
            <w:tcW w:w="426" w:type="dxa"/>
          </w:tcPr>
          <w:p w14:paraId="30A57619" w14:textId="77777777" w:rsidR="00B65EDC" w:rsidRPr="00E675E8" w:rsidRDefault="00B65EDC">
            <w:pPr>
              <w:jc w:val="left"/>
              <w:rPr>
                <w:rFonts w:cs="Arial"/>
                <w:sz w:val="16"/>
                <w:szCs w:val="16"/>
                <w:lang w:val="es-ES_tradnl"/>
              </w:rPr>
            </w:pPr>
          </w:p>
        </w:tc>
        <w:tc>
          <w:tcPr>
            <w:tcW w:w="3118" w:type="dxa"/>
          </w:tcPr>
          <w:p w14:paraId="56B07CC4" w14:textId="77777777" w:rsidR="00B65EDC" w:rsidRPr="00E675E8" w:rsidRDefault="00B65EDC">
            <w:pPr>
              <w:jc w:val="left"/>
              <w:rPr>
                <w:rFonts w:cs="Arial"/>
                <w:sz w:val="16"/>
                <w:szCs w:val="16"/>
                <w:lang w:val="es-ES_tradnl"/>
              </w:rPr>
            </w:pPr>
          </w:p>
        </w:tc>
        <w:tc>
          <w:tcPr>
            <w:tcW w:w="305" w:type="dxa"/>
          </w:tcPr>
          <w:p w14:paraId="4BAF4352" w14:textId="77777777" w:rsidR="00B65EDC" w:rsidRPr="00E675E8" w:rsidRDefault="00B65EDC">
            <w:pPr>
              <w:jc w:val="center"/>
              <w:rPr>
                <w:rFonts w:cs="Arial"/>
                <w:sz w:val="16"/>
                <w:szCs w:val="16"/>
                <w:lang w:val="es-ES_tradnl"/>
              </w:rPr>
            </w:pPr>
            <w:r w:rsidRPr="00E675E8">
              <w:rPr>
                <w:sz w:val="16"/>
                <w:lang w:val="es-ES_tradnl"/>
              </w:rPr>
              <w:t>6</w:t>
            </w:r>
          </w:p>
        </w:tc>
        <w:tc>
          <w:tcPr>
            <w:tcW w:w="2457" w:type="dxa"/>
          </w:tcPr>
          <w:p w14:paraId="1DB66BA5" w14:textId="77777777" w:rsidR="00B65EDC" w:rsidRPr="00E675E8" w:rsidRDefault="00B65EDC">
            <w:pPr>
              <w:jc w:val="left"/>
              <w:rPr>
                <w:rFonts w:cs="Arial"/>
                <w:sz w:val="16"/>
                <w:szCs w:val="16"/>
                <w:lang w:val="es-ES_tradnl"/>
              </w:rPr>
            </w:pPr>
            <w:r w:rsidRPr="00E675E8">
              <w:rPr>
                <w:sz w:val="16"/>
                <w:lang w:val="es-ES_tradnl"/>
              </w:rPr>
              <w:t>Número de instituciones académicas que incluyen información sobre el sistema de la UPOV en sus cursos</w:t>
            </w:r>
          </w:p>
        </w:tc>
        <w:tc>
          <w:tcPr>
            <w:tcW w:w="1495" w:type="dxa"/>
          </w:tcPr>
          <w:p w14:paraId="1CCFCAEE" w14:textId="77777777" w:rsidR="008548B5" w:rsidRPr="00E675E8" w:rsidRDefault="00B65EDC">
            <w:pPr>
              <w:jc w:val="center"/>
              <w:rPr>
                <w:rFonts w:asciiTheme="majorHAnsi" w:hAnsiTheme="majorHAnsi" w:cstheme="majorBidi"/>
                <w:sz w:val="16"/>
                <w:szCs w:val="16"/>
                <w:lang w:val="es-ES_tradnl"/>
              </w:rPr>
            </w:pPr>
            <w:r w:rsidRPr="00E675E8">
              <w:rPr>
                <w:rFonts w:asciiTheme="majorHAnsi" w:hAnsiTheme="majorHAnsi"/>
                <w:sz w:val="16"/>
                <w:lang w:val="es-ES_tradnl"/>
              </w:rPr>
              <w:t xml:space="preserve">África: 1; </w:t>
            </w:r>
          </w:p>
          <w:p w14:paraId="0B75FAD5" w14:textId="77777777" w:rsidR="008548B5" w:rsidRPr="00E675E8" w:rsidRDefault="008548B5">
            <w:pPr>
              <w:jc w:val="center"/>
              <w:rPr>
                <w:rFonts w:asciiTheme="majorHAnsi" w:hAnsiTheme="majorHAnsi" w:cstheme="majorBidi"/>
                <w:sz w:val="16"/>
                <w:szCs w:val="16"/>
                <w:lang w:val="es-ES_tradnl"/>
              </w:rPr>
            </w:pPr>
            <w:r w:rsidRPr="00E675E8">
              <w:rPr>
                <w:rFonts w:asciiTheme="majorHAnsi" w:hAnsiTheme="majorHAnsi"/>
                <w:sz w:val="16"/>
                <w:lang w:val="es-ES_tradnl"/>
              </w:rPr>
              <w:t>América: 0;</w:t>
            </w:r>
          </w:p>
          <w:p w14:paraId="7A4C5E06" w14:textId="422062A5" w:rsidR="00B65EDC" w:rsidRPr="00E675E8" w:rsidRDefault="00B65EDC">
            <w:pPr>
              <w:jc w:val="center"/>
              <w:rPr>
                <w:rFonts w:asciiTheme="majorHAnsi" w:hAnsiTheme="majorHAnsi" w:cstheme="majorBidi"/>
                <w:sz w:val="16"/>
                <w:szCs w:val="16"/>
                <w:lang w:val="es-ES_tradnl"/>
              </w:rPr>
            </w:pPr>
            <w:r w:rsidRPr="00E675E8">
              <w:rPr>
                <w:rFonts w:asciiTheme="majorHAnsi" w:hAnsiTheme="majorHAnsi"/>
                <w:sz w:val="16"/>
                <w:lang w:val="es-ES_tradnl"/>
              </w:rPr>
              <w:t>Asia/Pacífico: 2; Europa: 7 (2024)</w:t>
            </w:r>
          </w:p>
        </w:tc>
        <w:tc>
          <w:tcPr>
            <w:tcW w:w="1843" w:type="dxa"/>
          </w:tcPr>
          <w:p w14:paraId="20E22947" w14:textId="77777777" w:rsidR="001B0B64" w:rsidRPr="00E675E8" w:rsidRDefault="00B65EDC">
            <w:pPr>
              <w:jc w:val="center"/>
              <w:rPr>
                <w:rFonts w:asciiTheme="majorHAnsi" w:hAnsiTheme="majorHAnsi" w:cstheme="majorHAnsi"/>
                <w:sz w:val="16"/>
                <w:szCs w:val="16"/>
                <w:lang w:val="es-ES_tradnl"/>
              </w:rPr>
            </w:pPr>
            <w:r w:rsidRPr="00E675E8">
              <w:rPr>
                <w:rFonts w:asciiTheme="majorHAnsi" w:hAnsiTheme="majorHAnsi"/>
                <w:sz w:val="16"/>
                <w:lang w:val="es-ES_tradnl"/>
              </w:rPr>
              <w:t xml:space="preserve">África: 4; </w:t>
            </w:r>
            <w:r w:rsidRPr="00E675E8">
              <w:rPr>
                <w:rFonts w:asciiTheme="majorHAnsi" w:hAnsiTheme="majorHAnsi"/>
                <w:sz w:val="16"/>
                <w:lang w:val="es-ES_tradnl"/>
              </w:rPr>
              <w:br/>
              <w:t xml:space="preserve">América: 3; Asia/Pacífico: 4; Europa: 7 </w:t>
            </w:r>
          </w:p>
          <w:p w14:paraId="5EBFF826" w14:textId="2DF81248" w:rsidR="00B65EDC" w:rsidRPr="00E675E8" w:rsidRDefault="00B65EDC">
            <w:pPr>
              <w:jc w:val="center"/>
              <w:rPr>
                <w:rFonts w:asciiTheme="majorHAnsi" w:hAnsiTheme="majorHAnsi" w:cstheme="majorHAnsi"/>
                <w:sz w:val="16"/>
                <w:szCs w:val="16"/>
                <w:lang w:val="es-ES_tradnl"/>
              </w:rPr>
            </w:pPr>
            <w:r w:rsidRPr="00E675E8">
              <w:rPr>
                <w:rFonts w:asciiTheme="majorHAnsi" w:hAnsiTheme="majorHAnsi"/>
                <w:sz w:val="16"/>
                <w:lang w:val="es-ES_tradnl"/>
              </w:rPr>
              <w:t>(al final del bienio)</w:t>
            </w:r>
          </w:p>
        </w:tc>
      </w:tr>
      <w:tr w:rsidR="00B65EDC" w:rsidRPr="00E675E8" w14:paraId="5B052E0C" w14:textId="77777777" w:rsidTr="00383CE0">
        <w:tc>
          <w:tcPr>
            <w:tcW w:w="426" w:type="dxa"/>
          </w:tcPr>
          <w:p w14:paraId="5C9FD136" w14:textId="77777777" w:rsidR="00B65EDC" w:rsidRPr="00E675E8" w:rsidRDefault="00B65EDC">
            <w:pPr>
              <w:jc w:val="left"/>
              <w:rPr>
                <w:rFonts w:cs="Arial"/>
                <w:sz w:val="16"/>
                <w:szCs w:val="16"/>
                <w:lang w:val="es-ES_tradnl"/>
              </w:rPr>
            </w:pPr>
          </w:p>
        </w:tc>
        <w:tc>
          <w:tcPr>
            <w:tcW w:w="3118" w:type="dxa"/>
          </w:tcPr>
          <w:p w14:paraId="7A29DCA8" w14:textId="77777777" w:rsidR="00B65EDC" w:rsidRPr="00E675E8" w:rsidRDefault="00B65EDC">
            <w:pPr>
              <w:jc w:val="left"/>
              <w:rPr>
                <w:rFonts w:cs="Arial"/>
                <w:sz w:val="16"/>
                <w:szCs w:val="16"/>
                <w:lang w:val="es-ES_tradnl"/>
              </w:rPr>
            </w:pPr>
          </w:p>
        </w:tc>
        <w:tc>
          <w:tcPr>
            <w:tcW w:w="305" w:type="dxa"/>
          </w:tcPr>
          <w:p w14:paraId="33030348" w14:textId="77777777" w:rsidR="00B65EDC" w:rsidRPr="00E675E8" w:rsidRDefault="00B65EDC">
            <w:pPr>
              <w:jc w:val="center"/>
              <w:rPr>
                <w:rFonts w:cs="Arial"/>
                <w:sz w:val="16"/>
                <w:szCs w:val="16"/>
                <w:lang w:val="es-ES_tradnl"/>
              </w:rPr>
            </w:pPr>
            <w:r w:rsidRPr="00E675E8">
              <w:rPr>
                <w:sz w:val="16"/>
                <w:lang w:val="es-ES_tradnl"/>
              </w:rPr>
              <w:t>7</w:t>
            </w:r>
          </w:p>
        </w:tc>
        <w:tc>
          <w:tcPr>
            <w:tcW w:w="2457" w:type="dxa"/>
          </w:tcPr>
          <w:p w14:paraId="15A1AA84" w14:textId="77777777" w:rsidR="00B65EDC" w:rsidRPr="00E675E8" w:rsidRDefault="00B65EDC">
            <w:pPr>
              <w:jc w:val="left"/>
              <w:rPr>
                <w:rFonts w:cs="Arial"/>
                <w:sz w:val="16"/>
                <w:szCs w:val="16"/>
                <w:lang w:val="es-ES_tradnl"/>
              </w:rPr>
            </w:pPr>
            <w:r w:rsidRPr="00E675E8">
              <w:rPr>
                <w:sz w:val="16"/>
                <w:lang w:val="es-ES_tradnl"/>
              </w:rPr>
              <w:t>Número de personas con certificado internacional de la UPOV sobre la protección de las variedades vegetales</w:t>
            </w:r>
          </w:p>
        </w:tc>
        <w:tc>
          <w:tcPr>
            <w:tcW w:w="1495" w:type="dxa"/>
          </w:tcPr>
          <w:p w14:paraId="761736C2" w14:textId="77777777" w:rsidR="00B65EDC" w:rsidRPr="00E675E8" w:rsidRDefault="00B65EDC">
            <w:pPr>
              <w:jc w:val="center"/>
              <w:rPr>
                <w:rFonts w:asciiTheme="majorHAnsi" w:hAnsiTheme="majorHAnsi" w:cstheme="majorHAnsi"/>
                <w:sz w:val="16"/>
                <w:szCs w:val="16"/>
                <w:lang w:val="es-ES_tradnl"/>
              </w:rPr>
            </w:pPr>
            <w:r w:rsidRPr="00E675E8">
              <w:rPr>
                <w:rFonts w:asciiTheme="majorHAnsi" w:hAnsiTheme="majorHAnsi"/>
                <w:sz w:val="16"/>
                <w:lang w:val="es-ES_tradnl"/>
              </w:rPr>
              <w:t>50 (2024)</w:t>
            </w:r>
          </w:p>
        </w:tc>
        <w:tc>
          <w:tcPr>
            <w:tcW w:w="1843" w:type="dxa"/>
          </w:tcPr>
          <w:p w14:paraId="739CA224" w14:textId="1F8BA581" w:rsidR="00B65EDC" w:rsidRPr="00E675E8" w:rsidRDefault="00B65EDC">
            <w:pPr>
              <w:jc w:val="center"/>
              <w:rPr>
                <w:rFonts w:asciiTheme="majorHAnsi" w:hAnsiTheme="majorHAnsi" w:cstheme="majorHAnsi"/>
                <w:sz w:val="16"/>
                <w:szCs w:val="16"/>
                <w:lang w:val="es-ES_tradnl"/>
              </w:rPr>
            </w:pPr>
            <w:r w:rsidRPr="00E675E8">
              <w:rPr>
                <w:rFonts w:asciiTheme="majorHAnsi" w:hAnsiTheme="majorHAnsi"/>
                <w:sz w:val="16"/>
                <w:lang w:val="es-ES_tradnl"/>
              </w:rPr>
              <w:t xml:space="preserve">250 </w:t>
            </w:r>
            <w:r w:rsidRPr="00E675E8">
              <w:rPr>
                <w:rFonts w:asciiTheme="majorHAnsi" w:hAnsiTheme="majorHAnsi"/>
                <w:sz w:val="16"/>
                <w:lang w:val="es-ES_tradnl"/>
              </w:rPr>
              <w:br/>
              <w:t>(al final del bienio)</w:t>
            </w:r>
          </w:p>
        </w:tc>
      </w:tr>
      <w:tr w:rsidR="00950A9F" w:rsidRPr="00E675E8" w14:paraId="26E4FA28" w14:textId="77777777" w:rsidTr="00383CE0">
        <w:tc>
          <w:tcPr>
            <w:tcW w:w="426" w:type="dxa"/>
            <w:tcBorders>
              <w:bottom w:val="single" w:sz="4" w:space="0" w:color="D9D9D9" w:themeColor="background1" w:themeShade="D9"/>
            </w:tcBorders>
          </w:tcPr>
          <w:p w14:paraId="70C45CA5" w14:textId="77777777" w:rsidR="00B65EDC" w:rsidRPr="00E675E8" w:rsidRDefault="00B65EDC">
            <w:pPr>
              <w:jc w:val="left"/>
              <w:rPr>
                <w:rFonts w:cs="Arial"/>
                <w:sz w:val="16"/>
                <w:szCs w:val="16"/>
                <w:lang w:val="es-ES_tradnl"/>
              </w:rPr>
            </w:pPr>
          </w:p>
        </w:tc>
        <w:tc>
          <w:tcPr>
            <w:tcW w:w="3118" w:type="dxa"/>
            <w:tcBorders>
              <w:bottom w:val="single" w:sz="4" w:space="0" w:color="D9D9D9" w:themeColor="background1" w:themeShade="D9"/>
            </w:tcBorders>
          </w:tcPr>
          <w:p w14:paraId="3823216D" w14:textId="77777777" w:rsidR="00B65EDC" w:rsidRPr="00E675E8" w:rsidRDefault="00B65EDC">
            <w:pPr>
              <w:jc w:val="left"/>
              <w:rPr>
                <w:rFonts w:cs="Arial"/>
                <w:sz w:val="16"/>
                <w:szCs w:val="16"/>
                <w:lang w:val="es-ES_tradnl"/>
              </w:rPr>
            </w:pPr>
          </w:p>
        </w:tc>
        <w:tc>
          <w:tcPr>
            <w:tcW w:w="305" w:type="dxa"/>
            <w:tcBorders>
              <w:bottom w:val="single" w:sz="4" w:space="0" w:color="D9D9D9" w:themeColor="background1" w:themeShade="D9"/>
            </w:tcBorders>
          </w:tcPr>
          <w:p w14:paraId="36C61343" w14:textId="77777777" w:rsidR="00B65EDC" w:rsidRPr="00E675E8" w:rsidRDefault="00B65EDC">
            <w:pPr>
              <w:jc w:val="center"/>
              <w:rPr>
                <w:rFonts w:cs="Arial"/>
                <w:sz w:val="16"/>
                <w:szCs w:val="16"/>
                <w:lang w:val="es-ES_tradnl"/>
              </w:rPr>
            </w:pPr>
            <w:r w:rsidRPr="00E675E8">
              <w:rPr>
                <w:sz w:val="16"/>
                <w:lang w:val="es-ES_tradnl"/>
              </w:rPr>
              <w:t>8</w:t>
            </w:r>
          </w:p>
        </w:tc>
        <w:tc>
          <w:tcPr>
            <w:tcW w:w="2457" w:type="dxa"/>
            <w:tcBorders>
              <w:bottom w:val="single" w:sz="4" w:space="0" w:color="D9D9D9" w:themeColor="background1" w:themeShade="D9"/>
            </w:tcBorders>
          </w:tcPr>
          <w:p w14:paraId="67DDC1D0" w14:textId="77777777" w:rsidR="00B65EDC" w:rsidRPr="00E675E8" w:rsidRDefault="00B65EDC">
            <w:pPr>
              <w:jc w:val="left"/>
              <w:rPr>
                <w:rFonts w:cs="Arial"/>
                <w:sz w:val="16"/>
                <w:szCs w:val="16"/>
                <w:lang w:val="es-ES_tradnl"/>
              </w:rPr>
            </w:pPr>
            <w:r w:rsidRPr="00E675E8">
              <w:rPr>
                <w:sz w:val="16"/>
                <w:lang w:val="es-ES_tradnl"/>
              </w:rPr>
              <w:t xml:space="preserve">Número de graduados del Programa de la UPOV para directivos </w:t>
            </w:r>
          </w:p>
        </w:tc>
        <w:tc>
          <w:tcPr>
            <w:tcW w:w="1495" w:type="dxa"/>
            <w:tcBorders>
              <w:bottom w:val="single" w:sz="4" w:space="0" w:color="D9D9D9" w:themeColor="background1" w:themeShade="D9"/>
            </w:tcBorders>
            <w:shd w:val="clear" w:color="auto" w:fill="FFFFFF" w:themeFill="background1"/>
          </w:tcPr>
          <w:p w14:paraId="4161258C" w14:textId="5B855F0B" w:rsidR="00B65EDC" w:rsidRPr="00E675E8" w:rsidRDefault="008548B5">
            <w:pPr>
              <w:ind w:right="284"/>
              <w:jc w:val="right"/>
              <w:rPr>
                <w:rFonts w:asciiTheme="majorHAnsi" w:hAnsiTheme="majorHAnsi" w:cstheme="majorHAnsi"/>
                <w:sz w:val="16"/>
                <w:szCs w:val="16"/>
                <w:lang w:val="es-ES_tradnl"/>
              </w:rPr>
            </w:pPr>
            <w:r w:rsidRPr="00E675E8">
              <w:rPr>
                <w:rFonts w:asciiTheme="majorHAnsi" w:hAnsiTheme="majorHAnsi"/>
                <w:sz w:val="16"/>
                <w:lang w:val="es-ES_tradnl"/>
              </w:rPr>
              <w:t>75</w:t>
            </w:r>
            <w:r w:rsidR="00B104C1" w:rsidRPr="00E675E8">
              <w:rPr>
                <w:rStyle w:val="FootnoteReference"/>
                <w:rFonts w:asciiTheme="majorHAnsi" w:hAnsiTheme="majorHAnsi" w:cstheme="majorHAnsi"/>
                <w:sz w:val="16"/>
                <w:szCs w:val="16"/>
                <w:lang w:val="es-ES_tradnl"/>
              </w:rPr>
              <w:footnoteReference w:id="4"/>
            </w:r>
            <w:r w:rsidRPr="00E675E8">
              <w:rPr>
                <w:rFonts w:asciiTheme="majorHAnsi" w:hAnsiTheme="majorHAnsi"/>
                <w:sz w:val="16"/>
                <w:lang w:val="es-ES_tradnl"/>
              </w:rPr>
              <w:t xml:space="preserve"> (2024)</w:t>
            </w:r>
          </w:p>
        </w:tc>
        <w:tc>
          <w:tcPr>
            <w:tcW w:w="1843" w:type="dxa"/>
            <w:tcBorders>
              <w:bottom w:val="single" w:sz="4" w:space="0" w:color="D9D9D9" w:themeColor="background1" w:themeShade="D9"/>
            </w:tcBorders>
            <w:shd w:val="clear" w:color="auto" w:fill="FFFFFF" w:themeFill="background1"/>
          </w:tcPr>
          <w:p w14:paraId="32CE063C" w14:textId="77777777" w:rsidR="00C21BA4" w:rsidRPr="00E675E8" w:rsidRDefault="00B65EDC" w:rsidP="00026B8A">
            <w:pPr>
              <w:jc w:val="center"/>
              <w:rPr>
                <w:rFonts w:asciiTheme="majorHAnsi" w:hAnsiTheme="majorHAnsi" w:cstheme="majorHAnsi"/>
                <w:sz w:val="16"/>
                <w:szCs w:val="16"/>
                <w:lang w:val="es-ES_tradnl"/>
              </w:rPr>
            </w:pPr>
            <w:r w:rsidRPr="00E675E8">
              <w:rPr>
                <w:rFonts w:asciiTheme="majorHAnsi" w:hAnsiTheme="majorHAnsi"/>
                <w:sz w:val="16"/>
                <w:lang w:val="es-ES_tradnl"/>
              </w:rPr>
              <w:t>50 (2026)</w:t>
            </w:r>
          </w:p>
          <w:p w14:paraId="46EA55A8" w14:textId="2CB0BF2B" w:rsidR="008548B5" w:rsidRPr="00E675E8" w:rsidRDefault="00C21BA4" w:rsidP="00026B8A">
            <w:pPr>
              <w:jc w:val="center"/>
              <w:rPr>
                <w:rFonts w:asciiTheme="majorHAnsi" w:hAnsiTheme="majorHAnsi" w:cstheme="majorHAnsi"/>
                <w:sz w:val="16"/>
                <w:szCs w:val="16"/>
                <w:lang w:val="es-ES_tradnl"/>
              </w:rPr>
            </w:pPr>
            <w:r w:rsidRPr="00E675E8">
              <w:rPr>
                <w:rFonts w:asciiTheme="majorHAnsi" w:hAnsiTheme="majorHAnsi"/>
                <w:sz w:val="16"/>
                <w:lang w:val="es-ES_tradnl"/>
              </w:rPr>
              <w:t>50 (2027)</w:t>
            </w:r>
          </w:p>
        </w:tc>
      </w:tr>
      <w:tr w:rsidR="00B65EDC" w:rsidRPr="00E675E8" w14:paraId="5FB5D4EF" w14:textId="77777777" w:rsidTr="00383CE0">
        <w:tc>
          <w:tcPr>
            <w:tcW w:w="426" w:type="dxa"/>
            <w:tcBorders>
              <w:top w:val="single" w:sz="4" w:space="0" w:color="D9D9D9" w:themeColor="background1" w:themeShade="D9"/>
            </w:tcBorders>
          </w:tcPr>
          <w:p w14:paraId="395D8821" w14:textId="77777777" w:rsidR="00B65EDC" w:rsidRPr="00E675E8" w:rsidRDefault="00B65EDC">
            <w:pPr>
              <w:jc w:val="left"/>
              <w:rPr>
                <w:rFonts w:cs="Arial"/>
                <w:sz w:val="16"/>
                <w:szCs w:val="16"/>
                <w:lang w:val="es-ES_tradnl"/>
              </w:rPr>
            </w:pPr>
            <w:r w:rsidRPr="00E675E8">
              <w:rPr>
                <w:sz w:val="16"/>
                <w:lang w:val="es-ES_tradnl"/>
              </w:rPr>
              <w:t>2.3</w:t>
            </w:r>
          </w:p>
        </w:tc>
        <w:tc>
          <w:tcPr>
            <w:tcW w:w="3118" w:type="dxa"/>
            <w:tcBorders>
              <w:top w:val="single" w:sz="4" w:space="0" w:color="D9D9D9" w:themeColor="background1" w:themeShade="D9"/>
            </w:tcBorders>
          </w:tcPr>
          <w:p w14:paraId="543C2B49" w14:textId="77777777" w:rsidR="00B65EDC" w:rsidRPr="00E675E8" w:rsidRDefault="00B65EDC">
            <w:pPr>
              <w:jc w:val="left"/>
              <w:rPr>
                <w:rFonts w:cs="Arial"/>
                <w:sz w:val="16"/>
                <w:szCs w:val="16"/>
                <w:lang w:val="es-ES_tradnl"/>
              </w:rPr>
            </w:pPr>
            <w:r w:rsidRPr="00E675E8">
              <w:rPr>
                <w:sz w:val="16"/>
                <w:lang w:val="es-ES_tradnl"/>
              </w:rPr>
              <w:t>Mayor armonización y cooperación en los exámenes</w:t>
            </w:r>
          </w:p>
        </w:tc>
        <w:tc>
          <w:tcPr>
            <w:tcW w:w="305" w:type="dxa"/>
            <w:tcBorders>
              <w:top w:val="single" w:sz="4" w:space="0" w:color="D9D9D9" w:themeColor="background1" w:themeShade="D9"/>
            </w:tcBorders>
          </w:tcPr>
          <w:p w14:paraId="23556C6F" w14:textId="77777777" w:rsidR="00B65EDC" w:rsidRPr="00E675E8" w:rsidRDefault="00B65EDC">
            <w:pPr>
              <w:jc w:val="center"/>
              <w:rPr>
                <w:rFonts w:cs="Arial"/>
                <w:sz w:val="16"/>
                <w:szCs w:val="16"/>
                <w:lang w:val="es-ES_tradnl"/>
              </w:rPr>
            </w:pPr>
            <w:r w:rsidRPr="00E675E8">
              <w:rPr>
                <w:sz w:val="16"/>
                <w:lang w:val="es-ES_tradnl"/>
              </w:rPr>
              <w:t>9</w:t>
            </w:r>
          </w:p>
        </w:tc>
        <w:tc>
          <w:tcPr>
            <w:tcW w:w="2457" w:type="dxa"/>
            <w:tcBorders>
              <w:top w:val="single" w:sz="4" w:space="0" w:color="D9D9D9" w:themeColor="background1" w:themeShade="D9"/>
            </w:tcBorders>
          </w:tcPr>
          <w:p w14:paraId="1F2D9ACB" w14:textId="77777777" w:rsidR="00B65EDC" w:rsidRPr="00E675E8" w:rsidRDefault="00B65EDC">
            <w:pPr>
              <w:jc w:val="left"/>
              <w:rPr>
                <w:rFonts w:cs="Arial"/>
                <w:sz w:val="16"/>
                <w:szCs w:val="16"/>
                <w:lang w:val="es-ES_tradnl"/>
              </w:rPr>
            </w:pPr>
            <w:r w:rsidRPr="00E675E8">
              <w:rPr>
                <w:sz w:val="16"/>
                <w:lang w:val="es-ES_tradnl"/>
              </w:rPr>
              <w:t>Uso de directrices de examen y cuestionarios técnicos de la UPOV</w:t>
            </w:r>
          </w:p>
        </w:tc>
        <w:tc>
          <w:tcPr>
            <w:tcW w:w="1495" w:type="dxa"/>
            <w:tcBorders>
              <w:top w:val="single" w:sz="4" w:space="0" w:color="D9D9D9" w:themeColor="background1" w:themeShade="D9"/>
            </w:tcBorders>
          </w:tcPr>
          <w:p w14:paraId="339827A0" w14:textId="77777777" w:rsidR="00B65EDC" w:rsidRPr="00E675E8" w:rsidRDefault="00B65EDC">
            <w:pPr>
              <w:ind w:right="284"/>
              <w:jc w:val="right"/>
              <w:rPr>
                <w:rFonts w:asciiTheme="majorHAnsi" w:hAnsiTheme="majorHAnsi" w:cstheme="majorHAnsi"/>
                <w:sz w:val="16"/>
                <w:szCs w:val="16"/>
                <w:lang w:val="es-ES_tradnl"/>
              </w:rPr>
            </w:pPr>
          </w:p>
        </w:tc>
        <w:tc>
          <w:tcPr>
            <w:tcW w:w="1843" w:type="dxa"/>
            <w:tcBorders>
              <w:top w:val="single" w:sz="4" w:space="0" w:color="D9D9D9" w:themeColor="background1" w:themeShade="D9"/>
            </w:tcBorders>
          </w:tcPr>
          <w:p w14:paraId="6F3502B5" w14:textId="77777777" w:rsidR="00B65EDC" w:rsidRPr="00E675E8" w:rsidRDefault="00B65EDC">
            <w:pPr>
              <w:ind w:right="284"/>
              <w:jc w:val="right"/>
              <w:rPr>
                <w:rFonts w:asciiTheme="majorHAnsi" w:hAnsiTheme="majorHAnsi" w:cstheme="majorHAnsi"/>
                <w:sz w:val="16"/>
                <w:szCs w:val="16"/>
                <w:lang w:val="es-ES_tradnl"/>
              </w:rPr>
            </w:pPr>
          </w:p>
        </w:tc>
      </w:tr>
      <w:tr w:rsidR="0044405F" w:rsidRPr="00E675E8" w14:paraId="648367CE" w14:textId="77777777" w:rsidTr="00383CE0">
        <w:tc>
          <w:tcPr>
            <w:tcW w:w="426" w:type="dxa"/>
          </w:tcPr>
          <w:p w14:paraId="5DB6C657" w14:textId="77777777" w:rsidR="00B65EDC" w:rsidRPr="00E675E8" w:rsidRDefault="00B65EDC">
            <w:pPr>
              <w:jc w:val="left"/>
              <w:rPr>
                <w:rFonts w:cs="Arial"/>
                <w:sz w:val="16"/>
                <w:szCs w:val="16"/>
                <w:lang w:val="es-ES_tradnl"/>
              </w:rPr>
            </w:pPr>
          </w:p>
        </w:tc>
        <w:tc>
          <w:tcPr>
            <w:tcW w:w="3118" w:type="dxa"/>
          </w:tcPr>
          <w:p w14:paraId="47E3D890" w14:textId="77777777" w:rsidR="00B65EDC" w:rsidRPr="00E675E8" w:rsidRDefault="00B65EDC">
            <w:pPr>
              <w:jc w:val="left"/>
              <w:rPr>
                <w:rFonts w:cs="Arial"/>
                <w:sz w:val="16"/>
                <w:szCs w:val="16"/>
                <w:lang w:val="es-ES_tradnl"/>
              </w:rPr>
            </w:pPr>
          </w:p>
        </w:tc>
        <w:tc>
          <w:tcPr>
            <w:tcW w:w="305" w:type="dxa"/>
          </w:tcPr>
          <w:p w14:paraId="0AF7E7CE" w14:textId="77777777" w:rsidR="00B65EDC" w:rsidRPr="00E675E8" w:rsidRDefault="00B65EDC">
            <w:pPr>
              <w:jc w:val="center"/>
              <w:rPr>
                <w:rFonts w:cs="Arial"/>
                <w:sz w:val="16"/>
                <w:szCs w:val="16"/>
                <w:lang w:val="es-ES_tradnl"/>
              </w:rPr>
            </w:pPr>
          </w:p>
        </w:tc>
        <w:tc>
          <w:tcPr>
            <w:tcW w:w="2457" w:type="dxa"/>
          </w:tcPr>
          <w:p w14:paraId="638474FE" w14:textId="77777777" w:rsidR="00B65EDC" w:rsidRPr="00E675E8" w:rsidRDefault="00B65EDC">
            <w:pPr>
              <w:ind w:left="284"/>
              <w:jc w:val="left"/>
              <w:rPr>
                <w:rFonts w:cs="Arial"/>
                <w:sz w:val="16"/>
                <w:szCs w:val="16"/>
                <w:lang w:val="es-ES_tradnl"/>
              </w:rPr>
            </w:pPr>
            <w:r w:rsidRPr="00E675E8">
              <w:rPr>
                <w:sz w:val="16"/>
                <w:lang w:val="es-ES_tradnl"/>
              </w:rPr>
              <w:t>Número de miembros que utilizan los cuestionarios técnicos sin cambios en UPOV PRISMA</w:t>
            </w:r>
          </w:p>
        </w:tc>
        <w:tc>
          <w:tcPr>
            <w:tcW w:w="1495" w:type="dxa"/>
            <w:shd w:val="clear" w:color="auto" w:fill="FFFFFF" w:themeFill="background1"/>
          </w:tcPr>
          <w:p w14:paraId="6B892616" w14:textId="77777777" w:rsidR="00B65EDC" w:rsidRPr="00E675E8" w:rsidRDefault="00B65EDC">
            <w:pPr>
              <w:ind w:right="284"/>
              <w:jc w:val="right"/>
              <w:rPr>
                <w:rFonts w:asciiTheme="majorHAnsi" w:hAnsiTheme="majorHAnsi" w:cstheme="majorHAnsi"/>
                <w:sz w:val="16"/>
                <w:szCs w:val="16"/>
                <w:lang w:val="es-ES_tradnl"/>
              </w:rPr>
            </w:pPr>
            <w:r w:rsidRPr="00E675E8">
              <w:rPr>
                <w:rFonts w:asciiTheme="majorHAnsi" w:hAnsiTheme="majorHAnsi"/>
                <w:sz w:val="16"/>
                <w:lang w:val="es-ES_tradnl"/>
              </w:rPr>
              <w:t>25 (2024)</w:t>
            </w:r>
          </w:p>
        </w:tc>
        <w:tc>
          <w:tcPr>
            <w:tcW w:w="1843" w:type="dxa"/>
          </w:tcPr>
          <w:p w14:paraId="1ED32B95" w14:textId="4A009BC1" w:rsidR="00E709FD" w:rsidRPr="00E675E8" w:rsidRDefault="00E709FD" w:rsidP="00383CE0">
            <w:pPr>
              <w:ind w:right="284"/>
              <w:jc w:val="center"/>
              <w:rPr>
                <w:rFonts w:asciiTheme="majorHAnsi" w:hAnsiTheme="majorHAnsi" w:cstheme="majorHAnsi"/>
                <w:sz w:val="16"/>
                <w:szCs w:val="16"/>
                <w:lang w:val="es-ES_tradnl"/>
              </w:rPr>
            </w:pPr>
            <w:r w:rsidRPr="00E675E8">
              <w:rPr>
                <w:rFonts w:asciiTheme="majorHAnsi" w:hAnsiTheme="majorHAnsi"/>
                <w:sz w:val="16"/>
                <w:lang w:val="es-ES_tradnl"/>
              </w:rPr>
              <w:t>27 (2026)</w:t>
            </w:r>
          </w:p>
          <w:p w14:paraId="078716D4" w14:textId="0E639EE3" w:rsidR="00B65EDC" w:rsidRPr="00E675E8" w:rsidRDefault="00B65EDC" w:rsidP="00383CE0">
            <w:pPr>
              <w:ind w:right="284"/>
              <w:jc w:val="center"/>
              <w:rPr>
                <w:rFonts w:asciiTheme="majorHAnsi" w:hAnsiTheme="majorHAnsi" w:cstheme="majorHAnsi"/>
                <w:sz w:val="16"/>
                <w:szCs w:val="16"/>
                <w:lang w:val="es-ES_tradnl"/>
              </w:rPr>
            </w:pPr>
            <w:r w:rsidRPr="00E675E8">
              <w:rPr>
                <w:rFonts w:asciiTheme="majorHAnsi" w:hAnsiTheme="majorHAnsi"/>
                <w:sz w:val="16"/>
                <w:lang w:val="es-ES_tradnl"/>
              </w:rPr>
              <w:t>28 (2027)</w:t>
            </w:r>
          </w:p>
        </w:tc>
      </w:tr>
      <w:tr w:rsidR="00950A9F" w:rsidRPr="00E675E8" w14:paraId="1F4962D1" w14:textId="77777777" w:rsidTr="00383CE0">
        <w:tc>
          <w:tcPr>
            <w:tcW w:w="426" w:type="dxa"/>
          </w:tcPr>
          <w:p w14:paraId="20322ACC" w14:textId="77777777" w:rsidR="00B65EDC" w:rsidRPr="00E675E8" w:rsidRDefault="00B65EDC">
            <w:pPr>
              <w:jc w:val="left"/>
              <w:rPr>
                <w:rFonts w:cs="Arial"/>
                <w:sz w:val="16"/>
                <w:szCs w:val="16"/>
                <w:lang w:val="es-ES_tradnl"/>
              </w:rPr>
            </w:pPr>
          </w:p>
        </w:tc>
        <w:tc>
          <w:tcPr>
            <w:tcW w:w="3118" w:type="dxa"/>
          </w:tcPr>
          <w:p w14:paraId="3FA0893C" w14:textId="77777777" w:rsidR="00B65EDC" w:rsidRPr="00E675E8" w:rsidRDefault="00B65EDC">
            <w:pPr>
              <w:jc w:val="left"/>
              <w:rPr>
                <w:rFonts w:cs="Arial"/>
                <w:sz w:val="16"/>
                <w:szCs w:val="16"/>
                <w:lang w:val="es-ES_tradnl"/>
              </w:rPr>
            </w:pPr>
          </w:p>
        </w:tc>
        <w:tc>
          <w:tcPr>
            <w:tcW w:w="305" w:type="dxa"/>
          </w:tcPr>
          <w:p w14:paraId="0CBD9453" w14:textId="77777777" w:rsidR="00B65EDC" w:rsidRPr="00E675E8" w:rsidRDefault="00B65EDC">
            <w:pPr>
              <w:jc w:val="center"/>
              <w:rPr>
                <w:rFonts w:cs="Arial"/>
                <w:sz w:val="16"/>
                <w:szCs w:val="16"/>
                <w:lang w:val="es-ES_tradnl"/>
              </w:rPr>
            </w:pPr>
          </w:p>
        </w:tc>
        <w:tc>
          <w:tcPr>
            <w:tcW w:w="2457" w:type="dxa"/>
          </w:tcPr>
          <w:p w14:paraId="5FEFD93D" w14:textId="77777777" w:rsidR="00B65EDC" w:rsidRPr="00E675E8" w:rsidRDefault="00B65EDC">
            <w:pPr>
              <w:ind w:left="284"/>
              <w:jc w:val="left"/>
              <w:rPr>
                <w:rFonts w:cs="Arial"/>
                <w:sz w:val="16"/>
                <w:szCs w:val="16"/>
                <w:lang w:val="es-ES_tradnl"/>
              </w:rPr>
            </w:pPr>
            <w:r w:rsidRPr="00E675E8">
              <w:rPr>
                <w:sz w:val="16"/>
                <w:lang w:val="es-ES_tradnl"/>
              </w:rPr>
              <w:t>Número de miembros que utilizan las características de los cuestionarios técnicos sin cambios en UPOV PRISMA</w:t>
            </w:r>
          </w:p>
        </w:tc>
        <w:tc>
          <w:tcPr>
            <w:tcW w:w="1495" w:type="dxa"/>
            <w:shd w:val="clear" w:color="auto" w:fill="FFFFFF" w:themeFill="background1"/>
          </w:tcPr>
          <w:p w14:paraId="0F6DF5FE" w14:textId="6595FF4C" w:rsidR="00B65EDC" w:rsidRPr="00E675E8" w:rsidRDefault="008548B5">
            <w:pPr>
              <w:ind w:right="284"/>
              <w:jc w:val="right"/>
              <w:rPr>
                <w:rFonts w:asciiTheme="majorHAnsi" w:hAnsiTheme="majorHAnsi" w:cstheme="majorHAnsi"/>
                <w:sz w:val="16"/>
                <w:szCs w:val="16"/>
                <w:lang w:val="es-ES_tradnl"/>
              </w:rPr>
            </w:pPr>
            <w:r w:rsidRPr="00E675E8">
              <w:rPr>
                <w:rFonts w:asciiTheme="majorHAnsi" w:hAnsiTheme="majorHAnsi"/>
                <w:sz w:val="16"/>
                <w:lang w:val="es-ES_tradnl"/>
              </w:rPr>
              <w:t>8 (2024)</w:t>
            </w:r>
          </w:p>
        </w:tc>
        <w:tc>
          <w:tcPr>
            <w:tcW w:w="1843" w:type="dxa"/>
            <w:shd w:val="clear" w:color="auto" w:fill="FFFFFF" w:themeFill="background1"/>
          </w:tcPr>
          <w:p w14:paraId="061ADB5C" w14:textId="2169CB2B" w:rsidR="00E709FD" w:rsidRPr="00E675E8" w:rsidRDefault="00E709FD" w:rsidP="00383CE0">
            <w:pPr>
              <w:ind w:right="284"/>
              <w:jc w:val="center"/>
              <w:rPr>
                <w:rFonts w:asciiTheme="majorHAnsi" w:hAnsiTheme="majorHAnsi" w:cstheme="majorHAnsi"/>
                <w:sz w:val="16"/>
                <w:szCs w:val="16"/>
                <w:lang w:val="es-ES_tradnl"/>
              </w:rPr>
            </w:pPr>
            <w:r w:rsidRPr="00E675E8">
              <w:rPr>
                <w:rFonts w:asciiTheme="majorHAnsi" w:hAnsiTheme="majorHAnsi"/>
                <w:sz w:val="16"/>
                <w:lang w:val="es-ES_tradnl"/>
              </w:rPr>
              <w:t>9 (2026)</w:t>
            </w:r>
          </w:p>
          <w:p w14:paraId="0882DC48" w14:textId="6A8EDF56" w:rsidR="008548B5" w:rsidRPr="00E675E8" w:rsidRDefault="00026B8A" w:rsidP="00383CE0">
            <w:pPr>
              <w:ind w:right="284"/>
              <w:jc w:val="center"/>
              <w:rPr>
                <w:rFonts w:asciiTheme="majorHAnsi" w:hAnsiTheme="majorHAnsi" w:cstheme="majorHAnsi"/>
                <w:sz w:val="16"/>
                <w:szCs w:val="16"/>
                <w:lang w:val="es-ES_tradnl"/>
              </w:rPr>
            </w:pPr>
            <w:r w:rsidRPr="00E675E8">
              <w:rPr>
                <w:rFonts w:asciiTheme="majorHAnsi" w:hAnsiTheme="majorHAnsi"/>
                <w:sz w:val="16"/>
                <w:lang w:val="es-ES_tradnl"/>
              </w:rPr>
              <w:t>10 (2027)</w:t>
            </w:r>
          </w:p>
        </w:tc>
      </w:tr>
      <w:tr w:rsidR="0044405F" w:rsidRPr="00E675E8" w14:paraId="26FC5DD8" w14:textId="77777777" w:rsidTr="00383CE0">
        <w:tc>
          <w:tcPr>
            <w:tcW w:w="426" w:type="dxa"/>
          </w:tcPr>
          <w:p w14:paraId="5D60A94A" w14:textId="77777777" w:rsidR="00B65EDC" w:rsidRPr="00E675E8" w:rsidRDefault="00B65EDC">
            <w:pPr>
              <w:jc w:val="left"/>
              <w:rPr>
                <w:rFonts w:cs="Arial"/>
                <w:sz w:val="16"/>
                <w:szCs w:val="16"/>
                <w:lang w:val="es-ES_tradnl"/>
              </w:rPr>
            </w:pPr>
          </w:p>
        </w:tc>
        <w:tc>
          <w:tcPr>
            <w:tcW w:w="3118" w:type="dxa"/>
          </w:tcPr>
          <w:p w14:paraId="604B7304" w14:textId="77777777" w:rsidR="00B65EDC" w:rsidRPr="00E675E8" w:rsidRDefault="00B65EDC">
            <w:pPr>
              <w:jc w:val="left"/>
              <w:rPr>
                <w:rFonts w:cs="Arial"/>
                <w:sz w:val="16"/>
                <w:szCs w:val="16"/>
                <w:lang w:val="es-ES_tradnl"/>
              </w:rPr>
            </w:pPr>
          </w:p>
        </w:tc>
        <w:tc>
          <w:tcPr>
            <w:tcW w:w="305" w:type="dxa"/>
          </w:tcPr>
          <w:p w14:paraId="49885950" w14:textId="77777777" w:rsidR="00B65EDC" w:rsidRPr="00E675E8" w:rsidRDefault="00B65EDC">
            <w:pPr>
              <w:jc w:val="center"/>
              <w:rPr>
                <w:rFonts w:cs="Arial"/>
                <w:sz w:val="16"/>
                <w:szCs w:val="16"/>
                <w:lang w:val="es-ES_tradnl"/>
              </w:rPr>
            </w:pPr>
          </w:p>
        </w:tc>
        <w:tc>
          <w:tcPr>
            <w:tcW w:w="2457" w:type="dxa"/>
          </w:tcPr>
          <w:p w14:paraId="0ED72B61" w14:textId="56A148C7" w:rsidR="00B65EDC" w:rsidRPr="00E675E8" w:rsidRDefault="00B65EDC">
            <w:pPr>
              <w:ind w:left="284"/>
              <w:jc w:val="left"/>
              <w:rPr>
                <w:rFonts w:cs="Arial"/>
                <w:sz w:val="16"/>
                <w:szCs w:val="16"/>
                <w:lang w:val="es-ES_tradnl"/>
              </w:rPr>
            </w:pPr>
            <w:r w:rsidRPr="00E675E8">
              <w:rPr>
                <w:sz w:val="16"/>
                <w:lang w:val="es-ES_tradnl"/>
              </w:rPr>
              <w:t>% de solicitudes de protección en los miembros de la UPOV cubiertas por las plantillas T</w:t>
            </w:r>
            <w:r w:rsidR="00383CE0">
              <w:rPr>
                <w:sz w:val="16"/>
                <w:lang w:val="es-ES_tradnl"/>
              </w:rPr>
              <w:t>G</w:t>
            </w:r>
            <w:r w:rsidRPr="00E675E8">
              <w:rPr>
                <w:sz w:val="16"/>
                <w:lang w:val="es-ES_tradnl"/>
              </w:rPr>
              <w:t xml:space="preserve"> de la UPOV </w:t>
            </w:r>
          </w:p>
        </w:tc>
        <w:tc>
          <w:tcPr>
            <w:tcW w:w="1495" w:type="dxa"/>
            <w:shd w:val="clear" w:color="auto" w:fill="FFFFFF" w:themeFill="background1"/>
          </w:tcPr>
          <w:p w14:paraId="6FA7EF7E" w14:textId="347F5579" w:rsidR="00B65EDC" w:rsidRPr="00E675E8" w:rsidRDefault="008548B5">
            <w:pPr>
              <w:jc w:val="center"/>
              <w:rPr>
                <w:rFonts w:asciiTheme="majorHAnsi" w:hAnsiTheme="majorHAnsi" w:cstheme="majorHAnsi"/>
                <w:sz w:val="16"/>
                <w:szCs w:val="16"/>
                <w:lang w:val="es-ES_tradnl"/>
              </w:rPr>
            </w:pPr>
            <w:r w:rsidRPr="00E675E8">
              <w:rPr>
                <w:rFonts w:asciiTheme="majorHAnsi" w:hAnsiTheme="majorHAnsi"/>
                <w:sz w:val="16"/>
                <w:lang w:val="es-ES_tradnl"/>
              </w:rPr>
              <w:t>95 %</w:t>
            </w:r>
          </w:p>
        </w:tc>
        <w:tc>
          <w:tcPr>
            <w:tcW w:w="1843" w:type="dxa"/>
          </w:tcPr>
          <w:p w14:paraId="189BAB03" w14:textId="113546A8" w:rsidR="00B65EDC" w:rsidRPr="00E675E8" w:rsidRDefault="00026B8A">
            <w:pPr>
              <w:jc w:val="center"/>
              <w:rPr>
                <w:rFonts w:asciiTheme="majorHAnsi" w:hAnsiTheme="majorHAnsi" w:cstheme="majorHAnsi"/>
                <w:sz w:val="16"/>
                <w:szCs w:val="16"/>
                <w:lang w:val="es-ES_tradnl"/>
              </w:rPr>
            </w:pPr>
            <w:r w:rsidRPr="00E675E8">
              <w:rPr>
                <w:rFonts w:asciiTheme="majorHAnsi" w:hAnsiTheme="majorHAnsi"/>
                <w:sz w:val="16"/>
                <w:lang w:val="es-ES_tradnl"/>
              </w:rPr>
              <w:t>95 %</w:t>
            </w:r>
          </w:p>
        </w:tc>
      </w:tr>
      <w:tr w:rsidR="00B65EDC" w:rsidRPr="00E675E8" w14:paraId="55B6E66D" w14:textId="77777777" w:rsidTr="00383CE0">
        <w:tc>
          <w:tcPr>
            <w:tcW w:w="426" w:type="dxa"/>
          </w:tcPr>
          <w:p w14:paraId="3AA8F372" w14:textId="77777777" w:rsidR="00B65EDC" w:rsidRPr="00E675E8" w:rsidRDefault="00B65EDC">
            <w:pPr>
              <w:jc w:val="left"/>
              <w:rPr>
                <w:rFonts w:cs="Arial"/>
                <w:sz w:val="16"/>
                <w:szCs w:val="16"/>
                <w:lang w:val="es-ES_tradnl"/>
              </w:rPr>
            </w:pPr>
          </w:p>
        </w:tc>
        <w:tc>
          <w:tcPr>
            <w:tcW w:w="3118" w:type="dxa"/>
            <w:tcBorders>
              <w:bottom w:val="single" w:sz="4" w:space="0" w:color="D9D9D9" w:themeColor="background1" w:themeShade="D9"/>
            </w:tcBorders>
          </w:tcPr>
          <w:p w14:paraId="7E903D4B" w14:textId="77777777" w:rsidR="00B65EDC" w:rsidRPr="00E675E8" w:rsidRDefault="00B65EDC">
            <w:pPr>
              <w:jc w:val="left"/>
              <w:rPr>
                <w:rFonts w:cs="Arial"/>
                <w:sz w:val="16"/>
                <w:szCs w:val="16"/>
                <w:lang w:val="es-ES_tradnl"/>
              </w:rPr>
            </w:pPr>
          </w:p>
        </w:tc>
        <w:tc>
          <w:tcPr>
            <w:tcW w:w="305" w:type="dxa"/>
            <w:tcBorders>
              <w:bottom w:val="single" w:sz="4" w:space="0" w:color="D9D9D9" w:themeColor="background1" w:themeShade="D9"/>
            </w:tcBorders>
          </w:tcPr>
          <w:p w14:paraId="7E8C6120" w14:textId="77777777" w:rsidR="00B65EDC" w:rsidRPr="00E675E8" w:rsidRDefault="00B65EDC">
            <w:pPr>
              <w:jc w:val="center"/>
              <w:rPr>
                <w:rFonts w:cs="Arial"/>
                <w:sz w:val="16"/>
                <w:szCs w:val="16"/>
                <w:lang w:val="es-ES_tradnl"/>
              </w:rPr>
            </w:pPr>
            <w:r w:rsidRPr="00E675E8">
              <w:rPr>
                <w:sz w:val="16"/>
                <w:lang w:val="es-ES_tradnl"/>
              </w:rPr>
              <w:t>10</w:t>
            </w:r>
          </w:p>
        </w:tc>
        <w:tc>
          <w:tcPr>
            <w:tcW w:w="2457" w:type="dxa"/>
            <w:tcBorders>
              <w:bottom w:val="single" w:sz="4" w:space="0" w:color="D9D9D9" w:themeColor="background1" w:themeShade="D9"/>
            </w:tcBorders>
          </w:tcPr>
          <w:p w14:paraId="6A7704A1" w14:textId="77777777" w:rsidR="00B65EDC" w:rsidRPr="00E675E8" w:rsidRDefault="00B65EDC">
            <w:pPr>
              <w:ind w:left="284"/>
              <w:jc w:val="left"/>
              <w:rPr>
                <w:rFonts w:cs="Arial"/>
                <w:sz w:val="16"/>
                <w:szCs w:val="16"/>
                <w:lang w:val="es-ES_tradnl"/>
              </w:rPr>
            </w:pPr>
            <w:r w:rsidRPr="00E675E8">
              <w:rPr>
                <w:sz w:val="16"/>
                <w:lang w:val="es-ES_tradnl"/>
              </w:rPr>
              <w:t>Número de informes DHE descargados del módulo de intercambio DHE de UPOV e-PVP</w:t>
            </w:r>
          </w:p>
        </w:tc>
        <w:tc>
          <w:tcPr>
            <w:tcW w:w="1495" w:type="dxa"/>
            <w:tcBorders>
              <w:bottom w:val="single" w:sz="4" w:space="0" w:color="D9D9D9" w:themeColor="background1" w:themeShade="D9"/>
            </w:tcBorders>
          </w:tcPr>
          <w:p w14:paraId="72F98600" w14:textId="77777777" w:rsidR="00B65EDC" w:rsidRPr="00E675E8" w:rsidRDefault="00B65EDC">
            <w:pPr>
              <w:jc w:val="center"/>
              <w:rPr>
                <w:rFonts w:asciiTheme="majorHAnsi" w:hAnsiTheme="majorHAnsi" w:cstheme="majorHAnsi"/>
                <w:sz w:val="16"/>
                <w:szCs w:val="16"/>
                <w:lang w:val="es-ES_tradnl"/>
              </w:rPr>
            </w:pPr>
            <w:r w:rsidRPr="00E675E8">
              <w:rPr>
                <w:rFonts w:asciiTheme="majorHAnsi" w:hAnsiTheme="majorHAnsi"/>
                <w:sz w:val="16"/>
                <w:lang w:val="es-ES_tradnl"/>
              </w:rPr>
              <w:t>7 (2024)</w:t>
            </w:r>
          </w:p>
        </w:tc>
        <w:tc>
          <w:tcPr>
            <w:tcW w:w="1843" w:type="dxa"/>
            <w:tcBorders>
              <w:bottom w:val="single" w:sz="4" w:space="0" w:color="D9D9D9" w:themeColor="background1" w:themeShade="D9"/>
            </w:tcBorders>
          </w:tcPr>
          <w:p w14:paraId="6996B551" w14:textId="5B5AB250" w:rsidR="00B65EDC" w:rsidRPr="00E675E8" w:rsidRDefault="00B65EDC">
            <w:pPr>
              <w:jc w:val="center"/>
              <w:rPr>
                <w:rFonts w:asciiTheme="majorHAnsi" w:hAnsiTheme="majorHAnsi" w:cstheme="majorHAnsi"/>
                <w:sz w:val="16"/>
                <w:szCs w:val="16"/>
                <w:lang w:val="es-ES_tradnl"/>
              </w:rPr>
            </w:pPr>
            <w:r w:rsidRPr="00E675E8">
              <w:rPr>
                <w:rFonts w:asciiTheme="majorHAnsi" w:hAnsiTheme="majorHAnsi"/>
                <w:sz w:val="16"/>
                <w:lang w:val="es-ES_tradnl"/>
              </w:rPr>
              <w:t>400 (en el bienio)</w:t>
            </w:r>
          </w:p>
        </w:tc>
      </w:tr>
    </w:tbl>
    <w:p w14:paraId="74C68AAF" w14:textId="77777777" w:rsidR="00F05868" w:rsidRPr="00E675E8" w:rsidRDefault="00F05868">
      <w:pPr>
        <w:jc w:val="left"/>
        <w:rPr>
          <w:b/>
          <w:bCs/>
          <w:color w:val="26724C" w:themeColor="accent1" w:themeShade="BF"/>
          <w:sz w:val="28"/>
          <w:lang w:val="es-ES_tradnl"/>
        </w:rPr>
      </w:pPr>
      <w:bookmarkStart w:id="479" w:name="_Toc117798897"/>
      <w:bookmarkStart w:id="480" w:name="_Toc107239602"/>
      <w:bookmarkStart w:id="481" w:name="_Toc107239352"/>
      <w:r w:rsidRPr="00E675E8">
        <w:rPr>
          <w:lang w:val="es-ES_tradnl"/>
        </w:rPr>
        <w:br w:type="page"/>
      </w:r>
    </w:p>
    <w:p w14:paraId="38F1D9A9" w14:textId="59F6248B" w:rsidR="00B65EDC" w:rsidRPr="00E675E8" w:rsidRDefault="00B65EDC" w:rsidP="003F289C">
      <w:pPr>
        <w:pStyle w:val="Heading2"/>
        <w:spacing w:before="240"/>
        <w:rPr>
          <w:lang w:val="es-ES_tradnl"/>
        </w:rPr>
      </w:pPr>
      <w:bookmarkStart w:id="482" w:name="_Toc209777773"/>
      <w:r w:rsidRPr="00E675E8">
        <w:rPr>
          <w:lang w:val="es-ES_tradnl"/>
        </w:rPr>
        <w:lastRenderedPageBreak/>
        <w:t>Pilar 3:</w:t>
      </w:r>
      <w:r w:rsidR="002817AB" w:rsidRPr="00E675E8">
        <w:rPr>
          <w:lang w:val="es-ES_tradnl"/>
        </w:rPr>
        <w:t xml:space="preserve"> </w:t>
      </w:r>
      <w:r w:rsidRPr="00E675E8">
        <w:rPr>
          <w:lang w:val="es-ES_tradnl"/>
        </w:rPr>
        <w:t>Proporcionar servicios de alta calidad a los miembros de la UPOV y a los usuarios del sistema de la UPOV</w:t>
      </w:r>
      <w:bookmarkEnd w:id="479"/>
      <w:bookmarkEnd w:id="480"/>
      <w:bookmarkEnd w:id="481"/>
      <w:bookmarkEnd w:id="482"/>
      <w:r w:rsidRPr="00E675E8">
        <w:rPr>
          <w:lang w:val="es-ES_tradnl"/>
        </w:rPr>
        <w:t xml:space="preserve"> </w:t>
      </w:r>
    </w:p>
    <w:p w14:paraId="3137FF9D" w14:textId="77777777" w:rsidR="00B65EDC" w:rsidRPr="00E675E8" w:rsidRDefault="00B65EDC" w:rsidP="00B65EDC">
      <w:pPr>
        <w:keepNext/>
        <w:rPr>
          <w:b/>
          <w:bCs/>
          <w:sz w:val="22"/>
          <w:szCs w:val="22"/>
          <w:lang w:val="es-ES_tradnl"/>
        </w:rPr>
      </w:pPr>
    </w:p>
    <w:p w14:paraId="4C55EDFF" w14:textId="77777777" w:rsidR="00B65EDC" w:rsidRPr="00E675E8" w:rsidRDefault="00B65EDC" w:rsidP="000363C4">
      <w:pPr>
        <w:pStyle w:val="Heading3"/>
        <w:rPr>
          <w:sz w:val="20"/>
          <w:lang w:val="es-ES_tradnl"/>
        </w:rPr>
      </w:pPr>
      <w:bookmarkStart w:id="483" w:name="_Toc209777774"/>
      <w:r w:rsidRPr="00E675E8">
        <w:rPr>
          <w:lang w:val="es-ES_tradnl"/>
        </w:rPr>
        <w:t>Estrategia para lograr los resultados previstos</w:t>
      </w:r>
      <w:bookmarkEnd w:id="483"/>
    </w:p>
    <w:p w14:paraId="17981FD0" w14:textId="77777777" w:rsidR="00B65EDC" w:rsidRPr="00E675E8" w:rsidRDefault="00B65EDC" w:rsidP="00B65EDC">
      <w:pPr>
        <w:keepNext/>
        <w:rPr>
          <w:b/>
          <w:bCs/>
          <w:sz w:val="22"/>
          <w:szCs w:val="22"/>
          <w:lang w:val="es-ES_tradnl"/>
        </w:rPr>
      </w:pPr>
    </w:p>
    <w:p w14:paraId="42092FAD" w14:textId="0AF88888"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Dada la limitación de sus recursos, los esfuerzos de la Organización se han centrado históricamente en proporcionar orientación, información y formación más que en desarrollar herramientas prácticas para ayudar a los miembros de la Unión a aplicar el sistema de la UPOV.</w:t>
      </w:r>
      <w:r w:rsidR="002817AB" w:rsidRPr="00E675E8">
        <w:rPr>
          <w:lang w:val="es-ES_tradnl"/>
        </w:rPr>
        <w:t xml:space="preserve"> </w:t>
      </w:r>
      <w:r w:rsidRPr="00E675E8">
        <w:rPr>
          <w:lang w:val="es-ES_tradnl"/>
        </w:rPr>
        <w:t>La falta de asistencia práctica ha dado lugar a algunas divergencias en la aplicación (por ejemplo, en los formularios de solicitud) que no se basan en las políticas, sino que son el resultado de una falta de apoyo práctico.</w:t>
      </w:r>
      <w:r w:rsidR="002817AB" w:rsidRPr="00E675E8">
        <w:rPr>
          <w:lang w:val="es-ES_tradnl"/>
        </w:rPr>
        <w:t xml:space="preserve"> </w:t>
      </w:r>
      <w:r w:rsidRPr="00E675E8">
        <w:rPr>
          <w:lang w:val="es-ES_tradnl"/>
        </w:rPr>
        <w:t>Por otra parte, algunos miembros de la Unión han contado con los recursos necesarios para poder desarrollar sistemas muy eficaces (por ejemplo, sistemas de presentación electrónica de solicitudes), mientras que otros no han podido hacerlo por carecer de los recursos necesarios.</w:t>
      </w:r>
      <w:r w:rsidR="002817AB" w:rsidRPr="00E675E8">
        <w:rPr>
          <w:lang w:val="es-ES_tradnl"/>
        </w:rPr>
        <w:t xml:space="preserve"> </w:t>
      </w:r>
    </w:p>
    <w:p w14:paraId="7576D3C4" w14:textId="77777777" w:rsidR="00B65EDC" w:rsidRPr="00E675E8" w:rsidRDefault="00B65EDC" w:rsidP="00B65EDC">
      <w:pPr>
        <w:rPr>
          <w:lang w:val="es-ES_tradnl"/>
        </w:rPr>
      </w:pPr>
    </w:p>
    <w:p w14:paraId="6AA6F0D3" w14:textId="06AED903"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UPOV e-PVP se ha desarrollado en colaboración con los miembros de la UPOV y los obtentores (véase más abajo).</w:t>
      </w:r>
      <w:r w:rsidR="002817AB" w:rsidRPr="00E675E8">
        <w:rPr>
          <w:lang w:val="es-ES_tradnl"/>
        </w:rPr>
        <w:t xml:space="preserve"> </w:t>
      </w:r>
      <w:r w:rsidRPr="00E675E8">
        <w:rPr>
          <w:lang w:val="es-ES_tradnl"/>
        </w:rPr>
        <w:t>Se ha pretendido crear un sistema a medida de protección de las obtenciones vegetales digitalizado y de gran calidad por el que puedan optar los miembros que estén digitalizando sus procedimientos y consideren más eficaz recurrir a los módulos de UPOV e-PVP que dedicar recursos al desarrollo y mantenimiento de sus propios instrumentos.</w:t>
      </w:r>
      <w:r w:rsidR="002817AB" w:rsidRPr="00E675E8">
        <w:rPr>
          <w:lang w:val="es-ES_tradnl"/>
        </w:rPr>
        <w:t xml:space="preserve"> </w:t>
      </w:r>
      <w:r w:rsidR="00383CE0">
        <w:rPr>
          <w:lang w:val="es-ES_tradnl"/>
        </w:rPr>
        <w:t xml:space="preserve"> </w:t>
      </w:r>
      <w:r w:rsidRPr="00E675E8">
        <w:rPr>
          <w:lang w:val="es-ES_tradnl"/>
        </w:rPr>
        <w:t>Esta iniciativa representa una oportunidad para prestar servicios a los miembros de la Unión y partes interesadas de manera que mejore la eficacia del conjunto del sistema de la UPOV y se logre una “nivelación” de la capacidad en el seno de la Unión.</w:t>
      </w:r>
      <w:r w:rsidR="00383CE0">
        <w:rPr>
          <w:lang w:val="es-ES_tradnl"/>
        </w:rPr>
        <w:t xml:space="preserve"> </w:t>
      </w:r>
      <w:r w:rsidR="002817AB" w:rsidRPr="00E675E8">
        <w:rPr>
          <w:lang w:val="es-ES_tradnl"/>
        </w:rPr>
        <w:t xml:space="preserve"> </w:t>
      </w:r>
      <w:r w:rsidRPr="00E675E8">
        <w:rPr>
          <w:lang w:val="es-ES_tradnl"/>
        </w:rPr>
        <w:t>Otro de los objetivos acordados por el Consejo de la UPOV en el Plan Operativo Estratégico para el período 2023</w:t>
      </w:r>
      <w:r w:rsidR="00797F25">
        <w:rPr>
          <w:lang w:val="es-ES_tradnl"/>
        </w:rPr>
        <w:noBreakHyphen/>
      </w:r>
      <w:r w:rsidRPr="00E675E8">
        <w:rPr>
          <w:lang w:val="es-ES_tradnl"/>
        </w:rPr>
        <w:t>2027 es la diversificación de los ingresos de la Unión.</w:t>
      </w:r>
    </w:p>
    <w:p w14:paraId="2171BAC7" w14:textId="77777777" w:rsidR="00B65EDC" w:rsidRPr="00E675E8" w:rsidRDefault="00B65EDC" w:rsidP="00B65EDC">
      <w:pPr>
        <w:rPr>
          <w:lang w:val="es-ES_tradnl"/>
        </w:rPr>
      </w:pPr>
    </w:p>
    <w:p w14:paraId="23171BE4" w14:textId="6F8344AE"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 xml:space="preserve">El establecimiento del puesto de Jefe de Tecnologías de la Información y la creación de un puesto temporal para un oficial informático demuestran el compromiso de llevar a cabo los avances en materia de digitalización al tiempo que se garantiza la continuidad de la actividad. </w:t>
      </w:r>
      <w:r w:rsidR="00383CE0">
        <w:rPr>
          <w:lang w:val="es-ES_tradnl"/>
        </w:rPr>
        <w:t xml:space="preserve"> </w:t>
      </w:r>
      <w:r w:rsidRPr="00E675E8">
        <w:rPr>
          <w:lang w:val="es-ES_tradnl"/>
        </w:rPr>
        <w:t xml:space="preserve">La Oficina de la Unión presentará al Consejo de la UPOV una estrategia digital en la que se abordarán los objetivos y los recursos necesarios. </w:t>
      </w:r>
    </w:p>
    <w:p w14:paraId="4895CB20" w14:textId="77777777" w:rsidR="00B65EDC" w:rsidRPr="00E675E8" w:rsidRDefault="00B65EDC" w:rsidP="00B65EDC">
      <w:pPr>
        <w:rPr>
          <w:color w:val="000000" w:themeColor="text1"/>
          <w:lang w:val="es-ES_tradnl"/>
        </w:rPr>
      </w:pPr>
    </w:p>
    <w:p w14:paraId="359E6789" w14:textId="48FF8A49" w:rsidR="00B65EDC" w:rsidRPr="00E675E8" w:rsidRDefault="00B65EDC" w:rsidP="00B65EDC">
      <w:pPr>
        <w:rPr>
          <w:color w:val="000000" w:themeColor="text1"/>
          <w:lang w:val="es-ES_tradnl"/>
        </w:rPr>
      </w:pPr>
      <w:r w:rsidRPr="00E675E8">
        <w:rPr>
          <w:color w:val="000000" w:themeColor="text1"/>
          <w:lang w:val="es-ES_tradnl"/>
        </w:rPr>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Pr="00E675E8">
        <w:rPr>
          <w:color w:val="000000" w:themeColor="text1"/>
          <w:lang w:val="es-ES_tradnl"/>
        </w:rPr>
        <w:tab/>
        <w:t xml:space="preserve">Aunque la base de datos PLUTO es muy utilizada por los miembros y las partes interesadas, durante el bienio 2026-2027 se trabajará en la promoción del servicio </w:t>
      </w:r>
      <w:proofErr w:type="spellStart"/>
      <w:r w:rsidRPr="00E675E8">
        <w:rPr>
          <w:color w:val="000000" w:themeColor="text1"/>
          <w:lang w:val="es-ES_tradnl"/>
        </w:rPr>
        <w:t>prémium</w:t>
      </w:r>
      <w:proofErr w:type="spellEnd"/>
      <w:r w:rsidRPr="00E675E8">
        <w:rPr>
          <w:color w:val="000000" w:themeColor="text1"/>
          <w:lang w:val="es-ES_tradnl"/>
        </w:rPr>
        <w:t xml:space="preserve"> para los usuarios de pago. </w:t>
      </w:r>
    </w:p>
    <w:p w14:paraId="18F6D59A" w14:textId="77777777" w:rsidR="00B65EDC" w:rsidRPr="00E675E8" w:rsidRDefault="00B65EDC" w:rsidP="00B65EDC">
      <w:pPr>
        <w:rPr>
          <w:lang w:val="es-ES_tradnl"/>
        </w:rPr>
      </w:pPr>
    </w:p>
    <w:p w14:paraId="506D3ED3" w14:textId="77777777" w:rsidR="00B65EDC" w:rsidRPr="00E675E8" w:rsidRDefault="00B65EDC" w:rsidP="003F289C">
      <w:pPr>
        <w:pStyle w:val="Heading4"/>
        <w:rPr>
          <w:lang w:val="es-ES_tradnl"/>
        </w:rPr>
      </w:pPr>
      <w:bookmarkStart w:id="484" w:name="_Toc117798900"/>
      <w:bookmarkStart w:id="485" w:name="_Toc107239605"/>
      <w:bookmarkStart w:id="486" w:name="_Toc107239355"/>
      <w:r w:rsidRPr="00E675E8">
        <w:rPr>
          <w:u w:val="none"/>
          <w:lang w:val="es-ES_tradnl"/>
        </w:rPr>
        <w:t>3.1</w:t>
      </w:r>
      <w:r w:rsidRPr="00E675E8">
        <w:rPr>
          <w:u w:val="none"/>
          <w:lang w:val="es-ES_tradnl"/>
        </w:rPr>
        <w:tab/>
      </w:r>
      <w:r w:rsidRPr="00E675E8">
        <w:rPr>
          <w:lang w:val="es-ES_tradnl"/>
        </w:rPr>
        <w:t>Desarrollo de los servicios del sistema e-PVP de la UPOV</w:t>
      </w:r>
      <w:bookmarkEnd w:id="484"/>
      <w:bookmarkEnd w:id="485"/>
      <w:bookmarkEnd w:id="486"/>
    </w:p>
    <w:p w14:paraId="0A10023E" w14:textId="77777777" w:rsidR="00B65EDC" w:rsidRPr="00E675E8" w:rsidRDefault="00B65EDC" w:rsidP="00B65EDC">
      <w:pPr>
        <w:rPr>
          <w:snapToGrid w:val="0"/>
          <w:lang w:val="es-ES_tradnl"/>
        </w:rPr>
      </w:pPr>
    </w:p>
    <w:p w14:paraId="2332B2FB" w14:textId="1A796947" w:rsidR="00B65EDC" w:rsidRPr="00E675E8" w:rsidRDefault="00B65EDC" w:rsidP="00B65EDC">
      <w:pPr>
        <w:pStyle w:val="ListParagraph"/>
        <w:ind w:left="0"/>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La iniciativa UPOV e-PVP permitirá ofrecer una asistencia coherente y completa orientada a la aplicación del sistema de protección de las obtenciones vegetales de la UPOV, de modo que los miembros de la Unión puedan utilizar algunos de sus componentes o todos ellos, según se considere oportuno.</w:t>
      </w:r>
      <w:r w:rsidR="002817AB" w:rsidRPr="00E675E8">
        <w:rPr>
          <w:lang w:val="es-ES_tradnl"/>
        </w:rPr>
        <w:t xml:space="preserve"> </w:t>
      </w:r>
      <w:r w:rsidRPr="00E675E8">
        <w:rPr>
          <w:lang w:val="es-ES_tradnl"/>
        </w:rPr>
        <w:t>UPOV e-PVP, que comprende el siguiente paquete de herramientas compatibles y su desarrollo tendrá lugar según se indica:</w:t>
      </w:r>
    </w:p>
    <w:p w14:paraId="6B091256" w14:textId="77777777" w:rsidR="00B65EDC" w:rsidRPr="00E675E8" w:rsidRDefault="00B65EDC" w:rsidP="00B65EDC">
      <w:pPr>
        <w:rPr>
          <w:lang w:val="es-ES_tradnl"/>
        </w:rPr>
      </w:pPr>
    </w:p>
    <w:p w14:paraId="56114E33" w14:textId="5C6237EA" w:rsidR="00B65EDC" w:rsidRPr="00E675E8" w:rsidRDefault="00B65EDC" w:rsidP="00B65EDC">
      <w:pPr>
        <w:pStyle w:val="ListParagraph"/>
        <w:numPr>
          <w:ilvl w:val="0"/>
          <w:numId w:val="3"/>
        </w:numPr>
        <w:spacing w:after="40"/>
        <w:rPr>
          <w:color w:val="000000" w:themeColor="text1"/>
          <w:lang w:val="es-ES_tradnl"/>
        </w:rPr>
      </w:pPr>
      <w:r w:rsidRPr="00E675E8">
        <w:rPr>
          <w:b/>
          <w:lang w:val="es-ES_tradnl"/>
        </w:rPr>
        <w:t>UPOV PRISMA es una herramienta para presentar solicitudes en línea</w:t>
      </w:r>
      <w:r w:rsidRPr="00E675E8">
        <w:rPr>
          <w:lang w:val="es-ES_tradnl"/>
        </w:rPr>
        <w:t xml:space="preserve"> que ha sido introducida con una tasa de 90 francos suizos que los usuarios deben abonar por cada solicitud presentada.</w:t>
      </w:r>
      <w:r w:rsidR="002817AB" w:rsidRPr="00E675E8">
        <w:rPr>
          <w:lang w:val="es-ES_tradnl"/>
        </w:rPr>
        <w:t xml:space="preserve"> </w:t>
      </w:r>
      <w:r w:rsidRPr="00E675E8">
        <w:rPr>
          <w:lang w:val="es-ES_tradnl"/>
        </w:rPr>
        <w:t>Los comentarios de los usuarios sobre UPOV PRISMA son positivos y se espera que más miembros de la UPOV acepten solicitudes a través de UPOV PRISMA.</w:t>
      </w:r>
      <w:r w:rsidR="002817AB" w:rsidRPr="00E675E8">
        <w:rPr>
          <w:lang w:val="es-ES_tradnl"/>
        </w:rPr>
        <w:t xml:space="preserve"> </w:t>
      </w:r>
      <w:r w:rsidRPr="00E675E8">
        <w:rPr>
          <w:lang w:val="es-ES_tradnl"/>
        </w:rPr>
        <w:t xml:space="preserve">La Oficina de la Unión seguirá colaborando con los miembros de la UPOV y los usuarios en reuniones bilaterales y reuniones de grupos de usuarios para garantizar que los servicios prestados tengan la calidad esperada y que la herramienta sea utilizada por un número cada vez mayor de miembros de la Unión y para más especies. </w:t>
      </w:r>
    </w:p>
    <w:p w14:paraId="70F1D629" w14:textId="77777777" w:rsidR="00B65EDC" w:rsidRPr="00E675E8" w:rsidRDefault="00B65EDC" w:rsidP="00B65EDC">
      <w:pPr>
        <w:spacing w:after="40"/>
        <w:ind w:left="567"/>
        <w:rPr>
          <w:color w:val="000000" w:themeColor="text1"/>
          <w:lang w:val="es-ES_tradnl"/>
        </w:rPr>
      </w:pPr>
    </w:p>
    <w:p w14:paraId="08B1E8B8" w14:textId="20C398A2" w:rsidR="00B65EDC" w:rsidRPr="00E675E8" w:rsidRDefault="00B65EDC" w:rsidP="00B65EDC">
      <w:pPr>
        <w:pStyle w:val="ListParagraph"/>
        <w:numPr>
          <w:ilvl w:val="0"/>
          <w:numId w:val="3"/>
        </w:numPr>
        <w:spacing w:after="40"/>
        <w:rPr>
          <w:lang w:val="es-ES_tradnl"/>
        </w:rPr>
      </w:pPr>
      <w:r w:rsidRPr="00E675E8">
        <w:rPr>
          <w:lang w:val="es-ES_tradnl"/>
        </w:rPr>
        <w:t xml:space="preserve">El </w:t>
      </w:r>
      <w:r w:rsidRPr="00E675E8">
        <w:rPr>
          <w:b/>
          <w:bCs/>
          <w:lang w:val="es-ES_tradnl"/>
        </w:rPr>
        <w:t>módulo de administración de UPOV e-PVP</w:t>
      </w:r>
      <w:r w:rsidRPr="00E675E8">
        <w:rPr>
          <w:lang w:val="es-ES_tradnl"/>
        </w:rPr>
        <w:t xml:space="preserve"> se pondrá a disposición de los miembros de la Unión para gestionar y publicar las solicitudes de protección de las obtenciones vegetales, incluida la comunicación con los solicitantes y la transmisión de datos a la base de datos PLUTO.</w:t>
      </w:r>
      <w:r w:rsidR="002817AB" w:rsidRPr="00E675E8">
        <w:rPr>
          <w:lang w:val="es-ES_tradnl"/>
        </w:rPr>
        <w:t xml:space="preserve"> </w:t>
      </w:r>
      <w:r w:rsidRPr="00E675E8">
        <w:rPr>
          <w:lang w:val="es-ES_tradnl"/>
        </w:rPr>
        <w:t>El módulo incluirá una función para registrar y comparar descripciones de variedades.</w:t>
      </w:r>
      <w:r w:rsidR="002817AB" w:rsidRPr="00E675E8">
        <w:rPr>
          <w:lang w:val="es-ES_tradnl"/>
        </w:rPr>
        <w:t xml:space="preserve"> </w:t>
      </w:r>
      <w:r w:rsidRPr="00E675E8">
        <w:rPr>
          <w:lang w:val="es-ES_tradnl"/>
        </w:rPr>
        <w:t>Se pondrá a disposición de los miembros de la Unión una versión estándar del módulo de administración de UPOV e-PVP, cuyo mantenimiento correrá a cargo de la Unión, a reserva de las repercusiones en materia de recursos para la Oficina de la Unión.</w:t>
      </w:r>
      <w:r w:rsidR="002817AB" w:rsidRPr="00E675E8">
        <w:rPr>
          <w:lang w:val="es-ES_tradnl"/>
        </w:rPr>
        <w:t xml:space="preserve"> </w:t>
      </w:r>
      <w:r w:rsidRPr="00E675E8">
        <w:rPr>
          <w:lang w:val="es-ES_tradnl"/>
        </w:rPr>
        <w:t>El miembro de la Unión en cuestión deberá hacerse cargo de los gastos de alojamiento del módulo en la nube y, posiblemente, algunos costos de incorporación.</w:t>
      </w:r>
      <w:r w:rsidR="002817AB" w:rsidRPr="00E675E8">
        <w:rPr>
          <w:lang w:val="es-ES_tradnl"/>
        </w:rPr>
        <w:t xml:space="preserve"> </w:t>
      </w:r>
      <w:r w:rsidRPr="00E675E8">
        <w:rPr>
          <w:lang w:val="es-ES_tradnl"/>
        </w:rPr>
        <w:t>Pueden desarrollarse versiones personalizadas del módulo de administración de UPOV e-PVP, de acuerdo con las necesidades específicas de los miembros de la Unión, cuando se proporcionen los recursos extrapresupuestarios necesarios y con sujeción a las repercusiones en materia de recursos para la Oficina de la Unión.</w:t>
      </w:r>
      <w:r w:rsidR="002817AB" w:rsidRPr="00E675E8">
        <w:rPr>
          <w:lang w:val="es-ES_tradnl"/>
        </w:rPr>
        <w:t xml:space="preserve"> </w:t>
      </w:r>
      <w:r w:rsidRPr="00E675E8">
        <w:rPr>
          <w:color w:val="000000" w:themeColor="text1"/>
          <w:lang w:val="es-ES_tradnl"/>
        </w:rPr>
        <w:t xml:space="preserve">Las primeras experiencias sobre el uso del módulo de </w:t>
      </w:r>
      <w:r w:rsidRPr="00E675E8">
        <w:rPr>
          <w:color w:val="000000" w:themeColor="text1"/>
          <w:lang w:val="es-ES_tradnl"/>
        </w:rPr>
        <w:lastRenderedPageBreak/>
        <w:t>administración de UPOV e-PVP muestran que funciona bien pero que es importante asignar el tiempo y los recursos necesarios para aplicar y personalizar la herramienta.</w:t>
      </w:r>
      <w:r w:rsidR="002817AB" w:rsidRPr="00E675E8">
        <w:rPr>
          <w:color w:val="000000" w:themeColor="text1"/>
          <w:lang w:val="es-ES_tradnl"/>
        </w:rPr>
        <w:t xml:space="preserve"> </w:t>
      </w:r>
    </w:p>
    <w:p w14:paraId="2C399E35" w14:textId="77777777" w:rsidR="00B65EDC" w:rsidRPr="00E675E8" w:rsidRDefault="00B65EDC" w:rsidP="00B65EDC">
      <w:pPr>
        <w:pStyle w:val="ListParagraph"/>
        <w:spacing w:after="40"/>
        <w:ind w:left="927"/>
        <w:rPr>
          <w:lang w:val="es-ES_tradnl"/>
        </w:rPr>
      </w:pPr>
    </w:p>
    <w:p w14:paraId="3977160B" w14:textId="493EF5A2" w:rsidR="00B65EDC" w:rsidRPr="00E675E8" w:rsidRDefault="00B65EDC" w:rsidP="00B65EDC">
      <w:pPr>
        <w:pStyle w:val="ListParagraph"/>
        <w:numPr>
          <w:ilvl w:val="0"/>
          <w:numId w:val="3"/>
        </w:numPr>
        <w:spacing w:after="40"/>
        <w:rPr>
          <w:color w:val="000000" w:themeColor="text1"/>
          <w:lang w:val="es-ES_tradnl"/>
        </w:rPr>
      </w:pPr>
      <w:r w:rsidRPr="00E675E8">
        <w:rPr>
          <w:lang w:val="es-ES_tradnl"/>
        </w:rPr>
        <w:t xml:space="preserve">La </w:t>
      </w:r>
      <w:r w:rsidRPr="00E675E8">
        <w:rPr>
          <w:b/>
          <w:lang w:val="es-ES_tradnl"/>
        </w:rPr>
        <w:t>plataforma de intercambio de informes DHE de UPOV e-PVP</w:t>
      </w:r>
      <w:r w:rsidRPr="00E675E8">
        <w:rPr>
          <w:lang w:val="es-ES_tradnl"/>
        </w:rPr>
        <w:t xml:space="preserve"> proporcionará una plataforma para intercambiar informes DHE.</w:t>
      </w:r>
      <w:r w:rsidR="002817AB" w:rsidRPr="00E675E8">
        <w:rPr>
          <w:color w:val="000000" w:themeColor="text1"/>
          <w:lang w:val="es-ES_tradnl"/>
        </w:rPr>
        <w:t xml:space="preserve"> </w:t>
      </w:r>
      <w:r w:rsidRPr="00E675E8">
        <w:rPr>
          <w:color w:val="000000" w:themeColor="text1"/>
          <w:lang w:val="es-ES_tradnl"/>
        </w:rPr>
        <w:t>Se seguirá desarrollando para permitir a los miembros de la Unión poner a disposición de los demás miembros sus procedimientos DHE documentados y la información sobre sus sistemas de gestión de la calidad.</w:t>
      </w:r>
      <w:r w:rsidR="002817AB" w:rsidRPr="00E675E8">
        <w:rPr>
          <w:color w:val="000000" w:themeColor="text1"/>
          <w:lang w:val="es-ES_tradnl"/>
        </w:rPr>
        <w:t xml:space="preserve"> </w:t>
      </w:r>
      <w:r w:rsidRPr="00E675E8">
        <w:rPr>
          <w:lang w:val="es-ES_tradnl"/>
        </w:rPr>
        <w:t>Se espera que durante el bienio 2026</w:t>
      </w:r>
      <w:r w:rsidR="003F289C" w:rsidRPr="00E675E8">
        <w:rPr>
          <w:lang w:val="es-ES_tradnl"/>
        </w:rPr>
        <w:noBreakHyphen/>
      </w:r>
      <w:r w:rsidRPr="00E675E8">
        <w:rPr>
          <w:lang w:val="es-ES_tradnl"/>
        </w:rPr>
        <w:t>2027 se produzca un aumento importante en el uso de la plataforma de intercambio de informes DHE de UPOV e-PVP.</w:t>
      </w:r>
    </w:p>
    <w:p w14:paraId="28958614" w14:textId="77777777" w:rsidR="00B65EDC" w:rsidRPr="00E675E8" w:rsidRDefault="00B65EDC" w:rsidP="00B65EDC">
      <w:pPr>
        <w:pStyle w:val="ListParagraph"/>
        <w:spacing w:after="40"/>
        <w:ind w:left="927"/>
        <w:rPr>
          <w:color w:val="000000" w:themeColor="text1"/>
          <w:lang w:val="es-ES_tradnl"/>
        </w:rPr>
      </w:pPr>
    </w:p>
    <w:p w14:paraId="0B457E31" w14:textId="41532A90" w:rsidR="00B65EDC" w:rsidRPr="00E675E8" w:rsidRDefault="00B65EDC" w:rsidP="00B65EDC">
      <w:pPr>
        <w:pStyle w:val="ListParagraph"/>
        <w:numPr>
          <w:ilvl w:val="0"/>
          <w:numId w:val="3"/>
        </w:numPr>
        <w:spacing w:after="40"/>
        <w:rPr>
          <w:lang w:val="es-ES_tradnl"/>
        </w:rPr>
      </w:pPr>
      <w:r w:rsidRPr="00E675E8">
        <w:rPr>
          <w:snapToGrid w:val="0"/>
          <w:color w:val="000000"/>
          <w:lang w:val="es-ES_tradnl"/>
        </w:rPr>
        <w:t xml:space="preserve">La </w:t>
      </w:r>
      <w:r w:rsidRPr="00E675E8">
        <w:rPr>
          <w:b/>
          <w:snapToGrid w:val="0"/>
          <w:color w:val="000000"/>
          <w:lang w:val="es-ES_tradnl"/>
        </w:rPr>
        <w:t>base de datos PLUTO</w:t>
      </w:r>
      <w:r w:rsidRPr="00E675E8">
        <w:rPr>
          <w:snapToGrid w:val="0"/>
          <w:color w:val="000000"/>
          <w:lang w:val="es-ES_tradnl"/>
        </w:rPr>
        <w:t xml:space="preserve"> se mejorará: aumentando la exhaustividad de los envíos de datos, en particular mediante el módulo de administración de UPOV e-PVP; mejorando la interfaz de usuario; y proporcionando funciones adicionales.</w:t>
      </w:r>
      <w:r w:rsidR="002817AB" w:rsidRPr="00E675E8">
        <w:rPr>
          <w:snapToGrid w:val="0"/>
          <w:color w:val="000000"/>
          <w:lang w:val="es-ES_tradnl"/>
        </w:rPr>
        <w:t xml:space="preserve"> </w:t>
      </w:r>
      <w:r w:rsidRPr="00E675E8">
        <w:rPr>
          <w:snapToGrid w:val="0"/>
          <w:color w:val="000000"/>
          <w:lang w:val="es-ES_tradnl"/>
        </w:rPr>
        <w:t>Se desarrollará una función para que los miembros de la UPOV puedan compartir información sobre la descripción de variedades a través de la base de datos PLUTO.</w:t>
      </w:r>
      <w:r w:rsidR="002817AB" w:rsidRPr="00E675E8">
        <w:rPr>
          <w:snapToGrid w:val="0"/>
          <w:color w:val="000000"/>
          <w:lang w:val="es-ES_tradnl"/>
        </w:rPr>
        <w:t xml:space="preserve"> </w:t>
      </w:r>
      <w:r w:rsidRPr="00E675E8">
        <w:rPr>
          <w:color w:val="000000" w:themeColor="text1"/>
          <w:lang w:val="es-ES_tradnl"/>
        </w:rPr>
        <w:t xml:space="preserve">Aunque la base de datos PLUTO es muy utilizada por los miembros y las partes interesadas, durante el bienio 2026-2027 se trabajará en la promoción del servicio </w:t>
      </w:r>
      <w:proofErr w:type="spellStart"/>
      <w:r w:rsidRPr="00E675E8">
        <w:rPr>
          <w:color w:val="000000" w:themeColor="text1"/>
          <w:lang w:val="es-ES_tradnl"/>
        </w:rPr>
        <w:t>prémium</w:t>
      </w:r>
      <w:proofErr w:type="spellEnd"/>
      <w:r w:rsidRPr="00E675E8">
        <w:rPr>
          <w:color w:val="000000" w:themeColor="text1"/>
          <w:lang w:val="es-ES_tradnl"/>
        </w:rPr>
        <w:t xml:space="preserve"> para los usuarios de pago. </w:t>
      </w:r>
    </w:p>
    <w:p w14:paraId="0406D7E0" w14:textId="77777777" w:rsidR="00B65EDC" w:rsidRPr="00E675E8" w:rsidRDefault="00B65EDC" w:rsidP="00B65EDC">
      <w:pPr>
        <w:pStyle w:val="ListParagraph"/>
        <w:spacing w:after="40"/>
        <w:ind w:left="927"/>
        <w:rPr>
          <w:lang w:val="es-ES_tradnl"/>
        </w:rPr>
      </w:pPr>
    </w:p>
    <w:p w14:paraId="15945716" w14:textId="77777777" w:rsidR="00B65EDC" w:rsidRPr="00E675E8" w:rsidRDefault="00B65EDC" w:rsidP="00B65EDC">
      <w:pPr>
        <w:pStyle w:val="ListParagraph"/>
        <w:numPr>
          <w:ilvl w:val="0"/>
          <w:numId w:val="3"/>
        </w:numPr>
        <w:spacing w:after="40"/>
        <w:rPr>
          <w:lang w:val="es-ES_tradnl"/>
        </w:rPr>
      </w:pPr>
      <w:r w:rsidRPr="00E675E8">
        <w:rPr>
          <w:lang w:val="es-ES_tradnl"/>
        </w:rPr>
        <w:t xml:space="preserve">Desarrollo y mantenimiento de las </w:t>
      </w:r>
      <w:r w:rsidRPr="00E675E8">
        <w:rPr>
          <w:b/>
          <w:lang w:val="es-ES_tradnl"/>
        </w:rPr>
        <w:t>plataformas de cooperación de UPOV e-PVP</w:t>
      </w:r>
      <w:r w:rsidRPr="00E675E8">
        <w:rPr>
          <w:lang w:val="es-ES_tradnl"/>
        </w:rPr>
        <w:t>, cuando se soliciten por los miembros de la UPOV, para que se pueda cooperar en la administración y el examen de las solicitudes, siempre que se aporten los recursos extrapresupuestarios necesarios y tengan en cuenta las repercusiones en materia de recursos para la Oficina de la Unión.</w:t>
      </w:r>
    </w:p>
    <w:p w14:paraId="76DDAEFF" w14:textId="77777777" w:rsidR="00B65EDC" w:rsidRPr="00E675E8" w:rsidRDefault="00B65EDC" w:rsidP="003F289C">
      <w:pPr>
        <w:pStyle w:val="ListParagraph"/>
        <w:ind w:left="0"/>
        <w:rPr>
          <w:lang w:val="es-ES_tradnl"/>
        </w:rPr>
      </w:pPr>
    </w:p>
    <w:p w14:paraId="318F5BD5" w14:textId="0970908B"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También se prevé lo siguiente durante el bienio 2026-2027: al menos un miembro más de la UPOV hará que UPOV PRISMA sea obligatorio para los solicitantes; nuevos avances en la comunicación sistema a sistema; un mayor uso de UPOV PRISMA para la presentación de solicitudes de inscripción en la lista nacional, además de la presentación de solicitudes de derechos de obtentor; y un mayor uso de la funcionalidad de carga masiva.</w:t>
      </w:r>
    </w:p>
    <w:p w14:paraId="63C2C322" w14:textId="77777777" w:rsidR="00B65EDC" w:rsidRPr="00E675E8" w:rsidRDefault="00B65EDC" w:rsidP="00B65EDC">
      <w:pPr>
        <w:spacing w:after="40"/>
        <w:rPr>
          <w:lang w:val="es-ES_tradnl"/>
        </w:rPr>
      </w:pPr>
    </w:p>
    <w:p w14:paraId="41C4D781" w14:textId="17E3691A"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El siguiente esquema muestra los componentes de UPOV e-PVP.</w:t>
      </w:r>
      <w:r w:rsidR="002817AB" w:rsidRPr="00E675E8">
        <w:rPr>
          <w:lang w:val="es-ES_tradnl"/>
        </w:rPr>
        <w:t xml:space="preserve"> </w:t>
      </w:r>
    </w:p>
    <w:p w14:paraId="378C35C6" w14:textId="77777777" w:rsidR="00B65EDC" w:rsidRPr="00E675E8" w:rsidRDefault="00B65EDC" w:rsidP="00B65EDC">
      <w:pPr>
        <w:tabs>
          <w:tab w:val="left" w:pos="851"/>
        </w:tabs>
        <w:rPr>
          <w:lang w:val="es-ES_tradnl"/>
        </w:rPr>
      </w:pPr>
    </w:p>
    <w:p w14:paraId="478FF62E" w14:textId="1D0B743D" w:rsidR="00B65EDC" w:rsidRPr="00E675E8" w:rsidRDefault="00383CE0" w:rsidP="003F289C">
      <w:pPr>
        <w:tabs>
          <w:tab w:val="left" w:pos="851"/>
        </w:tabs>
        <w:rPr>
          <w:b/>
          <w:color w:val="26724C" w:themeColor="accent1" w:themeShade="BF"/>
          <w:sz w:val="22"/>
          <w:lang w:val="es-ES_tradnl"/>
        </w:rPr>
      </w:pPr>
      <w:r w:rsidRPr="000231EE">
        <w:rPr>
          <w:b/>
          <w:bCs/>
          <w:noProof/>
          <w:sz w:val="22"/>
          <w:szCs w:val="22"/>
          <w:lang w:val="es-419"/>
        </w:rPr>
        <w:drawing>
          <wp:inline distT="0" distB="0" distL="0" distR="0" wp14:anchorId="5B770899" wp14:editId="179CBA48">
            <wp:extent cx="6120765" cy="3373120"/>
            <wp:effectExtent l="0" t="0" r="0" b="0"/>
            <wp:docPr id="143794516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945161" name="Imagen 1437945161"/>
                    <pic:cNvPicPr/>
                  </pic:nvPicPr>
                  <pic:blipFill>
                    <a:blip r:embed="rId17"/>
                    <a:stretch>
                      <a:fillRect/>
                    </a:stretch>
                  </pic:blipFill>
                  <pic:spPr>
                    <a:xfrm>
                      <a:off x="0" y="0"/>
                      <a:ext cx="6120765" cy="3373120"/>
                    </a:xfrm>
                    <a:prstGeom prst="rect">
                      <a:avLst/>
                    </a:prstGeom>
                  </pic:spPr>
                </pic:pic>
              </a:graphicData>
            </a:graphic>
          </wp:inline>
        </w:drawing>
      </w:r>
      <w:r w:rsidR="00B65EDC" w:rsidRPr="00E675E8">
        <w:rPr>
          <w:lang w:val="es-ES_tradnl"/>
        </w:rPr>
        <w:br w:type="page"/>
      </w:r>
    </w:p>
    <w:p w14:paraId="78E41EA5" w14:textId="77777777" w:rsidR="00B65EDC" w:rsidRPr="00E675E8" w:rsidRDefault="00B65EDC" w:rsidP="000363C4">
      <w:pPr>
        <w:pStyle w:val="Heading3"/>
        <w:rPr>
          <w:lang w:val="es-ES_tradnl"/>
        </w:rPr>
      </w:pPr>
      <w:bookmarkStart w:id="487" w:name="_Toc209777775"/>
      <w:r w:rsidRPr="00E675E8">
        <w:rPr>
          <w:lang w:val="es-ES_tradnl"/>
        </w:rPr>
        <w:lastRenderedPageBreak/>
        <w:t>Resultados previstos e indicadores de rendimiento</w:t>
      </w:r>
      <w:bookmarkEnd w:id="487"/>
    </w:p>
    <w:p w14:paraId="62789B46" w14:textId="77777777" w:rsidR="00B65EDC" w:rsidRPr="00E675E8" w:rsidRDefault="00B65EDC" w:rsidP="00B65EDC">
      <w:pPr>
        <w:rPr>
          <w:lang w:val="es-ES_tradnl"/>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26"/>
        <w:gridCol w:w="3255"/>
        <w:gridCol w:w="305"/>
        <w:gridCol w:w="2457"/>
        <w:gridCol w:w="1632"/>
        <w:gridCol w:w="1559"/>
      </w:tblGrid>
      <w:tr w:rsidR="00B65EDC" w:rsidRPr="00E675E8" w14:paraId="0DF2339F" w14:textId="77777777" w:rsidTr="360764B0">
        <w:trPr>
          <w:tblHeader/>
        </w:trPr>
        <w:tc>
          <w:tcPr>
            <w:tcW w:w="426" w:type="dxa"/>
            <w:shd w:val="clear" w:color="auto" w:fill="E2E7EB" w:themeFill="accent3" w:themeFillTint="33"/>
          </w:tcPr>
          <w:p w14:paraId="47E9A5AB" w14:textId="77777777" w:rsidR="00B65EDC" w:rsidRPr="00E675E8" w:rsidRDefault="00B65EDC">
            <w:pPr>
              <w:jc w:val="left"/>
              <w:rPr>
                <w:b/>
                <w:bCs/>
                <w:sz w:val="16"/>
                <w:szCs w:val="16"/>
                <w:lang w:val="es-ES_tradnl"/>
              </w:rPr>
            </w:pPr>
            <w:bookmarkStart w:id="488" w:name="_Hlk207298218"/>
          </w:p>
        </w:tc>
        <w:tc>
          <w:tcPr>
            <w:tcW w:w="3255" w:type="dxa"/>
            <w:shd w:val="clear" w:color="auto" w:fill="E2E7EB" w:themeFill="accent3" w:themeFillTint="33"/>
          </w:tcPr>
          <w:p w14:paraId="698577C5" w14:textId="77777777" w:rsidR="00B65EDC" w:rsidRPr="00E675E8" w:rsidRDefault="00B65EDC">
            <w:pPr>
              <w:jc w:val="left"/>
              <w:rPr>
                <w:b/>
                <w:bCs/>
                <w:sz w:val="16"/>
                <w:szCs w:val="16"/>
                <w:lang w:val="es-ES_tradnl"/>
              </w:rPr>
            </w:pPr>
            <w:r w:rsidRPr="00E675E8">
              <w:rPr>
                <w:b/>
                <w:sz w:val="16"/>
                <w:lang w:val="es-ES_tradnl"/>
              </w:rPr>
              <w:t>Resultados previstos</w:t>
            </w:r>
          </w:p>
        </w:tc>
        <w:tc>
          <w:tcPr>
            <w:tcW w:w="305" w:type="dxa"/>
            <w:shd w:val="clear" w:color="auto" w:fill="E2E7EB" w:themeFill="accent3" w:themeFillTint="33"/>
          </w:tcPr>
          <w:p w14:paraId="4050BAED" w14:textId="77777777" w:rsidR="00B65EDC" w:rsidRPr="00E675E8" w:rsidRDefault="00B65EDC">
            <w:pPr>
              <w:jc w:val="center"/>
              <w:rPr>
                <w:b/>
                <w:bCs/>
                <w:sz w:val="16"/>
                <w:szCs w:val="16"/>
                <w:lang w:val="es-ES_tradnl"/>
              </w:rPr>
            </w:pPr>
          </w:p>
        </w:tc>
        <w:tc>
          <w:tcPr>
            <w:tcW w:w="2457" w:type="dxa"/>
            <w:shd w:val="clear" w:color="auto" w:fill="E2E7EB" w:themeFill="accent3" w:themeFillTint="33"/>
          </w:tcPr>
          <w:p w14:paraId="741FE153" w14:textId="77777777" w:rsidR="00B65EDC" w:rsidRPr="00E675E8" w:rsidRDefault="00B65EDC">
            <w:pPr>
              <w:rPr>
                <w:b/>
                <w:bCs/>
                <w:sz w:val="16"/>
                <w:szCs w:val="16"/>
                <w:lang w:val="es-ES_tradnl"/>
              </w:rPr>
            </w:pPr>
            <w:r w:rsidRPr="00E675E8">
              <w:rPr>
                <w:b/>
                <w:sz w:val="16"/>
                <w:lang w:val="es-ES_tradnl"/>
              </w:rPr>
              <w:t>Indicadores de rendimiento</w:t>
            </w:r>
          </w:p>
        </w:tc>
        <w:tc>
          <w:tcPr>
            <w:tcW w:w="1632" w:type="dxa"/>
            <w:shd w:val="clear" w:color="auto" w:fill="E2E7EB" w:themeFill="accent3" w:themeFillTint="33"/>
          </w:tcPr>
          <w:p w14:paraId="06141515" w14:textId="77777777" w:rsidR="00B65EDC" w:rsidRPr="00E675E8" w:rsidRDefault="00B65EDC">
            <w:pPr>
              <w:jc w:val="center"/>
              <w:rPr>
                <w:b/>
                <w:bCs/>
                <w:sz w:val="16"/>
                <w:szCs w:val="16"/>
                <w:lang w:val="es-ES_tradnl"/>
              </w:rPr>
            </w:pPr>
            <w:r w:rsidRPr="00E675E8">
              <w:rPr>
                <w:b/>
                <w:sz w:val="16"/>
                <w:lang w:val="es-ES_tradnl"/>
              </w:rPr>
              <w:t>Referencias</w:t>
            </w:r>
          </w:p>
        </w:tc>
        <w:tc>
          <w:tcPr>
            <w:tcW w:w="1559" w:type="dxa"/>
            <w:shd w:val="clear" w:color="auto" w:fill="E2E7EB" w:themeFill="accent3" w:themeFillTint="33"/>
          </w:tcPr>
          <w:p w14:paraId="4B7977B5" w14:textId="77777777" w:rsidR="00B65EDC" w:rsidRPr="00E675E8" w:rsidRDefault="00B65EDC">
            <w:pPr>
              <w:jc w:val="center"/>
              <w:rPr>
                <w:b/>
                <w:bCs/>
                <w:sz w:val="16"/>
                <w:szCs w:val="16"/>
                <w:lang w:val="es-ES_tradnl"/>
              </w:rPr>
            </w:pPr>
            <w:r w:rsidRPr="00E675E8">
              <w:rPr>
                <w:b/>
                <w:sz w:val="16"/>
                <w:lang w:val="es-ES_tradnl"/>
              </w:rPr>
              <w:t>Objetivo (2026/27)</w:t>
            </w:r>
          </w:p>
        </w:tc>
      </w:tr>
      <w:bookmarkEnd w:id="488"/>
      <w:tr w:rsidR="00B65EDC" w:rsidRPr="00E675E8" w14:paraId="113D9DE1" w14:textId="77777777" w:rsidTr="00F05868">
        <w:tc>
          <w:tcPr>
            <w:tcW w:w="426" w:type="dxa"/>
          </w:tcPr>
          <w:p w14:paraId="1FB31E93" w14:textId="77777777" w:rsidR="00B65EDC" w:rsidRPr="00E675E8" w:rsidRDefault="00B65EDC">
            <w:pPr>
              <w:jc w:val="left"/>
              <w:rPr>
                <w:rFonts w:cs="Arial"/>
                <w:sz w:val="16"/>
                <w:szCs w:val="16"/>
                <w:lang w:val="es-ES_tradnl"/>
              </w:rPr>
            </w:pPr>
            <w:r w:rsidRPr="00E675E8">
              <w:rPr>
                <w:sz w:val="16"/>
                <w:lang w:val="es-ES_tradnl"/>
              </w:rPr>
              <w:t>3.1</w:t>
            </w:r>
          </w:p>
        </w:tc>
        <w:tc>
          <w:tcPr>
            <w:tcW w:w="3255" w:type="dxa"/>
          </w:tcPr>
          <w:p w14:paraId="35A8AFA4" w14:textId="77777777" w:rsidR="00B65EDC" w:rsidRPr="00E675E8" w:rsidRDefault="00B65EDC">
            <w:pPr>
              <w:jc w:val="left"/>
              <w:rPr>
                <w:rFonts w:cs="Arial"/>
                <w:sz w:val="16"/>
                <w:szCs w:val="16"/>
                <w:lang w:val="es-ES_tradnl"/>
              </w:rPr>
            </w:pPr>
            <w:r w:rsidRPr="00E675E8">
              <w:rPr>
                <w:sz w:val="16"/>
                <w:lang w:val="es-ES_tradnl"/>
              </w:rPr>
              <w:t>Desarrollo de los servicios del sistema UPOV e-PVP</w:t>
            </w:r>
          </w:p>
        </w:tc>
        <w:tc>
          <w:tcPr>
            <w:tcW w:w="305" w:type="dxa"/>
          </w:tcPr>
          <w:p w14:paraId="2366EFEF" w14:textId="77777777" w:rsidR="00B65EDC" w:rsidRPr="00E675E8" w:rsidRDefault="00B65EDC">
            <w:pPr>
              <w:jc w:val="left"/>
              <w:rPr>
                <w:rFonts w:cs="Arial"/>
                <w:sz w:val="16"/>
                <w:szCs w:val="16"/>
                <w:lang w:val="es-ES_tradnl"/>
              </w:rPr>
            </w:pPr>
            <w:r w:rsidRPr="00E675E8">
              <w:rPr>
                <w:sz w:val="16"/>
                <w:lang w:val="es-ES_tradnl"/>
              </w:rPr>
              <w:t>11</w:t>
            </w:r>
          </w:p>
        </w:tc>
        <w:tc>
          <w:tcPr>
            <w:tcW w:w="2457" w:type="dxa"/>
          </w:tcPr>
          <w:p w14:paraId="3F0F76FF" w14:textId="77777777" w:rsidR="00B65EDC" w:rsidRPr="00E675E8" w:rsidRDefault="00B65EDC">
            <w:pPr>
              <w:jc w:val="left"/>
              <w:rPr>
                <w:rFonts w:cs="Arial"/>
                <w:sz w:val="16"/>
                <w:szCs w:val="16"/>
                <w:lang w:val="es-ES_tradnl"/>
              </w:rPr>
            </w:pPr>
            <w:r w:rsidRPr="00E675E8">
              <w:rPr>
                <w:sz w:val="16"/>
                <w:lang w:val="es-ES_tradnl"/>
              </w:rPr>
              <w:t>Porcentaje de solicitudes de protección de miembros de la UPOV incluidas en la base de datos PLUTO en 1 año</w:t>
            </w:r>
          </w:p>
        </w:tc>
        <w:tc>
          <w:tcPr>
            <w:tcW w:w="1632" w:type="dxa"/>
            <w:vAlign w:val="center"/>
          </w:tcPr>
          <w:p w14:paraId="4F54DFF0" w14:textId="66ED6DF0" w:rsidR="002E0EFA" w:rsidRPr="00E675E8" w:rsidRDefault="002E0EFA">
            <w:pPr>
              <w:jc w:val="center"/>
              <w:rPr>
                <w:rFonts w:cs="Arial"/>
                <w:sz w:val="16"/>
                <w:szCs w:val="16"/>
                <w:lang w:val="es-ES_tradnl"/>
              </w:rPr>
            </w:pPr>
            <w:r w:rsidRPr="00E675E8">
              <w:rPr>
                <w:sz w:val="16"/>
                <w:lang w:val="es-ES_tradnl"/>
              </w:rPr>
              <w:t>40 % (2024)</w:t>
            </w:r>
          </w:p>
        </w:tc>
        <w:tc>
          <w:tcPr>
            <w:tcW w:w="1559" w:type="dxa"/>
            <w:vAlign w:val="center"/>
          </w:tcPr>
          <w:p w14:paraId="23EAC6A4" w14:textId="00866C49" w:rsidR="00014B08" w:rsidRPr="00E675E8" w:rsidRDefault="00014B08">
            <w:pPr>
              <w:jc w:val="center"/>
              <w:rPr>
                <w:rFonts w:cs="Arial"/>
                <w:sz w:val="16"/>
                <w:szCs w:val="16"/>
                <w:lang w:val="es-ES_tradnl"/>
              </w:rPr>
            </w:pPr>
            <w:r w:rsidRPr="00E675E8">
              <w:rPr>
                <w:sz w:val="16"/>
                <w:lang w:val="es-ES_tradnl"/>
              </w:rPr>
              <w:t>50 % (2026)</w:t>
            </w:r>
          </w:p>
          <w:p w14:paraId="061FE916" w14:textId="5A6D29CE" w:rsidR="00B65EDC" w:rsidRPr="00E675E8" w:rsidRDefault="00014B08">
            <w:pPr>
              <w:jc w:val="center"/>
              <w:rPr>
                <w:rFonts w:cs="Arial"/>
                <w:sz w:val="16"/>
                <w:szCs w:val="16"/>
                <w:lang w:val="es-ES_tradnl"/>
              </w:rPr>
            </w:pPr>
            <w:r w:rsidRPr="00E675E8">
              <w:rPr>
                <w:sz w:val="16"/>
                <w:lang w:val="es-ES_tradnl"/>
              </w:rPr>
              <w:t xml:space="preserve">60 % (2027) </w:t>
            </w:r>
          </w:p>
        </w:tc>
      </w:tr>
      <w:tr w:rsidR="00B65EDC" w:rsidRPr="00E675E8" w14:paraId="705C4217" w14:textId="77777777" w:rsidTr="00F73621">
        <w:tc>
          <w:tcPr>
            <w:tcW w:w="426" w:type="dxa"/>
          </w:tcPr>
          <w:p w14:paraId="03DE6CA6" w14:textId="77777777" w:rsidR="00B65EDC" w:rsidRPr="00E675E8" w:rsidRDefault="00B65EDC">
            <w:pPr>
              <w:jc w:val="left"/>
              <w:rPr>
                <w:rFonts w:cs="Arial"/>
                <w:sz w:val="16"/>
                <w:szCs w:val="16"/>
                <w:lang w:val="es-ES_tradnl"/>
              </w:rPr>
            </w:pPr>
          </w:p>
        </w:tc>
        <w:tc>
          <w:tcPr>
            <w:tcW w:w="3255" w:type="dxa"/>
          </w:tcPr>
          <w:p w14:paraId="06FAE0B8" w14:textId="77777777" w:rsidR="00B65EDC" w:rsidRPr="00E675E8" w:rsidRDefault="00B65EDC">
            <w:pPr>
              <w:jc w:val="left"/>
              <w:rPr>
                <w:rFonts w:cs="Arial"/>
                <w:sz w:val="16"/>
                <w:szCs w:val="16"/>
                <w:lang w:val="es-ES_tradnl"/>
              </w:rPr>
            </w:pPr>
            <w:r w:rsidRPr="00E675E8">
              <w:rPr>
                <w:sz w:val="16"/>
                <w:lang w:val="es-ES_tradnl"/>
              </w:rPr>
              <w:t> </w:t>
            </w:r>
          </w:p>
        </w:tc>
        <w:tc>
          <w:tcPr>
            <w:tcW w:w="305" w:type="dxa"/>
          </w:tcPr>
          <w:p w14:paraId="618BA019" w14:textId="77777777" w:rsidR="00B65EDC" w:rsidRPr="00E675E8" w:rsidRDefault="00B65EDC">
            <w:pPr>
              <w:jc w:val="left"/>
              <w:rPr>
                <w:rFonts w:cs="Arial"/>
                <w:sz w:val="16"/>
                <w:szCs w:val="16"/>
                <w:lang w:val="es-ES_tradnl"/>
              </w:rPr>
            </w:pPr>
            <w:r w:rsidRPr="00E675E8">
              <w:rPr>
                <w:sz w:val="16"/>
                <w:lang w:val="es-ES_tradnl"/>
              </w:rPr>
              <w:t>12</w:t>
            </w:r>
          </w:p>
        </w:tc>
        <w:tc>
          <w:tcPr>
            <w:tcW w:w="2457" w:type="dxa"/>
          </w:tcPr>
          <w:p w14:paraId="4489D432" w14:textId="77777777" w:rsidR="00B65EDC" w:rsidRPr="00E675E8" w:rsidRDefault="00B65EDC">
            <w:pPr>
              <w:jc w:val="left"/>
              <w:rPr>
                <w:rFonts w:cs="Arial"/>
                <w:sz w:val="16"/>
                <w:szCs w:val="16"/>
                <w:lang w:val="es-ES_tradnl"/>
              </w:rPr>
            </w:pPr>
            <w:r w:rsidRPr="00E675E8">
              <w:rPr>
                <w:sz w:val="16"/>
                <w:lang w:val="es-ES_tradnl"/>
              </w:rPr>
              <w:t>Número de usuarios de PLUTO</w:t>
            </w:r>
          </w:p>
        </w:tc>
        <w:tc>
          <w:tcPr>
            <w:tcW w:w="1632" w:type="dxa"/>
            <w:vAlign w:val="center"/>
          </w:tcPr>
          <w:p w14:paraId="769E5854" w14:textId="7103619B" w:rsidR="00B65EDC" w:rsidRPr="00E675E8" w:rsidRDefault="002E0EFA">
            <w:pPr>
              <w:jc w:val="center"/>
              <w:rPr>
                <w:rFonts w:cs="Arial"/>
                <w:sz w:val="16"/>
                <w:szCs w:val="16"/>
                <w:lang w:val="es-ES_tradnl"/>
              </w:rPr>
            </w:pPr>
            <w:r w:rsidRPr="00E675E8">
              <w:rPr>
                <w:sz w:val="16"/>
                <w:lang w:val="es-ES_tradnl"/>
              </w:rPr>
              <w:t>5 500 (2024)</w:t>
            </w:r>
          </w:p>
        </w:tc>
        <w:tc>
          <w:tcPr>
            <w:tcW w:w="1559" w:type="dxa"/>
            <w:vAlign w:val="center"/>
          </w:tcPr>
          <w:p w14:paraId="6A434D7D" w14:textId="0A28C574" w:rsidR="00D03886" w:rsidRPr="00E675E8" w:rsidRDefault="00C8561D">
            <w:pPr>
              <w:jc w:val="center"/>
              <w:rPr>
                <w:rFonts w:cs="Arial"/>
                <w:sz w:val="16"/>
                <w:szCs w:val="16"/>
                <w:lang w:val="es-ES_tradnl"/>
              </w:rPr>
            </w:pPr>
            <w:r w:rsidRPr="00E675E8">
              <w:rPr>
                <w:sz w:val="16"/>
                <w:lang w:val="es-ES_tradnl"/>
              </w:rPr>
              <w:t>7 200 (2026)</w:t>
            </w:r>
          </w:p>
          <w:p w14:paraId="33AF8A60" w14:textId="0843B2CE" w:rsidR="00B65EDC" w:rsidRPr="00E675E8" w:rsidRDefault="002131F4">
            <w:pPr>
              <w:jc w:val="center"/>
              <w:rPr>
                <w:rFonts w:cs="Arial"/>
                <w:sz w:val="16"/>
                <w:szCs w:val="16"/>
                <w:lang w:val="es-ES_tradnl"/>
              </w:rPr>
            </w:pPr>
            <w:r w:rsidRPr="00E675E8">
              <w:rPr>
                <w:sz w:val="16"/>
                <w:lang w:val="es-ES_tradnl"/>
              </w:rPr>
              <w:t>8 500 (2027)</w:t>
            </w:r>
          </w:p>
        </w:tc>
      </w:tr>
      <w:tr w:rsidR="00B65EDC" w:rsidRPr="00E675E8" w14:paraId="30BC4CF6" w14:textId="77777777" w:rsidTr="00F05868">
        <w:tc>
          <w:tcPr>
            <w:tcW w:w="426" w:type="dxa"/>
          </w:tcPr>
          <w:p w14:paraId="1E60558F" w14:textId="77777777" w:rsidR="00B65EDC" w:rsidRPr="00E675E8" w:rsidRDefault="00B65EDC">
            <w:pPr>
              <w:jc w:val="left"/>
              <w:rPr>
                <w:rFonts w:cs="Arial"/>
                <w:sz w:val="16"/>
                <w:szCs w:val="16"/>
                <w:lang w:val="es-ES_tradnl"/>
              </w:rPr>
            </w:pPr>
          </w:p>
        </w:tc>
        <w:tc>
          <w:tcPr>
            <w:tcW w:w="3255" w:type="dxa"/>
          </w:tcPr>
          <w:p w14:paraId="70BF0352" w14:textId="77777777" w:rsidR="00B65EDC" w:rsidRPr="00E675E8" w:rsidRDefault="00B65EDC">
            <w:pPr>
              <w:jc w:val="left"/>
              <w:rPr>
                <w:rFonts w:cs="Arial"/>
                <w:sz w:val="16"/>
                <w:szCs w:val="16"/>
                <w:lang w:val="es-ES_tradnl"/>
              </w:rPr>
            </w:pPr>
            <w:r w:rsidRPr="00E675E8">
              <w:rPr>
                <w:sz w:val="16"/>
                <w:lang w:val="es-ES_tradnl"/>
              </w:rPr>
              <w:t> </w:t>
            </w:r>
          </w:p>
        </w:tc>
        <w:tc>
          <w:tcPr>
            <w:tcW w:w="305" w:type="dxa"/>
          </w:tcPr>
          <w:p w14:paraId="6AEF5FB7" w14:textId="77777777" w:rsidR="00B65EDC" w:rsidRPr="00E675E8" w:rsidRDefault="00B65EDC">
            <w:pPr>
              <w:jc w:val="left"/>
              <w:rPr>
                <w:rFonts w:cs="Arial"/>
                <w:sz w:val="16"/>
                <w:szCs w:val="16"/>
                <w:lang w:val="es-ES_tradnl"/>
              </w:rPr>
            </w:pPr>
            <w:r w:rsidRPr="00E675E8">
              <w:rPr>
                <w:sz w:val="16"/>
                <w:lang w:val="es-ES_tradnl"/>
              </w:rPr>
              <w:t>13</w:t>
            </w:r>
          </w:p>
        </w:tc>
        <w:tc>
          <w:tcPr>
            <w:tcW w:w="2457" w:type="dxa"/>
          </w:tcPr>
          <w:p w14:paraId="7C37E44A" w14:textId="77777777" w:rsidR="00B65EDC" w:rsidRPr="00E675E8" w:rsidRDefault="00B65EDC">
            <w:pPr>
              <w:jc w:val="left"/>
              <w:rPr>
                <w:rFonts w:cs="Arial"/>
                <w:sz w:val="16"/>
                <w:szCs w:val="16"/>
                <w:lang w:val="es-ES_tradnl"/>
              </w:rPr>
            </w:pPr>
            <w:r w:rsidRPr="00E675E8">
              <w:rPr>
                <w:sz w:val="16"/>
                <w:lang w:val="es-ES_tradnl"/>
              </w:rPr>
              <w:t>Número de solicitudes que generan tasas presentadas en UPOV PRISMA</w:t>
            </w:r>
          </w:p>
        </w:tc>
        <w:tc>
          <w:tcPr>
            <w:tcW w:w="1632" w:type="dxa"/>
            <w:vAlign w:val="center"/>
          </w:tcPr>
          <w:p w14:paraId="073DF1FB" w14:textId="57B896F5" w:rsidR="00B65EDC" w:rsidRPr="00E675E8" w:rsidRDefault="001B2385">
            <w:pPr>
              <w:jc w:val="center"/>
              <w:rPr>
                <w:rFonts w:cs="Arial"/>
                <w:sz w:val="16"/>
                <w:szCs w:val="16"/>
                <w:lang w:val="es-ES_tradnl"/>
              </w:rPr>
            </w:pPr>
            <w:r w:rsidRPr="00E675E8">
              <w:rPr>
                <w:sz w:val="16"/>
                <w:lang w:val="es-ES_tradnl"/>
              </w:rPr>
              <w:t>1 491 (2024)</w:t>
            </w:r>
          </w:p>
        </w:tc>
        <w:tc>
          <w:tcPr>
            <w:tcW w:w="1559" w:type="dxa"/>
            <w:vAlign w:val="center"/>
          </w:tcPr>
          <w:p w14:paraId="6B3E5411" w14:textId="1FC849E7" w:rsidR="0050707B" w:rsidRPr="00E675E8" w:rsidRDefault="2C07D160">
            <w:pPr>
              <w:jc w:val="center"/>
              <w:rPr>
                <w:rFonts w:cs="Arial"/>
                <w:sz w:val="16"/>
                <w:szCs w:val="16"/>
                <w:lang w:val="es-ES_tradnl"/>
              </w:rPr>
            </w:pPr>
            <w:r w:rsidRPr="00E675E8">
              <w:rPr>
                <w:rFonts w:asciiTheme="majorHAnsi" w:hAnsiTheme="majorHAnsi"/>
                <w:sz w:val="16"/>
                <w:lang w:val="es-ES_tradnl"/>
              </w:rPr>
              <w:t xml:space="preserve">1 648 </w:t>
            </w:r>
            <w:r w:rsidRPr="00E675E8">
              <w:rPr>
                <w:sz w:val="16"/>
                <w:lang w:val="es-ES_tradnl"/>
              </w:rPr>
              <w:t>(2026)</w:t>
            </w:r>
          </w:p>
          <w:p w14:paraId="6E78F0D7" w14:textId="5A13CFF5" w:rsidR="00B65EDC" w:rsidRPr="00E675E8" w:rsidRDefault="00543870" w:rsidP="009E1454">
            <w:pPr>
              <w:jc w:val="center"/>
              <w:rPr>
                <w:rFonts w:asciiTheme="majorHAnsi" w:hAnsiTheme="majorHAnsi" w:cstheme="majorHAnsi"/>
                <w:sz w:val="16"/>
                <w:szCs w:val="16"/>
                <w:lang w:val="es-ES_tradnl"/>
              </w:rPr>
            </w:pPr>
            <w:r w:rsidRPr="00E675E8">
              <w:rPr>
                <w:rFonts w:asciiTheme="majorHAnsi" w:hAnsiTheme="majorHAnsi"/>
                <w:sz w:val="16"/>
                <w:lang w:val="es-ES_tradnl"/>
              </w:rPr>
              <w:t>1 730 (2027)</w:t>
            </w:r>
          </w:p>
        </w:tc>
      </w:tr>
      <w:tr w:rsidR="00B65EDC" w:rsidRPr="00E675E8" w14:paraId="3CE51043" w14:textId="77777777" w:rsidTr="360764B0">
        <w:tc>
          <w:tcPr>
            <w:tcW w:w="426" w:type="dxa"/>
          </w:tcPr>
          <w:p w14:paraId="42E13FBA" w14:textId="77777777" w:rsidR="00B65EDC" w:rsidRPr="00E675E8" w:rsidRDefault="00B65EDC">
            <w:pPr>
              <w:jc w:val="left"/>
              <w:rPr>
                <w:rFonts w:cs="Arial"/>
                <w:sz w:val="16"/>
                <w:szCs w:val="16"/>
                <w:lang w:val="es-ES_tradnl"/>
              </w:rPr>
            </w:pPr>
            <w:bookmarkStart w:id="489" w:name="_Hlk207298201"/>
          </w:p>
        </w:tc>
        <w:tc>
          <w:tcPr>
            <w:tcW w:w="3255" w:type="dxa"/>
          </w:tcPr>
          <w:p w14:paraId="56568B8D" w14:textId="77777777" w:rsidR="00B65EDC" w:rsidRPr="00E675E8" w:rsidRDefault="00B65EDC">
            <w:pPr>
              <w:jc w:val="left"/>
              <w:rPr>
                <w:rFonts w:cs="Arial"/>
                <w:sz w:val="16"/>
                <w:szCs w:val="16"/>
                <w:lang w:val="es-ES_tradnl"/>
              </w:rPr>
            </w:pPr>
            <w:r w:rsidRPr="00E675E8">
              <w:rPr>
                <w:sz w:val="16"/>
                <w:lang w:val="es-ES_tradnl"/>
              </w:rPr>
              <w:t> </w:t>
            </w:r>
          </w:p>
        </w:tc>
        <w:tc>
          <w:tcPr>
            <w:tcW w:w="305" w:type="dxa"/>
          </w:tcPr>
          <w:p w14:paraId="513476EA" w14:textId="77777777" w:rsidR="00B65EDC" w:rsidRPr="00E675E8" w:rsidRDefault="00B65EDC">
            <w:pPr>
              <w:jc w:val="left"/>
              <w:rPr>
                <w:rFonts w:cs="Arial"/>
                <w:sz w:val="16"/>
                <w:szCs w:val="16"/>
                <w:lang w:val="es-ES_tradnl"/>
              </w:rPr>
            </w:pPr>
            <w:r w:rsidRPr="00E675E8">
              <w:rPr>
                <w:sz w:val="16"/>
                <w:lang w:val="es-ES_tradnl"/>
              </w:rPr>
              <w:t>14</w:t>
            </w:r>
          </w:p>
        </w:tc>
        <w:tc>
          <w:tcPr>
            <w:tcW w:w="2457" w:type="dxa"/>
          </w:tcPr>
          <w:p w14:paraId="64C2CEEA" w14:textId="77777777" w:rsidR="00B65EDC" w:rsidRPr="00E675E8" w:rsidRDefault="00B65EDC">
            <w:pPr>
              <w:jc w:val="left"/>
              <w:rPr>
                <w:rFonts w:cs="Arial"/>
                <w:sz w:val="16"/>
                <w:szCs w:val="16"/>
                <w:lang w:val="es-ES_tradnl"/>
              </w:rPr>
            </w:pPr>
            <w:r w:rsidRPr="00E675E8">
              <w:rPr>
                <w:sz w:val="16"/>
                <w:lang w:val="es-ES_tradnl"/>
              </w:rPr>
              <w:t>Número de miembros que usan el módulo de administración de UPOV e-PVP para gestionar y publicar las solicitudes de protección</w:t>
            </w:r>
          </w:p>
        </w:tc>
        <w:tc>
          <w:tcPr>
            <w:tcW w:w="1632" w:type="dxa"/>
            <w:vAlign w:val="center"/>
          </w:tcPr>
          <w:p w14:paraId="2088D408" w14:textId="77777777" w:rsidR="00B65EDC" w:rsidRPr="00E675E8" w:rsidRDefault="00B65EDC">
            <w:pPr>
              <w:jc w:val="center"/>
              <w:rPr>
                <w:rFonts w:cs="Arial"/>
                <w:sz w:val="16"/>
                <w:szCs w:val="16"/>
                <w:lang w:val="es-ES_tradnl"/>
              </w:rPr>
            </w:pPr>
            <w:r w:rsidRPr="00E675E8">
              <w:rPr>
                <w:sz w:val="16"/>
                <w:lang w:val="es-ES_tradnl"/>
              </w:rPr>
              <w:t>1 (2024)</w:t>
            </w:r>
          </w:p>
        </w:tc>
        <w:tc>
          <w:tcPr>
            <w:tcW w:w="1559" w:type="dxa"/>
            <w:vAlign w:val="center"/>
          </w:tcPr>
          <w:p w14:paraId="53EF3F3D" w14:textId="2E35021F" w:rsidR="00B65EDC" w:rsidRPr="00E675E8" w:rsidRDefault="37278B5F" w:rsidP="653ADAA8">
            <w:pPr>
              <w:jc w:val="center"/>
              <w:rPr>
                <w:rFonts w:cs="Arial"/>
                <w:sz w:val="16"/>
                <w:szCs w:val="16"/>
                <w:lang w:val="es-ES_tradnl"/>
              </w:rPr>
            </w:pPr>
            <w:r w:rsidRPr="00E675E8">
              <w:rPr>
                <w:sz w:val="16"/>
                <w:lang w:val="es-ES_tradnl"/>
              </w:rPr>
              <w:t xml:space="preserve">5 (2026) </w:t>
            </w:r>
          </w:p>
          <w:p w14:paraId="3C3AF566" w14:textId="5A06CABE" w:rsidR="00B65EDC" w:rsidRPr="00E675E8" w:rsidRDefault="2EC94AB3">
            <w:pPr>
              <w:jc w:val="center"/>
              <w:rPr>
                <w:rFonts w:cs="Arial"/>
                <w:sz w:val="16"/>
                <w:szCs w:val="16"/>
                <w:lang w:val="es-ES_tradnl"/>
              </w:rPr>
            </w:pPr>
            <w:r w:rsidRPr="00E675E8">
              <w:rPr>
                <w:sz w:val="16"/>
                <w:lang w:val="es-ES_tradnl"/>
              </w:rPr>
              <w:t>6 (2027)</w:t>
            </w:r>
          </w:p>
        </w:tc>
      </w:tr>
      <w:tr w:rsidR="00B65EDC" w:rsidRPr="00E675E8" w14:paraId="5A45B0B0" w14:textId="77777777" w:rsidTr="360764B0">
        <w:tc>
          <w:tcPr>
            <w:tcW w:w="426" w:type="dxa"/>
            <w:tcBorders>
              <w:bottom w:val="single" w:sz="4" w:space="0" w:color="D9D9D9" w:themeColor="background1" w:themeShade="D9"/>
            </w:tcBorders>
          </w:tcPr>
          <w:p w14:paraId="3AADBBBF" w14:textId="77777777" w:rsidR="00B65EDC" w:rsidRPr="00E675E8" w:rsidRDefault="00B65EDC">
            <w:pPr>
              <w:jc w:val="left"/>
              <w:rPr>
                <w:rFonts w:cs="Arial"/>
                <w:sz w:val="16"/>
                <w:szCs w:val="16"/>
                <w:lang w:val="es-ES_tradnl"/>
              </w:rPr>
            </w:pPr>
          </w:p>
        </w:tc>
        <w:tc>
          <w:tcPr>
            <w:tcW w:w="3255" w:type="dxa"/>
            <w:tcBorders>
              <w:bottom w:val="single" w:sz="4" w:space="0" w:color="D9D9D9" w:themeColor="background1" w:themeShade="D9"/>
            </w:tcBorders>
          </w:tcPr>
          <w:p w14:paraId="36086D52" w14:textId="77777777" w:rsidR="00B65EDC" w:rsidRPr="00E675E8" w:rsidRDefault="00B65EDC">
            <w:pPr>
              <w:jc w:val="left"/>
              <w:rPr>
                <w:rFonts w:cs="Arial"/>
                <w:sz w:val="16"/>
                <w:szCs w:val="16"/>
                <w:lang w:val="es-ES_tradnl"/>
              </w:rPr>
            </w:pPr>
          </w:p>
        </w:tc>
        <w:tc>
          <w:tcPr>
            <w:tcW w:w="305" w:type="dxa"/>
            <w:tcBorders>
              <w:bottom w:val="single" w:sz="4" w:space="0" w:color="D9D9D9" w:themeColor="background1" w:themeShade="D9"/>
            </w:tcBorders>
          </w:tcPr>
          <w:p w14:paraId="7C56C1F2" w14:textId="77777777" w:rsidR="00B65EDC" w:rsidRPr="00E675E8" w:rsidRDefault="00B65EDC">
            <w:pPr>
              <w:jc w:val="left"/>
              <w:rPr>
                <w:rFonts w:cs="Arial"/>
                <w:sz w:val="16"/>
                <w:szCs w:val="16"/>
                <w:lang w:val="es-ES_tradnl"/>
              </w:rPr>
            </w:pPr>
            <w:r w:rsidRPr="00E675E8">
              <w:rPr>
                <w:sz w:val="16"/>
                <w:lang w:val="es-ES_tradnl"/>
              </w:rPr>
              <w:t>15</w:t>
            </w:r>
          </w:p>
        </w:tc>
        <w:tc>
          <w:tcPr>
            <w:tcW w:w="2457" w:type="dxa"/>
            <w:tcBorders>
              <w:bottom w:val="single" w:sz="4" w:space="0" w:color="D9D9D9" w:themeColor="background1" w:themeShade="D9"/>
            </w:tcBorders>
          </w:tcPr>
          <w:p w14:paraId="75D7E298" w14:textId="633AFBF5" w:rsidR="00B65EDC" w:rsidRPr="00E675E8" w:rsidRDefault="00B65EDC">
            <w:pPr>
              <w:jc w:val="left"/>
              <w:rPr>
                <w:rFonts w:cs="Arial"/>
                <w:sz w:val="16"/>
                <w:szCs w:val="16"/>
                <w:lang w:val="es-ES_tradnl"/>
              </w:rPr>
            </w:pPr>
            <w:r w:rsidRPr="00E675E8">
              <w:rPr>
                <w:sz w:val="16"/>
                <w:lang w:val="es-ES_tradnl"/>
              </w:rPr>
              <w:t>Número de miembros de la UPOV que utilizan el módulo de intercambio para gestionar el intercambio de informes</w:t>
            </w:r>
          </w:p>
        </w:tc>
        <w:tc>
          <w:tcPr>
            <w:tcW w:w="1632" w:type="dxa"/>
            <w:tcBorders>
              <w:bottom w:val="single" w:sz="4" w:space="0" w:color="D9D9D9" w:themeColor="background1" w:themeShade="D9"/>
            </w:tcBorders>
            <w:vAlign w:val="center"/>
          </w:tcPr>
          <w:p w14:paraId="761CD102" w14:textId="77777777" w:rsidR="00B65EDC" w:rsidRPr="00E675E8" w:rsidRDefault="00B65EDC">
            <w:pPr>
              <w:jc w:val="center"/>
              <w:rPr>
                <w:rFonts w:cs="Arial"/>
                <w:sz w:val="16"/>
                <w:szCs w:val="16"/>
                <w:lang w:val="es-ES_tradnl"/>
              </w:rPr>
            </w:pPr>
            <w:r w:rsidRPr="00E675E8">
              <w:rPr>
                <w:sz w:val="16"/>
                <w:lang w:val="es-ES_tradnl"/>
              </w:rPr>
              <w:t>2 (2024)</w:t>
            </w:r>
          </w:p>
        </w:tc>
        <w:tc>
          <w:tcPr>
            <w:tcW w:w="1559" w:type="dxa"/>
            <w:tcBorders>
              <w:bottom w:val="single" w:sz="4" w:space="0" w:color="D9D9D9" w:themeColor="background1" w:themeShade="D9"/>
            </w:tcBorders>
            <w:vAlign w:val="center"/>
          </w:tcPr>
          <w:p w14:paraId="76E3BC6C" w14:textId="11940E7D" w:rsidR="00B65EDC" w:rsidRPr="00E675E8" w:rsidDel="000345DE" w:rsidRDefault="59DEE1C8" w:rsidP="653ADAA8">
            <w:pPr>
              <w:jc w:val="center"/>
              <w:rPr>
                <w:rFonts w:cs="Arial"/>
                <w:sz w:val="16"/>
                <w:szCs w:val="16"/>
                <w:lang w:val="es-ES_tradnl"/>
              </w:rPr>
            </w:pPr>
            <w:r w:rsidRPr="00E675E8">
              <w:rPr>
                <w:sz w:val="16"/>
                <w:lang w:val="es-ES_tradnl"/>
              </w:rPr>
              <w:t>16 (2026)</w:t>
            </w:r>
          </w:p>
          <w:p w14:paraId="4A8B3A3A" w14:textId="4C9A4752" w:rsidR="00B65EDC" w:rsidRPr="00E675E8" w:rsidDel="000345DE" w:rsidRDefault="59DEE1C8">
            <w:pPr>
              <w:jc w:val="center"/>
              <w:rPr>
                <w:rFonts w:cs="Arial"/>
                <w:sz w:val="16"/>
                <w:szCs w:val="16"/>
                <w:lang w:val="es-ES_tradnl"/>
              </w:rPr>
            </w:pPr>
            <w:r w:rsidRPr="00E675E8">
              <w:rPr>
                <w:sz w:val="16"/>
                <w:lang w:val="es-ES_tradnl"/>
              </w:rPr>
              <w:t>18 (2027)</w:t>
            </w:r>
          </w:p>
        </w:tc>
      </w:tr>
      <w:bookmarkEnd w:id="489"/>
    </w:tbl>
    <w:p w14:paraId="3E98462D" w14:textId="77777777" w:rsidR="00B65EDC" w:rsidRPr="00E675E8" w:rsidRDefault="00B65EDC" w:rsidP="00B65EDC">
      <w:pPr>
        <w:rPr>
          <w:lang w:val="es-ES_tradnl"/>
        </w:rPr>
      </w:pPr>
    </w:p>
    <w:p w14:paraId="72C8F7F3" w14:textId="77777777" w:rsidR="00B65EDC" w:rsidRPr="00E675E8" w:rsidRDefault="00B65EDC" w:rsidP="00B65EDC">
      <w:pPr>
        <w:rPr>
          <w:lang w:val="es-ES_tradnl"/>
        </w:rPr>
      </w:pPr>
      <w:bookmarkStart w:id="490" w:name="_Hlk188213642"/>
    </w:p>
    <w:p w14:paraId="22DD09AF" w14:textId="77777777" w:rsidR="00B65EDC" w:rsidRPr="00E675E8" w:rsidRDefault="00B65EDC" w:rsidP="00B65EDC">
      <w:pPr>
        <w:rPr>
          <w:lang w:val="es-ES_tradnl"/>
        </w:rPr>
      </w:pPr>
    </w:p>
    <w:p w14:paraId="14C94157" w14:textId="67AB2C6F" w:rsidR="00B65EDC" w:rsidRPr="00E675E8" w:rsidRDefault="00B65EDC" w:rsidP="004448C7">
      <w:pPr>
        <w:pStyle w:val="Heading2"/>
        <w:rPr>
          <w:lang w:val="es-ES_tradnl"/>
        </w:rPr>
      </w:pPr>
      <w:bookmarkStart w:id="491" w:name="_Toc117798901"/>
      <w:bookmarkStart w:id="492" w:name="_Toc107239606"/>
      <w:bookmarkStart w:id="493" w:name="_Toc107239356"/>
      <w:bookmarkStart w:id="494" w:name="_Toc209777776"/>
      <w:bookmarkEnd w:id="490"/>
      <w:r w:rsidRPr="00E675E8">
        <w:rPr>
          <w:lang w:val="es-ES_tradnl"/>
        </w:rPr>
        <w:t>Fundamento:</w:t>
      </w:r>
      <w:r w:rsidR="002817AB" w:rsidRPr="00E675E8">
        <w:rPr>
          <w:lang w:val="es-ES_tradnl"/>
        </w:rPr>
        <w:t xml:space="preserve"> </w:t>
      </w:r>
      <w:r w:rsidRPr="00E675E8">
        <w:rPr>
          <w:lang w:val="es-ES_tradnl"/>
        </w:rPr>
        <w:t>Velar por que nuestro personal tenga los medios de trabajar de forma eficaz, colaborativa e innovadora, y proporcionarle con ese fin los recursos, la formación y un entorno adecuados</w:t>
      </w:r>
      <w:bookmarkEnd w:id="491"/>
      <w:bookmarkEnd w:id="492"/>
      <w:bookmarkEnd w:id="493"/>
      <w:bookmarkEnd w:id="494"/>
    </w:p>
    <w:p w14:paraId="07DC5404" w14:textId="77777777" w:rsidR="00B65EDC" w:rsidRPr="00E675E8" w:rsidRDefault="00B65EDC" w:rsidP="00B65EDC">
      <w:pPr>
        <w:keepNext/>
        <w:rPr>
          <w:b/>
          <w:bCs/>
          <w:sz w:val="22"/>
          <w:szCs w:val="22"/>
          <w:lang w:val="es-ES_tradnl"/>
        </w:rPr>
      </w:pPr>
    </w:p>
    <w:p w14:paraId="2A8FD3C7" w14:textId="77777777" w:rsidR="00B65EDC" w:rsidRPr="00E675E8" w:rsidRDefault="00B65EDC" w:rsidP="000363C4">
      <w:pPr>
        <w:pStyle w:val="Heading3"/>
        <w:rPr>
          <w:sz w:val="20"/>
          <w:lang w:val="es-ES_tradnl"/>
        </w:rPr>
      </w:pPr>
      <w:bookmarkStart w:id="495" w:name="_Toc209777777"/>
      <w:r w:rsidRPr="00E675E8">
        <w:rPr>
          <w:lang w:val="es-ES_tradnl"/>
        </w:rPr>
        <w:t>Estrategia para lograr los resultados previstos</w:t>
      </w:r>
      <w:bookmarkEnd w:id="495"/>
    </w:p>
    <w:p w14:paraId="6ABC4737" w14:textId="77777777" w:rsidR="00B65EDC" w:rsidRPr="00E675E8" w:rsidRDefault="00B65EDC" w:rsidP="00B65EDC">
      <w:pPr>
        <w:pStyle w:val="Default"/>
        <w:keepNext/>
        <w:rPr>
          <w:b/>
          <w:bCs/>
          <w:sz w:val="22"/>
          <w:szCs w:val="22"/>
          <w:lang w:val="es-ES_tradnl"/>
        </w:rPr>
      </w:pPr>
    </w:p>
    <w:p w14:paraId="54050596" w14:textId="02B87547" w:rsidR="00B65EDC" w:rsidRPr="00E675E8" w:rsidRDefault="00B65EDC" w:rsidP="00B65EDC">
      <w:pPr>
        <w:pStyle w:val="Default"/>
        <w:jc w:val="both"/>
        <w:rPr>
          <w:bCs/>
          <w:sz w:val="20"/>
          <w:szCs w:val="20"/>
          <w:lang w:val="es-ES_tradnl"/>
        </w:rPr>
      </w:pPr>
      <w:r w:rsidRPr="00E675E8">
        <w:rPr>
          <w:sz w:val="20"/>
          <w:lang w:val="es-ES_tradnl"/>
        </w:rPr>
        <w:fldChar w:fldCharType="begin"/>
      </w:r>
      <w:r w:rsidRPr="00E675E8">
        <w:rPr>
          <w:sz w:val="20"/>
          <w:lang w:val="es-ES_tradnl"/>
        </w:rPr>
        <w:instrText xml:space="preserve"> AUTONUM  </w:instrText>
      </w:r>
      <w:r w:rsidRPr="00E675E8">
        <w:rPr>
          <w:sz w:val="20"/>
          <w:lang w:val="es-ES_tradnl"/>
        </w:rPr>
        <w:fldChar w:fldCharType="end"/>
      </w:r>
      <w:r w:rsidRPr="00E675E8">
        <w:rPr>
          <w:sz w:val="20"/>
          <w:lang w:val="es-ES_tradnl"/>
        </w:rPr>
        <w:tab/>
        <w:t>La transición a la "nueva normalidad" posterior a la COVID-19 ha supuesto la introducción del teletrabajo regular a tiempo parcial hasta un máximo de dos días por semana.</w:t>
      </w:r>
      <w:r w:rsidR="002817AB" w:rsidRPr="00E675E8">
        <w:rPr>
          <w:sz w:val="20"/>
          <w:lang w:val="es-ES_tradnl"/>
        </w:rPr>
        <w:t xml:space="preserve"> </w:t>
      </w:r>
      <w:r w:rsidRPr="00E675E8">
        <w:rPr>
          <w:sz w:val="20"/>
          <w:lang w:val="es-ES_tradnl"/>
        </w:rPr>
        <w:t>La UPOV ha recurrido, y seguirá haciéndolo, al trabajo totalmente a distancia para determinados contratistas cuando resulte apropiado y, en particular, cuando ofrezca nuevas oportunidades de contratar a personal de alta calidad con los recursos disponibles.</w:t>
      </w:r>
      <w:r w:rsidR="002817AB" w:rsidRPr="00E675E8">
        <w:rPr>
          <w:sz w:val="20"/>
          <w:lang w:val="es-ES_tradnl"/>
        </w:rPr>
        <w:t xml:space="preserve"> </w:t>
      </w:r>
    </w:p>
    <w:p w14:paraId="5FB427F4" w14:textId="77777777" w:rsidR="00B65EDC" w:rsidRPr="00E675E8" w:rsidRDefault="00B65EDC" w:rsidP="00B65EDC">
      <w:pPr>
        <w:pStyle w:val="Default"/>
        <w:jc w:val="both"/>
        <w:rPr>
          <w:bCs/>
          <w:sz w:val="20"/>
          <w:szCs w:val="20"/>
          <w:lang w:val="es-ES_tradnl"/>
        </w:rPr>
      </w:pPr>
    </w:p>
    <w:p w14:paraId="1D6D9B07" w14:textId="0EA118FF" w:rsidR="00B65EDC" w:rsidRPr="00E675E8" w:rsidRDefault="00B65EDC" w:rsidP="003F289C">
      <w:pPr>
        <w:pStyle w:val="Heading4"/>
        <w:rPr>
          <w:lang w:val="es-ES_tradnl"/>
        </w:rPr>
      </w:pPr>
      <w:bookmarkStart w:id="496" w:name="_Toc117798904"/>
      <w:bookmarkStart w:id="497" w:name="_Toc107239609"/>
      <w:bookmarkStart w:id="498" w:name="_Toc107239359"/>
      <w:r w:rsidRPr="00E675E8">
        <w:rPr>
          <w:u w:val="none"/>
          <w:lang w:val="es-ES_tradnl"/>
        </w:rPr>
        <w:t>4.1</w:t>
      </w:r>
      <w:r w:rsidRPr="00E675E8">
        <w:rPr>
          <w:u w:val="none"/>
          <w:lang w:val="es-ES_tradnl"/>
        </w:rPr>
        <w:tab/>
      </w:r>
      <w:bookmarkEnd w:id="496"/>
      <w:bookmarkEnd w:id="497"/>
      <w:bookmarkEnd w:id="498"/>
      <w:r w:rsidRPr="00E675E8">
        <w:rPr>
          <w:lang w:val="es-ES_tradnl"/>
        </w:rPr>
        <w:t>Garantizar la sostenibilidad financiera</w:t>
      </w:r>
    </w:p>
    <w:p w14:paraId="10E117CA" w14:textId="77777777" w:rsidR="00B65EDC" w:rsidRPr="00E675E8" w:rsidRDefault="00B65EDC" w:rsidP="00B65EDC">
      <w:pPr>
        <w:keepNext/>
        <w:rPr>
          <w:lang w:val="es-ES_tradnl"/>
        </w:rPr>
      </w:pPr>
    </w:p>
    <w:p w14:paraId="265A555C" w14:textId="31C46CA1" w:rsidR="00B65EDC" w:rsidRPr="00E675E8" w:rsidRDefault="00B65EDC" w:rsidP="00B65EDC">
      <w:pPr>
        <w:pStyle w:val="ListParagraph"/>
        <w:ind w:left="0"/>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En la “Evaluación de la Unión Internacional para la Protección de las Obtenciones Vegetales (UPOV)”, efectuada en 2016 por la División de Supervisión Interna (DSI) de la OMPI, se recomendaba que la UPOV considerase la posibilidad de elaborar un plan operativo estratégico para diversificar sus fuentes de ingresos con el fin de mantener y reforzar la sostenibilidad de las actividades y servicios existentes.</w:t>
      </w:r>
      <w:r w:rsidR="002817AB" w:rsidRPr="00E675E8">
        <w:rPr>
          <w:lang w:val="es-ES_tradnl"/>
        </w:rPr>
        <w:t xml:space="preserve"> </w:t>
      </w:r>
      <w:r w:rsidRPr="00E675E8">
        <w:rPr>
          <w:lang w:val="es-ES_tradnl"/>
        </w:rPr>
        <w:t>Las medidas para diversificar aún más las fuentes de ingresos de la UPOV se centrarán en la generación de ingresos procedentes de UPOV PRISMA y de la base de datos PLUTO.</w:t>
      </w:r>
      <w:r w:rsidR="002817AB" w:rsidRPr="00E675E8">
        <w:rPr>
          <w:lang w:val="es-ES_tradnl"/>
        </w:rPr>
        <w:t xml:space="preserve"> </w:t>
      </w:r>
    </w:p>
    <w:p w14:paraId="72896E01" w14:textId="77777777" w:rsidR="00B65EDC" w:rsidRPr="00E675E8" w:rsidRDefault="00B65EDC" w:rsidP="00B65EDC">
      <w:pPr>
        <w:pStyle w:val="ListParagraph"/>
        <w:ind w:left="0"/>
        <w:rPr>
          <w:lang w:val="es-ES_tradnl"/>
        </w:rPr>
      </w:pPr>
    </w:p>
    <w:p w14:paraId="1D4E166D" w14:textId="35706010"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En octubre de 2024, el Comité Consultivo aprobó el desarrollo de la sección relativa al análisis prospectivo y la integración de las estrategias clave identificadas en el documento CC/102/3 en las futuras versiones del Plan Operativo Estratégico.</w:t>
      </w:r>
      <w:r w:rsidR="002817AB" w:rsidRPr="00E675E8">
        <w:rPr>
          <w:lang w:val="es-ES_tradnl"/>
        </w:rPr>
        <w:t xml:space="preserve"> </w:t>
      </w:r>
      <w:r w:rsidR="00797F25">
        <w:rPr>
          <w:lang w:val="es-ES_tradnl"/>
        </w:rPr>
        <w:t xml:space="preserve"> </w:t>
      </w:r>
      <w:r w:rsidRPr="00E675E8">
        <w:rPr>
          <w:lang w:val="es-ES_tradnl"/>
        </w:rPr>
        <w:t xml:space="preserve">En octubre de 2025, se someterá a consideración de los miembros de la UPOV una propuesta de </w:t>
      </w:r>
      <w:r w:rsidR="00797F25">
        <w:rPr>
          <w:lang w:val="es-ES_tradnl"/>
        </w:rPr>
        <w:t>E</w:t>
      </w:r>
      <w:r w:rsidRPr="00E675E8">
        <w:rPr>
          <w:lang w:val="es-ES_tradnl"/>
        </w:rPr>
        <w:t xml:space="preserve">strategia de recursos </w:t>
      </w:r>
      <w:r w:rsidR="00797F25">
        <w:rPr>
          <w:lang w:val="es-ES_tradnl"/>
        </w:rPr>
        <w:t xml:space="preserve">de la UPOV </w:t>
      </w:r>
      <w:r w:rsidRPr="00E675E8">
        <w:rPr>
          <w:lang w:val="es-ES_tradnl"/>
        </w:rPr>
        <w:t>(documento C/59/16) para mejorar la sostenibilidad financiera a largo plazo de la UPOV e incrementar su alcance y repercusión.</w:t>
      </w:r>
      <w:r w:rsidR="002817AB" w:rsidRPr="00E675E8">
        <w:rPr>
          <w:lang w:val="es-ES_tradnl"/>
        </w:rPr>
        <w:t xml:space="preserve"> </w:t>
      </w:r>
      <w:r w:rsidR="00383CE0">
        <w:rPr>
          <w:lang w:val="es-ES_tradnl"/>
        </w:rPr>
        <w:t xml:space="preserve"> </w:t>
      </w:r>
      <w:r w:rsidRPr="00E675E8">
        <w:rPr>
          <w:lang w:val="es-ES_tradnl"/>
        </w:rPr>
        <w:t xml:space="preserve">Esta estrategia está relacionada con el resultado previsto 4.1 </w:t>
      </w:r>
      <w:r w:rsidR="00383CE0">
        <w:rPr>
          <w:lang w:val="es-ES_tradnl"/>
        </w:rPr>
        <w:t>“</w:t>
      </w:r>
      <w:r w:rsidR="00383CE0" w:rsidRPr="00E675E8">
        <w:rPr>
          <w:lang w:val="es-ES_tradnl"/>
        </w:rPr>
        <w:t xml:space="preserve">Garantizar </w:t>
      </w:r>
      <w:r w:rsidRPr="00E675E8">
        <w:rPr>
          <w:lang w:val="es-ES_tradnl"/>
        </w:rPr>
        <w:t>la sostenibilidad financiera</w:t>
      </w:r>
      <w:r w:rsidR="00383CE0">
        <w:rPr>
          <w:lang w:val="es-ES_tradnl"/>
        </w:rPr>
        <w:t>”</w:t>
      </w:r>
      <w:r w:rsidRPr="00E675E8">
        <w:rPr>
          <w:lang w:val="es-ES_tradnl"/>
        </w:rPr>
        <w:t xml:space="preserve"> y tendrá en cuenta la </w:t>
      </w:r>
      <w:r w:rsidRPr="00797F25">
        <w:rPr>
          <w:spacing w:val="-2"/>
          <w:lang w:val="es-ES_tradnl"/>
        </w:rPr>
        <w:t xml:space="preserve">forma de atraer nuevos donantes, fondos extrapresupuestarios, patrocinadores, recursos humanos financiados </w:t>
      </w:r>
      <w:r w:rsidRPr="00E675E8">
        <w:rPr>
          <w:lang w:val="es-ES_tradnl"/>
        </w:rPr>
        <w:t xml:space="preserve">por los miembros de la UPOV (por ejemplo, funcionarios subalternos de la categoría profesional) y las conclusiones del documento CC/102/4 </w:t>
      </w:r>
      <w:r w:rsidR="00383CE0">
        <w:rPr>
          <w:lang w:val="es-ES_tradnl"/>
        </w:rPr>
        <w:t>“</w:t>
      </w:r>
      <w:r w:rsidR="00383CE0" w:rsidRPr="00E675E8">
        <w:rPr>
          <w:lang w:val="es-ES_tradnl"/>
        </w:rPr>
        <w:t xml:space="preserve">Desarrollo </w:t>
      </w:r>
      <w:r w:rsidRPr="00E675E8">
        <w:rPr>
          <w:lang w:val="es-ES_tradnl"/>
        </w:rPr>
        <w:t>y financiación de UPOV e-PVP</w:t>
      </w:r>
      <w:r w:rsidR="00383CE0">
        <w:rPr>
          <w:lang w:val="es-ES_tradnl"/>
        </w:rPr>
        <w:t>”</w:t>
      </w:r>
      <w:r w:rsidRPr="00E675E8">
        <w:rPr>
          <w:lang w:val="es-ES_tradnl"/>
        </w:rPr>
        <w:t>.</w:t>
      </w:r>
    </w:p>
    <w:p w14:paraId="57BF0307" w14:textId="77777777" w:rsidR="00B65EDC" w:rsidRPr="00E675E8" w:rsidRDefault="00B65EDC" w:rsidP="00B65EDC">
      <w:pPr>
        <w:rPr>
          <w:lang w:val="es-ES_tradnl"/>
        </w:rPr>
      </w:pPr>
    </w:p>
    <w:p w14:paraId="55E3FC8F" w14:textId="77777777"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 xml:space="preserve">La estrategia también abordará la fuente primaria de ingresos de la UPOV, es decir, las contribuciones de los miembros y las formas adicionales de proporcionar asistencia financiera para aplicar el programa de trabajo de la UPOV con el fin de garantizar la sostenibilidad financiera a largo plazo. </w:t>
      </w:r>
    </w:p>
    <w:p w14:paraId="265CCBB3" w14:textId="77777777" w:rsidR="00B65EDC" w:rsidRPr="00E675E8" w:rsidRDefault="00B65EDC" w:rsidP="00B65EDC">
      <w:pPr>
        <w:rPr>
          <w:lang w:val="es-ES_tradnl"/>
        </w:rPr>
      </w:pPr>
    </w:p>
    <w:p w14:paraId="50FF4C05" w14:textId="77777777" w:rsidR="00B65EDC" w:rsidRPr="00E675E8" w:rsidRDefault="00B65EDC" w:rsidP="00B65EDC">
      <w:pPr>
        <w:pStyle w:val="Heading5"/>
        <w:rPr>
          <w:lang w:val="es-ES_tradnl"/>
        </w:rPr>
      </w:pPr>
      <w:bookmarkStart w:id="499" w:name="_Toc117798905"/>
      <w:bookmarkStart w:id="500" w:name="_Toc107239610"/>
      <w:bookmarkStart w:id="501" w:name="_Toc107239360"/>
      <w:r w:rsidRPr="00E675E8">
        <w:rPr>
          <w:lang w:val="es-ES_tradnl"/>
        </w:rPr>
        <w:lastRenderedPageBreak/>
        <w:t>Servicios de pago</w:t>
      </w:r>
      <w:bookmarkEnd w:id="499"/>
      <w:bookmarkEnd w:id="500"/>
      <w:bookmarkEnd w:id="501"/>
    </w:p>
    <w:p w14:paraId="6D144C48" w14:textId="77777777" w:rsidR="00B65EDC" w:rsidRPr="00E675E8" w:rsidRDefault="00B65EDC" w:rsidP="00383CE0">
      <w:pPr>
        <w:pStyle w:val="ListParagraph"/>
        <w:keepNext/>
        <w:ind w:left="0"/>
        <w:rPr>
          <w:lang w:val="es-ES_tradnl"/>
        </w:rPr>
      </w:pPr>
    </w:p>
    <w:p w14:paraId="3EBF58A6" w14:textId="20AC67A0" w:rsidR="00B65EDC" w:rsidRPr="00E675E8" w:rsidRDefault="00B65EDC" w:rsidP="00B65EDC">
      <w:pPr>
        <w:pStyle w:val="ListParagraph"/>
        <w:ind w:left="0"/>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Un elemento básico para diversificar los ingresos es generarlos a partir de los servicios que se prestan a los usuarios del sistema de la UPOV y, al mismo tiempo, poner esos servicios a disposición de las oficinas de protección de las obtenciones vegetales sin costo alguno.</w:t>
      </w:r>
      <w:r w:rsidR="002817AB" w:rsidRPr="00E675E8">
        <w:rPr>
          <w:lang w:val="es-ES_tradnl"/>
        </w:rPr>
        <w:t xml:space="preserve"> </w:t>
      </w:r>
      <w:r w:rsidRPr="00E675E8">
        <w:rPr>
          <w:lang w:val="es-ES_tradnl"/>
        </w:rPr>
        <w:t>Eso permitirá a la UPOV desarrollar y mantener servicios de alta calidad para los solicitantes y las oficinas de protección de las obtenciones vegetales.</w:t>
      </w:r>
      <w:r w:rsidR="002817AB" w:rsidRPr="00E675E8">
        <w:rPr>
          <w:lang w:val="es-ES_tradnl"/>
        </w:rPr>
        <w:t xml:space="preserve"> </w:t>
      </w:r>
      <w:r w:rsidRPr="00E675E8">
        <w:rPr>
          <w:lang w:val="es-ES_tradnl"/>
        </w:rPr>
        <w:t>Otra ventaja importante es que este planteamiento conectará a la UPOV con los usuarios de su sistema y mejorará la orientación de los servicios en el seno de la UPOV.</w:t>
      </w:r>
      <w:r w:rsidR="002817AB" w:rsidRPr="00E675E8">
        <w:rPr>
          <w:lang w:val="es-ES_tradnl"/>
        </w:rPr>
        <w:t xml:space="preserve"> </w:t>
      </w:r>
    </w:p>
    <w:p w14:paraId="4DB8A0C3" w14:textId="77777777" w:rsidR="00B65EDC" w:rsidRPr="00E675E8" w:rsidRDefault="00B65EDC" w:rsidP="00B65EDC">
      <w:pPr>
        <w:pStyle w:val="ListParagraph"/>
        <w:ind w:left="0"/>
        <w:rPr>
          <w:lang w:val="es-ES_tradnl"/>
        </w:rPr>
      </w:pPr>
    </w:p>
    <w:p w14:paraId="3EFC251E" w14:textId="07F266C0" w:rsidR="00B65EDC" w:rsidRPr="00E675E8" w:rsidRDefault="00B65EDC" w:rsidP="00B65EDC">
      <w:pPr>
        <w:pStyle w:val="ListParagraph"/>
        <w:ind w:left="0"/>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UPOV PRISMA y el servicio de pago de la base de datos PLUTO seguirán siendo fundamentales para aumentar los ingresos de la UPOV.</w:t>
      </w:r>
      <w:r w:rsidR="002817AB" w:rsidRPr="00E675E8">
        <w:rPr>
          <w:lang w:val="es-ES_tradnl"/>
        </w:rPr>
        <w:t xml:space="preserve"> </w:t>
      </w:r>
      <w:r w:rsidRPr="00E675E8">
        <w:rPr>
          <w:lang w:val="es-ES_tradnl"/>
        </w:rPr>
        <w:t>Para aumentar los ingresos procedentes de estos servicios, es necesario contar con el apoyo de los miembros de la Unión.</w:t>
      </w:r>
      <w:r w:rsidR="002817AB" w:rsidRPr="00E675E8">
        <w:rPr>
          <w:lang w:val="es-ES_tradnl"/>
        </w:rPr>
        <w:t xml:space="preserve"> </w:t>
      </w:r>
      <w:r w:rsidRPr="00E675E8">
        <w:rPr>
          <w:lang w:val="es-ES_tradnl"/>
        </w:rPr>
        <w:t>En particular, los ingresos de UPOV PRISMA vendrán determinados por el número de miembros de la Unión que participen en el servicio para todos los cultivos o especies y permitan mantener una interfaz eficaz y fluida con sus procedimientos de solicitud.</w:t>
      </w:r>
      <w:r w:rsidR="002817AB" w:rsidRPr="00E675E8">
        <w:rPr>
          <w:lang w:val="es-ES_tradnl"/>
        </w:rPr>
        <w:t xml:space="preserve"> </w:t>
      </w:r>
      <w:r w:rsidRPr="00E675E8">
        <w:rPr>
          <w:lang w:val="es-ES_tradnl"/>
        </w:rPr>
        <w:t>Del mismo modo, el atractivo del servicio de pago de la base de datos PLUTO dependerá de que los miembros de la Unión proporcionen datos completos y actualizados con regularidad.</w:t>
      </w:r>
      <w:r w:rsidR="002817AB" w:rsidRPr="00E675E8">
        <w:rPr>
          <w:lang w:val="es-ES_tradnl"/>
        </w:rPr>
        <w:t xml:space="preserve"> </w:t>
      </w:r>
      <w:r w:rsidRPr="00E675E8">
        <w:rPr>
          <w:lang w:val="es-ES_tradnl"/>
        </w:rPr>
        <w:t>Por consiguiente, una prioridad para la Oficina de la Unión será colaborar con los miembros de la Unión para que faciliten la protección de las obtenciones vegetales a través de UPOV e-PVP y promover su participación en UPOV PRISMA y sus contribuciones a la base de datos PLUTO.</w:t>
      </w:r>
      <w:r w:rsidR="002817AB" w:rsidRPr="00E675E8">
        <w:rPr>
          <w:lang w:val="es-ES_tradnl"/>
        </w:rPr>
        <w:t xml:space="preserve"> </w:t>
      </w:r>
    </w:p>
    <w:p w14:paraId="6A28C64A" w14:textId="77777777" w:rsidR="00B65EDC" w:rsidRPr="00E675E8" w:rsidRDefault="00B65EDC" w:rsidP="00B65EDC">
      <w:pPr>
        <w:pStyle w:val="ListParagraph"/>
        <w:ind w:left="0"/>
        <w:rPr>
          <w:lang w:val="es-ES_tradnl"/>
        </w:rPr>
      </w:pPr>
    </w:p>
    <w:p w14:paraId="394BEF48" w14:textId="77777777" w:rsidR="00B65EDC" w:rsidRPr="00E675E8" w:rsidRDefault="00B65EDC" w:rsidP="00B65EDC">
      <w:pPr>
        <w:pStyle w:val="ListParagraph"/>
        <w:ind w:left="0"/>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 xml:space="preserve">La respuesta de los usuarios de los cursos de enseñanza a distancia es positiva y la UPOV seguirá estudiando la forma de promoverlos y hacerlos más atractivos para los usuarios de pago. </w:t>
      </w:r>
    </w:p>
    <w:p w14:paraId="3127744D" w14:textId="77777777" w:rsidR="00B65EDC" w:rsidRPr="00E675E8" w:rsidRDefault="00B65EDC" w:rsidP="00B65EDC">
      <w:pPr>
        <w:pStyle w:val="ListParagraph"/>
        <w:ind w:left="0"/>
        <w:rPr>
          <w:lang w:val="es-ES_tradnl"/>
        </w:rPr>
      </w:pPr>
    </w:p>
    <w:p w14:paraId="51A56AF7" w14:textId="745AFCA6" w:rsidR="00B65EDC" w:rsidRPr="00E675E8" w:rsidRDefault="00B65EDC" w:rsidP="00B65EDC">
      <w:pPr>
        <w:pStyle w:val="ListParagraph"/>
        <w:ind w:left="0"/>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En 2025 se habilitará la inscripción de estudiantes del sector privado y de organizaciones que no estén cubiertas por las prioridades del Consejo de la UPOV en el programa de certificados de la UPOV de protección de las obtenciones vegetales, previo pago de una tasa.</w:t>
      </w:r>
      <w:r w:rsidR="002817AB" w:rsidRPr="00E675E8">
        <w:rPr>
          <w:lang w:val="es-ES_tradnl"/>
        </w:rPr>
        <w:t xml:space="preserve"> </w:t>
      </w:r>
      <w:r w:rsidRPr="00E675E8">
        <w:rPr>
          <w:lang w:val="es-ES_tradnl"/>
        </w:rPr>
        <w:t>La Oficina de la UPOV está elaborando los procedimientos de facturación a los participantes y de tratamiento de los pagos recibidos para el programa de certificados de la UPOV de protección de las obtenciones vegetales.</w:t>
      </w:r>
      <w:r w:rsidR="002817AB" w:rsidRPr="00E675E8">
        <w:rPr>
          <w:lang w:val="es-ES_tradnl"/>
        </w:rPr>
        <w:t xml:space="preserve"> </w:t>
      </w:r>
      <w:r w:rsidRPr="00E675E8">
        <w:rPr>
          <w:lang w:val="es-ES_tradnl"/>
        </w:rPr>
        <w:t>El plan de aplicación preveía una tasa de 500 francos suizos para la inscripción de esos participantes.</w:t>
      </w:r>
    </w:p>
    <w:p w14:paraId="52055A06" w14:textId="77777777" w:rsidR="00B65EDC" w:rsidRPr="00E675E8" w:rsidRDefault="00B65EDC" w:rsidP="00B65EDC">
      <w:pPr>
        <w:pStyle w:val="ListParagraph"/>
        <w:ind w:left="0"/>
        <w:rPr>
          <w:lang w:val="es-ES_tradnl"/>
        </w:rPr>
      </w:pPr>
    </w:p>
    <w:p w14:paraId="325B7F48" w14:textId="77777777" w:rsidR="00B65EDC" w:rsidRPr="00E675E8" w:rsidRDefault="00B65EDC" w:rsidP="00B65EDC">
      <w:pPr>
        <w:pStyle w:val="Heading5"/>
        <w:rPr>
          <w:lang w:val="es-ES_tradnl"/>
        </w:rPr>
      </w:pPr>
      <w:bookmarkStart w:id="502" w:name="_Toc117798906"/>
      <w:bookmarkStart w:id="503" w:name="_Toc107239611"/>
      <w:bookmarkStart w:id="504" w:name="_Toc107239361"/>
      <w:bookmarkStart w:id="505" w:name="_Toc42703049"/>
      <w:r w:rsidRPr="00E675E8">
        <w:rPr>
          <w:lang w:val="es-ES_tradnl"/>
        </w:rPr>
        <w:t>Fondos extrapresupuestarios</w:t>
      </w:r>
      <w:bookmarkEnd w:id="502"/>
      <w:bookmarkEnd w:id="503"/>
      <w:bookmarkEnd w:id="504"/>
      <w:bookmarkEnd w:id="505"/>
    </w:p>
    <w:p w14:paraId="7B2EC498" w14:textId="77777777" w:rsidR="00B65EDC" w:rsidRPr="00E675E8" w:rsidRDefault="00B65EDC" w:rsidP="00B65EDC">
      <w:pPr>
        <w:rPr>
          <w:lang w:val="es-ES_tradnl"/>
        </w:rPr>
      </w:pPr>
    </w:p>
    <w:p w14:paraId="4C38FA72" w14:textId="77777777" w:rsidR="00B65EDC" w:rsidRPr="00E675E8" w:rsidRDefault="00B65EDC" w:rsidP="00B65EDC">
      <w:pPr>
        <w:pStyle w:val="ListParagraph"/>
        <w:ind w:left="0"/>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 xml:space="preserve">La UPOV se ha beneficiado en gran medida de los fondos extrapresupuestarios aportados por los miembros de la Unión, por ejemplo, en forma de fondos fiduciarios. En reconocimiento de los costos que supone para la Oficina de la Unión la administración de dichos fondos fiduciarios, se incluye un cargo en concepto de gastos de apoyo administrativo, que se trata como ingreso. </w:t>
      </w:r>
    </w:p>
    <w:p w14:paraId="40ECD1BD" w14:textId="77777777" w:rsidR="00B65EDC" w:rsidRPr="00E675E8" w:rsidRDefault="00B65EDC" w:rsidP="00B65EDC">
      <w:pPr>
        <w:pStyle w:val="ListParagraph"/>
        <w:ind w:left="0"/>
        <w:rPr>
          <w:lang w:val="es-ES_tradnl"/>
        </w:rPr>
      </w:pPr>
    </w:p>
    <w:p w14:paraId="58370FD5" w14:textId="1ECA5527" w:rsidR="00B65EDC" w:rsidRPr="00E675E8" w:rsidRDefault="00B65EDC" w:rsidP="00B65EDC">
      <w:pPr>
        <w:pStyle w:val="ListParagraph"/>
        <w:ind w:left="0"/>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Los fondos extrapresupuestarios serán importantes de cara al futuro y se velará por lograr que continúen los fondos existentes y que otros miembros de la Unión los establezcan.</w:t>
      </w:r>
      <w:r w:rsidR="002817AB" w:rsidRPr="00E675E8">
        <w:rPr>
          <w:lang w:val="es-ES_tradnl"/>
        </w:rPr>
        <w:t xml:space="preserve"> </w:t>
      </w:r>
    </w:p>
    <w:p w14:paraId="536745DB" w14:textId="77777777" w:rsidR="00B65EDC" w:rsidRPr="00E675E8" w:rsidRDefault="00B65EDC" w:rsidP="00B65EDC">
      <w:pPr>
        <w:rPr>
          <w:lang w:val="es-ES_tradnl"/>
        </w:rPr>
      </w:pPr>
    </w:p>
    <w:p w14:paraId="3BEFB67B" w14:textId="554DE029" w:rsidR="00B65EDC" w:rsidRPr="00E675E8" w:rsidRDefault="00B65EDC" w:rsidP="00B65EDC">
      <w:pPr>
        <w:pStyle w:val="ListParagraph"/>
        <w:ind w:left="0"/>
        <w:rPr>
          <w:rFonts w:cs="Arial"/>
          <w:sz w:val="19"/>
          <w:szCs w:val="19"/>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 xml:space="preserve">Por otro lado, la UPOV colaborará con los miembros de la Unión y los Estados y organizaciones que se hallen en proceso de convertirse en miembros de la UPOV para ayudarlos a promover y dirigir las solicitudes de fondos a los organismos donantes. </w:t>
      </w:r>
    </w:p>
    <w:p w14:paraId="763850F1" w14:textId="77777777" w:rsidR="00B65EDC" w:rsidRPr="00E675E8" w:rsidRDefault="00B65EDC" w:rsidP="00B65EDC">
      <w:pPr>
        <w:rPr>
          <w:lang w:val="es-ES_tradnl"/>
        </w:rPr>
      </w:pPr>
    </w:p>
    <w:p w14:paraId="69861998" w14:textId="3D557100" w:rsidR="00B65EDC" w:rsidRPr="00E675E8" w:rsidRDefault="00B65EDC" w:rsidP="00B65EDC">
      <w:pPr>
        <w:pStyle w:val="ListParagraph"/>
        <w:ind w:left="0"/>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La UPOV también explorará la posibilidad de generar fondos extrapresupuestarios a través de un fondo de varios donantes para el desarrollo sostenible de los servicios de la UPOV (por ejemplo, UPOV e-PVP).</w:t>
      </w:r>
      <w:r w:rsidR="002817AB" w:rsidRPr="00E675E8">
        <w:rPr>
          <w:lang w:val="es-ES_tradnl"/>
        </w:rPr>
        <w:t xml:space="preserve"> </w:t>
      </w:r>
      <w:r w:rsidRPr="00E675E8">
        <w:rPr>
          <w:lang w:val="es-ES_tradnl"/>
        </w:rPr>
        <w:t>Es fundamental que los usuarios potenciales de los servicios de la UPOV conozcan las ventajas de los servicios prestados.</w:t>
      </w:r>
      <w:r w:rsidR="002817AB" w:rsidRPr="00E675E8">
        <w:rPr>
          <w:lang w:val="es-ES_tradnl"/>
        </w:rPr>
        <w:t xml:space="preserve"> </w:t>
      </w:r>
      <w:r w:rsidRPr="00E675E8">
        <w:rPr>
          <w:lang w:val="es-ES_tradnl"/>
        </w:rPr>
        <w:t xml:space="preserve">La UPOV asignará recursos para promover sus servicios (por ejemplo, reuniones con miembros y usuarios, mayor uso de las herramientas de comunicación). </w:t>
      </w:r>
    </w:p>
    <w:p w14:paraId="5890D9B9" w14:textId="77777777" w:rsidR="00B65EDC" w:rsidRPr="00E675E8" w:rsidRDefault="00B65EDC" w:rsidP="00B65EDC">
      <w:pPr>
        <w:jc w:val="left"/>
        <w:rPr>
          <w:lang w:val="es-ES_tradnl"/>
        </w:rPr>
      </w:pPr>
    </w:p>
    <w:p w14:paraId="47FD7190" w14:textId="77777777" w:rsidR="00B65EDC" w:rsidRPr="00E675E8" w:rsidRDefault="00B65EDC" w:rsidP="003F289C">
      <w:pPr>
        <w:pStyle w:val="Heading4"/>
        <w:rPr>
          <w:lang w:val="es-ES_tradnl"/>
        </w:rPr>
      </w:pPr>
      <w:bookmarkStart w:id="506" w:name="_Toc117798907"/>
      <w:bookmarkStart w:id="507" w:name="_Toc107239612"/>
      <w:bookmarkStart w:id="508" w:name="_Toc107239362"/>
      <w:r w:rsidRPr="00E675E8">
        <w:rPr>
          <w:u w:val="none"/>
          <w:lang w:val="es-ES_tradnl"/>
        </w:rPr>
        <w:t>4.2</w:t>
      </w:r>
      <w:r w:rsidRPr="00E675E8">
        <w:rPr>
          <w:u w:val="none"/>
          <w:lang w:val="es-ES_tradnl"/>
        </w:rPr>
        <w:tab/>
      </w:r>
      <w:r w:rsidRPr="00E675E8">
        <w:rPr>
          <w:lang w:val="es-ES_tradnl"/>
        </w:rPr>
        <w:t>Una Secretaría empoderada y dotada de la formación y los recursos necesarios para trabajar de forma eficaz, colaborativa e innovadora</w:t>
      </w:r>
      <w:bookmarkEnd w:id="506"/>
      <w:bookmarkEnd w:id="507"/>
      <w:bookmarkEnd w:id="508"/>
    </w:p>
    <w:p w14:paraId="60FA759B" w14:textId="77777777" w:rsidR="00B65EDC" w:rsidRPr="00E675E8" w:rsidRDefault="00B65EDC" w:rsidP="00B65EDC">
      <w:pPr>
        <w:rPr>
          <w:lang w:val="es-ES_tradnl"/>
        </w:rPr>
      </w:pPr>
      <w:bookmarkStart w:id="509" w:name="_Toc42703050"/>
    </w:p>
    <w:bookmarkEnd w:id="509"/>
    <w:p w14:paraId="037EA26A" w14:textId="0977EDA3" w:rsidR="00B65EDC" w:rsidRPr="00E675E8" w:rsidRDefault="00B65EDC" w:rsidP="00B65EDC">
      <w:pPr>
        <w:tabs>
          <w:tab w:val="left" w:pos="567"/>
        </w:tabs>
        <w:rPr>
          <w:spacing w:val="-2"/>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El número de miembros de la UPOV y de Estados cubiertos por el Convenio de la UPOV no ha dejado de crecer, y en los últimos años también ha aumentado el número de Estados y organizaciones que solicitan asesoramiento en materia de legislación y actividades de sensibilización.</w:t>
      </w:r>
      <w:r w:rsidR="002817AB" w:rsidRPr="00E675E8">
        <w:rPr>
          <w:lang w:val="es-ES_tradnl"/>
        </w:rPr>
        <w:t xml:space="preserve"> </w:t>
      </w:r>
      <w:r w:rsidRPr="00E675E8">
        <w:rPr>
          <w:lang w:val="es-ES_tradnl"/>
        </w:rPr>
        <w:t>También se ha ampliado la cartera de servicios de la Oficina de la Unión, en particular el sistema UPOV e-PVP y las nuevas posibilidades de formación en virtud del certificado de protección de las obtenciones vegetales de la UPOV.</w:t>
      </w:r>
      <w:r w:rsidR="002817AB" w:rsidRPr="00E675E8">
        <w:rPr>
          <w:lang w:val="es-ES_tradnl"/>
        </w:rPr>
        <w:t xml:space="preserve"> </w:t>
      </w:r>
      <w:r w:rsidRPr="00E675E8">
        <w:rPr>
          <w:lang w:val="es-ES_tradnl"/>
        </w:rPr>
        <w:t xml:space="preserve">Este aumento de la labor de la UPOV con un número limitado de recursos de personal exige concentración, agilidad y una evaluación constante de la incidencia antes de emprender las actividades pertinentes. </w:t>
      </w:r>
    </w:p>
    <w:p w14:paraId="2C296D96" w14:textId="77777777" w:rsidR="00B65EDC" w:rsidRPr="00E675E8" w:rsidRDefault="00B65EDC" w:rsidP="00B65EDC">
      <w:pPr>
        <w:pStyle w:val="ListParagraph"/>
        <w:ind w:left="0"/>
        <w:rPr>
          <w:spacing w:val="-2"/>
          <w:lang w:val="es-ES_tradnl"/>
        </w:rPr>
      </w:pPr>
    </w:p>
    <w:p w14:paraId="4C5DEC5B" w14:textId="1ED55A58" w:rsidR="00B65EDC" w:rsidRPr="00E675E8" w:rsidRDefault="00B65EDC" w:rsidP="00797F25">
      <w:pPr>
        <w:pStyle w:val="ListParagraph"/>
        <w:keepLines/>
        <w:ind w:left="0"/>
        <w:rPr>
          <w:lang w:val="es-ES_tradnl"/>
        </w:rPr>
      </w:pPr>
      <w:r w:rsidRPr="00E675E8">
        <w:rPr>
          <w:lang w:val="es-ES_tradnl"/>
        </w:rPr>
        <w:lastRenderedPageBreak/>
        <w:fldChar w:fldCharType="begin"/>
      </w:r>
      <w:r w:rsidRPr="00E675E8">
        <w:rPr>
          <w:lang w:val="es-ES_tradnl"/>
        </w:rPr>
        <w:instrText xml:space="preserve"> AUTONUM  </w:instrText>
      </w:r>
      <w:r w:rsidRPr="00E675E8">
        <w:rPr>
          <w:lang w:val="es-ES_tradnl"/>
        </w:rPr>
        <w:fldChar w:fldCharType="end"/>
      </w:r>
      <w:r w:rsidRPr="00E675E8">
        <w:rPr>
          <w:lang w:val="es-ES_tradnl"/>
        </w:rPr>
        <w:tab/>
        <w:t>La naturaleza del trabajo de la UPOV seguirá evolucionando, en consonancia con el compromiso de mejora continua de la Organización.</w:t>
      </w:r>
      <w:r w:rsidR="002817AB" w:rsidRPr="00E675E8">
        <w:rPr>
          <w:lang w:val="es-ES_tradnl"/>
        </w:rPr>
        <w:t xml:space="preserve"> </w:t>
      </w:r>
      <w:r w:rsidRPr="00E675E8">
        <w:rPr>
          <w:lang w:val="es-ES_tradnl"/>
        </w:rPr>
        <w:t>A fin de que el equipo de la UPOV cuente con las competencias necesarias para adaptarse a los cambios y mejorar continuamente, se hará hincapié en la elaboración de programas sistemáticos y coherentes de desarrollo y formación del personal.</w:t>
      </w:r>
      <w:r w:rsidR="002817AB" w:rsidRPr="00E675E8">
        <w:rPr>
          <w:lang w:val="es-ES_tradnl"/>
        </w:rPr>
        <w:t xml:space="preserve"> </w:t>
      </w:r>
      <w:r w:rsidRPr="00E675E8">
        <w:rPr>
          <w:lang w:val="es-ES_tradnl"/>
        </w:rPr>
        <w:t>Este planteamiento de desarrollo incluirá actividades de creación de equipos para mejorar “cómo trabajamos conjuntamente” con el fin de prestar mejores servicios a los miembros de la UPOV y a las partes interesadas y participar en colaboraciones eficaces.</w:t>
      </w:r>
    </w:p>
    <w:p w14:paraId="4A41493B" w14:textId="77777777" w:rsidR="00B65EDC" w:rsidRPr="00E675E8" w:rsidRDefault="00B65EDC" w:rsidP="00B65EDC">
      <w:pPr>
        <w:pStyle w:val="ListParagraph"/>
        <w:ind w:left="0"/>
        <w:rPr>
          <w:lang w:val="es-ES_tradnl"/>
        </w:rPr>
      </w:pPr>
    </w:p>
    <w:p w14:paraId="45A34509" w14:textId="5E2E887C"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En el bienio 2026-2027, la UPOV se centrará en las áreas prioritarias, de conformidad con el Plan Operativo Estratégico.</w:t>
      </w:r>
      <w:r w:rsidR="002817AB" w:rsidRPr="00E675E8">
        <w:rPr>
          <w:lang w:val="es-ES_tradnl"/>
        </w:rPr>
        <w:t xml:space="preserve"> </w:t>
      </w:r>
      <w:r w:rsidRPr="00E675E8">
        <w:rPr>
          <w:lang w:val="es-ES_tradnl"/>
        </w:rPr>
        <w:t>Los gastos propuestos se centran en esos ámbitos prioritarios, conteniendo al mismo tiempo los gastos de personal. Las labores de comunicación y digitalización desempeñarán un papel clave para lograr los resultados esperados.</w:t>
      </w:r>
      <w:r w:rsidR="002817AB" w:rsidRPr="00E675E8">
        <w:rPr>
          <w:lang w:val="es-ES_tradnl"/>
        </w:rPr>
        <w:t xml:space="preserve"> </w:t>
      </w:r>
      <w:r w:rsidRPr="00E675E8">
        <w:rPr>
          <w:lang w:val="es-ES_tradnl"/>
        </w:rPr>
        <w:t>Mientras no se consigan recursos adicionales, se realizará una evaluación cuidadosa de nuevas iniciativas y un mayor uso de herramientas de reuniones virtuales/híbridas y de participación en línea en eventos organizados por terceros, lo que se traducirá en una reducción del tiempo y los costos de viajes.</w:t>
      </w:r>
    </w:p>
    <w:p w14:paraId="239C33A0" w14:textId="77777777" w:rsidR="00B65EDC" w:rsidRPr="00E675E8" w:rsidRDefault="00B65EDC" w:rsidP="00B65EDC">
      <w:pPr>
        <w:tabs>
          <w:tab w:val="left" w:pos="567"/>
        </w:tabs>
        <w:rPr>
          <w:spacing w:val="-2"/>
          <w:lang w:val="es-ES_tradnl"/>
        </w:rPr>
      </w:pPr>
    </w:p>
    <w:p w14:paraId="7B1B00DB" w14:textId="0A9E2F76" w:rsidR="009A0A72" w:rsidRPr="00E675E8" w:rsidRDefault="00B65EDC" w:rsidP="00383CE0">
      <w:pPr>
        <w:rPr>
          <w:spacing w:val="-2"/>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r>
      <w:bookmarkStart w:id="510" w:name="_Hlk208498940"/>
      <w:r w:rsidRPr="00E675E8">
        <w:rPr>
          <w:lang w:val="es-ES_tradnl"/>
        </w:rPr>
        <w:t>Con el fin de garantizar la sostenibilidad de la Oficina de la UPOV, en octubre de 2024, el Comité</w:t>
      </w:r>
      <w:r w:rsidR="00797F25">
        <w:rPr>
          <w:lang w:val="es-ES_tradnl"/>
        </w:rPr>
        <w:t> </w:t>
      </w:r>
      <w:r w:rsidRPr="00E675E8">
        <w:rPr>
          <w:lang w:val="es-ES_tradnl"/>
        </w:rPr>
        <w:t xml:space="preserve">Consultivo respaldó la elaboración de una </w:t>
      </w:r>
      <w:r w:rsidR="00797F25">
        <w:rPr>
          <w:lang w:val="es-ES_tradnl"/>
        </w:rPr>
        <w:t>E</w:t>
      </w:r>
      <w:r w:rsidRPr="00E675E8">
        <w:rPr>
          <w:lang w:val="es-ES_tradnl"/>
        </w:rPr>
        <w:t xml:space="preserve">strategia de recursos </w:t>
      </w:r>
      <w:r w:rsidR="00797F25">
        <w:rPr>
          <w:lang w:val="es-ES_tradnl"/>
        </w:rPr>
        <w:t xml:space="preserve">de la UPOV </w:t>
      </w:r>
      <w:r w:rsidRPr="00E675E8">
        <w:rPr>
          <w:lang w:val="es-ES_tradnl"/>
        </w:rPr>
        <w:t>(documento C/59/16).</w:t>
      </w:r>
      <w:r w:rsidR="002817AB" w:rsidRPr="00E675E8">
        <w:rPr>
          <w:lang w:val="es-ES_tradnl"/>
        </w:rPr>
        <w:t xml:space="preserve"> </w:t>
      </w:r>
      <w:r w:rsidR="00383CE0">
        <w:rPr>
          <w:lang w:val="es-ES_tradnl"/>
        </w:rPr>
        <w:t xml:space="preserve"> </w:t>
      </w:r>
      <w:r w:rsidRPr="00E675E8">
        <w:rPr>
          <w:lang w:val="es-ES_tradnl"/>
        </w:rPr>
        <w:t xml:space="preserve">Dado que la gestión de personal se rige por el acuerdo entre la OMPI y la UPOV, puede beneficiarse de las iniciativas ya incluidas en la estrategia de recursos humanos de la OMPI para el período 2022-2026, en particular en lo referente a la agilidad, la transformación digital y cultural, y la planificación estratégica del personal. </w:t>
      </w:r>
      <w:r w:rsidR="00383CE0">
        <w:rPr>
          <w:lang w:val="es-ES_tradnl"/>
        </w:rPr>
        <w:t xml:space="preserve"> </w:t>
      </w:r>
      <w:r w:rsidRPr="00E675E8">
        <w:rPr>
          <w:lang w:val="es-ES_tradnl"/>
        </w:rPr>
        <w:t xml:space="preserve">El objetivo es armonizar el talento con los objetivos de la organización mediante una planificación basada en datos, haciendo mayor hincapié en la gestión del talento mediante la identificación de funciones críticas y la comparación de las competencias existentes con las necesidades futuras. </w:t>
      </w:r>
      <w:r w:rsidR="00383CE0">
        <w:rPr>
          <w:lang w:val="es-ES_tradnl"/>
        </w:rPr>
        <w:t xml:space="preserve"> </w:t>
      </w:r>
      <w:r w:rsidRPr="00E675E8">
        <w:rPr>
          <w:lang w:val="es-ES_tradnl"/>
        </w:rPr>
        <w:t>La UPOV debería complementar el marco existente con estrategias de aplicación específicas adaptadas a sus necesidades de talento especializado y a su contexto concreto:</w:t>
      </w:r>
    </w:p>
    <w:p w14:paraId="5E921CF6" w14:textId="77777777" w:rsidR="009A0A72" w:rsidRPr="00E675E8" w:rsidRDefault="009A0A72" w:rsidP="00383CE0">
      <w:pPr>
        <w:rPr>
          <w:spacing w:val="-2"/>
          <w:lang w:val="es-ES_tradnl"/>
        </w:rPr>
      </w:pPr>
    </w:p>
    <w:p w14:paraId="45B0257D" w14:textId="3B9DE276" w:rsidR="009A0A72" w:rsidRPr="00E675E8" w:rsidRDefault="009A0A72" w:rsidP="00383CE0">
      <w:pPr>
        <w:pStyle w:val="ListParagraph"/>
        <w:numPr>
          <w:ilvl w:val="1"/>
          <w:numId w:val="3"/>
        </w:numPr>
        <w:ind w:left="1134" w:hanging="567"/>
        <w:rPr>
          <w:spacing w:val="-2"/>
          <w:lang w:val="es-ES_tradnl"/>
        </w:rPr>
      </w:pPr>
      <w:r w:rsidRPr="00E675E8">
        <w:rPr>
          <w:lang w:val="es-ES_tradnl"/>
        </w:rPr>
        <w:t>Desarrollar perfiles especializados con competencias jurídicas, técnicas, comunicativas y digitales.</w:t>
      </w:r>
    </w:p>
    <w:p w14:paraId="2AAD7D1C" w14:textId="04EB06C7" w:rsidR="00263ED5" w:rsidRPr="00E675E8" w:rsidRDefault="009A0A72" w:rsidP="00383CE0">
      <w:pPr>
        <w:pStyle w:val="ListParagraph"/>
        <w:numPr>
          <w:ilvl w:val="1"/>
          <w:numId w:val="3"/>
        </w:numPr>
        <w:ind w:left="1134" w:hanging="567"/>
        <w:rPr>
          <w:spacing w:val="-2"/>
          <w:lang w:val="es-ES_tradnl"/>
        </w:rPr>
      </w:pPr>
      <w:r w:rsidRPr="00E675E8">
        <w:rPr>
          <w:lang w:val="es-ES_tradnl"/>
        </w:rPr>
        <w:t>Garantizar la continuidad de la actividad, dando prioridad a los puestos de personal con competencias críticas para mantener el conocimiento institucional en áreas esenciales y promoviendo al mismo tiempo la agilidad para hacer frente a la evolución de las necesidades.</w:t>
      </w:r>
    </w:p>
    <w:p w14:paraId="1FB56059" w14:textId="0AFA4733" w:rsidR="009A0A72" w:rsidRPr="00E675E8" w:rsidRDefault="009A0A72" w:rsidP="00383CE0">
      <w:pPr>
        <w:pStyle w:val="ListParagraph"/>
        <w:numPr>
          <w:ilvl w:val="1"/>
          <w:numId w:val="3"/>
        </w:numPr>
        <w:ind w:left="1134" w:hanging="567"/>
        <w:rPr>
          <w:spacing w:val="-2"/>
          <w:lang w:val="es-ES_tradnl"/>
        </w:rPr>
      </w:pPr>
      <w:r w:rsidRPr="00E675E8">
        <w:rPr>
          <w:lang w:val="es-ES_tradnl"/>
        </w:rPr>
        <w:t xml:space="preserve">Dar prioridad a la agilidad, las competencias transversales y la polivalencia. </w:t>
      </w:r>
      <w:r w:rsidR="00383CE0">
        <w:rPr>
          <w:lang w:val="es-ES_tradnl"/>
        </w:rPr>
        <w:t xml:space="preserve"> </w:t>
      </w:r>
      <w:r w:rsidRPr="00E675E8">
        <w:rPr>
          <w:lang w:val="es-ES_tradnl"/>
        </w:rPr>
        <w:t>La UPOV también debe recurrir a diferentes modelos de abastecimiento y a asociaciones estratégicas para satisfacer la creciente demanda de servicios.</w:t>
      </w:r>
    </w:p>
    <w:bookmarkEnd w:id="510"/>
    <w:p w14:paraId="10E150F9" w14:textId="77777777" w:rsidR="00B65EDC" w:rsidRPr="00E675E8" w:rsidRDefault="00B65EDC" w:rsidP="00B65EDC">
      <w:pPr>
        <w:pStyle w:val="ListParagraph"/>
        <w:ind w:left="0"/>
        <w:rPr>
          <w:lang w:val="es-ES_tradnl"/>
        </w:rPr>
      </w:pPr>
    </w:p>
    <w:p w14:paraId="2EEC1D9A" w14:textId="77777777" w:rsidR="00B65EDC" w:rsidRPr="00E675E8" w:rsidRDefault="00B65EDC" w:rsidP="00B65EDC">
      <w:pPr>
        <w:tabs>
          <w:tab w:val="left" w:pos="567"/>
        </w:tabs>
        <w:rPr>
          <w:spacing w:val="-2"/>
          <w:lang w:val="es-ES_tradnl"/>
        </w:rPr>
      </w:pPr>
    </w:p>
    <w:p w14:paraId="333858D0" w14:textId="502B421F" w:rsidR="00B65EDC" w:rsidRPr="00E675E8" w:rsidRDefault="00B65EDC" w:rsidP="000363C4">
      <w:pPr>
        <w:pStyle w:val="Heading3"/>
        <w:rPr>
          <w:lang w:val="es-ES_tradnl"/>
        </w:rPr>
      </w:pPr>
      <w:bookmarkStart w:id="511" w:name="_Toc209777778"/>
      <w:r w:rsidRPr="00E675E8">
        <w:rPr>
          <w:lang w:val="es-ES_tradnl"/>
        </w:rPr>
        <w:t>Resultados previstos e indicadores de rendimiento</w:t>
      </w:r>
      <w:bookmarkEnd w:id="511"/>
    </w:p>
    <w:p w14:paraId="13B4026D" w14:textId="77777777" w:rsidR="00B65EDC" w:rsidRPr="00E675E8" w:rsidRDefault="00B65EDC" w:rsidP="00B65EDC">
      <w:pPr>
        <w:keepNext/>
        <w:rPr>
          <w:bCs/>
          <w:lang w:val="es-ES_tradnl"/>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26"/>
        <w:gridCol w:w="3255"/>
        <w:gridCol w:w="305"/>
        <w:gridCol w:w="2457"/>
        <w:gridCol w:w="1632"/>
        <w:gridCol w:w="1559"/>
      </w:tblGrid>
      <w:tr w:rsidR="00B65EDC" w:rsidRPr="00E675E8" w14:paraId="5A8101B4" w14:textId="77777777">
        <w:trPr>
          <w:tblHeader/>
        </w:trPr>
        <w:tc>
          <w:tcPr>
            <w:tcW w:w="426" w:type="dxa"/>
            <w:tcBorders>
              <w:bottom w:val="single" w:sz="4" w:space="0" w:color="D9D9D9" w:themeColor="background1" w:themeShade="D9"/>
            </w:tcBorders>
            <w:shd w:val="clear" w:color="auto" w:fill="E2E7EB" w:themeFill="accent3" w:themeFillTint="33"/>
          </w:tcPr>
          <w:p w14:paraId="7BCDC16C" w14:textId="77777777" w:rsidR="00B65EDC" w:rsidRPr="00E675E8" w:rsidRDefault="00B65EDC">
            <w:pPr>
              <w:jc w:val="left"/>
              <w:rPr>
                <w:b/>
                <w:bCs/>
                <w:sz w:val="16"/>
                <w:szCs w:val="16"/>
                <w:lang w:val="es-ES_tradnl"/>
              </w:rPr>
            </w:pPr>
          </w:p>
        </w:tc>
        <w:tc>
          <w:tcPr>
            <w:tcW w:w="3255" w:type="dxa"/>
            <w:tcBorders>
              <w:bottom w:val="single" w:sz="4" w:space="0" w:color="D9D9D9" w:themeColor="background1" w:themeShade="D9"/>
            </w:tcBorders>
            <w:shd w:val="clear" w:color="auto" w:fill="E2E7EB" w:themeFill="accent3" w:themeFillTint="33"/>
          </w:tcPr>
          <w:p w14:paraId="1F82446C" w14:textId="77777777" w:rsidR="00B65EDC" w:rsidRPr="00E675E8" w:rsidRDefault="00B65EDC">
            <w:pPr>
              <w:jc w:val="left"/>
              <w:rPr>
                <w:b/>
                <w:bCs/>
                <w:sz w:val="16"/>
                <w:szCs w:val="16"/>
                <w:lang w:val="es-ES_tradnl"/>
              </w:rPr>
            </w:pPr>
            <w:r w:rsidRPr="00E675E8">
              <w:rPr>
                <w:b/>
                <w:sz w:val="16"/>
                <w:lang w:val="es-ES_tradnl"/>
              </w:rPr>
              <w:t>Resultados previstos</w:t>
            </w:r>
          </w:p>
        </w:tc>
        <w:tc>
          <w:tcPr>
            <w:tcW w:w="305" w:type="dxa"/>
            <w:tcBorders>
              <w:bottom w:val="single" w:sz="4" w:space="0" w:color="D9D9D9" w:themeColor="background1" w:themeShade="D9"/>
            </w:tcBorders>
            <w:shd w:val="clear" w:color="auto" w:fill="E2E7EB" w:themeFill="accent3" w:themeFillTint="33"/>
          </w:tcPr>
          <w:p w14:paraId="6387A432" w14:textId="77777777" w:rsidR="00B65EDC" w:rsidRPr="00E675E8" w:rsidRDefault="00B65EDC">
            <w:pPr>
              <w:jc w:val="center"/>
              <w:rPr>
                <w:b/>
                <w:bCs/>
                <w:sz w:val="16"/>
                <w:szCs w:val="16"/>
                <w:lang w:val="es-ES_tradnl"/>
              </w:rPr>
            </w:pPr>
          </w:p>
        </w:tc>
        <w:tc>
          <w:tcPr>
            <w:tcW w:w="2457" w:type="dxa"/>
            <w:tcBorders>
              <w:bottom w:val="single" w:sz="4" w:space="0" w:color="D9D9D9" w:themeColor="background1" w:themeShade="D9"/>
            </w:tcBorders>
            <w:shd w:val="clear" w:color="auto" w:fill="E2E7EB" w:themeFill="accent3" w:themeFillTint="33"/>
          </w:tcPr>
          <w:p w14:paraId="65B2FE82" w14:textId="77777777" w:rsidR="00B65EDC" w:rsidRPr="00E675E8" w:rsidRDefault="00B65EDC">
            <w:pPr>
              <w:rPr>
                <w:b/>
                <w:bCs/>
                <w:sz w:val="16"/>
                <w:szCs w:val="16"/>
                <w:lang w:val="es-ES_tradnl"/>
              </w:rPr>
            </w:pPr>
            <w:r w:rsidRPr="00E675E8">
              <w:rPr>
                <w:b/>
                <w:sz w:val="16"/>
                <w:lang w:val="es-ES_tradnl"/>
              </w:rPr>
              <w:t>Indicadores de rendimiento</w:t>
            </w:r>
          </w:p>
        </w:tc>
        <w:tc>
          <w:tcPr>
            <w:tcW w:w="1632" w:type="dxa"/>
            <w:tcBorders>
              <w:bottom w:val="single" w:sz="4" w:space="0" w:color="D9D9D9" w:themeColor="background1" w:themeShade="D9"/>
            </w:tcBorders>
            <w:shd w:val="clear" w:color="auto" w:fill="E2E7EB" w:themeFill="accent3" w:themeFillTint="33"/>
          </w:tcPr>
          <w:p w14:paraId="1EDAB418" w14:textId="77777777" w:rsidR="00B65EDC" w:rsidRPr="00E675E8" w:rsidRDefault="00B65EDC">
            <w:pPr>
              <w:jc w:val="center"/>
              <w:rPr>
                <w:b/>
                <w:bCs/>
                <w:sz w:val="16"/>
                <w:szCs w:val="16"/>
                <w:lang w:val="es-ES_tradnl"/>
              </w:rPr>
            </w:pPr>
            <w:r w:rsidRPr="00E675E8">
              <w:rPr>
                <w:b/>
                <w:sz w:val="16"/>
                <w:lang w:val="es-ES_tradnl"/>
              </w:rPr>
              <w:t>Referencias</w:t>
            </w:r>
          </w:p>
        </w:tc>
        <w:tc>
          <w:tcPr>
            <w:tcW w:w="1559" w:type="dxa"/>
            <w:tcBorders>
              <w:bottom w:val="single" w:sz="4" w:space="0" w:color="D9D9D9" w:themeColor="background1" w:themeShade="D9"/>
            </w:tcBorders>
            <w:shd w:val="clear" w:color="auto" w:fill="E2E7EB" w:themeFill="accent3" w:themeFillTint="33"/>
          </w:tcPr>
          <w:p w14:paraId="473BC1A7" w14:textId="77777777" w:rsidR="00B65EDC" w:rsidRPr="00E675E8" w:rsidRDefault="00B65EDC">
            <w:pPr>
              <w:jc w:val="center"/>
              <w:rPr>
                <w:b/>
                <w:bCs/>
                <w:sz w:val="16"/>
                <w:szCs w:val="16"/>
                <w:lang w:val="es-ES_tradnl"/>
              </w:rPr>
            </w:pPr>
            <w:r w:rsidRPr="00E675E8">
              <w:rPr>
                <w:b/>
                <w:sz w:val="16"/>
                <w:lang w:val="es-ES_tradnl"/>
              </w:rPr>
              <w:t>Objetivo (2026/27)</w:t>
            </w:r>
          </w:p>
        </w:tc>
      </w:tr>
      <w:tr w:rsidR="00B65EDC" w:rsidRPr="00E675E8" w14:paraId="1333AA82" w14:textId="77777777" w:rsidTr="00A538F6">
        <w:tc>
          <w:tcPr>
            <w:tcW w:w="426" w:type="dxa"/>
            <w:tcBorders>
              <w:top w:val="single" w:sz="4" w:space="0" w:color="D9D9D9" w:themeColor="background1" w:themeShade="D9"/>
              <w:bottom w:val="single" w:sz="4" w:space="0" w:color="D9D9D9" w:themeColor="background1" w:themeShade="D9"/>
            </w:tcBorders>
          </w:tcPr>
          <w:p w14:paraId="222B2EA9" w14:textId="77777777" w:rsidR="00B65EDC" w:rsidRPr="00E675E8" w:rsidRDefault="00B65EDC">
            <w:pPr>
              <w:jc w:val="left"/>
              <w:rPr>
                <w:rFonts w:cs="Arial"/>
                <w:sz w:val="16"/>
                <w:szCs w:val="16"/>
                <w:lang w:val="es-ES_tradnl"/>
              </w:rPr>
            </w:pPr>
            <w:r w:rsidRPr="00E675E8">
              <w:rPr>
                <w:sz w:val="16"/>
                <w:lang w:val="es-ES_tradnl"/>
              </w:rPr>
              <w:t>4,1</w:t>
            </w:r>
          </w:p>
        </w:tc>
        <w:tc>
          <w:tcPr>
            <w:tcW w:w="3255" w:type="dxa"/>
            <w:tcBorders>
              <w:top w:val="single" w:sz="4" w:space="0" w:color="D9D9D9" w:themeColor="background1" w:themeShade="D9"/>
              <w:bottom w:val="single" w:sz="4" w:space="0" w:color="D9D9D9" w:themeColor="background1" w:themeShade="D9"/>
            </w:tcBorders>
          </w:tcPr>
          <w:p w14:paraId="6DA9BBD2" w14:textId="1D21FDAB" w:rsidR="00B65EDC" w:rsidRPr="00E675E8" w:rsidRDefault="000C10D9">
            <w:pPr>
              <w:jc w:val="left"/>
              <w:rPr>
                <w:rFonts w:cs="Arial"/>
                <w:sz w:val="16"/>
                <w:szCs w:val="16"/>
                <w:lang w:val="es-ES_tradnl"/>
              </w:rPr>
            </w:pPr>
            <w:r w:rsidRPr="00E675E8">
              <w:rPr>
                <w:sz w:val="16"/>
                <w:lang w:val="es-ES_tradnl"/>
              </w:rPr>
              <w:t>Garantizar la sostenibilidad financiera</w:t>
            </w:r>
          </w:p>
        </w:tc>
        <w:tc>
          <w:tcPr>
            <w:tcW w:w="305" w:type="dxa"/>
            <w:tcBorders>
              <w:top w:val="single" w:sz="4" w:space="0" w:color="D9D9D9" w:themeColor="background1" w:themeShade="D9"/>
              <w:bottom w:val="single" w:sz="4" w:space="0" w:color="D9D9D9" w:themeColor="background1" w:themeShade="D9"/>
            </w:tcBorders>
          </w:tcPr>
          <w:p w14:paraId="23974A7F" w14:textId="77777777" w:rsidR="00B65EDC" w:rsidRPr="00E675E8" w:rsidRDefault="00B65EDC">
            <w:pPr>
              <w:jc w:val="left"/>
              <w:rPr>
                <w:rFonts w:cs="Arial"/>
                <w:sz w:val="16"/>
                <w:szCs w:val="16"/>
                <w:lang w:val="es-ES_tradnl"/>
              </w:rPr>
            </w:pPr>
            <w:r w:rsidRPr="00E675E8">
              <w:rPr>
                <w:sz w:val="16"/>
                <w:lang w:val="es-ES_tradnl"/>
              </w:rPr>
              <w:t>16</w:t>
            </w:r>
          </w:p>
        </w:tc>
        <w:tc>
          <w:tcPr>
            <w:tcW w:w="2457" w:type="dxa"/>
            <w:tcBorders>
              <w:top w:val="single" w:sz="4" w:space="0" w:color="D9D9D9" w:themeColor="background1" w:themeShade="D9"/>
              <w:bottom w:val="single" w:sz="4" w:space="0" w:color="D9D9D9" w:themeColor="background1" w:themeShade="D9"/>
            </w:tcBorders>
          </w:tcPr>
          <w:p w14:paraId="7E11B07E" w14:textId="77777777" w:rsidR="00B65EDC" w:rsidRPr="00E675E8" w:rsidRDefault="00B65EDC">
            <w:pPr>
              <w:jc w:val="left"/>
              <w:rPr>
                <w:rFonts w:cs="Arial"/>
                <w:sz w:val="16"/>
                <w:szCs w:val="16"/>
                <w:lang w:val="es-ES_tradnl"/>
              </w:rPr>
            </w:pPr>
            <w:r w:rsidRPr="00E675E8">
              <w:rPr>
                <w:sz w:val="16"/>
                <w:lang w:val="es-ES_tradnl"/>
              </w:rPr>
              <w:t>Ingresos procedentes de fuentes distintas de las contribuciones de los miembros de la UPOV</w:t>
            </w:r>
          </w:p>
        </w:tc>
        <w:tc>
          <w:tcPr>
            <w:tcW w:w="1632" w:type="dxa"/>
            <w:tcBorders>
              <w:top w:val="single" w:sz="4" w:space="0" w:color="D9D9D9" w:themeColor="background1" w:themeShade="D9"/>
              <w:bottom w:val="single" w:sz="4" w:space="0" w:color="D9D9D9" w:themeColor="background1" w:themeShade="D9"/>
            </w:tcBorders>
            <w:vAlign w:val="center"/>
          </w:tcPr>
          <w:p w14:paraId="07ACC11F" w14:textId="77777777" w:rsidR="00B65EDC" w:rsidRPr="00E675E8" w:rsidRDefault="00B65EDC">
            <w:pPr>
              <w:jc w:val="center"/>
              <w:rPr>
                <w:rFonts w:cs="Arial"/>
                <w:sz w:val="16"/>
                <w:szCs w:val="16"/>
                <w:lang w:val="es-ES_tradnl"/>
              </w:rPr>
            </w:pPr>
            <w:r w:rsidRPr="00E675E8">
              <w:rPr>
                <w:sz w:val="16"/>
                <w:lang w:val="es-ES_tradnl"/>
              </w:rPr>
              <w:t>5,9 % (2024)</w:t>
            </w:r>
          </w:p>
        </w:tc>
        <w:tc>
          <w:tcPr>
            <w:tcW w:w="1559" w:type="dxa"/>
            <w:tcBorders>
              <w:top w:val="single" w:sz="4" w:space="0" w:color="D9D9D9" w:themeColor="background1" w:themeShade="D9"/>
              <w:bottom w:val="single" w:sz="4" w:space="0" w:color="D9D9D9" w:themeColor="background1" w:themeShade="D9"/>
            </w:tcBorders>
            <w:vAlign w:val="center"/>
          </w:tcPr>
          <w:p w14:paraId="097972BE" w14:textId="11E3E268" w:rsidR="00B65EDC" w:rsidRPr="00E675E8" w:rsidRDefault="00B65EDC">
            <w:pPr>
              <w:jc w:val="center"/>
              <w:rPr>
                <w:rFonts w:cs="Arial"/>
                <w:sz w:val="16"/>
                <w:szCs w:val="16"/>
                <w:lang w:val="es-ES_tradnl"/>
              </w:rPr>
            </w:pPr>
            <w:r w:rsidRPr="00E675E8">
              <w:rPr>
                <w:sz w:val="16"/>
                <w:lang w:val="es-ES_tradnl"/>
              </w:rPr>
              <w:t>6,3 % (bienio)</w:t>
            </w:r>
          </w:p>
        </w:tc>
      </w:tr>
      <w:tr w:rsidR="00B65EDC" w:rsidRPr="00E675E8" w14:paraId="3E833428" w14:textId="77777777" w:rsidTr="00A538F6">
        <w:tc>
          <w:tcPr>
            <w:tcW w:w="426" w:type="dxa"/>
            <w:tcBorders>
              <w:top w:val="single" w:sz="4" w:space="0" w:color="D9D9D9" w:themeColor="background1" w:themeShade="D9"/>
              <w:bottom w:val="single" w:sz="4" w:space="0" w:color="D9D9D9" w:themeColor="background1" w:themeShade="D9"/>
            </w:tcBorders>
          </w:tcPr>
          <w:p w14:paraId="4020FBA4" w14:textId="77777777" w:rsidR="00B65EDC" w:rsidRPr="00E675E8" w:rsidRDefault="00B65EDC">
            <w:pPr>
              <w:jc w:val="left"/>
              <w:rPr>
                <w:rFonts w:cs="Arial"/>
                <w:sz w:val="16"/>
                <w:szCs w:val="16"/>
                <w:lang w:val="es-ES_tradnl"/>
              </w:rPr>
            </w:pPr>
            <w:r w:rsidRPr="00E675E8">
              <w:rPr>
                <w:sz w:val="16"/>
                <w:lang w:val="es-ES_tradnl"/>
              </w:rPr>
              <w:t>4.2</w:t>
            </w:r>
          </w:p>
        </w:tc>
        <w:tc>
          <w:tcPr>
            <w:tcW w:w="3255" w:type="dxa"/>
            <w:tcBorders>
              <w:top w:val="single" w:sz="4" w:space="0" w:color="D9D9D9" w:themeColor="background1" w:themeShade="D9"/>
              <w:bottom w:val="single" w:sz="4" w:space="0" w:color="D9D9D9" w:themeColor="background1" w:themeShade="D9"/>
            </w:tcBorders>
          </w:tcPr>
          <w:p w14:paraId="4C62A82E" w14:textId="77777777" w:rsidR="00B65EDC" w:rsidRPr="00E675E8" w:rsidRDefault="00B65EDC">
            <w:pPr>
              <w:jc w:val="left"/>
              <w:rPr>
                <w:rFonts w:cs="Arial"/>
                <w:sz w:val="16"/>
                <w:szCs w:val="16"/>
                <w:lang w:val="es-ES_tradnl"/>
              </w:rPr>
            </w:pPr>
            <w:r w:rsidRPr="00E675E8">
              <w:rPr>
                <w:sz w:val="16"/>
                <w:lang w:val="es-ES_tradnl"/>
              </w:rPr>
              <w:t>Una Secretaría empoderada y dotada de la formación y los recursos necesarios para trabajar de forma eficaz, colaborativa e innovadora</w:t>
            </w:r>
          </w:p>
        </w:tc>
        <w:tc>
          <w:tcPr>
            <w:tcW w:w="305" w:type="dxa"/>
            <w:tcBorders>
              <w:top w:val="single" w:sz="4" w:space="0" w:color="D9D9D9" w:themeColor="background1" w:themeShade="D9"/>
              <w:bottom w:val="single" w:sz="4" w:space="0" w:color="D9D9D9" w:themeColor="background1" w:themeShade="D9"/>
            </w:tcBorders>
            <w:vAlign w:val="center"/>
          </w:tcPr>
          <w:p w14:paraId="7FDAD23C" w14:textId="77777777" w:rsidR="00B65EDC" w:rsidRPr="00E675E8" w:rsidRDefault="00B65EDC">
            <w:pPr>
              <w:jc w:val="left"/>
              <w:rPr>
                <w:rFonts w:cs="Arial"/>
                <w:sz w:val="16"/>
                <w:szCs w:val="16"/>
                <w:lang w:val="es-ES_tradnl"/>
              </w:rPr>
            </w:pPr>
            <w:r w:rsidRPr="00E675E8">
              <w:rPr>
                <w:sz w:val="16"/>
                <w:lang w:val="es-ES_tradnl"/>
              </w:rPr>
              <w:t>17</w:t>
            </w:r>
          </w:p>
        </w:tc>
        <w:tc>
          <w:tcPr>
            <w:tcW w:w="2457" w:type="dxa"/>
            <w:tcBorders>
              <w:top w:val="single" w:sz="4" w:space="0" w:color="D9D9D9" w:themeColor="background1" w:themeShade="D9"/>
              <w:bottom w:val="single" w:sz="4" w:space="0" w:color="D9D9D9" w:themeColor="background1" w:themeShade="D9"/>
            </w:tcBorders>
            <w:vAlign w:val="center"/>
          </w:tcPr>
          <w:p w14:paraId="08C04CB9" w14:textId="77777777" w:rsidR="00B65EDC" w:rsidRPr="00E675E8" w:rsidRDefault="00B65EDC">
            <w:pPr>
              <w:jc w:val="left"/>
              <w:rPr>
                <w:rFonts w:cs="Arial"/>
                <w:sz w:val="16"/>
                <w:szCs w:val="16"/>
                <w:lang w:val="es-ES_tradnl"/>
              </w:rPr>
            </w:pPr>
            <w:r w:rsidRPr="00E675E8">
              <w:rPr>
                <w:sz w:val="16"/>
                <w:lang w:val="es-ES_tradnl"/>
              </w:rPr>
              <w:t>Grado de satisfacción del personal</w:t>
            </w:r>
          </w:p>
        </w:tc>
        <w:tc>
          <w:tcPr>
            <w:tcW w:w="1632" w:type="dxa"/>
            <w:tcBorders>
              <w:top w:val="single" w:sz="4" w:space="0" w:color="D9D9D9" w:themeColor="background1" w:themeShade="D9"/>
              <w:bottom w:val="single" w:sz="4" w:space="0" w:color="D9D9D9" w:themeColor="background1" w:themeShade="D9"/>
            </w:tcBorders>
            <w:vAlign w:val="center"/>
          </w:tcPr>
          <w:p w14:paraId="544C11AC" w14:textId="77777777" w:rsidR="00B65EDC" w:rsidRPr="00E675E8" w:rsidRDefault="00B65EDC">
            <w:pPr>
              <w:jc w:val="center"/>
              <w:rPr>
                <w:rFonts w:cs="Arial"/>
                <w:sz w:val="16"/>
                <w:szCs w:val="16"/>
                <w:lang w:val="es-ES_tradnl"/>
              </w:rPr>
            </w:pPr>
            <w:r w:rsidRPr="00E675E8">
              <w:rPr>
                <w:sz w:val="16"/>
                <w:lang w:val="es-ES_tradnl"/>
              </w:rPr>
              <w:t>84 % (2024)</w:t>
            </w:r>
          </w:p>
        </w:tc>
        <w:tc>
          <w:tcPr>
            <w:tcW w:w="1559" w:type="dxa"/>
            <w:tcBorders>
              <w:top w:val="single" w:sz="4" w:space="0" w:color="D9D9D9" w:themeColor="background1" w:themeShade="D9"/>
              <w:bottom w:val="single" w:sz="4" w:space="0" w:color="D9D9D9" w:themeColor="background1" w:themeShade="D9"/>
            </w:tcBorders>
            <w:vAlign w:val="center"/>
          </w:tcPr>
          <w:p w14:paraId="054EE3BB" w14:textId="008D59D3" w:rsidR="00B65EDC" w:rsidRPr="00E675E8" w:rsidRDefault="001D2573">
            <w:pPr>
              <w:jc w:val="center"/>
              <w:rPr>
                <w:rFonts w:cs="Arial"/>
                <w:sz w:val="16"/>
                <w:szCs w:val="16"/>
                <w:lang w:val="es-ES_tradnl"/>
              </w:rPr>
            </w:pPr>
            <w:r w:rsidRPr="00E675E8">
              <w:rPr>
                <w:sz w:val="16"/>
                <w:lang w:val="es-ES_tradnl"/>
              </w:rPr>
              <w:t>≥ 85% satisfechos o muy satisfechos</w:t>
            </w:r>
          </w:p>
        </w:tc>
      </w:tr>
    </w:tbl>
    <w:p w14:paraId="4A74B75A" w14:textId="77777777" w:rsidR="00B65EDC" w:rsidRPr="00E675E8" w:rsidRDefault="00B65EDC" w:rsidP="00B65EDC">
      <w:pPr>
        <w:rPr>
          <w:lang w:val="es-ES_tradnl"/>
        </w:rPr>
      </w:pPr>
    </w:p>
    <w:p w14:paraId="7AAAC2D8" w14:textId="77777777" w:rsidR="00B65EDC" w:rsidRPr="00E675E8" w:rsidRDefault="00B65EDC" w:rsidP="00B65EDC">
      <w:pPr>
        <w:rPr>
          <w:lang w:val="es-ES_tradnl"/>
        </w:rPr>
      </w:pPr>
    </w:p>
    <w:p w14:paraId="1CEBB0C0" w14:textId="77777777" w:rsidR="00383CE0" w:rsidRDefault="00383CE0">
      <w:pPr>
        <w:jc w:val="left"/>
        <w:rPr>
          <w:b/>
          <w:color w:val="26724C" w:themeColor="accent1" w:themeShade="BF"/>
          <w:lang w:val="es-ES_tradnl"/>
        </w:rPr>
      </w:pPr>
      <w:bookmarkStart w:id="512" w:name="_Hlk190118185"/>
      <w:r>
        <w:rPr>
          <w:b/>
          <w:color w:val="26724C" w:themeColor="accent1" w:themeShade="BF"/>
          <w:lang w:val="es-ES_tradnl"/>
        </w:rPr>
        <w:br w:type="page"/>
      </w:r>
    </w:p>
    <w:p w14:paraId="0401DFCB" w14:textId="52E100E2" w:rsidR="00B65EDC" w:rsidRPr="00E675E8" w:rsidRDefault="00B65EDC" w:rsidP="00B65EDC">
      <w:pPr>
        <w:jc w:val="center"/>
        <w:rPr>
          <w:rFonts w:cs="Arial"/>
          <w:b/>
          <w:bCs/>
          <w:color w:val="26724C" w:themeColor="accent1" w:themeShade="BF"/>
          <w:lang w:val="es-ES_tradnl"/>
        </w:rPr>
      </w:pPr>
      <w:r w:rsidRPr="00E675E8">
        <w:rPr>
          <w:b/>
          <w:color w:val="26724C" w:themeColor="accent1" w:themeShade="BF"/>
          <w:lang w:val="es-ES_tradnl"/>
        </w:rPr>
        <w:lastRenderedPageBreak/>
        <w:t>Cuadro 6:</w:t>
      </w:r>
      <w:r w:rsidR="002817AB" w:rsidRPr="00E675E8">
        <w:rPr>
          <w:b/>
          <w:color w:val="26724C" w:themeColor="accent1" w:themeShade="BF"/>
          <w:lang w:val="es-ES_tradnl"/>
        </w:rPr>
        <w:t xml:space="preserve"> </w:t>
      </w:r>
      <w:r w:rsidRPr="00E675E8">
        <w:rPr>
          <w:b/>
          <w:color w:val="26724C" w:themeColor="accent1" w:themeShade="BF"/>
          <w:lang w:val="es-ES_tradnl"/>
        </w:rPr>
        <w:t>Presupuesto para el bienio 2026</w:t>
      </w:r>
      <w:r w:rsidRPr="00E675E8">
        <w:rPr>
          <w:b/>
          <w:color w:val="26724C" w:themeColor="accent1" w:themeShade="BF"/>
          <w:lang w:val="es-ES_tradnl"/>
        </w:rPr>
        <w:noBreakHyphen/>
        <w:t>2027 por resultado previsto</w:t>
      </w:r>
    </w:p>
    <w:bookmarkEnd w:id="512"/>
    <w:p w14:paraId="56F32405" w14:textId="77777777" w:rsidR="00B65EDC" w:rsidRPr="00E675E8" w:rsidRDefault="00B65EDC" w:rsidP="00B65EDC">
      <w:pPr>
        <w:keepNext/>
        <w:jc w:val="center"/>
        <w:rPr>
          <w:rFonts w:cs="Arial"/>
          <w:i/>
          <w:iCs/>
          <w:sz w:val="18"/>
          <w:szCs w:val="18"/>
          <w:lang w:val="es-ES_tradnl"/>
        </w:rPr>
      </w:pPr>
      <w:r w:rsidRPr="00E675E8">
        <w:rPr>
          <w:i/>
          <w:sz w:val="18"/>
          <w:lang w:val="es-ES_tradnl"/>
        </w:rPr>
        <w:t>(en miles de francos suizos)</w:t>
      </w:r>
    </w:p>
    <w:p w14:paraId="48B9B346" w14:textId="77777777" w:rsidR="00B65EDC" w:rsidRPr="00E675E8" w:rsidRDefault="00B65EDC" w:rsidP="00B65EDC">
      <w:pPr>
        <w:jc w:val="center"/>
        <w:rPr>
          <w:lang w:val="es-ES_tradnl"/>
        </w:rPr>
      </w:pPr>
    </w:p>
    <w:tbl>
      <w:tblPr>
        <w:tblW w:w="8212" w:type="dxa"/>
        <w:jc w:val="center"/>
        <w:tblCellMar>
          <w:top w:w="28" w:type="dxa"/>
          <w:bottom w:w="28" w:type="dxa"/>
        </w:tblCellMar>
        <w:tblLook w:val="04A0" w:firstRow="1" w:lastRow="0" w:firstColumn="1" w:lastColumn="0" w:noHBand="0" w:noVBand="1"/>
      </w:tblPr>
      <w:tblGrid>
        <w:gridCol w:w="1134"/>
        <w:gridCol w:w="5483"/>
        <w:gridCol w:w="1595"/>
      </w:tblGrid>
      <w:tr w:rsidR="00B65EDC" w:rsidRPr="00E675E8" w14:paraId="4A4C5F17" w14:textId="77777777">
        <w:trPr>
          <w:trHeight w:val="270"/>
          <w:jc w:val="center"/>
        </w:trPr>
        <w:tc>
          <w:tcPr>
            <w:tcW w:w="6617" w:type="dxa"/>
            <w:gridSpan w:val="2"/>
            <w:vMerge w:val="restart"/>
            <w:tcBorders>
              <w:top w:val="nil"/>
              <w:left w:val="nil"/>
              <w:bottom w:val="nil"/>
              <w:right w:val="nil"/>
            </w:tcBorders>
            <w:shd w:val="clear" w:color="000000" w:fill="C7CFD8"/>
            <w:vAlign w:val="center"/>
          </w:tcPr>
          <w:p w14:paraId="171F6E02" w14:textId="77777777" w:rsidR="00B65EDC" w:rsidRPr="00E675E8" w:rsidRDefault="00B65EDC">
            <w:pPr>
              <w:jc w:val="center"/>
              <w:rPr>
                <w:rFonts w:cs="Arial"/>
                <w:b/>
                <w:bCs/>
                <w:sz w:val="16"/>
                <w:szCs w:val="16"/>
                <w:lang w:val="es-ES_tradnl"/>
              </w:rPr>
            </w:pPr>
          </w:p>
        </w:tc>
        <w:tc>
          <w:tcPr>
            <w:tcW w:w="1595" w:type="dxa"/>
            <w:vMerge w:val="restart"/>
            <w:tcBorders>
              <w:top w:val="nil"/>
              <w:left w:val="nil"/>
              <w:bottom w:val="nil"/>
              <w:right w:val="nil"/>
            </w:tcBorders>
            <w:shd w:val="clear" w:color="000000" w:fill="C7CFD8"/>
            <w:vAlign w:val="center"/>
            <w:hideMark/>
          </w:tcPr>
          <w:p w14:paraId="2BCBF395" w14:textId="279EFBAD" w:rsidR="00B65EDC" w:rsidRPr="00E675E8" w:rsidRDefault="00521C0D">
            <w:pPr>
              <w:jc w:val="center"/>
              <w:rPr>
                <w:rFonts w:cs="Arial"/>
                <w:b/>
                <w:bCs/>
                <w:sz w:val="16"/>
                <w:szCs w:val="16"/>
                <w:lang w:val="es-ES_tradnl"/>
              </w:rPr>
            </w:pPr>
            <w:r w:rsidRPr="00E675E8">
              <w:rPr>
                <w:b/>
                <w:sz w:val="16"/>
                <w:lang w:val="es-ES_tradnl"/>
              </w:rPr>
              <w:t xml:space="preserve">Propuesta para 2026-2027 </w:t>
            </w:r>
          </w:p>
        </w:tc>
      </w:tr>
      <w:tr w:rsidR="00B65EDC" w:rsidRPr="00E675E8" w14:paraId="4A69C950" w14:textId="77777777">
        <w:trPr>
          <w:trHeight w:val="240"/>
          <w:jc w:val="center"/>
        </w:trPr>
        <w:tc>
          <w:tcPr>
            <w:tcW w:w="6617" w:type="dxa"/>
            <w:gridSpan w:val="2"/>
            <w:vMerge/>
            <w:tcBorders>
              <w:top w:val="nil"/>
              <w:left w:val="nil"/>
              <w:bottom w:val="nil"/>
              <w:right w:val="nil"/>
            </w:tcBorders>
            <w:vAlign w:val="center"/>
            <w:hideMark/>
          </w:tcPr>
          <w:p w14:paraId="6EE8C587" w14:textId="77777777" w:rsidR="00B65EDC" w:rsidRPr="00E675E8" w:rsidRDefault="00B65EDC">
            <w:pPr>
              <w:jc w:val="left"/>
              <w:rPr>
                <w:rFonts w:cs="Arial"/>
                <w:b/>
                <w:bCs/>
                <w:sz w:val="16"/>
                <w:szCs w:val="16"/>
                <w:lang w:val="es-ES_tradnl"/>
              </w:rPr>
            </w:pPr>
          </w:p>
        </w:tc>
        <w:tc>
          <w:tcPr>
            <w:tcW w:w="1595" w:type="dxa"/>
            <w:vMerge/>
            <w:tcBorders>
              <w:top w:val="nil"/>
              <w:left w:val="nil"/>
              <w:bottom w:val="nil"/>
              <w:right w:val="nil"/>
            </w:tcBorders>
            <w:vAlign w:val="center"/>
            <w:hideMark/>
          </w:tcPr>
          <w:p w14:paraId="72EEB384" w14:textId="77777777" w:rsidR="00B65EDC" w:rsidRPr="00E675E8" w:rsidRDefault="00B65EDC">
            <w:pPr>
              <w:jc w:val="left"/>
              <w:rPr>
                <w:rFonts w:cs="Arial"/>
                <w:b/>
                <w:bCs/>
                <w:sz w:val="16"/>
                <w:szCs w:val="16"/>
                <w:lang w:val="es-ES_tradnl"/>
              </w:rPr>
            </w:pPr>
          </w:p>
        </w:tc>
      </w:tr>
      <w:tr w:rsidR="00B65EDC" w:rsidRPr="00E675E8" w14:paraId="7F138174" w14:textId="77777777" w:rsidTr="00A538F6">
        <w:trPr>
          <w:trHeight w:val="61"/>
          <w:jc w:val="center"/>
        </w:trPr>
        <w:tc>
          <w:tcPr>
            <w:tcW w:w="6617" w:type="dxa"/>
            <w:gridSpan w:val="2"/>
            <w:tcBorders>
              <w:top w:val="nil"/>
              <w:left w:val="nil"/>
              <w:bottom w:val="nil"/>
              <w:right w:val="nil"/>
            </w:tcBorders>
            <w:vAlign w:val="bottom"/>
            <w:hideMark/>
          </w:tcPr>
          <w:p w14:paraId="575CCD5D" w14:textId="77777777" w:rsidR="00B65EDC" w:rsidRPr="00E675E8" w:rsidRDefault="00B65EDC">
            <w:pPr>
              <w:jc w:val="center"/>
              <w:rPr>
                <w:rFonts w:cs="Arial"/>
                <w:b/>
                <w:bCs/>
                <w:sz w:val="8"/>
                <w:szCs w:val="16"/>
                <w:lang w:val="es-ES_tradnl"/>
              </w:rPr>
            </w:pPr>
          </w:p>
        </w:tc>
        <w:tc>
          <w:tcPr>
            <w:tcW w:w="1595" w:type="dxa"/>
            <w:tcBorders>
              <w:top w:val="nil"/>
              <w:left w:val="nil"/>
              <w:bottom w:val="nil"/>
              <w:right w:val="nil"/>
            </w:tcBorders>
            <w:vAlign w:val="bottom"/>
            <w:hideMark/>
          </w:tcPr>
          <w:p w14:paraId="1E3F57AE" w14:textId="77777777" w:rsidR="00B65EDC" w:rsidRPr="00E675E8" w:rsidRDefault="00B65EDC">
            <w:pPr>
              <w:jc w:val="left"/>
              <w:rPr>
                <w:rFonts w:cs="Arial"/>
                <w:sz w:val="16"/>
                <w:szCs w:val="16"/>
                <w:lang w:val="es-ES_tradnl"/>
              </w:rPr>
            </w:pPr>
          </w:p>
        </w:tc>
      </w:tr>
      <w:tr w:rsidR="00B65EDC" w:rsidRPr="00E675E8" w14:paraId="106667A0" w14:textId="77777777" w:rsidTr="00A538F6">
        <w:trPr>
          <w:jc w:val="center"/>
        </w:trPr>
        <w:tc>
          <w:tcPr>
            <w:tcW w:w="1134" w:type="dxa"/>
            <w:tcBorders>
              <w:top w:val="nil"/>
              <w:left w:val="nil"/>
              <w:bottom w:val="nil"/>
              <w:right w:val="nil"/>
            </w:tcBorders>
            <w:hideMark/>
          </w:tcPr>
          <w:p w14:paraId="2A5A37C7" w14:textId="77777777" w:rsidR="00B65EDC" w:rsidRPr="00E675E8" w:rsidRDefault="00B65EDC">
            <w:pPr>
              <w:jc w:val="center"/>
              <w:rPr>
                <w:rFonts w:cs="Arial"/>
                <w:sz w:val="16"/>
                <w:szCs w:val="16"/>
                <w:lang w:val="es-ES_tradnl"/>
              </w:rPr>
            </w:pPr>
            <w:r w:rsidRPr="00E675E8">
              <w:rPr>
                <w:sz w:val="16"/>
                <w:lang w:val="es-ES_tradnl"/>
              </w:rPr>
              <w:t>1.1</w:t>
            </w:r>
          </w:p>
        </w:tc>
        <w:tc>
          <w:tcPr>
            <w:tcW w:w="5483" w:type="dxa"/>
            <w:tcBorders>
              <w:top w:val="nil"/>
              <w:left w:val="nil"/>
              <w:bottom w:val="nil"/>
              <w:right w:val="nil"/>
            </w:tcBorders>
            <w:hideMark/>
          </w:tcPr>
          <w:p w14:paraId="621A91DA" w14:textId="77777777" w:rsidR="00B65EDC" w:rsidRPr="00E675E8" w:rsidRDefault="00B65EDC">
            <w:pPr>
              <w:jc w:val="left"/>
              <w:rPr>
                <w:rFonts w:cs="Arial"/>
                <w:sz w:val="16"/>
                <w:szCs w:val="16"/>
                <w:lang w:val="es-ES_tradnl"/>
              </w:rPr>
            </w:pPr>
            <w:r w:rsidRPr="00E675E8">
              <w:rPr>
                <w:sz w:val="16"/>
                <w:lang w:val="es-ES_tradnl"/>
              </w:rPr>
              <w:t>Gobernanza del Consejo de la UPOV y labor de los comités y otros órganos de la UPOV</w:t>
            </w:r>
          </w:p>
        </w:tc>
        <w:tc>
          <w:tcPr>
            <w:tcW w:w="1595" w:type="dxa"/>
            <w:tcBorders>
              <w:top w:val="nil"/>
              <w:left w:val="nil"/>
              <w:bottom w:val="nil"/>
              <w:right w:val="nil"/>
            </w:tcBorders>
            <w:hideMark/>
          </w:tcPr>
          <w:p w14:paraId="305A39C1" w14:textId="77777777" w:rsidR="00B65EDC" w:rsidRPr="00E675E8" w:rsidRDefault="00B65EDC">
            <w:pPr>
              <w:ind w:right="302"/>
              <w:jc w:val="right"/>
              <w:rPr>
                <w:rFonts w:cs="Arial"/>
                <w:sz w:val="16"/>
                <w:szCs w:val="16"/>
                <w:lang w:val="es-ES_tradnl"/>
              </w:rPr>
            </w:pPr>
            <w:r w:rsidRPr="00E675E8">
              <w:rPr>
                <w:sz w:val="16"/>
                <w:lang w:val="es-ES_tradnl"/>
              </w:rPr>
              <w:t>722</w:t>
            </w:r>
          </w:p>
        </w:tc>
      </w:tr>
      <w:tr w:rsidR="00B65EDC" w:rsidRPr="00E675E8" w14:paraId="49DDCEB3" w14:textId="77777777" w:rsidTr="00A538F6">
        <w:trPr>
          <w:jc w:val="center"/>
        </w:trPr>
        <w:tc>
          <w:tcPr>
            <w:tcW w:w="1134" w:type="dxa"/>
            <w:tcBorders>
              <w:top w:val="nil"/>
              <w:left w:val="nil"/>
              <w:bottom w:val="nil"/>
              <w:right w:val="nil"/>
            </w:tcBorders>
            <w:hideMark/>
          </w:tcPr>
          <w:p w14:paraId="43A215AE" w14:textId="77777777" w:rsidR="00B65EDC" w:rsidRPr="00E675E8" w:rsidRDefault="00B65EDC">
            <w:pPr>
              <w:jc w:val="center"/>
              <w:rPr>
                <w:rFonts w:cs="Arial"/>
                <w:sz w:val="16"/>
                <w:szCs w:val="16"/>
                <w:lang w:val="es-ES_tradnl"/>
              </w:rPr>
            </w:pPr>
            <w:r w:rsidRPr="00E675E8">
              <w:rPr>
                <w:sz w:val="16"/>
                <w:lang w:val="es-ES_tradnl"/>
              </w:rPr>
              <w:t>1.2</w:t>
            </w:r>
          </w:p>
        </w:tc>
        <w:tc>
          <w:tcPr>
            <w:tcW w:w="5483" w:type="dxa"/>
            <w:tcBorders>
              <w:top w:val="nil"/>
              <w:left w:val="nil"/>
              <w:bottom w:val="nil"/>
              <w:right w:val="nil"/>
            </w:tcBorders>
            <w:hideMark/>
          </w:tcPr>
          <w:p w14:paraId="3C2682A9" w14:textId="77777777" w:rsidR="00B65EDC" w:rsidRPr="00E675E8" w:rsidRDefault="00B65EDC">
            <w:pPr>
              <w:jc w:val="left"/>
              <w:rPr>
                <w:rFonts w:cs="Arial"/>
                <w:sz w:val="16"/>
                <w:szCs w:val="16"/>
                <w:lang w:val="es-ES_tradnl"/>
              </w:rPr>
            </w:pPr>
            <w:r w:rsidRPr="00E675E8">
              <w:rPr>
                <w:sz w:val="16"/>
                <w:lang w:val="es-ES_tradnl"/>
              </w:rPr>
              <w:t>Elaboración de legislación sobre la protección de las obtenciones vegetales de conformidad con el Acta de 1991 del Convenio de la UPOV</w:t>
            </w:r>
          </w:p>
        </w:tc>
        <w:tc>
          <w:tcPr>
            <w:tcW w:w="1595" w:type="dxa"/>
            <w:tcBorders>
              <w:top w:val="nil"/>
              <w:left w:val="nil"/>
              <w:bottom w:val="nil"/>
              <w:right w:val="nil"/>
            </w:tcBorders>
            <w:hideMark/>
          </w:tcPr>
          <w:p w14:paraId="2C6F6E0E" w14:textId="77777777" w:rsidR="00B65EDC" w:rsidRPr="00E675E8" w:rsidRDefault="00B65EDC">
            <w:pPr>
              <w:ind w:right="302"/>
              <w:jc w:val="right"/>
              <w:rPr>
                <w:rFonts w:cs="Arial"/>
                <w:sz w:val="16"/>
                <w:szCs w:val="16"/>
                <w:lang w:val="es-ES_tradnl"/>
              </w:rPr>
            </w:pPr>
            <w:r w:rsidRPr="00E675E8">
              <w:rPr>
                <w:sz w:val="16"/>
                <w:lang w:val="es-ES_tradnl"/>
              </w:rPr>
              <w:t>325</w:t>
            </w:r>
          </w:p>
        </w:tc>
      </w:tr>
      <w:tr w:rsidR="00B65EDC" w:rsidRPr="00E675E8" w14:paraId="73706009" w14:textId="77777777" w:rsidTr="00A538F6">
        <w:trPr>
          <w:jc w:val="center"/>
        </w:trPr>
        <w:tc>
          <w:tcPr>
            <w:tcW w:w="1134" w:type="dxa"/>
            <w:tcBorders>
              <w:top w:val="nil"/>
              <w:left w:val="nil"/>
              <w:bottom w:val="nil"/>
              <w:right w:val="nil"/>
            </w:tcBorders>
            <w:hideMark/>
          </w:tcPr>
          <w:p w14:paraId="5D4F8B08" w14:textId="77777777" w:rsidR="00B65EDC" w:rsidRPr="00E675E8" w:rsidRDefault="00B65EDC">
            <w:pPr>
              <w:jc w:val="center"/>
              <w:rPr>
                <w:rFonts w:cs="Arial"/>
                <w:sz w:val="16"/>
                <w:szCs w:val="16"/>
                <w:lang w:val="es-ES_tradnl"/>
              </w:rPr>
            </w:pPr>
            <w:r w:rsidRPr="00E675E8">
              <w:rPr>
                <w:sz w:val="16"/>
                <w:lang w:val="es-ES_tradnl"/>
              </w:rPr>
              <w:t>2.1</w:t>
            </w:r>
          </w:p>
        </w:tc>
        <w:tc>
          <w:tcPr>
            <w:tcW w:w="5483" w:type="dxa"/>
            <w:tcBorders>
              <w:top w:val="nil"/>
              <w:left w:val="nil"/>
              <w:bottom w:val="nil"/>
              <w:right w:val="nil"/>
            </w:tcBorders>
            <w:hideMark/>
          </w:tcPr>
          <w:p w14:paraId="4F95A239" w14:textId="77777777" w:rsidR="00B65EDC" w:rsidRPr="00E675E8" w:rsidRDefault="00B65EDC">
            <w:pPr>
              <w:jc w:val="left"/>
              <w:rPr>
                <w:rFonts w:cs="Arial"/>
                <w:sz w:val="16"/>
                <w:szCs w:val="16"/>
                <w:lang w:val="es-ES_tradnl"/>
              </w:rPr>
            </w:pPr>
            <w:r w:rsidRPr="00E675E8">
              <w:rPr>
                <w:sz w:val="16"/>
                <w:lang w:val="es-ES_tradnl"/>
              </w:rPr>
              <w:t>Sensibilización sobre la función que cumple el sistema de la UPOV</w:t>
            </w:r>
          </w:p>
        </w:tc>
        <w:tc>
          <w:tcPr>
            <w:tcW w:w="1595" w:type="dxa"/>
            <w:tcBorders>
              <w:top w:val="nil"/>
              <w:left w:val="nil"/>
              <w:bottom w:val="nil"/>
              <w:right w:val="nil"/>
            </w:tcBorders>
            <w:hideMark/>
          </w:tcPr>
          <w:p w14:paraId="3A7D4943" w14:textId="77777777" w:rsidR="00B65EDC" w:rsidRPr="00E675E8" w:rsidRDefault="00B65EDC">
            <w:pPr>
              <w:ind w:right="302"/>
              <w:jc w:val="right"/>
              <w:rPr>
                <w:rFonts w:cs="Arial"/>
                <w:sz w:val="16"/>
                <w:szCs w:val="16"/>
                <w:lang w:val="es-ES_tradnl"/>
              </w:rPr>
            </w:pPr>
            <w:r w:rsidRPr="00E675E8">
              <w:rPr>
                <w:sz w:val="16"/>
                <w:lang w:val="es-ES_tradnl"/>
              </w:rPr>
              <w:t>555</w:t>
            </w:r>
          </w:p>
        </w:tc>
      </w:tr>
      <w:tr w:rsidR="00B65EDC" w:rsidRPr="00E675E8" w14:paraId="7D850C3B" w14:textId="77777777" w:rsidTr="00A538F6">
        <w:trPr>
          <w:jc w:val="center"/>
        </w:trPr>
        <w:tc>
          <w:tcPr>
            <w:tcW w:w="1134" w:type="dxa"/>
            <w:tcBorders>
              <w:top w:val="nil"/>
              <w:left w:val="nil"/>
              <w:bottom w:val="nil"/>
              <w:right w:val="nil"/>
            </w:tcBorders>
            <w:hideMark/>
          </w:tcPr>
          <w:p w14:paraId="39212B29" w14:textId="77777777" w:rsidR="00B65EDC" w:rsidRPr="00E675E8" w:rsidRDefault="00B65EDC">
            <w:pPr>
              <w:jc w:val="center"/>
              <w:rPr>
                <w:rFonts w:cs="Arial"/>
                <w:sz w:val="16"/>
                <w:szCs w:val="16"/>
                <w:lang w:val="es-ES_tradnl"/>
              </w:rPr>
            </w:pPr>
            <w:r w:rsidRPr="00E675E8">
              <w:rPr>
                <w:sz w:val="16"/>
                <w:lang w:val="es-ES_tradnl"/>
              </w:rPr>
              <w:t>2.2</w:t>
            </w:r>
          </w:p>
        </w:tc>
        <w:tc>
          <w:tcPr>
            <w:tcW w:w="5483" w:type="dxa"/>
            <w:tcBorders>
              <w:top w:val="nil"/>
              <w:left w:val="nil"/>
              <w:bottom w:val="nil"/>
              <w:right w:val="nil"/>
            </w:tcBorders>
            <w:hideMark/>
          </w:tcPr>
          <w:p w14:paraId="4881A154" w14:textId="77777777" w:rsidR="00B65EDC" w:rsidRPr="00E675E8" w:rsidRDefault="00B65EDC">
            <w:pPr>
              <w:jc w:val="left"/>
              <w:rPr>
                <w:rFonts w:cs="Arial"/>
                <w:sz w:val="16"/>
                <w:szCs w:val="16"/>
                <w:lang w:val="es-ES_tradnl"/>
              </w:rPr>
            </w:pPr>
            <w:r w:rsidRPr="00E675E8">
              <w:rPr>
                <w:sz w:val="16"/>
                <w:lang w:val="es-ES_tradnl"/>
              </w:rPr>
              <w:t>Orientación y asistencia sobre el Convenio de la UPOV y su aplicación</w:t>
            </w:r>
          </w:p>
        </w:tc>
        <w:tc>
          <w:tcPr>
            <w:tcW w:w="1595" w:type="dxa"/>
            <w:tcBorders>
              <w:top w:val="nil"/>
              <w:left w:val="nil"/>
              <w:bottom w:val="nil"/>
              <w:right w:val="nil"/>
            </w:tcBorders>
            <w:hideMark/>
          </w:tcPr>
          <w:p w14:paraId="301700C3" w14:textId="77777777" w:rsidR="00B65EDC" w:rsidRPr="00E675E8" w:rsidRDefault="00B65EDC">
            <w:pPr>
              <w:ind w:right="302"/>
              <w:jc w:val="right"/>
              <w:rPr>
                <w:rFonts w:cs="Arial"/>
                <w:sz w:val="16"/>
                <w:szCs w:val="16"/>
                <w:lang w:val="es-ES_tradnl"/>
              </w:rPr>
            </w:pPr>
            <w:r w:rsidRPr="00E675E8">
              <w:rPr>
                <w:sz w:val="16"/>
                <w:lang w:val="es-ES_tradnl"/>
              </w:rPr>
              <w:t>1 910</w:t>
            </w:r>
          </w:p>
        </w:tc>
      </w:tr>
      <w:tr w:rsidR="00B65EDC" w:rsidRPr="00E675E8" w14:paraId="673716F6" w14:textId="77777777" w:rsidTr="00A538F6">
        <w:trPr>
          <w:jc w:val="center"/>
        </w:trPr>
        <w:tc>
          <w:tcPr>
            <w:tcW w:w="1134" w:type="dxa"/>
            <w:tcBorders>
              <w:top w:val="nil"/>
              <w:left w:val="nil"/>
              <w:bottom w:val="nil"/>
              <w:right w:val="nil"/>
            </w:tcBorders>
            <w:hideMark/>
          </w:tcPr>
          <w:p w14:paraId="74333A00" w14:textId="77777777" w:rsidR="00B65EDC" w:rsidRPr="00E675E8" w:rsidRDefault="00B65EDC">
            <w:pPr>
              <w:jc w:val="center"/>
              <w:rPr>
                <w:rFonts w:cs="Arial"/>
                <w:sz w:val="16"/>
                <w:szCs w:val="16"/>
                <w:lang w:val="es-ES_tradnl"/>
              </w:rPr>
            </w:pPr>
            <w:r w:rsidRPr="00E675E8">
              <w:rPr>
                <w:sz w:val="16"/>
                <w:lang w:val="es-ES_tradnl"/>
              </w:rPr>
              <w:t>2.3</w:t>
            </w:r>
          </w:p>
        </w:tc>
        <w:tc>
          <w:tcPr>
            <w:tcW w:w="5483" w:type="dxa"/>
            <w:tcBorders>
              <w:top w:val="nil"/>
              <w:left w:val="nil"/>
              <w:bottom w:val="nil"/>
              <w:right w:val="nil"/>
            </w:tcBorders>
            <w:hideMark/>
          </w:tcPr>
          <w:p w14:paraId="6C451AE4" w14:textId="77777777" w:rsidR="00B65EDC" w:rsidRPr="00E675E8" w:rsidRDefault="00B65EDC">
            <w:pPr>
              <w:jc w:val="left"/>
              <w:rPr>
                <w:rFonts w:cs="Arial"/>
                <w:sz w:val="16"/>
                <w:szCs w:val="16"/>
                <w:lang w:val="es-ES_tradnl"/>
              </w:rPr>
            </w:pPr>
            <w:r w:rsidRPr="00E675E8">
              <w:rPr>
                <w:sz w:val="16"/>
                <w:lang w:val="es-ES_tradnl"/>
              </w:rPr>
              <w:t>Mayor armonización y cooperación en los exámenes</w:t>
            </w:r>
          </w:p>
        </w:tc>
        <w:tc>
          <w:tcPr>
            <w:tcW w:w="1595" w:type="dxa"/>
            <w:tcBorders>
              <w:top w:val="nil"/>
              <w:left w:val="nil"/>
              <w:bottom w:val="nil"/>
              <w:right w:val="nil"/>
            </w:tcBorders>
            <w:hideMark/>
          </w:tcPr>
          <w:p w14:paraId="322597A3" w14:textId="77777777" w:rsidR="00B65EDC" w:rsidRPr="00E675E8" w:rsidRDefault="00B65EDC">
            <w:pPr>
              <w:ind w:right="302"/>
              <w:jc w:val="right"/>
              <w:rPr>
                <w:rFonts w:cs="Arial"/>
                <w:sz w:val="16"/>
                <w:szCs w:val="16"/>
                <w:lang w:val="es-ES_tradnl"/>
              </w:rPr>
            </w:pPr>
            <w:r w:rsidRPr="00E675E8">
              <w:rPr>
                <w:sz w:val="16"/>
                <w:lang w:val="es-ES_tradnl"/>
              </w:rPr>
              <w:t>1 209</w:t>
            </w:r>
          </w:p>
        </w:tc>
      </w:tr>
      <w:tr w:rsidR="00B65EDC" w:rsidRPr="00E675E8" w14:paraId="56CE3B84" w14:textId="77777777" w:rsidTr="00A538F6">
        <w:trPr>
          <w:jc w:val="center"/>
        </w:trPr>
        <w:tc>
          <w:tcPr>
            <w:tcW w:w="1134" w:type="dxa"/>
            <w:tcBorders>
              <w:top w:val="nil"/>
              <w:left w:val="nil"/>
              <w:bottom w:val="nil"/>
              <w:right w:val="nil"/>
            </w:tcBorders>
            <w:hideMark/>
          </w:tcPr>
          <w:p w14:paraId="4778D7E6" w14:textId="77777777" w:rsidR="00B65EDC" w:rsidRPr="00E675E8" w:rsidRDefault="00B65EDC">
            <w:pPr>
              <w:jc w:val="center"/>
              <w:rPr>
                <w:rFonts w:cs="Arial"/>
                <w:sz w:val="16"/>
                <w:szCs w:val="16"/>
                <w:lang w:val="es-ES_tradnl"/>
              </w:rPr>
            </w:pPr>
            <w:r w:rsidRPr="00E675E8">
              <w:rPr>
                <w:sz w:val="16"/>
                <w:lang w:val="es-ES_tradnl"/>
              </w:rPr>
              <w:t>3.1</w:t>
            </w:r>
          </w:p>
        </w:tc>
        <w:tc>
          <w:tcPr>
            <w:tcW w:w="5483" w:type="dxa"/>
            <w:tcBorders>
              <w:top w:val="nil"/>
              <w:left w:val="nil"/>
              <w:bottom w:val="nil"/>
              <w:right w:val="nil"/>
            </w:tcBorders>
            <w:hideMark/>
          </w:tcPr>
          <w:p w14:paraId="01FF680D" w14:textId="77777777" w:rsidR="00B65EDC" w:rsidRPr="00E675E8" w:rsidRDefault="00B65EDC">
            <w:pPr>
              <w:jc w:val="left"/>
              <w:rPr>
                <w:rFonts w:cs="Arial"/>
                <w:sz w:val="16"/>
                <w:szCs w:val="16"/>
                <w:lang w:val="es-ES_tradnl"/>
              </w:rPr>
            </w:pPr>
            <w:r w:rsidRPr="00E675E8">
              <w:rPr>
                <w:sz w:val="16"/>
                <w:lang w:val="es-ES_tradnl"/>
              </w:rPr>
              <w:t>Desarrollo de los servicios del sistema UPOV e-PVP</w:t>
            </w:r>
          </w:p>
        </w:tc>
        <w:tc>
          <w:tcPr>
            <w:tcW w:w="1595" w:type="dxa"/>
            <w:tcBorders>
              <w:top w:val="nil"/>
              <w:left w:val="nil"/>
              <w:bottom w:val="nil"/>
              <w:right w:val="nil"/>
            </w:tcBorders>
            <w:hideMark/>
          </w:tcPr>
          <w:p w14:paraId="3E4777DD" w14:textId="77777777" w:rsidR="00B65EDC" w:rsidRPr="00E675E8" w:rsidRDefault="00B65EDC">
            <w:pPr>
              <w:ind w:right="302"/>
              <w:jc w:val="right"/>
              <w:rPr>
                <w:rFonts w:cs="Arial"/>
                <w:sz w:val="16"/>
                <w:szCs w:val="16"/>
                <w:lang w:val="es-ES_tradnl"/>
              </w:rPr>
            </w:pPr>
            <w:r w:rsidRPr="00E675E8">
              <w:rPr>
                <w:sz w:val="16"/>
                <w:lang w:val="es-ES_tradnl"/>
              </w:rPr>
              <w:t>1 083</w:t>
            </w:r>
          </w:p>
        </w:tc>
      </w:tr>
      <w:tr w:rsidR="00B65EDC" w:rsidRPr="00E675E8" w14:paraId="44205366" w14:textId="77777777" w:rsidTr="00A538F6">
        <w:trPr>
          <w:jc w:val="center"/>
        </w:trPr>
        <w:tc>
          <w:tcPr>
            <w:tcW w:w="1134" w:type="dxa"/>
            <w:tcBorders>
              <w:top w:val="nil"/>
              <w:left w:val="nil"/>
              <w:bottom w:val="nil"/>
              <w:right w:val="nil"/>
            </w:tcBorders>
            <w:hideMark/>
          </w:tcPr>
          <w:p w14:paraId="40CE2CD1" w14:textId="77777777" w:rsidR="00B65EDC" w:rsidRPr="00E675E8" w:rsidRDefault="00B65EDC">
            <w:pPr>
              <w:jc w:val="center"/>
              <w:rPr>
                <w:rFonts w:cs="Arial"/>
                <w:sz w:val="16"/>
                <w:szCs w:val="16"/>
                <w:lang w:val="es-ES_tradnl"/>
              </w:rPr>
            </w:pPr>
            <w:r w:rsidRPr="00E675E8">
              <w:rPr>
                <w:sz w:val="16"/>
                <w:lang w:val="es-ES_tradnl"/>
              </w:rPr>
              <w:t>4.1</w:t>
            </w:r>
          </w:p>
        </w:tc>
        <w:tc>
          <w:tcPr>
            <w:tcW w:w="5483" w:type="dxa"/>
            <w:tcBorders>
              <w:top w:val="nil"/>
              <w:left w:val="nil"/>
              <w:bottom w:val="nil"/>
              <w:right w:val="nil"/>
            </w:tcBorders>
            <w:hideMark/>
          </w:tcPr>
          <w:p w14:paraId="409A1D0D" w14:textId="5520C479" w:rsidR="00B65EDC" w:rsidRPr="00E675E8" w:rsidRDefault="000C10D9">
            <w:pPr>
              <w:jc w:val="left"/>
              <w:rPr>
                <w:rFonts w:cs="Arial"/>
                <w:sz w:val="16"/>
                <w:szCs w:val="16"/>
                <w:lang w:val="es-ES_tradnl"/>
              </w:rPr>
            </w:pPr>
            <w:r w:rsidRPr="00E675E8">
              <w:rPr>
                <w:sz w:val="16"/>
                <w:lang w:val="es-ES_tradnl"/>
              </w:rPr>
              <w:t>Garantizar la sostenibilidad financiera</w:t>
            </w:r>
          </w:p>
        </w:tc>
        <w:tc>
          <w:tcPr>
            <w:tcW w:w="1595" w:type="dxa"/>
            <w:tcBorders>
              <w:top w:val="nil"/>
              <w:left w:val="nil"/>
              <w:bottom w:val="nil"/>
              <w:right w:val="nil"/>
            </w:tcBorders>
            <w:hideMark/>
          </w:tcPr>
          <w:p w14:paraId="73594E5E" w14:textId="77777777" w:rsidR="00B65EDC" w:rsidRPr="00E675E8" w:rsidRDefault="00B65EDC">
            <w:pPr>
              <w:ind w:right="302"/>
              <w:jc w:val="right"/>
              <w:rPr>
                <w:rFonts w:cs="Arial"/>
                <w:sz w:val="16"/>
                <w:szCs w:val="16"/>
                <w:lang w:val="es-ES_tradnl"/>
              </w:rPr>
            </w:pPr>
            <w:r w:rsidRPr="00E675E8">
              <w:rPr>
                <w:sz w:val="16"/>
                <w:lang w:val="es-ES_tradnl"/>
              </w:rPr>
              <w:t>422</w:t>
            </w:r>
          </w:p>
        </w:tc>
      </w:tr>
      <w:tr w:rsidR="00B65EDC" w:rsidRPr="00E675E8" w14:paraId="5A0574C7" w14:textId="77777777" w:rsidTr="00A538F6">
        <w:trPr>
          <w:jc w:val="center"/>
        </w:trPr>
        <w:tc>
          <w:tcPr>
            <w:tcW w:w="1134" w:type="dxa"/>
            <w:tcBorders>
              <w:top w:val="nil"/>
              <w:left w:val="nil"/>
              <w:bottom w:val="nil"/>
              <w:right w:val="nil"/>
            </w:tcBorders>
            <w:hideMark/>
          </w:tcPr>
          <w:p w14:paraId="272C5596" w14:textId="77777777" w:rsidR="00B65EDC" w:rsidRPr="00E675E8" w:rsidRDefault="00B65EDC">
            <w:pPr>
              <w:jc w:val="center"/>
              <w:rPr>
                <w:rFonts w:cs="Arial"/>
                <w:sz w:val="16"/>
                <w:szCs w:val="16"/>
                <w:lang w:val="es-ES_tradnl"/>
              </w:rPr>
            </w:pPr>
            <w:r w:rsidRPr="00E675E8">
              <w:rPr>
                <w:sz w:val="16"/>
                <w:lang w:val="es-ES_tradnl"/>
              </w:rPr>
              <w:t>4.2</w:t>
            </w:r>
          </w:p>
        </w:tc>
        <w:tc>
          <w:tcPr>
            <w:tcW w:w="5483" w:type="dxa"/>
            <w:tcBorders>
              <w:top w:val="nil"/>
              <w:left w:val="nil"/>
              <w:bottom w:val="nil"/>
              <w:right w:val="nil"/>
            </w:tcBorders>
            <w:hideMark/>
          </w:tcPr>
          <w:p w14:paraId="6ADC13B0" w14:textId="77777777" w:rsidR="00B65EDC" w:rsidRPr="00E675E8" w:rsidRDefault="00B65EDC">
            <w:pPr>
              <w:jc w:val="left"/>
              <w:rPr>
                <w:rFonts w:cs="Arial"/>
                <w:sz w:val="16"/>
                <w:szCs w:val="16"/>
                <w:lang w:val="es-ES_tradnl"/>
              </w:rPr>
            </w:pPr>
            <w:r w:rsidRPr="00E675E8">
              <w:rPr>
                <w:sz w:val="16"/>
                <w:lang w:val="es-ES_tradnl"/>
              </w:rPr>
              <w:t>Una Secretaría empoderada y dotada de la formación y los recursos necesarios para trabajar de forma eficaz, colaborativa e innovadora</w:t>
            </w:r>
          </w:p>
        </w:tc>
        <w:tc>
          <w:tcPr>
            <w:tcW w:w="1595" w:type="dxa"/>
            <w:tcBorders>
              <w:top w:val="nil"/>
              <w:left w:val="nil"/>
              <w:bottom w:val="nil"/>
              <w:right w:val="nil"/>
            </w:tcBorders>
            <w:hideMark/>
          </w:tcPr>
          <w:p w14:paraId="17EC299F" w14:textId="77777777" w:rsidR="00B65EDC" w:rsidRPr="00E675E8" w:rsidRDefault="00B65EDC">
            <w:pPr>
              <w:ind w:right="302"/>
              <w:jc w:val="right"/>
              <w:rPr>
                <w:rFonts w:cs="Arial"/>
                <w:sz w:val="16"/>
                <w:szCs w:val="16"/>
                <w:lang w:val="es-ES_tradnl"/>
              </w:rPr>
            </w:pPr>
            <w:r w:rsidRPr="00E675E8">
              <w:rPr>
                <w:sz w:val="16"/>
                <w:lang w:val="es-ES_tradnl"/>
              </w:rPr>
              <w:t>1 390</w:t>
            </w:r>
          </w:p>
        </w:tc>
      </w:tr>
      <w:tr w:rsidR="00B65EDC" w:rsidRPr="00E675E8" w14:paraId="1F0E1F91" w14:textId="77777777" w:rsidTr="00A538F6">
        <w:trPr>
          <w:trHeight w:val="61"/>
          <w:jc w:val="center"/>
        </w:trPr>
        <w:tc>
          <w:tcPr>
            <w:tcW w:w="1134" w:type="dxa"/>
            <w:tcBorders>
              <w:top w:val="nil"/>
              <w:left w:val="nil"/>
              <w:bottom w:val="nil"/>
              <w:right w:val="nil"/>
            </w:tcBorders>
            <w:vAlign w:val="bottom"/>
            <w:hideMark/>
          </w:tcPr>
          <w:p w14:paraId="1E5DE317" w14:textId="77777777" w:rsidR="00B65EDC" w:rsidRPr="00E675E8" w:rsidRDefault="00B65EDC">
            <w:pPr>
              <w:jc w:val="right"/>
              <w:rPr>
                <w:rFonts w:cs="Arial"/>
                <w:sz w:val="16"/>
                <w:szCs w:val="16"/>
                <w:lang w:val="es-ES_tradnl"/>
              </w:rPr>
            </w:pPr>
          </w:p>
        </w:tc>
        <w:tc>
          <w:tcPr>
            <w:tcW w:w="5483" w:type="dxa"/>
            <w:tcBorders>
              <w:top w:val="nil"/>
              <w:left w:val="nil"/>
              <w:bottom w:val="nil"/>
              <w:right w:val="nil"/>
            </w:tcBorders>
            <w:vAlign w:val="bottom"/>
            <w:hideMark/>
          </w:tcPr>
          <w:p w14:paraId="12DDB94F" w14:textId="77777777" w:rsidR="00B65EDC" w:rsidRPr="00E675E8" w:rsidRDefault="00B65EDC">
            <w:pPr>
              <w:jc w:val="left"/>
              <w:rPr>
                <w:rFonts w:cs="Arial"/>
                <w:sz w:val="16"/>
                <w:szCs w:val="16"/>
                <w:lang w:val="es-ES_tradnl"/>
              </w:rPr>
            </w:pPr>
          </w:p>
        </w:tc>
        <w:tc>
          <w:tcPr>
            <w:tcW w:w="1595" w:type="dxa"/>
            <w:tcBorders>
              <w:top w:val="nil"/>
              <w:left w:val="nil"/>
              <w:bottom w:val="nil"/>
              <w:right w:val="nil"/>
            </w:tcBorders>
            <w:vAlign w:val="bottom"/>
            <w:hideMark/>
          </w:tcPr>
          <w:p w14:paraId="5F1AB7E8" w14:textId="77777777" w:rsidR="00B65EDC" w:rsidRPr="00E675E8" w:rsidRDefault="00B65EDC">
            <w:pPr>
              <w:ind w:right="302"/>
              <w:jc w:val="right"/>
              <w:rPr>
                <w:rFonts w:cs="Arial"/>
                <w:sz w:val="16"/>
                <w:szCs w:val="16"/>
                <w:lang w:val="es-ES_tradnl"/>
              </w:rPr>
            </w:pPr>
          </w:p>
        </w:tc>
      </w:tr>
      <w:tr w:rsidR="00B65EDC" w:rsidRPr="00E675E8" w14:paraId="7C5D839B" w14:textId="77777777" w:rsidTr="00A538F6">
        <w:trPr>
          <w:trHeight w:val="345"/>
          <w:jc w:val="center"/>
        </w:trPr>
        <w:tc>
          <w:tcPr>
            <w:tcW w:w="1134" w:type="dxa"/>
            <w:tcBorders>
              <w:top w:val="single" w:sz="4" w:space="0" w:color="AAB8C4"/>
              <w:left w:val="nil"/>
              <w:bottom w:val="single" w:sz="8" w:space="0" w:color="AAB8C4"/>
              <w:right w:val="nil"/>
            </w:tcBorders>
            <w:vAlign w:val="center"/>
            <w:hideMark/>
          </w:tcPr>
          <w:p w14:paraId="7BDDC0CF" w14:textId="77777777" w:rsidR="00B65EDC" w:rsidRPr="00E675E8" w:rsidRDefault="00B65EDC">
            <w:pPr>
              <w:ind w:firstLineChars="200" w:firstLine="321"/>
              <w:jc w:val="left"/>
              <w:rPr>
                <w:rFonts w:cs="Arial"/>
                <w:b/>
                <w:bCs/>
                <w:sz w:val="16"/>
                <w:szCs w:val="16"/>
                <w:lang w:val="es-ES_tradnl"/>
              </w:rPr>
            </w:pPr>
            <w:r w:rsidRPr="00E675E8">
              <w:rPr>
                <w:b/>
                <w:sz w:val="16"/>
                <w:lang w:val="es-ES_tradnl"/>
              </w:rPr>
              <w:t>TOTAL</w:t>
            </w:r>
          </w:p>
        </w:tc>
        <w:tc>
          <w:tcPr>
            <w:tcW w:w="5483" w:type="dxa"/>
            <w:tcBorders>
              <w:top w:val="single" w:sz="4" w:space="0" w:color="AAB8C4"/>
              <w:left w:val="nil"/>
              <w:bottom w:val="single" w:sz="8" w:space="0" w:color="AAB8C4"/>
              <w:right w:val="nil"/>
            </w:tcBorders>
            <w:vAlign w:val="center"/>
            <w:hideMark/>
          </w:tcPr>
          <w:p w14:paraId="053ABBD1" w14:textId="77777777" w:rsidR="00B65EDC" w:rsidRPr="00E675E8" w:rsidRDefault="00B65EDC">
            <w:pPr>
              <w:jc w:val="left"/>
              <w:rPr>
                <w:rFonts w:cs="Arial"/>
                <w:b/>
                <w:bCs/>
                <w:sz w:val="16"/>
                <w:szCs w:val="16"/>
                <w:lang w:val="es-ES_tradnl"/>
              </w:rPr>
            </w:pPr>
            <w:r w:rsidRPr="00E675E8">
              <w:rPr>
                <w:b/>
                <w:sz w:val="16"/>
                <w:lang w:val="es-ES_tradnl"/>
              </w:rPr>
              <w:t> </w:t>
            </w:r>
          </w:p>
        </w:tc>
        <w:tc>
          <w:tcPr>
            <w:tcW w:w="1595" w:type="dxa"/>
            <w:tcBorders>
              <w:top w:val="single" w:sz="4" w:space="0" w:color="C9C9C9"/>
              <w:left w:val="nil"/>
              <w:bottom w:val="single" w:sz="8" w:space="0" w:color="C9C9C9"/>
              <w:right w:val="nil"/>
            </w:tcBorders>
            <w:vAlign w:val="center"/>
            <w:hideMark/>
          </w:tcPr>
          <w:p w14:paraId="3943E2B8" w14:textId="77777777" w:rsidR="00B65EDC" w:rsidRPr="00E675E8" w:rsidRDefault="00B65EDC">
            <w:pPr>
              <w:ind w:right="302"/>
              <w:jc w:val="right"/>
              <w:rPr>
                <w:rFonts w:cs="Arial"/>
                <w:b/>
                <w:bCs/>
                <w:sz w:val="16"/>
                <w:szCs w:val="16"/>
                <w:lang w:val="es-ES_tradnl"/>
              </w:rPr>
            </w:pPr>
            <w:r w:rsidRPr="00E675E8">
              <w:rPr>
                <w:b/>
                <w:sz w:val="16"/>
                <w:lang w:val="es-ES_tradnl"/>
              </w:rPr>
              <w:t>7 616</w:t>
            </w:r>
          </w:p>
        </w:tc>
      </w:tr>
    </w:tbl>
    <w:p w14:paraId="2A8EDE8D" w14:textId="77777777" w:rsidR="00B65EDC" w:rsidRPr="00E675E8" w:rsidRDefault="00B65EDC" w:rsidP="00B65EDC">
      <w:pPr>
        <w:jc w:val="center"/>
        <w:rPr>
          <w:caps/>
          <w:color w:val="26724C" w:themeColor="accent1" w:themeShade="BF"/>
          <w:sz w:val="32"/>
          <w:szCs w:val="24"/>
          <w:lang w:val="es-ES_tradnl"/>
        </w:rPr>
      </w:pPr>
    </w:p>
    <w:p w14:paraId="45FC89D5" w14:textId="77777777" w:rsidR="00B65EDC" w:rsidRPr="00E675E8" w:rsidRDefault="00B65EDC" w:rsidP="00B65EDC">
      <w:pPr>
        <w:jc w:val="left"/>
        <w:rPr>
          <w:caps/>
          <w:color w:val="26724C" w:themeColor="accent1" w:themeShade="BF"/>
          <w:sz w:val="32"/>
          <w:szCs w:val="24"/>
          <w:lang w:val="es-ES_tradnl"/>
        </w:rPr>
      </w:pPr>
      <w:r w:rsidRPr="00E675E8">
        <w:rPr>
          <w:lang w:val="es-ES_tradnl"/>
        </w:rPr>
        <w:br w:type="page"/>
      </w:r>
    </w:p>
    <w:p w14:paraId="04409C94" w14:textId="77777777" w:rsidR="00B65EDC" w:rsidRPr="00E675E8" w:rsidRDefault="00B65EDC" w:rsidP="00FC7FED">
      <w:pPr>
        <w:pStyle w:val="Heading1"/>
        <w:rPr>
          <w:lang w:val="es-ES_tradnl"/>
        </w:rPr>
      </w:pPr>
      <w:bookmarkStart w:id="513" w:name="_Toc209777779"/>
      <w:r w:rsidRPr="00E675E8">
        <w:rPr>
          <w:lang w:val="es-ES_tradnl"/>
        </w:rPr>
        <w:lastRenderedPageBreak/>
        <w:t>Indicadores financieros 2020-2029</w:t>
      </w:r>
      <w:bookmarkEnd w:id="513"/>
    </w:p>
    <w:p w14:paraId="3DC39855" w14:textId="77777777" w:rsidR="00B65EDC" w:rsidRPr="00E675E8" w:rsidRDefault="00B65EDC" w:rsidP="00B65EDC">
      <w:pPr>
        <w:rPr>
          <w:lang w:val="es-ES_tradnl"/>
        </w:rPr>
      </w:pPr>
    </w:p>
    <w:p w14:paraId="13B7C20F" w14:textId="26F00BE0" w:rsidR="00B65EDC" w:rsidRPr="00E675E8" w:rsidRDefault="00B65EDC" w:rsidP="00B65EDC">
      <w:pPr>
        <w:tabs>
          <w:tab w:val="left" w:pos="567"/>
        </w:tabs>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En el programa y presupuesto para el bienio 2026-2027 se incluyen indicadores financieros que abarcan un período de 10 años y comprenden los dos años posteriores al nuevo bienio e información recabada del pasado reciente.</w:t>
      </w:r>
      <w:r w:rsidR="002817AB" w:rsidRPr="00E675E8">
        <w:rPr>
          <w:lang w:val="es-ES_tradnl"/>
        </w:rPr>
        <w:t xml:space="preserve"> </w:t>
      </w:r>
      <w:r w:rsidRPr="00E675E8">
        <w:rPr>
          <w:lang w:val="es-ES_tradnl"/>
        </w:rPr>
        <w:t>La presentación de los indicadores financieros permite contextualizar la propuesta de presupuesto para el bienio 2026-2027, con indicación de las tendencias y una evaluación de su viabilidad financiera futura.</w:t>
      </w:r>
      <w:r w:rsidR="002817AB" w:rsidRPr="00E675E8">
        <w:rPr>
          <w:lang w:val="es-ES_tradnl"/>
        </w:rPr>
        <w:t xml:space="preserve"> </w:t>
      </w:r>
      <w:r w:rsidRPr="00E675E8">
        <w:rPr>
          <w:lang w:val="es-ES_tradnl"/>
        </w:rPr>
        <w:t>Esta información se proporciona con objeto de facilitar a los miembros la revisión de la propuesta de programa y presupuesto, así como la adopción de decisiones al respecto, por lo que no debe interpretarse que impone compromiso financiero alguno ni aprobación con posterioridad a 2025.</w:t>
      </w:r>
    </w:p>
    <w:p w14:paraId="0B9C7060" w14:textId="77777777" w:rsidR="00B65EDC" w:rsidRPr="00E675E8" w:rsidRDefault="00B65EDC" w:rsidP="00B65EDC">
      <w:pPr>
        <w:tabs>
          <w:tab w:val="left" w:pos="567"/>
        </w:tabs>
        <w:rPr>
          <w:lang w:val="es-ES_tradnl"/>
        </w:rPr>
      </w:pPr>
    </w:p>
    <w:p w14:paraId="0B8FCBD3" w14:textId="77777777" w:rsidR="00B65EDC" w:rsidRPr="00E675E8" w:rsidRDefault="00B65EDC" w:rsidP="00B65EDC">
      <w:pPr>
        <w:tabs>
          <w:tab w:val="left" w:pos="567"/>
        </w:tabs>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En el cuadro 7 y la figura 1 se muestra la evolución prevista del presupuesto ordinario en lo que respecta a los ingresos, los gastos, y los fondos de reserva y de operaciones.</w:t>
      </w:r>
    </w:p>
    <w:p w14:paraId="268B12EE" w14:textId="77777777" w:rsidR="00B65EDC" w:rsidRPr="00E675E8" w:rsidRDefault="00B65EDC" w:rsidP="00B65EDC">
      <w:pPr>
        <w:rPr>
          <w:spacing w:val="-2"/>
          <w:szCs w:val="24"/>
          <w:lang w:val="es-ES_tradnl"/>
        </w:rPr>
      </w:pPr>
    </w:p>
    <w:p w14:paraId="4061ED8E" w14:textId="77777777" w:rsidR="00B65EDC" w:rsidRPr="00E675E8" w:rsidRDefault="00B65EDC" w:rsidP="00B65EDC">
      <w:pPr>
        <w:rPr>
          <w:spacing w:val="-2"/>
          <w:szCs w:val="24"/>
          <w:lang w:val="es-ES_tradnl"/>
        </w:rPr>
      </w:pPr>
    </w:p>
    <w:p w14:paraId="07E34A2A" w14:textId="5D773CA5" w:rsidR="00B65EDC" w:rsidRPr="00E675E8" w:rsidRDefault="00B65EDC" w:rsidP="00B65EDC">
      <w:pPr>
        <w:jc w:val="center"/>
        <w:rPr>
          <w:rFonts w:cs="Arial"/>
          <w:i/>
          <w:iCs/>
          <w:sz w:val="18"/>
          <w:szCs w:val="18"/>
          <w:lang w:val="es-ES_tradnl"/>
        </w:rPr>
      </w:pPr>
      <w:r w:rsidRPr="00E675E8">
        <w:rPr>
          <w:b/>
          <w:color w:val="26724C" w:themeColor="accent1" w:themeShade="BF"/>
          <w:lang w:val="es-ES_tradnl"/>
        </w:rPr>
        <w:t>Cuadro 7:</w:t>
      </w:r>
      <w:r w:rsidR="002817AB" w:rsidRPr="00E675E8">
        <w:rPr>
          <w:b/>
          <w:color w:val="26724C" w:themeColor="accent1" w:themeShade="BF"/>
          <w:lang w:val="es-ES_tradnl"/>
        </w:rPr>
        <w:t xml:space="preserve"> </w:t>
      </w:r>
      <w:r w:rsidRPr="00E675E8">
        <w:rPr>
          <w:b/>
          <w:color w:val="26724C" w:themeColor="accent1" w:themeShade="BF"/>
          <w:lang w:val="es-ES_tradnl"/>
        </w:rPr>
        <w:t>Ingresos, gastos y reservas correspondientes al período 2020-2029</w:t>
      </w:r>
      <w:r w:rsidRPr="00E675E8">
        <w:rPr>
          <w:b/>
          <w:lang w:val="es-ES_tradnl"/>
        </w:rPr>
        <w:br/>
      </w:r>
      <w:r w:rsidRPr="00E675E8">
        <w:rPr>
          <w:i/>
          <w:sz w:val="18"/>
          <w:lang w:val="es-ES_tradnl"/>
        </w:rPr>
        <w:t>(miles de francos suizos)</w:t>
      </w:r>
    </w:p>
    <w:p w14:paraId="35A0DE1D" w14:textId="77777777" w:rsidR="00B65EDC" w:rsidRPr="00E675E8" w:rsidRDefault="00B65EDC" w:rsidP="00B65EDC">
      <w:pPr>
        <w:jc w:val="center"/>
        <w:rPr>
          <w:spacing w:val="-2"/>
          <w:sz w:val="18"/>
          <w:szCs w:val="18"/>
          <w:lang w:val="es-ES_tradnl"/>
        </w:rPr>
      </w:pPr>
    </w:p>
    <w:tbl>
      <w:tblPr>
        <w:tblW w:w="8126" w:type="dxa"/>
        <w:jc w:val="center"/>
        <w:tblLook w:val="04A0" w:firstRow="1" w:lastRow="0" w:firstColumn="1" w:lastColumn="0" w:noHBand="0" w:noVBand="1"/>
      </w:tblPr>
      <w:tblGrid>
        <w:gridCol w:w="2396"/>
        <w:gridCol w:w="1004"/>
        <w:gridCol w:w="1038"/>
        <w:gridCol w:w="1216"/>
        <w:gridCol w:w="1216"/>
        <w:gridCol w:w="1256"/>
      </w:tblGrid>
      <w:tr w:rsidR="00B65EDC" w:rsidRPr="00E675E8" w14:paraId="2CE5FB76" w14:textId="77777777" w:rsidTr="00A538F6">
        <w:trPr>
          <w:trHeight w:val="260"/>
          <w:jc w:val="center"/>
        </w:trPr>
        <w:tc>
          <w:tcPr>
            <w:tcW w:w="2396" w:type="dxa"/>
            <w:tcBorders>
              <w:top w:val="nil"/>
              <w:left w:val="nil"/>
              <w:right w:val="nil"/>
            </w:tcBorders>
            <w:shd w:val="clear" w:color="000000" w:fill="FFFFFF"/>
            <w:noWrap/>
            <w:vAlign w:val="bottom"/>
            <w:hideMark/>
          </w:tcPr>
          <w:p w14:paraId="7775C27E" w14:textId="77777777" w:rsidR="00B65EDC" w:rsidRPr="00E675E8" w:rsidRDefault="00B65EDC">
            <w:pPr>
              <w:jc w:val="left"/>
              <w:rPr>
                <w:rFonts w:cs="Arial"/>
                <w:i/>
                <w:iCs/>
                <w:lang w:val="es-ES_tradnl"/>
              </w:rPr>
            </w:pPr>
            <w:r w:rsidRPr="00E675E8">
              <w:rPr>
                <w:i/>
                <w:lang w:val="es-ES_tradnl"/>
              </w:rPr>
              <w:t xml:space="preserve">Base presupuestaria </w:t>
            </w:r>
          </w:p>
        </w:tc>
        <w:tc>
          <w:tcPr>
            <w:tcW w:w="1004" w:type="dxa"/>
            <w:tcBorders>
              <w:top w:val="nil"/>
              <w:left w:val="nil"/>
              <w:right w:val="nil"/>
            </w:tcBorders>
            <w:shd w:val="clear" w:color="000000" w:fill="FFFFFF"/>
            <w:noWrap/>
            <w:vAlign w:val="bottom"/>
            <w:hideMark/>
          </w:tcPr>
          <w:p w14:paraId="7BB3524F" w14:textId="77777777" w:rsidR="00B65EDC" w:rsidRPr="00E675E8" w:rsidRDefault="00B65EDC">
            <w:pPr>
              <w:jc w:val="left"/>
              <w:rPr>
                <w:rFonts w:cs="Arial"/>
                <w:lang w:val="es-ES_tradnl"/>
              </w:rPr>
            </w:pPr>
            <w:r w:rsidRPr="00E675E8">
              <w:rPr>
                <w:lang w:val="es-ES_tradnl"/>
              </w:rPr>
              <w:t> </w:t>
            </w:r>
          </w:p>
        </w:tc>
        <w:tc>
          <w:tcPr>
            <w:tcW w:w="1038" w:type="dxa"/>
            <w:tcBorders>
              <w:top w:val="nil"/>
              <w:left w:val="nil"/>
              <w:right w:val="nil"/>
            </w:tcBorders>
            <w:shd w:val="clear" w:color="000000" w:fill="FFFFFF"/>
            <w:noWrap/>
            <w:vAlign w:val="bottom"/>
            <w:hideMark/>
          </w:tcPr>
          <w:p w14:paraId="29698854" w14:textId="77777777" w:rsidR="00B65EDC" w:rsidRPr="00E675E8" w:rsidRDefault="00B65EDC">
            <w:pPr>
              <w:jc w:val="left"/>
              <w:rPr>
                <w:rFonts w:cs="Arial"/>
                <w:lang w:val="es-ES_tradnl"/>
              </w:rPr>
            </w:pPr>
            <w:r w:rsidRPr="00E675E8">
              <w:rPr>
                <w:lang w:val="es-ES_tradnl"/>
              </w:rPr>
              <w:t> </w:t>
            </w:r>
          </w:p>
        </w:tc>
        <w:tc>
          <w:tcPr>
            <w:tcW w:w="1216" w:type="dxa"/>
            <w:tcBorders>
              <w:top w:val="nil"/>
              <w:left w:val="nil"/>
              <w:right w:val="nil"/>
            </w:tcBorders>
            <w:shd w:val="clear" w:color="000000" w:fill="FFFFFF"/>
            <w:noWrap/>
            <w:vAlign w:val="bottom"/>
            <w:hideMark/>
          </w:tcPr>
          <w:p w14:paraId="509FBA15" w14:textId="77777777" w:rsidR="00B65EDC" w:rsidRPr="00E675E8" w:rsidRDefault="00B65EDC">
            <w:pPr>
              <w:jc w:val="left"/>
              <w:rPr>
                <w:rFonts w:cs="Arial"/>
                <w:lang w:val="es-ES_tradnl"/>
              </w:rPr>
            </w:pPr>
            <w:r w:rsidRPr="00E675E8">
              <w:rPr>
                <w:lang w:val="es-ES_tradnl"/>
              </w:rPr>
              <w:t> </w:t>
            </w:r>
          </w:p>
        </w:tc>
        <w:tc>
          <w:tcPr>
            <w:tcW w:w="1216" w:type="dxa"/>
            <w:tcBorders>
              <w:top w:val="nil"/>
              <w:left w:val="nil"/>
              <w:right w:val="nil"/>
            </w:tcBorders>
            <w:shd w:val="clear" w:color="000000" w:fill="FFFFFF"/>
            <w:noWrap/>
            <w:vAlign w:val="bottom"/>
            <w:hideMark/>
          </w:tcPr>
          <w:p w14:paraId="1AB2A0FB" w14:textId="77777777" w:rsidR="00B65EDC" w:rsidRPr="00E675E8" w:rsidRDefault="00B65EDC">
            <w:pPr>
              <w:jc w:val="left"/>
              <w:rPr>
                <w:rFonts w:cs="Arial"/>
                <w:lang w:val="es-ES_tradnl"/>
              </w:rPr>
            </w:pPr>
            <w:r w:rsidRPr="00E675E8">
              <w:rPr>
                <w:lang w:val="es-ES_tradnl"/>
              </w:rPr>
              <w:t> </w:t>
            </w:r>
          </w:p>
        </w:tc>
        <w:tc>
          <w:tcPr>
            <w:tcW w:w="1256" w:type="dxa"/>
            <w:tcBorders>
              <w:top w:val="nil"/>
              <w:left w:val="nil"/>
              <w:right w:val="nil"/>
            </w:tcBorders>
            <w:noWrap/>
            <w:vAlign w:val="bottom"/>
            <w:hideMark/>
          </w:tcPr>
          <w:p w14:paraId="51D67F7F" w14:textId="77777777" w:rsidR="00B65EDC" w:rsidRPr="00E675E8" w:rsidRDefault="00B65EDC">
            <w:pPr>
              <w:jc w:val="left"/>
              <w:rPr>
                <w:rFonts w:cs="Arial"/>
                <w:lang w:val="es-ES_tradnl"/>
              </w:rPr>
            </w:pPr>
          </w:p>
        </w:tc>
      </w:tr>
      <w:tr w:rsidR="00B65EDC" w:rsidRPr="00E675E8" w14:paraId="30EB510B" w14:textId="77777777">
        <w:trPr>
          <w:trHeight w:val="330"/>
          <w:jc w:val="center"/>
        </w:trPr>
        <w:tc>
          <w:tcPr>
            <w:tcW w:w="2396" w:type="dxa"/>
            <w:tcBorders>
              <w:top w:val="nil"/>
              <w:left w:val="nil"/>
              <w:right w:val="nil"/>
            </w:tcBorders>
            <w:shd w:val="clear" w:color="000000" w:fill="C7CFD8"/>
            <w:vAlign w:val="center"/>
            <w:hideMark/>
          </w:tcPr>
          <w:p w14:paraId="0DECACEB" w14:textId="77777777" w:rsidR="00B65EDC" w:rsidRPr="00E675E8" w:rsidRDefault="00B65EDC">
            <w:pPr>
              <w:jc w:val="center"/>
              <w:rPr>
                <w:rFonts w:cs="Arial"/>
                <w:i/>
                <w:iCs/>
                <w:color w:val="000000"/>
                <w:lang w:val="es-ES_tradnl"/>
              </w:rPr>
            </w:pPr>
            <w:r w:rsidRPr="00E675E8">
              <w:rPr>
                <w:i/>
                <w:color w:val="000000"/>
                <w:lang w:val="es-ES_tradnl"/>
              </w:rPr>
              <w:t> </w:t>
            </w:r>
          </w:p>
        </w:tc>
        <w:tc>
          <w:tcPr>
            <w:tcW w:w="2042" w:type="dxa"/>
            <w:gridSpan w:val="2"/>
            <w:tcBorders>
              <w:top w:val="nil"/>
              <w:left w:val="nil"/>
              <w:right w:val="nil"/>
            </w:tcBorders>
            <w:shd w:val="clear" w:color="000000" w:fill="C7CFD8"/>
            <w:vAlign w:val="center"/>
            <w:hideMark/>
          </w:tcPr>
          <w:p w14:paraId="4BB27F0C"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Real </w:t>
            </w:r>
          </w:p>
        </w:tc>
        <w:tc>
          <w:tcPr>
            <w:tcW w:w="1216" w:type="dxa"/>
            <w:tcBorders>
              <w:top w:val="nil"/>
              <w:left w:val="nil"/>
              <w:right w:val="nil"/>
            </w:tcBorders>
            <w:shd w:val="clear" w:color="000000" w:fill="C7CFD8"/>
            <w:vAlign w:val="center"/>
            <w:hideMark/>
          </w:tcPr>
          <w:p w14:paraId="19C0DABC"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Presupuesto </w:t>
            </w:r>
          </w:p>
        </w:tc>
        <w:tc>
          <w:tcPr>
            <w:tcW w:w="1216" w:type="dxa"/>
            <w:tcBorders>
              <w:top w:val="nil"/>
              <w:left w:val="nil"/>
              <w:right w:val="nil"/>
            </w:tcBorders>
            <w:shd w:val="clear" w:color="000000" w:fill="C7CFD8"/>
            <w:vAlign w:val="center"/>
            <w:hideMark/>
          </w:tcPr>
          <w:p w14:paraId="16941CF1"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Propuesto </w:t>
            </w:r>
          </w:p>
        </w:tc>
        <w:tc>
          <w:tcPr>
            <w:tcW w:w="1256" w:type="dxa"/>
            <w:tcBorders>
              <w:top w:val="nil"/>
              <w:left w:val="nil"/>
              <w:right w:val="nil"/>
            </w:tcBorders>
            <w:shd w:val="clear" w:color="000000" w:fill="C7CFD8"/>
            <w:vAlign w:val="center"/>
            <w:hideMark/>
          </w:tcPr>
          <w:p w14:paraId="4B26F755"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Estimado </w:t>
            </w:r>
          </w:p>
        </w:tc>
      </w:tr>
      <w:tr w:rsidR="00B65EDC" w:rsidRPr="00E675E8" w14:paraId="087568FA" w14:textId="77777777">
        <w:trPr>
          <w:trHeight w:val="330"/>
          <w:jc w:val="center"/>
        </w:trPr>
        <w:tc>
          <w:tcPr>
            <w:tcW w:w="2396" w:type="dxa"/>
            <w:tcBorders>
              <w:top w:val="nil"/>
              <w:left w:val="nil"/>
              <w:bottom w:val="single" w:sz="4" w:space="0" w:color="D9D9D9" w:themeColor="background1" w:themeShade="D9"/>
              <w:right w:val="nil"/>
            </w:tcBorders>
            <w:shd w:val="clear" w:color="000000" w:fill="C7CFD8"/>
            <w:vAlign w:val="center"/>
            <w:hideMark/>
          </w:tcPr>
          <w:p w14:paraId="4E90F2AE" w14:textId="77777777" w:rsidR="00B65EDC" w:rsidRPr="00E675E8" w:rsidRDefault="00B65EDC">
            <w:pPr>
              <w:jc w:val="right"/>
              <w:rPr>
                <w:rFonts w:cs="Arial"/>
                <w:i/>
                <w:iCs/>
                <w:color w:val="000000"/>
                <w:lang w:val="es-ES_tradnl"/>
              </w:rPr>
            </w:pPr>
            <w:r w:rsidRPr="00E675E8">
              <w:rPr>
                <w:i/>
                <w:color w:val="000000"/>
                <w:lang w:val="es-ES_tradnl"/>
              </w:rPr>
              <w:t> </w:t>
            </w:r>
          </w:p>
        </w:tc>
        <w:tc>
          <w:tcPr>
            <w:tcW w:w="1004" w:type="dxa"/>
            <w:tcBorders>
              <w:top w:val="nil"/>
              <w:left w:val="nil"/>
              <w:bottom w:val="single" w:sz="4" w:space="0" w:color="D9D9D9" w:themeColor="background1" w:themeShade="D9"/>
              <w:right w:val="nil"/>
            </w:tcBorders>
            <w:shd w:val="clear" w:color="000000" w:fill="C7CFD8"/>
            <w:vAlign w:val="center"/>
            <w:hideMark/>
          </w:tcPr>
          <w:p w14:paraId="29BAD554"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2020-2021</w:t>
            </w:r>
          </w:p>
        </w:tc>
        <w:tc>
          <w:tcPr>
            <w:tcW w:w="1038" w:type="dxa"/>
            <w:tcBorders>
              <w:top w:val="nil"/>
              <w:left w:val="nil"/>
              <w:bottom w:val="single" w:sz="4" w:space="0" w:color="D9D9D9" w:themeColor="background1" w:themeShade="D9"/>
              <w:right w:val="nil"/>
            </w:tcBorders>
            <w:shd w:val="clear" w:color="000000" w:fill="C7CFD8"/>
            <w:vAlign w:val="center"/>
            <w:hideMark/>
          </w:tcPr>
          <w:p w14:paraId="7F96C25E"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2022-2023</w:t>
            </w:r>
          </w:p>
        </w:tc>
        <w:tc>
          <w:tcPr>
            <w:tcW w:w="1216" w:type="dxa"/>
            <w:tcBorders>
              <w:top w:val="nil"/>
              <w:left w:val="nil"/>
              <w:bottom w:val="single" w:sz="4" w:space="0" w:color="D9D9D9" w:themeColor="background1" w:themeShade="D9"/>
              <w:right w:val="nil"/>
            </w:tcBorders>
            <w:shd w:val="clear" w:color="000000" w:fill="C7CFD8"/>
            <w:noWrap/>
            <w:vAlign w:val="center"/>
            <w:hideMark/>
          </w:tcPr>
          <w:p w14:paraId="55AB7B98"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2024-2025 </w:t>
            </w:r>
          </w:p>
        </w:tc>
        <w:tc>
          <w:tcPr>
            <w:tcW w:w="1216" w:type="dxa"/>
            <w:tcBorders>
              <w:top w:val="nil"/>
              <w:left w:val="nil"/>
              <w:bottom w:val="single" w:sz="4" w:space="0" w:color="D9D9D9" w:themeColor="background1" w:themeShade="D9"/>
              <w:right w:val="nil"/>
            </w:tcBorders>
            <w:shd w:val="clear" w:color="000000" w:fill="C7CFD8"/>
            <w:noWrap/>
            <w:vAlign w:val="center"/>
            <w:hideMark/>
          </w:tcPr>
          <w:p w14:paraId="2EB16257" w14:textId="3079FD68" w:rsidR="00B65EDC" w:rsidRPr="00E675E8" w:rsidRDefault="00521C0D">
            <w:pPr>
              <w:jc w:val="center"/>
              <w:rPr>
                <w:rFonts w:ascii="Arial Narrow" w:hAnsi="Arial Narrow" w:cs="Arial"/>
                <w:b/>
                <w:bCs/>
                <w:sz w:val="18"/>
                <w:szCs w:val="18"/>
                <w:lang w:val="es-ES_tradnl"/>
              </w:rPr>
            </w:pPr>
            <w:r w:rsidRPr="00E675E8">
              <w:rPr>
                <w:rFonts w:ascii="Arial Narrow" w:hAnsi="Arial Narrow"/>
                <w:b/>
                <w:sz w:val="18"/>
                <w:lang w:val="es-ES_tradnl"/>
              </w:rPr>
              <w:t xml:space="preserve">2026-2027 </w:t>
            </w:r>
          </w:p>
        </w:tc>
        <w:tc>
          <w:tcPr>
            <w:tcW w:w="1256" w:type="dxa"/>
            <w:tcBorders>
              <w:top w:val="nil"/>
              <w:left w:val="nil"/>
              <w:bottom w:val="single" w:sz="4" w:space="0" w:color="D9D9D9" w:themeColor="background1" w:themeShade="D9"/>
              <w:right w:val="nil"/>
            </w:tcBorders>
            <w:shd w:val="clear" w:color="000000" w:fill="C7CFD8"/>
            <w:noWrap/>
            <w:vAlign w:val="center"/>
            <w:hideMark/>
          </w:tcPr>
          <w:p w14:paraId="66168190"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2028-2029</w:t>
            </w:r>
          </w:p>
        </w:tc>
      </w:tr>
      <w:tr w:rsidR="00B65EDC" w:rsidRPr="00E675E8" w14:paraId="429F3800" w14:textId="77777777">
        <w:trPr>
          <w:trHeight w:val="420"/>
          <w:jc w:val="center"/>
        </w:trPr>
        <w:tc>
          <w:tcPr>
            <w:tcW w:w="2396" w:type="dxa"/>
            <w:tcBorders>
              <w:top w:val="single" w:sz="4" w:space="0" w:color="D9D9D9" w:themeColor="background1" w:themeShade="D9"/>
              <w:left w:val="nil"/>
            </w:tcBorders>
            <w:shd w:val="clear" w:color="000000" w:fill="FFFFFF"/>
            <w:vAlign w:val="center"/>
            <w:hideMark/>
          </w:tcPr>
          <w:p w14:paraId="1B48F55F" w14:textId="77777777" w:rsidR="00B65EDC" w:rsidRPr="00E675E8" w:rsidRDefault="00B65EDC">
            <w:pPr>
              <w:jc w:val="left"/>
              <w:rPr>
                <w:rFonts w:ascii="Arial Narrow" w:hAnsi="Arial Narrow" w:cs="Arial"/>
                <w:color w:val="000000"/>
                <w:lang w:val="es-ES_tradnl"/>
              </w:rPr>
            </w:pPr>
            <w:r w:rsidRPr="00E675E8">
              <w:rPr>
                <w:rFonts w:ascii="Arial Narrow" w:hAnsi="Arial Narrow"/>
                <w:color w:val="000000"/>
                <w:lang w:val="es-ES_tradnl"/>
              </w:rPr>
              <w:t>Ingresos</w:t>
            </w:r>
          </w:p>
        </w:tc>
        <w:tc>
          <w:tcPr>
            <w:tcW w:w="1004" w:type="dxa"/>
            <w:tcBorders>
              <w:top w:val="nil"/>
              <w:left w:val="nil"/>
              <w:bottom w:val="nil"/>
              <w:right w:val="nil"/>
            </w:tcBorders>
            <w:shd w:val="clear" w:color="000000" w:fill="FFFFFF"/>
            <w:vAlign w:val="center"/>
            <w:hideMark/>
          </w:tcPr>
          <w:p w14:paraId="58F9F9FA"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7 404</w:t>
            </w:r>
          </w:p>
        </w:tc>
        <w:tc>
          <w:tcPr>
            <w:tcW w:w="1038" w:type="dxa"/>
            <w:tcBorders>
              <w:top w:val="nil"/>
              <w:left w:val="nil"/>
              <w:bottom w:val="nil"/>
              <w:right w:val="nil"/>
            </w:tcBorders>
            <w:shd w:val="clear" w:color="000000" w:fill="FFFFFF"/>
            <w:vAlign w:val="center"/>
            <w:hideMark/>
          </w:tcPr>
          <w:p w14:paraId="08F7DC11"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7 572</w:t>
            </w:r>
          </w:p>
        </w:tc>
        <w:tc>
          <w:tcPr>
            <w:tcW w:w="1216" w:type="dxa"/>
            <w:tcBorders>
              <w:top w:val="nil"/>
              <w:left w:val="nil"/>
              <w:bottom w:val="nil"/>
              <w:right w:val="nil"/>
            </w:tcBorders>
            <w:shd w:val="clear" w:color="000000" w:fill="FFFFFF"/>
            <w:vAlign w:val="center"/>
            <w:hideMark/>
          </w:tcPr>
          <w:p w14:paraId="27C22F66"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7 901</w:t>
            </w:r>
          </w:p>
        </w:tc>
        <w:tc>
          <w:tcPr>
            <w:tcW w:w="1216" w:type="dxa"/>
            <w:tcBorders>
              <w:top w:val="nil"/>
              <w:left w:val="nil"/>
              <w:bottom w:val="nil"/>
              <w:right w:val="nil"/>
            </w:tcBorders>
            <w:shd w:val="clear" w:color="000000" w:fill="FFFFFF"/>
            <w:vAlign w:val="center"/>
            <w:hideMark/>
          </w:tcPr>
          <w:p w14:paraId="5FA130DF"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7 616 </w:t>
            </w:r>
          </w:p>
        </w:tc>
        <w:tc>
          <w:tcPr>
            <w:tcW w:w="1256" w:type="dxa"/>
            <w:tcBorders>
              <w:top w:val="nil"/>
              <w:left w:val="nil"/>
              <w:bottom w:val="nil"/>
              <w:right w:val="nil"/>
            </w:tcBorders>
            <w:shd w:val="clear" w:color="000000" w:fill="FFFFFF"/>
            <w:vAlign w:val="center"/>
            <w:hideMark/>
          </w:tcPr>
          <w:p w14:paraId="45DCCC87"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7 641 </w:t>
            </w:r>
          </w:p>
        </w:tc>
      </w:tr>
      <w:tr w:rsidR="00B65EDC" w:rsidRPr="00E675E8" w14:paraId="723269EA" w14:textId="77777777">
        <w:trPr>
          <w:trHeight w:val="420"/>
          <w:jc w:val="center"/>
        </w:trPr>
        <w:tc>
          <w:tcPr>
            <w:tcW w:w="2396" w:type="dxa"/>
            <w:tcBorders>
              <w:top w:val="nil"/>
              <w:left w:val="nil"/>
              <w:bottom w:val="single" w:sz="4" w:space="0" w:color="D9D9D9" w:themeColor="background1" w:themeShade="D9"/>
            </w:tcBorders>
            <w:shd w:val="clear" w:color="000000" w:fill="FFFFFF"/>
            <w:vAlign w:val="center"/>
            <w:hideMark/>
          </w:tcPr>
          <w:p w14:paraId="7134337C" w14:textId="77777777" w:rsidR="00B65EDC" w:rsidRPr="00E675E8" w:rsidRDefault="00B65EDC">
            <w:pPr>
              <w:jc w:val="left"/>
              <w:rPr>
                <w:rFonts w:ascii="Arial Narrow" w:hAnsi="Arial Narrow" w:cs="Arial"/>
                <w:color w:val="000000"/>
                <w:lang w:val="es-ES_tradnl"/>
              </w:rPr>
            </w:pPr>
            <w:r w:rsidRPr="00E675E8">
              <w:rPr>
                <w:rFonts w:ascii="Arial Narrow" w:hAnsi="Arial Narrow"/>
                <w:color w:val="000000"/>
                <w:lang w:val="es-ES_tradnl"/>
              </w:rPr>
              <w:t>Gastos</w:t>
            </w:r>
          </w:p>
        </w:tc>
        <w:tc>
          <w:tcPr>
            <w:tcW w:w="1004" w:type="dxa"/>
            <w:tcBorders>
              <w:top w:val="nil"/>
              <w:left w:val="nil"/>
              <w:bottom w:val="nil"/>
              <w:right w:val="nil"/>
            </w:tcBorders>
            <w:shd w:val="clear" w:color="000000" w:fill="FFFFFF"/>
            <w:vAlign w:val="center"/>
            <w:hideMark/>
          </w:tcPr>
          <w:p w14:paraId="7AA813EE"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7 071</w:t>
            </w:r>
          </w:p>
        </w:tc>
        <w:tc>
          <w:tcPr>
            <w:tcW w:w="1038" w:type="dxa"/>
            <w:tcBorders>
              <w:top w:val="nil"/>
              <w:left w:val="nil"/>
              <w:bottom w:val="nil"/>
              <w:right w:val="nil"/>
            </w:tcBorders>
            <w:shd w:val="clear" w:color="000000" w:fill="FFFFFF"/>
            <w:vAlign w:val="center"/>
            <w:hideMark/>
          </w:tcPr>
          <w:p w14:paraId="1D118348"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7 382</w:t>
            </w:r>
          </w:p>
        </w:tc>
        <w:tc>
          <w:tcPr>
            <w:tcW w:w="1216" w:type="dxa"/>
            <w:tcBorders>
              <w:top w:val="nil"/>
              <w:left w:val="nil"/>
              <w:bottom w:val="nil"/>
              <w:right w:val="nil"/>
            </w:tcBorders>
            <w:shd w:val="clear" w:color="000000" w:fill="FFFFFF"/>
            <w:vAlign w:val="center"/>
            <w:hideMark/>
          </w:tcPr>
          <w:p w14:paraId="43E61156"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7 901</w:t>
            </w:r>
          </w:p>
        </w:tc>
        <w:tc>
          <w:tcPr>
            <w:tcW w:w="1216" w:type="dxa"/>
            <w:tcBorders>
              <w:top w:val="nil"/>
              <w:left w:val="nil"/>
              <w:bottom w:val="nil"/>
              <w:right w:val="nil"/>
            </w:tcBorders>
            <w:shd w:val="clear" w:color="000000" w:fill="FFFFFF"/>
            <w:vAlign w:val="center"/>
            <w:hideMark/>
          </w:tcPr>
          <w:p w14:paraId="6C33E236"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7 616 </w:t>
            </w:r>
          </w:p>
        </w:tc>
        <w:tc>
          <w:tcPr>
            <w:tcW w:w="1256" w:type="dxa"/>
            <w:tcBorders>
              <w:top w:val="nil"/>
              <w:left w:val="nil"/>
              <w:bottom w:val="nil"/>
              <w:right w:val="nil"/>
            </w:tcBorders>
            <w:shd w:val="clear" w:color="000000" w:fill="FFFFFF"/>
            <w:vAlign w:val="center"/>
            <w:hideMark/>
          </w:tcPr>
          <w:p w14:paraId="1D7A26E2"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7 641 </w:t>
            </w:r>
          </w:p>
        </w:tc>
      </w:tr>
      <w:tr w:rsidR="00B65EDC" w:rsidRPr="00E675E8" w14:paraId="3803E7EF" w14:textId="77777777">
        <w:trPr>
          <w:trHeight w:val="375"/>
          <w:jc w:val="center"/>
        </w:trPr>
        <w:tc>
          <w:tcPr>
            <w:tcW w:w="2396" w:type="dxa"/>
            <w:tcBorders>
              <w:top w:val="single" w:sz="4" w:space="0" w:color="D9D9D9" w:themeColor="background1" w:themeShade="D9"/>
              <w:left w:val="nil"/>
              <w:bottom w:val="single" w:sz="4" w:space="0" w:color="D9D9D9" w:themeColor="background1" w:themeShade="D9"/>
            </w:tcBorders>
            <w:shd w:val="clear" w:color="000000" w:fill="FFFFFF"/>
            <w:vAlign w:val="center"/>
            <w:hideMark/>
          </w:tcPr>
          <w:p w14:paraId="13163098" w14:textId="77777777" w:rsidR="00B65EDC" w:rsidRPr="00E675E8" w:rsidRDefault="00B65EDC">
            <w:pPr>
              <w:ind w:firstLineChars="100" w:firstLine="200"/>
              <w:jc w:val="left"/>
              <w:rPr>
                <w:rFonts w:ascii="Arial Narrow" w:hAnsi="Arial Narrow" w:cs="Arial"/>
                <w:i/>
                <w:iCs/>
                <w:color w:val="000000"/>
                <w:lang w:val="es-ES_tradnl"/>
              </w:rPr>
            </w:pPr>
            <w:r w:rsidRPr="00E675E8">
              <w:rPr>
                <w:rFonts w:ascii="Arial Narrow" w:hAnsi="Arial Narrow"/>
                <w:i/>
                <w:color w:val="000000"/>
                <w:lang w:val="es-ES_tradnl"/>
              </w:rPr>
              <w:t>Diferencia</w:t>
            </w:r>
          </w:p>
        </w:tc>
        <w:tc>
          <w:tcPr>
            <w:tcW w:w="1004" w:type="dxa"/>
            <w:tcBorders>
              <w:top w:val="single" w:sz="4" w:space="0" w:color="AAB8C4"/>
              <w:left w:val="nil"/>
              <w:bottom w:val="single" w:sz="8" w:space="0" w:color="AAB8C4"/>
              <w:right w:val="nil"/>
            </w:tcBorders>
            <w:shd w:val="clear" w:color="000000" w:fill="FFFFFF"/>
            <w:vAlign w:val="center"/>
            <w:hideMark/>
          </w:tcPr>
          <w:p w14:paraId="5552F0FD"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334</w:t>
            </w:r>
          </w:p>
        </w:tc>
        <w:tc>
          <w:tcPr>
            <w:tcW w:w="1038" w:type="dxa"/>
            <w:tcBorders>
              <w:top w:val="single" w:sz="4" w:space="0" w:color="AAB8C4"/>
              <w:left w:val="nil"/>
              <w:bottom w:val="single" w:sz="8" w:space="0" w:color="AAB8C4"/>
              <w:right w:val="nil"/>
            </w:tcBorders>
            <w:shd w:val="clear" w:color="000000" w:fill="FFFFFF"/>
            <w:vAlign w:val="center"/>
            <w:hideMark/>
          </w:tcPr>
          <w:p w14:paraId="69F3F578"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190</w:t>
            </w:r>
          </w:p>
        </w:tc>
        <w:tc>
          <w:tcPr>
            <w:tcW w:w="1216" w:type="dxa"/>
            <w:tcBorders>
              <w:top w:val="single" w:sz="4" w:space="0" w:color="AAB8C4"/>
              <w:left w:val="nil"/>
              <w:bottom w:val="single" w:sz="8" w:space="0" w:color="AAB8C4"/>
              <w:right w:val="nil"/>
            </w:tcBorders>
            <w:shd w:val="clear" w:color="000000" w:fill="FFFFFF"/>
            <w:vAlign w:val="center"/>
            <w:hideMark/>
          </w:tcPr>
          <w:p w14:paraId="4F1CFB72"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w:t>
            </w:r>
          </w:p>
        </w:tc>
        <w:tc>
          <w:tcPr>
            <w:tcW w:w="1216" w:type="dxa"/>
            <w:tcBorders>
              <w:top w:val="single" w:sz="4" w:space="0" w:color="AAB8C4"/>
              <w:left w:val="nil"/>
              <w:bottom w:val="single" w:sz="8" w:space="0" w:color="AAB8C4"/>
              <w:right w:val="nil"/>
            </w:tcBorders>
            <w:shd w:val="clear" w:color="000000" w:fill="FFFFFF"/>
            <w:vAlign w:val="center"/>
            <w:hideMark/>
          </w:tcPr>
          <w:p w14:paraId="25E7321C"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w:t>
            </w:r>
          </w:p>
        </w:tc>
        <w:tc>
          <w:tcPr>
            <w:tcW w:w="1256" w:type="dxa"/>
            <w:tcBorders>
              <w:top w:val="single" w:sz="4" w:space="0" w:color="AAB8C4"/>
              <w:left w:val="nil"/>
              <w:bottom w:val="single" w:sz="8" w:space="0" w:color="AAB8C4"/>
              <w:right w:val="nil"/>
            </w:tcBorders>
            <w:shd w:val="clear" w:color="000000" w:fill="FFFFFF"/>
            <w:vAlign w:val="center"/>
            <w:hideMark/>
          </w:tcPr>
          <w:p w14:paraId="317A3304"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w:t>
            </w:r>
          </w:p>
        </w:tc>
      </w:tr>
    </w:tbl>
    <w:p w14:paraId="08E5A09B" w14:textId="77777777" w:rsidR="00B65EDC" w:rsidRPr="00E675E8" w:rsidRDefault="00B65EDC" w:rsidP="00B65EDC">
      <w:pPr>
        <w:rPr>
          <w:lang w:val="es-ES_tradnl"/>
        </w:rPr>
      </w:pPr>
    </w:p>
    <w:p w14:paraId="6C4F198C" w14:textId="77777777" w:rsidR="00B65EDC" w:rsidRPr="00E675E8" w:rsidRDefault="00B65EDC" w:rsidP="00B65EDC">
      <w:pPr>
        <w:rPr>
          <w:lang w:val="es-ES_tradnl"/>
        </w:rPr>
      </w:pPr>
    </w:p>
    <w:p w14:paraId="3193F563" w14:textId="3A3CA571" w:rsidR="00B65EDC" w:rsidRPr="00E675E8" w:rsidRDefault="00B65EDC" w:rsidP="00B65EDC">
      <w:pPr>
        <w:keepNext/>
        <w:jc w:val="center"/>
        <w:rPr>
          <w:i/>
          <w:color w:val="26724C" w:themeColor="accent1" w:themeShade="BF"/>
          <w:sz w:val="18"/>
          <w:lang w:val="es-ES_tradnl"/>
        </w:rPr>
      </w:pPr>
      <w:r w:rsidRPr="00E675E8">
        <w:rPr>
          <w:i/>
          <w:color w:val="26724C" w:themeColor="accent1" w:themeShade="BF"/>
          <w:sz w:val="18"/>
          <w:lang w:val="es-ES_tradnl"/>
        </w:rPr>
        <w:t>Figura 1.</w:t>
      </w:r>
      <w:r w:rsidR="002817AB" w:rsidRPr="00E675E8">
        <w:rPr>
          <w:i/>
          <w:color w:val="26724C" w:themeColor="accent1" w:themeShade="BF"/>
          <w:sz w:val="18"/>
          <w:lang w:val="es-ES_tradnl"/>
        </w:rPr>
        <w:t xml:space="preserve"> </w:t>
      </w:r>
      <w:r w:rsidRPr="00E675E8">
        <w:rPr>
          <w:i/>
          <w:color w:val="26724C" w:themeColor="accent1" w:themeShade="BF"/>
          <w:sz w:val="18"/>
          <w:lang w:val="es-ES_tradnl"/>
        </w:rPr>
        <w:t>Evolución de los ingresos, los gastos y las reservas durante el período 2020-2029</w:t>
      </w:r>
    </w:p>
    <w:p w14:paraId="1439B59A" w14:textId="77777777" w:rsidR="00B65EDC" w:rsidRPr="00E675E8" w:rsidRDefault="00B65EDC" w:rsidP="00B65EDC">
      <w:pPr>
        <w:keepNext/>
        <w:jc w:val="center"/>
        <w:rPr>
          <w:i/>
          <w:color w:val="26724C" w:themeColor="accent1" w:themeShade="BF"/>
          <w:sz w:val="18"/>
          <w:lang w:val="es-ES_tradnl"/>
        </w:rPr>
      </w:pPr>
    </w:p>
    <w:p w14:paraId="04F8983C" w14:textId="2CCDA708" w:rsidR="00B65EDC" w:rsidRPr="00E675E8" w:rsidRDefault="002F76CE" w:rsidP="00B65EDC">
      <w:pPr>
        <w:jc w:val="center"/>
        <w:rPr>
          <w:lang w:val="es-ES_tradnl"/>
        </w:rPr>
      </w:pPr>
      <w:r>
        <w:rPr>
          <w:i/>
          <w:noProof/>
          <w:color w:val="26724C" w:themeColor="accent1" w:themeShade="BF"/>
          <w:sz w:val="18"/>
        </w:rPr>
        <w:drawing>
          <wp:inline distT="0" distB="0" distL="0" distR="0" wp14:anchorId="688DAEAD" wp14:editId="1E731BB6">
            <wp:extent cx="5487632" cy="2816444"/>
            <wp:effectExtent l="0" t="0" r="0" b="3175"/>
            <wp:docPr id="89538936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16001" cy="2831004"/>
                    </a:xfrm>
                    <a:prstGeom prst="rect">
                      <a:avLst/>
                    </a:prstGeom>
                    <a:noFill/>
                  </pic:spPr>
                </pic:pic>
              </a:graphicData>
            </a:graphic>
          </wp:inline>
        </w:drawing>
      </w:r>
    </w:p>
    <w:p w14:paraId="4FF4ED9E" w14:textId="77777777" w:rsidR="00B65EDC" w:rsidRPr="00E675E8" w:rsidRDefault="00B65EDC" w:rsidP="00B65EDC">
      <w:pPr>
        <w:jc w:val="left"/>
        <w:rPr>
          <w:lang w:val="es-ES_tradnl"/>
        </w:rPr>
      </w:pPr>
    </w:p>
    <w:p w14:paraId="024CAC9B" w14:textId="77777777" w:rsidR="00B65EDC" w:rsidRPr="00E675E8" w:rsidRDefault="00B65EDC" w:rsidP="00B65EDC">
      <w:pPr>
        <w:jc w:val="left"/>
        <w:rPr>
          <w:lang w:val="es-ES_tradnl"/>
        </w:rPr>
      </w:pPr>
    </w:p>
    <w:p w14:paraId="5286607E" w14:textId="77777777" w:rsidR="00B65EDC" w:rsidRPr="00E675E8" w:rsidRDefault="00B65EDC" w:rsidP="00B65EDC">
      <w:pPr>
        <w:ind w:left="567" w:hanging="567"/>
        <w:rPr>
          <w:lang w:val="es-ES_tradnl"/>
        </w:rPr>
      </w:pPr>
    </w:p>
    <w:p w14:paraId="0830A5BC" w14:textId="445EC92E" w:rsidR="00B65EDC" w:rsidRPr="00E675E8" w:rsidRDefault="00B65EDC" w:rsidP="00B65EDC">
      <w:pPr>
        <w:ind w:left="567" w:hanging="567"/>
        <w:jc w:val="right"/>
        <w:rPr>
          <w:lang w:val="es-ES_tradnl"/>
        </w:rPr>
      </w:pPr>
      <w:r w:rsidRPr="00E675E8">
        <w:rPr>
          <w:lang w:val="es-ES_tradnl"/>
        </w:rPr>
        <w:t xml:space="preserve">[Siguen los </w:t>
      </w:r>
      <w:r w:rsidR="00756D3A" w:rsidRPr="00E675E8">
        <w:rPr>
          <w:lang w:val="es-ES_tradnl"/>
        </w:rPr>
        <w:t>A</w:t>
      </w:r>
      <w:r w:rsidRPr="00E675E8">
        <w:rPr>
          <w:lang w:val="es-ES_tradnl"/>
        </w:rPr>
        <w:t>péndices]</w:t>
      </w:r>
    </w:p>
    <w:p w14:paraId="4D52CD40" w14:textId="77777777" w:rsidR="00B65EDC" w:rsidRPr="00E675E8" w:rsidRDefault="00B65EDC" w:rsidP="00B65EDC">
      <w:pPr>
        <w:ind w:left="567" w:hanging="567"/>
        <w:jc w:val="right"/>
        <w:rPr>
          <w:lang w:val="es-ES_tradnl"/>
        </w:rPr>
        <w:sectPr w:rsidR="00B65EDC" w:rsidRPr="00E675E8" w:rsidSect="00CF1A3C">
          <w:headerReference w:type="even" r:id="rId19"/>
          <w:headerReference w:type="default" r:id="rId20"/>
          <w:footerReference w:type="even" r:id="rId21"/>
          <w:footerReference w:type="default" r:id="rId22"/>
          <w:headerReference w:type="first" r:id="rId23"/>
          <w:footerReference w:type="first" r:id="rId24"/>
          <w:pgSz w:w="11907" w:h="16840" w:code="9"/>
          <w:pgMar w:top="510" w:right="1134" w:bottom="709" w:left="1134" w:header="510" w:footer="680" w:gutter="0"/>
          <w:pgNumType w:start="1"/>
          <w:cols w:space="720"/>
          <w:titlePg/>
          <w:docGrid w:linePitch="272"/>
        </w:sectPr>
      </w:pPr>
    </w:p>
    <w:p w14:paraId="7C98F3AD" w14:textId="77777777" w:rsidR="00B65EDC" w:rsidRPr="00E675E8" w:rsidRDefault="00B65EDC" w:rsidP="00FC7FED">
      <w:pPr>
        <w:pStyle w:val="Heading1"/>
        <w:rPr>
          <w:lang w:val="es-ES_tradnl"/>
        </w:rPr>
      </w:pPr>
      <w:bookmarkStart w:id="514" w:name="_Toc209777780"/>
      <w:r w:rsidRPr="00E675E8">
        <w:rPr>
          <w:lang w:val="es-ES_tradnl"/>
        </w:rPr>
        <w:lastRenderedPageBreak/>
        <w:t>APÉNDICES</w:t>
      </w:r>
      <w:bookmarkEnd w:id="514"/>
    </w:p>
    <w:p w14:paraId="12C9357A" w14:textId="77777777" w:rsidR="00B65EDC" w:rsidRPr="00E675E8" w:rsidRDefault="00B65EDC" w:rsidP="00B65EDC">
      <w:pPr>
        <w:rPr>
          <w:sz w:val="32"/>
          <w:lang w:val="es-ES_tradnl"/>
        </w:rPr>
      </w:pPr>
    </w:p>
    <w:p w14:paraId="4C154616" w14:textId="048A74C6" w:rsidR="00B65EDC" w:rsidRPr="00E675E8" w:rsidRDefault="00B65EDC" w:rsidP="004448C7">
      <w:pPr>
        <w:pStyle w:val="Heading9"/>
        <w:rPr>
          <w:lang w:val="es-ES_tradnl"/>
        </w:rPr>
      </w:pPr>
      <w:bookmarkStart w:id="515" w:name="_Toc63091108"/>
      <w:bookmarkStart w:id="516" w:name="_Toc63091305"/>
      <w:bookmarkStart w:id="517" w:name="_Toc63091835"/>
      <w:bookmarkStart w:id="518" w:name="_Toc63091109"/>
      <w:bookmarkStart w:id="519" w:name="_Toc63091306"/>
      <w:bookmarkStart w:id="520" w:name="_Toc63091836"/>
      <w:bookmarkStart w:id="521" w:name="_Toc209777781"/>
      <w:bookmarkEnd w:id="515"/>
      <w:bookmarkEnd w:id="516"/>
      <w:bookmarkEnd w:id="517"/>
      <w:bookmarkEnd w:id="518"/>
      <w:bookmarkEnd w:id="519"/>
      <w:bookmarkEnd w:id="520"/>
      <w:r w:rsidRPr="00E675E8">
        <w:rPr>
          <w:lang w:val="es-ES_tradnl"/>
        </w:rPr>
        <w:t>Apéndice I</w:t>
      </w:r>
      <w:r w:rsidRPr="00E675E8">
        <w:rPr>
          <w:lang w:val="es-ES_tradnl"/>
        </w:rPr>
        <w:tab/>
        <w:t xml:space="preserve">Situación respecto de la Unión Internacional para la Protección de las Obtenciones Vegetales (UPOV) al </w:t>
      </w:r>
      <w:r w:rsidR="00C32E27">
        <w:rPr>
          <w:lang w:val="es-ES_tradnl"/>
        </w:rPr>
        <w:br/>
      </w:r>
      <w:r w:rsidRPr="00E675E8">
        <w:rPr>
          <w:lang w:val="es-ES_tradnl"/>
        </w:rPr>
        <w:t>16 de septiembre de 2025</w:t>
      </w:r>
      <w:bookmarkEnd w:id="521"/>
    </w:p>
    <w:p w14:paraId="672E9FBE" w14:textId="77777777" w:rsidR="00B65EDC" w:rsidRPr="00E675E8" w:rsidRDefault="00B65EDC" w:rsidP="00B65EDC">
      <w:pPr>
        <w:ind w:left="2268" w:hanging="1984"/>
        <w:jc w:val="center"/>
        <w:rPr>
          <w:b/>
          <w:lang w:val="es-ES_tradnl"/>
        </w:rPr>
      </w:pPr>
    </w:p>
    <w:p w14:paraId="02B32F7E" w14:textId="77777777" w:rsidR="00B65EDC" w:rsidRPr="00E675E8" w:rsidRDefault="00B65EDC" w:rsidP="00B65EDC">
      <w:pPr>
        <w:rPr>
          <w:rFonts w:cs="Arial"/>
          <w:i/>
          <w:sz w:val="16"/>
          <w:szCs w:val="24"/>
          <w:lang w:val="es-ES_tradnl"/>
        </w:rPr>
      </w:pPr>
    </w:p>
    <w:p w14:paraId="2F31A4BB" w14:textId="77777777" w:rsidR="00B65EDC" w:rsidRPr="00E675E8" w:rsidRDefault="00B65EDC" w:rsidP="00B65EDC">
      <w:pPr>
        <w:ind w:left="284" w:hanging="284"/>
        <w:jc w:val="left"/>
        <w:rPr>
          <w:rFonts w:cs="Arial"/>
          <w:b/>
          <w:color w:val="26724C" w:themeColor="accent1" w:themeShade="BF"/>
          <w:sz w:val="18"/>
          <w:lang w:val="es-ES_tradnl"/>
        </w:rPr>
      </w:pPr>
      <w:r w:rsidRPr="00E675E8">
        <w:rPr>
          <w:b/>
          <w:color w:val="26724C" w:themeColor="accent1" w:themeShade="BF"/>
          <w:sz w:val="18"/>
          <w:lang w:val="es-ES_tradnl"/>
        </w:rPr>
        <w:t>A.</w:t>
      </w:r>
      <w:r w:rsidRPr="00E675E8">
        <w:rPr>
          <w:b/>
          <w:color w:val="26724C" w:themeColor="accent1" w:themeShade="BF"/>
          <w:sz w:val="18"/>
          <w:lang w:val="es-ES_tradnl"/>
        </w:rPr>
        <w:tab/>
        <w:t>Miembros de la UPOV</w:t>
      </w:r>
    </w:p>
    <w:p w14:paraId="1E895701" w14:textId="77777777" w:rsidR="00B65EDC" w:rsidRPr="00E675E8" w:rsidRDefault="00B65EDC" w:rsidP="00B65EDC">
      <w:pPr>
        <w:pStyle w:val="BodyText"/>
        <w:rPr>
          <w:rFonts w:cs="Arial"/>
          <w:sz w:val="16"/>
          <w:szCs w:val="16"/>
          <w:lang w:val="es-ES_tradnl"/>
        </w:rPr>
      </w:pPr>
    </w:p>
    <w:p w14:paraId="15DB8D45" w14:textId="77777777" w:rsidR="00B65EDC" w:rsidRPr="00E675E8" w:rsidRDefault="00B65EDC" w:rsidP="00B65EDC">
      <w:pPr>
        <w:spacing w:before="40"/>
        <w:rPr>
          <w:rFonts w:cs="Arial"/>
          <w:sz w:val="16"/>
          <w:szCs w:val="16"/>
          <w:lang w:val="es-ES_tradnl"/>
        </w:rPr>
        <w:sectPr w:rsidR="00B65EDC" w:rsidRPr="00E675E8" w:rsidSect="00B65EDC">
          <w:headerReference w:type="even" r:id="rId25"/>
          <w:headerReference w:type="default" r:id="rId26"/>
          <w:footerReference w:type="even" r:id="rId27"/>
          <w:footerReference w:type="default" r:id="rId28"/>
          <w:headerReference w:type="first" r:id="rId29"/>
          <w:footerReference w:type="first" r:id="rId30"/>
          <w:pgSz w:w="11907" w:h="16840" w:code="9"/>
          <w:pgMar w:top="510" w:right="1134" w:bottom="851" w:left="1134" w:header="510" w:footer="624" w:gutter="0"/>
          <w:cols w:space="720"/>
          <w:docGrid w:linePitch="272"/>
        </w:sectPr>
      </w:pPr>
    </w:p>
    <w:p w14:paraId="22C7439F"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Organización Africana de la Propiedad Intelectual</w:t>
      </w:r>
      <w:r w:rsidRPr="00E675E8">
        <w:rPr>
          <w:sz w:val="16"/>
          <w:vertAlign w:val="superscript"/>
          <w:lang w:val="es-ES_tradnl"/>
        </w:rPr>
        <w:t>2, 4</w:t>
      </w:r>
    </w:p>
    <w:p w14:paraId="5179DD0A"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Albania</w:t>
      </w:r>
      <w:r w:rsidRPr="00E675E8">
        <w:rPr>
          <w:sz w:val="16"/>
          <w:vertAlign w:val="superscript"/>
          <w:lang w:val="es-ES_tradnl"/>
        </w:rPr>
        <w:t>2</w:t>
      </w:r>
    </w:p>
    <w:p w14:paraId="4B219DE7"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Argentina</w:t>
      </w:r>
      <w:r w:rsidRPr="00E675E8">
        <w:rPr>
          <w:rStyle w:val="FootnoteReference"/>
          <w:sz w:val="16"/>
          <w:lang w:val="es-ES_tradnl"/>
        </w:rPr>
        <w:t>1</w:t>
      </w:r>
    </w:p>
    <w:p w14:paraId="63B37584"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Armenia</w:t>
      </w:r>
      <w:r w:rsidRPr="00E675E8">
        <w:rPr>
          <w:sz w:val="16"/>
          <w:vertAlign w:val="superscript"/>
          <w:lang w:val="es-ES_tradnl"/>
        </w:rPr>
        <w:t>2</w:t>
      </w:r>
    </w:p>
    <w:p w14:paraId="76B0378B"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Australia</w:t>
      </w:r>
      <w:r w:rsidRPr="00E675E8">
        <w:rPr>
          <w:sz w:val="16"/>
          <w:vertAlign w:val="superscript"/>
          <w:lang w:val="es-ES_tradnl"/>
        </w:rPr>
        <w:t>2</w:t>
      </w:r>
    </w:p>
    <w:p w14:paraId="614FD398"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Austria</w:t>
      </w:r>
      <w:r w:rsidRPr="00E675E8">
        <w:rPr>
          <w:rStyle w:val="FootnoteReference"/>
          <w:sz w:val="16"/>
          <w:lang w:val="es-ES_tradnl"/>
        </w:rPr>
        <w:t>2</w:t>
      </w:r>
    </w:p>
    <w:p w14:paraId="4E75510C"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Azerbaiyán</w:t>
      </w:r>
      <w:r w:rsidRPr="00E675E8">
        <w:rPr>
          <w:sz w:val="16"/>
          <w:vertAlign w:val="superscript"/>
          <w:lang w:val="es-ES_tradnl"/>
        </w:rPr>
        <w:t>2</w:t>
      </w:r>
    </w:p>
    <w:p w14:paraId="05B3299B"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Belarús</w:t>
      </w:r>
      <w:r w:rsidRPr="00E675E8">
        <w:rPr>
          <w:sz w:val="16"/>
          <w:vertAlign w:val="superscript"/>
          <w:lang w:val="es-ES_tradnl"/>
        </w:rPr>
        <w:t>2</w:t>
      </w:r>
    </w:p>
    <w:p w14:paraId="454FD688" w14:textId="77777777" w:rsidR="00B65EDC" w:rsidRPr="00E675E8" w:rsidRDefault="00B65EDC" w:rsidP="00B65EDC">
      <w:pPr>
        <w:spacing w:before="20"/>
        <w:ind w:left="113" w:hanging="113"/>
        <w:jc w:val="left"/>
        <w:rPr>
          <w:rFonts w:cs="Arial"/>
          <w:sz w:val="16"/>
          <w:szCs w:val="16"/>
          <w:vertAlign w:val="superscript"/>
          <w:lang w:val="es-ES_tradnl"/>
        </w:rPr>
      </w:pPr>
      <w:r w:rsidRPr="00E675E8">
        <w:rPr>
          <w:sz w:val="16"/>
          <w:lang w:val="es-ES_tradnl"/>
        </w:rPr>
        <w:t>Bélgica</w:t>
      </w:r>
      <w:r w:rsidRPr="00E675E8">
        <w:rPr>
          <w:rStyle w:val="FootnoteReference"/>
          <w:sz w:val="16"/>
          <w:lang w:val="es-ES_tradnl"/>
        </w:rPr>
        <w:t>2</w:t>
      </w:r>
    </w:p>
    <w:p w14:paraId="22E5F43A" w14:textId="77777777" w:rsidR="00B65EDC" w:rsidRPr="00E675E8" w:rsidRDefault="00B65EDC" w:rsidP="00B65EDC">
      <w:pPr>
        <w:spacing w:before="20"/>
        <w:ind w:left="113" w:hanging="113"/>
        <w:jc w:val="left"/>
        <w:rPr>
          <w:rFonts w:cs="Arial"/>
          <w:sz w:val="16"/>
          <w:szCs w:val="16"/>
          <w:vertAlign w:val="superscript"/>
          <w:lang w:val="es-ES_tradnl"/>
        </w:rPr>
      </w:pPr>
      <w:r w:rsidRPr="00E675E8">
        <w:rPr>
          <w:sz w:val="16"/>
          <w:lang w:val="es-ES_tradnl"/>
        </w:rPr>
        <w:t>Bolivia (Estado Plurinacional de)</w:t>
      </w:r>
      <w:r w:rsidRPr="00E675E8">
        <w:rPr>
          <w:sz w:val="16"/>
          <w:vertAlign w:val="superscript"/>
          <w:lang w:val="es-ES_tradnl"/>
        </w:rPr>
        <w:t>1</w:t>
      </w:r>
    </w:p>
    <w:p w14:paraId="6AD72039"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Bosnia y Herzegovina</w:t>
      </w:r>
      <w:r w:rsidRPr="00E675E8">
        <w:rPr>
          <w:sz w:val="16"/>
          <w:vertAlign w:val="superscript"/>
          <w:lang w:val="es-ES_tradnl"/>
        </w:rPr>
        <w:t>2</w:t>
      </w:r>
    </w:p>
    <w:p w14:paraId="59FC0BAA"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Brasil</w:t>
      </w:r>
      <w:r w:rsidRPr="00E675E8">
        <w:rPr>
          <w:sz w:val="16"/>
          <w:vertAlign w:val="superscript"/>
          <w:lang w:val="es-ES_tradnl"/>
        </w:rPr>
        <w:t>1</w:t>
      </w:r>
    </w:p>
    <w:p w14:paraId="35585465"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Bulgaria</w:t>
      </w:r>
      <w:r w:rsidRPr="00E675E8">
        <w:rPr>
          <w:sz w:val="16"/>
          <w:vertAlign w:val="superscript"/>
          <w:lang w:val="es-ES_tradnl"/>
        </w:rPr>
        <w:t>2</w:t>
      </w:r>
    </w:p>
    <w:p w14:paraId="18AA8627"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Canadá</w:t>
      </w:r>
      <w:r w:rsidRPr="00E675E8">
        <w:rPr>
          <w:rStyle w:val="FootnoteReference"/>
          <w:sz w:val="16"/>
          <w:lang w:val="es-ES_tradnl"/>
        </w:rPr>
        <w:t>2</w:t>
      </w:r>
    </w:p>
    <w:p w14:paraId="60E94961"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Chile</w:t>
      </w:r>
      <w:r w:rsidRPr="00E675E8">
        <w:rPr>
          <w:sz w:val="16"/>
          <w:vertAlign w:val="superscript"/>
          <w:lang w:val="es-ES_tradnl"/>
        </w:rPr>
        <w:t>1</w:t>
      </w:r>
    </w:p>
    <w:p w14:paraId="70B0E574"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China</w:t>
      </w:r>
      <w:r w:rsidRPr="00E675E8">
        <w:rPr>
          <w:sz w:val="16"/>
          <w:vertAlign w:val="superscript"/>
          <w:lang w:val="es-ES_tradnl"/>
        </w:rPr>
        <w:t>1</w:t>
      </w:r>
    </w:p>
    <w:p w14:paraId="4D5F7D77"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Colombia</w:t>
      </w:r>
      <w:r w:rsidRPr="00E675E8">
        <w:rPr>
          <w:sz w:val="16"/>
          <w:vertAlign w:val="superscript"/>
          <w:lang w:val="es-ES_tradnl"/>
        </w:rPr>
        <w:t>1</w:t>
      </w:r>
    </w:p>
    <w:p w14:paraId="635D0E7A"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Costa Rica</w:t>
      </w:r>
      <w:r w:rsidRPr="00E675E8">
        <w:rPr>
          <w:sz w:val="16"/>
          <w:vertAlign w:val="superscript"/>
          <w:lang w:val="es-ES_tradnl"/>
        </w:rPr>
        <w:t>2</w:t>
      </w:r>
    </w:p>
    <w:p w14:paraId="04014CC5" w14:textId="77777777" w:rsidR="00B65EDC" w:rsidRPr="00E675E8" w:rsidRDefault="00B65EDC" w:rsidP="00B65EDC">
      <w:pPr>
        <w:spacing w:before="20"/>
        <w:ind w:left="113" w:hanging="113"/>
        <w:jc w:val="left"/>
        <w:rPr>
          <w:rFonts w:cs="Arial"/>
          <w:sz w:val="16"/>
          <w:szCs w:val="16"/>
          <w:vertAlign w:val="superscript"/>
          <w:lang w:val="es-ES_tradnl"/>
        </w:rPr>
      </w:pPr>
      <w:r w:rsidRPr="00E675E8">
        <w:rPr>
          <w:sz w:val="16"/>
          <w:lang w:val="es-ES_tradnl"/>
        </w:rPr>
        <w:t>Croacia</w:t>
      </w:r>
      <w:r w:rsidRPr="00E675E8">
        <w:rPr>
          <w:sz w:val="16"/>
          <w:vertAlign w:val="superscript"/>
          <w:lang w:val="es-ES_tradnl"/>
        </w:rPr>
        <w:t>2</w:t>
      </w:r>
    </w:p>
    <w:p w14:paraId="40EACB01"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República Checa</w:t>
      </w:r>
      <w:r w:rsidRPr="00E675E8">
        <w:rPr>
          <w:sz w:val="16"/>
          <w:vertAlign w:val="superscript"/>
          <w:lang w:val="es-ES_tradnl"/>
        </w:rPr>
        <w:t>2</w:t>
      </w:r>
    </w:p>
    <w:p w14:paraId="0A7AAA00"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Dinamarca</w:t>
      </w:r>
      <w:r w:rsidRPr="00E675E8">
        <w:rPr>
          <w:rStyle w:val="FootnoteReference"/>
          <w:sz w:val="16"/>
          <w:lang w:val="es-ES_tradnl"/>
        </w:rPr>
        <w:t>2</w:t>
      </w:r>
    </w:p>
    <w:p w14:paraId="1ED8842A"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República Dominicana</w:t>
      </w:r>
      <w:r w:rsidRPr="00E675E8">
        <w:rPr>
          <w:sz w:val="16"/>
          <w:vertAlign w:val="superscript"/>
          <w:lang w:val="es-ES_tradnl"/>
        </w:rPr>
        <w:t>2</w:t>
      </w:r>
    </w:p>
    <w:p w14:paraId="735301A4"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Ecuador</w:t>
      </w:r>
      <w:r w:rsidRPr="00E675E8">
        <w:rPr>
          <w:sz w:val="16"/>
          <w:vertAlign w:val="superscript"/>
          <w:lang w:val="es-ES_tradnl"/>
        </w:rPr>
        <w:t>1</w:t>
      </w:r>
    </w:p>
    <w:p w14:paraId="5272EE3B" w14:textId="77777777" w:rsidR="00B65EDC" w:rsidRPr="00E675E8" w:rsidRDefault="00B65EDC" w:rsidP="00B65EDC">
      <w:pPr>
        <w:spacing w:before="20"/>
        <w:ind w:left="113" w:hanging="113"/>
        <w:jc w:val="left"/>
        <w:rPr>
          <w:rFonts w:cs="Arial"/>
          <w:sz w:val="16"/>
          <w:szCs w:val="16"/>
          <w:vertAlign w:val="superscript"/>
          <w:lang w:val="es-ES_tradnl"/>
        </w:rPr>
      </w:pPr>
      <w:r w:rsidRPr="00E675E8">
        <w:rPr>
          <w:sz w:val="16"/>
          <w:lang w:val="es-ES_tradnl"/>
        </w:rPr>
        <w:t>Egipto</w:t>
      </w:r>
      <w:r w:rsidRPr="00E675E8">
        <w:rPr>
          <w:sz w:val="16"/>
          <w:vertAlign w:val="superscript"/>
          <w:lang w:val="es-ES_tradnl"/>
        </w:rPr>
        <w:t>2</w:t>
      </w:r>
    </w:p>
    <w:p w14:paraId="1E2A3ECD"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Estonia</w:t>
      </w:r>
      <w:r w:rsidRPr="00E675E8">
        <w:rPr>
          <w:sz w:val="16"/>
          <w:vertAlign w:val="superscript"/>
          <w:lang w:val="es-ES_tradnl"/>
        </w:rPr>
        <w:t>2</w:t>
      </w:r>
    </w:p>
    <w:p w14:paraId="55B8117E" w14:textId="77777777" w:rsidR="00B65EDC" w:rsidRPr="00E675E8" w:rsidRDefault="00B65EDC" w:rsidP="00B65EDC">
      <w:pPr>
        <w:spacing w:before="20"/>
        <w:ind w:left="113" w:hanging="113"/>
        <w:jc w:val="left"/>
        <w:rPr>
          <w:rFonts w:cs="Arial"/>
          <w:sz w:val="16"/>
          <w:szCs w:val="16"/>
          <w:vertAlign w:val="superscript"/>
          <w:lang w:val="es-ES_tradnl"/>
        </w:rPr>
      </w:pPr>
      <w:r w:rsidRPr="00E675E8">
        <w:rPr>
          <w:sz w:val="16"/>
          <w:lang w:val="es-ES_tradnl"/>
        </w:rPr>
        <w:t>Unión Europea</w:t>
      </w:r>
      <w:r w:rsidRPr="00E675E8">
        <w:rPr>
          <w:sz w:val="16"/>
          <w:vertAlign w:val="superscript"/>
          <w:lang w:val="es-ES_tradnl"/>
        </w:rPr>
        <w:t>2, 3</w:t>
      </w:r>
    </w:p>
    <w:p w14:paraId="1183F282"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Finlandia</w:t>
      </w:r>
      <w:r w:rsidRPr="00E675E8">
        <w:rPr>
          <w:rStyle w:val="FootnoteReference"/>
          <w:sz w:val="16"/>
          <w:lang w:val="es-ES_tradnl"/>
        </w:rPr>
        <w:t>2</w:t>
      </w:r>
    </w:p>
    <w:p w14:paraId="0DFB0FA4"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Francia</w:t>
      </w:r>
      <w:r w:rsidRPr="00E675E8">
        <w:rPr>
          <w:rStyle w:val="FootnoteReference"/>
          <w:sz w:val="16"/>
          <w:lang w:val="es-ES_tradnl"/>
        </w:rPr>
        <w:t>2</w:t>
      </w:r>
    </w:p>
    <w:p w14:paraId="7393B2B5"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Georgia</w:t>
      </w:r>
      <w:r w:rsidRPr="00E675E8">
        <w:rPr>
          <w:sz w:val="16"/>
          <w:vertAlign w:val="superscript"/>
          <w:lang w:val="es-ES_tradnl"/>
        </w:rPr>
        <w:t>2</w:t>
      </w:r>
    </w:p>
    <w:p w14:paraId="043BC970"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Alemania</w:t>
      </w:r>
      <w:r w:rsidRPr="00E675E8">
        <w:rPr>
          <w:rStyle w:val="FootnoteReference"/>
          <w:sz w:val="16"/>
          <w:lang w:val="es-ES_tradnl"/>
        </w:rPr>
        <w:t>2</w:t>
      </w:r>
    </w:p>
    <w:p w14:paraId="04AB6E96"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Ghana</w:t>
      </w:r>
      <w:r w:rsidRPr="00E675E8">
        <w:rPr>
          <w:sz w:val="16"/>
          <w:vertAlign w:val="superscript"/>
          <w:lang w:val="es-ES_tradnl"/>
        </w:rPr>
        <w:t>2</w:t>
      </w:r>
    </w:p>
    <w:p w14:paraId="3FBE1A01"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Hungría</w:t>
      </w:r>
      <w:r w:rsidRPr="00E675E8">
        <w:rPr>
          <w:rStyle w:val="FootnoteReference"/>
          <w:sz w:val="16"/>
          <w:lang w:val="es-ES_tradnl"/>
        </w:rPr>
        <w:t>2</w:t>
      </w:r>
    </w:p>
    <w:p w14:paraId="7AF863F6"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Islandia</w:t>
      </w:r>
      <w:r w:rsidRPr="00E675E8">
        <w:rPr>
          <w:rStyle w:val="FootnoteReference"/>
          <w:sz w:val="16"/>
          <w:lang w:val="es-ES_tradnl"/>
        </w:rPr>
        <w:t>2</w:t>
      </w:r>
    </w:p>
    <w:p w14:paraId="261FDF23"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Irlanda</w:t>
      </w:r>
      <w:r w:rsidRPr="00E675E8">
        <w:rPr>
          <w:rStyle w:val="FootnoteReference"/>
          <w:sz w:val="16"/>
          <w:lang w:val="es-ES_tradnl"/>
        </w:rPr>
        <w:t>2</w:t>
      </w:r>
    </w:p>
    <w:p w14:paraId="2FC0047A" w14:textId="77777777" w:rsidR="00B65EDC" w:rsidRPr="00E675E8" w:rsidRDefault="00B65EDC" w:rsidP="00B65EDC">
      <w:pPr>
        <w:spacing w:before="20"/>
        <w:ind w:left="113" w:hanging="113"/>
        <w:jc w:val="left"/>
        <w:rPr>
          <w:rFonts w:cs="Arial"/>
          <w:sz w:val="16"/>
          <w:szCs w:val="16"/>
          <w:vertAlign w:val="superscript"/>
          <w:lang w:val="es-ES_tradnl"/>
        </w:rPr>
      </w:pPr>
      <w:r w:rsidRPr="00E675E8">
        <w:rPr>
          <w:sz w:val="16"/>
          <w:lang w:val="es-ES_tradnl"/>
        </w:rPr>
        <w:t>Israel</w:t>
      </w:r>
      <w:r w:rsidRPr="00E675E8">
        <w:rPr>
          <w:sz w:val="16"/>
          <w:vertAlign w:val="superscript"/>
          <w:lang w:val="es-ES_tradnl"/>
        </w:rPr>
        <w:t>2</w:t>
      </w:r>
    </w:p>
    <w:p w14:paraId="74789016"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Italia</w:t>
      </w:r>
      <w:r w:rsidRPr="00E675E8">
        <w:rPr>
          <w:rStyle w:val="FootnoteReference"/>
          <w:sz w:val="16"/>
          <w:lang w:val="es-ES_tradnl"/>
        </w:rPr>
        <w:t>1</w:t>
      </w:r>
    </w:p>
    <w:p w14:paraId="503C9F0B"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Japón</w:t>
      </w:r>
      <w:r w:rsidRPr="00E675E8">
        <w:rPr>
          <w:sz w:val="16"/>
          <w:vertAlign w:val="superscript"/>
          <w:lang w:val="es-ES_tradnl"/>
        </w:rPr>
        <w:t>2</w:t>
      </w:r>
    </w:p>
    <w:p w14:paraId="40AE36FF"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Jordania</w:t>
      </w:r>
      <w:r w:rsidRPr="00E675E8">
        <w:rPr>
          <w:sz w:val="16"/>
          <w:vertAlign w:val="superscript"/>
          <w:lang w:val="es-ES_tradnl"/>
        </w:rPr>
        <w:t>2</w:t>
      </w:r>
    </w:p>
    <w:p w14:paraId="7680B1D8"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Kenya</w:t>
      </w:r>
      <w:r w:rsidRPr="00E675E8">
        <w:rPr>
          <w:sz w:val="16"/>
          <w:vertAlign w:val="superscript"/>
          <w:lang w:val="es-ES_tradnl"/>
        </w:rPr>
        <w:t>2</w:t>
      </w:r>
    </w:p>
    <w:p w14:paraId="4233AA2C"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Kirguistán</w:t>
      </w:r>
      <w:r w:rsidRPr="00E675E8">
        <w:rPr>
          <w:sz w:val="16"/>
          <w:vertAlign w:val="superscript"/>
          <w:lang w:val="es-ES_tradnl"/>
        </w:rPr>
        <w:t>2</w:t>
      </w:r>
    </w:p>
    <w:p w14:paraId="531439D1"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Letonia</w:t>
      </w:r>
      <w:r w:rsidRPr="00E675E8">
        <w:rPr>
          <w:sz w:val="16"/>
          <w:vertAlign w:val="superscript"/>
          <w:lang w:val="es-ES_tradnl"/>
        </w:rPr>
        <w:t>2</w:t>
      </w:r>
    </w:p>
    <w:p w14:paraId="49FAECFA"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Lituania</w:t>
      </w:r>
      <w:r w:rsidRPr="00E675E8">
        <w:rPr>
          <w:sz w:val="16"/>
          <w:vertAlign w:val="superscript"/>
          <w:lang w:val="es-ES_tradnl"/>
        </w:rPr>
        <w:t>2</w:t>
      </w:r>
    </w:p>
    <w:p w14:paraId="3A621BCC" w14:textId="77777777" w:rsidR="00B65EDC" w:rsidRPr="00C32E27" w:rsidRDefault="00B65EDC" w:rsidP="00B65EDC">
      <w:pPr>
        <w:spacing w:before="20"/>
        <w:ind w:left="113" w:hanging="113"/>
        <w:jc w:val="left"/>
        <w:rPr>
          <w:sz w:val="16"/>
          <w:lang w:val="es-ES_tradnl"/>
        </w:rPr>
      </w:pPr>
      <w:r w:rsidRPr="00C32E27">
        <w:rPr>
          <w:sz w:val="16"/>
          <w:lang w:val="es-ES_tradnl"/>
        </w:rPr>
        <w:t>México</w:t>
      </w:r>
      <w:r w:rsidRPr="00C32E27">
        <w:rPr>
          <w:sz w:val="16"/>
          <w:vertAlign w:val="superscript"/>
          <w:lang w:val="es-ES_tradnl"/>
        </w:rPr>
        <w:t>1</w:t>
      </w:r>
    </w:p>
    <w:p w14:paraId="60D126F1" w14:textId="77777777" w:rsidR="00B65EDC" w:rsidRPr="00E675E8" w:rsidRDefault="00B65EDC" w:rsidP="00B65EDC">
      <w:pPr>
        <w:spacing w:before="20"/>
        <w:ind w:left="113" w:hanging="113"/>
        <w:jc w:val="left"/>
        <w:rPr>
          <w:rFonts w:cs="Arial"/>
          <w:sz w:val="16"/>
          <w:szCs w:val="16"/>
          <w:vertAlign w:val="superscript"/>
          <w:lang w:val="es-ES_tradnl"/>
        </w:rPr>
      </w:pPr>
      <w:r w:rsidRPr="00E675E8">
        <w:rPr>
          <w:sz w:val="16"/>
          <w:lang w:val="es-ES_tradnl"/>
        </w:rPr>
        <w:t>Montenegro</w:t>
      </w:r>
      <w:r w:rsidRPr="00E675E8">
        <w:rPr>
          <w:sz w:val="16"/>
          <w:vertAlign w:val="superscript"/>
          <w:lang w:val="es-ES_tradnl"/>
        </w:rPr>
        <w:t>2</w:t>
      </w:r>
    </w:p>
    <w:p w14:paraId="52CFD07A"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Marruecos</w:t>
      </w:r>
      <w:r w:rsidRPr="00E675E8">
        <w:rPr>
          <w:rStyle w:val="FootnoteReference"/>
          <w:sz w:val="16"/>
          <w:lang w:val="es-ES_tradnl"/>
        </w:rPr>
        <w:t>2</w:t>
      </w:r>
    </w:p>
    <w:p w14:paraId="097DCBDD"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Países Bajos (Reino de los)</w:t>
      </w:r>
      <w:r w:rsidRPr="00E675E8">
        <w:rPr>
          <w:sz w:val="16"/>
          <w:vertAlign w:val="superscript"/>
          <w:lang w:val="es-ES_tradnl"/>
        </w:rPr>
        <w:t>2</w:t>
      </w:r>
    </w:p>
    <w:p w14:paraId="3A029435"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Nueva Zelandia</w:t>
      </w:r>
      <w:r w:rsidRPr="00E675E8">
        <w:rPr>
          <w:rStyle w:val="FootnoteReference"/>
          <w:sz w:val="16"/>
          <w:lang w:val="es-ES_tradnl"/>
        </w:rPr>
        <w:t>1</w:t>
      </w:r>
    </w:p>
    <w:p w14:paraId="0FFC9491"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Nicaragua</w:t>
      </w:r>
      <w:r w:rsidRPr="00E675E8">
        <w:rPr>
          <w:sz w:val="16"/>
          <w:vertAlign w:val="superscript"/>
          <w:lang w:val="es-ES_tradnl"/>
        </w:rPr>
        <w:t>1</w:t>
      </w:r>
    </w:p>
    <w:p w14:paraId="67DC33F3" w14:textId="0B9A839A" w:rsidR="00B65EDC" w:rsidRPr="00E675E8" w:rsidRDefault="00B65EDC" w:rsidP="00B65EDC">
      <w:pPr>
        <w:spacing w:before="20"/>
        <w:ind w:left="113" w:hanging="113"/>
        <w:jc w:val="left"/>
        <w:rPr>
          <w:rFonts w:cs="Arial"/>
          <w:sz w:val="16"/>
          <w:szCs w:val="16"/>
          <w:lang w:val="es-ES_tradnl"/>
        </w:rPr>
      </w:pPr>
      <w:r w:rsidRPr="00E675E8">
        <w:rPr>
          <w:sz w:val="16"/>
          <w:lang w:val="es-ES_tradnl"/>
        </w:rPr>
        <w:t>Nigeria</w:t>
      </w:r>
      <w:r w:rsidRPr="00E675E8">
        <w:rPr>
          <w:sz w:val="16"/>
          <w:vertAlign w:val="superscript"/>
          <w:lang w:val="es-ES_tradnl"/>
        </w:rPr>
        <w:t>2</w:t>
      </w:r>
    </w:p>
    <w:p w14:paraId="05C1D0BD"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Macedonia del Norte</w:t>
      </w:r>
      <w:r w:rsidRPr="00E675E8">
        <w:rPr>
          <w:sz w:val="16"/>
          <w:vertAlign w:val="superscript"/>
          <w:lang w:val="es-ES_tradnl"/>
        </w:rPr>
        <w:t>2</w:t>
      </w:r>
    </w:p>
    <w:p w14:paraId="7771A5DE"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Noruega</w:t>
      </w:r>
      <w:r w:rsidRPr="00E675E8">
        <w:rPr>
          <w:rStyle w:val="FootnoteReference"/>
          <w:sz w:val="16"/>
          <w:lang w:val="es-ES_tradnl"/>
        </w:rPr>
        <w:t>1</w:t>
      </w:r>
    </w:p>
    <w:p w14:paraId="5DF5333A"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Omán</w:t>
      </w:r>
      <w:r w:rsidRPr="00E675E8">
        <w:rPr>
          <w:sz w:val="16"/>
          <w:vertAlign w:val="superscript"/>
          <w:lang w:val="es-ES_tradnl"/>
        </w:rPr>
        <w:t>2</w:t>
      </w:r>
    </w:p>
    <w:p w14:paraId="22BB2265" w14:textId="77777777" w:rsidR="00B65EDC" w:rsidRPr="00E675E8" w:rsidRDefault="00B65EDC" w:rsidP="00B65EDC">
      <w:pPr>
        <w:spacing w:before="20"/>
        <w:ind w:left="113" w:hanging="113"/>
        <w:jc w:val="left"/>
        <w:rPr>
          <w:rFonts w:cs="Arial"/>
          <w:sz w:val="16"/>
          <w:szCs w:val="16"/>
          <w:vertAlign w:val="superscript"/>
          <w:lang w:val="es-ES_tradnl"/>
        </w:rPr>
      </w:pPr>
      <w:r w:rsidRPr="00E675E8">
        <w:rPr>
          <w:sz w:val="16"/>
          <w:lang w:val="es-ES_tradnl"/>
        </w:rPr>
        <w:t>Panamá</w:t>
      </w:r>
      <w:r w:rsidRPr="00E675E8">
        <w:rPr>
          <w:sz w:val="16"/>
          <w:vertAlign w:val="superscript"/>
          <w:lang w:val="es-ES_tradnl"/>
        </w:rPr>
        <w:t>2</w:t>
      </w:r>
    </w:p>
    <w:p w14:paraId="00234CDE"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Paraguay</w:t>
      </w:r>
      <w:r w:rsidRPr="00E675E8">
        <w:rPr>
          <w:sz w:val="16"/>
          <w:vertAlign w:val="superscript"/>
          <w:lang w:val="es-ES_tradnl"/>
        </w:rPr>
        <w:t>1</w:t>
      </w:r>
    </w:p>
    <w:p w14:paraId="6548A1C2"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Perú</w:t>
      </w:r>
      <w:r w:rsidRPr="00E675E8">
        <w:rPr>
          <w:sz w:val="16"/>
          <w:vertAlign w:val="superscript"/>
          <w:lang w:val="es-ES_tradnl"/>
        </w:rPr>
        <w:t>2</w:t>
      </w:r>
    </w:p>
    <w:p w14:paraId="2E7289C3" w14:textId="77777777" w:rsidR="00B65EDC" w:rsidRPr="00E675E8" w:rsidRDefault="00B65EDC" w:rsidP="00B65EDC">
      <w:pPr>
        <w:pStyle w:val="BodyTextKeep"/>
        <w:keepNext w:val="0"/>
        <w:spacing w:before="20" w:after="0"/>
        <w:ind w:left="113" w:hanging="113"/>
        <w:rPr>
          <w:rFonts w:ascii="Arial" w:hAnsi="Arial" w:cs="Arial"/>
          <w:sz w:val="16"/>
          <w:szCs w:val="16"/>
          <w:vertAlign w:val="superscript"/>
          <w:lang w:val="es-ES_tradnl"/>
        </w:rPr>
      </w:pPr>
      <w:r w:rsidRPr="00E675E8">
        <w:rPr>
          <w:rFonts w:ascii="Arial" w:hAnsi="Arial"/>
          <w:sz w:val="16"/>
          <w:lang w:val="es-ES_tradnl"/>
        </w:rPr>
        <w:t>Polonia</w:t>
      </w:r>
      <w:r w:rsidRPr="00E675E8">
        <w:rPr>
          <w:rStyle w:val="FootnoteReference"/>
          <w:sz w:val="16"/>
          <w:lang w:val="es-ES_tradnl"/>
        </w:rPr>
        <w:t>2</w:t>
      </w:r>
    </w:p>
    <w:p w14:paraId="7B1BD07C" w14:textId="77777777" w:rsidR="00B65EDC" w:rsidRPr="00E675E8" w:rsidRDefault="00B65EDC" w:rsidP="00B65EDC">
      <w:pPr>
        <w:pStyle w:val="BodyTextKeep"/>
        <w:keepNext w:val="0"/>
        <w:spacing w:before="20" w:after="0"/>
        <w:ind w:left="113" w:hanging="113"/>
        <w:rPr>
          <w:rFonts w:ascii="Arial" w:hAnsi="Arial" w:cs="Arial"/>
          <w:sz w:val="16"/>
          <w:szCs w:val="16"/>
          <w:vertAlign w:val="superscript"/>
          <w:lang w:val="es-ES_tradnl"/>
        </w:rPr>
      </w:pPr>
      <w:r w:rsidRPr="00E675E8">
        <w:rPr>
          <w:rFonts w:ascii="Arial" w:hAnsi="Arial"/>
          <w:sz w:val="16"/>
          <w:lang w:val="es-ES_tradnl"/>
        </w:rPr>
        <w:t>Portugal</w:t>
      </w:r>
      <w:r w:rsidRPr="00E675E8">
        <w:rPr>
          <w:rFonts w:ascii="Arial" w:hAnsi="Arial"/>
          <w:sz w:val="16"/>
          <w:vertAlign w:val="superscript"/>
          <w:lang w:val="es-ES_tradnl"/>
        </w:rPr>
        <w:t>1</w:t>
      </w:r>
    </w:p>
    <w:p w14:paraId="751A0C4C" w14:textId="77777777" w:rsidR="00B65EDC" w:rsidRPr="00E675E8" w:rsidRDefault="00B65EDC" w:rsidP="00B65EDC">
      <w:pPr>
        <w:pStyle w:val="BodyTextKeep"/>
        <w:keepNext w:val="0"/>
        <w:spacing w:before="20" w:after="0"/>
        <w:ind w:left="113" w:hanging="113"/>
        <w:rPr>
          <w:rFonts w:ascii="Arial" w:hAnsi="Arial" w:cs="Arial"/>
          <w:sz w:val="16"/>
          <w:szCs w:val="16"/>
          <w:vertAlign w:val="superscript"/>
          <w:lang w:val="es-ES_tradnl"/>
        </w:rPr>
      </w:pPr>
      <w:r w:rsidRPr="00E675E8">
        <w:rPr>
          <w:rFonts w:ascii="Arial" w:hAnsi="Arial"/>
          <w:sz w:val="16"/>
          <w:lang w:val="es-ES_tradnl"/>
        </w:rPr>
        <w:t>República de Corea</w:t>
      </w:r>
      <w:r w:rsidRPr="00E675E8">
        <w:rPr>
          <w:rFonts w:ascii="Arial" w:hAnsi="Arial"/>
          <w:sz w:val="16"/>
          <w:vertAlign w:val="superscript"/>
          <w:lang w:val="es-ES_tradnl"/>
        </w:rPr>
        <w:t>2</w:t>
      </w:r>
    </w:p>
    <w:p w14:paraId="0356A524" w14:textId="77777777" w:rsidR="00B65EDC" w:rsidRPr="00E675E8" w:rsidRDefault="00B65EDC" w:rsidP="00B65EDC">
      <w:pPr>
        <w:pStyle w:val="BodyTextKeep"/>
        <w:keepNext w:val="0"/>
        <w:spacing w:before="20" w:after="0"/>
        <w:ind w:left="113" w:hanging="113"/>
        <w:rPr>
          <w:rFonts w:ascii="Arial" w:hAnsi="Arial" w:cs="Arial"/>
          <w:sz w:val="16"/>
          <w:szCs w:val="16"/>
          <w:vertAlign w:val="superscript"/>
          <w:lang w:val="es-ES_tradnl"/>
        </w:rPr>
      </w:pPr>
      <w:r w:rsidRPr="00E675E8">
        <w:rPr>
          <w:rFonts w:ascii="Arial" w:hAnsi="Arial"/>
          <w:sz w:val="16"/>
          <w:lang w:val="es-ES_tradnl"/>
        </w:rPr>
        <w:t>República de Moldova</w:t>
      </w:r>
      <w:r w:rsidRPr="00E675E8">
        <w:rPr>
          <w:rFonts w:ascii="Arial" w:hAnsi="Arial"/>
          <w:sz w:val="16"/>
          <w:vertAlign w:val="superscript"/>
          <w:lang w:val="es-ES_tradnl"/>
        </w:rPr>
        <w:t>2</w:t>
      </w:r>
    </w:p>
    <w:p w14:paraId="2E0A0E5A" w14:textId="77777777" w:rsidR="00B65EDC" w:rsidRPr="00E675E8" w:rsidRDefault="00B65EDC" w:rsidP="00B65EDC">
      <w:pPr>
        <w:pStyle w:val="BodyTextKeep"/>
        <w:keepNext w:val="0"/>
        <w:spacing w:before="20" w:after="0"/>
        <w:ind w:left="113" w:hanging="113"/>
        <w:rPr>
          <w:rFonts w:ascii="Arial" w:hAnsi="Arial" w:cs="Arial"/>
          <w:sz w:val="16"/>
          <w:szCs w:val="16"/>
          <w:vertAlign w:val="superscript"/>
          <w:lang w:val="es-ES_tradnl"/>
        </w:rPr>
      </w:pPr>
      <w:r w:rsidRPr="00E675E8">
        <w:rPr>
          <w:rFonts w:ascii="Arial" w:hAnsi="Arial"/>
          <w:sz w:val="16"/>
          <w:lang w:val="es-ES_tradnl"/>
        </w:rPr>
        <w:t>Rumania</w:t>
      </w:r>
      <w:r w:rsidRPr="00E675E8">
        <w:rPr>
          <w:rFonts w:ascii="Arial" w:hAnsi="Arial"/>
          <w:sz w:val="16"/>
          <w:vertAlign w:val="superscript"/>
          <w:lang w:val="es-ES_tradnl"/>
        </w:rPr>
        <w:t>2</w:t>
      </w:r>
    </w:p>
    <w:p w14:paraId="52D555FB" w14:textId="77777777" w:rsidR="00B65EDC" w:rsidRPr="00E675E8" w:rsidRDefault="00B65EDC" w:rsidP="00B65EDC">
      <w:pPr>
        <w:pStyle w:val="BodyTextKeep"/>
        <w:keepNext w:val="0"/>
        <w:spacing w:before="20" w:after="0"/>
        <w:ind w:left="113" w:hanging="113"/>
        <w:rPr>
          <w:rFonts w:ascii="Arial" w:hAnsi="Arial" w:cs="Arial"/>
          <w:sz w:val="16"/>
          <w:szCs w:val="16"/>
          <w:lang w:val="es-ES_tradnl"/>
        </w:rPr>
      </w:pPr>
      <w:r w:rsidRPr="00E675E8">
        <w:rPr>
          <w:rFonts w:ascii="Arial" w:hAnsi="Arial"/>
          <w:sz w:val="16"/>
          <w:lang w:val="es-ES_tradnl"/>
        </w:rPr>
        <w:t>Federación de Rusia</w:t>
      </w:r>
      <w:r w:rsidRPr="00E675E8">
        <w:rPr>
          <w:rFonts w:ascii="Arial" w:hAnsi="Arial"/>
          <w:sz w:val="16"/>
          <w:vertAlign w:val="superscript"/>
          <w:lang w:val="es-ES_tradnl"/>
        </w:rPr>
        <w:t>2</w:t>
      </w:r>
    </w:p>
    <w:p w14:paraId="5D505C5E" w14:textId="77777777" w:rsidR="00B65EDC" w:rsidRPr="00E675E8" w:rsidRDefault="00B65EDC" w:rsidP="00B65EDC">
      <w:pPr>
        <w:pStyle w:val="BodyTextKeep"/>
        <w:keepNext w:val="0"/>
        <w:spacing w:before="20" w:after="0"/>
        <w:ind w:left="113" w:hanging="113"/>
        <w:rPr>
          <w:rFonts w:ascii="Arial" w:hAnsi="Arial" w:cs="Arial"/>
          <w:sz w:val="16"/>
          <w:szCs w:val="16"/>
          <w:lang w:val="es-ES_tradnl"/>
        </w:rPr>
      </w:pPr>
      <w:r w:rsidRPr="00E675E8">
        <w:rPr>
          <w:rFonts w:ascii="Arial" w:hAnsi="Arial"/>
          <w:sz w:val="16"/>
          <w:lang w:val="es-ES_tradnl"/>
        </w:rPr>
        <w:t>San Vicente y las Granadinas</w:t>
      </w:r>
      <w:r w:rsidRPr="00E675E8">
        <w:rPr>
          <w:rFonts w:ascii="Arial" w:hAnsi="Arial"/>
          <w:sz w:val="16"/>
          <w:vertAlign w:val="superscript"/>
          <w:lang w:val="es-ES_tradnl"/>
        </w:rPr>
        <w:t>2</w:t>
      </w:r>
    </w:p>
    <w:p w14:paraId="6EF46859" w14:textId="77777777" w:rsidR="00B65EDC" w:rsidRPr="00E675E8" w:rsidRDefault="00B65EDC" w:rsidP="00B65EDC">
      <w:pPr>
        <w:pStyle w:val="BodyTextKeep"/>
        <w:keepNext w:val="0"/>
        <w:spacing w:before="20" w:after="0"/>
        <w:ind w:left="113" w:hanging="113"/>
        <w:rPr>
          <w:rFonts w:ascii="Arial" w:hAnsi="Arial" w:cs="Arial"/>
          <w:sz w:val="16"/>
          <w:szCs w:val="16"/>
          <w:lang w:val="es-ES_tradnl"/>
        </w:rPr>
      </w:pPr>
      <w:r w:rsidRPr="00E675E8">
        <w:rPr>
          <w:rFonts w:ascii="Arial" w:hAnsi="Arial"/>
          <w:sz w:val="16"/>
          <w:lang w:val="es-ES_tradnl"/>
        </w:rPr>
        <w:t>Serbia</w:t>
      </w:r>
      <w:r w:rsidRPr="00E675E8">
        <w:rPr>
          <w:rFonts w:ascii="Arial" w:hAnsi="Arial"/>
          <w:sz w:val="16"/>
          <w:vertAlign w:val="superscript"/>
          <w:lang w:val="es-ES_tradnl"/>
        </w:rPr>
        <w:t>2</w:t>
      </w:r>
    </w:p>
    <w:p w14:paraId="3154153F" w14:textId="77777777" w:rsidR="00B65EDC" w:rsidRPr="00E675E8" w:rsidRDefault="00B65EDC" w:rsidP="00B65EDC">
      <w:pPr>
        <w:pStyle w:val="BodyTextKeep"/>
        <w:keepNext w:val="0"/>
        <w:spacing w:before="20" w:after="0"/>
        <w:ind w:left="113" w:hanging="113"/>
        <w:rPr>
          <w:rFonts w:ascii="Arial" w:hAnsi="Arial" w:cs="Arial"/>
          <w:sz w:val="16"/>
          <w:szCs w:val="16"/>
          <w:lang w:val="es-ES_tradnl"/>
        </w:rPr>
      </w:pPr>
      <w:r w:rsidRPr="00E675E8">
        <w:rPr>
          <w:rFonts w:ascii="Arial" w:hAnsi="Arial"/>
          <w:sz w:val="16"/>
          <w:lang w:val="es-ES_tradnl"/>
        </w:rPr>
        <w:t>Singapur</w:t>
      </w:r>
      <w:r w:rsidRPr="00E675E8">
        <w:rPr>
          <w:rFonts w:ascii="Arial" w:hAnsi="Arial"/>
          <w:sz w:val="16"/>
          <w:vertAlign w:val="superscript"/>
          <w:lang w:val="es-ES_tradnl"/>
        </w:rPr>
        <w:t>2</w:t>
      </w:r>
    </w:p>
    <w:p w14:paraId="01BFCF8F" w14:textId="77777777" w:rsidR="00B65EDC" w:rsidRPr="00E675E8" w:rsidRDefault="00B65EDC" w:rsidP="00B65EDC">
      <w:pPr>
        <w:spacing w:before="20"/>
        <w:ind w:left="113" w:hanging="113"/>
        <w:jc w:val="left"/>
        <w:rPr>
          <w:rFonts w:cs="Arial"/>
          <w:sz w:val="16"/>
          <w:szCs w:val="16"/>
          <w:vertAlign w:val="superscript"/>
          <w:lang w:val="es-ES_tradnl"/>
        </w:rPr>
      </w:pPr>
      <w:r w:rsidRPr="00E675E8">
        <w:rPr>
          <w:sz w:val="16"/>
          <w:lang w:val="es-ES_tradnl"/>
        </w:rPr>
        <w:t>Eslovaquia</w:t>
      </w:r>
      <w:r w:rsidRPr="00E675E8">
        <w:rPr>
          <w:sz w:val="16"/>
          <w:vertAlign w:val="superscript"/>
          <w:lang w:val="es-ES_tradnl"/>
        </w:rPr>
        <w:t>2</w:t>
      </w:r>
    </w:p>
    <w:p w14:paraId="368A40DF"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Eslovenia</w:t>
      </w:r>
      <w:r w:rsidRPr="00E675E8">
        <w:rPr>
          <w:sz w:val="16"/>
          <w:vertAlign w:val="superscript"/>
          <w:lang w:val="es-ES_tradnl"/>
        </w:rPr>
        <w:t>2</w:t>
      </w:r>
    </w:p>
    <w:p w14:paraId="70E76D06"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Sudáfrica</w:t>
      </w:r>
      <w:r w:rsidRPr="00E675E8">
        <w:rPr>
          <w:rStyle w:val="FootnoteReference"/>
          <w:sz w:val="16"/>
          <w:lang w:val="es-ES_tradnl"/>
        </w:rPr>
        <w:t>1</w:t>
      </w:r>
    </w:p>
    <w:p w14:paraId="794E70FE"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España</w:t>
      </w:r>
      <w:r w:rsidRPr="00E675E8">
        <w:rPr>
          <w:rStyle w:val="FootnoteReference"/>
          <w:sz w:val="16"/>
          <w:lang w:val="es-ES_tradnl"/>
        </w:rPr>
        <w:t>2</w:t>
      </w:r>
    </w:p>
    <w:p w14:paraId="5151BD2E" w14:textId="77777777" w:rsidR="00B65EDC" w:rsidRPr="00E675E8" w:rsidRDefault="00B65EDC" w:rsidP="00B65EDC">
      <w:pPr>
        <w:pStyle w:val="BodyTextKeep"/>
        <w:keepNext w:val="0"/>
        <w:spacing w:before="20" w:after="0"/>
        <w:ind w:left="113" w:hanging="113"/>
        <w:rPr>
          <w:rFonts w:ascii="Arial" w:hAnsi="Arial" w:cs="Arial"/>
          <w:sz w:val="16"/>
          <w:szCs w:val="16"/>
          <w:lang w:val="es-ES_tradnl"/>
        </w:rPr>
      </w:pPr>
      <w:r w:rsidRPr="00E675E8">
        <w:rPr>
          <w:rFonts w:ascii="Arial" w:hAnsi="Arial"/>
          <w:sz w:val="16"/>
          <w:lang w:val="es-ES_tradnl"/>
        </w:rPr>
        <w:t>Suecia</w:t>
      </w:r>
      <w:r w:rsidRPr="00E675E8">
        <w:rPr>
          <w:rFonts w:ascii="Arial" w:hAnsi="Arial"/>
          <w:sz w:val="16"/>
          <w:vertAlign w:val="superscript"/>
          <w:lang w:val="es-ES_tradnl"/>
        </w:rPr>
        <w:t>2</w:t>
      </w:r>
    </w:p>
    <w:p w14:paraId="47D35FC2"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Suiza</w:t>
      </w:r>
      <w:r w:rsidRPr="00E675E8">
        <w:rPr>
          <w:sz w:val="16"/>
          <w:vertAlign w:val="superscript"/>
          <w:lang w:val="es-ES_tradnl"/>
        </w:rPr>
        <w:t>2</w:t>
      </w:r>
    </w:p>
    <w:p w14:paraId="130D6B59"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Trinidad y Tabago</w:t>
      </w:r>
      <w:r w:rsidRPr="00E675E8">
        <w:rPr>
          <w:sz w:val="16"/>
          <w:vertAlign w:val="superscript"/>
          <w:lang w:val="es-ES_tradnl"/>
        </w:rPr>
        <w:t>1</w:t>
      </w:r>
    </w:p>
    <w:p w14:paraId="04DBEEF5"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Túnez</w:t>
      </w:r>
      <w:r w:rsidRPr="00E675E8">
        <w:rPr>
          <w:sz w:val="16"/>
          <w:vertAlign w:val="superscript"/>
          <w:lang w:val="es-ES_tradnl"/>
        </w:rPr>
        <w:t>2</w:t>
      </w:r>
    </w:p>
    <w:p w14:paraId="046AD445"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Türkiye</w:t>
      </w:r>
      <w:r w:rsidRPr="00E675E8">
        <w:rPr>
          <w:sz w:val="16"/>
          <w:vertAlign w:val="superscript"/>
          <w:lang w:val="es-ES_tradnl"/>
        </w:rPr>
        <w:t>2</w:t>
      </w:r>
    </w:p>
    <w:p w14:paraId="115E1570"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Ucrania</w:t>
      </w:r>
      <w:r w:rsidRPr="00E675E8">
        <w:rPr>
          <w:sz w:val="16"/>
          <w:vertAlign w:val="superscript"/>
          <w:lang w:val="es-ES_tradnl"/>
        </w:rPr>
        <w:t>2</w:t>
      </w:r>
    </w:p>
    <w:p w14:paraId="61693045"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Reino Unido</w:t>
      </w:r>
      <w:r w:rsidRPr="00E675E8">
        <w:rPr>
          <w:sz w:val="16"/>
          <w:vertAlign w:val="superscript"/>
          <w:lang w:val="es-ES_tradnl"/>
        </w:rPr>
        <w:t>2</w:t>
      </w:r>
    </w:p>
    <w:p w14:paraId="1B6DA4F4"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República Unida de Tanzanía</w:t>
      </w:r>
      <w:r w:rsidRPr="00E675E8">
        <w:rPr>
          <w:sz w:val="16"/>
          <w:vertAlign w:val="superscript"/>
          <w:lang w:val="es-ES_tradnl"/>
        </w:rPr>
        <w:t>2</w:t>
      </w:r>
    </w:p>
    <w:p w14:paraId="585DEEF8"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Estados Unidos de América</w:t>
      </w:r>
      <w:r w:rsidRPr="00E675E8">
        <w:rPr>
          <w:sz w:val="16"/>
          <w:vertAlign w:val="superscript"/>
          <w:lang w:val="es-ES_tradnl"/>
        </w:rPr>
        <w:t>2</w:t>
      </w:r>
    </w:p>
    <w:p w14:paraId="26A58121"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Uruguay</w:t>
      </w:r>
      <w:r w:rsidRPr="00E675E8">
        <w:rPr>
          <w:sz w:val="16"/>
          <w:vertAlign w:val="superscript"/>
          <w:lang w:val="es-ES_tradnl"/>
        </w:rPr>
        <w:t>1</w:t>
      </w:r>
    </w:p>
    <w:p w14:paraId="36578B15"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Uzbekistán</w:t>
      </w:r>
      <w:r w:rsidRPr="00E675E8">
        <w:rPr>
          <w:sz w:val="16"/>
          <w:vertAlign w:val="superscript"/>
          <w:lang w:val="es-ES_tradnl"/>
        </w:rPr>
        <w:t>2</w:t>
      </w:r>
    </w:p>
    <w:p w14:paraId="577F7207" w14:textId="77777777" w:rsidR="00B65EDC" w:rsidRPr="00E675E8" w:rsidRDefault="00B65EDC" w:rsidP="00B65EDC">
      <w:pPr>
        <w:spacing w:before="20"/>
        <w:ind w:left="113" w:hanging="113"/>
        <w:jc w:val="left"/>
        <w:rPr>
          <w:rFonts w:cs="Arial"/>
          <w:sz w:val="16"/>
          <w:szCs w:val="16"/>
          <w:vertAlign w:val="superscript"/>
          <w:lang w:val="es-ES_tradnl"/>
        </w:rPr>
      </w:pPr>
      <w:r w:rsidRPr="00E675E8">
        <w:rPr>
          <w:sz w:val="16"/>
          <w:lang w:val="es-ES_tradnl"/>
        </w:rPr>
        <w:t>Viet Nam</w:t>
      </w:r>
      <w:r w:rsidRPr="00E675E8">
        <w:rPr>
          <w:sz w:val="16"/>
          <w:vertAlign w:val="superscript"/>
          <w:lang w:val="es-ES_tradnl"/>
        </w:rPr>
        <w:t>2</w:t>
      </w:r>
    </w:p>
    <w:p w14:paraId="4F4668BC" w14:textId="77777777" w:rsidR="00B65EDC" w:rsidRPr="00E675E8" w:rsidRDefault="00B65EDC" w:rsidP="00B65EDC">
      <w:pPr>
        <w:spacing w:before="20"/>
        <w:jc w:val="left"/>
        <w:rPr>
          <w:rFonts w:cs="Arial"/>
          <w:sz w:val="16"/>
          <w:szCs w:val="16"/>
          <w:lang w:val="es-ES_tradnl"/>
        </w:rPr>
      </w:pPr>
    </w:p>
    <w:p w14:paraId="5B2CC73E" w14:textId="77777777" w:rsidR="00B65EDC" w:rsidRPr="00E675E8" w:rsidRDefault="00B65EDC" w:rsidP="00B65EDC">
      <w:pPr>
        <w:spacing w:before="20"/>
        <w:ind w:left="113" w:hanging="113"/>
        <w:jc w:val="left"/>
        <w:rPr>
          <w:rFonts w:cs="Arial"/>
          <w:sz w:val="16"/>
          <w:szCs w:val="16"/>
          <w:lang w:val="es-ES_tradnl"/>
        </w:rPr>
      </w:pPr>
    </w:p>
    <w:p w14:paraId="5FE47248" w14:textId="77777777" w:rsidR="00B65EDC" w:rsidRPr="00E675E8" w:rsidRDefault="00B65EDC" w:rsidP="00B65EDC">
      <w:pPr>
        <w:spacing w:before="40"/>
        <w:rPr>
          <w:rFonts w:cs="Arial"/>
          <w:sz w:val="16"/>
          <w:szCs w:val="16"/>
          <w:lang w:val="es-ES_tradnl"/>
        </w:rPr>
      </w:pPr>
      <w:r w:rsidRPr="00E675E8">
        <w:rPr>
          <w:sz w:val="16"/>
          <w:lang w:val="es-ES_tradnl"/>
        </w:rPr>
        <w:t>(Total 80)</w:t>
      </w:r>
    </w:p>
    <w:p w14:paraId="5A012F69" w14:textId="77777777" w:rsidR="00B65EDC" w:rsidRPr="00E675E8" w:rsidRDefault="00B65EDC" w:rsidP="00B65EDC">
      <w:pPr>
        <w:spacing w:before="40"/>
        <w:jc w:val="left"/>
        <w:rPr>
          <w:rFonts w:cs="Arial"/>
          <w:sz w:val="16"/>
          <w:szCs w:val="16"/>
          <w:lang w:val="es-ES_tradnl"/>
        </w:rPr>
        <w:sectPr w:rsidR="00B65EDC" w:rsidRPr="00E675E8" w:rsidSect="00B65EDC">
          <w:headerReference w:type="even" r:id="rId31"/>
          <w:footerReference w:type="even" r:id="rId32"/>
          <w:footerReference w:type="default" r:id="rId33"/>
          <w:headerReference w:type="first" r:id="rId34"/>
          <w:footerReference w:type="first" r:id="rId35"/>
          <w:type w:val="continuous"/>
          <w:pgSz w:w="11907" w:h="16840" w:code="9"/>
          <w:pgMar w:top="340" w:right="567" w:bottom="567" w:left="993" w:header="510" w:footer="284" w:gutter="0"/>
          <w:cols w:num="5" w:space="58" w:equalWidth="0">
            <w:col w:w="2438" w:space="0"/>
            <w:col w:w="1801" w:space="0"/>
            <w:col w:w="2083" w:space="58"/>
            <w:col w:w="1701" w:space="84"/>
            <w:col w:w="2182"/>
          </w:cols>
          <w:docGrid w:linePitch="272"/>
        </w:sectPr>
      </w:pPr>
    </w:p>
    <w:p w14:paraId="7A84C7A0" w14:textId="77777777" w:rsidR="00B65EDC" w:rsidRPr="00E675E8" w:rsidRDefault="00B65EDC" w:rsidP="00B65EDC">
      <w:pPr>
        <w:spacing w:before="40"/>
        <w:jc w:val="left"/>
        <w:rPr>
          <w:rFonts w:cs="Arial"/>
          <w:sz w:val="16"/>
          <w:szCs w:val="16"/>
          <w:lang w:val="es-ES_tradnl"/>
        </w:rPr>
      </w:pPr>
    </w:p>
    <w:p w14:paraId="52EB4853" w14:textId="77777777" w:rsidR="00B65EDC" w:rsidRPr="00E675E8" w:rsidRDefault="00B65EDC" w:rsidP="00B65EDC">
      <w:pPr>
        <w:spacing w:before="40"/>
        <w:rPr>
          <w:rFonts w:cs="Arial"/>
          <w:sz w:val="16"/>
          <w:szCs w:val="16"/>
          <w:lang w:val="es-ES_tradnl"/>
        </w:rPr>
        <w:sectPr w:rsidR="00B65EDC" w:rsidRPr="00E675E8" w:rsidSect="00B65EDC">
          <w:type w:val="continuous"/>
          <w:pgSz w:w="11907" w:h="16840" w:code="9"/>
          <w:pgMar w:top="340" w:right="851" w:bottom="567" w:left="993" w:header="510" w:footer="284" w:gutter="0"/>
          <w:cols w:num="5" w:space="0" w:equalWidth="0">
            <w:col w:w="2478" w:space="0"/>
            <w:col w:w="1814" w:space="0"/>
            <w:col w:w="1701" w:space="0"/>
            <w:col w:w="1778" w:space="0"/>
            <w:col w:w="2292"/>
          </w:cols>
          <w:docGrid w:linePitch="272"/>
        </w:sectPr>
      </w:pPr>
    </w:p>
    <w:p w14:paraId="27427417" w14:textId="77777777" w:rsidR="00B65EDC" w:rsidRPr="00E675E8" w:rsidRDefault="00B65EDC" w:rsidP="00B65EDC">
      <w:pPr>
        <w:tabs>
          <w:tab w:val="left" w:pos="1418"/>
        </w:tabs>
        <w:spacing w:before="40" w:after="120"/>
        <w:jc w:val="left"/>
        <w:rPr>
          <w:sz w:val="16"/>
          <w:u w:val="single"/>
          <w:lang w:val="es-ES_tradnl"/>
        </w:rPr>
      </w:pPr>
      <w:r w:rsidRPr="00E675E8">
        <w:rPr>
          <w:sz w:val="16"/>
          <w:u w:val="single"/>
          <w:lang w:val="es-ES_tradnl"/>
        </w:rPr>
        <w:tab/>
      </w:r>
    </w:p>
    <w:p w14:paraId="3B6C6B53" w14:textId="77777777" w:rsidR="00B65EDC" w:rsidRPr="00E675E8" w:rsidRDefault="00B65EDC" w:rsidP="00B65EDC">
      <w:pPr>
        <w:tabs>
          <w:tab w:val="left" w:pos="284"/>
        </w:tabs>
        <w:spacing w:after="60"/>
        <w:ind w:left="84"/>
        <w:rPr>
          <w:rFonts w:cs="Arial"/>
          <w:sz w:val="14"/>
          <w:szCs w:val="16"/>
          <w:lang w:val="es-ES_tradnl"/>
        </w:rPr>
      </w:pPr>
      <w:r w:rsidRPr="00E675E8">
        <w:rPr>
          <w:sz w:val="14"/>
          <w:vertAlign w:val="superscript"/>
          <w:lang w:val="es-ES_tradnl"/>
        </w:rPr>
        <w:t>1</w:t>
      </w:r>
      <w:r w:rsidRPr="00E675E8">
        <w:rPr>
          <w:sz w:val="14"/>
          <w:lang w:val="es-ES_tradnl"/>
        </w:rPr>
        <w:tab/>
        <w:t xml:space="preserve">El Acta de 1978 es la última Acta por la que se rigen 17 Estados. </w:t>
      </w:r>
    </w:p>
    <w:p w14:paraId="495E283E" w14:textId="77777777" w:rsidR="00B65EDC" w:rsidRPr="00E675E8" w:rsidRDefault="00B65EDC" w:rsidP="00B65EDC">
      <w:pPr>
        <w:tabs>
          <w:tab w:val="left" w:pos="284"/>
        </w:tabs>
        <w:spacing w:after="60"/>
        <w:ind w:left="84"/>
        <w:rPr>
          <w:rFonts w:cs="Arial"/>
          <w:sz w:val="14"/>
          <w:szCs w:val="16"/>
          <w:lang w:val="es-ES_tradnl"/>
        </w:rPr>
      </w:pPr>
      <w:r w:rsidRPr="00E675E8">
        <w:rPr>
          <w:sz w:val="14"/>
          <w:vertAlign w:val="superscript"/>
          <w:lang w:val="es-ES_tradnl"/>
        </w:rPr>
        <w:t>2</w:t>
      </w:r>
      <w:r w:rsidRPr="00E675E8">
        <w:rPr>
          <w:sz w:val="14"/>
          <w:lang w:val="es-ES_tradnl"/>
        </w:rPr>
        <w:tab/>
        <w:t>El Acta de 1991 es la última Acta por la que se rigen 60 Estados y 2 organizaciones.</w:t>
      </w:r>
    </w:p>
    <w:p w14:paraId="3C3AAB3D" w14:textId="77777777" w:rsidR="00B65EDC" w:rsidRPr="00E675E8" w:rsidRDefault="00B65EDC" w:rsidP="00B65EDC">
      <w:pPr>
        <w:tabs>
          <w:tab w:val="left" w:pos="284"/>
        </w:tabs>
        <w:spacing w:after="60"/>
        <w:ind w:left="284" w:hanging="200"/>
        <w:rPr>
          <w:rFonts w:cs="Arial"/>
          <w:sz w:val="14"/>
          <w:szCs w:val="16"/>
          <w:lang w:val="es-ES_tradnl"/>
        </w:rPr>
      </w:pPr>
      <w:r w:rsidRPr="00E675E8">
        <w:rPr>
          <w:sz w:val="14"/>
          <w:vertAlign w:val="superscript"/>
          <w:lang w:val="es-ES_tradnl"/>
        </w:rPr>
        <w:t>3</w:t>
      </w:r>
      <w:r w:rsidRPr="00E675E8">
        <w:rPr>
          <w:sz w:val="14"/>
          <w:lang w:val="es-ES_tradnl"/>
        </w:rPr>
        <w:tab/>
        <w:t>Aplica un sistema de protección de los derechos de obtentor que cubre el territorio de sus 27 Estados miembros (Alemania, Austria, Bélgica, Bulgaria, Chipre, Croacia, Dinamarca, Eslovaquia, Eslovenia, España, Estonia, Finlandia, Francia, Grecia, Hungría, Irlanda, Italia, Letonia, Lituania, Luxemburgo, Malta, Países Bajos, Polonia, Portugal, República Checa, Rumania, Suecia).</w:t>
      </w:r>
    </w:p>
    <w:p w14:paraId="31C81F66" w14:textId="77777777" w:rsidR="00B65EDC" w:rsidRPr="00E675E8" w:rsidRDefault="00B65EDC" w:rsidP="00B65EDC">
      <w:pPr>
        <w:tabs>
          <w:tab w:val="left" w:pos="284"/>
        </w:tabs>
        <w:spacing w:after="60"/>
        <w:ind w:left="284" w:hanging="200"/>
        <w:rPr>
          <w:rFonts w:cs="Arial"/>
          <w:i/>
          <w:sz w:val="14"/>
          <w:szCs w:val="16"/>
          <w:lang w:val="es-ES_tradnl"/>
        </w:rPr>
      </w:pPr>
      <w:r w:rsidRPr="00E675E8">
        <w:rPr>
          <w:sz w:val="14"/>
          <w:vertAlign w:val="superscript"/>
          <w:lang w:val="es-ES_tradnl"/>
        </w:rPr>
        <w:t>4</w:t>
      </w:r>
      <w:r w:rsidRPr="00E675E8">
        <w:rPr>
          <w:sz w:val="14"/>
          <w:lang w:val="es-ES_tradnl"/>
        </w:rPr>
        <w:tab/>
        <w:t>Aplica un sistema de protección de los derechos de obtentor que cubre el territorio de sus 17 Estados miembros (</w:t>
      </w:r>
      <w:proofErr w:type="spellStart"/>
      <w:r w:rsidRPr="00E675E8">
        <w:rPr>
          <w:sz w:val="14"/>
          <w:lang w:val="es-ES_tradnl"/>
        </w:rPr>
        <w:t>Benin</w:t>
      </w:r>
      <w:proofErr w:type="spellEnd"/>
      <w:r w:rsidRPr="00E675E8">
        <w:rPr>
          <w:sz w:val="14"/>
          <w:lang w:val="es-ES_tradnl"/>
        </w:rPr>
        <w:t xml:space="preserve">, Burkina Faso, Camerún, Chad, Comoras, Congo, </w:t>
      </w:r>
      <w:proofErr w:type="spellStart"/>
      <w:r w:rsidRPr="00E675E8">
        <w:rPr>
          <w:sz w:val="14"/>
          <w:lang w:val="es-ES_tradnl"/>
        </w:rPr>
        <w:t>Côte</w:t>
      </w:r>
      <w:proofErr w:type="spellEnd"/>
      <w:r w:rsidRPr="00E675E8">
        <w:rPr>
          <w:sz w:val="14"/>
          <w:lang w:val="es-ES_tradnl"/>
        </w:rPr>
        <w:t xml:space="preserve"> </w:t>
      </w:r>
      <w:proofErr w:type="spellStart"/>
      <w:r w:rsidRPr="00E675E8">
        <w:rPr>
          <w:sz w:val="14"/>
          <w:lang w:val="es-ES_tradnl"/>
        </w:rPr>
        <w:t>d’Ivoire</w:t>
      </w:r>
      <w:proofErr w:type="spellEnd"/>
      <w:r w:rsidRPr="00E675E8">
        <w:rPr>
          <w:sz w:val="14"/>
          <w:lang w:val="es-ES_tradnl"/>
        </w:rPr>
        <w:t>, Gabón, Guinea, Guinea-Bissau, Guinea Ecuatorial, Malí, Mauritania, Níger, República Centroafricana, Senegal, Togo).</w:t>
      </w:r>
    </w:p>
    <w:p w14:paraId="15298E61" w14:textId="77777777" w:rsidR="00B65EDC" w:rsidRPr="00E675E8" w:rsidRDefault="00B65EDC" w:rsidP="00B65EDC">
      <w:pPr>
        <w:pStyle w:val="BodyText3"/>
        <w:tabs>
          <w:tab w:val="left" w:pos="284"/>
        </w:tabs>
        <w:spacing w:after="0" w:line="360" w:lineRule="auto"/>
        <w:jc w:val="both"/>
        <w:rPr>
          <w:rFonts w:ascii="Arial" w:hAnsi="Arial" w:cs="Arial"/>
          <w:sz w:val="18"/>
          <w:szCs w:val="20"/>
          <w:lang w:val="es-ES_tradnl"/>
        </w:rPr>
      </w:pPr>
    </w:p>
    <w:p w14:paraId="7647D316" w14:textId="77777777" w:rsidR="00B65EDC" w:rsidRPr="00E675E8" w:rsidRDefault="00B65EDC" w:rsidP="00B65EDC">
      <w:pPr>
        <w:ind w:left="284" w:hanging="284"/>
        <w:jc w:val="left"/>
        <w:rPr>
          <w:rFonts w:cs="Arial"/>
          <w:b/>
          <w:color w:val="26724C" w:themeColor="accent1" w:themeShade="BF"/>
          <w:spacing w:val="-2"/>
          <w:sz w:val="18"/>
          <w:szCs w:val="16"/>
          <w:lang w:val="es-ES_tradnl"/>
        </w:rPr>
      </w:pPr>
      <w:r w:rsidRPr="00E675E8">
        <w:rPr>
          <w:b/>
          <w:color w:val="26724C" w:themeColor="accent1" w:themeShade="BF"/>
          <w:sz w:val="18"/>
          <w:lang w:val="es-ES_tradnl"/>
        </w:rPr>
        <w:t>B.</w:t>
      </w:r>
      <w:r w:rsidRPr="00E675E8">
        <w:rPr>
          <w:b/>
          <w:color w:val="26724C" w:themeColor="accent1" w:themeShade="BF"/>
          <w:sz w:val="18"/>
          <w:lang w:val="es-ES_tradnl"/>
        </w:rPr>
        <w:tab/>
        <w:t>Estados y organizaciones intergubernamentales que han iniciado el procedimiento de adhesión al Convenio de la UPOV</w:t>
      </w:r>
    </w:p>
    <w:p w14:paraId="3C79E782" w14:textId="77777777" w:rsidR="00B65EDC" w:rsidRPr="00E675E8" w:rsidRDefault="00B65EDC" w:rsidP="00B65EDC">
      <w:pPr>
        <w:tabs>
          <w:tab w:val="left" w:pos="284"/>
        </w:tabs>
        <w:ind w:left="284"/>
        <w:rPr>
          <w:rFonts w:cs="Arial"/>
          <w:sz w:val="16"/>
          <w:szCs w:val="16"/>
          <w:lang w:val="es-ES_tradnl"/>
        </w:rPr>
      </w:pPr>
    </w:p>
    <w:p w14:paraId="2BB32B16" w14:textId="77777777" w:rsidR="00B65EDC" w:rsidRPr="00E675E8" w:rsidRDefault="00B65EDC" w:rsidP="00B65EDC">
      <w:pPr>
        <w:keepNext/>
        <w:rPr>
          <w:rFonts w:cs="Arial"/>
          <w:i/>
          <w:sz w:val="16"/>
          <w:szCs w:val="16"/>
          <w:lang w:val="es-ES_tradnl"/>
        </w:rPr>
      </w:pPr>
      <w:r w:rsidRPr="00E675E8">
        <w:rPr>
          <w:i/>
          <w:sz w:val="16"/>
          <w:lang w:val="es-ES_tradnl"/>
        </w:rPr>
        <w:t>Estados (18):</w:t>
      </w:r>
    </w:p>
    <w:p w14:paraId="1388C210" w14:textId="77777777" w:rsidR="00B65EDC" w:rsidRPr="00E675E8" w:rsidRDefault="00B65EDC" w:rsidP="00B65EDC">
      <w:pPr>
        <w:keepNext/>
        <w:rPr>
          <w:rFonts w:cs="Arial"/>
          <w:sz w:val="10"/>
          <w:szCs w:val="16"/>
          <w:lang w:val="es-ES_tradnl"/>
        </w:rPr>
      </w:pPr>
    </w:p>
    <w:p w14:paraId="008995D7" w14:textId="77777777" w:rsidR="00B65EDC" w:rsidRPr="00E675E8" w:rsidRDefault="00B65EDC" w:rsidP="00B65EDC">
      <w:pPr>
        <w:rPr>
          <w:rFonts w:cs="Arial"/>
          <w:spacing w:val="-2"/>
          <w:sz w:val="16"/>
          <w:szCs w:val="16"/>
          <w:lang w:val="es-ES_tradnl"/>
        </w:rPr>
      </w:pPr>
      <w:r w:rsidRPr="00E675E8">
        <w:rPr>
          <w:sz w:val="16"/>
          <w:lang w:val="es-ES_tradnl"/>
        </w:rPr>
        <w:t xml:space="preserve">Afganistán, </w:t>
      </w:r>
      <w:proofErr w:type="spellStart"/>
      <w:r w:rsidRPr="00E675E8">
        <w:rPr>
          <w:sz w:val="16"/>
          <w:lang w:val="es-ES_tradnl"/>
        </w:rPr>
        <w:t>Brunei</w:t>
      </w:r>
      <w:proofErr w:type="spellEnd"/>
      <w:r w:rsidRPr="00E675E8">
        <w:rPr>
          <w:sz w:val="16"/>
          <w:lang w:val="es-ES_tradnl"/>
        </w:rPr>
        <w:t xml:space="preserve"> Darussalam, Emiratos Árabes Unidos, Filipinas, Guatemala, Honduras, India, Irán (República Islámica del), Jamaica, Kazajstán, Malasia, Mauricio, Mongolia, Myanmar, República Democrática Popular Lao, Tayikistán, Venezuela (República Bolivariana de) y </w:t>
      </w:r>
      <w:proofErr w:type="spellStart"/>
      <w:r w:rsidRPr="00E675E8">
        <w:rPr>
          <w:sz w:val="16"/>
          <w:lang w:val="es-ES_tradnl"/>
        </w:rPr>
        <w:t>Zimbabwe</w:t>
      </w:r>
      <w:proofErr w:type="spellEnd"/>
    </w:p>
    <w:p w14:paraId="39460B29" w14:textId="77777777" w:rsidR="00B65EDC" w:rsidRPr="00E675E8" w:rsidRDefault="00B65EDC" w:rsidP="00B65EDC">
      <w:pPr>
        <w:rPr>
          <w:rFonts w:cs="Arial"/>
          <w:sz w:val="16"/>
          <w:szCs w:val="16"/>
          <w:lang w:val="es-ES_tradnl"/>
        </w:rPr>
      </w:pPr>
    </w:p>
    <w:p w14:paraId="4F26E442" w14:textId="77777777" w:rsidR="00B65EDC" w:rsidRPr="00E675E8" w:rsidRDefault="00B65EDC" w:rsidP="00B65EDC">
      <w:pPr>
        <w:rPr>
          <w:rFonts w:cs="Arial"/>
          <w:i/>
          <w:spacing w:val="-2"/>
          <w:sz w:val="16"/>
          <w:szCs w:val="16"/>
          <w:lang w:val="es-ES_tradnl"/>
        </w:rPr>
      </w:pPr>
      <w:r w:rsidRPr="00E675E8">
        <w:rPr>
          <w:i/>
          <w:sz w:val="16"/>
          <w:lang w:val="es-ES_tradnl"/>
        </w:rPr>
        <w:t>Organización (1):</w:t>
      </w:r>
    </w:p>
    <w:p w14:paraId="220F9E68" w14:textId="77777777" w:rsidR="00B65EDC" w:rsidRPr="00E675E8" w:rsidRDefault="00B65EDC" w:rsidP="00B65EDC">
      <w:pPr>
        <w:rPr>
          <w:rFonts w:cs="Arial"/>
          <w:spacing w:val="-2"/>
          <w:sz w:val="10"/>
          <w:szCs w:val="16"/>
          <w:lang w:val="es-ES_tradnl"/>
        </w:rPr>
      </w:pPr>
    </w:p>
    <w:p w14:paraId="4C3CBADF" w14:textId="77777777" w:rsidR="00B65EDC" w:rsidRPr="00E675E8" w:rsidRDefault="00B65EDC" w:rsidP="00B65EDC">
      <w:pPr>
        <w:rPr>
          <w:rFonts w:cs="Arial"/>
          <w:sz w:val="16"/>
          <w:szCs w:val="24"/>
          <w:lang w:val="es-ES_tradnl"/>
        </w:rPr>
      </w:pPr>
      <w:r w:rsidRPr="00E675E8">
        <w:rPr>
          <w:sz w:val="16"/>
          <w:lang w:val="es-ES_tradnl"/>
        </w:rPr>
        <w:t xml:space="preserve">Organización Regional Africana de la Propiedad Intelectual (ARIPO) </w:t>
      </w:r>
    </w:p>
    <w:p w14:paraId="50D9D49A" w14:textId="793D4A7C" w:rsidR="00B65EDC" w:rsidRPr="00E675E8" w:rsidRDefault="00B65EDC" w:rsidP="00B65EDC">
      <w:pPr>
        <w:rPr>
          <w:rFonts w:cs="Arial"/>
          <w:sz w:val="16"/>
          <w:szCs w:val="16"/>
          <w:lang w:val="es-ES_tradnl"/>
        </w:rPr>
      </w:pPr>
      <w:r w:rsidRPr="00E675E8">
        <w:rPr>
          <w:i/>
          <w:sz w:val="16"/>
          <w:lang w:val="es-ES_tradnl"/>
        </w:rPr>
        <w:t>(Estados miembros de la ARIPO (22):</w:t>
      </w:r>
      <w:r w:rsidR="002817AB" w:rsidRPr="00E675E8">
        <w:rPr>
          <w:i/>
          <w:sz w:val="16"/>
          <w:lang w:val="es-ES_tradnl"/>
        </w:rPr>
        <w:t xml:space="preserve"> </w:t>
      </w:r>
      <w:proofErr w:type="spellStart"/>
      <w:r w:rsidRPr="00E675E8">
        <w:rPr>
          <w:i/>
          <w:sz w:val="16"/>
          <w:lang w:val="es-ES_tradnl"/>
        </w:rPr>
        <w:t>Botswana</w:t>
      </w:r>
      <w:proofErr w:type="spellEnd"/>
      <w:r w:rsidRPr="00E675E8">
        <w:rPr>
          <w:i/>
          <w:sz w:val="16"/>
          <w:lang w:val="es-ES_tradnl"/>
        </w:rPr>
        <w:t xml:space="preserve">, Cabo Verde, </w:t>
      </w:r>
      <w:proofErr w:type="spellStart"/>
      <w:r w:rsidRPr="00E675E8">
        <w:rPr>
          <w:i/>
          <w:sz w:val="16"/>
          <w:lang w:val="es-ES_tradnl"/>
        </w:rPr>
        <w:t>Eswatini</w:t>
      </w:r>
      <w:proofErr w:type="spellEnd"/>
      <w:r w:rsidRPr="00E675E8">
        <w:rPr>
          <w:i/>
          <w:sz w:val="16"/>
          <w:lang w:val="es-ES_tradnl"/>
        </w:rPr>
        <w:t xml:space="preserve">, Gambia, Ghana, </w:t>
      </w:r>
      <w:proofErr w:type="spellStart"/>
      <w:r w:rsidRPr="00E675E8">
        <w:rPr>
          <w:i/>
          <w:sz w:val="16"/>
          <w:lang w:val="es-ES_tradnl"/>
        </w:rPr>
        <w:t>Kenya</w:t>
      </w:r>
      <w:proofErr w:type="spellEnd"/>
      <w:r w:rsidRPr="00E675E8">
        <w:rPr>
          <w:i/>
          <w:sz w:val="16"/>
          <w:lang w:val="es-ES_tradnl"/>
        </w:rPr>
        <w:t xml:space="preserve">, </w:t>
      </w:r>
      <w:proofErr w:type="spellStart"/>
      <w:r w:rsidRPr="00E675E8">
        <w:rPr>
          <w:i/>
          <w:sz w:val="16"/>
          <w:lang w:val="es-ES_tradnl"/>
        </w:rPr>
        <w:t>Lesotho</w:t>
      </w:r>
      <w:proofErr w:type="spellEnd"/>
      <w:r w:rsidRPr="00E675E8">
        <w:rPr>
          <w:i/>
          <w:sz w:val="16"/>
          <w:lang w:val="es-ES_tradnl"/>
        </w:rPr>
        <w:t xml:space="preserve">, Liberia, Malawi, Mauricio, Mozambique, Namibia, República Unida de </w:t>
      </w:r>
      <w:proofErr w:type="spellStart"/>
      <w:r w:rsidRPr="00E675E8">
        <w:rPr>
          <w:i/>
          <w:sz w:val="16"/>
          <w:lang w:val="es-ES_tradnl"/>
        </w:rPr>
        <w:t>Tanzanía</w:t>
      </w:r>
      <w:proofErr w:type="spellEnd"/>
      <w:r w:rsidRPr="00E675E8">
        <w:rPr>
          <w:i/>
          <w:sz w:val="16"/>
          <w:lang w:val="es-ES_tradnl"/>
        </w:rPr>
        <w:t xml:space="preserve">, </w:t>
      </w:r>
      <w:proofErr w:type="spellStart"/>
      <w:r w:rsidRPr="00E675E8">
        <w:rPr>
          <w:i/>
          <w:sz w:val="16"/>
          <w:lang w:val="es-ES_tradnl"/>
        </w:rPr>
        <w:t>Rwanda</w:t>
      </w:r>
      <w:proofErr w:type="spellEnd"/>
      <w:r w:rsidRPr="00E675E8">
        <w:rPr>
          <w:i/>
          <w:sz w:val="16"/>
          <w:lang w:val="es-ES_tradnl"/>
        </w:rPr>
        <w:t xml:space="preserve">, Santo Tomé y Príncipe, Seychelles, Sierra Leona, Somalia, Sudán, Uganda, Zambia, </w:t>
      </w:r>
      <w:proofErr w:type="spellStart"/>
      <w:r w:rsidRPr="00E675E8">
        <w:rPr>
          <w:i/>
          <w:sz w:val="16"/>
          <w:lang w:val="es-ES_tradnl"/>
        </w:rPr>
        <w:t>Zimbabwe</w:t>
      </w:r>
      <w:proofErr w:type="spellEnd"/>
      <w:r w:rsidRPr="00E675E8">
        <w:rPr>
          <w:i/>
          <w:sz w:val="16"/>
          <w:lang w:val="es-ES_tradnl"/>
        </w:rPr>
        <w:t xml:space="preserve">) </w:t>
      </w:r>
    </w:p>
    <w:p w14:paraId="4FBDFEBF" w14:textId="77777777" w:rsidR="00B65EDC" w:rsidRPr="00E675E8" w:rsidRDefault="00B65EDC" w:rsidP="00B65EDC">
      <w:pPr>
        <w:rPr>
          <w:rFonts w:cs="Arial"/>
          <w:sz w:val="16"/>
          <w:szCs w:val="16"/>
          <w:lang w:val="es-ES_tradnl"/>
        </w:rPr>
      </w:pPr>
    </w:p>
    <w:p w14:paraId="46E2C751" w14:textId="77777777" w:rsidR="00B65EDC" w:rsidRPr="00E675E8" w:rsidRDefault="00B65EDC" w:rsidP="00B65EDC">
      <w:pPr>
        <w:rPr>
          <w:rFonts w:cs="Arial"/>
          <w:sz w:val="16"/>
          <w:szCs w:val="16"/>
          <w:lang w:val="es-ES_tradnl"/>
        </w:rPr>
      </w:pPr>
    </w:p>
    <w:p w14:paraId="050557C7" w14:textId="77777777" w:rsidR="00B65EDC" w:rsidRPr="00E675E8" w:rsidRDefault="00B65EDC" w:rsidP="00B65EDC">
      <w:pPr>
        <w:ind w:left="284" w:hanging="284"/>
        <w:jc w:val="left"/>
        <w:rPr>
          <w:rFonts w:cs="Arial"/>
          <w:b/>
          <w:color w:val="26724C" w:themeColor="accent1" w:themeShade="BF"/>
          <w:sz w:val="18"/>
          <w:szCs w:val="24"/>
          <w:lang w:val="es-ES_tradnl"/>
        </w:rPr>
      </w:pPr>
      <w:r w:rsidRPr="00E675E8">
        <w:rPr>
          <w:b/>
          <w:color w:val="26724C" w:themeColor="accent1" w:themeShade="BF"/>
          <w:sz w:val="18"/>
          <w:lang w:val="es-ES_tradnl"/>
        </w:rPr>
        <w:t>C.</w:t>
      </w:r>
      <w:r w:rsidRPr="00E675E8">
        <w:rPr>
          <w:b/>
          <w:color w:val="26724C" w:themeColor="accent1" w:themeShade="BF"/>
          <w:sz w:val="18"/>
          <w:lang w:val="es-ES_tradnl"/>
        </w:rPr>
        <w:tab/>
        <w:t>Estados y organizaciones intergubernamentales que se han puesto en contacto con la Oficina de la Unión para solicitar asistencia en la elaboración de legislación basada en el Convenio de la UPOV</w:t>
      </w:r>
    </w:p>
    <w:p w14:paraId="39052F9B" w14:textId="77777777" w:rsidR="00B65EDC" w:rsidRPr="00E675E8" w:rsidRDefault="00B65EDC" w:rsidP="00B65EDC">
      <w:pPr>
        <w:jc w:val="center"/>
        <w:rPr>
          <w:rFonts w:cs="Arial"/>
          <w:b/>
          <w:sz w:val="18"/>
          <w:szCs w:val="24"/>
          <w:lang w:val="es-ES_tradnl"/>
        </w:rPr>
      </w:pPr>
    </w:p>
    <w:p w14:paraId="17001DA2" w14:textId="77777777" w:rsidR="00B65EDC" w:rsidRPr="00E675E8" w:rsidRDefault="00B65EDC" w:rsidP="00B65EDC">
      <w:pPr>
        <w:keepNext/>
        <w:rPr>
          <w:rFonts w:cs="Arial"/>
          <w:i/>
          <w:sz w:val="16"/>
          <w:szCs w:val="24"/>
          <w:lang w:val="es-ES_tradnl"/>
        </w:rPr>
      </w:pPr>
      <w:r w:rsidRPr="00E675E8">
        <w:rPr>
          <w:i/>
          <w:sz w:val="16"/>
          <w:lang w:val="es-ES_tradnl"/>
        </w:rPr>
        <w:t>Estados (28):</w:t>
      </w:r>
    </w:p>
    <w:p w14:paraId="7A7D9EE6" w14:textId="77777777" w:rsidR="00B65EDC" w:rsidRPr="00E675E8" w:rsidRDefault="00B65EDC" w:rsidP="00B65EDC">
      <w:pPr>
        <w:keepNext/>
        <w:rPr>
          <w:rFonts w:cs="Arial"/>
          <w:sz w:val="10"/>
          <w:szCs w:val="24"/>
          <w:lang w:val="es-ES_tradnl"/>
        </w:rPr>
      </w:pPr>
    </w:p>
    <w:p w14:paraId="4045CF99" w14:textId="77777777" w:rsidR="00B65EDC" w:rsidRPr="00E675E8" w:rsidRDefault="00B65EDC" w:rsidP="00B65EDC">
      <w:pPr>
        <w:suppressAutoHyphens/>
        <w:rPr>
          <w:rFonts w:cs="Arial"/>
          <w:spacing w:val="-2"/>
          <w:sz w:val="16"/>
          <w:szCs w:val="24"/>
          <w:lang w:val="es-ES_tradnl"/>
        </w:rPr>
      </w:pPr>
      <w:r w:rsidRPr="00E675E8">
        <w:rPr>
          <w:sz w:val="16"/>
          <w:lang w:val="es-ES_tradnl"/>
        </w:rPr>
        <w:t xml:space="preserve">Antigua y Barbuda, Arabia Saudita, Argelia, </w:t>
      </w:r>
      <w:proofErr w:type="spellStart"/>
      <w:r w:rsidRPr="00E675E8">
        <w:rPr>
          <w:sz w:val="16"/>
          <w:lang w:val="es-ES_tradnl"/>
        </w:rPr>
        <w:t>Bahrein</w:t>
      </w:r>
      <w:proofErr w:type="spellEnd"/>
      <w:r w:rsidRPr="00E675E8">
        <w:rPr>
          <w:sz w:val="16"/>
          <w:lang w:val="es-ES_tradnl"/>
        </w:rPr>
        <w:t xml:space="preserve">, Barbados, Cabo Verde, Camboya, Chipre, Cuba, El Salvador, Gambia, Indonesia, Iraq, Libia, Liechtenstein, Malawi, Mozambique, Namibia, Pakistán, </w:t>
      </w:r>
      <w:proofErr w:type="spellStart"/>
      <w:r w:rsidRPr="00E675E8">
        <w:rPr>
          <w:sz w:val="16"/>
          <w:lang w:val="es-ES_tradnl"/>
        </w:rPr>
        <w:t>Rwanda</w:t>
      </w:r>
      <w:proofErr w:type="spellEnd"/>
      <w:r w:rsidRPr="00E675E8">
        <w:rPr>
          <w:sz w:val="16"/>
          <w:lang w:val="es-ES_tradnl"/>
        </w:rPr>
        <w:t xml:space="preserve">, Seychelles, Sudán, </w:t>
      </w:r>
      <w:proofErr w:type="spellStart"/>
      <w:r w:rsidRPr="00E675E8">
        <w:rPr>
          <w:sz w:val="16"/>
          <w:lang w:val="es-ES_tradnl"/>
        </w:rPr>
        <w:t>Suriname</w:t>
      </w:r>
      <w:proofErr w:type="spellEnd"/>
      <w:r w:rsidRPr="00E675E8">
        <w:rPr>
          <w:sz w:val="16"/>
          <w:lang w:val="es-ES_tradnl"/>
        </w:rPr>
        <w:t>, Tailandia, Timor-Leste, Tonga, Turkmenistán y Zambia</w:t>
      </w:r>
    </w:p>
    <w:p w14:paraId="5139E5BD" w14:textId="77777777" w:rsidR="00B65EDC" w:rsidRPr="00E675E8" w:rsidRDefault="00B65EDC" w:rsidP="00B65EDC">
      <w:pPr>
        <w:rPr>
          <w:rFonts w:cs="Arial"/>
          <w:sz w:val="16"/>
          <w:szCs w:val="24"/>
          <w:lang w:val="es-ES_tradnl"/>
        </w:rPr>
      </w:pPr>
    </w:p>
    <w:p w14:paraId="352F769A" w14:textId="77777777" w:rsidR="00B65EDC" w:rsidRPr="00E675E8" w:rsidRDefault="00B65EDC" w:rsidP="00B65EDC">
      <w:pPr>
        <w:keepNext/>
        <w:rPr>
          <w:rFonts w:cs="Arial"/>
          <w:i/>
          <w:sz w:val="16"/>
          <w:szCs w:val="24"/>
          <w:lang w:val="es-ES_tradnl"/>
        </w:rPr>
      </w:pPr>
      <w:r w:rsidRPr="00E675E8">
        <w:rPr>
          <w:i/>
          <w:sz w:val="16"/>
          <w:lang w:val="es-ES_tradnl"/>
        </w:rPr>
        <w:t>Organización (1):</w:t>
      </w:r>
    </w:p>
    <w:p w14:paraId="78E5BDD8" w14:textId="77777777" w:rsidR="00B65EDC" w:rsidRPr="00E675E8" w:rsidRDefault="00B65EDC" w:rsidP="00B65EDC">
      <w:pPr>
        <w:keepNext/>
        <w:rPr>
          <w:rFonts w:cs="Arial"/>
          <w:sz w:val="10"/>
          <w:szCs w:val="24"/>
          <w:lang w:val="es-ES_tradnl"/>
        </w:rPr>
      </w:pPr>
    </w:p>
    <w:p w14:paraId="20B107C0" w14:textId="77777777" w:rsidR="00B65EDC" w:rsidRPr="00E675E8" w:rsidRDefault="00B65EDC" w:rsidP="00B65EDC">
      <w:pPr>
        <w:rPr>
          <w:rFonts w:cs="Arial"/>
          <w:sz w:val="16"/>
          <w:szCs w:val="24"/>
          <w:lang w:val="es-ES_tradnl"/>
        </w:rPr>
      </w:pPr>
      <w:r w:rsidRPr="00E675E8">
        <w:rPr>
          <w:sz w:val="16"/>
          <w:lang w:val="es-ES_tradnl"/>
        </w:rPr>
        <w:t xml:space="preserve">Comunidad para el Desarrollo del África Austral (SADC) </w:t>
      </w:r>
    </w:p>
    <w:p w14:paraId="42830307" w14:textId="4BB6AC46" w:rsidR="00B65EDC" w:rsidRPr="00E675E8" w:rsidRDefault="00B65EDC" w:rsidP="00B65EDC">
      <w:pPr>
        <w:rPr>
          <w:rFonts w:cs="Arial"/>
          <w:i/>
          <w:sz w:val="16"/>
          <w:szCs w:val="24"/>
          <w:lang w:val="es-ES_tradnl"/>
        </w:rPr>
      </w:pPr>
      <w:r w:rsidRPr="00E675E8">
        <w:rPr>
          <w:i/>
          <w:sz w:val="16"/>
          <w:lang w:val="es-ES_tradnl"/>
        </w:rPr>
        <w:t>(Estados miembros de la SADC (15):</w:t>
      </w:r>
      <w:r w:rsidR="002817AB" w:rsidRPr="00E675E8">
        <w:rPr>
          <w:i/>
          <w:sz w:val="16"/>
          <w:lang w:val="es-ES_tradnl"/>
        </w:rPr>
        <w:t xml:space="preserve"> </w:t>
      </w:r>
      <w:r w:rsidRPr="00E675E8">
        <w:rPr>
          <w:i/>
          <w:sz w:val="16"/>
          <w:lang w:val="es-ES_tradnl"/>
        </w:rPr>
        <w:t xml:space="preserve">Angola, </w:t>
      </w:r>
      <w:proofErr w:type="spellStart"/>
      <w:r w:rsidRPr="00E675E8">
        <w:rPr>
          <w:i/>
          <w:sz w:val="16"/>
          <w:lang w:val="es-ES_tradnl"/>
        </w:rPr>
        <w:t>Botswana</w:t>
      </w:r>
      <w:proofErr w:type="spellEnd"/>
      <w:r w:rsidRPr="00E675E8">
        <w:rPr>
          <w:i/>
          <w:sz w:val="16"/>
          <w:lang w:val="es-ES_tradnl"/>
        </w:rPr>
        <w:t xml:space="preserve">, </w:t>
      </w:r>
      <w:proofErr w:type="spellStart"/>
      <w:r w:rsidRPr="00E675E8">
        <w:rPr>
          <w:i/>
          <w:sz w:val="16"/>
          <w:lang w:val="es-ES_tradnl"/>
        </w:rPr>
        <w:t>Eswatini</w:t>
      </w:r>
      <w:proofErr w:type="spellEnd"/>
      <w:r w:rsidRPr="00E675E8">
        <w:rPr>
          <w:i/>
          <w:sz w:val="16"/>
          <w:lang w:val="es-ES_tradnl"/>
        </w:rPr>
        <w:t xml:space="preserve">, </w:t>
      </w:r>
      <w:proofErr w:type="spellStart"/>
      <w:r w:rsidRPr="00E675E8">
        <w:rPr>
          <w:i/>
          <w:sz w:val="16"/>
          <w:lang w:val="es-ES_tradnl"/>
        </w:rPr>
        <w:t>Lesotho</w:t>
      </w:r>
      <w:proofErr w:type="spellEnd"/>
      <w:r w:rsidRPr="00E675E8">
        <w:rPr>
          <w:i/>
          <w:sz w:val="16"/>
          <w:lang w:val="es-ES_tradnl"/>
        </w:rPr>
        <w:t xml:space="preserve">, Madagascar, Malawi, Mauricio, Mozambique, Namibia, República Democrática del Congo, República Unida de </w:t>
      </w:r>
      <w:proofErr w:type="spellStart"/>
      <w:r w:rsidRPr="00E675E8">
        <w:rPr>
          <w:i/>
          <w:sz w:val="16"/>
          <w:lang w:val="es-ES_tradnl"/>
        </w:rPr>
        <w:t>Tanzanía</w:t>
      </w:r>
      <w:proofErr w:type="spellEnd"/>
      <w:r w:rsidRPr="00E675E8">
        <w:rPr>
          <w:i/>
          <w:sz w:val="16"/>
          <w:lang w:val="es-ES_tradnl"/>
        </w:rPr>
        <w:t xml:space="preserve">, Seychelles, Sudáfrica, Zambia, </w:t>
      </w:r>
      <w:proofErr w:type="spellStart"/>
      <w:r w:rsidRPr="00E675E8">
        <w:rPr>
          <w:i/>
          <w:sz w:val="16"/>
          <w:lang w:val="es-ES_tradnl"/>
        </w:rPr>
        <w:t>Zimbabwe</w:t>
      </w:r>
      <w:proofErr w:type="spellEnd"/>
      <w:r w:rsidRPr="00E675E8">
        <w:rPr>
          <w:i/>
          <w:sz w:val="16"/>
          <w:lang w:val="es-ES_tradnl"/>
        </w:rPr>
        <w:t>)</w:t>
      </w:r>
    </w:p>
    <w:p w14:paraId="1E53E0ED" w14:textId="77777777" w:rsidR="00953B60" w:rsidRPr="00E675E8" w:rsidRDefault="00953B60" w:rsidP="00B65EDC">
      <w:pPr>
        <w:rPr>
          <w:rFonts w:cs="Arial"/>
          <w:i/>
          <w:sz w:val="16"/>
          <w:szCs w:val="24"/>
          <w:lang w:val="es-ES_tradnl"/>
        </w:rPr>
      </w:pPr>
    </w:p>
    <w:p w14:paraId="00A12D5A" w14:textId="77777777" w:rsidR="00953B60" w:rsidRPr="00E675E8" w:rsidRDefault="00953B60" w:rsidP="00B65EDC">
      <w:pPr>
        <w:rPr>
          <w:rFonts w:cs="Arial"/>
          <w:i/>
          <w:sz w:val="16"/>
          <w:szCs w:val="24"/>
          <w:lang w:val="es-ES_tradnl"/>
        </w:rPr>
      </w:pPr>
    </w:p>
    <w:p w14:paraId="3717F8D0" w14:textId="77777777" w:rsidR="00B65EDC" w:rsidRPr="00E675E8" w:rsidRDefault="00B65EDC" w:rsidP="00B65EDC">
      <w:pPr>
        <w:pStyle w:val="Endofdocument"/>
        <w:spacing w:before="120"/>
        <w:jc w:val="right"/>
        <w:rPr>
          <w:rFonts w:ascii="Arial" w:hAnsi="Arial" w:cs="Arial"/>
          <w:snapToGrid w:val="0"/>
          <w:color w:val="000000"/>
          <w:sz w:val="20"/>
          <w:lang w:val="es-ES_tradnl"/>
        </w:rPr>
      </w:pPr>
      <w:r w:rsidRPr="00E675E8">
        <w:rPr>
          <w:rFonts w:ascii="Arial" w:hAnsi="Arial"/>
          <w:snapToGrid w:val="0"/>
          <w:color w:val="000000"/>
          <w:sz w:val="20"/>
          <w:lang w:val="es-ES_tradnl"/>
        </w:rPr>
        <w:t>[Sigue el Apéndice II]</w:t>
      </w:r>
    </w:p>
    <w:p w14:paraId="2DB1122A" w14:textId="77777777" w:rsidR="00B65EDC" w:rsidRPr="00E675E8" w:rsidRDefault="00B65EDC" w:rsidP="00B65EDC">
      <w:pPr>
        <w:pStyle w:val="Endofdocument"/>
        <w:jc w:val="both"/>
        <w:rPr>
          <w:rFonts w:ascii="Arial" w:hAnsi="Arial" w:cs="Arial"/>
          <w:snapToGrid w:val="0"/>
          <w:color w:val="000000"/>
          <w:sz w:val="20"/>
          <w:lang w:val="es-ES_tradnl"/>
        </w:rPr>
        <w:sectPr w:rsidR="00B65EDC" w:rsidRPr="00E675E8" w:rsidSect="00B65EDC">
          <w:headerReference w:type="even" r:id="rId36"/>
          <w:footerReference w:type="even" r:id="rId37"/>
          <w:footerReference w:type="default" r:id="rId38"/>
          <w:headerReference w:type="first" r:id="rId39"/>
          <w:footerReference w:type="first" r:id="rId40"/>
          <w:type w:val="continuous"/>
          <w:pgSz w:w="11907" w:h="16840" w:code="9"/>
          <w:pgMar w:top="510" w:right="1134" w:bottom="709" w:left="1134" w:header="510" w:footer="523" w:gutter="0"/>
          <w:cols w:space="720"/>
        </w:sectPr>
      </w:pPr>
    </w:p>
    <w:p w14:paraId="7D129D7C" w14:textId="63154F82" w:rsidR="00B65EDC" w:rsidRPr="00E675E8" w:rsidRDefault="00B65EDC" w:rsidP="004448C7">
      <w:pPr>
        <w:pStyle w:val="Heading9"/>
        <w:rPr>
          <w:lang w:val="es-ES_tradnl"/>
        </w:rPr>
      </w:pPr>
      <w:bookmarkStart w:id="522" w:name="_Toc209777782"/>
      <w:r w:rsidRPr="00E675E8">
        <w:rPr>
          <w:lang w:val="es-ES_tradnl"/>
        </w:rPr>
        <w:lastRenderedPageBreak/>
        <w:t>Apéndice II</w:t>
      </w:r>
      <w:r w:rsidRPr="00E675E8">
        <w:rPr>
          <w:lang w:val="es-ES_tradnl"/>
        </w:rPr>
        <w:tab/>
        <w:t>Contribuciones de los miembros</w:t>
      </w:r>
      <w:bookmarkEnd w:id="522"/>
      <w:r w:rsidRPr="00E675E8">
        <w:rPr>
          <w:lang w:val="es-ES_tradnl"/>
        </w:rPr>
        <w:t xml:space="preserve"> </w:t>
      </w:r>
    </w:p>
    <w:p w14:paraId="4E30A225" w14:textId="77777777" w:rsidR="00B65EDC" w:rsidRPr="00E675E8" w:rsidRDefault="00B65EDC" w:rsidP="00B65EDC">
      <w:pPr>
        <w:jc w:val="center"/>
        <w:rPr>
          <w:i/>
          <w:sz w:val="18"/>
          <w:szCs w:val="18"/>
          <w:lang w:val="es-ES_tradnl"/>
        </w:rPr>
      </w:pPr>
    </w:p>
    <w:p w14:paraId="3AC94846" w14:textId="77777777" w:rsidR="00B65EDC" w:rsidRPr="00E675E8" w:rsidRDefault="00B65EDC" w:rsidP="00B65EDC">
      <w:pPr>
        <w:spacing w:after="120"/>
        <w:jc w:val="center"/>
        <w:rPr>
          <w:i/>
          <w:caps/>
          <w:sz w:val="18"/>
          <w:szCs w:val="18"/>
          <w:lang w:val="es-ES_tradnl"/>
        </w:rPr>
      </w:pPr>
      <w:r w:rsidRPr="00E675E8">
        <w:rPr>
          <w:i/>
          <w:sz w:val="18"/>
          <w:lang w:val="es-ES_tradnl"/>
        </w:rPr>
        <w:t>(en francos suizos)</w:t>
      </w:r>
    </w:p>
    <w:tbl>
      <w:tblPr>
        <w:tblW w:w="9781" w:type="dxa"/>
        <w:tblLook w:val="04A0" w:firstRow="1" w:lastRow="0" w:firstColumn="1" w:lastColumn="0" w:noHBand="0" w:noVBand="1"/>
      </w:tblPr>
      <w:tblGrid>
        <w:gridCol w:w="1276"/>
        <w:gridCol w:w="1276"/>
        <w:gridCol w:w="3474"/>
        <w:gridCol w:w="1001"/>
        <w:gridCol w:w="1392"/>
        <w:gridCol w:w="1362"/>
      </w:tblGrid>
      <w:tr w:rsidR="00B65EDC" w:rsidRPr="00E675E8" w14:paraId="225864D4" w14:textId="77777777">
        <w:trPr>
          <w:trHeight w:val="472"/>
          <w:tblHeader/>
        </w:trPr>
        <w:tc>
          <w:tcPr>
            <w:tcW w:w="1276" w:type="dxa"/>
            <w:tcBorders>
              <w:top w:val="nil"/>
              <w:left w:val="nil"/>
              <w:bottom w:val="nil"/>
              <w:right w:val="nil"/>
            </w:tcBorders>
            <w:shd w:val="clear" w:color="000000" w:fill="C7CFD8"/>
            <w:vAlign w:val="center"/>
            <w:hideMark/>
          </w:tcPr>
          <w:p w14:paraId="56E66F4F" w14:textId="77777777" w:rsidR="00B65EDC" w:rsidRPr="00E675E8" w:rsidRDefault="00B65EDC">
            <w:pPr>
              <w:jc w:val="center"/>
              <w:rPr>
                <w:rFonts w:ascii="Arial Narrow" w:hAnsi="Arial Narrow" w:cs="Arial"/>
                <w:b/>
                <w:bCs/>
                <w:color w:val="000000"/>
                <w:sz w:val="18"/>
                <w:szCs w:val="18"/>
                <w:lang w:val="es-ES_tradnl"/>
              </w:rPr>
            </w:pPr>
            <w:r w:rsidRPr="00E675E8">
              <w:rPr>
                <w:rFonts w:ascii="Arial Narrow" w:hAnsi="Arial Narrow"/>
                <w:b/>
                <w:color w:val="000000"/>
                <w:sz w:val="18"/>
                <w:lang w:val="es-ES_tradnl"/>
              </w:rPr>
              <w:t>2024</w:t>
            </w:r>
          </w:p>
        </w:tc>
        <w:tc>
          <w:tcPr>
            <w:tcW w:w="1276" w:type="dxa"/>
            <w:tcBorders>
              <w:top w:val="nil"/>
              <w:left w:val="nil"/>
              <w:bottom w:val="nil"/>
              <w:right w:val="nil"/>
            </w:tcBorders>
            <w:shd w:val="clear" w:color="000000" w:fill="C7CFD8"/>
            <w:vAlign w:val="center"/>
            <w:hideMark/>
          </w:tcPr>
          <w:p w14:paraId="61490748" w14:textId="77777777" w:rsidR="00B65EDC" w:rsidRPr="00E675E8" w:rsidRDefault="00B65EDC">
            <w:pPr>
              <w:jc w:val="center"/>
              <w:rPr>
                <w:rFonts w:ascii="Arial Narrow" w:hAnsi="Arial Narrow" w:cs="Arial"/>
                <w:b/>
                <w:bCs/>
                <w:color w:val="000000"/>
                <w:sz w:val="18"/>
                <w:szCs w:val="18"/>
                <w:lang w:val="es-ES_tradnl"/>
              </w:rPr>
            </w:pPr>
            <w:r w:rsidRPr="00E675E8">
              <w:rPr>
                <w:rFonts w:ascii="Arial Narrow" w:hAnsi="Arial Narrow"/>
                <w:b/>
                <w:color w:val="000000"/>
                <w:sz w:val="18"/>
                <w:lang w:val="es-ES_tradnl"/>
              </w:rPr>
              <w:t>2025</w:t>
            </w:r>
          </w:p>
        </w:tc>
        <w:tc>
          <w:tcPr>
            <w:tcW w:w="3474" w:type="dxa"/>
            <w:vMerge w:val="restart"/>
            <w:tcBorders>
              <w:top w:val="nil"/>
              <w:left w:val="nil"/>
              <w:bottom w:val="single" w:sz="8" w:space="0" w:color="BFBFBF"/>
              <w:right w:val="nil"/>
            </w:tcBorders>
            <w:shd w:val="clear" w:color="000000" w:fill="C7CFD8"/>
            <w:vAlign w:val="center"/>
            <w:hideMark/>
          </w:tcPr>
          <w:p w14:paraId="49A95057" w14:textId="77777777" w:rsidR="00B65EDC" w:rsidRPr="00E675E8" w:rsidRDefault="00B65EDC">
            <w:pPr>
              <w:jc w:val="center"/>
              <w:rPr>
                <w:rFonts w:ascii="Arial Narrow" w:hAnsi="Arial Narrow" w:cs="Arial"/>
                <w:b/>
                <w:bCs/>
                <w:color w:val="000000"/>
                <w:sz w:val="18"/>
                <w:szCs w:val="18"/>
                <w:lang w:val="es-ES_tradnl"/>
              </w:rPr>
            </w:pPr>
            <w:r w:rsidRPr="00E675E8">
              <w:rPr>
                <w:rFonts w:ascii="Arial Narrow" w:hAnsi="Arial Narrow"/>
                <w:b/>
                <w:color w:val="000000"/>
                <w:sz w:val="18"/>
                <w:lang w:val="es-ES_tradnl"/>
              </w:rPr>
              <w:t>Miembros</w:t>
            </w:r>
          </w:p>
        </w:tc>
        <w:tc>
          <w:tcPr>
            <w:tcW w:w="1001" w:type="dxa"/>
            <w:tcBorders>
              <w:top w:val="nil"/>
              <w:left w:val="nil"/>
              <w:bottom w:val="nil"/>
              <w:right w:val="nil"/>
            </w:tcBorders>
            <w:shd w:val="clear" w:color="000000" w:fill="C7CFD8"/>
            <w:vAlign w:val="center"/>
            <w:hideMark/>
          </w:tcPr>
          <w:p w14:paraId="7F7BE4C1" w14:textId="77777777" w:rsidR="00B65EDC" w:rsidRPr="00E675E8" w:rsidRDefault="00B65EDC">
            <w:pPr>
              <w:jc w:val="center"/>
              <w:rPr>
                <w:rFonts w:ascii="Arial Narrow" w:hAnsi="Arial Narrow" w:cs="Arial"/>
                <w:b/>
                <w:bCs/>
                <w:color w:val="000000"/>
                <w:sz w:val="18"/>
                <w:szCs w:val="18"/>
                <w:lang w:val="es-ES_tradnl"/>
              </w:rPr>
            </w:pPr>
            <w:r w:rsidRPr="00E675E8">
              <w:rPr>
                <w:rFonts w:ascii="Arial Narrow" w:hAnsi="Arial Narrow"/>
                <w:b/>
                <w:color w:val="000000"/>
                <w:sz w:val="18"/>
                <w:lang w:val="es-ES_tradnl"/>
              </w:rPr>
              <w:t>Número</w:t>
            </w:r>
          </w:p>
        </w:tc>
        <w:tc>
          <w:tcPr>
            <w:tcW w:w="1392" w:type="dxa"/>
            <w:tcBorders>
              <w:top w:val="nil"/>
              <w:left w:val="nil"/>
              <w:bottom w:val="nil"/>
              <w:right w:val="nil"/>
            </w:tcBorders>
            <w:shd w:val="clear" w:color="000000" w:fill="C7CFD8"/>
            <w:vAlign w:val="center"/>
            <w:hideMark/>
          </w:tcPr>
          <w:p w14:paraId="4F03C76F" w14:textId="77777777" w:rsidR="00B65EDC" w:rsidRPr="00E675E8" w:rsidRDefault="00B65EDC">
            <w:pPr>
              <w:jc w:val="center"/>
              <w:rPr>
                <w:rFonts w:ascii="Arial Narrow" w:hAnsi="Arial Narrow" w:cs="Arial"/>
                <w:b/>
                <w:bCs/>
                <w:color w:val="000000"/>
                <w:sz w:val="18"/>
                <w:szCs w:val="18"/>
                <w:lang w:val="es-ES_tradnl"/>
              </w:rPr>
            </w:pPr>
            <w:r w:rsidRPr="00E675E8">
              <w:rPr>
                <w:rFonts w:ascii="Arial Narrow" w:hAnsi="Arial Narrow"/>
                <w:b/>
                <w:color w:val="000000"/>
                <w:sz w:val="18"/>
                <w:lang w:val="es-ES_tradnl"/>
              </w:rPr>
              <w:t>2026</w:t>
            </w:r>
          </w:p>
        </w:tc>
        <w:tc>
          <w:tcPr>
            <w:tcW w:w="1362" w:type="dxa"/>
            <w:tcBorders>
              <w:top w:val="nil"/>
              <w:left w:val="nil"/>
              <w:bottom w:val="nil"/>
              <w:right w:val="nil"/>
            </w:tcBorders>
            <w:shd w:val="clear" w:color="000000" w:fill="C7CFD8"/>
            <w:vAlign w:val="center"/>
            <w:hideMark/>
          </w:tcPr>
          <w:p w14:paraId="5F06C8F6" w14:textId="77777777" w:rsidR="00B65EDC" w:rsidRPr="00E675E8" w:rsidRDefault="00B65EDC">
            <w:pPr>
              <w:jc w:val="center"/>
              <w:rPr>
                <w:rFonts w:ascii="Arial Narrow" w:hAnsi="Arial Narrow" w:cs="Arial"/>
                <w:b/>
                <w:bCs/>
                <w:color w:val="000000"/>
                <w:sz w:val="18"/>
                <w:szCs w:val="18"/>
                <w:lang w:val="es-ES_tradnl"/>
              </w:rPr>
            </w:pPr>
            <w:r w:rsidRPr="00E675E8">
              <w:rPr>
                <w:rFonts w:ascii="Arial Narrow" w:hAnsi="Arial Narrow"/>
                <w:b/>
                <w:color w:val="000000"/>
                <w:sz w:val="18"/>
                <w:lang w:val="es-ES_tradnl"/>
              </w:rPr>
              <w:t>2027</w:t>
            </w:r>
          </w:p>
        </w:tc>
      </w:tr>
      <w:tr w:rsidR="00B65EDC" w:rsidRPr="00E675E8" w14:paraId="773BBB3A" w14:textId="77777777">
        <w:trPr>
          <w:trHeight w:val="462"/>
          <w:tblHeader/>
        </w:trPr>
        <w:tc>
          <w:tcPr>
            <w:tcW w:w="1276" w:type="dxa"/>
            <w:tcBorders>
              <w:top w:val="nil"/>
              <w:left w:val="nil"/>
              <w:bottom w:val="single" w:sz="8" w:space="0" w:color="BFBFBF"/>
              <w:right w:val="nil"/>
            </w:tcBorders>
            <w:shd w:val="clear" w:color="000000" w:fill="C7CFD8"/>
            <w:hideMark/>
          </w:tcPr>
          <w:p w14:paraId="3420DC3A" w14:textId="77777777" w:rsidR="00B65EDC" w:rsidRPr="00E675E8" w:rsidRDefault="00B65EDC">
            <w:pPr>
              <w:jc w:val="center"/>
              <w:rPr>
                <w:rFonts w:ascii="Arial Narrow" w:hAnsi="Arial Narrow" w:cs="Arial"/>
                <w:b/>
                <w:bCs/>
                <w:color w:val="000000"/>
                <w:sz w:val="18"/>
                <w:szCs w:val="18"/>
                <w:lang w:val="es-ES_tradnl"/>
              </w:rPr>
            </w:pPr>
            <w:r w:rsidRPr="00E675E8">
              <w:rPr>
                <w:rFonts w:ascii="Arial Narrow" w:hAnsi="Arial Narrow"/>
                <w:b/>
                <w:color w:val="000000"/>
                <w:sz w:val="18"/>
                <w:lang w:val="es-ES_tradnl"/>
              </w:rPr>
              <w:t>Facturado</w:t>
            </w:r>
          </w:p>
        </w:tc>
        <w:tc>
          <w:tcPr>
            <w:tcW w:w="1276" w:type="dxa"/>
            <w:tcBorders>
              <w:top w:val="nil"/>
              <w:left w:val="nil"/>
              <w:bottom w:val="single" w:sz="8" w:space="0" w:color="BFBFBF"/>
              <w:right w:val="nil"/>
            </w:tcBorders>
            <w:shd w:val="clear" w:color="000000" w:fill="C7CFD8"/>
            <w:hideMark/>
          </w:tcPr>
          <w:p w14:paraId="6BAD7449" w14:textId="77777777" w:rsidR="00B65EDC" w:rsidRPr="00E675E8" w:rsidRDefault="00B65EDC">
            <w:pPr>
              <w:jc w:val="center"/>
              <w:rPr>
                <w:rFonts w:ascii="Arial Narrow" w:hAnsi="Arial Narrow" w:cs="Arial"/>
                <w:b/>
                <w:bCs/>
                <w:color w:val="000000"/>
                <w:sz w:val="18"/>
                <w:szCs w:val="18"/>
                <w:lang w:val="es-ES_tradnl"/>
              </w:rPr>
            </w:pPr>
            <w:r w:rsidRPr="00E675E8">
              <w:rPr>
                <w:rFonts w:ascii="Arial Narrow" w:hAnsi="Arial Narrow"/>
                <w:b/>
                <w:color w:val="000000"/>
                <w:sz w:val="18"/>
                <w:lang w:val="es-ES_tradnl"/>
              </w:rPr>
              <w:t>Facturado</w:t>
            </w:r>
          </w:p>
        </w:tc>
        <w:tc>
          <w:tcPr>
            <w:tcW w:w="3474" w:type="dxa"/>
            <w:vMerge/>
            <w:tcBorders>
              <w:top w:val="nil"/>
              <w:left w:val="nil"/>
              <w:bottom w:val="single" w:sz="8" w:space="0" w:color="BFBFBF"/>
              <w:right w:val="nil"/>
            </w:tcBorders>
            <w:vAlign w:val="center"/>
            <w:hideMark/>
          </w:tcPr>
          <w:p w14:paraId="7852FED7" w14:textId="77777777" w:rsidR="00B65EDC" w:rsidRPr="00E675E8" w:rsidRDefault="00B65EDC">
            <w:pPr>
              <w:jc w:val="left"/>
              <w:rPr>
                <w:rFonts w:ascii="Arial Narrow" w:hAnsi="Arial Narrow" w:cs="Arial"/>
                <w:b/>
                <w:bCs/>
                <w:color w:val="000000"/>
                <w:sz w:val="18"/>
                <w:szCs w:val="18"/>
                <w:lang w:val="es-ES_tradnl"/>
              </w:rPr>
            </w:pPr>
          </w:p>
        </w:tc>
        <w:tc>
          <w:tcPr>
            <w:tcW w:w="1001" w:type="dxa"/>
            <w:tcBorders>
              <w:top w:val="nil"/>
              <w:left w:val="nil"/>
              <w:bottom w:val="single" w:sz="8" w:space="0" w:color="BFBFBF"/>
              <w:right w:val="nil"/>
            </w:tcBorders>
            <w:shd w:val="clear" w:color="000000" w:fill="C7CFD8"/>
            <w:hideMark/>
          </w:tcPr>
          <w:p w14:paraId="230774B8" w14:textId="77777777" w:rsidR="00B65EDC" w:rsidRPr="00E675E8" w:rsidRDefault="00B65EDC">
            <w:pPr>
              <w:jc w:val="center"/>
              <w:rPr>
                <w:rFonts w:ascii="Arial Narrow" w:hAnsi="Arial Narrow" w:cs="Arial"/>
                <w:b/>
                <w:bCs/>
                <w:color w:val="000000"/>
                <w:sz w:val="18"/>
                <w:szCs w:val="18"/>
                <w:lang w:val="es-ES_tradnl"/>
              </w:rPr>
            </w:pPr>
            <w:r w:rsidRPr="00E675E8">
              <w:rPr>
                <w:rFonts w:ascii="Arial Narrow" w:hAnsi="Arial Narrow"/>
                <w:b/>
                <w:color w:val="000000"/>
                <w:sz w:val="18"/>
                <w:lang w:val="es-ES_tradnl"/>
              </w:rPr>
              <w:t>de unidades</w:t>
            </w:r>
          </w:p>
        </w:tc>
        <w:tc>
          <w:tcPr>
            <w:tcW w:w="1392" w:type="dxa"/>
            <w:tcBorders>
              <w:top w:val="nil"/>
              <w:left w:val="nil"/>
              <w:bottom w:val="single" w:sz="8" w:space="0" w:color="BFBFBF"/>
              <w:right w:val="nil"/>
            </w:tcBorders>
            <w:shd w:val="clear" w:color="000000" w:fill="C7CFD8"/>
            <w:vAlign w:val="center"/>
            <w:hideMark/>
          </w:tcPr>
          <w:p w14:paraId="70157EFF" w14:textId="77777777" w:rsidR="00B65EDC" w:rsidRPr="00E675E8" w:rsidRDefault="00B65EDC">
            <w:pPr>
              <w:jc w:val="center"/>
              <w:rPr>
                <w:rFonts w:ascii="Arial Narrow" w:hAnsi="Arial Narrow" w:cs="Arial"/>
                <w:b/>
                <w:bCs/>
                <w:color w:val="000000"/>
                <w:sz w:val="18"/>
                <w:szCs w:val="18"/>
                <w:lang w:val="es-ES_tradnl"/>
              </w:rPr>
            </w:pPr>
            <w:r w:rsidRPr="00E675E8">
              <w:rPr>
                <w:rFonts w:ascii="Arial Narrow" w:hAnsi="Arial Narrow"/>
                <w:b/>
                <w:color w:val="000000"/>
                <w:sz w:val="18"/>
                <w:lang w:val="es-ES_tradnl"/>
              </w:rPr>
              <w:t>Facturación estimada</w:t>
            </w:r>
          </w:p>
        </w:tc>
        <w:tc>
          <w:tcPr>
            <w:tcW w:w="1362" w:type="dxa"/>
            <w:tcBorders>
              <w:top w:val="nil"/>
              <w:left w:val="nil"/>
              <w:bottom w:val="single" w:sz="8" w:space="0" w:color="BFBFBF"/>
              <w:right w:val="nil"/>
            </w:tcBorders>
            <w:shd w:val="clear" w:color="000000" w:fill="C7CFD8"/>
            <w:vAlign w:val="center"/>
            <w:hideMark/>
          </w:tcPr>
          <w:p w14:paraId="03B5F9C5" w14:textId="77777777" w:rsidR="00B65EDC" w:rsidRPr="00E675E8" w:rsidRDefault="00B65EDC">
            <w:pPr>
              <w:jc w:val="center"/>
              <w:rPr>
                <w:rFonts w:ascii="Arial Narrow" w:hAnsi="Arial Narrow" w:cs="Arial"/>
                <w:b/>
                <w:bCs/>
                <w:color w:val="000000"/>
                <w:sz w:val="18"/>
                <w:szCs w:val="18"/>
                <w:lang w:val="es-ES_tradnl"/>
              </w:rPr>
            </w:pPr>
            <w:r w:rsidRPr="00E675E8">
              <w:rPr>
                <w:rFonts w:ascii="Arial Narrow" w:hAnsi="Arial Narrow"/>
                <w:b/>
                <w:color w:val="000000"/>
                <w:sz w:val="18"/>
                <w:lang w:val="es-ES_tradnl"/>
              </w:rPr>
              <w:t>Facturación estimada</w:t>
            </w:r>
          </w:p>
        </w:tc>
      </w:tr>
      <w:tr w:rsidR="00B65EDC" w:rsidRPr="00E675E8" w14:paraId="009E41AB" w14:textId="77777777" w:rsidTr="00A538F6">
        <w:trPr>
          <w:trHeight w:val="162"/>
        </w:trPr>
        <w:tc>
          <w:tcPr>
            <w:tcW w:w="1276" w:type="dxa"/>
            <w:tcBorders>
              <w:top w:val="nil"/>
              <w:left w:val="nil"/>
              <w:bottom w:val="nil"/>
              <w:right w:val="nil"/>
            </w:tcBorders>
            <w:vAlign w:val="center"/>
            <w:hideMark/>
          </w:tcPr>
          <w:p w14:paraId="498A96E8" w14:textId="77777777" w:rsidR="00B65EDC" w:rsidRPr="00E675E8" w:rsidRDefault="00B65EDC">
            <w:pPr>
              <w:jc w:val="center"/>
              <w:rPr>
                <w:rFonts w:ascii="Arial Narrow" w:hAnsi="Arial Narrow" w:cs="Arial"/>
                <w:b/>
                <w:bCs/>
                <w:color w:val="000000"/>
                <w:sz w:val="18"/>
                <w:szCs w:val="18"/>
                <w:lang w:val="es-ES_tradnl"/>
              </w:rPr>
            </w:pPr>
          </w:p>
        </w:tc>
        <w:tc>
          <w:tcPr>
            <w:tcW w:w="1276" w:type="dxa"/>
            <w:tcBorders>
              <w:top w:val="nil"/>
              <w:left w:val="nil"/>
              <w:bottom w:val="nil"/>
              <w:right w:val="nil"/>
            </w:tcBorders>
            <w:vAlign w:val="center"/>
            <w:hideMark/>
          </w:tcPr>
          <w:p w14:paraId="64CC1F6A" w14:textId="77777777" w:rsidR="00B65EDC" w:rsidRPr="00E675E8" w:rsidRDefault="00B65EDC">
            <w:pPr>
              <w:jc w:val="right"/>
              <w:rPr>
                <w:rFonts w:ascii="Times New Roman" w:hAnsi="Times New Roman"/>
                <w:lang w:val="es-ES_tradnl"/>
              </w:rPr>
            </w:pPr>
          </w:p>
        </w:tc>
        <w:tc>
          <w:tcPr>
            <w:tcW w:w="3474" w:type="dxa"/>
            <w:tcBorders>
              <w:top w:val="nil"/>
              <w:left w:val="nil"/>
              <w:bottom w:val="nil"/>
              <w:right w:val="nil"/>
            </w:tcBorders>
            <w:vAlign w:val="center"/>
            <w:hideMark/>
          </w:tcPr>
          <w:p w14:paraId="05DE1D3F" w14:textId="77777777" w:rsidR="00B65EDC" w:rsidRPr="00E675E8" w:rsidRDefault="00B65EDC">
            <w:pPr>
              <w:jc w:val="right"/>
              <w:rPr>
                <w:rFonts w:ascii="Times New Roman" w:hAnsi="Times New Roman"/>
                <w:lang w:val="es-ES_tradnl"/>
              </w:rPr>
            </w:pPr>
          </w:p>
        </w:tc>
        <w:tc>
          <w:tcPr>
            <w:tcW w:w="1001" w:type="dxa"/>
            <w:tcBorders>
              <w:top w:val="nil"/>
              <w:left w:val="nil"/>
              <w:bottom w:val="nil"/>
              <w:right w:val="nil"/>
            </w:tcBorders>
            <w:vAlign w:val="center"/>
            <w:hideMark/>
          </w:tcPr>
          <w:p w14:paraId="3514B767" w14:textId="77777777" w:rsidR="00B65EDC" w:rsidRPr="00E675E8" w:rsidRDefault="00B65EDC">
            <w:pPr>
              <w:rPr>
                <w:rFonts w:ascii="Times New Roman" w:hAnsi="Times New Roman"/>
                <w:lang w:val="es-ES_tradnl"/>
              </w:rPr>
            </w:pPr>
          </w:p>
        </w:tc>
        <w:tc>
          <w:tcPr>
            <w:tcW w:w="1392" w:type="dxa"/>
            <w:tcBorders>
              <w:top w:val="nil"/>
              <w:left w:val="nil"/>
              <w:bottom w:val="nil"/>
              <w:right w:val="nil"/>
            </w:tcBorders>
            <w:vAlign w:val="center"/>
            <w:hideMark/>
          </w:tcPr>
          <w:p w14:paraId="76CCC920" w14:textId="77777777" w:rsidR="00B65EDC" w:rsidRPr="00E675E8" w:rsidRDefault="00B65EDC">
            <w:pPr>
              <w:jc w:val="left"/>
              <w:rPr>
                <w:rFonts w:ascii="Times New Roman" w:hAnsi="Times New Roman"/>
                <w:lang w:val="es-ES_tradnl"/>
              </w:rPr>
            </w:pPr>
          </w:p>
        </w:tc>
        <w:tc>
          <w:tcPr>
            <w:tcW w:w="1362" w:type="dxa"/>
            <w:tcBorders>
              <w:top w:val="nil"/>
              <w:left w:val="nil"/>
              <w:bottom w:val="nil"/>
              <w:right w:val="nil"/>
            </w:tcBorders>
            <w:vAlign w:val="center"/>
            <w:hideMark/>
          </w:tcPr>
          <w:p w14:paraId="294CC13E" w14:textId="77777777" w:rsidR="00B65EDC" w:rsidRPr="00E675E8" w:rsidRDefault="00B65EDC">
            <w:pPr>
              <w:jc w:val="right"/>
              <w:rPr>
                <w:rFonts w:ascii="Times New Roman" w:hAnsi="Times New Roman"/>
                <w:lang w:val="es-ES_tradnl"/>
              </w:rPr>
            </w:pPr>
          </w:p>
        </w:tc>
      </w:tr>
      <w:tr w:rsidR="00B65EDC" w:rsidRPr="00E675E8" w14:paraId="7642F862" w14:textId="77777777" w:rsidTr="00A538F6">
        <w:trPr>
          <w:trHeight w:val="256"/>
        </w:trPr>
        <w:tc>
          <w:tcPr>
            <w:tcW w:w="1276" w:type="dxa"/>
            <w:tcBorders>
              <w:top w:val="nil"/>
              <w:left w:val="nil"/>
              <w:bottom w:val="nil"/>
              <w:right w:val="nil"/>
            </w:tcBorders>
            <w:vAlign w:val="center"/>
          </w:tcPr>
          <w:p w14:paraId="5249DDF0" w14:textId="77777777" w:rsidR="00B65EDC" w:rsidRPr="00E675E8" w:rsidRDefault="00B65EDC">
            <w:pPr>
              <w:jc w:val="right"/>
              <w:rPr>
                <w:rFonts w:ascii="Arial Narrow" w:hAnsi="Arial Narrow" w:cs="Arial"/>
                <w:color w:val="000000"/>
                <w:sz w:val="18"/>
                <w:szCs w:val="18"/>
                <w:lang w:val="es-ES_tradnl"/>
              </w:rPr>
            </w:pPr>
            <w:bookmarkStart w:id="523" w:name="RANGE!A10"/>
            <w:r w:rsidRPr="00E675E8">
              <w:rPr>
                <w:rFonts w:ascii="Arial Narrow" w:hAnsi="Arial Narrow"/>
                <w:color w:val="000000"/>
                <w:sz w:val="18"/>
                <w:lang w:val="es-ES_tradnl"/>
              </w:rPr>
              <w:t>10 728</w:t>
            </w:r>
            <w:bookmarkEnd w:id="523"/>
          </w:p>
        </w:tc>
        <w:tc>
          <w:tcPr>
            <w:tcW w:w="1276" w:type="dxa"/>
            <w:tcBorders>
              <w:top w:val="nil"/>
              <w:left w:val="nil"/>
              <w:bottom w:val="nil"/>
              <w:right w:val="nil"/>
            </w:tcBorders>
            <w:vAlign w:val="center"/>
          </w:tcPr>
          <w:p w14:paraId="76D42F7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452D76B1"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Organización Africana de la Propiedad Intelectual (OAPI)</w:t>
            </w:r>
          </w:p>
        </w:tc>
        <w:tc>
          <w:tcPr>
            <w:tcW w:w="1001" w:type="dxa"/>
            <w:tcBorders>
              <w:top w:val="nil"/>
              <w:left w:val="nil"/>
              <w:bottom w:val="nil"/>
              <w:right w:val="nil"/>
            </w:tcBorders>
            <w:vAlign w:val="center"/>
          </w:tcPr>
          <w:p w14:paraId="7C2F406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3BC5F8D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34E953D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1A4ED2F2" w14:textId="77777777" w:rsidTr="00A538F6">
        <w:trPr>
          <w:trHeight w:val="256"/>
        </w:trPr>
        <w:tc>
          <w:tcPr>
            <w:tcW w:w="1276" w:type="dxa"/>
            <w:tcBorders>
              <w:top w:val="nil"/>
              <w:left w:val="nil"/>
              <w:bottom w:val="nil"/>
              <w:right w:val="nil"/>
            </w:tcBorders>
            <w:vAlign w:val="center"/>
          </w:tcPr>
          <w:p w14:paraId="023FC32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632EC39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1412BE45"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Albania</w:t>
            </w:r>
          </w:p>
        </w:tc>
        <w:tc>
          <w:tcPr>
            <w:tcW w:w="1001" w:type="dxa"/>
            <w:tcBorders>
              <w:top w:val="nil"/>
              <w:left w:val="nil"/>
              <w:bottom w:val="nil"/>
              <w:right w:val="nil"/>
            </w:tcBorders>
            <w:vAlign w:val="center"/>
          </w:tcPr>
          <w:p w14:paraId="2E1A26F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3C54EF8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2174D65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69CF63B9" w14:textId="77777777" w:rsidTr="00A538F6">
        <w:trPr>
          <w:trHeight w:val="256"/>
        </w:trPr>
        <w:tc>
          <w:tcPr>
            <w:tcW w:w="1276" w:type="dxa"/>
            <w:tcBorders>
              <w:top w:val="nil"/>
              <w:left w:val="nil"/>
              <w:bottom w:val="nil"/>
              <w:right w:val="nil"/>
            </w:tcBorders>
            <w:vAlign w:val="center"/>
          </w:tcPr>
          <w:p w14:paraId="5CFF488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1276" w:type="dxa"/>
            <w:tcBorders>
              <w:top w:val="nil"/>
              <w:left w:val="nil"/>
              <w:bottom w:val="nil"/>
              <w:right w:val="nil"/>
            </w:tcBorders>
            <w:vAlign w:val="center"/>
          </w:tcPr>
          <w:p w14:paraId="488D7EB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3474" w:type="dxa"/>
            <w:tcBorders>
              <w:top w:val="nil"/>
              <w:left w:val="nil"/>
              <w:bottom w:val="nil"/>
              <w:right w:val="nil"/>
            </w:tcBorders>
            <w:vAlign w:val="center"/>
            <w:hideMark/>
          </w:tcPr>
          <w:p w14:paraId="77430400"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Argentina</w:t>
            </w:r>
          </w:p>
        </w:tc>
        <w:tc>
          <w:tcPr>
            <w:tcW w:w="1001" w:type="dxa"/>
            <w:tcBorders>
              <w:top w:val="nil"/>
              <w:left w:val="nil"/>
              <w:bottom w:val="nil"/>
              <w:right w:val="nil"/>
            </w:tcBorders>
            <w:vAlign w:val="center"/>
          </w:tcPr>
          <w:p w14:paraId="60FD65D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0,50</w:t>
            </w:r>
          </w:p>
        </w:tc>
        <w:tc>
          <w:tcPr>
            <w:tcW w:w="1392" w:type="dxa"/>
            <w:tcBorders>
              <w:top w:val="nil"/>
              <w:left w:val="nil"/>
              <w:bottom w:val="nil"/>
              <w:right w:val="nil"/>
            </w:tcBorders>
            <w:vAlign w:val="center"/>
          </w:tcPr>
          <w:p w14:paraId="7437D97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1362" w:type="dxa"/>
            <w:tcBorders>
              <w:top w:val="nil"/>
              <w:left w:val="nil"/>
              <w:bottom w:val="nil"/>
              <w:right w:val="nil"/>
            </w:tcBorders>
            <w:vAlign w:val="center"/>
          </w:tcPr>
          <w:p w14:paraId="1D9EA29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r>
      <w:tr w:rsidR="00B65EDC" w:rsidRPr="00E675E8" w14:paraId="383DB54F" w14:textId="77777777" w:rsidTr="00A538F6">
        <w:trPr>
          <w:trHeight w:val="256"/>
        </w:trPr>
        <w:tc>
          <w:tcPr>
            <w:tcW w:w="1276" w:type="dxa"/>
            <w:tcBorders>
              <w:top w:val="nil"/>
              <w:left w:val="nil"/>
              <w:bottom w:val="nil"/>
              <w:right w:val="nil"/>
            </w:tcBorders>
            <w:vAlign w:val="center"/>
          </w:tcPr>
          <w:p w14:paraId="5431A23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w:t>
            </w:r>
          </w:p>
        </w:tc>
        <w:tc>
          <w:tcPr>
            <w:tcW w:w="1276" w:type="dxa"/>
            <w:tcBorders>
              <w:top w:val="nil"/>
              <w:left w:val="nil"/>
              <w:bottom w:val="nil"/>
              <w:right w:val="nil"/>
            </w:tcBorders>
            <w:vAlign w:val="center"/>
          </w:tcPr>
          <w:p w14:paraId="0F2A364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tcPr>
          <w:p w14:paraId="617066FA"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Armenia</w:t>
            </w:r>
            <w:r w:rsidRPr="00E675E8">
              <w:rPr>
                <w:rFonts w:ascii="Arial Narrow" w:hAnsi="Arial Narrow"/>
                <w:color w:val="000000"/>
                <w:sz w:val="18"/>
                <w:vertAlign w:val="superscript"/>
                <w:lang w:val="es-ES_tradnl"/>
              </w:rPr>
              <w:t>1</w:t>
            </w:r>
          </w:p>
        </w:tc>
        <w:tc>
          <w:tcPr>
            <w:tcW w:w="1001" w:type="dxa"/>
            <w:tcBorders>
              <w:top w:val="nil"/>
              <w:left w:val="nil"/>
              <w:bottom w:val="nil"/>
              <w:right w:val="nil"/>
            </w:tcBorders>
            <w:vAlign w:val="center"/>
          </w:tcPr>
          <w:p w14:paraId="302B7F5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0FC092A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69C7FCE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1015FFB4" w14:textId="77777777" w:rsidTr="00A538F6">
        <w:trPr>
          <w:trHeight w:val="256"/>
        </w:trPr>
        <w:tc>
          <w:tcPr>
            <w:tcW w:w="1276" w:type="dxa"/>
            <w:tcBorders>
              <w:top w:val="nil"/>
              <w:left w:val="nil"/>
              <w:bottom w:val="nil"/>
              <w:right w:val="nil"/>
            </w:tcBorders>
            <w:vAlign w:val="center"/>
          </w:tcPr>
          <w:p w14:paraId="3261628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1276" w:type="dxa"/>
            <w:tcBorders>
              <w:top w:val="nil"/>
              <w:left w:val="nil"/>
              <w:bottom w:val="nil"/>
              <w:right w:val="nil"/>
            </w:tcBorders>
            <w:vAlign w:val="center"/>
          </w:tcPr>
          <w:p w14:paraId="5D0EA6A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3474" w:type="dxa"/>
            <w:tcBorders>
              <w:top w:val="nil"/>
              <w:left w:val="nil"/>
              <w:bottom w:val="nil"/>
              <w:right w:val="nil"/>
            </w:tcBorders>
            <w:vAlign w:val="center"/>
            <w:hideMark/>
          </w:tcPr>
          <w:p w14:paraId="161CDA18"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Australia</w:t>
            </w:r>
          </w:p>
        </w:tc>
        <w:tc>
          <w:tcPr>
            <w:tcW w:w="1001" w:type="dxa"/>
            <w:tcBorders>
              <w:top w:val="nil"/>
              <w:left w:val="nil"/>
              <w:bottom w:val="nil"/>
              <w:right w:val="nil"/>
            </w:tcBorders>
            <w:vAlign w:val="center"/>
          </w:tcPr>
          <w:p w14:paraId="6BE79ABD"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1,00</w:t>
            </w:r>
          </w:p>
        </w:tc>
        <w:tc>
          <w:tcPr>
            <w:tcW w:w="1392" w:type="dxa"/>
            <w:tcBorders>
              <w:top w:val="nil"/>
              <w:left w:val="nil"/>
              <w:bottom w:val="nil"/>
              <w:right w:val="nil"/>
            </w:tcBorders>
            <w:vAlign w:val="center"/>
          </w:tcPr>
          <w:p w14:paraId="2F28449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1362" w:type="dxa"/>
            <w:tcBorders>
              <w:top w:val="nil"/>
              <w:left w:val="nil"/>
              <w:bottom w:val="nil"/>
              <w:right w:val="nil"/>
            </w:tcBorders>
            <w:vAlign w:val="center"/>
          </w:tcPr>
          <w:p w14:paraId="36DB248D"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r>
      <w:tr w:rsidR="00B65EDC" w:rsidRPr="00E675E8" w14:paraId="7A2430AF" w14:textId="77777777" w:rsidTr="00A538F6">
        <w:trPr>
          <w:trHeight w:val="256"/>
        </w:trPr>
        <w:tc>
          <w:tcPr>
            <w:tcW w:w="1276" w:type="dxa"/>
            <w:tcBorders>
              <w:top w:val="nil"/>
              <w:left w:val="nil"/>
              <w:bottom w:val="nil"/>
              <w:right w:val="nil"/>
            </w:tcBorders>
            <w:vAlign w:val="center"/>
          </w:tcPr>
          <w:p w14:paraId="36FF64F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40 231</w:t>
            </w:r>
          </w:p>
        </w:tc>
        <w:tc>
          <w:tcPr>
            <w:tcW w:w="1276" w:type="dxa"/>
            <w:tcBorders>
              <w:top w:val="nil"/>
              <w:left w:val="nil"/>
              <w:bottom w:val="nil"/>
              <w:right w:val="nil"/>
            </w:tcBorders>
            <w:vAlign w:val="center"/>
          </w:tcPr>
          <w:p w14:paraId="7ED264D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40 231</w:t>
            </w:r>
          </w:p>
        </w:tc>
        <w:tc>
          <w:tcPr>
            <w:tcW w:w="3474" w:type="dxa"/>
            <w:tcBorders>
              <w:top w:val="nil"/>
              <w:left w:val="nil"/>
              <w:bottom w:val="nil"/>
              <w:right w:val="nil"/>
            </w:tcBorders>
            <w:vAlign w:val="center"/>
            <w:hideMark/>
          </w:tcPr>
          <w:p w14:paraId="6873CD58"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 xml:space="preserve">Austria </w:t>
            </w:r>
          </w:p>
        </w:tc>
        <w:tc>
          <w:tcPr>
            <w:tcW w:w="1001" w:type="dxa"/>
            <w:tcBorders>
              <w:top w:val="nil"/>
              <w:left w:val="nil"/>
              <w:bottom w:val="nil"/>
              <w:right w:val="nil"/>
            </w:tcBorders>
            <w:vAlign w:val="center"/>
          </w:tcPr>
          <w:p w14:paraId="3D99943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0,75</w:t>
            </w:r>
          </w:p>
        </w:tc>
        <w:tc>
          <w:tcPr>
            <w:tcW w:w="1392" w:type="dxa"/>
            <w:tcBorders>
              <w:top w:val="nil"/>
              <w:left w:val="nil"/>
              <w:bottom w:val="nil"/>
              <w:right w:val="nil"/>
            </w:tcBorders>
            <w:vAlign w:val="center"/>
          </w:tcPr>
          <w:p w14:paraId="47D6F2D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40 231</w:t>
            </w:r>
          </w:p>
        </w:tc>
        <w:tc>
          <w:tcPr>
            <w:tcW w:w="1362" w:type="dxa"/>
            <w:tcBorders>
              <w:top w:val="nil"/>
              <w:left w:val="nil"/>
              <w:bottom w:val="nil"/>
              <w:right w:val="nil"/>
            </w:tcBorders>
            <w:vAlign w:val="center"/>
          </w:tcPr>
          <w:p w14:paraId="1C300B0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40 231</w:t>
            </w:r>
          </w:p>
        </w:tc>
      </w:tr>
      <w:tr w:rsidR="00B65EDC" w:rsidRPr="00E675E8" w14:paraId="4A9B5B12" w14:textId="77777777" w:rsidTr="00A538F6">
        <w:trPr>
          <w:trHeight w:val="256"/>
        </w:trPr>
        <w:tc>
          <w:tcPr>
            <w:tcW w:w="1276" w:type="dxa"/>
            <w:tcBorders>
              <w:top w:val="nil"/>
              <w:left w:val="nil"/>
              <w:bottom w:val="nil"/>
              <w:right w:val="nil"/>
            </w:tcBorders>
            <w:vAlign w:val="center"/>
          </w:tcPr>
          <w:p w14:paraId="596C904D"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34E8B50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5E75022A"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Azerbaiyán</w:t>
            </w:r>
          </w:p>
        </w:tc>
        <w:tc>
          <w:tcPr>
            <w:tcW w:w="1001" w:type="dxa"/>
            <w:tcBorders>
              <w:top w:val="nil"/>
              <w:left w:val="nil"/>
              <w:bottom w:val="nil"/>
              <w:right w:val="nil"/>
            </w:tcBorders>
            <w:vAlign w:val="center"/>
          </w:tcPr>
          <w:p w14:paraId="49E0E97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546841E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3EB5416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152981F1" w14:textId="77777777" w:rsidTr="00A538F6">
        <w:trPr>
          <w:trHeight w:val="256"/>
        </w:trPr>
        <w:tc>
          <w:tcPr>
            <w:tcW w:w="1276" w:type="dxa"/>
            <w:tcBorders>
              <w:top w:val="nil"/>
              <w:left w:val="nil"/>
              <w:bottom w:val="nil"/>
              <w:right w:val="nil"/>
            </w:tcBorders>
            <w:vAlign w:val="center"/>
          </w:tcPr>
          <w:p w14:paraId="45019A0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697EEC3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4539B701" w14:textId="77777777" w:rsidR="00B65EDC" w:rsidRPr="00E675E8" w:rsidRDefault="00B65EDC">
            <w:pPr>
              <w:jc w:val="left"/>
              <w:rPr>
                <w:rFonts w:ascii="Arial Narrow" w:hAnsi="Arial Narrow" w:cs="Arial"/>
                <w:color w:val="000000"/>
                <w:sz w:val="18"/>
                <w:szCs w:val="18"/>
                <w:lang w:val="es-ES_tradnl"/>
              </w:rPr>
            </w:pPr>
            <w:proofErr w:type="spellStart"/>
            <w:r w:rsidRPr="00E675E8">
              <w:rPr>
                <w:rFonts w:ascii="Arial Narrow" w:hAnsi="Arial Narrow"/>
                <w:color w:val="000000"/>
                <w:sz w:val="18"/>
                <w:lang w:val="es-ES_tradnl"/>
              </w:rPr>
              <w:t>Belarús</w:t>
            </w:r>
            <w:proofErr w:type="spellEnd"/>
          </w:p>
        </w:tc>
        <w:tc>
          <w:tcPr>
            <w:tcW w:w="1001" w:type="dxa"/>
            <w:tcBorders>
              <w:top w:val="nil"/>
              <w:left w:val="nil"/>
              <w:bottom w:val="nil"/>
              <w:right w:val="nil"/>
            </w:tcBorders>
            <w:vAlign w:val="center"/>
          </w:tcPr>
          <w:p w14:paraId="522E68D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59790B3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13B1557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0602D808" w14:textId="77777777" w:rsidTr="00A538F6">
        <w:trPr>
          <w:trHeight w:val="256"/>
        </w:trPr>
        <w:tc>
          <w:tcPr>
            <w:tcW w:w="1276" w:type="dxa"/>
            <w:tcBorders>
              <w:top w:val="nil"/>
              <w:left w:val="nil"/>
              <w:bottom w:val="nil"/>
              <w:right w:val="nil"/>
            </w:tcBorders>
            <w:vAlign w:val="center"/>
          </w:tcPr>
          <w:p w14:paraId="746AB2B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80 462</w:t>
            </w:r>
          </w:p>
        </w:tc>
        <w:tc>
          <w:tcPr>
            <w:tcW w:w="1276" w:type="dxa"/>
            <w:tcBorders>
              <w:top w:val="nil"/>
              <w:left w:val="nil"/>
              <w:bottom w:val="nil"/>
              <w:right w:val="nil"/>
            </w:tcBorders>
            <w:vAlign w:val="center"/>
          </w:tcPr>
          <w:p w14:paraId="3C582C1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80 462</w:t>
            </w:r>
          </w:p>
        </w:tc>
        <w:tc>
          <w:tcPr>
            <w:tcW w:w="3474" w:type="dxa"/>
            <w:tcBorders>
              <w:top w:val="nil"/>
              <w:left w:val="nil"/>
              <w:bottom w:val="nil"/>
              <w:right w:val="nil"/>
            </w:tcBorders>
            <w:vAlign w:val="center"/>
            <w:hideMark/>
          </w:tcPr>
          <w:p w14:paraId="1D9F6A8F"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 xml:space="preserve">Bélgica </w:t>
            </w:r>
          </w:p>
        </w:tc>
        <w:tc>
          <w:tcPr>
            <w:tcW w:w="1001" w:type="dxa"/>
            <w:tcBorders>
              <w:top w:val="nil"/>
              <w:left w:val="nil"/>
              <w:bottom w:val="nil"/>
              <w:right w:val="nil"/>
            </w:tcBorders>
            <w:vAlign w:val="center"/>
          </w:tcPr>
          <w:p w14:paraId="07C7B66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1,50</w:t>
            </w:r>
          </w:p>
        </w:tc>
        <w:tc>
          <w:tcPr>
            <w:tcW w:w="1392" w:type="dxa"/>
            <w:tcBorders>
              <w:top w:val="nil"/>
              <w:left w:val="nil"/>
              <w:bottom w:val="nil"/>
              <w:right w:val="nil"/>
            </w:tcBorders>
            <w:vAlign w:val="center"/>
          </w:tcPr>
          <w:p w14:paraId="13AC9D8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80 462</w:t>
            </w:r>
          </w:p>
        </w:tc>
        <w:tc>
          <w:tcPr>
            <w:tcW w:w="1362" w:type="dxa"/>
            <w:tcBorders>
              <w:top w:val="nil"/>
              <w:left w:val="nil"/>
              <w:bottom w:val="nil"/>
              <w:right w:val="nil"/>
            </w:tcBorders>
            <w:vAlign w:val="center"/>
          </w:tcPr>
          <w:p w14:paraId="6024FCC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80 462</w:t>
            </w:r>
          </w:p>
        </w:tc>
      </w:tr>
      <w:tr w:rsidR="00B65EDC" w:rsidRPr="00E675E8" w14:paraId="45BB203F" w14:textId="77777777" w:rsidTr="00A538F6">
        <w:trPr>
          <w:trHeight w:val="256"/>
        </w:trPr>
        <w:tc>
          <w:tcPr>
            <w:tcW w:w="1276" w:type="dxa"/>
            <w:tcBorders>
              <w:top w:val="nil"/>
              <w:left w:val="nil"/>
              <w:bottom w:val="nil"/>
              <w:right w:val="nil"/>
            </w:tcBorders>
            <w:vAlign w:val="center"/>
          </w:tcPr>
          <w:p w14:paraId="36266E0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7B586C3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0A3D74F9"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Bolivia (Estado Plurinacional de)</w:t>
            </w:r>
          </w:p>
        </w:tc>
        <w:tc>
          <w:tcPr>
            <w:tcW w:w="1001" w:type="dxa"/>
            <w:tcBorders>
              <w:top w:val="nil"/>
              <w:left w:val="nil"/>
              <w:bottom w:val="nil"/>
              <w:right w:val="nil"/>
            </w:tcBorders>
            <w:vAlign w:val="center"/>
          </w:tcPr>
          <w:p w14:paraId="72BD1E0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5C365E9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2CD6C11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02486FA7" w14:textId="77777777" w:rsidTr="00A538F6">
        <w:trPr>
          <w:trHeight w:val="256"/>
        </w:trPr>
        <w:tc>
          <w:tcPr>
            <w:tcW w:w="1276" w:type="dxa"/>
            <w:tcBorders>
              <w:top w:val="nil"/>
              <w:left w:val="nil"/>
              <w:bottom w:val="nil"/>
              <w:right w:val="nil"/>
            </w:tcBorders>
            <w:vAlign w:val="center"/>
          </w:tcPr>
          <w:p w14:paraId="36D0D8E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051D920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5A77B8EF"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 xml:space="preserve">Bosnia y Herzegovina </w:t>
            </w:r>
          </w:p>
        </w:tc>
        <w:tc>
          <w:tcPr>
            <w:tcW w:w="1001" w:type="dxa"/>
            <w:tcBorders>
              <w:top w:val="nil"/>
              <w:left w:val="nil"/>
              <w:bottom w:val="nil"/>
              <w:right w:val="nil"/>
            </w:tcBorders>
            <w:vAlign w:val="center"/>
          </w:tcPr>
          <w:p w14:paraId="3DFE90F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6A0C8CB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7E7FA77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2844AF2D" w14:textId="77777777" w:rsidTr="00A538F6">
        <w:trPr>
          <w:trHeight w:val="256"/>
        </w:trPr>
        <w:tc>
          <w:tcPr>
            <w:tcW w:w="1276" w:type="dxa"/>
            <w:tcBorders>
              <w:top w:val="nil"/>
              <w:left w:val="nil"/>
              <w:bottom w:val="nil"/>
              <w:right w:val="nil"/>
            </w:tcBorders>
            <w:vAlign w:val="center"/>
          </w:tcPr>
          <w:p w14:paraId="2FF0110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13 410</w:t>
            </w:r>
          </w:p>
        </w:tc>
        <w:tc>
          <w:tcPr>
            <w:tcW w:w="1276" w:type="dxa"/>
            <w:tcBorders>
              <w:top w:val="nil"/>
              <w:left w:val="nil"/>
              <w:bottom w:val="nil"/>
              <w:right w:val="nil"/>
            </w:tcBorders>
            <w:vAlign w:val="center"/>
          </w:tcPr>
          <w:p w14:paraId="27CA8F6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13 410</w:t>
            </w:r>
          </w:p>
        </w:tc>
        <w:tc>
          <w:tcPr>
            <w:tcW w:w="3474" w:type="dxa"/>
            <w:tcBorders>
              <w:top w:val="nil"/>
              <w:left w:val="nil"/>
              <w:bottom w:val="nil"/>
              <w:right w:val="nil"/>
            </w:tcBorders>
            <w:vAlign w:val="center"/>
            <w:hideMark/>
          </w:tcPr>
          <w:p w14:paraId="20EBC93F"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Brasil</w:t>
            </w:r>
          </w:p>
        </w:tc>
        <w:tc>
          <w:tcPr>
            <w:tcW w:w="1001" w:type="dxa"/>
            <w:tcBorders>
              <w:top w:val="nil"/>
              <w:left w:val="nil"/>
              <w:bottom w:val="nil"/>
              <w:right w:val="nil"/>
            </w:tcBorders>
            <w:vAlign w:val="center"/>
          </w:tcPr>
          <w:p w14:paraId="1094282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0,25</w:t>
            </w:r>
          </w:p>
        </w:tc>
        <w:tc>
          <w:tcPr>
            <w:tcW w:w="1392" w:type="dxa"/>
            <w:tcBorders>
              <w:top w:val="nil"/>
              <w:left w:val="nil"/>
              <w:bottom w:val="nil"/>
              <w:right w:val="nil"/>
            </w:tcBorders>
            <w:vAlign w:val="center"/>
          </w:tcPr>
          <w:p w14:paraId="1ED5A88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13 410</w:t>
            </w:r>
          </w:p>
        </w:tc>
        <w:tc>
          <w:tcPr>
            <w:tcW w:w="1362" w:type="dxa"/>
            <w:tcBorders>
              <w:top w:val="nil"/>
              <w:left w:val="nil"/>
              <w:bottom w:val="nil"/>
              <w:right w:val="nil"/>
            </w:tcBorders>
            <w:vAlign w:val="center"/>
          </w:tcPr>
          <w:p w14:paraId="05AF11A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13 410</w:t>
            </w:r>
          </w:p>
        </w:tc>
      </w:tr>
      <w:tr w:rsidR="00B65EDC" w:rsidRPr="00E675E8" w14:paraId="70EFA79E" w14:textId="77777777" w:rsidTr="00A538F6">
        <w:trPr>
          <w:trHeight w:val="256"/>
        </w:trPr>
        <w:tc>
          <w:tcPr>
            <w:tcW w:w="1276" w:type="dxa"/>
            <w:tcBorders>
              <w:top w:val="nil"/>
              <w:left w:val="nil"/>
              <w:bottom w:val="nil"/>
              <w:right w:val="nil"/>
            </w:tcBorders>
            <w:vAlign w:val="center"/>
          </w:tcPr>
          <w:p w14:paraId="6E0108B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38B85D9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13EBA002"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Bulgaria</w:t>
            </w:r>
          </w:p>
        </w:tc>
        <w:tc>
          <w:tcPr>
            <w:tcW w:w="1001" w:type="dxa"/>
            <w:tcBorders>
              <w:top w:val="nil"/>
              <w:left w:val="nil"/>
              <w:bottom w:val="nil"/>
              <w:right w:val="nil"/>
            </w:tcBorders>
            <w:vAlign w:val="center"/>
          </w:tcPr>
          <w:p w14:paraId="5166360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5932B6ED"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09A097E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1B228EC5" w14:textId="77777777" w:rsidTr="00A538F6">
        <w:trPr>
          <w:trHeight w:val="256"/>
        </w:trPr>
        <w:tc>
          <w:tcPr>
            <w:tcW w:w="1276" w:type="dxa"/>
            <w:tcBorders>
              <w:top w:val="nil"/>
              <w:left w:val="nil"/>
              <w:bottom w:val="nil"/>
              <w:right w:val="nil"/>
            </w:tcBorders>
            <w:vAlign w:val="center"/>
          </w:tcPr>
          <w:p w14:paraId="34FE558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1276" w:type="dxa"/>
            <w:tcBorders>
              <w:top w:val="nil"/>
              <w:left w:val="nil"/>
              <w:bottom w:val="nil"/>
              <w:right w:val="nil"/>
            </w:tcBorders>
            <w:vAlign w:val="center"/>
          </w:tcPr>
          <w:p w14:paraId="1C24031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3474" w:type="dxa"/>
            <w:tcBorders>
              <w:top w:val="nil"/>
              <w:left w:val="nil"/>
              <w:bottom w:val="nil"/>
              <w:right w:val="nil"/>
            </w:tcBorders>
            <w:vAlign w:val="center"/>
            <w:hideMark/>
          </w:tcPr>
          <w:p w14:paraId="2C969A03"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Canadá</w:t>
            </w:r>
          </w:p>
        </w:tc>
        <w:tc>
          <w:tcPr>
            <w:tcW w:w="1001" w:type="dxa"/>
            <w:tcBorders>
              <w:top w:val="nil"/>
              <w:left w:val="nil"/>
              <w:bottom w:val="nil"/>
              <w:right w:val="nil"/>
            </w:tcBorders>
            <w:vAlign w:val="center"/>
          </w:tcPr>
          <w:p w14:paraId="289F421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1,00</w:t>
            </w:r>
          </w:p>
        </w:tc>
        <w:tc>
          <w:tcPr>
            <w:tcW w:w="1392" w:type="dxa"/>
            <w:tcBorders>
              <w:top w:val="nil"/>
              <w:left w:val="nil"/>
              <w:bottom w:val="nil"/>
              <w:right w:val="nil"/>
            </w:tcBorders>
            <w:vAlign w:val="center"/>
          </w:tcPr>
          <w:p w14:paraId="00B6BCB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1362" w:type="dxa"/>
            <w:tcBorders>
              <w:top w:val="nil"/>
              <w:left w:val="nil"/>
              <w:bottom w:val="nil"/>
              <w:right w:val="nil"/>
            </w:tcBorders>
            <w:vAlign w:val="center"/>
          </w:tcPr>
          <w:p w14:paraId="7D720B2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r>
      <w:tr w:rsidR="00B65EDC" w:rsidRPr="00E675E8" w14:paraId="0EFD7FC6" w14:textId="77777777" w:rsidTr="00A538F6">
        <w:trPr>
          <w:trHeight w:val="256"/>
        </w:trPr>
        <w:tc>
          <w:tcPr>
            <w:tcW w:w="1276" w:type="dxa"/>
            <w:tcBorders>
              <w:top w:val="nil"/>
              <w:left w:val="nil"/>
              <w:bottom w:val="nil"/>
              <w:right w:val="nil"/>
            </w:tcBorders>
            <w:vAlign w:val="center"/>
          </w:tcPr>
          <w:p w14:paraId="17CBD20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0145A58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67EAC723"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Chile</w:t>
            </w:r>
          </w:p>
        </w:tc>
        <w:tc>
          <w:tcPr>
            <w:tcW w:w="1001" w:type="dxa"/>
            <w:tcBorders>
              <w:top w:val="nil"/>
              <w:left w:val="nil"/>
              <w:bottom w:val="nil"/>
              <w:right w:val="nil"/>
            </w:tcBorders>
            <w:vAlign w:val="center"/>
          </w:tcPr>
          <w:p w14:paraId="34E666E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060775E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6742F6A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33A2144C" w14:textId="77777777" w:rsidTr="00A538F6">
        <w:trPr>
          <w:trHeight w:val="256"/>
        </w:trPr>
        <w:tc>
          <w:tcPr>
            <w:tcW w:w="1276" w:type="dxa"/>
            <w:tcBorders>
              <w:top w:val="nil"/>
              <w:left w:val="nil"/>
              <w:bottom w:val="nil"/>
              <w:right w:val="nil"/>
            </w:tcBorders>
            <w:vAlign w:val="center"/>
          </w:tcPr>
          <w:p w14:paraId="2E1B824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c>
          <w:tcPr>
            <w:tcW w:w="1276" w:type="dxa"/>
            <w:tcBorders>
              <w:top w:val="nil"/>
              <w:left w:val="nil"/>
              <w:bottom w:val="nil"/>
              <w:right w:val="nil"/>
            </w:tcBorders>
            <w:vAlign w:val="center"/>
          </w:tcPr>
          <w:p w14:paraId="7060E1B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c>
          <w:tcPr>
            <w:tcW w:w="3474" w:type="dxa"/>
            <w:tcBorders>
              <w:top w:val="nil"/>
              <w:left w:val="nil"/>
              <w:bottom w:val="nil"/>
              <w:right w:val="nil"/>
            </w:tcBorders>
            <w:vAlign w:val="center"/>
            <w:hideMark/>
          </w:tcPr>
          <w:p w14:paraId="4FBFE4C0"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China</w:t>
            </w:r>
          </w:p>
        </w:tc>
        <w:tc>
          <w:tcPr>
            <w:tcW w:w="1001" w:type="dxa"/>
            <w:tcBorders>
              <w:top w:val="nil"/>
              <w:left w:val="nil"/>
              <w:bottom w:val="nil"/>
              <w:right w:val="nil"/>
            </w:tcBorders>
            <w:vAlign w:val="center"/>
          </w:tcPr>
          <w:p w14:paraId="0FB7674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2,00</w:t>
            </w:r>
          </w:p>
        </w:tc>
        <w:tc>
          <w:tcPr>
            <w:tcW w:w="1392" w:type="dxa"/>
            <w:tcBorders>
              <w:top w:val="nil"/>
              <w:left w:val="nil"/>
              <w:bottom w:val="nil"/>
              <w:right w:val="nil"/>
            </w:tcBorders>
            <w:vAlign w:val="center"/>
          </w:tcPr>
          <w:p w14:paraId="0A02CEB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c>
          <w:tcPr>
            <w:tcW w:w="1362" w:type="dxa"/>
            <w:tcBorders>
              <w:top w:val="nil"/>
              <w:left w:val="nil"/>
              <w:bottom w:val="nil"/>
              <w:right w:val="nil"/>
            </w:tcBorders>
            <w:vAlign w:val="center"/>
          </w:tcPr>
          <w:p w14:paraId="28C1F35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r>
      <w:tr w:rsidR="00B65EDC" w:rsidRPr="00E675E8" w14:paraId="749EB27F" w14:textId="77777777" w:rsidTr="00A538F6">
        <w:trPr>
          <w:trHeight w:val="256"/>
        </w:trPr>
        <w:tc>
          <w:tcPr>
            <w:tcW w:w="1276" w:type="dxa"/>
            <w:tcBorders>
              <w:top w:val="nil"/>
              <w:left w:val="nil"/>
              <w:bottom w:val="nil"/>
              <w:right w:val="nil"/>
            </w:tcBorders>
            <w:vAlign w:val="center"/>
          </w:tcPr>
          <w:p w14:paraId="6BF1757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2933FF2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4ACFE8CF"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Colombia</w:t>
            </w:r>
          </w:p>
        </w:tc>
        <w:tc>
          <w:tcPr>
            <w:tcW w:w="1001" w:type="dxa"/>
            <w:tcBorders>
              <w:top w:val="nil"/>
              <w:left w:val="nil"/>
              <w:bottom w:val="nil"/>
              <w:right w:val="nil"/>
            </w:tcBorders>
            <w:vAlign w:val="center"/>
          </w:tcPr>
          <w:p w14:paraId="25233A2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537A7B5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1CDA0FD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66FEFA51" w14:textId="77777777" w:rsidTr="00A538F6">
        <w:trPr>
          <w:trHeight w:val="256"/>
        </w:trPr>
        <w:tc>
          <w:tcPr>
            <w:tcW w:w="1276" w:type="dxa"/>
            <w:tcBorders>
              <w:top w:val="nil"/>
              <w:left w:val="nil"/>
              <w:bottom w:val="nil"/>
              <w:right w:val="nil"/>
            </w:tcBorders>
            <w:vAlign w:val="center"/>
          </w:tcPr>
          <w:p w14:paraId="0732BAF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403B168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35DD1F5A"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Costa Rica</w:t>
            </w:r>
          </w:p>
        </w:tc>
        <w:tc>
          <w:tcPr>
            <w:tcW w:w="1001" w:type="dxa"/>
            <w:tcBorders>
              <w:top w:val="nil"/>
              <w:left w:val="nil"/>
              <w:bottom w:val="nil"/>
              <w:right w:val="nil"/>
            </w:tcBorders>
            <w:vAlign w:val="center"/>
          </w:tcPr>
          <w:p w14:paraId="7F088A6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05B2489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2396B08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4ABB13C9" w14:textId="77777777" w:rsidTr="00A538F6">
        <w:trPr>
          <w:trHeight w:val="256"/>
        </w:trPr>
        <w:tc>
          <w:tcPr>
            <w:tcW w:w="1276" w:type="dxa"/>
            <w:tcBorders>
              <w:top w:val="nil"/>
              <w:left w:val="nil"/>
              <w:bottom w:val="nil"/>
              <w:right w:val="nil"/>
            </w:tcBorders>
            <w:vAlign w:val="center"/>
          </w:tcPr>
          <w:p w14:paraId="5ED5D60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4C7FE9B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6236B76C"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Croacia</w:t>
            </w:r>
          </w:p>
        </w:tc>
        <w:tc>
          <w:tcPr>
            <w:tcW w:w="1001" w:type="dxa"/>
            <w:tcBorders>
              <w:top w:val="nil"/>
              <w:left w:val="nil"/>
              <w:bottom w:val="nil"/>
              <w:right w:val="nil"/>
            </w:tcBorders>
            <w:vAlign w:val="center"/>
          </w:tcPr>
          <w:p w14:paraId="68279A2D"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5252986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45AE4C8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43AA1071" w14:textId="77777777" w:rsidTr="00A538F6">
        <w:trPr>
          <w:trHeight w:val="256"/>
        </w:trPr>
        <w:tc>
          <w:tcPr>
            <w:tcW w:w="1276" w:type="dxa"/>
            <w:tcBorders>
              <w:top w:val="nil"/>
              <w:left w:val="nil"/>
              <w:bottom w:val="nil"/>
              <w:right w:val="nil"/>
            </w:tcBorders>
            <w:vAlign w:val="center"/>
          </w:tcPr>
          <w:p w14:paraId="05F2F51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1276" w:type="dxa"/>
            <w:tcBorders>
              <w:top w:val="nil"/>
              <w:left w:val="nil"/>
              <w:bottom w:val="nil"/>
              <w:right w:val="nil"/>
            </w:tcBorders>
            <w:vAlign w:val="center"/>
          </w:tcPr>
          <w:p w14:paraId="54B047F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3474" w:type="dxa"/>
            <w:tcBorders>
              <w:top w:val="nil"/>
              <w:left w:val="nil"/>
              <w:bottom w:val="nil"/>
              <w:right w:val="nil"/>
            </w:tcBorders>
            <w:vAlign w:val="center"/>
            <w:hideMark/>
          </w:tcPr>
          <w:p w14:paraId="09C6CBAB"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 xml:space="preserve">República Checa </w:t>
            </w:r>
          </w:p>
        </w:tc>
        <w:tc>
          <w:tcPr>
            <w:tcW w:w="1001" w:type="dxa"/>
            <w:tcBorders>
              <w:top w:val="nil"/>
              <w:left w:val="nil"/>
              <w:bottom w:val="nil"/>
              <w:right w:val="nil"/>
            </w:tcBorders>
            <w:vAlign w:val="center"/>
          </w:tcPr>
          <w:p w14:paraId="2A80244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0,50</w:t>
            </w:r>
          </w:p>
        </w:tc>
        <w:tc>
          <w:tcPr>
            <w:tcW w:w="1392" w:type="dxa"/>
            <w:tcBorders>
              <w:top w:val="nil"/>
              <w:left w:val="nil"/>
              <w:bottom w:val="nil"/>
              <w:right w:val="nil"/>
            </w:tcBorders>
            <w:vAlign w:val="center"/>
          </w:tcPr>
          <w:p w14:paraId="10FCAAB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1362" w:type="dxa"/>
            <w:tcBorders>
              <w:top w:val="nil"/>
              <w:left w:val="nil"/>
              <w:bottom w:val="nil"/>
              <w:right w:val="nil"/>
            </w:tcBorders>
            <w:vAlign w:val="center"/>
          </w:tcPr>
          <w:p w14:paraId="482EBA3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r>
      <w:tr w:rsidR="00B65EDC" w:rsidRPr="00E675E8" w14:paraId="68D49CDE" w14:textId="77777777" w:rsidTr="00A538F6">
        <w:trPr>
          <w:trHeight w:val="256"/>
        </w:trPr>
        <w:tc>
          <w:tcPr>
            <w:tcW w:w="1276" w:type="dxa"/>
            <w:tcBorders>
              <w:top w:val="nil"/>
              <w:left w:val="nil"/>
              <w:bottom w:val="nil"/>
              <w:right w:val="nil"/>
            </w:tcBorders>
            <w:vAlign w:val="center"/>
          </w:tcPr>
          <w:p w14:paraId="6E4597B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1276" w:type="dxa"/>
            <w:tcBorders>
              <w:top w:val="nil"/>
              <w:left w:val="nil"/>
              <w:bottom w:val="nil"/>
              <w:right w:val="nil"/>
            </w:tcBorders>
            <w:vAlign w:val="center"/>
          </w:tcPr>
          <w:p w14:paraId="7ED9369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3474" w:type="dxa"/>
            <w:tcBorders>
              <w:top w:val="nil"/>
              <w:left w:val="nil"/>
              <w:bottom w:val="nil"/>
              <w:right w:val="nil"/>
            </w:tcBorders>
            <w:vAlign w:val="center"/>
            <w:hideMark/>
          </w:tcPr>
          <w:p w14:paraId="6E0F4DC9"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Dinamarca</w:t>
            </w:r>
          </w:p>
        </w:tc>
        <w:tc>
          <w:tcPr>
            <w:tcW w:w="1001" w:type="dxa"/>
            <w:tcBorders>
              <w:top w:val="nil"/>
              <w:left w:val="nil"/>
              <w:bottom w:val="nil"/>
              <w:right w:val="nil"/>
            </w:tcBorders>
            <w:vAlign w:val="center"/>
          </w:tcPr>
          <w:p w14:paraId="5C2814A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0,50</w:t>
            </w:r>
          </w:p>
        </w:tc>
        <w:tc>
          <w:tcPr>
            <w:tcW w:w="1392" w:type="dxa"/>
            <w:tcBorders>
              <w:top w:val="nil"/>
              <w:left w:val="nil"/>
              <w:bottom w:val="nil"/>
              <w:right w:val="nil"/>
            </w:tcBorders>
            <w:vAlign w:val="center"/>
          </w:tcPr>
          <w:p w14:paraId="08AC1AA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1362" w:type="dxa"/>
            <w:tcBorders>
              <w:top w:val="nil"/>
              <w:left w:val="nil"/>
              <w:bottom w:val="nil"/>
              <w:right w:val="nil"/>
            </w:tcBorders>
            <w:vAlign w:val="center"/>
          </w:tcPr>
          <w:p w14:paraId="4D87ABB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r>
      <w:tr w:rsidR="00B65EDC" w:rsidRPr="00E675E8" w14:paraId="116FBB29" w14:textId="77777777" w:rsidTr="00A538F6">
        <w:trPr>
          <w:trHeight w:val="256"/>
        </w:trPr>
        <w:tc>
          <w:tcPr>
            <w:tcW w:w="1276" w:type="dxa"/>
            <w:tcBorders>
              <w:top w:val="nil"/>
              <w:left w:val="nil"/>
              <w:bottom w:val="nil"/>
              <w:right w:val="nil"/>
            </w:tcBorders>
            <w:vAlign w:val="center"/>
          </w:tcPr>
          <w:p w14:paraId="3F92F2B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037689A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758AF14D"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República Dominicana</w:t>
            </w:r>
          </w:p>
        </w:tc>
        <w:tc>
          <w:tcPr>
            <w:tcW w:w="1001" w:type="dxa"/>
            <w:tcBorders>
              <w:top w:val="nil"/>
              <w:left w:val="nil"/>
              <w:bottom w:val="nil"/>
              <w:right w:val="nil"/>
            </w:tcBorders>
            <w:vAlign w:val="center"/>
          </w:tcPr>
          <w:p w14:paraId="6E5814ED"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4427AEF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41706F6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51FD1796" w14:textId="77777777" w:rsidTr="00A538F6">
        <w:trPr>
          <w:trHeight w:val="256"/>
        </w:trPr>
        <w:tc>
          <w:tcPr>
            <w:tcW w:w="1276" w:type="dxa"/>
            <w:tcBorders>
              <w:top w:val="nil"/>
              <w:left w:val="nil"/>
              <w:bottom w:val="nil"/>
              <w:right w:val="nil"/>
            </w:tcBorders>
            <w:vAlign w:val="center"/>
          </w:tcPr>
          <w:p w14:paraId="066BD27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7175C60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4E3B7148"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Ecuador</w:t>
            </w:r>
          </w:p>
        </w:tc>
        <w:tc>
          <w:tcPr>
            <w:tcW w:w="1001" w:type="dxa"/>
            <w:tcBorders>
              <w:top w:val="nil"/>
              <w:left w:val="nil"/>
              <w:bottom w:val="nil"/>
              <w:right w:val="nil"/>
            </w:tcBorders>
            <w:vAlign w:val="center"/>
          </w:tcPr>
          <w:p w14:paraId="5975B68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13E8AEB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608463F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7A2AAAE1" w14:textId="77777777" w:rsidTr="00A538F6">
        <w:trPr>
          <w:trHeight w:val="256"/>
        </w:trPr>
        <w:tc>
          <w:tcPr>
            <w:tcW w:w="1276" w:type="dxa"/>
            <w:tcBorders>
              <w:top w:val="nil"/>
              <w:left w:val="nil"/>
              <w:bottom w:val="nil"/>
              <w:right w:val="nil"/>
            </w:tcBorders>
            <w:vAlign w:val="center"/>
          </w:tcPr>
          <w:p w14:paraId="757EA92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172D6C2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449B0C94"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Egipto</w:t>
            </w:r>
          </w:p>
        </w:tc>
        <w:tc>
          <w:tcPr>
            <w:tcW w:w="1001" w:type="dxa"/>
            <w:tcBorders>
              <w:top w:val="nil"/>
              <w:left w:val="nil"/>
              <w:bottom w:val="nil"/>
              <w:right w:val="nil"/>
            </w:tcBorders>
            <w:vAlign w:val="center"/>
          </w:tcPr>
          <w:p w14:paraId="0B3E5FA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72E7A9D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3C6B445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15F95EE7" w14:textId="77777777" w:rsidTr="00A538F6">
        <w:trPr>
          <w:trHeight w:val="256"/>
        </w:trPr>
        <w:tc>
          <w:tcPr>
            <w:tcW w:w="1276" w:type="dxa"/>
            <w:tcBorders>
              <w:top w:val="nil"/>
              <w:left w:val="nil"/>
              <w:bottom w:val="nil"/>
              <w:right w:val="nil"/>
            </w:tcBorders>
            <w:vAlign w:val="center"/>
          </w:tcPr>
          <w:p w14:paraId="51EA66A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2872259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3E19A9F0"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Estonia</w:t>
            </w:r>
          </w:p>
        </w:tc>
        <w:tc>
          <w:tcPr>
            <w:tcW w:w="1001" w:type="dxa"/>
            <w:tcBorders>
              <w:top w:val="nil"/>
              <w:left w:val="nil"/>
              <w:bottom w:val="nil"/>
              <w:right w:val="nil"/>
            </w:tcBorders>
            <w:vAlign w:val="center"/>
          </w:tcPr>
          <w:p w14:paraId="799934F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05923E0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566258E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0CAEF4DE" w14:textId="77777777" w:rsidTr="00A538F6">
        <w:trPr>
          <w:trHeight w:val="256"/>
        </w:trPr>
        <w:tc>
          <w:tcPr>
            <w:tcW w:w="1276" w:type="dxa"/>
            <w:tcBorders>
              <w:top w:val="nil"/>
              <w:left w:val="nil"/>
              <w:bottom w:val="nil"/>
              <w:right w:val="nil"/>
            </w:tcBorders>
            <w:vAlign w:val="center"/>
          </w:tcPr>
          <w:p w14:paraId="1ABA744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c>
          <w:tcPr>
            <w:tcW w:w="1276" w:type="dxa"/>
            <w:tcBorders>
              <w:top w:val="nil"/>
              <w:left w:val="nil"/>
              <w:bottom w:val="nil"/>
              <w:right w:val="nil"/>
            </w:tcBorders>
            <w:vAlign w:val="center"/>
          </w:tcPr>
          <w:p w14:paraId="7E0A74C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c>
          <w:tcPr>
            <w:tcW w:w="3474" w:type="dxa"/>
            <w:tcBorders>
              <w:top w:val="nil"/>
              <w:left w:val="nil"/>
              <w:bottom w:val="nil"/>
              <w:right w:val="nil"/>
            </w:tcBorders>
            <w:vAlign w:val="center"/>
            <w:hideMark/>
          </w:tcPr>
          <w:p w14:paraId="722F7CC4"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Unión Europea</w:t>
            </w:r>
          </w:p>
        </w:tc>
        <w:tc>
          <w:tcPr>
            <w:tcW w:w="1001" w:type="dxa"/>
            <w:tcBorders>
              <w:top w:val="nil"/>
              <w:left w:val="nil"/>
              <w:bottom w:val="nil"/>
              <w:right w:val="nil"/>
            </w:tcBorders>
            <w:vAlign w:val="center"/>
          </w:tcPr>
          <w:p w14:paraId="22D2502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5,00</w:t>
            </w:r>
          </w:p>
        </w:tc>
        <w:tc>
          <w:tcPr>
            <w:tcW w:w="1392" w:type="dxa"/>
            <w:tcBorders>
              <w:top w:val="nil"/>
              <w:left w:val="nil"/>
              <w:bottom w:val="nil"/>
              <w:right w:val="nil"/>
            </w:tcBorders>
            <w:vAlign w:val="center"/>
          </w:tcPr>
          <w:p w14:paraId="7958F59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c>
          <w:tcPr>
            <w:tcW w:w="1362" w:type="dxa"/>
            <w:tcBorders>
              <w:top w:val="nil"/>
              <w:left w:val="nil"/>
              <w:bottom w:val="nil"/>
              <w:right w:val="nil"/>
            </w:tcBorders>
            <w:vAlign w:val="center"/>
          </w:tcPr>
          <w:p w14:paraId="64D2F93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r>
      <w:tr w:rsidR="00B65EDC" w:rsidRPr="00E675E8" w14:paraId="7B9DA893" w14:textId="77777777" w:rsidTr="00A538F6">
        <w:trPr>
          <w:trHeight w:val="256"/>
        </w:trPr>
        <w:tc>
          <w:tcPr>
            <w:tcW w:w="1276" w:type="dxa"/>
            <w:tcBorders>
              <w:top w:val="nil"/>
              <w:left w:val="nil"/>
              <w:bottom w:val="nil"/>
              <w:right w:val="nil"/>
            </w:tcBorders>
            <w:vAlign w:val="center"/>
          </w:tcPr>
          <w:p w14:paraId="2EF4AC3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1276" w:type="dxa"/>
            <w:tcBorders>
              <w:top w:val="nil"/>
              <w:left w:val="nil"/>
              <w:bottom w:val="nil"/>
              <w:right w:val="nil"/>
            </w:tcBorders>
            <w:vAlign w:val="center"/>
          </w:tcPr>
          <w:p w14:paraId="7B804D7D"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3474" w:type="dxa"/>
            <w:tcBorders>
              <w:top w:val="nil"/>
              <w:left w:val="nil"/>
              <w:bottom w:val="nil"/>
              <w:right w:val="nil"/>
            </w:tcBorders>
            <w:vAlign w:val="center"/>
            <w:hideMark/>
          </w:tcPr>
          <w:p w14:paraId="0429B07F"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Finlandia</w:t>
            </w:r>
          </w:p>
        </w:tc>
        <w:tc>
          <w:tcPr>
            <w:tcW w:w="1001" w:type="dxa"/>
            <w:tcBorders>
              <w:top w:val="nil"/>
              <w:left w:val="nil"/>
              <w:bottom w:val="nil"/>
              <w:right w:val="nil"/>
            </w:tcBorders>
            <w:vAlign w:val="center"/>
          </w:tcPr>
          <w:p w14:paraId="4E64A3D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1,00</w:t>
            </w:r>
          </w:p>
        </w:tc>
        <w:tc>
          <w:tcPr>
            <w:tcW w:w="1392" w:type="dxa"/>
            <w:tcBorders>
              <w:top w:val="nil"/>
              <w:left w:val="nil"/>
              <w:bottom w:val="nil"/>
              <w:right w:val="nil"/>
            </w:tcBorders>
            <w:vAlign w:val="center"/>
          </w:tcPr>
          <w:p w14:paraId="05ED852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1362" w:type="dxa"/>
            <w:tcBorders>
              <w:top w:val="nil"/>
              <w:left w:val="nil"/>
              <w:bottom w:val="nil"/>
              <w:right w:val="nil"/>
            </w:tcBorders>
            <w:vAlign w:val="center"/>
          </w:tcPr>
          <w:p w14:paraId="041A2F8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r>
      <w:tr w:rsidR="00B65EDC" w:rsidRPr="00E675E8" w14:paraId="152E6FFB" w14:textId="77777777" w:rsidTr="00A538F6">
        <w:trPr>
          <w:trHeight w:val="256"/>
        </w:trPr>
        <w:tc>
          <w:tcPr>
            <w:tcW w:w="1276" w:type="dxa"/>
            <w:tcBorders>
              <w:top w:val="nil"/>
              <w:left w:val="nil"/>
              <w:bottom w:val="nil"/>
              <w:right w:val="nil"/>
            </w:tcBorders>
            <w:vAlign w:val="center"/>
          </w:tcPr>
          <w:p w14:paraId="6A59167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c>
          <w:tcPr>
            <w:tcW w:w="1276" w:type="dxa"/>
            <w:tcBorders>
              <w:top w:val="nil"/>
              <w:left w:val="nil"/>
              <w:bottom w:val="nil"/>
              <w:right w:val="nil"/>
            </w:tcBorders>
            <w:vAlign w:val="center"/>
          </w:tcPr>
          <w:p w14:paraId="76C0F32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c>
          <w:tcPr>
            <w:tcW w:w="3474" w:type="dxa"/>
            <w:tcBorders>
              <w:top w:val="nil"/>
              <w:left w:val="nil"/>
              <w:bottom w:val="nil"/>
              <w:right w:val="nil"/>
            </w:tcBorders>
            <w:vAlign w:val="center"/>
            <w:hideMark/>
          </w:tcPr>
          <w:p w14:paraId="633D2A62"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Francia</w:t>
            </w:r>
          </w:p>
        </w:tc>
        <w:tc>
          <w:tcPr>
            <w:tcW w:w="1001" w:type="dxa"/>
            <w:tcBorders>
              <w:top w:val="nil"/>
              <w:left w:val="nil"/>
              <w:bottom w:val="nil"/>
              <w:right w:val="nil"/>
            </w:tcBorders>
            <w:vAlign w:val="center"/>
          </w:tcPr>
          <w:p w14:paraId="3C8FDE5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5,00</w:t>
            </w:r>
          </w:p>
        </w:tc>
        <w:tc>
          <w:tcPr>
            <w:tcW w:w="1392" w:type="dxa"/>
            <w:tcBorders>
              <w:top w:val="nil"/>
              <w:left w:val="nil"/>
              <w:bottom w:val="nil"/>
              <w:right w:val="nil"/>
            </w:tcBorders>
            <w:vAlign w:val="center"/>
          </w:tcPr>
          <w:p w14:paraId="7650DF2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c>
          <w:tcPr>
            <w:tcW w:w="1362" w:type="dxa"/>
            <w:tcBorders>
              <w:top w:val="nil"/>
              <w:left w:val="nil"/>
              <w:bottom w:val="nil"/>
              <w:right w:val="nil"/>
            </w:tcBorders>
            <w:vAlign w:val="center"/>
          </w:tcPr>
          <w:p w14:paraId="178CF20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r>
      <w:tr w:rsidR="00B65EDC" w:rsidRPr="00E675E8" w14:paraId="256D49A8" w14:textId="77777777" w:rsidTr="00A538F6">
        <w:trPr>
          <w:trHeight w:val="256"/>
        </w:trPr>
        <w:tc>
          <w:tcPr>
            <w:tcW w:w="1276" w:type="dxa"/>
            <w:tcBorders>
              <w:top w:val="nil"/>
              <w:left w:val="nil"/>
              <w:bottom w:val="nil"/>
              <w:right w:val="nil"/>
            </w:tcBorders>
            <w:vAlign w:val="center"/>
          </w:tcPr>
          <w:p w14:paraId="318ABDC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32A08EE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54982D68"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Georgia</w:t>
            </w:r>
          </w:p>
        </w:tc>
        <w:tc>
          <w:tcPr>
            <w:tcW w:w="1001" w:type="dxa"/>
            <w:tcBorders>
              <w:top w:val="nil"/>
              <w:left w:val="nil"/>
              <w:bottom w:val="nil"/>
              <w:right w:val="nil"/>
            </w:tcBorders>
            <w:vAlign w:val="center"/>
          </w:tcPr>
          <w:p w14:paraId="6D12CCA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0542867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642CCAC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56901B2A" w14:textId="77777777" w:rsidTr="00A538F6">
        <w:trPr>
          <w:trHeight w:val="256"/>
        </w:trPr>
        <w:tc>
          <w:tcPr>
            <w:tcW w:w="1276" w:type="dxa"/>
            <w:tcBorders>
              <w:top w:val="nil"/>
              <w:left w:val="nil"/>
              <w:bottom w:val="nil"/>
              <w:right w:val="nil"/>
            </w:tcBorders>
            <w:vAlign w:val="center"/>
          </w:tcPr>
          <w:p w14:paraId="6CAF7F6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c>
          <w:tcPr>
            <w:tcW w:w="1276" w:type="dxa"/>
            <w:tcBorders>
              <w:top w:val="nil"/>
              <w:left w:val="nil"/>
              <w:bottom w:val="nil"/>
              <w:right w:val="nil"/>
            </w:tcBorders>
            <w:vAlign w:val="center"/>
          </w:tcPr>
          <w:p w14:paraId="23B8912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c>
          <w:tcPr>
            <w:tcW w:w="3474" w:type="dxa"/>
            <w:tcBorders>
              <w:top w:val="nil"/>
              <w:left w:val="nil"/>
              <w:bottom w:val="nil"/>
              <w:right w:val="nil"/>
            </w:tcBorders>
            <w:vAlign w:val="center"/>
            <w:hideMark/>
          </w:tcPr>
          <w:p w14:paraId="7AA5581C"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Alemania</w:t>
            </w:r>
          </w:p>
        </w:tc>
        <w:tc>
          <w:tcPr>
            <w:tcW w:w="1001" w:type="dxa"/>
            <w:tcBorders>
              <w:top w:val="nil"/>
              <w:left w:val="nil"/>
              <w:bottom w:val="nil"/>
              <w:right w:val="nil"/>
            </w:tcBorders>
            <w:vAlign w:val="center"/>
          </w:tcPr>
          <w:p w14:paraId="34322D4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5,00</w:t>
            </w:r>
          </w:p>
        </w:tc>
        <w:tc>
          <w:tcPr>
            <w:tcW w:w="1392" w:type="dxa"/>
            <w:tcBorders>
              <w:top w:val="nil"/>
              <w:left w:val="nil"/>
              <w:bottom w:val="nil"/>
              <w:right w:val="nil"/>
            </w:tcBorders>
            <w:vAlign w:val="center"/>
          </w:tcPr>
          <w:p w14:paraId="040091A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c>
          <w:tcPr>
            <w:tcW w:w="1362" w:type="dxa"/>
            <w:tcBorders>
              <w:top w:val="nil"/>
              <w:left w:val="nil"/>
              <w:bottom w:val="nil"/>
              <w:right w:val="nil"/>
            </w:tcBorders>
            <w:vAlign w:val="center"/>
          </w:tcPr>
          <w:p w14:paraId="24E093B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r>
      <w:tr w:rsidR="00B65EDC" w:rsidRPr="00E675E8" w14:paraId="739ACBC5" w14:textId="77777777" w:rsidTr="00A538F6">
        <w:trPr>
          <w:trHeight w:val="256"/>
        </w:trPr>
        <w:tc>
          <w:tcPr>
            <w:tcW w:w="1276" w:type="dxa"/>
            <w:tcBorders>
              <w:top w:val="nil"/>
              <w:left w:val="nil"/>
              <w:bottom w:val="nil"/>
              <w:right w:val="nil"/>
            </w:tcBorders>
            <w:vAlign w:val="center"/>
          </w:tcPr>
          <w:p w14:paraId="716EF6D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49018FF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5BFCF788"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Ghana</w:t>
            </w:r>
          </w:p>
        </w:tc>
        <w:tc>
          <w:tcPr>
            <w:tcW w:w="1001" w:type="dxa"/>
            <w:tcBorders>
              <w:top w:val="nil"/>
              <w:left w:val="nil"/>
              <w:bottom w:val="nil"/>
              <w:right w:val="nil"/>
            </w:tcBorders>
            <w:vAlign w:val="center"/>
          </w:tcPr>
          <w:p w14:paraId="12B0FF7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2B4530A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186847E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25D66152" w14:textId="77777777" w:rsidTr="00A538F6">
        <w:trPr>
          <w:trHeight w:val="256"/>
        </w:trPr>
        <w:tc>
          <w:tcPr>
            <w:tcW w:w="1276" w:type="dxa"/>
            <w:tcBorders>
              <w:top w:val="nil"/>
              <w:left w:val="nil"/>
              <w:bottom w:val="nil"/>
              <w:right w:val="nil"/>
            </w:tcBorders>
            <w:vAlign w:val="center"/>
          </w:tcPr>
          <w:p w14:paraId="14882B8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1276" w:type="dxa"/>
            <w:tcBorders>
              <w:top w:val="nil"/>
              <w:left w:val="nil"/>
              <w:bottom w:val="nil"/>
              <w:right w:val="nil"/>
            </w:tcBorders>
            <w:vAlign w:val="center"/>
          </w:tcPr>
          <w:p w14:paraId="46FA56F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3474" w:type="dxa"/>
            <w:tcBorders>
              <w:top w:val="nil"/>
              <w:left w:val="nil"/>
              <w:bottom w:val="nil"/>
              <w:right w:val="nil"/>
            </w:tcBorders>
            <w:vAlign w:val="center"/>
            <w:hideMark/>
          </w:tcPr>
          <w:p w14:paraId="0CE75724"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Hungría</w:t>
            </w:r>
          </w:p>
        </w:tc>
        <w:tc>
          <w:tcPr>
            <w:tcW w:w="1001" w:type="dxa"/>
            <w:tcBorders>
              <w:top w:val="nil"/>
              <w:left w:val="nil"/>
              <w:bottom w:val="nil"/>
              <w:right w:val="nil"/>
            </w:tcBorders>
            <w:vAlign w:val="center"/>
          </w:tcPr>
          <w:p w14:paraId="2206BAE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0,50</w:t>
            </w:r>
          </w:p>
        </w:tc>
        <w:tc>
          <w:tcPr>
            <w:tcW w:w="1392" w:type="dxa"/>
            <w:tcBorders>
              <w:top w:val="nil"/>
              <w:left w:val="nil"/>
              <w:bottom w:val="nil"/>
              <w:right w:val="nil"/>
            </w:tcBorders>
            <w:vAlign w:val="center"/>
          </w:tcPr>
          <w:p w14:paraId="773CD39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1362" w:type="dxa"/>
            <w:tcBorders>
              <w:top w:val="nil"/>
              <w:left w:val="nil"/>
              <w:bottom w:val="nil"/>
              <w:right w:val="nil"/>
            </w:tcBorders>
            <w:vAlign w:val="center"/>
          </w:tcPr>
          <w:p w14:paraId="738DE6A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r>
      <w:tr w:rsidR="00B65EDC" w:rsidRPr="00E675E8" w14:paraId="13EF453A" w14:textId="77777777" w:rsidTr="00A538F6">
        <w:trPr>
          <w:trHeight w:val="256"/>
        </w:trPr>
        <w:tc>
          <w:tcPr>
            <w:tcW w:w="1276" w:type="dxa"/>
            <w:tcBorders>
              <w:top w:val="nil"/>
              <w:left w:val="nil"/>
              <w:bottom w:val="nil"/>
              <w:right w:val="nil"/>
            </w:tcBorders>
            <w:vAlign w:val="center"/>
          </w:tcPr>
          <w:p w14:paraId="2C6059B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075F5E1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70A83A57"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Islandia</w:t>
            </w:r>
          </w:p>
        </w:tc>
        <w:tc>
          <w:tcPr>
            <w:tcW w:w="1001" w:type="dxa"/>
            <w:tcBorders>
              <w:top w:val="nil"/>
              <w:left w:val="nil"/>
              <w:bottom w:val="nil"/>
              <w:right w:val="nil"/>
            </w:tcBorders>
            <w:vAlign w:val="center"/>
          </w:tcPr>
          <w:p w14:paraId="00D3141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3CB6933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43399AA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293CB958" w14:textId="77777777" w:rsidTr="00A538F6">
        <w:trPr>
          <w:trHeight w:val="256"/>
        </w:trPr>
        <w:tc>
          <w:tcPr>
            <w:tcW w:w="1276" w:type="dxa"/>
            <w:tcBorders>
              <w:top w:val="nil"/>
              <w:left w:val="nil"/>
              <w:bottom w:val="nil"/>
              <w:right w:val="nil"/>
            </w:tcBorders>
            <w:vAlign w:val="center"/>
          </w:tcPr>
          <w:p w14:paraId="5D3F70E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1276" w:type="dxa"/>
            <w:tcBorders>
              <w:top w:val="nil"/>
              <w:left w:val="nil"/>
              <w:bottom w:val="nil"/>
              <w:right w:val="nil"/>
            </w:tcBorders>
            <w:vAlign w:val="center"/>
          </w:tcPr>
          <w:p w14:paraId="65DB158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3474" w:type="dxa"/>
            <w:tcBorders>
              <w:top w:val="nil"/>
              <w:left w:val="nil"/>
              <w:bottom w:val="nil"/>
              <w:right w:val="nil"/>
            </w:tcBorders>
            <w:vAlign w:val="center"/>
            <w:hideMark/>
          </w:tcPr>
          <w:p w14:paraId="20D68E94"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Irlanda</w:t>
            </w:r>
          </w:p>
        </w:tc>
        <w:tc>
          <w:tcPr>
            <w:tcW w:w="1001" w:type="dxa"/>
            <w:tcBorders>
              <w:top w:val="nil"/>
              <w:left w:val="nil"/>
              <w:bottom w:val="nil"/>
              <w:right w:val="nil"/>
            </w:tcBorders>
            <w:vAlign w:val="center"/>
          </w:tcPr>
          <w:p w14:paraId="62287AC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1,00</w:t>
            </w:r>
          </w:p>
        </w:tc>
        <w:tc>
          <w:tcPr>
            <w:tcW w:w="1392" w:type="dxa"/>
            <w:tcBorders>
              <w:top w:val="nil"/>
              <w:left w:val="nil"/>
              <w:bottom w:val="nil"/>
              <w:right w:val="nil"/>
            </w:tcBorders>
            <w:vAlign w:val="center"/>
          </w:tcPr>
          <w:p w14:paraId="45FA711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1362" w:type="dxa"/>
            <w:tcBorders>
              <w:top w:val="nil"/>
              <w:left w:val="nil"/>
              <w:bottom w:val="nil"/>
              <w:right w:val="nil"/>
            </w:tcBorders>
            <w:vAlign w:val="center"/>
          </w:tcPr>
          <w:p w14:paraId="33D2636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r>
      <w:tr w:rsidR="00B65EDC" w:rsidRPr="00E675E8" w14:paraId="59A9648E" w14:textId="77777777" w:rsidTr="00A538F6">
        <w:trPr>
          <w:trHeight w:val="256"/>
        </w:trPr>
        <w:tc>
          <w:tcPr>
            <w:tcW w:w="1276" w:type="dxa"/>
            <w:tcBorders>
              <w:top w:val="nil"/>
              <w:left w:val="nil"/>
              <w:bottom w:val="nil"/>
              <w:right w:val="nil"/>
            </w:tcBorders>
            <w:vAlign w:val="center"/>
          </w:tcPr>
          <w:p w14:paraId="199F24A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1276" w:type="dxa"/>
            <w:tcBorders>
              <w:top w:val="nil"/>
              <w:left w:val="nil"/>
              <w:bottom w:val="nil"/>
              <w:right w:val="nil"/>
            </w:tcBorders>
            <w:vAlign w:val="center"/>
          </w:tcPr>
          <w:p w14:paraId="094E2A0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3474" w:type="dxa"/>
            <w:tcBorders>
              <w:top w:val="nil"/>
              <w:left w:val="nil"/>
              <w:bottom w:val="nil"/>
              <w:right w:val="nil"/>
            </w:tcBorders>
            <w:vAlign w:val="center"/>
            <w:hideMark/>
          </w:tcPr>
          <w:p w14:paraId="16AE5490"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Israel</w:t>
            </w:r>
          </w:p>
        </w:tc>
        <w:tc>
          <w:tcPr>
            <w:tcW w:w="1001" w:type="dxa"/>
            <w:tcBorders>
              <w:top w:val="nil"/>
              <w:left w:val="nil"/>
              <w:bottom w:val="nil"/>
              <w:right w:val="nil"/>
            </w:tcBorders>
            <w:vAlign w:val="center"/>
          </w:tcPr>
          <w:p w14:paraId="38EED6E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0,50</w:t>
            </w:r>
          </w:p>
        </w:tc>
        <w:tc>
          <w:tcPr>
            <w:tcW w:w="1392" w:type="dxa"/>
            <w:tcBorders>
              <w:top w:val="nil"/>
              <w:left w:val="nil"/>
              <w:bottom w:val="nil"/>
              <w:right w:val="nil"/>
            </w:tcBorders>
            <w:vAlign w:val="center"/>
          </w:tcPr>
          <w:p w14:paraId="3DB642E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1362" w:type="dxa"/>
            <w:tcBorders>
              <w:top w:val="nil"/>
              <w:left w:val="nil"/>
              <w:bottom w:val="nil"/>
              <w:right w:val="nil"/>
            </w:tcBorders>
            <w:vAlign w:val="center"/>
          </w:tcPr>
          <w:p w14:paraId="1431E84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r>
      <w:tr w:rsidR="00B65EDC" w:rsidRPr="00E675E8" w14:paraId="71A51398" w14:textId="77777777" w:rsidTr="00A538F6">
        <w:trPr>
          <w:trHeight w:val="256"/>
        </w:trPr>
        <w:tc>
          <w:tcPr>
            <w:tcW w:w="1276" w:type="dxa"/>
            <w:tcBorders>
              <w:top w:val="nil"/>
              <w:left w:val="nil"/>
              <w:bottom w:val="nil"/>
              <w:right w:val="nil"/>
            </w:tcBorders>
            <w:vAlign w:val="center"/>
          </w:tcPr>
          <w:p w14:paraId="5283773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c>
          <w:tcPr>
            <w:tcW w:w="1276" w:type="dxa"/>
            <w:tcBorders>
              <w:top w:val="nil"/>
              <w:left w:val="nil"/>
              <w:bottom w:val="nil"/>
              <w:right w:val="nil"/>
            </w:tcBorders>
            <w:vAlign w:val="center"/>
          </w:tcPr>
          <w:p w14:paraId="1881A52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c>
          <w:tcPr>
            <w:tcW w:w="3474" w:type="dxa"/>
            <w:tcBorders>
              <w:top w:val="nil"/>
              <w:left w:val="nil"/>
              <w:bottom w:val="nil"/>
              <w:right w:val="nil"/>
            </w:tcBorders>
            <w:vAlign w:val="center"/>
            <w:hideMark/>
          </w:tcPr>
          <w:p w14:paraId="40AA25D5"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Italia</w:t>
            </w:r>
          </w:p>
        </w:tc>
        <w:tc>
          <w:tcPr>
            <w:tcW w:w="1001" w:type="dxa"/>
            <w:tcBorders>
              <w:top w:val="nil"/>
              <w:left w:val="nil"/>
              <w:bottom w:val="nil"/>
              <w:right w:val="nil"/>
            </w:tcBorders>
            <w:vAlign w:val="center"/>
          </w:tcPr>
          <w:p w14:paraId="5A7A339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2,00</w:t>
            </w:r>
          </w:p>
        </w:tc>
        <w:tc>
          <w:tcPr>
            <w:tcW w:w="1392" w:type="dxa"/>
            <w:tcBorders>
              <w:top w:val="nil"/>
              <w:left w:val="nil"/>
              <w:bottom w:val="nil"/>
              <w:right w:val="nil"/>
            </w:tcBorders>
            <w:vAlign w:val="center"/>
          </w:tcPr>
          <w:p w14:paraId="1D1A388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c>
          <w:tcPr>
            <w:tcW w:w="1362" w:type="dxa"/>
            <w:tcBorders>
              <w:top w:val="nil"/>
              <w:left w:val="nil"/>
              <w:bottom w:val="nil"/>
              <w:right w:val="nil"/>
            </w:tcBorders>
            <w:vAlign w:val="center"/>
          </w:tcPr>
          <w:p w14:paraId="11F7FCA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r>
      <w:tr w:rsidR="00B65EDC" w:rsidRPr="00E675E8" w14:paraId="57758497" w14:textId="77777777" w:rsidTr="00A538F6">
        <w:trPr>
          <w:trHeight w:val="256"/>
        </w:trPr>
        <w:tc>
          <w:tcPr>
            <w:tcW w:w="1276" w:type="dxa"/>
            <w:tcBorders>
              <w:top w:val="nil"/>
              <w:left w:val="nil"/>
              <w:bottom w:val="nil"/>
              <w:right w:val="nil"/>
            </w:tcBorders>
            <w:vAlign w:val="center"/>
          </w:tcPr>
          <w:p w14:paraId="64EDA88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c>
          <w:tcPr>
            <w:tcW w:w="1276" w:type="dxa"/>
            <w:tcBorders>
              <w:top w:val="nil"/>
              <w:left w:val="nil"/>
              <w:bottom w:val="nil"/>
              <w:right w:val="nil"/>
            </w:tcBorders>
            <w:vAlign w:val="center"/>
          </w:tcPr>
          <w:p w14:paraId="0C66212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c>
          <w:tcPr>
            <w:tcW w:w="3474" w:type="dxa"/>
            <w:tcBorders>
              <w:top w:val="nil"/>
              <w:left w:val="nil"/>
              <w:bottom w:val="nil"/>
              <w:right w:val="nil"/>
            </w:tcBorders>
            <w:vAlign w:val="center"/>
            <w:hideMark/>
          </w:tcPr>
          <w:p w14:paraId="45118E4F"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Japón</w:t>
            </w:r>
          </w:p>
        </w:tc>
        <w:tc>
          <w:tcPr>
            <w:tcW w:w="1001" w:type="dxa"/>
            <w:tcBorders>
              <w:top w:val="nil"/>
              <w:left w:val="nil"/>
              <w:bottom w:val="nil"/>
              <w:right w:val="nil"/>
            </w:tcBorders>
            <w:vAlign w:val="center"/>
          </w:tcPr>
          <w:p w14:paraId="4D8D43B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5,00</w:t>
            </w:r>
          </w:p>
        </w:tc>
        <w:tc>
          <w:tcPr>
            <w:tcW w:w="1392" w:type="dxa"/>
            <w:tcBorders>
              <w:top w:val="nil"/>
              <w:left w:val="nil"/>
              <w:bottom w:val="nil"/>
              <w:right w:val="nil"/>
            </w:tcBorders>
            <w:vAlign w:val="center"/>
          </w:tcPr>
          <w:p w14:paraId="3F6AB2B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c>
          <w:tcPr>
            <w:tcW w:w="1362" w:type="dxa"/>
            <w:tcBorders>
              <w:top w:val="nil"/>
              <w:left w:val="nil"/>
              <w:bottom w:val="nil"/>
              <w:right w:val="nil"/>
            </w:tcBorders>
            <w:vAlign w:val="center"/>
          </w:tcPr>
          <w:p w14:paraId="7B57196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r>
      <w:tr w:rsidR="00B65EDC" w:rsidRPr="00E675E8" w14:paraId="72048183" w14:textId="77777777" w:rsidTr="00A538F6">
        <w:trPr>
          <w:trHeight w:val="256"/>
        </w:trPr>
        <w:tc>
          <w:tcPr>
            <w:tcW w:w="1276" w:type="dxa"/>
            <w:tcBorders>
              <w:top w:val="nil"/>
              <w:left w:val="nil"/>
              <w:bottom w:val="nil"/>
              <w:right w:val="nil"/>
            </w:tcBorders>
            <w:vAlign w:val="center"/>
          </w:tcPr>
          <w:p w14:paraId="526C737D"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25976C1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3D1959A2"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Jordania</w:t>
            </w:r>
          </w:p>
        </w:tc>
        <w:tc>
          <w:tcPr>
            <w:tcW w:w="1001" w:type="dxa"/>
            <w:tcBorders>
              <w:top w:val="nil"/>
              <w:left w:val="nil"/>
              <w:bottom w:val="nil"/>
              <w:right w:val="nil"/>
            </w:tcBorders>
            <w:vAlign w:val="center"/>
          </w:tcPr>
          <w:p w14:paraId="1090820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12DA23A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5595E1C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73CAF172" w14:textId="77777777" w:rsidTr="00A538F6">
        <w:trPr>
          <w:trHeight w:val="256"/>
        </w:trPr>
        <w:tc>
          <w:tcPr>
            <w:tcW w:w="1276" w:type="dxa"/>
            <w:tcBorders>
              <w:top w:val="nil"/>
              <w:left w:val="nil"/>
              <w:bottom w:val="nil"/>
              <w:right w:val="nil"/>
            </w:tcBorders>
            <w:vAlign w:val="center"/>
          </w:tcPr>
          <w:p w14:paraId="31E96B1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62BE056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2EE33004" w14:textId="77777777" w:rsidR="00B65EDC" w:rsidRPr="00E675E8" w:rsidRDefault="00B65EDC">
            <w:pPr>
              <w:jc w:val="left"/>
              <w:rPr>
                <w:rFonts w:ascii="Arial Narrow" w:hAnsi="Arial Narrow" w:cs="Arial"/>
                <w:color w:val="000000"/>
                <w:sz w:val="18"/>
                <w:szCs w:val="18"/>
                <w:lang w:val="es-ES_tradnl"/>
              </w:rPr>
            </w:pPr>
            <w:proofErr w:type="spellStart"/>
            <w:r w:rsidRPr="00E675E8">
              <w:rPr>
                <w:rFonts w:ascii="Arial Narrow" w:hAnsi="Arial Narrow"/>
                <w:color w:val="000000"/>
                <w:sz w:val="18"/>
                <w:lang w:val="es-ES_tradnl"/>
              </w:rPr>
              <w:t>Kenya</w:t>
            </w:r>
            <w:proofErr w:type="spellEnd"/>
          </w:p>
        </w:tc>
        <w:tc>
          <w:tcPr>
            <w:tcW w:w="1001" w:type="dxa"/>
            <w:tcBorders>
              <w:top w:val="nil"/>
              <w:left w:val="nil"/>
              <w:bottom w:val="nil"/>
              <w:right w:val="nil"/>
            </w:tcBorders>
            <w:vAlign w:val="center"/>
          </w:tcPr>
          <w:p w14:paraId="5CB5E83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499B3D6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638EAE8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7F28EAE8" w14:textId="77777777" w:rsidTr="00A538F6">
        <w:trPr>
          <w:trHeight w:val="256"/>
        </w:trPr>
        <w:tc>
          <w:tcPr>
            <w:tcW w:w="1276" w:type="dxa"/>
            <w:tcBorders>
              <w:top w:val="nil"/>
              <w:left w:val="nil"/>
              <w:bottom w:val="nil"/>
              <w:right w:val="nil"/>
            </w:tcBorders>
            <w:vAlign w:val="center"/>
          </w:tcPr>
          <w:p w14:paraId="4B9D924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7701B55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179694A3"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Kirguistán</w:t>
            </w:r>
          </w:p>
        </w:tc>
        <w:tc>
          <w:tcPr>
            <w:tcW w:w="1001" w:type="dxa"/>
            <w:tcBorders>
              <w:top w:val="nil"/>
              <w:left w:val="nil"/>
              <w:bottom w:val="nil"/>
              <w:right w:val="nil"/>
            </w:tcBorders>
            <w:vAlign w:val="center"/>
          </w:tcPr>
          <w:p w14:paraId="06D0F66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19888D7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26A7670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2D396ACB" w14:textId="77777777" w:rsidTr="00A538F6">
        <w:trPr>
          <w:trHeight w:val="256"/>
        </w:trPr>
        <w:tc>
          <w:tcPr>
            <w:tcW w:w="1276" w:type="dxa"/>
            <w:tcBorders>
              <w:top w:val="nil"/>
              <w:left w:val="nil"/>
              <w:bottom w:val="nil"/>
              <w:right w:val="nil"/>
            </w:tcBorders>
            <w:vAlign w:val="center"/>
          </w:tcPr>
          <w:p w14:paraId="5FC8C54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344556DD"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632231DA"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Letonia</w:t>
            </w:r>
          </w:p>
        </w:tc>
        <w:tc>
          <w:tcPr>
            <w:tcW w:w="1001" w:type="dxa"/>
            <w:tcBorders>
              <w:top w:val="nil"/>
              <w:left w:val="nil"/>
              <w:bottom w:val="nil"/>
              <w:right w:val="nil"/>
            </w:tcBorders>
            <w:vAlign w:val="center"/>
          </w:tcPr>
          <w:p w14:paraId="31DF62A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61D9183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60836EA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6EF9AAE4" w14:textId="77777777" w:rsidTr="00A538F6">
        <w:trPr>
          <w:trHeight w:val="256"/>
        </w:trPr>
        <w:tc>
          <w:tcPr>
            <w:tcW w:w="1276" w:type="dxa"/>
            <w:tcBorders>
              <w:top w:val="nil"/>
              <w:left w:val="nil"/>
              <w:bottom w:val="nil"/>
              <w:right w:val="nil"/>
            </w:tcBorders>
            <w:vAlign w:val="center"/>
          </w:tcPr>
          <w:p w14:paraId="0EC2AAF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5D25889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03F4FD6B"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Lituania</w:t>
            </w:r>
          </w:p>
        </w:tc>
        <w:tc>
          <w:tcPr>
            <w:tcW w:w="1001" w:type="dxa"/>
            <w:tcBorders>
              <w:top w:val="nil"/>
              <w:left w:val="nil"/>
              <w:bottom w:val="nil"/>
              <w:right w:val="nil"/>
            </w:tcBorders>
            <w:vAlign w:val="center"/>
          </w:tcPr>
          <w:p w14:paraId="68AAA41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75653B3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479D0C9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0E710B6C" w14:textId="77777777" w:rsidTr="00A538F6">
        <w:trPr>
          <w:trHeight w:val="256"/>
        </w:trPr>
        <w:tc>
          <w:tcPr>
            <w:tcW w:w="1276" w:type="dxa"/>
            <w:tcBorders>
              <w:top w:val="nil"/>
              <w:left w:val="nil"/>
              <w:bottom w:val="nil"/>
              <w:right w:val="nil"/>
            </w:tcBorders>
            <w:vAlign w:val="center"/>
          </w:tcPr>
          <w:p w14:paraId="7B1DCE1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40 231</w:t>
            </w:r>
          </w:p>
        </w:tc>
        <w:tc>
          <w:tcPr>
            <w:tcW w:w="1276" w:type="dxa"/>
            <w:tcBorders>
              <w:top w:val="nil"/>
              <w:left w:val="nil"/>
              <w:bottom w:val="nil"/>
              <w:right w:val="nil"/>
            </w:tcBorders>
            <w:vAlign w:val="center"/>
          </w:tcPr>
          <w:p w14:paraId="4177F32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40 231</w:t>
            </w:r>
          </w:p>
        </w:tc>
        <w:tc>
          <w:tcPr>
            <w:tcW w:w="3474" w:type="dxa"/>
            <w:tcBorders>
              <w:top w:val="nil"/>
              <w:left w:val="nil"/>
              <w:bottom w:val="nil"/>
              <w:right w:val="nil"/>
            </w:tcBorders>
            <w:vAlign w:val="center"/>
            <w:hideMark/>
          </w:tcPr>
          <w:p w14:paraId="31B77B21"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México</w:t>
            </w:r>
          </w:p>
        </w:tc>
        <w:tc>
          <w:tcPr>
            <w:tcW w:w="1001" w:type="dxa"/>
            <w:tcBorders>
              <w:top w:val="nil"/>
              <w:left w:val="nil"/>
              <w:bottom w:val="nil"/>
              <w:right w:val="nil"/>
            </w:tcBorders>
            <w:vAlign w:val="center"/>
          </w:tcPr>
          <w:p w14:paraId="66FB6CA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0,75</w:t>
            </w:r>
          </w:p>
        </w:tc>
        <w:tc>
          <w:tcPr>
            <w:tcW w:w="1392" w:type="dxa"/>
            <w:tcBorders>
              <w:top w:val="nil"/>
              <w:left w:val="nil"/>
              <w:bottom w:val="nil"/>
              <w:right w:val="nil"/>
            </w:tcBorders>
            <w:vAlign w:val="center"/>
          </w:tcPr>
          <w:p w14:paraId="5684A12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40 231</w:t>
            </w:r>
          </w:p>
        </w:tc>
        <w:tc>
          <w:tcPr>
            <w:tcW w:w="1362" w:type="dxa"/>
            <w:tcBorders>
              <w:top w:val="nil"/>
              <w:left w:val="nil"/>
              <w:bottom w:val="nil"/>
              <w:right w:val="nil"/>
            </w:tcBorders>
            <w:vAlign w:val="center"/>
          </w:tcPr>
          <w:p w14:paraId="392653F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40 231</w:t>
            </w:r>
          </w:p>
        </w:tc>
      </w:tr>
      <w:tr w:rsidR="00B65EDC" w:rsidRPr="00E675E8" w14:paraId="469D9B85" w14:textId="77777777" w:rsidTr="00A538F6">
        <w:trPr>
          <w:trHeight w:val="256"/>
        </w:trPr>
        <w:tc>
          <w:tcPr>
            <w:tcW w:w="1276" w:type="dxa"/>
            <w:tcBorders>
              <w:top w:val="nil"/>
              <w:left w:val="nil"/>
              <w:bottom w:val="nil"/>
              <w:right w:val="nil"/>
            </w:tcBorders>
            <w:vAlign w:val="center"/>
          </w:tcPr>
          <w:p w14:paraId="21CFE10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3EF8F5F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700069C1"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Montenegro</w:t>
            </w:r>
          </w:p>
        </w:tc>
        <w:tc>
          <w:tcPr>
            <w:tcW w:w="1001" w:type="dxa"/>
            <w:tcBorders>
              <w:top w:val="nil"/>
              <w:left w:val="nil"/>
              <w:bottom w:val="nil"/>
              <w:right w:val="nil"/>
            </w:tcBorders>
            <w:vAlign w:val="center"/>
          </w:tcPr>
          <w:p w14:paraId="5AE6025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44F43C0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68B0183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3A468B4F" w14:textId="77777777" w:rsidTr="00A538F6">
        <w:trPr>
          <w:trHeight w:val="256"/>
        </w:trPr>
        <w:tc>
          <w:tcPr>
            <w:tcW w:w="1276" w:type="dxa"/>
            <w:tcBorders>
              <w:top w:val="nil"/>
              <w:left w:val="nil"/>
              <w:bottom w:val="nil"/>
              <w:right w:val="nil"/>
            </w:tcBorders>
            <w:vAlign w:val="center"/>
          </w:tcPr>
          <w:p w14:paraId="2764173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45DC0B1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25A1AD2C"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Marruecos</w:t>
            </w:r>
          </w:p>
        </w:tc>
        <w:tc>
          <w:tcPr>
            <w:tcW w:w="1001" w:type="dxa"/>
            <w:tcBorders>
              <w:top w:val="nil"/>
              <w:left w:val="nil"/>
              <w:bottom w:val="nil"/>
              <w:right w:val="nil"/>
            </w:tcBorders>
            <w:vAlign w:val="center"/>
          </w:tcPr>
          <w:p w14:paraId="467D3F9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4DFD25B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039D07F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7E3F1D74" w14:textId="77777777" w:rsidTr="00A538F6">
        <w:trPr>
          <w:trHeight w:val="256"/>
        </w:trPr>
        <w:tc>
          <w:tcPr>
            <w:tcW w:w="1276" w:type="dxa"/>
            <w:tcBorders>
              <w:top w:val="nil"/>
              <w:left w:val="nil"/>
              <w:bottom w:val="nil"/>
              <w:right w:val="nil"/>
            </w:tcBorders>
            <w:vAlign w:val="center"/>
          </w:tcPr>
          <w:p w14:paraId="3F5B189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160 923</w:t>
            </w:r>
          </w:p>
        </w:tc>
        <w:tc>
          <w:tcPr>
            <w:tcW w:w="1276" w:type="dxa"/>
            <w:tcBorders>
              <w:top w:val="nil"/>
              <w:left w:val="nil"/>
              <w:bottom w:val="nil"/>
              <w:right w:val="nil"/>
            </w:tcBorders>
            <w:vAlign w:val="center"/>
          </w:tcPr>
          <w:p w14:paraId="24CBFA6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160 923</w:t>
            </w:r>
          </w:p>
        </w:tc>
        <w:tc>
          <w:tcPr>
            <w:tcW w:w="3474" w:type="dxa"/>
            <w:tcBorders>
              <w:top w:val="nil"/>
              <w:left w:val="nil"/>
              <w:bottom w:val="nil"/>
              <w:right w:val="nil"/>
            </w:tcBorders>
            <w:vAlign w:val="center"/>
            <w:hideMark/>
          </w:tcPr>
          <w:p w14:paraId="40512FAF"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Países Bajos (Reino de los)</w:t>
            </w:r>
          </w:p>
        </w:tc>
        <w:tc>
          <w:tcPr>
            <w:tcW w:w="1001" w:type="dxa"/>
            <w:tcBorders>
              <w:top w:val="nil"/>
              <w:left w:val="nil"/>
              <w:bottom w:val="nil"/>
              <w:right w:val="nil"/>
            </w:tcBorders>
            <w:vAlign w:val="center"/>
          </w:tcPr>
          <w:p w14:paraId="059F1B4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3,00</w:t>
            </w:r>
          </w:p>
        </w:tc>
        <w:tc>
          <w:tcPr>
            <w:tcW w:w="1392" w:type="dxa"/>
            <w:tcBorders>
              <w:top w:val="nil"/>
              <w:left w:val="nil"/>
              <w:bottom w:val="nil"/>
              <w:right w:val="nil"/>
            </w:tcBorders>
            <w:vAlign w:val="center"/>
          </w:tcPr>
          <w:p w14:paraId="43E5357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160 923</w:t>
            </w:r>
          </w:p>
        </w:tc>
        <w:tc>
          <w:tcPr>
            <w:tcW w:w="1362" w:type="dxa"/>
            <w:tcBorders>
              <w:top w:val="nil"/>
              <w:left w:val="nil"/>
              <w:bottom w:val="nil"/>
              <w:right w:val="nil"/>
            </w:tcBorders>
            <w:vAlign w:val="center"/>
          </w:tcPr>
          <w:p w14:paraId="4B40566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160 923</w:t>
            </w:r>
          </w:p>
        </w:tc>
      </w:tr>
      <w:tr w:rsidR="00B65EDC" w:rsidRPr="00E675E8" w14:paraId="113A6237" w14:textId="77777777" w:rsidTr="00A538F6">
        <w:trPr>
          <w:trHeight w:val="256"/>
        </w:trPr>
        <w:tc>
          <w:tcPr>
            <w:tcW w:w="1276" w:type="dxa"/>
            <w:tcBorders>
              <w:top w:val="nil"/>
              <w:left w:val="nil"/>
              <w:bottom w:val="nil"/>
              <w:right w:val="nil"/>
            </w:tcBorders>
            <w:vAlign w:val="center"/>
          </w:tcPr>
          <w:p w14:paraId="5659F74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lastRenderedPageBreak/>
              <w:t>53 641</w:t>
            </w:r>
          </w:p>
        </w:tc>
        <w:tc>
          <w:tcPr>
            <w:tcW w:w="1276" w:type="dxa"/>
            <w:tcBorders>
              <w:top w:val="nil"/>
              <w:left w:val="nil"/>
              <w:bottom w:val="nil"/>
              <w:right w:val="nil"/>
            </w:tcBorders>
            <w:vAlign w:val="center"/>
          </w:tcPr>
          <w:p w14:paraId="546F6C3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3474" w:type="dxa"/>
            <w:tcBorders>
              <w:top w:val="nil"/>
              <w:left w:val="nil"/>
              <w:bottom w:val="nil"/>
              <w:right w:val="nil"/>
            </w:tcBorders>
            <w:vAlign w:val="center"/>
            <w:hideMark/>
          </w:tcPr>
          <w:p w14:paraId="5197D153"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Nueva Zelandia</w:t>
            </w:r>
          </w:p>
        </w:tc>
        <w:tc>
          <w:tcPr>
            <w:tcW w:w="1001" w:type="dxa"/>
            <w:tcBorders>
              <w:top w:val="nil"/>
              <w:left w:val="nil"/>
              <w:bottom w:val="nil"/>
              <w:right w:val="nil"/>
            </w:tcBorders>
            <w:vAlign w:val="center"/>
          </w:tcPr>
          <w:p w14:paraId="4846385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1,00</w:t>
            </w:r>
          </w:p>
        </w:tc>
        <w:tc>
          <w:tcPr>
            <w:tcW w:w="1392" w:type="dxa"/>
            <w:tcBorders>
              <w:top w:val="nil"/>
              <w:left w:val="nil"/>
              <w:bottom w:val="nil"/>
              <w:right w:val="nil"/>
            </w:tcBorders>
            <w:vAlign w:val="center"/>
          </w:tcPr>
          <w:p w14:paraId="48EC3D9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1362" w:type="dxa"/>
            <w:tcBorders>
              <w:top w:val="nil"/>
              <w:left w:val="nil"/>
              <w:bottom w:val="nil"/>
              <w:right w:val="nil"/>
            </w:tcBorders>
            <w:vAlign w:val="center"/>
          </w:tcPr>
          <w:p w14:paraId="2A04B25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r>
      <w:tr w:rsidR="00B65EDC" w:rsidRPr="00E675E8" w14:paraId="220F3521" w14:textId="77777777" w:rsidTr="00A538F6">
        <w:trPr>
          <w:trHeight w:val="256"/>
        </w:trPr>
        <w:tc>
          <w:tcPr>
            <w:tcW w:w="1276" w:type="dxa"/>
            <w:tcBorders>
              <w:top w:val="nil"/>
              <w:left w:val="nil"/>
              <w:bottom w:val="nil"/>
              <w:right w:val="nil"/>
            </w:tcBorders>
            <w:vAlign w:val="center"/>
          </w:tcPr>
          <w:p w14:paraId="07D68AB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4C941A7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68C849D4"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Nicaragua</w:t>
            </w:r>
          </w:p>
        </w:tc>
        <w:tc>
          <w:tcPr>
            <w:tcW w:w="1001" w:type="dxa"/>
            <w:tcBorders>
              <w:top w:val="nil"/>
              <w:left w:val="nil"/>
              <w:bottom w:val="nil"/>
              <w:right w:val="nil"/>
            </w:tcBorders>
            <w:vAlign w:val="center"/>
          </w:tcPr>
          <w:p w14:paraId="66C53AD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376FD28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57EC5F4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7E239D8B" w14:textId="77777777" w:rsidTr="00A538F6">
        <w:trPr>
          <w:trHeight w:val="256"/>
        </w:trPr>
        <w:tc>
          <w:tcPr>
            <w:tcW w:w="1276" w:type="dxa"/>
            <w:tcBorders>
              <w:top w:val="nil"/>
              <w:left w:val="nil"/>
              <w:bottom w:val="nil"/>
              <w:right w:val="nil"/>
            </w:tcBorders>
            <w:vAlign w:val="center"/>
          </w:tcPr>
          <w:p w14:paraId="3C75F7C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w:t>
            </w:r>
          </w:p>
        </w:tc>
        <w:tc>
          <w:tcPr>
            <w:tcW w:w="1276" w:type="dxa"/>
            <w:tcBorders>
              <w:top w:val="nil"/>
              <w:left w:val="nil"/>
              <w:bottom w:val="nil"/>
              <w:right w:val="nil"/>
            </w:tcBorders>
            <w:vAlign w:val="center"/>
          </w:tcPr>
          <w:p w14:paraId="14AF370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w:t>
            </w:r>
          </w:p>
        </w:tc>
        <w:tc>
          <w:tcPr>
            <w:tcW w:w="3474" w:type="dxa"/>
            <w:tcBorders>
              <w:top w:val="nil"/>
              <w:left w:val="nil"/>
              <w:bottom w:val="nil"/>
              <w:right w:val="nil"/>
            </w:tcBorders>
            <w:vAlign w:val="center"/>
          </w:tcPr>
          <w:p w14:paraId="20DEE80E"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Nigeria</w:t>
            </w:r>
            <w:r w:rsidRPr="00E675E8">
              <w:rPr>
                <w:rFonts w:ascii="Arial Narrow" w:hAnsi="Arial Narrow"/>
                <w:color w:val="000000"/>
                <w:sz w:val="18"/>
                <w:vertAlign w:val="superscript"/>
                <w:lang w:val="es-ES_tradnl"/>
              </w:rPr>
              <w:t>2</w:t>
            </w:r>
          </w:p>
        </w:tc>
        <w:tc>
          <w:tcPr>
            <w:tcW w:w="1001" w:type="dxa"/>
            <w:tcBorders>
              <w:top w:val="nil"/>
              <w:left w:val="nil"/>
              <w:bottom w:val="nil"/>
              <w:right w:val="nil"/>
            </w:tcBorders>
            <w:vAlign w:val="center"/>
          </w:tcPr>
          <w:p w14:paraId="227912C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19D1AD1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1BEA149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367FF511" w14:textId="77777777" w:rsidTr="00A538F6">
        <w:trPr>
          <w:trHeight w:val="256"/>
        </w:trPr>
        <w:tc>
          <w:tcPr>
            <w:tcW w:w="1276" w:type="dxa"/>
            <w:tcBorders>
              <w:top w:val="nil"/>
              <w:left w:val="nil"/>
              <w:bottom w:val="nil"/>
              <w:right w:val="nil"/>
            </w:tcBorders>
            <w:vAlign w:val="center"/>
          </w:tcPr>
          <w:p w14:paraId="375FD76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72D778A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4F3BE679"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Macedonia del Norte</w:t>
            </w:r>
          </w:p>
        </w:tc>
        <w:tc>
          <w:tcPr>
            <w:tcW w:w="1001" w:type="dxa"/>
            <w:tcBorders>
              <w:top w:val="nil"/>
              <w:left w:val="nil"/>
              <w:bottom w:val="nil"/>
              <w:right w:val="nil"/>
            </w:tcBorders>
            <w:vAlign w:val="center"/>
          </w:tcPr>
          <w:p w14:paraId="4805811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1636B7C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4C355EB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0A911EF3" w14:textId="77777777" w:rsidTr="00A538F6">
        <w:trPr>
          <w:trHeight w:val="256"/>
        </w:trPr>
        <w:tc>
          <w:tcPr>
            <w:tcW w:w="1276" w:type="dxa"/>
            <w:tcBorders>
              <w:top w:val="nil"/>
              <w:left w:val="nil"/>
              <w:bottom w:val="nil"/>
              <w:right w:val="nil"/>
            </w:tcBorders>
            <w:vAlign w:val="center"/>
          </w:tcPr>
          <w:p w14:paraId="65E94B7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1276" w:type="dxa"/>
            <w:tcBorders>
              <w:top w:val="nil"/>
              <w:left w:val="nil"/>
              <w:bottom w:val="nil"/>
              <w:right w:val="nil"/>
            </w:tcBorders>
            <w:vAlign w:val="center"/>
          </w:tcPr>
          <w:p w14:paraId="420005B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3474" w:type="dxa"/>
            <w:tcBorders>
              <w:top w:val="nil"/>
              <w:left w:val="nil"/>
              <w:bottom w:val="nil"/>
              <w:right w:val="nil"/>
            </w:tcBorders>
            <w:vAlign w:val="center"/>
            <w:hideMark/>
          </w:tcPr>
          <w:p w14:paraId="15E82B41"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Noruega</w:t>
            </w:r>
          </w:p>
        </w:tc>
        <w:tc>
          <w:tcPr>
            <w:tcW w:w="1001" w:type="dxa"/>
            <w:tcBorders>
              <w:top w:val="nil"/>
              <w:left w:val="nil"/>
              <w:bottom w:val="nil"/>
              <w:right w:val="nil"/>
            </w:tcBorders>
            <w:vAlign w:val="center"/>
          </w:tcPr>
          <w:p w14:paraId="06D0141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1,00</w:t>
            </w:r>
          </w:p>
        </w:tc>
        <w:tc>
          <w:tcPr>
            <w:tcW w:w="1392" w:type="dxa"/>
            <w:tcBorders>
              <w:top w:val="nil"/>
              <w:left w:val="nil"/>
              <w:bottom w:val="nil"/>
              <w:right w:val="nil"/>
            </w:tcBorders>
            <w:vAlign w:val="center"/>
          </w:tcPr>
          <w:p w14:paraId="779E6D2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1362" w:type="dxa"/>
            <w:tcBorders>
              <w:top w:val="nil"/>
              <w:left w:val="nil"/>
              <w:bottom w:val="nil"/>
              <w:right w:val="nil"/>
            </w:tcBorders>
            <w:vAlign w:val="center"/>
          </w:tcPr>
          <w:p w14:paraId="13CF162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r>
      <w:tr w:rsidR="00B65EDC" w:rsidRPr="00E675E8" w14:paraId="604C37AE" w14:textId="77777777" w:rsidTr="00A538F6">
        <w:trPr>
          <w:trHeight w:val="256"/>
        </w:trPr>
        <w:tc>
          <w:tcPr>
            <w:tcW w:w="1276" w:type="dxa"/>
            <w:tcBorders>
              <w:top w:val="nil"/>
              <w:left w:val="nil"/>
              <w:bottom w:val="nil"/>
              <w:right w:val="nil"/>
            </w:tcBorders>
            <w:vAlign w:val="center"/>
          </w:tcPr>
          <w:p w14:paraId="7C5D08C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1276" w:type="dxa"/>
            <w:tcBorders>
              <w:top w:val="nil"/>
              <w:left w:val="nil"/>
              <w:bottom w:val="nil"/>
              <w:right w:val="nil"/>
            </w:tcBorders>
            <w:vAlign w:val="center"/>
          </w:tcPr>
          <w:p w14:paraId="18266C2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3474" w:type="dxa"/>
            <w:tcBorders>
              <w:top w:val="nil"/>
              <w:left w:val="nil"/>
              <w:bottom w:val="nil"/>
              <w:right w:val="nil"/>
            </w:tcBorders>
            <w:vAlign w:val="center"/>
            <w:hideMark/>
          </w:tcPr>
          <w:p w14:paraId="150EB329"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Omán</w:t>
            </w:r>
          </w:p>
        </w:tc>
        <w:tc>
          <w:tcPr>
            <w:tcW w:w="1001" w:type="dxa"/>
            <w:tcBorders>
              <w:top w:val="nil"/>
              <w:left w:val="nil"/>
              <w:bottom w:val="nil"/>
              <w:right w:val="nil"/>
            </w:tcBorders>
            <w:vAlign w:val="center"/>
          </w:tcPr>
          <w:p w14:paraId="6FFBF3D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1,00</w:t>
            </w:r>
          </w:p>
        </w:tc>
        <w:tc>
          <w:tcPr>
            <w:tcW w:w="1392" w:type="dxa"/>
            <w:tcBorders>
              <w:top w:val="nil"/>
              <w:left w:val="nil"/>
              <w:bottom w:val="nil"/>
              <w:right w:val="nil"/>
            </w:tcBorders>
            <w:vAlign w:val="center"/>
          </w:tcPr>
          <w:p w14:paraId="2FC5CDE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1362" w:type="dxa"/>
            <w:tcBorders>
              <w:top w:val="nil"/>
              <w:left w:val="nil"/>
              <w:bottom w:val="nil"/>
              <w:right w:val="nil"/>
            </w:tcBorders>
            <w:vAlign w:val="center"/>
          </w:tcPr>
          <w:p w14:paraId="5277FDB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r>
      <w:tr w:rsidR="00B65EDC" w:rsidRPr="00E675E8" w14:paraId="4F82C639" w14:textId="77777777" w:rsidTr="00A538F6">
        <w:trPr>
          <w:trHeight w:val="256"/>
        </w:trPr>
        <w:tc>
          <w:tcPr>
            <w:tcW w:w="1276" w:type="dxa"/>
            <w:tcBorders>
              <w:top w:val="nil"/>
              <w:left w:val="nil"/>
              <w:bottom w:val="nil"/>
              <w:right w:val="nil"/>
            </w:tcBorders>
            <w:vAlign w:val="center"/>
          </w:tcPr>
          <w:p w14:paraId="6700F9E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2B7F2D9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4905CA0F"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Panamá</w:t>
            </w:r>
          </w:p>
        </w:tc>
        <w:tc>
          <w:tcPr>
            <w:tcW w:w="1001" w:type="dxa"/>
            <w:tcBorders>
              <w:top w:val="nil"/>
              <w:left w:val="nil"/>
              <w:bottom w:val="nil"/>
              <w:right w:val="nil"/>
            </w:tcBorders>
            <w:vAlign w:val="center"/>
          </w:tcPr>
          <w:p w14:paraId="7E257C1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7F17362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388488D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5A9B7FFA" w14:textId="77777777" w:rsidTr="00A538F6">
        <w:trPr>
          <w:trHeight w:val="256"/>
        </w:trPr>
        <w:tc>
          <w:tcPr>
            <w:tcW w:w="1276" w:type="dxa"/>
            <w:tcBorders>
              <w:top w:val="nil"/>
              <w:left w:val="nil"/>
              <w:bottom w:val="nil"/>
              <w:right w:val="nil"/>
            </w:tcBorders>
            <w:vAlign w:val="center"/>
          </w:tcPr>
          <w:p w14:paraId="66FB46E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50DD0A9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4AEB9BBE"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Paraguay</w:t>
            </w:r>
          </w:p>
        </w:tc>
        <w:tc>
          <w:tcPr>
            <w:tcW w:w="1001" w:type="dxa"/>
            <w:tcBorders>
              <w:top w:val="nil"/>
              <w:left w:val="nil"/>
              <w:bottom w:val="nil"/>
              <w:right w:val="nil"/>
            </w:tcBorders>
            <w:vAlign w:val="center"/>
          </w:tcPr>
          <w:p w14:paraId="4BC2A8E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05D6A0C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15E3AE1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2A2F240F" w14:textId="77777777" w:rsidTr="00A538F6">
        <w:trPr>
          <w:trHeight w:val="256"/>
        </w:trPr>
        <w:tc>
          <w:tcPr>
            <w:tcW w:w="1276" w:type="dxa"/>
            <w:tcBorders>
              <w:top w:val="nil"/>
              <w:left w:val="nil"/>
              <w:bottom w:val="nil"/>
              <w:right w:val="nil"/>
            </w:tcBorders>
            <w:vAlign w:val="center"/>
          </w:tcPr>
          <w:p w14:paraId="1A8973D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262CABC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1AC7F559"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Perú</w:t>
            </w:r>
          </w:p>
        </w:tc>
        <w:tc>
          <w:tcPr>
            <w:tcW w:w="1001" w:type="dxa"/>
            <w:tcBorders>
              <w:top w:val="nil"/>
              <w:left w:val="nil"/>
              <w:bottom w:val="nil"/>
              <w:right w:val="nil"/>
            </w:tcBorders>
            <w:vAlign w:val="center"/>
          </w:tcPr>
          <w:p w14:paraId="041C264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46F6696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7636AA4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4C8D8F16" w14:textId="77777777" w:rsidTr="00A538F6">
        <w:trPr>
          <w:trHeight w:val="256"/>
        </w:trPr>
        <w:tc>
          <w:tcPr>
            <w:tcW w:w="1276" w:type="dxa"/>
            <w:tcBorders>
              <w:top w:val="nil"/>
              <w:left w:val="nil"/>
              <w:bottom w:val="nil"/>
              <w:right w:val="nil"/>
            </w:tcBorders>
            <w:vAlign w:val="center"/>
          </w:tcPr>
          <w:p w14:paraId="6D872B3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1276" w:type="dxa"/>
            <w:tcBorders>
              <w:top w:val="nil"/>
              <w:left w:val="nil"/>
              <w:bottom w:val="nil"/>
              <w:right w:val="nil"/>
            </w:tcBorders>
            <w:vAlign w:val="center"/>
          </w:tcPr>
          <w:p w14:paraId="7590C52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3474" w:type="dxa"/>
            <w:tcBorders>
              <w:top w:val="nil"/>
              <w:left w:val="nil"/>
              <w:bottom w:val="nil"/>
              <w:right w:val="nil"/>
            </w:tcBorders>
            <w:vAlign w:val="center"/>
            <w:hideMark/>
          </w:tcPr>
          <w:p w14:paraId="4DE92930"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Polonia</w:t>
            </w:r>
          </w:p>
        </w:tc>
        <w:tc>
          <w:tcPr>
            <w:tcW w:w="1001" w:type="dxa"/>
            <w:tcBorders>
              <w:top w:val="nil"/>
              <w:left w:val="nil"/>
              <w:bottom w:val="nil"/>
              <w:right w:val="nil"/>
            </w:tcBorders>
            <w:vAlign w:val="center"/>
          </w:tcPr>
          <w:p w14:paraId="04DDE83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0,50</w:t>
            </w:r>
          </w:p>
        </w:tc>
        <w:tc>
          <w:tcPr>
            <w:tcW w:w="1392" w:type="dxa"/>
            <w:tcBorders>
              <w:top w:val="nil"/>
              <w:left w:val="nil"/>
              <w:bottom w:val="nil"/>
              <w:right w:val="nil"/>
            </w:tcBorders>
            <w:vAlign w:val="center"/>
          </w:tcPr>
          <w:p w14:paraId="5021336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1362" w:type="dxa"/>
            <w:tcBorders>
              <w:top w:val="nil"/>
              <w:left w:val="nil"/>
              <w:bottom w:val="nil"/>
              <w:right w:val="nil"/>
            </w:tcBorders>
            <w:vAlign w:val="center"/>
          </w:tcPr>
          <w:p w14:paraId="24BEF36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r>
      <w:tr w:rsidR="00B65EDC" w:rsidRPr="00E675E8" w14:paraId="520B32F6" w14:textId="77777777" w:rsidTr="00A538F6">
        <w:trPr>
          <w:trHeight w:val="256"/>
        </w:trPr>
        <w:tc>
          <w:tcPr>
            <w:tcW w:w="1276" w:type="dxa"/>
            <w:tcBorders>
              <w:top w:val="nil"/>
              <w:left w:val="nil"/>
              <w:bottom w:val="nil"/>
              <w:right w:val="nil"/>
            </w:tcBorders>
            <w:vAlign w:val="center"/>
          </w:tcPr>
          <w:p w14:paraId="6DB72DC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276550D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74DB1EA5"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Portugal</w:t>
            </w:r>
          </w:p>
        </w:tc>
        <w:tc>
          <w:tcPr>
            <w:tcW w:w="1001" w:type="dxa"/>
            <w:tcBorders>
              <w:top w:val="nil"/>
              <w:left w:val="nil"/>
              <w:bottom w:val="nil"/>
              <w:right w:val="nil"/>
            </w:tcBorders>
            <w:vAlign w:val="center"/>
          </w:tcPr>
          <w:p w14:paraId="1533984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7765AAD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1257EC2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50D8F40E" w14:textId="77777777" w:rsidTr="00A538F6">
        <w:trPr>
          <w:trHeight w:val="256"/>
        </w:trPr>
        <w:tc>
          <w:tcPr>
            <w:tcW w:w="1276" w:type="dxa"/>
            <w:tcBorders>
              <w:top w:val="nil"/>
              <w:left w:val="nil"/>
              <w:bottom w:val="nil"/>
              <w:right w:val="nil"/>
            </w:tcBorders>
            <w:vAlign w:val="center"/>
          </w:tcPr>
          <w:p w14:paraId="12AEFA4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80 462</w:t>
            </w:r>
          </w:p>
        </w:tc>
        <w:tc>
          <w:tcPr>
            <w:tcW w:w="1276" w:type="dxa"/>
            <w:tcBorders>
              <w:top w:val="nil"/>
              <w:left w:val="nil"/>
              <w:bottom w:val="nil"/>
              <w:right w:val="nil"/>
            </w:tcBorders>
            <w:vAlign w:val="center"/>
          </w:tcPr>
          <w:p w14:paraId="5DC5749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80 462</w:t>
            </w:r>
          </w:p>
        </w:tc>
        <w:tc>
          <w:tcPr>
            <w:tcW w:w="3474" w:type="dxa"/>
            <w:tcBorders>
              <w:top w:val="nil"/>
              <w:left w:val="nil"/>
              <w:bottom w:val="nil"/>
              <w:right w:val="nil"/>
            </w:tcBorders>
            <w:vAlign w:val="center"/>
            <w:hideMark/>
          </w:tcPr>
          <w:p w14:paraId="7B1711DB"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República de Corea</w:t>
            </w:r>
          </w:p>
        </w:tc>
        <w:tc>
          <w:tcPr>
            <w:tcW w:w="1001" w:type="dxa"/>
            <w:tcBorders>
              <w:top w:val="nil"/>
              <w:left w:val="nil"/>
              <w:bottom w:val="nil"/>
              <w:right w:val="nil"/>
            </w:tcBorders>
            <w:vAlign w:val="center"/>
          </w:tcPr>
          <w:p w14:paraId="3F14FD9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1,50</w:t>
            </w:r>
          </w:p>
        </w:tc>
        <w:tc>
          <w:tcPr>
            <w:tcW w:w="1392" w:type="dxa"/>
            <w:tcBorders>
              <w:top w:val="nil"/>
              <w:left w:val="nil"/>
              <w:bottom w:val="nil"/>
              <w:right w:val="nil"/>
            </w:tcBorders>
            <w:vAlign w:val="center"/>
          </w:tcPr>
          <w:p w14:paraId="235052A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80 462</w:t>
            </w:r>
          </w:p>
        </w:tc>
        <w:tc>
          <w:tcPr>
            <w:tcW w:w="1362" w:type="dxa"/>
            <w:tcBorders>
              <w:top w:val="nil"/>
              <w:left w:val="nil"/>
              <w:bottom w:val="nil"/>
              <w:right w:val="nil"/>
            </w:tcBorders>
            <w:vAlign w:val="center"/>
          </w:tcPr>
          <w:p w14:paraId="5B7FCC9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80 462</w:t>
            </w:r>
          </w:p>
        </w:tc>
      </w:tr>
      <w:tr w:rsidR="00B65EDC" w:rsidRPr="00E675E8" w14:paraId="03811E33" w14:textId="77777777" w:rsidTr="00A538F6">
        <w:trPr>
          <w:trHeight w:val="256"/>
        </w:trPr>
        <w:tc>
          <w:tcPr>
            <w:tcW w:w="1276" w:type="dxa"/>
            <w:tcBorders>
              <w:top w:val="nil"/>
              <w:left w:val="nil"/>
              <w:bottom w:val="nil"/>
              <w:right w:val="nil"/>
            </w:tcBorders>
            <w:vAlign w:val="center"/>
          </w:tcPr>
          <w:p w14:paraId="2E179B3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5AA9AC6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3A4799B9"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República de Moldova</w:t>
            </w:r>
          </w:p>
        </w:tc>
        <w:tc>
          <w:tcPr>
            <w:tcW w:w="1001" w:type="dxa"/>
            <w:tcBorders>
              <w:top w:val="nil"/>
              <w:left w:val="nil"/>
              <w:bottom w:val="nil"/>
              <w:right w:val="nil"/>
            </w:tcBorders>
            <w:vAlign w:val="center"/>
          </w:tcPr>
          <w:p w14:paraId="67E131C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453FD53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3CE3A01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74334E8E" w14:textId="77777777" w:rsidTr="00A538F6">
        <w:trPr>
          <w:trHeight w:val="256"/>
        </w:trPr>
        <w:tc>
          <w:tcPr>
            <w:tcW w:w="1276" w:type="dxa"/>
            <w:tcBorders>
              <w:top w:val="nil"/>
              <w:left w:val="nil"/>
              <w:bottom w:val="nil"/>
              <w:right w:val="nil"/>
            </w:tcBorders>
            <w:vAlign w:val="center"/>
          </w:tcPr>
          <w:p w14:paraId="0B70327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6A4CD1F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201F4580"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Rumania</w:t>
            </w:r>
          </w:p>
        </w:tc>
        <w:tc>
          <w:tcPr>
            <w:tcW w:w="1001" w:type="dxa"/>
            <w:tcBorders>
              <w:top w:val="nil"/>
              <w:left w:val="nil"/>
              <w:bottom w:val="nil"/>
              <w:right w:val="nil"/>
            </w:tcBorders>
            <w:vAlign w:val="center"/>
          </w:tcPr>
          <w:p w14:paraId="6AB9FA6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7BC7C5B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39F7D85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5F440A2A" w14:textId="77777777" w:rsidTr="00A538F6">
        <w:trPr>
          <w:trHeight w:val="256"/>
        </w:trPr>
        <w:tc>
          <w:tcPr>
            <w:tcW w:w="1276" w:type="dxa"/>
            <w:tcBorders>
              <w:top w:val="nil"/>
              <w:left w:val="nil"/>
              <w:bottom w:val="nil"/>
              <w:right w:val="nil"/>
            </w:tcBorders>
            <w:vAlign w:val="center"/>
          </w:tcPr>
          <w:p w14:paraId="6F598C5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c>
          <w:tcPr>
            <w:tcW w:w="1276" w:type="dxa"/>
            <w:tcBorders>
              <w:top w:val="nil"/>
              <w:left w:val="nil"/>
              <w:bottom w:val="nil"/>
              <w:right w:val="nil"/>
            </w:tcBorders>
            <w:vAlign w:val="center"/>
          </w:tcPr>
          <w:p w14:paraId="59695E5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c>
          <w:tcPr>
            <w:tcW w:w="3474" w:type="dxa"/>
            <w:tcBorders>
              <w:top w:val="nil"/>
              <w:left w:val="nil"/>
              <w:bottom w:val="nil"/>
              <w:right w:val="nil"/>
            </w:tcBorders>
            <w:vAlign w:val="center"/>
            <w:hideMark/>
          </w:tcPr>
          <w:p w14:paraId="3A54F1C5"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 xml:space="preserve">Federación de Rusia </w:t>
            </w:r>
          </w:p>
        </w:tc>
        <w:tc>
          <w:tcPr>
            <w:tcW w:w="1001" w:type="dxa"/>
            <w:tcBorders>
              <w:top w:val="nil"/>
              <w:left w:val="nil"/>
              <w:bottom w:val="nil"/>
              <w:right w:val="nil"/>
            </w:tcBorders>
            <w:vAlign w:val="center"/>
          </w:tcPr>
          <w:p w14:paraId="67CBD4F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2,00</w:t>
            </w:r>
          </w:p>
        </w:tc>
        <w:tc>
          <w:tcPr>
            <w:tcW w:w="1392" w:type="dxa"/>
            <w:tcBorders>
              <w:top w:val="nil"/>
              <w:left w:val="nil"/>
              <w:bottom w:val="nil"/>
              <w:right w:val="nil"/>
            </w:tcBorders>
            <w:vAlign w:val="center"/>
          </w:tcPr>
          <w:p w14:paraId="11B56BE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c>
          <w:tcPr>
            <w:tcW w:w="1362" w:type="dxa"/>
            <w:tcBorders>
              <w:top w:val="nil"/>
              <w:left w:val="nil"/>
              <w:bottom w:val="nil"/>
              <w:right w:val="nil"/>
            </w:tcBorders>
            <w:vAlign w:val="center"/>
          </w:tcPr>
          <w:p w14:paraId="77FA7AC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r>
      <w:tr w:rsidR="00B65EDC" w:rsidRPr="00E675E8" w14:paraId="43BAE6BA" w14:textId="77777777" w:rsidTr="00A538F6">
        <w:trPr>
          <w:trHeight w:val="256"/>
        </w:trPr>
        <w:tc>
          <w:tcPr>
            <w:tcW w:w="1276" w:type="dxa"/>
            <w:tcBorders>
              <w:top w:val="nil"/>
              <w:left w:val="nil"/>
              <w:bottom w:val="nil"/>
              <w:right w:val="nil"/>
            </w:tcBorders>
            <w:vAlign w:val="center"/>
          </w:tcPr>
          <w:p w14:paraId="5046D52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486D437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22C117F3"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San Vicente y las Granadinas</w:t>
            </w:r>
          </w:p>
        </w:tc>
        <w:tc>
          <w:tcPr>
            <w:tcW w:w="1001" w:type="dxa"/>
            <w:tcBorders>
              <w:top w:val="nil"/>
              <w:left w:val="nil"/>
              <w:bottom w:val="nil"/>
              <w:right w:val="nil"/>
            </w:tcBorders>
            <w:vAlign w:val="center"/>
          </w:tcPr>
          <w:p w14:paraId="64C08D3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49F6127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002FC59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2CE0F515" w14:textId="77777777" w:rsidTr="00A538F6">
        <w:trPr>
          <w:trHeight w:val="256"/>
        </w:trPr>
        <w:tc>
          <w:tcPr>
            <w:tcW w:w="1276" w:type="dxa"/>
            <w:tcBorders>
              <w:top w:val="nil"/>
              <w:left w:val="nil"/>
              <w:bottom w:val="nil"/>
              <w:right w:val="nil"/>
            </w:tcBorders>
            <w:vAlign w:val="center"/>
          </w:tcPr>
          <w:p w14:paraId="7432370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4574E38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30497481"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Serbia</w:t>
            </w:r>
          </w:p>
        </w:tc>
        <w:tc>
          <w:tcPr>
            <w:tcW w:w="1001" w:type="dxa"/>
            <w:tcBorders>
              <w:top w:val="nil"/>
              <w:left w:val="nil"/>
              <w:bottom w:val="nil"/>
              <w:right w:val="nil"/>
            </w:tcBorders>
            <w:vAlign w:val="center"/>
          </w:tcPr>
          <w:p w14:paraId="0D07572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6DA62D6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1B29C7C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77DA9619" w14:textId="77777777" w:rsidTr="00A538F6">
        <w:trPr>
          <w:trHeight w:val="256"/>
        </w:trPr>
        <w:tc>
          <w:tcPr>
            <w:tcW w:w="1276" w:type="dxa"/>
            <w:tcBorders>
              <w:top w:val="nil"/>
              <w:left w:val="nil"/>
              <w:bottom w:val="nil"/>
              <w:right w:val="nil"/>
            </w:tcBorders>
            <w:vAlign w:val="center"/>
          </w:tcPr>
          <w:p w14:paraId="4D26E26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67C9212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2A08A4F0"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Singapur</w:t>
            </w:r>
          </w:p>
        </w:tc>
        <w:tc>
          <w:tcPr>
            <w:tcW w:w="1001" w:type="dxa"/>
            <w:tcBorders>
              <w:top w:val="nil"/>
              <w:left w:val="nil"/>
              <w:bottom w:val="nil"/>
              <w:right w:val="nil"/>
            </w:tcBorders>
            <w:vAlign w:val="center"/>
          </w:tcPr>
          <w:p w14:paraId="28AC5CA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776A9DB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5030B69D"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3F4585D5" w14:textId="77777777" w:rsidTr="00A538F6">
        <w:trPr>
          <w:trHeight w:val="256"/>
        </w:trPr>
        <w:tc>
          <w:tcPr>
            <w:tcW w:w="1276" w:type="dxa"/>
            <w:tcBorders>
              <w:top w:val="nil"/>
              <w:left w:val="nil"/>
              <w:bottom w:val="nil"/>
              <w:right w:val="nil"/>
            </w:tcBorders>
            <w:vAlign w:val="center"/>
          </w:tcPr>
          <w:p w14:paraId="17BD40F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1276" w:type="dxa"/>
            <w:tcBorders>
              <w:top w:val="nil"/>
              <w:left w:val="nil"/>
              <w:bottom w:val="nil"/>
              <w:right w:val="nil"/>
            </w:tcBorders>
            <w:vAlign w:val="center"/>
          </w:tcPr>
          <w:p w14:paraId="5271C4D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3474" w:type="dxa"/>
            <w:tcBorders>
              <w:top w:val="nil"/>
              <w:left w:val="nil"/>
              <w:bottom w:val="nil"/>
              <w:right w:val="nil"/>
            </w:tcBorders>
            <w:vAlign w:val="center"/>
            <w:hideMark/>
          </w:tcPr>
          <w:p w14:paraId="7199D4D4"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Eslovaquia</w:t>
            </w:r>
          </w:p>
        </w:tc>
        <w:tc>
          <w:tcPr>
            <w:tcW w:w="1001" w:type="dxa"/>
            <w:tcBorders>
              <w:top w:val="nil"/>
              <w:left w:val="nil"/>
              <w:bottom w:val="nil"/>
              <w:right w:val="nil"/>
            </w:tcBorders>
            <w:vAlign w:val="center"/>
          </w:tcPr>
          <w:p w14:paraId="3586CFF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0,50</w:t>
            </w:r>
          </w:p>
        </w:tc>
        <w:tc>
          <w:tcPr>
            <w:tcW w:w="1392" w:type="dxa"/>
            <w:tcBorders>
              <w:top w:val="nil"/>
              <w:left w:val="nil"/>
              <w:bottom w:val="nil"/>
              <w:right w:val="nil"/>
            </w:tcBorders>
            <w:vAlign w:val="center"/>
          </w:tcPr>
          <w:p w14:paraId="0FE4EF7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1362" w:type="dxa"/>
            <w:tcBorders>
              <w:top w:val="nil"/>
              <w:left w:val="nil"/>
              <w:bottom w:val="nil"/>
              <w:right w:val="nil"/>
            </w:tcBorders>
            <w:vAlign w:val="center"/>
          </w:tcPr>
          <w:p w14:paraId="5CC2FBD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r>
      <w:tr w:rsidR="00B65EDC" w:rsidRPr="00E675E8" w14:paraId="2F1511D6" w14:textId="77777777" w:rsidTr="00A538F6">
        <w:trPr>
          <w:trHeight w:val="256"/>
        </w:trPr>
        <w:tc>
          <w:tcPr>
            <w:tcW w:w="1276" w:type="dxa"/>
            <w:tcBorders>
              <w:top w:val="nil"/>
              <w:left w:val="nil"/>
              <w:bottom w:val="nil"/>
              <w:right w:val="nil"/>
            </w:tcBorders>
            <w:vAlign w:val="center"/>
          </w:tcPr>
          <w:p w14:paraId="692C24D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5D8DBAC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2143FF86"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Eslovenia</w:t>
            </w:r>
          </w:p>
        </w:tc>
        <w:tc>
          <w:tcPr>
            <w:tcW w:w="1001" w:type="dxa"/>
            <w:tcBorders>
              <w:top w:val="nil"/>
              <w:left w:val="nil"/>
              <w:bottom w:val="nil"/>
              <w:right w:val="nil"/>
            </w:tcBorders>
            <w:vAlign w:val="center"/>
          </w:tcPr>
          <w:p w14:paraId="48AE823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69C7075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13729D9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1D6E2C02" w14:textId="77777777" w:rsidTr="00A538F6">
        <w:trPr>
          <w:trHeight w:val="256"/>
        </w:trPr>
        <w:tc>
          <w:tcPr>
            <w:tcW w:w="1276" w:type="dxa"/>
            <w:tcBorders>
              <w:top w:val="nil"/>
              <w:left w:val="nil"/>
              <w:bottom w:val="nil"/>
              <w:right w:val="nil"/>
            </w:tcBorders>
            <w:vAlign w:val="center"/>
          </w:tcPr>
          <w:p w14:paraId="565A000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1276" w:type="dxa"/>
            <w:tcBorders>
              <w:top w:val="nil"/>
              <w:left w:val="nil"/>
              <w:bottom w:val="nil"/>
              <w:right w:val="nil"/>
            </w:tcBorders>
            <w:vAlign w:val="center"/>
          </w:tcPr>
          <w:p w14:paraId="55BF083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3474" w:type="dxa"/>
            <w:tcBorders>
              <w:top w:val="nil"/>
              <w:left w:val="nil"/>
              <w:bottom w:val="nil"/>
              <w:right w:val="nil"/>
            </w:tcBorders>
            <w:vAlign w:val="center"/>
            <w:hideMark/>
          </w:tcPr>
          <w:p w14:paraId="1CAB2EBA"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Sudáfrica</w:t>
            </w:r>
          </w:p>
        </w:tc>
        <w:tc>
          <w:tcPr>
            <w:tcW w:w="1001" w:type="dxa"/>
            <w:tcBorders>
              <w:top w:val="nil"/>
              <w:left w:val="nil"/>
              <w:bottom w:val="nil"/>
              <w:right w:val="nil"/>
            </w:tcBorders>
            <w:vAlign w:val="center"/>
          </w:tcPr>
          <w:p w14:paraId="6E2C5C0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1,00</w:t>
            </w:r>
          </w:p>
        </w:tc>
        <w:tc>
          <w:tcPr>
            <w:tcW w:w="1392" w:type="dxa"/>
            <w:tcBorders>
              <w:top w:val="nil"/>
              <w:left w:val="nil"/>
              <w:bottom w:val="nil"/>
              <w:right w:val="nil"/>
            </w:tcBorders>
            <w:vAlign w:val="center"/>
          </w:tcPr>
          <w:p w14:paraId="36D2625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1362" w:type="dxa"/>
            <w:tcBorders>
              <w:top w:val="nil"/>
              <w:left w:val="nil"/>
              <w:bottom w:val="nil"/>
              <w:right w:val="nil"/>
            </w:tcBorders>
            <w:vAlign w:val="center"/>
          </w:tcPr>
          <w:p w14:paraId="401269B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r>
      <w:tr w:rsidR="00B65EDC" w:rsidRPr="00E675E8" w14:paraId="5F62610E" w14:textId="77777777" w:rsidTr="00A538F6">
        <w:trPr>
          <w:trHeight w:val="256"/>
        </w:trPr>
        <w:tc>
          <w:tcPr>
            <w:tcW w:w="1276" w:type="dxa"/>
            <w:tcBorders>
              <w:top w:val="nil"/>
              <w:left w:val="nil"/>
              <w:bottom w:val="nil"/>
              <w:right w:val="nil"/>
            </w:tcBorders>
            <w:vAlign w:val="center"/>
          </w:tcPr>
          <w:p w14:paraId="269B07B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c>
          <w:tcPr>
            <w:tcW w:w="1276" w:type="dxa"/>
            <w:tcBorders>
              <w:top w:val="nil"/>
              <w:left w:val="nil"/>
              <w:bottom w:val="nil"/>
              <w:right w:val="nil"/>
            </w:tcBorders>
            <w:vAlign w:val="center"/>
          </w:tcPr>
          <w:p w14:paraId="2484D4A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c>
          <w:tcPr>
            <w:tcW w:w="3474" w:type="dxa"/>
            <w:tcBorders>
              <w:top w:val="nil"/>
              <w:left w:val="nil"/>
              <w:bottom w:val="nil"/>
              <w:right w:val="nil"/>
            </w:tcBorders>
            <w:vAlign w:val="center"/>
            <w:hideMark/>
          </w:tcPr>
          <w:p w14:paraId="16DEA8DE"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España</w:t>
            </w:r>
          </w:p>
        </w:tc>
        <w:tc>
          <w:tcPr>
            <w:tcW w:w="1001" w:type="dxa"/>
            <w:tcBorders>
              <w:top w:val="nil"/>
              <w:left w:val="nil"/>
              <w:bottom w:val="nil"/>
              <w:right w:val="nil"/>
            </w:tcBorders>
            <w:vAlign w:val="center"/>
          </w:tcPr>
          <w:p w14:paraId="770107D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2,00</w:t>
            </w:r>
          </w:p>
        </w:tc>
        <w:tc>
          <w:tcPr>
            <w:tcW w:w="1392" w:type="dxa"/>
            <w:tcBorders>
              <w:top w:val="nil"/>
              <w:left w:val="nil"/>
              <w:bottom w:val="nil"/>
              <w:right w:val="nil"/>
            </w:tcBorders>
            <w:vAlign w:val="center"/>
          </w:tcPr>
          <w:p w14:paraId="7D96AFF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c>
          <w:tcPr>
            <w:tcW w:w="1362" w:type="dxa"/>
            <w:tcBorders>
              <w:top w:val="nil"/>
              <w:left w:val="nil"/>
              <w:bottom w:val="nil"/>
              <w:right w:val="nil"/>
            </w:tcBorders>
            <w:vAlign w:val="center"/>
          </w:tcPr>
          <w:p w14:paraId="18E9E0D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r>
      <w:tr w:rsidR="00B65EDC" w:rsidRPr="00E675E8" w14:paraId="3B401A51" w14:textId="77777777" w:rsidTr="00A538F6">
        <w:trPr>
          <w:trHeight w:val="256"/>
        </w:trPr>
        <w:tc>
          <w:tcPr>
            <w:tcW w:w="1276" w:type="dxa"/>
            <w:tcBorders>
              <w:top w:val="nil"/>
              <w:left w:val="nil"/>
              <w:bottom w:val="nil"/>
              <w:right w:val="nil"/>
            </w:tcBorders>
            <w:vAlign w:val="center"/>
          </w:tcPr>
          <w:p w14:paraId="5C32399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80 462</w:t>
            </w:r>
          </w:p>
        </w:tc>
        <w:tc>
          <w:tcPr>
            <w:tcW w:w="1276" w:type="dxa"/>
            <w:tcBorders>
              <w:top w:val="nil"/>
              <w:left w:val="nil"/>
              <w:bottom w:val="nil"/>
              <w:right w:val="nil"/>
            </w:tcBorders>
            <w:vAlign w:val="center"/>
          </w:tcPr>
          <w:p w14:paraId="0DD8381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80 462</w:t>
            </w:r>
          </w:p>
        </w:tc>
        <w:tc>
          <w:tcPr>
            <w:tcW w:w="3474" w:type="dxa"/>
            <w:tcBorders>
              <w:top w:val="nil"/>
              <w:left w:val="nil"/>
              <w:bottom w:val="nil"/>
              <w:right w:val="nil"/>
            </w:tcBorders>
            <w:vAlign w:val="center"/>
            <w:hideMark/>
          </w:tcPr>
          <w:p w14:paraId="3AEC82DA"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Suecia</w:t>
            </w:r>
            <w:r w:rsidRPr="00E675E8">
              <w:rPr>
                <w:rFonts w:ascii="Arial Narrow" w:hAnsi="Arial Narrow"/>
                <w:color w:val="000000"/>
                <w:sz w:val="18"/>
                <w:vertAlign w:val="superscript"/>
                <w:lang w:val="es-ES_tradnl"/>
              </w:rPr>
              <w:t>3</w:t>
            </w:r>
          </w:p>
        </w:tc>
        <w:tc>
          <w:tcPr>
            <w:tcW w:w="1001" w:type="dxa"/>
            <w:tcBorders>
              <w:top w:val="nil"/>
              <w:left w:val="nil"/>
              <w:bottom w:val="nil"/>
              <w:right w:val="nil"/>
            </w:tcBorders>
            <w:vAlign w:val="center"/>
          </w:tcPr>
          <w:p w14:paraId="1E64BD6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1,00</w:t>
            </w:r>
          </w:p>
        </w:tc>
        <w:tc>
          <w:tcPr>
            <w:tcW w:w="1392" w:type="dxa"/>
            <w:tcBorders>
              <w:top w:val="nil"/>
              <w:left w:val="nil"/>
              <w:bottom w:val="nil"/>
              <w:right w:val="nil"/>
            </w:tcBorders>
            <w:vAlign w:val="center"/>
          </w:tcPr>
          <w:p w14:paraId="19C250C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1362" w:type="dxa"/>
            <w:tcBorders>
              <w:top w:val="nil"/>
              <w:left w:val="nil"/>
              <w:bottom w:val="nil"/>
              <w:right w:val="nil"/>
            </w:tcBorders>
            <w:vAlign w:val="center"/>
          </w:tcPr>
          <w:p w14:paraId="4EA2165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r>
      <w:tr w:rsidR="00B65EDC" w:rsidRPr="00E675E8" w14:paraId="733C6A56" w14:textId="77777777" w:rsidTr="00A538F6">
        <w:trPr>
          <w:trHeight w:val="256"/>
        </w:trPr>
        <w:tc>
          <w:tcPr>
            <w:tcW w:w="1276" w:type="dxa"/>
            <w:tcBorders>
              <w:top w:val="nil"/>
              <w:left w:val="nil"/>
              <w:bottom w:val="nil"/>
              <w:right w:val="nil"/>
            </w:tcBorders>
            <w:vAlign w:val="center"/>
          </w:tcPr>
          <w:p w14:paraId="253E61E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80 462</w:t>
            </w:r>
          </w:p>
        </w:tc>
        <w:tc>
          <w:tcPr>
            <w:tcW w:w="1276" w:type="dxa"/>
            <w:tcBorders>
              <w:top w:val="nil"/>
              <w:left w:val="nil"/>
              <w:bottom w:val="nil"/>
              <w:right w:val="nil"/>
            </w:tcBorders>
            <w:vAlign w:val="center"/>
          </w:tcPr>
          <w:p w14:paraId="653FAC6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80 462</w:t>
            </w:r>
          </w:p>
        </w:tc>
        <w:tc>
          <w:tcPr>
            <w:tcW w:w="3474" w:type="dxa"/>
            <w:tcBorders>
              <w:top w:val="nil"/>
              <w:left w:val="nil"/>
              <w:bottom w:val="nil"/>
              <w:right w:val="nil"/>
            </w:tcBorders>
            <w:vAlign w:val="center"/>
            <w:hideMark/>
          </w:tcPr>
          <w:p w14:paraId="56C57CBA"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Suiza</w:t>
            </w:r>
          </w:p>
        </w:tc>
        <w:tc>
          <w:tcPr>
            <w:tcW w:w="1001" w:type="dxa"/>
            <w:tcBorders>
              <w:top w:val="nil"/>
              <w:left w:val="nil"/>
              <w:bottom w:val="nil"/>
              <w:right w:val="nil"/>
            </w:tcBorders>
            <w:vAlign w:val="center"/>
          </w:tcPr>
          <w:p w14:paraId="714EC3D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1,50</w:t>
            </w:r>
          </w:p>
        </w:tc>
        <w:tc>
          <w:tcPr>
            <w:tcW w:w="1392" w:type="dxa"/>
            <w:tcBorders>
              <w:top w:val="nil"/>
              <w:left w:val="nil"/>
              <w:bottom w:val="nil"/>
              <w:right w:val="nil"/>
            </w:tcBorders>
            <w:vAlign w:val="center"/>
          </w:tcPr>
          <w:p w14:paraId="75BBC18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80 462</w:t>
            </w:r>
          </w:p>
        </w:tc>
        <w:tc>
          <w:tcPr>
            <w:tcW w:w="1362" w:type="dxa"/>
            <w:tcBorders>
              <w:top w:val="nil"/>
              <w:left w:val="nil"/>
              <w:bottom w:val="nil"/>
              <w:right w:val="nil"/>
            </w:tcBorders>
            <w:vAlign w:val="center"/>
          </w:tcPr>
          <w:p w14:paraId="3EFC61B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80 462</w:t>
            </w:r>
          </w:p>
        </w:tc>
      </w:tr>
      <w:tr w:rsidR="00B65EDC" w:rsidRPr="00E675E8" w14:paraId="16D05B12" w14:textId="77777777" w:rsidTr="00A538F6">
        <w:trPr>
          <w:trHeight w:val="256"/>
        </w:trPr>
        <w:tc>
          <w:tcPr>
            <w:tcW w:w="1276" w:type="dxa"/>
            <w:tcBorders>
              <w:top w:val="nil"/>
              <w:left w:val="nil"/>
              <w:bottom w:val="nil"/>
              <w:right w:val="nil"/>
            </w:tcBorders>
            <w:vAlign w:val="center"/>
          </w:tcPr>
          <w:p w14:paraId="6FC8576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73CF104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69B003E6"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 xml:space="preserve">Trinidad y </w:t>
            </w:r>
            <w:proofErr w:type="spellStart"/>
            <w:r w:rsidRPr="00E675E8">
              <w:rPr>
                <w:rFonts w:ascii="Arial Narrow" w:hAnsi="Arial Narrow"/>
                <w:color w:val="000000"/>
                <w:sz w:val="18"/>
                <w:lang w:val="es-ES_tradnl"/>
              </w:rPr>
              <w:t>Tabago</w:t>
            </w:r>
            <w:proofErr w:type="spellEnd"/>
          </w:p>
        </w:tc>
        <w:tc>
          <w:tcPr>
            <w:tcW w:w="1001" w:type="dxa"/>
            <w:tcBorders>
              <w:top w:val="nil"/>
              <w:left w:val="nil"/>
              <w:bottom w:val="nil"/>
              <w:right w:val="nil"/>
            </w:tcBorders>
            <w:vAlign w:val="center"/>
          </w:tcPr>
          <w:p w14:paraId="209290D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31CBF68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78BD722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110FBA95" w14:textId="77777777" w:rsidTr="00A538F6">
        <w:trPr>
          <w:trHeight w:val="256"/>
        </w:trPr>
        <w:tc>
          <w:tcPr>
            <w:tcW w:w="1276" w:type="dxa"/>
            <w:tcBorders>
              <w:top w:val="nil"/>
              <w:left w:val="nil"/>
              <w:bottom w:val="nil"/>
              <w:right w:val="nil"/>
            </w:tcBorders>
            <w:vAlign w:val="center"/>
          </w:tcPr>
          <w:p w14:paraId="5242776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5AEBE7F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272F9D84"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Túnez</w:t>
            </w:r>
          </w:p>
        </w:tc>
        <w:tc>
          <w:tcPr>
            <w:tcW w:w="1001" w:type="dxa"/>
            <w:tcBorders>
              <w:top w:val="nil"/>
              <w:left w:val="nil"/>
              <w:bottom w:val="nil"/>
              <w:right w:val="nil"/>
            </w:tcBorders>
            <w:vAlign w:val="center"/>
          </w:tcPr>
          <w:p w14:paraId="68BAAB2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5C455EC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6C5196B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4941963A" w14:textId="77777777" w:rsidTr="00A538F6">
        <w:trPr>
          <w:trHeight w:val="256"/>
        </w:trPr>
        <w:tc>
          <w:tcPr>
            <w:tcW w:w="1276" w:type="dxa"/>
            <w:tcBorders>
              <w:top w:val="nil"/>
              <w:left w:val="nil"/>
              <w:bottom w:val="nil"/>
              <w:right w:val="nil"/>
            </w:tcBorders>
            <w:vAlign w:val="center"/>
          </w:tcPr>
          <w:p w14:paraId="2375A05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1276" w:type="dxa"/>
            <w:tcBorders>
              <w:top w:val="nil"/>
              <w:left w:val="nil"/>
              <w:bottom w:val="nil"/>
              <w:right w:val="nil"/>
            </w:tcBorders>
            <w:vAlign w:val="center"/>
          </w:tcPr>
          <w:p w14:paraId="7295555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3474" w:type="dxa"/>
            <w:tcBorders>
              <w:top w:val="nil"/>
              <w:left w:val="nil"/>
              <w:bottom w:val="nil"/>
              <w:right w:val="nil"/>
            </w:tcBorders>
            <w:vAlign w:val="center"/>
            <w:hideMark/>
          </w:tcPr>
          <w:p w14:paraId="65F7D0BB"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Türkiye</w:t>
            </w:r>
          </w:p>
        </w:tc>
        <w:tc>
          <w:tcPr>
            <w:tcW w:w="1001" w:type="dxa"/>
            <w:tcBorders>
              <w:top w:val="nil"/>
              <w:left w:val="nil"/>
              <w:bottom w:val="nil"/>
              <w:right w:val="nil"/>
            </w:tcBorders>
            <w:vAlign w:val="center"/>
          </w:tcPr>
          <w:p w14:paraId="6F0F85F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0,50</w:t>
            </w:r>
          </w:p>
        </w:tc>
        <w:tc>
          <w:tcPr>
            <w:tcW w:w="1392" w:type="dxa"/>
            <w:tcBorders>
              <w:top w:val="nil"/>
              <w:left w:val="nil"/>
              <w:bottom w:val="nil"/>
              <w:right w:val="nil"/>
            </w:tcBorders>
            <w:vAlign w:val="center"/>
          </w:tcPr>
          <w:p w14:paraId="4192AA5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1362" w:type="dxa"/>
            <w:tcBorders>
              <w:top w:val="nil"/>
              <w:left w:val="nil"/>
              <w:bottom w:val="nil"/>
              <w:right w:val="nil"/>
            </w:tcBorders>
            <w:vAlign w:val="center"/>
          </w:tcPr>
          <w:p w14:paraId="329CED1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r>
      <w:tr w:rsidR="00B65EDC" w:rsidRPr="00E675E8" w14:paraId="31893578" w14:textId="77777777" w:rsidTr="00A538F6">
        <w:trPr>
          <w:trHeight w:val="256"/>
        </w:trPr>
        <w:tc>
          <w:tcPr>
            <w:tcW w:w="1276" w:type="dxa"/>
            <w:tcBorders>
              <w:top w:val="nil"/>
              <w:left w:val="nil"/>
              <w:bottom w:val="nil"/>
              <w:right w:val="nil"/>
            </w:tcBorders>
            <w:vAlign w:val="center"/>
          </w:tcPr>
          <w:p w14:paraId="742D125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0025D40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4643AF0A"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Ucrania</w:t>
            </w:r>
          </w:p>
        </w:tc>
        <w:tc>
          <w:tcPr>
            <w:tcW w:w="1001" w:type="dxa"/>
            <w:tcBorders>
              <w:top w:val="nil"/>
              <w:left w:val="nil"/>
              <w:bottom w:val="nil"/>
              <w:right w:val="nil"/>
            </w:tcBorders>
            <w:vAlign w:val="center"/>
          </w:tcPr>
          <w:p w14:paraId="2D9EE9B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447862CD"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5973261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152F78E4" w14:textId="77777777" w:rsidTr="00A538F6">
        <w:trPr>
          <w:trHeight w:val="256"/>
        </w:trPr>
        <w:tc>
          <w:tcPr>
            <w:tcW w:w="1276" w:type="dxa"/>
            <w:tcBorders>
              <w:top w:val="nil"/>
              <w:left w:val="nil"/>
              <w:bottom w:val="nil"/>
              <w:right w:val="nil"/>
            </w:tcBorders>
            <w:vAlign w:val="center"/>
          </w:tcPr>
          <w:p w14:paraId="77D512C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c>
          <w:tcPr>
            <w:tcW w:w="1276" w:type="dxa"/>
            <w:tcBorders>
              <w:top w:val="nil"/>
              <w:left w:val="nil"/>
              <w:bottom w:val="nil"/>
              <w:right w:val="nil"/>
            </w:tcBorders>
            <w:vAlign w:val="center"/>
          </w:tcPr>
          <w:p w14:paraId="443D985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c>
          <w:tcPr>
            <w:tcW w:w="3474" w:type="dxa"/>
            <w:tcBorders>
              <w:top w:val="nil"/>
              <w:left w:val="nil"/>
              <w:bottom w:val="nil"/>
              <w:right w:val="nil"/>
            </w:tcBorders>
            <w:vAlign w:val="center"/>
            <w:hideMark/>
          </w:tcPr>
          <w:p w14:paraId="0A09D876"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Reino Unido</w:t>
            </w:r>
          </w:p>
        </w:tc>
        <w:tc>
          <w:tcPr>
            <w:tcW w:w="1001" w:type="dxa"/>
            <w:tcBorders>
              <w:top w:val="nil"/>
              <w:left w:val="nil"/>
              <w:bottom w:val="nil"/>
              <w:right w:val="nil"/>
            </w:tcBorders>
            <w:vAlign w:val="center"/>
          </w:tcPr>
          <w:p w14:paraId="36C1E9B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2,00</w:t>
            </w:r>
          </w:p>
        </w:tc>
        <w:tc>
          <w:tcPr>
            <w:tcW w:w="1392" w:type="dxa"/>
            <w:tcBorders>
              <w:top w:val="nil"/>
              <w:left w:val="nil"/>
              <w:bottom w:val="nil"/>
              <w:right w:val="nil"/>
            </w:tcBorders>
            <w:vAlign w:val="center"/>
          </w:tcPr>
          <w:p w14:paraId="482F792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c>
          <w:tcPr>
            <w:tcW w:w="1362" w:type="dxa"/>
            <w:tcBorders>
              <w:top w:val="nil"/>
              <w:left w:val="nil"/>
              <w:bottom w:val="nil"/>
              <w:right w:val="nil"/>
            </w:tcBorders>
            <w:vAlign w:val="center"/>
          </w:tcPr>
          <w:p w14:paraId="6046BF8D"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r>
      <w:tr w:rsidR="00B65EDC" w:rsidRPr="00E675E8" w14:paraId="44C5A731" w14:textId="77777777" w:rsidTr="00A538F6">
        <w:trPr>
          <w:trHeight w:val="256"/>
        </w:trPr>
        <w:tc>
          <w:tcPr>
            <w:tcW w:w="1276" w:type="dxa"/>
            <w:tcBorders>
              <w:top w:val="nil"/>
              <w:left w:val="nil"/>
              <w:bottom w:val="nil"/>
              <w:right w:val="nil"/>
            </w:tcBorders>
            <w:vAlign w:val="center"/>
          </w:tcPr>
          <w:p w14:paraId="593D6F2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24DF4C4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257EBA81"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 xml:space="preserve">República Unida de </w:t>
            </w:r>
            <w:proofErr w:type="spellStart"/>
            <w:r w:rsidRPr="00E675E8">
              <w:rPr>
                <w:rFonts w:ascii="Arial Narrow" w:hAnsi="Arial Narrow"/>
                <w:color w:val="000000"/>
                <w:sz w:val="18"/>
                <w:lang w:val="es-ES_tradnl"/>
              </w:rPr>
              <w:t>Tanzanía</w:t>
            </w:r>
            <w:proofErr w:type="spellEnd"/>
          </w:p>
        </w:tc>
        <w:tc>
          <w:tcPr>
            <w:tcW w:w="1001" w:type="dxa"/>
            <w:tcBorders>
              <w:top w:val="nil"/>
              <w:left w:val="nil"/>
              <w:bottom w:val="nil"/>
              <w:right w:val="nil"/>
            </w:tcBorders>
            <w:vAlign w:val="center"/>
          </w:tcPr>
          <w:p w14:paraId="09C5B7DD"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012B5A5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7734EF1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232F2A8F" w14:textId="77777777" w:rsidTr="00A538F6">
        <w:trPr>
          <w:trHeight w:val="256"/>
        </w:trPr>
        <w:tc>
          <w:tcPr>
            <w:tcW w:w="1276" w:type="dxa"/>
            <w:tcBorders>
              <w:top w:val="nil"/>
              <w:left w:val="nil"/>
              <w:bottom w:val="nil"/>
              <w:right w:val="nil"/>
            </w:tcBorders>
            <w:vAlign w:val="center"/>
          </w:tcPr>
          <w:p w14:paraId="6DABD3A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c>
          <w:tcPr>
            <w:tcW w:w="1276" w:type="dxa"/>
            <w:tcBorders>
              <w:top w:val="nil"/>
              <w:left w:val="nil"/>
              <w:bottom w:val="nil"/>
              <w:right w:val="nil"/>
            </w:tcBorders>
            <w:vAlign w:val="center"/>
          </w:tcPr>
          <w:p w14:paraId="73E360C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c>
          <w:tcPr>
            <w:tcW w:w="3474" w:type="dxa"/>
            <w:tcBorders>
              <w:top w:val="nil"/>
              <w:left w:val="nil"/>
              <w:bottom w:val="nil"/>
              <w:right w:val="nil"/>
            </w:tcBorders>
            <w:vAlign w:val="center"/>
            <w:hideMark/>
          </w:tcPr>
          <w:p w14:paraId="75043AE8"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Estados Unidos de América</w:t>
            </w:r>
          </w:p>
        </w:tc>
        <w:tc>
          <w:tcPr>
            <w:tcW w:w="1001" w:type="dxa"/>
            <w:tcBorders>
              <w:top w:val="nil"/>
              <w:left w:val="nil"/>
              <w:bottom w:val="nil"/>
              <w:right w:val="nil"/>
            </w:tcBorders>
            <w:vAlign w:val="center"/>
          </w:tcPr>
          <w:p w14:paraId="3E54D24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5,00</w:t>
            </w:r>
          </w:p>
        </w:tc>
        <w:tc>
          <w:tcPr>
            <w:tcW w:w="1392" w:type="dxa"/>
            <w:tcBorders>
              <w:top w:val="nil"/>
              <w:left w:val="nil"/>
              <w:bottom w:val="nil"/>
              <w:right w:val="nil"/>
            </w:tcBorders>
            <w:vAlign w:val="center"/>
          </w:tcPr>
          <w:p w14:paraId="57142C0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c>
          <w:tcPr>
            <w:tcW w:w="1362" w:type="dxa"/>
            <w:tcBorders>
              <w:top w:val="nil"/>
              <w:left w:val="nil"/>
              <w:bottom w:val="nil"/>
              <w:right w:val="nil"/>
            </w:tcBorders>
            <w:vAlign w:val="center"/>
          </w:tcPr>
          <w:p w14:paraId="3BEA363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r>
      <w:tr w:rsidR="00B65EDC" w:rsidRPr="00E675E8" w14:paraId="03474BD5" w14:textId="77777777" w:rsidTr="00A538F6">
        <w:trPr>
          <w:trHeight w:val="256"/>
        </w:trPr>
        <w:tc>
          <w:tcPr>
            <w:tcW w:w="1276" w:type="dxa"/>
            <w:tcBorders>
              <w:top w:val="nil"/>
              <w:left w:val="nil"/>
              <w:bottom w:val="nil"/>
              <w:right w:val="nil"/>
            </w:tcBorders>
            <w:vAlign w:val="center"/>
          </w:tcPr>
          <w:p w14:paraId="6380817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53F3CA6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4AA8F49D"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Uruguay</w:t>
            </w:r>
          </w:p>
        </w:tc>
        <w:tc>
          <w:tcPr>
            <w:tcW w:w="1001" w:type="dxa"/>
            <w:tcBorders>
              <w:top w:val="nil"/>
              <w:left w:val="nil"/>
              <w:bottom w:val="nil"/>
              <w:right w:val="nil"/>
            </w:tcBorders>
            <w:vAlign w:val="center"/>
          </w:tcPr>
          <w:p w14:paraId="4EBCF60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4237B0A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6D80DA6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302599D4" w14:textId="77777777" w:rsidTr="00A538F6">
        <w:trPr>
          <w:trHeight w:val="256"/>
        </w:trPr>
        <w:tc>
          <w:tcPr>
            <w:tcW w:w="1276" w:type="dxa"/>
            <w:tcBorders>
              <w:top w:val="nil"/>
              <w:left w:val="nil"/>
              <w:bottom w:val="nil"/>
              <w:right w:val="nil"/>
            </w:tcBorders>
            <w:vAlign w:val="center"/>
          </w:tcPr>
          <w:p w14:paraId="6134D6A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431BF8A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tcPr>
          <w:p w14:paraId="231ECE53"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Uzbekistán</w:t>
            </w:r>
          </w:p>
        </w:tc>
        <w:tc>
          <w:tcPr>
            <w:tcW w:w="1001" w:type="dxa"/>
            <w:tcBorders>
              <w:top w:val="nil"/>
              <w:left w:val="nil"/>
              <w:bottom w:val="nil"/>
              <w:right w:val="nil"/>
            </w:tcBorders>
            <w:vAlign w:val="center"/>
          </w:tcPr>
          <w:p w14:paraId="6FDE0DB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34C0C48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623F442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7BB57A1C" w14:textId="77777777" w:rsidTr="00A538F6">
        <w:trPr>
          <w:trHeight w:val="256"/>
        </w:trPr>
        <w:tc>
          <w:tcPr>
            <w:tcW w:w="1276" w:type="dxa"/>
            <w:tcBorders>
              <w:top w:val="nil"/>
              <w:left w:val="nil"/>
              <w:bottom w:val="single" w:sz="8" w:space="0" w:color="BFBFBF"/>
              <w:right w:val="nil"/>
            </w:tcBorders>
            <w:vAlign w:val="center"/>
          </w:tcPr>
          <w:p w14:paraId="2D8B2CD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single" w:sz="8" w:space="0" w:color="BFBFBF"/>
              <w:right w:val="nil"/>
            </w:tcBorders>
            <w:vAlign w:val="center"/>
          </w:tcPr>
          <w:p w14:paraId="4F42F66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single" w:sz="8" w:space="0" w:color="BFBFBF"/>
              <w:right w:val="nil"/>
            </w:tcBorders>
            <w:vAlign w:val="center"/>
          </w:tcPr>
          <w:p w14:paraId="56F3111A"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Viet </w:t>
            </w:r>
            <w:proofErr w:type="spellStart"/>
            <w:r w:rsidRPr="00E675E8">
              <w:rPr>
                <w:rFonts w:ascii="Arial Narrow" w:hAnsi="Arial Narrow"/>
                <w:color w:val="000000"/>
                <w:sz w:val="18"/>
                <w:lang w:val="es-ES_tradnl"/>
              </w:rPr>
              <w:t>Nam</w:t>
            </w:r>
            <w:proofErr w:type="spellEnd"/>
          </w:p>
        </w:tc>
        <w:tc>
          <w:tcPr>
            <w:tcW w:w="1001" w:type="dxa"/>
            <w:tcBorders>
              <w:top w:val="nil"/>
              <w:left w:val="nil"/>
              <w:bottom w:val="single" w:sz="8" w:space="0" w:color="BFBFBF"/>
              <w:right w:val="nil"/>
            </w:tcBorders>
            <w:vAlign w:val="center"/>
          </w:tcPr>
          <w:p w14:paraId="45E3E3D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single" w:sz="8" w:space="0" w:color="BFBFBF"/>
              <w:right w:val="nil"/>
            </w:tcBorders>
            <w:vAlign w:val="center"/>
          </w:tcPr>
          <w:p w14:paraId="52A7ACC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single" w:sz="8" w:space="0" w:color="BFBFBF"/>
              <w:right w:val="nil"/>
            </w:tcBorders>
            <w:vAlign w:val="center"/>
          </w:tcPr>
          <w:p w14:paraId="059D398D"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24867323" w14:textId="77777777" w:rsidTr="00A538F6">
        <w:trPr>
          <w:trHeight w:val="275"/>
        </w:trPr>
        <w:tc>
          <w:tcPr>
            <w:tcW w:w="1276" w:type="dxa"/>
            <w:tcBorders>
              <w:top w:val="nil"/>
              <w:left w:val="nil"/>
              <w:bottom w:val="single" w:sz="8" w:space="0" w:color="BFBFBF"/>
              <w:right w:val="nil"/>
            </w:tcBorders>
            <w:vAlign w:val="center"/>
            <w:hideMark/>
          </w:tcPr>
          <w:p w14:paraId="7C1A8498" w14:textId="77777777" w:rsidR="00B65EDC" w:rsidRPr="00E675E8" w:rsidRDefault="00B65EDC">
            <w:pPr>
              <w:jc w:val="right"/>
              <w:rPr>
                <w:rFonts w:ascii="Arial Narrow" w:hAnsi="Arial Narrow" w:cs="Arial"/>
                <w:b/>
                <w:bCs/>
                <w:color w:val="000000"/>
                <w:sz w:val="18"/>
                <w:szCs w:val="18"/>
                <w:lang w:val="es-ES_tradnl"/>
              </w:rPr>
            </w:pPr>
            <w:r w:rsidRPr="00E675E8">
              <w:rPr>
                <w:rFonts w:ascii="Arial Narrow" w:hAnsi="Arial Narrow"/>
                <w:b/>
                <w:color w:val="000000"/>
                <w:sz w:val="18"/>
                <w:lang w:val="es-ES_tradnl"/>
              </w:rPr>
              <w:t>3 569 798</w:t>
            </w:r>
          </w:p>
        </w:tc>
        <w:tc>
          <w:tcPr>
            <w:tcW w:w="1276" w:type="dxa"/>
            <w:tcBorders>
              <w:top w:val="nil"/>
              <w:left w:val="nil"/>
              <w:bottom w:val="single" w:sz="8" w:space="0" w:color="BFBFBF"/>
              <w:right w:val="nil"/>
            </w:tcBorders>
            <w:vAlign w:val="center"/>
            <w:hideMark/>
          </w:tcPr>
          <w:p w14:paraId="205DC850" w14:textId="77777777" w:rsidR="00B65EDC" w:rsidRPr="00E675E8" w:rsidRDefault="00B65EDC">
            <w:pPr>
              <w:jc w:val="right"/>
              <w:rPr>
                <w:rFonts w:ascii="Arial Narrow" w:hAnsi="Arial Narrow" w:cs="Arial"/>
                <w:b/>
                <w:bCs/>
                <w:color w:val="000000"/>
                <w:sz w:val="18"/>
                <w:szCs w:val="18"/>
                <w:lang w:val="es-ES_tradnl"/>
              </w:rPr>
            </w:pPr>
            <w:r w:rsidRPr="00E675E8">
              <w:rPr>
                <w:rFonts w:ascii="Arial Narrow" w:hAnsi="Arial Narrow"/>
                <w:b/>
                <w:color w:val="000000"/>
                <w:sz w:val="18"/>
                <w:lang w:val="es-ES_tradnl"/>
              </w:rPr>
              <w:t>3 580 526</w:t>
            </w:r>
          </w:p>
        </w:tc>
        <w:tc>
          <w:tcPr>
            <w:tcW w:w="3474" w:type="dxa"/>
            <w:tcBorders>
              <w:top w:val="nil"/>
              <w:left w:val="nil"/>
              <w:bottom w:val="single" w:sz="8" w:space="0" w:color="BFBFBF"/>
              <w:right w:val="nil"/>
            </w:tcBorders>
            <w:vAlign w:val="center"/>
            <w:hideMark/>
          </w:tcPr>
          <w:p w14:paraId="48DA59BD" w14:textId="77777777" w:rsidR="00B65EDC" w:rsidRPr="00E675E8" w:rsidRDefault="00B65EDC">
            <w:pPr>
              <w:jc w:val="left"/>
              <w:rPr>
                <w:rFonts w:ascii="Arial Narrow" w:hAnsi="Arial Narrow" w:cs="Arial"/>
                <w:b/>
                <w:bCs/>
                <w:color w:val="000000"/>
                <w:sz w:val="18"/>
                <w:szCs w:val="18"/>
                <w:lang w:val="es-ES_tradnl"/>
              </w:rPr>
            </w:pPr>
          </w:p>
        </w:tc>
        <w:tc>
          <w:tcPr>
            <w:tcW w:w="1001" w:type="dxa"/>
            <w:tcBorders>
              <w:top w:val="nil"/>
              <w:left w:val="nil"/>
              <w:bottom w:val="single" w:sz="8" w:space="0" w:color="BFBFBF"/>
              <w:right w:val="nil"/>
            </w:tcBorders>
            <w:vAlign w:val="center"/>
            <w:hideMark/>
          </w:tcPr>
          <w:p w14:paraId="7BB175BB" w14:textId="77777777" w:rsidR="00B65EDC" w:rsidRPr="00E675E8" w:rsidRDefault="00B65EDC">
            <w:pPr>
              <w:jc w:val="right"/>
              <w:rPr>
                <w:rFonts w:ascii="Arial Narrow" w:hAnsi="Arial Narrow" w:cs="Arial"/>
                <w:b/>
                <w:bCs/>
                <w:color w:val="000000"/>
                <w:sz w:val="18"/>
                <w:szCs w:val="18"/>
                <w:lang w:val="es-ES_tradnl"/>
              </w:rPr>
            </w:pPr>
            <w:r w:rsidRPr="00E675E8">
              <w:rPr>
                <w:rFonts w:ascii="Arial Narrow" w:hAnsi="Arial Narrow"/>
                <w:b/>
                <w:color w:val="000000"/>
                <w:sz w:val="18"/>
                <w:lang w:val="es-ES_tradnl"/>
              </w:rPr>
              <w:t>66,45</w:t>
            </w:r>
          </w:p>
        </w:tc>
        <w:tc>
          <w:tcPr>
            <w:tcW w:w="1392" w:type="dxa"/>
            <w:tcBorders>
              <w:top w:val="nil"/>
              <w:left w:val="nil"/>
              <w:bottom w:val="single" w:sz="8" w:space="0" w:color="BFBFBF"/>
              <w:right w:val="nil"/>
            </w:tcBorders>
            <w:vAlign w:val="center"/>
            <w:hideMark/>
          </w:tcPr>
          <w:p w14:paraId="61FE9179" w14:textId="77777777" w:rsidR="00B65EDC" w:rsidRPr="00E675E8" w:rsidRDefault="00B65EDC">
            <w:pPr>
              <w:jc w:val="right"/>
              <w:rPr>
                <w:rFonts w:ascii="Arial Narrow" w:hAnsi="Arial Narrow" w:cs="Arial"/>
                <w:b/>
                <w:bCs/>
                <w:color w:val="000000"/>
                <w:sz w:val="18"/>
                <w:szCs w:val="18"/>
                <w:lang w:val="es-ES_tradnl"/>
              </w:rPr>
            </w:pPr>
            <w:r w:rsidRPr="00E675E8">
              <w:rPr>
                <w:rFonts w:ascii="Arial Narrow" w:hAnsi="Arial Narrow"/>
                <w:b/>
                <w:color w:val="000000"/>
                <w:sz w:val="18"/>
                <w:lang w:val="es-ES_tradnl"/>
              </w:rPr>
              <w:t>3 564 433</w:t>
            </w:r>
          </w:p>
        </w:tc>
        <w:tc>
          <w:tcPr>
            <w:tcW w:w="1362" w:type="dxa"/>
            <w:tcBorders>
              <w:top w:val="nil"/>
              <w:left w:val="nil"/>
              <w:bottom w:val="single" w:sz="8" w:space="0" w:color="BFBFBF"/>
              <w:right w:val="nil"/>
            </w:tcBorders>
            <w:vAlign w:val="center"/>
            <w:hideMark/>
          </w:tcPr>
          <w:p w14:paraId="7E1FC99C" w14:textId="77777777" w:rsidR="00B65EDC" w:rsidRPr="00E675E8" w:rsidRDefault="00B65EDC">
            <w:pPr>
              <w:jc w:val="right"/>
              <w:rPr>
                <w:rFonts w:ascii="Arial Narrow" w:hAnsi="Arial Narrow" w:cs="Arial"/>
                <w:b/>
                <w:bCs/>
                <w:color w:val="000000"/>
                <w:sz w:val="18"/>
                <w:szCs w:val="18"/>
                <w:lang w:val="es-ES_tradnl"/>
              </w:rPr>
            </w:pPr>
            <w:r w:rsidRPr="00E675E8">
              <w:rPr>
                <w:rFonts w:ascii="Arial Narrow" w:hAnsi="Arial Narrow"/>
                <w:b/>
                <w:color w:val="000000"/>
                <w:sz w:val="18"/>
                <w:lang w:val="es-ES_tradnl"/>
              </w:rPr>
              <w:t>3 564 433</w:t>
            </w:r>
          </w:p>
        </w:tc>
      </w:tr>
    </w:tbl>
    <w:p w14:paraId="54FBDD28" w14:textId="77777777" w:rsidR="00B65EDC" w:rsidRPr="00E675E8" w:rsidRDefault="00B65EDC" w:rsidP="00B65EDC">
      <w:pPr>
        <w:rPr>
          <w:lang w:val="es-ES_tradnl"/>
        </w:rPr>
      </w:pPr>
    </w:p>
    <w:p w14:paraId="5D602065" w14:textId="0D26ECC4" w:rsidR="00B65EDC" w:rsidRPr="00E675E8" w:rsidRDefault="00B65EDC" w:rsidP="00B65EDC">
      <w:pPr>
        <w:ind w:left="284" w:hanging="284"/>
        <w:rPr>
          <w:rFonts w:ascii="Arial Narrow" w:hAnsi="Arial Narrow"/>
          <w:sz w:val="18"/>
          <w:szCs w:val="18"/>
          <w:lang w:val="es-ES_tradnl"/>
        </w:rPr>
      </w:pPr>
      <w:r w:rsidRPr="00E675E8">
        <w:rPr>
          <w:rFonts w:ascii="Arial Narrow" w:hAnsi="Arial Narrow"/>
          <w:sz w:val="18"/>
          <w:vertAlign w:val="superscript"/>
          <w:lang w:val="es-ES_tradnl"/>
        </w:rPr>
        <w:t>1</w:t>
      </w:r>
      <w:r w:rsidRPr="00E675E8">
        <w:rPr>
          <w:rFonts w:ascii="Arial Narrow" w:hAnsi="Arial Narrow"/>
          <w:sz w:val="18"/>
          <w:lang w:val="es-ES_tradnl"/>
        </w:rPr>
        <w:tab/>
        <w:t>Armenia:</w:t>
      </w:r>
      <w:r w:rsidR="002817AB" w:rsidRPr="00E675E8">
        <w:rPr>
          <w:rFonts w:ascii="Arial Narrow" w:hAnsi="Arial Narrow"/>
          <w:sz w:val="18"/>
          <w:lang w:val="es-ES_tradnl"/>
        </w:rPr>
        <w:t xml:space="preserve"> </w:t>
      </w:r>
      <w:r w:rsidRPr="00E675E8">
        <w:rPr>
          <w:rFonts w:ascii="Arial Narrow" w:hAnsi="Arial Narrow"/>
          <w:sz w:val="18"/>
          <w:lang w:val="es-ES_tradnl"/>
        </w:rPr>
        <w:t>nuevo miembro a partir del 2 de marzo de 2024.</w:t>
      </w:r>
    </w:p>
    <w:p w14:paraId="4BC7ACDD" w14:textId="77777777" w:rsidR="00B65EDC" w:rsidRPr="00E675E8" w:rsidRDefault="00B65EDC" w:rsidP="00B65EDC">
      <w:pPr>
        <w:ind w:left="284" w:hanging="284"/>
        <w:rPr>
          <w:rFonts w:ascii="Arial Narrow" w:hAnsi="Arial Narrow"/>
          <w:sz w:val="18"/>
          <w:szCs w:val="18"/>
          <w:lang w:val="es-ES_tradnl"/>
        </w:rPr>
      </w:pPr>
      <w:r w:rsidRPr="00E675E8">
        <w:rPr>
          <w:rFonts w:ascii="Arial Narrow" w:hAnsi="Arial Narrow"/>
          <w:sz w:val="18"/>
          <w:vertAlign w:val="superscript"/>
          <w:lang w:val="es-ES_tradnl"/>
        </w:rPr>
        <w:t>2</w:t>
      </w:r>
      <w:r w:rsidRPr="00E675E8">
        <w:rPr>
          <w:rFonts w:ascii="Arial Narrow" w:hAnsi="Arial Narrow"/>
          <w:sz w:val="18"/>
          <w:lang w:val="es-ES_tradnl"/>
        </w:rPr>
        <w:t xml:space="preserve"> </w:t>
      </w:r>
      <w:r w:rsidRPr="00E675E8">
        <w:rPr>
          <w:rFonts w:ascii="Arial Narrow" w:hAnsi="Arial Narrow"/>
          <w:sz w:val="18"/>
          <w:lang w:val="es-ES_tradnl"/>
        </w:rPr>
        <w:tab/>
        <w:t>Suecia redujo el número de unidades de contribución a partir de enero de 2026.</w:t>
      </w:r>
    </w:p>
    <w:p w14:paraId="463F82E3" w14:textId="77777777" w:rsidR="00B65EDC" w:rsidRPr="00E675E8" w:rsidRDefault="00B65EDC" w:rsidP="00B65EDC">
      <w:pPr>
        <w:ind w:left="284" w:hanging="284"/>
        <w:rPr>
          <w:rFonts w:ascii="Arial Narrow" w:hAnsi="Arial Narrow"/>
          <w:sz w:val="18"/>
          <w:szCs w:val="18"/>
          <w:lang w:val="es-ES_tradnl"/>
        </w:rPr>
      </w:pPr>
      <w:r w:rsidRPr="00E675E8">
        <w:rPr>
          <w:rFonts w:ascii="Arial Narrow" w:hAnsi="Arial Narrow"/>
          <w:sz w:val="18"/>
          <w:vertAlign w:val="superscript"/>
          <w:lang w:val="es-ES_tradnl"/>
        </w:rPr>
        <w:t>3</w:t>
      </w:r>
      <w:r w:rsidRPr="00E675E8">
        <w:rPr>
          <w:rFonts w:ascii="Arial Narrow" w:hAnsi="Arial Narrow"/>
          <w:sz w:val="18"/>
          <w:lang w:val="es-ES_tradnl"/>
        </w:rPr>
        <w:t xml:space="preserve"> </w:t>
      </w:r>
      <w:r w:rsidRPr="00E675E8">
        <w:rPr>
          <w:rFonts w:ascii="Arial Narrow" w:hAnsi="Arial Narrow"/>
          <w:sz w:val="18"/>
          <w:lang w:val="es-ES_tradnl"/>
        </w:rPr>
        <w:tab/>
        <w:t>Nigeria: nuevo miembro a partir del 27 de marzo de 2025.</w:t>
      </w:r>
    </w:p>
    <w:p w14:paraId="0D8D07D3" w14:textId="77777777" w:rsidR="00B65EDC" w:rsidRPr="00E675E8" w:rsidRDefault="00B65EDC" w:rsidP="00B65EDC">
      <w:pPr>
        <w:rPr>
          <w:lang w:val="es-ES_tradnl"/>
        </w:rPr>
      </w:pPr>
    </w:p>
    <w:p w14:paraId="7671D675" w14:textId="77777777" w:rsidR="00B65EDC" w:rsidRPr="00E675E8" w:rsidRDefault="00B65EDC" w:rsidP="00B65EDC">
      <w:pPr>
        <w:rPr>
          <w:lang w:val="es-ES_tradnl"/>
        </w:rPr>
      </w:pPr>
    </w:p>
    <w:p w14:paraId="083D382D" w14:textId="77777777" w:rsidR="00B65EDC" w:rsidRPr="00E675E8" w:rsidRDefault="00B65EDC" w:rsidP="00B65EDC">
      <w:pPr>
        <w:rPr>
          <w:lang w:val="es-ES_tradnl"/>
        </w:rPr>
      </w:pPr>
    </w:p>
    <w:p w14:paraId="2FA0B897" w14:textId="77777777" w:rsidR="00B65EDC" w:rsidRPr="00E675E8" w:rsidRDefault="00B65EDC" w:rsidP="00B65EDC">
      <w:pPr>
        <w:pStyle w:val="Endofdocument"/>
        <w:tabs>
          <w:tab w:val="decimal" w:pos="9071"/>
        </w:tabs>
        <w:ind w:right="-1"/>
        <w:jc w:val="right"/>
        <w:rPr>
          <w:lang w:val="es-ES_tradnl"/>
        </w:rPr>
      </w:pPr>
      <w:r w:rsidRPr="00E675E8">
        <w:rPr>
          <w:rFonts w:ascii="Arial" w:hAnsi="Arial"/>
          <w:snapToGrid w:val="0"/>
          <w:sz w:val="20"/>
          <w:lang w:val="es-ES_tradnl"/>
        </w:rPr>
        <w:t>[Sigue el Apéndice III]</w:t>
      </w:r>
    </w:p>
    <w:p w14:paraId="43D65312" w14:textId="77777777" w:rsidR="00B65EDC" w:rsidRPr="00E675E8" w:rsidRDefault="00B65EDC" w:rsidP="00B65EDC">
      <w:pPr>
        <w:rPr>
          <w:rFonts w:cs="Arial"/>
          <w:b/>
          <w:color w:val="0000FF"/>
          <w:lang w:val="es-ES_tradnl"/>
        </w:rPr>
        <w:sectPr w:rsidR="00B65EDC" w:rsidRPr="00E675E8" w:rsidSect="00B65EDC">
          <w:headerReference w:type="even" r:id="rId41"/>
          <w:headerReference w:type="default" r:id="rId42"/>
          <w:footerReference w:type="even" r:id="rId43"/>
          <w:footerReference w:type="default" r:id="rId44"/>
          <w:headerReference w:type="first" r:id="rId45"/>
          <w:footerReference w:type="first" r:id="rId46"/>
          <w:pgSz w:w="11907" w:h="16840" w:code="9"/>
          <w:pgMar w:top="510" w:right="1134" w:bottom="1134" w:left="1134" w:header="510" w:footer="624" w:gutter="0"/>
          <w:cols w:space="720"/>
          <w:docGrid w:linePitch="272"/>
        </w:sectPr>
      </w:pPr>
      <w:r w:rsidRPr="00E675E8">
        <w:rPr>
          <w:b/>
          <w:color w:val="0000FF"/>
          <w:lang w:val="es-ES_tradnl"/>
        </w:rPr>
        <w:t xml:space="preserve"> </w:t>
      </w:r>
    </w:p>
    <w:p w14:paraId="103DA7B1" w14:textId="77777777" w:rsidR="00B65EDC" w:rsidRPr="00E675E8" w:rsidRDefault="00B65EDC" w:rsidP="004448C7">
      <w:pPr>
        <w:pStyle w:val="Heading9"/>
        <w:rPr>
          <w:lang w:val="es-ES_tradnl"/>
        </w:rPr>
      </w:pPr>
      <w:bookmarkStart w:id="524" w:name="_Toc209777783"/>
      <w:r w:rsidRPr="00E675E8">
        <w:rPr>
          <w:lang w:val="es-ES_tradnl"/>
        </w:rPr>
        <w:lastRenderedPageBreak/>
        <w:t>Apéndice III</w:t>
      </w:r>
      <w:r w:rsidRPr="00E675E8">
        <w:rPr>
          <w:lang w:val="es-ES_tradnl"/>
        </w:rPr>
        <w:tab/>
        <w:t>Definición de fuentes de ingresos y categorías de gastos</w:t>
      </w:r>
      <w:bookmarkEnd w:id="524"/>
    </w:p>
    <w:p w14:paraId="2856F616" w14:textId="77777777" w:rsidR="00B65EDC" w:rsidRPr="00E675E8" w:rsidRDefault="00B65EDC" w:rsidP="00B65EDC">
      <w:pPr>
        <w:rPr>
          <w:lang w:val="es-ES_tradnl"/>
        </w:rPr>
      </w:pPr>
    </w:p>
    <w:p w14:paraId="2B2B7A18" w14:textId="77777777" w:rsidR="00B65EDC" w:rsidRPr="00E675E8" w:rsidRDefault="00B65EDC" w:rsidP="00B65EDC">
      <w:pPr>
        <w:rPr>
          <w:color w:val="26724C" w:themeColor="accent1" w:themeShade="BF"/>
          <w:sz w:val="28"/>
          <w:lang w:val="es-ES_tradnl"/>
        </w:rPr>
      </w:pPr>
      <w:r w:rsidRPr="00E675E8">
        <w:rPr>
          <w:color w:val="26724C" w:themeColor="accent1" w:themeShade="BF"/>
          <w:sz w:val="28"/>
          <w:lang w:val="es-ES_tradnl"/>
        </w:rPr>
        <w:t>Fuentes de ingresos</w:t>
      </w:r>
    </w:p>
    <w:p w14:paraId="3DF7A4DD" w14:textId="77777777" w:rsidR="00B65EDC" w:rsidRPr="00E675E8" w:rsidRDefault="00B65EDC" w:rsidP="00B65EDC">
      <w:pPr>
        <w:rPr>
          <w:lang w:val="es-ES_tradnl"/>
        </w:rPr>
      </w:pPr>
    </w:p>
    <w:p w14:paraId="607C8A53" w14:textId="77777777" w:rsidR="00B65EDC" w:rsidRPr="00E675E8" w:rsidRDefault="00B65EDC" w:rsidP="00B65EDC">
      <w:pPr>
        <w:rPr>
          <w:lang w:val="es-ES_tradnl"/>
        </w:rPr>
      </w:pPr>
      <w:r w:rsidRPr="00E675E8">
        <w:rPr>
          <w:lang w:val="es-ES_tradnl"/>
        </w:rPr>
        <w:t>Contribuciones: contribuciones de los miembros de la Unión en virtud del Convenio de la UPOV (artículo 29 del Acta de 1991 y artículo 26 del Acta de 1978).</w:t>
      </w:r>
    </w:p>
    <w:p w14:paraId="24D37C67" w14:textId="77777777" w:rsidR="00B65EDC" w:rsidRPr="00E675E8" w:rsidRDefault="00B65EDC" w:rsidP="00B65EDC">
      <w:pPr>
        <w:rPr>
          <w:lang w:val="es-ES_tradnl"/>
        </w:rPr>
      </w:pPr>
    </w:p>
    <w:p w14:paraId="6058449F" w14:textId="5EE0789C" w:rsidR="00B65EDC" w:rsidRPr="00E675E8" w:rsidRDefault="00B65EDC" w:rsidP="00B65EDC">
      <w:pPr>
        <w:keepNext/>
        <w:spacing w:after="40"/>
        <w:rPr>
          <w:lang w:val="es-ES_tradnl"/>
        </w:rPr>
      </w:pPr>
      <w:r w:rsidRPr="00E675E8">
        <w:rPr>
          <w:lang w:val="es-ES_tradnl"/>
        </w:rPr>
        <w:t>Tasas por herramientas y servicios informáticos de la UPOV:</w:t>
      </w:r>
      <w:r w:rsidR="002817AB" w:rsidRPr="00E675E8">
        <w:rPr>
          <w:lang w:val="es-ES_tradnl"/>
        </w:rPr>
        <w:t xml:space="preserve"> </w:t>
      </w:r>
      <w:r w:rsidRPr="00E675E8">
        <w:rPr>
          <w:lang w:val="es-ES_tradnl"/>
        </w:rPr>
        <w:t>tasas de las bases de datos, herramientas y servicios informáticos de la UPOV.</w:t>
      </w:r>
    </w:p>
    <w:p w14:paraId="354D735C" w14:textId="77777777" w:rsidR="00B65EDC" w:rsidRPr="00E675E8" w:rsidRDefault="00B65EDC" w:rsidP="00B65EDC">
      <w:pPr>
        <w:rPr>
          <w:lang w:val="es-ES_tradnl"/>
        </w:rPr>
      </w:pPr>
    </w:p>
    <w:p w14:paraId="774F63F7" w14:textId="77777777" w:rsidR="00B65EDC" w:rsidRPr="00E675E8" w:rsidRDefault="00B65EDC" w:rsidP="00B65EDC">
      <w:pPr>
        <w:keepNext/>
        <w:spacing w:after="40"/>
        <w:rPr>
          <w:lang w:val="es-ES_tradnl"/>
        </w:rPr>
      </w:pPr>
      <w:r w:rsidRPr="00E675E8">
        <w:rPr>
          <w:lang w:val="es-ES_tradnl"/>
        </w:rPr>
        <w:t>Ingresos diversos: ajustes contables (créditos) respecto de años anteriores, ajustes por fluctuación cambiaria, ingresos destinados a sufragar los gastos relativos a actividades extrapresupuestarias ejecutadas por la UPOV y financiadas mediante fondos fiduciarios, y tasas de los programas de enseñanza a distancia.</w:t>
      </w:r>
    </w:p>
    <w:p w14:paraId="3BBAE8E0" w14:textId="77777777" w:rsidR="00B65EDC" w:rsidRPr="00E675E8" w:rsidRDefault="00B65EDC" w:rsidP="00B65EDC">
      <w:pPr>
        <w:rPr>
          <w:sz w:val="24"/>
          <w:lang w:val="es-ES_tradnl"/>
        </w:rPr>
      </w:pPr>
    </w:p>
    <w:p w14:paraId="0C84B3D1" w14:textId="77777777" w:rsidR="00B65EDC" w:rsidRPr="00E675E8" w:rsidRDefault="00B65EDC" w:rsidP="00B65EDC">
      <w:pPr>
        <w:rPr>
          <w:sz w:val="24"/>
          <w:lang w:val="es-ES_tradnl"/>
        </w:rPr>
      </w:pPr>
    </w:p>
    <w:p w14:paraId="59F3159E" w14:textId="77777777" w:rsidR="00B65EDC" w:rsidRPr="00E675E8" w:rsidRDefault="00B65EDC" w:rsidP="00B65EDC">
      <w:pPr>
        <w:rPr>
          <w:color w:val="26724C" w:themeColor="accent1" w:themeShade="BF"/>
          <w:sz w:val="28"/>
          <w:szCs w:val="24"/>
          <w:lang w:val="es-ES_tradnl"/>
        </w:rPr>
      </w:pPr>
      <w:r w:rsidRPr="00E675E8">
        <w:rPr>
          <w:color w:val="26724C" w:themeColor="accent1" w:themeShade="BF"/>
          <w:sz w:val="28"/>
          <w:lang w:val="es-ES_tradnl"/>
        </w:rPr>
        <w:t>Categorías de gasto</w:t>
      </w:r>
    </w:p>
    <w:p w14:paraId="5D912D2E" w14:textId="77777777" w:rsidR="00B65EDC" w:rsidRPr="00E675E8" w:rsidRDefault="00B65EDC" w:rsidP="00B65EDC">
      <w:pPr>
        <w:rPr>
          <w:lang w:val="es-ES_tradnl"/>
        </w:rPr>
      </w:pPr>
    </w:p>
    <w:p w14:paraId="257F354C" w14:textId="77777777" w:rsidR="00B65EDC" w:rsidRPr="00E675E8" w:rsidRDefault="00B65EDC" w:rsidP="00B65EDC">
      <w:pPr>
        <w:rPr>
          <w:b/>
          <w:color w:val="26724C" w:themeColor="accent1" w:themeShade="BF"/>
          <w:lang w:val="es-ES_tradnl"/>
        </w:rPr>
      </w:pPr>
      <w:r w:rsidRPr="00E675E8">
        <w:rPr>
          <w:b/>
          <w:color w:val="26724C" w:themeColor="accent1" w:themeShade="BF"/>
          <w:lang w:val="es-ES_tradnl"/>
        </w:rPr>
        <w:t>Recursos de personal</w:t>
      </w:r>
    </w:p>
    <w:p w14:paraId="1C2C7A8E" w14:textId="77777777" w:rsidR="00B65EDC" w:rsidRPr="00E675E8" w:rsidRDefault="00B65EDC" w:rsidP="00B65EDC">
      <w:pPr>
        <w:rPr>
          <w:lang w:val="es-ES_tradnl"/>
        </w:rPr>
      </w:pPr>
    </w:p>
    <w:p w14:paraId="71665A2C" w14:textId="77777777" w:rsidR="00B65EDC" w:rsidRPr="00E675E8" w:rsidRDefault="00B65EDC" w:rsidP="00B65EDC">
      <w:pPr>
        <w:keepNext/>
        <w:spacing w:after="40"/>
        <w:rPr>
          <w:lang w:val="es-ES_tradnl"/>
        </w:rPr>
      </w:pPr>
      <w:r w:rsidRPr="00E675E8">
        <w:rPr>
          <w:b/>
          <w:lang w:val="es-ES_tradnl"/>
        </w:rPr>
        <w:t>Puestos:</w:t>
      </w:r>
      <w:r w:rsidRPr="00E675E8">
        <w:rPr>
          <w:lang w:val="es-ES_tradnl"/>
        </w:rPr>
        <w:t xml:space="preserve"> remuneración recibida por los miembros del personal, en particular, sueldos, ajustes por lugar de destino, prestaciones por personas a cargo, primas de idiomas y horas extraordinarias, subsidios de no residentes, primas por asignación y subsidios por gastos de representación.</w:t>
      </w:r>
    </w:p>
    <w:p w14:paraId="7E9E39D9" w14:textId="77777777" w:rsidR="00B65EDC" w:rsidRPr="00E675E8" w:rsidRDefault="00B65EDC" w:rsidP="00B65EDC">
      <w:pPr>
        <w:rPr>
          <w:color w:val="7F7F7F" w:themeColor="text1" w:themeTint="80"/>
          <w:lang w:val="es-ES_tradnl"/>
        </w:rPr>
      </w:pPr>
    </w:p>
    <w:p w14:paraId="171E4161" w14:textId="77777777" w:rsidR="00B65EDC" w:rsidRPr="00E675E8" w:rsidRDefault="00B65EDC" w:rsidP="00B65EDC">
      <w:pPr>
        <w:rPr>
          <w:lang w:val="es-ES_tradnl"/>
        </w:rPr>
      </w:pPr>
      <w:r w:rsidRPr="00E675E8">
        <w:rPr>
          <w:b/>
          <w:lang w:val="es-ES_tradnl"/>
        </w:rPr>
        <w:t>Personal temporal:</w:t>
      </w:r>
      <w:r w:rsidRPr="00E675E8">
        <w:rPr>
          <w:lang w:val="es-ES_tradnl"/>
        </w:rPr>
        <w:t xml:space="preserve"> remuneración y subsidios pagados a profesionales o empleados de servicios generales con contratos de corta duración.</w:t>
      </w:r>
    </w:p>
    <w:p w14:paraId="7EBEF057" w14:textId="77777777" w:rsidR="00B65EDC" w:rsidRPr="00E675E8" w:rsidRDefault="00B65EDC" w:rsidP="00B65EDC">
      <w:pPr>
        <w:rPr>
          <w:lang w:val="es-ES_tradnl"/>
        </w:rPr>
      </w:pPr>
    </w:p>
    <w:p w14:paraId="7E172C18" w14:textId="77777777" w:rsidR="00B65EDC" w:rsidRPr="00E675E8" w:rsidRDefault="00B65EDC" w:rsidP="00B65EDC">
      <w:pPr>
        <w:rPr>
          <w:b/>
          <w:color w:val="26724C" w:themeColor="accent1" w:themeShade="BF"/>
          <w:lang w:val="es-ES_tradnl"/>
        </w:rPr>
      </w:pPr>
      <w:r w:rsidRPr="00E675E8">
        <w:rPr>
          <w:b/>
          <w:color w:val="26724C" w:themeColor="accent1" w:themeShade="BF"/>
          <w:lang w:val="es-ES_tradnl"/>
        </w:rPr>
        <w:t>Recursos no relativos a personal</w:t>
      </w:r>
    </w:p>
    <w:p w14:paraId="5A038389" w14:textId="77777777" w:rsidR="00B65EDC" w:rsidRPr="00E675E8" w:rsidRDefault="00B65EDC" w:rsidP="00B65EDC">
      <w:pPr>
        <w:rPr>
          <w:b/>
          <w:color w:val="26724C" w:themeColor="accent1" w:themeShade="BF"/>
          <w:lang w:val="es-ES_tradnl"/>
        </w:rPr>
      </w:pPr>
    </w:p>
    <w:p w14:paraId="53DA117C" w14:textId="77777777" w:rsidR="00B65EDC" w:rsidRPr="00E675E8" w:rsidRDefault="00B65EDC" w:rsidP="00B65EDC">
      <w:pPr>
        <w:rPr>
          <w:rFonts w:cs="Arial"/>
          <w:bCs/>
          <w:i/>
          <w:color w:val="26724C" w:themeColor="accent1" w:themeShade="BF"/>
          <w:lang w:val="es-ES_tradnl"/>
        </w:rPr>
      </w:pPr>
      <w:r w:rsidRPr="00E675E8">
        <w:rPr>
          <w:i/>
          <w:color w:val="26724C" w:themeColor="accent1" w:themeShade="BF"/>
          <w:lang w:val="es-ES_tradnl"/>
        </w:rPr>
        <w:t>Pasantías y becas</w:t>
      </w:r>
    </w:p>
    <w:p w14:paraId="6FDD9F68" w14:textId="77777777" w:rsidR="00B65EDC" w:rsidRPr="00E675E8" w:rsidRDefault="00B65EDC" w:rsidP="00B65EDC">
      <w:pPr>
        <w:rPr>
          <w:rFonts w:cs="Arial"/>
          <w:lang w:val="es-ES_tradnl"/>
        </w:rPr>
      </w:pPr>
    </w:p>
    <w:p w14:paraId="24393F0F" w14:textId="77777777" w:rsidR="00B65EDC" w:rsidRPr="00E675E8" w:rsidRDefault="00B65EDC" w:rsidP="00B65EDC">
      <w:pPr>
        <w:rPr>
          <w:rFonts w:cs="Arial"/>
          <w:lang w:val="es-ES_tradnl"/>
        </w:rPr>
      </w:pPr>
      <w:r w:rsidRPr="00E675E8">
        <w:rPr>
          <w:b/>
          <w:color w:val="000000"/>
          <w:lang w:val="es-ES_tradnl"/>
        </w:rPr>
        <w:t>Pasantías:</w:t>
      </w:r>
      <w:r w:rsidRPr="00E675E8">
        <w:rPr>
          <w:lang w:val="es-ES_tradnl"/>
        </w:rPr>
        <w:t xml:space="preserve"> remuneración y subsidios pagados a los pasantes. </w:t>
      </w:r>
    </w:p>
    <w:p w14:paraId="4334FA0A" w14:textId="77777777" w:rsidR="00B65EDC" w:rsidRPr="00E675E8" w:rsidRDefault="00B65EDC" w:rsidP="00B65EDC">
      <w:pPr>
        <w:rPr>
          <w:lang w:val="es-ES_tradnl"/>
        </w:rPr>
      </w:pPr>
    </w:p>
    <w:p w14:paraId="6269386F" w14:textId="77777777" w:rsidR="00B65EDC" w:rsidRPr="00E675E8" w:rsidRDefault="00B65EDC" w:rsidP="00B65EDC">
      <w:pPr>
        <w:rPr>
          <w:rFonts w:cs="Arial"/>
          <w:lang w:val="es-ES_tradnl"/>
        </w:rPr>
      </w:pPr>
      <w:r w:rsidRPr="00E675E8">
        <w:rPr>
          <w:b/>
          <w:color w:val="000000"/>
          <w:lang w:val="es-ES_tradnl"/>
        </w:rPr>
        <w:t>Becas:</w:t>
      </w:r>
      <w:r w:rsidRPr="00E675E8">
        <w:rPr>
          <w:lang w:val="es-ES_tradnl"/>
        </w:rPr>
        <w:t xml:space="preserve"> gastos relacionados con una actividad de formación para la que se concede una subvención económica a personas cualificadas a fin de que cumplan determinados objetivos de aprendizaje. </w:t>
      </w:r>
    </w:p>
    <w:p w14:paraId="79A6DC41" w14:textId="77777777" w:rsidR="00B65EDC" w:rsidRPr="00E675E8" w:rsidRDefault="00B65EDC" w:rsidP="00B65EDC">
      <w:pPr>
        <w:rPr>
          <w:u w:val="single"/>
          <w:lang w:val="es-ES_tradnl"/>
        </w:rPr>
      </w:pPr>
    </w:p>
    <w:p w14:paraId="115C92F7" w14:textId="77777777" w:rsidR="00B65EDC" w:rsidRPr="00E675E8" w:rsidRDefault="00B65EDC" w:rsidP="00B65EDC">
      <w:pPr>
        <w:rPr>
          <w:rFonts w:cs="Arial"/>
          <w:bCs/>
          <w:i/>
          <w:color w:val="26724C" w:themeColor="accent1" w:themeShade="BF"/>
          <w:lang w:val="es-ES_tradnl"/>
        </w:rPr>
      </w:pPr>
      <w:r w:rsidRPr="00E675E8">
        <w:rPr>
          <w:i/>
          <w:color w:val="26724C" w:themeColor="accent1" w:themeShade="BF"/>
          <w:lang w:val="es-ES_tradnl"/>
        </w:rPr>
        <w:t xml:space="preserve">Viajes, formación y subvenciones </w:t>
      </w:r>
    </w:p>
    <w:p w14:paraId="277ED032" w14:textId="77777777" w:rsidR="00B65EDC" w:rsidRPr="00E675E8" w:rsidRDefault="00B65EDC" w:rsidP="00B65EDC">
      <w:pPr>
        <w:keepNext/>
        <w:rPr>
          <w:u w:val="single"/>
          <w:lang w:val="es-ES_tradnl"/>
        </w:rPr>
      </w:pPr>
    </w:p>
    <w:p w14:paraId="4705C60F" w14:textId="77777777" w:rsidR="00B65EDC" w:rsidRPr="00E675E8" w:rsidRDefault="00B65EDC" w:rsidP="00B65EDC">
      <w:pPr>
        <w:rPr>
          <w:rFonts w:cs="Arial"/>
          <w:color w:val="000000"/>
          <w:lang w:val="es-ES_tradnl"/>
        </w:rPr>
      </w:pPr>
      <w:r w:rsidRPr="00E675E8">
        <w:rPr>
          <w:b/>
          <w:lang w:val="es-ES_tradnl"/>
        </w:rPr>
        <w:t>Misiones del personal:</w:t>
      </w:r>
      <w:r w:rsidRPr="00E675E8">
        <w:rPr>
          <w:lang w:val="es-ES_tradnl"/>
        </w:rPr>
        <w:t xml:space="preserve"> gastos de viaje y dietas para el personal que efectúa viajes oficiales.</w:t>
      </w:r>
    </w:p>
    <w:p w14:paraId="438C1A9F" w14:textId="77777777" w:rsidR="00B65EDC" w:rsidRPr="00E675E8" w:rsidRDefault="00B65EDC" w:rsidP="00B65EDC">
      <w:pPr>
        <w:rPr>
          <w:lang w:val="es-ES_tradnl"/>
        </w:rPr>
      </w:pPr>
    </w:p>
    <w:p w14:paraId="70E61230" w14:textId="7D54438C" w:rsidR="00B65EDC" w:rsidRPr="00E675E8" w:rsidRDefault="00B65EDC" w:rsidP="00B65EDC">
      <w:pPr>
        <w:rPr>
          <w:rFonts w:cs="Arial"/>
          <w:color w:val="000000"/>
          <w:lang w:val="es-ES_tradnl"/>
        </w:rPr>
      </w:pPr>
      <w:r w:rsidRPr="00E675E8">
        <w:rPr>
          <w:b/>
          <w:color w:val="000000"/>
          <w:lang w:val="es-ES_tradnl"/>
        </w:rPr>
        <w:t>Viajes de terceros (incluidos los gastos de viaje, formación y otras subvenciones relacionadas con los viajes):</w:t>
      </w:r>
      <w:r w:rsidRPr="00E675E8">
        <w:rPr>
          <w:color w:val="000000"/>
          <w:lang w:val="es-ES_tradnl"/>
        </w:rPr>
        <w:t xml:space="preserve"> gastos de viaje y dietas, gastos de formación y otras tasas para todos los terceros, incluidos los gastos de viaje de los funcionarios gubernamentales, participantes y ponentes que asistan a reuniones, seminarios y talleres patrocinados por la UPOV.</w:t>
      </w:r>
    </w:p>
    <w:p w14:paraId="48F0F52F" w14:textId="77777777" w:rsidR="00B65EDC" w:rsidRPr="00E675E8" w:rsidRDefault="00B65EDC" w:rsidP="00B65EDC">
      <w:pPr>
        <w:rPr>
          <w:lang w:val="es-ES_tradnl"/>
        </w:rPr>
      </w:pPr>
    </w:p>
    <w:p w14:paraId="5EFAE443" w14:textId="77777777" w:rsidR="00B65EDC" w:rsidRPr="00E675E8" w:rsidRDefault="00B65EDC" w:rsidP="00B65EDC">
      <w:pPr>
        <w:rPr>
          <w:rFonts w:cs="Arial"/>
          <w:bCs/>
          <w:i/>
          <w:color w:val="26724C" w:themeColor="accent1" w:themeShade="BF"/>
          <w:lang w:val="es-ES_tradnl"/>
        </w:rPr>
      </w:pPr>
      <w:r w:rsidRPr="00E675E8">
        <w:rPr>
          <w:i/>
          <w:color w:val="26724C" w:themeColor="accent1" w:themeShade="BF"/>
          <w:lang w:val="es-ES_tradnl"/>
        </w:rPr>
        <w:t>Servicios contractuales</w:t>
      </w:r>
    </w:p>
    <w:p w14:paraId="5A13D686" w14:textId="77777777" w:rsidR="00B65EDC" w:rsidRPr="00E675E8" w:rsidRDefault="00B65EDC" w:rsidP="00B65EDC">
      <w:pPr>
        <w:keepNext/>
        <w:rPr>
          <w:u w:val="single"/>
          <w:lang w:val="es-ES_tradnl"/>
        </w:rPr>
      </w:pPr>
    </w:p>
    <w:p w14:paraId="4619BA01" w14:textId="66880C74" w:rsidR="00B65EDC" w:rsidRPr="00E675E8" w:rsidRDefault="00B65EDC" w:rsidP="00B65EDC">
      <w:pPr>
        <w:keepNext/>
        <w:keepLines/>
        <w:rPr>
          <w:color w:val="000000"/>
          <w:szCs w:val="22"/>
          <w:lang w:val="es-ES_tradnl"/>
        </w:rPr>
      </w:pPr>
      <w:r w:rsidRPr="00E675E8">
        <w:rPr>
          <w:b/>
          <w:color w:val="000000"/>
          <w:lang w:val="es-ES_tradnl"/>
        </w:rPr>
        <w:t>Conferencias:</w:t>
      </w:r>
      <w:r w:rsidRPr="00E675E8">
        <w:rPr>
          <w:color w:val="000000"/>
          <w:lang w:val="es-ES_tradnl"/>
        </w:rPr>
        <w:t xml:space="preserve"> remuneración, gastos de viaje y dietas de los intérpretes, alquiler de salas de conferencias y equipo de interpretación, refrigerios y recepciones, y el costo de cualquier otro servicio relacionado directamente con la organización de una conferencia.</w:t>
      </w:r>
    </w:p>
    <w:p w14:paraId="6401A4B5" w14:textId="77777777" w:rsidR="00B65EDC" w:rsidRPr="00E675E8" w:rsidRDefault="00B65EDC" w:rsidP="00B65EDC">
      <w:pPr>
        <w:rPr>
          <w:lang w:val="es-ES_tradnl"/>
        </w:rPr>
      </w:pPr>
    </w:p>
    <w:p w14:paraId="2E18A69F" w14:textId="1E066EAF" w:rsidR="00B65EDC" w:rsidRPr="00E675E8" w:rsidRDefault="00B65EDC" w:rsidP="00B65EDC">
      <w:pPr>
        <w:rPr>
          <w:color w:val="000000"/>
          <w:szCs w:val="22"/>
          <w:lang w:val="es-ES_tradnl"/>
        </w:rPr>
      </w:pPr>
      <w:r w:rsidRPr="00E675E8">
        <w:rPr>
          <w:b/>
          <w:color w:val="000000"/>
          <w:lang w:val="es-ES_tradnl"/>
        </w:rPr>
        <w:t>Edición:</w:t>
      </w:r>
      <w:r w:rsidRPr="00E675E8">
        <w:rPr>
          <w:color w:val="000000"/>
          <w:lang w:val="es-ES_tradnl"/>
        </w:rPr>
        <w:t xml:space="preserve"> externalización de la impresión (folletos, tratados, colecciones de textos, manuales, guías y materiales), y de la producción de vídeos y otras formas de edición electrónica. </w:t>
      </w:r>
    </w:p>
    <w:p w14:paraId="02BCE6B3" w14:textId="77777777" w:rsidR="00B65EDC" w:rsidRPr="00E675E8" w:rsidRDefault="00B65EDC" w:rsidP="00B65EDC">
      <w:pPr>
        <w:rPr>
          <w:lang w:val="es-ES_tradnl"/>
        </w:rPr>
      </w:pPr>
    </w:p>
    <w:p w14:paraId="23EB18B3" w14:textId="4BAF16AB" w:rsidR="00B65EDC" w:rsidRPr="00E675E8" w:rsidRDefault="00B65EDC" w:rsidP="00B65EDC">
      <w:pPr>
        <w:keepNext/>
        <w:rPr>
          <w:color w:val="000000"/>
          <w:szCs w:val="22"/>
          <w:lang w:val="es-ES_tradnl"/>
        </w:rPr>
      </w:pPr>
      <w:r w:rsidRPr="00E675E8">
        <w:rPr>
          <w:b/>
          <w:color w:val="000000"/>
          <w:lang w:val="es-ES_tradnl"/>
        </w:rPr>
        <w:t>Servicios contractuales individuales:</w:t>
      </w:r>
      <w:r w:rsidRPr="00E675E8">
        <w:rPr>
          <w:color w:val="000000"/>
          <w:lang w:val="es-ES_tradnl"/>
        </w:rPr>
        <w:t xml:space="preserve"> remuneración pagada por servicios contractuales individuales.</w:t>
      </w:r>
    </w:p>
    <w:p w14:paraId="0D1F634C" w14:textId="77777777" w:rsidR="00B65EDC" w:rsidRPr="00E675E8" w:rsidRDefault="00B65EDC" w:rsidP="00B65EDC">
      <w:pPr>
        <w:keepNext/>
        <w:rPr>
          <w:lang w:val="es-ES_tradnl"/>
        </w:rPr>
      </w:pPr>
    </w:p>
    <w:p w14:paraId="0831240B" w14:textId="085A35EC" w:rsidR="00B65EDC" w:rsidRPr="00E675E8" w:rsidRDefault="00B65EDC" w:rsidP="00B65EDC">
      <w:pPr>
        <w:rPr>
          <w:color w:val="000000"/>
          <w:szCs w:val="22"/>
          <w:lang w:val="es-ES_tradnl"/>
        </w:rPr>
      </w:pPr>
      <w:r w:rsidRPr="00E675E8">
        <w:rPr>
          <w:b/>
          <w:color w:val="000000"/>
          <w:lang w:val="es-ES_tradnl"/>
        </w:rPr>
        <w:t>Otros servicios contractuales:</w:t>
      </w:r>
      <w:r w:rsidRPr="00E675E8">
        <w:rPr>
          <w:color w:val="000000"/>
          <w:lang w:val="es-ES_tradnl"/>
        </w:rPr>
        <w:t xml:space="preserve"> todos los demás servicios contractuales con proveedores de servicios comerciales y no comerciales, incluidos el alojamiento de infraestructura informática (local y en la nube) y los programas informáticos como servicio (SaaS). </w:t>
      </w:r>
    </w:p>
    <w:p w14:paraId="60406DC5" w14:textId="77777777" w:rsidR="00B65EDC" w:rsidRPr="00E675E8" w:rsidRDefault="00B65EDC" w:rsidP="00B65EDC">
      <w:pPr>
        <w:rPr>
          <w:color w:val="000000"/>
          <w:szCs w:val="22"/>
          <w:lang w:val="es-ES_tradnl"/>
        </w:rPr>
      </w:pPr>
    </w:p>
    <w:p w14:paraId="22C00C1D" w14:textId="77777777" w:rsidR="00B65EDC" w:rsidRPr="00E675E8" w:rsidRDefault="00B65EDC" w:rsidP="00B65EDC">
      <w:pPr>
        <w:keepNext/>
        <w:rPr>
          <w:rFonts w:cs="Arial"/>
          <w:bCs/>
          <w:i/>
          <w:color w:val="26724C" w:themeColor="accent1" w:themeShade="BF"/>
          <w:lang w:val="es-ES_tradnl"/>
        </w:rPr>
      </w:pPr>
      <w:r w:rsidRPr="00E675E8">
        <w:rPr>
          <w:i/>
          <w:color w:val="26724C" w:themeColor="accent1" w:themeShade="BF"/>
          <w:lang w:val="es-ES_tradnl"/>
        </w:rPr>
        <w:lastRenderedPageBreak/>
        <w:t>Gastos de explotación</w:t>
      </w:r>
    </w:p>
    <w:p w14:paraId="3C9D7D71" w14:textId="77777777" w:rsidR="00B65EDC" w:rsidRPr="00E675E8" w:rsidRDefault="00B65EDC" w:rsidP="00B65EDC">
      <w:pPr>
        <w:keepNext/>
        <w:rPr>
          <w:b/>
          <w:u w:val="single"/>
          <w:lang w:val="es-ES_tradnl"/>
        </w:rPr>
      </w:pPr>
    </w:p>
    <w:p w14:paraId="673F84FA" w14:textId="77777777" w:rsidR="009B69EB" w:rsidRPr="00E675E8" w:rsidRDefault="009B69EB" w:rsidP="009B69EB">
      <w:pPr>
        <w:rPr>
          <w:lang w:val="es-ES_tradnl"/>
        </w:rPr>
      </w:pPr>
      <w:r w:rsidRPr="00E675E8">
        <w:rPr>
          <w:b/>
          <w:lang w:val="es-ES_tradnl"/>
        </w:rPr>
        <w:t>Locales y mantenimiento:</w:t>
      </w:r>
      <w:r w:rsidRPr="00E675E8">
        <w:rPr>
          <w:lang w:val="es-ES_tradnl"/>
        </w:rPr>
        <w:t xml:space="preserve"> adquisición, alquiler, mejora y mantenimiento de espacios de oficina, servicios públicos, alquiler o mantenimiento de equipos informáticos y licencias.</w:t>
      </w:r>
    </w:p>
    <w:p w14:paraId="5DE8447F" w14:textId="77777777" w:rsidR="009B69EB" w:rsidRPr="00E675E8" w:rsidRDefault="009B69EB" w:rsidP="009B69EB">
      <w:pPr>
        <w:rPr>
          <w:b/>
          <w:lang w:val="es-ES_tradnl"/>
        </w:rPr>
      </w:pPr>
    </w:p>
    <w:p w14:paraId="0ADD548C" w14:textId="5ABB48E4" w:rsidR="009B69EB" w:rsidRPr="00E675E8" w:rsidRDefault="009B69EB" w:rsidP="009B69EB">
      <w:pPr>
        <w:rPr>
          <w:lang w:val="es-ES_tradnl"/>
        </w:rPr>
      </w:pPr>
      <w:r w:rsidRPr="00E675E8">
        <w:rPr>
          <w:b/>
          <w:lang w:val="es-ES_tradnl"/>
        </w:rPr>
        <w:t>Comunicación:</w:t>
      </w:r>
      <w:r w:rsidRPr="00E675E8">
        <w:rPr>
          <w:lang w:val="es-ES_tradnl"/>
        </w:rPr>
        <w:t xml:space="preserve"> gastos de comunicación como teléfono, Internet, correo y franqueo. </w:t>
      </w:r>
    </w:p>
    <w:p w14:paraId="242A08F0" w14:textId="77777777" w:rsidR="009B69EB" w:rsidRPr="00E675E8" w:rsidRDefault="009B69EB" w:rsidP="009B69EB">
      <w:pPr>
        <w:rPr>
          <w:b/>
          <w:bCs/>
          <w:lang w:val="es-ES_tradnl"/>
        </w:rPr>
      </w:pPr>
    </w:p>
    <w:p w14:paraId="68013DA6" w14:textId="7BD48CCA" w:rsidR="009B69EB" w:rsidRPr="00E675E8" w:rsidRDefault="009B69EB" w:rsidP="009B69EB">
      <w:pPr>
        <w:rPr>
          <w:lang w:val="es-ES_tradnl"/>
        </w:rPr>
      </w:pPr>
      <w:r w:rsidRPr="00E675E8">
        <w:rPr>
          <w:b/>
          <w:lang w:val="es-ES_tradnl"/>
        </w:rPr>
        <w:t>Representación y otros gastos de explotación:</w:t>
      </w:r>
      <w:r w:rsidRPr="00E675E8">
        <w:rPr>
          <w:lang w:val="es-ES_tradnl"/>
        </w:rPr>
        <w:t xml:space="preserve"> atenciones oficiales, contribución a la asociación del personal de la OMPI y otros gastos de explotación.</w:t>
      </w:r>
    </w:p>
    <w:p w14:paraId="32E2F355" w14:textId="77777777" w:rsidR="009B69EB" w:rsidRPr="00E675E8" w:rsidRDefault="009B69EB" w:rsidP="009B69EB">
      <w:pPr>
        <w:rPr>
          <w:b/>
          <w:lang w:val="es-ES_tradnl"/>
        </w:rPr>
      </w:pPr>
    </w:p>
    <w:p w14:paraId="12A6EB64" w14:textId="49E6B60D" w:rsidR="009B69EB" w:rsidRPr="00E675E8" w:rsidRDefault="009B69EB" w:rsidP="009B69EB">
      <w:pPr>
        <w:rPr>
          <w:lang w:val="es-ES_tradnl"/>
        </w:rPr>
      </w:pPr>
      <w:r w:rsidRPr="00E675E8">
        <w:rPr>
          <w:b/>
          <w:lang w:val="es-ES_tradnl"/>
        </w:rPr>
        <w:t>Servicios conjuntos de las Naciones Unidas:</w:t>
      </w:r>
      <w:r w:rsidRPr="00E675E8">
        <w:rPr>
          <w:lang w:val="es-ES_tradnl"/>
        </w:rPr>
        <w:t xml:space="preserve"> asistencia médica, contribuciones a actividades administrativas conjuntas dentro del sistema de las Naciones Unidas, actividades de las Naciones Unidas con costos compartidos, Tribunal Administrativo.</w:t>
      </w:r>
    </w:p>
    <w:p w14:paraId="00E227C7" w14:textId="157E0A41" w:rsidR="00B65EDC" w:rsidRPr="00E675E8" w:rsidRDefault="00B65EDC" w:rsidP="00B65EDC">
      <w:pPr>
        <w:rPr>
          <w:b/>
          <w:lang w:val="es-ES_tradnl"/>
        </w:rPr>
      </w:pPr>
      <w:r w:rsidRPr="00E675E8">
        <w:rPr>
          <w:color w:val="000000"/>
          <w:lang w:val="es-ES_tradnl"/>
        </w:rPr>
        <w:t>También se incluyen todos los gastos comunes relacionados con actividades conjuntas con la OMPI o con servicios efectivamente prestados por esta última en virtud del acuerdo entre la OMPI y la UPOV.</w:t>
      </w:r>
    </w:p>
    <w:p w14:paraId="7F1CBAF5" w14:textId="77777777" w:rsidR="00B65EDC" w:rsidRPr="00E675E8" w:rsidRDefault="00B65EDC" w:rsidP="00B65EDC">
      <w:pPr>
        <w:rPr>
          <w:b/>
          <w:lang w:val="es-ES_tradnl"/>
        </w:rPr>
      </w:pPr>
    </w:p>
    <w:p w14:paraId="0C3D35A8" w14:textId="77777777" w:rsidR="00B65EDC" w:rsidRPr="00E675E8" w:rsidRDefault="00B65EDC" w:rsidP="00B65EDC">
      <w:pPr>
        <w:keepNext/>
        <w:rPr>
          <w:rFonts w:cs="Arial"/>
          <w:bCs/>
          <w:i/>
          <w:color w:val="26724C" w:themeColor="accent1" w:themeShade="BF"/>
          <w:lang w:val="es-ES_tradnl"/>
        </w:rPr>
      </w:pPr>
      <w:r w:rsidRPr="00E675E8">
        <w:rPr>
          <w:i/>
          <w:color w:val="26724C" w:themeColor="accent1" w:themeShade="BF"/>
          <w:lang w:val="es-ES_tradnl"/>
        </w:rPr>
        <w:t>Equipo y suministros</w:t>
      </w:r>
    </w:p>
    <w:p w14:paraId="23401539" w14:textId="77777777" w:rsidR="00B65EDC" w:rsidRPr="00E675E8" w:rsidRDefault="00B65EDC" w:rsidP="00B65EDC">
      <w:pPr>
        <w:rPr>
          <w:rFonts w:cs="Arial"/>
          <w:lang w:val="es-ES_tradnl"/>
        </w:rPr>
      </w:pPr>
    </w:p>
    <w:p w14:paraId="6C7ADF1B" w14:textId="77777777" w:rsidR="00B65EDC" w:rsidRPr="00E675E8" w:rsidRDefault="00B65EDC" w:rsidP="00B65EDC">
      <w:pPr>
        <w:rPr>
          <w:rFonts w:cs="Arial"/>
          <w:color w:val="000000"/>
          <w:lang w:val="es-ES_tradnl"/>
        </w:rPr>
      </w:pPr>
      <w:r w:rsidRPr="00E675E8">
        <w:rPr>
          <w:b/>
          <w:lang w:val="es-ES_tradnl"/>
        </w:rPr>
        <w:t>Mobiliario y equipo:</w:t>
      </w:r>
      <w:r w:rsidRPr="00E675E8">
        <w:rPr>
          <w:lang w:val="es-ES_tradnl"/>
        </w:rPr>
        <w:t xml:space="preserve"> compra de mobiliario y máquinas de oficina; equipo informático (computadoras de sobremesa y portátiles, impresoras, servidores, etc.); equipo para servicios de conferencias; equipo de reproducción; y equipo de transporte.</w:t>
      </w:r>
    </w:p>
    <w:p w14:paraId="40CDFFE0" w14:textId="77777777" w:rsidR="00B65EDC" w:rsidRPr="00E675E8" w:rsidRDefault="00B65EDC" w:rsidP="00B65EDC">
      <w:pPr>
        <w:rPr>
          <w:lang w:val="es-ES_tradnl"/>
        </w:rPr>
      </w:pPr>
    </w:p>
    <w:p w14:paraId="39DE11F6" w14:textId="68D06A1C" w:rsidR="00B65EDC" w:rsidRPr="00E675E8" w:rsidRDefault="00B65EDC" w:rsidP="00B65EDC">
      <w:pPr>
        <w:rPr>
          <w:rFonts w:cs="Arial"/>
          <w:color w:val="000000"/>
          <w:lang w:val="es-ES_tradnl"/>
        </w:rPr>
      </w:pPr>
      <w:r w:rsidRPr="00E675E8">
        <w:rPr>
          <w:b/>
          <w:color w:val="000000"/>
          <w:lang w:val="es-ES_tradnl"/>
        </w:rPr>
        <w:t>Suministros y materiales:</w:t>
      </w:r>
      <w:r w:rsidRPr="00E675E8">
        <w:rPr>
          <w:color w:val="000000"/>
          <w:lang w:val="es-ES_tradnl"/>
        </w:rPr>
        <w:t xml:space="preserve"> papelería y material de oficina, libros de la biblioteca, suscripciones a revistas y publicaciones periódicas, uniformes y programas informáticos.</w:t>
      </w:r>
    </w:p>
    <w:p w14:paraId="1763DF30" w14:textId="77777777" w:rsidR="00B65EDC" w:rsidRPr="00E675E8" w:rsidRDefault="00B65EDC" w:rsidP="00B65EDC">
      <w:pPr>
        <w:rPr>
          <w:rFonts w:cs="Arial"/>
          <w:color w:val="000000"/>
          <w:lang w:val="es-ES_tradnl"/>
        </w:rPr>
      </w:pPr>
    </w:p>
    <w:p w14:paraId="559758CB" w14:textId="0625163A" w:rsidR="00050E16" w:rsidRPr="00E675E8" w:rsidRDefault="00B65EDC" w:rsidP="00BB7BA1">
      <w:pPr>
        <w:pStyle w:val="endofdoc"/>
        <w:rPr>
          <w:rFonts w:cs="Arial"/>
          <w:lang w:val="es-ES_tradnl"/>
        </w:rPr>
      </w:pPr>
      <w:r w:rsidRPr="00E675E8">
        <w:rPr>
          <w:lang w:val="es-ES_tradnl"/>
        </w:rPr>
        <w:t>[Fin del Apéndice III y del documento]</w:t>
      </w:r>
    </w:p>
    <w:sectPr w:rsidR="00050E16" w:rsidRPr="00E675E8" w:rsidSect="00B56FC0">
      <w:headerReference w:type="default" r:id="rId47"/>
      <w:pgSz w:w="11907" w:h="16840" w:code="9"/>
      <w:pgMar w:top="510" w:right="1134" w:bottom="1134" w:left="1134" w:header="51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C87A8" w14:textId="77777777" w:rsidR="007E7D90" w:rsidRDefault="007E7D90" w:rsidP="006655D3">
      <w:r>
        <w:separator/>
      </w:r>
    </w:p>
    <w:p w14:paraId="0CBD22A8" w14:textId="77777777" w:rsidR="007E7D90" w:rsidRDefault="007E7D90" w:rsidP="006655D3"/>
    <w:p w14:paraId="4EE74CB7" w14:textId="77777777" w:rsidR="007E7D90" w:rsidRDefault="007E7D90" w:rsidP="006655D3"/>
  </w:endnote>
  <w:endnote w:type="continuationSeparator" w:id="0">
    <w:p w14:paraId="5D67FA60" w14:textId="77777777" w:rsidR="007E7D90" w:rsidRDefault="007E7D90" w:rsidP="006655D3">
      <w:r>
        <w:separator/>
      </w:r>
    </w:p>
    <w:p w14:paraId="78FD1169" w14:textId="77777777" w:rsidR="007E7D90" w:rsidRPr="00294751" w:rsidRDefault="007E7D90">
      <w:pPr>
        <w:pStyle w:val="Footer"/>
        <w:spacing w:after="60"/>
        <w:rPr>
          <w:sz w:val="18"/>
          <w:lang w:val="fr-FR"/>
        </w:rPr>
      </w:pPr>
      <w:r w:rsidRPr="00294751">
        <w:rPr>
          <w:sz w:val="18"/>
          <w:lang w:val="fr-FR"/>
        </w:rPr>
        <w:t>[Suite de la note de la page précédente]</w:t>
      </w:r>
    </w:p>
    <w:p w14:paraId="1F91CF80" w14:textId="77777777" w:rsidR="007E7D90" w:rsidRPr="00294751" w:rsidRDefault="007E7D90" w:rsidP="006655D3">
      <w:pPr>
        <w:rPr>
          <w:lang w:val="fr-FR"/>
        </w:rPr>
      </w:pPr>
    </w:p>
    <w:p w14:paraId="37D219C6" w14:textId="77777777" w:rsidR="007E7D90" w:rsidRPr="00294751" w:rsidRDefault="007E7D90" w:rsidP="006655D3">
      <w:pPr>
        <w:rPr>
          <w:lang w:val="fr-FR"/>
        </w:rPr>
      </w:pPr>
    </w:p>
  </w:endnote>
  <w:endnote w:type="continuationNotice" w:id="1">
    <w:p w14:paraId="5D64102A" w14:textId="77777777" w:rsidR="007E7D90" w:rsidRPr="00294751" w:rsidRDefault="007E7D90" w:rsidP="006655D3">
      <w:pPr>
        <w:rPr>
          <w:lang w:val="fr-FR"/>
        </w:rPr>
      </w:pPr>
      <w:r w:rsidRPr="00294751">
        <w:rPr>
          <w:lang w:val="fr-FR"/>
        </w:rPr>
        <w:t>[Suite de la note page suivante]</w:t>
      </w:r>
    </w:p>
    <w:p w14:paraId="62CD0175" w14:textId="77777777" w:rsidR="007E7D90" w:rsidRPr="00294751" w:rsidRDefault="007E7D90" w:rsidP="006655D3">
      <w:pPr>
        <w:rPr>
          <w:lang w:val="fr-FR"/>
        </w:rPr>
      </w:pPr>
    </w:p>
    <w:p w14:paraId="6DBDDC6A" w14:textId="77777777" w:rsidR="007E7D90" w:rsidRPr="00294751" w:rsidRDefault="007E7D90"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6034" w14:textId="5AE22D13" w:rsidR="00B65EDC" w:rsidRDefault="00B65ED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CE55" w14:textId="32B99B07" w:rsidR="00B65EDC" w:rsidRDefault="00B65ED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453F" w14:textId="154C7F3A" w:rsidR="00B65EDC" w:rsidRDefault="00B65ED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A917" w14:textId="41452941" w:rsidR="00B65EDC" w:rsidRDefault="00B65ED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A27DB" w14:textId="6887EABC" w:rsidR="00B65EDC" w:rsidRDefault="00B65ED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5339" w14:textId="21E1BEC2" w:rsidR="00B65EDC" w:rsidRPr="00AB1801" w:rsidRDefault="00B65EDC" w:rsidP="00AB1801">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46BB" w14:textId="2BE76E87" w:rsidR="00B65EDC" w:rsidRPr="00621F63" w:rsidRDefault="00B65EDC" w:rsidP="00621F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8E81" w14:textId="5CEA90A1" w:rsidR="00B65EDC" w:rsidRPr="00AB1801" w:rsidRDefault="00B65EDC" w:rsidP="00AB18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CBDC" w14:textId="76F14DB0" w:rsidR="00B65EDC" w:rsidRPr="00AB1801" w:rsidRDefault="00B65EDC" w:rsidP="00AB18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634A6" w14:textId="47AD354A" w:rsidR="00B65EDC" w:rsidRDefault="00B65ED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B36E" w14:textId="0DA0D5FF" w:rsidR="00B65EDC" w:rsidRPr="00AB1801" w:rsidRDefault="00B65EDC" w:rsidP="00AB18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AA1D" w14:textId="423007EF" w:rsidR="00B65EDC" w:rsidRDefault="00B65ED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F0F3" w14:textId="6797B60D" w:rsidR="00B65EDC" w:rsidRDefault="00B65ED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8F78" w14:textId="7F89E15D" w:rsidR="00B65EDC" w:rsidRDefault="00B65ED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DFC0" w14:textId="157D35E9" w:rsidR="00B65EDC" w:rsidRDefault="00B65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D4292" w14:textId="77777777" w:rsidR="007E7D90" w:rsidRDefault="007E7D90" w:rsidP="006655D3">
      <w:r>
        <w:separator/>
      </w:r>
    </w:p>
  </w:footnote>
  <w:footnote w:type="continuationSeparator" w:id="0">
    <w:p w14:paraId="4A769240" w14:textId="77777777" w:rsidR="007E7D90" w:rsidRDefault="007E7D90" w:rsidP="006655D3">
      <w:r>
        <w:separator/>
      </w:r>
    </w:p>
  </w:footnote>
  <w:footnote w:type="continuationNotice" w:id="1">
    <w:p w14:paraId="38585694" w14:textId="77777777" w:rsidR="007E7D90" w:rsidRPr="00AB530F" w:rsidRDefault="007E7D90" w:rsidP="00AB530F">
      <w:pPr>
        <w:pStyle w:val="Footer"/>
      </w:pPr>
    </w:p>
  </w:footnote>
  <w:footnote w:id="2">
    <w:p w14:paraId="71BFFEEF" w14:textId="77777777" w:rsidR="00B65EDC" w:rsidRDefault="00B65EDC" w:rsidP="00B104C1">
      <w:pPr>
        <w:pStyle w:val="FootnoteText"/>
      </w:pPr>
      <w:r>
        <w:rPr>
          <w:rStyle w:val="FootnoteReference"/>
        </w:rPr>
        <w:footnoteRef/>
      </w:r>
      <w:r>
        <w:tab/>
        <w:t>Es posible que las cifras de los cuadros 1 a 7 no se correspondan con el total debido al redondeo de los importes.</w:t>
      </w:r>
    </w:p>
  </w:footnote>
  <w:footnote w:id="3">
    <w:p w14:paraId="6DA3F9A7" w14:textId="77777777" w:rsidR="00B65EDC" w:rsidRDefault="00B65EDC" w:rsidP="00B104C1">
      <w:pPr>
        <w:pStyle w:val="FootnoteText"/>
      </w:pPr>
      <w:r>
        <w:rPr>
          <w:rStyle w:val="FootnoteReference"/>
        </w:rPr>
        <w:footnoteRef/>
      </w:r>
      <w:r>
        <w:tab/>
        <w:t>En el artículo 6.1) del documento UPOV/INF/8, “Acuerdo entre la Organización Mundial de la Propiedad Intelectual y la Unión Internacional para la Protección de las Obtenciones Vegetales”, se estipula lo siguiente: “1) A los fines de este acuerdo, se entenderá por ‘el personal de la Oficina de la UPOV’ el secretario general adjunto de la UPOV y cualquier otra persona que trabaje exclusivamente para la UPOV, mientras que se entenderá por ‘la Oficina de la UPOV’, el secretario general de la UPOV y el personal de la Oficina de la UPOV”.</w:t>
      </w:r>
    </w:p>
  </w:footnote>
  <w:footnote w:id="4">
    <w:p w14:paraId="5168D235" w14:textId="2C8606C2" w:rsidR="00B104C1" w:rsidRDefault="00B104C1" w:rsidP="00B104C1">
      <w:pPr>
        <w:pStyle w:val="FootnoteText"/>
      </w:pPr>
      <w:r>
        <w:rPr>
          <w:rStyle w:val="FootnoteReference"/>
        </w:rPr>
        <w:footnoteRef/>
      </w:r>
      <w:r>
        <w:tab/>
        <w:t>La metodología del Programa Ejecutivo de la UPOV (27 participantes) se aplicó al taller regional de la ARIPO sobre la protección de las variedades vegetales para los Estados miembros de la ARIPO (48 participantes).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8680" w14:textId="11512BBB" w:rsidR="002817AB" w:rsidRDefault="002817AB" w:rsidP="002817AB">
    <w:pPr>
      <w:pStyle w:val="Header"/>
    </w:pPr>
    <w:r>
      <w:t>C/59/4</w:t>
    </w:r>
  </w:p>
  <w:p w14:paraId="4CA2C170" w14:textId="5EC0259B" w:rsidR="002817AB" w:rsidRDefault="002817AB" w:rsidP="002817AB">
    <w:pPr>
      <w:pStyle w:val="Header"/>
    </w:pPr>
    <w:r>
      <w:t xml:space="preserve">página </w:t>
    </w:r>
    <w:sdt>
      <w:sdtPr>
        <w:id w:val="-89727676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EAB7F74" w14:textId="77777777" w:rsidR="002817AB" w:rsidRPr="00766E51" w:rsidRDefault="002817AB" w:rsidP="005D2CBA">
    <w:pPr>
      <w:pStyle w:val="Header"/>
      <w:rPr>
        <w:lang w:val="en-U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8BCF" w14:textId="14B1EA0C" w:rsidR="00B65EDC" w:rsidRPr="00766E51" w:rsidRDefault="00B65EDC">
    <w:pPr>
      <w:pStyle w:val="Header"/>
      <w:rPr>
        <w:rStyle w:val="PageNumber"/>
      </w:rPr>
    </w:pPr>
    <w:r>
      <w:t>Anteproyecto de programa y presupuesto para el bienio 2026</w:t>
    </w:r>
    <w:r>
      <w:noBreakHyphen/>
      <w:t>2027</w:t>
    </w:r>
  </w:p>
  <w:p w14:paraId="2A2356D9" w14:textId="77777777" w:rsidR="00B65EDC" w:rsidRPr="00FE0119" w:rsidRDefault="00B65EDC">
    <w:pPr>
      <w:pStyle w:val="Header"/>
    </w:pPr>
    <w:r>
      <w:t xml:space="preserve">Anexo II, página </w:t>
    </w:r>
    <w:sdt>
      <w:sdtPr>
        <w:id w:val="1341588206"/>
        <w:docPartObj>
          <w:docPartGallery w:val="Page Numbers (Top of Page)"/>
          <w:docPartUnique/>
        </w:docPartObj>
      </w:sdtPr>
      <w:sdtEndPr>
        <w:rPr>
          <w:noProof/>
        </w:rPr>
      </w:sdtEndPr>
      <w:sdtContent>
        <w:r w:rsidRPr="00FE0119">
          <w:fldChar w:fldCharType="begin"/>
        </w:r>
        <w:r w:rsidRPr="00FE0119">
          <w:instrText xml:space="preserve"> PAGE   \* MERGEFORMAT </w:instrText>
        </w:r>
        <w:r w:rsidRPr="00FE0119">
          <w:fldChar w:fldCharType="separate"/>
        </w:r>
        <w:r>
          <w:t>39</w:t>
        </w:r>
        <w:r w:rsidRPr="00FE0119">
          <w:fldChar w:fldCharType="end"/>
        </w:r>
      </w:sdtContent>
    </w:sdt>
  </w:p>
  <w:p w14:paraId="28C783B9" w14:textId="77777777" w:rsidR="00B65EDC" w:rsidRPr="00FE0119" w:rsidRDefault="00B65ED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E15A" w14:textId="4963F662" w:rsidR="00B65EDC" w:rsidRPr="00766E51" w:rsidRDefault="00B65EDC">
    <w:pPr>
      <w:pStyle w:val="Header"/>
      <w:rPr>
        <w:rStyle w:val="PageNumber"/>
      </w:rPr>
    </w:pPr>
    <w:r>
      <w:t>Anteproyecto de programa y presupuesto para el bienio 2026</w:t>
    </w:r>
    <w:r>
      <w:noBreakHyphen/>
      <w:t>2027</w:t>
    </w:r>
  </w:p>
  <w:p w14:paraId="66D1FFE7" w14:textId="77777777" w:rsidR="00B65EDC" w:rsidRPr="002817AB" w:rsidRDefault="00B65ED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F5DE" w14:textId="77777777" w:rsidR="00B65EDC" w:rsidRPr="00766E51" w:rsidRDefault="00B65EDC">
    <w:pPr>
      <w:pStyle w:val="Header"/>
      <w:jc w:val="right"/>
      <w:rPr>
        <w:b/>
        <w:color w:val="26724C" w:themeColor="accent1" w:themeShade="BF"/>
      </w:rPr>
    </w:pPr>
    <w:r>
      <w:rPr>
        <w:b/>
        <w:color w:val="26724C" w:themeColor="accent1" w:themeShade="BF"/>
      </w:rPr>
      <w:t>UPOV</w:t>
    </w:r>
  </w:p>
  <w:p w14:paraId="4BA62D59" w14:textId="00FEC6AF" w:rsidR="00B65EDC" w:rsidRPr="00766E51" w:rsidRDefault="00B65EDC">
    <w:pPr>
      <w:pStyle w:val="Header"/>
      <w:jc w:val="right"/>
      <w:rPr>
        <w:color w:val="26724C" w:themeColor="accent1" w:themeShade="BF"/>
      </w:rPr>
    </w:pPr>
    <w:r>
      <w:rPr>
        <w:color w:val="26724C" w:themeColor="accent1" w:themeShade="BF"/>
      </w:rPr>
      <w:t>Anteproyecto de programa y presupuesto 2026</w:t>
    </w:r>
    <w:r>
      <w:rPr>
        <w:color w:val="26724C" w:themeColor="accent1" w:themeShade="BF"/>
      </w:rPr>
      <w:noBreakHyphen/>
      <w:t>2027</w:t>
    </w:r>
  </w:p>
  <w:p w14:paraId="41269828" w14:textId="77777777" w:rsidR="00B65EDC" w:rsidRPr="008B40C0" w:rsidRDefault="00B65EDC">
    <w:pPr>
      <w:pStyle w:val="Header"/>
      <w:pBdr>
        <w:bottom w:val="single" w:sz="4" w:space="1" w:color="auto"/>
      </w:pBdr>
      <w:jc w:val="right"/>
      <w:rPr>
        <w:color w:val="26724C" w:themeColor="accent1" w:themeShade="BF"/>
      </w:rPr>
    </w:pPr>
    <w:r>
      <w:rPr>
        <w:color w:val="26724C" w:themeColor="accent1" w:themeShade="BF"/>
      </w:rPr>
      <w:t>Apéndice II,</w:t>
    </w:r>
    <w:r>
      <w:t xml:space="preserve"> </w:t>
    </w:r>
    <w:r>
      <w:rPr>
        <w:color w:val="26724C" w:themeColor="accent1" w:themeShade="BF"/>
      </w:rPr>
      <w:t xml:space="preserve">página </w:t>
    </w:r>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color w:val="26724C" w:themeColor="accent1" w:themeShade="BF"/>
      </w:rPr>
      <w:t>38</w:t>
    </w:r>
    <w:r w:rsidRPr="008B40C0">
      <w:rPr>
        <w:color w:val="26724C" w:themeColor="accent1" w:themeShade="BF"/>
      </w:rPr>
      <w:fldChar w:fldCharType="end"/>
    </w:r>
  </w:p>
  <w:p w14:paraId="00A814CC" w14:textId="77777777" w:rsidR="00B65EDC" w:rsidRPr="00D4705E" w:rsidRDefault="00B65EDC">
    <w:pPr>
      <w:rPr>
        <w:lang w:val="fr-CH"/>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F203" w14:textId="77777777" w:rsidR="00B65EDC" w:rsidRPr="00766E51" w:rsidRDefault="00B65EDC">
    <w:pPr>
      <w:pStyle w:val="Header"/>
      <w:jc w:val="right"/>
      <w:rPr>
        <w:b/>
        <w:color w:val="26724C" w:themeColor="accent1" w:themeShade="BF"/>
      </w:rPr>
    </w:pPr>
    <w:r>
      <w:rPr>
        <w:b/>
        <w:color w:val="26724C" w:themeColor="accent1" w:themeShade="BF"/>
      </w:rPr>
      <w:t>UPOV</w:t>
    </w:r>
  </w:p>
  <w:p w14:paraId="5B234CE2" w14:textId="587040B7" w:rsidR="00B65EDC" w:rsidRPr="00766E51" w:rsidRDefault="00B65EDC">
    <w:pPr>
      <w:pStyle w:val="Header"/>
      <w:jc w:val="right"/>
      <w:rPr>
        <w:color w:val="26724C" w:themeColor="accent1" w:themeShade="BF"/>
      </w:rPr>
    </w:pPr>
    <w:r>
      <w:rPr>
        <w:color w:val="26724C" w:themeColor="accent1" w:themeShade="BF"/>
      </w:rPr>
      <w:t>Proyecto de programa y presupuesto 2026-2027</w:t>
    </w:r>
  </w:p>
  <w:p w14:paraId="7449543D" w14:textId="77777777" w:rsidR="00B65EDC" w:rsidRPr="008B40C0" w:rsidRDefault="00B65EDC">
    <w:pPr>
      <w:pStyle w:val="Header"/>
      <w:pBdr>
        <w:bottom w:val="single" w:sz="4" w:space="1" w:color="auto"/>
      </w:pBdr>
      <w:jc w:val="right"/>
      <w:rPr>
        <w:color w:val="26724C" w:themeColor="accent1" w:themeShade="BF"/>
      </w:rPr>
    </w:pPr>
    <w:r>
      <w:rPr>
        <w:color w:val="26724C" w:themeColor="accent1" w:themeShade="BF"/>
      </w:rPr>
      <w:t xml:space="preserve">Apéndice II, página </w:t>
    </w:r>
    <w:sdt>
      <w:sdtPr>
        <w:rPr>
          <w:color w:val="26724C" w:themeColor="accent1" w:themeShade="BF"/>
        </w:rPr>
        <w:id w:val="-1212725565"/>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color w:val="26724C" w:themeColor="accent1" w:themeShade="BF"/>
          </w:rPr>
          <w:t>26</w:t>
        </w:r>
        <w:r w:rsidRPr="008B40C0">
          <w:rPr>
            <w:color w:val="26724C" w:themeColor="accent1" w:themeShade="BF"/>
          </w:rPr>
          <w:fldChar w:fldCharType="end"/>
        </w:r>
      </w:sdtContent>
    </w:sdt>
  </w:p>
  <w:p w14:paraId="3C3195B5" w14:textId="77777777" w:rsidR="00B65EDC" w:rsidRPr="008B40C0" w:rsidRDefault="00B65EDC">
    <w:pPr>
      <w:pStyle w:val="Header"/>
      <w:jc w:val="right"/>
      <w:rPr>
        <w:color w:val="26724C" w:themeColor="accent1" w:themeShade="BF"/>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1292" w14:textId="77777777" w:rsidR="00B65EDC" w:rsidRPr="00766E51" w:rsidRDefault="00B65EDC">
    <w:pPr>
      <w:pStyle w:val="Header"/>
      <w:jc w:val="right"/>
      <w:rPr>
        <w:b/>
        <w:color w:val="26724C" w:themeColor="accent1" w:themeShade="BF"/>
      </w:rPr>
    </w:pPr>
    <w:r>
      <w:rPr>
        <w:b/>
        <w:color w:val="26724C" w:themeColor="accent1" w:themeShade="BF"/>
      </w:rPr>
      <w:t>UPOV</w:t>
    </w:r>
  </w:p>
  <w:p w14:paraId="27AE4EB2" w14:textId="04863230" w:rsidR="00B65EDC" w:rsidRPr="00766E51" w:rsidRDefault="00B65EDC">
    <w:pPr>
      <w:pStyle w:val="Header"/>
      <w:jc w:val="right"/>
      <w:rPr>
        <w:color w:val="26724C" w:themeColor="accent1" w:themeShade="BF"/>
      </w:rPr>
    </w:pPr>
    <w:r>
      <w:rPr>
        <w:color w:val="26724C" w:themeColor="accent1" w:themeShade="BF"/>
      </w:rPr>
      <w:t>Proyecto de programa y presupuesto 2026-2027</w:t>
    </w:r>
  </w:p>
  <w:p w14:paraId="650DCC77" w14:textId="77777777" w:rsidR="00B65EDC" w:rsidRPr="008B40C0" w:rsidRDefault="00B65EDC">
    <w:pPr>
      <w:pStyle w:val="Header"/>
      <w:pBdr>
        <w:bottom w:val="single" w:sz="4" w:space="1" w:color="auto"/>
      </w:pBdr>
      <w:jc w:val="right"/>
      <w:rPr>
        <w:color w:val="26724C" w:themeColor="accent1" w:themeShade="BF"/>
      </w:rPr>
    </w:pPr>
    <w:r>
      <w:rPr>
        <w:color w:val="26724C" w:themeColor="accent1" w:themeShade="BF"/>
      </w:rPr>
      <w:t xml:space="preserve">Apéndice II, página </w:t>
    </w:r>
    <w:sdt>
      <w:sdtPr>
        <w:rPr>
          <w:color w:val="26724C" w:themeColor="accent1" w:themeShade="BF"/>
        </w:rPr>
        <w:id w:val="-990558987"/>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color w:val="26724C" w:themeColor="accent1" w:themeShade="BF"/>
          </w:rPr>
          <w:t>37</w:t>
        </w:r>
        <w:r w:rsidRPr="008B40C0">
          <w:rPr>
            <w:color w:val="26724C" w:themeColor="accent1" w:themeShade="BF"/>
          </w:rPr>
          <w:fldChar w:fldCharType="end"/>
        </w:r>
      </w:sdtContent>
    </w:sdt>
  </w:p>
  <w:p w14:paraId="5D69EE36" w14:textId="77777777" w:rsidR="00B65EDC" w:rsidRPr="001522BD" w:rsidRDefault="00B65EDC">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866A" w14:textId="77777777" w:rsidR="00B56FC0" w:rsidRPr="00766E51" w:rsidRDefault="00B56FC0">
    <w:pPr>
      <w:pStyle w:val="Header"/>
      <w:jc w:val="right"/>
      <w:rPr>
        <w:b/>
        <w:color w:val="26724C" w:themeColor="accent1" w:themeShade="BF"/>
      </w:rPr>
    </w:pPr>
    <w:r>
      <w:rPr>
        <w:b/>
        <w:color w:val="26724C" w:themeColor="accent1" w:themeShade="BF"/>
      </w:rPr>
      <w:t>UPOV</w:t>
    </w:r>
  </w:p>
  <w:p w14:paraId="66DC7EBA" w14:textId="51894FB3" w:rsidR="00B56FC0" w:rsidRPr="00766E51" w:rsidRDefault="00B56FC0">
    <w:pPr>
      <w:pStyle w:val="Header"/>
      <w:jc w:val="right"/>
      <w:rPr>
        <w:color w:val="26724C" w:themeColor="accent1" w:themeShade="BF"/>
      </w:rPr>
    </w:pPr>
    <w:r>
      <w:rPr>
        <w:color w:val="26724C" w:themeColor="accent1" w:themeShade="BF"/>
      </w:rPr>
      <w:t>Proyecto de programa y presupuesto 2026-2027</w:t>
    </w:r>
  </w:p>
  <w:p w14:paraId="33F686D4" w14:textId="60010E7D" w:rsidR="00B56FC0" w:rsidRPr="008B40C0" w:rsidRDefault="00B56FC0">
    <w:pPr>
      <w:pStyle w:val="Header"/>
      <w:pBdr>
        <w:bottom w:val="single" w:sz="4" w:space="1" w:color="auto"/>
      </w:pBdr>
      <w:jc w:val="right"/>
      <w:rPr>
        <w:color w:val="26724C" w:themeColor="accent1" w:themeShade="BF"/>
      </w:rPr>
    </w:pPr>
    <w:r>
      <w:rPr>
        <w:color w:val="26724C" w:themeColor="accent1" w:themeShade="BF"/>
      </w:rPr>
      <w:t xml:space="preserve">Apéndice III, página </w:t>
    </w:r>
    <w:sdt>
      <w:sdtPr>
        <w:rPr>
          <w:color w:val="26724C" w:themeColor="accent1" w:themeShade="BF"/>
        </w:rPr>
        <w:id w:val="-1985531583"/>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color w:val="26724C" w:themeColor="accent1" w:themeShade="BF"/>
          </w:rPr>
          <w:t>26</w:t>
        </w:r>
        <w:r w:rsidRPr="008B40C0">
          <w:rPr>
            <w:color w:val="26724C" w:themeColor="accent1" w:themeShade="BF"/>
          </w:rPr>
          <w:fldChar w:fldCharType="end"/>
        </w:r>
      </w:sdtContent>
    </w:sdt>
  </w:p>
  <w:p w14:paraId="139F4404" w14:textId="77777777" w:rsidR="00B56FC0" w:rsidRPr="008B40C0" w:rsidRDefault="00B56FC0">
    <w:pPr>
      <w:pStyle w:val="Header"/>
      <w:jc w:val="right"/>
      <w:rPr>
        <w:color w:val="26724C" w:themeColor="accent1" w:themeShade="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06DC" w14:textId="77777777" w:rsidR="00B65EDC" w:rsidRPr="00766E51" w:rsidRDefault="00B65EDC">
    <w:pPr>
      <w:pStyle w:val="Header"/>
      <w:jc w:val="right"/>
      <w:rPr>
        <w:b/>
        <w:color w:val="26724C" w:themeColor="accent1" w:themeShade="BF"/>
      </w:rPr>
    </w:pPr>
    <w:r>
      <w:rPr>
        <w:b/>
        <w:color w:val="26724C" w:themeColor="accent1" w:themeShade="BF"/>
      </w:rPr>
      <w:t>UPOV</w:t>
    </w:r>
  </w:p>
  <w:p w14:paraId="4E57F92B" w14:textId="669276AE" w:rsidR="00B65EDC" w:rsidRPr="00766E51" w:rsidRDefault="00B65EDC">
    <w:pPr>
      <w:pStyle w:val="Header"/>
      <w:jc w:val="right"/>
      <w:rPr>
        <w:color w:val="26724C" w:themeColor="accent1" w:themeShade="BF"/>
      </w:rPr>
    </w:pPr>
    <w:r>
      <w:rPr>
        <w:color w:val="26724C" w:themeColor="accent1" w:themeShade="BF"/>
      </w:rPr>
      <w:t>Proyecto de programa y presupuesto 2026-2027 </w:t>
    </w:r>
  </w:p>
  <w:p w14:paraId="1FFEB8E5" w14:textId="77777777" w:rsidR="00B65EDC" w:rsidRPr="008B40C0" w:rsidRDefault="00B65EDC">
    <w:pPr>
      <w:pStyle w:val="Header"/>
      <w:pBdr>
        <w:bottom w:val="single" w:sz="4" w:space="1" w:color="auto"/>
      </w:pBdr>
      <w:jc w:val="right"/>
      <w:rPr>
        <w:color w:val="26724C" w:themeColor="accent1" w:themeShade="BF"/>
      </w:rPr>
    </w:pPr>
    <w:r>
      <w:rPr>
        <w:color w:val="26724C" w:themeColor="accent1" w:themeShade="BF"/>
      </w:rPr>
      <w:t xml:space="preserve">página </w:t>
    </w:r>
    <w:sdt>
      <w:sdtPr>
        <w:rPr>
          <w:color w:val="26724C" w:themeColor="accent1" w:themeShade="BF"/>
        </w:rPr>
        <w:id w:val="-621460889"/>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color w:val="26724C" w:themeColor="accent1" w:themeShade="BF"/>
          </w:rPr>
          <w:t>18</w:t>
        </w:r>
        <w:r w:rsidRPr="008B40C0">
          <w:rPr>
            <w:color w:val="26724C" w:themeColor="accent1" w:themeShade="BF"/>
          </w:rPr>
          <w:fldChar w:fldCharType="end"/>
        </w:r>
      </w:sdtContent>
    </w:sdt>
  </w:p>
  <w:p w14:paraId="0A07ED9B" w14:textId="77777777" w:rsidR="00B65EDC" w:rsidRPr="00FE0119" w:rsidRDefault="00B65E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AF123" w14:textId="77777777" w:rsidR="006856BC" w:rsidRPr="00766E51" w:rsidRDefault="006856BC" w:rsidP="006856BC">
    <w:pPr>
      <w:pStyle w:val="Header"/>
      <w:jc w:val="right"/>
      <w:rPr>
        <w:b/>
        <w:color w:val="26724C" w:themeColor="accent1" w:themeShade="BF"/>
      </w:rPr>
    </w:pPr>
    <w:r>
      <w:rPr>
        <w:b/>
        <w:color w:val="26724C" w:themeColor="accent1" w:themeShade="BF"/>
      </w:rPr>
      <w:t>UPOV</w:t>
    </w:r>
  </w:p>
  <w:p w14:paraId="0361AC4D" w14:textId="77777777" w:rsidR="006856BC" w:rsidRPr="00766E51" w:rsidRDefault="006856BC" w:rsidP="006856BC">
    <w:pPr>
      <w:pStyle w:val="Header"/>
      <w:jc w:val="right"/>
      <w:rPr>
        <w:color w:val="26724C" w:themeColor="accent1" w:themeShade="BF"/>
      </w:rPr>
    </w:pPr>
    <w:r>
      <w:rPr>
        <w:color w:val="26724C" w:themeColor="accent1" w:themeShade="BF"/>
      </w:rPr>
      <w:t>Proyecto de programa y presupuesto 2026-2027</w:t>
    </w:r>
  </w:p>
  <w:p w14:paraId="551BBEB1" w14:textId="77777777" w:rsidR="006856BC" w:rsidRPr="00766E51" w:rsidRDefault="006856BC" w:rsidP="006856BC">
    <w:pPr>
      <w:pStyle w:val="Header"/>
      <w:pBdr>
        <w:bottom w:val="single" w:sz="4" w:space="1" w:color="auto"/>
      </w:pBdr>
      <w:jc w:val="right"/>
      <w:rPr>
        <w:color w:val="26724C" w:themeColor="accent1" w:themeShade="BF"/>
      </w:rPr>
    </w:pPr>
    <w:r>
      <w:rPr>
        <w:color w:val="26724C" w:themeColor="accent1" w:themeShade="BF"/>
      </w:rPr>
      <w:t xml:space="preserve">página </w:t>
    </w:r>
    <w:sdt>
      <w:sdtPr>
        <w:rPr>
          <w:color w:val="26724C" w:themeColor="accent1" w:themeShade="BF"/>
        </w:rPr>
        <w:id w:val="1569839975"/>
        <w:docPartObj>
          <w:docPartGallery w:val="Page Numbers (Top of Page)"/>
          <w:docPartUnique/>
        </w:docPartObj>
      </w:sdtPr>
      <w:sdtEndPr>
        <w:rPr>
          <w:noProof/>
        </w:rPr>
      </w:sdtEndPr>
      <w:sdtContent>
        <w:r w:rsidRPr="008B40C0">
          <w:rPr>
            <w:color w:val="26724C" w:themeColor="accent1" w:themeShade="BF"/>
          </w:rPr>
          <w:fldChar w:fldCharType="begin"/>
        </w:r>
        <w:r w:rsidRPr="00766E51">
          <w:rPr>
            <w:color w:val="26724C" w:themeColor="accent1" w:themeShade="BF"/>
          </w:rPr>
          <w:instrText xml:space="preserve"> PAGE   \* MERGEFORMAT </w:instrText>
        </w:r>
        <w:r w:rsidRPr="008B40C0">
          <w:rPr>
            <w:color w:val="26724C" w:themeColor="accent1" w:themeShade="BF"/>
          </w:rPr>
          <w:fldChar w:fldCharType="separate"/>
        </w:r>
        <w:r>
          <w:rPr>
            <w:color w:val="26724C" w:themeColor="accent1" w:themeShade="BF"/>
          </w:rPr>
          <w:t>2</w:t>
        </w:r>
        <w:r w:rsidRPr="008B40C0">
          <w:rPr>
            <w:color w:val="26724C" w:themeColor="accent1" w:themeShade="BF"/>
          </w:rPr>
          <w:fldChar w:fldCharType="end"/>
        </w:r>
      </w:sdtContent>
    </w:sdt>
  </w:p>
  <w:p w14:paraId="246F7966" w14:textId="77777777" w:rsidR="006856BC" w:rsidRPr="00766E51" w:rsidRDefault="006856BC" w:rsidP="006856BC">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2204" w14:textId="017B4149" w:rsidR="005D2CBA" w:rsidRDefault="005D2CBA">
    <w:pPr>
      <w:pStyle w:val="Header"/>
    </w:pPr>
    <w:r>
      <w:t>C/59/4</w:t>
    </w:r>
  </w:p>
  <w:p w14:paraId="1D22E3C9" w14:textId="77777777" w:rsidR="005D2CBA" w:rsidRDefault="005D2CBA">
    <w:pPr>
      <w:pStyle w:val="Header"/>
    </w:pPr>
  </w:p>
  <w:p w14:paraId="56E33BA1" w14:textId="55681CE8" w:rsidR="005D2CBA" w:rsidRDefault="005D2CBA">
    <w:pPr>
      <w:pStyle w:val="Header"/>
    </w:pPr>
    <w:r>
      <w:t>ANEXO</w:t>
    </w:r>
  </w:p>
  <w:p w14:paraId="6015CC93" w14:textId="77777777" w:rsidR="005D2CBA" w:rsidRDefault="005D2CBA">
    <w:pPr>
      <w:pStyle w:val="Header"/>
    </w:pPr>
  </w:p>
  <w:p w14:paraId="61B2DBC1" w14:textId="77777777" w:rsidR="005D2CBA" w:rsidRDefault="005D2C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702E" w14:textId="774917AE" w:rsidR="00B65EDC" w:rsidRPr="00766E51" w:rsidRDefault="00B65EDC">
    <w:pPr>
      <w:pStyle w:val="Header"/>
      <w:rPr>
        <w:rStyle w:val="PageNumber"/>
      </w:rPr>
    </w:pPr>
    <w:r>
      <w:t>Proyecto de programa y presupuesto para el bienio 2026</w:t>
    </w:r>
    <w:r>
      <w:noBreakHyphen/>
      <w:t>2027</w:t>
    </w:r>
  </w:p>
  <w:p w14:paraId="7C12845A" w14:textId="77777777" w:rsidR="00B65EDC" w:rsidRPr="00FE0119" w:rsidRDefault="00B65EDC">
    <w:pPr>
      <w:pStyle w:val="Header"/>
    </w:pPr>
    <w:r>
      <w:t xml:space="preserve">Anexo II, página </w:t>
    </w:r>
    <w:sdt>
      <w:sdtPr>
        <w:id w:val="1872650395"/>
        <w:docPartObj>
          <w:docPartGallery w:val="Page Numbers (Top of Page)"/>
          <w:docPartUnique/>
        </w:docPartObj>
      </w:sdtPr>
      <w:sdtEndPr>
        <w:rPr>
          <w:noProof/>
        </w:rPr>
      </w:sdtEndPr>
      <w:sdtContent>
        <w:r w:rsidRPr="00FE0119">
          <w:fldChar w:fldCharType="begin"/>
        </w:r>
        <w:r w:rsidRPr="00FE0119">
          <w:instrText xml:space="preserve"> PAGE   \* MERGEFORMAT </w:instrText>
        </w:r>
        <w:r w:rsidRPr="00FE0119">
          <w:fldChar w:fldCharType="separate"/>
        </w:r>
        <w:r>
          <w:t>39</w:t>
        </w:r>
        <w:r w:rsidRPr="00FE0119">
          <w:fldChar w:fldCharType="end"/>
        </w:r>
      </w:sdtContent>
    </w:sdt>
  </w:p>
  <w:p w14:paraId="6D6C6342" w14:textId="77777777" w:rsidR="00B65EDC" w:rsidRPr="00FE0119" w:rsidRDefault="00B65ED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974F" w14:textId="77777777" w:rsidR="00B65EDC" w:rsidRPr="00766E51" w:rsidRDefault="00B65EDC">
    <w:pPr>
      <w:pStyle w:val="Header"/>
      <w:jc w:val="right"/>
      <w:rPr>
        <w:b/>
        <w:color w:val="26724C" w:themeColor="accent1" w:themeShade="BF"/>
      </w:rPr>
    </w:pPr>
    <w:r>
      <w:rPr>
        <w:b/>
        <w:color w:val="26724C" w:themeColor="accent1" w:themeShade="BF"/>
      </w:rPr>
      <w:t>UPOV</w:t>
    </w:r>
  </w:p>
  <w:p w14:paraId="1D196507" w14:textId="0AA73F78" w:rsidR="00B65EDC" w:rsidRPr="00766E51" w:rsidRDefault="00B65EDC">
    <w:pPr>
      <w:pStyle w:val="Header"/>
      <w:jc w:val="right"/>
      <w:rPr>
        <w:color w:val="26724C" w:themeColor="accent1" w:themeShade="BF"/>
      </w:rPr>
    </w:pPr>
    <w:r>
      <w:rPr>
        <w:color w:val="26724C" w:themeColor="accent1" w:themeShade="BF"/>
      </w:rPr>
      <w:t>Proyecto de programa y presupuesto 2026-2027</w:t>
    </w:r>
  </w:p>
  <w:p w14:paraId="72458147" w14:textId="77777777" w:rsidR="00B65EDC" w:rsidRPr="008B40C0" w:rsidRDefault="00B65EDC">
    <w:pPr>
      <w:pStyle w:val="Header"/>
      <w:pBdr>
        <w:bottom w:val="single" w:sz="4" w:space="1" w:color="auto"/>
      </w:pBdr>
      <w:jc w:val="right"/>
      <w:rPr>
        <w:color w:val="26724C" w:themeColor="accent1" w:themeShade="BF"/>
      </w:rPr>
    </w:pPr>
    <w:r>
      <w:rPr>
        <w:color w:val="26724C" w:themeColor="accent1" w:themeShade="BF"/>
      </w:rPr>
      <w:t xml:space="preserve">Apéndice I, página </w:t>
    </w:r>
    <w:sdt>
      <w:sdtPr>
        <w:rPr>
          <w:color w:val="26724C" w:themeColor="accent1" w:themeShade="BF"/>
        </w:rPr>
        <w:id w:val="1225410642"/>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color w:val="26724C" w:themeColor="accent1" w:themeShade="BF"/>
          </w:rPr>
          <w:t>24</w:t>
        </w:r>
        <w:r w:rsidRPr="008B40C0">
          <w:rPr>
            <w:color w:val="26724C" w:themeColor="accent1" w:themeShade="BF"/>
          </w:rPr>
          <w:fldChar w:fldCharType="end"/>
        </w:r>
      </w:sdtContent>
    </w:sdt>
  </w:p>
  <w:p w14:paraId="6F7D626C" w14:textId="77777777" w:rsidR="00B65EDC" w:rsidRPr="008B40C0" w:rsidRDefault="00B65EDC">
    <w:pPr>
      <w:pStyle w:val="Header"/>
      <w:jc w:val="right"/>
      <w:rPr>
        <w:color w:val="26724C" w:themeColor="accent1" w:themeShade="BF"/>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CD18F" w14:textId="77777777" w:rsidR="00B65EDC" w:rsidRPr="00766E51" w:rsidRDefault="00B65EDC">
    <w:pPr>
      <w:pStyle w:val="Header"/>
      <w:jc w:val="right"/>
      <w:rPr>
        <w:b/>
        <w:color w:val="26724C" w:themeColor="accent1" w:themeShade="BF"/>
      </w:rPr>
    </w:pPr>
    <w:r>
      <w:rPr>
        <w:b/>
        <w:color w:val="26724C" w:themeColor="accent1" w:themeShade="BF"/>
      </w:rPr>
      <w:t>UPOV</w:t>
    </w:r>
  </w:p>
  <w:p w14:paraId="4ED03FA7" w14:textId="59C93C4E" w:rsidR="00B65EDC" w:rsidRPr="00766E51" w:rsidRDefault="00B65EDC">
    <w:pPr>
      <w:pStyle w:val="Header"/>
      <w:jc w:val="right"/>
      <w:rPr>
        <w:color w:val="26724C" w:themeColor="accent1" w:themeShade="BF"/>
      </w:rPr>
    </w:pPr>
    <w:r>
      <w:rPr>
        <w:color w:val="26724C" w:themeColor="accent1" w:themeShade="BF"/>
      </w:rPr>
      <w:t>Anteproyecto de programa y presupuesto 2026</w:t>
    </w:r>
    <w:r>
      <w:rPr>
        <w:color w:val="26724C" w:themeColor="accent1" w:themeShade="BF"/>
      </w:rPr>
      <w:noBreakHyphen/>
      <w:t>2027</w:t>
    </w:r>
  </w:p>
  <w:p w14:paraId="2626C84E" w14:textId="77777777" w:rsidR="00B65EDC" w:rsidRPr="008B40C0" w:rsidRDefault="00B65EDC">
    <w:pPr>
      <w:pStyle w:val="Header"/>
      <w:pBdr>
        <w:bottom w:val="single" w:sz="4" w:space="1" w:color="auto"/>
      </w:pBdr>
      <w:jc w:val="right"/>
      <w:rPr>
        <w:color w:val="26724C" w:themeColor="accent1" w:themeShade="BF"/>
      </w:rPr>
    </w:pPr>
    <w:r>
      <w:rPr>
        <w:color w:val="26724C" w:themeColor="accent1" w:themeShade="BF"/>
      </w:rPr>
      <w:t xml:space="preserve">Apéndice I, página </w:t>
    </w:r>
    <w:sdt>
      <w:sdtPr>
        <w:rPr>
          <w:color w:val="26724C" w:themeColor="accent1" w:themeShade="BF"/>
        </w:rPr>
        <w:id w:val="1728342427"/>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color w:val="26724C" w:themeColor="accent1" w:themeShade="BF"/>
          </w:rPr>
          <w:t>38</w:t>
        </w:r>
        <w:r w:rsidRPr="008B40C0">
          <w:rPr>
            <w:color w:val="26724C" w:themeColor="accent1" w:themeShade="BF"/>
          </w:rPr>
          <w:fldChar w:fldCharType="end"/>
        </w:r>
      </w:sdtContent>
    </w:sdt>
  </w:p>
  <w:p w14:paraId="38DF1B9F" w14:textId="77777777" w:rsidR="00B65EDC" w:rsidRPr="008B40C0" w:rsidRDefault="00B65EDC">
    <w:pPr>
      <w:pStyle w:val="Header"/>
      <w:jc w:val="right"/>
      <w:rPr>
        <w:color w:val="26724C" w:themeColor="accent1" w:themeShade="BF"/>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2672" w14:textId="6FC7FFD9" w:rsidR="00B65EDC" w:rsidRPr="00766E51" w:rsidRDefault="00B65EDC">
    <w:pPr>
      <w:pStyle w:val="Header"/>
      <w:rPr>
        <w:rStyle w:val="PageNumber"/>
      </w:rPr>
    </w:pPr>
    <w:r>
      <w:t>Anteproyecto de programa y presupuesto para el bienio 2026</w:t>
    </w:r>
    <w:r>
      <w:noBreakHyphen/>
      <w:t>2027</w:t>
    </w:r>
  </w:p>
  <w:p w14:paraId="5432A9B2" w14:textId="77777777" w:rsidR="00B65EDC" w:rsidRPr="00FE0119" w:rsidRDefault="00B65EDC">
    <w:pPr>
      <w:pStyle w:val="Header"/>
    </w:pPr>
    <w:r>
      <w:t xml:space="preserve">Anexo II, página </w:t>
    </w:r>
    <w:sdt>
      <w:sdtPr>
        <w:id w:val="-1138723346"/>
        <w:docPartObj>
          <w:docPartGallery w:val="Page Numbers (Top of Page)"/>
          <w:docPartUnique/>
        </w:docPartObj>
      </w:sdtPr>
      <w:sdtEndPr>
        <w:rPr>
          <w:noProof/>
        </w:rPr>
      </w:sdtEndPr>
      <w:sdtContent>
        <w:r w:rsidRPr="00FE0119">
          <w:fldChar w:fldCharType="begin"/>
        </w:r>
        <w:r w:rsidRPr="00FE0119">
          <w:instrText xml:space="preserve"> PAGE   \* MERGEFORMAT </w:instrText>
        </w:r>
        <w:r w:rsidRPr="00FE0119">
          <w:fldChar w:fldCharType="separate"/>
        </w:r>
        <w:r>
          <w:t>39</w:t>
        </w:r>
        <w:r w:rsidRPr="00FE0119">
          <w:fldChar w:fldCharType="end"/>
        </w:r>
      </w:sdtContent>
    </w:sdt>
  </w:p>
  <w:p w14:paraId="36A4FA0A" w14:textId="77777777" w:rsidR="00B65EDC" w:rsidRPr="00FE0119" w:rsidRDefault="00B65ED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C602" w14:textId="668BEB04" w:rsidR="00B65EDC" w:rsidRPr="00766E51" w:rsidRDefault="00B65EDC">
    <w:pPr>
      <w:pStyle w:val="Header"/>
      <w:rPr>
        <w:rStyle w:val="PageNumber"/>
      </w:rPr>
    </w:pPr>
    <w:r>
      <w:t>Anteproyecto de programa y presupuesto para el bienio 2026</w:t>
    </w:r>
    <w:r>
      <w:noBreakHyphen/>
      <w:t>2027</w:t>
    </w:r>
  </w:p>
  <w:p w14:paraId="0C263071" w14:textId="77777777" w:rsidR="00B65EDC" w:rsidRPr="00FE0119" w:rsidRDefault="00B65EDC">
    <w:pPr>
      <w:pStyle w:val="Header"/>
    </w:pPr>
    <w:r>
      <w:t xml:space="preserve">Anexo II, página </w:t>
    </w:r>
    <w:sdt>
      <w:sdtPr>
        <w:id w:val="-2036489505"/>
        <w:docPartObj>
          <w:docPartGallery w:val="Page Numbers (Top of Page)"/>
          <w:docPartUnique/>
        </w:docPartObj>
      </w:sdtPr>
      <w:sdtEndPr>
        <w:rPr>
          <w:noProof/>
        </w:rPr>
      </w:sdtEndPr>
      <w:sdtContent>
        <w:r w:rsidRPr="00FE0119">
          <w:fldChar w:fldCharType="begin"/>
        </w:r>
        <w:r w:rsidRPr="00FE0119">
          <w:instrText xml:space="preserve"> PAGE   \* MERGEFORMAT </w:instrText>
        </w:r>
        <w:r w:rsidRPr="00FE0119">
          <w:fldChar w:fldCharType="separate"/>
        </w:r>
        <w:r>
          <w:t>39</w:t>
        </w:r>
        <w:r w:rsidRPr="00FE0119">
          <w:fldChar w:fldCharType="end"/>
        </w:r>
      </w:sdtContent>
    </w:sdt>
  </w:p>
  <w:p w14:paraId="301D2051" w14:textId="77777777" w:rsidR="00B65EDC" w:rsidRPr="00FE0119" w:rsidRDefault="00B65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7553"/>
    <w:multiLevelType w:val="hybridMultilevel"/>
    <w:tmpl w:val="B9DA960C"/>
    <w:lvl w:ilvl="0" w:tplc="CA6C1206">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DE338E"/>
    <w:multiLevelType w:val="multilevel"/>
    <w:tmpl w:val="88246DE0"/>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 w15:restartNumberingAfterBreak="0">
    <w:nsid w:val="41046977"/>
    <w:multiLevelType w:val="hybridMultilevel"/>
    <w:tmpl w:val="6D7A5DDE"/>
    <w:lvl w:ilvl="0" w:tplc="68B6AC48">
      <w:start w:val="1"/>
      <w:numFmt w:val="decimal"/>
      <w:pStyle w:val="annexipara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8700E3"/>
    <w:multiLevelType w:val="hybridMultilevel"/>
    <w:tmpl w:val="B054F36C"/>
    <w:lvl w:ilvl="0" w:tplc="EC701360">
      <w:start w:val="1"/>
      <w:numFmt w:val="lowerRoman"/>
      <w:lvlText w:val="(%1)"/>
      <w:lvlJc w:val="left"/>
      <w:pPr>
        <w:ind w:left="6670" w:hanging="720"/>
      </w:pPr>
      <w:rPr>
        <w:rFonts w:hint="default"/>
      </w:rPr>
    </w:lvl>
    <w:lvl w:ilvl="1" w:tplc="04090019" w:tentative="1">
      <w:start w:val="1"/>
      <w:numFmt w:val="lowerLetter"/>
      <w:lvlText w:val="%2."/>
      <w:lvlJc w:val="left"/>
      <w:pPr>
        <w:ind w:left="7030" w:hanging="360"/>
      </w:pPr>
    </w:lvl>
    <w:lvl w:ilvl="2" w:tplc="0409001B" w:tentative="1">
      <w:start w:val="1"/>
      <w:numFmt w:val="lowerRoman"/>
      <w:lvlText w:val="%3."/>
      <w:lvlJc w:val="right"/>
      <w:pPr>
        <w:ind w:left="7750" w:hanging="180"/>
      </w:pPr>
    </w:lvl>
    <w:lvl w:ilvl="3" w:tplc="0409000F" w:tentative="1">
      <w:start w:val="1"/>
      <w:numFmt w:val="decimal"/>
      <w:lvlText w:val="%4."/>
      <w:lvlJc w:val="left"/>
      <w:pPr>
        <w:ind w:left="8470" w:hanging="360"/>
      </w:pPr>
    </w:lvl>
    <w:lvl w:ilvl="4" w:tplc="04090019" w:tentative="1">
      <w:start w:val="1"/>
      <w:numFmt w:val="lowerLetter"/>
      <w:lvlText w:val="%5."/>
      <w:lvlJc w:val="left"/>
      <w:pPr>
        <w:ind w:left="9190" w:hanging="360"/>
      </w:pPr>
    </w:lvl>
    <w:lvl w:ilvl="5" w:tplc="0409001B" w:tentative="1">
      <w:start w:val="1"/>
      <w:numFmt w:val="lowerRoman"/>
      <w:lvlText w:val="%6."/>
      <w:lvlJc w:val="right"/>
      <w:pPr>
        <w:ind w:left="9910" w:hanging="180"/>
      </w:pPr>
    </w:lvl>
    <w:lvl w:ilvl="6" w:tplc="0409000F" w:tentative="1">
      <w:start w:val="1"/>
      <w:numFmt w:val="decimal"/>
      <w:lvlText w:val="%7."/>
      <w:lvlJc w:val="left"/>
      <w:pPr>
        <w:ind w:left="10630" w:hanging="360"/>
      </w:pPr>
    </w:lvl>
    <w:lvl w:ilvl="7" w:tplc="04090019" w:tentative="1">
      <w:start w:val="1"/>
      <w:numFmt w:val="lowerLetter"/>
      <w:lvlText w:val="%8."/>
      <w:lvlJc w:val="left"/>
      <w:pPr>
        <w:ind w:left="11350" w:hanging="360"/>
      </w:pPr>
    </w:lvl>
    <w:lvl w:ilvl="8" w:tplc="0409001B" w:tentative="1">
      <w:start w:val="1"/>
      <w:numFmt w:val="lowerRoman"/>
      <w:lvlText w:val="%9."/>
      <w:lvlJc w:val="right"/>
      <w:pPr>
        <w:ind w:left="12070" w:hanging="180"/>
      </w:pPr>
    </w:lvl>
  </w:abstractNum>
  <w:abstractNum w:abstractNumId="4" w15:restartNumberingAfterBreak="0">
    <w:nsid w:val="7A973D1C"/>
    <w:multiLevelType w:val="hybridMultilevel"/>
    <w:tmpl w:val="4CC805B8"/>
    <w:lvl w:ilvl="0" w:tplc="7FFECF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2794361">
    <w:abstractNumId w:val="2"/>
  </w:num>
  <w:num w:numId="2" w16cid:durableId="1078132920">
    <w:abstractNumId w:val="3"/>
  </w:num>
  <w:num w:numId="3" w16cid:durableId="1890417295">
    <w:abstractNumId w:val="1"/>
  </w:num>
  <w:num w:numId="4" w16cid:durableId="852766145">
    <w:abstractNumId w:val="4"/>
  </w:num>
  <w:num w:numId="5" w16cid:durableId="1323196453">
    <w:abstractNumId w:val="0"/>
  </w:num>
  <w:num w:numId="6" w16cid:durableId="1392851706">
    <w:abstractNumId w:val="0"/>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DC"/>
    <w:rsid w:val="000049AB"/>
    <w:rsid w:val="000049F6"/>
    <w:rsid w:val="0000503E"/>
    <w:rsid w:val="00005852"/>
    <w:rsid w:val="00010CF3"/>
    <w:rsid w:val="00011E27"/>
    <w:rsid w:val="000148BC"/>
    <w:rsid w:val="00014B08"/>
    <w:rsid w:val="00014EC4"/>
    <w:rsid w:val="00020C6E"/>
    <w:rsid w:val="00024AB8"/>
    <w:rsid w:val="00026B8A"/>
    <w:rsid w:val="00030854"/>
    <w:rsid w:val="00036028"/>
    <w:rsid w:val="000363C4"/>
    <w:rsid w:val="00040BDC"/>
    <w:rsid w:val="000411C9"/>
    <w:rsid w:val="00044642"/>
    <w:rsid w:val="000446B9"/>
    <w:rsid w:val="00046C63"/>
    <w:rsid w:val="000475D2"/>
    <w:rsid w:val="00047E21"/>
    <w:rsid w:val="00050E16"/>
    <w:rsid w:val="00067F90"/>
    <w:rsid w:val="00072276"/>
    <w:rsid w:val="00082A53"/>
    <w:rsid w:val="00083E01"/>
    <w:rsid w:val="00085505"/>
    <w:rsid w:val="0008705F"/>
    <w:rsid w:val="00090431"/>
    <w:rsid w:val="000A2039"/>
    <w:rsid w:val="000A4D10"/>
    <w:rsid w:val="000B6349"/>
    <w:rsid w:val="000C10D9"/>
    <w:rsid w:val="000C1242"/>
    <w:rsid w:val="000C4E25"/>
    <w:rsid w:val="000C7021"/>
    <w:rsid w:val="000C7161"/>
    <w:rsid w:val="000D3AC4"/>
    <w:rsid w:val="000D5653"/>
    <w:rsid w:val="000D6BBC"/>
    <w:rsid w:val="000D7780"/>
    <w:rsid w:val="000E636A"/>
    <w:rsid w:val="000F2F11"/>
    <w:rsid w:val="000F48CF"/>
    <w:rsid w:val="000F738A"/>
    <w:rsid w:val="00105929"/>
    <w:rsid w:val="00110C36"/>
    <w:rsid w:val="001131D5"/>
    <w:rsid w:val="001149F6"/>
    <w:rsid w:val="0012672E"/>
    <w:rsid w:val="00126748"/>
    <w:rsid w:val="00137F11"/>
    <w:rsid w:val="00141CFE"/>
    <w:rsid w:val="00141DB8"/>
    <w:rsid w:val="00162FB4"/>
    <w:rsid w:val="0016697F"/>
    <w:rsid w:val="00172084"/>
    <w:rsid w:val="0017474A"/>
    <w:rsid w:val="001758C6"/>
    <w:rsid w:val="00176543"/>
    <w:rsid w:val="00182B99"/>
    <w:rsid w:val="00192B9F"/>
    <w:rsid w:val="00195D29"/>
    <w:rsid w:val="001A6970"/>
    <w:rsid w:val="001B0B64"/>
    <w:rsid w:val="001B2129"/>
    <w:rsid w:val="001B2385"/>
    <w:rsid w:val="001C1525"/>
    <w:rsid w:val="001C1CDA"/>
    <w:rsid w:val="001D1FB2"/>
    <w:rsid w:val="001D2573"/>
    <w:rsid w:val="001E1BC8"/>
    <w:rsid w:val="0020304B"/>
    <w:rsid w:val="002131F4"/>
    <w:rsid w:val="0021332C"/>
    <w:rsid w:val="00213982"/>
    <w:rsid w:val="002147A0"/>
    <w:rsid w:val="00214C72"/>
    <w:rsid w:val="00216C5D"/>
    <w:rsid w:val="002322DF"/>
    <w:rsid w:val="00233D7A"/>
    <w:rsid w:val="00235400"/>
    <w:rsid w:val="002379B6"/>
    <w:rsid w:val="002416F8"/>
    <w:rsid w:val="0024416D"/>
    <w:rsid w:val="00250B4A"/>
    <w:rsid w:val="00252926"/>
    <w:rsid w:val="00256BFA"/>
    <w:rsid w:val="00260298"/>
    <w:rsid w:val="00263ED5"/>
    <w:rsid w:val="00271911"/>
    <w:rsid w:val="00276234"/>
    <w:rsid w:val="002800A0"/>
    <w:rsid w:val="002801B3"/>
    <w:rsid w:val="00281060"/>
    <w:rsid w:val="002817AB"/>
    <w:rsid w:val="00284C14"/>
    <w:rsid w:val="002940E8"/>
    <w:rsid w:val="00294751"/>
    <w:rsid w:val="00295E57"/>
    <w:rsid w:val="002A6E50"/>
    <w:rsid w:val="002B4298"/>
    <w:rsid w:val="002B4437"/>
    <w:rsid w:val="002C256A"/>
    <w:rsid w:val="002C4576"/>
    <w:rsid w:val="002E0EFA"/>
    <w:rsid w:val="002E478E"/>
    <w:rsid w:val="002F3A2B"/>
    <w:rsid w:val="002F76CE"/>
    <w:rsid w:val="00305A7F"/>
    <w:rsid w:val="0031440C"/>
    <w:rsid w:val="003152FE"/>
    <w:rsid w:val="003230AC"/>
    <w:rsid w:val="00327436"/>
    <w:rsid w:val="003414A6"/>
    <w:rsid w:val="00344BD6"/>
    <w:rsid w:val="0035528D"/>
    <w:rsid w:val="003556FC"/>
    <w:rsid w:val="00361821"/>
    <w:rsid w:val="00361E9E"/>
    <w:rsid w:val="00367596"/>
    <w:rsid w:val="00372F77"/>
    <w:rsid w:val="00374097"/>
    <w:rsid w:val="00382179"/>
    <w:rsid w:val="00383CE0"/>
    <w:rsid w:val="003863B8"/>
    <w:rsid w:val="003900D5"/>
    <w:rsid w:val="0039478A"/>
    <w:rsid w:val="0039633A"/>
    <w:rsid w:val="003A212A"/>
    <w:rsid w:val="003A26C8"/>
    <w:rsid w:val="003B40D0"/>
    <w:rsid w:val="003C0635"/>
    <w:rsid w:val="003C7FBE"/>
    <w:rsid w:val="003D227C"/>
    <w:rsid w:val="003D2A75"/>
    <w:rsid w:val="003D2B4D"/>
    <w:rsid w:val="003F0FA5"/>
    <w:rsid w:val="003F1324"/>
    <w:rsid w:val="003F1457"/>
    <w:rsid w:val="003F289C"/>
    <w:rsid w:val="003F5F2B"/>
    <w:rsid w:val="003F68BB"/>
    <w:rsid w:val="004028FE"/>
    <w:rsid w:val="00424B9F"/>
    <w:rsid w:val="00430E73"/>
    <w:rsid w:val="00433C83"/>
    <w:rsid w:val="004354C9"/>
    <w:rsid w:val="00435740"/>
    <w:rsid w:val="00437CC2"/>
    <w:rsid w:val="00437FC8"/>
    <w:rsid w:val="00443835"/>
    <w:rsid w:val="0044405F"/>
    <w:rsid w:val="004448C7"/>
    <w:rsid w:val="00444A88"/>
    <w:rsid w:val="0044554D"/>
    <w:rsid w:val="004526C8"/>
    <w:rsid w:val="00453DBD"/>
    <w:rsid w:val="00454F55"/>
    <w:rsid w:val="004647ED"/>
    <w:rsid w:val="00465049"/>
    <w:rsid w:val="004711B2"/>
    <w:rsid w:val="00474DA4"/>
    <w:rsid w:val="00476ACD"/>
    <w:rsid w:val="00476B4D"/>
    <w:rsid w:val="004805FA"/>
    <w:rsid w:val="00483279"/>
    <w:rsid w:val="004935D2"/>
    <w:rsid w:val="004B1215"/>
    <w:rsid w:val="004B4DFC"/>
    <w:rsid w:val="004B5DA7"/>
    <w:rsid w:val="004C0C4B"/>
    <w:rsid w:val="004C500F"/>
    <w:rsid w:val="004D047D"/>
    <w:rsid w:val="004D1507"/>
    <w:rsid w:val="004D7F64"/>
    <w:rsid w:val="004E006E"/>
    <w:rsid w:val="004E11A5"/>
    <w:rsid w:val="004F1E9E"/>
    <w:rsid w:val="004F2FA5"/>
    <w:rsid w:val="004F305A"/>
    <w:rsid w:val="004F5EE8"/>
    <w:rsid w:val="00500058"/>
    <w:rsid w:val="00503001"/>
    <w:rsid w:val="005053FF"/>
    <w:rsid w:val="0050707B"/>
    <w:rsid w:val="0051059A"/>
    <w:rsid w:val="00512164"/>
    <w:rsid w:val="0051361E"/>
    <w:rsid w:val="005170D3"/>
    <w:rsid w:val="00520297"/>
    <w:rsid w:val="00521A13"/>
    <w:rsid w:val="00521C0D"/>
    <w:rsid w:val="0052247A"/>
    <w:rsid w:val="005268B8"/>
    <w:rsid w:val="005338F9"/>
    <w:rsid w:val="005405E0"/>
    <w:rsid w:val="0054281C"/>
    <w:rsid w:val="00543870"/>
    <w:rsid w:val="00544581"/>
    <w:rsid w:val="00547FCF"/>
    <w:rsid w:val="0055268D"/>
    <w:rsid w:val="00554AE6"/>
    <w:rsid w:val="00563E58"/>
    <w:rsid w:val="00575E00"/>
    <w:rsid w:val="00576BE4"/>
    <w:rsid w:val="005912E2"/>
    <w:rsid w:val="005972FA"/>
    <w:rsid w:val="005A400A"/>
    <w:rsid w:val="005B0358"/>
    <w:rsid w:val="005B7A61"/>
    <w:rsid w:val="005D291B"/>
    <w:rsid w:val="005D2CBA"/>
    <w:rsid w:val="005F7B92"/>
    <w:rsid w:val="00611EFD"/>
    <w:rsid w:val="00612379"/>
    <w:rsid w:val="006153B6"/>
    <w:rsid w:val="0061555F"/>
    <w:rsid w:val="00620794"/>
    <w:rsid w:val="0062107E"/>
    <w:rsid w:val="00621AD9"/>
    <w:rsid w:val="00621F63"/>
    <w:rsid w:val="00622454"/>
    <w:rsid w:val="00632CA9"/>
    <w:rsid w:val="00636CA6"/>
    <w:rsid w:val="00641200"/>
    <w:rsid w:val="00642845"/>
    <w:rsid w:val="00645CA8"/>
    <w:rsid w:val="006507E8"/>
    <w:rsid w:val="00652B1A"/>
    <w:rsid w:val="006537FE"/>
    <w:rsid w:val="006655D3"/>
    <w:rsid w:val="00667404"/>
    <w:rsid w:val="0067424F"/>
    <w:rsid w:val="0067770A"/>
    <w:rsid w:val="006814F8"/>
    <w:rsid w:val="00681B2E"/>
    <w:rsid w:val="0068396D"/>
    <w:rsid w:val="006856BC"/>
    <w:rsid w:val="00687EB4"/>
    <w:rsid w:val="00695C56"/>
    <w:rsid w:val="006A036F"/>
    <w:rsid w:val="006A5CDE"/>
    <w:rsid w:val="006A644A"/>
    <w:rsid w:val="006B17D2"/>
    <w:rsid w:val="006C135F"/>
    <w:rsid w:val="006C224E"/>
    <w:rsid w:val="006C5BB5"/>
    <w:rsid w:val="006D780A"/>
    <w:rsid w:val="006D7C20"/>
    <w:rsid w:val="006E351B"/>
    <w:rsid w:val="006E5C48"/>
    <w:rsid w:val="0070657B"/>
    <w:rsid w:val="0071271E"/>
    <w:rsid w:val="00712998"/>
    <w:rsid w:val="007151CF"/>
    <w:rsid w:val="00715D97"/>
    <w:rsid w:val="0073158F"/>
    <w:rsid w:val="00732DEC"/>
    <w:rsid w:val="00735BD5"/>
    <w:rsid w:val="007451EC"/>
    <w:rsid w:val="00747E51"/>
    <w:rsid w:val="007500BD"/>
    <w:rsid w:val="00751613"/>
    <w:rsid w:val="0075217D"/>
    <w:rsid w:val="007556F6"/>
    <w:rsid w:val="00756D3A"/>
    <w:rsid w:val="00760A29"/>
    <w:rsid w:val="00760EEF"/>
    <w:rsid w:val="00763682"/>
    <w:rsid w:val="00766E51"/>
    <w:rsid w:val="00777EE5"/>
    <w:rsid w:val="00782255"/>
    <w:rsid w:val="00784836"/>
    <w:rsid w:val="0079023E"/>
    <w:rsid w:val="00797F25"/>
    <w:rsid w:val="007A2854"/>
    <w:rsid w:val="007B740F"/>
    <w:rsid w:val="007B7E62"/>
    <w:rsid w:val="007C1D92"/>
    <w:rsid w:val="007C3C19"/>
    <w:rsid w:val="007C4CB9"/>
    <w:rsid w:val="007D0B9D"/>
    <w:rsid w:val="007D19B0"/>
    <w:rsid w:val="007D4635"/>
    <w:rsid w:val="007E7D90"/>
    <w:rsid w:val="007F06A2"/>
    <w:rsid w:val="007F498F"/>
    <w:rsid w:val="0080679D"/>
    <w:rsid w:val="0081005D"/>
    <w:rsid w:val="008108B0"/>
    <w:rsid w:val="00811B20"/>
    <w:rsid w:val="00815593"/>
    <w:rsid w:val="008211B5"/>
    <w:rsid w:val="0082296E"/>
    <w:rsid w:val="00824099"/>
    <w:rsid w:val="0083359E"/>
    <w:rsid w:val="00846C81"/>
    <w:rsid w:val="00846D7C"/>
    <w:rsid w:val="008548B5"/>
    <w:rsid w:val="008601ED"/>
    <w:rsid w:val="00867AC1"/>
    <w:rsid w:val="00876E55"/>
    <w:rsid w:val="00880868"/>
    <w:rsid w:val="0088452A"/>
    <w:rsid w:val="00884CFD"/>
    <w:rsid w:val="00890DF8"/>
    <w:rsid w:val="008A2BA2"/>
    <w:rsid w:val="008A5BF9"/>
    <w:rsid w:val="008A743F"/>
    <w:rsid w:val="008C0970"/>
    <w:rsid w:val="008C63D3"/>
    <w:rsid w:val="008D0BC5"/>
    <w:rsid w:val="008D2CF7"/>
    <w:rsid w:val="008D623E"/>
    <w:rsid w:val="008D762C"/>
    <w:rsid w:val="008E18F1"/>
    <w:rsid w:val="008F3A5C"/>
    <w:rsid w:val="00900C26"/>
    <w:rsid w:val="0090197F"/>
    <w:rsid w:val="00903264"/>
    <w:rsid w:val="00906DDC"/>
    <w:rsid w:val="00912A85"/>
    <w:rsid w:val="00927740"/>
    <w:rsid w:val="00930CB8"/>
    <w:rsid w:val="00933747"/>
    <w:rsid w:val="00934E09"/>
    <w:rsid w:val="00936253"/>
    <w:rsid w:val="00940D46"/>
    <w:rsid w:val="009412DD"/>
    <w:rsid w:val="00946F92"/>
    <w:rsid w:val="00950A9F"/>
    <w:rsid w:val="00952DD4"/>
    <w:rsid w:val="00953B60"/>
    <w:rsid w:val="009609D8"/>
    <w:rsid w:val="00965AE7"/>
    <w:rsid w:val="00970FED"/>
    <w:rsid w:val="00973B77"/>
    <w:rsid w:val="00980A67"/>
    <w:rsid w:val="00980FB5"/>
    <w:rsid w:val="009863D1"/>
    <w:rsid w:val="00987CB1"/>
    <w:rsid w:val="00992D82"/>
    <w:rsid w:val="00997029"/>
    <w:rsid w:val="009A0A72"/>
    <w:rsid w:val="009A1137"/>
    <w:rsid w:val="009A1402"/>
    <w:rsid w:val="009A7339"/>
    <w:rsid w:val="009A7747"/>
    <w:rsid w:val="009B2740"/>
    <w:rsid w:val="009B440E"/>
    <w:rsid w:val="009B56AE"/>
    <w:rsid w:val="009B69EB"/>
    <w:rsid w:val="009C40AA"/>
    <w:rsid w:val="009D690D"/>
    <w:rsid w:val="009E0FB9"/>
    <w:rsid w:val="009E1454"/>
    <w:rsid w:val="009E65B6"/>
    <w:rsid w:val="009E6C95"/>
    <w:rsid w:val="009F348C"/>
    <w:rsid w:val="009F77CF"/>
    <w:rsid w:val="00A0374E"/>
    <w:rsid w:val="00A053C1"/>
    <w:rsid w:val="00A227B8"/>
    <w:rsid w:val="00A232F6"/>
    <w:rsid w:val="00A24C10"/>
    <w:rsid w:val="00A3365A"/>
    <w:rsid w:val="00A37635"/>
    <w:rsid w:val="00A41AE7"/>
    <w:rsid w:val="00A42AC3"/>
    <w:rsid w:val="00A430CF"/>
    <w:rsid w:val="00A4696B"/>
    <w:rsid w:val="00A5343A"/>
    <w:rsid w:val="00A538F6"/>
    <w:rsid w:val="00A54309"/>
    <w:rsid w:val="00A566EE"/>
    <w:rsid w:val="00A57ECB"/>
    <w:rsid w:val="00A708B4"/>
    <w:rsid w:val="00A7468D"/>
    <w:rsid w:val="00A90CE6"/>
    <w:rsid w:val="00A92440"/>
    <w:rsid w:val="00A92701"/>
    <w:rsid w:val="00AA207C"/>
    <w:rsid w:val="00AB1801"/>
    <w:rsid w:val="00AB2B93"/>
    <w:rsid w:val="00AB530F"/>
    <w:rsid w:val="00AB7E5B"/>
    <w:rsid w:val="00AC2883"/>
    <w:rsid w:val="00AD6963"/>
    <w:rsid w:val="00AE0EF1"/>
    <w:rsid w:val="00AE1A27"/>
    <w:rsid w:val="00AE2937"/>
    <w:rsid w:val="00AE29CD"/>
    <w:rsid w:val="00B07301"/>
    <w:rsid w:val="00B104C1"/>
    <w:rsid w:val="00B11F3E"/>
    <w:rsid w:val="00B13FD5"/>
    <w:rsid w:val="00B15CDA"/>
    <w:rsid w:val="00B224DE"/>
    <w:rsid w:val="00B306C1"/>
    <w:rsid w:val="00B324D4"/>
    <w:rsid w:val="00B3738C"/>
    <w:rsid w:val="00B37AAA"/>
    <w:rsid w:val="00B37F80"/>
    <w:rsid w:val="00B46575"/>
    <w:rsid w:val="00B532C1"/>
    <w:rsid w:val="00B56FC0"/>
    <w:rsid w:val="00B61777"/>
    <w:rsid w:val="00B61E62"/>
    <w:rsid w:val="00B64123"/>
    <w:rsid w:val="00B65EDC"/>
    <w:rsid w:val="00B67831"/>
    <w:rsid w:val="00B7281F"/>
    <w:rsid w:val="00B84BBD"/>
    <w:rsid w:val="00B96C7F"/>
    <w:rsid w:val="00B97877"/>
    <w:rsid w:val="00BA43FB"/>
    <w:rsid w:val="00BA4485"/>
    <w:rsid w:val="00BA5B46"/>
    <w:rsid w:val="00BB7BA1"/>
    <w:rsid w:val="00BC127D"/>
    <w:rsid w:val="00BC1FE6"/>
    <w:rsid w:val="00BD28FC"/>
    <w:rsid w:val="00BE4C07"/>
    <w:rsid w:val="00BE6E28"/>
    <w:rsid w:val="00C0177A"/>
    <w:rsid w:val="00C01C3B"/>
    <w:rsid w:val="00C02C41"/>
    <w:rsid w:val="00C0361E"/>
    <w:rsid w:val="00C06120"/>
    <w:rsid w:val="00C061B6"/>
    <w:rsid w:val="00C1074F"/>
    <w:rsid w:val="00C1254C"/>
    <w:rsid w:val="00C2190F"/>
    <w:rsid w:val="00C21BA4"/>
    <w:rsid w:val="00C23910"/>
    <w:rsid w:val="00C2446C"/>
    <w:rsid w:val="00C32E27"/>
    <w:rsid w:val="00C33293"/>
    <w:rsid w:val="00C36AE5"/>
    <w:rsid w:val="00C41F17"/>
    <w:rsid w:val="00C50DFD"/>
    <w:rsid w:val="00C527A1"/>
    <w:rsid w:val="00C527FA"/>
    <w:rsid w:val="00C5280D"/>
    <w:rsid w:val="00C53EB3"/>
    <w:rsid w:val="00C5791C"/>
    <w:rsid w:val="00C66290"/>
    <w:rsid w:val="00C70C3F"/>
    <w:rsid w:val="00C70DFF"/>
    <w:rsid w:val="00C72B7A"/>
    <w:rsid w:val="00C74C05"/>
    <w:rsid w:val="00C75029"/>
    <w:rsid w:val="00C75A58"/>
    <w:rsid w:val="00C81848"/>
    <w:rsid w:val="00C829F1"/>
    <w:rsid w:val="00C8561D"/>
    <w:rsid w:val="00C87D7E"/>
    <w:rsid w:val="00C91489"/>
    <w:rsid w:val="00C92046"/>
    <w:rsid w:val="00C973F2"/>
    <w:rsid w:val="00CA03BB"/>
    <w:rsid w:val="00CA2147"/>
    <w:rsid w:val="00CA304C"/>
    <w:rsid w:val="00CA5539"/>
    <w:rsid w:val="00CA774A"/>
    <w:rsid w:val="00CA7BA1"/>
    <w:rsid w:val="00CB003B"/>
    <w:rsid w:val="00CB748D"/>
    <w:rsid w:val="00CC11B0"/>
    <w:rsid w:val="00CC2841"/>
    <w:rsid w:val="00CC338F"/>
    <w:rsid w:val="00CE0FD5"/>
    <w:rsid w:val="00CF1330"/>
    <w:rsid w:val="00CF1A3C"/>
    <w:rsid w:val="00CF3D8B"/>
    <w:rsid w:val="00CF7E36"/>
    <w:rsid w:val="00D00D09"/>
    <w:rsid w:val="00D00D83"/>
    <w:rsid w:val="00D03722"/>
    <w:rsid w:val="00D03886"/>
    <w:rsid w:val="00D046C5"/>
    <w:rsid w:val="00D14C5A"/>
    <w:rsid w:val="00D36E1C"/>
    <w:rsid w:val="00D3708D"/>
    <w:rsid w:val="00D40426"/>
    <w:rsid w:val="00D427C3"/>
    <w:rsid w:val="00D42F46"/>
    <w:rsid w:val="00D454B1"/>
    <w:rsid w:val="00D506CF"/>
    <w:rsid w:val="00D560A7"/>
    <w:rsid w:val="00D5669D"/>
    <w:rsid w:val="00D57C96"/>
    <w:rsid w:val="00D57D18"/>
    <w:rsid w:val="00D76A6E"/>
    <w:rsid w:val="00D81587"/>
    <w:rsid w:val="00D91203"/>
    <w:rsid w:val="00D95174"/>
    <w:rsid w:val="00D95537"/>
    <w:rsid w:val="00D9763C"/>
    <w:rsid w:val="00DA049F"/>
    <w:rsid w:val="00DA2169"/>
    <w:rsid w:val="00DA4973"/>
    <w:rsid w:val="00DA690A"/>
    <w:rsid w:val="00DA6F36"/>
    <w:rsid w:val="00DA7794"/>
    <w:rsid w:val="00DB323D"/>
    <w:rsid w:val="00DB596E"/>
    <w:rsid w:val="00DB5D67"/>
    <w:rsid w:val="00DB7773"/>
    <w:rsid w:val="00DC00EA"/>
    <w:rsid w:val="00DC17F8"/>
    <w:rsid w:val="00DC3802"/>
    <w:rsid w:val="00DE1371"/>
    <w:rsid w:val="00DE40FD"/>
    <w:rsid w:val="00DE55B0"/>
    <w:rsid w:val="00DF6507"/>
    <w:rsid w:val="00DF692D"/>
    <w:rsid w:val="00E07D87"/>
    <w:rsid w:val="00E12ED3"/>
    <w:rsid w:val="00E25172"/>
    <w:rsid w:val="00E308CC"/>
    <w:rsid w:val="00E3132D"/>
    <w:rsid w:val="00E32F7E"/>
    <w:rsid w:val="00E364BF"/>
    <w:rsid w:val="00E37B2D"/>
    <w:rsid w:val="00E410C6"/>
    <w:rsid w:val="00E447F7"/>
    <w:rsid w:val="00E5267B"/>
    <w:rsid w:val="00E55365"/>
    <w:rsid w:val="00E623A5"/>
    <w:rsid w:val="00E63C0E"/>
    <w:rsid w:val="00E672CE"/>
    <w:rsid w:val="00E675E8"/>
    <w:rsid w:val="00E709FD"/>
    <w:rsid w:val="00E72D49"/>
    <w:rsid w:val="00E7593C"/>
    <w:rsid w:val="00E7678A"/>
    <w:rsid w:val="00E935F1"/>
    <w:rsid w:val="00E948F9"/>
    <w:rsid w:val="00E94A81"/>
    <w:rsid w:val="00EA1FFB"/>
    <w:rsid w:val="00EA28EE"/>
    <w:rsid w:val="00EB048E"/>
    <w:rsid w:val="00EB37D1"/>
    <w:rsid w:val="00EB4E9C"/>
    <w:rsid w:val="00EB7ED3"/>
    <w:rsid w:val="00ED7F3E"/>
    <w:rsid w:val="00EE0265"/>
    <w:rsid w:val="00EE34DF"/>
    <w:rsid w:val="00EE4E91"/>
    <w:rsid w:val="00EF196C"/>
    <w:rsid w:val="00EF2F89"/>
    <w:rsid w:val="00F03E98"/>
    <w:rsid w:val="00F05868"/>
    <w:rsid w:val="00F1237A"/>
    <w:rsid w:val="00F13B88"/>
    <w:rsid w:val="00F22CBD"/>
    <w:rsid w:val="00F272F1"/>
    <w:rsid w:val="00F34B17"/>
    <w:rsid w:val="00F40D70"/>
    <w:rsid w:val="00F44DCF"/>
    <w:rsid w:val="00F45372"/>
    <w:rsid w:val="00F52739"/>
    <w:rsid w:val="00F560F7"/>
    <w:rsid w:val="00F60BE6"/>
    <w:rsid w:val="00F63291"/>
    <w:rsid w:val="00F6334D"/>
    <w:rsid w:val="00F63599"/>
    <w:rsid w:val="00F713A0"/>
    <w:rsid w:val="00F73621"/>
    <w:rsid w:val="00F772F5"/>
    <w:rsid w:val="00FA098D"/>
    <w:rsid w:val="00FA49AB"/>
    <w:rsid w:val="00FB75FA"/>
    <w:rsid w:val="00FC6BF7"/>
    <w:rsid w:val="00FC7FED"/>
    <w:rsid w:val="00FD19F3"/>
    <w:rsid w:val="00FE08DE"/>
    <w:rsid w:val="00FE39C7"/>
    <w:rsid w:val="00FF4D07"/>
    <w:rsid w:val="014F06A8"/>
    <w:rsid w:val="11CD6E8B"/>
    <w:rsid w:val="13CD7880"/>
    <w:rsid w:val="1FBB4A88"/>
    <w:rsid w:val="28A0ABEF"/>
    <w:rsid w:val="2C07D160"/>
    <w:rsid w:val="2EC94AB3"/>
    <w:rsid w:val="360764B0"/>
    <w:rsid w:val="37278B5F"/>
    <w:rsid w:val="46161091"/>
    <w:rsid w:val="52E40541"/>
    <w:rsid w:val="53809F5A"/>
    <w:rsid w:val="57D2630B"/>
    <w:rsid w:val="59DEE1C8"/>
    <w:rsid w:val="5E5402C2"/>
    <w:rsid w:val="63A63388"/>
    <w:rsid w:val="653ADAA8"/>
    <w:rsid w:val="668F05E3"/>
    <w:rsid w:val="67138D89"/>
    <w:rsid w:val="71450992"/>
    <w:rsid w:val="7187E33D"/>
    <w:rsid w:val="7A2B4FBE"/>
    <w:rsid w:val="7AEB7FE9"/>
    <w:rsid w:val="7F3984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4EFFDD4"/>
  <w15:docId w15:val="{CB1886E7-0A32-4B4E-B599-128AC82E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C19"/>
    <w:pPr>
      <w:jc w:val="both"/>
    </w:pPr>
    <w:rPr>
      <w:rFonts w:ascii="Arial" w:hAnsi="Arial"/>
    </w:rPr>
  </w:style>
  <w:style w:type="paragraph" w:styleId="Heading1">
    <w:name w:val="heading 1"/>
    <w:next w:val="Normal"/>
    <w:qFormat/>
    <w:rsid w:val="00FC7FED"/>
    <w:pPr>
      <w:keepNext/>
      <w:pageBreakBefore/>
      <w:numPr>
        <w:numId w:val="5"/>
      </w:numPr>
      <w:outlineLvl w:val="0"/>
    </w:pPr>
    <w:rPr>
      <w:rFonts w:ascii="Arial" w:hAnsi="Arial"/>
      <w:caps/>
      <w:color w:val="26724C" w:themeColor="accent1" w:themeShade="BF"/>
      <w:sz w:val="32"/>
      <w:szCs w:val="24"/>
    </w:rPr>
  </w:style>
  <w:style w:type="paragraph" w:styleId="Heading2">
    <w:name w:val="heading 2"/>
    <w:next w:val="Normal"/>
    <w:qFormat/>
    <w:rsid w:val="004448C7"/>
    <w:pPr>
      <w:keepNext/>
      <w:jc w:val="both"/>
      <w:outlineLvl w:val="1"/>
    </w:pPr>
    <w:rPr>
      <w:rFonts w:ascii="Arial" w:hAnsi="Arial"/>
      <w:b/>
      <w:bCs/>
      <w:color w:val="26724C" w:themeColor="accent1" w:themeShade="BF"/>
      <w:sz w:val="28"/>
    </w:rPr>
  </w:style>
  <w:style w:type="paragraph" w:styleId="Heading3">
    <w:name w:val="heading 3"/>
    <w:next w:val="Normal"/>
    <w:link w:val="Heading3Char"/>
    <w:autoRedefine/>
    <w:qFormat/>
    <w:rsid w:val="000363C4"/>
    <w:pPr>
      <w:keepNext/>
      <w:jc w:val="both"/>
      <w:outlineLvl w:val="2"/>
    </w:pPr>
    <w:rPr>
      <w:rFonts w:ascii="Arial" w:hAnsi="Arial"/>
      <w:b/>
      <w:color w:val="26724C" w:themeColor="accent1" w:themeShade="BF"/>
      <w:sz w:val="22"/>
    </w:rPr>
  </w:style>
  <w:style w:type="paragraph" w:styleId="Heading4">
    <w:name w:val="heading 4"/>
    <w:next w:val="Normal"/>
    <w:autoRedefine/>
    <w:qFormat/>
    <w:rsid w:val="003F289C"/>
    <w:pPr>
      <w:keepNext/>
      <w:ind w:left="1134" w:hanging="567"/>
      <w:jc w:val="both"/>
      <w:outlineLvl w:val="3"/>
    </w:pPr>
    <w:rPr>
      <w:rFonts w:ascii="Arial" w:hAnsi="Arial"/>
      <w:u w:val="single"/>
    </w:rPr>
  </w:style>
  <w:style w:type="paragraph" w:styleId="Heading5">
    <w:name w:val="heading 5"/>
    <w:next w:val="Normal"/>
    <w:autoRedefine/>
    <w:qFormat/>
    <w:rsid w:val="00C01C3B"/>
    <w:pPr>
      <w:keepNext/>
      <w:ind w:left="567" w:hanging="567"/>
      <w:jc w:val="both"/>
      <w:outlineLvl w:val="4"/>
    </w:pPr>
    <w:rPr>
      <w:rFonts w:ascii="Arial" w:hAnsi="Arial"/>
      <w:i/>
      <w:color w:val="26724C" w:themeColor="accent1" w:themeShade="BF"/>
    </w:rPr>
  </w:style>
  <w:style w:type="paragraph" w:styleId="Heading6">
    <w:name w:val="heading 6"/>
    <w:basedOn w:val="Normal"/>
    <w:next w:val="Normal"/>
    <w:link w:val="Heading6Char"/>
    <w:semiHidden/>
    <w:unhideWhenUsed/>
    <w:qFormat/>
    <w:rsid w:val="00C01C3B"/>
    <w:pPr>
      <w:keepNext/>
      <w:keepLines/>
      <w:spacing w:before="40"/>
      <w:outlineLvl w:val="5"/>
    </w:pPr>
    <w:rPr>
      <w:rFonts w:asciiTheme="majorHAnsi" w:eastAsiaTheme="majorEastAsia" w:hAnsiTheme="majorHAnsi" w:cstheme="majorBidi"/>
      <w:color w:val="194C32" w:themeColor="accent1" w:themeShade="7F"/>
    </w:rPr>
  </w:style>
  <w:style w:type="paragraph" w:styleId="Heading9">
    <w:name w:val="heading 9"/>
    <w:basedOn w:val="Heading2"/>
    <w:next w:val="Normal"/>
    <w:qFormat/>
    <w:rsid w:val="00C01C3B"/>
    <w:pPr>
      <w:ind w:left="2127" w:hanging="2127"/>
      <w:outlineLvl w:val="8"/>
    </w:pPr>
    <w:rPr>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AE2937"/>
    <w:pPr>
      <w:jc w:val="center"/>
    </w:pPr>
    <w:rPr>
      <w:rFonts w:ascii="Arial" w:hAnsi="Arial"/>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214C72"/>
    <w:pPr>
      <w:tabs>
        <w:tab w:val="left" w:pos="5387"/>
        <w:tab w:val="left" w:pos="5954"/>
      </w:tabs>
      <w:ind w:left="4820"/>
    </w:pPr>
    <w:rPr>
      <w:i/>
    </w:rPr>
  </w:style>
  <w:style w:type="paragraph" w:styleId="FootnoteText">
    <w:name w:val="footnote text"/>
    <w:link w:val="FootnoteTextChar"/>
    <w:autoRedefine/>
    <w:rsid w:val="00B104C1"/>
    <w:pPr>
      <w:spacing w:before="60"/>
      <w:ind w:left="284" w:hanging="284"/>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s-E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es-ES"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es-ES" w:eastAsia="en-US" w:bidi="ar-SA"/>
    </w:rPr>
  </w:style>
  <w:style w:type="paragraph" w:styleId="TOC2">
    <w:name w:val="toc 2"/>
    <w:next w:val="Normal"/>
    <w:autoRedefine/>
    <w:uiPriority w:val="39"/>
    <w:rsid w:val="00C01C3B"/>
    <w:pPr>
      <w:tabs>
        <w:tab w:val="right" w:pos="9629"/>
      </w:tabs>
      <w:spacing w:before="60"/>
      <w:ind w:left="567" w:right="567"/>
    </w:pPr>
    <w:rPr>
      <w:rFonts w:ascii="Arial" w:hAnsi="Arial" w:cstheme="minorHAnsi"/>
      <w:iCs/>
    </w:rPr>
  </w:style>
  <w:style w:type="paragraph" w:styleId="TOC3">
    <w:name w:val="toc 3"/>
    <w:next w:val="Normal"/>
    <w:autoRedefine/>
    <w:uiPriority w:val="39"/>
    <w:rsid w:val="00C01C3B"/>
    <w:pPr>
      <w:tabs>
        <w:tab w:val="right" w:pos="9629"/>
      </w:tabs>
      <w:spacing w:before="120" w:after="120"/>
      <w:ind w:left="1134" w:right="284"/>
      <w:contextualSpacing/>
    </w:pPr>
    <w:rPr>
      <w:rFonts w:ascii="Arial" w:hAnsi="Arial" w:cstheme="minorHAnsi"/>
      <w:i/>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uiPriority w:val="39"/>
    <w:rsid w:val="009412DD"/>
    <w:pPr>
      <w:tabs>
        <w:tab w:val="left" w:pos="1985"/>
        <w:tab w:val="right" w:pos="9629"/>
      </w:tabs>
      <w:spacing w:before="120"/>
      <w:ind w:left="1984" w:right="567" w:hanging="1383"/>
    </w:pPr>
    <w:rPr>
      <w:rFonts w:asciiTheme="minorHAnsi" w:hAnsiTheme="minorHAnsi" w:cstheme="minorHAnsi"/>
    </w:rPr>
  </w:style>
  <w:style w:type="paragraph" w:styleId="TOC1">
    <w:name w:val="toc 1"/>
    <w:next w:val="Normal"/>
    <w:autoRedefine/>
    <w:uiPriority w:val="39"/>
    <w:rsid w:val="00C01C3B"/>
    <w:pPr>
      <w:tabs>
        <w:tab w:val="left" w:pos="400"/>
        <w:tab w:val="right" w:pos="9629"/>
      </w:tabs>
      <w:spacing w:before="240" w:after="120"/>
      <w:ind w:right="284"/>
    </w:pPr>
    <w:rPr>
      <w:rFonts w:ascii="Arial" w:hAnsi="Arial" w:cstheme="minorHAnsi"/>
      <w:bCs/>
      <w:caps/>
    </w:rPr>
  </w:style>
  <w:style w:type="paragraph" w:styleId="TOC5">
    <w:name w:val="toc 5"/>
    <w:next w:val="Normal"/>
    <w:autoRedefine/>
    <w:uiPriority w:val="39"/>
    <w:rsid w:val="00C01C3B"/>
    <w:pPr>
      <w:ind w:left="800"/>
    </w:pPr>
    <w:rPr>
      <w:rFonts w:asciiTheme="minorHAnsi" w:hAnsiTheme="minorHAnsi" w:cstheme="minorHAnsi"/>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6Char">
    <w:name w:val="Heading 6 Char"/>
    <w:basedOn w:val="DefaultParagraphFont"/>
    <w:link w:val="Heading6"/>
    <w:semiHidden/>
    <w:rsid w:val="00C01C3B"/>
    <w:rPr>
      <w:rFonts w:asciiTheme="majorHAnsi" w:eastAsiaTheme="majorEastAsia" w:hAnsiTheme="majorHAnsi" w:cstheme="majorBidi"/>
      <w:color w:val="194C32" w:themeColor="accent1" w:themeShade="7F"/>
    </w:rPr>
  </w:style>
  <w:style w:type="table" w:styleId="TableGrid">
    <w:name w:val="Table Grid"/>
    <w:basedOn w:val="TableNormal"/>
    <w:rsid w:val="00B65ED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4Normal">
    <w:name w:val="Inf_4_Normal"/>
    <w:basedOn w:val="Normal"/>
    <w:rsid w:val="00B65EDC"/>
    <w:pPr>
      <w:spacing w:before="120"/>
      <w:ind w:left="567" w:right="707"/>
    </w:pPr>
    <w:rPr>
      <w:rFonts w:cs="Arial"/>
    </w:rPr>
  </w:style>
  <w:style w:type="paragraph" w:customStyle="1" w:styleId="Inf4Heading4">
    <w:name w:val="Inf_4_Heading_4"/>
    <w:basedOn w:val="Heading4"/>
    <w:next w:val="Normal"/>
    <w:rsid w:val="00B65EDC"/>
    <w:pPr>
      <w:spacing w:before="120"/>
      <w:ind w:left="0"/>
    </w:pPr>
    <w:rPr>
      <w:rFonts w:ascii="Times New Roman" w:hAnsi="Times New Roman"/>
      <w:bCs/>
      <w:i/>
      <w:color w:val="26724C" w:themeColor="accent1" w:themeShade="BF"/>
      <w:sz w:val="22"/>
      <w:u w:val="none"/>
    </w:rPr>
  </w:style>
  <w:style w:type="paragraph" w:customStyle="1" w:styleId="Inf4Heading6">
    <w:name w:val="Inf_4_Heading_6"/>
    <w:basedOn w:val="Normal"/>
    <w:rsid w:val="00B65EDC"/>
    <w:pPr>
      <w:keepNext/>
      <w:spacing w:before="108"/>
      <w:ind w:left="567"/>
      <w:outlineLvl w:val="5"/>
    </w:pPr>
    <w:rPr>
      <w:b/>
      <w:bCs/>
      <w:szCs w:val="24"/>
    </w:rPr>
  </w:style>
  <w:style w:type="paragraph" w:customStyle="1" w:styleId="Inf4Heading3">
    <w:name w:val="Inf_4_Heading_3"/>
    <w:basedOn w:val="Heading3"/>
    <w:rsid w:val="00B65EDC"/>
    <w:pPr>
      <w:keepNext w:val="0"/>
      <w:spacing w:before="240"/>
      <w:jc w:val="center"/>
    </w:pPr>
    <w:rPr>
      <w:rFonts w:cs="Arial"/>
      <w:bCs/>
    </w:rPr>
  </w:style>
  <w:style w:type="character" w:customStyle="1" w:styleId="Heading3Char">
    <w:name w:val="Heading 3 Char"/>
    <w:basedOn w:val="DefaultParagraphFont"/>
    <w:link w:val="Heading3"/>
    <w:rsid w:val="000363C4"/>
    <w:rPr>
      <w:rFonts w:ascii="Arial" w:hAnsi="Arial"/>
      <w:b/>
      <w:color w:val="26724C" w:themeColor="accent1" w:themeShade="BF"/>
      <w:sz w:val="22"/>
    </w:rPr>
  </w:style>
  <w:style w:type="paragraph" w:customStyle="1" w:styleId="StyleDocoriginalNotBold">
    <w:name w:val="Style Doc_original + Not Bold"/>
    <w:basedOn w:val="Docoriginal"/>
    <w:link w:val="StyleDocoriginalNotBoldChar"/>
    <w:autoRedefine/>
    <w:rsid w:val="00B65EDC"/>
    <w:pPr>
      <w:spacing w:before="0" w:line="280" w:lineRule="exact"/>
      <w:ind w:left="1589"/>
      <w:contextualSpacing w:val="0"/>
    </w:pPr>
  </w:style>
  <w:style w:type="character" w:customStyle="1" w:styleId="StyleDocoriginalNotBoldChar">
    <w:name w:val="Style Doc_original + Not Bold Char"/>
    <w:basedOn w:val="DocoriginalChar"/>
    <w:link w:val="StyleDocoriginalNotBold"/>
    <w:rsid w:val="00B65EDC"/>
    <w:rPr>
      <w:rFonts w:ascii="Arial" w:hAnsi="Arial"/>
      <w:b/>
      <w:bCs/>
      <w:spacing w:val="10"/>
      <w:sz w:val="18"/>
      <w:lang w:val="es-ES" w:eastAsia="en-US" w:bidi="ar-SA"/>
    </w:rPr>
  </w:style>
  <w:style w:type="paragraph" w:customStyle="1" w:styleId="StyleDocnumber">
    <w:name w:val="Style Doc_number"/>
    <w:basedOn w:val="Docoriginal"/>
    <w:rsid w:val="00B65EDC"/>
    <w:pPr>
      <w:spacing w:before="0" w:line="280" w:lineRule="exact"/>
      <w:ind w:left="1589"/>
      <w:contextualSpacing w:val="0"/>
      <w:jc w:val="both"/>
    </w:pPr>
    <w:rPr>
      <w:sz w:val="20"/>
    </w:rPr>
  </w:style>
  <w:style w:type="paragraph" w:customStyle="1" w:styleId="StyleDocoriginal">
    <w:name w:val="Style Doc_original"/>
    <w:basedOn w:val="Docoriginal"/>
    <w:link w:val="StyleDocoriginalChar"/>
    <w:rsid w:val="00B65EDC"/>
    <w:pPr>
      <w:spacing w:before="0" w:line="280" w:lineRule="exact"/>
      <w:ind w:left="1361"/>
      <w:contextualSpacing w:val="0"/>
      <w:jc w:val="both"/>
    </w:pPr>
  </w:style>
  <w:style w:type="character" w:customStyle="1" w:styleId="StyleDocoriginalChar">
    <w:name w:val="Style Doc_original Char"/>
    <w:basedOn w:val="DocoriginalChar"/>
    <w:link w:val="StyleDocoriginal"/>
    <w:rsid w:val="00B65EDC"/>
    <w:rPr>
      <w:rFonts w:ascii="Arial" w:hAnsi="Arial"/>
      <w:b/>
      <w:bCs/>
      <w:spacing w:val="10"/>
      <w:sz w:val="18"/>
      <w:lang w:val="es-ES" w:eastAsia="en-US" w:bidi="ar-SA"/>
    </w:rPr>
  </w:style>
  <w:style w:type="paragraph" w:customStyle="1" w:styleId="StyleStyleDocoriginalNotBoldNotBold">
    <w:name w:val="Style Style Doc_original + Not Bold + Not Bold"/>
    <w:basedOn w:val="StyleDocoriginalNotBold"/>
    <w:link w:val="StyleStyleDocoriginalNotBoldNotBoldChar"/>
    <w:rsid w:val="00B65EDC"/>
    <w:rPr>
      <w:b w:val="0"/>
      <w:bCs w:val="0"/>
    </w:rPr>
  </w:style>
  <w:style w:type="character" w:customStyle="1" w:styleId="StyleStyleDocoriginalNotBoldNotBoldChar">
    <w:name w:val="Style Style Doc_original + Not Bold + Not Bold Char"/>
    <w:basedOn w:val="StyleDocoriginalNotBoldChar"/>
    <w:link w:val="StyleStyleDocoriginalNotBoldNotBold"/>
    <w:rsid w:val="00B65EDC"/>
    <w:rPr>
      <w:rFonts w:ascii="Arial" w:hAnsi="Arial"/>
      <w:b w:val="0"/>
      <w:bCs w:val="0"/>
      <w:spacing w:val="10"/>
      <w:sz w:val="18"/>
      <w:lang w:val="es-ES" w:eastAsia="en-US" w:bidi="ar-SA"/>
    </w:rPr>
  </w:style>
  <w:style w:type="character" w:customStyle="1" w:styleId="StyleDocoriginalNotBold1">
    <w:name w:val="Style Doc_original + Not Bold1"/>
    <w:basedOn w:val="DefaultParagraphFont"/>
    <w:rsid w:val="00B65EDC"/>
    <w:rPr>
      <w:rFonts w:ascii="Arial" w:hAnsi="Arial"/>
      <w:b/>
      <w:bCs/>
      <w:spacing w:val="10"/>
      <w:lang w:val="es-ES" w:eastAsia="en-US" w:bidi="ar-SA"/>
    </w:rPr>
  </w:style>
  <w:style w:type="character" w:customStyle="1" w:styleId="StyleDoclangBold">
    <w:name w:val="Style Doc_lang + Bold"/>
    <w:basedOn w:val="Doclang"/>
    <w:rsid w:val="00B65EDC"/>
    <w:rPr>
      <w:rFonts w:ascii="Arial" w:hAnsi="Arial"/>
      <w:b/>
      <w:bCs/>
      <w:sz w:val="20"/>
      <w:lang w:val="es-ES"/>
    </w:rPr>
  </w:style>
  <w:style w:type="paragraph" w:styleId="ListParagraph">
    <w:name w:val="List Paragraph"/>
    <w:basedOn w:val="Normal"/>
    <w:uiPriority w:val="34"/>
    <w:qFormat/>
    <w:rsid w:val="00B65EDC"/>
    <w:pPr>
      <w:ind w:left="720"/>
      <w:contextualSpacing/>
    </w:pPr>
  </w:style>
  <w:style w:type="paragraph" w:customStyle="1" w:styleId="ZchnZchn1">
    <w:name w:val="Zchn Zchn1"/>
    <w:basedOn w:val="Normal"/>
    <w:rsid w:val="00B65EDC"/>
    <w:pPr>
      <w:spacing w:after="160" w:line="240" w:lineRule="exact"/>
      <w:jc w:val="left"/>
    </w:pPr>
    <w:rPr>
      <w:rFonts w:ascii="Verdana" w:eastAsia="PMingLiU" w:hAnsi="Verdana"/>
    </w:rPr>
  </w:style>
  <w:style w:type="paragraph" w:styleId="Subtitle">
    <w:name w:val="Subtitle"/>
    <w:basedOn w:val="Normal"/>
    <w:link w:val="SubtitleChar"/>
    <w:qFormat/>
    <w:rsid w:val="00B65EDC"/>
    <w:pPr>
      <w:jc w:val="center"/>
    </w:pPr>
    <w:rPr>
      <w:rFonts w:ascii="Times New Roman" w:hAnsi="Times New Roman"/>
      <w:b/>
      <w:caps/>
      <w:color w:val="0000FF"/>
      <w:sz w:val="28"/>
    </w:rPr>
  </w:style>
  <w:style w:type="character" w:customStyle="1" w:styleId="SubtitleChar">
    <w:name w:val="Subtitle Char"/>
    <w:basedOn w:val="DefaultParagraphFont"/>
    <w:link w:val="Subtitle"/>
    <w:rsid w:val="00B65EDC"/>
    <w:rPr>
      <w:b/>
      <w:caps/>
      <w:color w:val="0000FF"/>
      <w:sz w:val="28"/>
    </w:rPr>
  </w:style>
  <w:style w:type="paragraph" w:customStyle="1" w:styleId="Endofdocument">
    <w:name w:val="End of document"/>
    <w:basedOn w:val="Normal"/>
    <w:rsid w:val="00B65EDC"/>
    <w:pPr>
      <w:ind w:left="4536"/>
      <w:jc w:val="center"/>
    </w:pPr>
    <w:rPr>
      <w:rFonts w:ascii="Times New Roman" w:hAnsi="Times New Roman"/>
      <w:sz w:val="24"/>
    </w:rPr>
  </w:style>
  <w:style w:type="paragraph" w:customStyle="1" w:styleId="BodyTextKeep">
    <w:name w:val="Body Text Keep"/>
    <w:basedOn w:val="BodyText"/>
    <w:rsid w:val="00B65EDC"/>
    <w:pPr>
      <w:keepNext/>
      <w:spacing w:after="160"/>
      <w:jc w:val="left"/>
    </w:pPr>
    <w:rPr>
      <w:rFonts w:ascii="Times New Roman" w:hAnsi="Times New Roman"/>
    </w:rPr>
  </w:style>
  <w:style w:type="character" w:styleId="Emphasis">
    <w:name w:val="Emphasis"/>
    <w:basedOn w:val="DefaultParagraphFont"/>
    <w:qFormat/>
    <w:rsid w:val="00B65EDC"/>
    <w:rPr>
      <w:i/>
      <w:iCs/>
    </w:rPr>
  </w:style>
  <w:style w:type="character" w:customStyle="1" w:styleId="HeaderChar">
    <w:name w:val="Header Char"/>
    <w:basedOn w:val="DefaultParagraphFont"/>
    <w:link w:val="Header"/>
    <w:uiPriority w:val="99"/>
    <w:rsid w:val="00B65EDC"/>
    <w:rPr>
      <w:rFonts w:ascii="Arial" w:hAnsi="Arial"/>
      <w:lang w:val="es-ES"/>
    </w:rPr>
  </w:style>
  <w:style w:type="character" w:styleId="CommentReference">
    <w:name w:val="annotation reference"/>
    <w:basedOn w:val="DefaultParagraphFont"/>
    <w:rsid w:val="00B65EDC"/>
    <w:rPr>
      <w:sz w:val="16"/>
      <w:szCs w:val="16"/>
    </w:rPr>
  </w:style>
  <w:style w:type="paragraph" w:styleId="CommentText">
    <w:name w:val="annotation text"/>
    <w:basedOn w:val="Normal"/>
    <w:link w:val="CommentTextChar"/>
    <w:rsid w:val="00B65EDC"/>
  </w:style>
  <w:style w:type="character" w:customStyle="1" w:styleId="CommentTextChar">
    <w:name w:val="Comment Text Char"/>
    <w:basedOn w:val="DefaultParagraphFont"/>
    <w:link w:val="CommentText"/>
    <w:rsid w:val="00B65EDC"/>
    <w:rPr>
      <w:rFonts w:ascii="Arial" w:hAnsi="Arial"/>
    </w:rPr>
  </w:style>
  <w:style w:type="paragraph" w:styleId="CommentSubject">
    <w:name w:val="annotation subject"/>
    <w:basedOn w:val="CommentText"/>
    <w:next w:val="CommentText"/>
    <w:link w:val="CommentSubjectChar"/>
    <w:rsid w:val="00B65EDC"/>
    <w:rPr>
      <w:b/>
      <w:bCs/>
    </w:rPr>
  </w:style>
  <w:style w:type="character" w:customStyle="1" w:styleId="CommentSubjectChar">
    <w:name w:val="Comment Subject Char"/>
    <w:basedOn w:val="CommentTextChar"/>
    <w:link w:val="CommentSubject"/>
    <w:rsid w:val="00B65EDC"/>
    <w:rPr>
      <w:rFonts w:ascii="Arial" w:hAnsi="Arial"/>
      <w:b/>
      <w:bCs/>
    </w:rPr>
  </w:style>
  <w:style w:type="paragraph" w:styleId="NormalWeb">
    <w:name w:val="Normal (Web)"/>
    <w:basedOn w:val="Normal"/>
    <w:uiPriority w:val="99"/>
    <w:unhideWhenUsed/>
    <w:rsid w:val="00B65EDC"/>
    <w:pPr>
      <w:spacing w:before="100" w:beforeAutospacing="1" w:after="100" w:afterAutospacing="1"/>
      <w:jc w:val="left"/>
    </w:pPr>
    <w:rPr>
      <w:rFonts w:ascii="Times New Roman" w:eastAsiaTheme="minorEastAsia" w:hAnsi="Times New Roman"/>
      <w:sz w:val="24"/>
      <w:szCs w:val="24"/>
    </w:rPr>
  </w:style>
  <w:style w:type="paragraph" w:styleId="TOCHeading">
    <w:name w:val="TOC Heading"/>
    <w:basedOn w:val="Heading1"/>
    <w:next w:val="Normal"/>
    <w:uiPriority w:val="39"/>
    <w:unhideWhenUsed/>
    <w:qFormat/>
    <w:rsid w:val="00B65EDC"/>
    <w:pPr>
      <w:keepLines/>
      <w:spacing w:before="480" w:line="276" w:lineRule="auto"/>
      <w:ind w:left="567" w:hanging="567"/>
      <w:outlineLvl w:val="9"/>
    </w:pPr>
    <w:rPr>
      <w:rFonts w:asciiTheme="majorHAnsi" w:eastAsiaTheme="majorEastAsia" w:hAnsiTheme="majorHAnsi" w:cstheme="majorBidi"/>
      <w:b/>
      <w:bCs/>
      <w:caps w:val="0"/>
      <w:sz w:val="28"/>
      <w:szCs w:val="28"/>
      <w:lang w:eastAsia="ja-JP"/>
    </w:rPr>
  </w:style>
  <w:style w:type="paragraph" w:customStyle="1" w:styleId="figures">
    <w:name w:val="figures"/>
    <w:basedOn w:val="Normal"/>
    <w:next w:val="Normal"/>
    <w:qFormat/>
    <w:rsid w:val="00B65EDC"/>
    <w:pPr>
      <w:keepNext/>
      <w:spacing w:after="60"/>
      <w:jc w:val="center"/>
    </w:pPr>
    <w:rPr>
      <w:rFonts w:eastAsia="MS Mincho"/>
      <w:i/>
      <w:sz w:val="18"/>
      <w:lang w:eastAsia="ja-JP"/>
    </w:rPr>
  </w:style>
  <w:style w:type="character" w:customStyle="1" w:styleId="BodyTextChar">
    <w:name w:val="Body Text Char"/>
    <w:basedOn w:val="DefaultParagraphFont"/>
    <w:link w:val="BodyText"/>
    <w:locked/>
    <w:rsid w:val="00B65EDC"/>
    <w:rPr>
      <w:rFonts w:ascii="Arial" w:hAnsi="Arial"/>
    </w:rPr>
  </w:style>
  <w:style w:type="paragraph" w:styleId="Caption">
    <w:name w:val="caption"/>
    <w:basedOn w:val="Heading9"/>
    <w:next w:val="Normal"/>
    <w:unhideWhenUsed/>
    <w:qFormat/>
    <w:rsid w:val="00B65EDC"/>
    <w:pPr>
      <w:spacing w:after="120"/>
      <w:jc w:val="center"/>
    </w:pPr>
    <w:rPr>
      <w:rFonts w:eastAsiaTheme="minorEastAsia"/>
      <w:b w:val="0"/>
      <w:bCs w:val="0"/>
      <w:i/>
      <w:szCs w:val="18"/>
    </w:rPr>
  </w:style>
  <w:style w:type="paragraph" w:styleId="BodyText3">
    <w:name w:val="Body Text 3"/>
    <w:basedOn w:val="Normal"/>
    <w:link w:val="BodyText3Char"/>
    <w:rsid w:val="00B65EDC"/>
    <w:pPr>
      <w:spacing w:after="120"/>
      <w:jc w:val="left"/>
    </w:pPr>
    <w:rPr>
      <w:rFonts w:ascii="Times New Roman" w:hAnsi="Times New Roman"/>
      <w:sz w:val="16"/>
      <w:szCs w:val="16"/>
    </w:rPr>
  </w:style>
  <w:style w:type="character" w:customStyle="1" w:styleId="BodyText3Char">
    <w:name w:val="Body Text 3 Char"/>
    <w:basedOn w:val="DefaultParagraphFont"/>
    <w:link w:val="BodyText3"/>
    <w:rsid w:val="00B65EDC"/>
    <w:rPr>
      <w:sz w:val="16"/>
      <w:szCs w:val="16"/>
    </w:rPr>
  </w:style>
  <w:style w:type="paragraph" w:customStyle="1" w:styleId="annexiparanumbered">
    <w:name w:val="annex_i_para_numbered"/>
    <w:basedOn w:val="ListParagraph"/>
    <w:qFormat/>
    <w:rsid w:val="00B65EDC"/>
    <w:pPr>
      <w:numPr>
        <w:numId w:val="1"/>
      </w:numPr>
    </w:pPr>
  </w:style>
  <w:style w:type="character" w:styleId="FollowedHyperlink">
    <w:name w:val="FollowedHyperlink"/>
    <w:basedOn w:val="DefaultParagraphFont"/>
    <w:semiHidden/>
    <w:unhideWhenUsed/>
    <w:rsid w:val="00B65EDC"/>
    <w:rPr>
      <w:color w:val="FFCCCC" w:themeColor="followedHyperlink"/>
      <w:u w:val="single"/>
    </w:rPr>
  </w:style>
  <w:style w:type="paragraph" w:customStyle="1" w:styleId="Default">
    <w:name w:val="Default"/>
    <w:rsid w:val="00B65ED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rsid w:val="00B104C1"/>
    <w:rPr>
      <w:rFonts w:ascii="Arial" w:hAnsi="Arial"/>
      <w:sz w:val="16"/>
    </w:rPr>
  </w:style>
  <w:style w:type="paragraph" w:styleId="TOC6">
    <w:name w:val="toc 6"/>
    <w:basedOn w:val="Normal"/>
    <w:next w:val="Normal"/>
    <w:autoRedefine/>
    <w:unhideWhenUsed/>
    <w:rsid w:val="00C01C3B"/>
    <w:pPr>
      <w:ind w:left="1000"/>
      <w:jc w:val="left"/>
    </w:pPr>
    <w:rPr>
      <w:rFonts w:asciiTheme="minorHAnsi" w:hAnsiTheme="minorHAnsi" w:cstheme="minorHAnsi"/>
    </w:rPr>
  </w:style>
  <w:style w:type="paragraph" w:styleId="TOC7">
    <w:name w:val="toc 7"/>
    <w:basedOn w:val="Normal"/>
    <w:next w:val="Normal"/>
    <w:autoRedefine/>
    <w:unhideWhenUsed/>
    <w:rsid w:val="00C01C3B"/>
    <w:pPr>
      <w:ind w:left="1200"/>
      <w:jc w:val="left"/>
    </w:pPr>
    <w:rPr>
      <w:rFonts w:asciiTheme="minorHAnsi" w:hAnsiTheme="minorHAnsi" w:cstheme="minorHAnsi"/>
    </w:rPr>
  </w:style>
  <w:style w:type="paragraph" w:styleId="TOC8">
    <w:name w:val="toc 8"/>
    <w:basedOn w:val="Normal"/>
    <w:next w:val="Normal"/>
    <w:autoRedefine/>
    <w:unhideWhenUsed/>
    <w:rsid w:val="00C01C3B"/>
    <w:pPr>
      <w:ind w:left="1400"/>
      <w:jc w:val="left"/>
    </w:pPr>
    <w:rPr>
      <w:rFonts w:asciiTheme="minorHAnsi" w:hAnsiTheme="minorHAnsi" w:cstheme="minorHAnsi"/>
    </w:rPr>
  </w:style>
  <w:style w:type="paragraph" w:styleId="TOC9">
    <w:name w:val="toc 9"/>
    <w:basedOn w:val="Normal"/>
    <w:next w:val="Normal"/>
    <w:autoRedefine/>
    <w:unhideWhenUsed/>
    <w:rsid w:val="00C01C3B"/>
    <w:pPr>
      <w:ind w:left="1600"/>
      <w:jc w:val="left"/>
    </w:pPr>
    <w:rPr>
      <w:rFonts w:asciiTheme="minorHAnsi" w:hAnsiTheme="minorHAnsi" w:cstheme="minorHAnsi"/>
    </w:rPr>
  </w:style>
  <w:style w:type="paragraph" w:styleId="Revision">
    <w:name w:val="Revision"/>
    <w:hidden/>
    <w:uiPriority w:val="99"/>
    <w:semiHidden/>
    <w:rsid w:val="00B65EDC"/>
    <w:rPr>
      <w:rFonts w:ascii="Arial" w:hAnsi="Arial"/>
    </w:rPr>
  </w:style>
  <w:style w:type="paragraph" w:styleId="BodyTextIndent">
    <w:name w:val="Body Text Indent"/>
    <w:basedOn w:val="Normal"/>
    <w:link w:val="BodyTextIndentChar"/>
    <w:semiHidden/>
    <w:unhideWhenUsed/>
    <w:rsid w:val="00B65EDC"/>
    <w:pPr>
      <w:spacing w:after="120"/>
      <w:ind w:left="283"/>
    </w:pPr>
  </w:style>
  <w:style w:type="character" w:customStyle="1" w:styleId="BodyTextIndentChar">
    <w:name w:val="Body Text Indent Char"/>
    <w:basedOn w:val="DefaultParagraphFont"/>
    <w:link w:val="BodyTextIndent"/>
    <w:semiHidden/>
    <w:rsid w:val="00B65EDC"/>
    <w:rPr>
      <w:rFonts w:ascii="Arial" w:hAnsi="Arial"/>
    </w:rPr>
  </w:style>
  <w:style w:type="character" w:styleId="UnresolvedMention">
    <w:name w:val="Unresolved Mention"/>
    <w:basedOn w:val="DefaultParagraphFont"/>
    <w:uiPriority w:val="99"/>
    <w:semiHidden/>
    <w:unhideWhenUsed/>
    <w:rsid w:val="00B65EDC"/>
    <w:rPr>
      <w:color w:val="605E5C"/>
      <w:shd w:val="clear" w:color="auto" w:fill="E1DFDD"/>
    </w:rPr>
  </w:style>
  <w:style w:type="character" w:styleId="Mention">
    <w:name w:val="Mention"/>
    <w:basedOn w:val="DefaultParagraphFont"/>
    <w:uiPriority w:val="99"/>
    <w:unhideWhenUsed/>
    <w:rsid w:val="000C71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6.png"/><Relationship Id="rId26" Type="http://schemas.openxmlformats.org/officeDocument/2006/relationships/header" Target="header6.xml"/><Relationship Id="rId39" Type="http://schemas.openxmlformats.org/officeDocument/2006/relationships/header" Target="header11.xml"/><Relationship Id="rId21" Type="http://schemas.openxmlformats.org/officeDocument/2006/relationships/footer" Target="footer1.xml"/><Relationship Id="rId34" Type="http://schemas.openxmlformats.org/officeDocument/2006/relationships/header" Target="header9.xml"/><Relationship Id="rId42" Type="http://schemas.openxmlformats.org/officeDocument/2006/relationships/header" Target="header13.xml"/><Relationship Id="rId47" Type="http://schemas.openxmlformats.org/officeDocument/2006/relationships/header" Target="header1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pov.int/resource/es/pvp_certificate.html" TargetMode="External"/><Relationship Id="rId29" Type="http://schemas.openxmlformats.org/officeDocument/2006/relationships/header" Target="header7.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footer" Target="footer7.xml"/><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header" Target="header14.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eader" Target="header4.xml"/><Relationship Id="rId28" Type="http://schemas.openxmlformats.org/officeDocument/2006/relationships/footer" Target="footer5.xml"/><Relationship Id="rId36" Type="http://schemas.openxmlformats.org/officeDocument/2006/relationships/header" Target="header10.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8.xml"/><Relationship Id="rId44" Type="http://schemas.openxmlformats.org/officeDocument/2006/relationships/footer" Target="foot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9.xml"/><Relationship Id="rId43" Type="http://schemas.openxmlformats.org/officeDocument/2006/relationships/footer" Target="footer13.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5.emf"/><Relationship Id="rId25" Type="http://schemas.openxmlformats.org/officeDocument/2006/relationships/header" Target="header5.xml"/><Relationship Id="rId33" Type="http://schemas.openxmlformats.org/officeDocument/2006/relationships/footer" Target="footer8.xml"/><Relationship Id="rId38" Type="http://schemas.openxmlformats.org/officeDocument/2006/relationships/footer" Target="footer11.xml"/><Relationship Id="rId46" Type="http://schemas.openxmlformats.org/officeDocument/2006/relationships/footer" Target="footer15.xml"/><Relationship Id="rId20" Type="http://schemas.openxmlformats.org/officeDocument/2006/relationships/header" Target="header3.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ThemeBudget">
  <a:themeElements>
    <a:clrScheme name="UPOV theme color">
      <a:dk1>
        <a:srgbClr val="000000"/>
      </a:dk1>
      <a:lt1>
        <a:srgbClr val="FFFFFF"/>
      </a:lt1>
      <a:dk2>
        <a:srgbClr val="008080"/>
      </a:dk2>
      <a:lt2>
        <a:srgbClr val="EAF3F5"/>
      </a:lt2>
      <a:accent1>
        <a:srgbClr val="339966"/>
      </a:accent1>
      <a:accent2>
        <a:srgbClr val="33CC33"/>
      </a:accent2>
      <a:accent3>
        <a:srgbClr val="72899D"/>
      </a:accent3>
      <a:accent4>
        <a:srgbClr val="AAB8C4"/>
      </a:accent4>
      <a:accent5>
        <a:srgbClr val="006666"/>
      </a:accent5>
      <a:accent6>
        <a:srgbClr val="FFCCFF"/>
      </a:accent6>
      <a:hlink>
        <a:srgbClr val="339933"/>
      </a:hlink>
      <a:folHlink>
        <a:srgbClr val="FFCCC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1BD4133F28514D8C0E6121C9C63BEE" ma:contentTypeVersion="6" ma:contentTypeDescription="Create a new document." ma:contentTypeScope="" ma:versionID="7d59e54706014a5d023104c2ae0aa3cf">
  <xsd:schema xmlns:xsd="http://www.w3.org/2001/XMLSchema" xmlns:xs="http://www.w3.org/2001/XMLSchema" xmlns:p="http://schemas.microsoft.com/office/2006/metadata/properties" xmlns:ns2="83b1643b-c358-4dde-ba9b-9c054d43d0ac" targetNamespace="http://schemas.microsoft.com/office/2006/metadata/properties" ma:root="true" ma:fieldsID="3ae4c4ae93c0e294a580e59aa1c768ba" ns2:_="">
    <xsd:import namespace="83b1643b-c358-4dde-ba9b-9c054d43d0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time" minOccurs="0"/>
                <xsd:element ref="ns2:Notes_x003a_co_x002d_draft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1643b-c358-4dde-ba9b-9c054d43d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time" ma:index="12" nillable="true" ma:displayName="date &amp; time" ma:format="DateTime" ma:internalName="datetime">
      <xsd:simpleType>
        <xsd:restriction base="dms:DateTime"/>
      </xsd:simpleType>
    </xsd:element>
    <xsd:element name="Notes_x003a_co_x002d_drafters" ma:index="13" nillable="true" ma:displayName="Notes:  co-drafters" ma:format="Dropdown" ma:internalName="Notes_x003a_co_x002d_draft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_x003a_co_x002d_drafters xmlns="83b1643b-c358-4dde-ba9b-9c054d43d0ac" xsi:nil="true"/>
    <datetime xmlns="83b1643b-c358-4dde-ba9b-9c054d43d0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11F7A-4E72-45CB-A072-2C3E353E4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1643b-c358-4dde-ba9b-9c054d43d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03FCF2-2FBE-41A5-B53D-CC20DFBAD72A}">
  <ds:schemaRefs>
    <ds:schemaRef ds:uri="http://schemas.microsoft.com/sharepoint/v3/contenttype/forms"/>
  </ds:schemaRefs>
</ds:datastoreItem>
</file>

<file path=customXml/itemProps3.xml><?xml version="1.0" encoding="utf-8"?>
<ds:datastoreItem xmlns:ds="http://schemas.openxmlformats.org/officeDocument/2006/customXml" ds:itemID="{8799C0FE-3CDC-4AD9-A180-A43AE7E121FC}">
  <ds:schemaRefs>
    <ds:schemaRef ds:uri="http://schemas.microsoft.com/office/2006/metadata/properties"/>
    <ds:schemaRef ds:uri="http://schemas.microsoft.com/office/infopath/2007/PartnerControls"/>
    <ds:schemaRef ds:uri="83b1643b-c358-4dde-ba9b-9c054d43d0ac"/>
  </ds:schemaRefs>
</ds:datastoreItem>
</file>

<file path=customXml/itemProps4.xml><?xml version="1.0" encoding="utf-8"?>
<ds:datastoreItem xmlns:ds="http://schemas.openxmlformats.org/officeDocument/2006/customXml" ds:itemID="{4B6D3A4A-C368-4D21-8120-EE922592B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31</Pages>
  <Words>14509</Words>
  <Characters>76829</Characters>
  <Application>Microsoft Office Word</Application>
  <DocSecurity>0</DocSecurity>
  <Lines>640</Lines>
  <Paragraphs>182</Paragraphs>
  <ScaleCrop>false</ScaleCrop>
  <HeadingPairs>
    <vt:vector size="2" baseType="variant">
      <vt:variant>
        <vt:lpstr>Title</vt:lpstr>
      </vt:variant>
      <vt:variant>
        <vt:i4>1</vt:i4>
      </vt:variant>
    </vt:vector>
  </HeadingPairs>
  <TitlesOfParts>
    <vt:vector size="1" baseType="lpstr">
      <vt:lpstr>C/59/4</vt:lpstr>
    </vt:vector>
  </TitlesOfParts>
  <Company>UPOV</Company>
  <LinksUpToDate>false</LinksUpToDate>
  <CharactersWithSpaces>91156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C/59/4</dc:title>
  <dc:subject/>
  <dc:creator>SANCHEZ VIZCAINO GOMEZ Rosa Maria</dc:creator>
  <cp:keywords/>
  <cp:lastModifiedBy>SANCHEZ VIZCAINO GOMEZ Rosa Maria</cp:lastModifiedBy>
  <cp:revision>13</cp:revision>
  <cp:lastPrinted>2025-09-05T07:14:00Z</cp:lastPrinted>
  <dcterms:created xsi:type="dcterms:W3CDTF">2025-09-26T09:14:00Z</dcterms:created>
  <dcterms:modified xsi:type="dcterms:W3CDTF">2025-09-26T11:05:00Z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5b3bc20a,2fa97c58,6c6af7c5,5bf11c7e,79b4bdc2</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ContentTypeId">
    <vt:lpwstr>0x010100301BD4133F28514D8C0E6121C9C63BEE</vt:lpwstr>
  </property>
  <property fmtid="{D5CDD505-2E9C-101B-9397-08002B2CF9AE}" pid="6" name="docLang">
    <vt:lpwstr>en</vt:lpwstr>
  </property>
  <property fmtid="{D5CDD505-2E9C-101B-9397-08002B2CF9AE}" pid="7" name="MSIP_Label_20773ee6-353b-4fb9-a59d-0b94c8c67bea_Enabled">
    <vt:lpwstr>true</vt:lpwstr>
  </property>
  <property fmtid="{D5CDD505-2E9C-101B-9397-08002B2CF9AE}" pid="8" name="MSIP_Label_20773ee6-353b-4fb9-a59d-0b94c8c67bea_SetDate">
    <vt:lpwstr>2025-09-23T13:35:46Z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9911360e-f234-4001-9851-3143a1589bf7</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