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055FAC" w14:paraId="5B736B37" w14:textId="77777777" w:rsidTr="00EB4E9C">
        <w:tc>
          <w:tcPr>
            <w:tcW w:w="6522" w:type="dxa"/>
          </w:tcPr>
          <w:p w14:paraId="6180D4FC" w14:textId="66C57B4C" w:rsidR="00DC3802" w:rsidRPr="00055FAC" w:rsidRDefault="004846F1" w:rsidP="00AC2883">
            <w:pPr>
              <w:rPr>
                <w:lang w:val="es-419"/>
              </w:rPr>
            </w:pPr>
            <w:r>
              <w:rPr>
                <w:noProof/>
              </w:rPr>
              <w:drawing>
                <wp:inline distT="0" distB="0" distL="0" distR="0" wp14:anchorId="411803AD" wp14:editId="5151E15C">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2677C2A8" w14:textId="77777777" w:rsidR="00DC3802" w:rsidRPr="00055FAC" w:rsidRDefault="002E5944" w:rsidP="00AC2883">
            <w:pPr>
              <w:pStyle w:val="Lettrine"/>
              <w:rPr>
                <w:lang w:val="es-419"/>
              </w:rPr>
            </w:pPr>
            <w:r w:rsidRPr="00055FAC">
              <w:rPr>
                <w:lang w:val="es-419"/>
              </w:rPr>
              <w:t>S</w:t>
            </w:r>
          </w:p>
        </w:tc>
      </w:tr>
      <w:tr w:rsidR="00DC3802" w:rsidRPr="00055FAC" w14:paraId="4EC36D5B" w14:textId="77777777" w:rsidTr="00645CA8">
        <w:trPr>
          <w:trHeight w:val="219"/>
        </w:trPr>
        <w:tc>
          <w:tcPr>
            <w:tcW w:w="6522" w:type="dxa"/>
          </w:tcPr>
          <w:p w14:paraId="75E5020E" w14:textId="77777777" w:rsidR="00DC3802" w:rsidRPr="00055FAC" w:rsidRDefault="002E5944" w:rsidP="00BC0BD4">
            <w:pPr>
              <w:pStyle w:val="upove"/>
              <w:rPr>
                <w:lang w:val="es-419"/>
              </w:rPr>
            </w:pPr>
            <w:r w:rsidRPr="00055FAC">
              <w:rPr>
                <w:lang w:val="es-419"/>
              </w:rPr>
              <w:t>Unión Internacional para la Protección de las Obtenciones Vegetales</w:t>
            </w:r>
          </w:p>
        </w:tc>
        <w:tc>
          <w:tcPr>
            <w:tcW w:w="3117" w:type="dxa"/>
          </w:tcPr>
          <w:p w14:paraId="6D8CD48F" w14:textId="77777777" w:rsidR="00DC3802" w:rsidRPr="00055FAC" w:rsidRDefault="00DC3802" w:rsidP="00DA4973">
            <w:pPr>
              <w:rPr>
                <w:lang w:val="es-419"/>
              </w:rPr>
            </w:pPr>
          </w:p>
        </w:tc>
      </w:tr>
    </w:tbl>
    <w:p w14:paraId="3A471C31" w14:textId="77777777" w:rsidR="00DC3802" w:rsidRPr="00055FAC" w:rsidRDefault="00DC3802" w:rsidP="00DC3802">
      <w:pPr>
        <w:rPr>
          <w:lang w:val="es-419"/>
        </w:rPr>
      </w:pPr>
    </w:p>
    <w:p w14:paraId="55115F5D" w14:textId="77777777" w:rsidR="00DA4973" w:rsidRPr="00055FAC" w:rsidRDefault="00DA4973" w:rsidP="00DC3802">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055FAC" w14:paraId="07F7514C" w14:textId="77777777" w:rsidTr="00EB4E9C">
        <w:tc>
          <w:tcPr>
            <w:tcW w:w="6512" w:type="dxa"/>
          </w:tcPr>
          <w:p w14:paraId="16844B47" w14:textId="77777777" w:rsidR="00EB4E9C" w:rsidRPr="00055FAC" w:rsidRDefault="00EA65D2" w:rsidP="00AC2883">
            <w:pPr>
              <w:pStyle w:val="Sessiontc"/>
              <w:spacing w:line="240" w:lineRule="auto"/>
              <w:rPr>
                <w:lang w:val="es-419"/>
              </w:rPr>
            </w:pPr>
            <w:r w:rsidRPr="00055FAC">
              <w:rPr>
                <w:lang w:val="es-419"/>
              </w:rPr>
              <w:t>Consejo</w:t>
            </w:r>
          </w:p>
          <w:p w14:paraId="6C48AA1F" w14:textId="77777777" w:rsidR="00CD004F" w:rsidRPr="00055FAC" w:rsidRDefault="00EA65D2" w:rsidP="00313F48">
            <w:pPr>
              <w:pStyle w:val="Sessiontcplacedate"/>
              <w:rPr>
                <w:lang w:val="es-419"/>
              </w:rPr>
            </w:pPr>
            <w:r w:rsidRPr="00055FAC">
              <w:rPr>
                <w:lang w:val="es-419"/>
              </w:rPr>
              <w:t xml:space="preserve">Quincuagésima </w:t>
            </w:r>
            <w:r w:rsidR="007F709B" w:rsidRPr="00055FAC">
              <w:rPr>
                <w:lang w:val="es-419"/>
              </w:rPr>
              <w:t xml:space="preserve">novena </w:t>
            </w:r>
            <w:r w:rsidR="002E5944" w:rsidRPr="00055FAC">
              <w:rPr>
                <w:lang w:val="es-419"/>
              </w:rPr>
              <w:t>sesión</w:t>
            </w:r>
            <w:r w:rsidRPr="00055FAC">
              <w:rPr>
                <w:lang w:val="es-419"/>
              </w:rPr>
              <w:t xml:space="preserve"> ordinaria</w:t>
            </w:r>
          </w:p>
          <w:p w14:paraId="3AB36478" w14:textId="77777777" w:rsidR="00EB4E9C" w:rsidRPr="00055FAC" w:rsidRDefault="002E5944" w:rsidP="007C190D">
            <w:pPr>
              <w:pStyle w:val="Sessiontcplacedate"/>
              <w:rPr>
                <w:sz w:val="22"/>
                <w:lang w:val="es-419"/>
              </w:rPr>
            </w:pPr>
            <w:r w:rsidRPr="00055FAC">
              <w:rPr>
                <w:lang w:val="es-419"/>
              </w:rPr>
              <w:t>Ginebra</w:t>
            </w:r>
            <w:r w:rsidR="00EB4E9C" w:rsidRPr="00055FAC">
              <w:rPr>
                <w:lang w:val="es-419"/>
              </w:rPr>
              <w:t xml:space="preserve">, </w:t>
            </w:r>
            <w:r w:rsidR="00313F48" w:rsidRPr="00055FAC">
              <w:rPr>
                <w:lang w:val="es-419"/>
              </w:rPr>
              <w:t>2</w:t>
            </w:r>
            <w:r w:rsidR="007F709B" w:rsidRPr="00055FAC">
              <w:rPr>
                <w:lang w:val="es-419"/>
              </w:rPr>
              <w:t>4</w:t>
            </w:r>
            <w:r w:rsidR="008364BE" w:rsidRPr="00055FAC">
              <w:rPr>
                <w:lang w:val="es-419"/>
              </w:rPr>
              <w:t xml:space="preserve"> de octubre de </w:t>
            </w:r>
            <w:r w:rsidR="007F709B" w:rsidRPr="00055FAC">
              <w:rPr>
                <w:lang w:val="es-419"/>
              </w:rPr>
              <w:t>2025</w:t>
            </w:r>
          </w:p>
        </w:tc>
        <w:tc>
          <w:tcPr>
            <w:tcW w:w="3127" w:type="dxa"/>
          </w:tcPr>
          <w:p w14:paraId="0F221727" w14:textId="430B4E89" w:rsidR="00EB4E9C" w:rsidRPr="00055FAC" w:rsidRDefault="007F709B" w:rsidP="003C7FBE">
            <w:pPr>
              <w:pStyle w:val="Doccode"/>
              <w:rPr>
                <w:lang w:val="es-419"/>
              </w:rPr>
            </w:pPr>
            <w:r w:rsidRPr="00055FAC">
              <w:rPr>
                <w:lang w:val="es-419"/>
              </w:rPr>
              <w:t>C/59/</w:t>
            </w:r>
            <w:r w:rsidR="00895AF9" w:rsidRPr="00055FAC">
              <w:rPr>
                <w:lang w:val="es-419"/>
              </w:rPr>
              <w:t>16</w:t>
            </w:r>
          </w:p>
          <w:p w14:paraId="29DEF88E" w14:textId="1CC1D8D4" w:rsidR="00EB4E9C" w:rsidRPr="00055FAC" w:rsidRDefault="00EB4E9C" w:rsidP="003C7FBE">
            <w:pPr>
              <w:pStyle w:val="Docoriginal"/>
              <w:rPr>
                <w:lang w:val="es-419"/>
              </w:rPr>
            </w:pPr>
            <w:r w:rsidRPr="00055FAC">
              <w:rPr>
                <w:lang w:val="es-419"/>
              </w:rPr>
              <w:t>Original</w:t>
            </w:r>
            <w:r w:rsidR="004969A3" w:rsidRPr="00055FAC">
              <w:rPr>
                <w:lang w:val="es-419"/>
              </w:rPr>
              <w:t xml:space="preserve">: </w:t>
            </w:r>
            <w:r w:rsidR="002E5944" w:rsidRPr="00055FAC">
              <w:rPr>
                <w:b w:val="0"/>
                <w:spacing w:val="0"/>
                <w:lang w:val="es-419"/>
              </w:rPr>
              <w:t>Inglés</w:t>
            </w:r>
          </w:p>
          <w:p w14:paraId="69F21AB4" w14:textId="0430BA10" w:rsidR="00EB4E9C" w:rsidRPr="00055FAC" w:rsidRDefault="002E5944" w:rsidP="00313F48">
            <w:pPr>
              <w:pStyle w:val="Docoriginal"/>
              <w:rPr>
                <w:lang w:val="es-419"/>
              </w:rPr>
            </w:pPr>
            <w:r w:rsidRPr="00055FAC">
              <w:rPr>
                <w:lang w:val="es-419"/>
              </w:rPr>
              <w:t>Fecha</w:t>
            </w:r>
            <w:r w:rsidR="004969A3" w:rsidRPr="00055FAC">
              <w:rPr>
                <w:lang w:val="es-419"/>
              </w:rPr>
              <w:t xml:space="preserve">: </w:t>
            </w:r>
            <w:r w:rsidR="00895AF9" w:rsidRPr="004846F1">
              <w:rPr>
                <w:b w:val="0"/>
                <w:spacing w:val="0"/>
                <w:lang w:val="es-419"/>
              </w:rPr>
              <w:t>1</w:t>
            </w:r>
            <w:r w:rsidR="004846F1">
              <w:rPr>
                <w:b w:val="0"/>
                <w:spacing w:val="0"/>
                <w:lang w:val="es-419"/>
              </w:rPr>
              <w:t>9</w:t>
            </w:r>
            <w:r w:rsidR="00895AF9" w:rsidRPr="004846F1">
              <w:rPr>
                <w:b w:val="0"/>
                <w:spacing w:val="0"/>
                <w:lang w:val="es-419"/>
              </w:rPr>
              <w:t xml:space="preserve"> de septiembre de 2025</w:t>
            </w:r>
          </w:p>
        </w:tc>
      </w:tr>
    </w:tbl>
    <w:p w14:paraId="35F68549" w14:textId="1CDDFBFC" w:rsidR="000D7780" w:rsidRPr="00055FAC" w:rsidRDefault="00895AF9" w:rsidP="006A644A">
      <w:pPr>
        <w:pStyle w:val="Titleofdoc0"/>
        <w:rPr>
          <w:lang w:val="es-419"/>
        </w:rPr>
      </w:pPr>
      <w:r w:rsidRPr="00055FAC">
        <w:rPr>
          <w:lang w:val="es-419"/>
        </w:rPr>
        <w:t>Estrategia de recursos de la UPOV</w:t>
      </w:r>
    </w:p>
    <w:p w14:paraId="4D640F98" w14:textId="77777777" w:rsidR="006A644A" w:rsidRPr="00055FAC" w:rsidRDefault="000638A9" w:rsidP="006A644A">
      <w:pPr>
        <w:pStyle w:val="preparedby1"/>
        <w:jc w:val="left"/>
        <w:rPr>
          <w:lang w:val="es-419"/>
        </w:rPr>
      </w:pPr>
      <w:r w:rsidRPr="00055FAC">
        <w:rPr>
          <w:lang w:val="es-419"/>
        </w:rPr>
        <w:t>Documento preparado por la Oficina de la Unión</w:t>
      </w:r>
    </w:p>
    <w:p w14:paraId="12B71E67" w14:textId="77777777" w:rsidR="00050E16" w:rsidRPr="00055FAC" w:rsidRDefault="000638A9" w:rsidP="006A644A">
      <w:pPr>
        <w:pStyle w:val="Disclaimer"/>
        <w:rPr>
          <w:lang w:val="es-419"/>
        </w:rPr>
      </w:pPr>
      <w:r w:rsidRPr="00055FAC">
        <w:rPr>
          <w:lang w:val="es-419"/>
        </w:rPr>
        <w:t>Descargo de responsabilidad: el presente documento no constituye un documento de política u orientación de la UPOV</w:t>
      </w:r>
    </w:p>
    <w:p w14:paraId="2C2B2AF0" w14:textId="5B1723D3" w:rsidR="00895AF9" w:rsidRPr="00055FAC" w:rsidRDefault="00895AF9" w:rsidP="00895AF9">
      <w:pPr>
        <w:rPr>
          <w:lang w:val="es-419"/>
        </w:rPr>
      </w:pPr>
      <w:r w:rsidRPr="00055FAC">
        <w:rPr>
          <w:lang w:val="es-419"/>
        </w:rPr>
        <w:fldChar w:fldCharType="begin"/>
      </w:r>
      <w:r w:rsidRPr="00055FAC">
        <w:rPr>
          <w:lang w:val="es-419"/>
        </w:rPr>
        <w:instrText xml:space="preserve"> AUTONUM  </w:instrText>
      </w:r>
      <w:r w:rsidRPr="00055FAC">
        <w:rPr>
          <w:lang w:val="es-419"/>
        </w:rPr>
        <w:fldChar w:fldCharType="end"/>
      </w:r>
      <w:r w:rsidRPr="00055FAC">
        <w:rPr>
          <w:lang w:val="es-419"/>
        </w:rPr>
        <w:tab/>
        <w:t>En 2024, el Comité Consultivo respaldó la elaboración de una estrategia de recursos de la UPOV para mejorar la sostenibilidad financiera a largo plazo de la UPOV y aumentar el alcance y la repercusión de la</w:t>
      </w:r>
      <w:r w:rsidR="00F20EAC">
        <w:rPr>
          <w:lang w:val="es-419"/>
        </w:rPr>
        <w:t> </w:t>
      </w:r>
      <w:r w:rsidRPr="00055FAC">
        <w:rPr>
          <w:lang w:val="es-419"/>
        </w:rPr>
        <w:t>UPOV de conformidad con el Plan Operativo Estratégico 2026-2029 (documento C/59/14)</w:t>
      </w:r>
      <w:r w:rsidR="004969A3" w:rsidRPr="00055FAC">
        <w:rPr>
          <w:lang w:val="es-419"/>
        </w:rPr>
        <w:t xml:space="preserve">. </w:t>
      </w:r>
    </w:p>
    <w:p w14:paraId="0F1AFC54" w14:textId="77777777" w:rsidR="00895AF9" w:rsidRPr="00055FAC" w:rsidRDefault="00895AF9" w:rsidP="00895AF9">
      <w:pPr>
        <w:rPr>
          <w:lang w:val="es-419"/>
        </w:rPr>
      </w:pPr>
    </w:p>
    <w:p w14:paraId="194ECC67" w14:textId="21C62998" w:rsidR="00895AF9" w:rsidRPr="00055FAC" w:rsidRDefault="00895AF9" w:rsidP="00895AF9">
      <w:pPr>
        <w:rPr>
          <w:snapToGrid w:val="0"/>
          <w:lang w:val="es-419"/>
        </w:rPr>
      </w:pPr>
      <w:r w:rsidRPr="00055FAC">
        <w:rPr>
          <w:snapToGrid w:val="0"/>
          <w:lang w:val="es-419"/>
        </w:rPr>
        <w:fldChar w:fldCharType="begin"/>
      </w:r>
      <w:r w:rsidRPr="00055FAC">
        <w:rPr>
          <w:snapToGrid w:val="0"/>
          <w:lang w:val="es-419"/>
        </w:rPr>
        <w:instrText xml:space="preserve"> AUTONUM  </w:instrText>
      </w:r>
      <w:r w:rsidRPr="00055FAC">
        <w:rPr>
          <w:snapToGrid w:val="0"/>
          <w:lang w:val="es-419"/>
        </w:rPr>
        <w:fldChar w:fldCharType="end"/>
      </w:r>
      <w:r w:rsidRPr="00055FAC">
        <w:rPr>
          <w:snapToGrid w:val="0"/>
          <w:lang w:val="es-419"/>
        </w:rPr>
        <w:tab/>
        <w:t>La estrategia de recursos ha sido elaborada con el fin de garantizar la sostenibilidad financiera para potenciar la misión de la UPOV</w:t>
      </w:r>
      <w:r w:rsidR="004969A3" w:rsidRPr="00055FAC">
        <w:rPr>
          <w:snapToGrid w:val="0"/>
          <w:lang w:val="es-419"/>
        </w:rPr>
        <w:t xml:space="preserve">. </w:t>
      </w:r>
      <w:r w:rsidR="00F20EAC">
        <w:rPr>
          <w:snapToGrid w:val="0"/>
          <w:lang w:val="es-419"/>
        </w:rPr>
        <w:t xml:space="preserve"> </w:t>
      </w:r>
      <w:r w:rsidRPr="00055FAC">
        <w:rPr>
          <w:snapToGrid w:val="0"/>
          <w:lang w:val="es-419"/>
        </w:rPr>
        <w:t>La finalidad de la estrategia es dotar a la UPOV de recursos financieros y humanos suficientes y estables para funcionar con eficacia, fomentar la colaboración y apoyar la innovación en la protección de las obtenciones vegetales en todo el mundo.</w:t>
      </w:r>
    </w:p>
    <w:p w14:paraId="7F04537F" w14:textId="77777777" w:rsidR="00895AF9" w:rsidRPr="00055FAC" w:rsidRDefault="00895AF9" w:rsidP="00895AF9">
      <w:pPr>
        <w:rPr>
          <w:snapToGrid w:val="0"/>
          <w:lang w:val="es-419"/>
        </w:rPr>
      </w:pPr>
    </w:p>
    <w:p w14:paraId="6404254C" w14:textId="77777777" w:rsidR="00895AF9" w:rsidRPr="00055FAC" w:rsidRDefault="00895AF9" w:rsidP="00895AF9">
      <w:pPr>
        <w:rPr>
          <w:lang w:val="es-419"/>
        </w:rPr>
      </w:pPr>
      <w:r w:rsidRPr="00055FAC">
        <w:rPr>
          <w:lang w:val="es-419"/>
        </w:rPr>
        <w:fldChar w:fldCharType="begin"/>
      </w:r>
      <w:r w:rsidRPr="00055FAC">
        <w:rPr>
          <w:lang w:val="es-419"/>
        </w:rPr>
        <w:instrText xml:space="preserve"> AUTONUM  </w:instrText>
      </w:r>
      <w:r w:rsidRPr="00055FAC">
        <w:rPr>
          <w:lang w:val="es-419"/>
        </w:rPr>
        <w:fldChar w:fldCharType="end"/>
      </w:r>
      <w:r w:rsidRPr="00055FAC">
        <w:rPr>
          <w:lang w:val="es-419"/>
        </w:rPr>
        <w:tab/>
        <w:t xml:space="preserve">De conformidad con la propuesta que figura en el proyecto de programa y presupuesto para el bienio 2026-2027 de llevar a cabo consultas con los miembros de la UPOV para evaluar el valor de la unidad de contribución (véase el párrafo 21 del Anexo del documento C/59/4), en la estrategia de recursos de la UPOV se prevé que los miembros mantengan debates sobre la reforma de la unidad de contribución, incluida la necesidad de: i) ajustar el valor de la unidad de contribución; y ii) desarrollar un mecanismo para realizar exámenes periódicos de la unidad de contribución. </w:t>
      </w:r>
    </w:p>
    <w:p w14:paraId="0E17BFAF" w14:textId="77777777" w:rsidR="00895AF9" w:rsidRPr="00055FAC" w:rsidRDefault="00895AF9" w:rsidP="00895AF9">
      <w:pPr>
        <w:rPr>
          <w:lang w:val="es-419"/>
        </w:rPr>
      </w:pPr>
    </w:p>
    <w:p w14:paraId="402165B4" w14:textId="59C51E9D" w:rsidR="00895AF9" w:rsidRPr="00055FAC" w:rsidRDefault="00895AF9" w:rsidP="00895AF9">
      <w:pPr>
        <w:rPr>
          <w:lang w:val="es-419"/>
        </w:rPr>
      </w:pPr>
      <w:r w:rsidRPr="00055FAC">
        <w:rPr>
          <w:lang w:val="es-419"/>
        </w:rPr>
        <w:fldChar w:fldCharType="begin"/>
      </w:r>
      <w:r w:rsidRPr="00055FAC">
        <w:rPr>
          <w:lang w:val="es-419"/>
        </w:rPr>
        <w:instrText xml:space="preserve"> AUTONUM  </w:instrText>
      </w:r>
      <w:r w:rsidRPr="00055FAC">
        <w:rPr>
          <w:lang w:val="es-419"/>
        </w:rPr>
        <w:fldChar w:fldCharType="end"/>
      </w:r>
      <w:r w:rsidRPr="00055FAC">
        <w:rPr>
          <w:lang w:val="es-419"/>
        </w:rPr>
        <w:tab/>
        <w:t xml:space="preserve">En la estrategia </w:t>
      </w:r>
      <w:r w:rsidR="00F20EAC">
        <w:rPr>
          <w:lang w:val="es-419"/>
        </w:rPr>
        <w:t xml:space="preserve">de recursos </w:t>
      </w:r>
      <w:r w:rsidRPr="00055FAC">
        <w:rPr>
          <w:lang w:val="es-419"/>
        </w:rPr>
        <w:t xml:space="preserve">también se tienen en cuenta los resultados del examen de 2025 del acuerdo de prestación de servicios entre la OMPI y la UPOV, que supuso un aumento sustancial del costo de los servicios prestados por la OMPI a la UPOV. </w:t>
      </w:r>
    </w:p>
    <w:p w14:paraId="5C478F05" w14:textId="77777777" w:rsidR="00895AF9" w:rsidRPr="00055FAC" w:rsidRDefault="00895AF9" w:rsidP="00895AF9">
      <w:pPr>
        <w:rPr>
          <w:lang w:val="es-419"/>
        </w:rPr>
      </w:pPr>
    </w:p>
    <w:p w14:paraId="40468A7C" w14:textId="493B0341" w:rsidR="00895AF9" w:rsidRPr="00055FAC" w:rsidRDefault="00895AF9" w:rsidP="00895AF9">
      <w:pPr>
        <w:rPr>
          <w:lang w:val="es-419"/>
        </w:rPr>
      </w:pPr>
      <w:r w:rsidRPr="00055FAC">
        <w:rPr>
          <w:lang w:val="es-419"/>
        </w:rPr>
        <w:fldChar w:fldCharType="begin"/>
      </w:r>
      <w:r w:rsidRPr="00055FAC">
        <w:rPr>
          <w:lang w:val="es-419"/>
        </w:rPr>
        <w:instrText xml:space="preserve"> AUTONUM  </w:instrText>
      </w:r>
      <w:r w:rsidRPr="00055FAC">
        <w:rPr>
          <w:lang w:val="es-419"/>
        </w:rPr>
        <w:fldChar w:fldCharType="end"/>
      </w:r>
      <w:r w:rsidRPr="00055FAC">
        <w:rPr>
          <w:lang w:val="es-419"/>
        </w:rPr>
        <w:tab/>
        <w:t>En 2003 se inició un debate sobre la situación financiera de la UPOV con la ayuda de un Grupo Consultivo</w:t>
      </w:r>
      <w:r w:rsidR="004969A3" w:rsidRPr="00055FAC">
        <w:rPr>
          <w:lang w:val="es-419"/>
        </w:rPr>
        <w:t xml:space="preserve">. </w:t>
      </w:r>
      <w:r w:rsidRPr="00055FAC">
        <w:rPr>
          <w:lang w:val="es-419"/>
        </w:rPr>
        <w:t>El Comité Consultivo tal vez desee crear un Grupo Consultivo encargado de preparar recomendaciones sobre las cuestiones señaladas en la estrategia, para su examen por el Comité Consultivo y el Consejo en 2026.</w:t>
      </w:r>
    </w:p>
    <w:p w14:paraId="6D3B7E73" w14:textId="77777777" w:rsidR="00895AF9" w:rsidRPr="00055FAC" w:rsidRDefault="00895AF9" w:rsidP="00895AF9">
      <w:pPr>
        <w:rPr>
          <w:lang w:val="es-419"/>
        </w:rPr>
      </w:pPr>
    </w:p>
    <w:p w14:paraId="1E6F05F4" w14:textId="7A34490B" w:rsidR="00895AF9" w:rsidRPr="00055FAC" w:rsidRDefault="00895AF9" w:rsidP="00895AF9">
      <w:pPr>
        <w:pStyle w:val="DecisionParagraphs"/>
        <w:rPr>
          <w:lang w:val="es-419"/>
        </w:rPr>
      </w:pPr>
      <w:r w:rsidRPr="00055FAC">
        <w:rPr>
          <w:lang w:val="es-419"/>
        </w:rPr>
        <w:fldChar w:fldCharType="begin"/>
      </w:r>
      <w:r w:rsidRPr="00055FAC">
        <w:rPr>
          <w:lang w:val="es-419"/>
        </w:rPr>
        <w:instrText xml:space="preserve"> AUTONUM  </w:instrText>
      </w:r>
      <w:r w:rsidRPr="00055FAC">
        <w:rPr>
          <w:lang w:val="es-419"/>
        </w:rPr>
        <w:fldChar w:fldCharType="end"/>
      </w:r>
      <w:r w:rsidRPr="00055FAC">
        <w:rPr>
          <w:lang w:val="es-419"/>
        </w:rPr>
        <w:tab/>
        <w:t xml:space="preserve">Se invita al Consejo a examinar la estrategia de recursos de la UPOV presentada en el Anexo del presente documento junto con las recomendaciones que formule el Comité Consultivo en su centésima tercera sesión, que se celebrará en Ginebra el </w:t>
      </w:r>
      <w:r w:rsidR="00F20EAC">
        <w:rPr>
          <w:lang w:val="es-419"/>
        </w:rPr>
        <w:br/>
      </w:r>
      <w:r w:rsidRPr="00055FAC">
        <w:rPr>
          <w:lang w:val="es-419"/>
        </w:rPr>
        <w:t>23 de octubre de 2025.</w:t>
      </w:r>
    </w:p>
    <w:p w14:paraId="24442501" w14:textId="77777777" w:rsidR="00895AF9" w:rsidRPr="00055FAC" w:rsidRDefault="00895AF9" w:rsidP="00895AF9">
      <w:pPr>
        <w:rPr>
          <w:lang w:val="es-419"/>
        </w:rPr>
      </w:pPr>
    </w:p>
    <w:p w14:paraId="654C5627" w14:textId="77777777" w:rsidR="00895AF9" w:rsidRPr="00055FAC" w:rsidRDefault="00895AF9" w:rsidP="00895AF9">
      <w:pPr>
        <w:jc w:val="left"/>
        <w:rPr>
          <w:lang w:val="es-419"/>
        </w:rPr>
      </w:pPr>
    </w:p>
    <w:p w14:paraId="3C91F840" w14:textId="77777777" w:rsidR="00895AF9" w:rsidRPr="00055FAC" w:rsidRDefault="00895AF9" w:rsidP="00895AF9">
      <w:pPr>
        <w:rPr>
          <w:lang w:val="es-419"/>
        </w:rPr>
      </w:pPr>
    </w:p>
    <w:p w14:paraId="46ED802C" w14:textId="77777777" w:rsidR="00895AF9" w:rsidRPr="00055FAC" w:rsidRDefault="00895AF9" w:rsidP="00895AF9">
      <w:pPr>
        <w:jc w:val="right"/>
        <w:rPr>
          <w:lang w:val="es-419"/>
        </w:rPr>
      </w:pPr>
      <w:r w:rsidRPr="00055FAC">
        <w:rPr>
          <w:lang w:val="es-419"/>
        </w:rPr>
        <w:t>[Sigue el Anexo]</w:t>
      </w:r>
    </w:p>
    <w:p w14:paraId="205AF86B" w14:textId="77777777" w:rsidR="00895AF9" w:rsidRPr="00055FAC" w:rsidRDefault="00895AF9" w:rsidP="00895AF9">
      <w:pPr>
        <w:jc w:val="left"/>
        <w:rPr>
          <w:lang w:val="es-419"/>
        </w:rPr>
      </w:pPr>
    </w:p>
    <w:p w14:paraId="5CF8F1F1" w14:textId="77777777" w:rsidR="00895AF9" w:rsidRPr="00055FAC" w:rsidRDefault="00895AF9" w:rsidP="00895AF9">
      <w:pPr>
        <w:jc w:val="left"/>
        <w:rPr>
          <w:lang w:val="es-419"/>
        </w:rPr>
      </w:pPr>
    </w:p>
    <w:p w14:paraId="556698EB" w14:textId="77777777" w:rsidR="00895AF9" w:rsidRPr="00055FAC" w:rsidRDefault="00895AF9" w:rsidP="00895AF9">
      <w:pPr>
        <w:jc w:val="left"/>
        <w:rPr>
          <w:lang w:val="es-419"/>
        </w:rPr>
        <w:sectPr w:rsidR="00895AF9" w:rsidRPr="00055FAC" w:rsidSect="00895AF9">
          <w:headerReference w:type="default" r:id="rId7"/>
          <w:pgSz w:w="11907" w:h="16840" w:code="9"/>
          <w:pgMar w:top="510" w:right="1134" w:bottom="1134" w:left="1134" w:header="510" w:footer="680" w:gutter="0"/>
          <w:pgNumType w:start="1"/>
          <w:cols w:space="720"/>
          <w:titlePg/>
        </w:sectPr>
      </w:pPr>
    </w:p>
    <w:p w14:paraId="0FD77455" w14:textId="77777777" w:rsidR="00C03ACB" w:rsidRDefault="00C03ACB" w:rsidP="00895AF9">
      <w:pPr>
        <w:jc w:val="left"/>
        <w:rPr>
          <w:lang w:val="es-419"/>
        </w:rPr>
      </w:pPr>
      <w:r>
        <w:rPr>
          <w:noProof/>
          <w:lang w:val="es-419"/>
        </w:rPr>
        <w:lastRenderedPageBreak/>
        <w:drawing>
          <wp:inline distT="0" distB="0" distL="0" distR="0" wp14:anchorId="56A3BED7" wp14:editId="7641EC65">
            <wp:extent cx="9897436" cy="5462546"/>
            <wp:effectExtent l="0" t="0" r="0" b="5080"/>
            <wp:docPr id="661165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0290" cy="5475160"/>
                    </a:xfrm>
                    <a:prstGeom prst="rect">
                      <a:avLst/>
                    </a:prstGeom>
                    <a:noFill/>
                  </pic:spPr>
                </pic:pic>
              </a:graphicData>
            </a:graphic>
          </wp:inline>
        </w:drawing>
      </w:r>
    </w:p>
    <w:p w14:paraId="6EB5C91C" w14:textId="32A21A4B" w:rsidR="00895AF9" w:rsidRPr="00055FAC" w:rsidRDefault="00895AF9" w:rsidP="00895AF9">
      <w:pPr>
        <w:jc w:val="left"/>
        <w:rPr>
          <w:lang w:val="es-419"/>
        </w:rPr>
      </w:pPr>
      <w:r w:rsidRPr="00055FAC">
        <w:rPr>
          <w:lang w:val="es-419"/>
        </w:rPr>
        <w:br w:type="page"/>
      </w:r>
    </w:p>
    <w:p w14:paraId="4EF12371" w14:textId="2551CB63" w:rsidR="00895AF9" w:rsidRPr="00055FAC" w:rsidRDefault="00C03ACB" w:rsidP="00895AF9">
      <w:pPr>
        <w:jc w:val="center"/>
        <w:rPr>
          <w:lang w:val="es-419"/>
        </w:rPr>
      </w:pPr>
      <w:r>
        <w:rPr>
          <w:noProof/>
          <w:lang w:val="es-419"/>
        </w:rPr>
        <w:lastRenderedPageBreak/>
        <w:drawing>
          <wp:inline distT="0" distB="0" distL="0" distR="0" wp14:anchorId="3C1E7069" wp14:editId="06A37DA0">
            <wp:extent cx="9954000" cy="5709600"/>
            <wp:effectExtent l="0" t="0" r="0" b="5715"/>
            <wp:docPr id="1185200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4000" cy="5709600"/>
                    </a:xfrm>
                    <a:prstGeom prst="rect">
                      <a:avLst/>
                    </a:prstGeom>
                    <a:noFill/>
                  </pic:spPr>
                </pic:pic>
              </a:graphicData>
            </a:graphic>
          </wp:inline>
        </w:drawing>
      </w:r>
    </w:p>
    <w:p w14:paraId="13E99207" w14:textId="77777777" w:rsidR="00895AF9" w:rsidRPr="00055FAC" w:rsidRDefault="00895AF9" w:rsidP="00895AF9">
      <w:pPr>
        <w:jc w:val="center"/>
        <w:rPr>
          <w:lang w:val="es-419"/>
        </w:rPr>
      </w:pPr>
    </w:p>
    <w:p w14:paraId="1BE69BFC" w14:textId="6AE00927" w:rsidR="00050E16" w:rsidRPr="00055FAC" w:rsidRDefault="00895AF9" w:rsidP="00055FAC">
      <w:pPr>
        <w:spacing w:before="120"/>
        <w:jc w:val="right"/>
        <w:rPr>
          <w:lang w:val="es-419"/>
        </w:rPr>
      </w:pPr>
      <w:r w:rsidRPr="00055FAC">
        <w:rPr>
          <w:lang w:val="es-419"/>
        </w:rPr>
        <w:t>[Fin del Anexo y del documento]</w:t>
      </w:r>
    </w:p>
    <w:sectPr w:rsidR="00050E16" w:rsidRPr="00055FAC" w:rsidSect="00C03ACB">
      <w:headerReference w:type="default" r:id="rId10"/>
      <w:headerReference w:type="first" r:id="rId11"/>
      <w:pgSz w:w="16840" w:h="11907" w:orient="landscape" w:code="9"/>
      <w:pgMar w:top="510" w:right="680" w:bottom="680" w:left="680" w:header="51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D844" w14:textId="77777777" w:rsidR="00895AF9" w:rsidRDefault="00895AF9" w:rsidP="006655D3">
      <w:r>
        <w:separator/>
      </w:r>
    </w:p>
    <w:p w14:paraId="67A3A0F6" w14:textId="77777777" w:rsidR="00895AF9" w:rsidRDefault="00895AF9" w:rsidP="006655D3"/>
    <w:p w14:paraId="0B62EBBD" w14:textId="77777777" w:rsidR="00895AF9" w:rsidRDefault="00895AF9" w:rsidP="006655D3"/>
  </w:endnote>
  <w:endnote w:type="continuationSeparator" w:id="0">
    <w:p w14:paraId="6039FC87" w14:textId="77777777" w:rsidR="00895AF9" w:rsidRDefault="00895AF9" w:rsidP="006655D3">
      <w:r>
        <w:separator/>
      </w:r>
    </w:p>
    <w:p w14:paraId="2B99AF45" w14:textId="77777777" w:rsidR="00895AF9" w:rsidRPr="00294751" w:rsidRDefault="00895AF9">
      <w:pPr>
        <w:pStyle w:val="Footer"/>
        <w:spacing w:after="60"/>
        <w:rPr>
          <w:sz w:val="18"/>
          <w:lang w:val="fr-FR"/>
        </w:rPr>
      </w:pPr>
      <w:r w:rsidRPr="00294751">
        <w:rPr>
          <w:sz w:val="18"/>
          <w:lang w:val="fr-FR"/>
        </w:rPr>
        <w:t>[Suite de la note de la page précédente]</w:t>
      </w:r>
    </w:p>
    <w:p w14:paraId="41E5B6F1" w14:textId="77777777" w:rsidR="00895AF9" w:rsidRPr="00294751" w:rsidRDefault="00895AF9" w:rsidP="006655D3">
      <w:pPr>
        <w:rPr>
          <w:lang w:val="fr-FR"/>
        </w:rPr>
      </w:pPr>
    </w:p>
    <w:p w14:paraId="24A82354" w14:textId="77777777" w:rsidR="00895AF9" w:rsidRPr="00294751" w:rsidRDefault="00895AF9" w:rsidP="006655D3">
      <w:pPr>
        <w:rPr>
          <w:lang w:val="fr-FR"/>
        </w:rPr>
      </w:pPr>
    </w:p>
  </w:endnote>
  <w:endnote w:type="continuationNotice" w:id="1">
    <w:p w14:paraId="3E5D1C0E" w14:textId="77777777" w:rsidR="00895AF9" w:rsidRPr="00294751" w:rsidRDefault="00895AF9" w:rsidP="006655D3">
      <w:pPr>
        <w:rPr>
          <w:lang w:val="fr-FR"/>
        </w:rPr>
      </w:pPr>
      <w:r w:rsidRPr="00294751">
        <w:rPr>
          <w:lang w:val="fr-FR"/>
        </w:rPr>
        <w:t>[Suite de la note page suivante]</w:t>
      </w:r>
    </w:p>
    <w:p w14:paraId="150A0C45" w14:textId="77777777" w:rsidR="00895AF9" w:rsidRPr="00294751" w:rsidRDefault="00895AF9" w:rsidP="006655D3">
      <w:pPr>
        <w:rPr>
          <w:lang w:val="fr-FR"/>
        </w:rPr>
      </w:pPr>
    </w:p>
    <w:p w14:paraId="3D857BF9" w14:textId="77777777" w:rsidR="00895AF9" w:rsidRPr="00294751" w:rsidRDefault="00895AF9"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C6C9" w14:textId="77777777" w:rsidR="00895AF9" w:rsidRDefault="00895AF9" w:rsidP="006655D3">
      <w:r>
        <w:separator/>
      </w:r>
    </w:p>
  </w:footnote>
  <w:footnote w:type="continuationSeparator" w:id="0">
    <w:p w14:paraId="7EADFC82" w14:textId="77777777" w:rsidR="00895AF9" w:rsidRDefault="00895AF9" w:rsidP="006655D3">
      <w:r>
        <w:separator/>
      </w:r>
    </w:p>
  </w:footnote>
  <w:footnote w:type="continuationNotice" w:id="1">
    <w:p w14:paraId="3396D25F" w14:textId="77777777" w:rsidR="00895AF9" w:rsidRPr="00AB530F" w:rsidRDefault="00895AF9"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FCF3" w14:textId="77777777" w:rsidR="00895AF9" w:rsidRPr="00C5280D" w:rsidRDefault="00895AF9" w:rsidP="00EB048E">
    <w:pPr>
      <w:pStyle w:val="Header"/>
      <w:rPr>
        <w:rStyle w:val="PageNumber"/>
      </w:rPr>
    </w:pPr>
    <w:r>
      <w:rPr>
        <w:rStyle w:val="PageNumber"/>
      </w:rPr>
      <w:t>C/59/16</w:t>
    </w:r>
  </w:p>
  <w:p w14:paraId="0B64EBB2" w14:textId="77777777" w:rsidR="00895AF9" w:rsidRPr="00C5280D" w:rsidRDefault="00895AF9" w:rsidP="00EB048E">
    <w:pPr>
      <w:pStyle w:val="Header"/>
    </w:pPr>
    <w:r>
      <w:t xml:space="preserve">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39B2B10E" w14:textId="77777777" w:rsidR="00895AF9" w:rsidRPr="00C5280D" w:rsidRDefault="00895AF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FBBE" w14:textId="1AC56DD2" w:rsidR="00182B99" w:rsidRPr="000A23DC" w:rsidRDefault="007F709B" w:rsidP="000A23DC">
    <w:pPr>
      <w:pStyle w:val="Header"/>
      <w:rPr>
        <w:rStyle w:val="PageNumber"/>
      </w:rPr>
    </w:pPr>
    <w:r>
      <w:rPr>
        <w:rStyle w:val="PageNumber"/>
      </w:rPr>
      <w:t>C/59/</w:t>
    </w:r>
    <w:r w:rsidR="00055FAC">
      <w:rPr>
        <w:rStyle w:val="PageNumber"/>
      </w:rPr>
      <w:t>16</w:t>
    </w:r>
  </w:p>
  <w:p w14:paraId="79B76E4E" w14:textId="7A19B9BD" w:rsidR="00182B99" w:rsidRPr="00202E38" w:rsidRDefault="00055FAC" w:rsidP="008B3D8D">
    <w:pPr>
      <w:pStyle w:val="Header"/>
      <w:rPr>
        <w:lang w:val="de-DE"/>
      </w:rPr>
    </w:pPr>
    <w:r>
      <w:t xml:space="preserve">Anexo, </w:t>
    </w:r>
    <w:r w:rsidR="008B3D8D" w:rsidRPr="008B3D8D">
      <w:t>página</w:t>
    </w:r>
    <w:r w:rsidR="00182B99" w:rsidRPr="00202E38">
      <w:rPr>
        <w:lang w:val="de-DE"/>
      </w:rPr>
      <w:t xml:space="preserve"> </w:t>
    </w:r>
    <w:r w:rsidR="00182B99" w:rsidRPr="00202E38">
      <w:rPr>
        <w:rStyle w:val="PageNumber"/>
        <w:lang w:val="de-DE"/>
      </w:rPr>
      <w:fldChar w:fldCharType="begin"/>
    </w:r>
    <w:r w:rsidR="00182B99" w:rsidRPr="00202E38">
      <w:rPr>
        <w:rStyle w:val="PageNumber"/>
        <w:lang w:val="de-DE"/>
      </w:rPr>
      <w:instrText xml:space="preserve"> PAGE </w:instrText>
    </w:r>
    <w:r w:rsidR="00182B99" w:rsidRPr="00202E38">
      <w:rPr>
        <w:rStyle w:val="PageNumber"/>
        <w:lang w:val="de-DE"/>
      </w:rPr>
      <w:fldChar w:fldCharType="separate"/>
    </w:r>
    <w:r w:rsidR="003D5DCC">
      <w:rPr>
        <w:rStyle w:val="PageNumber"/>
        <w:noProof/>
        <w:lang w:val="de-DE"/>
      </w:rPr>
      <w:t>2</w:t>
    </w:r>
    <w:r w:rsidR="00182B99" w:rsidRPr="00202E38">
      <w:rPr>
        <w:rStyle w:val="PageNumber"/>
        <w:lang w:val="de-DE"/>
      </w:rPr>
      <w:fldChar w:fldCharType="end"/>
    </w:r>
  </w:p>
  <w:p w14:paraId="0D0F8EB7" w14:textId="77777777" w:rsidR="00182B99" w:rsidRPr="00202E38" w:rsidRDefault="00182B99" w:rsidP="006655D3">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76BD" w14:textId="7C657878" w:rsidR="00055FAC" w:rsidRDefault="00055FAC" w:rsidP="0004198B">
    <w:pPr>
      <w:pStyle w:val="Header"/>
      <w:rPr>
        <w:lang w:val="es-ES"/>
      </w:rPr>
    </w:pPr>
    <w:r>
      <w:rPr>
        <w:lang w:val="es-ES"/>
      </w:rPr>
      <w:t>C/59/16</w:t>
    </w:r>
  </w:p>
  <w:p w14:paraId="2C1CE8FE" w14:textId="72FBD648" w:rsidR="00055FAC" w:rsidRDefault="00055FAC" w:rsidP="0004198B">
    <w:pPr>
      <w:pStyle w:val="Header"/>
      <w:rPr>
        <w:lang w:val="es-ES"/>
      </w:rPr>
    </w:pPr>
    <w:r>
      <w:rPr>
        <w:lang w:val="es-ES"/>
      </w:rPr>
      <w:t>ANEXO</w:t>
    </w:r>
  </w:p>
  <w:p w14:paraId="5A59F8D2" w14:textId="77777777" w:rsidR="00055FAC" w:rsidRPr="00055FAC" w:rsidRDefault="00055FAC" w:rsidP="0004198B">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F9"/>
    <w:rsid w:val="00010CF3"/>
    <w:rsid w:val="00011E27"/>
    <w:rsid w:val="000148BC"/>
    <w:rsid w:val="00024AB8"/>
    <w:rsid w:val="00030854"/>
    <w:rsid w:val="00036028"/>
    <w:rsid w:val="00044642"/>
    <w:rsid w:val="000446B9"/>
    <w:rsid w:val="00047E21"/>
    <w:rsid w:val="00050E16"/>
    <w:rsid w:val="00055FAC"/>
    <w:rsid w:val="000638A9"/>
    <w:rsid w:val="00085505"/>
    <w:rsid w:val="000A014B"/>
    <w:rsid w:val="000A23DC"/>
    <w:rsid w:val="000A7839"/>
    <w:rsid w:val="000C4E25"/>
    <w:rsid w:val="000C7021"/>
    <w:rsid w:val="000D6BBC"/>
    <w:rsid w:val="000D7780"/>
    <w:rsid w:val="000E636A"/>
    <w:rsid w:val="000F2F11"/>
    <w:rsid w:val="00105929"/>
    <w:rsid w:val="00110C36"/>
    <w:rsid w:val="001131D5"/>
    <w:rsid w:val="00141DB8"/>
    <w:rsid w:val="001677A8"/>
    <w:rsid w:val="00172084"/>
    <w:rsid w:val="0017474A"/>
    <w:rsid w:val="001758C6"/>
    <w:rsid w:val="00182B99"/>
    <w:rsid w:val="001A18EE"/>
    <w:rsid w:val="001F64BF"/>
    <w:rsid w:val="00202E38"/>
    <w:rsid w:val="0021332C"/>
    <w:rsid w:val="00213982"/>
    <w:rsid w:val="0021469D"/>
    <w:rsid w:val="002267A0"/>
    <w:rsid w:val="0024416D"/>
    <w:rsid w:val="002464A3"/>
    <w:rsid w:val="00271911"/>
    <w:rsid w:val="002800A0"/>
    <w:rsid w:val="002801B3"/>
    <w:rsid w:val="00281060"/>
    <w:rsid w:val="002940E8"/>
    <w:rsid w:val="00294751"/>
    <w:rsid w:val="002A6E50"/>
    <w:rsid w:val="002B4298"/>
    <w:rsid w:val="002C256A"/>
    <w:rsid w:val="002E5944"/>
    <w:rsid w:val="00305A7F"/>
    <w:rsid w:val="00313F48"/>
    <w:rsid w:val="003152FE"/>
    <w:rsid w:val="00327436"/>
    <w:rsid w:val="00344BD6"/>
    <w:rsid w:val="0035528D"/>
    <w:rsid w:val="00361821"/>
    <w:rsid w:val="00361E9E"/>
    <w:rsid w:val="003B031A"/>
    <w:rsid w:val="003C7FBE"/>
    <w:rsid w:val="003D227C"/>
    <w:rsid w:val="003D2B4D"/>
    <w:rsid w:val="003D3697"/>
    <w:rsid w:val="003D5DCC"/>
    <w:rsid w:val="00401DDB"/>
    <w:rsid w:val="0040557F"/>
    <w:rsid w:val="00405DF2"/>
    <w:rsid w:val="00444A88"/>
    <w:rsid w:val="00474DA4"/>
    <w:rsid w:val="00476B4D"/>
    <w:rsid w:val="004805FA"/>
    <w:rsid w:val="004846F1"/>
    <w:rsid w:val="004935D2"/>
    <w:rsid w:val="004969A3"/>
    <w:rsid w:val="004B1215"/>
    <w:rsid w:val="004D047D"/>
    <w:rsid w:val="004D72C7"/>
    <w:rsid w:val="004F1E9E"/>
    <w:rsid w:val="004F305A"/>
    <w:rsid w:val="00512164"/>
    <w:rsid w:val="00520297"/>
    <w:rsid w:val="005338F9"/>
    <w:rsid w:val="0054281C"/>
    <w:rsid w:val="00544581"/>
    <w:rsid w:val="00545E42"/>
    <w:rsid w:val="0055268D"/>
    <w:rsid w:val="00576BE4"/>
    <w:rsid w:val="005A400A"/>
    <w:rsid w:val="005F7B92"/>
    <w:rsid w:val="00612379"/>
    <w:rsid w:val="006153B6"/>
    <w:rsid w:val="0061555F"/>
    <w:rsid w:val="00636CA6"/>
    <w:rsid w:val="00637EDD"/>
    <w:rsid w:val="00641200"/>
    <w:rsid w:val="00645CA8"/>
    <w:rsid w:val="00654BD1"/>
    <w:rsid w:val="006655D3"/>
    <w:rsid w:val="00667404"/>
    <w:rsid w:val="00687EB4"/>
    <w:rsid w:val="00695C56"/>
    <w:rsid w:val="006A32E5"/>
    <w:rsid w:val="006A5CDE"/>
    <w:rsid w:val="006A644A"/>
    <w:rsid w:val="006B17D2"/>
    <w:rsid w:val="006C224E"/>
    <w:rsid w:val="006D780A"/>
    <w:rsid w:val="0071271E"/>
    <w:rsid w:val="00732DEC"/>
    <w:rsid w:val="00735BD5"/>
    <w:rsid w:val="00751613"/>
    <w:rsid w:val="007556F6"/>
    <w:rsid w:val="00760EEF"/>
    <w:rsid w:val="0076101D"/>
    <w:rsid w:val="00777EE5"/>
    <w:rsid w:val="00783722"/>
    <w:rsid w:val="00784836"/>
    <w:rsid w:val="0079023E"/>
    <w:rsid w:val="007A2854"/>
    <w:rsid w:val="007C190D"/>
    <w:rsid w:val="007C1D92"/>
    <w:rsid w:val="007C4CB9"/>
    <w:rsid w:val="007D0B9D"/>
    <w:rsid w:val="007D19B0"/>
    <w:rsid w:val="007F498F"/>
    <w:rsid w:val="007F709B"/>
    <w:rsid w:val="0080679D"/>
    <w:rsid w:val="008108B0"/>
    <w:rsid w:val="00811B20"/>
    <w:rsid w:val="008211B5"/>
    <w:rsid w:val="0082296E"/>
    <w:rsid w:val="00824099"/>
    <w:rsid w:val="008364BE"/>
    <w:rsid w:val="00846D7C"/>
    <w:rsid w:val="008574A4"/>
    <w:rsid w:val="00864C55"/>
    <w:rsid w:val="00867AC1"/>
    <w:rsid w:val="00890DF8"/>
    <w:rsid w:val="00895AF9"/>
    <w:rsid w:val="008A743F"/>
    <w:rsid w:val="008B3D8D"/>
    <w:rsid w:val="008C0970"/>
    <w:rsid w:val="008D0BC5"/>
    <w:rsid w:val="008D2CF7"/>
    <w:rsid w:val="00900C26"/>
    <w:rsid w:val="0090197F"/>
    <w:rsid w:val="00906DDC"/>
    <w:rsid w:val="00934E09"/>
    <w:rsid w:val="00936253"/>
    <w:rsid w:val="00940D46"/>
    <w:rsid w:val="00952DD4"/>
    <w:rsid w:val="0096175D"/>
    <w:rsid w:val="00965AE7"/>
    <w:rsid w:val="00970FED"/>
    <w:rsid w:val="00992D82"/>
    <w:rsid w:val="00997029"/>
    <w:rsid w:val="009A7339"/>
    <w:rsid w:val="009B440E"/>
    <w:rsid w:val="009D690D"/>
    <w:rsid w:val="009E65B6"/>
    <w:rsid w:val="00A20FB2"/>
    <w:rsid w:val="00A24C10"/>
    <w:rsid w:val="00A42AC3"/>
    <w:rsid w:val="00A430CF"/>
    <w:rsid w:val="00A54309"/>
    <w:rsid w:val="00A706D3"/>
    <w:rsid w:val="00AB2B93"/>
    <w:rsid w:val="00AB530F"/>
    <w:rsid w:val="00AB7E5B"/>
    <w:rsid w:val="00AC2883"/>
    <w:rsid w:val="00AE0EF1"/>
    <w:rsid w:val="00AE2937"/>
    <w:rsid w:val="00B07301"/>
    <w:rsid w:val="00B11F3E"/>
    <w:rsid w:val="00B224DE"/>
    <w:rsid w:val="00B324D4"/>
    <w:rsid w:val="00B46575"/>
    <w:rsid w:val="00B61777"/>
    <w:rsid w:val="00B84BBD"/>
    <w:rsid w:val="00BA43FB"/>
    <w:rsid w:val="00BC0BD4"/>
    <w:rsid w:val="00BC127D"/>
    <w:rsid w:val="00BC1FE6"/>
    <w:rsid w:val="00C03ACB"/>
    <w:rsid w:val="00C061B6"/>
    <w:rsid w:val="00C2446C"/>
    <w:rsid w:val="00C36AE5"/>
    <w:rsid w:val="00C41F17"/>
    <w:rsid w:val="00C527FA"/>
    <w:rsid w:val="00C5280D"/>
    <w:rsid w:val="00C53EB3"/>
    <w:rsid w:val="00C5791C"/>
    <w:rsid w:val="00C66290"/>
    <w:rsid w:val="00C72B7A"/>
    <w:rsid w:val="00C75A58"/>
    <w:rsid w:val="00C87D7E"/>
    <w:rsid w:val="00C973F2"/>
    <w:rsid w:val="00CA304C"/>
    <w:rsid w:val="00CA774A"/>
    <w:rsid w:val="00CC11B0"/>
    <w:rsid w:val="00CC2841"/>
    <w:rsid w:val="00CD004F"/>
    <w:rsid w:val="00CF1330"/>
    <w:rsid w:val="00CF7E36"/>
    <w:rsid w:val="00D3708D"/>
    <w:rsid w:val="00D40426"/>
    <w:rsid w:val="00D57C96"/>
    <w:rsid w:val="00D57D18"/>
    <w:rsid w:val="00D91203"/>
    <w:rsid w:val="00D95174"/>
    <w:rsid w:val="00DA4973"/>
    <w:rsid w:val="00DA6F36"/>
    <w:rsid w:val="00DB596E"/>
    <w:rsid w:val="00DB7773"/>
    <w:rsid w:val="00DC00EA"/>
    <w:rsid w:val="00DC3802"/>
    <w:rsid w:val="00E07D87"/>
    <w:rsid w:val="00E32F7E"/>
    <w:rsid w:val="00E5267B"/>
    <w:rsid w:val="00E63C0E"/>
    <w:rsid w:val="00E72D49"/>
    <w:rsid w:val="00E7593C"/>
    <w:rsid w:val="00E7678A"/>
    <w:rsid w:val="00E935F1"/>
    <w:rsid w:val="00E94A81"/>
    <w:rsid w:val="00EA1FFB"/>
    <w:rsid w:val="00EA65D2"/>
    <w:rsid w:val="00EB048E"/>
    <w:rsid w:val="00EB4E9C"/>
    <w:rsid w:val="00EB7224"/>
    <w:rsid w:val="00EC2265"/>
    <w:rsid w:val="00EE34DF"/>
    <w:rsid w:val="00EF2F89"/>
    <w:rsid w:val="00F03E98"/>
    <w:rsid w:val="00F1237A"/>
    <w:rsid w:val="00F20EAC"/>
    <w:rsid w:val="00F22CBD"/>
    <w:rsid w:val="00F272F1"/>
    <w:rsid w:val="00F45372"/>
    <w:rsid w:val="00F560F7"/>
    <w:rsid w:val="00F6334D"/>
    <w:rsid w:val="00FA49AB"/>
    <w:rsid w:val="00FD3F8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BFBFD84"/>
  <w15:docId w15:val="{81E9A919-6C8A-4690-801E-59D32BD2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944"/>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8B3D8D"/>
    <w:pPr>
      <w:jc w:val="center"/>
    </w:pPr>
    <w:rPr>
      <w:rFonts w:ascii="Arial" w:hAnsi="Arial"/>
      <w:lang w:val="es-ES_tradn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401DDB"/>
    <w:pPr>
      <w:tabs>
        <w:tab w:val="left" w:pos="5387"/>
        <w:tab w:val="left" w:pos="5954"/>
      </w:tabs>
      <w:ind w:left="4820"/>
    </w:pPr>
    <w:rPr>
      <w:i/>
    </w:rPr>
  </w:style>
  <w:style w:type="paragraph" w:styleId="FootnoteText">
    <w:name w:val="footnote text"/>
    <w:autoRedefine/>
    <w:rsid w:val="00783722"/>
    <w:pPr>
      <w:spacing w:before="60"/>
      <w:ind w:left="567" w:hanging="567"/>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6A32E5"/>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6A32E5"/>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401DD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401DD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401DD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401DDB"/>
    <w:pPr>
      <w:tabs>
        <w:tab w:val="right" w:leader="dot" w:pos="9639"/>
      </w:tabs>
      <w:spacing w:after="120"/>
      <w:jc w:val="center"/>
    </w:pPr>
    <w:rPr>
      <w:rFonts w:ascii="Arial" w:hAnsi="Arial"/>
      <w:caps/>
    </w:rPr>
  </w:style>
  <w:style w:type="paragraph" w:styleId="TOC5">
    <w:name w:val="toc 5"/>
    <w:next w:val="Normal"/>
    <w:autoRedefine/>
    <w:rsid w:val="00401DD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C/59/16</vt:lpstr>
    </vt:vector>
  </TitlesOfParts>
  <Company>UPOV</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C/59/16</dc:title>
  <dc:creator>CEVALLOS DUQUE Nilo</dc:creator>
  <cp:lastModifiedBy>SANCHEZ VIZCAINO GOMEZ Rosa Maria</cp:lastModifiedBy>
  <cp:revision>3</cp:revision>
  <cp:lastPrinted>2016-11-22T15:41:00Z</cp:lastPrinted>
  <dcterms:created xsi:type="dcterms:W3CDTF">2025-09-23T12:16:00Z</dcterms:created>
  <dcterms:modified xsi:type="dcterms:W3CDTF">2025-09-23T12:17:00Z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2025-09-22T15:34:27Z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925eba2c-717b-4383-ba0f-e77ceb83a7c0</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