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D1174C" w14:paraId="78AE46C5" w14:textId="77777777" w:rsidTr="00EB4E9C">
        <w:tc>
          <w:tcPr>
            <w:tcW w:w="6522" w:type="dxa"/>
          </w:tcPr>
          <w:p w14:paraId="1DC1B137" w14:textId="77777777" w:rsidR="00DC3802" w:rsidRPr="00D1174C" w:rsidRDefault="00CA7BA1" w:rsidP="00AC2883">
            <w:pPr>
              <w:rPr>
                <w:lang w:val="es-419"/>
              </w:rPr>
            </w:pPr>
            <w:r w:rsidRPr="00D1174C">
              <w:rPr>
                <w:noProof/>
                <w:lang w:val="es-419"/>
              </w:rPr>
              <w:drawing>
                <wp:inline distT="0" distB="0" distL="0" distR="0" wp14:anchorId="472137D6" wp14:editId="6067EB86">
                  <wp:extent cx="933450" cy="266700"/>
                  <wp:effectExtent l="0" t="0" r="0" b="0"/>
                  <wp:docPr id="1613879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879380" name="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933450" cy="266700"/>
                          </a:xfrm>
                          <a:prstGeom prst="rect">
                            <a:avLst/>
                          </a:prstGeom>
                        </pic:spPr>
                      </pic:pic>
                    </a:graphicData>
                  </a:graphic>
                </wp:inline>
              </w:drawing>
            </w:r>
          </w:p>
        </w:tc>
        <w:tc>
          <w:tcPr>
            <w:tcW w:w="3117" w:type="dxa"/>
          </w:tcPr>
          <w:p w14:paraId="2AB83AA3" w14:textId="77777777" w:rsidR="00DC3802" w:rsidRPr="00D1174C" w:rsidRDefault="00DC3802" w:rsidP="00AC2883">
            <w:pPr>
              <w:pStyle w:val="Lettrine"/>
              <w:rPr>
                <w:lang w:val="es-419"/>
              </w:rPr>
            </w:pPr>
            <w:r w:rsidRPr="00D1174C">
              <w:rPr>
                <w:lang w:val="es-419"/>
              </w:rPr>
              <w:t>S</w:t>
            </w:r>
          </w:p>
        </w:tc>
      </w:tr>
      <w:tr w:rsidR="00DC3802" w:rsidRPr="00D1174C" w14:paraId="50FB3724" w14:textId="77777777" w:rsidTr="00645CA8">
        <w:trPr>
          <w:trHeight w:val="219"/>
        </w:trPr>
        <w:tc>
          <w:tcPr>
            <w:tcW w:w="6522" w:type="dxa"/>
          </w:tcPr>
          <w:p w14:paraId="50DDDF50" w14:textId="77777777" w:rsidR="00DC3802" w:rsidRPr="00D1174C" w:rsidRDefault="00DC3802" w:rsidP="00AC2883">
            <w:pPr>
              <w:pStyle w:val="upove"/>
              <w:rPr>
                <w:lang w:val="es-419"/>
              </w:rPr>
            </w:pPr>
            <w:r w:rsidRPr="00D1174C">
              <w:rPr>
                <w:lang w:val="es-419"/>
              </w:rPr>
              <w:t>Unión Internacional para la Protección de las Obtenciones Vegetales</w:t>
            </w:r>
          </w:p>
        </w:tc>
        <w:tc>
          <w:tcPr>
            <w:tcW w:w="3117" w:type="dxa"/>
          </w:tcPr>
          <w:p w14:paraId="6ACCE1B1" w14:textId="77777777" w:rsidR="00DC3802" w:rsidRPr="00D1174C" w:rsidRDefault="00DC3802" w:rsidP="00DA4973">
            <w:pPr>
              <w:rPr>
                <w:lang w:val="es-419"/>
              </w:rPr>
            </w:pPr>
          </w:p>
        </w:tc>
      </w:tr>
    </w:tbl>
    <w:p w14:paraId="507F3306" w14:textId="77777777" w:rsidR="00DC3802" w:rsidRPr="00D1174C" w:rsidRDefault="00DC3802" w:rsidP="00DC3802">
      <w:pPr>
        <w:rPr>
          <w:lang w:val="es-419"/>
        </w:rPr>
      </w:pPr>
    </w:p>
    <w:p w14:paraId="3AD549F1" w14:textId="77777777" w:rsidR="00DA4973" w:rsidRPr="00D1174C" w:rsidRDefault="00DA4973" w:rsidP="00DC3802">
      <w:pPr>
        <w:rPr>
          <w:lang w:val="es-419"/>
        </w:rPr>
      </w:pPr>
    </w:p>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EB4E9C" w:rsidRPr="00D1174C" w14:paraId="3D3CE3D1" w14:textId="77777777" w:rsidTr="00EB4E9C">
        <w:tc>
          <w:tcPr>
            <w:tcW w:w="6512" w:type="dxa"/>
          </w:tcPr>
          <w:p w14:paraId="23827772" w14:textId="77777777" w:rsidR="00EB4E9C" w:rsidRPr="00E36411" w:rsidRDefault="00A3365A" w:rsidP="00AC2883">
            <w:pPr>
              <w:pStyle w:val="Sessiontc"/>
              <w:spacing w:line="240" w:lineRule="auto"/>
              <w:rPr>
                <w:lang w:val="es-419"/>
              </w:rPr>
            </w:pPr>
            <w:r w:rsidRPr="00E36411">
              <w:rPr>
                <w:lang w:val="es-419"/>
              </w:rPr>
              <w:t>Consejo</w:t>
            </w:r>
          </w:p>
          <w:p w14:paraId="5F2D2289" w14:textId="77777777" w:rsidR="0083359E" w:rsidRPr="00E36411" w:rsidRDefault="00A3365A" w:rsidP="0051361E">
            <w:pPr>
              <w:pStyle w:val="Sessiontcplacedate"/>
              <w:rPr>
                <w:lang w:val="es-419"/>
              </w:rPr>
            </w:pPr>
            <w:r w:rsidRPr="00E36411">
              <w:rPr>
                <w:lang w:val="es-419"/>
              </w:rPr>
              <w:t>Quincuagésima novena sesión ordinaria</w:t>
            </w:r>
          </w:p>
          <w:p w14:paraId="6192BE9B" w14:textId="77777777" w:rsidR="00EB4E9C" w:rsidRPr="00E36411" w:rsidRDefault="00EB4E9C" w:rsidP="00E364BF">
            <w:pPr>
              <w:pStyle w:val="Sessiontcplacedate"/>
              <w:rPr>
                <w:sz w:val="22"/>
                <w:lang w:val="es-419"/>
              </w:rPr>
            </w:pPr>
            <w:r w:rsidRPr="00E36411">
              <w:rPr>
                <w:lang w:val="es-419"/>
              </w:rPr>
              <w:t>Ginebra, 24 de octubre de 2025</w:t>
            </w:r>
          </w:p>
        </w:tc>
        <w:tc>
          <w:tcPr>
            <w:tcW w:w="3127" w:type="dxa"/>
          </w:tcPr>
          <w:p w14:paraId="55A71C2B" w14:textId="2705C7F5" w:rsidR="00EB4E9C" w:rsidRPr="00E36411" w:rsidRDefault="004B69D6" w:rsidP="003C7FBE">
            <w:pPr>
              <w:pStyle w:val="Doccode"/>
              <w:rPr>
                <w:lang w:val="es-419"/>
              </w:rPr>
            </w:pPr>
            <w:r w:rsidRPr="00E36411">
              <w:rPr>
                <w:lang w:val="es-419"/>
              </w:rPr>
              <w:t>C/59/15</w:t>
            </w:r>
          </w:p>
          <w:p w14:paraId="06F091FD" w14:textId="0B6903BD" w:rsidR="00EB4E9C" w:rsidRPr="00E36411" w:rsidRDefault="00EB4E9C" w:rsidP="003C7FBE">
            <w:pPr>
              <w:pStyle w:val="Docoriginal"/>
              <w:rPr>
                <w:lang w:val="es-419"/>
              </w:rPr>
            </w:pPr>
            <w:r w:rsidRPr="00E36411">
              <w:rPr>
                <w:lang w:val="es-419"/>
              </w:rPr>
              <w:t>Original</w:t>
            </w:r>
            <w:r w:rsidR="008B4A22" w:rsidRPr="00E36411">
              <w:rPr>
                <w:lang w:val="es-419"/>
              </w:rPr>
              <w:t xml:space="preserve">: </w:t>
            </w:r>
            <w:r w:rsidRPr="00E36411">
              <w:rPr>
                <w:b w:val="0"/>
                <w:spacing w:val="0"/>
                <w:lang w:val="es-419"/>
              </w:rPr>
              <w:t>Inglés</w:t>
            </w:r>
          </w:p>
          <w:p w14:paraId="561D4DC2" w14:textId="0A15C91C" w:rsidR="00EB4E9C" w:rsidRPr="00D1174C" w:rsidRDefault="00EB4E9C" w:rsidP="00E364BF">
            <w:pPr>
              <w:pStyle w:val="Docoriginal"/>
              <w:rPr>
                <w:lang w:val="es-419"/>
              </w:rPr>
            </w:pPr>
            <w:r w:rsidRPr="00E36411">
              <w:rPr>
                <w:lang w:val="es-419"/>
              </w:rPr>
              <w:t>Fecha</w:t>
            </w:r>
            <w:r w:rsidR="008B4A22" w:rsidRPr="00E36411">
              <w:rPr>
                <w:lang w:val="es-419"/>
              </w:rPr>
              <w:t xml:space="preserve">: </w:t>
            </w:r>
            <w:r w:rsidR="00E36411" w:rsidRPr="00E36411">
              <w:rPr>
                <w:b w:val="0"/>
                <w:spacing w:val="0"/>
                <w:lang w:val="es-419"/>
              </w:rPr>
              <w:t>19 de septiembre</w:t>
            </w:r>
            <w:r w:rsidRPr="00E36411">
              <w:rPr>
                <w:b w:val="0"/>
                <w:spacing w:val="0"/>
                <w:lang w:val="es-419"/>
              </w:rPr>
              <w:t xml:space="preserve"> de 2025</w:t>
            </w:r>
          </w:p>
        </w:tc>
      </w:tr>
    </w:tbl>
    <w:p w14:paraId="45BE6E2D" w14:textId="77777777" w:rsidR="004B69D6" w:rsidRPr="00D1174C" w:rsidRDefault="004B69D6" w:rsidP="004B69D6">
      <w:pPr>
        <w:pStyle w:val="Titleofdoc0"/>
        <w:rPr>
          <w:lang w:val="es-419"/>
        </w:rPr>
      </w:pPr>
      <w:r w:rsidRPr="00D1174C">
        <w:rPr>
          <w:lang w:val="es-419"/>
        </w:rPr>
        <w:t>DECLARACIÓN SOBRE LA TOLERANCIA AL RIESGO DE LA UPOV</w:t>
      </w:r>
    </w:p>
    <w:p w14:paraId="359586C5" w14:textId="77777777" w:rsidR="004B69D6" w:rsidRPr="00D1174C" w:rsidRDefault="004B69D6" w:rsidP="004B69D6">
      <w:pPr>
        <w:pStyle w:val="preparedby1"/>
        <w:jc w:val="left"/>
        <w:rPr>
          <w:lang w:val="es-419"/>
        </w:rPr>
      </w:pPr>
      <w:r w:rsidRPr="00D1174C">
        <w:rPr>
          <w:lang w:val="es-419"/>
        </w:rPr>
        <w:t>Documento preparado por la Oficina de la Unión</w:t>
      </w:r>
    </w:p>
    <w:p w14:paraId="446005EA" w14:textId="28F1A6E8" w:rsidR="004B69D6" w:rsidRPr="00D1174C" w:rsidRDefault="004B69D6" w:rsidP="004B69D6">
      <w:pPr>
        <w:pStyle w:val="Disclaimer"/>
        <w:rPr>
          <w:lang w:val="es-419"/>
        </w:rPr>
      </w:pPr>
      <w:r w:rsidRPr="00D1174C">
        <w:rPr>
          <w:lang w:val="es-419"/>
        </w:rPr>
        <w:t>Descargo de responsabilidad</w:t>
      </w:r>
      <w:r w:rsidR="008B4A22" w:rsidRPr="00D1174C">
        <w:rPr>
          <w:lang w:val="es-419"/>
        </w:rPr>
        <w:t xml:space="preserve">: </w:t>
      </w:r>
      <w:r w:rsidRPr="00D1174C">
        <w:rPr>
          <w:lang w:val="es-419"/>
        </w:rPr>
        <w:t>el presente documento no constituye un documento de política u orientación de la UPOV</w:t>
      </w:r>
    </w:p>
    <w:p w14:paraId="7E026166" w14:textId="191D92A6" w:rsidR="004B69D6" w:rsidRPr="00D1174C" w:rsidRDefault="004B69D6" w:rsidP="004B69D6">
      <w:pPr>
        <w:rPr>
          <w:color w:val="000000" w:themeColor="text1"/>
          <w:lang w:val="es-419"/>
        </w:rPr>
      </w:pPr>
      <w:r w:rsidRPr="00D1174C">
        <w:rPr>
          <w:color w:val="000000" w:themeColor="text1"/>
          <w:lang w:val="es-419"/>
        </w:rPr>
        <w:fldChar w:fldCharType="begin"/>
      </w:r>
      <w:r w:rsidRPr="00D1174C">
        <w:rPr>
          <w:color w:val="000000" w:themeColor="text1"/>
          <w:lang w:val="es-419"/>
        </w:rPr>
        <w:instrText xml:space="preserve"> AUTONUM  </w:instrText>
      </w:r>
      <w:r w:rsidRPr="00D1174C">
        <w:rPr>
          <w:color w:val="000000" w:themeColor="text1"/>
          <w:lang w:val="es-419"/>
        </w:rPr>
        <w:fldChar w:fldCharType="end"/>
      </w:r>
      <w:r w:rsidRPr="00D1174C">
        <w:rPr>
          <w:color w:val="000000" w:themeColor="text1"/>
          <w:lang w:val="es-419"/>
        </w:rPr>
        <w:tab/>
        <w:t>La UPOV adopta un enfoque estructurado para la gestión de riesgos basado en el marco y las prácticas de gestión de riesgos de la OMPI</w:t>
      </w:r>
      <w:r w:rsidR="008B4A22" w:rsidRPr="00D1174C">
        <w:rPr>
          <w:color w:val="000000" w:themeColor="text1"/>
          <w:lang w:val="es-419"/>
        </w:rPr>
        <w:t xml:space="preserve">. </w:t>
      </w:r>
      <w:r w:rsidR="006854BE">
        <w:rPr>
          <w:color w:val="000000" w:themeColor="text1"/>
          <w:lang w:val="es-419"/>
        </w:rPr>
        <w:t xml:space="preserve"> </w:t>
      </w:r>
      <w:r w:rsidRPr="00D1174C">
        <w:rPr>
          <w:lang w:val="es-419"/>
        </w:rPr>
        <w:t>La presente declaración sobre la tolerancia al riesgo establece cómo gestionará la UPOV los riesgos durante la aplicación del Plan Operativo Estratégico 2026-2029.</w:t>
      </w:r>
    </w:p>
    <w:p w14:paraId="3C5F7194" w14:textId="77777777" w:rsidR="004B69D6" w:rsidRPr="00D1174C" w:rsidRDefault="004B69D6" w:rsidP="004B69D6">
      <w:pPr>
        <w:rPr>
          <w:lang w:val="es-419"/>
        </w:rPr>
      </w:pPr>
    </w:p>
    <w:p w14:paraId="3495076B" w14:textId="588E943A" w:rsidR="004B69D6" w:rsidRPr="00D1174C" w:rsidRDefault="004B69D6" w:rsidP="004B69D6">
      <w:pPr>
        <w:rPr>
          <w:lang w:val="es-419"/>
        </w:rPr>
      </w:pPr>
      <w:r w:rsidRPr="00D1174C">
        <w:rPr>
          <w:lang w:val="es-419"/>
        </w:rPr>
        <w:fldChar w:fldCharType="begin"/>
      </w:r>
      <w:r w:rsidRPr="00D1174C">
        <w:rPr>
          <w:lang w:val="es-419"/>
        </w:rPr>
        <w:instrText xml:space="preserve"> AUTONUM  </w:instrText>
      </w:r>
      <w:r w:rsidRPr="00D1174C">
        <w:rPr>
          <w:lang w:val="es-419"/>
        </w:rPr>
        <w:fldChar w:fldCharType="end"/>
      </w:r>
      <w:r w:rsidRPr="00D1174C">
        <w:rPr>
          <w:lang w:val="es-419"/>
        </w:rPr>
        <w:tab/>
        <w:t>Ajustar la declaración sobre la tolerancia al riesgo de una organización a su estrategia es una de las mejores prácticas según las directrices sobre las declaraciones de tolerancia al riesgo del Foro de Gestión de Riesgos del Comité de Alto Nivel de las Naciones Unidas</w:t>
      </w:r>
      <w:r w:rsidRPr="00D1174C">
        <w:rPr>
          <w:rStyle w:val="FootnoteReference"/>
          <w:lang w:val="es-419"/>
        </w:rPr>
        <w:footnoteReference w:id="2"/>
      </w:r>
      <w:r w:rsidRPr="00D1174C">
        <w:rPr>
          <w:lang w:val="es-419"/>
        </w:rPr>
        <w:t xml:space="preserve"> y el Comité de Organizaciones Patrocinadoras de la Comisión Treadway (COSO)</w:t>
      </w:r>
      <w:r w:rsidRPr="00D1174C">
        <w:rPr>
          <w:rStyle w:val="FootnoteReference"/>
          <w:lang w:val="es-419"/>
        </w:rPr>
        <w:footnoteReference w:id="3"/>
      </w:r>
      <w:r w:rsidR="008B4A22" w:rsidRPr="00D1174C">
        <w:rPr>
          <w:lang w:val="es-419"/>
        </w:rPr>
        <w:t>.</w:t>
      </w:r>
    </w:p>
    <w:p w14:paraId="544A66BE" w14:textId="77777777" w:rsidR="004B69D6" w:rsidRPr="00D1174C" w:rsidRDefault="004B69D6" w:rsidP="004B69D6">
      <w:pPr>
        <w:rPr>
          <w:lang w:val="es-419"/>
        </w:rPr>
      </w:pPr>
    </w:p>
    <w:p w14:paraId="45545CD1" w14:textId="1E8FAF2B" w:rsidR="004B69D6" w:rsidRPr="00D1174C" w:rsidRDefault="004B69D6" w:rsidP="004B69D6">
      <w:pPr>
        <w:rPr>
          <w:lang w:val="es-419"/>
        </w:rPr>
      </w:pPr>
      <w:r w:rsidRPr="00D1174C">
        <w:rPr>
          <w:lang w:val="es-419"/>
        </w:rPr>
        <w:fldChar w:fldCharType="begin"/>
      </w:r>
      <w:r w:rsidRPr="00D1174C">
        <w:rPr>
          <w:lang w:val="es-419"/>
        </w:rPr>
        <w:instrText xml:space="preserve"> AUTONUM  </w:instrText>
      </w:r>
      <w:r w:rsidRPr="00D1174C">
        <w:rPr>
          <w:lang w:val="es-419"/>
        </w:rPr>
        <w:fldChar w:fldCharType="end"/>
      </w:r>
      <w:r w:rsidRPr="00D1174C">
        <w:rPr>
          <w:lang w:val="es-419"/>
        </w:rPr>
        <w:tab/>
        <w:t>Por lo tanto, esta declaración sobre la tolerancia al riesgo se estructura en torno a los tres pilares estratégicos y los principios fundamentales de la Estrategia de la UPOV</w:t>
      </w:r>
      <w:r w:rsidR="008B4A22" w:rsidRPr="00D1174C">
        <w:rPr>
          <w:lang w:val="es-419"/>
        </w:rPr>
        <w:t xml:space="preserve">. </w:t>
      </w:r>
      <w:r w:rsidR="006854BE">
        <w:rPr>
          <w:lang w:val="es-419"/>
        </w:rPr>
        <w:t xml:space="preserve"> </w:t>
      </w:r>
      <w:r w:rsidRPr="00D1174C">
        <w:rPr>
          <w:lang w:val="es-419"/>
        </w:rPr>
        <w:t>Define la tolerancia al riesgo de cada resultado previsto en el marco de la Estrategia</w:t>
      </w:r>
      <w:r w:rsidR="008B4A22" w:rsidRPr="00D1174C">
        <w:rPr>
          <w:lang w:val="es-419"/>
        </w:rPr>
        <w:t xml:space="preserve">. </w:t>
      </w:r>
    </w:p>
    <w:p w14:paraId="14E49142" w14:textId="77777777" w:rsidR="004B69D6" w:rsidRPr="00D1174C" w:rsidRDefault="004B69D6" w:rsidP="004B69D6">
      <w:pPr>
        <w:rPr>
          <w:lang w:val="es-419"/>
        </w:rPr>
      </w:pPr>
    </w:p>
    <w:p w14:paraId="507996F1" w14:textId="6005127E" w:rsidR="004B69D6" w:rsidRPr="00D1174C" w:rsidRDefault="004B69D6" w:rsidP="004B69D6">
      <w:pPr>
        <w:pStyle w:val="DecisionParagraphs"/>
        <w:rPr>
          <w:lang w:val="es-419"/>
        </w:rPr>
      </w:pPr>
      <w:r w:rsidRPr="00D1174C">
        <w:rPr>
          <w:lang w:val="es-419"/>
        </w:rPr>
        <w:fldChar w:fldCharType="begin"/>
      </w:r>
      <w:r w:rsidRPr="00D1174C">
        <w:rPr>
          <w:lang w:val="es-419"/>
        </w:rPr>
        <w:instrText xml:space="preserve"> AUTONUM  </w:instrText>
      </w:r>
      <w:r w:rsidRPr="00D1174C">
        <w:rPr>
          <w:lang w:val="es-419"/>
        </w:rPr>
        <w:fldChar w:fldCharType="end"/>
      </w:r>
      <w:r w:rsidRPr="00D1174C">
        <w:rPr>
          <w:lang w:val="es-419"/>
        </w:rPr>
        <w:tab/>
        <w:t xml:space="preserve">Se invita al Consejo a tomar nota del presente documento. </w:t>
      </w:r>
    </w:p>
    <w:p w14:paraId="6EF97996" w14:textId="77777777" w:rsidR="00544581" w:rsidRPr="00D1174C" w:rsidRDefault="00544581">
      <w:pPr>
        <w:jc w:val="left"/>
        <w:rPr>
          <w:lang w:val="es-419"/>
        </w:rPr>
      </w:pPr>
    </w:p>
    <w:p w14:paraId="73BA6068" w14:textId="77777777" w:rsidR="00050E16" w:rsidRPr="00D1174C" w:rsidRDefault="00050E16" w:rsidP="00050E16">
      <w:pPr>
        <w:rPr>
          <w:lang w:val="es-419"/>
        </w:rPr>
      </w:pPr>
    </w:p>
    <w:p w14:paraId="316B87F7" w14:textId="77777777" w:rsidR="004B69D6" w:rsidRPr="00D1174C" w:rsidRDefault="004B69D6" w:rsidP="00050E16">
      <w:pPr>
        <w:rPr>
          <w:lang w:val="es-419"/>
        </w:rPr>
      </w:pPr>
    </w:p>
    <w:p w14:paraId="50116BCB" w14:textId="03932222" w:rsidR="009B440E" w:rsidRPr="00D1174C" w:rsidRDefault="00050E16" w:rsidP="00050E16">
      <w:pPr>
        <w:jc w:val="right"/>
        <w:rPr>
          <w:lang w:val="es-419"/>
        </w:rPr>
      </w:pPr>
      <w:r w:rsidRPr="00D1174C">
        <w:rPr>
          <w:lang w:val="es-419"/>
        </w:rPr>
        <w:t>[Sigue el Anexo]</w:t>
      </w:r>
    </w:p>
    <w:p w14:paraId="476127E2" w14:textId="77777777" w:rsidR="00903264" w:rsidRPr="00D1174C" w:rsidRDefault="00903264">
      <w:pPr>
        <w:jc w:val="left"/>
        <w:rPr>
          <w:lang w:val="es-419"/>
        </w:rPr>
      </w:pPr>
    </w:p>
    <w:p w14:paraId="3E9111AD" w14:textId="77777777" w:rsidR="00F101BE" w:rsidRPr="00D1174C" w:rsidRDefault="00F101BE" w:rsidP="009B440E">
      <w:pPr>
        <w:jc w:val="left"/>
        <w:rPr>
          <w:lang w:val="es-419"/>
        </w:rPr>
        <w:sectPr w:rsidR="00F101BE" w:rsidRPr="00D1174C" w:rsidSect="00BF6DC1">
          <w:headerReference w:type="default" r:id="rId8"/>
          <w:footerReference w:type="even" r:id="rId9"/>
          <w:footerReference w:type="default" r:id="rId10"/>
          <w:footerReference w:type="first" r:id="rId11"/>
          <w:pgSz w:w="11907" w:h="16840" w:code="9"/>
          <w:pgMar w:top="510" w:right="1134" w:bottom="1134" w:left="1134" w:header="510" w:footer="680" w:gutter="0"/>
          <w:cols w:space="720"/>
          <w:titlePg/>
        </w:sectPr>
      </w:pPr>
    </w:p>
    <w:p w14:paraId="6422ECF9" w14:textId="77777777" w:rsidR="00F101BE" w:rsidRPr="00D1174C" w:rsidRDefault="00F101BE" w:rsidP="00F101BE">
      <w:pPr>
        <w:spacing w:line="276" w:lineRule="auto"/>
        <w:jc w:val="center"/>
        <w:rPr>
          <w:b/>
          <w:color w:val="000000" w:themeColor="text1"/>
          <w:lang w:val="es-419"/>
        </w:rPr>
      </w:pPr>
      <w:r w:rsidRPr="00D1174C">
        <w:rPr>
          <w:b/>
          <w:color w:val="000000" w:themeColor="text1"/>
          <w:lang w:val="es-419"/>
        </w:rPr>
        <w:lastRenderedPageBreak/>
        <w:t>UNIÓN INTERNACIONAL PARA LA PROTECCIÓN DE LAS OBTENCIONES VEGETALES</w:t>
      </w:r>
    </w:p>
    <w:p w14:paraId="2AEA03F8" w14:textId="77777777" w:rsidR="00F101BE" w:rsidRPr="00D1174C" w:rsidRDefault="00F101BE" w:rsidP="00F101BE">
      <w:pPr>
        <w:spacing w:line="276" w:lineRule="auto"/>
        <w:jc w:val="center"/>
        <w:rPr>
          <w:b/>
          <w:color w:val="000000" w:themeColor="text1"/>
          <w:lang w:val="es-419"/>
        </w:rPr>
      </w:pPr>
    </w:p>
    <w:p w14:paraId="6EA71011" w14:textId="77777777" w:rsidR="00F101BE" w:rsidRPr="00D1174C" w:rsidRDefault="00F101BE" w:rsidP="00F101BE">
      <w:pPr>
        <w:spacing w:line="360" w:lineRule="auto"/>
        <w:jc w:val="center"/>
        <w:rPr>
          <w:b/>
          <w:color w:val="000000" w:themeColor="text1"/>
          <w:lang w:val="es-419"/>
        </w:rPr>
      </w:pPr>
      <w:r w:rsidRPr="00D1174C">
        <w:rPr>
          <w:b/>
          <w:color w:val="000000" w:themeColor="text1"/>
          <w:lang w:val="es-419"/>
        </w:rPr>
        <w:t>Declaración sobre la tolerancia al riesgo</w:t>
      </w:r>
    </w:p>
    <w:p w14:paraId="1A204740" w14:textId="77777777" w:rsidR="00F101BE" w:rsidRPr="00D1174C" w:rsidRDefault="00F101BE" w:rsidP="00F101BE">
      <w:pPr>
        <w:rPr>
          <w:lang w:val="es-419"/>
        </w:rPr>
      </w:pPr>
    </w:p>
    <w:p w14:paraId="13A216C3" w14:textId="77777777" w:rsidR="00F101BE" w:rsidRPr="00D1174C" w:rsidRDefault="00F101BE" w:rsidP="00F101BE">
      <w:pPr>
        <w:rPr>
          <w:lang w:val="es-419"/>
        </w:rPr>
      </w:pPr>
    </w:p>
    <w:p w14:paraId="635A2B74" w14:textId="77777777" w:rsidR="00F101BE" w:rsidRPr="00D1174C" w:rsidRDefault="00F101BE" w:rsidP="004B65F2">
      <w:pPr>
        <w:pStyle w:val="Heading1"/>
        <w:rPr>
          <w:b w:val="0"/>
          <w:lang w:val="es-419"/>
        </w:rPr>
      </w:pPr>
      <w:r w:rsidRPr="00D1174C">
        <w:rPr>
          <w:lang w:val="es-419"/>
        </w:rPr>
        <w:t xml:space="preserve">INTRODUCCIÓN </w:t>
      </w:r>
    </w:p>
    <w:p w14:paraId="1541ECBE" w14:textId="3F0017BB" w:rsidR="00F101BE" w:rsidRPr="00D1174C" w:rsidRDefault="00F101BE" w:rsidP="004B65F2">
      <w:pPr>
        <w:pStyle w:val="ONUME"/>
        <w:rPr>
          <w:lang w:val="es-419"/>
        </w:rPr>
      </w:pPr>
      <w:r w:rsidRPr="00D1174C">
        <w:rPr>
          <w:lang w:val="es-419"/>
        </w:rPr>
        <w:t>El marco de gestión de riesgos de la OMPI, que incluye la política de gestión de riesgos y el manual de riesgos, ayuda a orientar la gestión de riesgos en la UPOV para alcanzar los resultados previstos en el Plan Operativo Estratégico 2026-2029.</w:t>
      </w:r>
    </w:p>
    <w:p w14:paraId="7AF6F556" w14:textId="572AE4AE" w:rsidR="00F101BE" w:rsidRPr="00D1174C" w:rsidRDefault="00F101BE" w:rsidP="004B65F2">
      <w:pPr>
        <w:pStyle w:val="ONUME"/>
        <w:rPr>
          <w:lang w:val="es-419"/>
        </w:rPr>
      </w:pPr>
      <w:r w:rsidRPr="00D1174C">
        <w:rPr>
          <w:lang w:val="es-419"/>
        </w:rPr>
        <w:t>La presente declaración sobre la tolerancia al riesgo define la tolerancia al riesgo de la UPOV en el cumplimiento de su misión de proporcionar y promover un sistema eficaz de protección de las variedades vegetales, con el fin de fomentar el desarrollo de nuevas variedades vegetales en beneficio de la sociedad.</w:t>
      </w:r>
    </w:p>
    <w:p w14:paraId="1D23E235" w14:textId="263102C5" w:rsidR="00F101BE" w:rsidRPr="00D1174C" w:rsidRDefault="00F101BE" w:rsidP="004B65F2">
      <w:pPr>
        <w:pStyle w:val="Heading1"/>
        <w:rPr>
          <w:lang w:val="es-419"/>
        </w:rPr>
      </w:pPr>
      <w:r w:rsidRPr="00D1174C">
        <w:rPr>
          <w:lang w:val="es-419"/>
        </w:rPr>
        <w:t>PRINCIPIOS RECTORES</w:t>
      </w:r>
    </w:p>
    <w:p w14:paraId="04A9D30A" w14:textId="78560AE4" w:rsidR="00F101BE" w:rsidRPr="00D1174C" w:rsidRDefault="00F101BE" w:rsidP="004B65F2">
      <w:pPr>
        <w:pStyle w:val="ONUME"/>
        <w:rPr>
          <w:lang w:val="es-419"/>
        </w:rPr>
      </w:pPr>
      <w:r w:rsidRPr="00D1174C">
        <w:rPr>
          <w:lang w:val="es-419"/>
        </w:rPr>
        <w:t xml:space="preserve">El enfoque de la UPOV en materia de gestión de riesgos se rige por los siguientes principios: </w:t>
      </w:r>
    </w:p>
    <w:p w14:paraId="0211DA90" w14:textId="0C730F87" w:rsidR="00F101BE" w:rsidRPr="00D1174C" w:rsidRDefault="00F101BE" w:rsidP="004B65F2">
      <w:pPr>
        <w:pStyle w:val="ONUME"/>
        <w:numPr>
          <w:ilvl w:val="0"/>
          <w:numId w:val="3"/>
        </w:numPr>
        <w:spacing w:after="120"/>
        <w:rPr>
          <w:lang w:val="es-419"/>
        </w:rPr>
      </w:pPr>
      <w:r w:rsidRPr="00D1174C">
        <w:rPr>
          <w:lang w:val="es-419"/>
        </w:rPr>
        <w:t>Una cultura estructurada y consciente del riesgo</w:t>
      </w:r>
    </w:p>
    <w:p w14:paraId="01FA7512" w14:textId="35276A36" w:rsidR="00F101BE" w:rsidRPr="00D1174C" w:rsidRDefault="00F101BE" w:rsidP="004B65F2">
      <w:pPr>
        <w:pStyle w:val="ONUME"/>
        <w:numPr>
          <w:ilvl w:val="0"/>
          <w:numId w:val="3"/>
        </w:numPr>
        <w:spacing w:after="120"/>
        <w:rPr>
          <w:lang w:val="es-419"/>
        </w:rPr>
      </w:pPr>
      <w:r w:rsidRPr="00D1174C">
        <w:rPr>
          <w:lang w:val="es-419"/>
        </w:rPr>
        <w:t>Compartir los riesgos entre el Consejo, los miembros de la UPOV y la Oficina de la Unión</w:t>
      </w:r>
    </w:p>
    <w:p w14:paraId="0069F435" w14:textId="44226DFD" w:rsidR="00F101BE" w:rsidRPr="00D1174C" w:rsidRDefault="00F101BE" w:rsidP="004B65F2">
      <w:pPr>
        <w:pStyle w:val="ONUME"/>
        <w:numPr>
          <w:ilvl w:val="0"/>
          <w:numId w:val="3"/>
        </w:numPr>
        <w:spacing w:after="120"/>
        <w:rPr>
          <w:lang w:val="es-419"/>
        </w:rPr>
      </w:pPr>
      <w:r w:rsidRPr="00D1174C">
        <w:rPr>
          <w:lang w:val="es-419"/>
        </w:rPr>
        <w:t>Alineación estratégica con los resultados previstos</w:t>
      </w:r>
    </w:p>
    <w:p w14:paraId="7BCA565C" w14:textId="77E24A9D" w:rsidR="00F101BE" w:rsidRPr="00D1174C" w:rsidRDefault="00F101BE" w:rsidP="004B65F2">
      <w:pPr>
        <w:pStyle w:val="ONUME"/>
        <w:numPr>
          <w:ilvl w:val="0"/>
          <w:numId w:val="3"/>
        </w:numPr>
        <w:rPr>
          <w:lang w:val="es-419"/>
        </w:rPr>
      </w:pPr>
      <w:r w:rsidRPr="00D1174C">
        <w:rPr>
          <w:lang w:val="es-419"/>
        </w:rPr>
        <w:t>Toma de decisiones transparente, basada en el riesgo y el aprendizaje continuo</w:t>
      </w:r>
    </w:p>
    <w:p w14:paraId="1C5FFA15" w14:textId="77777777" w:rsidR="00F101BE" w:rsidRPr="00D1174C" w:rsidRDefault="00F101BE" w:rsidP="004B65F2">
      <w:pPr>
        <w:pStyle w:val="Heading1"/>
        <w:rPr>
          <w:lang w:val="es-419"/>
        </w:rPr>
      </w:pPr>
      <w:r w:rsidRPr="00D1174C">
        <w:rPr>
          <w:lang w:val="es-419"/>
        </w:rPr>
        <w:t xml:space="preserve">DEFINICIONES </w:t>
      </w:r>
    </w:p>
    <w:p w14:paraId="2909A69C" w14:textId="6E77AC35" w:rsidR="00F101BE" w:rsidRPr="00D1174C" w:rsidRDefault="00F101BE" w:rsidP="004B65F2">
      <w:pPr>
        <w:pStyle w:val="ONUME"/>
        <w:rPr>
          <w:lang w:val="es-419"/>
        </w:rPr>
      </w:pPr>
      <w:r w:rsidRPr="00D1174C">
        <w:rPr>
          <w:b/>
          <w:bCs/>
          <w:lang w:val="es-419"/>
        </w:rPr>
        <w:t>Riesgo</w:t>
      </w:r>
      <w:r w:rsidRPr="00D1174C">
        <w:rPr>
          <w:lang w:val="es-419"/>
        </w:rPr>
        <w:t>: incertidumbre que, de producirse, afectaría al logro de los objetivos estratégicos, financieros o de proyectos de la UPOV.</w:t>
      </w:r>
    </w:p>
    <w:p w14:paraId="7249843D" w14:textId="0967815E" w:rsidR="00F101BE" w:rsidRPr="00D1174C" w:rsidRDefault="00F101BE" w:rsidP="004B65F2">
      <w:pPr>
        <w:pStyle w:val="ONUME"/>
        <w:rPr>
          <w:lang w:val="es-419"/>
        </w:rPr>
      </w:pPr>
      <w:r w:rsidRPr="00D1174C">
        <w:rPr>
          <w:b/>
          <w:bCs/>
          <w:lang w:val="es-419"/>
        </w:rPr>
        <w:t>Gestión de riesgos</w:t>
      </w:r>
      <w:r w:rsidRPr="00D1174C">
        <w:rPr>
          <w:lang w:val="es-419"/>
        </w:rPr>
        <w:t>: un enfoque coordinado para evaluar y responder a todos los riesgos.</w:t>
      </w:r>
    </w:p>
    <w:p w14:paraId="096302A3" w14:textId="4240642C" w:rsidR="00F101BE" w:rsidRPr="00D1174C" w:rsidRDefault="00F101BE" w:rsidP="004B65F2">
      <w:pPr>
        <w:pStyle w:val="ONUME"/>
        <w:rPr>
          <w:lang w:val="es-419"/>
        </w:rPr>
      </w:pPr>
      <w:r w:rsidRPr="00D1174C">
        <w:rPr>
          <w:b/>
          <w:bCs/>
          <w:lang w:val="es-419"/>
        </w:rPr>
        <w:t>Tolerancia al riesgo</w:t>
      </w:r>
      <w:r w:rsidRPr="00D1174C">
        <w:rPr>
          <w:lang w:val="es-419"/>
        </w:rPr>
        <w:t>: la cantidad de riesgo residual que la UPOV está dispuesta a asumir a gran escala para conseguir sus resultados previstos y, en consecuencia, sus pilares estratégicos</w:t>
      </w:r>
      <w:r w:rsidR="008B4A22" w:rsidRPr="00D1174C">
        <w:rPr>
          <w:lang w:val="es-419"/>
        </w:rPr>
        <w:t xml:space="preserve">. </w:t>
      </w:r>
    </w:p>
    <w:p w14:paraId="3668DF0A" w14:textId="7C79776F" w:rsidR="00F101BE" w:rsidRPr="00D1174C" w:rsidRDefault="00FB517C" w:rsidP="004B65F2">
      <w:pPr>
        <w:pStyle w:val="ONUME"/>
        <w:rPr>
          <w:lang w:val="es-419"/>
        </w:rPr>
      </w:pPr>
      <w:r w:rsidRPr="00D1174C">
        <w:rPr>
          <w:b/>
          <w:bCs/>
          <w:lang w:val="es-419"/>
        </w:rPr>
        <w:t>Capacidad de asumir riesgos</w:t>
      </w:r>
      <w:r w:rsidR="00F101BE" w:rsidRPr="00D1174C">
        <w:rPr>
          <w:lang w:val="es-419"/>
        </w:rPr>
        <w:t xml:space="preserve">: la cantidad de </w:t>
      </w:r>
      <w:r w:rsidR="00F101BE" w:rsidRPr="00D1174C">
        <w:rPr>
          <w:i/>
          <w:iCs/>
          <w:lang w:val="es-419"/>
        </w:rPr>
        <w:t>riesgo residual</w:t>
      </w:r>
      <w:r w:rsidR="00F101BE" w:rsidRPr="00D1174C">
        <w:rPr>
          <w:rStyle w:val="FootnoteReference"/>
          <w:lang w:val="es-419"/>
        </w:rPr>
        <w:footnoteReference w:id="4"/>
      </w:r>
      <w:r w:rsidR="00F101BE" w:rsidRPr="00D1174C">
        <w:rPr>
          <w:lang w:val="es-419"/>
        </w:rPr>
        <w:t xml:space="preserve"> que la UPOV está dispuesta a asumir a gran escala para conseguir sus resultados previstos y, en consecuencia, sus pilares estratégicos</w:t>
      </w:r>
      <w:r w:rsidR="008B4A22" w:rsidRPr="00D1174C">
        <w:rPr>
          <w:lang w:val="es-419"/>
        </w:rPr>
        <w:t xml:space="preserve">. </w:t>
      </w:r>
    </w:p>
    <w:p w14:paraId="70414278" w14:textId="3F5562B8" w:rsidR="00F101BE" w:rsidRPr="00D1174C" w:rsidRDefault="00F101BE" w:rsidP="004B65F2">
      <w:pPr>
        <w:pStyle w:val="ONUME"/>
        <w:rPr>
          <w:lang w:val="es-419"/>
        </w:rPr>
      </w:pPr>
      <w:r w:rsidRPr="00D1174C">
        <w:rPr>
          <w:b/>
          <w:bCs/>
          <w:lang w:val="es-419"/>
        </w:rPr>
        <w:t>Universo de riesgo</w:t>
      </w:r>
      <w:r w:rsidR="00FF2541" w:rsidRPr="00D1174C">
        <w:rPr>
          <w:b/>
          <w:bCs/>
          <w:lang w:val="es-419"/>
        </w:rPr>
        <w:t>s</w:t>
      </w:r>
      <w:r w:rsidRPr="00D1174C">
        <w:rPr>
          <w:lang w:val="es-419"/>
        </w:rPr>
        <w:t>: los límites externos razonables de los posibles resultados de rendimiento en caso de que surjan riesgos</w:t>
      </w:r>
      <w:r w:rsidR="008B4A22" w:rsidRPr="00D1174C">
        <w:rPr>
          <w:lang w:val="es-419"/>
        </w:rPr>
        <w:t xml:space="preserve">. </w:t>
      </w:r>
      <w:r w:rsidR="003773AA">
        <w:rPr>
          <w:lang w:val="es-419"/>
        </w:rPr>
        <w:t xml:space="preserve"> </w:t>
      </w:r>
      <w:r w:rsidRPr="00D1174C">
        <w:rPr>
          <w:lang w:val="es-419"/>
        </w:rPr>
        <w:t>El universo de riesgo</w:t>
      </w:r>
      <w:r w:rsidR="00FF2541" w:rsidRPr="00D1174C">
        <w:rPr>
          <w:lang w:val="es-419"/>
        </w:rPr>
        <w:t>s</w:t>
      </w:r>
      <w:r w:rsidRPr="00D1174C">
        <w:rPr>
          <w:lang w:val="es-419"/>
        </w:rPr>
        <w:t xml:space="preserve"> está representado por los límites externos de los posibles resultados, como se muestra en la figura 1.</w:t>
      </w:r>
    </w:p>
    <w:p w14:paraId="62643C36" w14:textId="1FAE5E12" w:rsidR="00F101BE" w:rsidRPr="00D1174C" w:rsidRDefault="00F101BE" w:rsidP="00D1174C">
      <w:pPr>
        <w:spacing w:after="240"/>
        <w:jc w:val="center"/>
        <w:rPr>
          <w:lang w:val="es-419"/>
        </w:rPr>
      </w:pPr>
      <w:r w:rsidRPr="00D1174C">
        <w:rPr>
          <w:noProof/>
          <w:lang w:val="es-419"/>
        </w:rPr>
        <mc:AlternateContent>
          <mc:Choice Requires="wps">
            <w:drawing>
              <wp:inline distT="0" distB="0" distL="0" distR="0" wp14:anchorId="1F8156FB" wp14:editId="54CFDB8B">
                <wp:extent cx="4914157" cy="147600"/>
                <wp:effectExtent l="0" t="0" r="1270" b="6350"/>
                <wp:docPr id="32" name="Text Box 32"/>
                <wp:cNvGraphicFramePr/>
                <a:graphic xmlns:a="http://schemas.openxmlformats.org/drawingml/2006/main">
                  <a:graphicData uri="http://schemas.microsoft.com/office/word/2010/wordprocessingShape">
                    <wps:wsp>
                      <wps:cNvSpPr txBox="1"/>
                      <wps:spPr>
                        <a:xfrm>
                          <a:off x="0" y="0"/>
                          <a:ext cx="4914157" cy="147600"/>
                        </a:xfrm>
                        <a:prstGeom prst="rect">
                          <a:avLst/>
                        </a:prstGeom>
                        <a:solidFill>
                          <a:prstClr val="white"/>
                        </a:solidFill>
                        <a:ln>
                          <a:noFill/>
                        </a:ln>
                      </wps:spPr>
                      <wps:txbx>
                        <w:txbxContent>
                          <w:p w14:paraId="2D017ED8" w14:textId="1CC28E96" w:rsidR="00F101BE" w:rsidRPr="00F101BE" w:rsidRDefault="00F101BE" w:rsidP="00F101BE">
                            <w:pPr>
                              <w:pStyle w:val="Caption"/>
                              <w:jc w:val="center"/>
                              <w:rPr>
                                <w:sz w:val="20"/>
                              </w:rPr>
                            </w:pPr>
                            <w:r>
                              <w:rPr>
                                <w:sz w:val="20"/>
                              </w:rPr>
                              <w:t xml:space="preserve">Figura: </w:t>
                            </w:r>
                            <w:r w:rsidR="00FB517C" w:rsidRPr="00FB517C">
                              <w:rPr>
                                <w:sz w:val="20"/>
                              </w:rPr>
                              <w:t>Universo de riesgos, capacidad de asumir riesgos y tolerancia al riesgo</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type w14:anchorId="1F8156FB" id="_x0000_t202" coordsize="21600,21600" o:spt="202" path="m,l,21600r21600,l21600,xe">
                <v:stroke joinstyle="miter"/>
                <v:path gradientshapeok="t" o:connecttype="rect"/>
              </v:shapetype>
              <v:shape id="Text Box 32" o:spid="_x0000_s1026" type="#_x0000_t202" style="width:386.95pt;height:1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" stroked="f">
                <v:textbox style="mso-fit-shape-to-text:t" inset="0,0,0,0">
                  <w:txbxContent>
                    <w:p w14:paraId="2D017ED8" w14:textId="1CC28E96" w:rsidR="00F101BE" w:rsidRPr="00F101BE" w:rsidRDefault="00F101BE" w:rsidP="00F101BE">
                      <w:pPr>
                        <w:pStyle w:val="Caption"/>
                        <w:jc w:val="center"/>
                        <w:rPr>
                          <w:sz w:val="20"/>
                        </w:rPr>
                      </w:pPr>
                      <w:r>
                        <w:rPr>
                          <w:sz w:val="20"/>
                        </w:rPr>
                        <w:t xml:space="preserve">Figura: </w:t>
                      </w:r>
                      <w:r w:rsidR="00FB517C" w:rsidRPr="00FB517C">
                        <w:rPr>
                          <w:sz w:val="20"/>
                        </w:rPr>
                        <w:t>Universo de riesgos, capacidad de asumir riesgos y tolerancia al riesgo</w:t>
                      </w:r>
                    </w:p>
                  </w:txbxContent>
                </v:textbox>
                <w10:anchorlock/>
              </v:shape>
            </w:pict>
          </mc:Fallback>
        </mc:AlternateContent>
      </w:r>
      <w:r w:rsidR="00FB517C" w:rsidRPr="00D1174C">
        <w:rPr>
          <w:noProof/>
          <w:lang w:val="es-419"/>
        </w:rPr>
        <w:drawing>
          <wp:inline distT="0" distB="0" distL="0" distR="0" wp14:anchorId="0B81C4F9" wp14:editId="2927F541">
            <wp:extent cx="4771727" cy="1949569"/>
            <wp:effectExtent l="0" t="0" r="0" b="0"/>
            <wp:docPr id="802341878"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341878" name="Picture 1" descr="A diagram of a diagram&#10;&#10;AI-generated content may be incorrect."/>
                    <pic:cNvPicPr/>
                  </pic:nvPicPr>
                  <pic:blipFill>
                    <a:blip r:embed="rId12"/>
                    <a:stretch>
                      <a:fillRect/>
                    </a:stretch>
                  </pic:blipFill>
                  <pic:spPr>
                    <a:xfrm>
                      <a:off x="0" y="0"/>
                      <a:ext cx="4853961" cy="1983167"/>
                    </a:xfrm>
                    <a:prstGeom prst="rect">
                      <a:avLst/>
                    </a:prstGeom>
                  </pic:spPr>
                </pic:pic>
              </a:graphicData>
            </a:graphic>
          </wp:inline>
        </w:drawing>
      </w:r>
    </w:p>
    <w:p w14:paraId="129FEC82" w14:textId="77777777" w:rsidR="00F101BE" w:rsidRPr="00D1174C" w:rsidRDefault="00F101BE" w:rsidP="00BF6DC1">
      <w:pPr>
        <w:pStyle w:val="ONUME"/>
        <w:keepNext/>
        <w:rPr>
          <w:lang w:val="es-419"/>
        </w:rPr>
      </w:pPr>
      <w:r w:rsidRPr="00D1174C">
        <w:rPr>
          <w:lang w:val="es-419"/>
        </w:rPr>
        <w:lastRenderedPageBreak/>
        <w:t>Se utilizan tres niveles de tolerancia:</w:t>
      </w:r>
    </w:p>
    <w:p w14:paraId="1C40F4E5" w14:textId="77777777" w:rsidR="00F101BE" w:rsidRPr="00D1174C" w:rsidRDefault="00F101BE" w:rsidP="004B65F2">
      <w:pPr>
        <w:pStyle w:val="ONUME"/>
        <w:numPr>
          <w:ilvl w:val="0"/>
          <w:numId w:val="4"/>
        </w:numPr>
        <w:spacing w:after="120"/>
        <w:ind w:left="924" w:hanging="357"/>
        <w:rPr>
          <w:color w:val="000000" w:themeColor="text1"/>
          <w:lang w:val="es-419"/>
        </w:rPr>
      </w:pPr>
      <w:r w:rsidRPr="00D1174C">
        <w:rPr>
          <w:b/>
          <w:color w:val="76923C" w:themeColor="accent3" w:themeShade="BF"/>
          <w:lang w:val="es-419"/>
        </w:rPr>
        <w:t>Baja:</w:t>
      </w:r>
      <w:r w:rsidRPr="00D1174C">
        <w:rPr>
          <w:lang w:val="es-419"/>
        </w:rPr>
        <w:t xml:space="preserve"> áreas de resultados previstos en las que la UPOV evita riesgos o actúa para minimizar o eliminar la probabilidad de que se produzcan, debido a los posibles costes y repercusiones negativas.</w:t>
      </w:r>
      <w:r w:rsidRPr="00D1174C">
        <w:rPr>
          <w:color w:val="000000" w:themeColor="text1"/>
          <w:lang w:val="es-419"/>
        </w:rPr>
        <w:t xml:space="preserve"> </w:t>
      </w:r>
    </w:p>
    <w:p w14:paraId="02FFBB7A" w14:textId="300BF567" w:rsidR="00F101BE" w:rsidRPr="00D1174C" w:rsidRDefault="00857124" w:rsidP="004B65F2">
      <w:pPr>
        <w:pStyle w:val="ONUME"/>
        <w:numPr>
          <w:ilvl w:val="0"/>
          <w:numId w:val="4"/>
        </w:numPr>
        <w:spacing w:after="120"/>
        <w:ind w:left="924" w:hanging="357"/>
        <w:rPr>
          <w:color w:val="000000" w:themeColor="text1"/>
          <w:lang w:val="es-419"/>
        </w:rPr>
      </w:pPr>
      <w:r w:rsidRPr="00D1174C">
        <w:rPr>
          <w:b/>
          <w:color w:val="4BACC6" w:themeColor="accent5"/>
          <w:lang w:val="es-419"/>
        </w:rPr>
        <w:t>Media:</w:t>
      </w:r>
      <w:r w:rsidRPr="00D1174C">
        <w:rPr>
          <w:lang w:val="es-419"/>
        </w:rPr>
        <w:t xml:space="preserve"> áreas de resultados previstos que requieren un equilibrio constante entre los posibles beneficios y costes o repercusiones negativas.</w:t>
      </w:r>
    </w:p>
    <w:p w14:paraId="27C7F955" w14:textId="77777777" w:rsidR="00F101BE" w:rsidRPr="00D1174C" w:rsidRDefault="00F101BE" w:rsidP="004B65F2">
      <w:pPr>
        <w:pStyle w:val="ONUME"/>
        <w:numPr>
          <w:ilvl w:val="0"/>
          <w:numId w:val="4"/>
        </w:numPr>
        <w:rPr>
          <w:b/>
          <w:lang w:val="es-419"/>
        </w:rPr>
      </w:pPr>
      <w:r w:rsidRPr="00D1174C">
        <w:rPr>
          <w:b/>
          <w:color w:val="5F497A" w:themeColor="accent4" w:themeShade="BF"/>
          <w:lang w:val="es-419"/>
        </w:rPr>
        <w:t>Alta:</w:t>
      </w:r>
      <w:r w:rsidRPr="00D1174C">
        <w:rPr>
          <w:lang w:val="es-419"/>
        </w:rPr>
        <w:t xml:space="preserve"> áreas de resultados previstos en las que la UPOV asume riesgos calculados porque los beneficios potenciales superan los costes potenciales o las repercusiones negativas. </w:t>
      </w:r>
    </w:p>
    <w:p w14:paraId="3DB50CB2" w14:textId="77777777" w:rsidR="00F101BE" w:rsidRPr="00D1174C" w:rsidRDefault="00F101BE" w:rsidP="004B65F2">
      <w:pPr>
        <w:pStyle w:val="Heading1"/>
        <w:rPr>
          <w:lang w:val="es-419"/>
        </w:rPr>
      </w:pPr>
      <w:r w:rsidRPr="00D1174C">
        <w:rPr>
          <w:lang w:val="es-419"/>
        </w:rPr>
        <w:t>APLICACIÓN DE LA TOLERANCIA AL RIESGO EN EL PLAN OPERATIVO ESTRATÉGICO</w:t>
      </w:r>
    </w:p>
    <w:p w14:paraId="65B4D8D6" w14:textId="76891DCC" w:rsidR="00F101BE" w:rsidRPr="00D1174C" w:rsidRDefault="00F101BE" w:rsidP="004B65F2">
      <w:pPr>
        <w:pStyle w:val="ONUME"/>
        <w:rPr>
          <w:lang w:val="es-419"/>
        </w:rPr>
      </w:pPr>
      <w:r w:rsidRPr="00D1174C">
        <w:rPr>
          <w:lang w:val="es-419"/>
        </w:rPr>
        <w:t xml:space="preserve">En el marco de la Estrategia, se definen la misión, los pilares estratégicos y los resultados previstos de la UPOV, y se asignan tolerancias específicas al riesgo de cada resultado previsto (figura 2). </w:t>
      </w:r>
    </w:p>
    <w:p w14:paraId="65EF7137" w14:textId="4767B027" w:rsidR="00F101BE" w:rsidRDefault="00F101BE" w:rsidP="004B65F2">
      <w:pPr>
        <w:pStyle w:val="ONUME"/>
        <w:rPr>
          <w:lang w:val="es-419"/>
        </w:rPr>
      </w:pPr>
      <w:r w:rsidRPr="00D1174C">
        <w:rPr>
          <w:lang w:val="es-419"/>
        </w:rPr>
        <w:t xml:space="preserve">La tolerancia general de la UPOV es </w:t>
      </w:r>
      <w:r w:rsidRPr="00D1174C">
        <w:rPr>
          <w:b/>
          <w:color w:val="4BACC6" w:themeColor="accent5"/>
          <w:lang w:val="es-419"/>
        </w:rPr>
        <w:t>media</w:t>
      </w:r>
      <w:r w:rsidR="008B4A22" w:rsidRPr="00D1174C">
        <w:rPr>
          <w:lang w:val="es-419"/>
        </w:rPr>
        <w:t xml:space="preserve">. </w:t>
      </w:r>
      <w:r w:rsidR="003773AA">
        <w:rPr>
          <w:lang w:val="es-419"/>
        </w:rPr>
        <w:t xml:space="preserve"> </w:t>
      </w:r>
      <w:r w:rsidRPr="00D1174C">
        <w:rPr>
          <w:lang w:val="es-419"/>
        </w:rPr>
        <w:t>Cuando la UPOV emprenda trabajos con el objetivo de obtener determinados resultados previstos, podrá establecerse una tolerancia inferior o superior</w:t>
      </w:r>
      <w:r w:rsidR="008B4A22" w:rsidRPr="00D1174C">
        <w:rPr>
          <w:lang w:val="es-419"/>
        </w:rPr>
        <w:t xml:space="preserve">. </w:t>
      </w:r>
      <w:r w:rsidR="003773AA">
        <w:rPr>
          <w:lang w:val="es-419"/>
        </w:rPr>
        <w:t xml:space="preserve"> </w:t>
      </w:r>
      <w:r w:rsidRPr="00D1174C">
        <w:rPr>
          <w:lang w:val="es-419"/>
        </w:rPr>
        <w:t xml:space="preserve">En algunos casos, un trabajo puede contribuir a más de un resultado previsto. </w:t>
      </w:r>
      <w:r w:rsidR="003773AA">
        <w:rPr>
          <w:lang w:val="es-419"/>
        </w:rPr>
        <w:t xml:space="preserve"> </w:t>
      </w:r>
      <w:r w:rsidRPr="00D1174C">
        <w:rPr>
          <w:lang w:val="es-419"/>
        </w:rPr>
        <w:t>Si los niveles de tolerancia fueran diferentes, prevalecería el más bajo</w:t>
      </w:r>
      <w:r w:rsidR="008B4A22" w:rsidRPr="00D1174C">
        <w:rPr>
          <w:lang w:val="es-419"/>
        </w:rPr>
        <w:t xml:space="preserve">. </w:t>
      </w:r>
    </w:p>
    <w:p w14:paraId="795FC52A" w14:textId="6A1BDF01" w:rsidR="00924B2E" w:rsidRPr="00924B2E" w:rsidRDefault="00924B2E" w:rsidP="00924B2E">
      <w:pPr>
        <w:spacing w:after="120"/>
        <w:jc w:val="center"/>
        <w:rPr>
          <w:b/>
          <w:bCs/>
        </w:rPr>
      </w:pPr>
      <w:r w:rsidRPr="00924B2E">
        <w:rPr>
          <w:b/>
          <w:bCs/>
        </w:rPr>
        <w:t>Figura 2: Estrategia de la UPOV con niveles de tolerancia al riesgo</w:t>
      </w:r>
    </w:p>
    <w:p w14:paraId="2DD74544" w14:textId="1E640048" w:rsidR="00F101BE" w:rsidRPr="00D1174C" w:rsidRDefault="00E36411" w:rsidP="00924B2E">
      <w:pPr>
        <w:pStyle w:val="ONUME"/>
        <w:keepNext/>
        <w:numPr>
          <w:ilvl w:val="0"/>
          <w:numId w:val="0"/>
        </w:numPr>
        <w:jc w:val="center"/>
        <w:rPr>
          <w:lang w:val="es-419"/>
        </w:rPr>
      </w:pPr>
      <w:r>
        <w:rPr>
          <w:noProof/>
          <w:lang w:val="es-419"/>
        </w:rPr>
        <w:drawing>
          <wp:inline distT="0" distB="0" distL="0" distR="0" wp14:anchorId="1EC4EC5D" wp14:editId="7D6B9335">
            <wp:extent cx="6177600" cy="4035600"/>
            <wp:effectExtent l="0" t="0" r="0" b="3175"/>
            <wp:docPr id="12804398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77600" cy="4035600"/>
                    </a:xfrm>
                    <a:prstGeom prst="rect">
                      <a:avLst/>
                    </a:prstGeom>
                    <a:noFill/>
                  </pic:spPr>
                </pic:pic>
              </a:graphicData>
            </a:graphic>
          </wp:inline>
        </w:drawing>
      </w:r>
    </w:p>
    <w:p w14:paraId="41B69A6A" w14:textId="38E4E7EC" w:rsidR="00F101BE" w:rsidRPr="00D1174C" w:rsidRDefault="00F101BE" w:rsidP="004B65F2">
      <w:pPr>
        <w:pStyle w:val="ONUME"/>
        <w:rPr>
          <w:lang w:val="es-419"/>
        </w:rPr>
      </w:pPr>
      <w:r w:rsidRPr="00D1174C">
        <w:rPr>
          <w:lang w:val="es-419"/>
        </w:rPr>
        <w:t xml:space="preserve">A continuación se muestran algunos ejemplos de cómo se aplica la tolerancia al riesgo en la práctica: </w:t>
      </w:r>
    </w:p>
    <w:p w14:paraId="154EAB81" w14:textId="7120ADB3" w:rsidR="00F101BE" w:rsidRPr="00D1174C" w:rsidRDefault="00F101BE" w:rsidP="004B65F2">
      <w:pPr>
        <w:pStyle w:val="ONUME"/>
        <w:numPr>
          <w:ilvl w:val="0"/>
          <w:numId w:val="5"/>
        </w:numPr>
        <w:rPr>
          <w:lang w:val="es-419"/>
        </w:rPr>
      </w:pPr>
      <w:r w:rsidRPr="00D1174C">
        <w:rPr>
          <w:lang w:val="es-419"/>
        </w:rPr>
        <w:t xml:space="preserve">Las actividades de </w:t>
      </w:r>
      <w:r w:rsidRPr="00D1174C">
        <w:rPr>
          <w:b/>
          <w:color w:val="76923C" w:themeColor="accent3" w:themeShade="BF"/>
          <w:lang w:val="es-419"/>
        </w:rPr>
        <w:t>baja</w:t>
      </w:r>
      <w:r w:rsidRPr="00D1174C">
        <w:rPr>
          <w:lang w:val="es-419"/>
        </w:rPr>
        <w:t xml:space="preserve"> tolerancia al riesgo (por ejemplo, el resultado previsto 1.1: Gobernanza </w:t>
      </w:r>
      <w:r w:rsidR="00FF2541" w:rsidRPr="00D1174C">
        <w:rPr>
          <w:lang w:val="es-419"/>
        </w:rPr>
        <w:t xml:space="preserve">del </w:t>
      </w:r>
      <w:r w:rsidRPr="00D1174C">
        <w:rPr>
          <w:lang w:val="es-419"/>
        </w:rPr>
        <w:t xml:space="preserve">Consejo de la UPOV y labor de los </w:t>
      </w:r>
      <w:r w:rsidR="00FF2541" w:rsidRPr="00D1174C">
        <w:rPr>
          <w:lang w:val="es-419"/>
        </w:rPr>
        <w:t xml:space="preserve">comités </w:t>
      </w:r>
      <w:r w:rsidRPr="00D1174C">
        <w:rPr>
          <w:lang w:val="es-419"/>
        </w:rPr>
        <w:t>de la UPOV) garantizan la revisión sistemática del apoyo de la Oficina de la Unión a la gobernanza de la UPOV y a los Comités de la UPOV, como la evaluación de la frecuencia de las reuniones y los cambios de formato, con el fin de mantener la eficacia de la función esencial de estos comités en la orientación de la dirección estratégica de la</w:t>
      </w:r>
      <w:r w:rsidR="001353B8">
        <w:rPr>
          <w:lang w:val="es-419"/>
        </w:rPr>
        <w:t> </w:t>
      </w:r>
      <w:r w:rsidRPr="00D1174C">
        <w:rPr>
          <w:lang w:val="es-419"/>
        </w:rPr>
        <w:t>UPOV.</w:t>
      </w:r>
    </w:p>
    <w:p w14:paraId="061622EC" w14:textId="7050CCF3" w:rsidR="00F101BE" w:rsidRPr="00D1174C" w:rsidRDefault="00DE22EE" w:rsidP="004B65F2">
      <w:pPr>
        <w:pStyle w:val="ONUME"/>
        <w:numPr>
          <w:ilvl w:val="0"/>
          <w:numId w:val="5"/>
        </w:numPr>
        <w:rPr>
          <w:lang w:val="es-419"/>
        </w:rPr>
      </w:pPr>
      <w:r w:rsidRPr="00D1174C">
        <w:rPr>
          <w:lang w:val="es-419"/>
        </w:rPr>
        <w:t xml:space="preserve">Las actividades con una tolerancia al riesgo </w:t>
      </w:r>
      <w:r w:rsidRPr="00D1174C">
        <w:rPr>
          <w:b/>
          <w:color w:val="4BACC6" w:themeColor="accent5"/>
          <w:lang w:val="es-419"/>
        </w:rPr>
        <w:t>media</w:t>
      </w:r>
      <w:r w:rsidRPr="00D1174C">
        <w:rPr>
          <w:lang w:val="es-419"/>
        </w:rPr>
        <w:t xml:space="preserve"> (por ejemplo, el resultado previsto</w:t>
      </w:r>
      <w:r w:rsidR="001353B8">
        <w:rPr>
          <w:lang w:val="es-419"/>
        </w:rPr>
        <w:t xml:space="preserve"> </w:t>
      </w:r>
      <w:r w:rsidRPr="001353B8">
        <w:rPr>
          <w:spacing w:val="-2"/>
          <w:lang w:val="es-419"/>
        </w:rPr>
        <w:t>3.1:</w:t>
      </w:r>
      <w:r w:rsidR="0091581E" w:rsidRPr="001353B8">
        <w:rPr>
          <w:spacing w:val="-2"/>
          <w:lang w:val="es-419"/>
        </w:rPr>
        <w:t> </w:t>
      </w:r>
      <w:r w:rsidRPr="001353B8">
        <w:rPr>
          <w:spacing w:val="-2"/>
          <w:lang w:val="es-419"/>
        </w:rPr>
        <w:t xml:space="preserve">Desarrollo de los servicios </w:t>
      </w:r>
      <w:r w:rsidR="001353B8" w:rsidRPr="001353B8">
        <w:rPr>
          <w:spacing w:val="-2"/>
          <w:lang w:val="es-419"/>
        </w:rPr>
        <w:t>UPOV </w:t>
      </w:r>
      <w:r w:rsidRPr="001353B8">
        <w:rPr>
          <w:spacing w:val="-2"/>
          <w:lang w:val="es-419"/>
        </w:rPr>
        <w:t xml:space="preserve">e-PVP) equilibran los enfoques innovadores con la estabilidad </w:t>
      </w:r>
      <w:r w:rsidRPr="00D1174C">
        <w:rPr>
          <w:lang w:val="es-419"/>
        </w:rPr>
        <w:t xml:space="preserve">del desarrollo digital. Esto significa que pueden introducirse nuevos módulos </w:t>
      </w:r>
      <w:r w:rsidR="001353B8">
        <w:rPr>
          <w:lang w:val="es-419"/>
        </w:rPr>
        <w:t>UPOV </w:t>
      </w:r>
      <w:r w:rsidRPr="00D1174C">
        <w:rPr>
          <w:lang w:val="es-419"/>
        </w:rPr>
        <w:t xml:space="preserve">e-PVP y </w:t>
      </w:r>
      <w:r w:rsidRPr="00D1174C">
        <w:rPr>
          <w:lang w:val="es-419"/>
        </w:rPr>
        <w:lastRenderedPageBreak/>
        <w:t>plataformas de cooperación, al tiempo que se garantiza una integración perfecta con los sistemas existentes. Por ejemplo, al poner en marcha plataformas de cooperación para examinar la distinción, la homogeneidad y la estabilidad (DHE) y ampliar la cobertura de UPOV</w:t>
      </w:r>
      <w:r w:rsidR="001353B8">
        <w:rPr>
          <w:lang w:val="es-419"/>
        </w:rPr>
        <w:t> </w:t>
      </w:r>
      <w:r w:rsidRPr="00D1174C">
        <w:rPr>
          <w:lang w:val="es-419"/>
        </w:rPr>
        <w:t>PRISMA, se coordinan los cambios para garantizar la fiabilidad del sistema.</w:t>
      </w:r>
    </w:p>
    <w:p w14:paraId="1A466DE9" w14:textId="1A8BA158" w:rsidR="00F101BE" w:rsidRPr="00D1174C" w:rsidRDefault="00F101BE" w:rsidP="004B65F2">
      <w:pPr>
        <w:pStyle w:val="ONUME"/>
        <w:numPr>
          <w:ilvl w:val="0"/>
          <w:numId w:val="5"/>
        </w:numPr>
        <w:rPr>
          <w:lang w:val="es-419"/>
        </w:rPr>
      </w:pPr>
      <w:r w:rsidRPr="00D1174C">
        <w:rPr>
          <w:lang w:val="es-419"/>
        </w:rPr>
        <w:t xml:space="preserve">Las actividades de </w:t>
      </w:r>
      <w:r w:rsidRPr="00D1174C">
        <w:rPr>
          <w:b/>
          <w:color w:val="5F497A" w:themeColor="accent4" w:themeShade="BF"/>
          <w:lang w:val="es-419"/>
        </w:rPr>
        <w:t>alta</w:t>
      </w:r>
      <w:r w:rsidRPr="00D1174C">
        <w:rPr>
          <w:lang w:val="es-419"/>
        </w:rPr>
        <w:t xml:space="preserve"> tolerancia al riesgo (por ejemplo, el resultado previsto 2.1: </w:t>
      </w:r>
      <w:r w:rsidR="0091581E" w:rsidRPr="00D1174C">
        <w:rPr>
          <w:lang w:val="es-419"/>
        </w:rPr>
        <w:t xml:space="preserve">Sensibilización sobre la función que cumple el </w:t>
      </w:r>
      <w:r w:rsidRPr="00D1174C">
        <w:rPr>
          <w:lang w:val="es-419"/>
        </w:rPr>
        <w:t xml:space="preserve">sistema de la UPOV) ponen a prueba enfoques innovadores de comunicación, como la elaboración de vídeos atractivos y contenidos para las redes sociales, la exploración de actividades virtuales para una mayor divulgación y el uso de la traducción automática para aumentar la accesibilidad lingüística, garantizando al mismo tiempo la exactitud de la información. </w:t>
      </w:r>
    </w:p>
    <w:p w14:paraId="1AF343A3" w14:textId="77777777" w:rsidR="00F101BE" w:rsidRPr="00D1174C" w:rsidRDefault="00F101BE" w:rsidP="004B65F2">
      <w:pPr>
        <w:pStyle w:val="ONUME"/>
        <w:rPr>
          <w:lang w:val="es-419"/>
        </w:rPr>
      </w:pPr>
      <w:r w:rsidRPr="00D1174C">
        <w:rPr>
          <w:lang w:val="es-419"/>
        </w:rPr>
        <w:t xml:space="preserve">Al ejecutar sus actividades y proyectos, la UPOV se guiará por el nivel de tolerancia al riesgo correspondiente al resultado previsto y velará por que la UPOV adopte decisiones y medidas ajustadas a los límites de tolerancia al riesgo. </w:t>
      </w:r>
    </w:p>
    <w:p w14:paraId="01767C57" w14:textId="77777777" w:rsidR="00F101BE" w:rsidRPr="00D1174C" w:rsidRDefault="00F101BE" w:rsidP="004B65F2">
      <w:pPr>
        <w:pStyle w:val="Heading1"/>
        <w:rPr>
          <w:lang w:val="es-419"/>
        </w:rPr>
      </w:pPr>
      <w:r w:rsidRPr="00D1174C">
        <w:rPr>
          <w:lang w:val="es-419"/>
        </w:rPr>
        <w:t xml:space="preserve">REVISIÓN </w:t>
      </w:r>
    </w:p>
    <w:p w14:paraId="398CCAF5" w14:textId="77777777" w:rsidR="00F101BE" w:rsidRPr="00D1174C" w:rsidRDefault="00F101BE" w:rsidP="004B65F2">
      <w:pPr>
        <w:pStyle w:val="ONUME"/>
        <w:rPr>
          <w:lang w:val="es-419"/>
        </w:rPr>
      </w:pPr>
      <w:r w:rsidRPr="00D1174C">
        <w:rPr>
          <w:lang w:val="es-419"/>
        </w:rPr>
        <w:t>Esta declaración se revisará y actualizará conforme al ciclo del Plan Operativo Estratégico, y se realizará una revisión más temprana si se producen cambios considerables en el contexto.</w:t>
      </w:r>
    </w:p>
    <w:p w14:paraId="7543DA79" w14:textId="77777777" w:rsidR="00050E16" w:rsidRPr="00D1174C" w:rsidRDefault="00050E16" w:rsidP="004B65F2">
      <w:pPr>
        <w:rPr>
          <w:lang w:val="es-419"/>
        </w:rPr>
      </w:pPr>
    </w:p>
    <w:p w14:paraId="57241F14" w14:textId="77777777" w:rsidR="00A42747" w:rsidRPr="00D1174C" w:rsidRDefault="00A42747" w:rsidP="004B65F2">
      <w:pPr>
        <w:rPr>
          <w:lang w:val="es-419"/>
        </w:rPr>
      </w:pPr>
    </w:p>
    <w:p w14:paraId="244D1341" w14:textId="535BA751" w:rsidR="004B65F2" w:rsidRPr="00D1174C" w:rsidRDefault="004B65F2" w:rsidP="004B65F2">
      <w:pPr>
        <w:jc w:val="right"/>
        <w:rPr>
          <w:lang w:val="es-419"/>
        </w:rPr>
      </w:pPr>
      <w:r w:rsidRPr="00D1174C">
        <w:rPr>
          <w:lang w:val="es-419"/>
        </w:rPr>
        <w:t>[Fin del Anexo y del documento]</w:t>
      </w:r>
    </w:p>
    <w:sectPr w:rsidR="004B65F2" w:rsidRPr="00D1174C" w:rsidSect="00BF6DC1">
      <w:headerReference w:type="even" r:id="rId14"/>
      <w:headerReference w:type="default" r:id="rId15"/>
      <w:footerReference w:type="even" r:id="rId16"/>
      <w:footerReference w:type="default" r:id="rId17"/>
      <w:headerReference w:type="first" r:id="rId18"/>
      <w:footerReference w:type="first" r:id="rId19"/>
      <w:pgSz w:w="11907" w:h="16840" w:code="9"/>
      <w:pgMar w:top="510" w:right="1134" w:bottom="851" w:left="1134" w:header="510" w:footer="68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1B6C5" w14:textId="77777777" w:rsidR="006C3D33" w:rsidRDefault="006C3D33" w:rsidP="006655D3">
      <w:r>
        <w:separator/>
      </w:r>
    </w:p>
    <w:p w14:paraId="1F8D70F8" w14:textId="77777777" w:rsidR="006C3D33" w:rsidRDefault="006C3D33" w:rsidP="006655D3"/>
    <w:p w14:paraId="1033A5ED" w14:textId="77777777" w:rsidR="006C3D33" w:rsidRDefault="006C3D33" w:rsidP="006655D3"/>
  </w:endnote>
  <w:endnote w:type="continuationSeparator" w:id="0">
    <w:p w14:paraId="1725ECFA" w14:textId="77777777" w:rsidR="006C3D33" w:rsidRDefault="006C3D33" w:rsidP="006655D3">
      <w:r>
        <w:separator/>
      </w:r>
    </w:p>
    <w:p w14:paraId="2500E15A" w14:textId="77777777" w:rsidR="006C3D33" w:rsidRPr="00294751" w:rsidRDefault="006C3D33">
      <w:pPr>
        <w:pStyle w:val="Footer"/>
        <w:spacing w:after="60"/>
        <w:rPr>
          <w:sz w:val="18"/>
          <w:lang w:val="fr-FR"/>
        </w:rPr>
      </w:pPr>
      <w:r w:rsidRPr="00294751">
        <w:rPr>
          <w:sz w:val="18"/>
          <w:lang w:val="fr-FR"/>
        </w:rPr>
        <w:t>[Suite de la note de la page précédente]</w:t>
      </w:r>
    </w:p>
    <w:p w14:paraId="2DD20BD1" w14:textId="77777777" w:rsidR="006C3D33" w:rsidRPr="00294751" w:rsidRDefault="006C3D33" w:rsidP="006655D3">
      <w:pPr>
        <w:rPr>
          <w:lang w:val="fr-FR"/>
        </w:rPr>
      </w:pPr>
    </w:p>
    <w:p w14:paraId="6E1C2DC2" w14:textId="77777777" w:rsidR="006C3D33" w:rsidRPr="00294751" w:rsidRDefault="006C3D33" w:rsidP="006655D3">
      <w:pPr>
        <w:rPr>
          <w:lang w:val="fr-FR"/>
        </w:rPr>
      </w:pPr>
    </w:p>
  </w:endnote>
  <w:endnote w:type="continuationNotice" w:id="1">
    <w:p w14:paraId="0CC1608B" w14:textId="77777777" w:rsidR="006C3D33" w:rsidRPr="00294751" w:rsidRDefault="006C3D33" w:rsidP="006655D3">
      <w:pPr>
        <w:rPr>
          <w:lang w:val="fr-FR"/>
        </w:rPr>
      </w:pPr>
      <w:r w:rsidRPr="00294751">
        <w:rPr>
          <w:lang w:val="fr-FR"/>
        </w:rPr>
        <w:t>[Suite de la note page suivante]</w:t>
      </w:r>
    </w:p>
    <w:p w14:paraId="71A17947" w14:textId="77777777" w:rsidR="006C3D33" w:rsidRPr="00294751" w:rsidRDefault="006C3D33" w:rsidP="006655D3">
      <w:pPr>
        <w:rPr>
          <w:lang w:val="fr-FR"/>
        </w:rPr>
      </w:pPr>
    </w:p>
    <w:p w14:paraId="5AB68F41" w14:textId="77777777" w:rsidR="006C3D33" w:rsidRPr="00294751" w:rsidRDefault="006C3D33"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C274C" w14:textId="023DBC01" w:rsidR="00FF2541" w:rsidRDefault="00FF25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B2F92" w14:textId="00456B9B" w:rsidR="00FF2541" w:rsidRDefault="00FF25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49456" w14:textId="3E849B45" w:rsidR="00FF2541" w:rsidRDefault="00FF25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78C50" w14:textId="3EBB9D0C" w:rsidR="00DE22EE" w:rsidRDefault="00DE22E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8CBF0" w14:textId="34A1D02A" w:rsidR="00DE22EE" w:rsidRPr="00F101BE" w:rsidRDefault="00DE22EE" w:rsidP="00F101B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79536" w14:textId="5D6CDE87" w:rsidR="00DE22EE" w:rsidRPr="00F101BE" w:rsidRDefault="00DE22EE" w:rsidP="00F10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0612F" w14:textId="77777777" w:rsidR="006C3D33" w:rsidRDefault="006C3D33" w:rsidP="006655D3">
      <w:r>
        <w:separator/>
      </w:r>
    </w:p>
  </w:footnote>
  <w:footnote w:type="continuationSeparator" w:id="0">
    <w:p w14:paraId="4F1DBB4C" w14:textId="77777777" w:rsidR="006C3D33" w:rsidRDefault="006C3D33" w:rsidP="006655D3">
      <w:r>
        <w:separator/>
      </w:r>
    </w:p>
  </w:footnote>
  <w:footnote w:type="continuationNotice" w:id="1">
    <w:p w14:paraId="254F47B2" w14:textId="77777777" w:rsidR="006C3D33" w:rsidRPr="00AB530F" w:rsidRDefault="006C3D33" w:rsidP="00AB530F">
      <w:pPr>
        <w:pStyle w:val="Footer"/>
      </w:pPr>
    </w:p>
  </w:footnote>
  <w:footnote w:id="2">
    <w:p w14:paraId="63A06D4C" w14:textId="6C1C0D89" w:rsidR="004B69D6" w:rsidRDefault="004B69D6" w:rsidP="00F101BE">
      <w:pPr>
        <w:pStyle w:val="FootnoteText"/>
      </w:pPr>
      <w:r>
        <w:rPr>
          <w:rStyle w:val="FootnoteReference"/>
        </w:rPr>
        <w:footnoteRef/>
      </w:r>
      <w:r w:rsidR="006854BE">
        <w:tab/>
      </w:r>
      <w:r>
        <w:t xml:space="preserve">Disponible en https://unsceb.org/rmtf. </w:t>
      </w:r>
    </w:p>
  </w:footnote>
  <w:footnote w:id="3">
    <w:p w14:paraId="1C8DDCF8" w14:textId="3AD2C496" w:rsidR="004B69D6" w:rsidRDefault="004B69D6" w:rsidP="00F101BE">
      <w:pPr>
        <w:pStyle w:val="FootnoteText"/>
      </w:pPr>
      <w:r>
        <w:rPr>
          <w:rStyle w:val="FootnoteReference"/>
        </w:rPr>
        <w:footnoteRef/>
      </w:r>
      <w:r w:rsidR="006854BE">
        <w:tab/>
      </w:r>
      <w:r>
        <w:t>COSO: Integración de la gestión del riesgo institucional con la estrategia y el rendimiento</w:t>
      </w:r>
      <w:r w:rsidR="00662E9F">
        <w:t>.</w:t>
      </w:r>
    </w:p>
  </w:footnote>
  <w:footnote w:id="4">
    <w:p w14:paraId="66AA74B2" w14:textId="6198BAB5" w:rsidR="00F101BE" w:rsidRDefault="00F101BE" w:rsidP="00F101BE">
      <w:pPr>
        <w:pStyle w:val="FootnoteText"/>
      </w:pPr>
      <w:r>
        <w:rPr>
          <w:rStyle w:val="FootnoteReference"/>
        </w:rPr>
        <w:footnoteRef/>
      </w:r>
      <w:r>
        <w:tab/>
        <w:t>El riesgo residual es el riesgo que permanece después de tener en cuenta las medidas de respuesta y los controles pertinentes que se han aplicado.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5C147" w14:textId="36A40EEB" w:rsidR="00182B99" w:rsidRPr="00C5280D" w:rsidRDefault="004B69D6" w:rsidP="00EB048E">
    <w:pPr>
      <w:pStyle w:val="Header"/>
      <w:rPr>
        <w:rStyle w:val="PageNumber"/>
      </w:rPr>
    </w:pPr>
    <w:r>
      <w:rPr>
        <w:rStyle w:val="PageNumber"/>
      </w:rPr>
      <w:t>C/59/15</w:t>
    </w:r>
  </w:p>
  <w:p w14:paraId="12E49FE1" w14:textId="77777777" w:rsidR="00182B99" w:rsidRPr="00C5280D" w:rsidRDefault="00182B99" w:rsidP="00EB048E">
    <w:pPr>
      <w:pStyle w:val="Header"/>
    </w:pPr>
    <w:r>
      <w:t xml:space="preserve">página </w:t>
    </w:r>
    <w:r w:rsidRPr="00C5280D">
      <w:rPr>
        <w:rStyle w:val="PageNumber"/>
      </w:rPr>
      <w:fldChar w:fldCharType="begin"/>
    </w:r>
    <w:r w:rsidRPr="00C5280D">
      <w:rPr>
        <w:rStyle w:val="PageNumber"/>
      </w:rPr>
      <w:instrText xml:space="preserve"> PAGE </w:instrText>
    </w:r>
    <w:r w:rsidRPr="00C5280D">
      <w:rPr>
        <w:rStyle w:val="PageNumber"/>
      </w:rPr>
      <w:fldChar w:fldCharType="separate"/>
    </w:r>
    <w:r w:rsidR="00903264">
      <w:rPr>
        <w:rStyle w:val="PageNumber"/>
      </w:rPr>
      <w:t>2</w:t>
    </w:r>
    <w:r w:rsidRPr="00C5280D">
      <w:rPr>
        <w:rStyle w:val="PageNumber"/>
      </w:rPr>
      <w:fldChar w:fldCharType="end"/>
    </w:r>
  </w:p>
  <w:p w14:paraId="67D64178" w14:textId="77777777" w:rsidR="00182B99" w:rsidRPr="00C5280D" w:rsidRDefault="00182B99"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795E8" w14:textId="77777777" w:rsidR="00DE22EE" w:rsidRDefault="00DE22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B036E" w14:textId="77777777" w:rsidR="00DE22EE" w:rsidRPr="000643F3" w:rsidRDefault="00DE22EE" w:rsidP="002806CD">
    <w:pPr>
      <w:jc w:val="center"/>
    </w:pPr>
    <w:r>
      <w:t>C/59/15</w:t>
    </w:r>
  </w:p>
  <w:p w14:paraId="457F7830" w14:textId="77777777" w:rsidR="00DE22EE" w:rsidRDefault="00DE22EE" w:rsidP="002806CD">
    <w:pPr>
      <w:jc w:val="center"/>
    </w:pPr>
    <w:r>
      <w:t xml:space="preserve">Anexo, página </w:t>
    </w:r>
    <w:r w:rsidRPr="00811D9C">
      <w:fldChar w:fldCharType="begin"/>
    </w:r>
    <w:r w:rsidRPr="00811D9C">
      <w:instrText xml:space="preserve"> PAGE   \* MERGEFORMAT </w:instrText>
    </w:r>
    <w:r w:rsidRPr="00811D9C">
      <w:fldChar w:fldCharType="separate"/>
    </w:r>
    <w:r>
      <w:t>12</w:t>
    </w:r>
    <w:r w:rsidRPr="00811D9C">
      <w:fldChar w:fldCharType="end"/>
    </w:r>
  </w:p>
  <w:p w14:paraId="4632B290" w14:textId="77777777" w:rsidR="00DE22EE" w:rsidRPr="000643F3" w:rsidRDefault="00DE22EE">
    <w:pPr>
      <w:rPr>
        <w:lang w:val="de-CH"/>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C5381" w14:textId="003AA03C" w:rsidR="00F101BE" w:rsidRDefault="00F101BE" w:rsidP="002806CD">
    <w:pPr>
      <w:ind w:right="85"/>
      <w:jc w:val="center"/>
    </w:pPr>
    <w:r>
      <w:t>C/59/15</w:t>
    </w:r>
  </w:p>
  <w:p w14:paraId="544FCE43" w14:textId="77777777" w:rsidR="00F101BE" w:rsidRDefault="00F101BE" w:rsidP="002806CD">
    <w:pPr>
      <w:ind w:right="85"/>
      <w:jc w:val="center"/>
      <w:rPr>
        <w:lang w:val="de-CH"/>
      </w:rPr>
    </w:pPr>
  </w:p>
  <w:p w14:paraId="27DAC9B1" w14:textId="5D4C546D" w:rsidR="00DE22EE" w:rsidRPr="000643F3" w:rsidRDefault="00DE22EE" w:rsidP="002806CD">
    <w:pPr>
      <w:ind w:right="85"/>
      <w:jc w:val="center"/>
    </w:pPr>
    <w:r>
      <w:t>ANEXO</w:t>
    </w:r>
  </w:p>
  <w:p w14:paraId="0F78478C" w14:textId="77777777" w:rsidR="00DE22EE" w:rsidRDefault="00DE22EE">
    <w:pPr>
      <w:pStyle w:val="Header"/>
      <w:rPr>
        <w:lang w:val="de-CH"/>
      </w:rPr>
    </w:pPr>
  </w:p>
  <w:p w14:paraId="145D7AD6" w14:textId="77777777" w:rsidR="00DE22EE" w:rsidRPr="000643F3" w:rsidRDefault="00DE22EE">
    <w:pPr>
      <w:pStyle w:val="Header"/>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6E81"/>
    <w:multiLevelType w:val="multilevel"/>
    <w:tmpl w:val="D7B27EF2"/>
    <w:lvl w:ilvl="0">
      <w:start w:val="1"/>
      <w:numFmt w:val="bullet"/>
      <w:lvlText w:val="o"/>
      <w:lvlJc w:val="left"/>
      <w:pPr>
        <w:tabs>
          <w:tab w:val="num" w:pos="1134"/>
        </w:tabs>
        <w:ind w:left="567" w:firstLine="0"/>
      </w:pPr>
      <w:rPr>
        <w:rFonts w:ascii="Courier New" w:hAnsi="Courier New" w:cs="Courier New" w:hint="default"/>
        <w:b w:val="0"/>
        <w:sz w:val="22"/>
      </w:rPr>
    </w:lvl>
    <w:lvl w:ilvl="1">
      <w:start w:val="1"/>
      <w:numFmt w:val="bullet"/>
      <w:lvlText w:val=""/>
      <w:lvlJc w:val="left"/>
      <w:pPr>
        <w:tabs>
          <w:tab w:val="num" w:pos="1611"/>
        </w:tabs>
        <w:ind w:left="1044" w:firstLine="0"/>
      </w:pPr>
      <w:rPr>
        <w:rFonts w:ascii="Symbol" w:hAnsi="Symbol" w:hint="default"/>
      </w:rPr>
    </w:lvl>
    <w:lvl w:ilvl="2">
      <w:start w:val="1"/>
      <w:numFmt w:val="bullet"/>
      <w:lvlText w:val=""/>
      <w:lvlJc w:val="left"/>
      <w:pPr>
        <w:tabs>
          <w:tab w:val="num" w:pos="2178"/>
        </w:tabs>
        <w:ind w:left="1611" w:firstLine="0"/>
      </w:pPr>
      <w:rPr>
        <w:rFonts w:ascii="Symbol" w:hAnsi="Symbol" w:hint="default"/>
      </w:rPr>
    </w:lvl>
    <w:lvl w:ilvl="3">
      <w:start w:val="1"/>
      <w:numFmt w:val="bullet"/>
      <w:lvlText w:val=""/>
      <w:lvlJc w:val="left"/>
      <w:pPr>
        <w:tabs>
          <w:tab w:val="num" w:pos="2745"/>
        </w:tabs>
        <w:ind w:left="2178" w:firstLine="0"/>
      </w:pPr>
      <w:rPr>
        <w:rFonts w:hint="default"/>
      </w:rPr>
    </w:lvl>
    <w:lvl w:ilvl="4">
      <w:start w:val="1"/>
      <w:numFmt w:val="bullet"/>
      <w:lvlText w:val=""/>
      <w:lvlJc w:val="left"/>
      <w:pPr>
        <w:tabs>
          <w:tab w:val="num" w:pos="3312"/>
        </w:tabs>
        <w:ind w:left="2745" w:firstLine="0"/>
      </w:pPr>
      <w:rPr>
        <w:rFonts w:hint="default"/>
      </w:rPr>
    </w:lvl>
    <w:lvl w:ilvl="5">
      <w:start w:val="1"/>
      <w:numFmt w:val="bullet"/>
      <w:lvlText w:val=""/>
      <w:lvlJc w:val="left"/>
      <w:pPr>
        <w:tabs>
          <w:tab w:val="num" w:pos="3879"/>
        </w:tabs>
        <w:ind w:left="3312" w:firstLine="0"/>
      </w:pPr>
      <w:rPr>
        <w:rFonts w:hint="default"/>
      </w:rPr>
    </w:lvl>
    <w:lvl w:ilvl="6">
      <w:start w:val="1"/>
      <w:numFmt w:val="bullet"/>
      <w:lvlText w:val=""/>
      <w:lvlJc w:val="left"/>
      <w:pPr>
        <w:tabs>
          <w:tab w:val="num" w:pos="4446"/>
        </w:tabs>
        <w:ind w:left="3879" w:firstLine="0"/>
      </w:pPr>
      <w:rPr>
        <w:rFonts w:hint="default"/>
      </w:rPr>
    </w:lvl>
    <w:lvl w:ilvl="7">
      <w:start w:val="1"/>
      <w:numFmt w:val="bullet"/>
      <w:lvlText w:val=""/>
      <w:lvlJc w:val="left"/>
      <w:pPr>
        <w:tabs>
          <w:tab w:val="num" w:pos="5012"/>
        </w:tabs>
        <w:ind w:left="4446" w:firstLine="0"/>
      </w:pPr>
      <w:rPr>
        <w:rFonts w:hint="default"/>
      </w:rPr>
    </w:lvl>
    <w:lvl w:ilvl="8">
      <w:start w:val="1"/>
      <w:numFmt w:val="bullet"/>
      <w:lvlText w:val=""/>
      <w:lvlJc w:val="left"/>
      <w:pPr>
        <w:tabs>
          <w:tab w:val="num" w:pos="5579"/>
        </w:tabs>
        <w:ind w:left="5012" w:firstLine="0"/>
      </w:pPr>
      <w:rPr>
        <w:rFonts w:hint="default"/>
      </w:rPr>
    </w:lvl>
  </w:abstractNum>
  <w:abstractNum w:abstractNumId="1" w15:restartNumberingAfterBreak="0">
    <w:nsid w:val="06CD29E3"/>
    <w:multiLevelType w:val="multilevel"/>
    <w:tmpl w:val="C7DE0C72"/>
    <w:lvl w:ilvl="0">
      <w:start w:val="1"/>
      <w:numFmt w:val="decimal"/>
      <w:pStyle w:val="ONUME"/>
      <w:lvlText w:val="%1."/>
      <w:lvlJc w:val="left"/>
      <w:pPr>
        <w:tabs>
          <w:tab w:val="num" w:pos="567"/>
        </w:tabs>
        <w:ind w:left="0" w:firstLine="0"/>
      </w:pPr>
      <w:rPr>
        <w:rFonts w:hint="default"/>
        <w:b w:val="0"/>
        <w:i w:val="0"/>
        <w:iCs w:val="0"/>
        <w:sz w:val="20"/>
      </w:rPr>
    </w:lvl>
    <w:lvl w:ilvl="1">
      <w:start w:val="1"/>
      <w:numFmt w:val="bullet"/>
      <w:lvlText w:val=""/>
      <w:lvlJc w:val="left"/>
      <w:pPr>
        <w:tabs>
          <w:tab w:val="num" w:pos="1044"/>
        </w:tabs>
        <w:ind w:left="477" w:firstLine="0"/>
      </w:pPr>
      <w:rPr>
        <w:rFonts w:ascii="Symbol" w:hAnsi="Symbol" w:hint="default"/>
      </w:rPr>
    </w:lvl>
    <w:lvl w:ilvl="2">
      <w:start w:val="1"/>
      <w:numFmt w:val="bullet"/>
      <w:lvlText w:val=""/>
      <w:lvlJc w:val="left"/>
      <w:pPr>
        <w:tabs>
          <w:tab w:val="num" w:pos="1611"/>
        </w:tabs>
        <w:ind w:left="1044" w:firstLine="0"/>
      </w:pPr>
      <w:rPr>
        <w:rFonts w:ascii="Symbol" w:hAnsi="Symbol" w:hint="default"/>
      </w:rPr>
    </w:lvl>
    <w:lvl w:ilvl="3">
      <w:start w:val="1"/>
      <w:numFmt w:val="bullet"/>
      <w:lvlText w:val=""/>
      <w:lvlJc w:val="left"/>
      <w:pPr>
        <w:tabs>
          <w:tab w:val="num" w:pos="2178"/>
        </w:tabs>
        <w:ind w:left="1611" w:firstLine="0"/>
      </w:pPr>
      <w:rPr>
        <w:rFonts w:hint="default"/>
      </w:rPr>
    </w:lvl>
    <w:lvl w:ilvl="4">
      <w:start w:val="1"/>
      <w:numFmt w:val="bullet"/>
      <w:lvlText w:val=""/>
      <w:lvlJc w:val="left"/>
      <w:pPr>
        <w:tabs>
          <w:tab w:val="num" w:pos="2745"/>
        </w:tabs>
        <w:ind w:left="2178" w:firstLine="0"/>
      </w:pPr>
      <w:rPr>
        <w:rFonts w:hint="default"/>
      </w:rPr>
    </w:lvl>
    <w:lvl w:ilvl="5">
      <w:start w:val="1"/>
      <w:numFmt w:val="bullet"/>
      <w:lvlText w:val=""/>
      <w:lvlJc w:val="left"/>
      <w:pPr>
        <w:tabs>
          <w:tab w:val="num" w:pos="3312"/>
        </w:tabs>
        <w:ind w:left="2745" w:firstLine="0"/>
      </w:pPr>
      <w:rPr>
        <w:rFonts w:hint="default"/>
      </w:rPr>
    </w:lvl>
    <w:lvl w:ilvl="6">
      <w:start w:val="1"/>
      <w:numFmt w:val="bullet"/>
      <w:lvlText w:val=""/>
      <w:lvlJc w:val="left"/>
      <w:pPr>
        <w:tabs>
          <w:tab w:val="num" w:pos="3879"/>
        </w:tabs>
        <w:ind w:left="3312" w:firstLine="0"/>
      </w:pPr>
      <w:rPr>
        <w:rFonts w:hint="default"/>
      </w:rPr>
    </w:lvl>
    <w:lvl w:ilvl="7">
      <w:start w:val="1"/>
      <w:numFmt w:val="bullet"/>
      <w:lvlText w:val=""/>
      <w:lvlJc w:val="left"/>
      <w:pPr>
        <w:tabs>
          <w:tab w:val="num" w:pos="4445"/>
        </w:tabs>
        <w:ind w:left="3879" w:firstLine="0"/>
      </w:pPr>
      <w:rPr>
        <w:rFonts w:hint="default"/>
      </w:rPr>
    </w:lvl>
    <w:lvl w:ilvl="8">
      <w:start w:val="1"/>
      <w:numFmt w:val="bullet"/>
      <w:lvlText w:val=""/>
      <w:lvlJc w:val="left"/>
      <w:pPr>
        <w:tabs>
          <w:tab w:val="num" w:pos="5012"/>
        </w:tabs>
        <w:ind w:left="4445" w:firstLine="0"/>
      </w:pPr>
      <w:rPr>
        <w:rFonts w:hint="default"/>
      </w:rPr>
    </w:lvl>
  </w:abstractNum>
  <w:abstractNum w:abstractNumId="2" w15:restartNumberingAfterBreak="0">
    <w:nsid w:val="0B461E41"/>
    <w:multiLevelType w:val="hybridMultilevel"/>
    <w:tmpl w:val="CD7C8BC8"/>
    <w:lvl w:ilvl="0" w:tplc="04090017">
      <w:start w:val="1"/>
      <w:numFmt w:val="lowerLetter"/>
      <w:lvlText w:val="%1)"/>
      <w:lvlJc w:val="left"/>
      <w:pPr>
        <w:ind w:left="927" w:hanging="360"/>
      </w:p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35D514A"/>
    <w:multiLevelType w:val="hybridMultilevel"/>
    <w:tmpl w:val="356E07DA"/>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490291063">
    <w:abstractNumId w:val="1"/>
  </w:num>
  <w:num w:numId="2" w16cid:durableId="2050062078">
    <w:abstractNumId w:val="1"/>
  </w:num>
  <w:num w:numId="3" w16cid:durableId="699664359">
    <w:abstractNumId w:val="0"/>
  </w:num>
  <w:num w:numId="4" w16cid:durableId="1737972082">
    <w:abstractNumId w:val="3"/>
  </w:num>
  <w:num w:numId="5" w16cid:durableId="578715619">
    <w:abstractNumId w:val="2"/>
  </w:num>
  <w:num w:numId="6" w16cid:durableId="1637225120">
    <w:abstractNumId w:val="1"/>
  </w:num>
  <w:num w:numId="7" w16cid:durableId="1879708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9D6"/>
    <w:rsid w:val="00010CF3"/>
    <w:rsid w:val="00011E27"/>
    <w:rsid w:val="000148BC"/>
    <w:rsid w:val="00024AB8"/>
    <w:rsid w:val="00030854"/>
    <w:rsid w:val="00036028"/>
    <w:rsid w:val="00042541"/>
    <w:rsid w:val="00044642"/>
    <w:rsid w:val="000446B9"/>
    <w:rsid w:val="00047E21"/>
    <w:rsid w:val="00050E16"/>
    <w:rsid w:val="00085505"/>
    <w:rsid w:val="000C4E25"/>
    <w:rsid w:val="000C7021"/>
    <w:rsid w:val="000D6BBC"/>
    <w:rsid w:val="000D7780"/>
    <w:rsid w:val="000E636A"/>
    <w:rsid w:val="000F2F11"/>
    <w:rsid w:val="00105929"/>
    <w:rsid w:val="00110C36"/>
    <w:rsid w:val="001131D5"/>
    <w:rsid w:val="001353B8"/>
    <w:rsid w:val="00141DB8"/>
    <w:rsid w:val="00172084"/>
    <w:rsid w:val="0017474A"/>
    <w:rsid w:val="001758C6"/>
    <w:rsid w:val="00182B99"/>
    <w:rsid w:val="001C1525"/>
    <w:rsid w:val="001E308F"/>
    <w:rsid w:val="0020304B"/>
    <w:rsid w:val="0021332C"/>
    <w:rsid w:val="00213982"/>
    <w:rsid w:val="00214C72"/>
    <w:rsid w:val="0024416D"/>
    <w:rsid w:val="00256BFA"/>
    <w:rsid w:val="00271911"/>
    <w:rsid w:val="002800A0"/>
    <w:rsid w:val="002801B3"/>
    <w:rsid w:val="00281060"/>
    <w:rsid w:val="002940E8"/>
    <w:rsid w:val="00294751"/>
    <w:rsid w:val="002A6E50"/>
    <w:rsid w:val="002B4298"/>
    <w:rsid w:val="002C256A"/>
    <w:rsid w:val="00305A7F"/>
    <w:rsid w:val="003152FE"/>
    <w:rsid w:val="00327436"/>
    <w:rsid w:val="00344BD6"/>
    <w:rsid w:val="003532C2"/>
    <w:rsid w:val="0035528D"/>
    <w:rsid w:val="00361821"/>
    <w:rsid w:val="00361E9E"/>
    <w:rsid w:val="003773AA"/>
    <w:rsid w:val="003900D5"/>
    <w:rsid w:val="0039633A"/>
    <w:rsid w:val="003C7FBE"/>
    <w:rsid w:val="003D227C"/>
    <w:rsid w:val="003D2B4D"/>
    <w:rsid w:val="003F5F2B"/>
    <w:rsid w:val="004273BC"/>
    <w:rsid w:val="00444A88"/>
    <w:rsid w:val="00474DA4"/>
    <w:rsid w:val="00476B4D"/>
    <w:rsid w:val="004805FA"/>
    <w:rsid w:val="004935D2"/>
    <w:rsid w:val="004B1215"/>
    <w:rsid w:val="004B65F2"/>
    <w:rsid w:val="004B69D6"/>
    <w:rsid w:val="004D047D"/>
    <w:rsid w:val="004F1E9E"/>
    <w:rsid w:val="004F305A"/>
    <w:rsid w:val="00512164"/>
    <w:rsid w:val="0051361E"/>
    <w:rsid w:val="00520297"/>
    <w:rsid w:val="005338F9"/>
    <w:rsid w:val="0054281C"/>
    <w:rsid w:val="00544300"/>
    <w:rsid w:val="00544581"/>
    <w:rsid w:val="00547FCF"/>
    <w:rsid w:val="0055268D"/>
    <w:rsid w:val="00576BE4"/>
    <w:rsid w:val="005A400A"/>
    <w:rsid w:val="005B7A61"/>
    <w:rsid w:val="005F7B92"/>
    <w:rsid w:val="00612379"/>
    <w:rsid w:val="006153B6"/>
    <w:rsid w:val="0061555F"/>
    <w:rsid w:val="00636CA6"/>
    <w:rsid w:val="00641200"/>
    <w:rsid w:val="00645CA8"/>
    <w:rsid w:val="00662E9F"/>
    <w:rsid w:val="006655D3"/>
    <w:rsid w:val="00667404"/>
    <w:rsid w:val="006854BE"/>
    <w:rsid w:val="00687EB4"/>
    <w:rsid w:val="00695C56"/>
    <w:rsid w:val="006A5CDE"/>
    <w:rsid w:val="006A644A"/>
    <w:rsid w:val="006B17D2"/>
    <w:rsid w:val="006C224E"/>
    <w:rsid w:val="006C3D33"/>
    <w:rsid w:val="006D780A"/>
    <w:rsid w:val="0071271E"/>
    <w:rsid w:val="00732DEC"/>
    <w:rsid w:val="00735BD5"/>
    <w:rsid w:val="007451EC"/>
    <w:rsid w:val="00751613"/>
    <w:rsid w:val="007556F6"/>
    <w:rsid w:val="00760EEF"/>
    <w:rsid w:val="007651B9"/>
    <w:rsid w:val="00777EE5"/>
    <w:rsid w:val="00782255"/>
    <w:rsid w:val="00784836"/>
    <w:rsid w:val="0079023E"/>
    <w:rsid w:val="007A2854"/>
    <w:rsid w:val="007C1D92"/>
    <w:rsid w:val="007C3C19"/>
    <w:rsid w:val="007C4CB9"/>
    <w:rsid w:val="007D0B9D"/>
    <w:rsid w:val="007D19B0"/>
    <w:rsid w:val="007D4635"/>
    <w:rsid w:val="007F498F"/>
    <w:rsid w:val="0080679D"/>
    <w:rsid w:val="008108B0"/>
    <w:rsid w:val="00811B20"/>
    <w:rsid w:val="008211B5"/>
    <w:rsid w:val="0082296E"/>
    <w:rsid w:val="00824099"/>
    <w:rsid w:val="0083359E"/>
    <w:rsid w:val="00846D7C"/>
    <w:rsid w:val="00857124"/>
    <w:rsid w:val="00867AC1"/>
    <w:rsid w:val="00890DF8"/>
    <w:rsid w:val="008A743F"/>
    <w:rsid w:val="008B03AE"/>
    <w:rsid w:val="008B4A22"/>
    <w:rsid w:val="008C0970"/>
    <w:rsid w:val="008D0BC5"/>
    <w:rsid w:val="008D2CF7"/>
    <w:rsid w:val="00900C26"/>
    <w:rsid w:val="0090197F"/>
    <w:rsid w:val="00903264"/>
    <w:rsid w:val="00906DDC"/>
    <w:rsid w:val="0091581E"/>
    <w:rsid w:val="00924B2E"/>
    <w:rsid w:val="00931F96"/>
    <w:rsid w:val="00934E09"/>
    <w:rsid w:val="00936253"/>
    <w:rsid w:val="00940D46"/>
    <w:rsid w:val="00952DD4"/>
    <w:rsid w:val="00965AE7"/>
    <w:rsid w:val="00970FED"/>
    <w:rsid w:val="00987CB1"/>
    <w:rsid w:val="00992D82"/>
    <w:rsid w:val="00997029"/>
    <w:rsid w:val="009A7339"/>
    <w:rsid w:val="009B440E"/>
    <w:rsid w:val="009D690D"/>
    <w:rsid w:val="009E65B6"/>
    <w:rsid w:val="009F77CF"/>
    <w:rsid w:val="00A24C10"/>
    <w:rsid w:val="00A3365A"/>
    <w:rsid w:val="00A42747"/>
    <w:rsid w:val="00A42AC3"/>
    <w:rsid w:val="00A430CF"/>
    <w:rsid w:val="00A54309"/>
    <w:rsid w:val="00A90DB8"/>
    <w:rsid w:val="00AB2B93"/>
    <w:rsid w:val="00AB530F"/>
    <w:rsid w:val="00AB7E5B"/>
    <w:rsid w:val="00AC2883"/>
    <w:rsid w:val="00AE0EF1"/>
    <w:rsid w:val="00AE2937"/>
    <w:rsid w:val="00B07301"/>
    <w:rsid w:val="00B11F3E"/>
    <w:rsid w:val="00B224DE"/>
    <w:rsid w:val="00B324D4"/>
    <w:rsid w:val="00B46575"/>
    <w:rsid w:val="00B61777"/>
    <w:rsid w:val="00B84BBD"/>
    <w:rsid w:val="00BA43FB"/>
    <w:rsid w:val="00BC127D"/>
    <w:rsid w:val="00BC1FE6"/>
    <w:rsid w:val="00BF6DC1"/>
    <w:rsid w:val="00C0361E"/>
    <w:rsid w:val="00C061B6"/>
    <w:rsid w:val="00C2446C"/>
    <w:rsid w:val="00C36AE5"/>
    <w:rsid w:val="00C41F17"/>
    <w:rsid w:val="00C527FA"/>
    <w:rsid w:val="00C5280D"/>
    <w:rsid w:val="00C53EB3"/>
    <w:rsid w:val="00C5791C"/>
    <w:rsid w:val="00C66290"/>
    <w:rsid w:val="00C72B7A"/>
    <w:rsid w:val="00C75A58"/>
    <w:rsid w:val="00C917D7"/>
    <w:rsid w:val="00C92046"/>
    <w:rsid w:val="00C973F2"/>
    <w:rsid w:val="00CA2147"/>
    <w:rsid w:val="00CA304C"/>
    <w:rsid w:val="00CA774A"/>
    <w:rsid w:val="00CA7BA1"/>
    <w:rsid w:val="00CC11B0"/>
    <w:rsid w:val="00CC2841"/>
    <w:rsid w:val="00CF1330"/>
    <w:rsid w:val="00CF7E36"/>
    <w:rsid w:val="00D1174C"/>
    <w:rsid w:val="00D3708D"/>
    <w:rsid w:val="00D40426"/>
    <w:rsid w:val="00D57C96"/>
    <w:rsid w:val="00D57D18"/>
    <w:rsid w:val="00D76A6E"/>
    <w:rsid w:val="00D91203"/>
    <w:rsid w:val="00D95174"/>
    <w:rsid w:val="00DA4973"/>
    <w:rsid w:val="00DA6F36"/>
    <w:rsid w:val="00DB323D"/>
    <w:rsid w:val="00DB4A96"/>
    <w:rsid w:val="00DB596E"/>
    <w:rsid w:val="00DB7773"/>
    <w:rsid w:val="00DC00EA"/>
    <w:rsid w:val="00DC2FC6"/>
    <w:rsid w:val="00DC3802"/>
    <w:rsid w:val="00DE22EE"/>
    <w:rsid w:val="00E07D87"/>
    <w:rsid w:val="00E32F7E"/>
    <w:rsid w:val="00E36411"/>
    <w:rsid w:val="00E364BF"/>
    <w:rsid w:val="00E5267B"/>
    <w:rsid w:val="00E63C0E"/>
    <w:rsid w:val="00E672CE"/>
    <w:rsid w:val="00E72D49"/>
    <w:rsid w:val="00E7593C"/>
    <w:rsid w:val="00E7678A"/>
    <w:rsid w:val="00E935F1"/>
    <w:rsid w:val="00E948F9"/>
    <w:rsid w:val="00E94A81"/>
    <w:rsid w:val="00EA1FFB"/>
    <w:rsid w:val="00EB048E"/>
    <w:rsid w:val="00EB4E9C"/>
    <w:rsid w:val="00EE34DF"/>
    <w:rsid w:val="00EF2F89"/>
    <w:rsid w:val="00F03E98"/>
    <w:rsid w:val="00F101BE"/>
    <w:rsid w:val="00F1237A"/>
    <w:rsid w:val="00F22CBD"/>
    <w:rsid w:val="00F272F1"/>
    <w:rsid w:val="00F45372"/>
    <w:rsid w:val="00F560F7"/>
    <w:rsid w:val="00F6334D"/>
    <w:rsid w:val="00F63599"/>
    <w:rsid w:val="00FA49AB"/>
    <w:rsid w:val="00FB517C"/>
    <w:rsid w:val="00FE39C7"/>
    <w:rsid w:val="00FF2541"/>
    <w:rsid w:val="00FF4D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BB22350"/>
  <w15:docId w15:val="{83BFB4A3-EE8F-4CC5-BBE5-83908DA7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3C19"/>
    <w:pPr>
      <w:jc w:val="both"/>
    </w:pPr>
    <w:rPr>
      <w:rFonts w:ascii="Arial" w:hAnsi="Arial"/>
    </w:rPr>
  </w:style>
  <w:style w:type="paragraph" w:styleId="Heading1">
    <w:name w:val="heading 1"/>
    <w:next w:val="Normal"/>
    <w:autoRedefine/>
    <w:qFormat/>
    <w:rsid w:val="004B65F2"/>
    <w:pPr>
      <w:keepNext/>
      <w:spacing w:after="240"/>
      <w:jc w:val="both"/>
      <w:outlineLvl w:val="0"/>
    </w:pPr>
    <w:rPr>
      <w:rFonts w:ascii="Arial" w:hAnsi="Arial"/>
      <w:b/>
      <w:caps/>
    </w:rPr>
  </w:style>
  <w:style w:type="paragraph" w:styleId="Heading2">
    <w:name w:val="heading 2"/>
    <w:next w:val="Normal"/>
    <w:autoRedefine/>
    <w:qFormat/>
    <w:rsid w:val="004805FA"/>
    <w:pPr>
      <w:keepNext/>
      <w:jc w:val="both"/>
      <w:outlineLvl w:val="1"/>
    </w:pPr>
    <w:rPr>
      <w:rFonts w:ascii="Arial" w:hAnsi="Arial"/>
      <w:u w:val="single"/>
    </w:rPr>
  </w:style>
  <w:style w:type="paragraph" w:styleId="Heading3">
    <w:name w:val="heading 3"/>
    <w:next w:val="Normal"/>
    <w:autoRedefine/>
    <w:qFormat/>
    <w:rsid w:val="004805FA"/>
    <w:pPr>
      <w:keepNext/>
      <w:jc w:val="both"/>
      <w:outlineLvl w:val="2"/>
    </w:pPr>
    <w:rPr>
      <w:rFonts w:ascii="Arial" w:hAnsi="Arial"/>
      <w:i/>
    </w:rPr>
  </w:style>
  <w:style w:type="paragraph" w:styleId="Heading4">
    <w:name w:val="heading 4"/>
    <w:next w:val="Normal"/>
    <w:autoRedefine/>
    <w:qFormat/>
    <w:rsid w:val="004805FA"/>
    <w:pPr>
      <w:keepNext/>
      <w:ind w:left="567"/>
      <w:jc w:val="both"/>
      <w:outlineLvl w:val="3"/>
    </w:pPr>
    <w:rPr>
      <w:rFonts w:ascii="Arial" w:hAnsi="Arial"/>
      <w:u w:val="single"/>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AE2937"/>
    <w:pPr>
      <w:jc w:val="center"/>
    </w:pPr>
    <w:rPr>
      <w:rFonts w:ascii="Arial" w:hAnsi="Arial"/>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214C72"/>
    <w:pPr>
      <w:tabs>
        <w:tab w:val="left" w:pos="5387"/>
        <w:tab w:val="left" w:pos="5954"/>
      </w:tabs>
      <w:ind w:left="4820"/>
    </w:pPr>
    <w:rPr>
      <w:i/>
    </w:rPr>
  </w:style>
  <w:style w:type="paragraph" w:styleId="FootnoteText">
    <w:name w:val="footnote text"/>
    <w:link w:val="FootnoteTextChar"/>
    <w:autoRedefine/>
    <w:uiPriority w:val="99"/>
    <w:rsid w:val="00F101BE"/>
    <w:pPr>
      <w:spacing w:before="60"/>
      <w:ind w:left="284" w:hanging="284"/>
      <w:jc w:val="both"/>
    </w:pPr>
    <w:rPr>
      <w:rFonts w:ascii="Arial" w:hAnsi="Arial"/>
      <w:sz w:val="16"/>
    </w:rPr>
  </w:style>
  <w:style w:type="character" w:styleId="FootnoteReference">
    <w:name w:val="footnote reference"/>
    <w:basedOn w:val="DefaultParagraphFont"/>
    <w:uiPriority w:val="99"/>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s-E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es-ES"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es-ES" w:eastAsia="en-US" w:bidi="ar-SA"/>
    </w:rPr>
  </w:style>
  <w:style w:type="paragraph" w:styleId="TOC2">
    <w:name w:val="toc 2"/>
    <w:next w:val="Normal"/>
    <w:autoRedefine/>
    <w:rsid w:val="003F5F2B"/>
    <w:pPr>
      <w:tabs>
        <w:tab w:val="right" w:leader="dot" w:pos="9639"/>
      </w:tabs>
      <w:spacing w:after="120"/>
      <w:ind w:left="454" w:right="851" w:hanging="284"/>
      <w:contextualSpacing/>
    </w:pPr>
    <w:rPr>
      <w:rFonts w:ascii="Arial" w:hAnsi="Arial"/>
      <w:smallCaps/>
    </w:rPr>
  </w:style>
  <w:style w:type="paragraph" w:styleId="TOC3">
    <w:name w:val="toc 3"/>
    <w:next w:val="Normal"/>
    <w:autoRedefine/>
    <w:rsid w:val="003F5F2B"/>
    <w:pPr>
      <w:tabs>
        <w:tab w:val="right" w:leader="dot" w:pos="9639"/>
      </w:tabs>
      <w:spacing w:after="120"/>
      <w:ind w:left="568" w:right="851" w:hanging="284"/>
    </w:pPr>
    <w:rPr>
      <w:rFonts w:ascii="Arial" w:hAnsi="Arial"/>
      <w:sz w:val="18"/>
    </w:rPr>
  </w:style>
  <w:style w:type="character" w:styleId="Hyperlink">
    <w:name w:val="Hyperlink"/>
    <w:basedOn w:val="DefaultParagraphFont"/>
    <w:rsid w:val="00AB530F"/>
    <w:rPr>
      <w:rFonts w:ascii="Arial" w:hAnsi="Arial"/>
      <w:color w:val="0000FF"/>
      <w:u w:val="single"/>
    </w:rPr>
  </w:style>
  <w:style w:type="paragraph" w:styleId="TOC4">
    <w:name w:val="toc 4"/>
    <w:next w:val="Normal"/>
    <w:autoRedefine/>
    <w:rsid w:val="003F5F2B"/>
    <w:pPr>
      <w:tabs>
        <w:tab w:val="right" w:leader="dot" w:pos="9639"/>
      </w:tabs>
      <w:spacing w:after="120"/>
      <w:ind w:left="738" w:right="851" w:hanging="284"/>
    </w:pPr>
    <w:rPr>
      <w:rFonts w:ascii="Arial" w:hAnsi="Arial"/>
      <w:i/>
      <w:sz w:val="18"/>
    </w:rPr>
  </w:style>
  <w:style w:type="paragraph" w:styleId="TOC1">
    <w:name w:val="toc 1"/>
    <w:next w:val="Normal"/>
    <w:autoRedefine/>
    <w:rsid w:val="003F5F2B"/>
    <w:pPr>
      <w:tabs>
        <w:tab w:val="right" w:leader="dot" w:pos="9639"/>
      </w:tabs>
      <w:spacing w:after="120"/>
      <w:jc w:val="center"/>
    </w:pPr>
    <w:rPr>
      <w:rFonts w:ascii="Arial" w:hAnsi="Arial"/>
      <w:caps/>
    </w:rPr>
  </w:style>
  <w:style w:type="paragraph" w:styleId="TOC5">
    <w:name w:val="toc 5"/>
    <w:next w:val="Normal"/>
    <w:autoRedefine/>
    <w:rsid w:val="003F5F2B"/>
    <w:pPr>
      <w:tabs>
        <w:tab w:val="right" w:leader="dot" w:pos="9639"/>
      </w:tabs>
      <w:spacing w:after="120"/>
      <w:ind w:left="567" w:right="851" w:firstLine="284"/>
      <w:jc w:val="both"/>
    </w:pPr>
    <w:rPr>
      <w:rFonts w:ascii="Arial" w:hAnsi="Arial"/>
      <w:sz w:val="16"/>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paragraph" w:customStyle="1" w:styleId="ONUME">
    <w:name w:val="ONUM E"/>
    <w:basedOn w:val="BodyText"/>
    <w:rsid w:val="004B65F2"/>
    <w:pPr>
      <w:numPr>
        <w:numId w:val="2"/>
      </w:numPr>
      <w:spacing w:after="240"/>
    </w:pPr>
    <w:rPr>
      <w:rFonts w:eastAsia="SimSun" w:cs="Arial"/>
      <w:lang w:eastAsia="zh-CN"/>
    </w:rPr>
  </w:style>
  <w:style w:type="character" w:customStyle="1" w:styleId="FootnoteTextChar">
    <w:name w:val="Footnote Text Char"/>
    <w:basedOn w:val="DefaultParagraphFont"/>
    <w:link w:val="FootnoteText"/>
    <w:uiPriority w:val="99"/>
    <w:rsid w:val="00F101BE"/>
    <w:rPr>
      <w:rFonts w:ascii="Arial" w:hAnsi="Arial"/>
      <w:sz w:val="16"/>
    </w:rPr>
  </w:style>
  <w:style w:type="paragraph" w:styleId="Caption">
    <w:name w:val="caption"/>
    <w:basedOn w:val="Normal"/>
    <w:next w:val="Normal"/>
    <w:qFormat/>
    <w:rsid w:val="00F101BE"/>
    <w:pPr>
      <w:jc w:val="left"/>
    </w:pPr>
    <w:rPr>
      <w:rFonts w:eastAsia="SimSun"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33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1093</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C/59/15</vt:lpstr>
    </vt:vector>
  </TitlesOfParts>
  <Company>UPOV</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C/59/15</dc:title>
  <dc:creator>SANCHEZ VIZCAINO GOMEZ Rosa Maria</dc:creator>
  <cp:lastModifiedBy>SANCHEZ VIZCAINO GOMEZ Rosa Maria</cp:lastModifiedBy>
  <cp:revision>4</cp:revision>
  <cp:lastPrinted>2016-11-22T15:41:00Z</cp:lastPrinted>
  <dcterms:created xsi:type="dcterms:W3CDTF">2025-08-29T16:50:00Z</dcterms:created>
  <dcterms:modified xsi:type="dcterms:W3CDTF">2025-09-19T12:22:00Z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2025-08-29T10:29:58Z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2a3fb13d-0326-48b3-bdf9-864cbd57c66b</vt:lpwstr>
  </property>
  <property fmtid="{D5CDD505-2E9C-101B-9397-08002B2CF9AE}" pid="8" name="MSIP_Label_20773ee6-353b-4fb9-a59d-0b94c8c67bea_ContentBits">
    <vt:lpwstr>0</vt:lpwstr>
  </property>
  <property fmtid="{D5CDD505-2E9C-101B-9397-08002B2CF9AE}" pid="9" name="MSIP_Label_20773ee6-353b-4fb9-a59d-0b94c8c67bea_Tag">
    <vt:lpwstr>10, 0, 1, 1</vt:lpwstr>
  </property>
</Properties>
</file>