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B5C2F" w14:paraId="7427FEF7" w14:textId="77777777" w:rsidTr="00EB4E9C">
        <w:tc>
          <w:tcPr>
            <w:tcW w:w="6522" w:type="dxa"/>
          </w:tcPr>
          <w:p w14:paraId="6C00D62D" w14:textId="77777777" w:rsidR="00DC3802" w:rsidRPr="005B5C2F" w:rsidRDefault="00DC3802" w:rsidP="00FB4867">
            <w:pPr>
              <w:shd w:val="clear" w:color="auto" w:fill="FFFFFF" w:themeFill="background1"/>
            </w:pPr>
            <w:r w:rsidRPr="005B5C2F">
              <w:drawing>
                <wp:inline distT="0" distB="0" distL="0" distR="0" wp14:anchorId="3F5CCCFB" wp14:editId="6630947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7257C8C" w14:textId="26A18D89" w:rsidR="00107C90" w:rsidRPr="005B5C2F" w:rsidRDefault="005B5C2F">
            <w:pPr>
              <w:pStyle w:val="Lettrine"/>
              <w:shd w:val="clear" w:color="auto" w:fill="FFFFFF" w:themeFill="background1"/>
            </w:pPr>
            <w:r>
              <w:t>S</w:t>
            </w:r>
          </w:p>
        </w:tc>
      </w:tr>
      <w:tr w:rsidR="00DC3802" w:rsidRPr="005B5C2F" w14:paraId="7CC152C6" w14:textId="77777777" w:rsidTr="00645CA8">
        <w:trPr>
          <w:trHeight w:val="219"/>
        </w:trPr>
        <w:tc>
          <w:tcPr>
            <w:tcW w:w="6522" w:type="dxa"/>
          </w:tcPr>
          <w:p w14:paraId="3D6D5087" w14:textId="4272E88A" w:rsidR="00107C90" w:rsidRPr="005B5C2F" w:rsidRDefault="003927B3">
            <w:pPr>
              <w:pStyle w:val="upove"/>
              <w:shd w:val="clear" w:color="auto" w:fill="FFFFFF" w:themeFill="background1"/>
            </w:pPr>
            <w:r w:rsidRPr="005B5C2F">
              <w:t>Unión Internacional para la Protección de las Obtenciones Vegetales</w:t>
            </w:r>
          </w:p>
        </w:tc>
        <w:tc>
          <w:tcPr>
            <w:tcW w:w="3117" w:type="dxa"/>
          </w:tcPr>
          <w:p w14:paraId="25B71C31" w14:textId="77777777" w:rsidR="00DC3802" w:rsidRPr="005B5C2F" w:rsidRDefault="00DC3802" w:rsidP="00FB4867">
            <w:pPr>
              <w:shd w:val="clear" w:color="auto" w:fill="FFFFFF" w:themeFill="background1"/>
            </w:pPr>
          </w:p>
        </w:tc>
      </w:tr>
    </w:tbl>
    <w:p w14:paraId="1F916101" w14:textId="77777777" w:rsidR="00DC3802" w:rsidRPr="005B5C2F" w:rsidRDefault="00DC3802" w:rsidP="00FB4867">
      <w:pPr>
        <w:shd w:val="clear" w:color="auto" w:fill="FFFFFF" w:themeFill="background1"/>
      </w:pPr>
    </w:p>
    <w:p w14:paraId="27432C92" w14:textId="77777777" w:rsidR="00DA4973" w:rsidRPr="005B5C2F" w:rsidRDefault="00DA4973" w:rsidP="00FB4867">
      <w:pPr>
        <w:shd w:val="clear" w:color="auto" w:fill="FFFFFF" w:themeFill="background1"/>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B5C2F" w14:paraId="28BF49BF" w14:textId="77777777" w:rsidTr="00EB4E9C">
        <w:tc>
          <w:tcPr>
            <w:tcW w:w="6512" w:type="dxa"/>
          </w:tcPr>
          <w:p w14:paraId="5711A246" w14:textId="77777777" w:rsidR="00107C90" w:rsidRPr="005B5C2F" w:rsidRDefault="003927B3">
            <w:pPr>
              <w:pStyle w:val="Sessiontc"/>
              <w:shd w:val="clear" w:color="auto" w:fill="FFFFFF" w:themeFill="background1"/>
              <w:spacing w:line="240" w:lineRule="auto"/>
            </w:pPr>
            <w:r w:rsidRPr="005B5C2F">
              <w:t>Consejo</w:t>
            </w:r>
          </w:p>
          <w:p w14:paraId="5A8B2AF9" w14:textId="77777777" w:rsidR="00107C90" w:rsidRPr="005B5C2F" w:rsidRDefault="0020304B">
            <w:pPr>
              <w:pStyle w:val="Sessiontcplacedate"/>
              <w:shd w:val="clear" w:color="auto" w:fill="FFFFFF" w:themeFill="background1"/>
            </w:pPr>
            <w:r w:rsidRPr="005B5C2F">
              <w:t>Quincuagésima</w:t>
            </w:r>
            <w:r w:rsidR="003927B3" w:rsidRPr="005B5C2F">
              <w:t xml:space="preserve"> octava </w:t>
            </w:r>
            <w:r w:rsidR="00EB4E9C" w:rsidRPr="005B5C2F">
              <w:t xml:space="preserve">sesión </w:t>
            </w:r>
            <w:r w:rsidR="003927B3" w:rsidRPr="005B5C2F">
              <w:t>ordinaria</w:t>
            </w:r>
          </w:p>
          <w:p w14:paraId="27FC809A" w14:textId="77777777" w:rsidR="00107C90" w:rsidRPr="005B5C2F" w:rsidRDefault="003927B3">
            <w:pPr>
              <w:pStyle w:val="Sessiontcplacedate"/>
              <w:shd w:val="clear" w:color="auto" w:fill="FFFFFF" w:themeFill="background1"/>
              <w:rPr>
                <w:sz w:val="20"/>
              </w:rPr>
            </w:pPr>
            <w:r w:rsidRPr="005B5C2F">
              <w:t xml:space="preserve">Ginebra, </w:t>
            </w:r>
            <w:r w:rsidR="00DB323D" w:rsidRPr="005B5C2F">
              <w:t xml:space="preserve">25 </w:t>
            </w:r>
            <w:r w:rsidR="0020304B" w:rsidRPr="005B5C2F">
              <w:t xml:space="preserve">de octubre </w:t>
            </w:r>
            <w:r w:rsidR="00E364BF" w:rsidRPr="005B5C2F">
              <w:t xml:space="preserve">de </w:t>
            </w:r>
            <w:r w:rsidR="00DB323D" w:rsidRPr="005B5C2F">
              <w:t>2024</w:t>
            </w:r>
          </w:p>
        </w:tc>
        <w:tc>
          <w:tcPr>
            <w:tcW w:w="3127" w:type="dxa"/>
          </w:tcPr>
          <w:p w14:paraId="1CDE6E3D" w14:textId="77777777" w:rsidR="00107C90" w:rsidRPr="005B5C2F" w:rsidRDefault="00D45BE7">
            <w:pPr>
              <w:pStyle w:val="Doccode"/>
              <w:shd w:val="clear" w:color="auto" w:fill="FFFFFF" w:themeFill="background1"/>
              <w:rPr>
                <w:lang w:val="es-ES_tradnl"/>
              </w:rPr>
            </w:pPr>
            <w:r w:rsidRPr="005B5C2F">
              <w:rPr>
                <w:lang w:val="es-ES_tradnl"/>
              </w:rPr>
              <w:t>C/58/19</w:t>
            </w:r>
          </w:p>
          <w:p w14:paraId="1C37C8EB" w14:textId="77777777" w:rsidR="00107C90" w:rsidRPr="005B5C2F" w:rsidRDefault="003927B3">
            <w:pPr>
              <w:pStyle w:val="Docoriginal"/>
              <w:shd w:val="clear" w:color="auto" w:fill="FFFFFF" w:themeFill="background1"/>
            </w:pPr>
            <w:r w:rsidRPr="005B5C2F">
              <w:t>Original:</w:t>
            </w:r>
            <w:r w:rsidRPr="005B5C2F">
              <w:rPr>
                <w:b w:val="0"/>
                <w:spacing w:val="0"/>
              </w:rPr>
              <w:t xml:space="preserve">  Inglés</w:t>
            </w:r>
          </w:p>
          <w:p w14:paraId="2323A009" w14:textId="77777777" w:rsidR="00107C90" w:rsidRPr="005B5C2F" w:rsidRDefault="003927B3">
            <w:pPr>
              <w:pStyle w:val="Docoriginal"/>
              <w:shd w:val="clear" w:color="auto" w:fill="FFFFFF" w:themeFill="background1"/>
            </w:pPr>
            <w:r w:rsidRPr="005B5C2F">
              <w:t xml:space="preserve">Fecha:  </w:t>
            </w:r>
            <w:r w:rsidR="00B7198B" w:rsidRPr="005B5C2F">
              <w:rPr>
                <w:b w:val="0"/>
                <w:spacing w:val="0"/>
              </w:rPr>
              <w:t xml:space="preserve">25 de </w:t>
            </w:r>
            <w:r w:rsidR="006E6755" w:rsidRPr="005B5C2F">
              <w:rPr>
                <w:b w:val="0"/>
                <w:spacing w:val="0"/>
              </w:rPr>
              <w:t xml:space="preserve">octubre </w:t>
            </w:r>
            <w:r w:rsidRPr="005B5C2F">
              <w:rPr>
                <w:b w:val="0"/>
                <w:spacing w:val="0"/>
              </w:rPr>
              <w:t xml:space="preserve">de </w:t>
            </w:r>
            <w:r w:rsidR="00DB323D" w:rsidRPr="005B5C2F">
              <w:rPr>
                <w:b w:val="0"/>
                <w:spacing w:val="0"/>
              </w:rPr>
              <w:t>2024</w:t>
            </w:r>
          </w:p>
        </w:tc>
      </w:tr>
    </w:tbl>
    <w:p w14:paraId="4D7CDB02" w14:textId="77777777" w:rsidR="00107C90" w:rsidRPr="005B5C2F" w:rsidRDefault="003927B3">
      <w:pPr>
        <w:pStyle w:val="Titleofdoc0"/>
        <w:shd w:val="clear" w:color="auto" w:fill="FFFFFF" w:themeFill="background1"/>
      </w:pPr>
      <w:r w:rsidRPr="005B5C2F">
        <w:t>Informe</w:t>
      </w:r>
    </w:p>
    <w:p w14:paraId="49EAC586" w14:textId="32AF7220" w:rsidR="00107C90" w:rsidRPr="005B5C2F" w:rsidRDefault="005B5C2F">
      <w:pPr>
        <w:pStyle w:val="preparedby1"/>
        <w:shd w:val="clear" w:color="auto" w:fill="FFFFFF" w:themeFill="background1"/>
        <w:jc w:val="left"/>
      </w:pPr>
      <w:r>
        <w:t>aprobado</w:t>
      </w:r>
      <w:r w:rsidR="003927B3" w:rsidRPr="005B5C2F">
        <w:t xml:space="preserve"> por el Consejo</w:t>
      </w:r>
    </w:p>
    <w:p w14:paraId="5F7D1EF0" w14:textId="77777777" w:rsidR="005B5C2F" w:rsidRPr="005B5C2F" w:rsidRDefault="005B5C2F" w:rsidP="005B5C2F">
      <w:pPr>
        <w:pStyle w:val="Disclaimer"/>
        <w:spacing w:after="480"/>
        <w:rPr>
          <w:lang w:val="es-ES_tradnl"/>
        </w:rPr>
      </w:pPr>
      <w:r w:rsidRPr="005B5C2F">
        <w:rPr>
          <w:lang w:val="es-ES_tradnl"/>
        </w:rPr>
        <w:t>Descargo de responsabilidad: el presente documento no constituye un documento de política u orientación de la UPOV.</w:t>
      </w:r>
      <w:r w:rsidRPr="005B5C2F">
        <w:rPr>
          <w:lang w:val="es-ES_tradnl"/>
        </w:rPr>
        <w:br/>
      </w:r>
      <w:r w:rsidRPr="005B5C2F">
        <w:rPr>
          <w:lang w:val="es-ES_tradnl"/>
        </w:rPr>
        <w:br/>
        <w:t>Este documento se ha generado mediante traducción automática y no puede garantizarse su exactitud. Por lo tanto, el texto en el idioma original es la única versión auténtica.</w:t>
      </w:r>
    </w:p>
    <w:p w14:paraId="33EE436F" w14:textId="77777777" w:rsidR="00107C90" w:rsidRPr="005B5C2F" w:rsidRDefault="003927B3">
      <w:pPr>
        <w:shd w:val="clear" w:color="auto" w:fill="FFFFFF" w:themeFill="background1"/>
        <w:rPr>
          <w:u w:val="single"/>
        </w:rPr>
      </w:pPr>
      <w:r w:rsidRPr="005B5C2F">
        <w:rPr>
          <w:u w:val="single"/>
        </w:rPr>
        <w:t xml:space="preserve">Apertura de la sesión </w:t>
      </w:r>
    </w:p>
    <w:p w14:paraId="569DCA9F" w14:textId="77777777" w:rsidR="00D45BE7" w:rsidRPr="005B5C2F" w:rsidRDefault="00D45BE7" w:rsidP="00FB4867">
      <w:pPr>
        <w:shd w:val="clear" w:color="auto" w:fill="FFFFFF" w:themeFill="background1"/>
        <w:rPr>
          <w:spacing w:val="-2"/>
        </w:rPr>
      </w:pPr>
    </w:p>
    <w:p w14:paraId="7E7312AB" w14:textId="0FB9FCCF"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de la Unión Internacional para la Protección de las Obtenciones Vegetales (UPOV) celebró su quincuagésima octava sesión ordinaria en Ginebra el 25 de octubre de 2024, presidida por el Sr. </w:t>
      </w:r>
      <w:proofErr w:type="spellStart"/>
      <w:r w:rsidRPr="005B5C2F">
        <w:t>Yehan</w:t>
      </w:r>
      <w:proofErr w:type="spellEnd"/>
      <w:r w:rsidRPr="005B5C2F">
        <w:t xml:space="preserve"> Cui (China), Presidente del Consejo.</w:t>
      </w:r>
    </w:p>
    <w:p w14:paraId="1FA03351" w14:textId="77777777" w:rsidR="00D45BE7" w:rsidRPr="005B5C2F" w:rsidRDefault="00D45BE7" w:rsidP="00FB4867">
      <w:pPr>
        <w:shd w:val="clear" w:color="auto" w:fill="FFFFFF" w:themeFill="background1"/>
      </w:pPr>
    </w:p>
    <w:p w14:paraId="5FDD7461"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La sesión fue inaugurada por el Presidente, que dio la bienvenida a los participantes. </w:t>
      </w:r>
    </w:p>
    <w:p w14:paraId="4DC691CB" w14:textId="77777777" w:rsidR="00265DD4" w:rsidRPr="005B5C2F" w:rsidRDefault="00265DD4" w:rsidP="00FB4867">
      <w:pPr>
        <w:shd w:val="clear" w:color="auto" w:fill="FFFFFF" w:themeFill="background1"/>
      </w:pPr>
    </w:p>
    <w:p w14:paraId="55D3E971" w14:textId="6143CECD" w:rsidR="00107C90" w:rsidRPr="005B5C2F" w:rsidRDefault="003927B3">
      <w:pPr>
        <w:shd w:val="clear" w:color="auto" w:fill="FFFFFF" w:themeFill="background1"/>
        <w:rPr>
          <w:spacing w:val="-2"/>
        </w:rPr>
      </w:pPr>
      <w:r w:rsidRPr="005B5C2F">
        <w:rPr>
          <w:spacing w:val="-2"/>
        </w:rPr>
        <w:fldChar w:fldCharType="begin"/>
      </w:r>
      <w:r w:rsidRPr="005B5C2F">
        <w:rPr>
          <w:spacing w:val="-2"/>
        </w:rPr>
        <w:instrText xml:space="preserve"> AUTONUM  </w:instrText>
      </w:r>
      <w:r w:rsidRPr="005B5C2F">
        <w:rPr>
          <w:spacing w:val="-2"/>
        </w:rPr>
        <w:fldChar w:fldCharType="end"/>
      </w:r>
      <w:r w:rsidRPr="005B5C2F">
        <w:rPr>
          <w:spacing w:val="-2"/>
        </w:rPr>
        <w:tab/>
        <w:t xml:space="preserve">El Sr. Daren Tang, Secretario General, dio la bienvenida a los participantes.  </w:t>
      </w:r>
      <w:r w:rsidRPr="005B5C2F">
        <w:t xml:space="preserve">En el Anexo I </w:t>
      </w:r>
      <w:r w:rsidRPr="005B5C2F">
        <w:rPr>
          <w:spacing w:val="-2"/>
        </w:rPr>
        <w:t xml:space="preserve">del presente informe figura una copia de </w:t>
      </w:r>
      <w:r w:rsidRPr="005B5C2F">
        <w:rPr>
          <w:spacing w:val="-2"/>
          <w:szCs w:val="22"/>
        </w:rPr>
        <w:t>las observaciones del Secretario General</w:t>
      </w:r>
      <w:r w:rsidRPr="005B5C2F">
        <w:rPr>
          <w:spacing w:val="-2"/>
        </w:rPr>
        <w:t>.</w:t>
      </w:r>
    </w:p>
    <w:p w14:paraId="3DAF85F1" w14:textId="77777777" w:rsidR="00EA68AE" w:rsidRPr="005B5C2F" w:rsidRDefault="00EA68AE" w:rsidP="00FB4867">
      <w:pPr>
        <w:shd w:val="clear" w:color="auto" w:fill="FFFFFF" w:themeFill="background1"/>
      </w:pPr>
    </w:p>
    <w:p w14:paraId="11B24BFD"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El Presidente informó de que Armenia depositó su instrumento de adhesión al Acta de 1991 del Convenio de la UPOV el 2 de febrero de 2024 y quedó vinculada por el Acta de 1991 el 2 de marzo de 2024.  Armenia se convirtió en el 79º miembro de la Unión el 2 de marzo de 2024.</w:t>
      </w:r>
    </w:p>
    <w:p w14:paraId="0019EFCC" w14:textId="77777777" w:rsidR="00265DD4" w:rsidRPr="005B5C2F" w:rsidRDefault="00265DD4" w:rsidP="00FB4867">
      <w:pPr>
        <w:shd w:val="clear" w:color="auto" w:fill="FFFFFF" w:themeFill="background1"/>
      </w:pPr>
    </w:p>
    <w:p w14:paraId="7E111223" w14:textId="288AAAF2"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D05AAD">
        <w:t xml:space="preserve">tomó </w:t>
      </w:r>
      <w:r w:rsidRPr="005B5C2F">
        <w:t xml:space="preserve">nota de la intervención de </w:t>
      </w:r>
      <w:r w:rsidR="00D05AAD">
        <w:t>la Sra.</w:t>
      </w:r>
      <w:r w:rsidR="005B5C45" w:rsidRPr="005B5C2F">
        <w:t xml:space="preserve"> </w:t>
      </w:r>
      <w:proofErr w:type="spellStart"/>
      <w:r w:rsidR="005B5C45" w:rsidRPr="005B5C2F">
        <w:t>Varsik</w:t>
      </w:r>
      <w:proofErr w:type="spellEnd"/>
      <w:r w:rsidR="005B5C45" w:rsidRPr="005B5C2F">
        <w:t xml:space="preserve"> </w:t>
      </w:r>
      <w:proofErr w:type="spellStart"/>
      <w:r w:rsidR="005B5C45" w:rsidRPr="005B5C2F">
        <w:t>Martirosyan</w:t>
      </w:r>
      <w:proofErr w:type="spellEnd"/>
      <w:r w:rsidR="005B5C45" w:rsidRPr="005B5C2F">
        <w:t xml:space="preserve">, Jefa del Departamento de Producción Vegetal del Ministerio de Agricultura, en nombre de </w:t>
      </w:r>
      <w:r w:rsidR="00D05AAD">
        <w:t>la Sra.</w:t>
      </w:r>
      <w:r w:rsidR="00130E3F" w:rsidRPr="005B5C2F">
        <w:t xml:space="preserve"> </w:t>
      </w:r>
      <w:proofErr w:type="spellStart"/>
      <w:r w:rsidR="00130E3F" w:rsidRPr="005B5C2F">
        <w:t>Tatevik</w:t>
      </w:r>
      <w:proofErr w:type="spellEnd"/>
      <w:r w:rsidR="00130E3F" w:rsidRPr="005B5C2F">
        <w:t xml:space="preserve"> </w:t>
      </w:r>
      <w:proofErr w:type="spellStart"/>
      <w:r w:rsidR="00130E3F" w:rsidRPr="005B5C2F">
        <w:t>Sargsyan</w:t>
      </w:r>
      <w:proofErr w:type="spellEnd"/>
      <w:r w:rsidR="00130E3F" w:rsidRPr="005B5C2F">
        <w:t>, Viceministra de Economía de Armenia</w:t>
      </w:r>
      <w:r w:rsidRPr="005B5C2F">
        <w:t>, cuya copia se reproduce en el Anexo II del presente informe.</w:t>
      </w:r>
    </w:p>
    <w:p w14:paraId="6FF1CF49" w14:textId="77777777" w:rsidR="00D45BE7" w:rsidRPr="005B5C2F" w:rsidRDefault="00D45BE7" w:rsidP="00FB4867">
      <w:pPr>
        <w:shd w:val="clear" w:color="auto" w:fill="FFFFFF" w:themeFill="background1"/>
      </w:pPr>
    </w:p>
    <w:p w14:paraId="2AAA13D7"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La lista de participantes figura en el Anexo III del presente informe.</w:t>
      </w:r>
    </w:p>
    <w:p w14:paraId="59C7DD5F" w14:textId="77777777" w:rsidR="00D45BE7" w:rsidRDefault="00D45BE7" w:rsidP="00FB4867">
      <w:pPr>
        <w:shd w:val="clear" w:color="auto" w:fill="FFFFFF" w:themeFill="background1"/>
        <w:rPr>
          <w:spacing w:val="-2"/>
        </w:rPr>
      </w:pPr>
    </w:p>
    <w:p w14:paraId="7A9508BE" w14:textId="77777777" w:rsidR="00D05AAD" w:rsidRPr="005B5C2F" w:rsidRDefault="00D05AAD" w:rsidP="00FB4867">
      <w:pPr>
        <w:shd w:val="clear" w:color="auto" w:fill="FFFFFF" w:themeFill="background1"/>
        <w:rPr>
          <w:spacing w:val="-2"/>
        </w:rPr>
      </w:pPr>
    </w:p>
    <w:p w14:paraId="63845D2D" w14:textId="77777777" w:rsidR="00107C90" w:rsidRPr="005B5C2F" w:rsidRDefault="003927B3">
      <w:pPr>
        <w:keepNext/>
        <w:shd w:val="clear" w:color="auto" w:fill="FFFFFF" w:themeFill="background1"/>
        <w:rPr>
          <w:u w:val="single"/>
        </w:rPr>
      </w:pPr>
      <w:r w:rsidRPr="005B5C2F">
        <w:rPr>
          <w:u w:val="single"/>
        </w:rPr>
        <w:t>Aprobación del orden del día</w:t>
      </w:r>
    </w:p>
    <w:p w14:paraId="67F7751E" w14:textId="77777777" w:rsidR="00D45BE7" w:rsidRPr="005B5C2F" w:rsidRDefault="00D45BE7" w:rsidP="00FB4867">
      <w:pPr>
        <w:keepNext/>
        <w:shd w:val="clear" w:color="auto" w:fill="FFFFFF" w:themeFill="background1"/>
      </w:pPr>
    </w:p>
    <w:p w14:paraId="1B54DDB6" w14:textId="458AC7E3" w:rsidR="00107C90" w:rsidRPr="005B5C2F" w:rsidRDefault="003927B3">
      <w:pPr>
        <w:shd w:val="clear" w:color="auto" w:fill="FFFFFF" w:themeFill="background1"/>
      </w:pPr>
      <w:r w:rsidRPr="005B5C2F">
        <w:rPr>
          <w:szCs w:val="22"/>
        </w:rPr>
        <w:fldChar w:fldCharType="begin"/>
      </w:r>
      <w:r w:rsidRPr="005B5C2F">
        <w:rPr>
          <w:szCs w:val="22"/>
        </w:rPr>
        <w:instrText xml:space="preserve"> AUTONUM  </w:instrText>
      </w:r>
      <w:r w:rsidRPr="005B5C2F">
        <w:rPr>
          <w:szCs w:val="22"/>
        </w:rPr>
        <w:fldChar w:fldCharType="end"/>
      </w:r>
      <w:r w:rsidRPr="005B5C2F">
        <w:rPr>
          <w:szCs w:val="22"/>
        </w:rPr>
        <w:tab/>
      </w:r>
      <w:r w:rsidRPr="005B5C2F">
        <w:rPr>
          <w:spacing w:val="-2"/>
        </w:rPr>
        <w:t xml:space="preserve">El Consejo </w:t>
      </w:r>
      <w:r w:rsidR="00D05AAD">
        <w:rPr>
          <w:spacing w:val="-2"/>
        </w:rPr>
        <w:t xml:space="preserve">aprobó </w:t>
      </w:r>
      <w:r w:rsidRPr="005B5C2F">
        <w:rPr>
          <w:spacing w:val="-2"/>
        </w:rPr>
        <w:t>el proyecto de orden del día revisado, que figura en el documento C/58/1 Rev.</w:t>
      </w:r>
    </w:p>
    <w:p w14:paraId="21CA527B" w14:textId="77777777" w:rsidR="00D45BE7" w:rsidRPr="005B5C2F" w:rsidRDefault="00D45BE7" w:rsidP="00FB4867">
      <w:pPr>
        <w:shd w:val="clear" w:color="auto" w:fill="FFFFFF" w:themeFill="background1"/>
      </w:pPr>
    </w:p>
    <w:p w14:paraId="69CAF779" w14:textId="77777777" w:rsidR="00D45BE7" w:rsidRPr="005B5C2F" w:rsidRDefault="00D45BE7" w:rsidP="00FB4867">
      <w:pPr>
        <w:shd w:val="clear" w:color="auto" w:fill="FFFFFF" w:themeFill="background1"/>
      </w:pPr>
    </w:p>
    <w:p w14:paraId="2A84BF0A" w14:textId="56868A2E" w:rsidR="00107C90" w:rsidRPr="005B5C2F" w:rsidRDefault="003927B3">
      <w:pPr>
        <w:shd w:val="clear" w:color="auto" w:fill="FFFFFF" w:themeFill="background1"/>
        <w:rPr>
          <w:u w:val="single"/>
        </w:rPr>
      </w:pPr>
      <w:r w:rsidRPr="005B5C2F">
        <w:rPr>
          <w:rFonts w:cs="Arial"/>
          <w:u w:val="single"/>
        </w:rPr>
        <w:t>Prórroga del nombramiento de</w:t>
      </w:r>
      <w:r w:rsidR="00D05AAD">
        <w:rPr>
          <w:rFonts w:cs="Arial"/>
          <w:u w:val="single"/>
        </w:rPr>
        <w:t xml:space="preserve"> </w:t>
      </w:r>
      <w:r w:rsidRPr="005B5C2F">
        <w:rPr>
          <w:rFonts w:cs="Arial"/>
          <w:u w:val="single"/>
        </w:rPr>
        <w:t>l</w:t>
      </w:r>
      <w:r w:rsidR="00D05AAD">
        <w:rPr>
          <w:rFonts w:cs="Arial"/>
          <w:u w:val="single"/>
        </w:rPr>
        <w:t>a</w:t>
      </w:r>
      <w:r w:rsidRPr="005B5C2F">
        <w:rPr>
          <w:rFonts w:cs="Arial"/>
          <w:u w:val="single"/>
        </w:rPr>
        <w:t xml:space="preserve"> Secretari</w:t>
      </w:r>
      <w:r w:rsidR="00D05AAD">
        <w:rPr>
          <w:rFonts w:cs="Arial"/>
          <w:u w:val="single"/>
        </w:rPr>
        <w:t>a</w:t>
      </w:r>
      <w:r w:rsidRPr="005B5C2F">
        <w:rPr>
          <w:rFonts w:cs="Arial"/>
          <w:u w:val="single"/>
        </w:rPr>
        <w:t xml:space="preserve"> General Adjunt</w:t>
      </w:r>
      <w:r w:rsidR="00D05AAD">
        <w:rPr>
          <w:rFonts w:cs="Arial"/>
          <w:u w:val="single"/>
        </w:rPr>
        <w:t>a</w:t>
      </w:r>
    </w:p>
    <w:p w14:paraId="41A1B38E" w14:textId="77777777" w:rsidR="00D45BE7" w:rsidRPr="005B5C2F" w:rsidRDefault="00D45BE7" w:rsidP="00FB4867">
      <w:pPr>
        <w:shd w:val="clear" w:color="auto" w:fill="FFFFFF" w:themeFill="background1"/>
      </w:pPr>
    </w:p>
    <w:p w14:paraId="73722F04" w14:textId="3BCD40CA" w:rsidR="00107C90" w:rsidRPr="005B5C2F" w:rsidRDefault="003927B3">
      <w:pPr>
        <w:shd w:val="clear" w:color="auto" w:fill="FFFFFF" w:themeFill="background1"/>
        <w:rPr>
          <w:rFonts w:cs="Arial"/>
        </w:rPr>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t xml:space="preserve">El Consejo </w:t>
      </w:r>
      <w:r w:rsidR="00D05AAD">
        <w:rPr>
          <w:rFonts w:cs="Arial"/>
        </w:rPr>
        <w:t xml:space="preserve">examinó </w:t>
      </w:r>
      <w:r w:rsidRPr="005B5C2F">
        <w:rPr>
          <w:rFonts w:cs="Arial"/>
        </w:rPr>
        <w:t>el documento C/58/4.</w:t>
      </w:r>
    </w:p>
    <w:p w14:paraId="7E82A3E3" w14:textId="77777777" w:rsidR="00D45BE7" w:rsidRPr="005B5C2F" w:rsidRDefault="00D45BE7" w:rsidP="00FB4867">
      <w:pPr>
        <w:shd w:val="clear" w:color="auto" w:fill="FFFFFF" w:themeFill="background1"/>
        <w:rPr>
          <w:rFonts w:cs="Arial"/>
        </w:rPr>
      </w:pPr>
    </w:p>
    <w:p w14:paraId="74D629FB" w14:textId="0C385EAC"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D05AAD">
        <w:t>decidió</w:t>
      </w:r>
      <w:r w:rsidR="009631D8" w:rsidRPr="005B5C2F">
        <w:t xml:space="preserve"> </w:t>
      </w:r>
      <w:r w:rsidR="004B072E" w:rsidRPr="005B5C2F">
        <w:t>prorrogar los nombramientos de</w:t>
      </w:r>
      <w:r w:rsidR="00D05AAD">
        <w:t xml:space="preserve"> </w:t>
      </w:r>
      <w:r w:rsidR="004B072E" w:rsidRPr="005B5C2F">
        <w:t>l</w:t>
      </w:r>
      <w:r w:rsidR="00D05AAD">
        <w:t>a</w:t>
      </w:r>
      <w:r w:rsidR="004B072E" w:rsidRPr="005B5C2F">
        <w:t xml:space="preserve"> </w:t>
      </w:r>
      <w:r w:rsidR="00D05AAD">
        <w:t xml:space="preserve">Secretaria </w:t>
      </w:r>
      <w:r w:rsidR="004B072E" w:rsidRPr="005B5C2F">
        <w:t xml:space="preserve">General </w:t>
      </w:r>
      <w:r w:rsidR="00D05AAD">
        <w:t xml:space="preserve">Adjunta </w:t>
      </w:r>
      <w:r w:rsidR="004B072E" w:rsidRPr="005B5C2F">
        <w:t>y del Director de Asuntos Jurídicos y la promoción del Director de Desarrollo Global y Asuntos Técnicos desde el 15 de octubre de 2025 hasta el 14 de octubre de 2028</w:t>
      </w:r>
      <w:r w:rsidR="00C03B0E" w:rsidRPr="005B5C2F">
        <w:t>.</w:t>
      </w:r>
    </w:p>
    <w:p w14:paraId="57157F63" w14:textId="77777777" w:rsidR="004B072E" w:rsidRPr="005B5C2F" w:rsidRDefault="004B072E" w:rsidP="00FB4867">
      <w:pPr>
        <w:shd w:val="clear" w:color="auto" w:fill="FFFFFF" w:themeFill="background1"/>
      </w:pPr>
    </w:p>
    <w:p w14:paraId="6EC4E6E2" w14:textId="234EE729"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D05AAD">
        <w:t xml:space="preserve">decidió </w:t>
      </w:r>
      <w:r w:rsidR="004B072E" w:rsidRPr="005B5C2F">
        <w:t>que, a partir del 14 de octubre de 2028</w:t>
      </w:r>
      <w:r w:rsidR="007A5D9D" w:rsidRPr="005B5C2F">
        <w:t>,</w:t>
      </w:r>
      <w:r w:rsidR="004B072E" w:rsidRPr="005B5C2F">
        <w:t xml:space="preserve"> la duración del nombramiento del Director de Asuntos Jurídicos y de la promoción del Director de Desarrollo Global y Asuntos Técnicos ya no </w:t>
      </w:r>
      <w:r w:rsidR="007A5D9D" w:rsidRPr="005B5C2F">
        <w:t xml:space="preserve">estará </w:t>
      </w:r>
      <w:r w:rsidR="004B072E" w:rsidRPr="005B5C2F">
        <w:t>vinculada a la duración del nombramiento de</w:t>
      </w:r>
      <w:r w:rsidR="00D05AAD">
        <w:t xml:space="preserve"> </w:t>
      </w:r>
      <w:r w:rsidR="004B072E" w:rsidRPr="005B5C2F">
        <w:t>l</w:t>
      </w:r>
      <w:r w:rsidR="00D05AAD">
        <w:t>a</w:t>
      </w:r>
      <w:r w:rsidR="004B072E" w:rsidRPr="005B5C2F">
        <w:t xml:space="preserve"> </w:t>
      </w:r>
      <w:r w:rsidR="00D05AAD">
        <w:t xml:space="preserve">Secretaria </w:t>
      </w:r>
      <w:r w:rsidR="004B072E" w:rsidRPr="005B5C2F">
        <w:t>General</w:t>
      </w:r>
      <w:r w:rsidR="00D05AAD">
        <w:t xml:space="preserve"> Adjunta</w:t>
      </w:r>
      <w:r w:rsidR="004B072E" w:rsidRPr="005B5C2F">
        <w:t>.</w:t>
      </w:r>
    </w:p>
    <w:p w14:paraId="12DA57DA" w14:textId="77777777" w:rsidR="00D45BE7" w:rsidRPr="005B5C2F" w:rsidRDefault="00D45BE7" w:rsidP="00FB4867">
      <w:pPr>
        <w:shd w:val="clear" w:color="auto" w:fill="FFFFFF" w:themeFill="background1"/>
      </w:pPr>
    </w:p>
    <w:p w14:paraId="5D690176" w14:textId="77777777" w:rsidR="00D45BE7" w:rsidRPr="005B5C2F" w:rsidRDefault="00D45BE7" w:rsidP="00FB4867">
      <w:pPr>
        <w:shd w:val="clear" w:color="auto" w:fill="FFFFFF" w:themeFill="background1"/>
      </w:pPr>
    </w:p>
    <w:p w14:paraId="2069FFB5" w14:textId="3BD2752D" w:rsidR="00107C90" w:rsidRPr="005B5C2F" w:rsidRDefault="003927B3" w:rsidP="004874F2">
      <w:pPr>
        <w:keepNext/>
        <w:shd w:val="clear" w:color="auto" w:fill="FFFFFF" w:themeFill="background1"/>
        <w:rPr>
          <w:u w:val="single"/>
        </w:rPr>
      </w:pPr>
      <w:r w:rsidRPr="005B5C2F">
        <w:rPr>
          <w:u w:val="single"/>
        </w:rPr>
        <w:lastRenderedPageBreak/>
        <w:t>Informe de</w:t>
      </w:r>
      <w:r w:rsidR="004874F2">
        <w:rPr>
          <w:u w:val="single"/>
        </w:rPr>
        <w:t xml:space="preserve"> </w:t>
      </w:r>
      <w:r w:rsidRPr="005B5C2F">
        <w:rPr>
          <w:u w:val="single"/>
        </w:rPr>
        <w:t>l</w:t>
      </w:r>
      <w:r w:rsidR="004874F2">
        <w:rPr>
          <w:u w:val="single"/>
        </w:rPr>
        <w:t>a</w:t>
      </w:r>
      <w:r w:rsidRPr="005B5C2F">
        <w:rPr>
          <w:u w:val="single"/>
        </w:rPr>
        <w:t xml:space="preserve"> Secretari</w:t>
      </w:r>
      <w:r w:rsidR="004874F2">
        <w:rPr>
          <w:u w:val="single"/>
        </w:rPr>
        <w:t>a</w:t>
      </w:r>
      <w:r w:rsidRPr="005B5C2F">
        <w:rPr>
          <w:u w:val="single"/>
        </w:rPr>
        <w:t xml:space="preserve"> General Adjunt</w:t>
      </w:r>
      <w:r w:rsidR="004874F2">
        <w:rPr>
          <w:u w:val="single"/>
        </w:rPr>
        <w:t>a</w:t>
      </w:r>
      <w:r w:rsidRPr="005B5C2F">
        <w:rPr>
          <w:u w:val="single"/>
        </w:rPr>
        <w:t xml:space="preserve"> </w:t>
      </w:r>
      <w:r w:rsidR="004874F2" w:rsidRPr="004874F2">
        <w:rPr>
          <w:u w:val="single"/>
        </w:rPr>
        <w:t>sobre las novedades acaecidas en la UPOV</w:t>
      </w:r>
    </w:p>
    <w:p w14:paraId="1D83958D" w14:textId="77777777" w:rsidR="00D45BE7" w:rsidRPr="005B5C2F" w:rsidRDefault="00D45BE7" w:rsidP="004874F2">
      <w:pPr>
        <w:keepNext/>
        <w:shd w:val="clear" w:color="auto" w:fill="FFFFFF" w:themeFill="background1"/>
        <w:rPr>
          <w:szCs w:val="22"/>
        </w:rPr>
      </w:pPr>
    </w:p>
    <w:p w14:paraId="5C0D110C" w14:textId="6EFB9561" w:rsidR="00107C90" w:rsidRPr="005B5C2F" w:rsidRDefault="003927B3">
      <w:pPr>
        <w:shd w:val="clear" w:color="auto" w:fill="FFFFFF" w:themeFill="background1"/>
      </w:pPr>
      <w:r w:rsidRPr="005B5C2F">
        <w:rPr>
          <w:szCs w:val="22"/>
        </w:rPr>
        <w:fldChar w:fldCharType="begin"/>
      </w:r>
      <w:r w:rsidRPr="005B5C2F">
        <w:rPr>
          <w:szCs w:val="22"/>
        </w:rPr>
        <w:instrText xml:space="preserve"> AUTONUM  </w:instrText>
      </w:r>
      <w:r w:rsidRPr="005B5C2F">
        <w:rPr>
          <w:szCs w:val="22"/>
        </w:rPr>
        <w:fldChar w:fldCharType="end"/>
      </w:r>
      <w:r w:rsidRPr="005B5C2F">
        <w:rPr>
          <w:szCs w:val="22"/>
        </w:rPr>
        <w:tab/>
      </w:r>
      <w:r w:rsidRPr="005B5C2F">
        <w:rPr>
          <w:spacing w:val="-2"/>
        </w:rPr>
        <w:t xml:space="preserve">El Consejo </w:t>
      </w:r>
      <w:r w:rsidRPr="005B5C2F">
        <w:t>recibió una ponencia de</w:t>
      </w:r>
      <w:r w:rsidR="004874F2">
        <w:t xml:space="preserve"> </w:t>
      </w:r>
      <w:r w:rsidRPr="005B5C2F">
        <w:t>l</w:t>
      </w:r>
      <w:r w:rsidR="004874F2">
        <w:t>a</w:t>
      </w:r>
      <w:r w:rsidRPr="005B5C2F">
        <w:t xml:space="preserve"> Secretari</w:t>
      </w:r>
      <w:r w:rsidR="004874F2">
        <w:t>a</w:t>
      </w:r>
      <w:r w:rsidRPr="005B5C2F">
        <w:t xml:space="preserve"> General Adjunt</w:t>
      </w:r>
      <w:r w:rsidR="004874F2">
        <w:t>a</w:t>
      </w:r>
      <w:r w:rsidRPr="005B5C2F">
        <w:t xml:space="preserve"> y tomó nota de que una copia de la ponencia estaría disponible después de las sesiones de la UPOV en el sitio Web de la UPOV.  </w:t>
      </w:r>
    </w:p>
    <w:p w14:paraId="7C53D67E" w14:textId="77777777" w:rsidR="00F931A6" w:rsidRPr="005B5C2F" w:rsidRDefault="00F931A6" w:rsidP="00FB4867">
      <w:pPr>
        <w:shd w:val="clear" w:color="auto" w:fill="FFFFFF" w:themeFill="background1"/>
      </w:pPr>
    </w:p>
    <w:p w14:paraId="37589782" w14:textId="10D6E752"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w:t>
      </w:r>
      <w:r w:rsidR="0081482F" w:rsidRPr="005B5C2F">
        <w:t xml:space="preserve">Consejo </w:t>
      </w:r>
      <w:r w:rsidR="004874F2" w:rsidRPr="004874F2">
        <w:t>acogió con beneplácito</w:t>
      </w:r>
      <w:r w:rsidR="0081482F" w:rsidRPr="005B5C2F">
        <w:t xml:space="preserve"> que la </w:t>
      </w:r>
      <w:r w:rsidRPr="005B5C2F">
        <w:t xml:space="preserve">Delegación de </w:t>
      </w:r>
      <w:r w:rsidR="004A41F8" w:rsidRPr="005B5C2F">
        <w:t xml:space="preserve">Türkiye </w:t>
      </w:r>
      <w:r w:rsidR="0081482F" w:rsidRPr="005B5C2F">
        <w:t xml:space="preserve">haya firmado el mandato para el módulo de intercambio DHE </w:t>
      </w:r>
      <w:r w:rsidR="004874F2">
        <w:t xml:space="preserve">de UPOV </w:t>
      </w:r>
      <w:r w:rsidR="0081482F" w:rsidRPr="005B5C2F">
        <w:t>e-PVP</w:t>
      </w:r>
      <w:r w:rsidRPr="005B5C2F">
        <w:t>.</w:t>
      </w:r>
    </w:p>
    <w:p w14:paraId="5CB93A41" w14:textId="77777777" w:rsidR="00D45BE7" w:rsidRPr="005B5C2F" w:rsidRDefault="00D45BE7" w:rsidP="00FB4867">
      <w:pPr>
        <w:shd w:val="clear" w:color="auto" w:fill="FFFFFF" w:themeFill="background1"/>
      </w:pPr>
    </w:p>
    <w:p w14:paraId="48FCBC42" w14:textId="77777777" w:rsidR="00D45BE7" w:rsidRPr="005B5C2F" w:rsidRDefault="00D45BE7" w:rsidP="00FB4867">
      <w:pPr>
        <w:shd w:val="clear" w:color="auto" w:fill="FFFFFF" w:themeFill="background1"/>
      </w:pPr>
    </w:p>
    <w:p w14:paraId="22CF185B" w14:textId="7ED914F9" w:rsidR="00107C90" w:rsidRPr="005B5C2F" w:rsidRDefault="00E26BDA">
      <w:pPr>
        <w:shd w:val="clear" w:color="auto" w:fill="FFFFFF" w:themeFill="background1"/>
        <w:rPr>
          <w:u w:val="single"/>
        </w:rPr>
      </w:pPr>
      <w:r w:rsidRPr="00E26BDA">
        <w:rPr>
          <w:u w:val="single"/>
        </w:rPr>
        <w:t>Novedades que se han producido en relación con el proyecto de Ley de Protección de las Obtenciones Vegetales de los Emiratos Árabes Unidos</w:t>
      </w:r>
    </w:p>
    <w:p w14:paraId="7DE60F81" w14:textId="77777777" w:rsidR="00D45BE7" w:rsidRPr="005B5C2F" w:rsidRDefault="00D45BE7" w:rsidP="00FB4867">
      <w:pPr>
        <w:shd w:val="clear" w:color="auto" w:fill="FFFFFF" w:themeFill="background1"/>
      </w:pPr>
    </w:p>
    <w:p w14:paraId="7DEDCDC2" w14:textId="7893813D" w:rsidR="00107C90" w:rsidRPr="005B5C2F" w:rsidRDefault="003927B3">
      <w:pPr>
        <w:shd w:val="clear" w:color="auto" w:fill="FFFFFF" w:themeFill="background1"/>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t>El Consejo examin</w:t>
      </w:r>
      <w:r w:rsidR="00E26BDA">
        <w:rPr>
          <w:rFonts w:cs="Arial"/>
        </w:rPr>
        <w:t>ó</w:t>
      </w:r>
      <w:r w:rsidRPr="005B5C2F">
        <w:rPr>
          <w:rFonts w:cs="Arial"/>
        </w:rPr>
        <w:t xml:space="preserve"> </w:t>
      </w:r>
      <w:r w:rsidRPr="005B5C2F">
        <w:t>el documento C/58/17.</w:t>
      </w:r>
    </w:p>
    <w:p w14:paraId="26FB7C18" w14:textId="77777777" w:rsidR="00D45BE7" w:rsidRPr="005B5C2F" w:rsidRDefault="00D45BE7" w:rsidP="00FB4867">
      <w:pPr>
        <w:shd w:val="clear" w:color="auto" w:fill="FFFFFF" w:themeFill="background1"/>
      </w:pPr>
    </w:p>
    <w:p w14:paraId="18D47EDC" w14:textId="77777777" w:rsidR="00107C90" w:rsidRPr="005B5C2F" w:rsidRDefault="003927B3">
      <w:pPr>
        <w:keepNext/>
        <w:shd w:val="clear" w:color="auto" w:fill="FFFFFF" w:themeFill="background1"/>
      </w:pPr>
      <w:r w:rsidRPr="005B5C2F">
        <w:rPr>
          <w:i/>
          <w:iCs/>
        </w:rPr>
        <w:fldChar w:fldCharType="begin"/>
      </w:r>
      <w:r w:rsidRPr="005B5C2F">
        <w:rPr>
          <w:iCs/>
        </w:rPr>
        <w:instrText xml:space="preserve"> AUTONUM  </w:instrText>
      </w:r>
      <w:r w:rsidRPr="005B5C2F">
        <w:rPr>
          <w:i/>
          <w:iCs/>
        </w:rPr>
        <w:fldChar w:fldCharType="end"/>
      </w:r>
      <w:r w:rsidRPr="005B5C2F">
        <w:tab/>
        <w:t xml:space="preserve">El Consejo: </w:t>
      </w:r>
    </w:p>
    <w:p w14:paraId="2B13851B" w14:textId="77777777" w:rsidR="00D45BE7" w:rsidRPr="005B5C2F" w:rsidRDefault="00D45BE7" w:rsidP="00FB4867">
      <w:pPr>
        <w:keepNext/>
        <w:shd w:val="clear" w:color="auto" w:fill="FFFFFF" w:themeFill="background1"/>
      </w:pPr>
    </w:p>
    <w:p w14:paraId="6B4C51C0" w14:textId="77777777" w:rsidR="00E26BDA" w:rsidRPr="00E72074" w:rsidRDefault="00E26BDA" w:rsidP="00E26BDA">
      <w:r w:rsidRPr="00E72074">
        <w:tab/>
        <w:t>(a)</w:t>
      </w:r>
      <w:r>
        <w:tab/>
      </w:r>
      <w:r w:rsidRPr="00E72074">
        <w:t>tomó nota de que determinadas disposiciones del Proyecto de Ley de Protección de las Obtenciones Vegetales de los Emiratos Árabes Unidos, modificado por última vez en 2024, contenían cambios en relación con el texto de las disposiciones correspondientes del Proyecto de Ley presentado al Consejo en</w:t>
      </w:r>
      <w:r>
        <w:t> </w:t>
      </w:r>
      <w:r w:rsidRPr="00E72074">
        <w:t>2020 (decisión del Consejo por correspondencia, iniciada por la Circular E-20/101 de la UPOV, de</w:t>
      </w:r>
      <w:r>
        <w:t> </w:t>
      </w:r>
      <w:r w:rsidRPr="00E72074">
        <w:t>28</w:t>
      </w:r>
      <w:r>
        <w:t> </w:t>
      </w:r>
      <w:r w:rsidRPr="00E72074">
        <w:t>de</w:t>
      </w:r>
      <w:r>
        <w:t> </w:t>
      </w:r>
      <w:r w:rsidRPr="00E72074">
        <w:t>julio de 2020);</w:t>
      </w:r>
    </w:p>
    <w:p w14:paraId="69E920D1" w14:textId="77777777" w:rsidR="00E26BDA" w:rsidRPr="00E72074" w:rsidRDefault="00E26BDA" w:rsidP="00E26BDA"/>
    <w:p w14:paraId="2F9CEBB0" w14:textId="77777777" w:rsidR="00E26BDA" w:rsidRPr="00E72074" w:rsidRDefault="00E26BDA" w:rsidP="00E26BDA">
      <w:r w:rsidRPr="00E72074">
        <w:tab/>
        <w:t>(b)</w:t>
      </w:r>
      <w:r>
        <w:tab/>
      </w:r>
      <w:r w:rsidRPr="00E72074">
        <w:t>convino en que los cambios introducidos en el Proyecto de Ley de Protección de las Obtenciones Vegetales de los Emiratos Árabes Unidos, modificado por última vez en 2024 (Proyecto de Ley de 2024), presentado en el Anexo II del documento C/58/17, no afectaban a las disposiciones sustantivas del Acta</w:t>
      </w:r>
      <w:r>
        <w:t> </w:t>
      </w:r>
      <w:r w:rsidRPr="00E72074">
        <w:t>de</w:t>
      </w:r>
      <w:r>
        <w:t> </w:t>
      </w:r>
      <w:r w:rsidRPr="00E72074">
        <w:t>1991 del Convenio de la UPOV y, a reserva de ese acuerdo,</w:t>
      </w:r>
    </w:p>
    <w:p w14:paraId="5CD12F04" w14:textId="77777777" w:rsidR="00D45BE7" w:rsidRPr="005B5C2F" w:rsidRDefault="00D45BE7" w:rsidP="00FB4867">
      <w:pPr>
        <w:shd w:val="clear" w:color="auto" w:fill="FFFFFF" w:themeFill="background1"/>
      </w:pPr>
    </w:p>
    <w:p w14:paraId="600594D4" w14:textId="7FA21DB2" w:rsidR="00107C90" w:rsidRPr="005B5C2F" w:rsidRDefault="003927B3">
      <w:pPr>
        <w:shd w:val="clear" w:color="auto" w:fill="FFFFFF" w:themeFill="background1"/>
      </w:pPr>
      <w:r w:rsidRPr="005B5C2F">
        <w:tab/>
        <w:t>(c)</w:t>
      </w:r>
      <w:r w:rsidR="00E26BDA">
        <w:tab/>
      </w:r>
      <w:r w:rsidRPr="005B5C2F">
        <w:t>reafirmó la decisión sobre la conformidad de 28 de julio de 2020, y solicitó a la Oficina de la Unión que informara al Gobierno de los Emiratos Árabes Unidos de que, una vez adoptado el Proyecto de Ley de 2024 sin modificaciones, podrá depositarse el instrumento de adhesión de los Emiratos Árabes Unidos.</w:t>
      </w:r>
    </w:p>
    <w:p w14:paraId="512B6F4B" w14:textId="77777777" w:rsidR="00D45BE7" w:rsidRPr="005B5C2F" w:rsidRDefault="00D45BE7" w:rsidP="00FB4867">
      <w:pPr>
        <w:shd w:val="clear" w:color="auto" w:fill="FFFFFF" w:themeFill="background1"/>
      </w:pPr>
    </w:p>
    <w:p w14:paraId="0A5967C4" w14:textId="4DA45B90" w:rsidR="00107C90" w:rsidRPr="005B5C2F" w:rsidRDefault="003927B3">
      <w:pPr>
        <w:shd w:val="clear" w:color="auto" w:fill="FFFFFF" w:themeFill="background1"/>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r>
      <w:r w:rsidRPr="005B5C2F">
        <w:t>La Delegación de los Emiratos Árabes Unidos expresó su agradecimiento por la decisión positiva del Consejo respecto del examen de las partes pertinentes del proyecto de Ley de Protección de las Obtenciones Vegetales de los Emiratos Árabes Unidos, modificado por última vez en 2024, con el Acta de 1991 del Convenio de la UPOV. Expresó su deseo de colaborar estrechamente con la UPOV para la adhesión al Convenio de la UPOV y de cooperar con los miembros de la Unión.</w:t>
      </w:r>
    </w:p>
    <w:p w14:paraId="22EE83AD" w14:textId="77777777" w:rsidR="00D45BE7" w:rsidRPr="005B5C2F" w:rsidRDefault="00D45BE7" w:rsidP="00FB4867">
      <w:pPr>
        <w:shd w:val="clear" w:color="auto" w:fill="FFFFFF" w:themeFill="background1"/>
        <w:jc w:val="left"/>
      </w:pPr>
    </w:p>
    <w:p w14:paraId="333E438A" w14:textId="77777777" w:rsidR="006E0CA4" w:rsidRPr="005B5C2F" w:rsidRDefault="006E0CA4" w:rsidP="00FB4867">
      <w:pPr>
        <w:shd w:val="clear" w:color="auto" w:fill="FFFFFF" w:themeFill="background1"/>
        <w:jc w:val="left"/>
      </w:pPr>
    </w:p>
    <w:p w14:paraId="76B1C7BE" w14:textId="29746899" w:rsidR="00107C90" w:rsidRPr="005B5C2F" w:rsidRDefault="00E26BDA">
      <w:pPr>
        <w:shd w:val="clear" w:color="auto" w:fill="FFFFFF" w:themeFill="background1"/>
        <w:rPr>
          <w:u w:val="single"/>
        </w:rPr>
      </w:pPr>
      <w:r w:rsidRPr="00E26BDA">
        <w:rPr>
          <w:u w:val="single"/>
        </w:rPr>
        <w:t>Examen de la conformidad de la Ley de Propiedad Intelectual, Parte IV Obtenciones Vegetales, de la República Democrática Popular Lao con el Acta de 1991 del Convenio de la UPOV</w:t>
      </w:r>
    </w:p>
    <w:p w14:paraId="1D48B039" w14:textId="77777777" w:rsidR="00D45BE7" w:rsidRPr="005B5C2F" w:rsidRDefault="00D45BE7" w:rsidP="00FB4867">
      <w:pPr>
        <w:shd w:val="clear" w:color="auto" w:fill="FFFFFF" w:themeFill="background1"/>
      </w:pPr>
    </w:p>
    <w:p w14:paraId="089D3947" w14:textId="65641F6F" w:rsidR="00107C90" w:rsidRPr="005B5C2F" w:rsidRDefault="003927B3">
      <w:pPr>
        <w:shd w:val="clear" w:color="auto" w:fill="FFFFFF" w:themeFill="background1"/>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t xml:space="preserve">El Consejo </w:t>
      </w:r>
      <w:r w:rsidR="00E26BDA">
        <w:rPr>
          <w:rFonts w:cs="Arial"/>
        </w:rPr>
        <w:t xml:space="preserve">examinó </w:t>
      </w:r>
      <w:r w:rsidRPr="005B5C2F">
        <w:t>el documento C/58/18.</w:t>
      </w:r>
    </w:p>
    <w:p w14:paraId="12AAFF9C" w14:textId="77777777" w:rsidR="00065A9A" w:rsidRPr="005B5C2F" w:rsidRDefault="00065A9A" w:rsidP="00FB4867">
      <w:pPr>
        <w:shd w:val="clear" w:color="auto" w:fill="FFFFFF" w:themeFill="background1"/>
      </w:pPr>
    </w:p>
    <w:p w14:paraId="451CBA98" w14:textId="663C7D10" w:rsidR="00107C90" w:rsidRPr="005B5C2F" w:rsidRDefault="003927B3">
      <w:pPr>
        <w:shd w:val="clear" w:color="auto" w:fill="FFFFFF" w:themeFill="background1"/>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t xml:space="preserve">El Consejo </w:t>
      </w:r>
      <w:r w:rsidR="00E26BDA">
        <w:rPr>
          <w:rFonts w:cs="Arial"/>
        </w:rPr>
        <w:t>decidió</w:t>
      </w:r>
      <w:r w:rsidR="000A05D9" w:rsidRPr="005B5C2F">
        <w:rPr>
          <w:rFonts w:cs="Arial"/>
        </w:rPr>
        <w:t>:</w:t>
      </w:r>
    </w:p>
    <w:p w14:paraId="7A2F3886" w14:textId="77777777" w:rsidR="00065A9A" w:rsidRPr="005B5C2F" w:rsidRDefault="00065A9A" w:rsidP="00FB4867">
      <w:pPr>
        <w:shd w:val="clear" w:color="auto" w:fill="FFFFFF" w:themeFill="background1"/>
      </w:pPr>
    </w:p>
    <w:p w14:paraId="4AC855A0" w14:textId="77777777" w:rsidR="00E26BDA" w:rsidRPr="00E72074" w:rsidRDefault="00E26BDA" w:rsidP="00E26BDA">
      <w:r w:rsidRPr="00E72074">
        <w:tab/>
        <w:t xml:space="preserve">(a) </w:t>
      </w:r>
      <w:r w:rsidRPr="00E72074">
        <w:tab/>
      </w:r>
      <w:r>
        <w:t>t</w:t>
      </w:r>
      <w:r w:rsidRPr="00E72074">
        <w:t xml:space="preserve">omar nota del análisis que figura en el documento C/58/18; </w:t>
      </w:r>
    </w:p>
    <w:p w14:paraId="0289A9A7" w14:textId="77777777" w:rsidR="00E26BDA" w:rsidRPr="00E72074" w:rsidRDefault="00E26BDA" w:rsidP="00E26BDA"/>
    <w:p w14:paraId="763E2CED" w14:textId="77777777" w:rsidR="00E26BDA" w:rsidRPr="00E72074" w:rsidRDefault="00E26BDA" w:rsidP="00E26BDA">
      <w:r w:rsidRPr="00E72074">
        <w:tab/>
        <w:t>(b)</w:t>
      </w:r>
      <w:r w:rsidRPr="00E72074">
        <w:tab/>
        <w:t>tomar una decisión positiva sobre la conformidad de la Ley con las disposiciones del Acta</w:t>
      </w:r>
      <w:r>
        <w:t> </w:t>
      </w:r>
      <w:r w:rsidRPr="00E72074">
        <w:t>de</w:t>
      </w:r>
      <w:r>
        <w:t> </w:t>
      </w:r>
      <w:r w:rsidRPr="00E72074">
        <w:t>1991, que permiti</w:t>
      </w:r>
      <w:r>
        <w:t>rá</w:t>
      </w:r>
      <w:r w:rsidRPr="00E72074">
        <w:t xml:space="preserve"> a la República Democrática Popular Lao depositar su instrumento de adhesión al Acta de 1991; y </w:t>
      </w:r>
    </w:p>
    <w:p w14:paraId="4A4E8852" w14:textId="77777777" w:rsidR="00E26BDA" w:rsidRPr="00E72074" w:rsidRDefault="00E26BDA" w:rsidP="00E26BDA"/>
    <w:p w14:paraId="41D084E2" w14:textId="77777777" w:rsidR="00E26BDA" w:rsidRPr="00E72074" w:rsidRDefault="00E26BDA" w:rsidP="00E26BDA">
      <w:r w:rsidRPr="00E72074">
        <w:tab/>
        <w:t>(c)</w:t>
      </w:r>
      <w:r w:rsidRPr="00E72074">
        <w:tab/>
        <w:t>autorizar al Secretario General a informar al Gobierno de la República Democrática Popular Lao de la decisión anterior.</w:t>
      </w:r>
    </w:p>
    <w:p w14:paraId="649D8A84" w14:textId="77777777" w:rsidR="00D45BE7" w:rsidRPr="005B5C2F" w:rsidRDefault="00D45BE7" w:rsidP="00FB4867">
      <w:pPr>
        <w:shd w:val="clear" w:color="auto" w:fill="FFFFFF" w:themeFill="background1"/>
      </w:pPr>
    </w:p>
    <w:p w14:paraId="0AD7E729" w14:textId="0BCEC835"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La Delegación de la República Democrática Popular Lao expresó su agradecimiento por la decisión positiva del Consejo respecto del examen de la conformidad de la Ley de Propiedad Intelectual, Parte IV, Obtenciones Vegetales con el Acta de 1991 del Convenio de la UPOV. </w:t>
      </w:r>
      <w:r w:rsidR="006E0CA4" w:rsidRPr="005B5C2F">
        <w:t>Expresó su deseo de colaborar estrechamente con la UPOV para la adhesión al Convenio de la UPOV y de cooperar con los miembros de la</w:t>
      </w:r>
      <w:r w:rsidR="00E26BDA">
        <w:t> </w:t>
      </w:r>
      <w:r w:rsidR="006E0CA4" w:rsidRPr="005B5C2F">
        <w:t>Unión.</w:t>
      </w:r>
    </w:p>
    <w:p w14:paraId="17CBD761" w14:textId="77777777" w:rsidR="003E14E4" w:rsidRPr="005B5C2F" w:rsidRDefault="003E14E4" w:rsidP="00FB4867">
      <w:pPr>
        <w:shd w:val="clear" w:color="auto" w:fill="FFFFFF" w:themeFill="background1"/>
      </w:pPr>
    </w:p>
    <w:p w14:paraId="021262A8" w14:textId="77777777" w:rsidR="00C30885" w:rsidRPr="005B5C2F" w:rsidRDefault="00C30885" w:rsidP="00FB4867">
      <w:pPr>
        <w:shd w:val="clear" w:color="auto" w:fill="FFFFFF" w:themeFill="background1"/>
      </w:pPr>
    </w:p>
    <w:p w14:paraId="165F8646" w14:textId="28195D38" w:rsidR="00107C90" w:rsidRPr="005B5C2F" w:rsidRDefault="003927B3">
      <w:pPr>
        <w:keepNext/>
        <w:keepLines/>
        <w:shd w:val="clear" w:color="auto" w:fill="FFFFFF" w:themeFill="background1"/>
        <w:rPr>
          <w:u w:val="single"/>
        </w:rPr>
      </w:pPr>
      <w:bookmarkStart w:id="0" w:name="_Hlk180178966"/>
      <w:r w:rsidRPr="005B5C2F">
        <w:rPr>
          <w:u w:val="single"/>
        </w:rPr>
        <w:lastRenderedPageBreak/>
        <w:t>Informe del Presidente sobre los trabajos de la</w:t>
      </w:r>
      <w:bookmarkStart w:id="1" w:name="_Hlk149303578"/>
      <w:r w:rsidRPr="005B5C2F">
        <w:rPr>
          <w:u w:val="single"/>
        </w:rPr>
        <w:t xml:space="preserve"> centésima segunda sesión</w:t>
      </w:r>
      <w:bookmarkEnd w:id="1"/>
      <w:r w:rsidRPr="005B5C2F">
        <w:rPr>
          <w:u w:val="single"/>
        </w:rPr>
        <w:t xml:space="preserve"> del Comité Consultivo; aprobación, </w:t>
      </w:r>
      <w:bookmarkEnd w:id="0"/>
      <w:r w:rsidR="00777F8A" w:rsidRPr="00777F8A">
        <w:rPr>
          <w:u w:val="single"/>
        </w:rPr>
        <w:t>si procede, de las recomendaciones preparadas por dicho Comité</w:t>
      </w:r>
    </w:p>
    <w:p w14:paraId="69AEEA98" w14:textId="77777777" w:rsidR="00D45BE7" w:rsidRPr="005B5C2F" w:rsidRDefault="00D45BE7" w:rsidP="00FB4867">
      <w:pPr>
        <w:keepNext/>
        <w:keepLines/>
        <w:shd w:val="clear" w:color="auto" w:fill="FFFFFF" w:themeFill="background1"/>
      </w:pPr>
    </w:p>
    <w:p w14:paraId="766ABEC7" w14:textId="64721B53" w:rsidR="00107C90" w:rsidRPr="005B5C2F" w:rsidRDefault="003927B3">
      <w:pPr>
        <w:keepNext/>
        <w:keepLines/>
        <w:shd w:val="clear" w:color="auto" w:fill="FFFFFF" w:themeFill="background1"/>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t xml:space="preserve">El Consejo </w:t>
      </w:r>
      <w:r w:rsidR="00EE28B9">
        <w:rPr>
          <w:rFonts w:cs="Arial"/>
        </w:rPr>
        <w:t xml:space="preserve">examinó </w:t>
      </w:r>
      <w:r w:rsidRPr="005B5C2F">
        <w:rPr>
          <w:rFonts w:cs="Arial"/>
        </w:rPr>
        <w:t xml:space="preserve">el documento </w:t>
      </w:r>
      <w:r w:rsidRPr="005B5C2F">
        <w:t>C/58/15.</w:t>
      </w:r>
    </w:p>
    <w:p w14:paraId="7825D844" w14:textId="77777777" w:rsidR="00D45BE7" w:rsidRPr="005B5C2F" w:rsidRDefault="00D45BE7" w:rsidP="00FB4867">
      <w:pPr>
        <w:keepNext/>
        <w:keepLines/>
        <w:shd w:val="clear" w:color="auto" w:fill="FFFFFF" w:themeFill="background1"/>
      </w:pPr>
    </w:p>
    <w:p w14:paraId="5EE6B232" w14:textId="42F0E304"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Sobre la base de las recomendaciones del Comité Consultivo, el Consejo </w:t>
      </w:r>
      <w:r w:rsidR="00F733F1" w:rsidRPr="005B5C2F">
        <w:t xml:space="preserve">autorizó </w:t>
      </w:r>
      <w:r w:rsidRPr="005B5C2F">
        <w:t xml:space="preserve">el uso de </w:t>
      </w:r>
      <w:r w:rsidR="00EE28B9">
        <w:br/>
        <w:t>UPOV </w:t>
      </w:r>
      <w:r w:rsidR="00DB11ED" w:rsidRPr="005B5C2F">
        <w:t>e-PVP</w:t>
      </w:r>
      <w:r w:rsidRPr="005B5C2F">
        <w:t xml:space="preserve"> por los Estados y organizaciones en proceso de convertirse en miembros de la UPOV, como se indica a continuación:</w:t>
      </w:r>
    </w:p>
    <w:p w14:paraId="534F0DFE" w14:textId="77777777" w:rsidR="00ED4BE5" w:rsidRPr="005B5C2F" w:rsidRDefault="00ED4BE5" w:rsidP="00FB4867">
      <w:pPr>
        <w:shd w:val="clear" w:color="auto" w:fill="FFFFFF" w:themeFill="background1"/>
      </w:pPr>
    </w:p>
    <w:p w14:paraId="1AD89D58" w14:textId="77777777" w:rsidR="00107C90" w:rsidRPr="005B5C2F" w:rsidRDefault="003927B3">
      <w:pPr>
        <w:pStyle w:val="ListParagraph"/>
        <w:numPr>
          <w:ilvl w:val="0"/>
          <w:numId w:val="3"/>
        </w:numPr>
        <w:shd w:val="clear" w:color="auto" w:fill="FFFFFF" w:themeFill="background1"/>
        <w:rPr>
          <w:spacing w:val="-2"/>
        </w:rPr>
      </w:pPr>
      <w:r w:rsidRPr="005B5C2F">
        <w:rPr>
          <w:spacing w:val="-2"/>
        </w:rPr>
        <w:t>Contar con el asesoramiento positivo del Consejo sobre la conformidad de la legislación con el Convenio de la UPOV.</w:t>
      </w:r>
    </w:p>
    <w:p w14:paraId="03190B2B" w14:textId="2E41D889" w:rsidR="00107C90" w:rsidRPr="005B5C2F" w:rsidRDefault="003927B3">
      <w:pPr>
        <w:pStyle w:val="ListParagraph"/>
        <w:numPr>
          <w:ilvl w:val="0"/>
          <w:numId w:val="3"/>
        </w:numPr>
        <w:shd w:val="clear" w:color="auto" w:fill="FFFFFF" w:themeFill="background1"/>
        <w:rPr>
          <w:spacing w:val="-2"/>
        </w:rPr>
      </w:pPr>
      <w:r w:rsidRPr="005B5C2F">
        <w:rPr>
          <w:spacing w:val="-2"/>
        </w:rPr>
        <w:t xml:space="preserve">El uso de e-PVP se autorizaría durante un periodo de prueba de tres años. </w:t>
      </w:r>
    </w:p>
    <w:p w14:paraId="72CE2E0F" w14:textId="30F45DD2" w:rsidR="00107C90" w:rsidRPr="005B5C2F" w:rsidRDefault="003927B3">
      <w:pPr>
        <w:pStyle w:val="ListParagraph"/>
        <w:numPr>
          <w:ilvl w:val="0"/>
          <w:numId w:val="3"/>
        </w:numPr>
        <w:shd w:val="clear" w:color="auto" w:fill="FFFFFF" w:themeFill="background1"/>
        <w:rPr>
          <w:spacing w:val="-2"/>
        </w:rPr>
      </w:pPr>
      <w:r w:rsidRPr="005B5C2F">
        <w:rPr>
          <w:spacing w:val="-2"/>
        </w:rPr>
        <w:t xml:space="preserve">Podrían establecerse otros criterios para garantizar el uso eficaz de los recursos.  La utilización de </w:t>
      </w:r>
      <w:r w:rsidR="00EE28B9">
        <w:rPr>
          <w:spacing w:val="-2"/>
        </w:rPr>
        <w:t xml:space="preserve">UPOV </w:t>
      </w:r>
      <w:r w:rsidRPr="005B5C2F">
        <w:rPr>
          <w:spacing w:val="-2"/>
        </w:rPr>
        <w:t>e-PVP por cualquier Estado y organización en proceso de convertirse en miembro de la UPOV se comunicaría periódicamente al Comité Consultivo en el documento de información "</w:t>
      </w:r>
      <w:r w:rsidR="00EE28B9" w:rsidRPr="00EE28B9">
        <w:rPr>
          <w:spacing w:val="-2"/>
        </w:rPr>
        <w:t>Situación relativa a los Estados y las organizaciones intergubernamentales que han iniciado el procedimiento de adhesión al Convenio de la UPOV o que han entrado en contacto con la Oficina de la Unión para solicitar asistencia en la elaboración de leyes basadas en el Convenio de la UPOV</w:t>
      </w:r>
      <w:r w:rsidRPr="005B5C2F">
        <w:rPr>
          <w:spacing w:val="-2"/>
        </w:rPr>
        <w:t>."</w:t>
      </w:r>
    </w:p>
    <w:p w14:paraId="6AC9F38E" w14:textId="77777777" w:rsidR="00534D28" w:rsidRPr="005B5C2F" w:rsidRDefault="00534D28" w:rsidP="00FB4867">
      <w:pPr>
        <w:keepNext/>
        <w:keepLines/>
        <w:shd w:val="clear" w:color="auto" w:fill="FFFFFF" w:themeFill="background1"/>
      </w:pPr>
    </w:p>
    <w:p w14:paraId="609173F6" w14:textId="700DFDC4"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r>
      <w:r w:rsidR="003F4596" w:rsidRPr="005B5C2F">
        <w:t xml:space="preserve">El representante de </w:t>
      </w:r>
      <w:r w:rsidR="00EA4464" w:rsidRPr="005B5C2F">
        <w:t xml:space="preserve">la </w:t>
      </w:r>
      <w:proofErr w:type="spellStart"/>
      <w:r w:rsidR="003F4596" w:rsidRPr="005B5C2F">
        <w:t>Association</w:t>
      </w:r>
      <w:proofErr w:type="spellEnd"/>
      <w:r w:rsidR="003F4596" w:rsidRPr="005B5C2F">
        <w:t xml:space="preserve"> </w:t>
      </w:r>
      <w:proofErr w:type="spellStart"/>
      <w:r w:rsidR="003F4596" w:rsidRPr="005B5C2F">
        <w:t>for</w:t>
      </w:r>
      <w:proofErr w:type="spellEnd"/>
      <w:r w:rsidR="003F4596" w:rsidRPr="005B5C2F">
        <w:t xml:space="preserve"> </w:t>
      </w:r>
      <w:proofErr w:type="spellStart"/>
      <w:r w:rsidR="003F4596" w:rsidRPr="005B5C2F">
        <w:t>Plant</w:t>
      </w:r>
      <w:proofErr w:type="spellEnd"/>
      <w:r w:rsidR="003F4596" w:rsidRPr="005B5C2F">
        <w:t xml:space="preserve"> </w:t>
      </w:r>
      <w:proofErr w:type="spellStart"/>
      <w:r w:rsidR="003F4596" w:rsidRPr="005B5C2F">
        <w:t>Breeding</w:t>
      </w:r>
      <w:proofErr w:type="spellEnd"/>
      <w:r w:rsidR="003F4596" w:rsidRPr="005B5C2F">
        <w:t xml:space="preserve"> </w:t>
      </w:r>
      <w:proofErr w:type="spellStart"/>
      <w:r w:rsidR="003F4596" w:rsidRPr="005B5C2F">
        <w:t>for</w:t>
      </w:r>
      <w:proofErr w:type="spellEnd"/>
      <w:r w:rsidR="003F4596" w:rsidRPr="005B5C2F">
        <w:t xml:space="preserve"> </w:t>
      </w:r>
      <w:proofErr w:type="spellStart"/>
      <w:r w:rsidR="003F4596" w:rsidRPr="005B5C2F">
        <w:t>the</w:t>
      </w:r>
      <w:proofErr w:type="spellEnd"/>
      <w:r w:rsidR="003F4596" w:rsidRPr="005B5C2F">
        <w:t xml:space="preserve"> Benefit of </w:t>
      </w:r>
      <w:proofErr w:type="spellStart"/>
      <w:r w:rsidR="003F4596" w:rsidRPr="005B5C2F">
        <w:t>Society</w:t>
      </w:r>
      <w:proofErr w:type="spellEnd"/>
      <w:r w:rsidR="003F4596" w:rsidRPr="005B5C2F">
        <w:t xml:space="preserve"> (APBREBES) </w:t>
      </w:r>
      <w:r w:rsidRPr="005B5C2F">
        <w:t xml:space="preserve">solicitó, en relación con el </w:t>
      </w:r>
      <w:r w:rsidR="00EA4464" w:rsidRPr="005B5C2F">
        <w:t>punto del orden del día del Comité Consultivo "</w:t>
      </w:r>
      <w:r w:rsidR="008F29D6" w:rsidRPr="008F29D6">
        <w:t>Informe sobre el Grupo de trabajo sobre orientaciones relativas a los agricultores a pequeña escala en un marco privado y con fines no comerciales</w:t>
      </w:r>
      <w:r w:rsidRPr="005B5C2F">
        <w:t xml:space="preserve"> (WG-SHF)</w:t>
      </w:r>
      <w:r w:rsidR="00EA4464" w:rsidRPr="005B5C2F">
        <w:t>"</w:t>
      </w:r>
      <w:r w:rsidRPr="005B5C2F">
        <w:t xml:space="preserve">, que el alcance del seminario que </w:t>
      </w:r>
      <w:r w:rsidR="003F4596" w:rsidRPr="005B5C2F">
        <w:t xml:space="preserve">se celebrará en 2026 </w:t>
      </w:r>
      <w:r w:rsidRPr="005B5C2F">
        <w:t>se centre en el mandato del WG-SHF.</w:t>
      </w:r>
    </w:p>
    <w:p w14:paraId="471A9B6E" w14:textId="77777777" w:rsidR="00534D28" w:rsidRPr="005B5C2F" w:rsidRDefault="00534D28" w:rsidP="00FB4867">
      <w:pPr>
        <w:keepNext/>
        <w:keepLines/>
        <w:shd w:val="clear" w:color="auto" w:fill="FFFFFF" w:themeFill="background1"/>
      </w:pPr>
    </w:p>
    <w:p w14:paraId="62C9967D" w14:textId="63CD39CB" w:rsidR="00107C90" w:rsidRPr="005B5C2F" w:rsidRDefault="003927B3">
      <w:pPr>
        <w:keepNext/>
        <w:keepLines/>
        <w:shd w:val="clear" w:color="auto" w:fill="FFFFFF" w:themeFill="background1"/>
      </w:pPr>
      <w:r w:rsidRPr="005B5C2F">
        <w:fldChar w:fldCharType="begin"/>
      </w:r>
      <w:r w:rsidRPr="005B5C2F">
        <w:instrText xml:space="preserve"> AUTONUM  </w:instrText>
      </w:r>
      <w:r w:rsidRPr="005B5C2F">
        <w:fldChar w:fldCharType="end"/>
      </w:r>
      <w:r w:rsidRPr="005B5C2F">
        <w:tab/>
        <w:t>La Delegación de</w:t>
      </w:r>
      <w:r w:rsidR="008F29D6">
        <w:t>l</w:t>
      </w:r>
      <w:r w:rsidRPr="005B5C2F">
        <w:t xml:space="preserve"> Japón opinó que el seminario debería centrarse en el acceso a las nuevas variedades. </w:t>
      </w:r>
    </w:p>
    <w:p w14:paraId="6A9F16D8" w14:textId="77777777" w:rsidR="00534D28" w:rsidRPr="005B5C2F" w:rsidRDefault="00534D28" w:rsidP="00FB4867">
      <w:pPr>
        <w:keepNext/>
        <w:keepLines/>
        <w:shd w:val="clear" w:color="auto" w:fill="FFFFFF" w:themeFill="background1"/>
      </w:pPr>
    </w:p>
    <w:p w14:paraId="743C49B6" w14:textId="1CA7C313"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r>
      <w:r w:rsidR="008F29D6">
        <w:t>La</w:t>
      </w:r>
      <w:r w:rsidRPr="005B5C2F">
        <w:t xml:space="preserve"> Secretari</w:t>
      </w:r>
      <w:r w:rsidR="008F29D6">
        <w:t>a</w:t>
      </w:r>
      <w:r w:rsidRPr="005B5C2F">
        <w:t xml:space="preserve"> General Adjunt</w:t>
      </w:r>
      <w:r w:rsidR="008F29D6">
        <w:t>a</w:t>
      </w:r>
      <w:r w:rsidRPr="005B5C2F">
        <w:t xml:space="preserve"> de la UPOV recordó que el Comité Consultivo </w:t>
      </w:r>
      <w:r w:rsidR="00FF186D" w:rsidRPr="005B5C2F">
        <w:t xml:space="preserve">había </w:t>
      </w:r>
      <w:r w:rsidRPr="005B5C2F">
        <w:t xml:space="preserve">acordado que la Oficina de la Unión se pondría en contacto con los miembros de la UPOV que tomaron la palabra durante su centésima segunda sesión para identificar propuestas para el proyecto de programa y ejemplos y datos que se presentarían durante el seminario. </w:t>
      </w:r>
      <w:r w:rsidR="00FF186D" w:rsidRPr="005B5C2F">
        <w:t xml:space="preserve">Señaló además que el Comité Consultivo había acordado que la labor del WG-SHF se canalizaría como contribución para ayudar a la organización del seminario </w:t>
      </w:r>
      <w:r w:rsidR="00AA1122" w:rsidRPr="005B5C2F">
        <w:t>en 2026</w:t>
      </w:r>
      <w:r w:rsidR="00FF186D" w:rsidRPr="005B5C2F">
        <w:t xml:space="preserve">.  </w:t>
      </w:r>
      <w:r w:rsidRPr="005B5C2F">
        <w:t xml:space="preserve">Sobre </w:t>
      </w:r>
      <w:r w:rsidR="00AA1122" w:rsidRPr="005B5C2F">
        <w:t xml:space="preserve">esta </w:t>
      </w:r>
      <w:r w:rsidRPr="005B5C2F">
        <w:t xml:space="preserve">base, </w:t>
      </w:r>
      <w:r w:rsidR="00FD78A0" w:rsidRPr="005B5C2F">
        <w:t xml:space="preserve">recordó que el Comité </w:t>
      </w:r>
      <w:r w:rsidRPr="005B5C2F">
        <w:t xml:space="preserve">Consultivo </w:t>
      </w:r>
      <w:r w:rsidR="00FD78A0" w:rsidRPr="005B5C2F">
        <w:t xml:space="preserve">había acordado </w:t>
      </w:r>
      <w:r w:rsidRPr="005B5C2F">
        <w:t xml:space="preserve">que se presentaría </w:t>
      </w:r>
      <w:r w:rsidR="00FD78A0" w:rsidRPr="005B5C2F">
        <w:t xml:space="preserve">un </w:t>
      </w:r>
      <w:r w:rsidRPr="005B5C2F">
        <w:t xml:space="preserve">proyecto de programa de seminario para su examen por el Comité Consultivo durante su centésima tercera sesión, el </w:t>
      </w:r>
      <w:r w:rsidR="00AA1122" w:rsidRPr="005B5C2F">
        <w:t xml:space="preserve">23 de </w:t>
      </w:r>
      <w:r w:rsidRPr="005B5C2F">
        <w:t>octubre de 2025.</w:t>
      </w:r>
    </w:p>
    <w:p w14:paraId="47E4C4E0" w14:textId="77777777" w:rsidR="00534D28" w:rsidRPr="005B5C2F" w:rsidRDefault="00534D28" w:rsidP="00FB4867">
      <w:pPr>
        <w:keepNext/>
        <w:keepLines/>
        <w:shd w:val="clear" w:color="auto" w:fill="FFFFFF" w:themeFill="background1"/>
      </w:pPr>
    </w:p>
    <w:p w14:paraId="2E61A5A9" w14:textId="51529061" w:rsidR="00107C90" w:rsidRPr="005B5C2F" w:rsidRDefault="003927B3">
      <w:pPr>
        <w:shd w:val="clear" w:color="auto" w:fill="FFFFFF" w:themeFill="background1"/>
        <w:rPr>
          <w:rFonts w:cs="Arial"/>
        </w:rPr>
      </w:pPr>
      <w:r w:rsidRPr="005B5C2F">
        <w:rPr>
          <w:rFonts w:cs="Arial"/>
        </w:rPr>
        <w:fldChar w:fldCharType="begin"/>
      </w:r>
      <w:r w:rsidRPr="005B5C2F">
        <w:rPr>
          <w:rFonts w:cs="Arial"/>
        </w:rPr>
        <w:instrText xml:space="preserve"> AUTONUM  </w:instrText>
      </w:r>
      <w:r w:rsidRPr="005B5C2F">
        <w:rPr>
          <w:rFonts w:cs="Arial"/>
        </w:rPr>
        <w:fldChar w:fldCharType="end"/>
      </w:r>
      <w:r w:rsidRPr="005B5C2F">
        <w:rPr>
          <w:rFonts w:cs="Arial"/>
        </w:rPr>
        <w:tab/>
        <w:t xml:space="preserve">El Consejo </w:t>
      </w:r>
      <w:r w:rsidR="008F29D6">
        <w:rPr>
          <w:rFonts w:cs="Arial"/>
        </w:rPr>
        <w:t xml:space="preserve">tomó </w:t>
      </w:r>
      <w:r w:rsidRPr="005B5C2F">
        <w:rPr>
          <w:rFonts w:cs="Arial"/>
        </w:rPr>
        <w:t xml:space="preserve">nota de los trabajos del Comité Consultivo en su centésima </w:t>
      </w:r>
      <w:r w:rsidR="00757B2A" w:rsidRPr="005B5C2F">
        <w:rPr>
          <w:rFonts w:cs="Arial"/>
        </w:rPr>
        <w:t>segunda</w:t>
      </w:r>
      <w:r w:rsidR="008F29D6">
        <w:rPr>
          <w:rFonts w:cs="Arial"/>
        </w:rPr>
        <w:t xml:space="preserve"> sesión</w:t>
      </w:r>
      <w:r w:rsidRPr="005B5C2F">
        <w:rPr>
          <w:rFonts w:cs="Arial"/>
        </w:rPr>
        <w:t xml:space="preserve">, de los que se informa en el documento </w:t>
      </w:r>
      <w:r w:rsidR="00757B2A" w:rsidRPr="005B5C2F">
        <w:rPr>
          <w:rFonts w:cs="Arial"/>
        </w:rPr>
        <w:t>C/58/15</w:t>
      </w:r>
      <w:r w:rsidRPr="005B5C2F">
        <w:rPr>
          <w:rFonts w:cs="Arial"/>
        </w:rPr>
        <w:t>.</w:t>
      </w:r>
    </w:p>
    <w:p w14:paraId="731D0787" w14:textId="77777777" w:rsidR="00D45BE7" w:rsidRPr="005B5C2F" w:rsidRDefault="00D45BE7" w:rsidP="00FB4867">
      <w:pPr>
        <w:shd w:val="clear" w:color="auto" w:fill="FFFFFF" w:themeFill="background1"/>
        <w:rPr>
          <w:rFonts w:cs="Arial"/>
        </w:rPr>
      </w:pPr>
    </w:p>
    <w:p w14:paraId="3BB6BCA8" w14:textId="77777777" w:rsidR="008A3E55" w:rsidRPr="005B5C2F" w:rsidRDefault="008A3E55" w:rsidP="00FB4867">
      <w:pPr>
        <w:shd w:val="clear" w:color="auto" w:fill="FFFFFF" w:themeFill="background1"/>
        <w:rPr>
          <w:rFonts w:cs="Arial"/>
        </w:rPr>
      </w:pPr>
    </w:p>
    <w:p w14:paraId="0C9313D2" w14:textId="77777777" w:rsidR="00F27242" w:rsidRPr="00E72074" w:rsidRDefault="00F27242" w:rsidP="00F27242">
      <w:pPr>
        <w:keepNext/>
        <w:rPr>
          <w:rFonts w:cs="Arial"/>
          <w:u w:val="single"/>
        </w:rPr>
      </w:pPr>
      <w:r w:rsidRPr="00E72074">
        <w:rPr>
          <w:rFonts w:cs="Arial"/>
          <w:u w:val="single"/>
        </w:rPr>
        <w:t xml:space="preserve">Elaboración de orientaciones y documentos propuestos para </w:t>
      </w:r>
      <w:r>
        <w:rPr>
          <w:rFonts w:cs="Arial"/>
          <w:u w:val="single"/>
        </w:rPr>
        <w:t xml:space="preserve">aprobación </w:t>
      </w:r>
      <w:r w:rsidRPr="00E72074">
        <w:rPr>
          <w:rFonts w:cs="Arial"/>
          <w:u w:val="single"/>
        </w:rPr>
        <w:t xml:space="preserve">por el Consejo </w:t>
      </w:r>
    </w:p>
    <w:p w14:paraId="2981A535" w14:textId="77777777" w:rsidR="00D45BE7" w:rsidRPr="005B5C2F" w:rsidRDefault="00D45BE7" w:rsidP="00FB4867">
      <w:pPr>
        <w:keepNext/>
        <w:shd w:val="clear" w:color="auto" w:fill="FFFFFF" w:themeFill="background1"/>
        <w:rPr>
          <w:rFonts w:cs="Arial"/>
        </w:rPr>
      </w:pPr>
    </w:p>
    <w:p w14:paraId="6DABA2EA" w14:textId="13F67203" w:rsidR="00107C90" w:rsidRPr="005B5C2F" w:rsidRDefault="003927B3">
      <w:pPr>
        <w:keepNext/>
        <w:shd w:val="clear" w:color="auto" w:fill="FFFFFF" w:themeFill="background1"/>
      </w:pPr>
      <w:r w:rsidRPr="005B5C2F">
        <w:rPr>
          <w:szCs w:val="22"/>
        </w:rPr>
        <w:fldChar w:fldCharType="begin"/>
      </w:r>
      <w:r w:rsidRPr="005B5C2F">
        <w:rPr>
          <w:szCs w:val="22"/>
        </w:rPr>
        <w:instrText xml:space="preserve"> AUTONUM  </w:instrText>
      </w:r>
      <w:r w:rsidRPr="005B5C2F">
        <w:rPr>
          <w:szCs w:val="22"/>
        </w:rPr>
        <w:fldChar w:fldCharType="end"/>
      </w:r>
      <w:r w:rsidRPr="005B5C2F">
        <w:rPr>
          <w:szCs w:val="22"/>
        </w:rPr>
        <w:tab/>
      </w:r>
      <w:r w:rsidRPr="005B5C2F">
        <w:t xml:space="preserve">El Consejo </w:t>
      </w:r>
      <w:r w:rsidR="00F27242">
        <w:t xml:space="preserve">examinó </w:t>
      </w:r>
      <w:r w:rsidRPr="005B5C2F">
        <w:t xml:space="preserve">el documento SESSIONS/2024/2 junto con las conclusiones de la </w:t>
      </w:r>
      <w:r w:rsidR="00096D01" w:rsidRPr="005B5C2F">
        <w:t xml:space="preserve">sexagésima </w:t>
      </w:r>
      <w:r w:rsidRPr="005B5C2F">
        <w:t xml:space="preserve">sesión del Comité Técnico (TC), celebrada en Ginebra los días </w:t>
      </w:r>
      <w:r w:rsidR="00096D01" w:rsidRPr="005B5C2F">
        <w:t xml:space="preserve">21 </w:t>
      </w:r>
      <w:r w:rsidRPr="005B5C2F">
        <w:t xml:space="preserve">y </w:t>
      </w:r>
      <w:r w:rsidR="00096D01" w:rsidRPr="005B5C2F">
        <w:t>22</w:t>
      </w:r>
      <w:r w:rsidRPr="005B5C2F">
        <w:t xml:space="preserve"> de octubre de 2024 (véase el documento </w:t>
      </w:r>
      <w:r w:rsidR="0081482F" w:rsidRPr="005B5C2F">
        <w:t xml:space="preserve">TC/60/8 </w:t>
      </w:r>
      <w:r w:rsidRPr="005B5C2F">
        <w:t xml:space="preserve">"Informe") y las conclusiones de la octogésima </w:t>
      </w:r>
      <w:r w:rsidR="00096D01" w:rsidRPr="005B5C2F">
        <w:t xml:space="preserve">primera </w:t>
      </w:r>
      <w:r w:rsidRPr="005B5C2F">
        <w:t xml:space="preserve">sesión del Comité Administrativo y Jurídico (CAJ), celebrada en Ginebra el </w:t>
      </w:r>
      <w:r w:rsidR="00096D01" w:rsidRPr="005B5C2F">
        <w:t>23 de</w:t>
      </w:r>
      <w:r w:rsidRPr="005B5C2F">
        <w:t xml:space="preserve"> octubre de </w:t>
      </w:r>
      <w:r w:rsidR="00096D01" w:rsidRPr="005B5C2F">
        <w:t xml:space="preserve">2024 </w:t>
      </w:r>
      <w:r w:rsidRPr="005B5C2F">
        <w:t xml:space="preserve">(véase el documento </w:t>
      </w:r>
      <w:r w:rsidR="0081482F" w:rsidRPr="005B5C2F">
        <w:t xml:space="preserve">CAJ/81/7 </w:t>
      </w:r>
      <w:r w:rsidRPr="005B5C2F">
        <w:t>"Informe").</w:t>
      </w:r>
    </w:p>
    <w:p w14:paraId="6C95E1D7" w14:textId="77777777" w:rsidR="00D45BE7" w:rsidRPr="005B5C2F" w:rsidRDefault="00D45BE7" w:rsidP="00FB4867">
      <w:pPr>
        <w:shd w:val="clear" w:color="auto" w:fill="FFFFFF" w:themeFill="background1"/>
        <w:jc w:val="left"/>
      </w:pPr>
    </w:p>
    <w:p w14:paraId="4D05F89B" w14:textId="77777777" w:rsidR="008A3E55" w:rsidRPr="005B5C2F" w:rsidRDefault="008A3E55" w:rsidP="00FB4867">
      <w:pPr>
        <w:shd w:val="clear" w:color="auto" w:fill="FFFFFF" w:themeFill="background1"/>
        <w:jc w:val="left"/>
      </w:pPr>
    </w:p>
    <w:p w14:paraId="791F23C1" w14:textId="1718E8A2" w:rsidR="00107C90" w:rsidRPr="005B5C2F" w:rsidRDefault="003927B3">
      <w:pPr>
        <w:keepNext/>
        <w:shd w:val="clear" w:color="auto" w:fill="FFFFFF" w:themeFill="background1"/>
        <w:rPr>
          <w:i/>
          <w:iCs/>
        </w:rPr>
      </w:pPr>
      <w:r w:rsidRPr="005B5C2F">
        <w:rPr>
          <w:i/>
          <w:iCs/>
        </w:rPr>
        <w:t>I.</w:t>
      </w:r>
      <w:r w:rsidRPr="005B5C2F">
        <w:rPr>
          <w:i/>
          <w:iCs/>
        </w:rPr>
        <w:tab/>
        <w:t xml:space="preserve">DOCUMENTOS PROPUESTOS PARA SU </w:t>
      </w:r>
      <w:r w:rsidR="00F27242">
        <w:rPr>
          <w:i/>
          <w:iCs/>
        </w:rPr>
        <w:t xml:space="preserve">APROBACIÓN </w:t>
      </w:r>
      <w:r w:rsidRPr="005B5C2F">
        <w:rPr>
          <w:i/>
          <w:iCs/>
        </w:rPr>
        <w:t xml:space="preserve">POR EL CONSEJO EN 2024 </w:t>
      </w:r>
    </w:p>
    <w:p w14:paraId="3AAB8DF6" w14:textId="77777777" w:rsidR="00EC1F14" w:rsidRPr="005B5C2F" w:rsidRDefault="00EC1F14" w:rsidP="00FB4867">
      <w:pPr>
        <w:keepNext/>
        <w:shd w:val="clear" w:color="auto" w:fill="FFFFFF" w:themeFill="background1"/>
        <w:rPr>
          <w:i/>
          <w:iCs/>
        </w:rPr>
      </w:pPr>
    </w:p>
    <w:p w14:paraId="6271F11B" w14:textId="06262709" w:rsidR="00107C90" w:rsidRPr="005B5C2F" w:rsidRDefault="003927B3">
      <w:pPr>
        <w:keepNext/>
        <w:shd w:val="clear" w:color="auto" w:fill="FFFFFF" w:themeFill="background1"/>
        <w:rPr>
          <w:i/>
          <w:iCs/>
        </w:rPr>
      </w:pPr>
      <w:r w:rsidRPr="005B5C2F">
        <w:rPr>
          <w:i/>
          <w:iCs/>
        </w:rPr>
        <w:t xml:space="preserve">Documentos para su </w:t>
      </w:r>
      <w:r w:rsidR="00F27242" w:rsidRPr="00F27242">
        <w:rPr>
          <w:i/>
          <w:iCs/>
        </w:rPr>
        <w:t xml:space="preserve">aprobación </w:t>
      </w:r>
      <w:r w:rsidRPr="005B5C2F">
        <w:rPr>
          <w:i/>
          <w:iCs/>
        </w:rPr>
        <w:t>por el Consejo, previo acuerdo del TC y del CAJ</w:t>
      </w:r>
    </w:p>
    <w:p w14:paraId="483B7160" w14:textId="77777777" w:rsidR="000116A4" w:rsidRPr="005B5C2F" w:rsidRDefault="000116A4" w:rsidP="00FB4867">
      <w:pPr>
        <w:keepNext/>
        <w:shd w:val="clear" w:color="auto" w:fill="FFFFFF" w:themeFill="background1"/>
        <w:jc w:val="left"/>
      </w:pPr>
    </w:p>
    <w:p w14:paraId="30E14B7F" w14:textId="77777777" w:rsidR="00F27242" w:rsidRPr="00F27242" w:rsidRDefault="00F27242" w:rsidP="00F27242">
      <w:pPr>
        <w:ind w:left="567"/>
        <w:rPr>
          <w:spacing w:val="-2"/>
          <w:u w:val="single"/>
        </w:rPr>
      </w:pPr>
      <w:r w:rsidRPr="00F27242">
        <w:rPr>
          <w:spacing w:val="-2"/>
          <w:u w:val="single"/>
        </w:rPr>
        <w:t>UPOV/INF/16: Programas informáticos para intercambio (Revisión) (documento UPOV/INF/16/13 Draft 1)</w:t>
      </w:r>
    </w:p>
    <w:p w14:paraId="65531711" w14:textId="77777777" w:rsidR="000116A4" w:rsidRPr="005B5C2F" w:rsidRDefault="000116A4" w:rsidP="00FB4867">
      <w:pPr>
        <w:keepNext/>
        <w:shd w:val="clear" w:color="auto" w:fill="FFFFFF" w:themeFill="background1"/>
        <w:rPr>
          <w:rFonts w:eastAsiaTheme="minorEastAsia" w:cs="Arial"/>
          <w:spacing w:val="-4"/>
          <w:sz w:val="17"/>
          <w:szCs w:val="17"/>
          <w:u w:val="single"/>
          <w:lang w:eastAsia="ja-JP"/>
        </w:rPr>
      </w:pPr>
    </w:p>
    <w:p w14:paraId="3FA8D565" w14:textId="1DB96CD3"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rPr>
          <w:sz w:val="15"/>
          <w:szCs w:val="15"/>
        </w:rPr>
        <w:tab/>
      </w:r>
      <w:r w:rsidRPr="005B5C2F">
        <w:rPr>
          <w:rFonts w:eastAsiaTheme="minorEastAsia" w:cs="Arial"/>
          <w:lang w:eastAsia="ja-JP"/>
        </w:rPr>
        <w:t xml:space="preserve">El </w:t>
      </w:r>
      <w:r w:rsidRPr="005B5C2F">
        <w:t xml:space="preserve">Consejo </w:t>
      </w:r>
      <w:r w:rsidR="005771A6" w:rsidRPr="005B5C2F">
        <w:rPr>
          <w:rFonts w:eastAsiaTheme="minorEastAsia" w:cs="Arial"/>
          <w:lang w:eastAsia="ja-JP"/>
        </w:rPr>
        <w:t xml:space="preserve">tomó nota de que el TC y el CAJ, en sus sesiones de 2024, </w:t>
      </w:r>
      <w:r w:rsidRPr="005B5C2F">
        <w:rPr>
          <w:rFonts w:eastAsiaTheme="minorEastAsia" w:cs="Arial"/>
          <w:lang w:eastAsia="ja-JP"/>
        </w:rPr>
        <w:t xml:space="preserve">habían </w:t>
      </w:r>
      <w:r w:rsidRPr="005B5C2F">
        <w:t xml:space="preserve">aprobado la revisión del documento UPOV/INF/16/12 "Programas informáticos </w:t>
      </w:r>
      <w:r w:rsidR="00F27242" w:rsidRPr="00F27242">
        <w:t>para intercambio</w:t>
      </w:r>
      <w:r w:rsidRPr="005B5C2F">
        <w:t>", sobre la base del documento UPOV/INF/16/13 Draft 1.</w:t>
      </w:r>
    </w:p>
    <w:p w14:paraId="4B0F64F3" w14:textId="77777777" w:rsidR="000116A4" w:rsidRPr="005B5C2F" w:rsidRDefault="000116A4" w:rsidP="00FB4867">
      <w:pPr>
        <w:shd w:val="clear" w:color="auto" w:fill="FFFFFF" w:themeFill="background1"/>
      </w:pPr>
    </w:p>
    <w:p w14:paraId="28A08F47" w14:textId="14A9804A" w:rsidR="00107C90" w:rsidRPr="005B5C2F" w:rsidRDefault="003927B3">
      <w:pPr>
        <w:shd w:val="clear" w:color="auto" w:fill="FFFFFF" w:themeFill="background1"/>
        <w:rPr>
          <w:lang w:eastAsia="ja-JP"/>
        </w:rPr>
      </w:pPr>
      <w:r w:rsidRPr="005B5C2F">
        <w:rPr>
          <w:lang w:eastAsia="ja-JP"/>
        </w:rPr>
        <w:fldChar w:fldCharType="begin"/>
      </w:r>
      <w:r w:rsidRPr="005B5C2F">
        <w:rPr>
          <w:lang w:eastAsia="ja-JP"/>
        </w:rPr>
        <w:instrText xml:space="preserve"> AUTONUM  </w:instrText>
      </w:r>
      <w:r w:rsidRPr="005B5C2F">
        <w:rPr>
          <w:lang w:eastAsia="ja-JP"/>
        </w:rPr>
        <w:fldChar w:fldCharType="end"/>
      </w:r>
      <w:r w:rsidRPr="005B5C2F">
        <w:rPr>
          <w:lang w:eastAsia="ja-JP"/>
        </w:rPr>
        <w:tab/>
      </w:r>
      <w:r w:rsidRPr="005B5C2F">
        <w:t xml:space="preserve">El Consejo </w:t>
      </w:r>
      <w:r w:rsidRPr="005B5C2F">
        <w:rPr>
          <w:lang w:eastAsia="zh-CN"/>
        </w:rPr>
        <w:t xml:space="preserve">aprobó las </w:t>
      </w:r>
      <w:r w:rsidRPr="005B5C2F">
        <w:rPr>
          <w:lang w:eastAsia="ja-JP"/>
        </w:rPr>
        <w:t xml:space="preserve">revisiones </w:t>
      </w:r>
      <w:r w:rsidRPr="005B5C2F">
        <w:rPr>
          <w:lang w:eastAsia="zh-CN"/>
        </w:rPr>
        <w:t xml:space="preserve">propuestas </w:t>
      </w:r>
      <w:r w:rsidRPr="005B5C2F">
        <w:rPr>
          <w:lang w:eastAsia="ja-JP"/>
        </w:rPr>
        <w:t xml:space="preserve">del documento UPOV/INF/16/12 "Programas informáticos </w:t>
      </w:r>
      <w:r w:rsidR="00F27242" w:rsidRPr="00F27242">
        <w:rPr>
          <w:lang w:eastAsia="ja-JP"/>
        </w:rPr>
        <w:t>para intercambio</w:t>
      </w:r>
      <w:r w:rsidRPr="005B5C2F">
        <w:rPr>
          <w:lang w:eastAsia="ja-JP"/>
        </w:rPr>
        <w:t>"</w:t>
      </w:r>
      <w:r w:rsidRPr="005B5C2F">
        <w:t>, sobre la base del documento UPOV/INF/16/13 Draft 1</w:t>
      </w:r>
      <w:r w:rsidRPr="005B5C2F">
        <w:rPr>
          <w:lang w:eastAsia="ja-JP"/>
        </w:rPr>
        <w:t>.</w:t>
      </w:r>
    </w:p>
    <w:p w14:paraId="32A557D5" w14:textId="77777777" w:rsidR="000116A4" w:rsidRPr="005B5C2F" w:rsidRDefault="000116A4" w:rsidP="00FB4867">
      <w:pPr>
        <w:shd w:val="clear" w:color="auto" w:fill="FFFFFF" w:themeFill="background1"/>
      </w:pPr>
    </w:p>
    <w:p w14:paraId="0C275355" w14:textId="77777777" w:rsidR="008A3E55" w:rsidRPr="005B5C2F" w:rsidRDefault="008A3E55" w:rsidP="00FB4867">
      <w:pPr>
        <w:shd w:val="clear" w:color="auto" w:fill="FFFFFF" w:themeFill="background1"/>
      </w:pPr>
    </w:p>
    <w:p w14:paraId="5BB4AC42" w14:textId="77777777" w:rsidR="00107C90" w:rsidRPr="005B5C2F" w:rsidRDefault="003927B3">
      <w:pPr>
        <w:keepNext/>
        <w:shd w:val="clear" w:color="auto" w:fill="FFFFFF" w:themeFill="background1"/>
        <w:ind w:left="567"/>
        <w:jc w:val="left"/>
        <w:rPr>
          <w:u w:val="single"/>
        </w:rPr>
      </w:pPr>
      <w:r w:rsidRPr="005B5C2F">
        <w:rPr>
          <w:u w:val="single"/>
        </w:rPr>
        <w:lastRenderedPageBreak/>
        <w:t>UPOV/INF/22: Programas informáticos y equipos utilizados por los miembros de la Unión (Revisión) (documento UPOV/INF/22/11 Draft 1)</w:t>
      </w:r>
    </w:p>
    <w:p w14:paraId="3D414BA6" w14:textId="77777777" w:rsidR="000116A4" w:rsidRPr="005B5C2F" w:rsidRDefault="000116A4" w:rsidP="00FB4867">
      <w:pPr>
        <w:keepNext/>
        <w:shd w:val="clear" w:color="auto" w:fill="FFFFFF" w:themeFill="background1"/>
        <w:rPr>
          <w:lang w:eastAsia="ja-JP"/>
        </w:rPr>
      </w:pPr>
    </w:p>
    <w:p w14:paraId="0CFFF9D2" w14:textId="77777777" w:rsidR="00107C90" w:rsidRPr="005B5C2F" w:rsidRDefault="003927B3">
      <w:pPr>
        <w:shd w:val="clear" w:color="auto" w:fill="FFFFFF" w:themeFill="background1"/>
        <w:rPr>
          <w:sz w:val="15"/>
          <w:szCs w:val="15"/>
          <w:lang w:eastAsia="ja-JP"/>
        </w:rPr>
      </w:pPr>
      <w:r w:rsidRPr="005B5C2F">
        <w:fldChar w:fldCharType="begin"/>
      </w:r>
      <w:r w:rsidRPr="005B5C2F">
        <w:instrText xml:space="preserve"> AUTONUM  </w:instrText>
      </w:r>
      <w:r w:rsidRPr="005B5C2F">
        <w:fldChar w:fldCharType="end"/>
      </w:r>
      <w:r w:rsidRPr="005B5C2F">
        <w:rPr>
          <w:sz w:val="15"/>
          <w:szCs w:val="15"/>
          <w:lang w:eastAsia="ja-JP"/>
        </w:rPr>
        <w:tab/>
      </w:r>
      <w:r w:rsidRPr="005B5C2F">
        <w:rPr>
          <w:rFonts w:eastAsiaTheme="minorEastAsia" w:cs="Arial"/>
          <w:lang w:eastAsia="ja-JP"/>
        </w:rPr>
        <w:t xml:space="preserve">El </w:t>
      </w:r>
      <w:r w:rsidRPr="005B5C2F">
        <w:t xml:space="preserve">Consejo </w:t>
      </w:r>
      <w:r w:rsidR="005771A6" w:rsidRPr="005B5C2F">
        <w:rPr>
          <w:rFonts w:eastAsiaTheme="minorEastAsia" w:cs="Arial"/>
          <w:lang w:eastAsia="ja-JP"/>
        </w:rPr>
        <w:t xml:space="preserve">tomó nota de que el TC y el CAJ, en sus sesiones de 2024, </w:t>
      </w:r>
      <w:r w:rsidRPr="005B5C2F">
        <w:rPr>
          <w:rFonts w:eastAsiaTheme="minorEastAsia" w:cs="Arial"/>
          <w:lang w:eastAsia="ja-JP"/>
        </w:rPr>
        <w:t xml:space="preserve">habían </w:t>
      </w:r>
      <w:r w:rsidRPr="005B5C2F">
        <w:t>aprobado la revisión del documento UPOV/INF/22/10 "Programas informáticos y equipos utilizados por los miembros de la Unión", sobre la base del documento UPOV/INF/22/11 Draft 1.</w:t>
      </w:r>
    </w:p>
    <w:p w14:paraId="531FB0F3" w14:textId="77777777" w:rsidR="000116A4" w:rsidRPr="005B5C2F" w:rsidRDefault="000116A4" w:rsidP="00FB4867">
      <w:pPr>
        <w:shd w:val="clear" w:color="auto" w:fill="FFFFFF" w:themeFill="background1"/>
      </w:pPr>
    </w:p>
    <w:p w14:paraId="01D434F2" w14:textId="35108246" w:rsidR="00107C90" w:rsidRPr="005B5C2F" w:rsidRDefault="003927B3">
      <w:pPr>
        <w:shd w:val="clear" w:color="auto" w:fill="FFFFFF" w:themeFill="background1"/>
        <w:rPr>
          <w:lang w:eastAsia="ja-JP"/>
        </w:rPr>
      </w:pPr>
      <w:r w:rsidRPr="005B5C2F">
        <w:rPr>
          <w:lang w:eastAsia="ja-JP"/>
        </w:rPr>
        <w:fldChar w:fldCharType="begin"/>
      </w:r>
      <w:r w:rsidRPr="005B5C2F">
        <w:rPr>
          <w:lang w:eastAsia="ja-JP"/>
        </w:rPr>
        <w:instrText xml:space="preserve"> AUTONUM  </w:instrText>
      </w:r>
      <w:r w:rsidRPr="005B5C2F">
        <w:rPr>
          <w:lang w:eastAsia="ja-JP"/>
        </w:rPr>
        <w:fldChar w:fldCharType="end"/>
      </w:r>
      <w:r w:rsidRPr="005B5C2F">
        <w:rPr>
          <w:lang w:eastAsia="ja-JP"/>
        </w:rPr>
        <w:tab/>
      </w:r>
      <w:r w:rsidRPr="005B5C2F">
        <w:t xml:space="preserve">El Consejo </w:t>
      </w:r>
      <w:r w:rsidR="00F27242">
        <w:rPr>
          <w:lang w:eastAsia="zh-CN"/>
        </w:rPr>
        <w:t>aprobó</w:t>
      </w:r>
      <w:r w:rsidRPr="005B5C2F">
        <w:rPr>
          <w:lang w:eastAsia="zh-CN"/>
        </w:rPr>
        <w:t xml:space="preserve"> </w:t>
      </w:r>
      <w:r w:rsidRPr="005B5C2F">
        <w:rPr>
          <w:lang w:eastAsia="ja-JP"/>
        </w:rPr>
        <w:t xml:space="preserve">las revisiones propuestas del documento UPOV/INF/22/10 "Programas informáticos y equipos utilizados por los miembros de la Unión", sobre la base del documento UPOV/INF/22/11 Draft 1. </w:t>
      </w:r>
    </w:p>
    <w:p w14:paraId="44FFD326" w14:textId="77777777" w:rsidR="000116A4" w:rsidRPr="005B5C2F" w:rsidRDefault="000116A4" w:rsidP="00FB4867">
      <w:pPr>
        <w:shd w:val="clear" w:color="auto" w:fill="FFFFFF" w:themeFill="background1"/>
      </w:pPr>
    </w:p>
    <w:p w14:paraId="25542B3B" w14:textId="77777777" w:rsidR="008A3E55" w:rsidRPr="005B5C2F" w:rsidRDefault="008A3E55" w:rsidP="00FB4867">
      <w:pPr>
        <w:shd w:val="clear" w:color="auto" w:fill="FFFFFF" w:themeFill="background1"/>
      </w:pPr>
    </w:p>
    <w:p w14:paraId="290B396C" w14:textId="77777777" w:rsidR="00107C90" w:rsidRPr="005B5C2F" w:rsidRDefault="003927B3">
      <w:pPr>
        <w:keepNext/>
        <w:shd w:val="clear" w:color="auto" w:fill="FFFFFF" w:themeFill="background1"/>
        <w:ind w:left="567"/>
        <w:jc w:val="left"/>
        <w:rPr>
          <w:u w:val="single"/>
        </w:rPr>
      </w:pPr>
      <w:r w:rsidRPr="005B5C2F">
        <w:rPr>
          <w:u w:val="single"/>
        </w:rPr>
        <w:t xml:space="preserve">UPOV/EXN/DEN: Notas explicativas sobre las denominaciones de variedades con arreglo al Convenio de la UPOV (Revisión) (documento SESSIONS/2024/2) </w:t>
      </w:r>
    </w:p>
    <w:p w14:paraId="2EA6A68C" w14:textId="77777777" w:rsidR="000116A4" w:rsidRPr="005B5C2F" w:rsidRDefault="000116A4" w:rsidP="00FB4867">
      <w:pPr>
        <w:shd w:val="clear" w:color="auto" w:fill="FFFFFF" w:themeFill="background1"/>
        <w:jc w:val="left"/>
      </w:pPr>
    </w:p>
    <w:p w14:paraId="4A50192F" w14:textId="77777777" w:rsidR="00107C90" w:rsidRPr="005B5C2F" w:rsidRDefault="003927B3">
      <w:pPr>
        <w:shd w:val="clear" w:color="auto" w:fill="FFFFFF" w:themeFill="background1"/>
        <w:rPr>
          <w:spacing w:val="-2"/>
        </w:rPr>
      </w:pPr>
      <w:r w:rsidRPr="005B5C2F">
        <w:fldChar w:fldCharType="begin"/>
      </w:r>
      <w:r w:rsidRPr="005B5C2F">
        <w:instrText xml:space="preserve"> AUTONUM  </w:instrText>
      </w:r>
      <w:r w:rsidRPr="005B5C2F">
        <w:fldChar w:fldCharType="end"/>
      </w:r>
      <w:r w:rsidRPr="005B5C2F">
        <w:tab/>
      </w:r>
      <w:r w:rsidR="00437A0A" w:rsidRPr="005B5C2F">
        <w:t xml:space="preserve">El Consejo </w:t>
      </w:r>
      <w:r w:rsidR="005771A6" w:rsidRPr="005B5C2F">
        <w:t xml:space="preserve">tomó nota de que el TC y el CAJ, en sus sesiones de 2024, </w:t>
      </w:r>
      <w:r w:rsidR="00437A0A" w:rsidRPr="005B5C2F">
        <w:t>habían aprobado la revisión del documento UPOV/EXN/DEN/3 "Notas explicativas sobre las denominaciones de variedades con arreglo al Convenio de la UPOV</w:t>
      </w:r>
      <w:r w:rsidR="00484FB5" w:rsidRPr="005B5C2F">
        <w:rPr>
          <w:spacing w:val="-2"/>
        </w:rPr>
        <w:t xml:space="preserve">" con la siguiente modificación </w:t>
      </w:r>
      <w:r w:rsidR="00484FB5" w:rsidRPr="005B5C2F">
        <w:t xml:space="preserve">(las adiciones se indican con resaltado y </w:t>
      </w:r>
      <w:r w:rsidR="00484FB5" w:rsidRPr="005B5C2F">
        <w:rPr>
          <w:highlight w:val="lightGray"/>
          <w:u w:val="single"/>
        </w:rPr>
        <w:t>subrayado</w:t>
      </w:r>
      <w:r w:rsidR="00484FB5" w:rsidRPr="005B5C2F">
        <w:t xml:space="preserve">; y las supresiones, con resaltado y </w:t>
      </w:r>
      <w:r w:rsidR="00484FB5" w:rsidRPr="005B5C2F">
        <w:rPr>
          <w:strike/>
          <w:highlight w:val="lightGray"/>
        </w:rPr>
        <w:t>tachado</w:t>
      </w:r>
      <w:r w:rsidR="00484FB5" w:rsidRPr="005B5C2F">
        <w:t>)</w:t>
      </w:r>
      <w:r w:rsidR="00484FB5" w:rsidRPr="005B5C2F">
        <w:rPr>
          <w:spacing w:val="-2"/>
        </w:rPr>
        <w:t>:</w:t>
      </w:r>
    </w:p>
    <w:p w14:paraId="7DE2EF1F" w14:textId="77777777" w:rsidR="00484FB5" w:rsidRPr="005B5C2F" w:rsidRDefault="00484FB5" w:rsidP="00FB4867">
      <w:pPr>
        <w:pStyle w:val="BasistekstNaktuinbouw"/>
        <w:shd w:val="clear" w:color="auto" w:fill="FFFFFF" w:themeFill="background1"/>
        <w:ind w:left="567" w:right="567"/>
        <w:jc w:val="both"/>
        <w:rPr>
          <w:lang w:val="es-ES_tradnl"/>
        </w:rPr>
      </w:pPr>
    </w:p>
    <w:p w14:paraId="3A0FF006" w14:textId="77777777" w:rsidR="00F27242" w:rsidRDefault="00F27242" w:rsidP="00F27242">
      <w:pPr>
        <w:pStyle w:val="BasistekstNaktuinbouw"/>
        <w:ind w:left="567" w:right="567"/>
        <w:jc w:val="both"/>
        <w:rPr>
          <w:rFonts w:eastAsia="MS Mincho"/>
          <w:sz w:val="17"/>
          <w:szCs w:val="15"/>
          <w:lang w:val="es-ES_tradnl" w:eastAsia="ja-JP"/>
        </w:rPr>
      </w:pPr>
      <w:r w:rsidRPr="00C31F2F">
        <w:rPr>
          <w:sz w:val="17"/>
          <w:szCs w:val="15"/>
          <w:lang w:val="es-ES_tradnl"/>
        </w:rPr>
        <w:t>"c)</w:t>
      </w:r>
      <w:r w:rsidRPr="00C31F2F">
        <w:rPr>
          <w:sz w:val="17"/>
          <w:szCs w:val="15"/>
          <w:lang w:val="es-ES_tradnl"/>
        </w:rPr>
        <w:tab/>
      </w:r>
      <w:proofErr w:type="gramStart"/>
      <w:r w:rsidRPr="003B7D35">
        <w:rPr>
          <w:rFonts w:eastAsia="MS Mincho"/>
          <w:sz w:val="17"/>
          <w:szCs w:val="15"/>
          <w:lang w:val="es-ES_tradnl" w:eastAsia="ja-JP"/>
        </w:rPr>
        <w:t>La</w:t>
      </w:r>
      <w:r w:rsidRPr="003B7D35">
        <w:rPr>
          <w:rFonts w:eastAsia="MS Mincho"/>
          <w:sz w:val="17"/>
          <w:szCs w:val="15"/>
          <w:highlight w:val="lightGray"/>
          <w:u w:val="single"/>
          <w:lang w:val="es-ES_tradnl" w:eastAsia="ja-JP"/>
        </w:rPr>
        <w:t>s</w:t>
      </w:r>
      <w:r w:rsidRPr="003B7D35">
        <w:rPr>
          <w:rFonts w:eastAsia="MS Mincho"/>
          <w:sz w:val="17"/>
          <w:szCs w:val="15"/>
          <w:lang w:val="es-ES_tradnl" w:eastAsia="ja-JP"/>
        </w:rPr>
        <w:t xml:space="preserve"> </w:t>
      </w:r>
      <w:r w:rsidRPr="003B7D35">
        <w:rPr>
          <w:rFonts w:eastAsia="MS Mincho"/>
          <w:strike/>
          <w:sz w:val="17"/>
          <w:szCs w:val="15"/>
          <w:highlight w:val="lightGray"/>
          <w:lang w:val="es-ES_tradnl" w:eastAsia="ja-JP"/>
        </w:rPr>
        <w:t>denominación registrada</w:t>
      </w:r>
      <w:proofErr w:type="gramEnd"/>
      <w:r w:rsidRPr="003B7D35">
        <w:rPr>
          <w:rFonts w:eastAsia="MS Mincho"/>
          <w:sz w:val="17"/>
          <w:szCs w:val="15"/>
          <w:lang w:val="es-ES_tradnl" w:eastAsia="ja-JP"/>
        </w:rPr>
        <w:t xml:space="preserve"> </w:t>
      </w:r>
      <w:r w:rsidRPr="003B7D35">
        <w:rPr>
          <w:rFonts w:eastAsia="MS Mincho"/>
          <w:sz w:val="17"/>
          <w:szCs w:val="15"/>
          <w:highlight w:val="lightGray"/>
          <w:u w:val="single"/>
          <w:lang w:val="es-ES_tradnl" w:eastAsia="ja-JP"/>
        </w:rPr>
        <w:t>denominaciones propuestas</w:t>
      </w:r>
      <w:r w:rsidRPr="003B7D35">
        <w:rPr>
          <w:rFonts w:eastAsia="MS Mincho"/>
          <w:sz w:val="17"/>
          <w:szCs w:val="15"/>
          <w:lang w:val="es-ES_tradnl" w:eastAsia="ja-JP"/>
        </w:rPr>
        <w:t xml:space="preserve"> de </w:t>
      </w:r>
      <w:r w:rsidRPr="003B7D35">
        <w:rPr>
          <w:rFonts w:eastAsia="MS Mincho"/>
          <w:strike/>
          <w:sz w:val="17"/>
          <w:szCs w:val="15"/>
          <w:highlight w:val="lightGray"/>
          <w:lang w:val="es-ES_tradnl" w:eastAsia="ja-JP"/>
        </w:rPr>
        <w:t>un</w:t>
      </w:r>
      <w:r w:rsidRPr="003B7D35">
        <w:rPr>
          <w:rFonts w:eastAsia="MS Mincho"/>
          <w:sz w:val="17"/>
          <w:szCs w:val="15"/>
          <w:lang w:val="es-ES_tradnl" w:eastAsia="ja-JP"/>
        </w:rPr>
        <w:t xml:space="preserve"> híbrido</w:t>
      </w:r>
      <w:r w:rsidRPr="003B7D35">
        <w:rPr>
          <w:rFonts w:eastAsia="MS Mincho"/>
          <w:sz w:val="17"/>
          <w:szCs w:val="15"/>
          <w:highlight w:val="lightGray"/>
          <w:u w:val="single"/>
          <w:lang w:val="es-ES_tradnl" w:eastAsia="ja-JP"/>
        </w:rPr>
        <w:t>s</w:t>
      </w:r>
      <w:r w:rsidRPr="003B7D35">
        <w:rPr>
          <w:rFonts w:eastAsia="MS Mincho"/>
          <w:sz w:val="17"/>
          <w:szCs w:val="15"/>
          <w:lang w:val="es-ES_tradnl" w:eastAsia="ja-JP"/>
        </w:rPr>
        <w:t xml:space="preserve"> interespecífico</w:t>
      </w:r>
      <w:r w:rsidRPr="003B7D35">
        <w:rPr>
          <w:rFonts w:eastAsia="MS Mincho"/>
          <w:sz w:val="17"/>
          <w:szCs w:val="15"/>
          <w:highlight w:val="lightGray"/>
          <w:u w:val="single"/>
          <w:lang w:val="es-ES_tradnl" w:eastAsia="ja-JP"/>
        </w:rPr>
        <w:t>s</w:t>
      </w:r>
      <w:r w:rsidRPr="003B7D35">
        <w:rPr>
          <w:rFonts w:eastAsia="MS Mincho"/>
          <w:sz w:val="17"/>
          <w:szCs w:val="15"/>
          <w:lang w:val="es-ES_tradnl" w:eastAsia="ja-JP"/>
        </w:rPr>
        <w:t xml:space="preserve"> con progenitores de diferentes clases dentro de un género debe</w:t>
      </w:r>
      <w:r w:rsidRPr="003B7D35">
        <w:rPr>
          <w:rFonts w:eastAsia="MS Mincho"/>
          <w:sz w:val="17"/>
          <w:szCs w:val="15"/>
          <w:highlight w:val="lightGray"/>
          <w:u w:val="single"/>
          <w:lang w:val="es-ES_tradnl" w:eastAsia="ja-JP"/>
        </w:rPr>
        <w:t>n</w:t>
      </w:r>
      <w:r w:rsidRPr="003B7D35">
        <w:rPr>
          <w:rFonts w:eastAsia="MS Mincho"/>
          <w:sz w:val="17"/>
          <w:szCs w:val="15"/>
          <w:lang w:val="es-ES_tradnl" w:eastAsia="ja-JP"/>
        </w:rPr>
        <w:t xml:space="preserve"> </w:t>
      </w:r>
      <w:r w:rsidRPr="003B7D35">
        <w:rPr>
          <w:rFonts w:eastAsia="MS Mincho"/>
          <w:strike/>
          <w:sz w:val="17"/>
          <w:szCs w:val="15"/>
          <w:highlight w:val="lightGray"/>
          <w:lang w:val="es-ES_tradnl" w:eastAsia="ja-JP"/>
        </w:rPr>
        <w:t>introducirse</w:t>
      </w:r>
      <w:r w:rsidRPr="003B7D35">
        <w:rPr>
          <w:rFonts w:eastAsia="MS Mincho"/>
          <w:sz w:val="17"/>
          <w:szCs w:val="15"/>
          <w:lang w:val="es-ES_tradnl" w:eastAsia="ja-JP"/>
        </w:rPr>
        <w:t xml:space="preserve"> </w:t>
      </w:r>
      <w:r w:rsidRPr="003B7D35">
        <w:rPr>
          <w:rFonts w:eastAsia="MS Mincho"/>
          <w:sz w:val="17"/>
          <w:szCs w:val="15"/>
          <w:highlight w:val="lightGray"/>
          <w:u w:val="single"/>
          <w:lang w:val="es-ES_tradnl" w:eastAsia="ja-JP"/>
        </w:rPr>
        <w:t>ser diferentes de las denominaciones</w:t>
      </w:r>
      <w:r w:rsidRPr="003B7D35">
        <w:rPr>
          <w:rFonts w:eastAsia="MS Mincho"/>
          <w:sz w:val="17"/>
          <w:szCs w:val="15"/>
          <w:lang w:val="es-ES_tradnl" w:eastAsia="ja-JP"/>
        </w:rPr>
        <w:t xml:space="preserve"> en </w:t>
      </w:r>
      <w:r w:rsidRPr="003B7D35">
        <w:rPr>
          <w:rFonts w:eastAsia="MS Mincho"/>
          <w:strike/>
          <w:sz w:val="17"/>
          <w:szCs w:val="15"/>
          <w:highlight w:val="lightGray"/>
          <w:lang w:val="es-ES_tradnl" w:eastAsia="ja-JP"/>
        </w:rPr>
        <w:t>todas</w:t>
      </w:r>
      <w:r w:rsidRPr="003B7D35">
        <w:rPr>
          <w:rFonts w:eastAsia="MS Mincho"/>
          <w:sz w:val="17"/>
          <w:szCs w:val="15"/>
          <w:lang w:val="es-ES_tradnl" w:eastAsia="ja-JP"/>
        </w:rPr>
        <w:t xml:space="preserve"> las clases </w:t>
      </w:r>
      <w:r w:rsidRPr="003B7D35">
        <w:rPr>
          <w:rFonts w:eastAsia="MS Mincho"/>
          <w:strike/>
          <w:sz w:val="17"/>
          <w:szCs w:val="15"/>
          <w:highlight w:val="lightGray"/>
          <w:lang w:val="es-ES_tradnl" w:eastAsia="ja-JP"/>
        </w:rPr>
        <w:t>comprendidas en un género</w:t>
      </w:r>
      <w:r w:rsidRPr="003B7D35">
        <w:rPr>
          <w:rFonts w:eastAsia="MS Mincho"/>
          <w:sz w:val="17"/>
          <w:szCs w:val="15"/>
          <w:lang w:val="es-ES_tradnl" w:eastAsia="ja-JP"/>
        </w:rPr>
        <w:t xml:space="preserve"> de </w:t>
      </w:r>
      <w:r w:rsidRPr="003B7D35">
        <w:rPr>
          <w:rFonts w:eastAsia="MS Mincho"/>
          <w:sz w:val="17"/>
          <w:szCs w:val="15"/>
          <w:highlight w:val="lightGray"/>
          <w:u w:val="single"/>
          <w:lang w:val="es-ES_tradnl" w:eastAsia="ja-JP"/>
        </w:rPr>
        <w:t>todas</w:t>
      </w:r>
      <w:r>
        <w:rPr>
          <w:rFonts w:eastAsia="MS Mincho"/>
          <w:sz w:val="17"/>
          <w:szCs w:val="15"/>
          <w:lang w:val="es-ES_tradnl" w:eastAsia="ja-JP"/>
        </w:rPr>
        <w:t xml:space="preserve"> </w:t>
      </w:r>
      <w:r w:rsidRPr="003B7D35">
        <w:rPr>
          <w:rFonts w:eastAsia="MS Mincho"/>
          <w:sz w:val="17"/>
          <w:szCs w:val="15"/>
          <w:lang w:val="es-ES_tradnl" w:eastAsia="ja-JP"/>
        </w:rPr>
        <w:t>las especies parentales. El código UPOV de un híbrido interespecífico con progenitores de diferentes clases dentro de un género debe asociarse a las clases de denominación de variedades de todas las especies parentales.</w:t>
      </w:r>
    </w:p>
    <w:p w14:paraId="3F86F77F" w14:textId="77777777" w:rsidR="00484FB5" w:rsidRPr="005B5C2F" w:rsidRDefault="00484FB5" w:rsidP="00FB4867">
      <w:pPr>
        <w:shd w:val="clear" w:color="auto" w:fill="FFFFFF" w:themeFill="background1"/>
      </w:pPr>
    </w:p>
    <w:p w14:paraId="37D18FB7" w14:textId="083CA569"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F27242">
        <w:t>aprobó</w:t>
      </w:r>
      <w:r w:rsidRPr="005B5C2F">
        <w:t xml:space="preserve"> una revisión del documento UPOV/EXN/DEN/3 "Notas explicativas sobre las denominaciones de variedades con arreglo al Convenio de la UPOV" (documento UPOV/EXN/DEN/4), sobre la base de las revisiones propuestas presentadas en el documento SESSIONS/2024/2, Anexo I, sección "Propuesta: Nuevas clases de denominación de variedades para </w:t>
      </w:r>
      <w:proofErr w:type="spellStart"/>
      <w:r w:rsidRPr="005B5C2F">
        <w:t>Prunus</w:t>
      </w:r>
      <w:proofErr w:type="spellEnd"/>
      <w:r w:rsidRPr="005B5C2F">
        <w:t xml:space="preserve">" </w:t>
      </w:r>
      <w:r w:rsidR="00837CEA" w:rsidRPr="005B5C2F">
        <w:rPr>
          <w:spacing w:val="-2"/>
        </w:rPr>
        <w:t>con las modificaciones acordadas por el TC y el CAJ</w:t>
      </w:r>
    </w:p>
    <w:p w14:paraId="7D832B61" w14:textId="77777777" w:rsidR="00437A0A" w:rsidRPr="005B5C2F" w:rsidRDefault="00437A0A" w:rsidP="00FB4867">
      <w:pPr>
        <w:shd w:val="clear" w:color="auto" w:fill="FFFFFF" w:themeFill="background1"/>
      </w:pPr>
    </w:p>
    <w:p w14:paraId="2C242884" w14:textId="77777777" w:rsidR="000116A4" w:rsidRPr="005B5C2F" w:rsidRDefault="000116A4" w:rsidP="00FB4867">
      <w:pPr>
        <w:shd w:val="clear" w:color="auto" w:fill="FFFFFF" w:themeFill="background1"/>
        <w:jc w:val="left"/>
      </w:pPr>
    </w:p>
    <w:p w14:paraId="02332899" w14:textId="77777777" w:rsidR="00107C90" w:rsidRPr="005B5C2F" w:rsidRDefault="003927B3" w:rsidP="001427FD">
      <w:pPr>
        <w:pStyle w:val="Heading4"/>
      </w:pPr>
      <w:r w:rsidRPr="005B5C2F">
        <w:t>TGP/7: Elaboración de directrices de examen (Revisión) (documento SESSIONS/2024/2</w:t>
      </w:r>
      <w:r w:rsidR="00F12494" w:rsidRPr="005B5C2F">
        <w:t xml:space="preserve">) </w:t>
      </w:r>
    </w:p>
    <w:p w14:paraId="7FA9247C" w14:textId="77777777" w:rsidR="000116A4" w:rsidRPr="005B5C2F" w:rsidRDefault="000116A4" w:rsidP="00FB4867">
      <w:pPr>
        <w:keepNext/>
        <w:shd w:val="clear" w:color="auto" w:fill="FFFFFF" w:themeFill="background1"/>
      </w:pPr>
    </w:p>
    <w:p w14:paraId="16E99E04" w14:textId="77777777" w:rsidR="00107C90" w:rsidRPr="005B5C2F" w:rsidRDefault="003927B3">
      <w:pPr>
        <w:pStyle w:val="Heading5"/>
        <w:shd w:val="clear" w:color="auto" w:fill="FFFFFF" w:themeFill="background1"/>
        <w:rPr>
          <w:lang w:val="es-ES_tradnl"/>
        </w:rPr>
      </w:pPr>
      <w:r w:rsidRPr="005B5C2F">
        <w:rPr>
          <w:lang w:val="es-ES_tradnl"/>
        </w:rPr>
        <w:t>Texto estándar adicional (ASW) 3 "Explicación del ciclo de cultivo"</w:t>
      </w:r>
    </w:p>
    <w:p w14:paraId="1B5FB854" w14:textId="77777777" w:rsidR="000116A4" w:rsidRPr="005B5C2F" w:rsidRDefault="000116A4" w:rsidP="00FB4867">
      <w:pPr>
        <w:keepNext/>
        <w:shd w:val="clear" w:color="auto" w:fill="FFFFFF" w:themeFill="background1"/>
      </w:pPr>
    </w:p>
    <w:p w14:paraId="422F1CD2"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5771A6" w:rsidRPr="005B5C2F">
        <w:t xml:space="preserve">tomó nota de que el TC y el CAJ, en sus sesiones de 2024, </w:t>
      </w:r>
      <w:r w:rsidRPr="005B5C2F">
        <w:t>habían aprobado la revisión del documento TGP/7 "Elaboración de directrices de examen".</w:t>
      </w:r>
    </w:p>
    <w:p w14:paraId="247187DF" w14:textId="77777777" w:rsidR="00AC3C31" w:rsidRPr="005B5C2F" w:rsidRDefault="00AC3C31" w:rsidP="00FB4867">
      <w:pPr>
        <w:shd w:val="clear" w:color="auto" w:fill="FFFFFF" w:themeFill="background1"/>
      </w:pPr>
    </w:p>
    <w:p w14:paraId="327638D9" w14:textId="468A092D" w:rsidR="00107C90" w:rsidRPr="005B5C2F" w:rsidRDefault="003927B3">
      <w:pPr>
        <w:shd w:val="clear" w:color="auto" w:fill="FFFFFF" w:themeFill="background1"/>
        <w:rPr>
          <w:spacing w:val="-2"/>
        </w:rPr>
      </w:pPr>
      <w:r w:rsidRPr="005B5C2F">
        <w:fldChar w:fldCharType="begin"/>
      </w:r>
      <w:r w:rsidRPr="005B5C2F">
        <w:instrText xml:space="preserve"> AUTONUM  </w:instrText>
      </w:r>
      <w:r w:rsidRPr="005B5C2F">
        <w:fldChar w:fldCharType="end"/>
      </w:r>
      <w:r w:rsidRPr="005B5C2F">
        <w:tab/>
        <w:t xml:space="preserve">El Consejo </w:t>
      </w:r>
      <w:r w:rsidR="00BB63E8">
        <w:t xml:space="preserve">aprobó </w:t>
      </w:r>
      <w:r w:rsidRPr="005B5C2F">
        <w:t xml:space="preserve">una revisión del documento TGP/7/9 "Elaboración de las directrices de examen", sobre la base de las propuestas de modificación presentadas en </w:t>
      </w:r>
      <w:r w:rsidRPr="005B5C2F">
        <w:rPr>
          <w:spacing w:val="-2"/>
        </w:rPr>
        <w:t xml:space="preserve">el </w:t>
      </w:r>
      <w:r w:rsidR="00BB63E8">
        <w:rPr>
          <w:spacing w:val="-2"/>
        </w:rPr>
        <w:t>párrafo</w:t>
      </w:r>
      <w:r w:rsidRPr="005B5C2F">
        <w:rPr>
          <w:spacing w:val="-2"/>
        </w:rPr>
        <w:t xml:space="preserve"> 20 del documento SESSIONS/2024/2, que se reproducen a continuación </w:t>
      </w:r>
      <w:r w:rsidR="003A2700" w:rsidRPr="005B5C2F">
        <w:t xml:space="preserve">(las adiciones se indican con resaltado y </w:t>
      </w:r>
      <w:r w:rsidR="003A2700" w:rsidRPr="005B5C2F">
        <w:rPr>
          <w:highlight w:val="lightGray"/>
          <w:u w:val="single"/>
        </w:rPr>
        <w:t>subrayado</w:t>
      </w:r>
      <w:r w:rsidR="003A2700" w:rsidRPr="005B5C2F">
        <w:t xml:space="preserve">; y las supresiones, con resaltado y </w:t>
      </w:r>
      <w:r w:rsidR="003A2700" w:rsidRPr="005B5C2F">
        <w:rPr>
          <w:strike/>
          <w:highlight w:val="lightGray"/>
        </w:rPr>
        <w:t>tachado</w:t>
      </w:r>
      <w:r w:rsidR="003A2700" w:rsidRPr="005B5C2F">
        <w:t>)</w:t>
      </w:r>
      <w:r w:rsidRPr="005B5C2F">
        <w:rPr>
          <w:spacing w:val="-2"/>
        </w:rPr>
        <w:t>:</w:t>
      </w:r>
    </w:p>
    <w:p w14:paraId="7C6FB791" w14:textId="77777777" w:rsidR="00AC3C31" w:rsidRPr="005B5C2F" w:rsidRDefault="00AC3C31" w:rsidP="00FB4867">
      <w:pPr>
        <w:shd w:val="clear" w:color="auto" w:fill="FFFFFF" w:themeFill="background1"/>
        <w:rPr>
          <w:spacing w:val="-2"/>
        </w:rPr>
      </w:pPr>
    </w:p>
    <w:p w14:paraId="6BA7CB11" w14:textId="77777777" w:rsidR="00BB63E8" w:rsidRPr="00F56A7F" w:rsidRDefault="00BB63E8" w:rsidP="00BB63E8">
      <w:pPr>
        <w:keepNext/>
        <w:tabs>
          <w:tab w:val="left" w:pos="1134"/>
        </w:tabs>
        <w:ind w:left="567" w:right="567"/>
        <w:contextualSpacing/>
        <w:rPr>
          <w:sz w:val="18"/>
          <w:szCs w:val="18"/>
        </w:rPr>
      </w:pPr>
      <w:r>
        <w:rPr>
          <w:sz w:val="18"/>
        </w:rPr>
        <w:t>“a)</w:t>
      </w:r>
      <w:r>
        <w:rPr>
          <w:sz w:val="18"/>
        </w:rPr>
        <w:tab/>
        <w:t>Especies frutales con un período de letargo claramente definido</w:t>
      </w:r>
    </w:p>
    <w:p w14:paraId="1F262E4F" w14:textId="77777777" w:rsidR="00BB63E8" w:rsidRPr="00F56A7F" w:rsidRDefault="00BB63E8" w:rsidP="00BB63E8">
      <w:pPr>
        <w:keepNext/>
        <w:tabs>
          <w:tab w:val="left" w:pos="1134"/>
        </w:tabs>
        <w:ind w:left="567" w:right="567"/>
        <w:contextualSpacing/>
        <w:rPr>
          <w:sz w:val="18"/>
          <w:szCs w:val="18"/>
        </w:rPr>
      </w:pPr>
    </w:p>
    <w:p w14:paraId="16CB4C2B" w14:textId="77777777" w:rsidR="00BB63E8" w:rsidRDefault="00BB63E8" w:rsidP="00BB63E8">
      <w:pPr>
        <w:tabs>
          <w:tab w:val="left" w:pos="851"/>
          <w:tab w:val="left" w:pos="1134"/>
        </w:tabs>
        <w:ind w:left="567" w:right="567"/>
        <w:rPr>
          <w:sz w:val="18"/>
          <w:szCs w:val="18"/>
        </w:rPr>
      </w:pPr>
      <w:r>
        <w:rPr>
          <w:sz w:val="18"/>
          <w:szCs w:val="18"/>
        </w:rPr>
        <w:t>3.1.2</w:t>
      </w:r>
      <w:r>
        <w:rPr>
          <w:sz w:val="18"/>
          <w:szCs w:val="18"/>
        </w:rPr>
        <w:tab/>
      </w:r>
      <w:r w:rsidRPr="007970CB">
        <w:rPr>
          <w:sz w:val="18"/>
          <w:szCs w:val="18"/>
        </w:rPr>
        <w:t>Se considera que la duración del ciclo de cultivo es equivalente a un único período de cultivo que</w:t>
      </w:r>
      <w:r>
        <w:rPr>
          <w:sz w:val="18"/>
          <w:szCs w:val="18"/>
        </w:rPr>
        <w:t xml:space="preserve"> </w:t>
      </w:r>
      <w:r w:rsidRPr="007970CB">
        <w:rPr>
          <w:sz w:val="18"/>
          <w:szCs w:val="18"/>
        </w:rPr>
        <w:t xml:space="preserve">empieza con </w:t>
      </w:r>
      <w:r>
        <w:rPr>
          <w:sz w:val="18"/>
          <w:highlight w:val="lightGray"/>
          <w:u w:val="single"/>
        </w:rPr>
        <w:t xml:space="preserve">el período de latencia, sigue con </w:t>
      </w:r>
      <w:r w:rsidRPr="007970CB">
        <w:rPr>
          <w:sz w:val="18"/>
          <w:szCs w:val="18"/>
        </w:rPr>
        <w:t xml:space="preserve">la apertura de las yemas (floral y/o vegetativa), la floración y la cosecha de los frutos, y </w:t>
      </w:r>
      <w:r w:rsidRPr="009A3887">
        <w:rPr>
          <w:strike/>
          <w:sz w:val="18"/>
          <w:szCs w:val="18"/>
          <w:highlight w:val="lightGray"/>
        </w:rPr>
        <w:t>que</w:t>
      </w:r>
      <w:r>
        <w:rPr>
          <w:sz w:val="18"/>
          <w:szCs w:val="18"/>
        </w:rPr>
        <w:t xml:space="preserve"> </w:t>
      </w:r>
      <w:r w:rsidRPr="007970CB">
        <w:rPr>
          <w:sz w:val="18"/>
          <w:szCs w:val="18"/>
        </w:rPr>
        <w:t xml:space="preserve">concluye cuando </w:t>
      </w:r>
      <w:r>
        <w:rPr>
          <w:sz w:val="18"/>
          <w:highlight w:val="lightGray"/>
          <w:u w:val="single"/>
        </w:rPr>
        <w:t>empieza</w:t>
      </w:r>
      <w:r>
        <w:rPr>
          <w:sz w:val="18"/>
        </w:rPr>
        <w:t xml:space="preserve"> </w:t>
      </w:r>
      <w:r>
        <w:rPr>
          <w:strike/>
          <w:sz w:val="18"/>
          <w:highlight w:val="lightGray"/>
        </w:rPr>
        <w:t>finaliza</w:t>
      </w:r>
      <w:r>
        <w:rPr>
          <w:sz w:val="18"/>
        </w:rPr>
        <w:t xml:space="preserve"> </w:t>
      </w:r>
      <w:r w:rsidRPr="007970CB">
        <w:rPr>
          <w:sz w:val="18"/>
          <w:szCs w:val="18"/>
        </w:rPr>
        <w:t xml:space="preserve">el período de letargo siguiente </w:t>
      </w:r>
      <w:r w:rsidRPr="007970CB">
        <w:rPr>
          <w:strike/>
          <w:sz w:val="18"/>
          <w:szCs w:val="18"/>
          <w:highlight w:val="lightGray"/>
        </w:rPr>
        <w:t>con la hinchazón de las yemas en la nueva temporada</w:t>
      </w:r>
      <w:r>
        <w:rPr>
          <w:sz w:val="18"/>
          <w:szCs w:val="18"/>
        </w:rPr>
        <w:t>.</w:t>
      </w:r>
      <w:r w:rsidRPr="007970CB">
        <w:rPr>
          <w:sz w:val="18"/>
          <w:szCs w:val="18"/>
        </w:rPr>
        <w:t>”</w:t>
      </w:r>
    </w:p>
    <w:p w14:paraId="219E9155" w14:textId="77777777" w:rsidR="000116A4" w:rsidRPr="005B5C2F" w:rsidRDefault="000116A4" w:rsidP="00FB4867">
      <w:pPr>
        <w:shd w:val="clear" w:color="auto" w:fill="FFFFFF" w:themeFill="background1"/>
        <w:jc w:val="left"/>
      </w:pPr>
    </w:p>
    <w:p w14:paraId="5B3A2585" w14:textId="77777777" w:rsidR="008A3E55" w:rsidRPr="005B5C2F" w:rsidRDefault="008A3E55" w:rsidP="00FB4867">
      <w:pPr>
        <w:shd w:val="clear" w:color="auto" w:fill="FFFFFF" w:themeFill="background1"/>
        <w:jc w:val="left"/>
      </w:pPr>
    </w:p>
    <w:p w14:paraId="60BE4FA2" w14:textId="77777777" w:rsidR="00107C90" w:rsidRPr="005B5C2F" w:rsidRDefault="003927B3" w:rsidP="001427FD">
      <w:pPr>
        <w:pStyle w:val="Heading4"/>
      </w:pPr>
      <w:r w:rsidRPr="005B5C2F">
        <w:t>TGP/12: Orientaciones sobre ciertos caracteres fisiológicos (Revisión) (documento SESSIONS/2024/2)</w:t>
      </w:r>
    </w:p>
    <w:p w14:paraId="0001DE69" w14:textId="77777777" w:rsidR="000116A4" w:rsidRPr="005B5C2F" w:rsidRDefault="000116A4" w:rsidP="00FB4867">
      <w:pPr>
        <w:keepNext/>
        <w:shd w:val="clear" w:color="auto" w:fill="FFFFFF" w:themeFill="background1"/>
      </w:pPr>
    </w:p>
    <w:p w14:paraId="62BE0C7A" w14:textId="2D8A6345" w:rsidR="00107C90" w:rsidRPr="005B5C2F" w:rsidRDefault="008B16C4">
      <w:pPr>
        <w:pStyle w:val="Heading5"/>
        <w:shd w:val="clear" w:color="auto" w:fill="FFFFFF" w:themeFill="background1"/>
        <w:rPr>
          <w:lang w:val="es-ES_tradnl"/>
        </w:rPr>
      </w:pPr>
      <w:r w:rsidRPr="008B16C4">
        <w:rPr>
          <w:lang w:val="es-ES_tradnl"/>
        </w:rPr>
        <w:t>Cuadro de equivalencia de los niveles de expresión de los caracteres cuantitativos de resistencia a las enfermedades en las directrices de examen</w:t>
      </w:r>
    </w:p>
    <w:p w14:paraId="2FF19637" w14:textId="77777777" w:rsidR="000116A4" w:rsidRPr="005B5C2F" w:rsidRDefault="000116A4" w:rsidP="00FB4867">
      <w:pPr>
        <w:keepNext/>
        <w:shd w:val="clear" w:color="auto" w:fill="FFFFFF" w:themeFill="background1"/>
      </w:pPr>
    </w:p>
    <w:p w14:paraId="621C80EA" w14:textId="77777777" w:rsidR="00107C90" w:rsidRPr="005B5C2F" w:rsidRDefault="003927B3">
      <w:pPr>
        <w:shd w:val="clear" w:color="auto" w:fill="FFFFFF" w:themeFill="background1"/>
        <w:rPr>
          <w:spacing w:val="-2"/>
        </w:rPr>
      </w:pPr>
      <w:r w:rsidRPr="005B5C2F">
        <w:fldChar w:fldCharType="begin"/>
      </w:r>
      <w:r w:rsidRPr="005B5C2F">
        <w:instrText xml:space="preserve"> AUTONUM  </w:instrText>
      </w:r>
      <w:r w:rsidRPr="005B5C2F">
        <w:fldChar w:fldCharType="end"/>
      </w:r>
      <w:r w:rsidRPr="005B5C2F">
        <w:tab/>
        <w:t xml:space="preserve">El Consejo </w:t>
      </w:r>
      <w:r w:rsidR="005771A6" w:rsidRPr="005B5C2F">
        <w:t xml:space="preserve">tomó nota de que el TC y el CAJ, en sus sesiones de 2024, </w:t>
      </w:r>
      <w:r w:rsidRPr="005B5C2F">
        <w:t xml:space="preserve">habían aprobado la revisión del documento </w:t>
      </w:r>
      <w:r w:rsidRPr="005B5C2F">
        <w:rPr>
          <w:rFonts w:eastAsiaTheme="minorEastAsia"/>
        </w:rPr>
        <w:t>TGP/12 "Orientaciones sobre ciertos caracteres fisiológicos</w:t>
      </w:r>
      <w:r w:rsidR="00837CEA" w:rsidRPr="005B5C2F">
        <w:rPr>
          <w:spacing w:val="-2"/>
        </w:rPr>
        <w:t>" con la siguiente modificación de la disposición de la información en el cuadro que debe presentarse de la siguiente manera:</w:t>
      </w:r>
    </w:p>
    <w:p w14:paraId="7A8A6F0A" w14:textId="77777777" w:rsidR="00837CEA" w:rsidRPr="005B5C2F" w:rsidRDefault="00837CEA" w:rsidP="00FB4867">
      <w:pPr>
        <w:shd w:val="clear" w:color="auto" w:fill="FFFFFF" w:themeFill="background1"/>
        <w:rPr>
          <w:spacing w:val="-2"/>
        </w:rPr>
      </w:pPr>
    </w:p>
    <w:p w14:paraId="68EEE136" w14:textId="77777777" w:rsidR="008B16C4" w:rsidRPr="00C31F2F" w:rsidRDefault="008B16C4" w:rsidP="008B16C4">
      <w:pPr>
        <w:keepNext/>
        <w:ind w:left="567" w:right="567"/>
      </w:pPr>
      <w:r w:rsidRPr="00C31F2F">
        <w:rPr>
          <w:rFonts w:cs="Arial"/>
          <w:color w:val="000000"/>
          <w:sz w:val="17"/>
        </w:rPr>
        <w:lastRenderedPageBreak/>
        <w:t xml:space="preserve">"Cuadro 2: </w:t>
      </w:r>
      <w:r w:rsidRPr="001369EF">
        <w:rPr>
          <w:rFonts w:cs="Arial"/>
          <w:color w:val="000000"/>
          <w:sz w:val="17"/>
        </w:rPr>
        <w:t xml:space="preserve">Niveles de expresión de las directrices de examen y terminología utilizada en el sector de </w:t>
      </w:r>
      <w:r>
        <w:rPr>
          <w:rFonts w:cs="Arial"/>
          <w:color w:val="000000"/>
          <w:sz w:val="17"/>
        </w:rPr>
        <w:t xml:space="preserve">las </w:t>
      </w:r>
      <w:r w:rsidRPr="001369EF">
        <w:rPr>
          <w:rFonts w:cs="Arial"/>
          <w:color w:val="000000"/>
          <w:sz w:val="17"/>
        </w:rPr>
        <w:t>semillas hortícolas</w:t>
      </w:r>
      <w:r>
        <w:rPr>
          <w:rFonts w:cs="Arial"/>
          <w:color w:val="000000"/>
          <w:sz w:val="17"/>
        </w:rPr>
        <w:t>:</w:t>
      </w:r>
    </w:p>
    <w:p w14:paraId="2F42B1AE" w14:textId="77777777" w:rsidR="008B16C4" w:rsidRPr="00C31F2F" w:rsidRDefault="008B16C4" w:rsidP="008B16C4">
      <w:pPr>
        <w:keepNext/>
        <w:ind w:left="567" w:right="567"/>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709"/>
        <w:gridCol w:w="2126"/>
        <w:gridCol w:w="12"/>
      </w:tblGrid>
      <w:tr w:rsidR="008B16C4" w:rsidRPr="00C31F2F" w14:paraId="241AB10A" w14:textId="77777777" w:rsidTr="00156A7E">
        <w:trPr>
          <w:cantSplit/>
          <w:trHeight w:val="412"/>
          <w:jc w:val="center"/>
        </w:trPr>
        <w:tc>
          <w:tcPr>
            <w:tcW w:w="8162" w:type="dxa"/>
            <w:gridSpan w:val="4"/>
            <w:tcBorders>
              <w:top w:val="single" w:sz="4" w:space="0" w:color="auto"/>
              <w:left w:val="single" w:sz="4" w:space="0" w:color="auto"/>
              <w:bottom w:val="single" w:sz="4" w:space="0" w:color="auto"/>
              <w:right w:val="single" w:sz="4" w:space="0" w:color="auto"/>
            </w:tcBorders>
            <w:noWrap/>
            <w:vAlign w:val="center"/>
            <w:hideMark/>
          </w:tcPr>
          <w:p w14:paraId="2CA72A9E" w14:textId="77777777" w:rsidR="008B16C4" w:rsidRPr="00C31F2F" w:rsidRDefault="008B16C4" w:rsidP="00156A7E">
            <w:pPr>
              <w:keepNext/>
              <w:rPr>
                <w:bCs/>
                <w:i/>
                <w:sz w:val="17"/>
                <w:szCs w:val="17"/>
              </w:rPr>
            </w:pPr>
            <w:r>
              <w:rPr>
                <w:bCs/>
                <w:i/>
                <w:sz w:val="17"/>
                <w:szCs w:val="17"/>
              </w:rPr>
              <w:t xml:space="preserve">Niveles </w:t>
            </w:r>
            <w:r w:rsidRPr="00C31F2F">
              <w:rPr>
                <w:bCs/>
                <w:i/>
                <w:sz w:val="17"/>
                <w:szCs w:val="17"/>
              </w:rPr>
              <w:t>de expresión en las directrices de examen:</w:t>
            </w:r>
          </w:p>
        </w:tc>
      </w:tr>
      <w:tr w:rsidR="008B16C4" w:rsidRPr="00C31F2F" w14:paraId="025A6851" w14:textId="77777777" w:rsidTr="00156A7E">
        <w:trPr>
          <w:gridAfter w:val="1"/>
          <w:wAfter w:w="12" w:type="dxa"/>
          <w:cantSplit/>
          <w:trHeight w:val="412"/>
          <w:jc w:val="center"/>
        </w:trPr>
        <w:tc>
          <w:tcPr>
            <w:tcW w:w="5315" w:type="dxa"/>
            <w:tcBorders>
              <w:top w:val="single" w:sz="4" w:space="0" w:color="auto"/>
              <w:left w:val="single" w:sz="4" w:space="0" w:color="auto"/>
              <w:bottom w:val="nil"/>
              <w:right w:val="single" w:sz="4" w:space="0" w:color="auto"/>
            </w:tcBorders>
            <w:noWrap/>
            <w:vAlign w:val="center"/>
            <w:hideMark/>
          </w:tcPr>
          <w:p w14:paraId="2F06849B" w14:textId="77777777" w:rsidR="008B16C4" w:rsidRPr="00C31F2F" w:rsidRDefault="008B16C4" w:rsidP="00156A7E">
            <w:pPr>
              <w:keepNext/>
              <w:rPr>
                <w:sz w:val="17"/>
                <w:szCs w:val="17"/>
              </w:rPr>
            </w:pPr>
            <w:r>
              <w:rPr>
                <w:sz w:val="17"/>
                <w:szCs w:val="17"/>
              </w:rPr>
              <w:t>La r</w:t>
            </w:r>
            <w:r w:rsidRPr="00C31F2F">
              <w:rPr>
                <w:sz w:val="17"/>
                <w:szCs w:val="17"/>
              </w:rPr>
              <w:t>esistencia a [nombre de la enfermedad]</w:t>
            </w:r>
            <w:r>
              <w:rPr>
                <w:sz w:val="17"/>
                <w:szCs w:val="17"/>
              </w:rPr>
              <w:t xml:space="preserve"> es: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19FC16" w14:textId="77777777" w:rsidR="008B16C4" w:rsidRPr="00C31F2F" w:rsidRDefault="008B16C4" w:rsidP="00156A7E">
            <w:pPr>
              <w:keepNext/>
              <w:rPr>
                <w:sz w:val="17"/>
                <w:szCs w:val="17"/>
              </w:rPr>
            </w:pPr>
            <w:r w:rsidRPr="00C31F2F">
              <w:rPr>
                <w:sz w:val="17"/>
                <w:szCs w:val="17"/>
              </w:rPr>
              <w:t>nota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E8A04D" w14:textId="77777777" w:rsidR="008B16C4" w:rsidRPr="00C31F2F" w:rsidRDefault="008B16C4" w:rsidP="00156A7E">
            <w:pPr>
              <w:keepNext/>
              <w:rPr>
                <w:bCs/>
                <w:sz w:val="17"/>
                <w:szCs w:val="17"/>
              </w:rPr>
            </w:pPr>
            <w:r>
              <w:rPr>
                <w:bCs/>
                <w:sz w:val="17"/>
                <w:szCs w:val="17"/>
              </w:rPr>
              <w:t>Nivel</w:t>
            </w:r>
          </w:p>
        </w:tc>
      </w:tr>
      <w:tr w:rsidR="008B16C4" w:rsidRPr="00C31F2F" w14:paraId="5C205362" w14:textId="77777777" w:rsidTr="00156A7E">
        <w:trPr>
          <w:gridAfter w:val="1"/>
          <w:wAfter w:w="12" w:type="dxa"/>
          <w:cantSplit/>
          <w:trHeight w:val="418"/>
          <w:jc w:val="center"/>
        </w:trPr>
        <w:tc>
          <w:tcPr>
            <w:tcW w:w="5315" w:type="dxa"/>
            <w:tcBorders>
              <w:top w:val="nil"/>
              <w:left w:val="single" w:sz="4" w:space="0" w:color="auto"/>
              <w:bottom w:val="nil"/>
              <w:right w:val="single" w:sz="4" w:space="0" w:color="auto"/>
            </w:tcBorders>
            <w:noWrap/>
            <w:vAlign w:val="center"/>
          </w:tcPr>
          <w:p w14:paraId="6160A3B2" w14:textId="77777777" w:rsidR="008B16C4" w:rsidRPr="00C31F2F" w:rsidRDefault="008B16C4" w:rsidP="00156A7E">
            <w:pPr>
              <w:keepNext/>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374CD50" w14:textId="77777777" w:rsidR="008B16C4" w:rsidRPr="00C31F2F" w:rsidRDefault="008B16C4" w:rsidP="00156A7E">
            <w:pPr>
              <w:keepNext/>
              <w:rPr>
                <w:sz w:val="17"/>
                <w:szCs w:val="17"/>
              </w:rPr>
            </w:pPr>
            <w:r w:rsidRPr="00C31F2F">
              <w:rPr>
                <w:sz w:val="17"/>
                <w:szCs w:val="1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F56B40" w14:textId="77777777" w:rsidR="008B16C4" w:rsidRPr="00C31F2F" w:rsidRDefault="008B16C4" w:rsidP="00156A7E">
            <w:pPr>
              <w:keepNext/>
              <w:rPr>
                <w:sz w:val="17"/>
                <w:szCs w:val="17"/>
              </w:rPr>
            </w:pPr>
            <w:r w:rsidRPr="00C31F2F">
              <w:rPr>
                <w:sz w:val="17"/>
                <w:szCs w:val="17"/>
              </w:rPr>
              <w:t>ausente o baj</w:t>
            </w:r>
            <w:r>
              <w:rPr>
                <w:sz w:val="17"/>
                <w:szCs w:val="17"/>
              </w:rPr>
              <w:t>a</w:t>
            </w:r>
          </w:p>
        </w:tc>
      </w:tr>
      <w:tr w:rsidR="008B16C4" w:rsidRPr="00C31F2F" w14:paraId="30F3F6B6" w14:textId="77777777" w:rsidTr="00156A7E">
        <w:trPr>
          <w:gridAfter w:val="1"/>
          <w:wAfter w:w="12" w:type="dxa"/>
          <w:cantSplit/>
          <w:trHeight w:val="418"/>
          <w:jc w:val="center"/>
        </w:trPr>
        <w:tc>
          <w:tcPr>
            <w:tcW w:w="5315" w:type="dxa"/>
            <w:tcBorders>
              <w:top w:val="nil"/>
              <w:left w:val="single" w:sz="4" w:space="0" w:color="auto"/>
              <w:bottom w:val="nil"/>
              <w:right w:val="single" w:sz="4" w:space="0" w:color="auto"/>
            </w:tcBorders>
            <w:noWrap/>
            <w:vAlign w:val="center"/>
          </w:tcPr>
          <w:p w14:paraId="5F2BCE56" w14:textId="77777777" w:rsidR="008B16C4" w:rsidRPr="00C31F2F" w:rsidRDefault="008B16C4" w:rsidP="00156A7E">
            <w:pPr>
              <w:keepNex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E979D1F" w14:textId="77777777" w:rsidR="008B16C4" w:rsidRPr="00C31F2F" w:rsidRDefault="008B16C4" w:rsidP="00156A7E">
            <w:pPr>
              <w:keepNext/>
              <w:rPr>
                <w:sz w:val="17"/>
                <w:szCs w:val="17"/>
              </w:rPr>
            </w:pPr>
            <w:r w:rsidRPr="00C31F2F">
              <w:rPr>
                <w:sz w:val="17"/>
                <w:szCs w:val="17"/>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9738CFA" w14:textId="77777777" w:rsidR="008B16C4" w:rsidRPr="00C31F2F" w:rsidRDefault="008B16C4" w:rsidP="00156A7E">
            <w:pPr>
              <w:keepNext/>
              <w:rPr>
                <w:sz w:val="17"/>
                <w:szCs w:val="17"/>
              </w:rPr>
            </w:pPr>
            <w:r w:rsidRPr="00C31F2F">
              <w:rPr>
                <w:sz w:val="17"/>
                <w:szCs w:val="17"/>
              </w:rPr>
              <w:t>medi</w:t>
            </w:r>
            <w:r>
              <w:rPr>
                <w:sz w:val="17"/>
                <w:szCs w:val="17"/>
              </w:rPr>
              <w:t>a</w:t>
            </w:r>
          </w:p>
        </w:tc>
      </w:tr>
      <w:tr w:rsidR="008B16C4" w:rsidRPr="00C31F2F" w14:paraId="72E709FE" w14:textId="77777777" w:rsidTr="00156A7E">
        <w:trPr>
          <w:gridAfter w:val="1"/>
          <w:wAfter w:w="12" w:type="dxa"/>
          <w:cantSplit/>
          <w:trHeight w:val="410"/>
          <w:jc w:val="center"/>
        </w:trPr>
        <w:tc>
          <w:tcPr>
            <w:tcW w:w="5315" w:type="dxa"/>
            <w:tcBorders>
              <w:top w:val="nil"/>
              <w:left w:val="single" w:sz="4" w:space="0" w:color="auto"/>
              <w:bottom w:val="single" w:sz="4" w:space="0" w:color="auto"/>
              <w:right w:val="single" w:sz="4" w:space="0" w:color="auto"/>
            </w:tcBorders>
            <w:noWrap/>
            <w:vAlign w:val="center"/>
          </w:tcPr>
          <w:p w14:paraId="1A4C7E2F" w14:textId="77777777" w:rsidR="008B16C4" w:rsidRPr="00C31F2F" w:rsidRDefault="008B16C4" w:rsidP="00156A7E">
            <w:pPr>
              <w:keepNex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391914B" w14:textId="77777777" w:rsidR="008B16C4" w:rsidRPr="00C31F2F" w:rsidRDefault="008B16C4" w:rsidP="00156A7E">
            <w:pPr>
              <w:keepNext/>
              <w:rPr>
                <w:sz w:val="17"/>
                <w:szCs w:val="17"/>
              </w:rPr>
            </w:pPr>
            <w:r w:rsidRPr="00C31F2F">
              <w:rPr>
                <w:sz w:val="17"/>
                <w:szCs w:val="17"/>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27F90EA" w14:textId="77777777" w:rsidR="008B16C4" w:rsidRPr="00C31F2F" w:rsidRDefault="008B16C4" w:rsidP="00156A7E">
            <w:pPr>
              <w:keepNext/>
              <w:rPr>
                <w:sz w:val="17"/>
                <w:szCs w:val="17"/>
              </w:rPr>
            </w:pPr>
            <w:r w:rsidRPr="00C31F2F">
              <w:rPr>
                <w:sz w:val="17"/>
                <w:szCs w:val="17"/>
              </w:rPr>
              <w:t>alta</w:t>
            </w:r>
          </w:p>
        </w:tc>
      </w:tr>
      <w:tr w:rsidR="008B16C4" w:rsidRPr="00C31F2F" w14:paraId="0D655C9F" w14:textId="77777777" w:rsidTr="00156A7E">
        <w:trPr>
          <w:cantSplit/>
          <w:trHeight w:val="410"/>
          <w:jc w:val="center"/>
        </w:trPr>
        <w:tc>
          <w:tcPr>
            <w:tcW w:w="8162" w:type="dxa"/>
            <w:gridSpan w:val="4"/>
            <w:tcBorders>
              <w:top w:val="single" w:sz="4" w:space="0" w:color="auto"/>
              <w:left w:val="single" w:sz="4" w:space="0" w:color="auto"/>
              <w:bottom w:val="single" w:sz="4" w:space="0" w:color="auto"/>
              <w:right w:val="single" w:sz="4" w:space="0" w:color="auto"/>
            </w:tcBorders>
            <w:noWrap/>
            <w:vAlign w:val="center"/>
            <w:hideMark/>
          </w:tcPr>
          <w:p w14:paraId="24773CD4" w14:textId="77777777" w:rsidR="008B16C4" w:rsidRPr="00C31F2F" w:rsidRDefault="008B16C4" w:rsidP="00156A7E">
            <w:pPr>
              <w:keepNext/>
              <w:rPr>
                <w:i/>
                <w:sz w:val="17"/>
                <w:szCs w:val="17"/>
              </w:rPr>
            </w:pPr>
            <w:r w:rsidRPr="00C31F2F">
              <w:rPr>
                <w:bCs/>
                <w:i/>
                <w:sz w:val="17"/>
                <w:szCs w:val="17"/>
              </w:rPr>
              <w:t>Terminología utilizada en el sector de las semillas hortícolas:</w:t>
            </w:r>
          </w:p>
        </w:tc>
      </w:tr>
      <w:tr w:rsidR="008B16C4" w:rsidRPr="00C31F2F" w14:paraId="3880E35A" w14:textId="77777777" w:rsidTr="00156A7E">
        <w:trPr>
          <w:gridAfter w:val="1"/>
          <w:wAfter w:w="12" w:type="dxa"/>
          <w:cantSplit/>
          <w:trHeight w:val="410"/>
          <w:jc w:val="center"/>
        </w:trPr>
        <w:tc>
          <w:tcPr>
            <w:tcW w:w="5315" w:type="dxa"/>
            <w:tcBorders>
              <w:top w:val="single" w:sz="4" w:space="0" w:color="auto"/>
              <w:left w:val="single" w:sz="4" w:space="0" w:color="auto"/>
              <w:bottom w:val="nil"/>
              <w:right w:val="single" w:sz="4" w:space="0" w:color="auto"/>
            </w:tcBorders>
            <w:noWrap/>
            <w:vAlign w:val="center"/>
            <w:hideMark/>
          </w:tcPr>
          <w:p w14:paraId="049EFDCE" w14:textId="77777777" w:rsidR="008B16C4" w:rsidRPr="00C31F2F" w:rsidRDefault="008B16C4" w:rsidP="00156A7E">
            <w:pPr>
              <w:keepNext/>
              <w:rPr>
                <w:sz w:val="17"/>
                <w:szCs w:val="17"/>
              </w:rPr>
            </w:pPr>
            <w:r w:rsidRPr="00306C8F">
              <w:rPr>
                <w:sz w:val="17"/>
                <w:szCs w:val="17"/>
              </w:rPr>
              <w:t>La reacción de una variedad vegetal a una determinada plaga es</w:t>
            </w:r>
            <w:r w:rsidRPr="00C31F2F">
              <w:rPr>
                <w:sz w:val="17"/>
                <w:szCs w:val="17"/>
              </w:rPr>
              <w:t xml:space="preserve"> </w:t>
            </w:r>
            <w:r w:rsidRPr="00C31F2F">
              <w:rPr>
                <w:bCs/>
                <w:sz w:val="17"/>
                <w:szCs w:val="17"/>
                <w:vertAlign w:val="superscript"/>
              </w:rPr>
              <w:footnoteReference w:id="2"/>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627B8A98" w14:textId="77777777" w:rsidR="008B16C4" w:rsidRPr="00C31F2F" w:rsidRDefault="008B16C4" w:rsidP="00156A7E">
            <w:pPr>
              <w:keepNext/>
              <w:rPr>
                <w:sz w:val="17"/>
                <w:szCs w:val="17"/>
              </w:rPr>
            </w:pPr>
            <w:r w:rsidRPr="00C31F2F">
              <w:rPr>
                <w:sz w:val="17"/>
                <w:szCs w:val="17"/>
              </w:rPr>
              <w:t>Susceptibilidad (S)</w:t>
            </w:r>
          </w:p>
        </w:tc>
      </w:tr>
      <w:tr w:rsidR="008B16C4" w:rsidRPr="00C31F2F" w14:paraId="0FECCA4A" w14:textId="77777777" w:rsidTr="00156A7E">
        <w:trPr>
          <w:gridAfter w:val="1"/>
          <w:wAfter w:w="12" w:type="dxa"/>
          <w:cantSplit/>
          <w:trHeight w:val="410"/>
          <w:jc w:val="center"/>
        </w:trPr>
        <w:tc>
          <w:tcPr>
            <w:tcW w:w="5315" w:type="dxa"/>
            <w:tcBorders>
              <w:top w:val="nil"/>
              <w:left w:val="single" w:sz="4" w:space="0" w:color="auto"/>
              <w:bottom w:val="nil"/>
              <w:right w:val="single" w:sz="4" w:space="0" w:color="auto"/>
            </w:tcBorders>
            <w:noWrap/>
            <w:vAlign w:val="center"/>
          </w:tcPr>
          <w:p w14:paraId="439ED062" w14:textId="77777777" w:rsidR="008B16C4" w:rsidRPr="00C31F2F" w:rsidRDefault="008B16C4" w:rsidP="00156A7E">
            <w:pPr>
              <w:keepNext/>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3EAD0D87" w14:textId="77777777" w:rsidR="008B16C4" w:rsidRPr="00C31F2F" w:rsidRDefault="008B16C4" w:rsidP="00156A7E">
            <w:pPr>
              <w:keepNext/>
              <w:rPr>
                <w:sz w:val="17"/>
                <w:szCs w:val="17"/>
              </w:rPr>
            </w:pPr>
            <w:r w:rsidRPr="00C31F2F">
              <w:rPr>
                <w:sz w:val="17"/>
                <w:szCs w:val="17"/>
              </w:rPr>
              <w:t>Resistencia intermedia (IR)</w:t>
            </w:r>
          </w:p>
        </w:tc>
      </w:tr>
      <w:tr w:rsidR="008B16C4" w:rsidRPr="00C31F2F" w14:paraId="519CC748" w14:textId="77777777" w:rsidTr="00156A7E">
        <w:trPr>
          <w:gridAfter w:val="1"/>
          <w:wAfter w:w="12" w:type="dxa"/>
          <w:cantSplit/>
          <w:trHeight w:val="410"/>
          <w:jc w:val="center"/>
        </w:trPr>
        <w:tc>
          <w:tcPr>
            <w:tcW w:w="5315" w:type="dxa"/>
            <w:tcBorders>
              <w:top w:val="nil"/>
              <w:left w:val="single" w:sz="4" w:space="0" w:color="auto"/>
              <w:bottom w:val="single" w:sz="4" w:space="0" w:color="auto"/>
              <w:right w:val="single" w:sz="4" w:space="0" w:color="auto"/>
            </w:tcBorders>
            <w:noWrap/>
            <w:vAlign w:val="center"/>
          </w:tcPr>
          <w:p w14:paraId="0A192EFC" w14:textId="77777777" w:rsidR="008B16C4" w:rsidRPr="00C31F2F" w:rsidRDefault="008B16C4" w:rsidP="00156A7E">
            <w:pPr>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32C3292" w14:textId="77777777" w:rsidR="008B16C4" w:rsidRPr="00C31F2F" w:rsidRDefault="008B16C4" w:rsidP="00156A7E">
            <w:pPr>
              <w:rPr>
                <w:sz w:val="17"/>
                <w:szCs w:val="17"/>
              </w:rPr>
            </w:pPr>
            <w:r>
              <w:rPr>
                <w:sz w:val="17"/>
                <w:szCs w:val="17"/>
              </w:rPr>
              <w:t>R</w:t>
            </w:r>
            <w:r w:rsidRPr="00C31F2F">
              <w:rPr>
                <w:sz w:val="17"/>
                <w:szCs w:val="17"/>
              </w:rPr>
              <w:t xml:space="preserve">esistencia </w:t>
            </w:r>
            <w:r>
              <w:rPr>
                <w:sz w:val="17"/>
                <w:szCs w:val="17"/>
              </w:rPr>
              <w:t xml:space="preserve">alta </w:t>
            </w:r>
            <w:r w:rsidRPr="00C31F2F">
              <w:rPr>
                <w:sz w:val="17"/>
                <w:szCs w:val="17"/>
              </w:rPr>
              <w:t>(HR)</w:t>
            </w:r>
          </w:p>
        </w:tc>
      </w:tr>
    </w:tbl>
    <w:p w14:paraId="0695F080" w14:textId="77777777" w:rsidR="008B16C4" w:rsidRPr="00E72074" w:rsidRDefault="008B16C4" w:rsidP="008B16C4"/>
    <w:p w14:paraId="57AB4206"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El Consejo aprobó una revisión del documento</w:t>
      </w:r>
      <w:bookmarkStart w:id="2" w:name="_Hlk178322302"/>
      <w:r w:rsidRPr="005B5C2F">
        <w:t xml:space="preserve"> TGP/12/4 "Orientaciones sobre ciertos caracteres fisiológicos", sobre la base de las propuestas de modificación presentadas en el documento SESSIONS/2024/2, </w:t>
      </w:r>
      <w:r w:rsidRPr="005B5C2F">
        <w:rPr>
          <w:spacing w:val="-2"/>
        </w:rPr>
        <w:t>Anexo II, sección "Propuesta</w:t>
      </w:r>
      <w:r w:rsidR="00837CEA" w:rsidRPr="005B5C2F">
        <w:rPr>
          <w:spacing w:val="-2"/>
        </w:rPr>
        <w:t>"</w:t>
      </w:r>
      <w:bookmarkEnd w:id="2"/>
      <w:r w:rsidR="00837CEA" w:rsidRPr="005B5C2F">
        <w:rPr>
          <w:spacing w:val="-2"/>
        </w:rPr>
        <w:t xml:space="preserve"> con las modificaciones acordadas por el TC y el CAJ.</w:t>
      </w:r>
    </w:p>
    <w:p w14:paraId="6010C27C" w14:textId="77777777" w:rsidR="00B113EE" w:rsidRPr="005B5C2F" w:rsidRDefault="00B113EE" w:rsidP="00FB4867">
      <w:pPr>
        <w:shd w:val="clear" w:color="auto" w:fill="FFFFFF" w:themeFill="background1"/>
      </w:pPr>
    </w:p>
    <w:p w14:paraId="7E01F4DF" w14:textId="77777777" w:rsidR="000116A4" w:rsidRPr="005B5C2F" w:rsidRDefault="000116A4" w:rsidP="00FB4867">
      <w:pPr>
        <w:shd w:val="clear" w:color="auto" w:fill="FFFFFF" w:themeFill="background1"/>
      </w:pPr>
    </w:p>
    <w:p w14:paraId="2C1C0972" w14:textId="01F0DB3A" w:rsidR="00107C90" w:rsidRPr="005B5C2F" w:rsidRDefault="003927B3">
      <w:pPr>
        <w:keepNext/>
        <w:shd w:val="clear" w:color="auto" w:fill="FFFFFF" w:themeFill="background1"/>
        <w:rPr>
          <w:i/>
          <w:iCs/>
        </w:rPr>
      </w:pPr>
      <w:r w:rsidRPr="005B5C2F">
        <w:rPr>
          <w:i/>
          <w:iCs/>
        </w:rPr>
        <w:t xml:space="preserve">Documentos para su </w:t>
      </w:r>
      <w:r w:rsidR="009B2A83">
        <w:rPr>
          <w:i/>
          <w:iCs/>
        </w:rPr>
        <w:t>aprobación</w:t>
      </w:r>
      <w:r w:rsidRPr="005B5C2F">
        <w:rPr>
          <w:i/>
          <w:iCs/>
        </w:rPr>
        <w:t xml:space="preserve"> por el Consejo, previo acuerdo del CAJ</w:t>
      </w:r>
    </w:p>
    <w:p w14:paraId="4AA32CC3" w14:textId="77777777" w:rsidR="000116A4" w:rsidRPr="005B5C2F" w:rsidRDefault="000116A4" w:rsidP="00FB4867">
      <w:pPr>
        <w:keepNext/>
        <w:shd w:val="clear" w:color="auto" w:fill="FFFFFF" w:themeFill="background1"/>
        <w:rPr>
          <w:i/>
          <w:iCs/>
        </w:rPr>
      </w:pPr>
    </w:p>
    <w:p w14:paraId="70F90037" w14:textId="77777777" w:rsidR="00107C90" w:rsidRPr="005B5C2F" w:rsidRDefault="003927B3">
      <w:pPr>
        <w:keepNext/>
        <w:shd w:val="clear" w:color="auto" w:fill="FFFFFF" w:themeFill="background1"/>
        <w:ind w:left="567"/>
        <w:jc w:val="left"/>
        <w:rPr>
          <w:u w:val="single"/>
        </w:rPr>
      </w:pPr>
      <w:r w:rsidRPr="005B5C2F">
        <w:rPr>
          <w:u w:val="single"/>
        </w:rPr>
        <w:t>UPOV/EXN/PPM:  Notas explicativas sobre el material de reproducción o de multiplicación con arreglo al Convenio de la UPOV (Revisión) (documento UPOV/EXN/PPM/2 Draft 1)</w:t>
      </w:r>
    </w:p>
    <w:p w14:paraId="1B8A33D8" w14:textId="77777777" w:rsidR="000116A4" w:rsidRPr="005B5C2F" w:rsidRDefault="000116A4" w:rsidP="00FB4867">
      <w:pPr>
        <w:keepNext/>
        <w:shd w:val="clear" w:color="auto" w:fill="FFFFFF" w:themeFill="background1"/>
      </w:pPr>
    </w:p>
    <w:p w14:paraId="1FF3B4AC"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El Consejo tomó nota de que el CAJ, en su sesión de 2024, había aprobado la revisión del documento UPOV/EXN/PPM "</w:t>
      </w:r>
      <w:r w:rsidRPr="005B5C2F">
        <w:rPr>
          <w:rFonts w:cs="Arial"/>
          <w:spacing w:val="-4"/>
        </w:rPr>
        <w:t>Notas explicativas sobre el material de reproducción o de multiplicación con arreglo al Convenio de la UPOV</w:t>
      </w:r>
      <w:r w:rsidRPr="005B5C2F">
        <w:t>".</w:t>
      </w:r>
    </w:p>
    <w:p w14:paraId="6366DDBC" w14:textId="77777777" w:rsidR="005771A6" w:rsidRPr="005B5C2F" w:rsidRDefault="005771A6" w:rsidP="00FB4867">
      <w:pPr>
        <w:shd w:val="clear" w:color="auto" w:fill="FFFFFF" w:themeFill="background1"/>
      </w:pPr>
    </w:p>
    <w:p w14:paraId="7C55586C"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r>
      <w:bookmarkStart w:id="3" w:name="_Hlk176258973"/>
      <w:r w:rsidRPr="005B5C2F">
        <w:t xml:space="preserve">El Consejo adoptó una revisión del documento UPOV/EXN/PPM/1 "Notas explicativas sobre el material de reproducción o de multiplicación con arreglo al Convenio de la UPOV", sobre la base de las revisiones propuestas presentadas en el documento </w:t>
      </w:r>
      <w:r w:rsidRPr="005B5C2F">
        <w:rPr>
          <w:rFonts w:cs="Arial"/>
        </w:rPr>
        <w:t>UPOV/EXN/PPM/2 Draft 1</w:t>
      </w:r>
      <w:r w:rsidRPr="005B5C2F">
        <w:t>.</w:t>
      </w:r>
      <w:bookmarkEnd w:id="3"/>
    </w:p>
    <w:p w14:paraId="712E3359" w14:textId="77777777" w:rsidR="000116A4" w:rsidRPr="005B5C2F" w:rsidRDefault="000116A4" w:rsidP="00FB4867">
      <w:pPr>
        <w:shd w:val="clear" w:color="auto" w:fill="FFFFFF" w:themeFill="background1"/>
        <w:rPr>
          <w:lang w:eastAsia="ja-JP"/>
        </w:rPr>
      </w:pPr>
    </w:p>
    <w:p w14:paraId="1474D0F3" w14:textId="77777777" w:rsidR="008A3E55" w:rsidRPr="005B5C2F" w:rsidRDefault="008A3E55" w:rsidP="00FB4867">
      <w:pPr>
        <w:shd w:val="clear" w:color="auto" w:fill="FFFFFF" w:themeFill="background1"/>
        <w:rPr>
          <w:lang w:eastAsia="ja-JP"/>
        </w:rPr>
      </w:pPr>
    </w:p>
    <w:p w14:paraId="6080B83E" w14:textId="2C046DAC" w:rsidR="00107C90" w:rsidRPr="005B5C2F" w:rsidRDefault="003927B3">
      <w:pPr>
        <w:keepNext/>
        <w:shd w:val="clear" w:color="auto" w:fill="FFFFFF" w:themeFill="background1"/>
        <w:rPr>
          <w:i/>
          <w:iCs/>
          <w:lang w:eastAsia="ja-JP"/>
        </w:rPr>
      </w:pPr>
      <w:r w:rsidRPr="005B5C2F">
        <w:rPr>
          <w:i/>
          <w:iCs/>
          <w:lang w:eastAsia="ja-JP"/>
        </w:rPr>
        <w:t xml:space="preserve">Otros documentos para </w:t>
      </w:r>
      <w:r w:rsidR="009B2A83">
        <w:rPr>
          <w:i/>
          <w:iCs/>
          <w:lang w:eastAsia="ja-JP"/>
        </w:rPr>
        <w:t>aprobación</w:t>
      </w:r>
      <w:r w:rsidRPr="005B5C2F">
        <w:rPr>
          <w:i/>
          <w:iCs/>
          <w:lang w:eastAsia="ja-JP"/>
        </w:rPr>
        <w:t xml:space="preserve"> por el Consejo</w:t>
      </w:r>
    </w:p>
    <w:p w14:paraId="452904AE" w14:textId="77777777" w:rsidR="000116A4" w:rsidRPr="005B5C2F" w:rsidRDefault="000116A4" w:rsidP="00FB4867">
      <w:pPr>
        <w:keepNext/>
        <w:shd w:val="clear" w:color="auto" w:fill="FFFFFF" w:themeFill="background1"/>
        <w:rPr>
          <w:lang w:eastAsia="ja-JP"/>
        </w:rPr>
      </w:pPr>
    </w:p>
    <w:p w14:paraId="51A55F1A" w14:textId="77777777" w:rsidR="00107C90" w:rsidRPr="005B5C2F" w:rsidRDefault="003927B3">
      <w:pPr>
        <w:keepNext/>
        <w:shd w:val="clear" w:color="auto" w:fill="FFFFFF" w:themeFill="background1"/>
        <w:ind w:left="567"/>
        <w:jc w:val="left"/>
        <w:rPr>
          <w:u w:val="single"/>
        </w:rPr>
      </w:pPr>
      <w:r w:rsidRPr="005B5C2F">
        <w:rPr>
          <w:u w:val="single"/>
        </w:rPr>
        <w:t>UPOV/INF/6: Orientaciones para la redacción de leyes basadas en el Acta de 1991 del Convenio de la UPOV (Revisión) (documento SESSIONS/2024/2</w:t>
      </w:r>
      <w:r w:rsidR="009328F6" w:rsidRPr="005B5C2F">
        <w:rPr>
          <w:u w:val="single"/>
        </w:rPr>
        <w:t>, Anexo VI</w:t>
      </w:r>
      <w:r w:rsidRPr="005B5C2F">
        <w:rPr>
          <w:u w:val="single"/>
        </w:rPr>
        <w:t>)</w:t>
      </w:r>
    </w:p>
    <w:p w14:paraId="503E44C2" w14:textId="77777777" w:rsidR="009328F6" w:rsidRPr="005B5C2F" w:rsidRDefault="009328F6" w:rsidP="00FB4867">
      <w:pPr>
        <w:keepNext/>
        <w:shd w:val="clear" w:color="auto" w:fill="FFFFFF" w:themeFill="background1"/>
        <w:rPr>
          <w:rFonts w:eastAsiaTheme="minorEastAsia" w:cs="Arial"/>
          <w:spacing w:val="-4"/>
          <w:sz w:val="17"/>
          <w:szCs w:val="17"/>
          <w:u w:val="single"/>
          <w:lang w:eastAsia="ja-JP"/>
        </w:rPr>
      </w:pPr>
    </w:p>
    <w:p w14:paraId="7FE097EC" w14:textId="77777777" w:rsidR="00107C90" w:rsidRPr="005B5C2F" w:rsidRDefault="003927B3">
      <w:pPr>
        <w:shd w:val="clear" w:color="auto" w:fill="FFFFFF" w:themeFill="background1"/>
        <w:rPr>
          <w:highlight w:val="yellow"/>
        </w:rPr>
      </w:pPr>
      <w:r w:rsidRPr="005B5C2F">
        <w:fldChar w:fldCharType="begin"/>
      </w:r>
      <w:r w:rsidRPr="005B5C2F">
        <w:instrText xml:space="preserve"> AUTONUM  </w:instrText>
      </w:r>
      <w:r w:rsidRPr="005B5C2F">
        <w:fldChar w:fldCharType="end"/>
      </w:r>
      <w:r w:rsidRPr="005B5C2F">
        <w:rPr>
          <w:sz w:val="15"/>
          <w:szCs w:val="15"/>
        </w:rPr>
        <w:tab/>
      </w:r>
      <w:r w:rsidRPr="005B5C2F">
        <w:t>El Consejo tomó nota de que el CAJ</w:t>
      </w:r>
      <w:r w:rsidR="005771A6" w:rsidRPr="005B5C2F">
        <w:t xml:space="preserve">, en su sesión de 2024, </w:t>
      </w:r>
      <w:r w:rsidRPr="005B5C2F">
        <w:t>había aprobado las revisiones propuestas de los documentos UPOV/EXN/DEN/3 y UPOV/EXN/PPM/1.</w:t>
      </w:r>
    </w:p>
    <w:p w14:paraId="66312395" w14:textId="77777777" w:rsidR="009328F6" w:rsidRPr="005B5C2F" w:rsidRDefault="009328F6" w:rsidP="00FB4867">
      <w:pPr>
        <w:shd w:val="clear" w:color="auto" w:fill="FFFFFF" w:themeFill="background1"/>
        <w:rPr>
          <w:highlight w:val="yellow"/>
        </w:rPr>
      </w:pPr>
    </w:p>
    <w:p w14:paraId="062EE5DF" w14:textId="289761B8"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r>
      <w:r w:rsidRPr="005B5C2F">
        <w:rPr>
          <w:rFonts w:eastAsiaTheme="minorEastAsia" w:cs="Arial"/>
          <w:lang w:eastAsia="ja-JP"/>
        </w:rPr>
        <w:t xml:space="preserve">El </w:t>
      </w:r>
      <w:r w:rsidRPr="005B5C2F">
        <w:t xml:space="preserve">Consejo </w:t>
      </w:r>
      <w:r w:rsidR="009B2A83">
        <w:t>aprobó</w:t>
      </w:r>
      <w:r w:rsidR="009328F6" w:rsidRPr="005B5C2F">
        <w:t xml:space="preserve"> una revisión del documento UPOV/INF/6 " Orientaciones para la redacción de leyes basadas en el Acta de 1991 del Convenio de la UPOV" (documento UPOV/INF/6/7), sobre la base de las revisiones del documento UPOV/EXN/EDV/3 adoptadas por el Consejo en su sesión de 2023, y de las revisiones propuestas de los documentos UPOV/EXN/DEN/3 y UPOV/EXN/PPM/1, que figuran en el Anexo</w:t>
      </w:r>
      <w:r w:rsidR="009B2A83">
        <w:t> </w:t>
      </w:r>
      <w:r w:rsidR="009328F6" w:rsidRPr="005B5C2F">
        <w:t>VI del documento SESSIONS/2024/2.</w:t>
      </w:r>
    </w:p>
    <w:p w14:paraId="50354E37" w14:textId="77777777" w:rsidR="00A4006B" w:rsidRPr="005B5C2F" w:rsidRDefault="00A4006B" w:rsidP="00FB4867">
      <w:pPr>
        <w:shd w:val="clear" w:color="auto" w:fill="FFFFFF" w:themeFill="background1"/>
      </w:pPr>
    </w:p>
    <w:p w14:paraId="28066248" w14:textId="77777777" w:rsidR="008A3E55" w:rsidRPr="005B5C2F" w:rsidRDefault="008A3E55" w:rsidP="00FB4867">
      <w:pPr>
        <w:shd w:val="clear" w:color="auto" w:fill="FFFFFF" w:themeFill="background1"/>
      </w:pPr>
    </w:p>
    <w:p w14:paraId="17F536E1" w14:textId="77777777" w:rsidR="00107C90" w:rsidRPr="005B5C2F" w:rsidRDefault="003927B3">
      <w:pPr>
        <w:keepNext/>
        <w:shd w:val="clear" w:color="auto" w:fill="FFFFFF" w:themeFill="background1"/>
        <w:ind w:left="567"/>
        <w:jc w:val="left"/>
        <w:rPr>
          <w:u w:val="single"/>
        </w:rPr>
      </w:pPr>
      <w:r w:rsidRPr="005B5C2F">
        <w:rPr>
          <w:u w:val="single"/>
        </w:rPr>
        <w:t>UPOV/INF/15: Orientación para los miembros de la UPOV (Revisión) (documento C/58/15)</w:t>
      </w:r>
    </w:p>
    <w:p w14:paraId="35471D98" w14:textId="761645AF" w:rsidR="00107C90" w:rsidRPr="005B5C2F" w:rsidRDefault="003927B3">
      <w:pPr>
        <w:keepNext/>
        <w:shd w:val="clear" w:color="auto" w:fill="FFFFFF" w:themeFill="background1"/>
        <w:ind w:left="567"/>
        <w:jc w:val="left"/>
        <w:rPr>
          <w:u w:val="single"/>
        </w:rPr>
      </w:pPr>
      <w:r w:rsidRPr="005B5C2F">
        <w:rPr>
          <w:u w:val="single"/>
        </w:rPr>
        <w:t>UPOV/INF/20: Reglas que rigen el acceso a los documentos de la UPOV (Revocación) (documento</w:t>
      </w:r>
      <w:r w:rsidR="009B2A83">
        <w:rPr>
          <w:u w:val="single"/>
        </w:rPr>
        <w:t> </w:t>
      </w:r>
      <w:r w:rsidRPr="005B5C2F">
        <w:rPr>
          <w:u w:val="single"/>
        </w:rPr>
        <w:t>C/58/15)</w:t>
      </w:r>
    </w:p>
    <w:p w14:paraId="0447317B" w14:textId="77777777" w:rsidR="00DE7737" w:rsidRPr="005B5C2F" w:rsidRDefault="00DE7737" w:rsidP="00FB4867">
      <w:pPr>
        <w:keepNext/>
        <w:shd w:val="clear" w:color="auto" w:fill="FFFFFF" w:themeFill="background1"/>
        <w:ind w:left="567"/>
        <w:jc w:val="left"/>
        <w:rPr>
          <w:u w:val="single"/>
        </w:rPr>
      </w:pPr>
    </w:p>
    <w:p w14:paraId="3A41E652" w14:textId="2B27638D" w:rsidR="00107C90" w:rsidRPr="005B5C2F" w:rsidRDefault="003927B3">
      <w:pPr>
        <w:shd w:val="clear" w:color="auto" w:fill="FFFFFF" w:themeFill="background1"/>
        <w:rPr>
          <w:rFonts w:eastAsiaTheme="minorEastAsia" w:cs="Arial"/>
          <w:lang w:eastAsia="ja-JP"/>
        </w:rPr>
      </w:pPr>
      <w:r w:rsidRPr="005B5C2F">
        <w:fldChar w:fldCharType="begin"/>
      </w:r>
      <w:r w:rsidRPr="005B5C2F">
        <w:instrText xml:space="preserve"> AUTONUM  </w:instrText>
      </w:r>
      <w:r w:rsidRPr="005B5C2F">
        <w:fldChar w:fldCharType="end"/>
      </w:r>
      <w:r w:rsidRPr="005B5C2F">
        <w:tab/>
      </w:r>
      <w:r w:rsidR="00DE7737" w:rsidRPr="005B5C2F">
        <w:t xml:space="preserve">Siguiendo la recomendación </w:t>
      </w:r>
      <w:r w:rsidR="00DE7737" w:rsidRPr="005B5C2F">
        <w:rPr>
          <w:rFonts w:eastAsiaTheme="minorEastAsia" w:cs="Arial"/>
          <w:lang w:eastAsia="ja-JP"/>
        </w:rPr>
        <w:t xml:space="preserve">del Comité Consultivo </w:t>
      </w:r>
      <w:r w:rsidR="00EA20E7" w:rsidRPr="005B5C2F">
        <w:rPr>
          <w:rFonts w:eastAsiaTheme="minorEastAsia" w:cs="Arial"/>
          <w:lang w:eastAsia="ja-JP"/>
        </w:rPr>
        <w:t xml:space="preserve">en relación con la Estrategia de Comunicación </w:t>
      </w:r>
      <w:r w:rsidR="00DE7737" w:rsidRPr="005B5C2F">
        <w:rPr>
          <w:rFonts w:eastAsiaTheme="minorEastAsia" w:cs="Arial"/>
          <w:lang w:eastAsia="ja-JP"/>
        </w:rPr>
        <w:t xml:space="preserve">(véase el documento C/58/15 "Informe del Presidente sobre los trabajos de la centésima segunda sesión del </w:t>
      </w:r>
      <w:r w:rsidR="00DE7737" w:rsidRPr="005B5C2F">
        <w:rPr>
          <w:rFonts w:eastAsiaTheme="minorEastAsia" w:cs="Arial"/>
          <w:lang w:eastAsia="ja-JP"/>
        </w:rPr>
        <w:lastRenderedPageBreak/>
        <w:t xml:space="preserve">Comité Consultivo; </w:t>
      </w:r>
      <w:r w:rsidR="009B2A83" w:rsidRPr="009B2A83">
        <w:rPr>
          <w:rFonts w:eastAsiaTheme="minorEastAsia" w:cs="Arial"/>
          <w:lang w:eastAsia="ja-JP"/>
        </w:rPr>
        <w:t>aprobación, si procede, de las recomendaciones preparadas por dicho Comité</w:t>
      </w:r>
      <w:r w:rsidR="00DE7737" w:rsidRPr="005B5C2F">
        <w:rPr>
          <w:rFonts w:eastAsiaTheme="minorEastAsia" w:cs="Arial"/>
          <w:lang w:eastAsia="ja-JP"/>
        </w:rPr>
        <w:t>", el Consejo decid</w:t>
      </w:r>
      <w:r w:rsidR="009B2A83">
        <w:rPr>
          <w:rFonts w:eastAsiaTheme="minorEastAsia" w:cs="Arial"/>
          <w:lang w:eastAsia="ja-JP"/>
        </w:rPr>
        <w:t>ió</w:t>
      </w:r>
      <w:r w:rsidR="00DE7737" w:rsidRPr="005B5C2F">
        <w:rPr>
          <w:rFonts w:eastAsiaTheme="minorEastAsia" w:cs="Arial"/>
          <w:lang w:eastAsia="ja-JP"/>
        </w:rPr>
        <w:t>:</w:t>
      </w:r>
    </w:p>
    <w:p w14:paraId="0D2D98D5" w14:textId="77777777" w:rsidR="00DE7737" w:rsidRPr="005B5C2F" w:rsidRDefault="00DE7737" w:rsidP="00FB4867">
      <w:pPr>
        <w:shd w:val="clear" w:color="auto" w:fill="FFFFFF" w:themeFill="background1"/>
        <w:rPr>
          <w:rFonts w:eastAsiaTheme="minorEastAsia" w:cs="Arial"/>
          <w:lang w:eastAsia="ja-JP"/>
        </w:rPr>
      </w:pPr>
    </w:p>
    <w:p w14:paraId="294CC9F8" w14:textId="77777777" w:rsidR="00107C90" w:rsidRPr="005B5C2F" w:rsidRDefault="003927B3">
      <w:pPr>
        <w:pStyle w:val="ListParagraph"/>
        <w:numPr>
          <w:ilvl w:val="0"/>
          <w:numId w:val="6"/>
        </w:numPr>
        <w:shd w:val="clear" w:color="auto" w:fill="FFFFFF" w:themeFill="background1"/>
        <w:rPr>
          <w:rFonts w:eastAsiaTheme="minorEastAsia" w:cs="Arial"/>
          <w:lang w:eastAsia="ja-JP"/>
        </w:rPr>
      </w:pPr>
      <w:r w:rsidRPr="005B5C2F">
        <w:rPr>
          <w:rFonts w:eastAsiaTheme="minorEastAsia" w:cs="Arial"/>
          <w:lang w:eastAsia="ja-JP"/>
        </w:rPr>
        <w:t>suprimir la zona restringida del sitio web de la UPOV;</w:t>
      </w:r>
    </w:p>
    <w:p w14:paraId="01ECF77B" w14:textId="77777777" w:rsidR="00F472B9" w:rsidRPr="005B5C2F" w:rsidRDefault="00F472B9" w:rsidP="00FB4867">
      <w:pPr>
        <w:pStyle w:val="ListParagraph"/>
        <w:shd w:val="clear" w:color="auto" w:fill="FFFFFF" w:themeFill="background1"/>
        <w:ind w:left="1140"/>
        <w:rPr>
          <w:rFonts w:eastAsiaTheme="minorEastAsia" w:cs="Arial"/>
          <w:lang w:eastAsia="ja-JP"/>
        </w:rPr>
      </w:pPr>
    </w:p>
    <w:p w14:paraId="7ADEC8A0" w14:textId="25EBF30A" w:rsidR="00107C90" w:rsidRPr="005B5C2F" w:rsidRDefault="003C7CE7">
      <w:pPr>
        <w:pStyle w:val="ListParagraph"/>
        <w:numPr>
          <w:ilvl w:val="0"/>
          <w:numId w:val="6"/>
        </w:numPr>
        <w:shd w:val="clear" w:color="auto" w:fill="FFFFFF" w:themeFill="background1"/>
      </w:pPr>
      <w:r>
        <w:rPr>
          <w:rFonts w:eastAsiaTheme="minorEastAsia" w:cs="Arial"/>
          <w:lang w:eastAsia="ja-JP"/>
        </w:rPr>
        <w:t>suprimir</w:t>
      </w:r>
      <w:r w:rsidR="003927B3" w:rsidRPr="005B5C2F">
        <w:rPr>
          <w:rFonts w:eastAsiaTheme="minorEastAsia" w:cs="Arial"/>
          <w:lang w:eastAsia="ja-JP"/>
        </w:rPr>
        <w:t xml:space="preserve"> el documento UPOV/INF/20 "Reglas que rigen el acceso a los documentos de la UPOV";</w:t>
      </w:r>
    </w:p>
    <w:p w14:paraId="4FC3A301" w14:textId="77777777" w:rsidR="00DE7737" w:rsidRPr="005B5C2F" w:rsidRDefault="00DE7737" w:rsidP="00FB4867">
      <w:pPr>
        <w:shd w:val="clear" w:color="auto" w:fill="FFFFFF" w:themeFill="background1"/>
        <w:rPr>
          <w:rFonts w:eastAsiaTheme="minorEastAsia" w:cs="Arial"/>
          <w:lang w:eastAsia="ja-JP"/>
        </w:rPr>
      </w:pPr>
    </w:p>
    <w:p w14:paraId="1F51381B" w14:textId="2665DF0D" w:rsidR="00107C90" w:rsidRPr="005B5C2F" w:rsidRDefault="003927B3">
      <w:pPr>
        <w:shd w:val="clear" w:color="auto" w:fill="FFFFFF" w:themeFill="background1"/>
        <w:rPr>
          <w:rFonts w:eastAsiaTheme="minorEastAsia" w:cs="Arial"/>
          <w:lang w:eastAsia="ja-JP"/>
        </w:rPr>
      </w:pPr>
      <w:r w:rsidRPr="005B5C2F">
        <w:rPr>
          <w:rFonts w:eastAsiaTheme="minorEastAsia" w:cs="Arial"/>
          <w:lang w:eastAsia="ja-JP"/>
        </w:rPr>
        <w:tab/>
        <w:t>(b)</w:t>
      </w:r>
      <w:r w:rsidRPr="005B5C2F">
        <w:rPr>
          <w:rFonts w:eastAsiaTheme="minorEastAsia" w:cs="Arial"/>
          <w:lang w:eastAsia="ja-JP"/>
        </w:rPr>
        <w:tab/>
      </w:r>
      <w:r w:rsidR="00F472B9" w:rsidRPr="005B5C2F">
        <w:t>revisa</w:t>
      </w:r>
      <w:r w:rsidR="003C7CE7">
        <w:t>r el documento</w:t>
      </w:r>
      <w:r w:rsidR="00F472B9" w:rsidRPr="005B5C2F">
        <w:t xml:space="preserve"> UPOV/INF/15 "Orientaci</w:t>
      </w:r>
      <w:r w:rsidR="003C7CE7">
        <w:t>ón</w:t>
      </w:r>
      <w:r w:rsidR="00F472B9" w:rsidRPr="005B5C2F">
        <w:t xml:space="preserve"> para los miembros de la UPOV", como se indica a continuación:</w:t>
      </w:r>
    </w:p>
    <w:p w14:paraId="09E21604" w14:textId="77777777" w:rsidR="00F472B9" w:rsidRPr="005B5C2F" w:rsidRDefault="00F472B9" w:rsidP="00FB4867">
      <w:pPr>
        <w:shd w:val="clear" w:color="auto" w:fill="FFFFFF" w:themeFill="background1"/>
      </w:pPr>
    </w:p>
    <w:p w14:paraId="7B9E6485" w14:textId="77777777" w:rsidR="003C7CE7" w:rsidRPr="00E72074" w:rsidRDefault="003C7CE7" w:rsidP="003C7CE7">
      <w:pPr>
        <w:jc w:val="center"/>
        <w:rPr>
          <w:sz w:val="17"/>
          <w:szCs w:val="17"/>
        </w:rPr>
      </w:pPr>
      <w:bookmarkStart w:id="4" w:name="_Hlk180706934"/>
      <w:r w:rsidRPr="00E72074">
        <w:rPr>
          <w:sz w:val="17"/>
          <w:szCs w:val="17"/>
        </w:rPr>
        <w:t>PROPUESTAS DE REVISIÓN DEL DOCUMENTO UPOV/INF/15/3 "ORIENTACIONES PARA LOS MIEMBROS DE LA UPOV" (DOCUMENTO UPOV/INF/15/4)</w:t>
      </w:r>
    </w:p>
    <w:p w14:paraId="06834020" w14:textId="77777777" w:rsidR="003C7CE7" w:rsidRDefault="003C7CE7" w:rsidP="003C7CE7">
      <w:pPr>
        <w:jc w:val="center"/>
        <w:rPr>
          <w:sz w:val="17"/>
          <w:szCs w:val="17"/>
        </w:rPr>
      </w:pPr>
    </w:p>
    <w:p w14:paraId="743FBE33" w14:textId="77777777" w:rsidR="003C7CE7" w:rsidRPr="00E72074" w:rsidRDefault="003C7CE7" w:rsidP="003C7CE7">
      <w:pPr>
        <w:jc w:val="center"/>
        <w:rPr>
          <w:sz w:val="17"/>
          <w:szCs w:val="17"/>
        </w:rPr>
      </w:pPr>
    </w:p>
    <w:p w14:paraId="4C709BAB" w14:textId="77777777" w:rsidR="003C7CE7" w:rsidRPr="0037133F" w:rsidRDefault="003C7CE7" w:rsidP="003C7CE7">
      <w:pPr>
        <w:ind w:left="567"/>
        <w:rPr>
          <w:sz w:val="18"/>
          <w:szCs w:val="18"/>
        </w:rPr>
      </w:pPr>
      <w:bookmarkStart w:id="5" w:name="_Toc416789980"/>
      <w:bookmarkStart w:id="6" w:name="_Toc267302726"/>
      <w:bookmarkEnd w:id="4"/>
      <w:r w:rsidRPr="0037133F">
        <w:rPr>
          <w:sz w:val="18"/>
          <w:szCs w:val="18"/>
        </w:rPr>
        <w:t xml:space="preserve">PARTE I. </w:t>
      </w:r>
      <w:r w:rsidRPr="0037133F">
        <w:rPr>
          <w:sz w:val="18"/>
          <w:szCs w:val="18"/>
        </w:rPr>
        <w:tab/>
        <w:t>RESPONSABILIDADES COMO MIEMBRO DE LA UPOV</w:t>
      </w:r>
      <w:bookmarkEnd w:id="5"/>
    </w:p>
    <w:p w14:paraId="1710D3C1" w14:textId="77777777" w:rsidR="003C7CE7" w:rsidRPr="0037133F" w:rsidRDefault="003C7CE7" w:rsidP="003C7CE7">
      <w:pPr>
        <w:pStyle w:val="Heading1"/>
        <w:ind w:left="567"/>
        <w:rPr>
          <w:sz w:val="18"/>
          <w:szCs w:val="18"/>
        </w:rPr>
      </w:pPr>
    </w:p>
    <w:p w14:paraId="7B98446A" w14:textId="77777777" w:rsidR="003C7CE7" w:rsidRPr="0037133F" w:rsidRDefault="003C7CE7" w:rsidP="003C7CE7">
      <w:pPr>
        <w:ind w:left="567"/>
        <w:rPr>
          <w:sz w:val="18"/>
          <w:szCs w:val="18"/>
          <w:u w:val="single"/>
        </w:rPr>
      </w:pPr>
      <w:bookmarkStart w:id="7" w:name="_Toc416789981"/>
      <w:r w:rsidRPr="0037133F">
        <w:rPr>
          <w:sz w:val="18"/>
          <w:szCs w:val="18"/>
          <w:u w:val="single"/>
        </w:rPr>
        <w:t>Sección 1: Notificaciones relativas a los representantes y suplentes en el Consejo</w:t>
      </w:r>
      <w:bookmarkEnd w:id="6"/>
      <w:bookmarkEnd w:id="7"/>
    </w:p>
    <w:p w14:paraId="1B858448" w14:textId="77777777" w:rsidR="003C7CE7" w:rsidRPr="0037133F" w:rsidRDefault="003C7CE7" w:rsidP="003C7CE7">
      <w:pPr>
        <w:ind w:left="567"/>
        <w:rPr>
          <w:sz w:val="18"/>
          <w:szCs w:val="18"/>
        </w:rPr>
      </w:pPr>
    </w:p>
    <w:p w14:paraId="6C3075AD" w14:textId="77777777" w:rsidR="003C7CE7" w:rsidRPr="0037133F" w:rsidRDefault="003C7CE7" w:rsidP="003C7CE7">
      <w:pPr>
        <w:ind w:left="567"/>
        <w:rPr>
          <w:sz w:val="18"/>
          <w:szCs w:val="18"/>
        </w:rPr>
      </w:pPr>
      <w:r w:rsidRPr="0037133F">
        <w:rPr>
          <w:sz w:val="18"/>
          <w:szCs w:val="18"/>
        </w:rPr>
        <w:t>[…]</w:t>
      </w:r>
    </w:p>
    <w:p w14:paraId="1A1F5E8B" w14:textId="77777777" w:rsidR="003C7CE7" w:rsidRPr="0037133F" w:rsidRDefault="003C7CE7" w:rsidP="003C7CE7">
      <w:pPr>
        <w:ind w:left="567"/>
        <w:rPr>
          <w:sz w:val="18"/>
          <w:szCs w:val="18"/>
        </w:rPr>
      </w:pPr>
    </w:p>
    <w:p w14:paraId="407AB52A" w14:textId="77777777" w:rsidR="003C7CE7" w:rsidRPr="0037133F" w:rsidRDefault="003C7CE7" w:rsidP="003C7CE7">
      <w:pPr>
        <w:ind w:left="567"/>
        <w:rPr>
          <w:i/>
          <w:iCs/>
          <w:sz w:val="18"/>
          <w:szCs w:val="18"/>
        </w:rPr>
      </w:pPr>
      <w:bookmarkStart w:id="8" w:name="_Toc267302729"/>
      <w:bookmarkStart w:id="9" w:name="_Toc416789984"/>
      <w:r w:rsidRPr="0037133F">
        <w:rPr>
          <w:i/>
          <w:iCs/>
          <w:sz w:val="18"/>
          <w:szCs w:val="18"/>
        </w:rPr>
        <w:t>Responsabilidades del representante</w:t>
      </w:r>
      <w:bookmarkEnd w:id="8"/>
      <w:bookmarkEnd w:id="9"/>
    </w:p>
    <w:p w14:paraId="3E84EEB7" w14:textId="77777777" w:rsidR="003C7CE7" w:rsidRPr="0037133F" w:rsidRDefault="003C7CE7" w:rsidP="003C7CE7">
      <w:pPr>
        <w:keepNext/>
        <w:ind w:left="567"/>
        <w:rPr>
          <w:sz w:val="18"/>
          <w:szCs w:val="18"/>
          <w:u w:val="single"/>
        </w:rPr>
      </w:pPr>
    </w:p>
    <w:p w14:paraId="0CC6AFE3" w14:textId="77777777" w:rsidR="003C7CE7" w:rsidRPr="0037133F" w:rsidRDefault="003C7CE7" w:rsidP="003C7CE7">
      <w:pPr>
        <w:ind w:left="567"/>
        <w:rPr>
          <w:sz w:val="18"/>
          <w:szCs w:val="22"/>
        </w:rPr>
      </w:pPr>
      <w:r w:rsidRPr="0037133F">
        <w:rPr>
          <w:sz w:val="18"/>
          <w:szCs w:val="18"/>
        </w:rPr>
        <w:t>10.</w:t>
      </w:r>
      <w:r w:rsidRPr="0037133F">
        <w:rPr>
          <w:sz w:val="18"/>
          <w:szCs w:val="18"/>
        </w:rPr>
        <w:tab/>
        <w:t xml:space="preserve">Una de las responsabilidades del representante en el Consejo es nombrar a personas en los órganos de la UPOV pertinentes </w:t>
      </w:r>
      <w:r w:rsidRPr="0037133F">
        <w:rPr>
          <w:strike/>
          <w:sz w:val="18"/>
          <w:szCs w:val="18"/>
          <w:highlight w:val="lightGray"/>
        </w:rPr>
        <w:t xml:space="preserve">y decidir a qué personas se les da acceso a los documentos de la UPOV disponibles en la zona restringida del sitio Web de la UPOV (véanse las reglas que rigen el acceso a los documentos de la UPOV: </w:t>
      </w:r>
      <w:hyperlink r:id="rId9" w:history="1">
        <w:r w:rsidRPr="0037133F">
          <w:rPr>
            <w:rStyle w:val="Hyperlink"/>
            <w:strike/>
            <w:sz w:val="18"/>
            <w:szCs w:val="18"/>
            <w:highlight w:val="lightGray"/>
          </w:rPr>
          <w:t>documento UPOV/INF/20</w:t>
        </w:r>
      </w:hyperlink>
      <w:r w:rsidRPr="0037133F">
        <w:rPr>
          <w:strike/>
          <w:sz w:val="18"/>
          <w:szCs w:val="18"/>
          <w:highlight w:val="lightGray"/>
        </w:rPr>
        <w:t>)</w:t>
      </w:r>
      <w:r w:rsidRPr="0037133F">
        <w:rPr>
          <w:sz w:val="18"/>
          <w:szCs w:val="18"/>
        </w:rPr>
        <w:t>.</w:t>
      </w:r>
    </w:p>
    <w:p w14:paraId="3D563CEE" w14:textId="77777777" w:rsidR="003C7CE7" w:rsidRPr="0037133F" w:rsidRDefault="003C7CE7" w:rsidP="003C7CE7">
      <w:pPr>
        <w:ind w:left="567"/>
        <w:rPr>
          <w:sz w:val="18"/>
          <w:szCs w:val="22"/>
        </w:rPr>
      </w:pPr>
    </w:p>
    <w:p w14:paraId="306C4968" w14:textId="77777777" w:rsidR="003C7CE7" w:rsidRPr="0037133F" w:rsidRDefault="003C7CE7" w:rsidP="003C7CE7">
      <w:pPr>
        <w:ind w:left="567"/>
        <w:rPr>
          <w:sz w:val="18"/>
          <w:szCs w:val="18"/>
        </w:rPr>
      </w:pPr>
      <w:r w:rsidRPr="0037133F">
        <w:rPr>
          <w:sz w:val="18"/>
          <w:szCs w:val="18"/>
        </w:rPr>
        <w:t>11.</w:t>
      </w:r>
      <w:r w:rsidRPr="0037133F">
        <w:rPr>
          <w:sz w:val="18"/>
          <w:szCs w:val="18"/>
        </w:rPr>
        <w:tab/>
        <w:t>Tras recepción de la notificación, la Oficina de la Unión:</w:t>
      </w:r>
    </w:p>
    <w:p w14:paraId="4548F78B" w14:textId="77777777" w:rsidR="003C7CE7" w:rsidRPr="0037133F" w:rsidRDefault="003C7CE7" w:rsidP="003C7CE7">
      <w:pPr>
        <w:ind w:left="567"/>
        <w:rPr>
          <w:sz w:val="18"/>
          <w:szCs w:val="18"/>
        </w:rPr>
      </w:pPr>
    </w:p>
    <w:p w14:paraId="1B4D6464" w14:textId="77777777" w:rsidR="003C7CE7" w:rsidRPr="0037133F" w:rsidRDefault="003C7CE7" w:rsidP="003C7CE7">
      <w:pPr>
        <w:ind w:left="567"/>
        <w:rPr>
          <w:strike/>
          <w:sz w:val="18"/>
          <w:szCs w:val="18"/>
        </w:rPr>
      </w:pPr>
      <w:r w:rsidRPr="0037133F">
        <w:rPr>
          <w:strike/>
          <w:sz w:val="18"/>
          <w:szCs w:val="18"/>
        </w:rPr>
        <w:tab/>
      </w:r>
      <w:r w:rsidRPr="0037133F">
        <w:rPr>
          <w:strike/>
          <w:sz w:val="18"/>
          <w:szCs w:val="18"/>
          <w:highlight w:val="lightGray"/>
        </w:rPr>
        <w:t>a)</w:t>
      </w:r>
      <w:r w:rsidRPr="0037133F">
        <w:rPr>
          <w:strike/>
          <w:sz w:val="18"/>
          <w:szCs w:val="18"/>
          <w:highlight w:val="lightGray"/>
        </w:rPr>
        <w:tab/>
        <w:t xml:space="preserve">comunicará al representante </w:t>
      </w:r>
      <w:r w:rsidRPr="0037133F">
        <w:rPr>
          <w:strike/>
          <w:snapToGrid w:val="0"/>
          <w:color w:val="000000"/>
          <w:sz w:val="18"/>
          <w:szCs w:val="18"/>
          <w:highlight w:val="lightGray"/>
        </w:rPr>
        <w:t>nombrado oficialmente</w:t>
      </w:r>
      <w:r w:rsidRPr="0037133F">
        <w:rPr>
          <w:strike/>
          <w:sz w:val="18"/>
          <w:szCs w:val="18"/>
          <w:highlight w:val="lightGray"/>
        </w:rPr>
        <w:t xml:space="preserve"> el nombre de usuario y la contraseña que corresponden a dicho miembro de la Unión. El nombre de usuario y la contraseña permiten acceder a la zona restringida del sitio Web de la UPOV para consultar y descargar documentos (</w:t>
      </w:r>
      <w:hyperlink r:id="rId10" w:history="1">
        <w:r w:rsidRPr="0037133F">
          <w:rPr>
            <w:rStyle w:val="Hyperlink"/>
            <w:strike/>
            <w:sz w:val="18"/>
            <w:szCs w:val="18"/>
            <w:highlight w:val="lightGray"/>
          </w:rPr>
          <w:t>http://www.upov.int/restrict/meetings/es/</w:t>
        </w:r>
      </w:hyperlink>
      <w:r w:rsidRPr="0037133F">
        <w:rPr>
          <w:strike/>
          <w:sz w:val="18"/>
          <w:szCs w:val="18"/>
          <w:highlight w:val="lightGray"/>
        </w:rPr>
        <w:t>);</w:t>
      </w:r>
    </w:p>
    <w:p w14:paraId="03112274" w14:textId="77777777" w:rsidR="003C7CE7" w:rsidRPr="0037133F" w:rsidRDefault="003C7CE7" w:rsidP="003C7CE7">
      <w:pPr>
        <w:ind w:left="567"/>
        <w:rPr>
          <w:sz w:val="18"/>
          <w:szCs w:val="18"/>
        </w:rPr>
      </w:pPr>
    </w:p>
    <w:p w14:paraId="4363729D" w14:textId="77777777" w:rsidR="003C7CE7" w:rsidRPr="0037133F" w:rsidRDefault="003C7CE7" w:rsidP="003C7CE7">
      <w:pPr>
        <w:spacing w:after="240"/>
        <w:ind w:left="567"/>
        <w:rPr>
          <w:sz w:val="18"/>
          <w:szCs w:val="18"/>
        </w:rPr>
      </w:pPr>
      <w:r w:rsidRPr="0037133F">
        <w:rPr>
          <w:sz w:val="18"/>
          <w:szCs w:val="18"/>
        </w:rPr>
        <w:tab/>
      </w:r>
      <w:proofErr w:type="spellStart"/>
      <w:r w:rsidRPr="0037133F">
        <w:rPr>
          <w:strike/>
          <w:sz w:val="18"/>
          <w:szCs w:val="18"/>
          <w:highlight w:val="lightGray"/>
        </w:rPr>
        <w:t>b</w:t>
      </w:r>
      <w:r w:rsidRPr="0037133F">
        <w:rPr>
          <w:sz w:val="18"/>
          <w:szCs w:val="18"/>
          <w:highlight w:val="lightGray"/>
          <w:u w:val="single"/>
        </w:rPr>
        <w:t>a</w:t>
      </w:r>
      <w:proofErr w:type="spellEnd"/>
      <w:r w:rsidRPr="0037133F">
        <w:rPr>
          <w:sz w:val="18"/>
          <w:szCs w:val="18"/>
        </w:rPr>
        <w:t>)</w:t>
      </w:r>
      <w:r w:rsidRPr="0037133F">
        <w:rPr>
          <w:sz w:val="18"/>
          <w:szCs w:val="18"/>
        </w:rPr>
        <w:tab/>
        <w:t>señalará a la atención del representante el esquema organizativo de la UPOV (</w:t>
      </w:r>
      <w:hyperlink r:id="rId11" w:history="1">
        <w:r w:rsidRPr="0037133F">
          <w:rPr>
            <w:rStyle w:val="Hyperlink"/>
            <w:sz w:val="18"/>
            <w:szCs w:val="18"/>
          </w:rPr>
          <w:t>http://www.upov.int/about/es/organigram.html</w:t>
        </w:r>
      </w:hyperlink>
      <w:r w:rsidRPr="0037133F">
        <w:rPr>
          <w:sz w:val="18"/>
          <w:szCs w:val="18"/>
        </w:rPr>
        <w:t>) y le solicitará los nombres y señas de las “personas designadas” ante el Consejo, el Comité Consultivo, el Comité Administrativo y Jurídico (CAJ), el Comité Técnico (TC) y los Grupos de Trabajo Técnico (TWP). La Oficina de la Unión, en su caso, adjuntará la lista disponible correspondiente al miembro de la Unión de que se trate para confirmación o actualización. Las personas designadas por el representante recibirán copias de las invitaciones a las sesiones de los órganos pertinentes de la UPOV y las correspondientes notificaciones de la publicación de los documentos relativos a dichas sesiones;</w:t>
      </w:r>
    </w:p>
    <w:p w14:paraId="5930CCE6" w14:textId="77777777" w:rsidR="003C7CE7" w:rsidRPr="0037133F" w:rsidRDefault="003C7CE7" w:rsidP="003C7CE7">
      <w:pPr>
        <w:ind w:left="567"/>
        <w:rPr>
          <w:rFonts w:cs="Arial"/>
          <w:sz w:val="18"/>
          <w:szCs w:val="18"/>
        </w:rPr>
      </w:pPr>
      <w:r w:rsidRPr="0037133F">
        <w:rPr>
          <w:strike/>
          <w:sz w:val="18"/>
          <w:szCs w:val="18"/>
        </w:rPr>
        <w:tab/>
      </w:r>
      <w:r w:rsidRPr="0037133F">
        <w:rPr>
          <w:strike/>
          <w:sz w:val="18"/>
          <w:szCs w:val="18"/>
          <w:highlight w:val="lightGray"/>
        </w:rPr>
        <w:t>c)</w:t>
      </w:r>
      <w:r w:rsidRPr="0037133F">
        <w:rPr>
          <w:strike/>
          <w:sz w:val="18"/>
          <w:szCs w:val="18"/>
          <w:highlight w:val="lightGray"/>
        </w:rPr>
        <w:tab/>
        <w:t>enviará una copia de las reglas que rigen acceso a los documentos de la UPOV (</w:t>
      </w:r>
      <w:hyperlink r:id="rId12" w:history="1">
        <w:r w:rsidRPr="0037133F">
          <w:rPr>
            <w:rStyle w:val="Hyperlink"/>
            <w:strike/>
            <w:sz w:val="18"/>
            <w:szCs w:val="18"/>
            <w:highlight w:val="lightGray"/>
          </w:rPr>
          <w:t>documento UPOV/INF/20</w:t>
        </w:r>
      </w:hyperlink>
      <w:r w:rsidRPr="0037133F">
        <w:rPr>
          <w:strike/>
          <w:sz w:val="18"/>
          <w:szCs w:val="18"/>
          <w:highlight w:val="lightGray"/>
        </w:rPr>
        <w:t>) para guiar al representante en la distribución de los nombres de usuario y la contraseña. A cualquier persona de un miembro de la Unión que solicite a la Oficina de la Unión acceso a los documentos de la zona restringida del sitio Web de la UPOV, se le invitará a que se dirija a su representante;</w:t>
      </w:r>
      <w:r w:rsidRPr="0037133F">
        <w:rPr>
          <w:sz w:val="18"/>
          <w:szCs w:val="18"/>
        </w:rPr>
        <w:t xml:space="preserve"> y</w:t>
      </w:r>
    </w:p>
    <w:p w14:paraId="4031788F" w14:textId="77777777" w:rsidR="003C7CE7" w:rsidRPr="0037133F" w:rsidRDefault="003C7CE7" w:rsidP="003C7CE7">
      <w:pPr>
        <w:ind w:left="567"/>
        <w:rPr>
          <w:sz w:val="18"/>
          <w:szCs w:val="18"/>
        </w:rPr>
      </w:pPr>
    </w:p>
    <w:p w14:paraId="44EADA18" w14:textId="77777777" w:rsidR="003C7CE7" w:rsidRPr="0037133F" w:rsidRDefault="003C7CE7" w:rsidP="003C7CE7">
      <w:pPr>
        <w:ind w:left="567"/>
        <w:rPr>
          <w:sz w:val="18"/>
          <w:szCs w:val="18"/>
        </w:rPr>
      </w:pPr>
      <w:r w:rsidRPr="0037133F">
        <w:rPr>
          <w:sz w:val="18"/>
          <w:szCs w:val="18"/>
        </w:rPr>
        <w:tab/>
      </w:r>
      <w:proofErr w:type="spellStart"/>
      <w:r w:rsidRPr="0037133F">
        <w:rPr>
          <w:strike/>
          <w:sz w:val="18"/>
          <w:szCs w:val="18"/>
          <w:highlight w:val="lightGray"/>
        </w:rPr>
        <w:t>d</w:t>
      </w:r>
      <w:r w:rsidRPr="0037133F">
        <w:rPr>
          <w:sz w:val="18"/>
          <w:szCs w:val="18"/>
          <w:highlight w:val="lightGray"/>
          <w:u w:val="single"/>
        </w:rPr>
        <w:t>b</w:t>
      </w:r>
      <w:proofErr w:type="spellEnd"/>
      <w:r w:rsidRPr="0037133F">
        <w:rPr>
          <w:sz w:val="18"/>
          <w:szCs w:val="18"/>
        </w:rPr>
        <w:t>)</w:t>
      </w:r>
      <w:r w:rsidRPr="0037133F">
        <w:rPr>
          <w:sz w:val="18"/>
          <w:szCs w:val="18"/>
        </w:rPr>
        <w:tab/>
        <w:t>solicitará al representante que suministre las señas de la autoridad encargada de conceder derechos de obtentor de conformidad con el artículo 30.1)</w:t>
      </w:r>
      <w:proofErr w:type="spellStart"/>
      <w:r w:rsidRPr="0037133F">
        <w:rPr>
          <w:sz w:val="18"/>
          <w:szCs w:val="18"/>
        </w:rPr>
        <w:t>ii</w:t>
      </w:r>
      <w:proofErr w:type="spellEnd"/>
      <w:r w:rsidRPr="0037133F">
        <w:rPr>
          <w:sz w:val="18"/>
          <w:szCs w:val="18"/>
        </w:rPr>
        <w:t>) del Acta de 1991 del Convenio de la UPOV, para su publicación en la sección “Directorio de las oficinas de POV” del sitio Web de la UPOV</w:t>
      </w:r>
      <w:r w:rsidRPr="0037133F">
        <w:rPr>
          <w:sz w:val="18"/>
          <w:szCs w:val="18"/>
          <w:highlight w:val="lightGray"/>
        </w:rPr>
        <w:t xml:space="preserve"> </w:t>
      </w:r>
      <w:r w:rsidRPr="0037133F">
        <w:rPr>
          <w:sz w:val="18"/>
          <w:szCs w:val="18"/>
        </w:rPr>
        <w:t>(</w:t>
      </w:r>
      <w:hyperlink r:id="rId13" w:history="1">
        <w:r w:rsidRPr="0037133F">
          <w:rPr>
            <w:rStyle w:val="Hyperlink"/>
            <w:sz w:val="18"/>
            <w:szCs w:val="18"/>
          </w:rPr>
          <w:t>http://www.upov.int/members/es/pvp_offices.html</w:t>
        </w:r>
      </w:hyperlink>
      <w:r w:rsidRPr="0037133F">
        <w:rPr>
          <w:sz w:val="18"/>
          <w:szCs w:val="18"/>
        </w:rPr>
        <w:t>).</w:t>
      </w:r>
    </w:p>
    <w:p w14:paraId="07ADFB71" w14:textId="77777777" w:rsidR="00F472B9" w:rsidRPr="005B5C2F" w:rsidRDefault="00F472B9" w:rsidP="00FB4867">
      <w:pPr>
        <w:shd w:val="clear" w:color="auto" w:fill="FFFFFF" w:themeFill="background1"/>
        <w:rPr>
          <w:rFonts w:eastAsiaTheme="minorEastAsia" w:cs="Arial"/>
          <w:lang w:eastAsia="ja-JP"/>
        </w:rPr>
      </w:pPr>
    </w:p>
    <w:p w14:paraId="3893CAEF" w14:textId="77777777" w:rsidR="00107C90" w:rsidRPr="005B5C2F" w:rsidRDefault="003927B3">
      <w:pPr>
        <w:keepNext/>
        <w:shd w:val="clear" w:color="auto" w:fill="FFFFFF" w:themeFill="background1"/>
      </w:pPr>
      <w:r w:rsidRPr="005B5C2F">
        <w:rPr>
          <w:rFonts w:eastAsiaTheme="minorEastAsia" w:cs="Arial"/>
          <w:spacing w:val="-4"/>
          <w:sz w:val="17"/>
          <w:szCs w:val="17"/>
          <w:lang w:eastAsia="ja-JP"/>
        </w:rPr>
        <w:fldChar w:fldCharType="begin"/>
      </w:r>
      <w:r w:rsidRPr="005B5C2F">
        <w:rPr>
          <w:rFonts w:eastAsiaTheme="minorEastAsia" w:cs="Arial"/>
          <w:spacing w:val="-4"/>
          <w:sz w:val="17"/>
          <w:szCs w:val="17"/>
          <w:lang w:eastAsia="ja-JP"/>
        </w:rPr>
        <w:instrText xml:space="preserve"> AUTONUM  </w:instrText>
      </w:r>
      <w:r w:rsidRPr="005B5C2F">
        <w:rPr>
          <w:rFonts w:eastAsiaTheme="minorEastAsia" w:cs="Arial"/>
          <w:spacing w:val="-4"/>
          <w:sz w:val="17"/>
          <w:szCs w:val="17"/>
          <w:lang w:eastAsia="ja-JP"/>
        </w:rPr>
        <w:fldChar w:fldCharType="end"/>
      </w:r>
      <w:r w:rsidRPr="005B5C2F">
        <w:rPr>
          <w:rFonts w:eastAsiaTheme="minorEastAsia" w:cs="Arial"/>
          <w:spacing w:val="-4"/>
          <w:sz w:val="17"/>
          <w:szCs w:val="17"/>
          <w:lang w:eastAsia="ja-JP"/>
        </w:rPr>
        <w:tab/>
      </w:r>
      <w:r w:rsidRPr="005B5C2F">
        <w:t xml:space="preserve">El representante de </w:t>
      </w:r>
      <w:proofErr w:type="spellStart"/>
      <w:r w:rsidRPr="005B5C2F">
        <w:t>Association</w:t>
      </w:r>
      <w:proofErr w:type="spellEnd"/>
      <w:r w:rsidRPr="005B5C2F">
        <w:t xml:space="preserve"> </w:t>
      </w:r>
      <w:proofErr w:type="spellStart"/>
      <w:r w:rsidRPr="005B5C2F">
        <w:t>for</w:t>
      </w:r>
      <w:proofErr w:type="spellEnd"/>
      <w:r w:rsidRPr="005B5C2F">
        <w:t xml:space="preserve"> </w:t>
      </w:r>
      <w:proofErr w:type="spellStart"/>
      <w:r w:rsidRPr="005B5C2F">
        <w:t>Plant</w:t>
      </w:r>
      <w:proofErr w:type="spellEnd"/>
      <w:r w:rsidRPr="005B5C2F">
        <w:t xml:space="preserve"> </w:t>
      </w:r>
      <w:proofErr w:type="spellStart"/>
      <w:r w:rsidRPr="005B5C2F">
        <w:t>Breeding</w:t>
      </w:r>
      <w:proofErr w:type="spellEnd"/>
      <w:r w:rsidRPr="005B5C2F">
        <w:t xml:space="preserve"> </w:t>
      </w:r>
      <w:proofErr w:type="spellStart"/>
      <w:r w:rsidRPr="005B5C2F">
        <w:t>for</w:t>
      </w:r>
      <w:proofErr w:type="spellEnd"/>
      <w:r w:rsidRPr="005B5C2F">
        <w:t xml:space="preserve"> </w:t>
      </w:r>
      <w:proofErr w:type="spellStart"/>
      <w:r w:rsidRPr="005B5C2F">
        <w:t>the</w:t>
      </w:r>
      <w:proofErr w:type="spellEnd"/>
      <w:r w:rsidRPr="005B5C2F">
        <w:t xml:space="preserve"> Benefit of </w:t>
      </w:r>
      <w:proofErr w:type="spellStart"/>
      <w:r w:rsidRPr="005B5C2F">
        <w:t>Society</w:t>
      </w:r>
      <w:proofErr w:type="spellEnd"/>
      <w:r w:rsidRPr="005B5C2F">
        <w:t xml:space="preserve"> (APBREBES) felicitó a la UPOV por la decisión de </w:t>
      </w:r>
      <w:r w:rsidRPr="005B5C2F">
        <w:rPr>
          <w:rFonts w:eastAsiaTheme="minorEastAsia" w:cs="Arial"/>
          <w:lang w:eastAsia="ja-JP"/>
        </w:rPr>
        <w:t xml:space="preserve">suprimir la zona restringida del sitio Web de la UPOV </w:t>
      </w:r>
      <w:r w:rsidRPr="005B5C2F">
        <w:t xml:space="preserve">y </w:t>
      </w:r>
      <w:r w:rsidR="0050523F" w:rsidRPr="005B5C2F">
        <w:t xml:space="preserve">alentó </w:t>
      </w:r>
      <w:r w:rsidR="00064F21" w:rsidRPr="005B5C2F">
        <w:t>la participación inclusiva en las reuniones, incluido el Comité Consultivo.</w:t>
      </w:r>
    </w:p>
    <w:p w14:paraId="18DD0519" w14:textId="77777777" w:rsidR="00D5680F" w:rsidRPr="005B5C2F" w:rsidRDefault="00D5680F" w:rsidP="00FB4867">
      <w:pPr>
        <w:keepNext/>
        <w:shd w:val="clear" w:color="auto" w:fill="FFFFFF" w:themeFill="background1"/>
        <w:rPr>
          <w:rFonts w:eastAsiaTheme="minorEastAsia" w:cs="Arial"/>
          <w:spacing w:val="-4"/>
          <w:sz w:val="17"/>
          <w:szCs w:val="17"/>
          <w:lang w:eastAsia="ja-JP"/>
        </w:rPr>
      </w:pPr>
    </w:p>
    <w:p w14:paraId="7219547D" w14:textId="77777777" w:rsidR="00316BEB" w:rsidRPr="005B5C2F" w:rsidRDefault="00316BEB" w:rsidP="00FB4867">
      <w:pPr>
        <w:shd w:val="clear" w:color="auto" w:fill="FFFFFF" w:themeFill="background1"/>
      </w:pPr>
    </w:p>
    <w:p w14:paraId="50CB3965" w14:textId="77777777" w:rsidR="00107C90" w:rsidRPr="005B5C2F" w:rsidRDefault="003927B3">
      <w:pPr>
        <w:keepNext/>
        <w:shd w:val="clear" w:color="auto" w:fill="FFFFFF" w:themeFill="background1"/>
        <w:ind w:left="567"/>
        <w:jc w:val="left"/>
        <w:rPr>
          <w:u w:val="single"/>
        </w:rPr>
      </w:pPr>
      <w:r w:rsidRPr="005B5C2F">
        <w:rPr>
          <w:u w:val="single"/>
        </w:rPr>
        <w:t xml:space="preserve">UPOV/INF-EXN: Lista de documentos UPOV/INF-EXN y fechas de última publicación (Revisión) </w:t>
      </w:r>
      <w:r w:rsidRPr="005B5C2F">
        <w:rPr>
          <w:u w:val="single"/>
        </w:rPr>
        <w:br/>
        <w:t xml:space="preserve">(documento </w:t>
      </w:r>
      <w:r w:rsidR="00272A37" w:rsidRPr="005B5C2F">
        <w:rPr>
          <w:u w:val="single"/>
        </w:rPr>
        <w:t xml:space="preserve">UPOV/INF-EXN/18 </w:t>
      </w:r>
      <w:r w:rsidRPr="005B5C2F">
        <w:rPr>
          <w:u w:val="single"/>
        </w:rPr>
        <w:t>Draft 1)</w:t>
      </w:r>
    </w:p>
    <w:p w14:paraId="1F65A671" w14:textId="77777777" w:rsidR="00D45BE7" w:rsidRPr="005B5C2F" w:rsidRDefault="00D45BE7" w:rsidP="00FB4867">
      <w:pPr>
        <w:keepNext/>
        <w:shd w:val="clear" w:color="auto" w:fill="FFFFFF" w:themeFill="background1"/>
        <w:rPr>
          <w:rFonts w:eastAsiaTheme="minorEastAsia" w:cs="Arial"/>
          <w:spacing w:val="-4"/>
          <w:sz w:val="17"/>
          <w:szCs w:val="17"/>
          <w:u w:val="single"/>
          <w:lang w:eastAsia="ja-JP"/>
        </w:rPr>
      </w:pPr>
    </w:p>
    <w:p w14:paraId="19AF1339" w14:textId="77777777" w:rsidR="00107C90" w:rsidRPr="005B5C2F" w:rsidRDefault="003927B3">
      <w:pPr>
        <w:shd w:val="clear" w:color="auto" w:fill="FFFFFF" w:themeFill="background1"/>
        <w:spacing w:after="240"/>
        <w:rPr>
          <w:lang w:eastAsia="ja-JP"/>
        </w:rPr>
      </w:pPr>
      <w:r w:rsidRPr="005B5C2F">
        <w:rPr>
          <w:lang w:eastAsia="ja-JP"/>
        </w:rPr>
        <w:fldChar w:fldCharType="begin"/>
      </w:r>
      <w:r w:rsidRPr="005B5C2F">
        <w:rPr>
          <w:lang w:eastAsia="ja-JP"/>
        </w:rPr>
        <w:instrText xml:space="preserve"> AUTONUM  </w:instrText>
      </w:r>
      <w:r w:rsidRPr="005B5C2F">
        <w:rPr>
          <w:lang w:eastAsia="ja-JP"/>
        </w:rPr>
        <w:fldChar w:fldCharType="end"/>
      </w:r>
      <w:r w:rsidRPr="005B5C2F">
        <w:rPr>
          <w:lang w:eastAsia="ja-JP"/>
        </w:rPr>
        <w:tab/>
      </w:r>
      <w:r w:rsidRPr="005B5C2F">
        <w:t xml:space="preserve">El Consejo </w:t>
      </w:r>
      <w:r w:rsidRPr="005B5C2F">
        <w:rPr>
          <w:lang w:eastAsia="zh-CN"/>
        </w:rPr>
        <w:t xml:space="preserve">aprobó las </w:t>
      </w:r>
      <w:r w:rsidRPr="005B5C2F">
        <w:rPr>
          <w:lang w:eastAsia="ja-JP"/>
        </w:rPr>
        <w:t xml:space="preserve">revisiones </w:t>
      </w:r>
      <w:r w:rsidRPr="005B5C2F">
        <w:rPr>
          <w:lang w:eastAsia="zh-CN"/>
        </w:rPr>
        <w:t xml:space="preserve">propuestas </w:t>
      </w:r>
      <w:r w:rsidRPr="005B5C2F">
        <w:rPr>
          <w:lang w:eastAsia="ja-JP"/>
        </w:rPr>
        <w:t xml:space="preserve">del documento UPOV/INF-EXN: "Lista de documentos UPOV/INF-EXN y fechas de última publicación", </w:t>
      </w:r>
      <w:r w:rsidRPr="005B5C2F">
        <w:t xml:space="preserve">sobre la base del documento </w:t>
      </w:r>
      <w:r w:rsidR="00272A37" w:rsidRPr="005B5C2F">
        <w:t xml:space="preserve">UPOV/INF-EXN/18 </w:t>
      </w:r>
      <w:r w:rsidRPr="005B5C2F">
        <w:t>Draft 1</w:t>
      </w:r>
      <w:r w:rsidRPr="005B5C2F">
        <w:rPr>
          <w:lang w:eastAsia="ja-JP"/>
        </w:rPr>
        <w:t xml:space="preserve">. </w:t>
      </w:r>
    </w:p>
    <w:p w14:paraId="6C8120D6" w14:textId="037B94B2" w:rsidR="00107C90" w:rsidRPr="001427FD" w:rsidRDefault="00484F94" w:rsidP="001427FD">
      <w:pPr>
        <w:pStyle w:val="Heading4"/>
      </w:pPr>
      <w:r w:rsidRPr="001427FD">
        <w:t>TGP/0</w:t>
      </w:r>
      <w:r w:rsidR="003927B3" w:rsidRPr="001427FD">
        <w:t xml:space="preserve">: </w:t>
      </w:r>
      <w:r w:rsidRPr="001427FD">
        <w:t>Lista de documentos TGP y fechas de última publicación (Revisión) (documento TGP/0/16 Draft</w:t>
      </w:r>
      <w:r w:rsidR="001427FD" w:rsidRPr="001427FD">
        <w:t> </w:t>
      </w:r>
      <w:r w:rsidRPr="001427FD">
        <w:t>1)</w:t>
      </w:r>
    </w:p>
    <w:p w14:paraId="30D59540" w14:textId="77777777" w:rsidR="00D45BE7" w:rsidRPr="005B5C2F" w:rsidRDefault="00D45BE7" w:rsidP="00FB4867">
      <w:pPr>
        <w:shd w:val="clear" w:color="auto" w:fill="FFFFFF" w:themeFill="background1"/>
      </w:pPr>
    </w:p>
    <w:p w14:paraId="0CCB741F" w14:textId="265A0DE7" w:rsidR="00107C90" w:rsidRPr="005B5C2F" w:rsidRDefault="003927B3">
      <w:pPr>
        <w:shd w:val="clear" w:color="auto" w:fill="FFFFFF" w:themeFill="background1"/>
        <w:rPr>
          <w:lang w:eastAsia="ja-JP"/>
        </w:rPr>
      </w:pPr>
      <w:r w:rsidRPr="005B5C2F">
        <w:rPr>
          <w:lang w:eastAsia="ja-JP"/>
        </w:rPr>
        <w:fldChar w:fldCharType="begin"/>
      </w:r>
      <w:r w:rsidRPr="005B5C2F">
        <w:rPr>
          <w:lang w:eastAsia="ja-JP"/>
        </w:rPr>
        <w:instrText xml:space="preserve"> AUTONUM  </w:instrText>
      </w:r>
      <w:r w:rsidRPr="005B5C2F">
        <w:rPr>
          <w:lang w:eastAsia="ja-JP"/>
        </w:rPr>
        <w:fldChar w:fldCharType="end"/>
      </w:r>
      <w:r w:rsidRPr="005B5C2F">
        <w:rPr>
          <w:lang w:eastAsia="ja-JP"/>
        </w:rPr>
        <w:tab/>
      </w:r>
      <w:r w:rsidRPr="005B5C2F">
        <w:t xml:space="preserve">El Consejo </w:t>
      </w:r>
      <w:r w:rsidR="001427FD" w:rsidRPr="005B5C2F">
        <w:rPr>
          <w:lang w:eastAsia="zh-CN"/>
        </w:rPr>
        <w:t xml:space="preserve">aprobó </w:t>
      </w:r>
      <w:r w:rsidRPr="005B5C2F">
        <w:rPr>
          <w:lang w:eastAsia="zh-CN"/>
        </w:rPr>
        <w:t xml:space="preserve">las </w:t>
      </w:r>
      <w:r w:rsidRPr="005B5C2F">
        <w:rPr>
          <w:lang w:eastAsia="ja-JP"/>
        </w:rPr>
        <w:t xml:space="preserve">revisiones </w:t>
      </w:r>
      <w:r w:rsidRPr="005B5C2F">
        <w:rPr>
          <w:lang w:eastAsia="zh-CN"/>
        </w:rPr>
        <w:t xml:space="preserve">propuestas </w:t>
      </w:r>
      <w:r w:rsidRPr="005B5C2F">
        <w:rPr>
          <w:lang w:eastAsia="ja-JP"/>
        </w:rPr>
        <w:t xml:space="preserve">del documento TGP/0 "Lista de documentos TGP y fechas de última publicación", </w:t>
      </w:r>
      <w:r w:rsidRPr="005B5C2F">
        <w:t>sobre la base del documento TGP/0/16 Draft 1</w:t>
      </w:r>
      <w:r w:rsidRPr="005B5C2F">
        <w:rPr>
          <w:lang w:eastAsia="ja-JP"/>
        </w:rPr>
        <w:t xml:space="preserve">. </w:t>
      </w:r>
    </w:p>
    <w:p w14:paraId="743281C1" w14:textId="77777777" w:rsidR="00D45BE7" w:rsidRPr="005B5C2F" w:rsidRDefault="00D45BE7" w:rsidP="00FB4867">
      <w:pPr>
        <w:shd w:val="clear" w:color="auto" w:fill="FFFFFF" w:themeFill="background1"/>
      </w:pPr>
    </w:p>
    <w:p w14:paraId="50A8C7AB" w14:textId="679A8FFF" w:rsidR="00107C90" w:rsidRPr="005B5C2F" w:rsidRDefault="003927B3">
      <w:pPr>
        <w:keepNext/>
        <w:shd w:val="clear" w:color="auto" w:fill="FFFFFF" w:themeFill="background1"/>
        <w:rPr>
          <w:i/>
          <w:iCs/>
        </w:rPr>
      </w:pPr>
      <w:r w:rsidRPr="005B5C2F">
        <w:rPr>
          <w:i/>
          <w:iCs/>
        </w:rPr>
        <w:t xml:space="preserve">II. </w:t>
      </w:r>
      <w:r w:rsidRPr="005B5C2F">
        <w:rPr>
          <w:i/>
          <w:iCs/>
        </w:rPr>
        <w:tab/>
      </w:r>
      <w:r w:rsidR="008A4432" w:rsidRPr="008A4432">
        <w:rPr>
          <w:i/>
          <w:iCs/>
        </w:rPr>
        <w:t>CUESTIONES SUJETAS AL EXAMEN DEL COMITÉ TÉCNICO</w:t>
      </w:r>
    </w:p>
    <w:p w14:paraId="7600BD04" w14:textId="77777777" w:rsidR="00D45BE7" w:rsidRPr="005B5C2F" w:rsidRDefault="00D45BE7" w:rsidP="00FB4867">
      <w:pPr>
        <w:keepNext/>
        <w:shd w:val="clear" w:color="auto" w:fill="FFFFFF" w:themeFill="background1"/>
        <w:rPr>
          <w:spacing w:val="-2"/>
        </w:rPr>
      </w:pPr>
    </w:p>
    <w:p w14:paraId="156030C0" w14:textId="77777777" w:rsidR="00107C90" w:rsidRPr="005B5C2F" w:rsidRDefault="003927B3">
      <w:pPr>
        <w:shd w:val="clear" w:color="auto" w:fill="FFFFFF" w:themeFill="background1"/>
        <w:rPr>
          <w:spacing w:val="-2"/>
        </w:rPr>
      </w:pPr>
      <w:r w:rsidRPr="005B5C2F">
        <w:rPr>
          <w:lang w:eastAsia="ja-JP"/>
        </w:rPr>
        <w:fldChar w:fldCharType="begin"/>
      </w:r>
      <w:r w:rsidRPr="005B5C2F">
        <w:rPr>
          <w:lang w:eastAsia="ja-JP"/>
        </w:rPr>
        <w:instrText xml:space="preserve"> AUTONUM  </w:instrText>
      </w:r>
      <w:r w:rsidRPr="005B5C2F">
        <w:rPr>
          <w:lang w:eastAsia="ja-JP"/>
        </w:rPr>
        <w:fldChar w:fldCharType="end"/>
      </w:r>
      <w:r w:rsidRPr="005B5C2F">
        <w:rPr>
          <w:lang w:eastAsia="ja-JP"/>
        </w:rPr>
        <w:tab/>
      </w:r>
      <w:r w:rsidRPr="005B5C2F">
        <w:rPr>
          <w:spacing w:val="-2"/>
        </w:rPr>
        <w:t>El Consejo tomó nota de las novedades relativas a las posibles revisiones futuras de los materiales de orientación e información que se están debatiendo en el TC, como se expone en los párrafos 43 a 62 del documento SESSIONS/2024/2.</w:t>
      </w:r>
    </w:p>
    <w:p w14:paraId="263AF79D" w14:textId="77777777" w:rsidR="00934A3E" w:rsidRPr="005B5C2F" w:rsidRDefault="00934A3E" w:rsidP="00FB4867">
      <w:pPr>
        <w:shd w:val="clear" w:color="auto" w:fill="FFFFFF" w:themeFill="background1"/>
        <w:rPr>
          <w:spacing w:val="-2"/>
        </w:rPr>
      </w:pPr>
    </w:p>
    <w:p w14:paraId="3F3A0EE9" w14:textId="77777777" w:rsidR="00F63BA5" w:rsidRPr="005B5C2F" w:rsidRDefault="00F63BA5" w:rsidP="00FB4867">
      <w:pPr>
        <w:shd w:val="clear" w:color="auto" w:fill="FFFFFF" w:themeFill="background1"/>
        <w:rPr>
          <w:spacing w:val="-2"/>
        </w:rPr>
      </w:pPr>
    </w:p>
    <w:p w14:paraId="315AE86C" w14:textId="77777777" w:rsidR="00107C90" w:rsidRPr="005B5C2F" w:rsidRDefault="003927B3">
      <w:pPr>
        <w:keepNext/>
        <w:shd w:val="clear" w:color="auto" w:fill="FFFFFF" w:themeFill="background1"/>
        <w:ind w:left="567" w:hanging="567"/>
        <w:rPr>
          <w:rFonts w:cs="Arial"/>
          <w:snapToGrid w:val="0"/>
        </w:rPr>
      </w:pPr>
      <w:r w:rsidRPr="005B5C2F">
        <w:rPr>
          <w:rFonts w:cs="Arial"/>
          <w:snapToGrid w:val="0"/>
          <w:u w:val="single"/>
        </w:rPr>
        <w:t xml:space="preserve">Estados financieros para </w:t>
      </w:r>
      <w:r w:rsidR="00951E5D" w:rsidRPr="005B5C2F">
        <w:rPr>
          <w:rFonts w:cs="Arial"/>
          <w:snapToGrid w:val="0"/>
          <w:u w:val="single"/>
        </w:rPr>
        <w:t>2023</w:t>
      </w:r>
    </w:p>
    <w:p w14:paraId="079340AB" w14:textId="77777777" w:rsidR="00D45BE7" w:rsidRPr="005B5C2F" w:rsidRDefault="00D45BE7" w:rsidP="00FB4867">
      <w:pPr>
        <w:keepNext/>
        <w:shd w:val="clear" w:color="auto" w:fill="FFFFFF" w:themeFill="background1"/>
        <w:ind w:left="567" w:hanging="567"/>
        <w:rPr>
          <w:rFonts w:cs="Arial"/>
          <w:snapToGrid w:val="0"/>
        </w:rPr>
      </w:pPr>
    </w:p>
    <w:p w14:paraId="372493E6" w14:textId="51691C9F" w:rsidR="00107C90" w:rsidRPr="005B5C2F" w:rsidRDefault="003927B3">
      <w:pPr>
        <w:shd w:val="clear" w:color="auto" w:fill="FFFFFF" w:themeFill="background1"/>
        <w:ind w:left="567" w:hanging="567"/>
        <w:rPr>
          <w:rFonts w:cs="Arial"/>
          <w:snapToGrid w:val="0"/>
        </w:rPr>
      </w:pPr>
      <w:r w:rsidRPr="005B5C2F">
        <w:rPr>
          <w:snapToGrid w:val="0"/>
        </w:rPr>
        <w:fldChar w:fldCharType="begin"/>
      </w:r>
      <w:r w:rsidRPr="005B5C2F">
        <w:rPr>
          <w:snapToGrid w:val="0"/>
        </w:rPr>
        <w:instrText xml:space="preserve"> AUTONUM  </w:instrText>
      </w:r>
      <w:r w:rsidRPr="005B5C2F">
        <w:rPr>
          <w:snapToGrid w:val="0"/>
        </w:rPr>
        <w:fldChar w:fldCharType="end"/>
      </w:r>
      <w:r w:rsidRPr="005B5C2F">
        <w:rPr>
          <w:snapToGrid w:val="0"/>
        </w:rPr>
        <w:tab/>
        <w:t>El Consejo aprob</w:t>
      </w:r>
      <w:r w:rsidR="008A4432">
        <w:rPr>
          <w:snapToGrid w:val="0"/>
        </w:rPr>
        <w:t>ó</w:t>
      </w:r>
      <w:r w:rsidRPr="005B5C2F">
        <w:rPr>
          <w:snapToGrid w:val="0"/>
        </w:rPr>
        <w:t xml:space="preserve"> los estados financieros para </w:t>
      </w:r>
      <w:r w:rsidR="00951E5D" w:rsidRPr="005B5C2F">
        <w:rPr>
          <w:snapToGrid w:val="0"/>
        </w:rPr>
        <w:t>2023</w:t>
      </w:r>
      <w:r w:rsidRPr="005B5C2F">
        <w:rPr>
          <w:snapToGrid w:val="0"/>
        </w:rPr>
        <w:t xml:space="preserve">, presentados en </w:t>
      </w:r>
      <w:r w:rsidRPr="005B5C2F">
        <w:rPr>
          <w:rFonts w:cs="Arial"/>
          <w:snapToGrid w:val="0"/>
        </w:rPr>
        <w:t>el documento C/58/9.</w:t>
      </w:r>
    </w:p>
    <w:p w14:paraId="114AA5BD" w14:textId="77777777" w:rsidR="00D45BE7" w:rsidRPr="005B5C2F" w:rsidRDefault="00D45BE7" w:rsidP="00FB4867">
      <w:pPr>
        <w:shd w:val="clear" w:color="auto" w:fill="FFFFFF" w:themeFill="background1"/>
      </w:pPr>
    </w:p>
    <w:p w14:paraId="77C50C90" w14:textId="77777777" w:rsidR="00D45BE7" w:rsidRPr="005B5C2F" w:rsidRDefault="00D45BE7" w:rsidP="00FB4867">
      <w:pPr>
        <w:shd w:val="clear" w:color="auto" w:fill="FFFFFF" w:themeFill="background1"/>
        <w:jc w:val="left"/>
        <w:rPr>
          <w:u w:val="single"/>
        </w:rPr>
      </w:pPr>
    </w:p>
    <w:p w14:paraId="513E074A" w14:textId="77777777" w:rsidR="008A4432" w:rsidRPr="00E72074" w:rsidRDefault="008A4432" w:rsidP="008A4432">
      <w:pPr>
        <w:rPr>
          <w:u w:val="single"/>
        </w:rPr>
      </w:pPr>
      <w:r w:rsidRPr="00E72074">
        <w:rPr>
          <w:u w:val="single"/>
        </w:rPr>
        <w:t xml:space="preserve">Informe </w:t>
      </w:r>
      <w:r>
        <w:rPr>
          <w:u w:val="single"/>
        </w:rPr>
        <w:t>sobre el</w:t>
      </w:r>
      <w:r w:rsidRPr="00E72074">
        <w:rPr>
          <w:u w:val="single"/>
        </w:rPr>
        <w:t xml:space="preserve"> rendimiento de la UPOV </w:t>
      </w:r>
      <w:r>
        <w:rPr>
          <w:u w:val="single"/>
        </w:rPr>
        <w:t xml:space="preserve">en </w:t>
      </w:r>
      <w:r w:rsidRPr="00E72074">
        <w:rPr>
          <w:u w:val="single"/>
        </w:rPr>
        <w:t>2022-2023</w:t>
      </w:r>
    </w:p>
    <w:p w14:paraId="0EB6BB16" w14:textId="77777777" w:rsidR="00D45BE7" w:rsidRPr="005B5C2F" w:rsidRDefault="00D45BE7" w:rsidP="00FB4867">
      <w:pPr>
        <w:keepNext/>
        <w:shd w:val="clear" w:color="auto" w:fill="FFFFFF" w:themeFill="background1"/>
      </w:pPr>
    </w:p>
    <w:p w14:paraId="13340147" w14:textId="40C7BE4E" w:rsidR="00107C90" w:rsidRPr="005B5C2F" w:rsidRDefault="003927B3">
      <w:pPr>
        <w:shd w:val="clear" w:color="auto" w:fill="FFFFFF" w:themeFill="background1"/>
      </w:pPr>
      <w:r w:rsidRPr="005B5C2F">
        <w:rPr>
          <w:snapToGrid w:val="0"/>
        </w:rPr>
        <w:fldChar w:fldCharType="begin"/>
      </w:r>
      <w:r w:rsidRPr="005B5C2F">
        <w:rPr>
          <w:snapToGrid w:val="0"/>
        </w:rPr>
        <w:instrText xml:space="preserve"> AUTONUM  </w:instrText>
      </w:r>
      <w:r w:rsidRPr="005B5C2F">
        <w:rPr>
          <w:snapToGrid w:val="0"/>
        </w:rPr>
        <w:fldChar w:fldCharType="end"/>
      </w:r>
      <w:r w:rsidRPr="005B5C2F">
        <w:rPr>
          <w:snapToGrid w:val="0"/>
        </w:rPr>
        <w:tab/>
      </w:r>
      <w:r w:rsidRPr="005B5C2F">
        <w:t xml:space="preserve">El Consejo </w:t>
      </w:r>
      <w:r w:rsidRPr="005B5C2F">
        <w:rPr>
          <w:snapToGrid w:val="0"/>
        </w:rPr>
        <w:t xml:space="preserve">tomó nota del </w:t>
      </w:r>
      <w:r w:rsidR="008A4432" w:rsidRPr="008A4432">
        <w:rPr>
          <w:snapToGrid w:val="0"/>
        </w:rPr>
        <w:t>Informe sobre el rendimiento de la UPOV en 2022-2023</w:t>
      </w:r>
      <w:r w:rsidR="00951E5D" w:rsidRPr="005B5C2F">
        <w:rPr>
          <w:snapToGrid w:val="0"/>
        </w:rPr>
        <w:t xml:space="preserve"> </w:t>
      </w:r>
      <w:r w:rsidRPr="005B5C2F">
        <w:rPr>
          <w:snapToGrid w:val="0"/>
        </w:rPr>
        <w:t xml:space="preserve">que figura en el documento </w:t>
      </w:r>
      <w:r w:rsidR="00951E5D" w:rsidRPr="005B5C2F">
        <w:rPr>
          <w:snapToGrid w:val="0"/>
        </w:rPr>
        <w:t>C/58/2</w:t>
      </w:r>
      <w:r w:rsidRPr="005B5C2F">
        <w:rPr>
          <w:snapToGrid w:val="0"/>
        </w:rPr>
        <w:t>.</w:t>
      </w:r>
    </w:p>
    <w:p w14:paraId="4D21C2CE" w14:textId="77777777" w:rsidR="00D45BE7" w:rsidRPr="005B5C2F" w:rsidRDefault="00D45BE7" w:rsidP="00FB4867">
      <w:pPr>
        <w:shd w:val="clear" w:color="auto" w:fill="FFFFFF" w:themeFill="background1"/>
      </w:pPr>
    </w:p>
    <w:p w14:paraId="233B33A7" w14:textId="77777777" w:rsidR="00D45BE7" w:rsidRPr="005B5C2F" w:rsidRDefault="00D45BE7" w:rsidP="00FB4867">
      <w:pPr>
        <w:shd w:val="clear" w:color="auto" w:fill="FFFFFF" w:themeFill="background1"/>
      </w:pPr>
    </w:p>
    <w:p w14:paraId="313946D7" w14:textId="77777777" w:rsidR="00107C90" w:rsidRPr="005B5C2F" w:rsidRDefault="003927B3">
      <w:pPr>
        <w:keepNext/>
        <w:shd w:val="clear" w:color="auto" w:fill="FFFFFF" w:themeFill="background1"/>
        <w:rPr>
          <w:u w:val="single"/>
        </w:rPr>
      </w:pPr>
      <w:r w:rsidRPr="005B5C2F">
        <w:rPr>
          <w:u w:val="single"/>
        </w:rPr>
        <w:t>Informe del Auditor Externo</w:t>
      </w:r>
    </w:p>
    <w:p w14:paraId="7D5F7048" w14:textId="77777777" w:rsidR="00D45BE7" w:rsidRPr="005B5C2F" w:rsidRDefault="00D45BE7" w:rsidP="00FB4867">
      <w:pPr>
        <w:keepNext/>
        <w:shd w:val="clear" w:color="auto" w:fill="FFFFFF" w:themeFill="background1"/>
      </w:pPr>
    </w:p>
    <w:p w14:paraId="5163739D" w14:textId="2F7CB846" w:rsidR="00107C90" w:rsidRPr="005B5C2F" w:rsidRDefault="003927B3">
      <w:pPr>
        <w:shd w:val="clear" w:color="auto" w:fill="FFFFFF" w:themeFill="background1"/>
        <w:jc w:val="left"/>
      </w:pPr>
      <w:r w:rsidRPr="005B5C2F">
        <w:fldChar w:fldCharType="begin"/>
      </w:r>
      <w:r w:rsidRPr="005B5C2F">
        <w:instrText xml:space="preserve"> AUTONUM  </w:instrText>
      </w:r>
      <w:r w:rsidRPr="005B5C2F">
        <w:fldChar w:fldCharType="end"/>
      </w:r>
      <w:r w:rsidRPr="005B5C2F">
        <w:tab/>
        <w:t xml:space="preserve">El Consejo </w:t>
      </w:r>
      <w:r w:rsidR="008A4432">
        <w:t xml:space="preserve">examinó </w:t>
      </w:r>
      <w:r w:rsidRPr="005B5C2F">
        <w:t xml:space="preserve">el documento </w:t>
      </w:r>
      <w:r w:rsidRPr="005B5C2F">
        <w:rPr>
          <w:rFonts w:cs="Arial"/>
          <w:snapToGrid w:val="0"/>
        </w:rPr>
        <w:t>C/58/10</w:t>
      </w:r>
      <w:r w:rsidRPr="005B5C2F">
        <w:t>.</w:t>
      </w:r>
    </w:p>
    <w:p w14:paraId="6F5738CE" w14:textId="77777777" w:rsidR="00D45BE7" w:rsidRPr="005B5C2F" w:rsidRDefault="00D45BE7" w:rsidP="00FB4867">
      <w:pPr>
        <w:shd w:val="clear" w:color="auto" w:fill="FFFFFF" w:themeFill="background1"/>
      </w:pPr>
    </w:p>
    <w:p w14:paraId="002B30D3" w14:textId="6131E163" w:rsidR="00107C90"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El Consejo tom</w:t>
      </w:r>
      <w:r w:rsidR="008A4432">
        <w:t>ó</w:t>
      </w:r>
      <w:r w:rsidRPr="005B5C2F">
        <w:t xml:space="preserve"> nota de la información contenida en el Informe del Auditor Externo, presentado en </w:t>
      </w:r>
      <w:r w:rsidRPr="005B5C2F">
        <w:rPr>
          <w:rFonts w:cs="Arial"/>
          <w:snapToGrid w:val="0"/>
        </w:rPr>
        <w:t>el documento C/58/10</w:t>
      </w:r>
      <w:r w:rsidRPr="005B5C2F">
        <w:t xml:space="preserve">, junto con un informe oral del Sr. </w:t>
      </w:r>
      <w:r w:rsidR="005C74FC" w:rsidRPr="005B5C2F">
        <w:t xml:space="preserve">Peter </w:t>
      </w:r>
      <w:proofErr w:type="spellStart"/>
      <w:r w:rsidRPr="005B5C2F">
        <w:t>Cassidy</w:t>
      </w:r>
      <w:proofErr w:type="spellEnd"/>
      <w:r w:rsidRPr="005B5C2F">
        <w:t>, Oficina Nacional de Auditoría del Reino</w:t>
      </w:r>
      <w:r w:rsidR="008A4432">
        <w:t> </w:t>
      </w:r>
      <w:r w:rsidRPr="005B5C2F">
        <w:t>Unido.</w:t>
      </w:r>
    </w:p>
    <w:p w14:paraId="1A993D17" w14:textId="77777777" w:rsidR="008A4432" w:rsidRPr="005B5C2F" w:rsidRDefault="008A4432">
      <w:pPr>
        <w:shd w:val="clear" w:color="auto" w:fill="FFFFFF" w:themeFill="background1"/>
      </w:pPr>
    </w:p>
    <w:p w14:paraId="13FCB70B"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El Consejo expresó su agradecimiento a la Oficina Nacional de Auditoría del Reino Unido por actuar como Auditor Externo de las cuentas de la UPOV.</w:t>
      </w:r>
    </w:p>
    <w:p w14:paraId="6106D0CD" w14:textId="77777777" w:rsidR="00D45BE7" w:rsidRPr="005B5C2F" w:rsidRDefault="00D45BE7" w:rsidP="00FB4867">
      <w:pPr>
        <w:shd w:val="clear" w:color="auto" w:fill="FFFFFF" w:themeFill="background1"/>
        <w:jc w:val="left"/>
      </w:pPr>
    </w:p>
    <w:p w14:paraId="5D852C55" w14:textId="77777777" w:rsidR="00D45BE7" w:rsidRPr="005B5C2F" w:rsidRDefault="00D45BE7" w:rsidP="00FB4867">
      <w:pPr>
        <w:shd w:val="clear" w:color="auto" w:fill="FFFFFF" w:themeFill="background1"/>
        <w:jc w:val="left"/>
      </w:pPr>
    </w:p>
    <w:p w14:paraId="16B97BA0" w14:textId="77777777" w:rsidR="008A4432" w:rsidRPr="00E72074" w:rsidRDefault="008A4432" w:rsidP="008A4432">
      <w:pPr>
        <w:rPr>
          <w:u w:val="single"/>
        </w:rPr>
      </w:pPr>
      <w:r w:rsidRPr="00E72074">
        <w:rPr>
          <w:u w:val="single"/>
        </w:rPr>
        <w:t xml:space="preserve">Procedimiento </w:t>
      </w:r>
      <w:r>
        <w:rPr>
          <w:u w:val="single"/>
        </w:rPr>
        <w:t>para el</w:t>
      </w:r>
      <w:r w:rsidRPr="00E72074">
        <w:rPr>
          <w:u w:val="single"/>
        </w:rPr>
        <w:t xml:space="preserve"> nombramiento del Auditor Externo</w:t>
      </w:r>
    </w:p>
    <w:p w14:paraId="54AC1887" w14:textId="77777777" w:rsidR="00D45BE7" w:rsidRPr="005B5C2F" w:rsidRDefault="00D45BE7" w:rsidP="00FB4867">
      <w:pPr>
        <w:keepNext/>
        <w:shd w:val="clear" w:color="auto" w:fill="FFFFFF" w:themeFill="background1"/>
        <w:jc w:val="left"/>
      </w:pPr>
    </w:p>
    <w:p w14:paraId="6935E8C1" w14:textId="3F04D563" w:rsidR="00107C90" w:rsidRPr="005B5C2F" w:rsidRDefault="003927B3">
      <w:pPr>
        <w:shd w:val="clear" w:color="auto" w:fill="FFFFFF" w:themeFill="background1"/>
        <w:jc w:val="left"/>
      </w:pPr>
      <w:r w:rsidRPr="005B5C2F">
        <w:fldChar w:fldCharType="begin"/>
      </w:r>
      <w:r w:rsidRPr="005B5C2F">
        <w:instrText xml:space="preserve"> AUTONUM  </w:instrText>
      </w:r>
      <w:r w:rsidRPr="005B5C2F">
        <w:fldChar w:fldCharType="end"/>
      </w:r>
      <w:r w:rsidRPr="005B5C2F">
        <w:tab/>
        <w:t xml:space="preserve">El Consejo </w:t>
      </w:r>
      <w:r w:rsidR="00B9669A">
        <w:t>examinó</w:t>
      </w:r>
      <w:r w:rsidRPr="005B5C2F">
        <w:t xml:space="preserve"> el documento </w:t>
      </w:r>
      <w:r w:rsidR="00A341CE" w:rsidRPr="005B5C2F">
        <w:t>C/58/14</w:t>
      </w:r>
      <w:r w:rsidRPr="005B5C2F">
        <w:t>.</w:t>
      </w:r>
    </w:p>
    <w:p w14:paraId="542F1BAA" w14:textId="77777777" w:rsidR="00536BCA" w:rsidRPr="005B5C2F" w:rsidRDefault="00536BCA" w:rsidP="00FB4867">
      <w:pPr>
        <w:shd w:val="clear" w:color="auto" w:fill="FFFFFF" w:themeFill="background1"/>
        <w:jc w:val="left"/>
      </w:pPr>
    </w:p>
    <w:p w14:paraId="76DC975B" w14:textId="77777777" w:rsidR="00B9669A" w:rsidRPr="00E72074" w:rsidRDefault="003927B3" w:rsidP="00B9669A">
      <w:r w:rsidRPr="005B5C2F">
        <w:fldChar w:fldCharType="begin"/>
      </w:r>
      <w:r w:rsidRPr="005B5C2F">
        <w:instrText xml:space="preserve"> AUTONUM  </w:instrText>
      </w:r>
      <w:r w:rsidRPr="005B5C2F">
        <w:fldChar w:fldCharType="end"/>
      </w:r>
      <w:r w:rsidRPr="005B5C2F">
        <w:tab/>
        <w:t xml:space="preserve">El Consejo </w:t>
      </w:r>
      <w:r w:rsidR="00B9669A" w:rsidRPr="00E72074">
        <w:t>recordó que</w:t>
      </w:r>
    </w:p>
    <w:p w14:paraId="07A77280" w14:textId="77777777" w:rsidR="00B9669A" w:rsidRPr="00E72074" w:rsidRDefault="00B9669A" w:rsidP="00B9669A"/>
    <w:p w14:paraId="3DE05677" w14:textId="77777777" w:rsidR="00B9669A" w:rsidRPr="00E72074" w:rsidRDefault="00B9669A" w:rsidP="00B9669A">
      <w:pPr>
        <w:pStyle w:val="ListParagraph"/>
        <w:numPr>
          <w:ilvl w:val="0"/>
          <w:numId w:val="9"/>
        </w:numPr>
      </w:pPr>
      <w:r w:rsidRPr="00E72074">
        <w:t xml:space="preserve"> la Asamblea General de la OMPI celebró su sexagésimo cuarto período de sesiones (64º ordinario) en Ginebra del 6 al 14 de julio de 2023, y "</w:t>
      </w:r>
      <w:r w:rsidRPr="00CF6761">
        <w:t>nombró auditor externo de la OMPI a la Comisión de Auditoría de Indonesia para el período de seis años que comienza el 1 de enero de 2024</w:t>
      </w:r>
      <w:r w:rsidRPr="00E72074">
        <w:t>";</w:t>
      </w:r>
    </w:p>
    <w:p w14:paraId="6261F562" w14:textId="77777777" w:rsidR="00B9669A" w:rsidRPr="00E72074" w:rsidRDefault="00B9669A" w:rsidP="00B9669A">
      <w:pPr>
        <w:pStyle w:val="ListParagraph"/>
      </w:pPr>
    </w:p>
    <w:p w14:paraId="630FAEDB" w14:textId="77777777" w:rsidR="00B9669A" w:rsidRPr="00E72074" w:rsidRDefault="00B9669A" w:rsidP="00B9669A">
      <w:pPr>
        <w:pStyle w:val="ListParagraph"/>
        <w:numPr>
          <w:ilvl w:val="0"/>
          <w:numId w:val="9"/>
        </w:numPr>
      </w:pPr>
      <w:r w:rsidRPr="00E72074">
        <w:t>el Consejo, en su quincuagésima séptima sesión ordinaria, celebrada en Ginebra, el 27 de octubre de 2023, designó a Suiza, con su acuerdo, como Auditor Externo de la UPOV, por un año, a partir de enero de 2024 hasta diciembre de 2024;</w:t>
      </w:r>
    </w:p>
    <w:p w14:paraId="6BB3E3DE" w14:textId="77777777" w:rsidR="00B9669A" w:rsidRPr="00E72074" w:rsidRDefault="00B9669A" w:rsidP="00B9669A">
      <w:pPr>
        <w:pStyle w:val="ListParagraph"/>
      </w:pPr>
    </w:p>
    <w:p w14:paraId="6F39B375" w14:textId="77777777" w:rsidR="00B9669A" w:rsidRPr="00E72074" w:rsidRDefault="00B9669A" w:rsidP="00B9669A">
      <w:pPr>
        <w:pStyle w:val="ListParagraph"/>
        <w:numPr>
          <w:ilvl w:val="0"/>
          <w:numId w:val="9"/>
        </w:numPr>
      </w:pPr>
      <w:r w:rsidRPr="00E72074">
        <w:t xml:space="preserve">el Consejo tomó nota </w:t>
      </w:r>
      <w:r>
        <w:t>además</w:t>
      </w:r>
      <w:r w:rsidRPr="00E72074">
        <w:t xml:space="preserve"> de que todos los miembros de la Unión formarían parte de las futuras consultas para una propuesta de nombramiento del Auditor Externo de la UPOV.</w:t>
      </w:r>
    </w:p>
    <w:p w14:paraId="63A4AFE1" w14:textId="13A67A6E" w:rsidR="00536BCA" w:rsidRPr="005B5C2F" w:rsidRDefault="00536BCA" w:rsidP="00B9669A">
      <w:pPr>
        <w:shd w:val="clear" w:color="auto" w:fill="FFFFFF" w:themeFill="background1"/>
      </w:pPr>
    </w:p>
    <w:p w14:paraId="3FFC2FF7" w14:textId="24D1B1F6"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r>
      <w:r w:rsidR="00B80C06" w:rsidRPr="00E72074">
        <w:t>Debido a las circunstancias extraordinarias y excepcionales de que ningún Auditor General (o funcionario con título equivalente) de los Estados miembros de la UPOV consultados manifestara su interés en auditar las cuentas de la UPOV a partir del año civil 2025 y hasta 2029</w:t>
      </w:r>
      <w:r w:rsidRPr="005B5C2F">
        <w:t>, el Consejo acordó el siguiente camino a seguir:</w:t>
      </w:r>
    </w:p>
    <w:p w14:paraId="48C8FFC8" w14:textId="77777777" w:rsidR="00536BCA" w:rsidRPr="005B5C2F" w:rsidRDefault="00536BCA" w:rsidP="00FB4867">
      <w:pPr>
        <w:shd w:val="clear" w:color="auto" w:fill="FFFFFF" w:themeFill="background1"/>
      </w:pPr>
    </w:p>
    <w:p w14:paraId="51FA5E0F" w14:textId="77777777" w:rsidR="00B80C06" w:rsidRPr="00E72074" w:rsidRDefault="00B80C06" w:rsidP="00B80C06">
      <w:pPr>
        <w:pStyle w:val="ListParagraph"/>
        <w:numPr>
          <w:ilvl w:val="0"/>
          <w:numId w:val="8"/>
        </w:numPr>
      </w:pPr>
      <w:r w:rsidRPr="00E72074">
        <w:t xml:space="preserve">Previo acuerdo de la </w:t>
      </w:r>
      <w:r w:rsidRPr="00CF6761">
        <w:t>Comisión de Auditoría de Indonesia</w:t>
      </w:r>
      <w:r w:rsidRPr="00E72074">
        <w:t xml:space="preserve">, proponer al Consejo que designe a la </w:t>
      </w:r>
      <w:r w:rsidRPr="00CF6761">
        <w:t>Comisión de Auditoría de Indonesia</w:t>
      </w:r>
      <w:r w:rsidRPr="00E72074">
        <w:t xml:space="preserve"> como Auditor Externo de la UPOV para auditar las cuentas de la UPOV correspondientes a los años civiles 2025-2029. </w:t>
      </w:r>
    </w:p>
    <w:p w14:paraId="0CF73DCB" w14:textId="77777777" w:rsidR="00B80C06" w:rsidRPr="00E72074" w:rsidRDefault="00B80C06" w:rsidP="00B80C06"/>
    <w:p w14:paraId="040A4E25" w14:textId="77777777" w:rsidR="00B80C06" w:rsidRPr="00E72074" w:rsidRDefault="00B80C06" w:rsidP="00B80C06">
      <w:pPr>
        <w:pStyle w:val="ListParagraph"/>
        <w:numPr>
          <w:ilvl w:val="0"/>
          <w:numId w:val="8"/>
        </w:numPr>
      </w:pPr>
      <w:r w:rsidRPr="00E72074">
        <w:t xml:space="preserve">Si el Consejo así lo decide, solicite a la Oficina de la Unión que informe a la </w:t>
      </w:r>
      <w:r w:rsidRPr="00CF6761">
        <w:t>Comisión de Auditoría de Indonesia</w:t>
      </w:r>
      <w:r w:rsidRPr="00E72074">
        <w:t xml:space="preserve"> de la decisión del Consejo e invite a la </w:t>
      </w:r>
      <w:r w:rsidRPr="00CF6761">
        <w:t>Comisión de Auditoría de Indonesia</w:t>
      </w:r>
      <w:r w:rsidRPr="00E72074">
        <w:t xml:space="preserve"> a considerar la designación mencionada. </w:t>
      </w:r>
    </w:p>
    <w:p w14:paraId="1A649A2A" w14:textId="77777777" w:rsidR="00B80C06" w:rsidRPr="00E72074" w:rsidRDefault="00B80C06" w:rsidP="00B80C06"/>
    <w:p w14:paraId="207B03FE" w14:textId="77777777" w:rsidR="00B80C06" w:rsidRPr="00E72074" w:rsidRDefault="00B80C06" w:rsidP="00B80C06">
      <w:pPr>
        <w:pStyle w:val="ListParagraph"/>
        <w:numPr>
          <w:ilvl w:val="0"/>
          <w:numId w:val="8"/>
        </w:numPr>
        <w:rPr>
          <w:rFonts w:cs="Arial"/>
        </w:rPr>
      </w:pPr>
      <w:r w:rsidRPr="00E72074">
        <w:t xml:space="preserve">Si la </w:t>
      </w:r>
      <w:r w:rsidRPr="00CF6761">
        <w:t>Comisión de Auditoría de Indonesia</w:t>
      </w:r>
      <w:r w:rsidRPr="00E72074">
        <w:t xml:space="preserve"> está de acuerdo con la designación, la Oficina de la Unión lo notificará al Consejo. </w:t>
      </w:r>
    </w:p>
    <w:p w14:paraId="2A54ECBC" w14:textId="77777777" w:rsidR="00B80C06" w:rsidRPr="00E72074" w:rsidRDefault="00B80C06" w:rsidP="00B80C06">
      <w:pPr>
        <w:pStyle w:val="ListParagraph"/>
        <w:rPr>
          <w:rFonts w:cs="Arial"/>
        </w:rPr>
      </w:pPr>
    </w:p>
    <w:p w14:paraId="170AAA63" w14:textId="77777777" w:rsidR="00B80C06" w:rsidRPr="00E72074" w:rsidRDefault="00B80C06" w:rsidP="00B80C06">
      <w:pPr>
        <w:pStyle w:val="ListParagraph"/>
        <w:numPr>
          <w:ilvl w:val="0"/>
          <w:numId w:val="8"/>
        </w:numPr>
        <w:rPr>
          <w:rFonts w:cs="Arial"/>
        </w:rPr>
      </w:pPr>
      <w:r w:rsidRPr="00E72074">
        <w:rPr>
          <w:rFonts w:cs="Arial"/>
        </w:rPr>
        <w:t>El proceso de designación del Auditor Externo de la UPOV es de carácter administrativo y no guarda relación con las disposiciones sustantivas sobre derechos de obtentor establecidas en el Acta de 1991 y en el Acta de 1978 del Convenio de la UPOV. Por lo tanto, el Consejo debe considerar que la designación del Auditor Externo de la UPOV de un Estado que no es miembro de la UPOV, pero que es miembro de la OMPI, es una decisión ad hoc excepcional que no sentaría en modo alguno un precedente para las futuras decisiones que adopte el Consejo.</w:t>
      </w:r>
    </w:p>
    <w:p w14:paraId="0F375363" w14:textId="77777777" w:rsidR="00B80C06" w:rsidRPr="00E72074" w:rsidRDefault="00B80C06" w:rsidP="00B80C06">
      <w:pPr>
        <w:pStyle w:val="ListParagraph"/>
      </w:pPr>
    </w:p>
    <w:p w14:paraId="5886B203" w14:textId="77777777" w:rsidR="00B80C06" w:rsidRPr="00E72074" w:rsidRDefault="00B80C06" w:rsidP="00B80C06">
      <w:pPr>
        <w:pStyle w:val="ListParagraph"/>
        <w:numPr>
          <w:ilvl w:val="0"/>
          <w:numId w:val="8"/>
        </w:numPr>
        <w:rPr>
          <w:rFonts w:cs="Arial"/>
        </w:rPr>
      </w:pPr>
      <w:r w:rsidRPr="00E72074">
        <w:t xml:space="preserve">Sobre la base de lo que antecede, el Consejo solicita que la Oficina de la Unión proponga posibles modificaciones de las disposiciones del Reglamento Financiero y la Reglamentación Financiera de la UPOV (documento UPOV/INF/4/6) relativas al nombramiento del Auditor Externo para que el Consejo las examine en su sesión de octubre de 2025. </w:t>
      </w:r>
    </w:p>
    <w:p w14:paraId="42680E02" w14:textId="77777777" w:rsidR="00B80C06" w:rsidRPr="00E72074" w:rsidRDefault="00B80C06" w:rsidP="00B80C06">
      <w:pPr>
        <w:pStyle w:val="ListParagraph"/>
        <w:rPr>
          <w:rFonts w:cs="Arial"/>
        </w:rPr>
      </w:pPr>
    </w:p>
    <w:p w14:paraId="2CEE324D" w14:textId="77777777" w:rsidR="00B80C06" w:rsidRPr="00E72074" w:rsidRDefault="00B80C06" w:rsidP="00B80C06">
      <w:pPr>
        <w:pStyle w:val="ListParagraph"/>
        <w:numPr>
          <w:ilvl w:val="0"/>
          <w:numId w:val="8"/>
        </w:numPr>
        <w:rPr>
          <w:rFonts w:cs="Arial"/>
        </w:rPr>
      </w:pPr>
      <w:r w:rsidRPr="00E72074">
        <w:rPr>
          <w:rFonts w:cs="Arial"/>
        </w:rPr>
        <w:t>Esta decisión excepcional se adopta para garantizar el funcionamiento eficaz de la UPOV (</w:t>
      </w:r>
      <w:r w:rsidRPr="00E72074">
        <w:t>artículo</w:t>
      </w:r>
      <w:r>
        <w:t> </w:t>
      </w:r>
      <w:r w:rsidRPr="00E72074">
        <w:t xml:space="preserve">26.5)x) del Acta de 1991 y artículo 21.h) del Acta de 1978 del Convenio). </w:t>
      </w:r>
    </w:p>
    <w:p w14:paraId="11AEB7B8" w14:textId="77777777" w:rsidR="00D45BE7" w:rsidRPr="005B5C2F" w:rsidRDefault="00D45BE7" w:rsidP="00FB4867">
      <w:pPr>
        <w:shd w:val="clear" w:color="auto" w:fill="FFFFFF" w:themeFill="background1"/>
        <w:jc w:val="left"/>
      </w:pPr>
    </w:p>
    <w:p w14:paraId="76CAD326" w14:textId="77777777" w:rsidR="003B2C7F" w:rsidRPr="005B5C2F" w:rsidRDefault="003B2C7F" w:rsidP="00FB4867">
      <w:pPr>
        <w:shd w:val="clear" w:color="auto" w:fill="FFFFFF" w:themeFill="background1"/>
        <w:jc w:val="left"/>
      </w:pPr>
    </w:p>
    <w:p w14:paraId="5E1359AE" w14:textId="77777777" w:rsidR="00107C90" w:rsidRPr="005B5C2F" w:rsidRDefault="003927B3">
      <w:pPr>
        <w:keepNext/>
        <w:shd w:val="clear" w:color="auto" w:fill="FFFFFF" w:themeFill="background1"/>
        <w:rPr>
          <w:u w:val="single"/>
        </w:rPr>
      </w:pPr>
      <w:r w:rsidRPr="005B5C2F">
        <w:rPr>
          <w:u w:val="single"/>
        </w:rPr>
        <w:t xml:space="preserve">Contribuciones atrasadas a 30 de septiembre de </w:t>
      </w:r>
      <w:r w:rsidR="00A341CE" w:rsidRPr="005B5C2F">
        <w:rPr>
          <w:u w:val="single"/>
        </w:rPr>
        <w:t>2024</w:t>
      </w:r>
    </w:p>
    <w:p w14:paraId="2764523C" w14:textId="77777777" w:rsidR="00D45BE7" w:rsidRPr="005B5C2F" w:rsidRDefault="00D45BE7" w:rsidP="00FB4867">
      <w:pPr>
        <w:keepNext/>
        <w:shd w:val="clear" w:color="auto" w:fill="FFFFFF" w:themeFill="background1"/>
        <w:jc w:val="left"/>
      </w:pPr>
    </w:p>
    <w:p w14:paraId="4EB3A276" w14:textId="4B8094BB" w:rsidR="00107C90" w:rsidRPr="005B5C2F" w:rsidRDefault="003927B3">
      <w:pPr>
        <w:shd w:val="clear" w:color="auto" w:fill="FFFFFF" w:themeFill="background1"/>
        <w:jc w:val="left"/>
      </w:pPr>
      <w:r w:rsidRPr="005B5C2F">
        <w:fldChar w:fldCharType="begin"/>
      </w:r>
      <w:r w:rsidRPr="005B5C2F">
        <w:instrText xml:space="preserve"> AUTONUM  </w:instrText>
      </w:r>
      <w:r w:rsidRPr="005B5C2F">
        <w:fldChar w:fldCharType="end"/>
      </w:r>
      <w:r w:rsidRPr="005B5C2F">
        <w:tab/>
        <w:t xml:space="preserve">El Consejo </w:t>
      </w:r>
      <w:r w:rsidR="00B80C06">
        <w:t>examinó</w:t>
      </w:r>
      <w:r w:rsidRPr="005B5C2F">
        <w:t xml:space="preserve"> el documento </w:t>
      </w:r>
      <w:r w:rsidR="00A341CE" w:rsidRPr="005B5C2F">
        <w:t>C/58/11</w:t>
      </w:r>
      <w:r w:rsidRPr="005B5C2F">
        <w:t>.</w:t>
      </w:r>
    </w:p>
    <w:p w14:paraId="5C6C5A76" w14:textId="77777777" w:rsidR="00D45BE7" w:rsidRPr="005B5C2F" w:rsidRDefault="00D45BE7" w:rsidP="00FB4867">
      <w:pPr>
        <w:shd w:val="clear" w:color="auto" w:fill="FFFFFF" w:themeFill="background1"/>
        <w:jc w:val="left"/>
      </w:pPr>
    </w:p>
    <w:bookmarkStart w:id="10" w:name="_Hlk180180579"/>
    <w:p w14:paraId="43D759A7" w14:textId="3E3AE449"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B80C06">
        <w:t xml:space="preserve">tomó </w:t>
      </w:r>
      <w:r w:rsidRPr="005B5C2F">
        <w:t xml:space="preserve">nota </w:t>
      </w:r>
      <w:r w:rsidR="003B2C7F" w:rsidRPr="005B5C2F">
        <w:t xml:space="preserve">del estado de los pagos de las contribuciones a 30 de septiembre de 2024 y </w:t>
      </w:r>
      <w:r w:rsidR="00B80C06">
        <w:t xml:space="preserve">observó </w:t>
      </w:r>
      <w:r w:rsidR="003B2C7F" w:rsidRPr="005B5C2F">
        <w:t>que, debido a los pagos recientes, Chile, Macedonia del Norte, Uruguay, Uzbekistán y República de Corea no tienen atrasos.</w:t>
      </w:r>
    </w:p>
    <w:bookmarkEnd w:id="10"/>
    <w:p w14:paraId="37972E04" w14:textId="77777777" w:rsidR="00D45BE7" w:rsidRPr="005B5C2F" w:rsidRDefault="00D45BE7" w:rsidP="00FB4867">
      <w:pPr>
        <w:shd w:val="clear" w:color="auto" w:fill="FFFFFF" w:themeFill="background1"/>
        <w:jc w:val="left"/>
      </w:pPr>
    </w:p>
    <w:p w14:paraId="3DCD1AD5" w14:textId="77777777" w:rsidR="00617D00" w:rsidRPr="005B5C2F" w:rsidRDefault="00617D00" w:rsidP="00FB4867">
      <w:pPr>
        <w:shd w:val="clear" w:color="auto" w:fill="FFFFFF" w:themeFill="background1"/>
        <w:jc w:val="left"/>
      </w:pPr>
    </w:p>
    <w:p w14:paraId="008B2CE2" w14:textId="77777777" w:rsidR="00107C90" w:rsidRPr="005B5C2F" w:rsidRDefault="003927B3">
      <w:pPr>
        <w:keepNext/>
        <w:shd w:val="clear" w:color="auto" w:fill="FFFFFF" w:themeFill="background1"/>
        <w:rPr>
          <w:u w:val="single"/>
        </w:rPr>
      </w:pPr>
      <w:r w:rsidRPr="005B5C2F">
        <w:rPr>
          <w:u w:val="single"/>
        </w:rPr>
        <w:t>Programa de reuniones</w:t>
      </w:r>
    </w:p>
    <w:p w14:paraId="764582DC" w14:textId="77777777" w:rsidR="00D45BE7" w:rsidRPr="005B5C2F" w:rsidRDefault="00D45BE7" w:rsidP="00FB4867">
      <w:pPr>
        <w:keepNext/>
        <w:shd w:val="clear" w:color="auto" w:fill="FFFFFF" w:themeFill="background1"/>
        <w:tabs>
          <w:tab w:val="left" w:pos="567"/>
        </w:tabs>
        <w:ind w:left="1134" w:hanging="1134"/>
        <w:jc w:val="left"/>
      </w:pPr>
    </w:p>
    <w:p w14:paraId="63BA2AEE" w14:textId="6BD0922A" w:rsidR="00107C90" w:rsidRPr="005B5C2F" w:rsidRDefault="003927B3">
      <w:pPr>
        <w:pStyle w:val="Heading2"/>
        <w:shd w:val="clear" w:color="auto" w:fill="FFFFFF" w:themeFill="background1"/>
        <w:rPr>
          <w:lang w:val="es-ES_tradnl"/>
        </w:rPr>
      </w:pPr>
      <w:r w:rsidRPr="005B5C2F">
        <w:rPr>
          <w:lang w:val="es-ES_tradnl"/>
        </w:rPr>
        <w:t>Aprobación de los programas de trabajo del Comité Administrativo y Jurídico, del Comité Técnico y de los Grupos de Trabajo Técnicos</w:t>
      </w:r>
    </w:p>
    <w:p w14:paraId="780DDF53" w14:textId="52AAAAD2" w:rsidR="00107C90" w:rsidRPr="005B5C2F" w:rsidRDefault="003927B3">
      <w:pPr>
        <w:shd w:val="clear" w:color="auto" w:fill="FFFFFF" w:themeFill="background1"/>
      </w:pPr>
      <w:r w:rsidRPr="005B5C2F">
        <w:rPr>
          <w:rFonts w:cs="Arial"/>
          <w:snapToGrid w:val="0"/>
        </w:rPr>
        <w:fldChar w:fldCharType="begin"/>
      </w:r>
      <w:r w:rsidRPr="005B5C2F">
        <w:rPr>
          <w:rFonts w:cs="Arial"/>
          <w:snapToGrid w:val="0"/>
        </w:rPr>
        <w:instrText xml:space="preserve"> AUTONUM  </w:instrText>
      </w:r>
      <w:r w:rsidRPr="005B5C2F">
        <w:rPr>
          <w:rFonts w:cs="Arial"/>
          <w:snapToGrid w:val="0"/>
        </w:rPr>
        <w:fldChar w:fldCharType="end"/>
      </w:r>
      <w:r w:rsidRPr="005B5C2F">
        <w:rPr>
          <w:rFonts w:cs="Arial"/>
          <w:snapToGrid w:val="0"/>
        </w:rPr>
        <w:tab/>
        <w:t xml:space="preserve">El Consejo examinó el documento C/58/12 y escuchó </w:t>
      </w:r>
      <w:r w:rsidRPr="005B5C2F">
        <w:t>una presentación oral de</w:t>
      </w:r>
      <w:r w:rsidR="00B80C06">
        <w:t xml:space="preserve"> </w:t>
      </w:r>
      <w:r w:rsidRPr="005B5C2F">
        <w:t>l</w:t>
      </w:r>
      <w:r w:rsidR="00B80C06">
        <w:t>a</w:t>
      </w:r>
      <w:r w:rsidRPr="005B5C2F">
        <w:t xml:space="preserve"> President</w:t>
      </w:r>
      <w:r w:rsidR="00B80C06">
        <w:t>a</w:t>
      </w:r>
      <w:r w:rsidRPr="005B5C2F">
        <w:t xml:space="preserve"> del CAJ sobre los trabajos de la </w:t>
      </w:r>
      <w:r w:rsidR="00386737" w:rsidRPr="005B5C2F">
        <w:t>octogésima</w:t>
      </w:r>
      <w:r w:rsidRPr="005B5C2F">
        <w:t xml:space="preserve"> primera sesión del CAJ, basada en el documento </w:t>
      </w:r>
      <w:r w:rsidR="005679C2" w:rsidRPr="005B5C2F">
        <w:t xml:space="preserve">CAJ/81/7 </w:t>
      </w:r>
      <w:r w:rsidRPr="005B5C2F">
        <w:t>"Informe".</w:t>
      </w:r>
    </w:p>
    <w:p w14:paraId="473D5E73" w14:textId="77777777" w:rsidR="00587833" w:rsidRPr="005B5C2F" w:rsidRDefault="00587833" w:rsidP="00FB4867">
      <w:pPr>
        <w:shd w:val="clear" w:color="auto" w:fill="FFFFFF" w:themeFill="background1"/>
      </w:pPr>
    </w:p>
    <w:p w14:paraId="185D3FD1" w14:textId="77777777" w:rsidR="00107C90" w:rsidRPr="005B5C2F" w:rsidRDefault="003927B3">
      <w:pPr>
        <w:shd w:val="clear" w:color="auto" w:fill="FFFFFF" w:themeFill="background1"/>
      </w:pPr>
      <w:r w:rsidRPr="005B5C2F">
        <w:rPr>
          <w:rFonts w:cs="Arial"/>
          <w:snapToGrid w:val="0"/>
        </w:rPr>
        <w:fldChar w:fldCharType="begin"/>
      </w:r>
      <w:r w:rsidRPr="005B5C2F">
        <w:rPr>
          <w:rFonts w:cs="Arial"/>
          <w:snapToGrid w:val="0"/>
        </w:rPr>
        <w:instrText xml:space="preserve"> AUTONUM  </w:instrText>
      </w:r>
      <w:r w:rsidRPr="005B5C2F">
        <w:rPr>
          <w:rFonts w:cs="Arial"/>
          <w:snapToGrid w:val="0"/>
        </w:rPr>
        <w:fldChar w:fldCharType="end"/>
      </w:r>
      <w:r w:rsidRPr="005B5C2F">
        <w:rPr>
          <w:rFonts w:cs="Arial"/>
          <w:snapToGrid w:val="0"/>
        </w:rPr>
        <w:tab/>
        <w:t xml:space="preserve">El Consejo </w:t>
      </w:r>
      <w:r w:rsidRPr="005B5C2F">
        <w:t xml:space="preserve">aprobó el programa de trabajo de la </w:t>
      </w:r>
      <w:r w:rsidR="00386737" w:rsidRPr="005B5C2F">
        <w:t>octogésima</w:t>
      </w:r>
      <w:r w:rsidRPr="005B5C2F">
        <w:t xml:space="preserve"> segunda sesión del CAJ, presentado en el informe de la </w:t>
      </w:r>
      <w:r w:rsidR="00386737" w:rsidRPr="005B5C2F">
        <w:t>octogésima</w:t>
      </w:r>
      <w:r w:rsidRPr="005B5C2F">
        <w:t xml:space="preserve"> primera sesión del CAJ (véase el documento </w:t>
      </w:r>
      <w:r w:rsidR="00827B2A" w:rsidRPr="005B5C2F">
        <w:t xml:space="preserve">CAJ/81/7 </w:t>
      </w:r>
      <w:r w:rsidRPr="005B5C2F">
        <w:t xml:space="preserve">"Informe", párrafo </w:t>
      </w:r>
      <w:r w:rsidR="00827B2A" w:rsidRPr="005B5C2F">
        <w:t>61</w:t>
      </w:r>
      <w:r w:rsidRPr="005B5C2F">
        <w:t>).</w:t>
      </w:r>
    </w:p>
    <w:p w14:paraId="4C65E6D4" w14:textId="77777777" w:rsidR="00D45BE7" w:rsidRPr="005B5C2F" w:rsidRDefault="00D45BE7" w:rsidP="00FB4867">
      <w:pPr>
        <w:shd w:val="clear" w:color="auto" w:fill="FFFFFF" w:themeFill="background1"/>
      </w:pPr>
    </w:p>
    <w:p w14:paraId="7C552BCD" w14:textId="63DF902B" w:rsidR="00107C90" w:rsidRPr="005B5C2F" w:rsidRDefault="003927B3">
      <w:pPr>
        <w:shd w:val="clear" w:color="auto" w:fill="FFFFFF" w:themeFill="background1"/>
        <w:rPr>
          <w:rFonts w:cs="Arial"/>
          <w:snapToGrid w:val="0"/>
          <w:spacing w:val="-2"/>
        </w:rPr>
      </w:pPr>
      <w:r w:rsidRPr="005B5C2F">
        <w:rPr>
          <w:rFonts w:cs="Arial"/>
          <w:snapToGrid w:val="0"/>
          <w:spacing w:val="-2"/>
        </w:rPr>
        <w:fldChar w:fldCharType="begin"/>
      </w:r>
      <w:r w:rsidRPr="005B5C2F">
        <w:rPr>
          <w:rFonts w:cs="Arial"/>
          <w:snapToGrid w:val="0"/>
          <w:spacing w:val="-2"/>
        </w:rPr>
        <w:instrText xml:space="preserve"> AUTONUM  </w:instrText>
      </w:r>
      <w:r w:rsidRPr="005B5C2F">
        <w:rPr>
          <w:rFonts w:cs="Arial"/>
          <w:snapToGrid w:val="0"/>
          <w:spacing w:val="-2"/>
        </w:rPr>
        <w:fldChar w:fldCharType="end"/>
      </w:r>
      <w:r w:rsidRPr="005B5C2F">
        <w:rPr>
          <w:rFonts w:cs="Arial"/>
          <w:snapToGrid w:val="0"/>
          <w:spacing w:val="-2"/>
        </w:rPr>
        <w:tab/>
        <w:t xml:space="preserve">El Consejo tomó nota de la labor del Comité Técnico (TC) y de los Grupos de Trabajo Técnico (TWP), así como de la presentación oral realizada por </w:t>
      </w:r>
      <w:r w:rsidR="00B80C06">
        <w:rPr>
          <w:rFonts w:cs="Arial"/>
          <w:snapToGrid w:val="0"/>
          <w:spacing w:val="-2"/>
        </w:rPr>
        <w:t>la</w:t>
      </w:r>
      <w:r w:rsidRPr="005B5C2F">
        <w:rPr>
          <w:rFonts w:cs="Arial"/>
          <w:snapToGrid w:val="0"/>
          <w:spacing w:val="-2"/>
        </w:rPr>
        <w:t xml:space="preserve"> President</w:t>
      </w:r>
      <w:r w:rsidR="00B80C06">
        <w:rPr>
          <w:rFonts w:cs="Arial"/>
          <w:snapToGrid w:val="0"/>
          <w:spacing w:val="-2"/>
        </w:rPr>
        <w:t>a</w:t>
      </w:r>
      <w:r w:rsidRPr="005B5C2F">
        <w:rPr>
          <w:rFonts w:cs="Arial"/>
          <w:snapToGrid w:val="0"/>
          <w:spacing w:val="-2"/>
        </w:rPr>
        <w:t xml:space="preserve"> del TC sobre los trabajos de la </w:t>
      </w:r>
      <w:r w:rsidR="00386737" w:rsidRPr="005B5C2F">
        <w:rPr>
          <w:rFonts w:cs="Arial"/>
          <w:snapToGrid w:val="0"/>
          <w:spacing w:val="-2"/>
        </w:rPr>
        <w:t xml:space="preserve">sexagésima </w:t>
      </w:r>
      <w:r w:rsidRPr="005B5C2F">
        <w:rPr>
          <w:rFonts w:cs="Arial"/>
          <w:snapToGrid w:val="0"/>
          <w:spacing w:val="-2"/>
        </w:rPr>
        <w:t xml:space="preserve">sesión del TC, basada en el documento </w:t>
      </w:r>
      <w:r w:rsidR="00D13C52" w:rsidRPr="005B5C2F">
        <w:rPr>
          <w:rFonts w:cs="Arial"/>
          <w:snapToGrid w:val="0"/>
          <w:spacing w:val="-2"/>
        </w:rPr>
        <w:t xml:space="preserve">TC/60/8 </w:t>
      </w:r>
      <w:r w:rsidRPr="005B5C2F">
        <w:rPr>
          <w:rFonts w:cs="Arial"/>
          <w:snapToGrid w:val="0"/>
          <w:spacing w:val="-2"/>
        </w:rPr>
        <w:t>"Informe".</w:t>
      </w:r>
    </w:p>
    <w:p w14:paraId="6A7E610A" w14:textId="77777777" w:rsidR="00D45BE7" w:rsidRPr="005B5C2F" w:rsidRDefault="00D45BE7" w:rsidP="00FB4867">
      <w:pPr>
        <w:shd w:val="clear" w:color="auto" w:fill="FFFFFF" w:themeFill="background1"/>
        <w:rPr>
          <w:rFonts w:cs="Arial"/>
          <w:snapToGrid w:val="0"/>
          <w:spacing w:val="-2"/>
        </w:rPr>
      </w:pPr>
    </w:p>
    <w:p w14:paraId="0D5DA95B" w14:textId="77777777" w:rsidR="00107C90" w:rsidRPr="005B5C2F" w:rsidRDefault="003927B3">
      <w:pPr>
        <w:shd w:val="clear" w:color="auto" w:fill="FFFFFF" w:themeFill="background1"/>
        <w:rPr>
          <w:spacing w:val="-2"/>
        </w:rPr>
      </w:pPr>
      <w:r w:rsidRPr="005B5C2F">
        <w:rPr>
          <w:rFonts w:cs="Arial"/>
          <w:snapToGrid w:val="0"/>
          <w:spacing w:val="-2"/>
        </w:rPr>
        <w:fldChar w:fldCharType="begin"/>
      </w:r>
      <w:r w:rsidRPr="005B5C2F">
        <w:rPr>
          <w:rFonts w:cs="Arial"/>
          <w:snapToGrid w:val="0"/>
          <w:spacing w:val="-2"/>
        </w:rPr>
        <w:instrText xml:space="preserve"> AUTONUM  </w:instrText>
      </w:r>
      <w:r w:rsidRPr="005B5C2F">
        <w:rPr>
          <w:rFonts w:cs="Arial"/>
          <w:snapToGrid w:val="0"/>
          <w:spacing w:val="-2"/>
        </w:rPr>
        <w:fldChar w:fldCharType="end"/>
      </w:r>
      <w:r w:rsidRPr="005B5C2F">
        <w:rPr>
          <w:rFonts w:cs="Arial"/>
          <w:snapToGrid w:val="0"/>
          <w:spacing w:val="-2"/>
        </w:rPr>
        <w:tab/>
      </w:r>
      <w:r w:rsidRPr="005B5C2F">
        <w:rPr>
          <w:spacing w:val="-2"/>
        </w:rPr>
        <w:t xml:space="preserve">El Consejo aprobó la labor del TC y los programas de trabajo de los TWP que figuran en el documento </w:t>
      </w:r>
      <w:r w:rsidR="00D13C52" w:rsidRPr="005B5C2F">
        <w:rPr>
          <w:spacing w:val="-2"/>
        </w:rPr>
        <w:t xml:space="preserve">TC/60/8 </w:t>
      </w:r>
      <w:r w:rsidRPr="005B5C2F">
        <w:rPr>
          <w:spacing w:val="-2"/>
        </w:rPr>
        <w:t>"Informe".</w:t>
      </w:r>
    </w:p>
    <w:p w14:paraId="5D36D10A" w14:textId="77777777" w:rsidR="00D45BE7" w:rsidRDefault="00D45BE7" w:rsidP="00FB4867">
      <w:pPr>
        <w:shd w:val="clear" w:color="auto" w:fill="FFFFFF" w:themeFill="background1"/>
        <w:rPr>
          <w:spacing w:val="-2"/>
        </w:rPr>
      </w:pPr>
    </w:p>
    <w:p w14:paraId="3DB0F849" w14:textId="77777777" w:rsidR="00E75A3F" w:rsidRPr="005B5C2F" w:rsidRDefault="00E75A3F" w:rsidP="00FB4867">
      <w:pPr>
        <w:shd w:val="clear" w:color="auto" w:fill="FFFFFF" w:themeFill="background1"/>
        <w:rPr>
          <w:spacing w:val="-2"/>
        </w:rPr>
      </w:pPr>
    </w:p>
    <w:p w14:paraId="2769A710" w14:textId="77777777" w:rsidR="00107C90" w:rsidRPr="005B5C2F" w:rsidRDefault="003927B3">
      <w:pPr>
        <w:pStyle w:val="Heading2"/>
        <w:shd w:val="clear" w:color="auto" w:fill="FFFFFF" w:themeFill="background1"/>
        <w:rPr>
          <w:lang w:val="es-ES_tradnl"/>
        </w:rPr>
      </w:pPr>
      <w:r w:rsidRPr="005B5C2F">
        <w:rPr>
          <w:lang w:val="es-ES_tradnl"/>
        </w:rPr>
        <w:t xml:space="preserve">Calendario de reuniones en </w:t>
      </w:r>
      <w:r w:rsidR="00A15716" w:rsidRPr="005B5C2F">
        <w:rPr>
          <w:lang w:val="es-ES_tradnl"/>
        </w:rPr>
        <w:t>2024</w:t>
      </w:r>
    </w:p>
    <w:p w14:paraId="1B3AD779" w14:textId="78178EFB" w:rsidR="00107C90" w:rsidRPr="005B5C2F" w:rsidRDefault="003927B3">
      <w:pPr>
        <w:shd w:val="clear" w:color="auto" w:fill="FFFFFF" w:themeFill="background1"/>
        <w:rPr>
          <w:rFonts w:cs="Arial"/>
          <w:snapToGrid w:val="0"/>
        </w:rPr>
      </w:pPr>
      <w:r w:rsidRPr="005B5C2F">
        <w:rPr>
          <w:rFonts w:cs="Arial"/>
          <w:snapToGrid w:val="0"/>
        </w:rPr>
        <w:fldChar w:fldCharType="begin"/>
      </w:r>
      <w:r w:rsidRPr="005B5C2F">
        <w:rPr>
          <w:rFonts w:cs="Arial"/>
          <w:snapToGrid w:val="0"/>
        </w:rPr>
        <w:instrText xml:space="preserve"> AUTONUM  </w:instrText>
      </w:r>
      <w:r w:rsidRPr="005B5C2F">
        <w:rPr>
          <w:rFonts w:cs="Arial"/>
          <w:snapToGrid w:val="0"/>
        </w:rPr>
        <w:fldChar w:fldCharType="end"/>
      </w:r>
      <w:r w:rsidRPr="005B5C2F">
        <w:rPr>
          <w:rFonts w:cs="Arial"/>
          <w:snapToGrid w:val="0"/>
        </w:rPr>
        <w:tab/>
        <w:t>El Consejo examin</w:t>
      </w:r>
      <w:r w:rsidR="00E75A3F">
        <w:rPr>
          <w:rFonts w:cs="Arial"/>
          <w:snapToGrid w:val="0"/>
        </w:rPr>
        <w:t>ó</w:t>
      </w:r>
      <w:r w:rsidRPr="005B5C2F">
        <w:rPr>
          <w:rFonts w:cs="Arial"/>
          <w:snapToGrid w:val="0"/>
        </w:rPr>
        <w:t xml:space="preserve"> el documento C/58/8 y la recomendación del Comité Consultivo en su centésima </w:t>
      </w:r>
      <w:r w:rsidR="00A15716" w:rsidRPr="005B5C2F">
        <w:rPr>
          <w:rFonts w:cs="Arial"/>
          <w:snapToGrid w:val="0"/>
        </w:rPr>
        <w:t>segunda</w:t>
      </w:r>
      <w:r w:rsidR="00E75A3F">
        <w:rPr>
          <w:rFonts w:cs="Arial"/>
          <w:snapToGrid w:val="0"/>
        </w:rPr>
        <w:t xml:space="preserve"> sesión</w:t>
      </w:r>
      <w:r w:rsidRPr="005B5C2F">
        <w:rPr>
          <w:rFonts w:cs="Arial"/>
          <w:snapToGrid w:val="0"/>
        </w:rPr>
        <w:t xml:space="preserve">, de la que se informa en el documento </w:t>
      </w:r>
      <w:r w:rsidR="00A15716" w:rsidRPr="005B5C2F">
        <w:rPr>
          <w:rFonts w:cs="Arial"/>
          <w:snapToGrid w:val="0"/>
        </w:rPr>
        <w:t>C/58/15</w:t>
      </w:r>
      <w:r w:rsidRPr="005B5C2F">
        <w:rPr>
          <w:rFonts w:cs="Arial"/>
          <w:snapToGrid w:val="0"/>
        </w:rPr>
        <w:t>.</w:t>
      </w:r>
    </w:p>
    <w:p w14:paraId="3B68FB73" w14:textId="77777777" w:rsidR="00D45BE7" w:rsidRPr="005B5C2F" w:rsidRDefault="00D45BE7" w:rsidP="00FB4867">
      <w:pPr>
        <w:shd w:val="clear" w:color="auto" w:fill="FFFFFF" w:themeFill="background1"/>
        <w:rPr>
          <w:rFonts w:cs="Arial"/>
          <w:snapToGrid w:val="0"/>
        </w:rPr>
      </w:pPr>
    </w:p>
    <w:p w14:paraId="458330FC" w14:textId="7567E5D9" w:rsidR="00107C90" w:rsidRPr="005B5C2F" w:rsidRDefault="003927B3">
      <w:pPr>
        <w:shd w:val="clear" w:color="auto" w:fill="FFFFFF" w:themeFill="background1"/>
        <w:rPr>
          <w:rFonts w:cs="Arial"/>
          <w:snapToGrid w:val="0"/>
        </w:rPr>
      </w:pPr>
      <w:r w:rsidRPr="005B5C2F">
        <w:rPr>
          <w:rFonts w:cs="Arial"/>
          <w:snapToGrid w:val="0"/>
        </w:rPr>
        <w:fldChar w:fldCharType="begin"/>
      </w:r>
      <w:r w:rsidRPr="005B5C2F">
        <w:rPr>
          <w:rFonts w:cs="Arial"/>
          <w:snapToGrid w:val="0"/>
        </w:rPr>
        <w:instrText xml:space="preserve"> AUTONUM  </w:instrText>
      </w:r>
      <w:r w:rsidRPr="005B5C2F">
        <w:rPr>
          <w:rFonts w:cs="Arial"/>
          <w:snapToGrid w:val="0"/>
        </w:rPr>
        <w:fldChar w:fldCharType="end"/>
      </w:r>
      <w:r w:rsidR="00E75A3F">
        <w:rPr>
          <w:rFonts w:cs="Arial"/>
          <w:snapToGrid w:val="0"/>
        </w:rPr>
        <w:tab/>
      </w:r>
      <w:r w:rsidRPr="005B5C2F">
        <w:rPr>
          <w:rFonts w:cs="Arial"/>
          <w:snapToGrid w:val="0"/>
        </w:rPr>
        <w:t xml:space="preserve">El Consejo </w:t>
      </w:r>
      <w:r w:rsidR="00E75A3F">
        <w:rPr>
          <w:rFonts w:cs="Arial"/>
          <w:snapToGrid w:val="0"/>
        </w:rPr>
        <w:t xml:space="preserve">aprobó </w:t>
      </w:r>
      <w:r w:rsidRPr="005B5C2F">
        <w:rPr>
          <w:rFonts w:cs="Arial"/>
          <w:snapToGrid w:val="0"/>
        </w:rPr>
        <w:t xml:space="preserve">el calendario de reuniones para </w:t>
      </w:r>
      <w:r w:rsidR="00A15716" w:rsidRPr="005B5C2F">
        <w:rPr>
          <w:rFonts w:cs="Arial"/>
          <w:snapToGrid w:val="0"/>
        </w:rPr>
        <w:t xml:space="preserve">2025 </w:t>
      </w:r>
      <w:r w:rsidRPr="005B5C2F">
        <w:rPr>
          <w:rFonts w:cs="Arial"/>
          <w:snapToGrid w:val="0"/>
        </w:rPr>
        <w:t xml:space="preserve">y las fechas provisionales para las reuniones de </w:t>
      </w:r>
      <w:r w:rsidR="00A15716" w:rsidRPr="005B5C2F">
        <w:rPr>
          <w:rFonts w:cs="Arial"/>
          <w:snapToGrid w:val="0"/>
        </w:rPr>
        <w:t xml:space="preserve">2026 </w:t>
      </w:r>
      <w:r w:rsidRPr="005B5C2F">
        <w:rPr>
          <w:rFonts w:cs="Arial"/>
          <w:snapToGrid w:val="0"/>
        </w:rPr>
        <w:t xml:space="preserve">y </w:t>
      </w:r>
      <w:r w:rsidR="00A15716" w:rsidRPr="005B5C2F">
        <w:rPr>
          <w:rFonts w:cs="Arial"/>
          <w:snapToGrid w:val="0"/>
        </w:rPr>
        <w:t>2027</w:t>
      </w:r>
      <w:r w:rsidRPr="005B5C2F">
        <w:rPr>
          <w:rFonts w:cs="Arial"/>
          <w:snapToGrid w:val="0"/>
        </w:rPr>
        <w:t>, que figuran en el documento C/58/8, con los siguientes cambios:</w:t>
      </w:r>
    </w:p>
    <w:p w14:paraId="54FB14F4" w14:textId="77777777" w:rsidR="00D45BE7" w:rsidRPr="005B5C2F" w:rsidRDefault="00D45BE7" w:rsidP="00FB4867">
      <w:pPr>
        <w:shd w:val="clear" w:color="auto" w:fill="FFFFFF" w:themeFill="background1"/>
      </w:pPr>
    </w:p>
    <w:p w14:paraId="3F5FB393" w14:textId="77777777" w:rsidR="00107C90" w:rsidRPr="005B5C2F" w:rsidRDefault="003927B3">
      <w:pPr>
        <w:shd w:val="clear" w:color="auto" w:fill="FFFFFF" w:themeFill="background1"/>
        <w:rPr>
          <w:rFonts w:cs="Arial"/>
          <w:u w:val="single"/>
        </w:rPr>
      </w:pPr>
      <w:r w:rsidRPr="005B5C2F">
        <w:rPr>
          <w:rFonts w:cs="Arial"/>
          <w:u w:val="single"/>
        </w:rPr>
        <w:t>FECHAS DE REUNIONES EN 2025</w:t>
      </w:r>
    </w:p>
    <w:p w14:paraId="5578ED8F" w14:textId="77777777" w:rsidR="00A613DB" w:rsidRPr="005B5C2F" w:rsidRDefault="00A613DB" w:rsidP="00FB4867">
      <w:pPr>
        <w:shd w:val="clear" w:color="auto" w:fill="FFFFFF" w:themeFill="background1"/>
      </w:pPr>
    </w:p>
    <w:p w14:paraId="1B3E7B04" w14:textId="447044AE" w:rsidR="00107C90" w:rsidRPr="005B5C2F" w:rsidRDefault="003927B3">
      <w:pPr>
        <w:pStyle w:val="Heading2"/>
        <w:shd w:val="clear" w:color="auto" w:fill="FFFFFF" w:themeFill="background1"/>
        <w:rPr>
          <w:i/>
          <w:u w:val="none"/>
          <w:lang w:val="es-ES_tradnl"/>
        </w:rPr>
      </w:pPr>
      <w:r w:rsidRPr="005B5C2F">
        <w:rPr>
          <w:lang w:val="es-ES_tradnl"/>
        </w:rPr>
        <w:t xml:space="preserve">MARZO </w:t>
      </w:r>
      <w:r w:rsidR="00E75A3F">
        <w:rPr>
          <w:lang w:val="es-ES_tradnl"/>
        </w:rPr>
        <w:t xml:space="preserve">DE </w:t>
      </w:r>
      <w:r w:rsidRPr="005B5C2F">
        <w:rPr>
          <w:lang w:val="es-ES_tradnl"/>
        </w:rPr>
        <w:t>2025</w:t>
      </w:r>
    </w:p>
    <w:p w14:paraId="470209CA" w14:textId="64A3BC25" w:rsidR="00107C90" w:rsidRPr="005B5C2F" w:rsidRDefault="003927B3">
      <w:pPr>
        <w:shd w:val="clear" w:color="auto" w:fill="FFFFFF" w:themeFill="background1"/>
        <w:tabs>
          <w:tab w:val="left" w:pos="284"/>
        </w:tabs>
        <w:ind w:left="3828" w:hanging="3828"/>
        <w:jc w:val="left"/>
        <w:rPr>
          <w:szCs w:val="22"/>
        </w:rPr>
      </w:pPr>
      <w:r w:rsidRPr="005B5C2F">
        <w:rPr>
          <w:szCs w:val="22"/>
        </w:rPr>
        <w:tab/>
        <w:t>Lunes, 17</w:t>
      </w:r>
      <w:r w:rsidR="00E75A3F">
        <w:rPr>
          <w:szCs w:val="22"/>
        </w:rPr>
        <w:tab/>
      </w:r>
      <w:r w:rsidRPr="005B5C2F">
        <w:rPr>
          <w:szCs w:val="22"/>
        </w:rPr>
        <w:t>EAM/5 (reunión virtual)</w:t>
      </w:r>
    </w:p>
    <w:p w14:paraId="343E7335" w14:textId="5915C6AF" w:rsidR="00107C90" w:rsidRPr="005B5C2F" w:rsidRDefault="003927B3">
      <w:pPr>
        <w:shd w:val="clear" w:color="auto" w:fill="FFFFFF" w:themeFill="background1"/>
        <w:tabs>
          <w:tab w:val="left" w:pos="284"/>
        </w:tabs>
        <w:ind w:left="3828" w:hanging="3828"/>
        <w:jc w:val="left"/>
      </w:pPr>
      <w:r w:rsidRPr="005B5C2F">
        <w:rPr>
          <w:szCs w:val="22"/>
        </w:rPr>
        <w:tab/>
        <w:t>Martes 18 y miércoles 19</w:t>
      </w:r>
      <w:r w:rsidR="00E75A3F">
        <w:rPr>
          <w:szCs w:val="22"/>
        </w:rPr>
        <w:tab/>
      </w:r>
      <w:r w:rsidRPr="005B5C2F">
        <w:rPr>
          <w:szCs w:val="22"/>
        </w:rPr>
        <w:t xml:space="preserve">TC-EDC </w:t>
      </w:r>
      <w:r w:rsidRPr="005B5C2F">
        <w:t xml:space="preserve">(reunión virtual) </w:t>
      </w:r>
    </w:p>
    <w:p w14:paraId="5AD69683" w14:textId="080A6748" w:rsidR="00107C90" w:rsidRPr="005B5C2F" w:rsidRDefault="003927B3">
      <w:pPr>
        <w:shd w:val="clear" w:color="auto" w:fill="FFFFFF" w:themeFill="background1"/>
        <w:tabs>
          <w:tab w:val="left" w:pos="284"/>
        </w:tabs>
        <w:ind w:left="3828" w:hanging="3828"/>
        <w:jc w:val="left"/>
      </w:pPr>
      <w:r w:rsidRPr="005B5C2F">
        <w:tab/>
        <w:t>Jueves, 20</w:t>
      </w:r>
      <w:r w:rsidR="00E75A3F">
        <w:tab/>
      </w:r>
      <w:r w:rsidRPr="005B5C2F">
        <w:t xml:space="preserve">WG-HRV/7 (reunión virtual) </w:t>
      </w:r>
    </w:p>
    <w:p w14:paraId="75590CC2" w14:textId="77777777" w:rsidR="00107C90" w:rsidRPr="005B5C2F" w:rsidRDefault="003927B3">
      <w:pPr>
        <w:shd w:val="clear" w:color="auto" w:fill="FFFFFF" w:themeFill="background1"/>
        <w:tabs>
          <w:tab w:val="left" w:pos="284"/>
        </w:tabs>
        <w:ind w:left="3828" w:hanging="3828"/>
        <w:jc w:val="left"/>
        <w:rPr>
          <w:strike/>
          <w:szCs w:val="22"/>
        </w:rPr>
      </w:pPr>
      <w:r w:rsidRPr="005B5C2F">
        <w:tab/>
      </w:r>
      <w:r w:rsidRPr="005B5C2F">
        <w:rPr>
          <w:strike/>
          <w:szCs w:val="22"/>
          <w:highlight w:val="lightGray"/>
        </w:rPr>
        <w:t>viernes, 21</w:t>
      </w:r>
      <w:r w:rsidRPr="005B5C2F">
        <w:tab/>
      </w:r>
      <w:r w:rsidRPr="005B5C2F">
        <w:rPr>
          <w:strike/>
          <w:szCs w:val="22"/>
          <w:highlight w:val="lightGray"/>
        </w:rPr>
        <w:t xml:space="preserve">WG-SHF/7 (reunión virtual) </w:t>
      </w:r>
    </w:p>
    <w:p w14:paraId="744B6144" w14:textId="77777777" w:rsidR="00107C90" w:rsidRPr="005B5C2F" w:rsidRDefault="003927B3">
      <w:pPr>
        <w:shd w:val="clear" w:color="auto" w:fill="FFFFFF" w:themeFill="background1"/>
        <w:tabs>
          <w:tab w:val="left" w:pos="284"/>
        </w:tabs>
        <w:ind w:left="3828" w:hanging="3828"/>
        <w:jc w:val="left"/>
        <w:rPr>
          <w:rFonts w:cs="Arial"/>
        </w:rPr>
      </w:pPr>
      <w:r w:rsidRPr="005B5C2F">
        <w:rPr>
          <w:szCs w:val="22"/>
        </w:rPr>
        <w:tab/>
        <w:t xml:space="preserve">Lunes 31 </w:t>
      </w:r>
      <w:r w:rsidRPr="005B5C2F">
        <w:t>[</w:t>
      </w:r>
      <w:r w:rsidRPr="005B5C2F">
        <w:rPr>
          <w:szCs w:val="22"/>
        </w:rPr>
        <w:t>a jueves 3 de abril]</w:t>
      </w:r>
      <w:r w:rsidRPr="005B5C2F">
        <w:rPr>
          <w:rFonts w:cs="Arial"/>
        </w:rPr>
        <w:tab/>
      </w:r>
      <w:r w:rsidRPr="005B5C2F">
        <w:t xml:space="preserve">TWO/57 </w:t>
      </w:r>
      <w:r w:rsidRPr="005B5C2F">
        <w:rPr>
          <w:rFonts w:cs="Arial"/>
        </w:rPr>
        <w:t>(Roelofarendsveen, Reino de los Países Bajos)</w:t>
      </w:r>
    </w:p>
    <w:p w14:paraId="0ADF5209" w14:textId="77777777" w:rsidR="007F41B2" w:rsidRPr="005B5C2F" w:rsidRDefault="007F41B2" w:rsidP="00FB4867">
      <w:pPr>
        <w:shd w:val="clear" w:color="auto" w:fill="FFFFFF" w:themeFill="background1"/>
      </w:pPr>
    </w:p>
    <w:p w14:paraId="345ADF23" w14:textId="56CF7D33" w:rsidR="00107C90" w:rsidRPr="005B5C2F" w:rsidRDefault="003927B3">
      <w:pPr>
        <w:pStyle w:val="Heading2"/>
        <w:shd w:val="clear" w:color="auto" w:fill="FFFFFF" w:themeFill="background1"/>
        <w:rPr>
          <w:i/>
          <w:u w:val="none"/>
          <w:lang w:val="es-ES_tradnl"/>
        </w:rPr>
      </w:pPr>
      <w:r w:rsidRPr="005B5C2F">
        <w:rPr>
          <w:lang w:val="es-ES_tradnl"/>
        </w:rPr>
        <w:lastRenderedPageBreak/>
        <w:t xml:space="preserve">ABRIL </w:t>
      </w:r>
      <w:r w:rsidR="00E75A3F">
        <w:rPr>
          <w:lang w:val="es-ES_tradnl"/>
        </w:rPr>
        <w:t xml:space="preserve">DE </w:t>
      </w:r>
      <w:r w:rsidRPr="005B5C2F">
        <w:rPr>
          <w:lang w:val="es-ES_tradnl"/>
        </w:rPr>
        <w:t>2025</w:t>
      </w:r>
    </w:p>
    <w:p w14:paraId="1D2F2094" w14:textId="3EE2E113" w:rsidR="00107C90" w:rsidRPr="005B5C2F" w:rsidRDefault="003927B3">
      <w:pPr>
        <w:shd w:val="clear" w:color="auto" w:fill="FFFFFF" w:themeFill="background1"/>
        <w:tabs>
          <w:tab w:val="left" w:pos="284"/>
        </w:tabs>
        <w:ind w:left="3828" w:hanging="3828"/>
        <w:jc w:val="left"/>
        <w:rPr>
          <w:strike/>
          <w:szCs w:val="22"/>
        </w:rPr>
      </w:pPr>
      <w:r w:rsidRPr="005B5C2F">
        <w:rPr>
          <w:szCs w:val="22"/>
        </w:rPr>
        <w:tab/>
      </w:r>
      <w:r w:rsidRPr="005B5C2F">
        <w:rPr>
          <w:strike/>
          <w:szCs w:val="22"/>
          <w:highlight w:val="lightGray"/>
        </w:rPr>
        <w:t>De</w:t>
      </w:r>
      <w:r w:rsidR="00E75A3F">
        <w:rPr>
          <w:strike/>
          <w:szCs w:val="22"/>
          <w:highlight w:val="lightGray"/>
        </w:rPr>
        <w:t>l</w:t>
      </w:r>
      <w:r w:rsidRPr="005B5C2F">
        <w:rPr>
          <w:strike/>
          <w:szCs w:val="22"/>
          <w:highlight w:val="lightGray"/>
        </w:rPr>
        <w:t xml:space="preserve"> lunes 7 a</w:t>
      </w:r>
      <w:r w:rsidR="00E75A3F">
        <w:rPr>
          <w:strike/>
          <w:szCs w:val="22"/>
          <w:highlight w:val="lightGray"/>
        </w:rPr>
        <w:t>l</w:t>
      </w:r>
      <w:r w:rsidRPr="005B5C2F">
        <w:rPr>
          <w:strike/>
          <w:szCs w:val="22"/>
          <w:highlight w:val="lightGray"/>
        </w:rPr>
        <w:t xml:space="preserve"> jueves 10</w:t>
      </w:r>
    </w:p>
    <w:p w14:paraId="34017F98" w14:textId="5FD003D7" w:rsidR="00107C90" w:rsidRPr="005B5C2F" w:rsidRDefault="003927B3">
      <w:pPr>
        <w:shd w:val="clear" w:color="auto" w:fill="FFFFFF" w:themeFill="background1"/>
        <w:tabs>
          <w:tab w:val="left" w:pos="284"/>
        </w:tabs>
        <w:ind w:left="3828" w:hanging="3828"/>
        <w:jc w:val="left"/>
        <w:rPr>
          <w:szCs w:val="22"/>
        </w:rPr>
      </w:pPr>
      <w:r w:rsidRPr="005B5C2F">
        <w:rPr>
          <w:szCs w:val="22"/>
        </w:rPr>
        <w:tab/>
      </w:r>
      <w:r w:rsidRPr="005B5C2F">
        <w:rPr>
          <w:szCs w:val="22"/>
          <w:highlight w:val="lightGray"/>
          <w:u w:val="single"/>
        </w:rPr>
        <w:t>Del lunes 28 al jueves 1 de mayo</w:t>
      </w:r>
      <w:r w:rsidRPr="005B5C2F">
        <w:rPr>
          <w:szCs w:val="22"/>
        </w:rPr>
        <w:tab/>
      </w:r>
      <w:r w:rsidRPr="005B5C2F">
        <w:rPr>
          <w:rFonts w:cs="Arial"/>
        </w:rPr>
        <w:t xml:space="preserve">TWM/3 </w:t>
      </w:r>
      <w:r w:rsidRPr="005B5C2F">
        <w:rPr>
          <w:rFonts w:cs="Arial"/>
          <w:strike/>
          <w:highlight w:val="lightGray"/>
        </w:rPr>
        <w:t>(reunión virtual)</w:t>
      </w:r>
      <w:r w:rsidRPr="005B5C2F">
        <w:rPr>
          <w:rFonts w:cs="Arial"/>
          <w:highlight w:val="lightGray"/>
        </w:rPr>
        <w:t xml:space="preserve">, </w:t>
      </w:r>
      <w:r w:rsidR="00E75A3F">
        <w:rPr>
          <w:rFonts w:cs="Arial"/>
          <w:highlight w:val="lightGray"/>
          <w:u w:val="single"/>
        </w:rPr>
        <w:t>Beijing</w:t>
      </w:r>
      <w:r w:rsidRPr="005B5C2F">
        <w:rPr>
          <w:rFonts w:cs="Arial"/>
          <w:highlight w:val="lightGray"/>
          <w:u w:val="single"/>
        </w:rPr>
        <w:t>, China (reunión híbrida)</w:t>
      </w:r>
    </w:p>
    <w:p w14:paraId="3888BC0B" w14:textId="77777777" w:rsidR="007F41B2" w:rsidRPr="005B5C2F" w:rsidRDefault="007F41B2" w:rsidP="00FB4867">
      <w:pPr>
        <w:shd w:val="clear" w:color="auto" w:fill="FFFFFF" w:themeFill="background1"/>
        <w:tabs>
          <w:tab w:val="left" w:pos="284"/>
        </w:tabs>
        <w:ind w:left="3686" w:hanging="3686"/>
        <w:jc w:val="left"/>
        <w:rPr>
          <w:szCs w:val="22"/>
          <w:u w:val="single"/>
        </w:rPr>
      </w:pPr>
    </w:p>
    <w:p w14:paraId="70A2B2F5" w14:textId="33078355" w:rsidR="00107C90" w:rsidRPr="005B5C2F" w:rsidRDefault="003927B3">
      <w:pPr>
        <w:pStyle w:val="Heading2"/>
        <w:shd w:val="clear" w:color="auto" w:fill="FFFFFF" w:themeFill="background1"/>
        <w:rPr>
          <w:lang w:val="es-ES_tradnl"/>
        </w:rPr>
      </w:pPr>
      <w:r w:rsidRPr="005B5C2F">
        <w:rPr>
          <w:lang w:val="es-ES_tradnl"/>
        </w:rPr>
        <w:t xml:space="preserve">OCTUBRE </w:t>
      </w:r>
      <w:r w:rsidR="00E75A3F">
        <w:rPr>
          <w:lang w:val="es-ES_tradnl"/>
        </w:rPr>
        <w:t xml:space="preserve">DE </w:t>
      </w:r>
      <w:r w:rsidRPr="005B5C2F">
        <w:rPr>
          <w:lang w:val="es-ES_tradnl"/>
        </w:rPr>
        <w:t>2025</w:t>
      </w:r>
    </w:p>
    <w:p w14:paraId="2CB84D5A" w14:textId="77777777" w:rsidR="00107C90" w:rsidRPr="005B5C2F" w:rsidRDefault="003927B3">
      <w:pPr>
        <w:shd w:val="clear" w:color="auto" w:fill="FFFFFF" w:themeFill="background1"/>
        <w:tabs>
          <w:tab w:val="left" w:pos="284"/>
        </w:tabs>
        <w:ind w:left="3828" w:hanging="3828"/>
        <w:jc w:val="left"/>
        <w:rPr>
          <w:rFonts w:cs="Arial"/>
        </w:rPr>
      </w:pPr>
      <w:r w:rsidRPr="005B5C2F">
        <w:rPr>
          <w:rFonts w:cs="Arial"/>
        </w:rPr>
        <w:tab/>
      </w:r>
      <w:r w:rsidRPr="005B5C2F">
        <w:rPr>
          <w:rFonts w:cs="Arial"/>
          <w:highlight w:val="lightGray"/>
          <w:u w:val="single"/>
        </w:rPr>
        <w:t>Martes 14 y jueves 16</w:t>
      </w:r>
      <w:r w:rsidRPr="005B5C2F">
        <w:rPr>
          <w:rFonts w:cs="Arial"/>
        </w:rPr>
        <w:tab/>
      </w:r>
      <w:r w:rsidRPr="005B5C2F">
        <w:rPr>
          <w:rFonts w:cs="Arial"/>
          <w:highlight w:val="lightGray"/>
          <w:u w:val="single"/>
        </w:rPr>
        <w:t>TC-EDC (reuniones virtuales)</w:t>
      </w:r>
    </w:p>
    <w:p w14:paraId="357C4259" w14:textId="6847F36B" w:rsidR="00107C90" w:rsidRPr="005B5C2F" w:rsidRDefault="003927B3">
      <w:pPr>
        <w:shd w:val="clear" w:color="auto" w:fill="FFFFFF" w:themeFill="background1"/>
        <w:tabs>
          <w:tab w:val="left" w:pos="284"/>
        </w:tabs>
        <w:ind w:left="3828" w:hanging="3828"/>
        <w:jc w:val="left"/>
        <w:rPr>
          <w:rFonts w:cs="Arial"/>
        </w:rPr>
      </w:pPr>
      <w:r w:rsidRPr="005B5C2F">
        <w:rPr>
          <w:rFonts w:cs="Arial"/>
        </w:rPr>
        <w:tab/>
      </w:r>
      <w:r w:rsidRPr="005B5C2F">
        <w:rPr>
          <w:rFonts w:cs="Arial"/>
          <w:highlight w:val="lightGray"/>
          <w:u w:val="single"/>
        </w:rPr>
        <w:t xml:space="preserve">Domingo 19 </w:t>
      </w:r>
      <w:r w:rsidRPr="005B5C2F">
        <w:rPr>
          <w:rFonts w:cs="Arial"/>
        </w:rPr>
        <w:t>y lunes 20 (tarde)</w:t>
      </w:r>
      <w:r w:rsidRPr="005B5C2F">
        <w:rPr>
          <w:rFonts w:cs="Arial"/>
        </w:rPr>
        <w:tab/>
        <w:t xml:space="preserve">TC-EDC </w:t>
      </w:r>
      <w:r w:rsidRPr="005B5C2F">
        <w:rPr>
          <w:rFonts w:cs="Arial"/>
          <w:highlight w:val="lightGray"/>
          <w:u w:val="single"/>
        </w:rPr>
        <w:t xml:space="preserve">(reuniones </w:t>
      </w:r>
      <w:r w:rsidR="00E75A3F">
        <w:rPr>
          <w:rFonts w:cs="Arial"/>
          <w:highlight w:val="lightGray"/>
          <w:u w:val="single"/>
        </w:rPr>
        <w:t>híbridas</w:t>
      </w:r>
      <w:r w:rsidRPr="005B5C2F">
        <w:rPr>
          <w:rFonts w:cs="Arial"/>
          <w:highlight w:val="lightGray"/>
          <w:u w:val="single"/>
        </w:rPr>
        <w:t>)</w:t>
      </w:r>
    </w:p>
    <w:p w14:paraId="7B0A2333" w14:textId="77777777" w:rsidR="00107C90" w:rsidRPr="005B5C2F" w:rsidRDefault="003927B3">
      <w:pPr>
        <w:shd w:val="clear" w:color="auto" w:fill="FFFFFF" w:themeFill="background1"/>
        <w:tabs>
          <w:tab w:val="left" w:pos="284"/>
        </w:tabs>
        <w:ind w:left="3828" w:hanging="3828"/>
        <w:jc w:val="left"/>
        <w:rPr>
          <w:szCs w:val="22"/>
        </w:rPr>
      </w:pPr>
      <w:r w:rsidRPr="005B5C2F">
        <w:rPr>
          <w:szCs w:val="22"/>
        </w:rPr>
        <w:tab/>
        <w:t xml:space="preserve">Lunes, 20 </w:t>
      </w:r>
      <w:r w:rsidRPr="005B5C2F">
        <w:rPr>
          <w:szCs w:val="22"/>
        </w:rPr>
        <w:tab/>
        <w:t>TC/61</w:t>
      </w:r>
    </w:p>
    <w:p w14:paraId="4EF557AF" w14:textId="77777777" w:rsidR="00107C90" w:rsidRPr="005B5C2F" w:rsidRDefault="003927B3">
      <w:pPr>
        <w:shd w:val="clear" w:color="auto" w:fill="FFFFFF" w:themeFill="background1"/>
        <w:tabs>
          <w:tab w:val="left" w:pos="284"/>
        </w:tabs>
        <w:ind w:left="3828" w:hanging="3828"/>
        <w:jc w:val="left"/>
        <w:rPr>
          <w:szCs w:val="22"/>
        </w:rPr>
      </w:pPr>
      <w:r w:rsidRPr="005B5C2F">
        <w:rPr>
          <w:szCs w:val="22"/>
        </w:rPr>
        <w:tab/>
        <w:t>Lunes, 20 (tarde)</w:t>
      </w:r>
      <w:r w:rsidRPr="005B5C2F">
        <w:rPr>
          <w:szCs w:val="22"/>
        </w:rPr>
        <w:tab/>
        <w:t>TC-EDC</w:t>
      </w:r>
    </w:p>
    <w:p w14:paraId="3531ADAA" w14:textId="0C502330" w:rsidR="00107C90" w:rsidRPr="005B5C2F" w:rsidRDefault="003927B3">
      <w:pPr>
        <w:shd w:val="clear" w:color="auto" w:fill="FFFFFF" w:themeFill="background1"/>
        <w:tabs>
          <w:tab w:val="left" w:pos="284"/>
        </w:tabs>
        <w:ind w:left="3828" w:hanging="3828"/>
        <w:jc w:val="left"/>
        <w:rPr>
          <w:szCs w:val="22"/>
        </w:rPr>
      </w:pPr>
      <w:r w:rsidRPr="005B5C2F">
        <w:rPr>
          <w:szCs w:val="22"/>
        </w:rPr>
        <w:tab/>
        <w:t>Martes, 21</w:t>
      </w:r>
      <w:r w:rsidR="00E75A3F">
        <w:rPr>
          <w:szCs w:val="22"/>
        </w:rPr>
        <w:tab/>
      </w:r>
      <w:r w:rsidRPr="005B5C2F">
        <w:rPr>
          <w:szCs w:val="22"/>
        </w:rPr>
        <w:t>TC/61</w:t>
      </w:r>
    </w:p>
    <w:p w14:paraId="4DE02B79" w14:textId="26E77B10" w:rsidR="00107C90" w:rsidRPr="005B5C2F" w:rsidRDefault="003927B3">
      <w:pPr>
        <w:shd w:val="clear" w:color="auto" w:fill="FFFFFF" w:themeFill="background1"/>
        <w:tabs>
          <w:tab w:val="left" w:pos="284"/>
        </w:tabs>
        <w:ind w:left="3828" w:hanging="3828"/>
        <w:jc w:val="left"/>
        <w:rPr>
          <w:szCs w:val="22"/>
        </w:rPr>
      </w:pPr>
      <w:r w:rsidRPr="005B5C2F">
        <w:rPr>
          <w:szCs w:val="22"/>
        </w:rPr>
        <w:tab/>
        <w:t>Martes, 21 (tarde)</w:t>
      </w:r>
      <w:r w:rsidRPr="005B5C2F">
        <w:rPr>
          <w:szCs w:val="22"/>
        </w:rPr>
        <w:tab/>
        <w:t>E</w:t>
      </w:r>
      <w:r w:rsidR="00E75A3F">
        <w:rPr>
          <w:szCs w:val="22"/>
        </w:rPr>
        <w:t>A</w:t>
      </w:r>
      <w:r w:rsidRPr="005B5C2F">
        <w:rPr>
          <w:szCs w:val="22"/>
        </w:rPr>
        <w:t xml:space="preserve">M/6 (reunión </w:t>
      </w:r>
      <w:r w:rsidR="00E75A3F">
        <w:rPr>
          <w:szCs w:val="22"/>
        </w:rPr>
        <w:t>híbrida</w:t>
      </w:r>
      <w:r w:rsidRPr="005B5C2F">
        <w:rPr>
          <w:szCs w:val="22"/>
        </w:rPr>
        <w:t>)</w:t>
      </w:r>
    </w:p>
    <w:p w14:paraId="2BF09D32" w14:textId="77777777" w:rsidR="00107C90" w:rsidRPr="005B5C2F" w:rsidRDefault="003927B3">
      <w:pPr>
        <w:shd w:val="clear" w:color="auto" w:fill="FFFFFF" w:themeFill="background1"/>
        <w:tabs>
          <w:tab w:val="left" w:pos="284"/>
        </w:tabs>
        <w:ind w:left="3828" w:hanging="3828"/>
        <w:jc w:val="left"/>
        <w:rPr>
          <w:szCs w:val="22"/>
          <w:u w:val="single"/>
        </w:rPr>
      </w:pPr>
      <w:r w:rsidRPr="005B5C2F">
        <w:rPr>
          <w:szCs w:val="22"/>
        </w:rPr>
        <w:tab/>
        <w:t xml:space="preserve">Miércoles, 22 </w:t>
      </w:r>
      <w:r w:rsidR="004B5855" w:rsidRPr="005B5C2F">
        <w:rPr>
          <w:szCs w:val="22"/>
        </w:rPr>
        <w:t>(</w:t>
      </w:r>
      <w:r w:rsidR="004B5855" w:rsidRPr="005B5C2F">
        <w:rPr>
          <w:rFonts w:cs="Arial"/>
          <w:highlight w:val="lightGray"/>
          <w:u w:val="single"/>
        </w:rPr>
        <w:t>mañana</w:t>
      </w:r>
      <w:r w:rsidR="004B5855" w:rsidRPr="005B5C2F">
        <w:rPr>
          <w:szCs w:val="22"/>
        </w:rPr>
        <w:t>)</w:t>
      </w:r>
      <w:r w:rsidRPr="005B5C2F">
        <w:rPr>
          <w:szCs w:val="22"/>
        </w:rPr>
        <w:tab/>
        <w:t>CAJ/82</w:t>
      </w:r>
    </w:p>
    <w:p w14:paraId="48CB51A4" w14:textId="77777777" w:rsidR="00107C90" w:rsidRPr="005B5C2F" w:rsidRDefault="003927B3">
      <w:pPr>
        <w:shd w:val="clear" w:color="auto" w:fill="FFFFFF" w:themeFill="background1"/>
        <w:tabs>
          <w:tab w:val="left" w:pos="284"/>
        </w:tabs>
        <w:ind w:left="3828" w:hanging="3828"/>
        <w:jc w:val="left"/>
        <w:rPr>
          <w:rFonts w:cs="Arial"/>
          <w:highlight w:val="lightGray"/>
          <w:u w:val="single"/>
        </w:rPr>
      </w:pPr>
      <w:r w:rsidRPr="005B5C2F">
        <w:rPr>
          <w:szCs w:val="22"/>
        </w:rPr>
        <w:tab/>
      </w:r>
      <w:r w:rsidRPr="005B5C2F">
        <w:rPr>
          <w:rFonts w:cs="Arial"/>
          <w:highlight w:val="lightGray"/>
          <w:u w:val="single"/>
        </w:rPr>
        <w:t xml:space="preserve">Miércoles, 22 </w:t>
      </w:r>
      <w:r w:rsidR="004B5855" w:rsidRPr="005B5C2F">
        <w:rPr>
          <w:rFonts w:cs="Arial"/>
          <w:highlight w:val="lightGray"/>
          <w:u w:val="single"/>
        </w:rPr>
        <w:t>(tarde)</w:t>
      </w:r>
      <w:r w:rsidRPr="005B5C2F">
        <w:rPr>
          <w:szCs w:val="22"/>
        </w:rPr>
        <w:tab/>
      </w:r>
      <w:r w:rsidRPr="005B5C2F">
        <w:rPr>
          <w:rFonts w:cs="Arial"/>
          <w:highlight w:val="lightGray"/>
          <w:u w:val="single"/>
        </w:rPr>
        <w:t xml:space="preserve">Seminario sobre la cooperación con los obtentores en el </w:t>
      </w:r>
      <w:r w:rsidR="004B5855" w:rsidRPr="005B5C2F">
        <w:rPr>
          <w:rFonts w:cs="Arial"/>
          <w:highlight w:val="lightGray"/>
          <w:u w:val="single"/>
        </w:rPr>
        <w:t>examen</w:t>
      </w:r>
      <w:r w:rsidRPr="005B5C2F">
        <w:rPr>
          <w:rFonts w:cs="Arial"/>
          <w:highlight w:val="lightGray"/>
          <w:u w:val="single"/>
        </w:rPr>
        <w:t xml:space="preserve"> DHE </w:t>
      </w:r>
    </w:p>
    <w:p w14:paraId="3B07EF8C" w14:textId="68F195D7" w:rsidR="00107C90" w:rsidRPr="005B5C2F" w:rsidRDefault="003927B3">
      <w:pPr>
        <w:shd w:val="clear" w:color="auto" w:fill="FFFFFF" w:themeFill="background1"/>
        <w:tabs>
          <w:tab w:val="left" w:pos="284"/>
        </w:tabs>
        <w:ind w:left="3828" w:hanging="3828"/>
        <w:jc w:val="left"/>
        <w:rPr>
          <w:szCs w:val="22"/>
        </w:rPr>
      </w:pPr>
      <w:r w:rsidRPr="005B5C2F">
        <w:rPr>
          <w:szCs w:val="22"/>
        </w:rPr>
        <w:tab/>
        <w:t>Jueves, 23</w:t>
      </w:r>
      <w:r w:rsidR="00E75A3F">
        <w:rPr>
          <w:szCs w:val="22"/>
        </w:rPr>
        <w:tab/>
      </w:r>
      <w:r w:rsidRPr="005B5C2F">
        <w:rPr>
          <w:szCs w:val="22"/>
        </w:rPr>
        <w:t>CC/103</w:t>
      </w:r>
    </w:p>
    <w:p w14:paraId="3A7DA813" w14:textId="1807311B" w:rsidR="00107C90" w:rsidRPr="005B5C2F" w:rsidRDefault="003927B3">
      <w:pPr>
        <w:shd w:val="clear" w:color="auto" w:fill="FFFFFF" w:themeFill="background1"/>
        <w:tabs>
          <w:tab w:val="left" w:pos="284"/>
        </w:tabs>
        <w:ind w:left="3828" w:hanging="3828"/>
        <w:jc w:val="left"/>
        <w:rPr>
          <w:szCs w:val="22"/>
        </w:rPr>
      </w:pPr>
      <w:r w:rsidRPr="005B5C2F">
        <w:rPr>
          <w:szCs w:val="22"/>
        </w:rPr>
        <w:tab/>
        <w:t>Viernes, 24</w:t>
      </w:r>
      <w:r w:rsidR="00E75A3F">
        <w:rPr>
          <w:szCs w:val="22"/>
        </w:rPr>
        <w:tab/>
      </w:r>
      <w:r w:rsidRPr="005B5C2F">
        <w:rPr>
          <w:szCs w:val="22"/>
        </w:rPr>
        <w:t>C/59</w:t>
      </w:r>
    </w:p>
    <w:p w14:paraId="01A5AF0F" w14:textId="77777777" w:rsidR="00265DD4" w:rsidRPr="005B5C2F" w:rsidRDefault="00265DD4" w:rsidP="00FB4867">
      <w:pPr>
        <w:shd w:val="clear" w:color="auto" w:fill="FFFFFF" w:themeFill="background1"/>
      </w:pPr>
    </w:p>
    <w:p w14:paraId="4C3970DF" w14:textId="785499DC" w:rsidR="00107C90" w:rsidRPr="005B5C2F" w:rsidRDefault="003927B3">
      <w:pPr>
        <w:shd w:val="clear" w:color="auto" w:fill="FFFFFF" w:themeFill="background1"/>
        <w:rPr>
          <w:rFonts w:cs="Arial"/>
          <w:u w:val="single"/>
        </w:rPr>
      </w:pPr>
      <w:r w:rsidRPr="005B5C2F">
        <w:rPr>
          <w:rFonts w:cs="Arial"/>
          <w:u w:val="single"/>
        </w:rPr>
        <w:t xml:space="preserve">FECHAS </w:t>
      </w:r>
      <w:r w:rsidR="00E75A3F" w:rsidRPr="00E75A3F">
        <w:rPr>
          <w:rFonts w:cs="Arial"/>
          <w:u w:val="single"/>
        </w:rPr>
        <w:t>PROPUESTAS PARA</w:t>
      </w:r>
      <w:r w:rsidRPr="005B5C2F">
        <w:rPr>
          <w:rFonts w:cs="Arial"/>
          <w:u w:val="single"/>
        </w:rPr>
        <w:t xml:space="preserve"> LAS REUNIONES DE 2026</w:t>
      </w:r>
    </w:p>
    <w:p w14:paraId="52ABEB1C" w14:textId="77777777" w:rsidR="00A613DB" w:rsidRPr="005B5C2F" w:rsidRDefault="00A613DB" w:rsidP="00FB4867">
      <w:pPr>
        <w:shd w:val="clear" w:color="auto" w:fill="FFFFFF" w:themeFill="background1"/>
        <w:rPr>
          <w:rFonts w:cs="Arial"/>
        </w:rPr>
      </w:pPr>
    </w:p>
    <w:p w14:paraId="28677D25" w14:textId="55C62B00" w:rsidR="00107C90" w:rsidRPr="005B5C2F" w:rsidRDefault="003927B3">
      <w:pPr>
        <w:pStyle w:val="Heading2"/>
        <w:shd w:val="clear" w:color="auto" w:fill="FFFFFF" w:themeFill="background1"/>
        <w:rPr>
          <w:rFonts w:cs="Arial"/>
          <w:i/>
          <w:iCs/>
          <w:u w:val="none"/>
          <w:lang w:val="es-ES_tradnl"/>
        </w:rPr>
      </w:pPr>
      <w:r w:rsidRPr="005B5C2F">
        <w:rPr>
          <w:lang w:val="es-ES_tradnl"/>
        </w:rPr>
        <w:t xml:space="preserve">ENERO </w:t>
      </w:r>
      <w:r w:rsidR="00E75A3F">
        <w:rPr>
          <w:lang w:val="es-ES_tradnl"/>
        </w:rPr>
        <w:t xml:space="preserve">DE </w:t>
      </w:r>
      <w:r w:rsidRPr="005B5C2F">
        <w:rPr>
          <w:lang w:val="es-ES_tradnl"/>
        </w:rPr>
        <w:t xml:space="preserve">2026 </w:t>
      </w:r>
      <w:r w:rsidRPr="005B5C2F">
        <w:rPr>
          <w:u w:val="none"/>
          <w:lang w:val="es-ES_tradnl"/>
        </w:rPr>
        <w:t>(semana 3)</w:t>
      </w:r>
    </w:p>
    <w:p w14:paraId="2538C477" w14:textId="77777777" w:rsidR="00107C90" w:rsidRPr="005B5C2F" w:rsidRDefault="003927B3">
      <w:pPr>
        <w:shd w:val="clear" w:color="auto" w:fill="FFFFFF" w:themeFill="background1"/>
        <w:ind w:left="3970" w:hanging="3686"/>
        <w:rPr>
          <w:rFonts w:cs="Arial"/>
          <w:strike/>
        </w:rPr>
      </w:pPr>
      <w:r w:rsidRPr="005B5C2F">
        <w:rPr>
          <w:rFonts w:cs="Arial"/>
          <w:strike/>
          <w:highlight w:val="lightGray"/>
        </w:rPr>
        <w:t>Lunes 12 y miércoles 14</w:t>
      </w:r>
    </w:p>
    <w:p w14:paraId="0DD5E2C6" w14:textId="77777777" w:rsidR="00107C90" w:rsidRPr="005B5C2F" w:rsidRDefault="003927B3">
      <w:pPr>
        <w:shd w:val="clear" w:color="auto" w:fill="FFFFFF" w:themeFill="background1"/>
        <w:ind w:left="3970" w:hanging="3686"/>
        <w:rPr>
          <w:rFonts w:cs="Arial"/>
        </w:rPr>
      </w:pPr>
      <w:r w:rsidRPr="005B5C2F">
        <w:rPr>
          <w:rFonts w:cs="Arial"/>
          <w:highlight w:val="lightGray"/>
          <w:u w:val="single"/>
        </w:rPr>
        <w:t>Martes 13 y jueves 15</w:t>
      </w:r>
      <w:r w:rsidRPr="005B5C2F">
        <w:rPr>
          <w:rFonts w:cs="Arial"/>
        </w:rPr>
        <w:tab/>
        <w:t>TC-EDC (reunión virtual)</w:t>
      </w:r>
    </w:p>
    <w:p w14:paraId="61697BBA" w14:textId="77777777" w:rsidR="00A613DB" w:rsidRPr="005B5C2F" w:rsidRDefault="00A613DB" w:rsidP="00FB4867">
      <w:pPr>
        <w:shd w:val="clear" w:color="auto" w:fill="FFFFFF" w:themeFill="background1"/>
        <w:ind w:left="284"/>
        <w:rPr>
          <w:rFonts w:cs="Arial"/>
        </w:rPr>
      </w:pPr>
    </w:p>
    <w:p w14:paraId="26BC7872" w14:textId="66568F01" w:rsidR="00107C90" w:rsidRPr="005B5C2F" w:rsidRDefault="003927B3">
      <w:pPr>
        <w:pStyle w:val="Heading2"/>
        <w:shd w:val="clear" w:color="auto" w:fill="FFFFFF" w:themeFill="background1"/>
        <w:rPr>
          <w:rFonts w:cs="Arial"/>
          <w:i/>
          <w:iCs/>
          <w:lang w:val="es-ES_tradnl"/>
        </w:rPr>
      </w:pPr>
      <w:r w:rsidRPr="005B5C2F">
        <w:rPr>
          <w:lang w:val="es-ES_tradnl"/>
        </w:rPr>
        <w:t xml:space="preserve">MARZO </w:t>
      </w:r>
      <w:r w:rsidR="00E75A3F">
        <w:rPr>
          <w:lang w:val="es-ES_tradnl"/>
        </w:rPr>
        <w:t xml:space="preserve">DE </w:t>
      </w:r>
      <w:r w:rsidRPr="005B5C2F">
        <w:rPr>
          <w:lang w:val="es-ES_tradnl"/>
        </w:rPr>
        <w:t>2026 (semana 12)</w:t>
      </w:r>
    </w:p>
    <w:p w14:paraId="27657A24" w14:textId="77777777" w:rsidR="00107C90" w:rsidRPr="005B5C2F" w:rsidRDefault="003927B3">
      <w:pPr>
        <w:shd w:val="clear" w:color="auto" w:fill="FFFFFF" w:themeFill="background1"/>
        <w:ind w:left="3970" w:hanging="3686"/>
        <w:rPr>
          <w:rFonts w:cs="Arial"/>
        </w:rPr>
      </w:pPr>
      <w:r w:rsidRPr="005B5C2F">
        <w:rPr>
          <w:rFonts w:cs="Arial"/>
        </w:rPr>
        <w:t xml:space="preserve">Martes 17 y </w:t>
      </w:r>
      <w:r w:rsidRPr="005B5C2F">
        <w:rPr>
          <w:rFonts w:cs="Arial"/>
          <w:strike/>
          <w:highlight w:val="lightGray"/>
        </w:rPr>
        <w:t>miércoles 18</w:t>
      </w:r>
    </w:p>
    <w:p w14:paraId="7B0B90EA" w14:textId="5D84B679" w:rsidR="00107C90" w:rsidRPr="005B5C2F" w:rsidRDefault="00E75A3F">
      <w:pPr>
        <w:shd w:val="clear" w:color="auto" w:fill="FFFFFF" w:themeFill="background1"/>
        <w:ind w:left="3970" w:hanging="3686"/>
        <w:rPr>
          <w:rFonts w:cs="Arial"/>
        </w:rPr>
      </w:pPr>
      <w:r>
        <w:rPr>
          <w:rFonts w:cs="Arial"/>
          <w:highlight w:val="lightGray"/>
          <w:u w:val="single"/>
        </w:rPr>
        <w:t>j</w:t>
      </w:r>
      <w:r w:rsidR="003927B3" w:rsidRPr="005B5C2F">
        <w:rPr>
          <w:rFonts w:cs="Arial"/>
          <w:highlight w:val="lightGray"/>
          <w:u w:val="single"/>
        </w:rPr>
        <w:t>ueves, 19</w:t>
      </w:r>
      <w:r w:rsidRPr="00E75A3F">
        <w:rPr>
          <w:rFonts w:cs="Arial"/>
        </w:rPr>
        <w:tab/>
      </w:r>
      <w:r w:rsidR="003927B3" w:rsidRPr="00E75A3F">
        <w:rPr>
          <w:rFonts w:cs="Arial"/>
        </w:rPr>
        <w:t>TC-EDC</w:t>
      </w:r>
      <w:r>
        <w:rPr>
          <w:rFonts w:cs="Arial"/>
        </w:rPr>
        <w:t xml:space="preserve"> </w:t>
      </w:r>
      <w:r w:rsidR="003927B3" w:rsidRPr="005B5C2F">
        <w:rPr>
          <w:rFonts w:cs="Arial"/>
        </w:rPr>
        <w:t>(reunión virtual)</w:t>
      </w:r>
    </w:p>
    <w:p w14:paraId="05C3590C" w14:textId="77777777" w:rsidR="002E6A83" w:rsidRPr="005B5C2F" w:rsidRDefault="002E6A83" w:rsidP="00FB4867">
      <w:pPr>
        <w:shd w:val="clear" w:color="auto" w:fill="FFFFFF" w:themeFill="background1"/>
        <w:ind w:left="3970" w:hanging="3686"/>
        <w:rPr>
          <w:rFonts w:cs="Arial"/>
        </w:rPr>
      </w:pPr>
    </w:p>
    <w:p w14:paraId="323BD489" w14:textId="54B0373B" w:rsidR="00107C90" w:rsidRPr="005B5C2F" w:rsidRDefault="003927B3">
      <w:pPr>
        <w:pStyle w:val="Heading2"/>
        <w:shd w:val="clear" w:color="auto" w:fill="FFFFFF" w:themeFill="background1"/>
        <w:rPr>
          <w:lang w:val="es-ES_tradnl"/>
        </w:rPr>
      </w:pPr>
      <w:r w:rsidRPr="005B5C2F">
        <w:rPr>
          <w:lang w:val="es-ES_tradnl"/>
        </w:rPr>
        <w:t xml:space="preserve">OCTUBRE </w:t>
      </w:r>
      <w:r w:rsidR="00E75A3F">
        <w:rPr>
          <w:lang w:val="es-ES_tradnl"/>
        </w:rPr>
        <w:t xml:space="preserve">DE </w:t>
      </w:r>
      <w:r w:rsidRPr="005B5C2F">
        <w:rPr>
          <w:lang w:val="es-ES_tradnl"/>
        </w:rPr>
        <w:t>2026</w:t>
      </w:r>
    </w:p>
    <w:p w14:paraId="3C5567EF" w14:textId="77777777" w:rsidR="006E047C" w:rsidRPr="005B5C2F" w:rsidRDefault="006E047C" w:rsidP="00FB4867">
      <w:pPr>
        <w:shd w:val="clear" w:color="auto" w:fill="FFFFFF" w:themeFill="background1"/>
      </w:pPr>
    </w:p>
    <w:p w14:paraId="3380FF56" w14:textId="22EBD84D" w:rsidR="00107C90" w:rsidRDefault="003927B3">
      <w:pPr>
        <w:shd w:val="clear" w:color="auto" w:fill="FFFFFF" w:themeFill="background1"/>
        <w:ind w:left="3970" w:hanging="3686"/>
        <w:rPr>
          <w:rFonts w:cs="Arial"/>
        </w:rPr>
      </w:pPr>
      <w:r w:rsidRPr="005B5C2F">
        <w:rPr>
          <w:rFonts w:cs="Arial"/>
          <w:highlight w:val="lightGray"/>
          <w:u w:val="single"/>
        </w:rPr>
        <w:t>[Fecha por determinar]</w:t>
      </w:r>
      <w:r w:rsidRPr="005B5C2F">
        <w:rPr>
          <w:rFonts w:cs="Arial"/>
        </w:rPr>
        <w:tab/>
      </w:r>
      <w:r w:rsidRPr="005B5C2F">
        <w:rPr>
          <w:rFonts w:cs="Arial"/>
          <w:highlight w:val="lightGray"/>
          <w:u w:val="single"/>
        </w:rPr>
        <w:t>Seminario sobre [título</w:t>
      </w:r>
      <w:r w:rsidR="00E75A3F">
        <w:rPr>
          <w:rFonts w:cs="Arial"/>
          <w:highlight w:val="lightGray"/>
          <w:u w:val="single"/>
        </w:rPr>
        <w:t xml:space="preserve"> por determinar</w:t>
      </w:r>
      <w:r w:rsidRPr="005B5C2F">
        <w:rPr>
          <w:rFonts w:cs="Arial"/>
          <w:highlight w:val="lightGray"/>
          <w:u w:val="single"/>
        </w:rPr>
        <w:t>]</w:t>
      </w:r>
    </w:p>
    <w:p w14:paraId="4B7C7C5C" w14:textId="77777777" w:rsidR="00E75A3F" w:rsidRDefault="00E75A3F">
      <w:pPr>
        <w:shd w:val="clear" w:color="auto" w:fill="FFFFFF" w:themeFill="background1"/>
        <w:ind w:left="3970" w:hanging="3686"/>
        <w:rPr>
          <w:rFonts w:cs="Arial"/>
        </w:rPr>
      </w:pPr>
    </w:p>
    <w:p w14:paraId="16C40016" w14:textId="77777777" w:rsidR="00E75A3F" w:rsidRPr="005B5C2F" w:rsidRDefault="00E75A3F">
      <w:pPr>
        <w:shd w:val="clear" w:color="auto" w:fill="FFFFFF" w:themeFill="background1"/>
        <w:ind w:left="3970" w:hanging="3686"/>
        <w:rPr>
          <w:rFonts w:cs="Arial"/>
        </w:rPr>
      </w:pPr>
    </w:p>
    <w:p w14:paraId="76D052F7" w14:textId="49FBA74A" w:rsidR="00107C90" w:rsidRPr="005B5C2F" w:rsidRDefault="00294967">
      <w:pPr>
        <w:keepNext/>
        <w:shd w:val="clear" w:color="auto" w:fill="FFFFFF" w:themeFill="background1"/>
        <w:rPr>
          <w:u w:val="single"/>
        </w:rPr>
      </w:pPr>
      <w:r w:rsidRPr="00294967">
        <w:rPr>
          <w:u w:val="single"/>
        </w:rPr>
        <w:t>Cuestiones</w:t>
      </w:r>
      <w:r>
        <w:rPr>
          <w:u w:val="single"/>
        </w:rPr>
        <w:t xml:space="preserve"> </w:t>
      </w:r>
      <w:r w:rsidR="003927B3" w:rsidRPr="005B5C2F">
        <w:rPr>
          <w:u w:val="single"/>
        </w:rPr>
        <w:t>para información</w:t>
      </w:r>
    </w:p>
    <w:p w14:paraId="310BCDEF" w14:textId="77777777" w:rsidR="00D45BE7" w:rsidRPr="005B5C2F" w:rsidRDefault="00D45BE7" w:rsidP="00FB4867">
      <w:pPr>
        <w:keepNext/>
        <w:shd w:val="clear" w:color="auto" w:fill="FFFFFF" w:themeFill="background1"/>
        <w:ind w:left="567" w:hanging="567"/>
        <w:rPr>
          <w:u w:val="single"/>
        </w:rPr>
      </w:pPr>
    </w:p>
    <w:p w14:paraId="2CE81B93" w14:textId="65000A57" w:rsidR="00107C90" w:rsidRPr="005B5C2F" w:rsidRDefault="003927B3">
      <w:pPr>
        <w:keepNext/>
        <w:shd w:val="clear" w:color="auto" w:fill="FFFFFF" w:themeFill="background1"/>
        <w:rPr>
          <w:rFonts w:cs="Arial"/>
        </w:rPr>
      </w:pPr>
      <w:r w:rsidRPr="005B5C2F">
        <w:fldChar w:fldCharType="begin"/>
      </w:r>
      <w:r w:rsidRPr="005B5C2F">
        <w:instrText xml:space="preserve"> AUTONUM  </w:instrText>
      </w:r>
      <w:r w:rsidRPr="005B5C2F">
        <w:fldChar w:fldCharType="end"/>
      </w:r>
      <w:r w:rsidRPr="005B5C2F">
        <w:tab/>
        <w:t xml:space="preserve">El Consejo </w:t>
      </w:r>
      <w:r w:rsidR="00294967">
        <w:t xml:space="preserve">tomó </w:t>
      </w:r>
      <w:r w:rsidRPr="005B5C2F">
        <w:t xml:space="preserve">nota de </w:t>
      </w:r>
      <w:r w:rsidRPr="005B5C2F">
        <w:rPr>
          <w:rFonts w:cs="Arial"/>
        </w:rPr>
        <w:t xml:space="preserve">los siguientes documentos incluidos en el punto </w:t>
      </w:r>
      <w:r w:rsidR="00195823" w:rsidRPr="005B5C2F">
        <w:rPr>
          <w:rFonts w:cs="Arial"/>
        </w:rPr>
        <w:t xml:space="preserve">15 </w:t>
      </w:r>
      <w:r w:rsidRPr="005B5C2F">
        <w:rPr>
          <w:rFonts w:cs="Arial"/>
        </w:rPr>
        <w:t>"</w:t>
      </w:r>
      <w:r w:rsidR="00294967">
        <w:rPr>
          <w:rFonts w:cs="Arial"/>
        </w:rPr>
        <w:t>Cuestiones</w:t>
      </w:r>
      <w:r w:rsidRPr="005B5C2F">
        <w:rPr>
          <w:rFonts w:cs="Arial"/>
        </w:rPr>
        <w:t xml:space="preserve"> para información", que se han publicado a título informativo en la página web </w:t>
      </w:r>
      <w:r w:rsidR="00195823" w:rsidRPr="005B5C2F">
        <w:rPr>
          <w:rFonts w:cs="Arial"/>
        </w:rPr>
        <w:t>C/58</w:t>
      </w:r>
      <w:r w:rsidRPr="005B5C2F">
        <w:rPr>
          <w:rFonts w:cs="Arial"/>
        </w:rPr>
        <w:t>:</w:t>
      </w:r>
    </w:p>
    <w:p w14:paraId="5F769065" w14:textId="77777777" w:rsidR="00D45BE7" w:rsidRPr="005B5C2F" w:rsidRDefault="00D45BE7" w:rsidP="00FB4867">
      <w:pPr>
        <w:shd w:val="clear" w:color="auto" w:fill="FFFFFF" w:themeFill="background1"/>
        <w:ind w:left="567" w:hanging="567"/>
        <w:jc w:val="left"/>
        <w:rPr>
          <w:u w:val="single"/>
        </w:rPr>
      </w:pPr>
    </w:p>
    <w:p w14:paraId="628E6328" w14:textId="12255823" w:rsidR="00107C90" w:rsidRPr="005B5C2F" w:rsidRDefault="003927B3">
      <w:pPr>
        <w:pStyle w:val="ListParagraph"/>
        <w:numPr>
          <w:ilvl w:val="0"/>
          <w:numId w:val="1"/>
        </w:numPr>
        <w:shd w:val="clear" w:color="auto" w:fill="FFFFFF" w:themeFill="background1"/>
        <w:ind w:left="1701" w:right="567" w:hanging="567"/>
      </w:pPr>
      <w:r w:rsidRPr="005B5C2F">
        <w:t xml:space="preserve">Informe sobre las actividades realizadas </w:t>
      </w:r>
      <w:r w:rsidR="00294967">
        <w:t>en</w:t>
      </w:r>
      <w:r w:rsidRPr="005B5C2F">
        <w:t xml:space="preserve"> los nueve primeros meses de </w:t>
      </w:r>
      <w:r w:rsidR="00195823" w:rsidRPr="005B5C2F">
        <w:t xml:space="preserve">2024 </w:t>
      </w:r>
      <w:r w:rsidRPr="005B5C2F">
        <w:t xml:space="preserve">(documento </w:t>
      </w:r>
      <w:r w:rsidR="00195823" w:rsidRPr="005B5C2F">
        <w:t>C/58/3</w:t>
      </w:r>
      <w:r w:rsidRPr="005B5C2F">
        <w:t>)</w:t>
      </w:r>
    </w:p>
    <w:p w14:paraId="0B7EE806" w14:textId="77777777" w:rsidR="00D45BE7" w:rsidRPr="005B5C2F" w:rsidRDefault="00D45BE7" w:rsidP="00FB4867">
      <w:pPr>
        <w:shd w:val="clear" w:color="auto" w:fill="FFFFFF" w:themeFill="background1"/>
        <w:ind w:left="1701" w:right="567" w:hanging="567"/>
      </w:pPr>
    </w:p>
    <w:p w14:paraId="1E97F6A3" w14:textId="77777777" w:rsidR="00107C90" w:rsidRPr="005B5C2F" w:rsidRDefault="003927B3">
      <w:pPr>
        <w:pStyle w:val="ListParagraph"/>
        <w:keepNext/>
        <w:numPr>
          <w:ilvl w:val="0"/>
          <w:numId w:val="1"/>
        </w:numPr>
        <w:shd w:val="clear" w:color="auto" w:fill="FFFFFF" w:themeFill="background1"/>
        <w:ind w:left="1701" w:right="567" w:hanging="567"/>
      </w:pPr>
      <w:r w:rsidRPr="005B5C2F">
        <w:t>Situación en los ámbitos legislativo, administrativo y técnico:</w:t>
      </w:r>
    </w:p>
    <w:p w14:paraId="46DD977E" w14:textId="77777777" w:rsidR="00D45BE7" w:rsidRPr="005B5C2F" w:rsidRDefault="00D45BE7" w:rsidP="00FB4867">
      <w:pPr>
        <w:keepNext/>
        <w:shd w:val="clear" w:color="auto" w:fill="FFFFFF" w:themeFill="background1"/>
        <w:ind w:left="567" w:right="567"/>
      </w:pPr>
    </w:p>
    <w:p w14:paraId="3E09932B" w14:textId="14C3807C" w:rsidR="00107C90" w:rsidRPr="005B5C2F" w:rsidRDefault="003927B3">
      <w:pPr>
        <w:shd w:val="clear" w:color="auto" w:fill="FFFFFF" w:themeFill="background1"/>
        <w:spacing w:after="120"/>
        <w:ind w:left="2127" w:hanging="425"/>
        <w:jc w:val="left"/>
      </w:pPr>
      <w:r w:rsidRPr="005B5C2F">
        <w:t>(i)</w:t>
      </w:r>
      <w:r w:rsidRPr="005B5C2F">
        <w:tab/>
        <w:t xml:space="preserve">Informes de representantes de miembros y observadores (documento </w:t>
      </w:r>
      <w:r w:rsidR="00195823" w:rsidRPr="005B5C2F">
        <w:t>C/58/13</w:t>
      </w:r>
      <w:r w:rsidRPr="005B5C2F">
        <w:t>)</w:t>
      </w:r>
    </w:p>
    <w:p w14:paraId="105F9CA9" w14:textId="34B87F67" w:rsidR="00107C90" w:rsidRPr="005B5C2F" w:rsidRDefault="003927B3">
      <w:pPr>
        <w:shd w:val="clear" w:color="auto" w:fill="FFFFFF" w:themeFill="background1"/>
        <w:ind w:left="2127" w:hanging="426"/>
        <w:jc w:val="left"/>
      </w:pPr>
      <w:r w:rsidRPr="005B5C2F">
        <w:t>(</w:t>
      </w:r>
      <w:proofErr w:type="spellStart"/>
      <w:r w:rsidRPr="005B5C2F">
        <w:t>ii</w:t>
      </w:r>
      <w:proofErr w:type="spellEnd"/>
      <w:r w:rsidRPr="005B5C2F">
        <w:t xml:space="preserve">) </w:t>
      </w:r>
      <w:r w:rsidRPr="005B5C2F">
        <w:tab/>
        <w:t xml:space="preserve">Cooperación en materia de examen (documento </w:t>
      </w:r>
      <w:r w:rsidR="00195823" w:rsidRPr="005B5C2F">
        <w:t>C/58/5</w:t>
      </w:r>
      <w:r w:rsidRPr="005B5C2F">
        <w:t xml:space="preserve">); Lista de los taxones protegidos por los miembros de la Unión (documento </w:t>
      </w:r>
      <w:r w:rsidR="00195823" w:rsidRPr="005B5C2F">
        <w:t>C/58/6</w:t>
      </w:r>
      <w:r w:rsidRPr="005B5C2F">
        <w:t xml:space="preserve">); Estadísticas sobre la protección de las obtenciones vegetales </w:t>
      </w:r>
      <w:r w:rsidR="00294967">
        <w:t xml:space="preserve">en el </w:t>
      </w:r>
      <w:r w:rsidRPr="005B5C2F">
        <w:t xml:space="preserve">período </w:t>
      </w:r>
      <w:r w:rsidR="00195823" w:rsidRPr="005B5C2F">
        <w:t>2019</w:t>
      </w:r>
      <w:r w:rsidR="00294967">
        <w:t>-</w:t>
      </w:r>
      <w:r w:rsidR="00195823" w:rsidRPr="005B5C2F">
        <w:t xml:space="preserve">2023 </w:t>
      </w:r>
      <w:r w:rsidRPr="005B5C2F">
        <w:t>(documento</w:t>
      </w:r>
      <w:r w:rsidR="00294967">
        <w:t> </w:t>
      </w:r>
      <w:r w:rsidR="00195823" w:rsidRPr="005B5C2F">
        <w:t>C/58/7</w:t>
      </w:r>
      <w:r w:rsidRPr="005B5C2F">
        <w:t>)</w:t>
      </w:r>
    </w:p>
    <w:p w14:paraId="3F09B02C" w14:textId="77777777" w:rsidR="00EA68AE" w:rsidRPr="00D60B0E" w:rsidRDefault="00EA68AE" w:rsidP="00D60B0E"/>
    <w:p w14:paraId="71B86B56" w14:textId="032957C8" w:rsidR="00107C90" w:rsidRPr="005B5C2F" w:rsidRDefault="003927B3" w:rsidP="00D60B0E">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Consejo </w:t>
      </w:r>
      <w:r w:rsidR="00C3478A" w:rsidRPr="005B5C2F">
        <w:t xml:space="preserve">ha respaldado la propuesta </w:t>
      </w:r>
      <w:r w:rsidRPr="005B5C2F">
        <w:t>de que</w:t>
      </w:r>
      <w:r w:rsidR="00C3478A" w:rsidRPr="005B5C2F">
        <w:t>, a partir de 2025, la Oficina de la Unión ponga en marcha una forma más eficaz de recopilar y presentar la información prioritaria de los miembros y observadores de la</w:t>
      </w:r>
      <w:r w:rsidR="00D60B0E">
        <w:t> </w:t>
      </w:r>
      <w:r w:rsidR="00C3478A" w:rsidRPr="005B5C2F">
        <w:t>UPOV.</w:t>
      </w:r>
    </w:p>
    <w:p w14:paraId="4AFABCE6" w14:textId="77777777" w:rsidR="00EA68AE" w:rsidRPr="005B5C2F" w:rsidRDefault="00EA68AE" w:rsidP="00FB4867">
      <w:pPr>
        <w:shd w:val="clear" w:color="auto" w:fill="FFFFFF" w:themeFill="background1"/>
        <w:jc w:val="left"/>
      </w:pPr>
    </w:p>
    <w:p w14:paraId="102DAABC" w14:textId="37A2A259" w:rsidR="00107C90" w:rsidRPr="005B5C2F" w:rsidRDefault="003927B3">
      <w:pPr>
        <w:keepNext/>
        <w:shd w:val="clear" w:color="auto" w:fill="FFFFFF" w:themeFill="background1"/>
        <w:rPr>
          <w:rFonts w:cs="Arial"/>
        </w:rPr>
      </w:pPr>
      <w:r w:rsidRPr="005B5C2F">
        <w:fldChar w:fldCharType="begin"/>
      </w:r>
      <w:r w:rsidRPr="005B5C2F">
        <w:instrText xml:space="preserve"> AUTONUM  </w:instrText>
      </w:r>
      <w:r w:rsidRPr="005B5C2F">
        <w:fldChar w:fldCharType="end"/>
      </w:r>
      <w:r w:rsidRPr="005B5C2F">
        <w:tab/>
        <w:t xml:space="preserve">El Consejo tomó nota </w:t>
      </w:r>
      <w:r w:rsidRPr="005B5C2F">
        <w:rPr>
          <w:rFonts w:cs="Arial"/>
        </w:rPr>
        <w:t xml:space="preserve">de la presentación oral realizada por la Oficina de la Unión en relación con la información contenida en los documentos </w:t>
      </w:r>
      <w:r w:rsidR="00BA0EB9" w:rsidRPr="005B5C2F">
        <w:rPr>
          <w:rFonts w:cs="Arial"/>
        </w:rPr>
        <w:t xml:space="preserve">C/58/5 </w:t>
      </w:r>
      <w:r w:rsidRPr="005B5C2F">
        <w:rPr>
          <w:rFonts w:cs="Arial"/>
        </w:rPr>
        <w:t xml:space="preserve">"Cooperación en materia de examen" y </w:t>
      </w:r>
      <w:r w:rsidR="00BA0EB9" w:rsidRPr="005B5C2F">
        <w:rPr>
          <w:rFonts w:cs="Arial"/>
        </w:rPr>
        <w:t xml:space="preserve">C/58/6 </w:t>
      </w:r>
      <w:r w:rsidRPr="005B5C2F">
        <w:rPr>
          <w:rFonts w:cs="Arial"/>
        </w:rPr>
        <w:t xml:space="preserve">"Lista de taxones protegidos y </w:t>
      </w:r>
      <w:r w:rsidR="003F7E4E" w:rsidRPr="00D60B0E">
        <w:rPr>
          <w:rFonts w:cs="Arial"/>
        </w:rPr>
        <w:t>estadísticas de protección de las obtenciones</w:t>
      </w:r>
      <w:r w:rsidRPr="005B5C2F">
        <w:rPr>
          <w:rFonts w:cs="Arial"/>
        </w:rPr>
        <w:t xml:space="preserve"> vegetales"</w:t>
      </w:r>
      <w:r w:rsidR="00595C98" w:rsidRPr="005B5C2F">
        <w:rPr>
          <w:rFonts w:cs="Arial"/>
        </w:rPr>
        <w:t xml:space="preserve">, que se publica en el </w:t>
      </w:r>
      <w:r w:rsidR="003F7E4E" w:rsidRPr="005B5C2F">
        <w:rPr>
          <w:rFonts w:cs="Arial"/>
        </w:rPr>
        <w:t xml:space="preserve">sitio Web de la UPOV </w:t>
      </w:r>
      <w:r w:rsidR="0088193C" w:rsidRPr="005B5C2F">
        <w:rPr>
          <w:rFonts w:cs="Arial"/>
        </w:rPr>
        <w:t>(</w:t>
      </w:r>
      <w:r w:rsidR="00595C98" w:rsidRPr="005B5C2F">
        <w:rPr>
          <w:rFonts w:cs="Arial"/>
        </w:rPr>
        <w:t xml:space="preserve">véase </w:t>
      </w:r>
      <w:r w:rsidR="0088193C" w:rsidRPr="005B5C2F">
        <w:rPr>
          <w:rFonts w:cs="Arial"/>
        </w:rPr>
        <w:t xml:space="preserve">el enlace: </w:t>
      </w:r>
      <w:hyperlink r:id="rId14" w:history="1">
        <w:r w:rsidR="003F7E4E" w:rsidRPr="005B5C2F">
          <w:rPr>
            <w:rStyle w:val="Hyperlink"/>
            <w:rFonts w:cs="Arial"/>
          </w:rPr>
          <w:t xml:space="preserve">PVP Data &amp; </w:t>
        </w:r>
        <w:proofErr w:type="spellStart"/>
        <w:r w:rsidR="003F7E4E" w:rsidRPr="005B5C2F">
          <w:rPr>
            <w:rStyle w:val="Hyperlink"/>
            <w:rFonts w:cs="Arial"/>
          </w:rPr>
          <w:t>Statics</w:t>
        </w:r>
        <w:proofErr w:type="spellEnd"/>
      </w:hyperlink>
      <w:r w:rsidR="00B95CDD" w:rsidRPr="005B5C2F">
        <w:rPr>
          <w:rFonts w:cs="Arial"/>
        </w:rPr>
        <w:t>).</w:t>
      </w:r>
    </w:p>
    <w:p w14:paraId="42FBA658" w14:textId="77777777" w:rsidR="00D45BE7" w:rsidRPr="005B5C2F" w:rsidRDefault="00D45BE7" w:rsidP="00FB4867">
      <w:pPr>
        <w:shd w:val="clear" w:color="auto" w:fill="FFFFFF" w:themeFill="background1"/>
        <w:jc w:val="left"/>
      </w:pPr>
    </w:p>
    <w:p w14:paraId="4B2952B6" w14:textId="77777777" w:rsidR="005673A4" w:rsidRPr="005B5C2F" w:rsidRDefault="005673A4" w:rsidP="00FB4867">
      <w:pPr>
        <w:shd w:val="clear" w:color="auto" w:fill="FFFFFF" w:themeFill="background1"/>
        <w:jc w:val="left"/>
      </w:pPr>
    </w:p>
    <w:p w14:paraId="0B56FAAB" w14:textId="77777777" w:rsidR="00107C90" w:rsidRPr="005B5C2F" w:rsidRDefault="00AF3DE0">
      <w:pPr>
        <w:keepNext/>
        <w:shd w:val="clear" w:color="auto" w:fill="FFFFFF" w:themeFill="background1"/>
        <w:rPr>
          <w:u w:val="single"/>
        </w:rPr>
      </w:pPr>
      <w:r w:rsidRPr="005B5C2F">
        <w:rPr>
          <w:u w:val="single"/>
        </w:rPr>
        <w:lastRenderedPageBreak/>
        <w:t>Comunicado</w:t>
      </w:r>
      <w:r w:rsidR="003927B3" w:rsidRPr="005B5C2F">
        <w:rPr>
          <w:u w:val="single"/>
        </w:rPr>
        <w:t xml:space="preserve"> de prensa </w:t>
      </w:r>
    </w:p>
    <w:p w14:paraId="22DB30D7" w14:textId="77777777" w:rsidR="00AF3DE0" w:rsidRPr="005B5C2F" w:rsidRDefault="00AF3DE0" w:rsidP="00FB4867">
      <w:pPr>
        <w:keepNext/>
        <w:shd w:val="clear" w:color="auto" w:fill="FFFFFF" w:themeFill="background1"/>
        <w:rPr>
          <w:u w:val="single"/>
        </w:rPr>
      </w:pPr>
    </w:p>
    <w:p w14:paraId="4DED5CDB" w14:textId="0DEB2C4A" w:rsidR="00107C90" w:rsidRPr="005B5C2F" w:rsidRDefault="003927B3">
      <w:pPr>
        <w:shd w:val="clear" w:color="auto" w:fill="FFFFFF" w:themeFill="background1"/>
        <w:rPr>
          <w:rFonts w:cs="Arial"/>
        </w:rPr>
      </w:pPr>
      <w:r w:rsidRPr="005B5C2F">
        <w:fldChar w:fldCharType="begin"/>
      </w:r>
      <w:r w:rsidRPr="005B5C2F">
        <w:instrText xml:space="preserve"> AUTONUM  </w:instrText>
      </w:r>
      <w:r w:rsidRPr="005B5C2F">
        <w:fldChar w:fldCharType="end"/>
      </w:r>
      <w:r w:rsidRPr="005B5C2F">
        <w:tab/>
        <w:t xml:space="preserve">El Consejo </w:t>
      </w:r>
      <w:r w:rsidR="007A764B">
        <w:t xml:space="preserve">tomó </w:t>
      </w:r>
      <w:r w:rsidR="00617D00" w:rsidRPr="005B5C2F">
        <w:t xml:space="preserve">nota del </w:t>
      </w:r>
      <w:r w:rsidRPr="005B5C2F">
        <w:t>proyecto de comunicado de prensa que figura en el documento C/58/16</w:t>
      </w:r>
      <w:r w:rsidR="00B95CDD" w:rsidRPr="005B5C2F">
        <w:t>.</w:t>
      </w:r>
    </w:p>
    <w:p w14:paraId="2610129B" w14:textId="77777777" w:rsidR="000742FF" w:rsidRPr="005B5C2F" w:rsidRDefault="000742FF" w:rsidP="00FB4867">
      <w:pPr>
        <w:shd w:val="clear" w:color="auto" w:fill="FFFFFF" w:themeFill="background1"/>
      </w:pPr>
    </w:p>
    <w:p w14:paraId="51A67E01" w14:textId="5F6976B2" w:rsidR="00107C90" w:rsidRPr="005B5C2F" w:rsidRDefault="003927B3">
      <w:pPr>
        <w:shd w:val="clear" w:color="auto" w:fill="FFFFFF" w:themeFill="background1"/>
      </w:pPr>
      <w:r w:rsidRPr="005B5C2F">
        <w:rPr>
          <w:i/>
        </w:rPr>
        <w:fldChar w:fldCharType="begin"/>
      </w:r>
      <w:r w:rsidRPr="005B5C2F">
        <w:instrText xml:space="preserve"> AUTONUM  </w:instrText>
      </w:r>
      <w:r w:rsidRPr="005B5C2F">
        <w:rPr>
          <w:i/>
        </w:rPr>
        <w:fldChar w:fldCharType="end"/>
      </w:r>
      <w:r w:rsidRPr="005B5C2F">
        <w:tab/>
        <w:t xml:space="preserve">El Consejo </w:t>
      </w:r>
      <w:r w:rsidR="007A764B">
        <w:t xml:space="preserve">acordó </w:t>
      </w:r>
      <w:r w:rsidRPr="005B5C2F">
        <w:t xml:space="preserve">interrumpir el procedimiento de </w:t>
      </w:r>
      <w:r w:rsidR="007A764B">
        <w:t>aprobación</w:t>
      </w:r>
      <w:r w:rsidRPr="005B5C2F">
        <w:t xml:space="preserve"> de comunicados de prensa y </w:t>
      </w:r>
      <w:r w:rsidR="007A764B">
        <w:t xml:space="preserve">acordó </w:t>
      </w:r>
      <w:r w:rsidRPr="005B5C2F">
        <w:t>invitar a la Oficina de la Unión a preparar boletines informativos en los que se informe de las novedades de interés para la protección de las obtenciones vegetales y la UPOV.</w:t>
      </w:r>
    </w:p>
    <w:p w14:paraId="7B3CC0F4" w14:textId="77777777" w:rsidR="00ED1E19" w:rsidRPr="005B5C2F" w:rsidRDefault="00ED1E19" w:rsidP="00FB4867">
      <w:pPr>
        <w:shd w:val="clear" w:color="auto" w:fill="FFFFFF" w:themeFill="background1"/>
      </w:pPr>
    </w:p>
    <w:p w14:paraId="64C3539D" w14:textId="77777777" w:rsidR="00617D00" w:rsidRPr="005B5C2F" w:rsidRDefault="00617D00" w:rsidP="00FB4867">
      <w:pPr>
        <w:shd w:val="clear" w:color="auto" w:fill="FFFFFF" w:themeFill="background1"/>
      </w:pPr>
    </w:p>
    <w:p w14:paraId="346B9B5B" w14:textId="77777777" w:rsidR="00107C90" w:rsidRPr="005B5C2F" w:rsidRDefault="003927B3">
      <w:pPr>
        <w:shd w:val="clear" w:color="auto" w:fill="FFFFFF" w:themeFill="background1"/>
        <w:rPr>
          <w:u w:val="single"/>
        </w:rPr>
      </w:pPr>
      <w:r w:rsidRPr="005B5C2F">
        <w:rPr>
          <w:u w:val="single"/>
        </w:rPr>
        <w:t>Jubilaciones</w:t>
      </w:r>
    </w:p>
    <w:p w14:paraId="1F33CC6D" w14:textId="77777777" w:rsidR="00617D00" w:rsidRPr="005B5C2F" w:rsidRDefault="00617D00" w:rsidP="00FB4867">
      <w:pPr>
        <w:shd w:val="clear" w:color="auto" w:fill="FFFFFF" w:themeFill="background1"/>
      </w:pPr>
    </w:p>
    <w:p w14:paraId="21362753" w14:textId="77777777" w:rsidR="00107C90" w:rsidRPr="005B5C2F" w:rsidRDefault="003927B3">
      <w:pPr>
        <w:shd w:val="clear" w:color="auto" w:fill="FFFFFF" w:themeFill="background1"/>
        <w:rPr>
          <w:highlight w:val="yellow"/>
        </w:rPr>
      </w:pPr>
      <w:r w:rsidRPr="005B5C2F">
        <w:fldChar w:fldCharType="begin"/>
      </w:r>
      <w:r w:rsidRPr="005B5C2F">
        <w:instrText xml:space="preserve"> AUTONUM  </w:instrText>
      </w:r>
      <w:r w:rsidRPr="005B5C2F">
        <w:fldChar w:fldCharType="end"/>
      </w:r>
      <w:r w:rsidRPr="005B5C2F">
        <w:tab/>
        <w:t xml:space="preserve">El Presidente informó de que </w:t>
      </w:r>
      <w:r w:rsidRPr="005B5C2F">
        <w:rPr>
          <w:bCs/>
        </w:rPr>
        <w:t xml:space="preserve">la Sra. Janice Cook Robbins, </w:t>
      </w:r>
      <w:r w:rsidRPr="005B5C2F">
        <w:t>Directora de la División de Finanzas, se jubilaría antes de la siguiente sesión del Consejo y le expresó su agradecimiento, en nombre del Consejo de la UPOV, y le deseó una larga y feliz jubilación</w:t>
      </w:r>
      <w:r w:rsidR="0081482F" w:rsidRPr="005B5C2F">
        <w:t xml:space="preserve">. </w:t>
      </w:r>
    </w:p>
    <w:p w14:paraId="358F57B2" w14:textId="77777777" w:rsidR="00E15503" w:rsidRPr="005B5C2F" w:rsidRDefault="00E15503" w:rsidP="00FB4867">
      <w:pPr>
        <w:shd w:val="clear" w:color="auto" w:fill="FFFFFF" w:themeFill="background1"/>
      </w:pPr>
    </w:p>
    <w:p w14:paraId="57241883" w14:textId="77777777" w:rsidR="00107C90" w:rsidRPr="005B5C2F" w:rsidRDefault="003927B3">
      <w:pPr>
        <w:shd w:val="clear" w:color="auto" w:fill="FFFFFF" w:themeFill="background1"/>
        <w:rPr>
          <w:highlight w:val="yellow"/>
        </w:rPr>
      </w:pPr>
      <w:r w:rsidRPr="005B5C2F">
        <w:fldChar w:fldCharType="begin"/>
      </w:r>
      <w:r w:rsidRPr="005B5C2F">
        <w:instrText xml:space="preserve"> AUTONUM  </w:instrText>
      </w:r>
      <w:r w:rsidRPr="005B5C2F">
        <w:fldChar w:fldCharType="end"/>
      </w:r>
      <w:r w:rsidRPr="005B5C2F">
        <w:tab/>
        <w:t xml:space="preserve">El Presidente informó asimismo de que la Sra. </w:t>
      </w:r>
      <w:proofErr w:type="spellStart"/>
      <w:r w:rsidRPr="005B5C2F">
        <w:t>Päivi</w:t>
      </w:r>
      <w:proofErr w:type="spellEnd"/>
      <w:r w:rsidRPr="005B5C2F">
        <w:t xml:space="preserve"> </w:t>
      </w:r>
      <w:proofErr w:type="spellStart"/>
      <w:r w:rsidRPr="005B5C2F">
        <w:t>Mannerkorpi</w:t>
      </w:r>
      <w:proofErr w:type="spellEnd"/>
      <w:r w:rsidRPr="005B5C2F">
        <w:t xml:space="preserve"> y el Sr. </w:t>
      </w:r>
      <w:proofErr w:type="spellStart"/>
      <w:r w:rsidRPr="005B5C2F">
        <w:t>Dirk</w:t>
      </w:r>
      <w:proofErr w:type="spellEnd"/>
      <w:r w:rsidRPr="005B5C2F">
        <w:t xml:space="preserve"> Theobald, Delegados de la Unión Europea, se jubilarían antes de la siguiente sesión del Consejo.  El Presidente expresó su agradecimiento a la Sra. </w:t>
      </w:r>
      <w:proofErr w:type="spellStart"/>
      <w:r w:rsidRPr="005B5C2F">
        <w:t>Mannerkorpi</w:t>
      </w:r>
      <w:proofErr w:type="spellEnd"/>
      <w:r w:rsidRPr="005B5C2F">
        <w:t xml:space="preserve"> y al Sr. Theobald, en nombre del Consejo, por su contribución a la labor de la UPOV y les deseó una larga y feliz jubilación.</w:t>
      </w:r>
    </w:p>
    <w:p w14:paraId="1ECD330E" w14:textId="77777777" w:rsidR="00050E16" w:rsidRPr="005B5C2F" w:rsidRDefault="00050E16" w:rsidP="00FB4867">
      <w:pPr>
        <w:shd w:val="clear" w:color="auto" w:fill="FFFFFF" w:themeFill="background1"/>
      </w:pPr>
    </w:p>
    <w:p w14:paraId="412C7548" w14:textId="77777777"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El Presidente informó de que la Sra. Ariane Besse se jubilaría en mayo de 2025, tras 30 años de leales servicios a la UPOV, y expresó su agradecimiento, en nombre del Consejo de la UPOV, y le deseó una larga y feliz jubilación.</w:t>
      </w:r>
    </w:p>
    <w:p w14:paraId="619C12C9" w14:textId="77777777" w:rsidR="00EA3576" w:rsidRPr="005B5C2F" w:rsidRDefault="00EA3576" w:rsidP="00FB4867">
      <w:pPr>
        <w:shd w:val="clear" w:color="auto" w:fill="FFFFFF" w:themeFill="background1"/>
      </w:pPr>
    </w:p>
    <w:p w14:paraId="3B899BBC" w14:textId="3DDD39A1" w:rsidR="00107C90" w:rsidRPr="005B5C2F" w:rsidRDefault="003927B3">
      <w:pPr>
        <w:shd w:val="clear" w:color="auto" w:fill="FFFFFF" w:themeFill="background1"/>
      </w:pPr>
      <w:r w:rsidRPr="005B5C2F">
        <w:fldChar w:fldCharType="begin"/>
      </w:r>
      <w:r w:rsidRPr="005B5C2F">
        <w:instrText xml:space="preserve"> AUTONUM  </w:instrText>
      </w:r>
      <w:r w:rsidRPr="005B5C2F">
        <w:fldChar w:fldCharType="end"/>
      </w:r>
      <w:r w:rsidRPr="005B5C2F">
        <w:tab/>
        <w:t xml:space="preserve">El Secretario General concedió una medalla de oro de la UPOV a la Sra. Ariane Besse y </w:t>
      </w:r>
      <w:r w:rsidR="007A764B">
        <w:t>la</w:t>
      </w:r>
      <w:r w:rsidRPr="005B5C2F">
        <w:t xml:space="preserve"> Secretari</w:t>
      </w:r>
      <w:r w:rsidR="007A764B">
        <w:t>a </w:t>
      </w:r>
      <w:r w:rsidRPr="005B5C2F">
        <w:t>General Adjunt</w:t>
      </w:r>
      <w:r w:rsidR="007A764B">
        <w:t>a</w:t>
      </w:r>
      <w:r w:rsidRPr="005B5C2F">
        <w:t xml:space="preserve"> expresó su gratitud por la contribución y el compromiso de Ariane con la labor de la UPOV.</w:t>
      </w:r>
    </w:p>
    <w:p w14:paraId="292858A9" w14:textId="77777777" w:rsidR="00EA3576" w:rsidRPr="005B5C2F" w:rsidRDefault="00EA3576" w:rsidP="00FB4867">
      <w:pPr>
        <w:shd w:val="clear" w:color="auto" w:fill="FFFFFF" w:themeFill="background1"/>
      </w:pPr>
    </w:p>
    <w:p w14:paraId="0BDE0B50" w14:textId="77777777" w:rsidR="005673A4" w:rsidRPr="005B5C2F" w:rsidRDefault="005673A4" w:rsidP="00FB4867">
      <w:pPr>
        <w:shd w:val="clear" w:color="auto" w:fill="FFFFFF" w:themeFill="background1"/>
      </w:pPr>
    </w:p>
    <w:p w14:paraId="6064AD37" w14:textId="77777777" w:rsidR="005673A4" w:rsidRPr="005B5C2F" w:rsidRDefault="005673A4" w:rsidP="00FB4867">
      <w:pPr>
        <w:shd w:val="clear" w:color="auto" w:fill="FFFFFF" w:themeFill="background1"/>
      </w:pPr>
    </w:p>
    <w:p w14:paraId="1155F6D1" w14:textId="77777777" w:rsidR="00107C90" w:rsidRPr="005B5C2F" w:rsidRDefault="003927B3">
      <w:pPr>
        <w:shd w:val="clear" w:color="auto" w:fill="FFFFFF" w:themeFill="background1"/>
        <w:jc w:val="right"/>
      </w:pPr>
      <w:r w:rsidRPr="005B5C2F">
        <w:t>[</w:t>
      </w:r>
      <w:r w:rsidR="0090403B" w:rsidRPr="005B5C2F">
        <w:t>Siguen los anexos</w:t>
      </w:r>
      <w:r w:rsidRPr="005B5C2F">
        <w:t>]</w:t>
      </w:r>
    </w:p>
    <w:p w14:paraId="29EA6F9E" w14:textId="77777777" w:rsidR="0004552A" w:rsidRPr="005B5C2F" w:rsidRDefault="0004552A" w:rsidP="005673A4">
      <w:pPr>
        <w:shd w:val="clear" w:color="auto" w:fill="FFFFFF" w:themeFill="background1"/>
        <w:ind w:right="100"/>
        <w:jc w:val="right"/>
        <w:sectPr w:rsidR="0004552A" w:rsidRPr="005B5C2F" w:rsidSect="00906DDC">
          <w:headerReference w:type="default" r:id="rId15"/>
          <w:pgSz w:w="11907" w:h="16840" w:code="9"/>
          <w:pgMar w:top="510" w:right="1134" w:bottom="1134" w:left="1134" w:header="510" w:footer="680" w:gutter="0"/>
          <w:cols w:space="720"/>
          <w:titlePg/>
        </w:sectPr>
      </w:pPr>
    </w:p>
    <w:p w14:paraId="21C8C303" w14:textId="77777777" w:rsidR="0023431C" w:rsidRPr="005B5C2F" w:rsidRDefault="0023431C" w:rsidP="00FB4867">
      <w:pPr>
        <w:shd w:val="clear" w:color="auto" w:fill="FFFFFF" w:themeFill="background1"/>
        <w:jc w:val="left"/>
      </w:pPr>
    </w:p>
    <w:p w14:paraId="2DEE0FED" w14:textId="77777777" w:rsidR="00107C90" w:rsidRPr="005B5C2F" w:rsidRDefault="003927B3">
      <w:pPr>
        <w:shd w:val="clear" w:color="auto" w:fill="FFFFFF" w:themeFill="background1"/>
        <w:jc w:val="center"/>
      </w:pPr>
      <w:r w:rsidRPr="005B5C2F">
        <w:t xml:space="preserve">DISCURSO DE APERTURA DEL SR. DAREN TANG, SECRETARIO GENERAL, </w:t>
      </w:r>
      <w:r w:rsidRPr="005B5C2F">
        <w:br/>
        <w:t>EN LA QUINCUAGÉSIMA OCTAVA SESIÓN ORDINARIA DEL CONSEJO</w:t>
      </w:r>
    </w:p>
    <w:p w14:paraId="20E5B5AA" w14:textId="77777777" w:rsidR="0004552A" w:rsidRPr="005B5C2F" w:rsidRDefault="0004552A" w:rsidP="00FB4867">
      <w:pPr>
        <w:shd w:val="clear" w:color="auto" w:fill="FFFFFF" w:themeFill="background1"/>
        <w:jc w:val="left"/>
      </w:pPr>
    </w:p>
    <w:p w14:paraId="277707F0" w14:textId="77777777" w:rsidR="0004552A" w:rsidRPr="005B5C2F" w:rsidRDefault="0004552A" w:rsidP="00FB4867">
      <w:pPr>
        <w:shd w:val="clear" w:color="auto" w:fill="FFFFFF" w:themeFill="background1"/>
        <w:jc w:val="left"/>
      </w:pPr>
    </w:p>
    <w:p w14:paraId="1C78391D" w14:textId="77777777" w:rsidR="00107C90" w:rsidRPr="005B5C2F" w:rsidRDefault="003927B3">
      <w:pPr>
        <w:shd w:val="clear" w:color="auto" w:fill="FFFFFF" w:themeFill="background1"/>
        <w:jc w:val="left"/>
      </w:pPr>
      <w:r w:rsidRPr="005B5C2F">
        <w:t xml:space="preserve">Presidente </w:t>
      </w:r>
      <w:proofErr w:type="spellStart"/>
      <w:r w:rsidRPr="005B5C2F">
        <w:t>Yehan</w:t>
      </w:r>
      <w:proofErr w:type="spellEnd"/>
      <w:r w:rsidRPr="005B5C2F">
        <w:t xml:space="preserve"> Cui,</w:t>
      </w:r>
    </w:p>
    <w:p w14:paraId="4B33C67B" w14:textId="77777777" w:rsidR="00107C90" w:rsidRPr="005B5C2F" w:rsidRDefault="003927B3">
      <w:pPr>
        <w:shd w:val="clear" w:color="auto" w:fill="FFFFFF" w:themeFill="background1"/>
        <w:jc w:val="left"/>
      </w:pPr>
      <w:r w:rsidRPr="005B5C2F">
        <w:t>Excelencias,</w:t>
      </w:r>
    </w:p>
    <w:p w14:paraId="1C523853" w14:textId="77777777" w:rsidR="00107C90" w:rsidRPr="005B5C2F" w:rsidRDefault="003927B3">
      <w:pPr>
        <w:shd w:val="clear" w:color="auto" w:fill="FFFFFF" w:themeFill="background1"/>
        <w:jc w:val="left"/>
      </w:pPr>
      <w:r w:rsidRPr="005B5C2F">
        <w:t>Distinguidos delegados,</w:t>
      </w:r>
    </w:p>
    <w:p w14:paraId="19478140" w14:textId="77777777" w:rsidR="00A74B12" w:rsidRPr="005B5C2F" w:rsidRDefault="00A74B12" w:rsidP="00FB4867">
      <w:pPr>
        <w:shd w:val="clear" w:color="auto" w:fill="FFFFFF" w:themeFill="background1"/>
        <w:jc w:val="left"/>
      </w:pPr>
    </w:p>
    <w:p w14:paraId="67363775" w14:textId="77777777" w:rsidR="00107C90" w:rsidRPr="005B5C2F" w:rsidRDefault="003927B3">
      <w:pPr>
        <w:shd w:val="clear" w:color="auto" w:fill="FFFFFF" w:themeFill="background1"/>
        <w:jc w:val="left"/>
      </w:pPr>
      <w:r w:rsidRPr="005B5C2F">
        <w:t xml:space="preserve">2023 fue el año más cálido jamás registrado. Los niveles de gases de efecto invernadero alcanzaron nuevos máximos. El calor oceánico batió </w:t>
      </w:r>
      <w:proofErr w:type="gramStart"/>
      <w:r w:rsidRPr="005B5C2F">
        <w:t>nuevos récords</w:t>
      </w:r>
      <w:proofErr w:type="gramEnd"/>
      <w:r w:rsidRPr="005B5C2F">
        <w:t>, el nivel del mar siguió subiendo y los glaciares siguieron retrocediendo.</w:t>
      </w:r>
    </w:p>
    <w:p w14:paraId="25FA8116" w14:textId="77777777" w:rsidR="00107C90" w:rsidRPr="005B5C2F" w:rsidRDefault="003927B3">
      <w:pPr>
        <w:shd w:val="clear" w:color="auto" w:fill="FFFFFF" w:themeFill="background1"/>
        <w:jc w:val="left"/>
      </w:pPr>
      <w:r w:rsidRPr="005B5C2F">
        <w:t>Al mismo tiempo, más de 860 millones de personas sufren una grave inseguridad alimentaria. En África, casi el 60% de la población padece inseguridad alimentaria moderada o grave.</w:t>
      </w:r>
    </w:p>
    <w:p w14:paraId="1636ECF4" w14:textId="77777777" w:rsidR="00107C90" w:rsidRPr="005B5C2F" w:rsidRDefault="003927B3">
      <w:pPr>
        <w:shd w:val="clear" w:color="auto" w:fill="FFFFFF" w:themeFill="background1"/>
        <w:jc w:val="left"/>
      </w:pPr>
      <w:r w:rsidRPr="005B5C2F">
        <w:t xml:space="preserve">Son tiempos difíciles, pero no es momento para la desesperación. Por el contrario, lo que necesitamos es arremangarnos para apoyar la innovación agrícola, de modo que el ingenio humano, la invención y el dinamismo puedan ayudarnos a afrontar nuestros numerosos retos. </w:t>
      </w:r>
    </w:p>
    <w:p w14:paraId="542D1CD0" w14:textId="77777777" w:rsidR="00107C90" w:rsidRPr="005B5C2F" w:rsidRDefault="003927B3">
      <w:pPr>
        <w:shd w:val="clear" w:color="auto" w:fill="FFFFFF" w:themeFill="background1"/>
        <w:jc w:val="left"/>
      </w:pPr>
      <w:r w:rsidRPr="005B5C2F">
        <w:t xml:space="preserve">Ya hay motivos para el optimismo. </w:t>
      </w:r>
    </w:p>
    <w:p w14:paraId="61B73F09" w14:textId="77777777" w:rsidR="00107C90" w:rsidRPr="005B5C2F" w:rsidRDefault="003927B3">
      <w:pPr>
        <w:shd w:val="clear" w:color="auto" w:fill="FFFFFF" w:themeFill="background1"/>
        <w:jc w:val="left"/>
      </w:pPr>
      <w:r w:rsidRPr="005B5C2F">
        <w:t xml:space="preserve">Una encuesta reciente entre expertos del sector de las semillas reveló que 9 de cada 10 creen que seguiremos desarrollando cultivos más resistentes y productivos. </w:t>
      </w:r>
    </w:p>
    <w:p w14:paraId="4DFA368D" w14:textId="77777777" w:rsidR="00A74B12" w:rsidRPr="005B5C2F" w:rsidRDefault="00A74B12" w:rsidP="00FB4867">
      <w:pPr>
        <w:shd w:val="clear" w:color="auto" w:fill="FFFFFF" w:themeFill="background1"/>
        <w:jc w:val="left"/>
      </w:pPr>
    </w:p>
    <w:p w14:paraId="130BA9D9" w14:textId="77777777" w:rsidR="00107C90" w:rsidRPr="005B5C2F" w:rsidRDefault="003927B3">
      <w:pPr>
        <w:shd w:val="clear" w:color="auto" w:fill="FFFFFF" w:themeFill="background1"/>
        <w:jc w:val="left"/>
      </w:pPr>
      <w:r w:rsidRPr="005B5C2F">
        <w:t>En un panorama más amplio, según el último Informe Mundial sobre la Propiedad Intelectual de la OMPI, las solicitudes de propiedad intelectual relacionadas con la innovación agrícola pasaron de 36.000 en 2008 a 136.000 en 2021.</w:t>
      </w:r>
    </w:p>
    <w:p w14:paraId="417FAF84" w14:textId="77777777" w:rsidR="00A74B12" w:rsidRPr="005B5C2F" w:rsidRDefault="00A74B12" w:rsidP="00FB4867">
      <w:pPr>
        <w:shd w:val="clear" w:color="auto" w:fill="FFFFFF" w:themeFill="background1"/>
        <w:jc w:val="left"/>
      </w:pPr>
    </w:p>
    <w:p w14:paraId="5A7D31F2" w14:textId="77777777" w:rsidR="00107C90" w:rsidRPr="005B5C2F" w:rsidRDefault="003927B3">
      <w:pPr>
        <w:shd w:val="clear" w:color="auto" w:fill="FFFFFF" w:themeFill="background1"/>
        <w:jc w:val="left"/>
      </w:pPr>
      <w:r w:rsidRPr="005B5C2F">
        <w:t xml:space="preserve">Más cerca, observamos un aumento similar de las solicitudes de protección de las obtenciones vegetales. </w:t>
      </w:r>
    </w:p>
    <w:p w14:paraId="0FF1E656" w14:textId="77777777" w:rsidR="00A74B12" w:rsidRPr="005B5C2F" w:rsidRDefault="00A74B12" w:rsidP="00FB4867">
      <w:pPr>
        <w:shd w:val="clear" w:color="auto" w:fill="FFFFFF" w:themeFill="background1"/>
        <w:jc w:val="left"/>
      </w:pPr>
    </w:p>
    <w:p w14:paraId="4E1E276A" w14:textId="77777777" w:rsidR="00107C90" w:rsidRPr="005B5C2F" w:rsidRDefault="003927B3">
      <w:pPr>
        <w:shd w:val="clear" w:color="auto" w:fill="FFFFFF" w:themeFill="background1"/>
        <w:jc w:val="left"/>
      </w:pPr>
      <w:r w:rsidRPr="005B5C2F">
        <w:t xml:space="preserve">Las solicitudes han crecido un 80% en los últimos ocho años, con cerca de 200.000 títulos en vigor. Las solicitudes crecieron un 7% el año pasado, con casi 29.000 solicitudes registradas. Se trata de la mayor tasa de crecimiento de todas las solicitudes de PI. </w:t>
      </w:r>
    </w:p>
    <w:p w14:paraId="75DAF3DB" w14:textId="77777777" w:rsidR="00A74B12" w:rsidRPr="005B5C2F" w:rsidRDefault="00A74B12" w:rsidP="00FB4867">
      <w:pPr>
        <w:shd w:val="clear" w:color="auto" w:fill="FFFFFF" w:themeFill="background1"/>
        <w:jc w:val="left"/>
      </w:pPr>
    </w:p>
    <w:p w14:paraId="6BCA1D67" w14:textId="77777777" w:rsidR="00107C90" w:rsidRPr="005B5C2F" w:rsidRDefault="003927B3">
      <w:pPr>
        <w:shd w:val="clear" w:color="auto" w:fill="FFFFFF" w:themeFill="background1"/>
        <w:jc w:val="left"/>
      </w:pPr>
      <w:r w:rsidRPr="005B5C2F">
        <w:t xml:space="preserve">China sigue siendo el motor más importante, con un aumento adicional del 25% el año pasado. Pero no es el único motor de crecimiento. Economías tan diversas como </w:t>
      </w:r>
      <w:proofErr w:type="spellStart"/>
      <w:r w:rsidRPr="005B5C2F">
        <w:t>Kenya</w:t>
      </w:r>
      <w:proofErr w:type="spellEnd"/>
      <w:r w:rsidRPr="005B5C2F">
        <w:t xml:space="preserve">, República de Corea, Nicaragua, Países Bajos, Polonia, Sudáfrica y Viet </w:t>
      </w:r>
      <w:proofErr w:type="spellStart"/>
      <w:r w:rsidRPr="005B5C2F">
        <w:t>Nam</w:t>
      </w:r>
      <w:proofErr w:type="spellEnd"/>
      <w:r w:rsidRPr="005B5C2F">
        <w:t xml:space="preserve"> también registraron un crecimiento de dos dígitos el año pasado.</w:t>
      </w:r>
    </w:p>
    <w:p w14:paraId="43D6FA92" w14:textId="77777777" w:rsidR="00A74B12" w:rsidRPr="005B5C2F" w:rsidRDefault="00A74B12" w:rsidP="00FB4867">
      <w:pPr>
        <w:shd w:val="clear" w:color="auto" w:fill="FFFFFF" w:themeFill="background1"/>
        <w:jc w:val="left"/>
      </w:pPr>
    </w:p>
    <w:p w14:paraId="29577A26" w14:textId="77777777" w:rsidR="00107C90" w:rsidRPr="005B5C2F" w:rsidRDefault="003927B3">
      <w:pPr>
        <w:shd w:val="clear" w:color="auto" w:fill="FFFFFF" w:themeFill="background1"/>
        <w:jc w:val="left"/>
      </w:pPr>
      <w:r w:rsidRPr="005B5C2F">
        <w:t>Estos avances ponen de relieve que cada vez más ganaderos -de todos los tamaños y en todos los lugares- recurren a la PVP para desbloquear la innovación, impulsar la productividad y apoyar el progreso económico y social.</w:t>
      </w:r>
    </w:p>
    <w:p w14:paraId="1BF5C5BE" w14:textId="77777777" w:rsidR="00A74B12" w:rsidRPr="005B5C2F" w:rsidRDefault="00A74B12" w:rsidP="00FB4867">
      <w:pPr>
        <w:shd w:val="clear" w:color="auto" w:fill="FFFFFF" w:themeFill="background1"/>
        <w:jc w:val="left"/>
      </w:pPr>
    </w:p>
    <w:p w14:paraId="3EAFDDDE" w14:textId="77777777" w:rsidR="00107C90" w:rsidRPr="005B5C2F" w:rsidRDefault="003927B3">
      <w:pPr>
        <w:shd w:val="clear" w:color="auto" w:fill="FFFFFF" w:themeFill="background1"/>
        <w:jc w:val="left"/>
      </w:pPr>
      <w:r w:rsidRPr="005B5C2F">
        <w:t xml:space="preserve">Hoy quiero hacer hincapié en cómo la UPOV, bajo su nueva dirección, defiende un sistema de protección de las obtenciones vegetales que fomenta la innovación, impulsa la inversión y apoya un futuro más sostenible. </w:t>
      </w:r>
    </w:p>
    <w:p w14:paraId="7BDF714D" w14:textId="77777777" w:rsidR="00A74B12" w:rsidRPr="005B5C2F" w:rsidRDefault="00A74B12" w:rsidP="00FB4867">
      <w:pPr>
        <w:shd w:val="clear" w:color="auto" w:fill="FFFFFF" w:themeFill="background1"/>
        <w:jc w:val="left"/>
      </w:pPr>
    </w:p>
    <w:p w14:paraId="460A8724" w14:textId="77777777" w:rsidR="00107C90" w:rsidRPr="005B5C2F" w:rsidRDefault="003927B3">
      <w:pPr>
        <w:shd w:val="clear" w:color="auto" w:fill="FFFFFF" w:themeFill="background1"/>
        <w:jc w:val="left"/>
      </w:pPr>
      <w:r w:rsidRPr="005B5C2F">
        <w:t xml:space="preserve">Me centraré en los tres pilares del Plan Estratégico de Actividades de la UPOV: unión de las partes interesadas, sensibilización y asistencia, y prestación de servicios.  </w:t>
      </w:r>
    </w:p>
    <w:p w14:paraId="1CEF46C6" w14:textId="77777777" w:rsidR="00A74B12" w:rsidRPr="005B5C2F" w:rsidRDefault="00A74B12" w:rsidP="00FB4867">
      <w:pPr>
        <w:shd w:val="clear" w:color="auto" w:fill="FFFFFF" w:themeFill="background1"/>
        <w:jc w:val="left"/>
      </w:pPr>
    </w:p>
    <w:p w14:paraId="227AD37A" w14:textId="77777777" w:rsidR="00107C90" w:rsidRPr="005B5C2F" w:rsidRDefault="003927B3">
      <w:pPr>
        <w:shd w:val="clear" w:color="auto" w:fill="FFFFFF" w:themeFill="background1"/>
        <w:jc w:val="left"/>
      </w:pPr>
      <w:r w:rsidRPr="005B5C2F">
        <w:t>***</w:t>
      </w:r>
    </w:p>
    <w:p w14:paraId="5D0FB5FA" w14:textId="77777777" w:rsidR="00A74B12" w:rsidRPr="005B5C2F" w:rsidRDefault="00A74B12" w:rsidP="00FB4867">
      <w:pPr>
        <w:shd w:val="clear" w:color="auto" w:fill="FFFFFF" w:themeFill="background1"/>
        <w:jc w:val="left"/>
      </w:pPr>
    </w:p>
    <w:p w14:paraId="3EC51CAD" w14:textId="77777777" w:rsidR="00107C90" w:rsidRPr="005B5C2F" w:rsidRDefault="003927B3">
      <w:pPr>
        <w:shd w:val="clear" w:color="auto" w:fill="FFFFFF" w:themeFill="background1"/>
        <w:jc w:val="left"/>
      </w:pPr>
      <w:r w:rsidRPr="005B5C2F">
        <w:t>El pilar 1 pone de relieve el papel de la UPOV como convocante de miembros y partes interesadas, esfuerzos que cobran cada vez más importancia a medida que se amplía el uso del sistema de la UPOV en todo el mundo. Recientemente, hemos dado la bienvenida a Armenia como 79º miembro de la UPOV y hoy tenemos importantes puntos en el orden del día relativos a los procedimientos de adhesión de la República Democrática Popular Lao y de los Emiratos Árabes Unidos.</w:t>
      </w:r>
    </w:p>
    <w:p w14:paraId="2AE9DF0F" w14:textId="77777777" w:rsidR="00107C90" w:rsidRPr="005B5C2F" w:rsidRDefault="003927B3">
      <w:pPr>
        <w:shd w:val="clear" w:color="auto" w:fill="FFFFFF" w:themeFill="background1"/>
        <w:jc w:val="left"/>
      </w:pPr>
      <w:r w:rsidRPr="005B5C2F">
        <w:t xml:space="preserve">Con el aumento del número de miembros y de solicitudes, la importancia de la labor de este Consejo y de nuestros comités y grupos de trabajo no hará sino crecer. </w:t>
      </w:r>
    </w:p>
    <w:p w14:paraId="691EFD7E" w14:textId="77777777" w:rsidR="00A74B12" w:rsidRPr="005B5C2F" w:rsidRDefault="00A74B12" w:rsidP="00FB4867">
      <w:pPr>
        <w:shd w:val="clear" w:color="auto" w:fill="FFFFFF" w:themeFill="background1"/>
        <w:jc w:val="left"/>
      </w:pPr>
    </w:p>
    <w:p w14:paraId="64EFA9B5" w14:textId="77777777" w:rsidR="00107C90" w:rsidRPr="005B5C2F" w:rsidRDefault="003927B3">
      <w:pPr>
        <w:shd w:val="clear" w:color="auto" w:fill="FFFFFF" w:themeFill="background1"/>
        <w:jc w:val="left"/>
      </w:pPr>
      <w:r w:rsidRPr="005B5C2F">
        <w:t xml:space="preserve">El trabajo de la UPOV también debe considerarse en su contexto internacional más amplio, y especialmente en su fuerte conexión con los objetivos de desarrollo globales. </w:t>
      </w:r>
    </w:p>
    <w:p w14:paraId="594E63E9" w14:textId="77777777" w:rsidR="00107C90" w:rsidRPr="005B5C2F" w:rsidRDefault="003927B3">
      <w:pPr>
        <w:shd w:val="clear" w:color="auto" w:fill="FFFFFF" w:themeFill="background1"/>
        <w:jc w:val="left"/>
      </w:pPr>
      <w:r w:rsidRPr="005B5C2F">
        <w:t xml:space="preserve">Dado que la agricultura está presente en los 17 Objetivos de Desarrollo Sostenible, salvo en dos, la labor de la UPOV es un impulsor horizontal de los ODS y aborda nuestros retos mundiales comunes, como el hambre, el cambio climático y la sostenibilidad.  </w:t>
      </w:r>
    </w:p>
    <w:p w14:paraId="2F5BD5B6" w14:textId="77777777" w:rsidR="00A74B12" w:rsidRPr="005B5C2F" w:rsidRDefault="00A74B12" w:rsidP="00FB4867">
      <w:pPr>
        <w:shd w:val="clear" w:color="auto" w:fill="FFFFFF" w:themeFill="background1"/>
        <w:jc w:val="left"/>
      </w:pPr>
    </w:p>
    <w:p w14:paraId="71226874" w14:textId="77777777" w:rsidR="00107C90" w:rsidRPr="005B5C2F" w:rsidRDefault="003927B3">
      <w:pPr>
        <w:shd w:val="clear" w:color="auto" w:fill="FFFFFF" w:themeFill="background1"/>
        <w:jc w:val="left"/>
      </w:pPr>
      <w:r w:rsidRPr="005B5C2F">
        <w:lastRenderedPageBreak/>
        <w:t xml:space="preserve">Para concretarlo, tenemos que intensificar nuestro trabajo con otros organismos y partes interesadas, trabajando de forma multilateral e integradora. </w:t>
      </w:r>
    </w:p>
    <w:p w14:paraId="500E12F7" w14:textId="77777777" w:rsidR="00107C90" w:rsidRPr="005B5C2F" w:rsidRDefault="003927B3">
      <w:pPr>
        <w:shd w:val="clear" w:color="auto" w:fill="FFFFFF" w:themeFill="background1"/>
        <w:jc w:val="left"/>
      </w:pPr>
      <w:r w:rsidRPr="005B5C2F">
        <w:t xml:space="preserve">Esta semana hemos oído hablar de la importancia de proporcionar a los agricultores variedades resistentes a las enfermedades, así como de la necesidad de que la UPOV -y sus miembros- refuercen la cooperación internacional para la innovación en este ámbito. </w:t>
      </w:r>
    </w:p>
    <w:p w14:paraId="46FA6C11" w14:textId="77777777" w:rsidR="00A74B12" w:rsidRPr="005B5C2F" w:rsidRDefault="00A74B12" w:rsidP="00FB4867">
      <w:pPr>
        <w:shd w:val="clear" w:color="auto" w:fill="FFFFFF" w:themeFill="background1"/>
        <w:jc w:val="left"/>
      </w:pPr>
    </w:p>
    <w:p w14:paraId="101095F4" w14:textId="77777777" w:rsidR="00107C90" w:rsidRPr="005B5C2F" w:rsidRDefault="003927B3">
      <w:pPr>
        <w:shd w:val="clear" w:color="auto" w:fill="FFFFFF" w:themeFill="background1"/>
        <w:jc w:val="left"/>
      </w:pPr>
      <w:r w:rsidRPr="005B5C2F">
        <w:t xml:space="preserve">Con la aparición de nuevas tecnologías, también es importante que las aprovechemos para el bien del mundo. También hemos oído hablar de la importancia del análisis de imágenes, la captura automatizada de datos y las tecnologías de vanguardia, incluida la inteligencia artificial, para evaluar las variedades vegetales.  </w:t>
      </w:r>
    </w:p>
    <w:p w14:paraId="675579F2" w14:textId="77777777" w:rsidR="00A74B12" w:rsidRPr="005B5C2F" w:rsidRDefault="00A74B12" w:rsidP="00FB4867">
      <w:pPr>
        <w:shd w:val="clear" w:color="auto" w:fill="FFFFFF" w:themeFill="background1"/>
        <w:jc w:val="left"/>
      </w:pPr>
    </w:p>
    <w:p w14:paraId="55341D9E" w14:textId="77777777" w:rsidR="00107C90" w:rsidRPr="005B5C2F" w:rsidRDefault="003927B3">
      <w:pPr>
        <w:shd w:val="clear" w:color="auto" w:fill="FFFFFF" w:themeFill="background1"/>
        <w:jc w:val="left"/>
      </w:pPr>
      <w:r w:rsidRPr="005B5C2F">
        <w:t>Es fundamental que la UPOV siga manteniéndose a la vanguardia de estas tendencias. La iniciativa de exploración del horizonte acordada por el Comité Consultivo ayudará a orientar estos esfuerzos y a determinar cómo debe evolucionar la UPOV para respaldar los continuos avances en el fitomejoramiento.</w:t>
      </w:r>
    </w:p>
    <w:p w14:paraId="4B611508" w14:textId="77777777" w:rsidR="00A74B12" w:rsidRPr="005B5C2F" w:rsidRDefault="00A74B12" w:rsidP="00FB4867">
      <w:pPr>
        <w:shd w:val="clear" w:color="auto" w:fill="FFFFFF" w:themeFill="background1"/>
        <w:jc w:val="left"/>
      </w:pPr>
    </w:p>
    <w:p w14:paraId="6670BD8E" w14:textId="77777777" w:rsidR="00107C90" w:rsidRPr="005B5C2F" w:rsidRDefault="003927B3">
      <w:pPr>
        <w:shd w:val="clear" w:color="auto" w:fill="FFFFFF" w:themeFill="background1"/>
        <w:jc w:val="left"/>
      </w:pPr>
      <w:r w:rsidRPr="005B5C2F">
        <w:t>***</w:t>
      </w:r>
    </w:p>
    <w:p w14:paraId="0E24CEC6" w14:textId="77777777" w:rsidR="00A74B12" w:rsidRPr="005B5C2F" w:rsidRDefault="00A74B12" w:rsidP="00FB4867">
      <w:pPr>
        <w:shd w:val="clear" w:color="auto" w:fill="FFFFFF" w:themeFill="background1"/>
        <w:jc w:val="left"/>
      </w:pPr>
    </w:p>
    <w:p w14:paraId="351D41C5" w14:textId="77777777" w:rsidR="00107C90" w:rsidRPr="005B5C2F" w:rsidRDefault="003927B3">
      <w:pPr>
        <w:shd w:val="clear" w:color="auto" w:fill="FFFFFF" w:themeFill="background1"/>
        <w:jc w:val="left"/>
      </w:pPr>
      <w:r w:rsidRPr="005B5C2F">
        <w:t xml:space="preserve">El segundo pilar se centra en la sensibilización, la formación y la asistencia. </w:t>
      </w:r>
    </w:p>
    <w:p w14:paraId="3E70F31D" w14:textId="77777777" w:rsidR="00A74B12" w:rsidRPr="005B5C2F" w:rsidRDefault="00A74B12" w:rsidP="00FB4867">
      <w:pPr>
        <w:shd w:val="clear" w:color="auto" w:fill="FFFFFF" w:themeFill="background1"/>
        <w:jc w:val="left"/>
      </w:pPr>
    </w:p>
    <w:p w14:paraId="0E2B837E" w14:textId="77777777" w:rsidR="00107C90" w:rsidRPr="005B5C2F" w:rsidRDefault="003927B3">
      <w:pPr>
        <w:shd w:val="clear" w:color="auto" w:fill="FFFFFF" w:themeFill="background1"/>
        <w:jc w:val="left"/>
      </w:pPr>
      <w:r w:rsidRPr="005B5C2F">
        <w:t xml:space="preserve">Nuestro deseo y nuestra capacidad de ir más allá de nuestra comunidad de expertos y de comunicar el valor de nuestro trabajo a un público más amplio es fundamental para mantener nuestra relevancia y nuestro éxito. Para ello, debemos comunicar el valor de nuestro trabajo, compartiendo historias sobre cómo nuestro trabajo ha influido en la vida de las personas, a través de los canales que utilizan. </w:t>
      </w:r>
    </w:p>
    <w:p w14:paraId="36603817" w14:textId="77777777" w:rsidR="00A74B12" w:rsidRPr="005B5C2F" w:rsidRDefault="00A74B12" w:rsidP="00FB4867">
      <w:pPr>
        <w:shd w:val="clear" w:color="auto" w:fill="FFFFFF" w:themeFill="background1"/>
        <w:jc w:val="left"/>
      </w:pPr>
    </w:p>
    <w:p w14:paraId="2454907E" w14:textId="77777777" w:rsidR="00107C90" w:rsidRPr="005B5C2F" w:rsidRDefault="003927B3">
      <w:pPr>
        <w:shd w:val="clear" w:color="auto" w:fill="FFFFFF" w:themeFill="background1"/>
        <w:jc w:val="left"/>
      </w:pPr>
      <w:r w:rsidRPr="005B5C2F">
        <w:t xml:space="preserve">Una de esas historias es la de la Dra. Mary </w:t>
      </w:r>
      <w:proofErr w:type="spellStart"/>
      <w:r w:rsidRPr="005B5C2F">
        <w:t>Mgonja</w:t>
      </w:r>
      <w:proofErr w:type="spellEnd"/>
      <w:r w:rsidRPr="005B5C2F">
        <w:t xml:space="preserve">, de la República Unida de </w:t>
      </w:r>
      <w:proofErr w:type="spellStart"/>
      <w:r w:rsidRPr="005B5C2F">
        <w:t>Tanzanía</w:t>
      </w:r>
      <w:proofErr w:type="spellEnd"/>
      <w:r w:rsidRPr="005B5C2F">
        <w:t xml:space="preserve">. Su andadura en el campo del fitomejoramiento empezó con la tenaz determinación de labrarse una carrera en uno de los campos más difíciles de la agricultura. Ahora, su empresa de fitomejoramiento, </w:t>
      </w:r>
      <w:proofErr w:type="spellStart"/>
      <w:r w:rsidRPr="005B5C2F">
        <w:t>Namburi</w:t>
      </w:r>
      <w:proofErr w:type="spellEnd"/>
      <w:r w:rsidRPr="005B5C2F">
        <w:t xml:space="preserve">, produce cientos de toneladas de semillas de maíz y sorgo al año, beneficiando a unos 40.000 agricultores y dando lugar a la creación de más de 40 campos de demostración en todo el país. Historias como la de la Dra. Mary dan vida a nuestro trabajo y atraen al 99% de la población que desconoce la UPOV y la importancia del fitomejoramiento. </w:t>
      </w:r>
    </w:p>
    <w:p w14:paraId="5B37E5D9" w14:textId="77777777" w:rsidR="00A74B12" w:rsidRPr="005B5C2F" w:rsidRDefault="00A74B12" w:rsidP="00FB4867">
      <w:pPr>
        <w:shd w:val="clear" w:color="auto" w:fill="FFFFFF" w:themeFill="background1"/>
        <w:jc w:val="left"/>
      </w:pPr>
    </w:p>
    <w:p w14:paraId="0A7998E4" w14:textId="77777777" w:rsidR="00107C90" w:rsidRPr="005B5C2F" w:rsidRDefault="003927B3">
      <w:pPr>
        <w:shd w:val="clear" w:color="auto" w:fill="FFFFFF" w:themeFill="background1"/>
        <w:jc w:val="left"/>
      </w:pPr>
      <w:r w:rsidRPr="005B5C2F">
        <w:t xml:space="preserve">En materia de formación y apoyo, 16 Estados han solicitado asistencia legislativa este año, lo que eleva el total a 34 en los dos últimos años. Esta cifra incluye 28 países que aún no son miembros de la UPOV, lo que demuestra el creciente interés que despierta nuestra labor. </w:t>
      </w:r>
    </w:p>
    <w:p w14:paraId="75EB1B3F" w14:textId="77777777" w:rsidR="00A74B12" w:rsidRPr="005B5C2F" w:rsidRDefault="00A74B12" w:rsidP="00FB4867">
      <w:pPr>
        <w:shd w:val="clear" w:color="auto" w:fill="FFFFFF" w:themeFill="background1"/>
        <w:jc w:val="left"/>
      </w:pPr>
    </w:p>
    <w:p w14:paraId="57813779" w14:textId="77777777" w:rsidR="00107C90" w:rsidRPr="005B5C2F" w:rsidRDefault="003927B3">
      <w:pPr>
        <w:shd w:val="clear" w:color="auto" w:fill="FFFFFF" w:themeFill="background1"/>
        <w:jc w:val="left"/>
      </w:pPr>
      <w:r w:rsidRPr="005B5C2F">
        <w:t xml:space="preserve">Más allá del apoyo bilateral, también estamos colaborando con plataformas regionales. Por ejemplo, este año celebramos con éxito un taller regional sobre protección de las obtenciones vegetales para la Organización Regional Africana de la Propiedad Intelectual (ARIPO), en el que participaron representantes de los 22 Estados miembros de la ARIPO. </w:t>
      </w:r>
    </w:p>
    <w:p w14:paraId="1339F2E7" w14:textId="77777777" w:rsidR="00A74B12" w:rsidRPr="005B5C2F" w:rsidRDefault="00A74B12" w:rsidP="00FB4867">
      <w:pPr>
        <w:shd w:val="clear" w:color="auto" w:fill="FFFFFF" w:themeFill="background1"/>
        <w:jc w:val="left"/>
      </w:pPr>
    </w:p>
    <w:p w14:paraId="31284882" w14:textId="77777777" w:rsidR="00107C90" w:rsidRPr="005B5C2F" w:rsidRDefault="003927B3">
      <w:pPr>
        <w:shd w:val="clear" w:color="auto" w:fill="FFFFFF" w:themeFill="background1"/>
        <w:jc w:val="left"/>
      </w:pPr>
      <w:r w:rsidRPr="005B5C2F">
        <w:t xml:space="preserve">Dentro de los países, también tenemos que colaborar con expertos nacionales. Además de nuestra serie de cursos de formación, en abril se puso en marcha el Programa de Certificación de la UPOV en materia de protección de las obtenciones vegetales, que ha tenido una gran acogida. Diseñado para funcionarios de protección de las obtenciones vegetales, personal de oficina, examinadores y otros profesionales, se han expedido 42 certificados en sólo los primeros 5 meses de funcionamiento. Agradecemos enormemente la entusiasta participación de los miembros y las partes interesadas. </w:t>
      </w:r>
    </w:p>
    <w:p w14:paraId="71726CBB" w14:textId="77777777" w:rsidR="00107C90" w:rsidRPr="005B5C2F" w:rsidRDefault="003927B3">
      <w:pPr>
        <w:shd w:val="clear" w:color="auto" w:fill="FFFFFF" w:themeFill="background1"/>
        <w:jc w:val="left"/>
      </w:pPr>
      <w:r w:rsidRPr="005B5C2F">
        <w:t xml:space="preserve">De cara al futuro, seguiremos buscando nuevas formas de ampliar el compromiso con la UPOV y de proporcionar a sus expertos y obtentores los conocimientos que necesitan para maximizar el potencial de la PVV. </w:t>
      </w:r>
    </w:p>
    <w:p w14:paraId="4DC2230A" w14:textId="77777777" w:rsidR="00A74B12" w:rsidRPr="005B5C2F" w:rsidRDefault="00A74B12" w:rsidP="00FB4867">
      <w:pPr>
        <w:shd w:val="clear" w:color="auto" w:fill="FFFFFF" w:themeFill="background1"/>
        <w:jc w:val="left"/>
      </w:pPr>
    </w:p>
    <w:p w14:paraId="2BC7200F" w14:textId="77777777" w:rsidR="00107C90" w:rsidRPr="005B5C2F" w:rsidRDefault="003927B3">
      <w:pPr>
        <w:shd w:val="clear" w:color="auto" w:fill="FFFFFF" w:themeFill="background1"/>
        <w:jc w:val="left"/>
      </w:pPr>
      <w:r w:rsidRPr="005B5C2F">
        <w:t>***</w:t>
      </w:r>
    </w:p>
    <w:p w14:paraId="1125A8BB" w14:textId="77777777" w:rsidR="00107C90" w:rsidRPr="005B5C2F" w:rsidRDefault="003927B3">
      <w:pPr>
        <w:shd w:val="clear" w:color="auto" w:fill="FFFFFF" w:themeFill="background1"/>
        <w:jc w:val="left"/>
      </w:pPr>
      <w:r w:rsidRPr="005B5C2F">
        <w:t xml:space="preserve">El pilar 3 consiste en prestar servicios de alta calidad a los miembros de la UPOV. </w:t>
      </w:r>
    </w:p>
    <w:p w14:paraId="6CC6DA22" w14:textId="77777777" w:rsidR="00107C90" w:rsidRPr="005B5C2F" w:rsidRDefault="003927B3">
      <w:pPr>
        <w:shd w:val="clear" w:color="auto" w:fill="FFFFFF" w:themeFill="background1"/>
        <w:jc w:val="left"/>
      </w:pPr>
      <w:r w:rsidRPr="005B5C2F">
        <w:t xml:space="preserve">Desde su puesta en marcha el pasado mes de septiembre, UPOV e-PVP, nuestro servicio digital de solicitud y administración, ha realizado importantes progresos. Doce autoridades, entre ellas Brasil, Canadá, Estados Unidos, Japón, Nueva Zelandia y la UE, se han comprometido a utilizar el módulo de intercambio DHE, y tres -Ghana, Reino Unido y Viet </w:t>
      </w:r>
      <w:proofErr w:type="spellStart"/>
      <w:r w:rsidRPr="005B5C2F">
        <w:t>Nam</w:t>
      </w:r>
      <w:proofErr w:type="spellEnd"/>
      <w:r w:rsidRPr="005B5C2F">
        <w:t xml:space="preserve">- se han comprometido a utilizar el servicio de administración e-PVP. </w:t>
      </w:r>
    </w:p>
    <w:p w14:paraId="23AB4024" w14:textId="77777777" w:rsidR="00A74B12" w:rsidRPr="005B5C2F" w:rsidRDefault="00A74B12" w:rsidP="00FB4867">
      <w:pPr>
        <w:shd w:val="clear" w:color="auto" w:fill="FFFFFF" w:themeFill="background1"/>
        <w:jc w:val="left"/>
      </w:pPr>
    </w:p>
    <w:p w14:paraId="7BC86D3B" w14:textId="77777777" w:rsidR="00107C90" w:rsidRPr="005B5C2F" w:rsidRDefault="003927B3">
      <w:pPr>
        <w:shd w:val="clear" w:color="auto" w:fill="FFFFFF" w:themeFill="background1"/>
        <w:jc w:val="left"/>
      </w:pPr>
      <w:r w:rsidRPr="005B5C2F">
        <w:t xml:space="preserve">A medida que este sistema facilite una colaboración más eficaz -como el reciente intercambio de siete informes DHE entre los Países Bajos y Viet </w:t>
      </w:r>
      <w:proofErr w:type="spellStart"/>
      <w:r w:rsidRPr="005B5C2F">
        <w:t>Nam</w:t>
      </w:r>
      <w:proofErr w:type="spellEnd"/>
      <w:r w:rsidRPr="005B5C2F">
        <w:t xml:space="preserve">-, confiamos en que el compromiso siga creciendo, y estamos dispuestos a apoyar a los miembros y usuarios en este sentido. </w:t>
      </w:r>
    </w:p>
    <w:p w14:paraId="53136D90" w14:textId="77777777" w:rsidR="00A74B12" w:rsidRPr="005B5C2F" w:rsidRDefault="00A74B12" w:rsidP="00FB4867">
      <w:pPr>
        <w:shd w:val="clear" w:color="auto" w:fill="FFFFFF" w:themeFill="background1"/>
        <w:jc w:val="left"/>
      </w:pPr>
    </w:p>
    <w:p w14:paraId="2B5F1457" w14:textId="77777777" w:rsidR="00107C90" w:rsidRPr="005B5C2F" w:rsidRDefault="003927B3">
      <w:pPr>
        <w:shd w:val="clear" w:color="auto" w:fill="FFFFFF" w:themeFill="background1"/>
        <w:jc w:val="left"/>
      </w:pPr>
      <w:r w:rsidRPr="005B5C2F">
        <w:lastRenderedPageBreak/>
        <w:t xml:space="preserve">Además, hemos observado un aumento del 4% en las solicitudes presentadas a través de UPOV PRISMA y un incremento de casi el 40% en el número de usuarios de servicios generales de nuestra base de datos PLUTO. No se puede sobrestimar el valor de la participación de los miembros y las partes interesadas en el impulso de estos proyectos, ya que estas herramientas digitales son fundamentales para ampliar el acceso a la protección de las obtenciones vegetales y garantizar que sus beneficios lleguen a las bases. Aunque las cifras son un buen comienzo, creemos que podemos hacer más para impulsar el uso de estos servicios, y trabajaremos estrechamente con los Miembros para intensificar nuestros esfuerzos en este ámbito. </w:t>
      </w:r>
    </w:p>
    <w:p w14:paraId="799C1E13" w14:textId="77777777" w:rsidR="00A74B12" w:rsidRPr="005B5C2F" w:rsidRDefault="00A74B12" w:rsidP="00FB4867">
      <w:pPr>
        <w:shd w:val="clear" w:color="auto" w:fill="FFFFFF" w:themeFill="background1"/>
        <w:jc w:val="left"/>
      </w:pPr>
    </w:p>
    <w:p w14:paraId="753AC240" w14:textId="77777777" w:rsidR="00107C90" w:rsidRPr="005B5C2F" w:rsidRDefault="003927B3">
      <w:pPr>
        <w:shd w:val="clear" w:color="auto" w:fill="FFFFFF" w:themeFill="background1"/>
        <w:jc w:val="left"/>
      </w:pPr>
      <w:r w:rsidRPr="005B5C2F">
        <w:t>***</w:t>
      </w:r>
    </w:p>
    <w:p w14:paraId="6A3AFB1F" w14:textId="77777777" w:rsidR="00107C90" w:rsidRPr="005B5C2F" w:rsidRDefault="003927B3">
      <w:pPr>
        <w:shd w:val="clear" w:color="auto" w:fill="FFFFFF" w:themeFill="background1"/>
        <w:jc w:val="left"/>
      </w:pPr>
      <w:r w:rsidRPr="005B5C2F">
        <w:t xml:space="preserve">En última instancia, nuestro objetivo en todas estas áreas de trabajo es lograr un impacto. La protección de las obtenciones vegetales no es sólo una cuestión técnica para los expertos en los misterios del sistema de la UPOV. Más bien, la UPOV es un eslabón vital en nuestros esfuerzos por abordar la seguridad alimentaria, el cambio climático, la salud mundial, la reducción de la pobreza y otros retos.  </w:t>
      </w:r>
    </w:p>
    <w:p w14:paraId="73C0C76C" w14:textId="77777777" w:rsidR="00A74B12" w:rsidRPr="005B5C2F" w:rsidRDefault="00A74B12" w:rsidP="00FB4867">
      <w:pPr>
        <w:shd w:val="clear" w:color="auto" w:fill="FFFFFF" w:themeFill="background1"/>
        <w:jc w:val="left"/>
      </w:pPr>
    </w:p>
    <w:p w14:paraId="45AF8168" w14:textId="77777777" w:rsidR="00107C90" w:rsidRPr="005B5C2F" w:rsidRDefault="003927B3">
      <w:pPr>
        <w:shd w:val="clear" w:color="auto" w:fill="FFFFFF" w:themeFill="background1"/>
        <w:jc w:val="left"/>
      </w:pPr>
      <w:r w:rsidRPr="005B5C2F">
        <w:t>Por lo tanto, trabajemos juntos, en colaboración y como la estrecha familia de la UPOV que nos caracteriza, para reforzar la protección de las obtenciones vegetales, profundizar el compromiso de la UPOV con el mundo e impulsar la innovación agrícola en beneficio de todos.</w:t>
      </w:r>
    </w:p>
    <w:p w14:paraId="79044054" w14:textId="77777777" w:rsidR="00A74B12" w:rsidRPr="005B5C2F" w:rsidRDefault="00A74B12" w:rsidP="00FB4867">
      <w:pPr>
        <w:shd w:val="clear" w:color="auto" w:fill="FFFFFF" w:themeFill="background1"/>
        <w:jc w:val="left"/>
      </w:pPr>
    </w:p>
    <w:p w14:paraId="3324D6A5" w14:textId="7764457E" w:rsidR="00107C90" w:rsidRPr="005B5C2F" w:rsidRDefault="003927B3">
      <w:pPr>
        <w:shd w:val="clear" w:color="auto" w:fill="FFFFFF" w:themeFill="background1"/>
        <w:jc w:val="left"/>
      </w:pPr>
      <w:r w:rsidRPr="005B5C2F">
        <w:t>Gracias.</w:t>
      </w:r>
    </w:p>
    <w:p w14:paraId="274B42CC" w14:textId="77777777" w:rsidR="0004552A" w:rsidRPr="005B5C2F" w:rsidRDefault="0004552A" w:rsidP="00FB4867">
      <w:pPr>
        <w:shd w:val="clear" w:color="auto" w:fill="FFFFFF" w:themeFill="background1"/>
        <w:jc w:val="left"/>
      </w:pPr>
    </w:p>
    <w:p w14:paraId="0D4E5132" w14:textId="77777777" w:rsidR="0004552A" w:rsidRPr="005B5C2F" w:rsidRDefault="0004552A" w:rsidP="00FB4867">
      <w:pPr>
        <w:shd w:val="clear" w:color="auto" w:fill="FFFFFF" w:themeFill="background1"/>
        <w:jc w:val="right"/>
      </w:pPr>
    </w:p>
    <w:p w14:paraId="108DB0C7" w14:textId="77777777" w:rsidR="0004552A" w:rsidRPr="005B5C2F" w:rsidRDefault="0004552A" w:rsidP="00FB4867">
      <w:pPr>
        <w:shd w:val="clear" w:color="auto" w:fill="FFFFFF" w:themeFill="background1"/>
        <w:jc w:val="right"/>
      </w:pPr>
    </w:p>
    <w:p w14:paraId="26C36BF4" w14:textId="77777777" w:rsidR="0004552A" w:rsidRPr="005B5C2F" w:rsidRDefault="0004552A" w:rsidP="00FB4867">
      <w:pPr>
        <w:shd w:val="clear" w:color="auto" w:fill="FFFFFF" w:themeFill="background1"/>
        <w:jc w:val="right"/>
      </w:pPr>
    </w:p>
    <w:p w14:paraId="3211492E" w14:textId="77777777" w:rsidR="00107C90" w:rsidRPr="005B5C2F" w:rsidRDefault="003927B3">
      <w:pPr>
        <w:shd w:val="clear" w:color="auto" w:fill="FFFFFF" w:themeFill="background1"/>
        <w:jc w:val="right"/>
      </w:pPr>
      <w:r w:rsidRPr="005B5C2F">
        <w:t>[Sigue el Anexo II]</w:t>
      </w:r>
    </w:p>
    <w:p w14:paraId="5C3145DF" w14:textId="77777777" w:rsidR="0004552A" w:rsidRPr="005B5C2F" w:rsidRDefault="0004552A" w:rsidP="00FB4867">
      <w:pPr>
        <w:shd w:val="clear" w:color="auto" w:fill="FFFFFF" w:themeFill="background1"/>
        <w:jc w:val="right"/>
      </w:pPr>
    </w:p>
    <w:p w14:paraId="695265E2" w14:textId="77777777" w:rsidR="0004552A" w:rsidRPr="005B5C2F" w:rsidRDefault="0004552A" w:rsidP="00FB4867">
      <w:pPr>
        <w:shd w:val="clear" w:color="auto" w:fill="FFFFFF" w:themeFill="background1"/>
      </w:pPr>
    </w:p>
    <w:p w14:paraId="191B8232" w14:textId="77777777" w:rsidR="00E24E11" w:rsidRPr="005B5C2F" w:rsidRDefault="00E24E11" w:rsidP="00FB4867">
      <w:pPr>
        <w:shd w:val="clear" w:color="auto" w:fill="FFFFFF" w:themeFill="background1"/>
        <w:sectPr w:rsidR="00E24E11" w:rsidRPr="005B5C2F" w:rsidSect="00D5126C">
          <w:headerReference w:type="default" r:id="rId16"/>
          <w:headerReference w:type="first" r:id="rId17"/>
          <w:pgSz w:w="11907" w:h="16840" w:code="9"/>
          <w:pgMar w:top="510" w:right="1134" w:bottom="1134" w:left="1134" w:header="510" w:footer="680" w:gutter="0"/>
          <w:pgNumType w:start="1"/>
          <w:cols w:space="720"/>
          <w:titlePg/>
        </w:sectPr>
      </w:pPr>
    </w:p>
    <w:p w14:paraId="4F5E6BA4" w14:textId="77777777" w:rsidR="0004552A" w:rsidRPr="005B5C2F" w:rsidRDefault="0004552A" w:rsidP="00FB4867">
      <w:pPr>
        <w:shd w:val="clear" w:color="auto" w:fill="FFFFFF" w:themeFill="background1"/>
        <w:jc w:val="right"/>
      </w:pPr>
    </w:p>
    <w:p w14:paraId="7454443F" w14:textId="77777777" w:rsidR="00107C90" w:rsidRPr="005B5C2F" w:rsidRDefault="003927B3">
      <w:pPr>
        <w:shd w:val="clear" w:color="auto" w:fill="FFFFFF" w:themeFill="background1"/>
        <w:jc w:val="center"/>
      </w:pPr>
      <w:r w:rsidRPr="005B5C2F">
        <w:t xml:space="preserve">INTERVENCIÓN </w:t>
      </w:r>
      <w:r w:rsidR="00E03FCB" w:rsidRPr="005B5C2F">
        <w:t xml:space="preserve">DE LA SRA. VARSIK MARTIROSYAN, JEFA, </w:t>
      </w:r>
      <w:r w:rsidR="00E03FCB" w:rsidRPr="005B5C2F">
        <w:br/>
        <w:t>DEPARTAMENTO DE PRODUCCIÓN VEGETAL, MINISTERIO DE AGRICULTURA</w:t>
      </w:r>
    </w:p>
    <w:p w14:paraId="5FCB24A3" w14:textId="77777777" w:rsidR="00E03FCB" w:rsidRPr="005B5C2F" w:rsidRDefault="00E03FCB" w:rsidP="00FB4867">
      <w:pPr>
        <w:shd w:val="clear" w:color="auto" w:fill="FFFFFF" w:themeFill="background1"/>
        <w:jc w:val="center"/>
      </w:pPr>
    </w:p>
    <w:p w14:paraId="0F4975E2" w14:textId="5CCAE915" w:rsidR="00107C90" w:rsidRPr="005B5C2F" w:rsidRDefault="003927B3">
      <w:pPr>
        <w:shd w:val="clear" w:color="auto" w:fill="FFFFFF" w:themeFill="background1"/>
        <w:jc w:val="center"/>
      </w:pPr>
      <w:r w:rsidRPr="005B5C2F">
        <w:t>EN NOMBRE DE</w:t>
      </w:r>
    </w:p>
    <w:p w14:paraId="103C0B76" w14:textId="4F623AAF" w:rsidR="00107C90" w:rsidRPr="005B5C2F" w:rsidRDefault="0037457C">
      <w:pPr>
        <w:shd w:val="clear" w:color="auto" w:fill="FFFFFF" w:themeFill="background1"/>
        <w:jc w:val="center"/>
      </w:pPr>
      <w:r>
        <w:t>LA SRA</w:t>
      </w:r>
      <w:r w:rsidR="003927B3" w:rsidRPr="005B5C2F">
        <w:t xml:space="preserve">. TATEVIK SARGSYAN, </w:t>
      </w:r>
    </w:p>
    <w:p w14:paraId="6A9075B9" w14:textId="63C1A8CD" w:rsidR="00107C90" w:rsidRPr="005B5C2F" w:rsidRDefault="003927B3">
      <w:pPr>
        <w:shd w:val="clear" w:color="auto" w:fill="FFFFFF" w:themeFill="background1"/>
        <w:jc w:val="center"/>
      </w:pPr>
      <w:r w:rsidRPr="005B5C2F">
        <w:t>VICEMINISTR</w:t>
      </w:r>
      <w:r w:rsidR="0037457C">
        <w:t>A</w:t>
      </w:r>
      <w:r w:rsidRPr="005B5C2F">
        <w:t>, MINISTERIO DE AGRICULTURA</w:t>
      </w:r>
      <w:r w:rsidR="00E24E11" w:rsidRPr="005B5C2F">
        <w:t xml:space="preserve">, ARMENIA, </w:t>
      </w:r>
    </w:p>
    <w:p w14:paraId="43011B77" w14:textId="77777777" w:rsidR="00107C90" w:rsidRPr="005B5C2F" w:rsidRDefault="003927B3">
      <w:pPr>
        <w:shd w:val="clear" w:color="auto" w:fill="FFFFFF" w:themeFill="background1"/>
        <w:jc w:val="center"/>
      </w:pPr>
      <w:r w:rsidRPr="005B5C2F">
        <w:t>EN LA 58ª SESIÓN ORDINARIA DEL CONSEJO</w:t>
      </w:r>
    </w:p>
    <w:p w14:paraId="1C87753B" w14:textId="77777777" w:rsidR="0004552A" w:rsidRPr="005B5C2F" w:rsidRDefault="0004552A" w:rsidP="00FB4867">
      <w:pPr>
        <w:shd w:val="clear" w:color="auto" w:fill="FFFFFF" w:themeFill="background1"/>
        <w:jc w:val="left"/>
      </w:pPr>
    </w:p>
    <w:p w14:paraId="13A91979" w14:textId="77777777" w:rsidR="0004552A" w:rsidRPr="005B5C2F" w:rsidRDefault="0004552A" w:rsidP="00FB4867">
      <w:pPr>
        <w:shd w:val="clear" w:color="auto" w:fill="FFFFFF" w:themeFill="background1"/>
        <w:jc w:val="left"/>
      </w:pPr>
    </w:p>
    <w:p w14:paraId="594303E8" w14:textId="77777777" w:rsidR="001F0AD5" w:rsidRPr="005B5C2F" w:rsidRDefault="001F0AD5" w:rsidP="00FB4867">
      <w:pPr>
        <w:shd w:val="clear" w:color="auto" w:fill="FFFFFF" w:themeFill="background1"/>
        <w:jc w:val="left"/>
      </w:pPr>
    </w:p>
    <w:p w14:paraId="7AF9CA06" w14:textId="77777777" w:rsidR="00107C90" w:rsidRPr="005B5C2F" w:rsidRDefault="003927B3">
      <w:pPr>
        <w:shd w:val="clear" w:color="auto" w:fill="FFFFFF" w:themeFill="background1"/>
        <w:jc w:val="left"/>
      </w:pPr>
      <w:r w:rsidRPr="005B5C2F">
        <w:t>Distinguido Presidente,</w:t>
      </w:r>
    </w:p>
    <w:p w14:paraId="5BC833DA" w14:textId="77777777" w:rsidR="00107C90" w:rsidRPr="005B5C2F" w:rsidRDefault="003927B3">
      <w:pPr>
        <w:shd w:val="clear" w:color="auto" w:fill="FFFFFF" w:themeFill="background1"/>
        <w:jc w:val="left"/>
      </w:pPr>
      <w:r w:rsidRPr="005B5C2F">
        <w:t>Señoras y señores,</w:t>
      </w:r>
    </w:p>
    <w:p w14:paraId="2A7A0CC9" w14:textId="77777777" w:rsidR="001F0AD5" w:rsidRPr="005B5C2F" w:rsidRDefault="001F0AD5" w:rsidP="00FB4867">
      <w:pPr>
        <w:shd w:val="clear" w:color="auto" w:fill="FFFFFF" w:themeFill="background1"/>
        <w:jc w:val="left"/>
      </w:pPr>
    </w:p>
    <w:p w14:paraId="274945A6" w14:textId="77777777" w:rsidR="00107C90" w:rsidRPr="005B5C2F" w:rsidRDefault="003927B3">
      <w:pPr>
        <w:shd w:val="clear" w:color="auto" w:fill="FFFFFF" w:themeFill="background1"/>
      </w:pPr>
      <w:r w:rsidRPr="005B5C2F">
        <w:t>Me complace dirigirme a ustedes en el día de hoy, en el que Armenia se ha convertido en el 79º miembro de la Unión Internacional para la Protección de las Obtenciones Vegetales (UPOV). Este paso es testimonio de la dedicación de Armenia al progreso de su sector agrícola y al apoyo de un crecimiento económico sostenible.</w:t>
      </w:r>
    </w:p>
    <w:p w14:paraId="4101C7D9" w14:textId="77777777" w:rsidR="001F0AD5" w:rsidRPr="005B5C2F" w:rsidRDefault="001F0AD5" w:rsidP="00FB4867">
      <w:pPr>
        <w:shd w:val="clear" w:color="auto" w:fill="FFFFFF" w:themeFill="background1"/>
      </w:pPr>
    </w:p>
    <w:p w14:paraId="7C5CA1CD" w14:textId="77777777" w:rsidR="00107C90" w:rsidRPr="005B5C2F" w:rsidRDefault="003927B3">
      <w:pPr>
        <w:shd w:val="clear" w:color="auto" w:fill="FFFFFF" w:themeFill="background1"/>
      </w:pPr>
      <w:r w:rsidRPr="005B5C2F">
        <w:t>Al adherirse a la UPOV, Armenia no sólo se ajusta a las normas internacionales, sino que también se compromete a tomar medidas destinadas a capacitar a nuestros obtentores, agricultores y empresarios para que tengan éxito en un mercado mundial competitivo. La protección de las obtenciones vegetales es esencial para impulsar la productividad y garantizar que las obtenciones vegetales de la investigación científica en agricultura estén efectivamente salvaguardadas. Para Armenia, esto significa desbloquear oportunidades para cultivar variedades vegetales nuevas y mejoradas que sean resistentes, de alto rendimiento y adaptables al clima, lo que es imprescindible para mejorar la seguridad alimentaria y el desarrollo rural.</w:t>
      </w:r>
    </w:p>
    <w:p w14:paraId="08B82ABD" w14:textId="77777777" w:rsidR="001F0AD5" w:rsidRPr="005B5C2F" w:rsidRDefault="001F0AD5" w:rsidP="00FB4867">
      <w:pPr>
        <w:shd w:val="clear" w:color="auto" w:fill="FFFFFF" w:themeFill="background1"/>
      </w:pPr>
    </w:p>
    <w:p w14:paraId="1C4C527A" w14:textId="77777777" w:rsidR="00107C90" w:rsidRPr="005B5C2F" w:rsidRDefault="003927B3">
      <w:pPr>
        <w:shd w:val="clear" w:color="auto" w:fill="FFFFFF" w:themeFill="background1"/>
      </w:pPr>
      <w:r w:rsidRPr="005B5C2F">
        <w:t>Nuestra adhesión a la UPOV fomentará aún más las inversiones extranjeras en la agricultura armenia al proporcionar un marco jurídico sólido para la protección de los derechos de propiedad intelectual en el ámbito del fitomejoramiento. Esta protección no es sólo una herramienta para el desarrollo económico, sino también una vía hacia prácticas agrícolas más sostenibles. Permitirá a los agricultores armenios acceder a semillas de mayor calidad, aumentar su productividad y contribuir al papel de Armenia en la mejora de la seguridad alimentaria regional.</w:t>
      </w:r>
    </w:p>
    <w:p w14:paraId="3704E68A" w14:textId="77777777" w:rsidR="001F0AD5" w:rsidRPr="005B5C2F" w:rsidRDefault="001F0AD5" w:rsidP="00FB4867">
      <w:pPr>
        <w:shd w:val="clear" w:color="auto" w:fill="FFFFFF" w:themeFill="background1"/>
      </w:pPr>
    </w:p>
    <w:p w14:paraId="520D1C44" w14:textId="77777777" w:rsidR="00107C90" w:rsidRPr="005B5C2F" w:rsidRDefault="003927B3">
      <w:pPr>
        <w:shd w:val="clear" w:color="auto" w:fill="FFFFFF" w:themeFill="background1"/>
      </w:pPr>
      <w:r w:rsidRPr="005B5C2F">
        <w:t>Somos conscientes de que la adhesión a la UPOV no sólo nos brinda grandes oportunidades, sino que también conlleva importantes responsabilidades. A medida que integramos los principios de la UPOV en nuestra legislación nacional, nos comprometemos a equilibrar los intereses de todas las partes interesadas para garantizar que todos se beneficien de los avances que logremos.</w:t>
      </w:r>
    </w:p>
    <w:p w14:paraId="5C023844" w14:textId="77777777" w:rsidR="001F0AD5" w:rsidRPr="005B5C2F" w:rsidRDefault="001F0AD5" w:rsidP="00FB4867">
      <w:pPr>
        <w:shd w:val="clear" w:color="auto" w:fill="FFFFFF" w:themeFill="background1"/>
      </w:pPr>
    </w:p>
    <w:p w14:paraId="5C356131" w14:textId="77777777" w:rsidR="00107C90" w:rsidRPr="005B5C2F" w:rsidRDefault="003927B3">
      <w:pPr>
        <w:shd w:val="clear" w:color="auto" w:fill="FFFFFF" w:themeFill="background1"/>
      </w:pPr>
      <w:r w:rsidRPr="005B5C2F">
        <w:t>Para concluir, quisiera transmitir el sincero agradecimiento de Armenia a la comunidad de la UPOV por acogernos en esta estimada organización. Esperamos trabajar con todos nuestros socios para crear un futuro en el que prospere la innovación agrícola, se logre el desarrollo sostenible y nuestros agricultores y obtentores puedan contribuir a un sector agrícola más resistente. El Gobierno de Armenia está plenamente comprometido a colaborar con todos los países miembros, la Secretaría de la UPOV y otras partes interesadas en un espíritu de unidad y colaboración, para promover colectivamente la visión compartida de un mundo sostenible y progresista, del que se beneficiarán las generaciones futuras.</w:t>
      </w:r>
    </w:p>
    <w:p w14:paraId="06DE8280" w14:textId="77777777" w:rsidR="001F0AD5" w:rsidRPr="005B5C2F" w:rsidRDefault="001F0AD5" w:rsidP="00FB4867">
      <w:pPr>
        <w:shd w:val="clear" w:color="auto" w:fill="FFFFFF" w:themeFill="background1"/>
        <w:jc w:val="left"/>
      </w:pPr>
    </w:p>
    <w:p w14:paraId="214118FB" w14:textId="14220B42" w:rsidR="00107C90" w:rsidRPr="005B5C2F" w:rsidRDefault="003927B3">
      <w:pPr>
        <w:shd w:val="clear" w:color="auto" w:fill="FFFFFF" w:themeFill="background1"/>
        <w:jc w:val="left"/>
      </w:pPr>
      <w:r w:rsidRPr="005B5C2F">
        <w:t>Gracias.</w:t>
      </w:r>
    </w:p>
    <w:p w14:paraId="59681CAA" w14:textId="77777777" w:rsidR="00E24E11" w:rsidRPr="005B5C2F" w:rsidRDefault="00E24E11" w:rsidP="00FB4867">
      <w:pPr>
        <w:shd w:val="clear" w:color="auto" w:fill="FFFFFF" w:themeFill="background1"/>
        <w:jc w:val="left"/>
      </w:pPr>
    </w:p>
    <w:p w14:paraId="0A208A8A" w14:textId="77777777" w:rsidR="00E24E11" w:rsidRPr="005B5C2F" w:rsidRDefault="00E24E11" w:rsidP="00FB4867">
      <w:pPr>
        <w:shd w:val="clear" w:color="auto" w:fill="FFFFFF" w:themeFill="background1"/>
        <w:jc w:val="left"/>
      </w:pPr>
    </w:p>
    <w:p w14:paraId="1D6F8F60" w14:textId="77777777" w:rsidR="00E24E11" w:rsidRPr="005B5C2F" w:rsidRDefault="00E24E11" w:rsidP="00FB4867">
      <w:pPr>
        <w:shd w:val="clear" w:color="auto" w:fill="FFFFFF" w:themeFill="background1"/>
        <w:jc w:val="left"/>
      </w:pPr>
    </w:p>
    <w:p w14:paraId="5BDC150A" w14:textId="77777777" w:rsidR="00107C90" w:rsidRPr="005B5C2F" w:rsidRDefault="003927B3">
      <w:pPr>
        <w:shd w:val="clear" w:color="auto" w:fill="FFFFFF" w:themeFill="background1"/>
        <w:jc w:val="right"/>
      </w:pPr>
      <w:r w:rsidRPr="005B5C2F">
        <w:t>[Sigue el Anexo III]</w:t>
      </w:r>
    </w:p>
    <w:p w14:paraId="251FFF32" w14:textId="77777777" w:rsidR="00BA2A97" w:rsidRPr="005B5C2F" w:rsidRDefault="00BA2A97" w:rsidP="00FB4867">
      <w:pPr>
        <w:shd w:val="clear" w:color="auto" w:fill="FFFFFF" w:themeFill="background1"/>
        <w:jc w:val="right"/>
      </w:pPr>
    </w:p>
    <w:p w14:paraId="578DDD7B" w14:textId="77777777" w:rsidR="00BA2A97" w:rsidRPr="005B5C2F" w:rsidRDefault="00BA2A97" w:rsidP="00FB4867">
      <w:pPr>
        <w:shd w:val="clear" w:color="auto" w:fill="FFFFFF" w:themeFill="background1"/>
        <w:jc w:val="right"/>
      </w:pPr>
    </w:p>
    <w:p w14:paraId="787699FD" w14:textId="77777777" w:rsidR="00BA2A97" w:rsidRPr="005B5C2F" w:rsidRDefault="00BA2A97" w:rsidP="00FB4867">
      <w:pPr>
        <w:shd w:val="clear" w:color="auto" w:fill="FFFFFF" w:themeFill="background1"/>
        <w:jc w:val="right"/>
        <w:sectPr w:rsidR="00BA2A97" w:rsidRPr="005B5C2F" w:rsidSect="00906DDC">
          <w:headerReference w:type="first" r:id="rId18"/>
          <w:pgSz w:w="11907" w:h="16840" w:code="9"/>
          <w:pgMar w:top="510" w:right="1134" w:bottom="1134" w:left="1134" w:header="510" w:footer="680" w:gutter="0"/>
          <w:cols w:space="720"/>
          <w:titlePg/>
        </w:sectPr>
      </w:pPr>
    </w:p>
    <w:p w14:paraId="2670C7D4" w14:textId="77777777" w:rsidR="00E77B01" w:rsidRPr="00BA410E" w:rsidRDefault="00E77B01" w:rsidP="00E77B01">
      <w:pPr>
        <w:jc w:val="center"/>
        <w:rPr>
          <w:lang w:val="fr-CH"/>
        </w:rPr>
      </w:pPr>
      <w:r w:rsidRPr="00BA410E">
        <w:rPr>
          <w:lang w:val="fr-CH"/>
        </w:rPr>
        <w:lastRenderedPageBreak/>
        <w:t xml:space="preserve">LISTE DES PARTICIPANTS / LIST OF PARTICIPANTS / </w:t>
      </w:r>
      <w:r w:rsidRPr="00BA410E">
        <w:rPr>
          <w:lang w:val="fr-CH"/>
        </w:rPr>
        <w:br/>
        <w:t>TEILNEHMERLISTE / LISTA DE PARTICIPANTES</w:t>
      </w:r>
    </w:p>
    <w:p w14:paraId="4FAEC7C3" w14:textId="77777777" w:rsidR="00E77B01" w:rsidRPr="00BA410E" w:rsidRDefault="00E77B01" w:rsidP="00E77B01">
      <w:pPr>
        <w:jc w:val="center"/>
        <w:rPr>
          <w:lang w:val="fr-CH"/>
        </w:rPr>
      </w:pPr>
    </w:p>
    <w:p w14:paraId="7F326312" w14:textId="77777777" w:rsidR="00E77B01" w:rsidRPr="00BA410E" w:rsidRDefault="00E77B01" w:rsidP="00E77B01">
      <w:pPr>
        <w:jc w:val="center"/>
        <w:rPr>
          <w:lang w:val="fr-CH"/>
        </w:rPr>
      </w:pPr>
      <w:r w:rsidRPr="00BA410E">
        <w:rPr>
          <w:lang w:val="fr-CH"/>
        </w:rPr>
        <w:t>(dans l’ordre alphabétique des noms français des membres /</w:t>
      </w:r>
      <w:r w:rsidRPr="00BA410E">
        <w:rPr>
          <w:lang w:val="fr-CH"/>
        </w:rPr>
        <w:br/>
        <w:t xml:space="preserve">in the </w:t>
      </w:r>
      <w:proofErr w:type="spellStart"/>
      <w:r w:rsidRPr="00BA410E">
        <w:rPr>
          <w:lang w:val="fr-CH"/>
        </w:rPr>
        <w:t>alphabetical</w:t>
      </w:r>
      <w:proofErr w:type="spellEnd"/>
      <w:r w:rsidRPr="00BA410E">
        <w:rPr>
          <w:lang w:val="fr-CH"/>
        </w:rPr>
        <w:t xml:space="preserve"> </w:t>
      </w:r>
      <w:proofErr w:type="spellStart"/>
      <w:r w:rsidRPr="00BA410E">
        <w:rPr>
          <w:lang w:val="fr-CH"/>
        </w:rPr>
        <w:t>order</w:t>
      </w:r>
      <w:proofErr w:type="spellEnd"/>
      <w:r w:rsidRPr="00BA410E">
        <w:rPr>
          <w:lang w:val="fr-CH"/>
        </w:rPr>
        <w:t xml:space="preserve"> of the French </w:t>
      </w:r>
      <w:proofErr w:type="spellStart"/>
      <w:r w:rsidRPr="00BA410E">
        <w:rPr>
          <w:lang w:val="fr-CH"/>
        </w:rPr>
        <w:t>names</w:t>
      </w:r>
      <w:proofErr w:type="spellEnd"/>
      <w:r w:rsidRPr="00BA410E">
        <w:rPr>
          <w:lang w:val="fr-CH"/>
        </w:rPr>
        <w:t xml:space="preserve"> of the </w:t>
      </w:r>
      <w:proofErr w:type="spellStart"/>
      <w:r w:rsidRPr="00BA410E">
        <w:rPr>
          <w:lang w:val="fr-CH"/>
        </w:rPr>
        <w:t>Members</w:t>
      </w:r>
      <w:proofErr w:type="spellEnd"/>
      <w:r w:rsidRPr="00BA410E">
        <w:rPr>
          <w:lang w:val="fr-CH"/>
        </w:rPr>
        <w:t xml:space="preserve"> /</w:t>
      </w:r>
      <w:r w:rsidRPr="00BA410E">
        <w:rPr>
          <w:lang w:val="fr-CH"/>
        </w:rPr>
        <w:br/>
        <w:t xml:space="preserve">in </w:t>
      </w:r>
      <w:proofErr w:type="spellStart"/>
      <w:r w:rsidRPr="00BA410E">
        <w:rPr>
          <w:lang w:val="fr-CH"/>
        </w:rPr>
        <w:t>alphabetischer</w:t>
      </w:r>
      <w:proofErr w:type="spellEnd"/>
      <w:r w:rsidRPr="00BA410E">
        <w:rPr>
          <w:lang w:val="fr-CH"/>
        </w:rPr>
        <w:t xml:space="preserve"> </w:t>
      </w:r>
      <w:proofErr w:type="spellStart"/>
      <w:r w:rsidRPr="00BA410E">
        <w:rPr>
          <w:lang w:val="fr-CH"/>
        </w:rPr>
        <w:t>Reihenfolge</w:t>
      </w:r>
      <w:proofErr w:type="spellEnd"/>
      <w:r w:rsidRPr="00BA410E">
        <w:rPr>
          <w:lang w:val="fr-CH"/>
        </w:rPr>
        <w:t xml:space="preserve"> der </w:t>
      </w:r>
      <w:proofErr w:type="spellStart"/>
      <w:r w:rsidRPr="00BA410E">
        <w:rPr>
          <w:lang w:val="fr-CH"/>
        </w:rPr>
        <w:t>französischen</w:t>
      </w:r>
      <w:proofErr w:type="spellEnd"/>
      <w:r w:rsidRPr="00BA410E">
        <w:rPr>
          <w:lang w:val="fr-CH"/>
        </w:rPr>
        <w:t xml:space="preserve"> </w:t>
      </w:r>
      <w:proofErr w:type="spellStart"/>
      <w:r w:rsidRPr="00BA410E">
        <w:rPr>
          <w:lang w:val="fr-CH"/>
        </w:rPr>
        <w:t>Namen</w:t>
      </w:r>
      <w:proofErr w:type="spellEnd"/>
      <w:r w:rsidRPr="00BA410E">
        <w:rPr>
          <w:lang w:val="fr-CH"/>
        </w:rPr>
        <w:t xml:space="preserve"> der </w:t>
      </w:r>
      <w:proofErr w:type="spellStart"/>
      <w:r w:rsidRPr="00BA410E">
        <w:rPr>
          <w:lang w:val="fr-CH"/>
        </w:rPr>
        <w:t>Mitglieder</w:t>
      </w:r>
      <w:proofErr w:type="spellEnd"/>
      <w:r w:rsidRPr="00BA410E">
        <w:rPr>
          <w:lang w:val="fr-CH"/>
        </w:rPr>
        <w:t xml:space="preserve"> /</w:t>
      </w:r>
      <w:r w:rsidRPr="00BA410E">
        <w:rPr>
          <w:lang w:val="fr-CH"/>
        </w:rPr>
        <w:br/>
      </w:r>
      <w:proofErr w:type="spellStart"/>
      <w:r w:rsidRPr="00BA410E">
        <w:rPr>
          <w:lang w:val="fr-CH"/>
        </w:rPr>
        <w:t>por</w:t>
      </w:r>
      <w:proofErr w:type="spellEnd"/>
      <w:r w:rsidRPr="00BA410E">
        <w:rPr>
          <w:lang w:val="fr-CH"/>
        </w:rPr>
        <w:t xml:space="preserve"> </w:t>
      </w:r>
      <w:proofErr w:type="spellStart"/>
      <w:r w:rsidRPr="00BA410E">
        <w:rPr>
          <w:lang w:val="fr-CH"/>
        </w:rPr>
        <w:t>orden</w:t>
      </w:r>
      <w:proofErr w:type="spellEnd"/>
      <w:r w:rsidRPr="00BA410E">
        <w:rPr>
          <w:lang w:val="fr-CH"/>
        </w:rPr>
        <w:t xml:space="preserve"> </w:t>
      </w:r>
      <w:proofErr w:type="spellStart"/>
      <w:r w:rsidRPr="00BA410E">
        <w:rPr>
          <w:lang w:val="fr-CH"/>
        </w:rPr>
        <w:t>alfabético</w:t>
      </w:r>
      <w:proofErr w:type="spellEnd"/>
      <w:r w:rsidRPr="00BA410E">
        <w:rPr>
          <w:lang w:val="fr-CH"/>
        </w:rPr>
        <w:t xml:space="preserve"> de los nombres en </w:t>
      </w:r>
      <w:proofErr w:type="spellStart"/>
      <w:r w:rsidRPr="00BA410E">
        <w:rPr>
          <w:lang w:val="fr-CH"/>
        </w:rPr>
        <w:t>francés</w:t>
      </w:r>
      <w:proofErr w:type="spellEnd"/>
      <w:r w:rsidRPr="00BA410E">
        <w:rPr>
          <w:lang w:val="fr-CH"/>
        </w:rPr>
        <w:t xml:space="preserve"> de los </w:t>
      </w:r>
      <w:proofErr w:type="spellStart"/>
      <w:r w:rsidRPr="00BA410E">
        <w:rPr>
          <w:lang w:val="fr-CH"/>
        </w:rPr>
        <w:t>miembros</w:t>
      </w:r>
      <w:proofErr w:type="spellEnd"/>
      <w:r w:rsidRPr="00BA410E">
        <w:rPr>
          <w:lang w:val="fr-CH"/>
        </w:rPr>
        <w:t>)</w:t>
      </w:r>
    </w:p>
    <w:p w14:paraId="4B0FA492" w14:textId="77777777" w:rsidR="00E77B01" w:rsidRPr="00BA410E" w:rsidRDefault="00E77B01" w:rsidP="00E77B01">
      <w:pPr>
        <w:pStyle w:val="plheading"/>
        <w:rPr>
          <w:lang w:val="fr-CH"/>
        </w:rPr>
      </w:pPr>
      <w:r w:rsidRPr="00BA410E">
        <w:rPr>
          <w:lang w:val="fr-CH"/>
        </w:rPr>
        <w:t>I. MEMBRES / MEMBERS / VERBANDSMITGLIEDER / MIEMBROS</w:t>
      </w:r>
    </w:p>
    <w:p w14:paraId="322958C5" w14:textId="77777777" w:rsidR="00E77B01" w:rsidRPr="00BA410E" w:rsidRDefault="00E77B01" w:rsidP="00E77B01">
      <w:pPr>
        <w:pStyle w:val="plcountry"/>
        <w:rPr>
          <w:lang w:val="fr-CH"/>
        </w:rPr>
      </w:pPr>
      <w:r w:rsidRPr="00BA410E">
        <w:rPr>
          <w:lang w:val="fr-CH"/>
        </w:rPr>
        <w:t>ALBANIE / ALBANIA / ALBANIEN / ALBANIA</w:t>
      </w:r>
    </w:p>
    <w:p w14:paraId="773F4E56" w14:textId="77777777" w:rsidR="00E77B01" w:rsidRPr="00BA410E" w:rsidRDefault="00E77B01" w:rsidP="00E77B01">
      <w:pPr>
        <w:pStyle w:val="pldetails"/>
        <w:rPr>
          <w:lang w:val="fr-CH"/>
        </w:rPr>
      </w:pPr>
      <w:r w:rsidRPr="00BA410E">
        <w:rPr>
          <w:lang w:val="fr-CH"/>
        </w:rPr>
        <w:t xml:space="preserve">Luiza SALLAKU (Ms.), Director, Ministry of Agriculture and Rural Development, Tirana </w:t>
      </w:r>
      <w:r w:rsidRPr="00BA410E">
        <w:rPr>
          <w:lang w:val="fr-CH"/>
        </w:rPr>
        <w:br/>
        <w:t>(e-mail: Luiza.Sallaku@eshff.gov.al)</w:t>
      </w:r>
    </w:p>
    <w:p w14:paraId="52AD321A" w14:textId="77777777" w:rsidR="00E77B01" w:rsidRPr="00BA410E" w:rsidRDefault="00E77B01" w:rsidP="00E77B01">
      <w:pPr>
        <w:pStyle w:val="pldetails"/>
      </w:pPr>
      <w:r w:rsidRPr="00BA410E">
        <w:t xml:space="preserve">Alban ISUFI (Mr.), Head, Seed and Seedlings and Fertilizers Sector, Ministry of Agriculture and Rural Development, Tirana </w:t>
      </w:r>
      <w:r w:rsidRPr="00BA410E">
        <w:br/>
        <w:t>(e-mail: alban.isufi@bujqesia.gov.al)</w:t>
      </w:r>
    </w:p>
    <w:p w14:paraId="5967E8D5" w14:textId="77777777" w:rsidR="00E77B01" w:rsidRPr="00BA410E" w:rsidRDefault="00E77B01" w:rsidP="00E77B01">
      <w:pPr>
        <w:pStyle w:val="plcountry"/>
        <w:rPr>
          <w:lang w:val="de-DE"/>
        </w:rPr>
      </w:pPr>
      <w:r w:rsidRPr="00BA410E">
        <w:rPr>
          <w:lang w:val="de-DE"/>
        </w:rPr>
        <w:t>ALLEMAGNE / GERMANY / DEUTSCHLAND / ALEMANIA</w:t>
      </w:r>
    </w:p>
    <w:p w14:paraId="025C27F9" w14:textId="77777777" w:rsidR="00E77B01" w:rsidRPr="00BA410E" w:rsidRDefault="00E77B01" w:rsidP="00E77B01">
      <w:pPr>
        <w:pStyle w:val="pldetails"/>
        <w:rPr>
          <w:lang w:val="de-DE"/>
        </w:rPr>
      </w:pPr>
      <w:r w:rsidRPr="00BA410E">
        <w:rPr>
          <w:lang w:val="de-DE"/>
        </w:rPr>
        <w:t xml:space="preserve">Elmar PFÜLB (Mr.), President, Bundessortenamt, Hannover </w:t>
      </w:r>
      <w:r w:rsidRPr="00BA410E">
        <w:rPr>
          <w:lang w:val="de-DE"/>
        </w:rPr>
        <w:br/>
        <w:t>(e-mail: postfach.praesident@bundessortenamt.de)</w:t>
      </w:r>
    </w:p>
    <w:p w14:paraId="247620D9" w14:textId="77777777" w:rsidR="00E77B01" w:rsidRPr="00BA410E" w:rsidRDefault="00E77B01" w:rsidP="00E77B01">
      <w:pPr>
        <w:pStyle w:val="pldetails"/>
      </w:pPr>
      <w:r w:rsidRPr="00BA410E">
        <w:t xml:space="preserve">Beate RÜCKER (Ms.), Head of Division, Federal Plant Variety Office, Bundessortenamt, Hanover </w:t>
      </w:r>
      <w:r w:rsidRPr="00BA410E">
        <w:br/>
        <w:t xml:space="preserve">(e-mail: </w:t>
      </w:r>
      <w:r w:rsidRPr="00BA410E">
        <w:rPr>
          <w:lang w:val="en-GB"/>
        </w:rPr>
        <w:t>bsa@bundessortenamt.de</w:t>
      </w:r>
      <w:r w:rsidRPr="00BA410E">
        <w:t>)</w:t>
      </w:r>
    </w:p>
    <w:p w14:paraId="62D6F0CF" w14:textId="77777777" w:rsidR="00E77B01" w:rsidRPr="00BA410E" w:rsidRDefault="00E77B01" w:rsidP="00E77B01">
      <w:pPr>
        <w:pStyle w:val="plcountry"/>
        <w:rPr>
          <w:lang w:val="es-ES"/>
        </w:rPr>
      </w:pPr>
      <w:r w:rsidRPr="00BA410E">
        <w:rPr>
          <w:lang w:val="es-ES"/>
        </w:rPr>
        <w:t>ARGENTINE / ARGENTINA / ARGENTINIEN / ARGENTINA</w:t>
      </w:r>
    </w:p>
    <w:p w14:paraId="6AE12D15" w14:textId="77777777" w:rsidR="00E77B01" w:rsidRPr="00BA410E" w:rsidRDefault="00E77B01" w:rsidP="00E77B01">
      <w:pPr>
        <w:pStyle w:val="pldetails"/>
        <w:rPr>
          <w:lang w:val="es-ES"/>
        </w:rPr>
      </w:pPr>
      <w:r w:rsidRPr="00BA410E">
        <w:rPr>
          <w:lang w:val="es-ES"/>
        </w:rPr>
        <w:t xml:space="preserve">María Laura VILLAMAYOR (Sra.), Directora de Asuntos Juridicos y Coordinadora de Relaciones Institucionales e Interjurisdiccionales, Instituto Nacional de Semillas (INASE), Secretaría de Agricultura, Ganadería, Pesca y Alimentación, Buenos Aires </w:t>
      </w:r>
      <w:r w:rsidRPr="00BA410E">
        <w:rPr>
          <w:lang w:val="es-ES"/>
        </w:rPr>
        <w:br/>
        <w:t>(e-mail: mlvillamayor@inase.gob.ar)</w:t>
      </w:r>
    </w:p>
    <w:p w14:paraId="5B8B7072" w14:textId="77777777" w:rsidR="00E77B01" w:rsidRPr="00BA410E" w:rsidRDefault="00E77B01" w:rsidP="00E77B01">
      <w:pPr>
        <w:pStyle w:val="plcountry"/>
      </w:pPr>
      <w:r w:rsidRPr="00BA410E">
        <w:t>ARMÉNIE / ARMENIA / ARMENIEN / ARMENIA</w:t>
      </w:r>
    </w:p>
    <w:p w14:paraId="0F659BF6" w14:textId="77777777" w:rsidR="00E77B01" w:rsidRPr="00BA410E" w:rsidRDefault="00E77B01" w:rsidP="00E77B01">
      <w:pPr>
        <w:pStyle w:val="pldetails"/>
      </w:pPr>
      <w:r w:rsidRPr="00BA410E">
        <w:t xml:space="preserve">Varsik MARTIROSYAN (Ms.), Head, Department of plant production, Ministry of Agriculture, Yerevan </w:t>
      </w:r>
      <w:r w:rsidRPr="00BA410E">
        <w:br/>
        <w:t xml:space="preserve">(e-mail: vmartirosyan@mineconomy.am) </w:t>
      </w:r>
    </w:p>
    <w:p w14:paraId="481CD7FA" w14:textId="77777777" w:rsidR="00E77B01" w:rsidRPr="00BA410E" w:rsidRDefault="00E77B01" w:rsidP="00E77B01">
      <w:pPr>
        <w:pStyle w:val="plcountry"/>
      </w:pPr>
      <w:r w:rsidRPr="00BA410E">
        <w:t>AUSTRALIE / AUSTRALIA / AUSTRALIEN / AUSTRALIA</w:t>
      </w:r>
    </w:p>
    <w:p w14:paraId="159660B9" w14:textId="77777777" w:rsidR="00E77B01" w:rsidRPr="00BA410E" w:rsidRDefault="00E77B01" w:rsidP="00E77B01">
      <w:pPr>
        <w:pStyle w:val="pldetails"/>
      </w:pPr>
      <w:r w:rsidRPr="00BA410E">
        <w:t>Isabel Louise WARD (Ms.), Assistant Director, Policy &amp; International Affairs, IP Australia, Phillip</w:t>
      </w:r>
      <w:r w:rsidRPr="00BA410E">
        <w:br/>
        <w:t>(e-mail: Isabel.Ward@ipaustralia.gov.au)</w:t>
      </w:r>
    </w:p>
    <w:p w14:paraId="450956F3" w14:textId="77777777" w:rsidR="00E77B01" w:rsidRPr="00BA410E" w:rsidRDefault="00E77B01" w:rsidP="00E77B01">
      <w:pPr>
        <w:pStyle w:val="pldetails"/>
      </w:pPr>
      <w:r w:rsidRPr="00BA410E">
        <w:t xml:space="preserve">Van Hai LE (Mr.), Assistant Director, Plant Breeders’ Rights Section, IP Australia, Phillip </w:t>
      </w:r>
      <w:r w:rsidRPr="00BA410E">
        <w:br/>
        <w:t>(e-mail: hai.le@ipaustralia.gov.au)</w:t>
      </w:r>
    </w:p>
    <w:p w14:paraId="12597588" w14:textId="77777777" w:rsidR="00E77B01" w:rsidRPr="00BA410E" w:rsidRDefault="00E77B01" w:rsidP="00E77B01">
      <w:pPr>
        <w:pStyle w:val="plcountry"/>
        <w:rPr>
          <w:lang w:val="de-DE"/>
        </w:rPr>
      </w:pPr>
      <w:r w:rsidRPr="00BA410E">
        <w:rPr>
          <w:lang w:val="de-DE"/>
        </w:rPr>
        <w:t>AUTRICHE / AUSTRIA / ÖSTERREICH / AUSTRIA</w:t>
      </w:r>
    </w:p>
    <w:p w14:paraId="0CFEA04D" w14:textId="77777777" w:rsidR="00E77B01" w:rsidRPr="00BA410E" w:rsidRDefault="00E77B01" w:rsidP="00E77B01">
      <w:pPr>
        <w:pStyle w:val="pldetails"/>
        <w:rPr>
          <w:lang w:val="de-DE"/>
        </w:rPr>
      </w:pPr>
      <w:r w:rsidRPr="00BA410E">
        <w:rPr>
          <w:lang w:val="de-DE"/>
        </w:rPr>
        <w:t xml:space="preserve">Birgit GULZ-KUSCHER (Ms.), Legal Advisor for Seed Law and Plant Variety Protection Law, Bundesministerium für Land- und Forstwirtschaft, Regionen und Wasserwirtschaft, Wien </w:t>
      </w:r>
      <w:r w:rsidRPr="00BA410E">
        <w:rPr>
          <w:lang w:val="de-DE"/>
        </w:rPr>
        <w:br/>
        <w:t>(e-mail: birgit.gulz-kuscher@bml.gv.at)</w:t>
      </w:r>
    </w:p>
    <w:p w14:paraId="1F585ECD" w14:textId="77777777" w:rsidR="00E77B01" w:rsidRPr="00BA410E" w:rsidRDefault="00E77B01" w:rsidP="00E77B01">
      <w:pPr>
        <w:pStyle w:val="plcountry"/>
      </w:pPr>
      <w:r w:rsidRPr="00BA410E">
        <w:t>BÉLARUS / BELARUS / BELARUS / BELARÚS</w:t>
      </w:r>
    </w:p>
    <w:p w14:paraId="1C399420" w14:textId="77777777" w:rsidR="00E77B01" w:rsidRPr="00BA410E" w:rsidRDefault="00E77B01" w:rsidP="00E77B01">
      <w:pPr>
        <w:pStyle w:val="pldetails"/>
      </w:pPr>
      <w:r w:rsidRPr="00BA410E">
        <w:t xml:space="preserve">Uladzimir BEINIA (Mr.), Director, State Inspection for Testing and Protection of Plant Varieties, Minsk </w:t>
      </w:r>
      <w:r w:rsidRPr="00BA410E">
        <w:br/>
        <w:t>(e-mail: belsort@mail.ru)</w:t>
      </w:r>
    </w:p>
    <w:p w14:paraId="67F44532" w14:textId="77777777" w:rsidR="00E77B01" w:rsidRPr="00BA410E" w:rsidRDefault="00E77B01" w:rsidP="00E77B01">
      <w:pPr>
        <w:pStyle w:val="pldetails"/>
      </w:pPr>
      <w:r w:rsidRPr="00BA410E">
        <w:t xml:space="preserve">Tatsiana SIAMASHKA (Ms.), Deputy Director, State Inspection for Testing and Protection of Plant Varieties, Minsk </w:t>
      </w:r>
      <w:r w:rsidRPr="00BA410E">
        <w:br/>
        <w:t>(e-mail: belsort@mail.ru)</w:t>
      </w:r>
    </w:p>
    <w:p w14:paraId="210F8A80" w14:textId="77777777" w:rsidR="00E77B01" w:rsidRPr="00BA410E" w:rsidRDefault="00E77B01" w:rsidP="00E77B01">
      <w:pPr>
        <w:pStyle w:val="pldetails"/>
      </w:pPr>
      <w:r w:rsidRPr="00BA410E">
        <w:t xml:space="preserve">Maryna SALADUKHA (Ms.), Deputy Head, International Cooperation Department, State Inspection for Testing and Protection of Plant Varieties, Minsk </w:t>
      </w:r>
      <w:r w:rsidRPr="00BA410E">
        <w:br/>
        <w:t>(e-mail: belsort@mail.ru)</w:t>
      </w:r>
    </w:p>
    <w:p w14:paraId="6C410339" w14:textId="77777777" w:rsidR="00E77B01" w:rsidRPr="00BA410E" w:rsidRDefault="00E77B01" w:rsidP="00E77B01">
      <w:pPr>
        <w:pStyle w:val="plcountry"/>
      </w:pPr>
      <w:r w:rsidRPr="00BA410E">
        <w:t>BELGIQUE / BELGIUM / BELGIEN / BÉLGICA</w:t>
      </w:r>
    </w:p>
    <w:p w14:paraId="1525A0CA" w14:textId="77777777" w:rsidR="00E77B01" w:rsidRPr="00BA410E" w:rsidRDefault="00E77B01" w:rsidP="00E77B01">
      <w:pPr>
        <w:pStyle w:val="pldetails"/>
        <w:rPr>
          <w:lang w:val="pt-BR"/>
        </w:rPr>
      </w:pPr>
      <w:r w:rsidRPr="00BA410E">
        <w:t xml:space="preserve">Shannah BOENS (Ms.), Attaché, FPS Economy, Bruxelles </w:t>
      </w:r>
      <w:r w:rsidRPr="00BA410E">
        <w:br/>
        <w:t>(e-mail: shannah.boens@economie.fgov.be)</w:t>
      </w:r>
    </w:p>
    <w:p w14:paraId="5F961B41" w14:textId="77777777" w:rsidR="00E77B01" w:rsidRPr="00BA410E" w:rsidRDefault="00E77B01" w:rsidP="00E77B01">
      <w:pPr>
        <w:pStyle w:val="plcountry"/>
        <w:rPr>
          <w:lang w:val="pt-BR"/>
        </w:rPr>
      </w:pPr>
      <w:r w:rsidRPr="00BA410E">
        <w:lastRenderedPageBreak/>
        <w:t xml:space="preserve">BOLIVIE (ÉTAT PLURINATIONAL DE) / BOLIVIA (PLURINATIONAL STATE OF) / </w:t>
      </w:r>
      <w:r w:rsidRPr="00BA410E">
        <w:br/>
        <w:t>BOLIVIEN (PLURINATIONALER STAAT) / BOLIVIA (ESTADO PLURINACIONAL DE)</w:t>
      </w:r>
    </w:p>
    <w:p w14:paraId="1CA07D75" w14:textId="77777777" w:rsidR="00E77B01" w:rsidRPr="00BA410E" w:rsidRDefault="00E77B01" w:rsidP="00E77B01">
      <w:pPr>
        <w:pStyle w:val="pldetails"/>
        <w:rPr>
          <w:lang w:val="es-ES"/>
        </w:rPr>
      </w:pPr>
      <w:r w:rsidRPr="00BA410E">
        <w:rPr>
          <w:lang w:val="es-ES"/>
        </w:rPr>
        <w:t xml:space="preserve">Ramiro Fernando FIGUEREDO QUISBER (Sr.), Director Nacional de Semillas, Instituto Nacional de Innovación Agropecuaria y Forestal (INIAF), La Paz </w:t>
      </w:r>
      <w:r w:rsidRPr="00BA410E">
        <w:rPr>
          <w:lang w:val="es-ES"/>
        </w:rPr>
        <w:br/>
        <w:t xml:space="preserve">(e-mail: rffigueredoq@gmail.com) </w:t>
      </w:r>
    </w:p>
    <w:p w14:paraId="53F9BA1C" w14:textId="77777777" w:rsidR="00E77B01" w:rsidRPr="00BA410E" w:rsidRDefault="00E77B01" w:rsidP="00E77B01">
      <w:pPr>
        <w:pStyle w:val="pldetails"/>
        <w:rPr>
          <w:lang w:val="pt-BR"/>
        </w:rPr>
      </w:pPr>
      <w:r w:rsidRPr="00BA410E">
        <w:rPr>
          <w:lang w:val="es-ES"/>
        </w:rPr>
        <w:t xml:space="preserve">José Luis VACAFLOR DOMÍNGUEZ (Sr.), Responsable Nacional de Fiscalización y Registros de Semillas, Instituto Nacional de Innovación Agropecuaria y Forestal (INIAF), La Paz </w:t>
      </w:r>
      <w:r w:rsidRPr="00BA410E">
        <w:rPr>
          <w:lang w:val="es-ES"/>
        </w:rPr>
        <w:br/>
        <w:t>(e-mail: joseluisvacaflor@hotmail.com)</w:t>
      </w:r>
    </w:p>
    <w:p w14:paraId="2E659E63" w14:textId="77777777" w:rsidR="00E77B01" w:rsidRPr="00BA410E" w:rsidRDefault="00E77B01" w:rsidP="00E77B01">
      <w:pPr>
        <w:pStyle w:val="plcountry"/>
        <w:rPr>
          <w:lang w:val="pt-BR"/>
        </w:rPr>
      </w:pPr>
      <w:r w:rsidRPr="00BA410E">
        <w:rPr>
          <w:lang w:val="pt-BR"/>
        </w:rPr>
        <w:t>BRÉSIL / BRAZIL / BRASILIEN / BRASIL</w:t>
      </w:r>
    </w:p>
    <w:p w14:paraId="0B7A0A1E" w14:textId="77777777" w:rsidR="00E77B01" w:rsidRPr="00BA410E" w:rsidRDefault="00E77B01" w:rsidP="00E77B01">
      <w:pPr>
        <w:pStyle w:val="pldetails"/>
        <w:rPr>
          <w:lang w:val="pt-BR"/>
        </w:rPr>
      </w:pPr>
      <w:r w:rsidRPr="00BA410E">
        <w:rPr>
          <w:lang w:val="pt-BR"/>
        </w:rPr>
        <w:t>Stefânia PALMA ARAUJO (Ms.), Coordinator, Plant Variety Protection Office, National Plant Variety Protection Service, Serviço Nacional de Proteção de Cultivares (SNPC), Brasilia</w:t>
      </w:r>
      <w:r w:rsidRPr="00BA410E">
        <w:rPr>
          <w:lang w:val="pt-BR"/>
        </w:rPr>
        <w:br/>
        <w:t>(e-mail: stefania.araujo@agro.gov.br)</w:t>
      </w:r>
    </w:p>
    <w:p w14:paraId="63E2E5AE" w14:textId="77777777" w:rsidR="00E77B01" w:rsidRPr="00BA410E" w:rsidRDefault="00E77B01" w:rsidP="00E77B01">
      <w:pPr>
        <w:pStyle w:val="pldetails"/>
        <w:rPr>
          <w:lang w:val="pt-BR"/>
        </w:rPr>
      </w:pPr>
      <w:r w:rsidRPr="00BA410E">
        <w:t xml:space="preserve">Maria José PARON (Ms.), Federal Agricultural Inspector, Ministry of Agriculture and Livestock, Brasilia </w:t>
      </w:r>
      <w:r w:rsidRPr="00BA410E">
        <w:br/>
        <w:t>(e-mail: maria.paron@agro.gov.br)</w:t>
      </w:r>
    </w:p>
    <w:p w14:paraId="12923AAD" w14:textId="77777777" w:rsidR="00E77B01" w:rsidRPr="00BA410E" w:rsidRDefault="00E77B01" w:rsidP="00E77B01">
      <w:pPr>
        <w:pStyle w:val="plcountry"/>
        <w:rPr>
          <w:lang w:val="pt-BR"/>
        </w:rPr>
      </w:pPr>
      <w:r w:rsidRPr="00BA410E">
        <w:rPr>
          <w:lang w:val="pt-BR"/>
        </w:rPr>
        <w:t>CANADA / CANADA / KANADA / CANADÁ</w:t>
      </w:r>
    </w:p>
    <w:p w14:paraId="0EE1B8FF" w14:textId="77777777" w:rsidR="00E77B01" w:rsidRPr="00BA410E" w:rsidRDefault="00E77B01" w:rsidP="00E77B01">
      <w:pPr>
        <w:pStyle w:val="pldetails"/>
      </w:pPr>
      <w:r w:rsidRPr="00BA410E">
        <w:t xml:space="preserve">Anthony PARKER (Mr.), Commissioner, Plant Breeders' Rights Office, Canadian Food Inspection Agency (CFIA), Ottawa </w:t>
      </w:r>
      <w:r w:rsidRPr="00BA410E">
        <w:br/>
        <w:t>(e-mail: anthony.parker@inspection.gc.ca)</w:t>
      </w:r>
    </w:p>
    <w:p w14:paraId="0482C051" w14:textId="77777777" w:rsidR="00E77B01" w:rsidRPr="00BA410E" w:rsidRDefault="00E77B01" w:rsidP="00E77B01">
      <w:pPr>
        <w:pStyle w:val="pldetails"/>
      </w:pPr>
      <w:r w:rsidRPr="00BA410E">
        <w:t xml:space="preserve">Marc DE WIT (Mr.), Policy and Program Team Leader, Plant Breeders' Rights Office, Canadian Food Inspection Agency (CFIA), Ottawa </w:t>
      </w:r>
      <w:r w:rsidRPr="00BA410E">
        <w:br/>
        <w:t>(e-mail: Marc.deWit@Inspection.gc.ca)</w:t>
      </w:r>
    </w:p>
    <w:p w14:paraId="2718A750" w14:textId="77777777" w:rsidR="00E77B01" w:rsidRPr="00BA410E" w:rsidRDefault="00E77B01" w:rsidP="00E77B01">
      <w:pPr>
        <w:pStyle w:val="pldetails"/>
      </w:pPr>
      <w:r w:rsidRPr="00BA410E">
        <w:t xml:space="preserve">Renée CLOUTIER (Ms.), Examiner, Plant Breeders' Rights Office, Canadian Food Inspection Agency (CFIA), Ottawa </w:t>
      </w:r>
      <w:r w:rsidRPr="00BA410E">
        <w:br/>
        <w:t>(e-mail: Renee.Cloutier@inspection.gc.ca)</w:t>
      </w:r>
    </w:p>
    <w:p w14:paraId="77D77144" w14:textId="77777777" w:rsidR="00E77B01" w:rsidRPr="00BA410E" w:rsidRDefault="00E77B01" w:rsidP="00E77B01">
      <w:pPr>
        <w:pStyle w:val="plcountry"/>
        <w:rPr>
          <w:lang w:val="es-ES"/>
        </w:rPr>
      </w:pPr>
      <w:r w:rsidRPr="00BA410E">
        <w:rPr>
          <w:lang w:val="es-ES"/>
        </w:rPr>
        <w:t>CHILI / CHILE / CHILE / CHILE</w:t>
      </w:r>
    </w:p>
    <w:p w14:paraId="1F21294D" w14:textId="77777777" w:rsidR="00E77B01" w:rsidRPr="00BA410E" w:rsidRDefault="00E77B01" w:rsidP="00E77B01">
      <w:pPr>
        <w:pStyle w:val="pldetails"/>
        <w:rPr>
          <w:lang w:val="es-ES"/>
        </w:rPr>
      </w:pPr>
      <w:r w:rsidRPr="00BA410E">
        <w:rPr>
          <w:lang w:val="es-ES"/>
        </w:rPr>
        <w:t xml:space="preserve">Manuel Antonio TORO UGALDE (Sr.), Jefe Sección, Registro de Variedades Protegidas, Departamento de Semillas y Plantas, Servicio Agrícola y Ganadero (SAG), Santiago de Chile </w:t>
      </w:r>
      <w:r w:rsidRPr="00BA410E">
        <w:rPr>
          <w:lang w:val="es-ES"/>
        </w:rPr>
        <w:br/>
        <w:t>(e-mail: manuel.toro@sag.gob.cl)</w:t>
      </w:r>
    </w:p>
    <w:p w14:paraId="563A4284" w14:textId="77777777" w:rsidR="00E77B01" w:rsidRPr="00BA410E" w:rsidRDefault="00E77B01" w:rsidP="00E77B01">
      <w:pPr>
        <w:pStyle w:val="plcountry"/>
        <w:rPr>
          <w:lang w:val="pt-BR"/>
        </w:rPr>
      </w:pPr>
      <w:r w:rsidRPr="00BA410E">
        <w:rPr>
          <w:lang w:val="pt-BR"/>
        </w:rPr>
        <w:t>CHINE / CHINA / CHINA / CHINA</w:t>
      </w:r>
    </w:p>
    <w:p w14:paraId="1416B01A" w14:textId="77777777" w:rsidR="00E77B01" w:rsidRPr="00BA410E" w:rsidRDefault="00E77B01" w:rsidP="00E77B01">
      <w:pPr>
        <w:pStyle w:val="pldetails"/>
      </w:pPr>
      <w:r w:rsidRPr="00BA410E">
        <w:t xml:space="preserve">Yehan CUI (Mr.), Chief Agronomist, Development Center of Science and Technology (DCST), Ministry of Agriculture and Rural Affairs (MARA), Beijing </w:t>
      </w:r>
      <w:r w:rsidRPr="00BA410E">
        <w:br/>
        <w:t>(e-mail: cuiyehan@agri.gov.cn)</w:t>
      </w:r>
    </w:p>
    <w:p w14:paraId="456E895F" w14:textId="77777777" w:rsidR="00E77B01" w:rsidRPr="00BA410E" w:rsidRDefault="00E77B01" w:rsidP="00E77B01">
      <w:pPr>
        <w:pStyle w:val="pldetails"/>
      </w:pPr>
      <w:r w:rsidRPr="00BA410E">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A410E">
        <w:br/>
        <w:t>(e-mail: zyq8565@126.com)</w:t>
      </w:r>
    </w:p>
    <w:p w14:paraId="3C98D6A1" w14:textId="77777777" w:rsidR="00E77B01" w:rsidRPr="00BA410E" w:rsidRDefault="00E77B01" w:rsidP="00E77B01">
      <w:pPr>
        <w:pStyle w:val="pldetails"/>
      </w:pPr>
      <w:r w:rsidRPr="00BA410E">
        <w:t xml:space="preserve">Hao TANG (Mr.), Division Director, Division of Plant Variety Protection, Development Center of Science and Technology, Ministry of Agriculture and Rural Affairs (MARA), Beijing </w:t>
      </w:r>
      <w:r w:rsidRPr="00BA410E">
        <w:br/>
        <w:t xml:space="preserve">(e-mail: tanghao1973@126.com) </w:t>
      </w:r>
    </w:p>
    <w:p w14:paraId="4E6EC584" w14:textId="77777777" w:rsidR="00E77B01" w:rsidRPr="00BA410E" w:rsidRDefault="00E77B01" w:rsidP="00E77B01">
      <w:pPr>
        <w:pStyle w:val="pldetails"/>
      </w:pPr>
      <w:r w:rsidRPr="00BA410E">
        <w:t xml:space="preserve">Boxuan WU (Mr.), Senior Program Officer, International Cooperation Department, China National Intellectual Property Administration (CNIPA), Beijing </w:t>
      </w:r>
      <w:r w:rsidRPr="00BA410E">
        <w:br/>
        <w:t xml:space="preserve">(e-mail: wuboxuan@cnipa.gov.cn) </w:t>
      </w:r>
    </w:p>
    <w:p w14:paraId="0A9C296E" w14:textId="77777777" w:rsidR="00E77B01" w:rsidRPr="00BA410E" w:rsidRDefault="00E77B01" w:rsidP="00E77B01">
      <w:pPr>
        <w:pStyle w:val="pldetails"/>
      </w:pPr>
      <w:r w:rsidRPr="00BA410E">
        <w:t xml:space="preserve">Yuxia LIU (Ms.), Consultant, Science and Technology Development Center, Office for Protection of New Varieties of Plants, National Forestry and Grassland Administration of China (NFGA), Beijing </w:t>
      </w:r>
      <w:r w:rsidRPr="00BA410E">
        <w:br/>
        <w:t xml:space="preserve">(e-mail: kjzxlyx@163.com) </w:t>
      </w:r>
    </w:p>
    <w:p w14:paraId="23EE1796" w14:textId="77777777" w:rsidR="00E77B01" w:rsidRPr="00BA410E" w:rsidRDefault="00E77B01" w:rsidP="00E77B01">
      <w:pPr>
        <w:pStyle w:val="pldetails"/>
      </w:pPr>
      <w:r w:rsidRPr="00BA410E">
        <w:t xml:space="preserve">Hua DENG (Ms.), Assistant professor, Chinese Academy of Forestry, Ministry of Agriculture and Rural Affairs (MARA), Beijing </w:t>
      </w:r>
      <w:r w:rsidRPr="00BA410E">
        <w:br/>
        <w:t>(e-mail: denghua@caf.ac.cn)</w:t>
      </w:r>
    </w:p>
    <w:p w14:paraId="000B98EF" w14:textId="77777777" w:rsidR="00E77B01" w:rsidRPr="00BA410E" w:rsidRDefault="00E77B01" w:rsidP="00E77B01">
      <w:pPr>
        <w:pStyle w:val="plcountry"/>
        <w:rPr>
          <w:lang w:val="es-ES"/>
        </w:rPr>
      </w:pPr>
      <w:r w:rsidRPr="00BA410E">
        <w:rPr>
          <w:lang w:val="es-ES"/>
        </w:rPr>
        <w:t>COLOMBIE / COLOMBIA / KOLUMBIEN / COLOMBIA</w:t>
      </w:r>
    </w:p>
    <w:p w14:paraId="57F6A838" w14:textId="77777777" w:rsidR="00E77B01" w:rsidRPr="00BA410E" w:rsidRDefault="00E77B01" w:rsidP="00E77B01">
      <w:pPr>
        <w:pStyle w:val="pldetails"/>
        <w:rPr>
          <w:lang w:val="pt-BR"/>
        </w:rPr>
      </w:pPr>
      <w:r w:rsidRPr="00BA410E">
        <w:rPr>
          <w:lang w:val="es-ES"/>
        </w:rPr>
        <w:t xml:space="preserve">Alfonso Alberto ROSERO (Sr.), Director Técnico de Semillas, Subgerencia de Protección Vegetal, Instituto Colombiano Agropecuario (ICA), Bogotá </w:t>
      </w:r>
      <w:r w:rsidRPr="00BA410E">
        <w:rPr>
          <w:lang w:val="es-ES"/>
        </w:rPr>
        <w:br/>
        <w:t>(e-mail: alberto.rosero@ica.gov.co)</w:t>
      </w:r>
    </w:p>
    <w:p w14:paraId="2CA04A4F" w14:textId="77777777" w:rsidR="00E77B01" w:rsidRPr="00BA410E" w:rsidRDefault="00E77B01" w:rsidP="00E77B01">
      <w:pPr>
        <w:pStyle w:val="plcountry"/>
        <w:rPr>
          <w:lang w:val="pt-BR"/>
        </w:rPr>
      </w:pPr>
      <w:r w:rsidRPr="00BA410E">
        <w:rPr>
          <w:lang w:val="pt-BR"/>
        </w:rPr>
        <w:lastRenderedPageBreak/>
        <w:t>DANEMARK / DENMARK / DÄNEMARK / DINAMARCA</w:t>
      </w:r>
    </w:p>
    <w:p w14:paraId="1C4F7146" w14:textId="77777777" w:rsidR="00E77B01" w:rsidRPr="00BA410E" w:rsidRDefault="00E77B01" w:rsidP="00E77B01">
      <w:pPr>
        <w:pStyle w:val="pldetails"/>
      </w:pPr>
      <w:r w:rsidRPr="00BA410E">
        <w:t xml:space="preserve">Kristine Bech KLINDT (Ms.), Team Leader, Plants &amp; Biosecurity, The Danish Agricultural Agency, Copenhagen </w:t>
      </w:r>
      <w:r w:rsidRPr="00BA410E">
        <w:br/>
        <w:t xml:space="preserve">(e-mail: planter&amp;biosikkerhed@lbst.dk) </w:t>
      </w:r>
    </w:p>
    <w:p w14:paraId="2EB9433A" w14:textId="77777777" w:rsidR="00E77B01" w:rsidRPr="00BA410E" w:rsidRDefault="00E77B01" w:rsidP="00E77B01">
      <w:pPr>
        <w:pStyle w:val="pldetails"/>
        <w:rPr>
          <w:lang w:val="pt-BR"/>
        </w:rPr>
      </w:pPr>
      <w:r w:rsidRPr="00BA410E">
        <w:t xml:space="preserve">Line Klingenberg KRUSE (Ms.), Academic Officer, The Danish Agricultural Agency, Copenhagen </w:t>
      </w:r>
      <w:r w:rsidRPr="00BA410E">
        <w:br/>
        <w:t>(e-mail: likrus@lbst.dk)</w:t>
      </w:r>
    </w:p>
    <w:p w14:paraId="1454D5C6" w14:textId="77777777" w:rsidR="00E77B01" w:rsidRPr="00BA410E" w:rsidRDefault="00E77B01" w:rsidP="00E77B01">
      <w:pPr>
        <w:pStyle w:val="plcountry"/>
        <w:rPr>
          <w:lang w:val="pt-BR"/>
        </w:rPr>
      </w:pPr>
      <w:r w:rsidRPr="00BA410E">
        <w:rPr>
          <w:lang w:val="pt-BR"/>
        </w:rPr>
        <w:t>ÉGYPTE / EGYPT / ÄGYPTEN / EGIPTO</w:t>
      </w:r>
    </w:p>
    <w:p w14:paraId="1599CE45" w14:textId="77777777" w:rsidR="00E77B01" w:rsidRPr="00BA410E" w:rsidRDefault="00E77B01" w:rsidP="00E77B01">
      <w:pPr>
        <w:pStyle w:val="pldetails"/>
        <w:rPr>
          <w:lang w:val="pt-BR"/>
        </w:rPr>
      </w:pPr>
      <w:r w:rsidRPr="00BA410E">
        <w:t xml:space="preserve">Shymaa ABOSHOSHA (Ms.), Agricultural Engineer, Plant Variety Protection Office (PVPO), Central Administration for Seed Testing and Certification (CASC), Giza </w:t>
      </w:r>
      <w:r w:rsidRPr="00BA410E">
        <w:br/>
        <w:t>(e-mail: sh_z9@hotmail.com)</w:t>
      </w:r>
    </w:p>
    <w:p w14:paraId="488AEF87" w14:textId="77777777" w:rsidR="00E77B01" w:rsidRPr="00BA410E" w:rsidRDefault="00E77B01" w:rsidP="00E77B01">
      <w:pPr>
        <w:pStyle w:val="plcountry"/>
        <w:rPr>
          <w:lang w:val="es-ES"/>
        </w:rPr>
      </w:pPr>
      <w:r w:rsidRPr="00BA410E">
        <w:rPr>
          <w:lang w:val="es-ES"/>
        </w:rPr>
        <w:t>ESPAGNE / SPAIN / SPANIEN / ESPAÑA</w:t>
      </w:r>
    </w:p>
    <w:p w14:paraId="1513EC4E" w14:textId="77777777" w:rsidR="00E77B01" w:rsidRPr="00BA410E" w:rsidRDefault="00E77B01" w:rsidP="00E77B01">
      <w:pPr>
        <w:pStyle w:val="pldetails"/>
        <w:rPr>
          <w:lang w:val="es-ES"/>
        </w:rPr>
      </w:pPr>
      <w:r w:rsidRPr="00BA410E">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BA410E">
        <w:rPr>
          <w:lang w:val="es-ES"/>
        </w:rPr>
        <w:br/>
        <w:t>(e-mail: jasobrino@mapa.es)</w:t>
      </w:r>
    </w:p>
    <w:p w14:paraId="385D3325" w14:textId="77777777" w:rsidR="00E77B01" w:rsidRPr="00BA410E" w:rsidRDefault="00E77B01" w:rsidP="00E77B01">
      <w:pPr>
        <w:pStyle w:val="pldetails"/>
        <w:rPr>
          <w:lang w:val="es-ES"/>
        </w:rPr>
      </w:pPr>
      <w:bookmarkStart w:id="11" w:name="_Hlk179983531"/>
      <w:r w:rsidRPr="00BA410E">
        <w:rPr>
          <w:lang w:val="es-ES"/>
        </w:rPr>
        <w:t xml:space="preserve">Carlos SANZ ZUDAIRE (Mr.), Head of Registry, Oficina Española de Variedades Vegetales (MPA y OEVV), Madrid </w:t>
      </w:r>
      <w:r w:rsidRPr="00BA410E">
        <w:rPr>
          <w:lang w:val="es-ES"/>
        </w:rPr>
        <w:br/>
        <w:t>(e-mail: csanz@mapa.es)</w:t>
      </w:r>
    </w:p>
    <w:bookmarkEnd w:id="11"/>
    <w:p w14:paraId="6A7FDEDE" w14:textId="77777777" w:rsidR="00E77B01" w:rsidRPr="00BA410E" w:rsidRDefault="00E77B01" w:rsidP="00E77B01">
      <w:pPr>
        <w:pStyle w:val="plcountry"/>
      </w:pPr>
      <w:r w:rsidRPr="00BA410E">
        <w:t>ESTONIE / ESTONIA / ESTLAND / ESTONIA</w:t>
      </w:r>
    </w:p>
    <w:p w14:paraId="4695CEFA" w14:textId="77777777" w:rsidR="00E77B01" w:rsidRPr="00BA410E" w:rsidRDefault="00E77B01" w:rsidP="00E77B01">
      <w:pPr>
        <w:pStyle w:val="pldetails"/>
      </w:pPr>
      <w:r w:rsidRPr="00BA410E">
        <w:t xml:space="preserve">Laima PUUR (Ms.), Adviser, Organic Farming and Seed Department, Estonian Agricultural and Food Board, Viljandi </w:t>
      </w:r>
      <w:r w:rsidRPr="00BA410E">
        <w:br/>
        <w:t>(e-mail: laima.puur@pta.agri.ee)</w:t>
      </w:r>
    </w:p>
    <w:p w14:paraId="7C322EF9" w14:textId="77777777" w:rsidR="00E77B01" w:rsidRPr="00BA410E" w:rsidRDefault="00E77B01" w:rsidP="00E77B01">
      <w:pPr>
        <w:pStyle w:val="plcountry"/>
        <w:rPr>
          <w:lang w:val="pt-BR"/>
        </w:rPr>
      </w:pPr>
      <w:r w:rsidRPr="00BA410E">
        <w:rPr>
          <w:lang w:val="pt-BR"/>
        </w:rPr>
        <w:t xml:space="preserve">ÉTATS-UNIS D'AMÉRIQUE / UNITED STATES OF AMERICA / VEREINIGTE STAATEN VON AMERIKA / </w:t>
      </w:r>
      <w:r w:rsidRPr="00BA410E">
        <w:rPr>
          <w:lang w:val="pt-BR"/>
        </w:rPr>
        <w:br/>
        <w:t>ESTADOS UNIDOS DE AMÉRICA</w:t>
      </w:r>
    </w:p>
    <w:p w14:paraId="2C4104B6" w14:textId="77777777" w:rsidR="00E77B01" w:rsidRPr="00BA410E" w:rsidRDefault="00E77B01" w:rsidP="00E77B01">
      <w:pPr>
        <w:pStyle w:val="pldetails"/>
      </w:pPr>
      <w:r w:rsidRPr="00BA410E">
        <w:t>Christian HANNON (Mr.), Senior Patent Attorney, Office of Policy and International Affairs (OPIA), United States Patent and Trademark Office (USPTO), Alexandria</w:t>
      </w:r>
      <w:r w:rsidRPr="00BA410E">
        <w:br/>
        <w:t>(e-mail: christian.hannon@uspto.gov)</w:t>
      </w:r>
    </w:p>
    <w:p w14:paraId="555E9681" w14:textId="77777777" w:rsidR="00E77B01" w:rsidRPr="00BA410E" w:rsidRDefault="00E77B01" w:rsidP="00E77B01">
      <w:pPr>
        <w:pStyle w:val="pldetails"/>
      </w:pPr>
      <w:r w:rsidRPr="00BA410E">
        <w:t>Ruihong GUO (Ms.), Deputy Administrator, AMS, Science &amp; Technology Program, United States Department of Agriculture (USDA), Washington D.C.</w:t>
      </w:r>
      <w:r w:rsidRPr="00BA410E">
        <w:br/>
        <w:t>(e-mail: ruihong.guo@usda.gov)</w:t>
      </w:r>
    </w:p>
    <w:p w14:paraId="28C0AB48" w14:textId="77777777" w:rsidR="00E77B01" w:rsidRPr="00BA410E" w:rsidRDefault="00E77B01" w:rsidP="00E77B01">
      <w:pPr>
        <w:pStyle w:val="pldetails"/>
      </w:pPr>
      <w:r w:rsidRPr="00BA410E">
        <w:t xml:space="preserve">Jeffery HAYNES (Mr.), Commissioner, Plant Variety Protection Office, AMS, Science &amp; Technology Program, United States Department of Agriculture (USDA), Washington D.C. </w:t>
      </w:r>
      <w:r w:rsidRPr="00BA410E">
        <w:br/>
        <w:t>(e-mail: Jeffery.Haynes@usda.gov)</w:t>
      </w:r>
    </w:p>
    <w:p w14:paraId="0277A986" w14:textId="77777777" w:rsidR="00E77B01" w:rsidRPr="00BA410E" w:rsidRDefault="00E77B01" w:rsidP="00E77B01">
      <w:pPr>
        <w:pStyle w:val="plcountry"/>
      </w:pPr>
      <w:r w:rsidRPr="00BA410E">
        <w:t xml:space="preserve">FÉDÉRATION DE RUSSIE / RUSSIAN FEDERATION / RUSSISCHE FÖDERATION / </w:t>
      </w:r>
      <w:r w:rsidRPr="00BA410E">
        <w:br/>
        <w:t>FEDERACIÓN DE RUSIA</w:t>
      </w:r>
    </w:p>
    <w:p w14:paraId="43AF2E48" w14:textId="77777777" w:rsidR="00E77B01" w:rsidRPr="00BA410E" w:rsidRDefault="00E77B01" w:rsidP="00E77B01">
      <w:pPr>
        <w:pStyle w:val="pldetails"/>
      </w:pPr>
      <w:r w:rsidRPr="00BA410E">
        <w:t xml:space="preserve">Anastasiia TOROPOVA (Ms.), Second Secretary, Permanent Mission, Geneva </w:t>
      </w:r>
      <w:r w:rsidRPr="00BA410E">
        <w:br/>
        <w:t>(e-mail: toropovaaa1@yandex.ru)</w:t>
      </w:r>
    </w:p>
    <w:p w14:paraId="328F4744" w14:textId="77777777" w:rsidR="00E77B01" w:rsidRPr="00BA410E" w:rsidRDefault="00E77B01" w:rsidP="00E77B01">
      <w:pPr>
        <w:pStyle w:val="pldetails"/>
      </w:pPr>
      <w:r w:rsidRPr="00BA410E">
        <w:t xml:space="preserve">Ivan TARUTIN (Mr.), Third Secretary, Permanent Mission, Geneva </w:t>
      </w:r>
      <w:r w:rsidRPr="00BA410E">
        <w:br/>
        <w:t>(e-mail: Tarutin.ivan@gmail.com)</w:t>
      </w:r>
    </w:p>
    <w:p w14:paraId="3DADD4A5" w14:textId="77777777" w:rsidR="00E77B01" w:rsidRPr="00BA410E" w:rsidRDefault="00E77B01" w:rsidP="00E77B01">
      <w:pPr>
        <w:pStyle w:val="plcountry"/>
      </w:pPr>
      <w:r w:rsidRPr="00BA410E">
        <w:t>FINLANDE / FINLAND / FINNLAND / FINLANDIA</w:t>
      </w:r>
    </w:p>
    <w:p w14:paraId="50C388B8" w14:textId="77777777" w:rsidR="00E77B01" w:rsidRPr="00BA410E" w:rsidRDefault="00E77B01" w:rsidP="00E77B01">
      <w:pPr>
        <w:pStyle w:val="pldetails"/>
      </w:pPr>
      <w:r w:rsidRPr="00BA410E">
        <w:t xml:space="preserve">Tarja Päivikki HIETARANTA (Ms.), Senior Specialist, Plant Variety Registration, Finnish Food Authority, Loimaa </w:t>
      </w:r>
      <w:r w:rsidRPr="00BA410E">
        <w:br/>
        <w:t>(e-mail: tarja.hietaranta@ruokavirasto.fi)</w:t>
      </w:r>
    </w:p>
    <w:p w14:paraId="7860DF52" w14:textId="77777777" w:rsidR="00E77B01" w:rsidRPr="00BA410E" w:rsidRDefault="00E77B01" w:rsidP="00E77B01">
      <w:pPr>
        <w:pStyle w:val="plcountry"/>
        <w:rPr>
          <w:lang w:val="fr-FR"/>
        </w:rPr>
      </w:pPr>
      <w:r w:rsidRPr="00BA410E">
        <w:rPr>
          <w:lang w:val="fr-FR"/>
        </w:rPr>
        <w:t>FRANCE / France / FRANKREICH / FRANCIA</w:t>
      </w:r>
    </w:p>
    <w:p w14:paraId="37643CE2" w14:textId="77777777" w:rsidR="00E77B01" w:rsidRPr="00BA410E" w:rsidRDefault="00E77B01" w:rsidP="00E77B01">
      <w:pPr>
        <w:pStyle w:val="pldetails"/>
        <w:rPr>
          <w:lang w:val="fr-FR"/>
        </w:rPr>
      </w:pPr>
      <w:r w:rsidRPr="00BA410E">
        <w:rPr>
          <w:lang w:val="fr-FR"/>
        </w:rPr>
        <w:t xml:space="preserve">Antoine KATALAYI MULELI (M.), Chargé de mission sélection vétgétale, qualité des semences et protection intellectuelle, Ministère de l’agriculture et de la souveraineté alimentaire, Paris </w:t>
      </w:r>
      <w:r w:rsidRPr="00BA410E">
        <w:rPr>
          <w:lang w:val="fr-FR"/>
        </w:rPr>
        <w:br/>
        <w:t>(e-mail: antoine.katalayi-muleli@agriculture.gouv.fr)</w:t>
      </w:r>
    </w:p>
    <w:p w14:paraId="1B8079C1" w14:textId="77777777" w:rsidR="00E77B01" w:rsidRPr="00BA410E" w:rsidRDefault="00E77B01" w:rsidP="00E77B01">
      <w:pPr>
        <w:pStyle w:val="pldetails"/>
        <w:rPr>
          <w:lang w:val="fr-CH"/>
        </w:rPr>
      </w:pPr>
      <w:r w:rsidRPr="00BA410E">
        <w:rPr>
          <w:lang w:val="fr-CH"/>
        </w:rPr>
        <w:t xml:space="preserve">Yvane MERESSE (Mme), Responsable de l'Instance Nationale des Obtentions Végétales (INOV), Groupe d'Étude et de Contrôle des Variétés et des Semences (GEVES), Beaucouzé </w:t>
      </w:r>
      <w:r w:rsidRPr="00BA410E">
        <w:rPr>
          <w:lang w:val="fr-CH"/>
        </w:rPr>
        <w:br/>
        <w:t>(e-mail: yvane.meresse@geves.fr)</w:t>
      </w:r>
    </w:p>
    <w:p w14:paraId="2ACB97D0" w14:textId="77777777" w:rsidR="00E77B01" w:rsidRPr="00BA410E" w:rsidRDefault="00E77B01" w:rsidP="00E77B01">
      <w:pPr>
        <w:pStyle w:val="plcountry"/>
      </w:pPr>
      <w:r w:rsidRPr="00BA410E">
        <w:lastRenderedPageBreak/>
        <w:t>GHANA / GHANA / GHANA / GHANA</w:t>
      </w:r>
    </w:p>
    <w:p w14:paraId="5F8BD0F7" w14:textId="77777777" w:rsidR="00E77B01" w:rsidRPr="00BA410E" w:rsidRDefault="00E77B01" w:rsidP="00E77B01">
      <w:pPr>
        <w:pStyle w:val="pldetails"/>
      </w:pPr>
      <w:r w:rsidRPr="00BA410E">
        <w:t xml:space="preserve">Diana Asonoba DAPAAH (Ms.), Deputy Attorney General and Deputy Minister of Justice, Office of the Attorney General and Ministry of Justice, Accra </w:t>
      </w:r>
      <w:r w:rsidRPr="00BA410E">
        <w:br/>
        <w:t>(e-mail: diana.dapaah@mojagd.gov.gh)</w:t>
      </w:r>
    </w:p>
    <w:p w14:paraId="11DC7BBC" w14:textId="77777777" w:rsidR="00E77B01" w:rsidRPr="00BA410E" w:rsidRDefault="00E77B01" w:rsidP="00E77B01">
      <w:pPr>
        <w:pStyle w:val="pldetails"/>
      </w:pPr>
      <w:r w:rsidRPr="00BA410E">
        <w:t xml:space="preserve">Maud Ofaah YEBOAH (Ms.), State Attorney, Attorney General’s &amp; Ministry of Justice, Accra </w:t>
      </w:r>
      <w:r w:rsidRPr="00BA410E">
        <w:br/>
        <w:t>(e-mail: graceissahaque@hotmail.com)</w:t>
      </w:r>
    </w:p>
    <w:p w14:paraId="52839344" w14:textId="77777777" w:rsidR="00E77B01" w:rsidRPr="00BA410E" w:rsidRDefault="00E77B01" w:rsidP="00E77B01">
      <w:pPr>
        <w:pStyle w:val="pldetails"/>
      </w:pPr>
      <w:r w:rsidRPr="00BA410E">
        <w:t xml:space="preserve">Courage BESAH-ADANU (Mr.), Head of PVP Unit, Senior Programs Officer, Ghana Industrial Property Office, Registrar General's Department, Accra </w:t>
      </w:r>
      <w:r w:rsidRPr="00BA410E">
        <w:br/>
        <w:t>(e-mail: kadanu2@gmail.com)</w:t>
      </w:r>
    </w:p>
    <w:p w14:paraId="1CB58BD8" w14:textId="77777777" w:rsidR="00E77B01" w:rsidRPr="00BA410E" w:rsidRDefault="00E77B01" w:rsidP="00E77B01">
      <w:pPr>
        <w:pStyle w:val="pldetails"/>
      </w:pPr>
      <w:r w:rsidRPr="00BA410E">
        <w:t>Audrey NEEQUAYE (Ms.), First Secretary, Permanent Mission, Geneva</w:t>
      </w:r>
      <w:r w:rsidRPr="00BA410E">
        <w:br/>
        <w:t xml:space="preserve">(e-mail: </w:t>
      </w:r>
      <w:hyperlink r:id="rId19" w:history="1">
        <w:r w:rsidRPr="00BA410E">
          <w:t>neequayea@ghanamission.ch</w:t>
        </w:r>
      </w:hyperlink>
      <w:r w:rsidRPr="00BA410E">
        <w:t>)</w:t>
      </w:r>
    </w:p>
    <w:p w14:paraId="7BC2A5C5" w14:textId="77777777" w:rsidR="00E77B01" w:rsidRPr="00BA410E" w:rsidRDefault="00E77B01" w:rsidP="00E77B01">
      <w:pPr>
        <w:pStyle w:val="plcountry"/>
        <w:spacing w:before="60" w:after="60"/>
        <w:rPr>
          <w:rFonts w:eastAsiaTheme="minorEastAsia"/>
          <w:caps w:val="0"/>
          <w:u w:val="none"/>
          <w:lang w:eastAsia="ja-JP"/>
        </w:rPr>
      </w:pPr>
      <w:r w:rsidRPr="00BA410E">
        <w:rPr>
          <w:caps w:val="0"/>
          <w:u w:val="none"/>
        </w:rPr>
        <w:t>Akosua OKYERE-BADOO (Ms.), Deputy Permanent Representative, Permanent Mission, Geneva</w:t>
      </w:r>
      <w:r w:rsidRPr="00BA410E">
        <w:rPr>
          <w:caps w:val="0"/>
          <w:u w:val="none"/>
        </w:rPr>
        <w:br/>
        <w:t>(e-mail: info@ghanamission.ch)</w:t>
      </w:r>
    </w:p>
    <w:p w14:paraId="755E81A1" w14:textId="77777777" w:rsidR="00E77B01" w:rsidRPr="00BA410E" w:rsidRDefault="00E77B01" w:rsidP="00E77B01">
      <w:pPr>
        <w:pStyle w:val="plcountry"/>
      </w:pPr>
      <w:r w:rsidRPr="00BA410E">
        <w:t>HONGRIE / HUNGARY / UNGARN / HUNGRÍA</w:t>
      </w:r>
    </w:p>
    <w:p w14:paraId="45A0027C" w14:textId="77777777" w:rsidR="00E77B01" w:rsidRPr="00BA410E" w:rsidRDefault="00E77B01" w:rsidP="00E77B01">
      <w:pPr>
        <w:pStyle w:val="pldetails"/>
      </w:pPr>
      <w:r w:rsidRPr="00BA410E">
        <w:t xml:space="preserve">Dóra GYETVAINÉ VIRÁG (Ms.), Vice-President for Industrial Property Administration, Hungarian Intellectual Property Office (HIPO), Budapest </w:t>
      </w:r>
      <w:r w:rsidRPr="00BA410E">
        <w:br/>
        <w:t xml:space="preserve">(e-mail: dora.virag@hipo.gov.hu) </w:t>
      </w:r>
    </w:p>
    <w:p w14:paraId="268C38C6" w14:textId="77777777" w:rsidR="00E77B01" w:rsidRPr="00BA410E" w:rsidRDefault="00E77B01" w:rsidP="00E77B01">
      <w:pPr>
        <w:pStyle w:val="plcountry"/>
      </w:pPr>
      <w:r w:rsidRPr="00BA410E">
        <w:t>IRLANDE / IRELAND / IRLAND / IRLANDA</w:t>
      </w:r>
    </w:p>
    <w:p w14:paraId="6C6AC2B8" w14:textId="77777777" w:rsidR="00E77B01" w:rsidRPr="00BA410E" w:rsidRDefault="00E77B01" w:rsidP="00E77B01">
      <w:pPr>
        <w:pStyle w:val="pldetails"/>
      </w:pPr>
      <w:r w:rsidRPr="00BA410E">
        <w:t xml:space="preserve">Elizabeth HYLAND (Ms.), Deputy Controller of Plant Breeders Rights, Department of Agriculture, Food and the Marine, Leixlip </w:t>
      </w:r>
      <w:r w:rsidRPr="00BA410E">
        <w:br/>
        <w:t>(e-mail: Elizabeth.Hyland@agriculture.gov.ie)</w:t>
      </w:r>
    </w:p>
    <w:p w14:paraId="56BCEEED" w14:textId="77777777" w:rsidR="00E77B01" w:rsidRPr="00BA410E" w:rsidRDefault="00E77B01" w:rsidP="00E77B01">
      <w:pPr>
        <w:pStyle w:val="plcountry"/>
      </w:pPr>
      <w:r w:rsidRPr="00BA410E">
        <w:t>JAPON / JAPAN / JAPAN / JAPÓN</w:t>
      </w:r>
    </w:p>
    <w:p w14:paraId="2926CB19" w14:textId="77777777" w:rsidR="00E77B01" w:rsidRPr="00BA410E" w:rsidRDefault="00E77B01" w:rsidP="00E77B01">
      <w:pPr>
        <w:pStyle w:val="pldetails"/>
      </w:pPr>
      <w:r w:rsidRPr="00BA410E">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A410E">
        <w:br/>
        <w:t>(e-mail: minori_hagiwara110@maff.go.jp))</w:t>
      </w:r>
    </w:p>
    <w:p w14:paraId="504A3F1E" w14:textId="77777777" w:rsidR="00E77B01" w:rsidRPr="00BA410E" w:rsidRDefault="00E77B01" w:rsidP="00E77B01">
      <w:pPr>
        <w:pStyle w:val="pldetails"/>
      </w:pPr>
      <w:r w:rsidRPr="00BA410E">
        <w:t xml:space="preserve">Hiroaki KINOSHITA (Mr.), International Relation Officer, Plant Variety Protection Office, Intellectual Property Division, Export and International Affairs Bureau, Ministry of Agriculture, Forestry and Fisheries (MAFF), Tokyo </w:t>
      </w:r>
      <w:r w:rsidRPr="00BA410E">
        <w:br/>
        <w:t>(e-mail: hiroaki_kinoshita640@maff.go.jp)</w:t>
      </w:r>
    </w:p>
    <w:p w14:paraId="4B645536" w14:textId="77777777" w:rsidR="00E77B01" w:rsidRPr="00BA410E" w:rsidRDefault="00E77B01" w:rsidP="00E77B01">
      <w:pPr>
        <w:pStyle w:val="plcountry"/>
      </w:pPr>
      <w:r w:rsidRPr="00BA410E">
        <w:t>KENYA / Kenya / KENIA / KENYA</w:t>
      </w:r>
    </w:p>
    <w:p w14:paraId="6325E75C" w14:textId="77777777" w:rsidR="00E77B01" w:rsidRPr="00BA410E" w:rsidRDefault="00E77B01" w:rsidP="00E77B01">
      <w:pPr>
        <w:pStyle w:val="pldetails"/>
      </w:pPr>
      <w:r w:rsidRPr="00BA410E">
        <w:t xml:space="preserve">Theophilus M. MUTUI (Mr.), Managing Director, Kenya Plant Health Inspectorate Service (KEPHIS), Nairobi </w:t>
      </w:r>
      <w:r w:rsidRPr="00BA410E">
        <w:br/>
        <w:t>(e-mail: director@kephis.org)</w:t>
      </w:r>
    </w:p>
    <w:p w14:paraId="4029A018" w14:textId="77777777" w:rsidR="00E77B01" w:rsidRPr="00BA410E" w:rsidRDefault="00E77B01" w:rsidP="00E77B01">
      <w:pPr>
        <w:pStyle w:val="plcountry"/>
      </w:pPr>
      <w:r w:rsidRPr="00BA410E">
        <w:t>LITUANIE / LITHUANIA / LITAUEN / LITUANIA</w:t>
      </w:r>
    </w:p>
    <w:p w14:paraId="17EF933C" w14:textId="77777777" w:rsidR="00E77B01" w:rsidRPr="00BA410E" w:rsidRDefault="00E77B01" w:rsidP="00E77B01">
      <w:pPr>
        <w:pStyle w:val="pldetails"/>
      </w:pPr>
      <w:r w:rsidRPr="00BA410E">
        <w:t xml:space="preserve">Austė GEDDES (Ms.), Chief Specialist in Plant Variety Protection, The State Plant Service under the Ministry of Agriculture, Vilnius </w:t>
      </w:r>
      <w:r w:rsidRPr="00BA410E">
        <w:br/>
        <w:t>(e-mail: auste.geddes@vatzum.lt)</w:t>
      </w:r>
    </w:p>
    <w:p w14:paraId="5CF02875" w14:textId="77777777" w:rsidR="00E77B01" w:rsidRPr="00BA410E" w:rsidRDefault="00E77B01" w:rsidP="00E77B01">
      <w:pPr>
        <w:pStyle w:val="plcountry"/>
        <w:rPr>
          <w:lang w:val="fr-FR"/>
        </w:rPr>
      </w:pPr>
      <w:r w:rsidRPr="00BA410E">
        <w:rPr>
          <w:lang w:val="fr-FR"/>
        </w:rPr>
        <w:t>MAROC / MOROCCO / MAROKKO / MARRUECOS</w:t>
      </w:r>
    </w:p>
    <w:p w14:paraId="044CEB2C" w14:textId="77777777" w:rsidR="00E77B01" w:rsidRPr="00BA410E" w:rsidRDefault="00E77B01" w:rsidP="00E77B01">
      <w:pPr>
        <w:pStyle w:val="pldetails"/>
        <w:rPr>
          <w:lang w:val="fr-CH"/>
        </w:rPr>
      </w:pPr>
      <w:r w:rsidRPr="00BA410E">
        <w:rPr>
          <w:lang w:val="fr-CH"/>
        </w:rPr>
        <w:t xml:space="preserve">Zoubida TAOUSSI (Mme), Responsable de la protection des obtentions végétales, Office National de Sécurité Sanitaire de Produits Alimentaires (ONSSA), Rabat </w:t>
      </w:r>
      <w:r w:rsidRPr="00BA410E">
        <w:rPr>
          <w:lang w:val="fr-CH"/>
        </w:rPr>
        <w:br/>
        <w:t>(e-mail: ztaoussi67@gmail.com)</w:t>
      </w:r>
    </w:p>
    <w:p w14:paraId="15E6A239" w14:textId="77777777" w:rsidR="00E77B01" w:rsidRPr="00BA410E" w:rsidRDefault="00E77B01" w:rsidP="00E77B01">
      <w:pPr>
        <w:pStyle w:val="plcountry"/>
        <w:rPr>
          <w:lang w:val="es-ES"/>
        </w:rPr>
      </w:pPr>
      <w:r w:rsidRPr="00BA410E">
        <w:rPr>
          <w:lang w:val="es-ES"/>
        </w:rPr>
        <w:t>MEXIQUE / MEXICO / MEXIKO / MÉXICO</w:t>
      </w:r>
    </w:p>
    <w:p w14:paraId="4BEA10C4" w14:textId="77777777" w:rsidR="00E77B01" w:rsidRPr="00BA410E" w:rsidRDefault="00E77B01" w:rsidP="00E77B01">
      <w:pPr>
        <w:pStyle w:val="pldetails"/>
        <w:rPr>
          <w:lang w:val="es-ES"/>
        </w:rPr>
      </w:pPr>
      <w:r w:rsidRPr="00BA410E">
        <w:rPr>
          <w:lang w:val="es-ES"/>
        </w:rPr>
        <w:t xml:space="preserve">Víctor Manuel VÁSQUEZ NAVARRETE (Sr.), Director de área, Servicio Nacional de Inspección y Certificación de Semillas (SNICS), Secretaria de Agricultura y Desarrollo Rural (Agricultura), Ciudad de México </w:t>
      </w:r>
      <w:r w:rsidRPr="00BA410E">
        <w:rPr>
          <w:lang w:val="es-ES"/>
        </w:rPr>
        <w:br/>
        <w:t>(e-mail: victor.vasquez@agricultura.gob.mx)</w:t>
      </w:r>
    </w:p>
    <w:p w14:paraId="6D92018C" w14:textId="77777777" w:rsidR="00E77B01" w:rsidRPr="00BA410E" w:rsidRDefault="00E77B01" w:rsidP="00E77B01">
      <w:pPr>
        <w:pStyle w:val="pldetails"/>
        <w:rPr>
          <w:lang w:val="en-GB"/>
        </w:rPr>
      </w:pPr>
      <w:bookmarkStart w:id="12" w:name="_Hlk180402896"/>
      <w:r w:rsidRPr="00BA410E">
        <w:rPr>
          <w:lang w:val="en-GB"/>
        </w:rPr>
        <w:t xml:space="preserve">Rodrigo Alonso LÓPEZ TOVAR (Mr.), Second Secretary, Permanent Mission, Geneva </w:t>
      </w:r>
      <w:r w:rsidRPr="00BA410E">
        <w:rPr>
          <w:lang w:val="en-GB"/>
        </w:rPr>
        <w:br/>
        <w:t>(e-mail: rlopez@sre.gob.mx)</w:t>
      </w:r>
    </w:p>
    <w:bookmarkEnd w:id="12"/>
    <w:p w14:paraId="1552499A" w14:textId="77777777" w:rsidR="00E77B01" w:rsidRPr="00BA410E" w:rsidRDefault="00E77B01" w:rsidP="00E77B01">
      <w:pPr>
        <w:pStyle w:val="plcountry"/>
      </w:pPr>
      <w:r w:rsidRPr="00BA410E">
        <w:lastRenderedPageBreak/>
        <w:t>NORVÈGE / NORWAY / NORWEGEN / NORUEGA</w:t>
      </w:r>
    </w:p>
    <w:p w14:paraId="10DE6899" w14:textId="77777777" w:rsidR="00E77B01" w:rsidRPr="00BA410E" w:rsidRDefault="00E77B01" w:rsidP="00E77B01">
      <w:pPr>
        <w:pStyle w:val="pldetails"/>
      </w:pPr>
      <w:r w:rsidRPr="00BA410E">
        <w:t xml:space="preserve">Stein Ivar ORMSETTRØ (Mr.), Director, Ministry of Agriculture and Food, Oslo </w:t>
      </w:r>
      <w:r w:rsidRPr="00BA410E">
        <w:br/>
        <w:t>(e-mail: stein-ivar.ormsettro@lmd.dep.no)</w:t>
      </w:r>
    </w:p>
    <w:p w14:paraId="3F5F6C48" w14:textId="77777777" w:rsidR="00E77B01" w:rsidRPr="00BA410E" w:rsidRDefault="00E77B01" w:rsidP="00E77B01">
      <w:pPr>
        <w:pStyle w:val="pldetails"/>
      </w:pPr>
      <w:r w:rsidRPr="00BA410E">
        <w:t xml:space="preserve">Elin Cecilie RANUM (Ms.), Advisor, Utviklingsfondet, Oslo </w:t>
      </w:r>
      <w:r w:rsidRPr="00BA410E">
        <w:br/>
        <w:t>(e-mail: elin@utviklingsfondet.no)</w:t>
      </w:r>
    </w:p>
    <w:p w14:paraId="4AC9D08F" w14:textId="77777777" w:rsidR="00E77B01" w:rsidRPr="00BA410E" w:rsidRDefault="00E77B01" w:rsidP="00E77B01">
      <w:pPr>
        <w:pStyle w:val="plcountry"/>
      </w:pPr>
      <w:r w:rsidRPr="00BA410E">
        <w:t>NOUVELLE-ZÉLANDE / NEW ZEALAND / NEUSEELAND / NUEVA ZELANDIA</w:t>
      </w:r>
    </w:p>
    <w:p w14:paraId="3B52E5F3" w14:textId="77777777" w:rsidR="00E77B01" w:rsidRPr="00BA410E" w:rsidRDefault="00E77B01" w:rsidP="00E77B01">
      <w:pPr>
        <w:pStyle w:val="pldetails"/>
      </w:pPr>
      <w:r w:rsidRPr="00BA410E">
        <w:t xml:space="preserve">Christopher James BARNABY (Mr.), PVR Manager / Assistant Commissioner, Plant Variety Rights Office, Intellectual Property Office of New Zealand, Ministry of Economic Development, Christchurch </w:t>
      </w:r>
      <w:r w:rsidRPr="00BA410E">
        <w:br/>
        <w:t>(e-mail: Chris.Barnaby@pvr.govt.nz)</w:t>
      </w:r>
    </w:p>
    <w:p w14:paraId="764C799C" w14:textId="77777777" w:rsidR="00E77B01" w:rsidRPr="00BA410E" w:rsidRDefault="00E77B01" w:rsidP="00E77B01">
      <w:pPr>
        <w:pStyle w:val="plcountry"/>
      </w:pPr>
      <w:r w:rsidRPr="00BA410E">
        <w:t>ORGANISATION AFRICAINE DE LA PROPRIÉTÉ INTELLECTUELLE (OAPI) / AFRICAN INTELLECTUAL PROPERTY ORGANIZATION (OAPI) / AFRIKANISCHE ORGANISATION FÜR GEISTIGES EIGENTUM (OAPI) / ORGANIZACIÓN AFRICANA DE LA PROPIEDAD INTELECTUAL (OAPI)</w:t>
      </w:r>
    </w:p>
    <w:p w14:paraId="6EE249CF" w14:textId="77777777" w:rsidR="00E77B01" w:rsidRPr="00BA410E" w:rsidRDefault="00E77B01" w:rsidP="00E77B01">
      <w:pPr>
        <w:pStyle w:val="pldetails"/>
        <w:rPr>
          <w:lang w:val="fr-FR"/>
        </w:rPr>
      </w:pPr>
      <w:r w:rsidRPr="00BA410E">
        <w:rPr>
          <w:lang w:val="fr-FR"/>
        </w:rPr>
        <w:t xml:space="preserve">Guy Francis BOUSSAFOU (M.), Direction des Brevets et autres créations techniques (DBCT), Yaoundé, Cameroun </w:t>
      </w:r>
      <w:r w:rsidRPr="00BA410E">
        <w:rPr>
          <w:lang w:val="fr-FR"/>
        </w:rPr>
        <w:br/>
        <w:t xml:space="preserve">(e-mail: gfrancis.boussafou@oapi.int) </w:t>
      </w:r>
    </w:p>
    <w:p w14:paraId="7A367904" w14:textId="77777777" w:rsidR="00E77B01" w:rsidRPr="00BA410E" w:rsidRDefault="00E77B01" w:rsidP="00E77B01">
      <w:pPr>
        <w:pStyle w:val="pldetails"/>
        <w:rPr>
          <w:lang w:val="fr-FR"/>
        </w:rPr>
      </w:pPr>
      <w:r w:rsidRPr="00BA410E">
        <w:rPr>
          <w:lang w:val="fr-FR"/>
        </w:rPr>
        <w:t xml:space="preserve">Vladimir Ludovic MEZUI ONO (M.), Chef de Service de l’Information Brevet (SIB), Examinateur Brevet Chimie, Yaoundé, Cameroun </w:t>
      </w:r>
      <w:r w:rsidRPr="00BA410E">
        <w:rPr>
          <w:lang w:val="fr-FR"/>
        </w:rPr>
        <w:br/>
        <w:t>(e-mail: vladimir.mezui@oapi.int)</w:t>
      </w:r>
    </w:p>
    <w:p w14:paraId="16CD812C" w14:textId="77777777" w:rsidR="00E77B01" w:rsidRPr="00BA410E" w:rsidRDefault="00E77B01" w:rsidP="00E77B01">
      <w:pPr>
        <w:pStyle w:val="plcountry"/>
        <w:rPr>
          <w:lang w:val="es-ES"/>
        </w:rPr>
      </w:pPr>
      <w:r w:rsidRPr="00BA410E">
        <w:rPr>
          <w:lang w:val="es-ES"/>
        </w:rPr>
        <w:t>PARAGUAY / PARAGUAY / PARAGUAY / Paraguay</w:t>
      </w:r>
    </w:p>
    <w:p w14:paraId="64E12C0E" w14:textId="77777777" w:rsidR="00E77B01" w:rsidRPr="00BA410E" w:rsidRDefault="00E77B01" w:rsidP="00E77B01">
      <w:pPr>
        <w:pStyle w:val="pldetails"/>
        <w:rPr>
          <w:lang w:val="es-ES"/>
        </w:rPr>
      </w:pPr>
      <w:r w:rsidRPr="00BA410E">
        <w:rPr>
          <w:lang w:val="es-ES"/>
        </w:rPr>
        <w:t xml:space="preserve">Santiago Gaspar BENÍTEZ VERA (Sr.), Director, Dirección de Semillas (DISE), Servicio Nacional de Calidad y Sanidad Vegetal y de Semillas (SENAVE), San Lorenzo </w:t>
      </w:r>
      <w:r w:rsidRPr="00BA410E">
        <w:rPr>
          <w:lang w:val="es-ES"/>
        </w:rPr>
        <w:br/>
        <w:t xml:space="preserve">(e-mail: santiago.benitez@senave.gov.py) </w:t>
      </w:r>
    </w:p>
    <w:p w14:paraId="2D640255" w14:textId="77777777" w:rsidR="00E77B01" w:rsidRPr="00BA410E" w:rsidRDefault="00E77B01" w:rsidP="00E77B01">
      <w:pPr>
        <w:pStyle w:val="pldetails"/>
        <w:rPr>
          <w:lang w:val="es-ES"/>
        </w:rPr>
      </w:pPr>
      <w:r w:rsidRPr="00BA410E">
        <w:rPr>
          <w:lang w:val="es-ES"/>
        </w:rPr>
        <w:t xml:space="preserve">Dahiana Maria OVEJERO MALDONADO (Sra.), Jefa, Departamento de Protección y Uso de Variedades, Direccion de Semillas (DISE), Servicio Nacional de Calidad y Sanidad Vegetal y de Semillas (SENAVE), San Lorenzo </w:t>
      </w:r>
      <w:r w:rsidRPr="00BA410E">
        <w:rPr>
          <w:lang w:val="es-ES"/>
        </w:rPr>
        <w:br/>
        <w:t>(e-mail: dahiana.ovejero@senave.gov.py)</w:t>
      </w:r>
    </w:p>
    <w:p w14:paraId="70BA4A45" w14:textId="77777777" w:rsidR="00E77B01" w:rsidRPr="00BA410E" w:rsidRDefault="00E77B01" w:rsidP="00E77B01">
      <w:pPr>
        <w:pStyle w:val="plcountry"/>
        <w:rPr>
          <w:lang w:val="es-ES"/>
        </w:rPr>
      </w:pPr>
      <w:r w:rsidRPr="00BA410E">
        <w:rPr>
          <w:lang w:val="es-ES"/>
        </w:rPr>
        <w:t xml:space="preserve">PAYS-BAS (ROYAUME DES) / NETHERLANDS (KINGDOM OF THE) / </w:t>
      </w:r>
      <w:r w:rsidRPr="00BA410E">
        <w:rPr>
          <w:lang w:val="es-ES"/>
        </w:rPr>
        <w:br/>
        <w:t>NIEDERLANDE (KÖNIGREICH DER) / PAÍSES BAJOS (REINO DE LOS)</w:t>
      </w:r>
    </w:p>
    <w:p w14:paraId="35C03FA3" w14:textId="77777777" w:rsidR="00E77B01" w:rsidRPr="00BA410E" w:rsidRDefault="00E77B01" w:rsidP="00E77B01">
      <w:pPr>
        <w:pStyle w:val="pldetails"/>
      </w:pPr>
      <w:r w:rsidRPr="00BA410E">
        <w:t xml:space="preserve">Marien VALSTAR (Mr.), Senior Policy Officer, Seeds and Plant Propagation Material, DG Agro, Ministry of Agriculture, Nature and Food Quality, The Hague </w:t>
      </w:r>
      <w:r w:rsidRPr="00BA410E">
        <w:br/>
        <w:t>(e-mail: m.valstar@minlnv.nl)</w:t>
      </w:r>
    </w:p>
    <w:p w14:paraId="2B5632BF" w14:textId="77777777" w:rsidR="00E77B01" w:rsidRPr="00BA410E" w:rsidRDefault="00E77B01" w:rsidP="00E77B01">
      <w:pPr>
        <w:pStyle w:val="plcountry"/>
      </w:pPr>
      <w:r w:rsidRPr="00BA410E">
        <w:t>POLOGNE / POLAND / POLEN / POLONIA</w:t>
      </w:r>
    </w:p>
    <w:p w14:paraId="24E59DC2" w14:textId="77777777" w:rsidR="00E77B01" w:rsidRPr="00BA410E" w:rsidRDefault="00E77B01" w:rsidP="00E77B01">
      <w:pPr>
        <w:pStyle w:val="pldetails"/>
      </w:pPr>
      <w:r w:rsidRPr="00BA410E">
        <w:t xml:space="preserve">Alicja RUTKOWSKA-ŁOŚ (Ms.), Head of National Listing and PBR Protection Office, Research Centre for Cultivar Testing (COBORU), Slupia Wielka </w:t>
      </w:r>
      <w:r w:rsidRPr="00BA410E">
        <w:br/>
        <w:t>(e-mail: a.rutkowska-los@coboru.gov.pl)</w:t>
      </w:r>
    </w:p>
    <w:p w14:paraId="17E1E330" w14:textId="77777777" w:rsidR="00E77B01" w:rsidRPr="00BA410E" w:rsidRDefault="00E77B01" w:rsidP="00E77B01">
      <w:pPr>
        <w:pStyle w:val="pldetails"/>
      </w:pPr>
      <w:r w:rsidRPr="00BA410E">
        <w:t xml:space="preserve">Marcin KRÓL (Mr.), Head of DUS Testing Department, Research Centre for Cultivar Testing (COBORU), Slupia Wielka </w:t>
      </w:r>
      <w:r w:rsidRPr="00BA410E">
        <w:br/>
        <w:t xml:space="preserve">(e-mail: m.Krol@coboru.gov.pl) </w:t>
      </w:r>
    </w:p>
    <w:p w14:paraId="4FD55565" w14:textId="77777777" w:rsidR="00E77B01" w:rsidRPr="00BA410E" w:rsidRDefault="00E77B01" w:rsidP="00E77B01">
      <w:pPr>
        <w:pStyle w:val="pldetails"/>
        <w:rPr>
          <w:lang w:val="pt-BR"/>
        </w:rPr>
      </w:pPr>
      <w:r w:rsidRPr="00BA410E">
        <w:rPr>
          <w:lang w:val="pt-BR"/>
        </w:rPr>
        <w:t xml:space="preserve">Małgorzata JANISZEWSKA-MICHALSKA (Ms.), Head of Legal and Human Resources Office, Research Centre for Cultivar Testing (COBORU), </w:t>
      </w:r>
      <w:r w:rsidRPr="00BA410E">
        <w:t xml:space="preserve">Slupia Wielka </w:t>
      </w:r>
      <w:r w:rsidRPr="00BA410E">
        <w:br/>
      </w:r>
      <w:r w:rsidRPr="00BA410E">
        <w:rPr>
          <w:lang w:val="pt-BR"/>
        </w:rPr>
        <w:t>(e-mail: m.janiszewska@coboru.gov.pl)</w:t>
      </w:r>
    </w:p>
    <w:p w14:paraId="4639DCEE" w14:textId="77777777" w:rsidR="00E77B01" w:rsidRPr="00BA410E" w:rsidRDefault="00E77B01" w:rsidP="00E77B01">
      <w:pPr>
        <w:pStyle w:val="plcountry"/>
        <w:rPr>
          <w:lang w:val="pt-BR"/>
        </w:rPr>
      </w:pPr>
      <w:r w:rsidRPr="00BA410E">
        <w:rPr>
          <w:lang w:val="pt-BR"/>
        </w:rPr>
        <w:t>PORTUGAL / PORTUGAL / PORTUGAL / Portugal</w:t>
      </w:r>
    </w:p>
    <w:p w14:paraId="34DD7D1D" w14:textId="77777777" w:rsidR="00E77B01" w:rsidRPr="00BA410E" w:rsidRDefault="00E77B01" w:rsidP="00E77B01">
      <w:pPr>
        <w:pStyle w:val="pldetails"/>
        <w:rPr>
          <w:lang w:val="pt-BR"/>
        </w:rPr>
      </w:pPr>
      <w:r w:rsidRPr="00BA410E">
        <w:rPr>
          <w:lang w:val="pt-BR"/>
        </w:rPr>
        <w:t xml:space="preserve">Carlos GODINHO (Mr.), Senior officer, Directorate General for Food and Veterinary (DGAV), Lisboa </w:t>
      </w:r>
      <w:r w:rsidRPr="00BA410E">
        <w:rPr>
          <w:lang w:val="pt-BR"/>
        </w:rPr>
        <w:br/>
        <w:t>(e-mail: carlos.godinho@dgav.pt)</w:t>
      </w:r>
    </w:p>
    <w:p w14:paraId="30159588" w14:textId="77777777" w:rsidR="00E77B01" w:rsidRPr="00BA410E" w:rsidRDefault="00E77B01" w:rsidP="00E77B01">
      <w:pPr>
        <w:pStyle w:val="plcountry"/>
        <w:rPr>
          <w:lang w:val="pt-BR"/>
        </w:rPr>
      </w:pPr>
      <w:r w:rsidRPr="00BA410E">
        <w:rPr>
          <w:lang w:val="pt-BR"/>
        </w:rPr>
        <w:t>RÉPUBLIQUE DE CORÉE / REPUBLIC OF KOREA / REPUBLIK KOREA / REPÚBLICA DE COREA</w:t>
      </w:r>
    </w:p>
    <w:p w14:paraId="47164DA2" w14:textId="77777777" w:rsidR="00E77B01" w:rsidRPr="00BA410E" w:rsidRDefault="00E77B01" w:rsidP="00E77B01">
      <w:pPr>
        <w:pStyle w:val="pldetails"/>
        <w:rPr>
          <w:lang w:val="pt-BR"/>
        </w:rPr>
      </w:pPr>
      <w:r w:rsidRPr="00BA410E">
        <w:rPr>
          <w:lang w:val="pt-BR"/>
        </w:rPr>
        <w:t xml:space="preserve">Jun Yon JANG (Mr.), Deputy Director, Korea Seed and Variety Service (KSVS), Gyeongsangbuk-do </w:t>
      </w:r>
      <w:r w:rsidRPr="00BA410E">
        <w:rPr>
          <w:lang w:val="pt-BR"/>
        </w:rPr>
        <w:br/>
        <w:t xml:space="preserve">(e-mail: jang.jy@korea.kr) </w:t>
      </w:r>
    </w:p>
    <w:p w14:paraId="3DAD27C7" w14:textId="77777777" w:rsidR="00E77B01" w:rsidRPr="00BA410E" w:rsidRDefault="00E77B01" w:rsidP="00E77B01">
      <w:pPr>
        <w:pStyle w:val="pldetails"/>
      </w:pPr>
      <w:r w:rsidRPr="00BA410E">
        <w:t xml:space="preserve">ChanWoong PARK (Mr.), Deputy Director/Examiner, Plant Variety Protection Division, Korea Seed and Variety Service (KSVS), Gyeongsangbuk-do </w:t>
      </w:r>
      <w:r w:rsidRPr="00BA410E">
        <w:br/>
        <w:t xml:space="preserve">(e-mail: chwopark@korea.kr) </w:t>
      </w:r>
    </w:p>
    <w:p w14:paraId="36DBD4A9" w14:textId="77777777" w:rsidR="00E77B01" w:rsidRPr="00BA410E" w:rsidRDefault="00E77B01" w:rsidP="00E77B01">
      <w:pPr>
        <w:pStyle w:val="pldetails"/>
      </w:pPr>
      <w:r w:rsidRPr="00BA410E">
        <w:lastRenderedPageBreak/>
        <w:t xml:space="preserve">Jinkee JUNG (Mr.), Researcher, Plant Variety Protection Division, Korea Seed and Variety Service (KSVS), Ministry of Agriculture, Food and Rural Affairs (MAFRA), Gimcheon City </w:t>
      </w:r>
      <w:r w:rsidRPr="00BA410E">
        <w:br/>
        <w:t xml:space="preserve">(e-mail: jinkeejung@korea.kr) </w:t>
      </w:r>
    </w:p>
    <w:p w14:paraId="2A7A294B" w14:textId="77777777" w:rsidR="00E77B01" w:rsidRPr="00BA410E" w:rsidRDefault="00E77B01" w:rsidP="00E77B01">
      <w:pPr>
        <w:pStyle w:val="pldetails"/>
      </w:pPr>
      <w:r w:rsidRPr="00BA410E">
        <w:t xml:space="preserve">Kwanghong LEE (Mr.), Researcher, Korea Seed and Variety Service (KSVS), Maryang </w:t>
      </w:r>
      <w:r w:rsidRPr="00BA410E">
        <w:br/>
        <w:t xml:space="preserve">(e-mail: grin@korea.kr) </w:t>
      </w:r>
    </w:p>
    <w:p w14:paraId="2B8EEA2E" w14:textId="77777777" w:rsidR="00E77B01" w:rsidRPr="00BA410E" w:rsidRDefault="00E77B01" w:rsidP="00E77B01">
      <w:pPr>
        <w:pStyle w:val="pldetails"/>
      </w:pPr>
      <w:r w:rsidRPr="00BA410E">
        <w:t xml:space="preserve">Won-Bum CHO (Mr.), Forest Researcher, Plant Variety Protection Division, National Forest Seed Variety Center (NFSV), Chungcheongbuk-do </w:t>
      </w:r>
      <w:r w:rsidRPr="00BA410E">
        <w:br/>
        <w:t xml:space="preserve">(e-mail: rudis99@korea.kr) </w:t>
      </w:r>
    </w:p>
    <w:p w14:paraId="24BAA893" w14:textId="77777777" w:rsidR="00E77B01" w:rsidRPr="00BA410E" w:rsidRDefault="00E77B01" w:rsidP="00E77B01">
      <w:pPr>
        <w:pStyle w:val="pldetails"/>
      </w:pPr>
      <w:r w:rsidRPr="00BA410E">
        <w:t xml:space="preserve">Hwansu HWANG (Mr.), Forest Researcher, Plant Variety Protection Division, National Forest Seed Variety Center (NFSV), Chungcheongbuk-do </w:t>
      </w:r>
      <w:r w:rsidRPr="00BA410E">
        <w:br/>
        <w:t xml:space="preserve">(e-mail: hwansu3368@korea.kr) </w:t>
      </w:r>
    </w:p>
    <w:p w14:paraId="27E1DC48" w14:textId="77777777" w:rsidR="00E77B01" w:rsidRPr="00BA410E" w:rsidRDefault="00E77B01" w:rsidP="00E77B01">
      <w:pPr>
        <w:pStyle w:val="plcountry"/>
        <w:rPr>
          <w:lang w:val="es-ES"/>
        </w:rPr>
      </w:pPr>
      <w:r w:rsidRPr="00BA410E">
        <w:rPr>
          <w:lang w:val="es-ES"/>
        </w:rPr>
        <w:t xml:space="preserve">RÉPUBLIQUE DE MOLDOVA / REPUBLIC OF MOLDOVA / REPUBLIK MOLDAU / </w:t>
      </w:r>
      <w:r w:rsidRPr="00BA410E">
        <w:rPr>
          <w:lang w:val="es-ES"/>
        </w:rPr>
        <w:br/>
        <w:t>REPÚBLICA DE MOLDOVA</w:t>
      </w:r>
    </w:p>
    <w:p w14:paraId="1ECC7792" w14:textId="77777777" w:rsidR="00E77B01" w:rsidRPr="00BA410E" w:rsidRDefault="00E77B01" w:rsidP="00E77B01">
      <w:pPr>
        <w:pStyle w:val="pldetails"/>
        <w:rPr>
          <w:lang w:val="pt-BR"/>
        </w:rPr>
      </w:pPr>
      <w:r w:rsidRPr="00BA410E">
        <w:t xml:space="preserve">Mihail MACHIDON (Mr.), Director, State Commission for Crops Variety Testing (SCCVT), Chisinau </w:t>
      </w:r>
      <w:r w:rsidRPr="00BA410E">
        <w:br/>
        <w:t>(e-mail: info@cstsp.md)</w:t>
      </w:r>
    </w:p>
    <w:p w14:paraId="2513E579" w14:textId="77777777" w:rsidR="00E77B01" w:rsidRPr="00BA410E" w:rsidRDefault="00E77B01" w:rsidP="00E77B01">
      <w:pPr>
        <w:pStyle w:val="pldetails"/>
      </w:pPr>
      <w:r w:rsidRPr="00BA410E">
        <w:t xml:space="preserve">Ala GUSAN (Ms.), Principal Consultant, Patents Division, State Agency on Intellectual Property of the Republic of Moldova (AGEPI), Chisinau </w:t>
      </w:r>
      <w:r w:rsidRPr="00BA410E">
        <w:br/>
        <w:t xml:space="preserve">(e-mail: ala.gusan@agepi.gov.md) </w:t>
      </w:r>
    </w:p>
    <w:p w14:paraId="075706BC" w14:textId="77777777" w:rsidR="00E77B01" w:rsidRPr="00BA410E" w:rsidRDefault="00E77B01" w:rsidP="00E77B01">
      <w:pPr>
        <w:pStyle w:val="plcountry"/>
        <w:rPr>
          <w:lang w:val="pt-BR"/>
        </w:rPr>
      </w:pPr>
      <w:r w:rsidRPr="00BA410E">
        <w:rPr>
          <w:lang w:val="pt-BR"/>
        </w:rPr>
        <w:t xml:space="preserve">RÉPUBLIQUE Dominicaine / dominican REPUBLIC / dominikanische REPUBLIK / </w:t>
      </w:r>
      <w:r w:rsidRPr="00BA410E">
        <w:rPr>
          <w:lang w:val="pt-BR"/>
        </w:rPr>
        <w:br/>
        <w:t>REPÚBLICA Dominicana</w:t>
      </w:r>
    </w:p>
    <w:p w14:paraId="30AA217B" w14:textId="77777777" w:rsidR="00E77B01" w:rsidRPr="00BA410E" w:rsidRDefault="00E77B01" w:rsidP="00E77B01">
      <w:pPr>
        <w:pStyle w:val="pldetails"/>
        <w:rPr>
          <w:lang w:val="pt-BR"/>
        </w:rPr>
      </w:pPr>
      <w:r w:rsidRPr="00BA410E">
        <w:rPr>
          <w:lang w:val="pt-BR"/>
        </w:rPr>
        <w:t xml:space="preserve">Octavio Augusto BERAS-GOICO JUSTINIANO (Sr.), Encargado del Departamento Legal, Oficina de Registro de Variedades y Obtenciones Vegetales (OREVADO), Santo Domingo </w:t>
      </w:r>
      <w:r w:rsidRPr="00BA410E">
        <w:rPr>
          <w:lang w:val="pt-BR"/>
        </w:rPr>
        <w:br/>
        <w:t>(e-mail: octavio.beras-goico@agricultura.gob.do)</w:t>
      </w:r>
    </w:p>
    <w:p w14:paraId="09D33498" w14:textId="77777777" w:rsidR="00E77B01" w:rsidRPr="00BA410E" w:rsidRDefault="00E77B01" w:rsidP="00E77B01">
      <w:pPr>
        <w:pStyle w:val="plcountry"/>
        <w:rPr>
          <w:lang w:val="pt-BR"/>
        </w:rPr>
      </w:pPr>
      <w:r w:rsidRPr="00BA410E">
        <w:rPr>
          <w:lang w:val="pt-BR"/>
        </w:rPr>
        <w:t>RÉPUBLIQUE TCHÈQUE / CZECH REPUBLIC / TSCHECHISCHE REPUBLIK / REPÚBLICA CHECA</w:t>
      </w:r>
    </w:p>
    <w:p w14:paraId="06955495" w14:textId="77777777" w:rsidR="00E77B01" w:rsidRPr="00BA410E" w:rsidRDefault="00E77B01" w:rsidP="00E77B01">
      <w:pPr>
        <w:pStyle w:val="pldetails"/>
      </w:pPr>
      <w:r w:rsidRPr="00BA410E">
        <w:t xml:space="preserve">Daniel JUREČKA (Mr.), Director General, Central Institute for Supervising and Testing in Agriculture (ÚKZÚZ), Brno </w:t>
      </w:r>
      <w:r w:rsidRPr="00BA410E">
        <w:br/>
        <w:t xml:space="preserve">(e-mail: </w:t>
      </w:r>
      <w:hyperlink r:id="rId20" w:history="1">
        <w:r w:rsidRPr="00BA410E">
          <w:t>daniel.jurecka@ukzuz.gov.cz</w:t>
        </w:r>
      </w:hyperlink>
      <w:r w:rsidRPr="00BA410E">
        <w:t>)</w:t>
      </w:r>
    </w:p>
    <w:p w14:paraId="29DA95CC" w14:textId="77777777" w:rsidR="00E77B01" w:rsidRPr="00BA410E" w:rsidRDefault="00E77B01" w:rsidP="00E77B01">
      <w:pPr>
        <w:pStyle w:val="pldetails"/>
      </w:pPr>
      <w:r w:rsidRPr="00BA410E">
        <w:t xml:space="preserve">Andrea POVOLNÁ (Ms.), Head of DUS Department, National Plant Variety Office, Central Institute for Supervising and Testing in Agriculture (UKZUZ), Brno </w:t>
      </w:r>
      <w:r w:rsidRPr="00BA410E">
        <w:br/>
        <w:t>(e-mail: andrea.povolna@ukzuz.cz)</w:t>
      </w:r>
    </w:p>
    <w:p w14:paraId="41B17964" w14:textId="77777777" w:rsidR="00E77B01" w:rsidRPr="00BA410E" w:rsidRDefault="00E77B01" w:rsidP="00E77B01">
      <w:pPr>
        <w:pStyle w:val="plcountry"/>
        <w:rPr>
          <w:lang w:val="es-ES"/>
        </w:rPr>
      </w:pPr>
      <w:r w:rsidRPr="00BA410E">
        <w:rPr>
          <w:lang w:val="es-ES"/>
        </w:rPr>
        <w:t xml:space="preserve">RÉPUBLIQUE-UNIE DE TANZANIE / UNITED REPUBLIC OF TANZANIA / </w:t>
      </w:r>
      <w:r w:rsidRPr="00BA410E">
        <w:rPr>
          <w:lang w:val="es-ES"/>
        </w:rPr>
        <w:br/>
        <w:t>VEREINIGTE REPUBLIK TANSANIA / REPÚBLICA UNIDA DE TANZANÍA</w:t>
      </w:r>
    </w:p>
    <w:p w14:paraId="508AD9B4" w14:textId="77777777" w:rsidR="00E77B01" w:rsidRPr="00BA410E" w:rsidRDefault="00E77B01" w:rsidP="00E77B01">
      <w:pPr>
        <w:pStyle w:val="pldetails"/>
      </w:pPr>
      <w:r w:rsidRPr="00BA410E">
        <w:t xml:space="preserve">Patrick NGWEDIAGI (Mr.), Director General, Tanzania Official Seed Certification Institute (TOSCI), Morogoro </w:t>
      </w:r>
      <w:r w:rsidRPr="00BA410E">
        <w:br/>
        <w:t>(e-mail: dg@tosci.go.tz)</w:t>
      </w:r>
    </w:p>
    <w:p w14:paraId="79CEA933" w14:textId="77777777" w:rsidR="00E77B01" w:rsidRPr="00BA410E" w:rsidRDefault="00E77B01" w:rsidP="00E77B01">
      <w:pPr>
        <w:pStyle w:val="pldetails"/>
      </w:pPr>
      <w:r w:rsidRPr="00BA410E">
        <w:t xml:space="preserve">Joyce Eligi MOSILE (Ms.), Principal Agricultural Officer II, Plant Breeders' Rights Office, Ministry of Agriculture (MoA), Dodoma </w:t>
      </w:r>
      <w:r w:rsidRPr="00BA410E">
        <w:br/>
        <w:t>(e-mail: Joyce.mosile@kilimo.go.tz)</w:t>
      </w:r>
    </w:p>
    <w:p w14:paraId="083E0F6E" w14:textId="77777777" w:rsidR="00E77B01" w:rsidRPr="00BA410E" w:rsidRDefault="00E77B01" w:rsidP="00E77B01">
      <w:pPr>
        <w:pStyle w:val="plcountry"/>
      </w:pPr>
      <w:r w:rsidRPr="00BA410E">
        <w:t>ROUMANIE / ROMANIA / RUMÄNIEN / RUMANIA</w:t>
      </w:r>
    </w:p>
    <w:p w14:paraId="4FE292DA" w14:textId="77777777" w:rsidR="00E77B01" w:rsidRPr="00BA410E" w:rsidRDefault="00E77B01" w:rsidP="00E77B01">
      <w:pPr>
        <w:pStyle w:val="pldetails"/>
      </w:pPr>
      <w:r w:rsidRPr="00BA410E">
        <w:t>Teodor Dan ENESCU (Mr.), Counsellor, State Institute for Variety Testing and Registration (ISTIS), Bucarest</w:t>
      </w:r>
      <w:r w:rsidRPr="00BA410E">
        <w:br/>
        <w:t>(e-mail: enescu_teodor@istis.ro)</w:t>
      </w:r>
    </w:p>
    <w:p w14:paraId="42288F42" w14:textId="77777777" w:rsidR="00E77B01" w:rsidRPr="00BA410E" w:rsidRDefault="00E77B01" w:rsidP="00E77B01">
      <w:pPr>
        <w:pStyle w:val="plcountry"/>
      </w:pPr>
      <w:r w:rsidRPr="00BA410E">
        <w:t>ROYAUME-UNI / UNITED KINGDOM / VEREINIGTES KÖNIGREICH / REINO UNIDO</w:t>
      </w:r>
    </w:p>
    <w:p w14:paraId="290CBD8E" w14:textId="77777777" w:rsidR="00E77B01" w:rsidRPr="00BA410E" w:rsidRDefault="00E77B01" w:rsidP="00E77B01">
      <w:pPr>
        <w:pStyle w:val="pldetails"/>
      </w:pPr>
      <w:r w:rsidRPr="00BA410E">
        <w:t xml:space="preserve">Joanne JURY (Ms.), Senior Policy Officer, Department for Environment, Food &amp; Rural Affairs (Defra), Cambridge </w:t>
      </w:r>
      <w:r w:rsidRPr="00BA410E">
        <w:br/>
        <w:t>(e-mail: Joanne.Jury@defra.gov.uk)</w:t>
      </w:r>
    </w:p>
    <w:p w14:paraId="68D0BD9C" w14:textId="77777777" w:rsidR="00E77B01" w:rsidRPr="00BA410E" w:rsidRDefault="00E77B01" w:rsidP="00E77B01">
      <w:pPr>
        <w:pStyle w:val="plcountry"/>
      </w:pPr>
      <w:r w:rsidRPr="00BA410E">
        <w:t>SERBIE / SERBIA / SERBIEN / SERBIA</w:t>
      </w:r>
    </w:p>
    <w:p w14:paraId="2B06FF63" w14:textId="77777777" w:rsidR="00E77B01" w:rsidRPr="00BA410E" w:rsidRDefault="00E77B01" w:rsidP="00E77B01">
      <w:pPr>
        <w:pStyle w:val="pldetails"/>
      </w:pPr>
      <w:r w:rsidRPr="00BA410E">
        <w:t xml:space="preserve">Jovan VUJOVIC (Mr.), Head, Plant Protection Directorate, Group for Plant Variety Protection and Biosafety, Ministry of Agriculture, Forestry and Water Management, Belgrade </w:t>
      </w:r>
      <w:r w:rsidRPr="00BA410E">
        <w:br/>
        <w:t>(e-mail: jovan.vujovic@minpolj.gov.rs)</w:t>
      </w:r>
    </w:p>
    <w:p w14:paraId="46803A27" w14:textId="77777777" w:rsidR="00E77B01" w:rsidRPr="00BA410E" w:rsidRDefault="00E77B01" w:rsidP="00E77B01">
      <w:pPr>
        <w:pStyle w:val="pldetails"/>
      </w:pPr>
      <w:r w:rsidRPr="00BA410E">
        <w:t xml:space="preserve">Gordana LONCAR (Ms.), Senior Adviser for Plant Variety protection, Plant Protection Directorate, Group for Plant Variety Protection and Biosafety, Ministry of Agriculture, Forestry and Water Management, Belgrade </w:t>
      </w:r>
      <w:r w:rsidRPr="00BA410E">
        <w:br/>
        <w:t>(e-mail: gordana.loncar@minpolj.gov.rs)</w:t>
      </w:r>
    </w:p>
    <w:p w14:paraId="4043C50E" w14:textId="77777777" w:rsidR="00E77B01" w:rsidRPr="00BA410E" w:rsidRDefault="00E77B01" w:rsidP="00E77B01">
      <w:pPr>
        <w:pStyle w:val="plcountry"/>
      </w:pPr>
      <w:r w:rsidRPr="00BA410E">
        <w:lastRenderedPageBreak/>
        <w:t>SLOVAQUIE / SLOVAKIA / SLOWAKEI / ESLOVAQUIA</w:t>
      </w:r>
    </w:p>
    <w:p w14:paraId="02EB9098" w14:textId="77777777" w:rsidR="00E77B01" w:rsidRPr="00BA410E" w:rsidRDefault="00E77B01" w:rsidP="00E77B01">
      <w:pPr>
        <w:pStyle w:val="pldetails"/>
      </w:pPr>
      <w:r w:rsidRPr="00BA410E">
        <w:t>Ľubomir BASTA (Mr.), Head of DUS testing, Department of Variety Testing, Central Control and Testing Institute in Agriculture (ÚKSÚP), Bratislava</w:t>
      </w:r>
      <w:r w:rsidRPr="00BA410E">
        <w:br/>
        <w:t>(e-mail: lubomir.basta@uksup.sk)</w:t>
      </w:r>
    </w:p>
    <w:p w14:paraId="2216B6EA" w14:textId="77777777" w:rsidR="00E77B01" w:rsidRPr="00BA410E" w:rsidRDefault="00E77B01" w:rsidP="00E77B01">
      <w:pPr>
        <w:pStyle w:val="plcountry"/>
      </w:pPr>
      <w:r w:rsidRPr="00BA410E">
        <w:t>SUÈDE / SWEDEN / SCHWEDEN / SUECIA</w:t>
      </w:r>
    </w:p>
    <w:p w14:paraId="5C74027B" w14:textId="77777777" w:rsidR="00E77B01" w:rsidRPr="00BA410E" w:rsidRDefault="00E77B01" w:rsidP="00E77B01">
      <w:pPr>
        <w:pStyle w:val="pldetails"/>
      </w:pPr>
      <w:r w:rsidRPr="00BA410E">
        <w:t xml:space="preserve">Magnus FRANZÉN (Mr.), Deputy Head, Plant and Control Department, Swedish Board of Agriculture, Jönköping </w:t>
      </w:r>
      <w:r w:rsidRPr="00BA410E">
        <w:br/>
        <w:t>(e-mail: magnus.franzen@jordbruksverket.se)</w:t>
      </w:r>
    </w:p>
    <w:p w14:paraId="6990007F" w14:textId="77777777" w:rsidR="00E77B01" w:rsidRPr="00BA410E" w:rsidRDefault="00E77B01" w:rsidP="00E77B01">
      <w:pPr>
        <w:pStyle w:val="plcountry"/>
        <w:rPr>
          <w:lang w:val="fr-FR"/>
        </w:rPr>
      </w:pPr>
      <w:r w:rsidRPr="00BA410E">
        <w:rPr>
          <w:lang w:val="fr-FR"/>
        </w:rPr>
        <w:t>SUISSE / SWITZERLAND / SCHWEIZ / SUIZA</w:t>
      </w:r>
    </w:p>
    <w:p w14:paraId="547003D8" w14:textId="77777777" w:rsidR="00E77B01" w:rsidRPr="00BA410E" w:rsidRDefault="00E77B01" w:rsidP="00E77B01">
      <w:pPr>
        <w:pStyle w:val="pldetails"/>
        <w:rPr>
          <w:lang w:val="fr-FR"/>
        </w:rPr>
      </w:pPr>
      <w:r w:rsidRPr="00BA410E">
        <w:rPr>
          <w:lang w:val="fr-FR"/>
        </w:rPr>
        <w:t xml:space="preserve">Alwin KOPSE (M.), Responsable de secteur, Marchés et Affaires internationales, Affaires internationales et systèmes alimentaires, Office fédéral de l'agriculture (OFAG), Bern </w:t>
      </w:r>
      <w:r w:rsidRPr="00BA410E">
        <w:rPr>
          <w:lang w:val="fr-FR"/>
        </w:rPr>
        <w:br/>
        <w:t>(e-mail: alwin.kopse@blw.admin.ch)</w:t>
      </w:r>
    </w:p>
    <w:p w14:paraId="68504B09" w14:textId="77777777" w:rsidR="00E77B01" w:rsidRPr="00BA410E" w:rsidRDefault="00E77B01" w:rsidP="00E77B01">
      <w:pPr>
        <w:pStyle w:val="pldetails"/>
      </w:pPr>
      <w:r w:rsidRPr="00BA410E">
        <w:t xml:space="preserve">Manuela BRAND (Ms.), Plant Variety Rights Office, Plant Health and Varieties, Office fédéral de l'agriculture (OFAG), Bern </w:t>
      </w:r>
      <w:r w:rsidRPr="00BA410E">
        <w:br/>
        <w:t>(e-mail: manuela.brand@blw.admin.ch)</w:t>
      </w:r>
    </w:p>
    <w:p w14:paraId="6B5B82BE" w14:textId="77777777" w:rsidR="00E77B01" w:rsidRPr="00BA410E" w:rsidRDefault="00E77B01" w:rsidP="00E77B01">
      <w:pPr>
        <w:pStyle w:val="plcountry"/>
        <w:rPr>
          <w:lang w:val="fr-CH"/>
        </w:rPr>
      </w:pPr>
      <w:r w:rsidRPr="00BA410E">
        <w:rPr>
          <w:lang w:val="fr-CH"/>
        </w:rPr>
        <w:t>TUNISIE / TUNISIA / TUNESIEN / TÚNEZ</w:t>
      </w:r>
    </w:p>
    <w:p w14:paraId="30B39122" w14:textId="77777777" w:rsidR="00E77B01" w:rsidRPr="00BA410E" w:rsidRDefault="00E77B01" w:rsidP="00E77B01">
      <w:pPr>
        <w:pStyle w:val="pldetails"/>
        <w:rPr>
          <w:lang w:val="fr-CH"/>
        </w:rPr>
      </w:pPr>
      <w:r w:rsidRPr="00BA410E">
        <w:rPr>
          <w:lang w:val="fr-CH"/>
        </w:rPr>
        <w:t xml:space="preserve">Omar BRAHMI (M.), </w:t>
      </w:r>
      <w:r w:rsidRPr="00BA410E">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A410E">
        <w:rPr>
          <w:lang w:val="fr-FR"/>
        </w:rPr>
        <w:br/>
        <w:t>(e-mail: bo.dgpcqpa@iresa.agrinet.tn)</w:t>
      </w:r>
    </w:p>
    <w:p w14:paraId="73D3A495" w14:textId="77777777" w:rsidR="00E77B01" w:rsidRPr="00BA410E" w:rsidRDefault="00E77B01" w:rsidP="00E77B01">
      <w:pPr>
        <w:pStyle w:val="plcountry"/>
      </w:pPr>
      <w:r w:rsidRPr="00BA410E">
        <w:t>TÜRKIYE / TÜRKIYE / TÜRKEI / TÜRKIYE</w:t>
      </w:r>
    </w:p>
    <w:p w14:paraId="195DE32A" w14:textId="77777777" w:rsidR="00E77B01" w:rsidRPr="00BA410E" w:rsidRDefault="00E77B01" w:rsidP="00E77B01">
      <w:pPr>
        <w:pStyle w:val="pldetails"/>
      </w:pPr>
      <w:r w:rsidRPr="00BA410E">
        <w:t xml:space="preserve">Sezgin KARADENIZ (Mr.), Head, Seed Policies Department and PBR Office, General Directorate of Plant Production, Ankara </w:t>
      </w:r>
      <w:r w:rsidRPr="00BA410E">
        <w:br/>
        <w:t>(e-mail: sezgin.karadeniz@tarimorman.gov.tr)</w:t>
      </w:r>
    </w:p>
    <w:p w14:paraId="41E07FA0" w14:textId="77777777" w:rsidR="00E77B01" w:rsidRPr="00BA410E" w:rsidRDefault="00E77B01" w:rsidP="00E77B01">
      <w:pPr>
        <w:pStyle w:val="pldetails"/>
      </w:pPr>
      <w:r w:rsidRPr="00BA410E">
        <w:t xml:space="preserve">Mehmet ÇAKMAK (Mr.), PBR Expert, Senior Agricultural Engineer, Msc., Seed Department, General Directorate of Plant Production, Ministry of Agriculture and Forestry, Ankara </w:t>
      </w:r>
      <w:r w:rsidRPr="00BA410E">
        <w:br/>
        <w:t>(e-mail: mehmet.cakmak@tarimorman.gov.tr)</w:t>
      </w:r>
    </w:p>
    <w:p w14:paraId="5C8CEDE5" w14:textId="77777777" w:rsidR="00E77B01" w:rsidRPr="00BA410E" w:rsidRDefault="00E77B01" w:rsidP="00E77B01">
      <w:pPr>
        <w:pStyle w:val="plcountry"/>
      </w:pPr>
      <w:bookmarkStart w:id="13" w:name="_Hlk179805219"/>
      <w:r w:rsidRPr="00BA410E">
        <w:t>UKRAINE / UKRAINE / UKRAINE / UCRANIA</w:t>
      </w:r>
    </w:p>
    <w:bookmarkEnd w:id="13"/>
    <w:p w14:paraId="258F630D" w14:textId="77777777" w:rsidR="00E77B01" w:rsidRPr="00BA410E" w:rsidRDefault="00E77B01" w:rsidP="00E77B01">
      <w:pPr>
        <w:pStyle w:val="pldetails"/>
      </w:pPr>
      <w:r w:rsidRPr="00BA410E">
        <w:t xml:space="preserve">Ihor VISHTAK (Mr.), Director, Department of Agrarian Development, Ministry of Agrarian Policy and Food of Ukraine, Kyiv </w:t>
      </w:r>
      <w:r w:rsidRPr="00BA410E">
        <w:br/>
        <w:t>(e-mail: vishtak.perlyna@gmail.com)</w:t>
      </w:r>
    </w:p>
    <w:p w14:paraId="08D7C30A" w14:textId="77777777" w:rsidR="00E77B01" w:rsidRPr="00BA410E" w:rsidRDefault="00E77B01" w:rsidP="00E77B01">
      <w:pPr>
        <w:pStyle w:val="pldetails"/>
      </w:pPr>
      <w:r w:rsidRPr="00BA410E">
        <w:t xml:space="preserve">Polina IVASHCHENKO (Ms.), Head, Division for Coordination of International Technical Assistance, International Policy Directorate, Ministry of Agrarian Policy and Food of Ukraine, Kyiv </w:t>
      </w:r>
      <w:r w:rsidRPr="00BA410E">
        <w:br/>
        <w:t xml:space="preserve">(e-mail: polina.ivashchenko@gmail.com) </w:t>
      </w:r>
    </w:p>
    <w:p w14:paraId="58621DE3" w14:textId="77777777" w:rsidR="00E77B01" w:rsidRPr="00BA410E" w:rsidRDefault="00E77B01" w:rsidP="00E77B01">
      <w:pPr>
        <w:pStyle w:val="pldetails"/>
        <w:rPr>
          <w:rFonts w:eastAsiaTheme="minorEastAsia"/>
          <w:lang w:eastAsia="ja-JP"/>
        </w:rPr>
      </w:pPr>
      <w:r w:rsidRPr="00BA410E">
        <w:rPr>
          <w:rFonts w:eastAsiaTheme="minorEastAsia"/>
          <w:lang w:eastAsia="ja-JP"/>
        </w:rPr>
        <w:t>Karina KOSHELIEVA</w:t>
      </w:r>
      <w:r w:rsidRPr="00BA410E">
        <w:rPr>
          <w:rFonts w:eastAsiaTheme="minorEastAsia" w:hint="eastAsia"/>
          <w:lang w:eastAsia="ja-JP"/>
        </w:rPr>
        <w:t xml:space="preserve"> (Ms.), </w:t>
      </w:r>
      <w:r w:rsidRPr="00BA410E">
        <w:rPr>
          <w:rFonts w:eastAsiaTheme="minorEastAsia"/>
          <w:lang w:eastAsia="ja-JP"/>
        </w:rPr>
        <w:t>First Secretary</w:t>
      </w:r>
      <w:r w:rsidRPr="00BA410E">
        <w:rPr>
          <w:rFonts w:eastAsiaTheme="minorEastAsia" w:hint="eastAsia"/>
          <w:lang w:eastAsia="ja-JP"/>
        </w:rPr>
        <w:t xml:space="preserve">, </w:t>
      </w:r>
      <w:r w:rsidRPr="00BA410E">
        <w:t>Permanent Mission, Geneva</w:t>
      </w:r>
      <w:r w:rsidRPr="00BA410E">
        <w:br/>
        <w:t>(e-mail</w:t>
      </w:r>
      <w:r w:rsidRPr="00BA410E">
        <w:rPr>
          <w:rFonts w:eastAsiaTheme="minorEastAsia" w:hint="eastAsia"/>
          <w:lang w:eastAsia="ja-JP"/>
        </w:rPr>
        <w:t>:</w:t>
      </w:r>
      <w:r w:rsidRPr="00BA410E">
        <w:rPr>
          <w:rFonts w:eastAsiaTheme="minorEastAsia"/>
          <w:lang w:eastAsia="ja-JP"/>
        </w:rPr>
        <w:t xml:space="preserve"> karina.koshelieva@mfa.gov.ua</w:t>
      </w:r>
      <w:r w:rsidRPr="00BA410E">
        <w:t>)</w:t>
      </w:r>
    </w:p>
    <w:p w14:paraId="472183B4" w14:textId="77777777" w:rsidR="00E77B01" w:rsidRPr="00BA410E" w:rsidRDefault="00E77B01" w:rsidP="00E77B01">
      <w:pPr>
        <w:pStyle w:val="plcountry"/>
      </w:pPr>
      <w:r w:rsidRPr="00BA410E">
        <w:t>UNION EUROPÉENNE / EUROPEAN UNION / EUROPÄISCHE UNION / UNIÓN EUROPEA</w:t>
      </w:r>
    </w:p>
    <w:p w14:paraId="6BC65BFE" w14:textId="77777777" w:rsidR="00E77B01" w:rsidRPr="00BA410E" w:rsidRDefault="00E77B01" w:rsidP="00E77B01">
      <w:pPr>
        <w:pStyle w:val="pldetails"/>
      </w:pPr>
      <w:r w:rsidRPr="00BA410E">
        <w:t xml:space="preserve">Katalin MIKLÓ (Ms.), Head, Patent Department, Hungarian Intellectual Property Office (HIPO), Budapest </w:t>
      </w:r>
      <w:r w:rsidRPr="00BA410E">
        <w:br/>
        <w:t>(e-mail: katalin.miklo@hipo.gov.hu)</w:t>
      </w:r>
    </w:p>
    <w:p w14:paraId="33C403AE" w14:textId="77777777" w:rsidR="00E77B01" w:rsidRPr="00BA410E" w:rsidRDefault="00E77B01" w:rsidP="00E77B01">
      <w:pPr>
        <w:pStyle w:val="pldetails"/>
      </w:pPr>
      <w:r w:rsidRPr="00BA410E">
        <w:t xml:space="preserve">Päivi MANNERKORPI (Ms.), Team Leader - Plant Reproductive Material, Unit G1 Plant Health, Directorate General for Health and Food Safety (DG SANTE), European Commission, Brussels </w:t>
      </w:r>
      <w:r w:rsidRPr="00BA410E">
        <w:br/>
        <w:t xml:space="preserve">(e-mail: paivi.mannerkorpi@ec.europa.eu) </w:t>
      </w:r>
    </w:p>
    <w:p w14:paraId="01CDECFA" w14:textId="77777777" w:rsidR="00E77B01" w:rsidRPr="00BA410E" w:rsidRDefault="00E77B01" w:rsidP="00E77B01">
      <w:pPr>
        <w:pStyle w:val="pldetails"/>
      </w:pPr>
      <w:r w:rsidRPr="00BA410E">
        <w:t xml:space="preserve">Francesco MATTINA (Mr.), President, Community Plant Variety Office (CPVO), Angers (e-mail: mattina@cpvo.europa.eu) </w:t>
      </w:r>
    </w:p>
    <w:p w14:paraId="5408E03A" w14:textId="77777777" w:rsidR="00E77B01" w:rsidRPr="00BA410E" w:rsidRDefault="00E77B01" w:rsidP="00E77B01">
      <w:pPr>
        <w:pStyle w:val="pldetails"/>
      </w:pPr>
      <w:r w:rsidRPr="00BA410E">
        <w:t xml:space="preserve">Nuria URQUÍA FERNÁNDEZ (Ms.), Vice President, Community Plant Variety Office (CPVO), Angers </w:t>
      </w:r>
      <w:r w:rsidRPr="00BA410E">
        <w:br/>
        <w:t>(e-mail: urquia@cpvo.europa.eu)</w:t>
      </w:r>
    </w:p>
    <w:p w14:paraId="738EEDC2" w14:textId="77777777" w:rsidR="00E77B01" w:rsidRPr="00BA410E" w:rsidRDefault="00E77B01" w:rsidP="00E77B01">
      <w:pPr>
        <w:pStyle w:val="plcountry"/>
        <w:rPr>
          <w:lang w:val="es-ES"/>
        </w:rPr>
      </w:pPr>
      <w:r w:rsidRPr="00BA410E">
        <w:rPr>
          <w:lang w:val="es-ES"/>
        </w:rPr>
        <w:t>URUGUAY / URUGUAY / URUGUAY / URUGUAY</w:t>
      </w:r>
    </w:p>
    <w:p w14:paraId="4D441068" w14:textId="77777777" w:rsidR="00E77B01" w:rsidRPr="00BA410E" w:rsidRDefault="00E77B01" w:rsidP="00E77B01">
      <w:pPr>
        <w:pStyle w:val="pldetails"/>
        <w:rPr>
          <w:lang w:val="es-ES"/>
        </w:rPr>
      </w:pPr>
      <w:r w:rsidRPr="00BA410E">
        <w:rPr>
          <w:lang w:val="es-ES"/>
        </w:rPr>
        <w:t xml:space="preserve">Federico BOSCHI (Mr.), Técnico, Evaluación y Registro de Cultivares, Instituto Nacional de Semillas (INASE), Canelones </w:t>
      </w:r>
      <w:r w:rsidRPr="00BA410E">
        <w:rPr>
          <w:lang w:val="es-ES"/>
        </w:rPr>
        <w:br/>
        <w:t>(e-mail: fboschi@inase.uy)</w:t>
      </w:r>
    </w:p>
    <w:p w14:paraId="47363308" w14:textId="77777777" w:rsidR="00E77B01" w:rsidRPr="00BA410E" w:rsidRDefault="00E77B01" w:rsidP="00E77B01">
      <w:pPr>
        <w:pStyle w:val="plheading"/>
        <w:rPr>
          <w:lang w:val="es-ES"/>
        </w:rPr>
      </w:pPr>
      <w:r w:rsidRPr="00BA410E">
        <w:rPr>
          <w:lang w:val="es-ES"/>
        </w:rPr>
        <w:lastRenderedPageBreak/>
        <w:t>II. OBSERVATEURS / OBSERVERS / BEOBACHTER / OBSERVADORES</w:t>
      </w:r>
    </w:p>
    <w:p w14:paraId="05509E2A" w14:textId="77777777" w:rsidR="00E77B01" w:rsidRPr="00BA410E" w:rsidRDefault="00E77B01" w:rsidP="00E77B01">
      <w:pPr>
        <w:pStyle w:val="plcountry"/>
        <w:rPr>
          <w:lang w:val="es-ES"/>
        </w:rPr>
      </w:pPr>
      <w:r w:rsidRPr="00BA410E">
        <w:rPr>
          <w:lang w:val="es-ES"/>
        </w:rPr>
        <w:t xml:space="preserve">Émirats arabes unis / United ARAB Emirates / Vereinigte Arabische Emirate / </w:t>
      </w:r>
      <w:r w:rsidRPr="00BA410E">
        <w:rPr>
          <w:lang w:val="es-ES"/>
        </w:rPr>
        <w:br/>
        <w:t>Emiratos Árabes Unidos</w:t>
      </w:r>
    </w:p>
    <w:p w14:paraId="00D06616" w14:textId="77777777" w:rsidR="00E77B01" w:rsidRPr="00BA410E" w:rsidRDefault="00E77B01" w:rsidP="00E77B01">
      <w:pPr>
        <w:pStyle w:val="pldetails"/>
        <w:rPr>
          <w:lang w:val="es-ES"/>
        </w:rPr>
      </w:pPr>
      <w:r w:rsidRPr="00BA410E">
        <w:rPr>
          <w:lang w:val="es-ES"/>
        </w:rPr>
        <w:t xml:space="preserve">Mohamed Ahmed HAMDAN AL DHANHANI (Mr.), Director, Agriculture Development &amp; Health Department, Ministry of Climate Change and Environment, Dubai </w:t>
      </w:r>
      <w:r w:rsidRPr="00BA410E">
        <w:rPr>
          <w:lang w:val="es-ES"/>
        </w:rPr>
        <w:br/>
        <w:t>(e-mail: maaldhanhani@moccae.gov.ae)</w:t>
      </w:r>
    </w:p>
    <w:p w14:paraId="55E90FA4" w14:textId="77777777" w:rsidR="00E77B01" w:rsidRPr="00BA410E" w:rsidRDefault="00E77B01" w:rsidP="00E77B01">
      <w:pPr>
        <w:pStyle w:val="pldetails"/>
      </w:pPr>
      <w:r w:rsidRPr="00BA410E">
        <w:t xml:space="preserve">Nasir SULTAN (Mr.), Director, Legal Affairs Department, Ministry of Climate Change and Environment, Dubai </w:t>
      </w:r>
      <w:r w:rsidRPr="00BA410E">
        <w:br/>
        <w:t>(e-mail: nmsultan@moccae.gov.ae)</w:t>
      </w:r>
    </w:p>
    <w:p w14:paraId="6909E284" w14:textId="77777777" w:rsidR="00E77B01" w:rsidRPr="00BA410E" w:rsidRDefault="00E77B01" w:rsidP="00E77B01">
      <w:pPr>
        <w:pStyle w:val="plcountry"/>
      </w:pPr>
      <w:r w:rsidRPr="00BA410E">
        <w:t>Maurice / Mauritius / Mauritius / Mauricio</w:t>
      </w:r>
    </w:p>
    <w:p w14:paraId="3B43C263" w14:textId="77777777" w:rsidR="00E77B01" w:rsidRPr="00BA410E" w:rsidRDefault="00E77B01" w:rsidP="00E77B01">
      <w:pPr>
        <w:pStyle w:val="pldetails"/>
      </w:pPr>
      <w:r w:rsidRPr="00BA410E">
        <w:t xml:space="preserve">Balakrishna PONNUSAWMY (Mr.), Agricultural Senior Support Officer, National Plant Varieties and Seeds Office, Ministry of Agro Industry and Food Security, Port Louis </w:t>
      </w:r>
      <w:r w:rsidRPr="00BA410E">
        <w:br/>
        <w:t>(e-mail: bponnusawmy@govmu.org)</w:t>
      </w:r>
    </w:p>
    <w:p w14:paraId="3185210A" w14:textId="77777777" w:rsidR="00E77B01" w:rsidRPr="00BA410E" w:rsidRDefault="00E77B01" w:rsidP="00E77B01">
      <w:pPr>
        <w:pStyle w:val="pldetails"/>
      </w:pPr>
      <w:r w:rsidRPr="00BA410E">
        <w:t xml:space="preserve">Vedvyass Doobay MUDHOO (Mr.), Scientific Officer, National Plant Varieties and Seeds Office, Ministry of Agro Industry and Food Security, Port Louis </w:t>
      </w:r>
      <w:r w:rsidRPr="00BA410E">
        <w:br/>
        <w:t>(e-mail: vyassyam@gmail.com)</w:t>
      </w:r>
    </w:p>
    <w:p w14:paraId="5B5144A3" w14:textId="77777777" w:rsidR="00E77B01" w:rsidRPr="00BA410E" w:rsidRDefault="00E77B01" w:rsidP="00E77B01">
      <w:pPr>
        <w:pStyle w:val="plcountry"/>
      </w:pPr>
      <w:r w:rsidRPr="00BA410E">
        <w:t>PHILIPPINES / PHILIPPINES / PHILIPPINEN / FILIPINAS</w:t>
      </w:r>
    </w:p>
    <w:p w14:paraId="57C31068" w14:textId="77777777" w:rsidR="00E77B01" w:rsidRPr="00BA410E" w:rsidRDefault="00E77B01" w:rsidP="00E77B01">
      <w:pPr>
        <w:pStyle w:val="pldetails"/>
      </w:pPr>
      <w:r w:rsidRPr="00BA410E">
        <w:t xml:space="preserve">Marlito CABUÑOS (Mr.), Assistant Agriculture Attaché, Permanent Mission, Geneva </w:t>
      </w:r>
      <w:r w:rsidRPr="00BA410E">
        <w:br/>
        <w:t>(e-mail: m.cabunos@philippineswto.org)</w:t>
      </w:r>
    </w:p>
    <w:p w14:paraId="715954E6" w14:textId="77777777" w:rsidR="00E77B01" w:rsidRPr="00BA410E" w:rsidRDefault="00E77B01" w:rsidP="00E77B01">
      <w:pPr>
        <w:pStyle w:val="plcountry"/>
      </w:pPr>
      <w:r w:rsidRPr="00BA410E">
        <w:t>République arabe syrienne / Syrian Arab Republic / Arabische Republik Syrien / República Árabe Siria</w:t>
      </w:r>
    </w:p>
    <w:p w14:paraId="0B1AE3B5" w14:textId="77777777" w:rsidR="00E77B01" w:rsidRPr="00BA410E" w:rsidRDefault="00E77B01" w:rsidP="00E77B01">
      <w:pPr>
        <w:pStyle w:val="pldetails"/>
      </w:pPr>
      <w:r w:rsidRPr="00BA410E">
        <w:t>Reem JABR (Ms.), Deputy Permanent Representative, Permanent Mission, Geneva</w:t>
      </w:r>
      <w:r w:rsidRPr="00BA410E">
        <w:br/>
        <w:t>(e-mail: reemjabr3@gmail.com)</w:t>
      </w:r>
    </w:p>
    <w:p w14:paraId="219E5CD0" w14:textId="77777777" w:rsidR="00E77B01" w:rsidRPr="00BA410E" w:rsidRDefault="00E77B01" w:rsidP="00E77B01">
      <w:pPr>
        <w:pStyle w:val="plcountry"/>
      </w:pPr>
      <w:r w:rsidRPr="00BA410E">
        <w:t>République démocratique populaire lao / Lao People’s Democratic Republic / Demokratische Volksrepublik Laos / República Democrática Popular Lao</w:t>
      </w:r>
    </w:p>
    <w:p w14:paraId="535B6B08" w14:textId="77777777" w:rsidR="00E77B01" w:rsidRPr="00BA410E" w:rsidRDefault="00E77B01" w:rsidP="00E77B01">
      <w:pPr>
        <w:pStyle w:val="pldetails"/>
      </w:pPr>
      <w:r w:rsidRPr="00BA410E">
        <w:t xml:space="preserve">Saybandith SAYAVONGKHAMDY (Mr.), Deputy Director General, Department of Intellectual Property (DIP), Ministry of Industry and Commerce, Vientiane </w:t>
      </w:r>
      <w:r w:rsidRPr="00BA410E">
        <w:br/>
        <w:t>(e-mail: saybandith30@gmail.com)</w:t>
      </w:r>
    </w:p>
    <w:p w14:paraId="7525F914" w14:textId="77777777" w:rsidR="00E77B01" w:rsidRPr="00BA410E" w:rsidRDefault="00E77B01" w:rsidP="00E77B01">
      <w:pPr>
        <w:pStyle w:val="pldetails"/>
      </w:pPr>
      <w:r w:rsidRPr="00BA410E">
        <w:t xml:space="preserve">Souligna SISOMNUCK (Ms.), Deputy Director of Policy and International Affairs Division, Department of Intellectual Property, Ministry of Industry and Commerce, , Vientiane </w:t>
      </w:r>
      <w:r w:rsidRPr="00BA410E">
        <w:br/>
        <w:t>(e-mail: sisomnuck_souligna@yahoo.com)</w:t>
      </w:r>
    </w:p>
    <w:p w14:paraId="4CD1790A" w14:textId="77777777" w:rsidR="00E77B01" w:rsidRPr="00BA410E" w:rsidRDefault="00E77B01" w:rsidP="00E77B01">
      <w:pPr>
        <w:pStyle w:val="pldetails"/>
      </w:pPr>
      <w:r w:rsidRPr="00BA410E">
        <w:t xml:space="preserve">Solasin SENGSILAVONG (Mr.), Director of Patent and new plant variety Division, Department of Intellectual Property (DIP), Ministry of Industry and Commerce, Vientiane </w:t>
      </w:r>
      <w:r w:rsidRPr="00BA410E">
        <w:br/>
        <w:t>(e-mail: s_solasin@hotmail.com)</w:t>
      </w:r>
    </w:p>
    <w:p w14:paraId="1B1D4961" w14:textId="77777777" w:rsidR="00E77B01" w:rsidRPr="00BA410E" w:rsidRDefault="00E77B01" w:rsidP="00E77B01">
      <w:pPr>
        <w:pStyle w:val="plcountry"/>
      </w:pPr>
      <w:r w:rsidRPr="00BA410E">
        <w:t>THAÏLANDE / THAILAND / THAILAND / TAILANDIA</w:t>
      </w:r>
    </w:p>
    <w:p w14:paraId="4D94D26C" w14:textId="77777777" w:rsidR="00E77B01" w:rsidRPr="00BA410E" w:rsidRDefault="00E77B01" w:rsidP="00E77B01">
      <w:pPr>
        <w:pStyle w:val="pldetails"/>
      </w:pPr>
      <w:r w:rsidRPr="00BA410E">
        <w:t xml:space="preserve">Sakon WANASETHI (Mr.), Minister Counsellor, Permanent Mission, Geneva </w:t>
      </w:r>
      <w:r w:rsidRPr="00BA410E">
        <w:br/>
        <w:t>(e-mail: sakon@thaiwto.com)</w:t>
      </w:r>
    </w:p>
    <w:p w14:paraId="61595E50" w14:textId="77777777" w:rsidR="00E77B01" w:rsidRPr="00BA410E" w:rsidRDefault="00E77B01" w:rsidP="00E77B01">
      <w:pPr>
        <w:pStyle w:val="plcountry"/>
      </w:pPr>
      <w:r w:rsidRPr="00BA410E">
        <w:t>ZIMBABWE / ZIMBABWE / SIMBABWE / ZIMBABWE</w:t>
      </w:r>
    </w:p>
    <w:p w14:paraId="3C83FE2D" w14:textId="77777777" w:rsidR="00E77B01" w:rsidRPr="00BA410E" w:rsidRDefault="00E77B01" w:rsidP="00E77B01">
      <w:pPr>
        <w:pStyle w:val="pldetails"/>
      </w:pPr>
      <w:r w:rsidRPr="00BA410E">
        <w:t xml:space="preserve">Chenai GARISE (Ms.), Deputy Director, Legal Advisory Department, Ministry of Lands, Agriculture, Fisheries, Water and Rural Development, Harare </w:t>
      </w:r>
      <w:r w:rsidRPr="00BA410E">
        <w:br/>
        <w:t>(e-mail: cgarisenheta@gmail.com)</w:t>
      </w:r>
    </w:p>
    <w:p w14:paraId="2EBAD965" w14:textId="77777777" w:rsidR="00E77B01" w:rsidRPr="00BA410E" w:rsidRDefault="00E77B01" w:rsidP="00E77B01">
      <w:pPr>
        <w:pStyle w:val="pldetails"/>
      </w:pPr>
      <w:r w:rsidRPr="00BA410E">
        <w:t xml:space="preserve">Edmore MTETWA (Mr.), Head of Seed Services Institute, Registrar of Plant Breeders' Rights, Department of Research &amp; Specialist Services, Seed Services Institute, Harare </w:t>
      </w:r>
      <w:r w:rsidRPr="00BA410E">
        <w:br/>
        <w:t>(e-mail: mtetwae@gmail.com)</w:t>
      </w:r>
    </w:p>
    <w:p w14:paraId="5132B163" w14:textId="77777777" w:rsidR="00E77B01" w:rsidRPr="00BA410E" w:rsidRDefault="00E77B01" w:rsidP="00E77B01">
      <w:pPr>
        <w:pStyle w:val="plheading"/>
        <w:rPr>
          <w:lang w:val="fr-FR"/>
        </w:rPr>
      </w:pPr>
      <w:r w:rsidRPr="00BA410E">
        <w:rPr>
          <w:lang w:val="fr-FR"/>
        </w:rPr>
        <w:lastRenderedPageBreak/>
        <w:t>III. ORGANISATIONS / ORGANIZATIONS / ORGANISATIONEN / ORGANIZACIONES</w:t>
      </w:r>
    </w:p>
    <w:p w14:paraId="20CBF790" w14:textId="77777777" w:rsidR="00E77B01" w:rsidRPr="00BA410E" w:rsidRDefault="00E77B01" w:rsidP="00E77B01">
      <w:pPr>
        <w:pStyle w:val="plcountry"/>
        <w:rPr>
          <w:lang w:val="fr-FR"/>
        </w:rPr>
      </w:pPr>
      <w:r w:rsidRPr="00BA410E">
        <w:rPr>
          <w:lang w:val="fr-FR"/>
        </w:rPr>
        <w:t xml:space="preserve">ASSOCIATION INTERNATIONALE DES PRODUCTEURS HORTICOLES (AIPH) / </w:t>
      </w:r>
      <w:r w:rsidRPr="00BA410E">
        <w:rPr>
          <w:lang w:val="fr-FR"/>
        </w:rPr>
        <w:br/>
        <w:t xml:space="preserve">INTERNATIONAL ASSOCIATION OF HORTICULTURAL PRODUCERS (AIPH) / </w:t>
      </w:r>
      <w:r w:rsidRPr="00BA410E">
        <w:rPr>
          <w:lang w:val="fr-FR"/>
        </w:rPr>
        <w:br/>
        <w:t xml:space="preserve">INTERNATIONALER VERBAND DES ERWERBSGARTENBAUES (AIPH) / </w:t>
      </w:r>
      <w:r w:rsidRPr="00BA410E">
        <w:rPr>
          <w:lang w:val="fr-FR"/>
        </w:rPr>
        <w:br/>
        <w:t>ASOCIACIÓN INTERNACIONAL DE PRODUCTORES HORTÍCOLAS (AIPH)</w:t>
      </w:r>
    </w:p>
    <w:p w14:paraId="4BE5058F" w14:textId="77777777" w:rsidR="00E77B01" w:rsidRPr="00BA410E" w:rsidRDefault="00E77B01" w:rsidP="00E77B01">
      <w:pPr>
        <w:pStyle w:val="pldetails"/>
      </w:pPr>
      <w:r w:rsidRPr="00BA410E">
        <w:t xml:space="preserve">Mia HOPPERUS BUMA (Ms.), Advisor, Committee for Novelty Protection, International Association of Horticultural Producers (AIPH), The Hague, Netherlands (Kingdom of the) </w:t>
      </w:r>
      <w:r w:rsidRPr="00BA410E">
        <w:br/>
        <w:t>(e-mail: info@miabuma.nl)</w:t>
      </w:r>
    </w:p>
    <w:p w14:paraId="2C132C45" w14:textId="77777777" w:rsidR="00E77B01" w:rsidRPr="00BA410E" w:rsidRDefault="00E77B01" w:rsidP="00E77B01">
      <w:pPr>
        <w:pStyle w:val="plcountry"/>
        <w:rPr>
          <w:lang w:val="pt-BR"/>
        </w:rPr>
      </w:pPr>
      <w:r w:rsidRPr="00BA410E">
        <w:rPr>
          <w:lang w:val="pt-BR"/>
        </w:rPr>
        <w:t xml:space="preserve">ASSOCIATION DES OBTENTEURS HORTICOLES EUROPÉENS (AOHE) / </w:t>
      </w:r>
      <w:r w:rsidRPr="00BA410E">
        <w:rPr>
          <w:lang w:val="pt-BR"/>
        </w:rPr>
        <w:br/>
        <w:t xml:space="preserve">ASSOCIATION OF EUROPEAN HORTICULTURAL BREEDERS (AOHE) / </w:t>
      </w:r>
      <w:r w:rsidRPr="00BA410E">
        <w:rPr>
          <w:lang w:val="pt-BR"/>
        </w:rPr>
        <w:br/>
        <w:t>ASOCIACIÓN DE OBTENTORES HORTÍCOLAS EUROPEOS (AOHE)</w:t>
      </w:r>
    </w:p>
    <w:p w14:paraId="76962D6D" w14:textId="77777777" w:rsidR="00E77B01" w:rsidRPr="00BA410E" w:rsidRDefault="00E77B01" w:rsidP="00E77B01">
      <w:pPr>
        <w:pStyle w:val="pldetails"/>
        <w:rPr>
          <w:lang w:val="pt-BR"/>
        </w:rPr>
      </w:pPr>
      <w:r w:rsidRPr="00BA410E">
        <w:rPr>
          <w:lang w:val="pt-BR"/>
        </w:rPr>
        <w:t xml:space="preserve">Dominique THÉVENON (Ms.), President - AOHE, Boad Member and Treasurer - CIOPORA, Association of European Horticultural Breeders (AOHE), Piolenc, France </w:t>
      </w:r>
      <w:r w:rsidRPr="00BA410E">
        <w:rPr>
          <w:lang w:val="pt-BR"/>
        </w:rPr>
        <w:br/>
        <w:t>(e-mail: t.dominique4@orange.fr)</w:t>
      </w:r>
    </w:p>
    <w:p w14:paraId="7A59B10B" w14:textId="77777777" w:rsidR="00E77B01" w:rsidRPr="00BA410E" w:rsidRDefault="00E77B01" w:rsidP="00E77B01">
      <w:pPr>
        <w:pStyle w:val="pldetails"/>
        <w:rPr>
          <w:lang w:val="fr-FR"/>
        </w:rPr>
      </w:pPr>
      <w:r w:rsidRPr="00BA410E">
        <w:rPr>
          <w:lang w:val="fr-CH"/>
        </w:rPr>
        <w:t xml:space="preserve">Hélène JOURDAN (Mme), </w:t>
      </w:r>
      <w:r w:rsidRPr="00BA410E">
        <w:rPr>
          <w:lang w:val="fr-FR"/>
        </w:rPr>
        <w:t>Secrétaire générale - AOHE, Responsable COV &amp; Marques - Meilland International S.A., Association des Obtenteurs Horticoles Européens (AOHE), Le Luc en Provence, France</w:t>
      </w:r>
      <w:r w:rsidRPr="00BA410E">
        <w:rPr>
          <w:lang w:val="fr-FR"/>
        </w:rPr>
        <w:br/>
        <w:t>(e-mail: contact@aohe.eu)</w:t>
      </w:r>
    </w:p>
    <w:p w14:paraId="5DE9FC57" w14:textId="77777777" w:rsidR="00E77B01" w:rsidRPr="00BA410E" w:rsidRDefault="00E77B01" w:rsidP="00E77B01">
      <w:pPr>
        <w:pStyle w:val="plcountry"/>
      </w:pPr>
      <w:r w:rsidRPr="00BA410E">
        <w:t>ASSOCIATION FOR PLANT BREEDING FOR THE BENEFIT OF SOCIETY (APBREBES)</w:t>
      </w:r>
    </w:p>
    <w:p w14:paraId="74826D7E" w14:textId="77777777" w:rsidR="00E77B01" w:rsidRPr="00BA410E" w:rsidRDefault="00E77B01" w:rsidP="00E77B01">
      <w:pPr>
        <w:pStyle w:val="pldetails"/>
      </w:pPr>
      <w:r w:rsidRPr="00BA410E">
        <w:t xml:space="preserve">François MEIENBERG (Mr.), Coordinator, Association for Plant Breeding for the Benefit of Society </w:t>
      </w:r>
      <w:bookmarkStart w:id="14" w:name="_Hlk179817244"/>
      <w:r w:rsidRPr="00BA410E">
        <w:t>(APBREBES)</w:t>
      </w:r>
      <w:bookmarkEnd w:id="14"/>
      <w:r w:rsidRPr="00BA410E">
        <w:t>, Zürich, Switzerland</w:t>
      </w:r>
      <w:r w:rsidRPr="00BA410E">
        <w:br/>
        <w:t>(e-mail: contact@apbrebes.org)</w:t>
      </w:r>
    </w:p>
    <w:p w14:paraId="4AAF7D73" w14:textId="77777777" w:rsidR="00E77B01" w:rsidRPr="00BA410E" w:rsidRDefault="00E77B01" w:rsidP="00E77B01">
      <w:pPr>
        <w:pStyle w:val="plcountry"/>
      </w:pPr>
      <w:r w:rsidRPr="00BA410E">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496C7639" w14:textId="77777777" w:rsidR="00E77B01" w:rsidRPr="00BA410E" w:rsidRDefault="00E77B01" w:rsidP="00E77B01">
      <w:pPr>
        <w:pStyle w:val="pldetails"/>
      </w:pPr>
      <w:r w:rsidRPr="00BA410E">
        <w:t xml:space="preserve">Micaela FILIPPO (Ms.), Vice Secretary-General, International Community of Breeders of Asexually Reproduced Horticultural Plants (CIOPORA), Hamburg, Germany </w:t>
      </w:r>
      <w:r w:rsidRPr="00BA410E">
        <w:br/>
        <w:t>(e-mail: micaela.filippo@ciopora.org)</w:t>
      </w:r>
    </w:p>
    <w:p w14:paraId="6100538E" w14:textId="77777777" w:rsidR="00E77B01" w:rsidRPr="00BA410E" w:rsidRDefault="00E77B01" w:rsidP="00E77B01">
      <w:pPr>
        <w:pStyle w:val="plcountry"/>
      </w:pPr>
      <w:r w:rsidRPr="00BA410E">
        <w:t>CROPLIFE INTERNATIONAL</w:t>
      </w:r>
    </w:p>
    <w:p w14:paraId="6492492C" w14:textId="77777777" w:rsidR="00E77B01" w:rsidRPr="00BA410E" w:rsidRDefault="00E77B01" w:rsidP="00E77B01">
      <w:pPr>
        <w:pStyle w:val="pldetails"/>
      </w:pPr>
      <w:r w:rsidRPr="00BA410E">
        <w:t>Marcel BRUINS (Mr.), Consultant, CropLife International, Bruxelles, Belgium</w:t>
      </w:r>
      <w:r w:rsidRPr="00BA410E">
        <w:br/>
        <w:t xml:space="preserve">(e-mail: </w:t>
      </w:r>
      <w:hyperlink r:id="rId21" w:history="1">
        <w:r w:rsidRPr="00BA410E">
          <w:t>marcel@bruinsseedconsultancy.com</w:t>
        </w:r>
      </w:hyperlink>
      <w:r w:rsidRPr="00BA410E">
        <w:t>)</w:t>
      </w:r>
    </w:p>
    <w:p w14:paraId="5B0E0DFA" w14:textId="77777777" w:rsidR="00E77B01" w:rsidRPr="00BA410E" w:rsidRDefault="00E77B01" w:rsidP="00E77B01">
      <w:pPr>
        <w:pStyle w:val="plcountry"/>
      </w:pPr>
      <w:r w:rsidRPr="00BA410E">
        <w:t>INTERNATIONAL SEED FEDERATION (ISF)</w:t>
      </w:r>
    </w:p>
    <w:p w14:paraId="453B065D" w14:textId="77777777" w:rsidR="00E77B01" w:rsidRPr="00BA410E" w:rsidRDefault="00E77B01" w:rsidP="00E77B01">
      <w:pPr>
        <w:pStyle w:val="pldetails"/>
        <w:rPr>
          <w:rFonts w:eastAsiaTheme="minorEastAsia"/>
          <w:lang w:eastAsia="ja-JP"/>
        </w:rPr>
      </w:pPr>
      <w:r w:rsidRPr="00BA410E">
        <w:t>Jan KNOL (Mr.), Plant Variety Protection Officer, Crop Science Division, BASF Vegetable Seeds, Nunhems Netherlands B.V., Nunhem, Netherlands (Kingdom of the)</w:t>
      </w:r>
      <w:r w:rsidRPr="00BA410E">
        <w:br/>
        <w:t xml:space="preserve">(e-mail: jan.knol@basf.com) </w:t>
      </w:r>
    </w:p>
    <w:p w14:paraId="046FEFC3" w14:textId="77777777" w:rsidR="00E77B01" w:rsidRPr="00BA410E" w:rsidRDefault="00E77B01" w:rsidP="00E77B01">
      <w:pPr>
        <w:pStyle w:val="plcountry"/>
      </w:pPr>
      <w:r w:rsidRPr="00BA410E">
        <w:t xml:space="preserve">ORGANISATION DE COOPÉRATION ET DE DÉVELOPPEMENT ÉCONOMIQUES (OCDE) / ORGANISATION FOR ECONOMIC CO-OPERATION AND DEVELOPMENT (OECD) / </w:t>
      </w:r>
      <w:r w:rsidRPr="00BA410E">
        <w:br/>
        <w:t>ORGANISATION FÜR WIRTSCHAFTLICHE ZUSAMMENARBEIT UND ENTWICKLUNG (OECD) /</w:t>
      </w:r>
      <w:r w:rsidRPr="00BA410E">
        <w:br/>
        <w:t>ORGANIZACIÓN DE COOPERACIÓN Y DESARROLLO ECONÓMIC</w:t>
      </w:r>
    </w:p>
    <w:p w14:paraId="554DB460" w14:textId="77777777" w:rsidR="00E77B01" w:rsidRPr="00BA410E" w:rsidRDefault="00E77B01" w:rsidP="00E77B01">
      <w:pPr>
        <w:pStyle w:val="pldetails"/>
      </w:pPr>
      <w:r w:rsidRPr="00BA410E">
        <w:t xml:space="preserve">Csaba GASPAR (Mr.), Head, OECD Codes and Schemes, Organisation for Economic Co-operation and Development (OECD), Paris, France </w:t>
      </w:r>
      <w:r w:rsidRPr="00BA410E">
        <w:br/>
        <w:t>(e-mail: csaba.gaspar@oecd.org)</w:t>
      </w:r>
    </w:p>
    <w:p w14:paraId="210DAAFB" w14:textId="77777777" w:rsidR="00E77B01" w:rsidRPr="00BA410E" w:rsidRDefault="00E77B01" w:rsidP="00E77B01">
      <w:pPr>
        <w:pStyle w:val="plcountry"/>
      </w:pPr>
      <w:r w:rsidRPr="00BA410E">
        <w:t xml:space="preserve">ORGANISATION RÉGIONALE AFRICAINE DE LA PROPRIÉTÉ INTELLECTUELLE (ARIPO) / </w:t>
      </w:r>
      <w:r w:rsidRPr="00BA410E">
        <w:br/>
        <w:t xml:space="preserve">AFRICAN REGIONAL INTELLECTUAL PROPERTY ORGANIZATION (ARIPO) / </w:t>
      </w:r>
      <w:r w:rsidRPr="00BA410E">
        <w:br/>
        <w:t>Afrikanische Regionalorganisation für gewerbliches Eigentum (ARIPO)</w:t>
      </w:r>
      <w:r w:rsidRPr="00BA410E">
        <w:br/>
        <w:t>ORGANIZACIÓN REGIONAL AFRICANA DE LA PROPIEDAD INTELECTUAL (ARIPO)</w:t>
      </w:r>
    </w:p>
    <w:p w14:paraId="24652C70" w14:textId="77777777" w:rsidR="00E77B01" w:rsidRPr="00BA410E" w:rsidRDefault="00E77B01" w:rsidP="00E77B01">
      <w:pPr>
        <w:pStyle w:val="pldetails"/>
      </w:pPr>
      <w:r w:rsidRPr="00BA410E">
        <w:t xml:space="preserve">Said H. RAMADHAN (Mr.), Senior Patent Examiner, Technical Department, African Regional Intellectual Property Organization (ARIPO), Harare, Zimbabwe </w:t>
      </w:r>
      <w:r w:rsidRPr="00BA410E">
        <w:br/>
        <w:t>(e-mail: sramadhan@aripo.org)</w:t>
      </w:r>
    </w:p>
    <w:p w14:paraId="58668294" w14:textId="77777777" w:rsidR="00E77B01" w:rsidRPr="00BA410E" w:rsidRDefault="00E77B01" w:rsidP="00E77B01">
      <w:pPr>
        <w:pStyle w:val="plheading"/>
        <w:rPr>
          <w:lang w:val="es-ES"/>
        </w:rPr>
      </w:pPr>
      <w:r w:rsidRPr="00BA410E">
        <w:rPr>
          <w:lang w:val="es-ES"/>
        </w:rPr>
        <w:lastRenderedPageBreak/>
        <w:t>Iv. BUREAU DE L’OMPI / OFFICE OF WIPO / BÜRO DER WIPO / OFICINA DE LA OMPI</w:t>
      </w:r>
    </w:p>
    <w:p w14:paraId="6FAC42F3" w14:textId="77777777" w:rsidR="00E77B01" w:rsidRPr="00BA410E" w:rsidRDefault="00E77B01" w:rsidP="00E77B01">
      <w:pPr>
        <w:pStyle w:val="pldetails"/>
      </w:pPr>
      <w:r w:rsidRPr="00BA410E">
        <w:t>Chitra NARAYANASWANY (Ms.), Director, Program Planning and Finance (Controller), Department of Program Planning and Finance</w:t>
      </w:r>
    </w:p>
    <w:p w14:paraId="3E9166A7" w14:textId="77777777" w:rsidR="00E77B01" w:rsidRPr="00BA410E" w:rsidRDefault="00E77B01" w:rsidP="00E77B01">
      <w:pPr>
        <w:pStyle w:val="pldetails"/>
      </w:pPr>
      <w:r w:rsidRPr="00BA410E">
        <w:t>Janice COOK ROBBINS (Ms.), Director, Finance Division, Department of Program Planning and Finance</w:t>
      </w:r>
    </w:p>
    <w:p w14:paraId="6B1BF09A" w14:textId="77777777" w:rsidR="00E77B01" w:rsidRPr="00BA410E" w:rsidRDefault="00E77B01" w:rsidP="00E77B01">
      <w:pPr>
        <w:pStyle w:val="pldetails"/>
        <w:keepNext/>
      </w:pPr>
      <w:r w:rsidRPr="00BA410E">
        <w:t>Maya Catharina BACHNER (Ms.), Director, Program Performance and Budget Division, Department of Program Planning and Finance</w:t>
      </w:r>
    </w:p>
    <w:p w14:paraId="29EA3F47" w14:textId="77777777" w:rsidR="00E77B01" w:rsidRPr="00BA410E" w:rsidRDefault="00E77B01" w:rsidP="00E77B01">
      <w:pPr>
        <w:pStyle w:val="pldetails"/>
      </w:pPr>
      <w:r w:rsidRPr="00BA410E">
        <w:t>Isabel MONTAGNE (Ms.), Senior Project Manager, Program Performance and Budget Division, Department of Program Planning and Finance</w:t>
      </w:r>
    </w:p>
    <w:p w14:paraId="1A8A6009" w14:textId="77777777" w:rsidR="00E77B01" w:rsidRPr="00BA410E" w:rsidRDefault="00E77B01" w:rsidP="00E77B01">
      <w:pPr>
        <w:pStyle w:val="pldetails"/>
      </w:pPr>
      <w:r w:rsidRPr="00BA410E">
        <w:t>Arendina KOPPE (Ms.), Deputy Legal Counsel, Office of the Legal Counsel</w:t>
      </w:r>
    </w:p>
    <w:p w14:paraId="4992F98F" w14:textId="77777777" w:rsidR="00E77B01" w:rsidRPr="00BA410E" w:rsidRDefault="00E77B01" w:rsidP="00E77B01">
      <w:pPr>
        <w:pStyle w:val="plheading"/>
        <w:rPr>
          <w:rFonts w:cs="Arial"/>
        </w:rPr>
      </w:pPr>
      <w:r w:rsidRPr="00BA410E">
        <w:t>V. VÉRIFICATEUR EXTERNE DE L’UPOV / EXTERNAL AUDITOR OF UPOV /</w:t>
      </w:r>
      <w:r w:rsidRPr="00BA410E">
        <w:br/>
      </w:r>
      <w:r w:rsidRPr="00BA410E">
        <w:rPr>
          <w:rFonts w:cs="Arial"/>
        </w:rPr>
        <w:t>EXTERNER REVISOR DER UPOV / AUDITOR EXTERNO DE LA UPOV</w:t>
      </w:r>
    </w:p>
    <w:p w14:paraId="267CB6F2" w14:textId="77777777" w:rsidR="00E77B01" w:rsidRPr="00BA410E" w:rsidRDefault="00E77B01" w:rsidP="00E77B01">
      <w:pPr>
        <w:pStyle w:val="pldetails"/>
      </w:pPr>
      <w:r w:rsidRPr="00BA410E">
        <w:rPr>
          <w:rFonts w:cs="Arial"/>
          <w:lang w:val="en-GB"/>
        </w:rPr>
        <w:t>Pete CASSIDY</w:t>
      </w:r>
      <w:r w:rsidRPr="00BA410E">
        <w:rPr>
          <w:rFonts w:cs="Arial"/>
        </w:rPr>
        <w:t xml:space="preserve"> (Mr.), </w:t>
      </w:r>
      <w:r w:rsidRPr="00BA410E">
        <w:rPr>
          <w:rFonts w:cs="Arial"/>
          <w:lang w:val="en-GB"/>
        </w:rPr>
        <w:t>Engagement Manager,</w:t>
      </w:r>
      <w:r w:rsidRPr="00BA410E">
        <w:rPr>
          <w:rFonts w:cs="Arial"/>
        </w:rPr>
        <w:t xml:space="preserve"> National Audit Office, United Kingdom</w:t>
      </w:r>
    </w:p>
    <w:p w14:paraId="19832D25" w14:textId="77777777" w:rsidR="00E77B01" w:rsidRPr="00BA410E" w:rsidRDefault="00E77B01" w:rsidP="00E77B01">
      <w:pPr>
        <w:pStyle w:val="plheading"/>
        <w:rPr>
          <w:rFonts w:cs="Arial"/>
        </w:rPr>
      </w:pPr>
      <w:r w:rsidRPr="00BA410E">
        <w:rPr>
          <w:rFonts w:cs="Arial"/>
        </w:rPr>
        <w:t>VI. BUREAU / OFFICER / VORSITZ / OFICINA</w:t>
      </w:r>
    </w:p>
    <w:p w14:paraId="5867A601" w14:textId="77777777" w:rsidR="00E77B01" w:rsidRPr="00BA410E" w:rsidRDefault="00E77B01" w:rsidP="00E77B01">
      <w:pPr>
        <w:pStyle w:val="pldetails"/>
      </w:pPr>
      <w:r w:rsidRPr="00BA410E">
        <w:t>Yehan CUI (Mr.), President</w:t>
      </w:r>
    </w:p>
    <w:p w14:paraId="1B584BBB" w14:textId="77777777" w:rsidR="00E77B01" w:rsidRPr="00BA410E" w:rsidRDefault="00E77B01" w:rsidP="00E77B01">
      <w:pPr>
        <w:pStyle w:val="pldetails"/>
      </w:pPr>
      <w:r w:rsidRPr="00BA410E">
        <w:t>Anthony PARKER (Mr.), Vice-President</w:t>
      </w:r>
    </w:p>
    <w:p w14:paraId="255E16D5" w14:textId="77777777" w:rsidR="00E77B01" w:rsidRPr="00BA410E" w:rsidRDefault="00E77B01" w:rsidP="00E77B01">
      <w:pPr>
        <w:pStyle w:val="plheading"/>
        <w:keepLines/>
        <w:rPr>
          <w:rFonts w:cs="Arial"/>
        </w:rPr>
      </w:pPr>
      <w:r w:rsidRPr="00BA410E">
        <w:rPr>
          <w:rFonts w:cs="Arial"/>
        </w:rPr>
        <w:t>VII. BUREAU DE L’UPOV / OFFICE OF UPOV / BÜRO DER UPOV / OFICINA DE LA UPOV</w:t>
      </w:r>
    </w:p>
    <w:p w14:paraId="259EB150" w14:textId="77777777" w:rsidR="00E77B01" w:rsidRPr="00BA410E" w:rsidRDefault="00E77B01" w:rsidP="00E77B01">
      <w:pPr>
        <w:pStyle w:val="pldetails"/>
        <w:keepNext/>
      </w:pPr>
      <w:r w:rsidRPr="00BA410E">
        <w:t>Daren TANG (Mr.), Secretary-General</w:t>
      </w:r>
    </w:p>
    <w:p w14:paraId="54050BEC" w14:textId="77777777" w:rsidR="00E77B01" w:rsidRPr="00BA410E" w:rsidRDefault="00E77B01" w:rsidP="00E77B01">
      <w:pPr>
        <w:pStyle w:val="pldetails"/>
        <w:keepNext/>
      </w:pPr>
      <w:r w:rsidRPr="00BA410E">
        <w:t>Yolanda HUERTA (Ms.), Vice Secretary-General</w:t>
      </w:r>
    </w:p>
    <w:p w14:paraId="60A74FF9" w14:textId="77777777" w:rsidR="00E77B01" w:rsidRPr="00BA410E" w:rsidRDefault="00E77B01" w:rsidP="00E77B01">
      <w:pPr>
        <w:pStyle w:val="pldetails"/>
      </w:pPr>
      <w:r w:rsidRPr="00BA410E">
        <w:rPr>
          <w:rFonts w:cs="Arial"/>
        </w:rPr>
        <w:t xml:space="preserve">Martin EKVAD (Mr.), </w:t>
      </w:r>
      <w:bookmarkStart w:id="15" w:name="_Hlk147302165"/>
      <w:r w:rsidRPr="00BA410E">
        <w:rPr>
          <w:rFonts w:cs="Arial"/>
        </w:rPr>
        <w:t>Director of Legal Affairs</w:t>
      </w:r>
      <w:bookmarkEnd w:id="15"/>
    </w:p>
    <w:p w14:paraId="0DB3EB3C" w14:textId="77777777" w:rsidR="00E77B01" w:rsidRPr="00BA410E" w:rsidRDefault="00E77B01" w:rsidP="00E77B01">
      <w:pPr>
        <w:pStyle w:val="pldetails"/>
      </w:pPr>
      <w:r w:rsidRPr="00BA410E">
        <w:t xml:space="preserve">Leontino TAVEIRA (Mr.), </w:t>
      </w:r>
      <w:bookmarkStart w:id="16" w:name="_Hlk147302207"/>
      <w:r w:rsidRPr="00BA410E">
        <w:t>Director of Global Development and Technical Affairs</w:t>
      </w:r>
      <w:bookmarkEnd w:id="16"/>
    </w:p>
    <w:p w14:paraId="4A54263A" w14:textId="77777777" w:rsidR="00E77B01" w:rsidRPr="00BA410E" w:rsidRDefault="00E77B01" w:rsidP="00E77B01">
      <w:pPr>
        <w:pStyle w:val="pldetails"/>
      </w:pPr>
      <w:r w:rsidRPr="00BA410E">
        <w:t>Hend MADHOUR (Ms.), Head of IT</w:t>
      </w:r>
    </w:p>
    <w:p w14:paraId="194B5936" w14:textId="77777777" w:rsidR="00E77B01" w:rsidRPr="00BA410E" w:rsidRDefault="00E77B01" w:rsidP="00E77B01">
      <w:pPr>
        <w:pStyle w:val="pldetails"/>
      </w:pPr>
      <w:r w:rsidRPr="00BA410E">
        <w:t>Yoshiro NISHIMURA (Mr.), Technical/Regional Officer (Asia)</w:t>
      </w:r>
    </w:p>
    <w:p w14:paraId="7AAA33CC" w14:textId="77777777" w:rsidR="00E77B01" w:rsidRPr="00BA410E" w:rsidRDefault="00E77B01" w:rsidP="00E77B01">
      <w:pPr>
        <w:pStyle w:val="pldetails"/>
        <w:keepNext/>
      </w:pPr>
      <w:r w:rsidRPr="00BA410E">
        <w:rPr>
          <w:rFonts w:cs="Arial"/>
        </w:rPr>
        <w:t>Kees VAN ETTEKOVEN (Mr.), Technical Expert</w:t>
      </w:r>
    </w:p>
    <w:p w14:paraId="6E920860" w14:textId="77777777" w:rsidR="00E77B01" w:rsidRPr="00BA410E" w:rsidRDefault="00E77B01" w:rsidP="00E77B01">
      <w:pPr>
        <w:keepNext/>
      </w:pPr>
    </w:p>
    <w:p w14:paraId="73584109" w14:textId="77777777" w:rsidR="00E77B01" w:rsidRPr="00BA410E" w:rsidRDefault="00E77B01" w:rsidP="00E77B01">
      <w:pPr>
        <w:keepNext/>
      </w:pPr>
    </w:p>
    <w:p w14:paraId="1BC3E158" w14:textId="77777777" w:rsidR="00E77B01" w:rsidRPr="00BA410E" w:rsidRDefault="00E77B01" w:rsidP="00E77B01">
      <w:pPr>
        <w:keepNext/>
      </w:pPr>
    </w:p>
    <w:p w14:paraId="44A8B62C" w14:textId="77777777" w:rsidR="00E77B01" w:rsidRPr="00C249CE" w:rsidRDefault="00E77B01" w:rsidP="00E77B01">
      <w:pPr>
        <w:jc w:val="right"/>
        <w:rPr>
          <w:rFonts w:cs="Arial"/>
          <w:lang w:val="fr-CH" w:eastAsia="zh-CN"/>
        </w:rPr>
      </w:pPr>
      <w:r w:rsidRPr="00BA410E">
        <w:rPr>
          <w:rFonts w:cs="Arial"/>
          <w:lang w:val="fr-CH"/>
        </w:rPr>
        <w:t>[Fin du document/</w:t>
      </w:r>
      <w:r w:rsidRPr="00BA410E">
        <w:rPr>
          <w:rFonts w:cs="Arial"/>
          <w:lang w:val="fr-CH"/>
        </w:rPr>
        <w:br/>
        <w:t>End of document/</w:t>
      </w:r>
      <w:r w:rsidRPr="00BA410E">
        <w:rPr>
          <w:rFonts w:cs="Arial"/>
          <w:lang w:val="fr-CH"/>
        </w:rPr>
        <w:br/>
        <w:t xml:space="preserve">Ende des </w:t>
      </w:r>
      <w:proofErr w:type="spellStart"/>
      <w:r w:rsidRPr="00BA410E">
        <w:rPr>
          <w:rFonts w:cs="Arial"/>
          <w:lang w:val="fr-CH"/>
        </w:rPr>
        <w:t>Dokuments</w:t>
      </w:r>
      <w:proofErr w:type="spellEnd"/>
      <w:r w:rsidRPr="00BA410E">
        <w:rPr>
          <w:rFonts w:cs="Arial"/>
          <w:lang w:val="fr-CH"/>
        </w:rPr>
        <w:t>/</w:t>
      </w:r>
      <w:r w:rsidRPr="00BA410E">
        <w:rPr>
          <w:rFonts w:cs="Arial"/>
          <w:lang w:val="fr-CH"/>
        </w:rPr>
        <w:br/>
        <w:t xml:space="preserve">Fin </w:t>
      </w:r>
      <w:proofErr w:type="spellStart"/>
      <w:r w:rsidRPr="00BA410E">
        <w:rPr>
          <w:rFonts w:cs="Arial"/>
          <w:lang w:val="fr-CH"/>
        </w:rPr>
        <w:t>del</w:t>
      </w:r>
      <w:proofErr w:type="spellEnd"/>
      <w:r w:rsidRPr="00BA410E">
        <w:rPr>
          <w:rFonts w:cs="Arial"/>
          <w:lang w:val="fr-CH"/>
        </w:rPr>
        <w:t xml:space="preserve"> </w:t>
      </w:r>
      <w:proofErr w:type="spellStart"/>
      <w:r w:rsidRPr="00BA410E">
        <w:rPr>
          <w:rFonts w:cs="Arial"/>
          <w:lang w:val="fr-CH"/>
        </w:rPr>
        <w:t>documento</w:t>
      </w:r>
      <w:proofErr w:type="spellEnd"/>
      <w:r w:rsidRPr="00BA410E">
        <w:rPr>
          <w:rFonts w:cs="Arial"/>
          <w:lang w:val="fr-CH"/>
        </w:rPr>
        <w:t>]</w:t>
      </w:r>
    </w:p>
    <w:p w14:paraId="1761A196" w14:textId="77777777" w:rsidR="00E77B01" w:rsidRPr="005349AE" w:rsidRDefault="00E77B01" w:rsidP="00E77B01">
      <w:pPr>
        <w:shd w:val="clear" w:color="auto" w:fill="FFFFFF" w:themeFill="background1"/>
        <w:jc w:val="left"/>
        <w:rPr>
          <w:lang w:val="fr-CH"/>
        </w:rPr>
      </w:pPr>
    </w:p>
    <w:p w14:paraId="6CBD6630" w14:textId="77777777" w:rsidR="00BA2A97" w:rsidRPr="005B5C2F" w:rsidRDefault="00BA2A97" w:rsidP="00FB4867">
      <w:pPr>
        <w:shd w:val="clear" w:color="auto" w:fill="FFFFFF" w:themeFill="background1"/>
        <w:jc w:val="left"/>
      </w:pPr>
    </w:p>
    <w:p w14:paraId="39063CF1" w14:textId="77777777" w:rsidR="00BA2A97" w:rsidRPr="005B5C2F" w:rsidRDefault="00BA2A97" w:rsidP="00FB4867">
      <w:pPr>
        <w:shd w:val="clear" w:color="auto" w:fill="FFFFFF" w:themeFill="background1"/>
        <w:jc w:val="left"/>
        <w:rPr>
          <w:highlight w:val="yellow"/>
        </w:rPr>
      </w:pPr>
    </w:p>
    <w:sectPr w:rsidR="00BA2A97" w:rsidRPr="005B5C2F" w:rsidSect="00BA2A97">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240AB" w14:textId="77777777" w:rsidR="00017236" w:rsidRDefault="00017236" w:rsidP="006655D3">
      <w:r>
        <w:separator/>
      </w:r>
    </w:p>
    <w:p w14:paraId="2BC7C9B2" w14:textId="77777777" w:rsidR="00017236" w:rsidRDefault="00017236" w:rsidP="006655D3"/>
    <w:p w14:paraId="2A9188E2" w14:textId="77777777" w:rsidR="00017236" w:rsidRDefault="00017236" w:rsidP="006655D3"/>
  </w:endnote>
  <w:endnote w:type="continuationSeparator" w:id="0">
    <w:p w14:paraId="3CB7D7FC" w14:textId="77777777" w:rsidR="00017236" w:rsidRDefault="00017236" w:rsidP="006655D3">
      <w:r>
        <w:separator/>
      </w:r>
    </w:p>
    <w:p w14:paraId="73E5C605" w14:textId="77777777" w:rsidR="00107C90" w:rsidRDefault="003927B3">
      <w:pPr>
        <w:pStyle w:val="Footer"/>
        <w:spacing w:after="60"/>
        <w:rPr>
          <w:sz w:val="17"/>
          <w:lang w:val="fr-FR"/>
        </w:rPr>
      </w:pPr>
      <w:r w:rsidRPr="00294751">
        <w:rPr>
          <w:sz w:val="17"/>
          <w:lang w:val="fr-FR"/>
        </w:rPr>
        <w:t>[Suite de la note de la page précédente]</w:t>
      </w:r>
    </w:p>
    <w:p w14:paraId="50EAA819" w14:textId="77777777" w:rsidR="00017236" w:rsidRPr="00294751" w:rsidRDefault="00017236" w:rsidP="006655D3">
      <w:pPr>
        <w:rPr>
          <w:lang w:val="fr-FR"/>
        </w:rPr>
      </w:pPr>
    </w:p>
    <w:p w14:paraId="553FB1B4" w14:textId="77777777" w:rsidR="00017236" w:rsidRPr="00294751" w:rsidRDefault="00017236" w:rsidP="006655D3">
      <w:pPr>
        <w:rPr>
          <w:lang w:val="fr-FR"/>
        </w:rPr>
      </w:pPr>
    </w:p>
  </w:endnote>
  <w:endnote w:type="continuationNotice" w:id="1">
    <w:p w14:paraId="6848C9AD" w14:textId="77777777" w:rsidR="00107C90" w:rsidRDefault="003927B3">
      <w:pPr>
        <w:rPr>
          <w:lang w:val="fr-FR"/>
        </w:rPr>
      </w:pPr>
      <w:r w:rsidRPr="00294751">
        <w:rPr>
          <w:lang w:val="fr-FR"/>
        </w:rPr>
        <w:t>[Suite de la note page suivante]</w:t>
      </w:r>
    </w:p>
    <w:p w14:paraId="4B6DEDA1" w14:textId="77777777" w:rsidR="00017236" w:rsidRPr="00294751" w:rsidRDefault="00017236" w:rsidP="006655D3">
      <w:pPr>
        <w:rPr>
          <w:lang w:val="fr-FR"/>
        </w:rPr>
      </w:pPr>
    </w:p>
    <w:p w14:paraId="53421606" w14:textId="77777777" w:rsidR="00017236" w:rsidRPr="00294751" w:rsidRDefault="000172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4681" w14:textId="77777777" w:rsidR="00017236" w:rsidRDefault="00017236" w:rsidP="006655D3">
      <w:r>
        <w:separator/>
      </w:r>
    </w:p>
  </w:footnote>
  <w:footnote w:type="continuationSeparator" w:id="0">
    <w:p w14:paraId="0AD3BCB0" w14:textId="77777777" w:rsidR="00017236" w:rsidRDefault="00017236" w:rsidP="006655D3">
      <w:r>
        <w:separator/>
      </w:r>
    </w:p>
  </w:footnote>
  <w:footnote w:type="continuationNotice" w:id="1">
    <w:p w14:paraId="58F7D087" w14:textId="77777777" w:rsidR="00017236" w:rsidRPr="00AB530F" w:rsidRDefault="00017236" w:rsidP="00AB530F">
      <w:pPr>
        <w:pStyle w:val="Footer"/>
      </w:pPr>
    </w:p>
  </w:footnote>
  <w:footnote w:id="2">
    <w:p w14:paraId="413812BA" w14:textId="77777777" w:rsidR="008B16C4" w:rsidRPr="00F7560F" w:rsidRDefault="008B16C4" w:rsidP="008B16C4">
      <w:pPr>
        <w:pStyle w:val="FootnoteText"/>
        <w:rPr>
          <w:lang w:val="es-ES_tradnl"/>
        </w:rPr>
      </w:pPr>
      <w:r w:rsidRPr="00F7560F">
        <w:rPr>
          <w:rStyle w:val="FootnoteReference"/>
          <w:lang w:val="es-ES_tradnl"/>
        </w:rPr>
        <w:footnoteRef/>
      </w:r>
      <w:r w:rsidRPr="00F7560F">
        <w:rPr>
          <w:lang w:val="es-ES_tradnl"/>
        </w:rPr>
        <w:tab/>
        <w:t xml:space="preserve">Fuente: </w:t>
      </w:r>
      <w:hyperlink r:id="rId1" w:history="1">
        <w:r w:rsidRPr="00F7560F">
          <w:rPr>
            <w:rStyle w:val="Hyperlink"/>
            <w:lang w:val="es-ES_tradnl"/>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A1E5" w14:textId="77777777" w:rsidR="00107C90" w:rsidRDefault="00EE228B">
    <w:pPr>
      <w:pStyle w:val="Header"/>
      <w:rPr>
        <w:rStyle w:val="PageNumber"/>
        <w:lang w:val="en-US"/>
      </w:rPr>
    </w:pPr>
    <w:r>
      <w:rPr>
        <w:rStyle w:val="PageNumber"/>
        <w:lang w:val="en-US"/>
      </w:rPr>
      <w:t>C/58/19</w:t>
    </w:r>
  </w:p>
  <w:p w14:paraId="6A88838A" w14:textId="77777777" w:rsidR="00107C90" w:rsidRDefault="003927B3">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122B2B90"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A3102" w14:textId="77777777" w:rsidR="00107C90" w:rsidRDefault="003927B3">
    <w:pPr>
      <w:pStyle w:val="Header"/>
      <w:rPr>
        <w:lang w:val="en-US"/>
      </w:rPr>
    </w:pPr>
    <w:r>
      <w:rPr>
        <w:rStyle w:val="PageNumber"/>
        <w:lang w:val="en-US"/>
      </w:rPr>
      <w:t>C/58/19</w:t>
    </w:r>
  </w:p>
  <w:p w14:paraId="3E870087" w14:textId="77777777" w:rsidR="00107C90" w:rsidRDefault="00014FAD">
    <w:pPr>
      <w:pStyle w:val="Header"/>
      <w:rPr>
        <w:lang w:val="en-US"/>
      </w:rPr>
    </w:pPr>
    <w:r>
      <w:rPr>
        <w:lang w:val="en-US"/>
      </w:rPr>
      <w:t xml:space="preserve">Anexo I, </w:t>
    </w:r>
    <w:r w:rsidR="003927B3" w:rsidRPr="00C5280D">
      <w:rPr>
        <w:lang w:val="en-US"/>
      </w:rPr>
      <w:t xml:space="preserve">página </w:t>
    </w:r>
    <w:r w:rsidR="003927B3" w:rsidRPr="00C5280D">
      <w:rPr>
        <w:rStyle w:val="PageNumber"/>
        <w:lang w:val="en-US"/>
      </w:rPr>
      <w:fldChar w:fldCharType="begin"/>
    </w:r>
    <w:r w:rsidR="003927B3" w:rsidRPr="00C5280D">
      <w:rPr>
        <w:rStyle w:val="PageNumber"/>
        <w:lang w:val="en-US"/>
      </w:rPr>
      <w:instrText xml:space="preserve"> PAGE </w:instrText>
    </w:r>
    <w:r w:rsidR="003927B3" w:rsidRPr="00C5280D">
      <w:rPr>
        <w:rStyle w:val="PageNumber"/>
        <w:lang w:val="en-US"/>
      </w:rPr>
      <w:fldChar w:fldCharType="separate"/>
    </w:r>
    <w:r w:rsidR="003927B3">
      <w:rPr>
        <w:rStyle w:val="PageNumber"/>
        <w:noProof/>
        <w:lang w:val="en-US"/>
      </w:rPr>
      <w:t>2</w:t>
    </w:r>
    <w:r w:rsidR="003927B3" w:rsidRPr="00C5280D">
      <w:rPr>
        <w:rStyle w:val="PageNumber"/>
        <w:lang w:val="en-US"/>
      </w:rPr>
      <w:fldChar w:fldCharType="end"/>
    </w:r>
  </w:p>
  <w:p w14:paraId="5C2C1CF9" w14:textId="77777777" w:rsidR="00D5126C" w:rsidRPr="00C5280D" w:rsidRDefault="00D5126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7883" w14:textId="77777777" w:rsidR="00107C90" w:rsidRDefault="003927B3">
    <w:pPr>
      <w:pStyle w:val="Header"/>
      <w:rPr>
        <w:rStyle w:val="PageNumber"/>
        <w:lang w:val="en-US"/>
      </w:rPr>
    </w:pPr>
    <w:r>
      <w:rPr>
        <w:rStyle w:val="PageNumber"/>
        <w:lang w:val="en-US"/>
      </w:rPr>
      <w:t>C/58/19</w:t>
    </w:r>
  </w:p>
  <w:p w14:paraId="45D209EA" w14:textId="77777777" w:rsidR="00E24E11" w:rsidRDefault="00E24E11" w:rsidP="00E24E11">
    <w:pPr>
      <w:jc w:val="center"/>
    </w:pPr>
  </w:p>
  <w:p w14:paraId="25D3250F" w14:textId="77777777" w:rsidR="00107C90" w:rsidRDefault="003927B3">
    <w:pPr>
      <w:jc w:val="center"/>
    </w:pPr>
    <w:r>
      <w:t>ANEXO I</w:t>
    </w:r>
  </w:p>
  <w:p w14:paraId="30417C21" w14:textId="77777777" w:rsidR="00E24E11" w:rsidRDefault="00E24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95A4" w14:textId="77777777" w:rsidR="00107C90" w:rsidRDefault="003927B3">
    <w:pPr>
      <w:pStyle w:val="Header"/>
      <w:rPr>
        <w:rStyle w:val="PageNumber"/>
        <w:lang w:val="en-US"/>
      </w:rPr>
    </w:pPr>
    <w:r>
      <w:rPr>
        <w:rStyle w:val="PageNumber"/>
        <w:lang w:val="en-US"/>
      </w:rPr>
      <w:t>C/58/19</w:t>
    </w:r>
  </w:p>
  <w:p w14:paraId="7F2588B8" w14:textId="77777777" w:rsidR="00E24E11" w:rsidRDefault="00E24E11" w:rsidP="00E24E11">
    <w:pPr>
      <w:jc w:val="center"/>
    </w:pPr>
  </w:p>
  <w:p w14:paraId="5DFAFA5F" w14:textId="77777777" w:rsidR="00107C90" w:rsidRDefault="003927B3">
    <w:pPr>
      <w:jc w:val="center"/>
    </w:pPr>
    <w:r>
      <w:t>ANEXO II</w:t>
    </w:r>
  </w:p>
  <w:p w14:paraId="0063EE59" w14:textId="77777777" w:rsidR="00E24E11" w:rsidRDefault="00E24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84CA" w14:textId="6DF148DA" w:rsidR="00107C90" w:rsidRDefault="003927B3">
    <w:pPr>
      <w:pStyle w:val="Header"/>
      <w:rPr>
        <w:rStyle w:val="PageNumber"/>
      </w:rPr>
    </w:pPr>
    <w:r w:rsidRPr="00BA2A97">
      <w:rPr>
        <w:rStyle w:val="PageNumber"/>
      </w:rPr>
      <w:t>C/58/19</w:t>
    </w:r>
  </w:p>
  <w:p w14:paraId="27AE33F3" w14:textId="77777777" w:rsidR="00107C90" w:rsidRDefault="003927B3">
    <w:pPr>
      <w:pStyle w:val="Header"/>
    </w:pPr>
    <w:r>
      <w:t xml:space="preserve">Anexo III, </w:t>
    </w:r>
    <w:r w:rsidR="00BA2A97" w:rsidRPr="00BA2A97">
      <w:t xml:space="preserve">página </w:t>
    </w:r>
    <w:r w:rsidR="00BA2A97" w:rsidRPr="00C5280D">
      <w:rPr>
        <w:rStyle w:val="PageNumber"/>
        <w:lang w:val="en-US"/>
      </w:rPr>
      <w:fldChar w:fldCharType="begin"/>
    </w:r>
    <w:r w:rsidR="00BA2A97" w:rsidRPr="00BA2A97">
      <w:rPr>
        <w:rStyle w:val="PageNumber"/>
      </w:rPr>
      <w:instrText xml:space="preserve"> PAGE </w:instrText>
    </w:r>
    <w:r w:rsidR="00BA2A97" w:rsidRPr="00C5280D">
      <w:rPr>
        <w:rStyle w:val="PageNumber"/>
        <w:lang w:val="en-US"/>
      </w:rPr>
      <w:fldChar w:fldCharType="separate"/>
    </w:r>
    <w:r w:rsidR="00BA2A97" w:rsidRPr="00BA2A97">
      <w:rPr>
        <w:rStyle w:val="PageNumber"/>
        <w:noProof/>
      </w:rPr>
      <w:t>2</w:t>
    </w:r>
    <w:r w:rsidR="00BA2A97" w:rsidRPr="00C5280D">
      <w:rPr>
        <w:rStyle w:val="PageNumber"/>
        <w:lang w:val="en-US"/>
      </w:rPr>
      <w:fldChar w:fldCharType="end"/>
    </w:r>
  </w:p>
  <w:p w14:paraId="610BB2FD" w14:textId="77777777" w:rsidR="00BA2A97" w:rsidRPr="00BA2A97" w:rsidRDefault="00BA2A97"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FCA3" w14:textId="77777777" w:rsidR="00107C90" w:rsidRDefault="003927B3">
    <w:pPr>
      <w:pStyle w:val="Header"/>
      <w:rPr>
        <w:rStyle w:val="PageNumber"/>
        <w:lang w:val="en-US"/>
      </w:rPr>
    </w:pPr>
    <w:r>
      <w:rPr>
        <w:rStyle w:val="PageNumber"/>
        <w:lang w:val="en-US"/>
      </w:rPr>
      <w:t>C/58/19</w:t>
    </w:r>
  </w:p>
  <w:p w14:paraId="1DD4C1E6" w14:textId="77777777" w:rsidR="00BA2A97" w:rsidRDefault="00BA2A97" w:rsidP="00E24E11">
    <w:pPr>
      <w:jc w:val="center"/>
    </w:pPr>
  </w:p>
  <w:p w14:paraId="061F4F61" w14:textId="77777777" w:rsidR="00107C90" w:rsidRDefault="003927B3">
    <w:pPr>
      <w:jc w:val="center"/>
    </w:pPr>
    <w:r>
      <w:t>ANEXO III</w:t>
    </w:r>
  </w:p>
  <w:p w14:paraId="7A34DFE7" w14:textId="77777777" w:rsidR="00BA2A97" w:rsidRDefault="00BA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A5AF5"/>
    <w:multiLevelType w:val="hybridMultilevel"/>
    <w:tmpl w:val="70A03A7C"/>
    <w:lvl w:ilvl="0" w:tplc="692429B0">
      <w:start w:val="1"/>
      <w:numFmt w:val="lowerLetter"/>
      <w:lvlText w:val="(%1)"/>
      <w:lvlJc w:val="left"/>
      <w:pPr>
        <w:ind w:left="1287" w:hanging="360"/>
      </w:pPr>
      <w:rPr>
        <w:rFonts w:hint="default"/>
        <w:sz w:val="19"/>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C59C7"/>
    <w:multiLevelType w:val="hybridMultilevel"/>
    <w:tmpl w:val="F634CE64"/>
    <w:lvl w:ilvl="0" w:tplc="43F6BC3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 w15:restartNumberingAfterBreak="0">
    <w:nsid w:val="40EB36A7"/>
    <w:multiLevelType w:val="hybridMultilevel"/>
    <w:tmpl w:val="BF22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04D1A"/>
    <w:multiLevelType w:val="hybridMultilevel"/>
    <w:tmpl w:val="618C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41CD"/>
    <w:multiLevelType w:val="hybridMultilevel"/>
    <w:tmpl w:val="F634CE64"/>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 w15:restartNumberingAfterBreak="0">
    <w:nsid w:val="69A24B75"/>
    <w:multiLevelType w:val="hybridMultilevel"/>
    <w:tmpl w:val="96D27190"/>
    <w:lvl w:ilvl="0" w:tplc="A5961838">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8" w15:restartNumberingAfterBreak="0">
    <w:nsid w:val="71CA2738"/>
    <w:multiLevelType w:val="hybridMultilevel"/>
    <w:tmpl w:val="8912F1FA"/>
    <w:lvl w:ilvl="0" w:tplc="506E0508">
      <w:start w:val="1"/>
      <w:numFmt w:val="lowerLetter"/>
      <w:lvlText w:val="(%1)"/>
      <w:lvlJc w:val="left"/>
      <w:pPr>
        <w:ind w:left="720" w:hanging="360"/>
      </w:pPr>
      <w:rPr>
        <w:rFonts w:hint="default"/>
      </w:rPr>
    </w:lvl>
    <w:lvl w:ilvl="1" w:tplc="96944B26">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619771">
    <w:abstractNumId w:val="2"/>
  </w:num>
  <w:num w:numId="2" w16cid:durableId="1488980497">
    <w:abstractNumId w:val="4"/>
  </w:num>
  <w:num w:numId="3" w16cid:durableId="726880485">
    <w:abstractNumId w:val="1"/>
  </w:num>
  <w:num w:numId="4" w16cid:durableId="852576554">
    <w:abstractNumId w:val="3"/>
  </w:num>
  <w:num w:numId="5" w16cid:durableId="569190366">
    <w:abstractNumId w:val="6"/>
  </w:num>
  <w:num w:numId="6" w16cid:durableId="702480942">
    <w:abstractNumId w:val="7"/>
  </w:num>
  <w:num w:numId="7" w16cid:durableId="370692476">
    <w:abstractNumId w:val="5"/>
  </w:num>
  <w:num w:numId="8" w16cid:durableId="2023118997">
    <w:abstractNumId w:val="0"/>
  </w:num>
  <w:num w:numId="9" w16cid:durableId="840118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6"/>
    <w:rsid w:val="00001A85"/>
    <w:rsid w:val="000101B3"/>
    <w:rsid w:val="0001040D"/>
    <w:rsid w:val="00010C73"/>
    <w:rsid w:val="00010CF3"/>
    <w:rsid w:val="000116A4"/>
    <w:rsid w:val="00011E27"/>
    <w:rsid w:val="000148BC"/>
    <w:rsid w:val="00014FAD"/>
    <w:rsid w:val="00017236"/>
    <w:rsid w:val="00024AB8"/>
    <w:rsid w:val="00025086"/>
    <w:rsid w:val="00026ACC"/>
    <w:rsid w:val="00030854"/>
    <w:rsid w:val="00035D99"/>
    <w:rsid w:val="00036028"/>
    <w:rsid w:val="00036ACB"/>
    <w:rsid w:val="00036B47"/>
    <w:rsid w:val="00044642"/>
    <w:rsid w:val="000446B9"/>
    <w:rsid w:val="0004552A"/>
    <w:rsid w:val="00047E21"/>
    <w:rsid w:val="00050E16"/>
    <w:rsid w:val="00064F21"/>
    <w:rsid w:val="00065A9A"/>
    <w:rsid w:val="000742FF"/>
    <w:rsid w:val="00085505"/>
    <w:rsid w:val="00095B85"/>
    <w:rsid w:val="00096D01"/>
    <w:rsid w:val="000A05D9"/>
    <w:rsid w:val="000A1ABA"/>
    <w:rsid w:val="000A7975"/>
    <w:rsid w:val="000B5208"/>
    <w:rsid w:val="000C4E25"/>
    <w:rsid w:val="000C7021"/>
    <w:rsid w:val="000D6BBC"/>
    <w:rsid w:val="000D7780"/>
    <w:rsid w:val="000E636A"/>
    <w:rsid w:val="000F2F11"/>
    <w:rsid w:val="000F3B3A"/>
    <w:rsid w:val="000F3FE4"/>
    <w:rsid w:val="000F7357"/>
    <w:rsid w:val="0010558F"/>
    <w:rsid w:val="00105929"/>
    <w:rsid w:val="00107C90"/>
    <w:rsid w:val="00110C36"/>
    <w:rsid w:val="001131D5"/>
    <w:rsid w:val="00130E3F"/>
    <w:rsid w:val="00141DB8"/>
    <w:rsid w:val="001427FD"/>
    <w:rsid w:val="001520F2"/>
    <w:rsid w:val="00154B54"/>
    <w:rsid w:val="00165A93"/>
    <w:rsid w:val="00172084"/>
    <w:rsid w:val="0017474A"/>
    <w:rsid w:val="001758C6"/>
    <w:rsid w:val="00182B99"/>
    <w:rsid w:val="00195823"/>
    <w:rsid w:val="001C1525"/>
    <w:rsid w:val="001E0010"/>
    <w:rsid w:val="001F0AD5"/>
    <w:rsid w:val="0020304B"/>
    <w:rsid w:val="0021332C"/>
    <w:rsid w:val="00213982"/>
    <w:rsid w:val="00214C72"/>
    <w:rsid w:val="0021785C"/>
    <w:rsid w:val="0023431C"/>
    <w:rsid w:val="0024416D"/>
    <w:rsid w:val="00253D61"/>
    <w:rsid w:val="00256BFA"/>
    <w:rsid w:val="00265DD4"/>
    <w:rsid w:val="00271911"/>
    <w:rsid w:val="00272A37"/>
    <w:rsid w:val="002800A0"/>
    <w:rsid w:val="002801B3"/>
    <w:rsid w:val="00281060"/>
    <w:rsid w:val="002940E8"/>
    <w:rsid w:val="00294751"/>
    <w:rsid w:val="00294967"/>
    <w:rsid w:val="002A61AD"/>
    <w:rsid w:val="002A6E50"/>
    <w:rsid w:val="002B4298"/>
    <w:rsid w:val="002C256A"/>
    <w:rsid w:val="002C6455"/>
    <w:rsid w:val="002D02AB"/>
    <w:rsid w:val="002D046A"/>
    <w:rsid w:val="002E492C"/>
    <w:rsid w:val="002E6A83"/>
    <w:rsid w:val="00305A7F"/>
    <w:rsid w:val="0031083C"/>
    <w:rsid w:val="003152FE"/>
    <w:rsid w:val="00316BEB"/>
    <w:rsid w:val="0032138B"/>
    <w:rsid w:val="00327436"/>
    <w:rsid w:val="00340DBF"/>
    <w:rsid w:val="0034185F"/>
    <w:rsid w:val="00344BD6"/>
    <w:rsid w:val="0035528D"/>
    <w:rsid w:val="00361821"/>
    <w:rsid w:val="00361E9E"/>
    <w:rsid w:val="00366D37"/>
    <w:rsid w:val="0037457C"/>
    <w:rsid w:val="00386737"/>
    <w:rsid w:val="003927B3"/>
    <w:rsid w:val="0039633A"/>
    <w:rsid w:val="00396CB6"/>
    <w:rsid w:val="003A2700"/>
    <w:rsid w:val="003B2C7F"/>
    <w:rsid w:val="003C7CE7"/>
    <w:rsid w:val="003C7FBE"/>
    <w:rsid w:val="003D227C"/>
    <w:rsid w:val="003D2B4D"/>
    <w:rsid w:val="003E14E4"/>
    <w:rsid w:val="003F4596"/>
    <w:rsid w:val="003F5F2B"/>
    <w:rsid w:val="003F6007"/>
    <w:rsid w:val="003F7E4E"/>
    <w:rsid w:val="00432FDF"/>
    <w:rsid w:val="00437A0A"/>
    <w:rsid w:val="00444A88"/>
    <w:rsid w:val="00474DA4"/>
    <w:rsid w:val="00475E9F"/>
    <w:rsid w:val="00476B4D"/>
    <w:rsid w:val="004805FA"/>
    <w:rsid w:val="00484F94"/>
    <w:rsid w:val="00484FB5"/>
    <w:rsid w:val="004874F2"/>
    <w:rsid w:val="004935D2"/>
    <w:rsid w:val="004A41F8"/>
    <w:rsid w:val="004B072E"/>
    <w:rsid w:val="004B1215"/>
    <w:rsid w:val="004B16DA"/>
    <w:rsid w:val="004B5855"/>
    <w:rsid w:val="004D047D"/>
    <w:rsid w:val="004F1E9E"/>
    <w:rsid w:val="004F305A"/>
    <w:rsid w:val="00503BDD"/>
    <w:rsid w:val="0050523F"/>
    <w:rsid w:val="00512164"/>
    <w:rsid w:val="0051361E"/>
    <w:rsid w:val="00520297"/>
    <w:rsid w:val="00524D44"/>
    <w:rsid w:val="005338F9"/>
    <w:rsid w:val="005349AE"/>
    <w:rsid w:val="00534D28"/>
    <w:rsid w:val="00535D95"/>
    <w:rsid w:val="00536BCA"/>
    <w:rsid w:val="0054281C"/>
    <w:rsid w:val="00544581"/>
    <w:rsid w:val="0055268D"/>
    <w:rsid w:val="00552D6D"/>
    <w:rsid w:val="0056153E"/>
    <w:rsid w:val="005673A4"/>
    <w:rsid w:val="005679C2"/>
    <w:rsid w:val="00576BE4"/>
    <w:rsid w:val="005771A6"/>
    <w:rsid w:val="00587833"/>
    <w:rsid w:val="00595C98"/>
    <w:rsid w:val="005A400A"/>
    <w:rsid w:val="005B39D5"/>
    <w:rsid w:val="005B4EA7"/>
    <w:rsid w:val="005B5C2F"/>
    <w:rsid w:val="005B5C45"/>
    <w:rsid w:val="005B7A61"/>
    <w:rsid w:val="005C74FC"/>
    <w:rsid w:val="005E7D2A"/>
    <w:rsid w:val="005F130C"/>
    <w:rsid w:val="005F76C3"/>
    <w:rsid w:val="005F7B92"/>
    <w:rsid w:val="00610753"/>
    <w:rsid w:val="00612379"/>
    <w:rsid w:val="006153B6"/>
    <w:rsid w:val="0061555F"/>
    <w:rsid w:val="00617D00"/>
    <w:rsid w:val="00635EF7"/>
    <w:rsid w:val="00636CA6"/>
    <w:rsid w:val="00641200"/>
    <w:rsid w:val="00645CA8"/>
    <w:rsid w:val="006655D3"/>
    <w:rsid w:val="00667404"/>
    <w:rsid w:val="006756C7"/>
    <w:rsid w:val="00680F7E"/>
    <w:rsid w:val="00687EB4"/>
    <w:rsid w:val="00695C56"/>
    <w:rsid w:val="006A5CDE"/>
    <w:rsid w:val="006A644A"/>
    <w:rsid w:val="006B17D2"/>
    <w:rsid w:val="006C224E"/>
    <w:rsid w:val="006C76C1"/>
    <w:rsid w:val="006D780A"/>
    <w:rsid w:val="006E047C"/>
    <w:rsid w:val="006E0CA4"/>
    <w:rsid w:val="006E2AFD"/>
    <w:rsid w:val="006E6755"/>
    <w:rsid w:val="0071271E"/>
    <w:rsid w:val="00715461"/>
    <w:rsid w:val="00730F86"/>
    <w:rsid w:val="00732DEC"/>
    <w:rsid w:val="00735BD5"/>
    <w:rsid w:val="007451EC"/>
    <w:rsid w:val="00751613"/>
    <w:rsid w:val="007556F6"/>
    <w:rsid w:val="00757B2A"/>
    <w:rsid w:val="00760EEF"/>
    <w:rsid w:val="00761BC5"/>
    <w:rsid w:val="007678E3"/>
    <w:rsid w:val="00774D04"/>
    <w:rsid w:val="00775666"/>
    <w:rsid w:val="00777EE5"/>
    <w:rsid w:val="00777F8A"/>
    <w:rsid w:val="00782255"/>
    <w:rsid w:val="00784836"/>
    <w:rsid w:val="0079023E"/>
    <w:rsid w:val="0079461D"/>
    <w:rsid w:val="007A2854"/>
    <w:rsid w:val="007A5D9D"/>
    <w:rsid w:val="007A764B"/>
    <w:rsid w:val="007C1D92"/>
    <w:rsid w:val="007C3C19"/>
    <w:rsid w:val="007C4CB9"/>
    <w:rsid w:val="007D0B9D"/>
    <w:rsid w:val="007D19B0"/>
    <w:rsid w:val="007D4635"/>
    <w:rsid w:val="007F41B2"/>
    <w:rsid w:val="007F498F"/>
    <w:rsid w:val="0080679D"/>
    <w:rsid w:val="00807CFA"/>
    <w:rsid w:val="008108B0"/>
    <w:rsid w:val="00811B20"/>
    <w:rsid w:val="0081482F"/>
    <w:rsid w:val="00815A58"/>
    <w:rsid w:val="008211B5"/>
    <w:rsid w:val="0082296E"/>
    <w:rsid w:val="00824099"/>
    <w:rsid w:val="00827B2A"/>
    <w:rsid w:val="0083359E"/>
    <w:rsid w:val="00837CEA"/>
    <w:rsid w:val="00846D7C"/>
    <w:rsid w:val="00856704"/>
    <w:rsid w:val="00867AC1"/>
    <w:rsid w:val="00875367"/>
    <w:rsid w:val="0088193C"/>
    <w:rsid w:val="00882BEC"/>
    <w:rsid w:val="00890DF8"/>
    <w:rsid w:val="00892F18"/>
    <w:rsid w:val="0089795E"/>
    <w:rsid w:val="008A3E55"/>
    <w:rsid w:val="008A4432"/>
    <w:rsid w:val="008A743F"/>
    <w:rsid w:val="008B16C4"/>
    <w:rsid w:val="008C0970"/>
    <w:rsid w:val="008C7EEB"/>
    <w:rsid w:val="008D0BC5"/>
    <w:rsid w:val="008D2CF7"/>
    <w:rsid w:val="008F29D6"/>
    <w:rsid w:val="00900C26"/>
    <w:rsid w:val="0090197F"/>
    <w:rsid w:val="009027C7"/>
    <w:rsid w:val="00903264"/>
    <w:rsid w:val="0090403B"/>
    <w:rsid w:val="00906DDC"/>
    <w:rsid w:val="009328F6"/>
    <w:rsid w:val="00934A3E"/>
    <w:rsid w:val="00934E09"/>
    <w:rsid w:val="00936253"/>
    <w:rsid w:val="00940D46"/>
    <w:rsid w:val="009466EE"/>
    <w:rsid w:val="00951E5D"/>
    <w:rsid w:val="00952DD4"/>
    <w:rsid w:val="00954675"/>
    <w:rsid w:val="009631D8"/>
    <w:rsid w:val="00965AE7"/>
    <w:rsid w:val="00970FED"/>
    <w:rsid w:val="00972D87"/>
    <w:rsid w:val="00987447"/>
    <w:rsid w:val="00992D82"/>
    <w:rsid w:val="00994205"/>
    <w:rsid w:val="00997029"/>
    <w:rsid w:val="009A145B"/>
    <w:rsid w:val="009A7339"/>
    <w:rsid w:val="009B2A83"/>
    <w:rsid w:val="009B440E"/>
    <w:rsid w:val="009C4035"/>
    <w:rsid w:val="009D52D3"/>
    <w:rsid w:val="009D690D"/>
    <w:rsid w:val="009D7088"/>
    <w:rsid w:val="009E65B6"/>
    <w:rsid w:val="009F77CF"/>
    <w:rsid w:val="00A13137"/>
    <w:rsid w:val="00A15716"/>
    <w:rsid w:val="00A24C10"/>
    <w:rsid w:val="00A3365A"/>
    <w:rsid w:val="00A341CE"/>
    <w:rsid w:val="00A4006B"/>
    <w:rsid w:val="00A42AC3"/>
    <w:rsid w:val="00A430CF"/>
    <w:rsid w:val="00A54309"/>
    <w:rsid w:val="00A613DB"/>
    <w:rsid w:val="00A74B12"/>
    <w:rsid w:val="00A75F85"/>
    <w:rsid w:val="00A861EB"/>
    <w:rsid w:val="00A87FCC"/>
    <w:rsid w:val="00A90792"/>
    <w:rsid w:val="00AA1122"/>
    <w:rsid w:val="00AA3D1E"/>
    <w:rsid w:val="00AB2B93"/>
    <w:rsid w:val="00AB530F"/>
    <w:rsid w:val="00AB5AD7"/>
    <w:rsid w:val="00AB7E5B"/>
    <w:rsid w:val="00AC2883"/>
    <w:rsid w:val="00AC3C31"/>
    <w:rsid w:val="00AE0EF1"/>
    <w:rsid w:val="00AE2937"/>
    <w:rsid w:val="00AE3BB6"/>
    <w:rsid w:val="00AF3DE0"/>
    <w:rsid w:val="00B07301"/>
    <w:rsid w:val="00B113EE"/>
    <w:rsid w:val="00B11F3E"/>
    <w:rsid w:val="00B224DE"/>
    <w:rsid w:val="00B324D4"/>
    <w:rsid w:val="00B46575"/>
    <w:rsid w:val="00B61777"/>
    <w:rsid w:val="00B706E0"/>
    <w:rsid w:val="00B7198B"/>
    <w:rsid w:val="00B73C9E"/>
    <w:rsid w:val="00B80C06"/>
    <w:rsid w:val="00B84BBD"/>
    <w:rsid w:val="00B95CDD"/>
    <w:rsid w:val="00B9669A"/>
    <w:rsid w:val="00BA0EB9"/>
    <w:rsid w:val="00BA2A97"/>
    <w:rsid w:val="00BA43FB"/>
    <w:rsid w:val="00BB63E8"/>
    <w:rsid w:val="00BC127D"/>
    <w:rsid w:val="00BC1FE6"/>
    <w:rsid w:val="00BD5DEB"/>
    <w:rsid w:val="00C0361E"/>
    <w:rsid w:val="00C03B0E"/>
    <w:rsid w:val="00C061B6"/>
    <w:rsid w:val="00C064D0"/>
    <w:rsid w:val="00C2446C"/>
    <w:rsid w:val="00C30885"/>
    <w:rsid w:val="00C3478A"/>
    <w:rsid w:val="00C34C2D"/>
    <w:rsid w:val="00C36AE5"/>
    <w:rsid w:val="00C41F17"/>
    <w:rsid w:val="00C47270"/>
    <w:rsid w:val="00C527FA"/>
    <w:rsid w:val="00C5280D"/>
    <w:rsid w:val="00C53EB3"/>
    <w:rsid w:val="00C5791C"/>
    <w:rsid w:val="00C66290"/>
    <w:rsid w:val="00C72B7A"/>
    <w:rsid w:val="00C973F2"/>
    <w:rsid w:val="00CA304C"/>
    <w:rsid w:val="00CA774A"/>
    <w:rsid w:val="00CC11B0"/>
    <w:rsid w:val="00CC2841"/>
    <w:rsid w:val="00CD755C"/>
    <w:rsid w:val="00CF1330"/>
    <w:rsid w:val="00CF7E36"/>
    <w:rsid w:val="00D05AAD"/>
    <w:rsid w:val="00D13C52"/>
    <w:rsid w:val="00D30455"/>
    <w:rsid w:val="00D311B6"/>
    <w:rsid w:val="00D3708D"/>
    <w:rsid w:val="00D40426"/>
    <w:rsid w:val="00D45BE7"/>
    <w:rsid w:val="00D5126C"/>
    <w:rsid w:val="00D5680F"/>
    <w:rsid w:val="00D57133"/>
    <w:rsid w:val="00D57C96"/>
    <w:rsid w:val="00D57D18"/>
    <w:rsid w:val="00D60B0E"/>
    <w:rsid w:val="00D62418"/>
    <w:rsid w:val="00D72E3E"/>
    <w:rsid w:val="00D91203"/>
    <w:rsid w:val="00D95174"/>
    <w:rsid w:val="00DA40C4"/>
    <w:rsid w:val="00DA4973"/>
    <w:rsid w:val="00DA6F36"/>
    <w:rsid w:val="00DB11ED"/>
    <w:rsid w:val="00DB323D"/>
    <w:rsid w:val="00DB596E"/>
    <w:rsid w:val="00DB747D"/>
    <w:rsid w:val="00DB7773"/>
    <w:rsid w:val="00DC00EA"/>
    <w:rsid w:val="00DC3802"/>
    <w:rsid w:val="00DD4B25"/>
    <w:rsid w:val="00DE58F8"/>
    <w:rsid w:val="00DE7737"/>
    <w:rsid w:val="00E03FCB"/>
    <w:rsid w:val="00E07D87"/>
    <w:rsid w:val="00E15503"/>
    <w:rsid w:val="00E16E17"/>
    <w:rsid w:val="00E24E11"/>
    <w:rsid w:val="00E26BDA"/>
    <w:rsid w:val="00E3041B"/>
    <w:rsid w:val="00E32F7E"/>
    <w:rsid w:val="00E364BF"/>
    <w:rsid w:val="00E5267B"/>
    <w:rsid w:val="00E63C0E"/>
    <w:rsid w:val="00E727BB"/>
    <w:rsid w:val="00E72D49"/>
    <w:rsid w:val="00E7593C"/>
    <w:rsid w:val="00E75A3F"/>
    <w:rsid w:val="00E7678A"/>
    <w:rsid w:val="00E77B01"/>
    <w:rsid w:val="00E82CBD"/>
    <w:rsid w:val="00E86FF6"/>
    <w:rsid w:val="00E925E2"/>
    <w:rsid w:val="00E935F1"/>
    <w:rsid w:val="00E948F9"/>
    <w:rsid w:val="00E94A81"/>
    <w:rsid w:val="00E96DDA"/>
    <w:rsid w:val="00EA1FFB"/>
    <w:rsid w:val="00EA20E7"/>
    <w:rsid w:val="00EA3576"/>
    <w:rsid w:val="00EA4464"/>
    <w:rsid w:val="00EA68AE"/>
    <w:rsid w:val="00EB048E"/>
    <w:rsid w:val="00EB4E9C"/>
    <w:rsid w:val="00EC1F14"/>
    <w:rsid w:val="00ED1E19"/>
    <w:rsid w:val="00ED4BE5"/>
    <w:rsid w:val="00EE228B"/>
    <w:rsid w:val="00EE28B9"/>
    <w:rsid w:val="00EE34DF"/>
    <w:rsid w:val="00EE7551"/>
    <w:rsid w:val="00EE7CC7"/>
    <w:rsid w:val="00EF1CA3"/>
    <w:rsid w:val="00EF2F89"/>
    <w:rsid w:val="00EF2FD9"/>
    <w:rsid w:val="00F03E98"/>
    <w:rsid w:val="00F1237A"/>
    <w:rsid w:val="00F12494"/>
    <w:rsid w:val="00F22CBD"/>
    <w:rsid w:val="00F240E2"/>
    <w:rsid w:val="00F27242"/>
    <w:rsid w:val="00F272F1"/>
    <w:rsid w:val="00F45372"/>
    <w:rsid w:val="00F472B9"/>
    <w:rsid w:val="00F560F7"/>
    <w:rsid w:val="00F6334D"/>
    <w:rsid w:val="00F63599"/>
    <w:rsid w:val="00F63BA5"/>
    <w:rsid w:val="00F702D6"/>
    <w:rsid w:val="00F733F1"/>
    <w:rsid w:val="00F860B1"/>
    <w:rsid w:val="00F931A6"/>
    <w:rsid w:val="00FA49AB"/>
    <w:rsid w:val="00FB4867"/>
    <w:rsid w:val="00FB6AB5"/>
    <w:rsid w:val="00FD78A0"/>
    <w:rsid w:val="00FE39C7"/>
    <w:rsid w:val="00FF186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C97E6"/>
  <w15:docId w15:val="{82D39641-7B75-410F-9EF7-6AAF079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C2F"/>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A74B12"/>
    <w:pPr>
      <w:keepNext/>
      <w:tabs>
        <w:tab w:val="left" w:pos="284"/>
        <w:tab w:val="left" w:pos="4253"/>
      </w:tabs>
      <w:spacing w:after="120"/>
      <w:ind w:left="284"/>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1427FD"/>
    <w:pPr>
      <w:keepNext/>
      <w:shd w:val="clear" w:color="auto" w:fill="FFFFFF" w:themeFill="background1"/>
      <w:ind w:left="567"/>
      <w:jc w:val="both"/>
      <w:outlineLvl w:val="3"/>
    </w:pPr>
    <w:rPr>
      <w:rFonts w:ascii="Arial" w:hAnsi="Arial"/>
      <w:spacing w:val="-2"/>
      <w:u w:val="single"/>
      <w:lang w:val="es-ES_tradnl"/>
    </w:rPr>
  </w:style>
  <w:style w:type="paragraph" w:styleId="Heading5">
    <w:name w:val="heading 5"/>
    <w:next w:val="Normal"/>
    <w:autoRedefine/>
    <w:qFormat/>
    <w:rsid w:val="00680F7E"/>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9"/>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5"/>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2"/>
    </w:rPr>
  </w:style>
  <w:style w:type="paragraph" w:styleId="Index2">
    <w:name w:val="index 2"/>
    <w:basedOn w:val="Normal"/>
    <w:next w:val="Normal"/>
    <w:semiHidden/>
    <w:rsid w:val="00D3708D"/>
    <w:pPr>
      <w:tabs>
        <w:tab w:val="right" w:leader="dot" w:pos="9071"/>
      </w:tabs>
      <w:ind w:left="568" w:hanging="284"/>
    </w:pPr>
    <w:rPr>
      <w:sz w:val="22"/>
    </w:rPr>
  </w:style>
  <w:style w:type="paragraph" w:styleId="Index3">
    <w:name w:val="index 3"/>
    <w:basedOn w:val="Normal"/>
    <w:next w:val="Normal"/>
    <w:semiHidden/>
    <w:rsid w:val="00D3708D"/>
    <w:pPr>
      <w:tabs>
        <w:tab w:val="right" w:leader="dot" w:pos="9071"/>
      </w:tabs>
      <w:ind w:left="851" w:hanging="284"/>
    </w:pPr>
    <w:rPr>
      <w:sz w:val="22"/>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9"/>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2"/>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9"/>
    </w:rPr>
  </w:style>
  <w:style w:type="paragraph" w:customStyle="1" w:styleId="TitreUpov">
    <w:name w:val="TitreUpov"/>
    <w:basedOn w:val="Normal"/>
    <w:semiHidden/>
    <w:rsid w:val="00D3708D"/>
    <w:pPr>
      <w:spacing w:before="60"/>
      <w:jc w:val="center"/>
    </w:pPr>
    <w:rPr>
      <w:b/>
      <w:sz w:val="22"/>
    </w:rPr>
  </w:style>
  <w:style w:type="paragraph" w:customStyle="1" w:styleId="StyleSessionAllcaps">
    <w:name w:val="Style Session + All caps"/>
    <w:basedOn w:val="Session"/>
    <w:semiHidden/>
    <w:rsid w:val="00D3708D"/>
    <w:pPr>
      <w:spacing w:before="480"/>
    </w:pPr>
    <w:rPr>
      <w:bCs/>
      <w:caps/>
      <w:kern w:val="28"/>
      <w:sz w:val="22"/>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9"/>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character" w:customStyle="1" w:styleId="FootnoteTextChar">
    <w:name w:val="Footnote Text Char"/>
    <w:basedOn w:val="DefaultParagraphFont"/>
    <w:link w:val="FootnoteText"/>
    <w:rsid w:val="00D45BE7"/>
    <w:rPr>
      <w:rFonts w:ascii="Arial" w:hAnsi="Arial"/>
      <w:sz w:val="15"/>
    </w:rPr>
  </w:style>
  <w:style w:type="paragraph" w:styleId="ListParagraph">
    <w:name w:val="List Paragraph"/>
    <w:aliases w:val="auto_list_(i),List Paragraph1"/>
    <w:basedOn w:val="Normal"/>
    <w:link w:val="ListParagraphChar"/>
    <w:uiPriority w:val="34"/>
    <w:qFormat/>
    <w:rsid w:val="00D45BE7"/>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45BE7"/>
    <w:rPr>
      <w:rFonts w:ascii="Arial" w:hAnsi="Arial"/>
    </w:rPr>
  </w:style>
  <w:style w:type="character" w:customStyle="1" w:styleId="Heading2Char">
    <w:name w:val="Heading 2 Char"/>
    <w:aliases w:val="VARIETY Char,variety Char"/>
    <w:basedOn w:val="DefaultParagraphFont"/>
    <w:link w:val="Heading2"/>
    <w:uiPriority w:val="9"/>
    <w:rsid w:val="00A74B12"/>
    <w:rPr>
      <w:rFonts w:ascii="Arial" w:hAnsi="Arial"/>
      <w:u w:val="single"/>
    </w:rPr>
  </w:style>
  <w:style w:type="character" w:customStyle="1" w:styleId="DecisionParagraphsChar">
    <w:name w:val="DecisionParagraphs Char"/>
    <w:basedOn w:val="DefaultParagraphFont"/>
    <w:link w:val="DecisionParagraphs"/>
    <w:rsid w:val="00DE58F8"/>
    <w:rPr>
      <w:rFonts w:ascii="Arial" w:hAnsi="Arial"/>
      <w:i/>
    </w:rPr>
  </w:style>
  <w:style w:type="character" w:styleId="SubtleEmphasis">
    <w:name w:val="Subtle Emphasis"/>
    <w:basedOn w:val="DefaultParagraphFont"/>
    <w:uiPriority w:val="19"/>
    <w:qFormat/>
    <w:rsid w:val="00DE58F8"/>
    <w:rPr>
      <w:color w:val="404040" w:themeColor="text1" w:themeTint="BF"/>
    </w:rPr>
  </w:style>
  <w:style w:type="character" w:customStyle="1" w:styleId="Heading1Char">
    <w:name w:val="Heading 1 Char"/>
    <w:basedOn w:val="DefaultParagraphFont"/>
    <w:link w:val="Heading1"/>
    <w:rsid w:val="00ED4BE5"/>
    <w:rPr>
      <w:rFonts w:ascii="Arial" w:hAnsi="Arial"/>
      <w:caps/>
    </w:rPr>
  </w:style>
  <w:style w:type="paragraph" w:styleId="Revision">
    <w:name w:val="Revision"/>
    <w:hidden/>
    <w:uiPriority w:val="99"/>
    <w:semiHidden/>
    <w:rsid w:val="00ED1E19"/>
    <w:rPr>
      <w:rFonts w:ascii="Arial" w:hAnsi="Arial"/>
    </w:rPr>
  </w:style>
  <w:style w:type="paragraph" w:customStyle="1" w:styleId="BasistekstNaktuinbouw">
    <w:name w:val="Basistekst Naktuinbouw"/>
    <w:basedOn w:val="Normal"/>
    <w:qFormat/>
    <w:rsid w:val="00035D99"/>
    <w:pPr>
      <w:spacing w:line="240" w:lineRule="atLeast"/>
      <w:jc w:val="left"/>
    </w:pPr>
    <w:rPr>
      <w:rFonts w:cs="Maiandra GD"/>
      <w:color w:val="000000" w:themeColor="text1"/>
      <w:szCs w:val="17"/>
      <w:lang w:val="nl-NL" w:eastAsia="nl-NL"/>
    </w:rPr>
  </w:style>
  <w:style w:type="character" w:styleId="UnresolvedMention">
    <w:name w:val="Unresolved Mention"/>
    <w:basedOn w:val="DefaultParagraphFont"/>
    <w:uiPriority w:val="99"/>
    <w:semiHidden/>
    <w:unhideWhenUsed/>
    <w:rsid w:val="003F7E4E"/>
    <w:rPr>
      <w:color w:val="605E5C"/>
      <w:shd w:val="clear" w:color="auto" w:fill="E1DFDD"/>
    </w:rPr>
  </w:style>
  <w:style w:type="character" w:styleId="FollowedHyperlink">
    <w:name w:val="FollowedHyperlink"/>
    <w:basedOn w:val="DefaultParagraphFont"/>
    <w:semiHidden/>
    <w:unhideWhenUsed/>
    <w:rsid w:val="00B95CDD"/>
    <w:rPr>
      <w:color w:val="800080" w:themeColor="followedHyperlink"/>
      <w:u w:val="single"/>
    </w:rPr>
  </w:style>
  <w:style w:type="character" w:customStyle="1" w:styleId="pldetailsChar">
    <w:name w:val="pldetails Char"/>
    <w:link w:val="pldetails"/>
    <w:locked/>
    <w:rsid w:val="005349AE"/>
    <w:rPr>
      <w:rFonts w:ascii="Arial" w:hAnsi="Arial"/>
      <w:noProof/>
      <w:snapToGrid w:val="0"/>
    </w:rPr>
  </w:style>
  <w:style w:type="character" w:customStyle="1" w:styleId="plcountryChar">
    <w:name w:val="plcountry Char"/>
    <w:basedOn w:val="DefaultParagraphFont"/>
    <w:link w:val="plcountry"/>
    <w:rsid w:val="005349AE"/>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58066">
      <w:bodyDiv w:val="1"/>
      <w:marLeft w:val="0"/>
      <w:marRight w:val="0"/>
      <w:marTop w:val="0"/>
      <w:marBottom w:val="0"/>
      <w:divBdr>
        <w:top w:val="none" w:sz="0" w:space="0" w:color="auto"/>
        <w:left w:val="none" w:sz="0" w:space="0" w:color="auto"/>
        <w:bottom w:val="none" w:sz="0" w:space="0" w:color="auto"/>
        <w:right w:val="none" w:sz="0" w:space="0" w:color="auto"/>
      </w:divBdr>
    </w:div>
    <w:div w:id="1026981729">
      <w:bodyDiv w:val="1"/>
      <w:marLeft w:val="0"/>
      <w:marRight w:val="0"/>
      <w:marTop w:val="0"/>
      <w:marBottom w:val="0"/>
      <w:divBdr>
        <w:top w:val="none" w:sz="0" w:space="0" w:color="auto"/>
        <w:left w:val="none" w:sz="0" w:space="0" w:color="auto"/>
        <w:bottom w:val="none" w:sz="0" w:space="0" w:color="auto"/>
        <w:right w:val="none" w:sz="0" w:space="0" w:color="auto"/>
      </w:divBdr>
    </w:div>
    <w:div w:id="1456681541">
      <w:bodyDiv w:val="1"/>
      <w:marLeft w:val="0"/>
      <w:marRight w:val="0"/>
      <w:marTop w:val="0"/>
      <w:marBottom w:val="0"/>
      <w:divBdr>
        <w:top w:val="none" w:sz="0" w:space="0" w:color="auto"/>
        <w:left w:val="none" w:sz="0" w:space="0" w:color="auto"/>
        <w:bottom w:val="none" w:sz="0" w:space="0" w:color="auto"/>
        <w:right w:val="none" w:sz="0" w:space="0" w:color="auto"/>
      </w:divBdr>
    </w:div>
    <w:div w:id="198222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s/pvp_offices.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marcel@bruinsseedconsultancy.com" TargetMode="External"/><Relationship Id="rId7" Type="http://schemas.openxmlformats.org/officeDocument/2006/relationships/endnotes" Target="endnotes.xml"/><Relationship Id="rId12" Type="http://schemas.openxmlformats.org/officeDocument/2006/relationships/hyperlink" Target="http://www.upov.int/information_documents/es/list.jsp"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daniel.jurecka@ukzuz.go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about/es/organigram.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upov.int/restrict/meetings/es/" TargetMode="External"/><Relationship Id="rId19" Type="http://schemas.openxmlformats.org/officeDocument/2006/relationships/hyperlink" Target="mailto:neequayea@ghanamission.ch" TargetMode="External"/><Relationship Id="rId4" Type="http://schemas.openxmlformats.org/officeDocument/2006/relationships/settings" Target="settings.xml"/><Relationship Id="rId9" Type="http://schemas.openxmlformats.org/officeDocument/2006/relationships/hyperlink" Target="http://www.upov.int/information_documents/en/list.jsp" TargetMode="External"/><Relationship Id="rId14" Type="http://schemas.openxmlformats.org/officeDocument/2006/relationships/hyperlink" Target="https://www.upov.int/databases/en/"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CACF-58A0-4036-9525-7D95BF61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c_58_EN.dotx</Template>
  <TotalTime>57</TotalTime>
  <Pages>24</Pages>
  <Words>9988</Words>
  <Characters>60202</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C/58/xx Prov.</vt:lpstr>
    </vt:vector>
  </TitlesOfParts>
  <Company>UPOV</Company>
  <LinksUpToDate>false</LinksUpToDate>
  <CharactersWithSpaces>70050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C/58/19</dc:title>
  <dc:creator>SANCHEZ VIZCAINO GOMEZ Rosa Maria</dc:creator>
  <cp:keywords>, docId:8F46CA058511AB9E2EDC27EE997CFE1B</cp:keywords>
  <cp:lastModifiedBy>SANCHEZ VIZCAINO GOMEZ Rosa Maria</cp:lastModifiedBy>
  <cp:revision>27</cp:revision>
  <cp:lastPrinted>2024-10-25T12:03:00Z</cp:lastPrinted>
  <dcterms:created xsi:type="dcterms:W3CDTF">2024-11-11T14:24:00Z</dcterms:created>
  <dcterms:modified xsi:type="dcterms:W3CDTF">2024-12-04T18:16:00Z</dcterms:modified>
</cp:coreProperties>
</file>