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B369EB" w14:paraId="1D3FB937" w14:textId="77777777" w:rsidTr="00EB4E9C">
        <w:tc>
          <w:tcPr>
            <w:tcW w:w="6522" w:type="dxa"/>
          </w:tcPr>
          <w:p w14:paraId="4E25887A" w14:textId="77777777" w:rsidR="00DC3802" w:rsidRPr="00B369EB" w:rsidRDefault="00DC3802" w:rsidP="00AC2883">
            <w:r w:rsidRPr="00B369EB">
              <w:drawing>
                <wp:inline distT="0" distB="0" distL="0" distR="0" wp14:anchorId="5F8517FF" wp14:editId="0FF67C43">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10F189CA" w14:textId="26E1FFA2" w:rsidR="007F2C3D" w:rsidRPr="00B369EB" w:rsidRDefault="001C673E">
            <w:pPr>
              <w:pStyle w:val="Lettrine"/>
            </w:pPr>
            <w:r w:rsidRPr="00B369EB">
              <w:t>S</w:t>
            </w:r>
          </w:p>
        </w:tc>
      </w:tr>
      <w:tr w:rsidR="00DC3802" w:rsidRPr="00B369EB" w14:paraId="34986454" w14:textId="77777777" w:rsidTr="00645CA8">
        <w:trPr>
          <w:trHeight w:val="219"/>
        </w:trPr>
        <w:tc>
          <w:tcPr>
            <w:tcW w:w="6522" w:type="dxa"/>
          </w:tcPr>
          <w:p w14:paraId="30B13A9D" w14:textId="477B379C" w:rsidR="007F2C3D" w:rsidRPr="00B369EB" w:rsidRDefault="001C673E">
            <w:pPr>
              <w:pStyle w:val="upove"/>
            </w:pPr>
            <w:r w:rsidRPr="00B369EB">
              <w:t>Unión Internacional para la Protección de las Obtenciones Vegetales</w:t>
            </w:r>
          </w:p>
        </w:tc>
        <w:tc>
          <w:tcPr>
            <w:tcW w:w="3117" w:type="dxa"/>
          </w:tcPr>
          <w:p w14:paraId="1A226564" w14:textId="77777777" w:rsidR="00DC3802" w:rsidRPr="00B369EB" w:rsidRDefault="00DC3802" w:rsidP="00DA4973"/>
        </w:tc>
      </w:tr>
    </w:tbl>
    <w:p w14:paraId="554DAA6E" w14:textId="77777777" w:rsidR="00DC3802" w:rsidRPr="00B369EB" w:rsidRDefault="00DC3802" w:rsidP="00DC3802"/>
    <w:p w14:paraId="1F90157B" w14:textId="77777777" w:rsidR="007F2E78" w:rsidRPr="00B369EB" w:rsidRDefault="007F2E78" w:rsidP="007F2E7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F2E78" w:rsidRPr="00B369EB" w14:paraId="19F62259" w14:textId="77777777" w:rsidTr="003E171B">
        <w:tc>
          <w:tcPr>
            <w:tcW w:w="6512" w:type="dxa"/>
          </w:tcPr>
          <w:p w14:paraId="7594C927" w14:textId="77777777" w:rsidR="007F2C3D" w:rsidRPr="00B369EB" w:rsidRDefault="001C673E">
            <w:pPr>
              <w:pStyle w:val="Sessiontc"/>
              <w:spacing w:line="240" w:lineRule="auto"/>
            </w:pPr>
            <w:r w:rsidRPr="00B369EB">
              <w:t>Consejo</w:t>
            </w:r>
          </w:p>
          <w:p w14:paraId="67F5C338" w14:textId="77777777" w:rsidR="007F2C3D" w:rsidRPr="00B369EB" w:rsidRDefault="001C673E">
            <w:pPr>
              <w:pStyle w:val="Sessiontcplacedate"/>
            </w:pPr>
            <w:r w:rsidRPr="00B369EB">
              <w:t>Quincuagésima octava sesión ordinaria</w:t>
            </w:r>
          </w:p>
          <w:p w14:paraId="5A4F2478" w14:textId="77777777" w:rsidR="007F2C3D" w:rsidRPr="00B369EB" w:rsidRDefault="001C673E">
            <w:pPr>
              <w:pStyle w:val="Sessiontcplacedate"/>
              <w:rPr>
                <w:sz w:val="22"/>
              </w:rPr>
            </w:pPr>
            <w:r w:rsidRPr="00B369EB">
              <w:t>Ginebra, 25 de octubre de 2024</w:t>
            </w:r>
          </w:p>
        </w:tc>
        <w:tc>
          <w:tcPr>
            <w:tcW w:w="3127" w:type="dxa"/>
          </w:tcPr>
          <w:p w14:paraId="2936E35E" w14:textId="77777777" w:rsidR="007F2C3D" w:rsidRPr="00B369EB" w:rsidRDefault="001C673E">
            <w:pPr>
              <w:pStyle w:val="Doccode"/>
              <w:rPr>
                <w:lang w:val="es-ES_tradnl"/>
              </w:rPr>
            </w:pPr>
            <w:r w:rsidRPr="00B369EB">
              <w:rPr>
                <w:lang w:val="es-ES_tradnl"/>
              </w:rPr>
              <w:t>C/58/13</w:t>
            </w:r>
          </w:p>
          <w:p w14:paraId="39BD4379" w14:textId="77777777" w:rsidR="007F2C3D" w:rsidRPr="00B369EB" w:rsidRDefault="001C673E">
            <w:pPr>
              <w:pStyle w:val="Docoriginal"/>
            </w:pPr>
            <w:r w:rsidRPr="00B369EB">
              <w:t>Original:</w:t>
            </w:r>
            <w:r w:rsidRPr="00B369EB">
              <w:rPr>
                <w:b w:val="0"/>
                <w:spacing w:val="0"/>
              </w:rPr>
              <w:t xml:space="preserve">  Inglés</w:t>
            </w:r>
          </w:p>
          <w:p w14:paraId="2CD246E2" w14:textId="77777777" w:rsidR="007F2C3D" w:rsidRPr="00B369EB" w:rsidRDefault="001C673E">
            <w:pPr>
              <w:pStyle w:val="Docoriginal"/>
            </w:pPr>
            <w:r w:rsidRPr="00B369EB">
              <w:t xml:space="preserve">Fecha:  </w:t>
            </w:r>
            <w:r w:rsidR="00124956" w:rsidRPr="00B369EB">
              <w:rPr>
                <w:b w:val="0"/>
                <w:spacing w:val="0"/>
              </w:rPr>
              <w:t xml:space="preserve">1 de octubre </w:t>
            </w:r>
            <w:r w:rsidRPr="00B369EB">
              <w:rPr>
                <w:b w:val="0"/>
                <w:spacing w:val="0"/>
              </w:rPr>
              <w:t>de 2024</w:t>
            </w:r>
          </w:p>
        </w:tc>
      </w:tr>
    </w:tbl>
    <w:p w14:paraId="4B0294C8" w14:textId="77777777" w:rsidR="00B369EB" w:rsidRPr="009F74EC" w:rsidRDefault="00B369EB" w:rsidP="00B369EB">
      <w:pPr>
        <w:pStyle w:val="Titleofdoc0"/>
      </w:pPr>
      <w:r w:rsidRPr="009F74EC">
        <w:t>INFORMES DE REPRESENTANTES DE MIEMBROS Y OBSERVADORES SOBRE LOS ÁMBITOS LEGISLATIVO, ADMINISTRATIVO Y TÉCNICO</w:t>
      </w:r>
    </w:p>
    <w:p w14:paraId="48B66958" w14:textId="568701A4" w:rsidR="007F2C3D" w:rsidRPr="00B369EB" w:rsidRDefault="001C673E">
      <w:pPr>
        <w:pStyle w:val="preparedby1"/>
        <w:jc w:val="left"/>
      </w:pPr>
      <w:r w:rsidRPr="00B369EB">
        <w:t>Documento preparado por la Oficina de la Uni</w:t>
      </w:r>
      <w:r w:rsidR="00B369EB">
        <w:t>ó</w:t>
      </w:r>
      <w:r w:rsidRPr="00B369EB">
        <w:t>n</w:t>
      </w:r>
    </w:p>
    <w:p w14:paraId="1AD35D97" w14:textId="77777777" w:rsidR="001C673E" w:rsidRPr="00B369EB" w:rsidRDefault="001C673E" w:rsidP="001C673E">
      <w:pPr>
        <w:pStyle w:val="Disclaimer"/>
        <w:spacing w:after="480"/>
        <w:rPr>
          <w:lang w:val="es-ES_tradnl"/>
        </w:rPr>
      </w:pPr>
      <w:r w:rsidRPr="00B369EB">
        <w:rPr>
          <w:lang w:val="es-ES_tradnl"/>
        </w:rPr>
        <w:t>Descargo de responsabilidad: el presente documento no constituye un documento de política u orientación de la UPOV.</w:t>
      </w:r>
      <w:r w:rsidRPr="00B369EB">
        <w:rPr>
          <w:lang w:val="es-ES_tradnl"/>
        </w:rPr>
        <w:br/>
      </w:r>
      <w:r w:rsidRPr="00B369EB">
        <w:rPr>
          <w:lang w:val="es-ES_tradnl"/>
        </w:rPr>
        <w:br/>
        <w:t>Este documento se ha generado mediante traducción automática y no puede garantizarse su exactitud. Por lo tanto, el texto en el idioma original es la única versión auténtica.</w:t>
      </w:r>
    </w:p>
    <w:p w14:paraId="01E29985" w14:textId="77777777" w:rsidR="00B369EB" w:rsidRPr="009F74EC" w:rsidRDefault="00B369EB" w:rsidP="00B369EB">
      <w:r w:rsidRPr="009F74EC">
        <w:fldChar w:fldCharType="begin"/>
      </w:r>
      <w:r w:rsidRPr="009F74EC">
        <w:instrText xml:space="preserve"> AUTONUM  </w:instrText>
      </w:r>
      <w:r w:rsidRPr="009F74EC">
        <w:fldChar w:fldCharType="end"/>
      </w:r>
      <w:r w:rsidRPr="009F74EC">
        <w:tab/>
        <w:t>De conformidad con el procedimiento introducido con ocasión del vigésimo sexto período ordinario de sesiones del Consejo, se solicita que los informes de representantes de miembros y observadores sobre la situación en los ámbitos legislativo, administrativo y técnico de la protección de las obtenciones vegetales y sectores afines se presenten por escrito y con antelación a fin de permitir al Consejo desempeñar más eficazmente sus funciones.</w:t>
      </w:r>
    </w:p>
    <w:p w14:paraId="6D282F5F" w14:textId="77777777" w:rsidR="00B369EB" w:rsidRPr="009F74EC" w:rsidRDefault="00B369EB" w:rsidP="00B369EB">
      <w:pPr>
        <w:widowControl w:val="0"/>
      </w:pPr>
    </w:p>
    <w:p w14:paraId="39AE4839" w14:textId="77777777" w:rsidR="00B369EB" w:rsidRPr="009F74EC" w:rsidRDefault="00B369EB" w:rsidP="00B369EB">
      <w:pPr>
        <w:widowControl w:val="0"/>
      </w:pPr>
      <w:r w:rsidRPr="009F74EC">
        <w:fldChar w:fldCharType="begin"/>
      </w:r>
      <w:r w:rsidRPr="009F74EC">
        <w:instrText xml:space="preserve"> AUTONUM  </w:instrText>
      </w:r>
      <w:r w:rsidRPr="009F74EC">
        <w:fldChar w:fldCharType="end"/>
      </w:r>
      <w:r w:rsidRPr="009F74EC">
        <w:tab/>
        <w:t>En las circulares de invitación a la presente sesión, la Oficina de la Unión ha solicitado informes escritos y ha propuesto un modelo de formato a tal efecto.  Se han presentado los informes siguientes (por orden alfabético de los nombres de los miembros y observadores en francés):</w:t>
      </w:r>
    </w:p>
    <w:p w14:paraId="6F6BFC9B" w14:textId="77777777" w:rsidR="004B7F21" w:rsidRPr="00B369EB" w:rsidRDefault="004B7F21" w:rsidP="004B7F21">
      <w:pPr>
        <w:tabs>
          <w:tab w:val="left" w:pos="567"/>
          <w:tab w:val="left" w:pos="2694"/>
        </w:tabs>
      </w:pPr>
    </w:p>
    <w:p w14:paraId="1CC6B67B" w14:textId="77777777" w:rsidR="007F2C3D" w:rsidRPr="00B369EB" w:rsidRDefault="001C673E">
      <w:pPr>
        <w:ind w:left="567" w:hanging="567"/>
        <w:rPr>
          <w:szCs w:val="24"/>
        </w:rPr>
      </w:pPr>
      <w:r w:rsidRPr="00B369EB">
        <w:tab/>
      </w:r>
      <w:r w:rsidRPr="00B369EB">
        <w:rPr>
          <w:spacing w:val="-2"/>
          <w:u w:val="single"/>
        </w:rPr>
        <w:t>Miembros</w:t>
      </w:r>
      <w:r w:rsidRPr="00B369EB">
        <w:rPr>
          <w:spacing w:val="-2"/>
        </w:rPr>
        <w:t xml:space="preserve">: Anexos I a </w:t>
      </w:r>
      <w:r w:rsidR="00575718" w:rsidRPr="00B369EB">
        <w:rPr>
          <w:spacing w:val="-2"/>
        </w:rPr>
        <w:t>XII</w:t>
      </w:r>
      <w:r w:rsidRPr="00B369EB">
        <w:rPr>
          <w:spacing w:val="-2"/>
        </w:rPr>
        <w:t xml:space="preserve">:  </w:t>
      </w:r>
      <w:r w:rsidR="00C11F8B" w:rsidRPr="00B369EB">
        <w:rPr>
          <w:spacing w:val="-2"/>
        </w:rPr>
        <w:t xml:space="preserve">Sudáfrica, </w:t>
      </w:r>
      <w:proofErr w:type="spellStart"/>
      <w:r w:rsidR="00C11F8B" w:rsidRPr="00B369EB">
        <w:rPr>
          <w:spacing w:val="-2"/>
        </w:rPr>
        <w:t>Belarús</w:t>
      </w:r>
      <w:proofErr w:type="spellEnd"/>
      <w:r w:rsidR="00C11F8B" w:rsidRPr="00B369EB">
        <w:rPr>
          <w:spacing w:val="-2"/>
        </w:rPr>
        <w:t xml:space="preserve">, </w:t>
      </w:r>
      <w:r w:rsidR="00575718" w:rsidRPr="00B369EB">
        <w:rPr>
          <w:spacing w:val="-2"/>
        </w:rPr>
        <w:t xml:space="preserve">China, </w:t>
      </w:r>
      <w:r w:rsidR="00C11F8B" w:rsidRPr="00B369EB">
        <w:rPr>
          <w:spacing w:val="-2"/>
        </w:rPr>
        <w:t>Hungría, Nueva Zelandia, Polonia, República de Moldova, Reino Unido, Serbia, Singapur, Ucrania, Unión Europea.</w:t>
      </w:r>
    </w:p>
    <w:p w14:paraId="0E533D04" w14:textId="77777777" w:rsidR="004B7F21" w:rsidRPr="00B369EB" w:rsidRDefault="004B7F21" w:rsidP="004B7F21">
      <w:pPr>
        <w:ind w:left="567" w:hanging="567"/>
        <w:rPr>
          <w:szCs w:val="24"/>
        </w:rPr>
      </w:pPr>
    </w:p>
    <w:p w14:paraId="2A587C00" w14:textId="27195288" w:rsidR="007F2C3D" w:rsidRPr="00B369EB" w:rsidRDefault="001C673E">
      <w:r w:rsidRPr="00B369EB">
        <w:fldChar w:fldCharType="begin"/>
      </w:r>
      <w:r w:rsidRPr="00B369EB">
        <w:instrText xml:space="preserve"> AUTONUM  </w:instrText>
      </w:r>
      <w:r w:rsidRPr="00B369EB">
        <w:fldChar w:fldCharType="end"/>
      </w:r>
      <w:r w:rsidRPr="00B369EB">
        <w:tab/>
      </w:r>
      <w:r w:rsidR="004B7F21" w:rsidRPr="00B369EB">
        <w:t xml:space="preserve">Los informes recibidos después del </w:t>
      </w:r>
      <w:r w:rsidR="00882D7E" w:rsidRPr="00B369EB">
        <w:t xml:space="preserve">27 de </w:t>
      </w:r>
      <w:r w:rsidR="00C641E3" w:rsidRPr="00B369EB">
        <w:t xml:space="preserve">septiembre </w:t>
      </w:r>
      <w:r w:rsidR="004B7F21" w:rsidRPr="00B369EB">
        <w:t xml:space="preserve">de 2024 se incluirán como adenda a este documento, que se publicará después de la </w:t>
      </w:r>
      <w:r w:rsidR="00B369EB">
        <w:t>sesión</w:t>
      </w:r>
      <w:r w:rsidR="004B7F21" w:rsidRPr="00B369EB">
        <w:t xml:space="preserve"> del Consejo.</w:t>
      </w:r>
    </w:p>
    <w:p w14:paraId="1F99D2A9" w14:textId="77777777" w:rsidR="00962952" w:rsidRPr="00B369EB" w:rsidRDefault="00962952" w:rsidP="004B7F21"/>
    <w:p w14:paraId="6B335BE2" w14:textId="745F35B3" w:rsidR="007F2C3D" w:rsidRPr="00B369EB" w:rsidRDefault="001C673E">
      <w:r w:rsidRPr="00B369EB">
        <w:fldChar w:fldCharType="begin"/>
      </w:r>
      <w:r w:rsidRPr="00B369EB">
        <w:instrText xml:space="preserve"> AUTONUM  </w:instrText>
      </w:r>
      <w:r w:rsidRPr="00B369EB">
        <w:fldChar w:fldCharType="end"/>
      </w:r>
      <w:r w:rsidRPr="00B369EB">
        <w:tab/>
      </w:r>
      <w:r w:rsidR="00962952" w:rsidRPr="00B369EB">
        <w:t>Se invita al Consejo a tomar nota de que el número de informes presentados por los miembros de la</w:t>
      </w:r>
      <w:r w:rsidR="00B369EB">
        <w:t> </w:t>
      </w:r>
      <w:r w:rsidR="00962952" w:rsidRPr="00B369EB">
        <w:t>UPOV es generalmente bajo y que este año han contribuido 12 de los 79 miembros de la UPOV. Parte de la información que figura en los informes se recopila también por otros medios. La Oficina de la Unión es consciente de que la recopilación de información y datos lleva mucho tiempo a los miembros de la UPOV. Puede haber alternativas para recopilar información útil para los miembros de la UPOV siguiendo un enfoque que requiera menos recursos y facilite un mejor acceso a la información. Por estas razones, se propone que, a partir de 2025, la Oficina de la Unión implemente una forma más eficiente de recopilar y presentar la información prioritaria de los miembros y observadores de la UPOV.</w:t>
      </w:r>
    </w:p>
    <w:p w14:paraId="2C58D9AD" w14:textId="77777777" w:rsidR="000376DB" w:rsidRPr="00B369EB" w:rsidRDefault="000376DB" w:rsidP="00962952"/>
    <w:p w14:paraId="67A37CF7" w14:textId="6D1D2F15" w:rsidR="007F2C3D" w:rsidRPr="00B369EB" w:rsidRDefault="001C673E">
      <w:pPr>
        <w:pStyle w:val="DecisionParagraphs"/>
      </w:pPr>
      <w:r w:rsidRPr="00B369EB">
        <w:t>5.</w:t>
      </w:r>
      <w:r w:rsidRPr="00B369EB">
        <w:tab/>
        <w:t xml:space="preserve">Se invita al Consejo a tomar nota de la información facilitada en el presente documento y a respaldar la propuesta que figura en el </w:t>
      </w:r>
      <w:r w:rsidR="00B369EB">
        <w:t>párrafo</w:t>
      </w:r>
      <w:r w:rsidRPr="00B369EB">
        <w:t xml:space="preserve"> 4.</w:t>
      </w:r>
    </w:p>
    <w:p w14:paraId="05FDF5A3" w14:textId="77777777" w:rsidR="000376DB" w:rsidRPr="00B369EB" w:rsidRDefault="000376DB" w:rsidP="00962952"/>
    <w:p w14:paraId="7AC522E3" w14:textId="77777777" w:rsidR="00962952" w:rsidRPr="00B369EB" w:rsidRDefault="00962952" w:rsidP="004B7F21"/>
    <w:p w14:paraId="0406EF1F" w14:textId="77777777" w:rsidR="004B7F21" w:rsidRPr="00B369EB" w:rsidRDefault="004B7F21" w:rsidP="004B7F21"/>
    <w:p w14:paraId="191030C3" w14:textId="77777777" w:rsidR="007F2C3D" w:rsidRPr="00B369EB" w:rsidRDefault="001C673E">
      <w:pPr>
        <w:jc w:val="right"/>
      </w:pPr>
      <w:r w:rsidRPr="00B369EB">
        <w:t>[Siguen los anexos]</w:t>
      </w:r>
    </w:p>
    <w:p w14:paraId="1D2B5AAB" w14:textId="77777777" w:rsidR="00903264" w:rsidRPr="00B369EB" w:rsidRDefault="00903264">
      <w:pPr>
        <w:jc w:val="left"/>
      </w:pPr>
    </w:p>
    <w:p w14:paraId="234223F2" w14:textId="77777777" w:rsidR="001F63A8" w:rsidRPr="00B369EB" w:rsidRDefault="001F63A8" w:rsidP="009B440E">
      <w:pPr>
        <w:jc w:val="left"/>
        <w:sectPr w:rsidR="001F63A8" w:rsidRPr="00B369EB" w:rsidSect="0004198B">
          <w:headerReference w:type="default" r:id="rId9"/>
          <w:headerReference w:type="first" r:id="rId10"/>
          <w:pgSz w:w="11907" w:h="16840" w:code="9"/>
          <w:pgMar w:top="510" w:right="1134" w:bottom="1134" w:left="1134" w:header="510" w:footer="680" w:gutter="0"/>
          <w:pgNumType w:start="1"/>
          <w:cols w:space="720"/>
          <w:titlePg/>
        </w:sectPr>
      </w:pPr>
    </w:p>
    <w:p w14:paraId="3B69BBE1" w14:textId="77777777" w:rsidR="007F2C3D" w:rsidRPr="00B369EB" w:rsidRDefault="001C673E">
      <w:pPr>
        <w:jc w:val="center"/>
      </w:pPr>
      <w:r w:rsidRPr="00B369EB">
        <w:lastRenderedPageBreak/>
        <w:t>C/58/13</w:t>
      </w:r>
    </w:p>
    <w:p w14:paraId="62596CB8" w14:textId="77777777" w:rsidR="001F63A8" w:rsidRPr="00B369EB" w:rsidRDefault="001F63A8" w:rsidP="001F63A8">
      <w:pPr>
        <w:jc w:val="center"/>
      </w:pPr>
    </w:p>
    <w:p w14:paraId="1BACC1B6" w14:textId="77777777" w:rsidR="007F2C3D" w:rsidRPr="00B369EB" w:rsidRDefault="001C673E">
      <w:pPr>
        <w:jc w:val="center"/>
      </w:pPr>
      <w:r w:rsidRPr="00B369EB">
        <w:t>ANEXO I</w:t>
      </w:r>
    </w:p>
    <w:p w14:paraId="4D90280D" w14:textId="77777777" w:rsidR="001F63A8" w:rsidRPr="00B369EB" w:rsidRDefault="001F63A8" w:rsidP="001F63A8">
      <w:pPr>
        <w:jc w:val="center"/>
      </w:pPr>
    </w:p>
    <w:p w14:paraId="2E5D58C2" w14:textId="77777777" w:rsidR="001F63A8" w:rsidRPr="00B369EB" w:rsidRDefault="001F63A8" w:rsidP="001F63A8">
      <w:pPr>
        <w:jc w:val="center"/>
      </w:pPr>
    </w:p>
    <w:p w14:paraId="4E22E2BE" w14:textId="77777777" w:rsidR="007F2C3D" w:rsidRPr="00B369EB" w:rsidRDefault="001C673E">
      <w:pPr>
        <w:jc w:val="center"/>
      </w:pPr>
      <w:r w:rsidRPr="00B369EB">
        <w:t>SUDÁFRICA</w:t>
      </w:r>
    </w:p>
    <w:p w14:paraId="2B616BD1" w14:textId="77777777" w:rsidR="001F63A8" w:rsidRPr="00B369EB" w:rsidRDefault="001F63A8" w:rsidP="001F63A8"/>
    <w:p w14:paraId="5371EDC4" w14:textId="77777777" w:rsidR="001F63A8" w:rsidRPr="00B369EB" w:rsidRDefault="001F63A8" w:rsidP="001F63A8"/>
    <w:p w14:paraId="54BB64EC" w14:textId="77777777" w:rsidR="007F2C3D" w:rsidRPr="00B369EB" w:rsidRDefault="001C673E">
      <w:r w:rsidRPr="00B369EB">
        <w:t>PROTECCIÓN DE LAS OBTENCIONES VEGETALES</w:t>
      </w:r>
    </w:p>
    <w:p w14:paraId="341BA114" w14:textId="77777777" w:rsidR="00736C4C" w:rsidRPr="00B369EB" w:rsidRDefault="00736C4C" w:rsidP="00736C4C"/>
    <w:p w14:paraId="22FF52F6" w14:textId="77777777" w:rsidR="007F2C3D" w:rsidRPr="00B369EB" w:rsidRDefault="001C673E">
      <w:r w:rsidRPr="00B369EB">
        <w:t xml:space="preserve">1. </w:t>
      </w:r>
      <w:r w:rsidRPr="00B369EB">
        <w:tab/>
      </w:r>
      <w:r w:rsidRPr="00B369EB">
        <w:rPr>
          <w:u w:val="single"/>
        </w:rPr>
        <w:t>Situación en el ámbito legislativo</w:t>
      </w:r>
    </w:p>
    <w:p w14:paraId="381E60EA" w14:textId="77777777" w:rsidR="00736C4C" w:rsidRPr="00B369EB" w:rsidRDefault="00736C4C" w:rsidP="00736C4C"/>
    <w:p w14:paraId="0078B7AB" w14:textId="33EF0CA4" w:rsidR="007F2C3D" w:rsidRPr="00B369EB" w:rsidRDefault="001C673E">
      <w:r w:rsidRPr="00B369EB">
        <w:t>1.1</w:t>
      </w:r>
      <w:r w:rsidR="005B2752">
        <w:tab/>
      </w:r>
      <w:r w:rsidRPr="00B369EB">
        <w:t>Modificaciones de la ley y de los reglamentos de aplicación</w:t>
      </w:r>
    </w:p>
    <w:p w14:paraId="322AD99D" w14:textId="77777777" w:rsidR="00736C4C" w:rsidRPr="00B369EB" w:rsidRDefault="00736C4C" w:rsidP="00736C4C">
      <w:pPr>
        <w:ind w:left="567" w:hanging="142"/>
      </w:pPr>
    </w:p>
    <w:p w14:paraId="30EB223F" w14:textId="3CCEBB47" w:rsidR="007F2C3D" w:rsidRPr="00B369EB" w:rsidRDefault="001C673E">
      <w:pPr>
        <w:ind w:left="567" w:hanging="142"/>
      </w:pPr>
      <w:r w:rsidRPr="00B369EB">
        <w:t>-</w:t>
      </w:r>
      <w:r w:rsidR="005B2752">
        <w:tab/>
      </w:r>
      <w:r w:rsidRPr="00B369EB">
        <w:t>Adaptación al Acta de 1991 del Convenio</w:t>
      </w:r>
    </w:p>
    <w:p w14:paraId="478D916E" w14:textId="77777777" w:rsidR="00736C4C" w:rsidRPr="00B369EB" w:rsidRDefault="00736C4C" w:rsidP="00736C4C">
      <w:pPr>
        <w:ind w:left="425"/>
      </w:pPr>
    </w:p>
    <w:p w14:paraId="1D11168C" w14:textId="77777777" w:rsidR="007F2C3D" w:rsidRPr="00B369EB" w:rsidRDefault="001C673E">
      <w:pPr>
        <w:ind w:left="425"/>
      </w:pPr>
      <w:r w:rsidRPr="00B369EB">
        <w:t>No hay novedades.</w:t>
      </w:r>
    </w:p>
    <w:p w14:paraId="339AB21B" w14:textId="77777777" w:rsidR="00736C4C" w:rsidRPr="00B369EB" w:rsidRDefault="00736C4C" w:rsidP="00736C4C">
      <w:pPr>
        <w:ind w:left="425"/>
      </w:pPr>
    </w:p>
    <w:p w14:paraId="50AF86F5" w14:textId="4F6AF940" w:rsidR="007F2C3D" w:rsidRPr="00B369EB" w:rsidRDefault="001C673E">
      <w:pPr>
        <w:ind w:left="567" w:hanging="142"/>
      </w:pPr>
      <w:r w:rsidRPr="00B369EB">
        <w:t>-</w:t>
      </w:r>
      <w:r w:rsidR="005B2752">
        <w:tab/>
      </w:r>
      <w:r w:rsidRPr="00B369EB">
        <w:t>Otras modificaciones, incluidas las relativas a las tasas</w:t>
      </w:r>
    </w:p>
    <w:p w14:paraId="78D933FA" w14:textId="77777777" w:rsidR="00736C4C" w:rsidRPr="00B369EB" w:rsidRDefault="00736C4C" w:rsidP="00736C4C">
      <w:pPr>
        <w:ind w:left="425"/>
      </w:pPr>
    </w:p>
    <w:p w14:paraId="3FABE8E5" w14:textId="55E8F91F" w:rsidR="007F2C3D" w:rsidRPr="00B369EB" w:rsidRDefault="001C673E">
      <w:pPr>
        <w:ind w:left="425"/>
      </w:pPr>
      <w:r w:rsidRPr="00B369EB">
        <w:t xml:space="preserve">Las tasas sobre los derechos de obtentor se publicaron en el Boletín Oficial de SA, </w:t>
      </w:r>
      <w:proofErr w:type="spellStart"/>
      <w:r w:rsidRPr="00B369EB">
        <w:t>nº</w:t>
      </w:r>
      <w:proofErr w:type="spellEnd"/>
      <w:r w:rsidRPr="00B369EB">
        <w:t xml:space="preserve"> 50442, de </w:t>
      </w:r>
      <w:r w:rsidR="005B2752">
        <w:br/>
      </w:r>
      <w:r w:rsidRPr="00B369EB">
        <w:t>5 de abril de 2024, con respecto al ejercicio 2024/25, que finaliza el 31 de marzo de 2025.</w:t>
      </w:r>
    </w:p>
    <w:p w14:paraId="41126266" w14:textId="77777777" w:rsidR="00736C4C" w:rsidRPr="00B369EB" w:rsidRDefault="00736C4C" w:rsidP="00736C4C">
      <w:pPr>
        <w:pStyle w:val="BodyTextIndent2"/>
        <w:ind w:left="425"/>
        <w:rPr>
          <w:i/>
          <w:iCs/>
          <w:sz w:val="20"/>
          <w:szCs w:val="20"/>
          <w:lang w:val="es-ES_tradnl"/>
        </w:rPr>
      </w:pPr>
    </w:p>
    <w:p w14:paraId="7955A849" w14:textId="43964029" w:rsidR="007F2C3D" w:rsidRPr="00B369EB" w:rsidRDefault="001C673E">
      <w:r w:rsidRPr="00B369EB">
        <w:t>1.2</w:t>
      </w:r>
      <w:r w:rsidR="005B2752">
        <w:tab/>
      </w:r>
      <w:r w:rsidRPr="00B369EB">
        <w:t>Ampliación de la protección a otros géneros y especies (realizada o prevista)</w:t>
      </w:r>
    </w:p>
    <w:p w14:paraId="6625F26D" w14:textId="77777777" w:rsidR="00736C4C" w:rsidRPr="00B369EB" w:rsidRDefault="00736C4C" w:rsidP="00736C4C">
      <w:pPr>
        <w:pStyle w:val="BodyTextIndent2"/>
        <w:ind w:left="425"/>
        <w:rPr>
          <w:sz w:val="20"/>
          <w:szCs w:val="20"/>
          <w:lang w:val="es-ES_tradnl"/>
        </w:rPr>
      </w:pPr>
    </w:p>
    <w:p w14:paraId="58D22DD1" w14:textId="77777777" w:rsidR="007F2C3D" w:rsidRPr="00B369EB" w:rsidRDefault="001C673E">
      <w:r w:rsidRPr="00B369EB">
        <w:tab/>
        <w:t>Se prevé su publicación en el Boletín Oficial de SA en 2024:</w:t>
      </w:r>
    </w:p>
    <w:p w14:paraId="12348C30" w14:textId="77777777" w:rsidR="00736C4C" w:rsidRPr="00B369EB" w:rsidRDefault="00736C4C" w:rsidP="00736C4C">
      <w:pPr>
        <w:pStyle w:val="BodyTextIndent2"/>
        <w:ind w:left="425"/>
        <w:rPr>
          <w:b/>
          <w:bCs/>
          <w:sz w:val="20"/>
          <w:szCs w:val="20"/>
          <w:lang w:val="es-ES_tradnl"/>
        </w:rPr>
      </w:pPr>
    </w:p>
    <w:p w14:paraId="04F2B813" w14:textId="77777777" w:rsidR="007F2C3D" w:rsidRPr="00B369EB" w:rsidRDefault="001C673E">
      <w:pPr>
        <w:pStyle w:val="BodyTextIndent2"/>
        <w:numPr>
          <w:ilvl w:val="0"/>
          <w:numId w:val="3"/>
        </w:numPr>
        <w:rPr>
          <w:b/>
          <w:bCs/>
          <w:sz w:val="20"/>
          <w:szCs w:val="20"/>
          <w:lang w:val="es-ES_tradnl"/>
        </w:rPr>
      </w:pPr>
      <w:proofErr w:type="spellStart"/>
      <w:r w:rsidRPr="00B369EB">
        <w:rPr>
          <w:i/>
          <w:iCs/>
          <w:sz w:val="20"/>
          <w:szCs w:val="20"/>
          <w:lang w:val="es-ES_tradnl"/>
        </w:rPr>
        <w:t>Boronia</w:t>
      </w:r>
      <w:proofErr w:type="spellEnd"/>
      <w:r w:rsidRPr="00B369EB">
        <w:rPr>
          <w:i/>
          <w:iCs/>
          <w:sz w:val="20"/>
          <w:szCs w:val="20"/>
          <w:lang w:val="es-ES_tradnl"/>
        </w:rPr>
        <w:t xml:space="preserve"> </w:t>
      </w:r>
      <w:r w:rsidRPr="00B369EB">
        <w:rPr>
          <w:sz w:val="20"/>
          <w:szCs w:val="20"/>
          <w:lang w:val="es-ES_tradnl"/>
        </w:rPr>
        <w:t>Sm.  [</w:t>
      </w:r>
      <w:proofErr w:type="spellStart"/>
      <w:r w:rsidRPr="00B369EB">
        <w:rPr>
          <w:sz w:val="20"/>
          <w:szCs w:val="20"/>
          <w:lang w:val="es-ES_tradnl"/>
        </w:rPr>
        <w:t>Boronia</w:t>
      </w:r>
      <w:proofErr w:type="spellEnd"/>
      <w:r w:rsidRPr="00B369EB">
        <w:rPr>
          <w:sz w:val="20"/>
          <w:szCs w:val="20"/>
          <w:lang w:val="es-ES_tradnl"/>
        </w:rPr>
        <w:t>]</w:t>
      </w:r>
    </w:p>
    <w:p w14:paraId="6E8C71F0" w14:textId="77777777" w:rsidR="007F2C3D" w:rsidRPr="00B369EB" w:rsidRDefault="001C673E">
      <w:pPr>
        <w:pStyle w:val="BodyTextIndent2"/>
        <w:numPr>
          <w:ilvl w:val="0"/>
          <w:numId w:val="3"/>
        </w:numPr>
        <w:rPr>
          <w:b/>
          <w:bCs/>
          <w:sz w:val="20"/>
          <w:szCs w:val="20"/>
          <w:lang w:val="es-ES_tradnl"/>
        </w:rPr>
      </w:pPr>
      <w:proofErr w:type="spellStart"/>
      <w:r w:rsidRPr="00B369EB">
        <w:rPr>
          <w:i/>
          <w:iCs/>
          <w:sz w:val="20"/>
          <w:szCs w:val="20"/>
          <w:lang w:val="es-ES_tradnl"/>
        </w:rPr>
        <w:t>Melinis</w:t>
      </w:r>
      <w:proofErr w:type="spellEnd"/>
      <w:r w:rsidRPr="00B369EB">
        <w:rPr>
          <w:i/>
          <w:iCs/>
          <w:sz w:val="20"/>
          <w:szCs w:val="20"/>
          <w:lang w:val="es-ES_tradnl"/>
        </w:rPr>
        <w:t xml:space="preserve"> </w:t>
      </w:r>
      <w:r w:rsidRPr="00B369EB">
        <w:rPr>
          <w:sz w:val="20"/>
          <w:szCs w:val="20"/>
          <w:lang w:val="es-ES_tradnl"/>
        </w:rPr>
        <w:t xml:space="preserve">P. </w:t>
      </w:r>
      <w:proofErr w:type="spellStart"/>
      <w:r w:rsidRPr="00B369EB">
        <w:rPr>
          <w:sz w:val="20"/>
          <w:szCs w:val="20"/>
          <w:lang w:val="es-ES_tradnl"/>
        </w:rPr>
        <w:t>Beauv</w:t>
      </w:r>
      <w:proofErr w:type="spellEnd"/>
      <w:r w:rsidRPr="00B369EB">
        <w:rPr>
          <w:sz w:val="20"/>
          <w:szCs w:val="20"/>
          <w:lang w:val="es-ES_tradnl"/>
        </w:rPr>
        <w:t>. [hierba de Natal]</w:t>
      </w:r>
    </w:p>
    <w:p w14:paraId="1CFBF781" w14:textId="77777777" w:rsidR="007F2C3D" w:rsidRPr="00B369EB" w:rsidRDefault="001C673E">
      <w:pPr>
        <w:pStyle w:val="BodyTextIndent2"/>
        <w:numPr>
          <w:ilvl w:val="0"/>
          <w:numId w:val="3"/>
        </w:numPr>
        <w:rPr>
          <w:b/>
          <w:bCs/>
          <w:sz w:val="20"/>
          <w:szCs w:val="20"/>
          <w:lang w:val="es-ES_tradnl"/>
        </w:rPr>
      </w:pPr>
      <w:proofErr w:type="spellStart"/>
      <w:r w:rsidRPr="00B369EB">
        <w:rPr>
          <w:i/>
          <w:iCs/>
          <w:sz w:val="20"/>
          <w:szCs w:val="20"/>
          <w:lang w:val="es-ES_tradnl"/>
        </w:rPr>
        <w:t>Scletium</w:t>
      </w:r>
      <w:proofErr w:type="spellEnd"/>
      <w:r w:rsidRPr="00B369EB">
        <w:rPr>
          <w:i/>
          <w:iCs/>
          <w:sz w:val="20"/>
          <w:szCs w:val="20"/>
          <w:lang w:val="es-ES_tradnl"/>
        </w:rPr>
        <w:t xml:space="preserve"> </w:t>
      </w:r>
      <w:proofErr w:type="spellStart"/>
      <w:r w:rsidRPr="00B369EB">
        <w:rPr>
          <w:i/>
          <w:iCs/>
          <w:sz w:val="20"/>
          <w:szCs w:val="20"/>
          <w:lang w:val="es-ES_tradnl"/>
        </w:rPr>
        <w:t>tortosum</w:t>
      </w:r>
      <w:proofErr w:type="spellEnd"/>
      <w:r w:rsidRPr="00B369EB">
        <w:rPr>
          <w:i/>
          <w:iCs/>
          <w:sz w:val="20"/>
          <w:szCs w:val="20"/>
          <w:lang w:val="es-ES_tradnl"/>
        </w:rPr>
        <w:t xml:space="preserve"> </w:t>
      </w:r>
      <w:r w:rsidRPr="00B369EB">
        <w:rPr>
          <w:sz w:val="20"/>
          <w:szCs w:val="20"/>
          <w:lang w:val="es-ES_tradnl"/>
        </w:rPr>
        <w:t>(L.) N.E. Br. [</w:t>
      </w:r>
      <w:proofErr w:type="spellStart"/>
      <w:r w:rsidRPr="00B369EB">
        <w:rPr>
          <w:sz w:val="20"/>
          <w:szCs w:val="20"/>
          <w:lang w:val="es-ES_tradnl"/>
        </w:rPr>
        <w:t>Kanna</w:t>
      </w:r>
      <w:proofErr w:type="spellEnd"/>
      <w:r w:rsidRPr="00B369EB">
        <w:rPr>
          <w:sz w:val="20"/>
          <w:szCs w:val="20"/>
          <w:lang w:val="es-ES_tradnl"/>
        </w:rPr>
        <w:t>]</w:t>
      </w:r>
    </w:p>
    <w:p w14:paraId="0952D853" w14:textId="77777777" w:rsidR="007F2C3D" w:rsidRPr="00B369EB" w:rsidRDefault="001C673E">
      <w:pPr>
        <w:pStyle w:val="BodyTextIndent2"/>
        <w:numPr>
          <w:ilvl w:val="0"/>
          <w:numId w:val="3"/>
        </w:numPr>
        <w:rPr>
          <w:b/>
          <w:bCs/>
          <w:sz w:val="20"/>
          <w:szCs w:val="20"/>
          <w:lang w:val="es-ES_tradnl"/>
        </w:rPr>
      </w:pPr>
      <w:proofErr w:type="spellStart"/>
      <w:r w:rsidRPr="00B369EB">
        <w:rPr>
          <w:i/>
          <w:iCs/>
          <w:sz w:val="20"/>
          <w:szCs w:val="20"/>
          <w:lang w:val="es-ES_tradnl"/>
        </w:rPr>
        <w:t>Viburnum</w:t>
      </w:r>
      <w:proofErr w:type="spellEnd"/>
      <w:r w:rsidRPr="00B369EB">
        <w:rPr>
          <w:i/>
          <w:iCs/>
          <w:sz w:val="20"/>
          <w:szCs w:val="20"/>
          <w:lang w:val="es-ES_tradnl"/>
        </w:rPr>
        <w:t xml:space="preserve"> </w:t>
      </w:r>
      <w:r w:rsidRPr="00B369EB">
        <w:rPr>
          <w:sz w:val="20"/>
          <w:szCs w:val="20"/>
          <w:lang w:val="es-ES_tradnl"/>
        </w:rPr>
        <w:t>L. [Árbol bola de nieve]</w:t>
      </w:r>
    </w:p>
    <w:p w14:paraId="4A418E11" w14:textId="77777777" w:rsidR="00736C4C" w:rsidRPr="00B369EB" w:rsidRDefault="00736C4C" w:rsidP="00736C4C">
      <w:pPr>
        <w:pStyle w:val="BodyTextIndent2"/>
        <w:ind w:left="425"/>
        <w:rPr>
          <w:sz w:val="20"/>
          <w:szCs w:val="20"/>
          <w:lang w:val="es-ES_tradnl"/>
        </w:rPr>
      </w:pPr>
    </w:p>
    <w:p w14:paraId="4FF3F891" w14:textId="77777777" w:rsidR="00736C4C" w:rsidRPr="00B369EB" w:rsidRDefault="00736C4C" w:rsidP="00736C4C"/>
    <w:p w14:paraId="5D93BD13" w14:textId="77777777" w:rsidR="007F2C3D" w:rsidRPr="00B369EB" w:rsidRDefault="001C673E">
      <w:r w:rsidRPr="00B369EB">
        <w:t>2.</w:t>
      </w:r>
      <w:r w:rsidRPr="00B369EB">
        <w:tab/>
      </w:r>
      <w:r w:rsidRPr="00B369EB">
        <w:rPr>
          <w:u w:val="single"/>
        </w:rPr>
        <w:t>Cooperación en el examen</w:t>
      </w:r>
    </w:p>
    <w:p w14:paraId="07C9590C" w14:textId="77777777" w:rsidR="00736C4C" w:rsidRPr="00B369EB" w:rsidRDefault="00736C4C" w:rsidP="00736C4C"/>
    <w:p w14:paraId="5269DE5A" w14:textId="77777777" w:rsidR="007F2C3D" w:rsidRPr="00B369EB" w:rsidRDefault="001C673E">
      <w:r w:rsidRPr="00B369EB">
        <w:t xml:space="preserve">-Conclusión </w:t>
      </w:r>
      <w:r w:rsidRPr="00B369EB">
        <w:tab/>
        <w:t>de nuevos acuerdos (finalizados, en curso o previstos)</w:t>
      </w:r>
    </w:p>
    <w:p w14:paraId="4283F6FD" w14:textId="77777777" w:rsidR="00736C4C" w:rsidRPr="00B369EB" w:rsidRDefault="00736C4C" w:rsidP="00736C4C"/>
    <w:p w14:paraId="5BA72F03" w14:textId="77777777" w:rsidR="007F2C3D" w:rsidRPr="00B369EB" w:rsidRDefault="001C673E">
      <w:r w:rsidRPr="00B369EB">
        <w:tab/>
        <w:t>No hay novedades.</w:t>
      </w:r>
    </w:p>
    <w:p w14:paraId="37C35D88" w14:textId="77777777" w:rsidR="00736C4C" w:rsidRPr="00B369EB" w:rsidRDefault="00736C4C" w:rsidP="00736C4C"/>
    <w:p w14:paraId="5CE80345" w14:textId="02011834" w:rsidR="007F2C3D" w:rsidRPr="00B369EB" w:rsidRDefault="001C673E">
      <w:r w:rsidRPr="00B369EB">
        <w:t>-</w:t>
      </w:r>
      <w:r w:rsidR="005B2752">
        <w:tab/>
      </w:r>
      <w:r w:rsidRPr="00B369EB">
        <w:t>Modificación de acuerdos existentes (finalizados, en curso o previstos)</w:t>
      </w:r>
    </w:p>
    <w:p w14:paraId="4BD2583D" w14:textId="77777777" w:rsidR="00736C4C" w:rsidRPr="00B369EB" w:rsidRDefault="00736C4C" w:rsidP="00736C4C"/>
    <w:p w14:paraId="5F9004C2" w14:textId="77777777" w:rsidR="007F2C3D" w:rsidRPr="00B369EB" w:rsidRDefault="001C673E">
      <w:r w:rsidRPr="00B369EB">
        <w:tab/>
        <w:t>No hay novedades.</w:t>
      </w:r>
    </w:p>
    <w:p w14:paraId="33137632" w14:textId="77777777" w:rsidR="00736C4C" w:rsidRPr="00B369EB" w:rsidRDefault="00736C4C" w:rsidP="00736C4C"/>
    <w:p w14:paraId="0CAA2F57" w14:textId="77777777" w:rsidR="00736C4C" w:rsidRPr="00B369EB" w:rsidRDefault="00736C4C" w:rsidP="00736C4C"/>
    <w:p w14:paraId="77E6C18B" w14:textId="77777777" w:rsidR="007F2C3D" w:rsidRPr="00B369EB" w:rsidRDefault="001C673E">
      <w:pPr>
        <w:rPr>
          <w:u w:val="single"/>
        </w:rPr>
      </w:pPr>
      <w:r w:rsidRPr="00B369EB">
        <w:t>3.</w:t>
      </w:r>
      <w:r w:rsidRPr="00B369EB">
        <w:tab/>
      </w:r>
      <w:r w:rsidRPr="00B369EB">
        <w:rPr>
          <w:u w:val="single"/>
        </w:rPr>
        <w:t>Situación en el ámbito administrativo</w:t>
      </w:r>
    </w:p>
    <w:p w14:paraId="6A9BE063" w14:textId="77777777" w:rsidR="00736C4C" w:rsidRPr="00B369EB" w:rsidRDefault="00736C4C" w:rsidP="00736C4C"/>
    <w:p w14:paraId="78FC2F92" w14:textId="4710B799" w:rsidR="007F2C3D" w:rsidRPr="00B369EB" w:rsidRDefault="001C673E">
      <w:r w:rsidRPr="00B369EB">
        <w:t>-</w:t>
      </w:r>
      <w:r w:rsidR="005B2752">
        <w:tab/>
      </w:r>
      <w:r w:rsidRPr="00B369EB">
        <w:t>Cambios en la estructura administrativa</w:t>
      </w:r>
    </w:p>
    <w:p w14:paraId="7DB9ECAC" w14:textId="77777777" w:rsidR="00736C4C" w:rsidRPr="00B369EB" w:rsidRDefault="00736C4C" w:rsidP="00736C4C">
      <w:pPr>
        <w:ind w:left="425" w:hanging="425"/>
      </w:pPr>
    </w:p>
    <w:p w14:paraId="60B96D68" w14:textId="441E745B" w:rsidR="007F2C3D" w:rsidRPr="00B369EB" w:rsidRDefault="001C673E">
      <w:pPr>
        <w:ind w:left="567"/>
      </w:pPr>
      <w:r w:rsidRPr="00B369EB">
        <w:t>3.1</w:t>
      </w:r>
      <w:r w:rsidR="005B2752">
        <w:tab/>
      </w:r>
      <w:r w:rsidRPr="00B369EB">
        <w:t>Registrador: Derechos de Obtentor</w:t>
      </w:r>
    </w:p>
    <w:p w14:paraId="44A7106A" w14:textId="77777777" w:rsidR="007F2C3D" w:rsidRPr="00B369EB" w:rsidRDefault="001C673E">
      <w:pPr>
        <w:ind w:left="567"/>
      </w:pPr>
      <w:r w:rsidRPr="00B369EB">
        <w:tab/>
        <w:t xml:space="preserve">Sr. </w:t>
      </w:r>
      <w:proofErr w:type="spellStart"/>
      <w:r w:rsidRPr="00B369EB">
        <w:t>Andani</w:t>
      </w:r>
      <w:proofErr w:type="spellEnd"/>
      <w:r w:rsidRPr="00B369EB">
        <w:t xml:space="preserve"> </w:t>
      </w:r>
      <w:proofErr w:type="spellStart"/>
      <w:r w:rsidRPr="00B369EB">
        <w:t>Madzinge</w:t>
      </w:r>
      <w:proofErr w:type="spellEnd"/>
    </w:p>
    <w:p w14:paraId="582D7FFC" w14:textId="77777777" w:rsidR="007F2C3D" w:rsidRPr="00B369EB" w:rsidRDefault="001C673E">
      <w:pPr>
        <w:ind w:left="567"/>
      </w:pPr>
      <w:r w:rsidRPr="00B369EB">
        <w:tab/>
      </w:r>
      <w:hyperlink r:id="rId11" w:history="1">
        <w:r w:rsidRPr="00B369EB">
          <w:rPr>
            <w:rStyle w:val="Hyperlink"/>
          </w:rPr>
          <w:t>AndaniMA@dalrrd.gov.za</w:t>
        </w:r>
      </w:hyperlink>
    </w:p>
    <w:p w14:paraId="6493B957" w14:textId="77777777" w:rsidR="007F2C3D" w:rsidRPr="00B369EB" w:rsidRDefault="001C673E">
      <w:pPr>
        <w:ind w:left="567"/>
      </w:pPr>
      <w:r w:rsidRPr="00B369EB">
        <w:tab/>
        <w:t>(+27) 12 319 6084</w:t>
      </w:r>
    </w:p>
    <w:p w14:paraId="123A33CC" w14:textId="77777777" w:rsidR="007F2C3D" w:rsidRPr="00B369EB" w:rsidRDefault="001C673E">
      <w:pPr>
        <w:ind w:left="567"/>
      </w:pPr>
      <w:r w:rsidRPr="00B369EB">
        <w:tab/>
        <w:t>(+27) 60 718 5721</w:t>
      </w:r>
    </w:p>
    <w:p w14:paraId="5DE1CFE1" w14:textId="77777777" w:rsidR="00736C4C" w:rsidRPr="00B369EB" w:rsidRDefault="00736C4C" w:rsidP="00736C4C">
      <w:pPr>
        <w:ind w:left="425" w:hanging="425"/>
      </w:pPr>
    </w:p>
    <w:p w14:paraId="3AF0E279" w14:textId="7398DBBB" w:rsidR="007F2C3D" w:rsidRPr="00B369EB" w:rsidRDefault="001C673E">
      <w:pPr>
        <w:ind w:left="567"/>
      </w:pPr>
      <w:r w:rsidRPr="00B369EB">
        <w:t>3.2</w:t>
      </w:r>
      <w:r w:rsidR="005B2752">
        <w:tab/>
      </w:r>
      <w:r w:rsidRPr="00B369EB">
        <w:t>Gerente científico (Jefe): Control de Variedades (Centro de Evaluación DHE)</w:t>
      </w:r>
    </w:p>
    <w:p w14:paraId="462D1FD6" w14:textId="77777777" w:rsidR="007F2C3D" w:rsidRPr="00B369EB" w:rsidRDefault="001C673E">
      <w:pPr>
        <w:ind w:left="567"/>
      </w:pPr>
      <w:r w:rsidRPr="00B369EB">
        <w:tab/>
        <w:t xml:space="preserve">Sr. </w:t>
      </w:r>
      <w:proofErr w:type="spellStart"/>
      <w:r w:rsidRPr="00B369EB">
        <w:t>Sabelo</w:t>
      </w:r>
      <w:proofErr w:type="spellEnd"/>
      <w:r w:rsidRPr="00B369EB">
        <w:t xml:space="preserve"> </w:t>
      </w:r>
      <w:proofErr w:type="spellStart"/>
      <w:r w:rsidRPr="00B369EB">
        <w:t>Ndlazi</w:t>
      </w:r>
      <w:proofErr w:type="spellEnd"/>
    </w:p>
    <w:p w14:paraId="4C2B3373" w14:textId="77777777" w:rsidR="007F2C3D" w:rsidRPr="00B369EB" w:rsidRDefault="001C673E">
      <w:pPr>
        <w:ind w:left="567"/>
      </w:pPr>
      <w:r w:rsidRPr="00B369EB">
        <w:tab/>
      </w:r>
      <w:hyperlink r:id="rId12" w:history="1">
        <w:r w:rsidRPr="00B369EB">
          <w:rPr>
            <w:rStyle w:val="Hyperlink"/>
          </w:rPr>
          <w:t>SabeloNdl@dalrrd.gov.za</w:t>
        </w:r>
      </w:hyperlink>
    </w:p>
    <w:p w14:paraId="3061B365" w14:textId="77777777" w:rsidR="007F2C3D" w:rsidRPr="00B369EB" w:rsidRDefault="001C673E">
      <w:pPr>
        <w:ind w:left="567"/>
      </w:pPr>
      <w:r w:rsidRPr="00B369EB">
        <w:tab/>
        <w:t>(+27) 12 319 6086</w:t>
      </w:r>
    </w:p>
    <w:p w14:paraId="2F2C03C2" w14:textId="77777777" w:rsidR="00736C4C" w:rsidRPr="00B369EB" w:rsidRDefault="00736C4C" w:rsidP="00736C4C">
      <w:pPr>
        <w:ind w:left="425" w:hanging="425"/>
      </w:pPr>
    </w:p>
    <w:p w14:paraId="4698E9B1" w14:textId="0EDB70B5" w:rsidR="007F2C3D" w:rsidRPr="00B369EB" w:rsidRDefault="001C673E">
      <w:pPr>
        <w:ind w:left="425" w:hanging="425"/>
      </w:pPr>
      <w:r w:rsidRPr="00B369EB">
        <w:t>-</w:t>
      </w:r>
      <w:r w:rsidR="005B2752">
        <w:tab/>
      </w:r>
      <w:r w:rsidRPr="00B369EB">
        <w:t>Cambios en los procedimientos y sistemas de oficina</w:t>
      </w:r>
    </w:p>
    <w:p w14:paraId="7349F853" w14:textId="77777777" w:rsidR="00736C4C" w:rsidRPr="00B369EB" w:rsidRDefault="00736C4C" w:rsidP="00736C4C">
      <w:pPr>
        <w:ind w:left="425" w:hanging="425"/>
      </w:pPr>
    </w:p>
    <w:p w14:paraId="77C87DDD" w14:textId="77777777" w:rsidR="007F2C3D" w:rsidRPr="00B369EB" w:rsidRDefault="001C673E">
      <w:pPr>
        <w:ind w:left="425" w:hanging="425"/>
      </w:pPr>
      <w:r w:rsidRPr="00B369EB">
        <w:tab/>
        <w:t>No hay novedades.</w:t>
      </w:r>
    </w:p>
    <w:p w14:paraId="61916EE9" w14:textId="77777777" w:rsidR="00736C4C" w:rsidRPr="00B369EB" w:rsidRDefault="00736C4C" w:rsidP="00736C4C"/>
    <w:p w14:paraId="2358C294" w14:textId="77777777" w:rsidR="00736C4C" w:rsidRPr="00B369EB" w:rsidRDefault="00736C4C" w:rsidP="00736C4C"/>
    <w:p w14:paraId="1F2D6AC1" w14:textId="77777777" w:rsidR="007F2C3D" w:rsidRPr="00B369EB" w:rsidRDefault="001C673E">
      <w:pPr>
        <w:spacing w:line="360" w:lineRule="auto"/>
      </w:pPr>
      <w:r w:rsidRPr="00B369EB">
        <w:lastRenderedPageBreak/>
        <w:t>4.</w:t>
      </w:r>
      <w:r w:rsidRPr="00B369EB">
        <w:tab/>
      </w:r>
      <w:r w:rsidRPr="00B369EB">
        <w:rPr>
          <w:u w:val="single"/>
        </w:rPr>
        <w:t>Situación en el ámbito técnico</w:t>
      </w:r>
    </w:p>
    <w:p w14:paraId="2C65306D" w14:textId="77777777" w:rsidR="007F2C3D" w:rsidRPr="00B369EB" w:rsidRDefault="001C673E">
      <w:pPr>
        <w:pStyle w:val="ListParagraph"/>
        <w:ind w:left="426" w:hanging="426"/>
        <w:rPr>
          <w:rFonts w:eastAsiaTheme="minorHAnsi" w:cs="Arial"/>
          <w:szCs w:val="20"/>
        </w:rPr>
      </w:pPr>
      <w:r w:rsidRPr="00B369EB">
        <w:rPr>
          <w:szCs w:val="20"/>
        </w:rPr>
        <w:tab/>
      </w:r>
      <w:r w:rsidRPr="00B369EB">
        <w:rPr>
          <w:rFonts w:eastAsiaTheme="minorHAnsi" w:cs="Arial"/>
          <w:szCs w:val="20"/>
        </w:rPr>
        <w:t>Los centros de evaluación se encargan del examen biológico (examen DHE).</w:t>
      </w:r>
    </w:p>
    <w:p w14:paraId="40FF95EC" w14:textId="77777777" w:rsidR="00833038" w:rsidRPr="00B369EB" w:rsidRDefault="00833038" w:rsidP="00736C4C">
      <w:pPr>
        <w:pStyle w:val="ListParagraph"/>
        <w:ind w:left="426" w:hanging="426"/>
        <w:rPr>
          <w:rFonts w:eastAsiaTheme="minorHAnsi" w:cs="Arial"/>
          <w:szCs w:val="20"/>
        </w:rPr>
      </w:pPr>
    </w:p>
    <w:p w14:paraId="28274DC9" w14:textId="77777777" w:rsidR="007F2C3D" w:rsidRPr="00B369EB" w:rsidRDefault="001C673E">
      <w:pPr>
        <w:numPr>
          <w:ilvl w:val="0"/>
          <w:numId w:val="1"/>
        </w:numPr>
        <w:autoSpaceDE w:val="0"/>
        <w:autoSpaceDN w:val="0"/>
        <w:adjustRightInd w:val="0"/>
        <w:spacing w:line="276" w:lineRule="auto"/>
        <w:rPr>
          <w:rFonts w:cs="Arial"/>
        </w:rPr>
      </w:pPr>
      <w:r w:rsidRPr="00B369EB">
        <w:rPr>
          <w:rFonts w:cs="Arial"/>
        </w:rPr>
        <w:t xml:space="preserve">Se recibieron 323 solicitudes de derechos de obtentor, de las cuales el 57% [185] correspondían a cultivos agrícolas, el 9% [28] a cultivos ornamentales, el 25% [82] a cultivos frutales y el 9% [28] a cultivos hortícolas. </w:t>
      </w:r>
    </w:p>
    <w:p w14:paraId="06DFE3B3" w14:textId="77777777" w:rsidR="00736C4C" w:rsidRPr="00B369EB" w:rsidRDefault="00736C4C" w:rsidP="00736C4C">
      <w:pPr>
        <w:autoSpaceDE w:val="0"/>
        <w:autoSpaceDN w:val="0"/>
        <w:adjustRightInd w:val="0"/>
        <w:spacing w:line="276" w:lineRule="auto"/>
        <w:rPr>
          <w:rFonts w:cs="Arial"/>
        </w:rPr>
      </w:pPr>
    </w:p>
    <w:p w14:paraId="562F0F09" w14:textId="77777777" w:rsidR="007F2C3D" w:rsidRPr="00B369EB" w:rsidRDefault="001C673E">
      <w:pPr>
        <w:autoSpaceDE w:val="0"/>
        <w:autoSpaceDN w:val="0"/>
        <w:adjustRightInd w:val="0"/>
        <w:spacing w:line="276" w:lineRule="auto"/>
        <w:ind w:left="720"/>
        <w:rPr>
          <w:rFonts w:cs="Arial"/>
        </w:rPr>
      </w:pPr>
      <w:r w:rsidRPr="00B369EB">
        <w:rPr>
          <w:rFonts w:cs="Arial"/>
        </w:rPr>
        <w:t>El total de 318 subvenciones de enero a diciembre de 2023 fue el siguiente:</w:t>
      </w:r>
    </w:p>
    <w:p w14:paraId="6660B145" w14:textId="77777777" w:rsidR="00736C4C" w:rsidRPr="00B369EB" w:rsidRDefault="00736C4C" w:rsidP="00736C4C">
      <w:pPr>
        <w:autoSpaceDE w:val="0"/>
        <w:autoSpaceDN w:val="0"/>
        <w:adjustRightInd w:val="0"/>
        <w:spacing w:line="276" w:lineRule="auto"/>
        <w:ind w:left="720"/>
        <w:rPr>
          <w:rFonts w:cs="Arial"/>
        </w:rPr>
      </w:pPr>
    </w:p>
    <w:p w14:paraId="267D9E93" w14:textId="1F3BD033" w:rsidR="007F2C3D" w:rsidRPr="00B369EB" w:rsidRDefault="001C673E" w:rsidP="005B2752">
      <w:pPr>
        <w:tabs>
          <w:tab w:val="right" w:pos="3402"/>
        </w:tabs>
        <w:autoSpaceDE w:val="0"/>
        <w:autoSpaceDN w:val="0"/>
        <w:adjustRightInd w:val="0"/>
        <w:spacing w:line="276" w:lineRule="auto"/>
        <w:ind w:left="720"/>
        <w:rPr>
          <w:rFonts w:cs="Arial"/>
        </w:rPr>
      </w:pPr>
      <w:r w:rsidRPr="00B369EB">
        <w:rPr>
          <w:rFonts w:cs="Arial"/>
        </w:rPr>
        <w:t>Cultivos agrícolas</w:t>
      </w:r>
      <w:r w:rsidR="005B2752">
        <w:rPr>
          <w:rFonts w:cs="Arial"/>
        </w:rPr>
        <w:tab/>
      </w:r>
      <w:r w:rsidRPr="00B369EB">
        <w:rPr>
          <w:rFonts w:cs="Arial"/>
        </w:rPr>
        <w:t>114</w:t>
      </w:r>
    </w:p>
    <w:p w14:paraId="3C394691" w14:textId="597C6CB1" w:rsidR="007F2C3D" w:rsidRPr="00B369EB" w:rsidRDefault="001C673E" w:rsidP="005B2752">
      <w:pPr>
        <w:tabs>
          <w:tab w:val="right" w:pos="3402"/>
        </w:tabs>
        <w:autoSpaceDE w:val="0"/>
        <w:autoSpaceDN w:val="0"/>
        <w:adjustRightInd w:val="0"/>
        <w:spacing w:line="276" w:lineRule="auto"/>
        <w:ind w:left="720"/>
        <w:rPr>
          <w:rFonts w:cs="Arial"/>
        </w:rPr>
      </w:pPr>
      <w:r w:rsidRPr="00B369EB">
        <w:rPr>
          <w:rFonts w:cs="Arial"/>
        </w:rPr>
        <w:t>Cultivos hortícolas</w:t>
      </w:r>
      <w:r w:rsidR="005B2752">
        <w:rPr>
          <w:rFonts w:cs="Arial"/>
        </w:rPr>
        <w:tab/>
      </w:r>
      <w:r w:rsidRPr="00B369EB">
        <w:rPr>
          <w:rFonts w:cs="Arial"/>
        </w:rPr>
        <w:t>37</w:t>
      </w:r>
    </w:p>
    <w:p w14:paraId="7C55085B" w14:textId="0503EC1F" w:rsidR="007F2C3D" w:rsidRPr="00B369EB" w:rsidRDefault="001C673E" w:rsidP="005B2752">
      <w:pPr>
        <w:tabs>
          <w:tab w:val="right" w:pos="3402"/>
        </w:tabs>
        <w:autoSpaceDE w:val="0"/>
        <w:autoSpaceDN w:val="0"/>
        <w:adjustRightInd w:val="0"/>
        <w:spacing w:line="276" w:lineRule="auto"/>
        <w:ind w:left="720"/>
        <w:rPr>
          <w:rFonts w:cs="Arial"/>
        </w:rPr>
      </w:pPr>
      <w:r w:rsidRPr="00B369EB">
        <w:rPr>
          <w:rFonts w:cs="Arial"/>
        </w:rPr>
        <w:t>Cultivos frutales</w:t>
      </w:r>
      <w:r w:rsidR="005B2752">
        <w:rPr>
          <w:rFonts w:cs="Arial"/>
        </w:rPr>
        <w:tab/>
      </w:r>
      <w:r w:rsidRPr="00B369EB">
        <w:rPr>
          <w:rFonts w:cs="Arial"/>
        </w:rPr>
        <w:t>124</w:t>
      </w:r>
    </w:p>
    <w:p w14:paraId="652E8989" w14:textId="6DED3BC9" w:rsidR="007F2C3D" w:rsidRPr="00B369EB" w:rsidRDefault="00833038" w:rsidP="005B2752">
      <w:pPr>
        <w:tabs>
          <w:tab w:val="right" w:pos="3402"/>
        </w:tabs>
        <w:autoSpaceDE w:val="0"/>
        <w:autoSpaceDN w:val="0"/>
        <w:adjustRightInd w:val="0"/>
        <w:spacing w:line="276" w:lineRule="auto"/>
        <w:ind w:left="720"/>
        <w:rPr>
          <w:rFonts w:cs="Arial"/>
        </w:rPr>
      </w:pPr>
      <w:r w:rsidRPr="00B369EB">
        <w:rPr>
          <w:rFonts w:cs="Arial"/>
        </w:rPr>
        <w:t xml:space="preserve">Cultivos </w:t>
      </w:r>
      <w:r w:rsidR="001C673E" w:rsidRPr="00B369EB">
        <w:rPr>
          <w:rFonts w:cs="Arial"/>
        </w:rPr>
        <w:t>ornamentales</w:t>
      </w:r>
      <w:r w:rsidR="005B2752">
        <w:rPr>
          <w:rFonts w:cs="Arial"/>
        </w:rPr>
        <w:tab/>
      </w:r>
      <w:r w:rsidR="001C673E" w:rsidRPr="00B369EB">
        <w:rPr>
          <w:rFonts w:cs="Arial"/>
        </w:rPr>
        <w:t>43</w:t>
      </w:r>
    </w:p>
    <w:p w14:paraId="455F3DFC" w14:textId="77777777" w:rsidR="00736C4C" w:rsidRPr="00B369EB" w:rsidRDefault="00736C4C" w:rsidP="00736C4C">
      <w:pPr>
        <w:autoSpaceDE w:val="0"/>
        <w:autoSpaceDN w:val="0"/>
        <w:adjustRightInd w:val="0"/>
        <w:spacing w:line="276" w:lineRule="auto"/>
        <w:ind w:left="720"/>
        <w:rPr>
          <w:rFonts w:cs="Arial"/>
        </w:rPr>
      </w:pPr>
    </w:p>
    <w:p w14:paraId="71D9D7FE" w14:textId="77777777" w:rsidR="007F2C3D" w:rsidRPr="00B369EB" w:rsidRDefault="001C673E">
      <w:pPr>
        <w:numPr>
          <w:ilvl w:val="0"/>
          <w:numId w:val="1"/>
        </w:numPr>
        <w:autoSpaceDE w:val="0"/>
        <w:autoSpaceDN w:val="0"/>
        <w:adjustRightInd w:val="0"/>
        <w:spacing w:line="276" w:lineRule="auto"/>
        <w:rPr>
          <w:rFonts w:cs="Arial"/>
        </w:rPr>
      </w:pPr>
      <w:r w:rsidRPr="00B369EB">
        <w:rPr>
          <w:rFonts w:cs="Arial"/>
        </w:rPr>
        <w:t xml:space="preserve">En diciembre de 2023, un TOTAL de 3809 variedades tenían derechos de obtentor válidos en Sudáfrica, de las cuales el 20% [804] correspondían a cultivos ornamentales, el 40% [1500] a cultivos agrícolas, el 32% [1205] a cultivos frutales y el 8% [300] a cultivos hortícolas. </w:t>
      </w:r>
    </w:p>
    <w:p w14:paraId="4D40173F" w14:textId="77777777" w:rsidR="00736C4C" w:rsidRPr="00B369EB" w:rsidRDefault="00736C4C" w:rsidP="00736C4C"/>
    <w:p w14:paraId="2EC89BFD" w14:textId="77777777" w:rsidR="00736C4C" w:rsidRPr="00B369EB" w:rsidRDefault="00736C4C" w:rsidP="00736C4C"/>
    <w:p w14:paraId="6114F30E" w14:textId="77777777" w:rsidR="007F2C3D" w:rsidRPr="00B369EB" w:rsidRDefault="001C673E">
      <w:pPr>
        <w:rPr>
          <w:rFonts w:cs="Arial"/>
          <w:u w:val="single"/>
        </w:rPr>
      </w:pPr>
      <w:r w:rsidRPr="00B369EB">
        <w:rPr>
          <w:rFonts w:cs="Arial"/>
        </w:rPr>
        <w:t>5.</w:t>
      </w:r>
      <w:r w:rsidRPr="00B369EB">
        <w:rPr>
          <w:rFonts w:cs="Arial"/>
        </w:rPr>
        <w:tab/>
      </w:r>
      <w:r w:rsidRPr="00B369EB">
        <w:rPr>
          <w:rFonts w:cs="Arial"/>
          <w:u w:val="single"/>
        </w:rPr>
        <w:t>Actividades de fomento de la protección de las obtenciones vegetales</w:t>
      </w:r>
    </w:p>
    <w:p w14:paraId="7BBD3820" w14:textId="77777777" w:rsidR="00736C4C" w:rsidRPr="00B369EB" w:rsidRDefault="00736C4C" w:rsidP="00736C4C">
      <w:pPr>
        <w:rPr>
          <w:rFonts w:cs="Arial"/>
          <w:u w:val="single"/>
        </w:rPr>
      </w:pPr>
    </w:p>
    <w:tbl>
      <w:tblPr>
        <w:tblStyle w:val="TableGrid"/>
        <w:tblW w:w="9776" w:type="dxa"/>
        <w:tblLayout w:type="fixed"/>
        <w:tblCellMar>
          <w:top w:w="28" w:type="dxa"/>
          <w:left w:w="57" w:type="dxa"/>
          <w:bottom w:w="28" w:type="dxa"/>
          <w:right w:w="57" w:type="dxa"/>
        </w:tblCellMar>
        <w:tblLook w:val="01E0" w:firstRow="1" w:lastRow="1" w:firstColumn="1" w:lastColumn="1" w:noHBand="0" w:noVBand="0"/>
      </w:tblPr>
      <w:tblGrid>
        <w:gridCol w:w="1555"/>
        <w:gridCol w:w="1275"/>
        <w:gridCol w:w="1276"/>
        <w:gridCol w:w="1418"/>
        <w:gridCol w:w="2126"/>
        <w:gridCol w:w="2126"/>
      </w:tblGrid>
      <w:tr w:rsidR="00833038" w:rsidRPr="00B369EB" w14:paraId="582A6081" w14:textId="77777777" w:rsidTr="00833038">
        <w:tc>
          <w:tcPr>
            <w:tcW w:w="1555" w:type="dxa"/>
          </w:tcPr>
          <w:p w14:paraId="251F0DE0" w14:textId="77777777" w:rsidR="007F2C3D" w:rsidRPr="00B369EB" w:rsidRDefault="001C673E">
            <w:pPr>
              <w:jc w:val="left"/>
              <w:rPr>
                <w:rFonts w:cs="Arial"/>
                <w:sz w:val="18"/>
                <w:szCs w:val="18"/>
              </w:rPr>
            </w:pPr>
            <w:r w:rsidRPr="00B369EB">
              <w:rPr>
                <w:rFonts w:cs="Arial"/>
                <w:sz w:val="18"/>
                <w:szCs w:val="18"/>
              </w:rPr>
              <w:t>Título de la actividad</w:t>
            </w:r>
          </w:p>
        </w:tc>
        <w:tc>
          <w:tcPr>
            <w:tcW w:w="1275" w:type="dxa"/>
          </w:tcPr>
          <w:p w14:paraId="336413BB" w14:textId="77777777" w:rsidR="007F2C3D" w:rsidRPr="00B369EB" w:rsidRDefault="001C673E">
            <w:pPr>
              <w:jc w:val="left"/>
              <w:rPr>
                <w:rFonts w:cs="Arial"/>
                <w:sz w:val="18"/>
                <w:szCs w:val="18"/>
              </w:rPr>
            </w:pPr>
            <w:r w:rsidRPr="00B369EB">
              <w:rPr>
                <w:rFonts w:cs="Arial"/>
                <w:sz w:val="18"/>
                <w:szCs w:val="18"/>
              </w:rPr>
              <w:t>Fecha</w:t>
            </w:r>
          </w:p>
        </w:tc>
        <w:tc>
          <w:tcPr>
            <w:tcW w:w="1276" w:type="dxa"/>
          </w:tcPr>
          <w:p w14:paraId="2155C01B" w14:textId="77777777" w:rsidR="007F2C3D" w:rsidRPr="00B369EB" w:rsidRDefault="001C673E">
            <w:pPr>
              <w:jc w:val="left"/>
              <w:rPr>
                <w:rFonts w:cs="Arial"/>
                <w:sz w:val="18"/>
                <w:szCs w:val="18"/>
              </w:rPr>
            </w:pPr>
            <w:r w:rsidRPr="00B369EB">
              <w:rPr>
                <w:rFonts w:cs="Arial"/>
                <w:sz w:val="18"/>
                <w:szCs w:val="18"/>
              </w:rPr>
              <w:t>Ubicación</w:t>
            </w:r>
          </w:p>
        </w:tc>
        <w:tc>
          <w:tcPr>
            <w:tcW w:w="1418" w:type="dxa"/>
          </w:tcPr>
          <w:p w14:paraId="71B7971C" w14:textId="77777777" w:rsidR="007F2C3D" w:rsidRPr="00B369EB" w:rsidRDefault="001C673E">
            <w:pPr>
              <w:jc w:val="left"/>
              <w:rPr>
                <w:rFonts w:cs="Arial"/>
                <w:sz w:val="18"/>
                <w:szCs w:val="18"/>
              </w:rPr>
            </w:pPr>
            <w:r w:rsidRPr="00B369EB">
              <w:rPr>
                <w:rFonts w:cs="Arial"/>
                <w:sz w:val="18"/>
                <w:szCs w:val="18"/>
              </w:rPr>
              <w:t>Organizador(es)</w:t>
            </w:r>
          </w:p>
        </w:tc>
        <w:tc>
          <w:tcPr>
            <w:tcW w:w="2126" w:type="dxa"/>
          </w:tcPr>
          <w:p w14:paraId="2B2CFC11" w14:textId="77777777" w:rsidR="007F2C3D" w:rsidRPr="00B369EB" w:rsidRDefault="001C673E">
            <w:pPr>
              <w:jc w:val="left"/>
              <w:rPr>
                <w:rFonts w:cs="Arial"/>
                <w:sz w:val="18"/>
                <w:szCs w:val="18"/>
              </w:rPr>
            </w:pPr>
            <w:r w:rsidRPr="00B369EB">
              <w:rPr>
                <w:rFonts w:cs="Arial"/>
                <w:sz w:val="18"/>
                <w:szCs w:val="18"/>
              </w:rPr>
              <w:t>Objetivo de la actividad</w:t>
            </w:r>
          </w:p>
        </w:tc>
        <w:tc>
          <w:tcPr>
            <w:tcW w:w="2126" w:type="dxa"/>
          </w:tcPr>
          <w:p w14:paraId="77CEEB6B" w14:textId="77777777" w:rsidR="007F2C3D" w:rsidRPr="00B369EB" w:rsidRDefault="001C673E">
            <w:pPr>
              <w:jc w:val="left"/>
              <w:rPr>
                <w:rFonts w:cs="Arial"/>
                <w:sz w:val="18"/>
                <w:szCs w:val="18"/>
              </w:rPr>
            </w:pPr>
            <w:r w:rsidRPr="00B369EB">
              <w:rPr>
                <w:rFonts w:cs="Arial"/>
                <w:sz w:val="18"/>
                <w:szCs w:val="18"/>
              </w:rPr>
              <w:t>Países/organizaciones participantes (número de participantes de cada uno)</w:t>
            </w:r>
          </w:p>
        </w:tc>
      </w:tr>
      <w:tr w:rsidR="00833038" w:rsidRPr="00B369EB" w14:paraId="5088424D" w14:textId="77777777" w:rsidTr="00833038">
        <w:tc>
          <w:tcPr>
            <w:tcW w:w="1555" w:type="dxa"/>
          </w:tcPr>
          <w:p w14:paraId="61614393" w14:textId="16E513BA" w:rsidR="00833038" w:rsidRPr="00CF2CCD" w:rsidRDefault="001C673E" w:rsidP="00CF2CCD">
            <w:pPr>
              <w:pStyle w:val="ListParagraph"/>
              <w:ind w:left="0"/>
              <w:jc w:val="left"/>
              <w:rPr>
                <w:rFonts w:cs="Arial"/>
                <w:sz w:val="18"/>
                <w:szCs w:val="18"/>
              </w:rPr>
            </w:pPr>
            <w:r w:rsidRPr="00B369EB">
              <w:rPr>
                <w:rFonts w:cs="Arial"/>
                <w:sz w:val="18"/>
                <w:szCs w:val="18"/>
              </w:rPr>
              <w:t xml:space="preserve">1. Visita de estudiantes de fitomejoramiento de la Universidad de Limpopo a la Oficina Sudafricana de Derechos de Obtentor </w:t>
            </w:r>
          </w:p>
        </w:tc>
        <w:tc>
          <w:tcPr>
            <w:tcW w:w="1275" w:type="dxa"/>
          </w:tcPr>
          <w:p w14:paraId="6B6A4B6C" w14:textId="77777777" w:rsidR="007F2C3D" w:rsidRPr="00B369EB" w:rsidRDefault="001C673E">
            <w:pPr>
              <w:jc w:val="left"/>
              <w:rPr>
                <w:rFonts w:cs="Arial"/>
                <w:sz w:val="18"/>
                <w:szCs w:val="18"/>
              </w:rPr>
            </w:pPr>
            <w:r w:rsidRPr="00B369EB">
              <w:rPr>
                <w:rFonts w:cs="Arial"/>
                <w:sz w:val="18"/>
                <w:szCs w:val="18"/>
              </w:rPr>
              <w:t>9 de septiembre de 2023</w:t>
            </w:r>
          </w:p>
        </w:tc>
        <w:tc>
          <w:tcPr>
            <w:tcW w:w="1276" w:type="dxa"/>
          </w:tcPr>
          <w:p w14:paraId="67DC5316" w14:textId="77777777" w:rsidR="007F2C3D" w:rsidRPr="00B369EB" w:rsidRDefault="001C673E">
            <w:pPr>
              <w:jc w:val="left"/>
              <w:rPr>
                <w:rFonts w:cs="Arial"/>
                <w:sz w:val="18"/>
                <w:szCs w:val="18"/>
              </w:rPr>
            </w:pPr>
            <w:r w:rsidRPr="00B369EB">
              <w:rPr>
                <w:rFonts w:cs="Arial"/>
                <w:sz w:val="18"/>
                <w:szCs w:val="18"/>
              </w:rPr>
              <w:t xml:space="preserve">Consejo de Investigación Agrícola, </w:t>
            </w:r>
            <w:proofErr w:type="spellStart"/>
            <w:r w:rsidRPr="00B369EB">
              <w:rPr>
                <w:rFonts w:cs="Arial"/>
                <w:sz w:val="18"/>
                <w:szCs w:val="18"/>
              </w:rPr>
              <w:t>Roodeplaat</w:t>
            </w:r>
            <w:proofErr w:type="spellEnd"/>
            <w:r w:rsidRPr="00B369EB">
              <w:rPr>
                <w:rFonts w:cs="Arial"/>
                <w:sz w:val="18"/>
                <w:szCs w:val="18"/>
              </w:rPr>
              <w:t>, Pretoria. Sudáfrica</w:t>
            </w:r>
          </w:p>
        </w:tc>
        <w:tc>
          <w:tcPr>
            <w:tcW w:w="1418" w:type="dxa"/>
          </w:tcPr>
          <w:p w14:paraId="0A6C5FB7" w14:textId="77777777" w:rsidR="007F2C3D" w:rsidRPr="00B369EB" w:rsidRDefault="001C673E">
            <w:pPr>
              <w:jc w:val="left"/>
              <w:rPr>
                <w:rFonts w:cs="Arial"/>
                <w:sz w:val="18"/>
                <w:szCs w:val="18"/>
              </w:rPr>
            </w:pPr>
            <w:r w:rsidRPr="00B369EB">
              <w:rPr>
                <w:rFonts w:cs="Arial"/>
                <w:sz w:val="18"/>
                <w:szCs w:val="18"/>
              </w:rPr>
              <w:t>Consejo de Investigación Agrícola</w:t>
            </w:r>
          </w:p>
          <w:p w14:paraId="7AA0B875" w14:textId="77777777" w:rsidR="00833038" w:rsidRPr="00B369EB" w:rsidRDefault="00833038" w:rsidP="00833038">
            <w:pPr>
              <w:jc w:val="left"/>
              <w:rPr>
                <w:rFonts w:cs="Arial"/>
                <w:sz w:val="18"/>
                <w:szCs w:val="18"/>
              </w:rPr>
            </w:pPr>
          </w:p>
        </w:tc>
        <w:tc>
          <w:tcPr>
            <w:tcW w:w="2126" w:type="dxa"/>
          </w:tcPr>
          <w:p w14:paraId="02D15D90" w14:textId="77777777" w:rsidR="007F2C3D" w:rsidRPr="00B369EB" w:rsidRDefault="001C673E">
            <w:pPr>
              <w:jc w:val="left"/>
              <w:rPr>
                <w:rFonts w:cs="Arial"/>
                <w:sz w:val="18"/>
                <w:szCs w:val="18"/>
              </w:rPr>
            </w:pPr>
            <w:r w:rsidRPr="00B369EB">
              <w:rPr>
                <w:rFonts w:cs="Arial"/>
                <w:sz w:val="18"/>
                <w:szCs w:val="18"/>
              </w:rPr>
              <w:t>Presentar a los estudiantes de fitomejoramiento las actividades y los procedimientos de los derechos de obtentor y del examen DHE.</w:t>
            </w:r>
          </w:p>
        </w:tc>
        <w:tc>
          <w:tcPr>
            <w:tcW w:w="2126" w:type="dxa"/>
          </w:tcPr>
          <w:p w14:paraId="34FF16EF" w14:textId="77777777" w:rsidR="007F2C3D" w:rsidRPr="00B369EB" w:rsidRDefault="001C673E">
            <w:pPr>
              <w:jc w:val="left"/>
              <w:rPr>
                <w:rFonts w:cs="Arial"/>
                <w:sz w:val="18"/>
                <w:szCs w:val="18"/>
              </w:rPr>
            </w:pPr>
            <w:r w:rsidRPr="00B369EB">
              <w:rPr>
                <w:rFonts w:cs="Arial"/>
                <w:sz w:val="18"/>
                <w:szCs w:val="18"/>
              </w:rPr>
              <w:t>62 Estudiantes</w:t>
            </w:r>
          </w:p>
          <w:p w14:paraId="391F9C74" w14:textId="77777777" w:rsidR="007F2C3D" w:rsidRPr="00B369EB" w:rsidRDefault="001C673E">
            <w:pPr>
              <w:jc w:val="left"/>
              <w:rPr>
                <w:rFonts w:cs="Arial"/>
                <w:sz w:val="18"/>
                <w:szCs w:val="18"/>
              </w:rPr>
            </w:pPr>
            <w:r w:rsidRPr="00B369EB">
              <w:rPr>
                <w:rFonts w:cs="Arial"/>
                <w:sz w:val="18"/>
                <w:szCs w:val="18"/>
              </w:rPr>
              <w:t>1 conferenciante</w:t>
            </w:r>
          </w:p>
          <w:p w14:paraId="0CC1DF84" w14:textId="77777777" w:rsidR="007F2C3D" w:rsidRPr="00B369EB" w:rsidRDefault="001C673E">
            <w:pPr>
              <w:jc w:val="left"/>
              <w:rPr>
                <w:rFonts w:cs="Arial"/>
                <w:sz w:val="18"/>
                <w:szCs w:val="18"/>
              </w:rPr>
            </w:pPr>
            <w:r w:rsidRPr="00B369EB">
              <w:rPr>
                <w:rFonts w:cs="Arial"/>
                <w:sz w:val="18"/>
                <w:szCs w:val="18"/>
              </w:rPr>
              <w:t>2 funcionarios de derechos de obtentor</w:t>
            </w:r>
          </w:p>
          <w:p w14:paraId="04A88879" w14:textId="77777777" w:rsidR="007F2C3D" w:rsidRPr="00B369EB" w:rsidRDefault="001C673E">
            <w:pPr>
              <w:jc w:val="left"/>
              <w:rPr>
                <w:rFonts w:cs="Arial"/>
                <w:sz w:val="18"/>
                <w:szCs w:val="18"/>
              </w:rPr>
            </w:pPr>
            <w:r w:rsidRPr="00B369EB">
              <w:rPr>
                <w:rFonts w:cs="Arial"/>
                <w:sz w:val="18"/>
                <w:szCs w:val="18"/>
              </w:rPr>
              <w:t>3 Examinadores DHE</w:t>
            </w:r>
          </w:p>
        </w:tc>
      </w:tr>
      <w:tr w:rsidR="00833038" w:rsidRPr="00B369EB" w14:paraId="63BE6DCA" w14:textId="77777777" w:rsidTr="00833038">
        <w:tc>
          <w:tcPr>
            <w:tcW w:w="1555" w:type="dxa"/>
          </w:tcPr>
          <w:p w14:paraId="16647498" w14:textId="77777777" w:rsidR="007F2C3D" w:rsidRPr="00B369EB" w:rsidRDefault="001C673E">
            <w:pPr>
              <w:pStyle w:val="ListParagraph"/>
              <w:ind w:left="0"/>
              <w:jc w:val="left"/>
              <w:rPr>
                <w:rFonts w:cs="Arial"/>
                <w:sz w:val="18"/>
                <w:szCs w:val="18"/>
              </w:rPr>
            </w:pPr>
            <w:r w:rsidRPr="00B369EB">
              <w:rPr>
                <w:rFonts w:cs="Arial"/>
                <w:sz w:val="18"/>
                <w:szCs w:val="18"/>
              </w:rPr>
              <w:t xml:space="preserve">2. Talleres sobre el nuevo proyecto de reglamento de los derechos de obtentor </w:t>
            </w:r>
          </w:p>
          <w:p w14:paraId="26D99EEC" w14:textId="77777777" w:rsidR="00833038" w:rsidRPr="00B369EB" w:rsidRDefault="00833038" w:rsidP="00833038">
            <w:pPr>
              <w:pStyle w:val="ListParagraph"/>
              <w:ind w:left="0"/>
              <w:jc w:val="left"/>
              <w:rPr>
                <w:rFonts w:cs="Arial"/>
                <w:sz w:val="18"/>
                <w:szCs w:val="18"/>
              </w:rPr>
            </w:pPr>
          </w:p>
        </w:tc>
        <w:tc>
          <w:tcPr>
            <w:tcW w:w="1275" w:type="dxa"/>
          </w:tcPr>
          <w:p w14:paraId="05B283F4" w14:textId="77777777" w:rsidR="007F2C3D" w:rsidRPr="00B369EB" w:rsidRDefault="001C673E">
            <w:pPr>
              <w:jc w:val="left"/>
              <w:rPr>
                <w:rFonts w:cs="Arial"/>
                <w:sz w:val="18"/>
                <w:szCs w:val="18"/>
              </w:rPr>
            </w:pPr>
            <w:r w:rsidRPr="00B369EB">
              <w:rPr>
                <w:rFonts w:cs="Arial"/>
                <w:sz w:val="18"/>
                <w:szCs w:val="18"/>
              </w:rPr>
              <w:t>11-12 de octubre de 2024</w:t>
            </w:r>
          </w:p>
          <w:p w14:paraId="2C7CCE4E" w14:textId="77777777" w:rsidR="00833038" w:rsidRPr="00B369EB" w:rsidRDefault="00833038" w:rsidP="00833038">
            <w:pPr>
              <w:jc w:val="left"/>
              <w:rPr>
                <w:rFonts w:cs="Arial"/>
                <w:sz w:val="18"/>
                <w:szCs w:val="18"/>
              </w:rPr>
            </w:pPr>
          </w:p>
          <w:p w14:paraId="4B0355AF" w14:textId="77777777" w:rsidR="00833038" w:rsidRPr="00B369EB" w:rsidRDefault="00833038" w:rsidP="00833038">
            <w:pPr>
              <w:jc w:val="left"/>
              <w:rPr>
                <w:rFonts w:cs="Arial"/>
                <w:sz w:val="18"/>
                <w:szCs w:val="18"/>
              </w:rPr>
            </w:pPr>
          </w:p>
          <w:p w14:paraId="59FB0220" w14:textId="77777777" w:rsidR="007F2C3D" w:rsidRPr="00B369EB" w:rsidRDefault="001C673E">
            <w:pPr>
              <w:jc w:val="left"/>
              <w:rPr>
                <w:rFonts w:cs="Arial"/>
                <w:sz w:val="18"/>
                <w:szCs w:val="18"/>
              </w:rPr>
            </w:pPr>
            <w:r w:rsidRPr="00B369EB">
              <w:rPr>
                <w:rFonts w:cs="Arial"/>
                <w:sz w:val="18"/>
                <w:szCs w:val="18"/>
              </w:rPr>
              <w:t>8 y 9 de noviembre de 2024</w:t>
            </w:r>
          </w:p>
        </w:tc>
        <w:tc>
          <w:tcPr>
            <w:tcW w:w="1276" w:type="dxa"/>
          </w:tcPr>
          <w:p w14:paraId="0D8D6084" w14:textId="77777777" w:rsidR="007F2C3D" w:rsidRPr="00B369EB" w:rsidRDefault="001C673E">
            <w:pPr>
              <w:jc w:val="left"/>
              <w:rPr>
                <w:rFonts w:cs="Arial"/>
                <w:sz w:val="18"/>
                <w:szCs w:val="18"/>
              </w:rPr>
            </w:pPr>
            <w:r w:rsidRPr="00B369EB">
              <w:rPr>
                <w:rFonts w:cs="Arial"/>
                <w:sz w:val="18"/>
                <w:szCs w:val="18"/>
              </w:rPr>
              <w:t>Pretoria, Sudáfrica</w:t>
            </w:r>
          </w:p>
          <w:p w14:paraId="03BC6819" w14:textId="77777777" w:rsidR="00833038" w:rsidRPr="00B369EB" w:rsidRDefault="00833038" w:rsidP="00833038">
            <w:pPr>
              <w:jc w:val="left"/>
              <w:rPr>
                <w:rFonts w:cs="Arial"/>
                <w:sz w:val="18"/>
                <w:szCs w:val="18"/>
              </w:rPr>
            </w:pPr>
          </w:p>
          <w:p w14:paraId="6DF226C6" w14:textId="77777777" w:rsidR="00833038" w:rsidRPr="00B369EB" w:rsidRDefault="00833038" w:rsidP="00833038">
            <w:pPr>
              <w:jc w:val="left"/>
              <w:rPr>
                <w:rFonts w:cs="Arial"/>
                <w:sz w:val="18"/>
                <w:szCs w:val="18"/>
              </w:rPr>
            </w:pPr>
          </w:p>
          <w:p w14:paraId="7DC673C2" w14:textId="77777777" w:rsidR="007F2C3D" w:rsidRPr="00B369EB" w:rsidRDefault="001C673E">
            <w:pPr>
              <w:jc w:val="left"/>
              <w:rPr>
                <w:rFonts w:cs="Arial"/>
                <w:sz w:val="18"/>
                <w:szCs w:val="18"/>
              </w:rPr>
            </w:pPr>
            <w:r w:rsidRPr="00B369EB">
              <w:rPr>
                <w:rFonts w:cs="Arial"/>
                <w:sz w:val="18"/>
                <w:szCs w:val="18"/>
              </w:rPr>
              <w:t>Ciudad del Cabo, Sudáfrica</w:t>
            </w:r>
          </w:p>
        </w:tc>
        <w:tc>
          <w:tcPr>
            <w:tcW w:w="1418" w:type="dxa"/>
          </w:tcPr>
          <w:p w14:paraId="4153E72B" w14:textId="77777777" w:rsidR="007F2C3D" w:rsidRPr="00B369EB" w:rsidRDefault="001C673E">
            <w:pPr>
              <w:jc w:val="left"/>
              <w:rPr>
                <w:rFonts w:cs="Arial"/>
                <w:sz w:val="18"/>
                <w:szCs w:val="18"/>
              </w:rPr>
            </w:pPr>
            <w:r w:rsidRPr="00B369EB">
              <w:rPr>
                <w:rFonts w:cs="Arial"/>
                <w:sz w:val="18"/>
                <w:szCs w:val="18"/>
              </w:rPr>
              <w:t xml:space="preserve">Oficina de derechos de obtentor de SA, </w:t>
            </w:r>
          </w:p>
          <w:p w14:paraId="4AD822AE" w14:textId="77777777" w:rsidR="007F2C3D" w:rsidRPr="00B369EB" w:rsidRDefault="001C673E">
            <w:pPr>
              <w:jc w:val="left"/>
              <w:rPr>
                <w:rFonts w:cs="Arial"/>
                <w:sz w:val="18"/>
                <w:szCs w:val="18"/>
              </w:rPr>
            </w:pPr>
            <w:r w:rsidRPr="00B369EB">
              <w:rPr>
                <w:rFonts w:cs="Arial"/>
                <w:sz w:val="18"/>
                <w:szCs w:val="18"/>
              </w:rPr>
              <w:t xml:space="preserve">Departamento de Agricultura, Reforma Agraria y Desarrollo Rural </w:t>
            </w:r>
          </w:p>
          <w:p w14:paraId="60B740AE" w14:textId="77777777" w:rsidR="00833038" w:rsidRPr="00B369EB" w:rsidRDefault="00833038" w:rsidP="00833038">
            <w:pPr>
              <w:jc w:val="left"/>
              <w:rPr>
                <w:rFonts w:cs="Arial"/>
                <w:sz w:val="18"/>
                <w:szCs w:val="18"/>
              </w:rPr>
            </w:pPr>
          </w:p>
        </w:tc>
        <w:tc>
          <w:tcPr>
            <w:tcW w:w="2126" w:type="dxa"/>
          </w:tcPr>
          <w:p w14:paraId="71393A62" w14:textId="77777777" w:rsidR="007F2C3D" w:rsidRPr="00B369EB" w:rsidRDefault="001C673E">
            <w:pPr>
              <w:jc w:val="left"/>
              <w:rPr>
                <w:rFonts w:cs="Arial"/>
                <w:sz w:val="18"/>
                <w:szCs w:val="18"/>
              </w:rPr>
            </w:pPr>
            <w:r w:rsidRPr="00B369EB">
              <w:rPr>
                <w:rFonts w:cs="Arial"/>
                <w:sz w:val="18"/>
                <w:szCs w:val="18"/>
              </w:rPr>
              <w:t xml:space="preserve">Presentaciones y debates sobre el nuevo proyecto de Reglamento de derechos de obtentor </w:t>
            </w:r>
          </w:p>
        </w:tc>
        <w:tc>
          <w:tcPr>
            <w:tcW w:w="2126" w:type="dxa"/>
          </w:tcPr>
          <w:p w14:paraId="3B81C660" w14:textId="77777777" w:rsidR="007F2C3D" w:rsidRPr="00B369EB" w:rsidRDefault="001C673E">
            <w:pPr>
              <w:jc w:val="left"/>
              <w:rPr>
                <w:rFonts w:cs="Arial"/>
                <w:sz w:val="18"/>
                <w:szCs w:val="18"/>
              </w:rPr>
            </w:pPr>
            <w:r w:rsidRPr="00B369EB">
              <w:rPr>
                <w:rFonts w:cs="Arial"/>
                <w:sz w:val="18"/>
                <w:szCs w:val="18"/>
              </w:rPr>
              <w:t xml:space="preserve">Industria, grupos de productos, investigadores, </w:t>
            </w:r>
          </w:p>
          <w:p w14:paraId="7CA4259E" w14:textId="77777777" w:rsidR="007F2C3D" w:rsidRPr="00B369EB" w:rsidRDefault="001C673E">
            <w:pPr>
              <w:jc w:val="left"/>
              <w:rPr>
                <w:rFonts w:cs="Arial"/>
                <w:sz w:val="18"/>
                <w:szCs w:val="18"/>
              </w:rPr>
            </w:pPr>
            <w:r w:rsidRPr="00B369EB">
              <w:rPr>
                <w:rFonts w:cs="Arial"/>
                <w:sz w:val="18"/>
                <w:szCs w:val="18"/>
              </w:rPr>
              <w:t>Examinadores DHE, organizaciones de agricultores, organizaciones de la sociedad civil, funcionarios públicos y abogados especializados en patentes.</w:t>
            </w:r>
          </w:p>
          <w:p w14:paraId="404408F2" w14:textId="77777777" w:rsidR="00833038" w:rsidRPr="00B369EB" w:rsidRDefault="00833038" w:rsidP="00833038">
            <w:pPr>
              <w:jc w:val="left"/>
              <w:rPr>
                <w:rFonts w:cs="Arial"/>
                <w:sz w:val="18"/>
                <w:szCs w:val="18"/>
              </w:rPr>
            </w:pPr>
          </w:p>
          <w:p w14:paraId="6F567B20" w14:textId="631A71DF" w:rsidR="00833038" w:rsidRPr="00B369EB" w:rsidRDefault="001C673E" w:rsidP="00833038">
            <w:pPr>
              <w:jc w:val="left"/>
              <w:rPr>
                <w:rFonts w:cs="Arial"/>
                <w:sz w:val="18"/>
                <w:szCs w:val="18"/>
              </w:rPr>
            </w:pPr>
            <w:r w:rsidRPr="00B369EB">
              <w:rPr>
                <w:rFonts w:cs="Arial"/>
                <w:sz w:val="18"/>
                <w:szCs w:val="18"/>
              </w:rPr>
              <w:t>± 100 participantes</w:t>
            </w:r>
          </w:p>
        </w:tc>
      </w:tr>
      <w:tr w:rsidR="00833038" w:rsidRPr="00B369EB" w14:paraId="1DFCC683" w14:textId="77777777" w:rsidTr="00833038">
        <w:tc>
          <w:tcPr>
            <w:tcW w:w="1555" w:type="dxa"/>
          </w:tcPr>
          <w:p w14:paraId="1B86BF45" w14:textId="77777777" w:rsidR="007F2C3D" w:rsidRPr="00B369EB" w:rsidRDefault="001C673E">
            <w:pPr>
              <w:pStyle w:val="ListParagraph"/>
              <w:ind w:left="0"/>
              <w:jc w:val="left"/>
              <w:rPr>
                <w:rFonts w:cs="Arial"/>
                <w:sz w:val="18"/>
                <w:szCs w:val="18"/>
              </w:rPr>
            </w:pPr>
            <w:r w:rsidRPr="00B369EB">
              <w:rPr>
                <w:rFonts w:cs="Arial"/>
                <w:sz w:val="18"/>
                <w:szCs w:val="18"/>
              </w:rPr>
              <w:t>3. Reunión NUMPRO</w:t>
            </w:r>
          </w:p>
          <w:p w14:paraId="75FF2859" w14:textId="088F681C" w:rsidR="00833038" w:rsidRPr="00B369EB" w:rsidRDefault="001C673E" w:rsidP="00833038">
            <w:pPr>
              <w:pStyle w:val="ListParagraph"/>
              <w:ind w:left="0"/>
              <w:jc w:val="left"/>
              <w:rPr>
                <w:rFonts w:cs="Arial"/>
                <w:sz w:val="18"/>
                <w:szCs w:val="18"/>
              </w:rPr>
            </w:pPr>
            <w:r w:rsidRPr="00B369EB">
              <w:rPr>
                <w:rFonts w:cs="Arial"/>
                <w:sz w:val="18"/>
                <w:szCs w:val="18"/>
              </w:rPr>
              <w:t>[Productores de material nuclear]</w:t>
            </w:r>
          </w:p>
        </w:tc>
        <w:tc>
          <w:tcPr>
            <w:tcW w:w="1275" w:type="dxa"/>
          </w:tcPr>
          <w:p w14:paraId="58BBCFC6" w14:textId="77777777" w:rsidR="007F2C3D" w:rsidRPr="00B369EB" w:rsidRDefault="001C673E">
            <w:pPr>
              <w:jc w:val="left"/>
              <w:rPr>
                <w:rFonts w:cs="Arial"/>
                <w:sz w:val="18"/>
                <w:szCs w:val="18"/>
              </w:rPr>
            </w:pPr>
            <w:r w:rsidRPr="00B369EB">
              <w:rPr>
                <w:rFonts w:cs="Arial"/>
                <w:sz w:val="18"/>
                <w:szCs w:val="18"/>
              </w:rPr>
              <w:t>14 de mayo de 2024</w:t>
            </w:r>
          </w:p>
        </w:tc>
        <w:tc>
          <w:tcPr>
            <w:tcW w:w="1276" w:type="dxa"/>
          </w:tcPr>
          <w:p w14:paraId="381EB912" w14:textId="77777777" w:rsidR="007F2C3D" w:rsidRPr="00B369EB" w:rsidRDefault="001C673E">
            <w:pPr>
              <w:jc w:val="left"/>
              <w:rPr>
                <w:rFonts w:cs="Arial"/>
                <w:sz w:val="18"/>
                <w:szCs w:val="18"/>
              </w:rPr>
            </w:pPr>
            <w:r w:rsidRPr="00B369EB">
              <w:rPr>
                <w:rFonts w:cs="Arial"/>
                <w:sz w:val="18"/>
                <w:szCs w:val="18"/>
              </w:rPr>
              <w:t>Pretoria, Sudáfrica</w:t>
            </w:r>
          </w:p>
        </w:tc>
        <w:tc>
          <w:tcPr>
            <w:tcW w:w="1418" w:type="dxa"/>
          </w:tcPr>
          <w:p w14:paraId="0DAEAEB9" w14:textId="77777777" w:rsidR="007F2C3D" w:rsidRPr="00B369EB" w:rsidRDefault="001C673E">
            <w:pPr>
              <w:jc w:val="left"/>
              <w:rPr>
                <w:rFonts w:cs="Arial"/>
                <w:sz w:val="18"/>
                <w:szCs w:val="18"/>
              </w:rPr>
            </w:pPr>
            <w:r w:rsidRPr="00B369EB">
              <w:rPr>
                <w:rFonts w:cs="Arial"/>
                <w:sz w:val="18"/>
                <w:szCs w:val="18"/>
              </w:rPr>
              <w:t>Servicio de certificación de patatas</w:t>
            </w:r>
          </w:p>
        </w:tc>
        <w:tc>
          <w:tcPr>
            <w:tcW w:w="2126" w:type="dxa"/>
          </w:tcPr>
          <w:p w14:paraId="0171B81E" w14:textId="77777777" w:rsidR="007F2C3D" w:rsidRPr="00B369EB" w:rsidRDefault="001C673E">
            <w:pPr>
              <w:jc w:val="left"/>
              <w:rPr>
                <w:rFonts w:cs="Arial"/>
                <w:sz w:val="18"/>
                <w:szCs w:val="18"/>
              </w:rPr>
            </w:pPr>
            <w:r w:rsidRPr="00B369EB">
              <w:rPr>
                <w:rFonts w:cs="Arial"/>
                <w:sz w:val="18"/>
                <w:szCs w:val="18"/>
              </w:rPr>
              <w:t>Informe sobre las estadísticas de derechos de obtentor para las variedades de patata</w:t>
            </w:r>
          </w:p>
        </w:tc>
        <w:tc>
          <w:tcPr>
            <w:tcW w:w="2126" w:type="dxa"/>
          </w:tcPr>
          <w:p w14:paraId="02B10043" w14:textId="77777777" w:rsidR="007F2C3D" w:rsidRPr="00B369EB" w:rsidRDefault="001C673E">
            <w:pPr>
              <w:jc w:val="left"/>
              <w:rPr>
                <w:rFonts w:cs="Arial"/>
                <w:sz w:val="18"/>
                <w:szCs w:val="18"/>
              </w:rPr>
            </w:pPr>
            <w:r w:rsidRPr="00B369EB">
              <w:rPr>
                <w:rFonts w:cs="Arial"/>
                <w:sz w:val="18"/>
                <w:szCs w:val="18"/>
              </w:rPr>
              <w:t>Industria sudafricana de la patata</w:t>
            </w:r>
          </w:p>
          <w:p w14:paraId="5B63C801" w14:textId="77777777" w:rsidR="007F2C3D" w:rsidRPr="00B369EB" w:rsidRDefault="001C673E">
            <w:pPr>
              <w:jc w:val="left"/>
              <w:rPr>
                <w:rFonts w:cs="Arial"/>
                <w:sz w:val="18"/>
                <w:szCs w:val="18"/>
              </w:rPr>
            </w:pPr>
            <w:r w:rsidRPr="00B369EB">
              <w:rPr>
                <w:rFonts w:cs="Arial"/>
                <w:sz w:val="18"/>
                <w:szCs w:val="18"/>
              </w:rPr>
              <w:t>± 60 participantes</w:t>
            </w:r>
          </w:p>
        </w:tc>
      </w:tr>
      <w:tr w:rsidR="00833038" w:rsidRPr="00B369EB" w14:paraId="3B76CF29" w14:textId="77777777" w:rsidTr="00833038">
        <w:tc>
          <w:tcPr>
            <w:tcW w:w="1555" w:type="dxa"/>
          </w:tcPr>
          <w:p w14:paraId="0558494A" w14:textId="77777777" w:rsidR="007F2C3D" w:rsidRPr="00B369EB" w:rsidRDefault="001C673E">
            <w:pPr>
              <w:pStyle w:val="ListParagraph"/>
              <w:ind w:left="0"/>
              <w:jc w:val="left"/>
              <w:rPr>
                <w:rFonts w:cs="Arial"/>
                <w:sz w:val="18"/>
                <w:szCs w:val="18"/>
              </w:rPr>
            </w:pPr>
            <w:r w:rsidRPr="00B369EB">
              <w:rPr>
                <w:rFonts w:cs="Arial"/>
                <w:sz w:val="18"/>
                <w:szCs w:val="18"/>
              </w:rPr>
              <w:t xml:space="preserve">4. Taller sobre el sistema sudafricano de derechos de obtentor en la Universidad de Limpopo </w:t>
            </w:r>
          </w:p>
          <w:p w14:paraId="27004A1E" w14:textId="77777777" w:rsidR="00833038" w:rsidRPr="00B369EB" w:rsidRDefault="00833038" w:rsidP="00833038">
            <w:pPr>
              <w:pStyle w:val="ListParagraph"/>
              <w:ind w:left="0"/>
              <w:jc w:val="left"/>
              <w:rPr>
                <w:rFonts w:cs="Arial"/>
                <w:sz w:val="18"/>
                <w:szCs w:val="18"/>
              </w:rPr>
            </w:pPr>
          </w:p>
        </w:tc>
        <w:tc>
          <w:tcPr>
            <w:tcW w:w="1275" w:type="dxa"/>
          </w:tcPr>
          <w:p w14:paraId="51281725" w14:textId="77777777" w:rsidR="007F2C3D" w:rsidRPr="00B369EB" w:rsidRDefault="001C673E">
            <w:pPr>
              <w:jc w:val="left"/>
              <w:rPr>
                <w:rFonts w:cs="Arial"/>
                <w:sz w:val="18"/>
                <w:szCs w:val="18"/>
              </w:rPr>
            </w:pPr>
            <w:r w:rsidRPr="00B369EB">
              <w:rPr>
                <w:rFonts w:cs="Arial"/>
                <w:sz w:val="18"/>
                <w:szCs w:val="18"/>
              </w:rPr>
              <w:t>15 de mayo de 2024</w:t>
            </w:r>
          </w:p>
        </w:tc>
        <w:tc>
          <w:tcPr>
            <w:tcW w:w="1276" w:type="dxa"/>
          </w:tcPr>
          <w:p w14:paraId="0A0CD3C4" w14:textId="77777777" w:rsidR="007F2C3D" w:rsidRPr="00B369EB" w:rsidRDefault="001C673E">
            <w:pPr>
              <w:jc w:val="left"/>
              <w:rPr>
                <w:rFonts w:cs="Arial"/>
                <w:sz w:val="18"/>
                <w:szCs w:val="18"/>
              </w:rPr>
            </w:pPr>
            <w:r w:rsidRPr="00B369EB">
              <w:rPr>
                <w:rFonts w:cs="Arial"/>
                <w:sz w:val="18"/>
                <w:szCs w:val="18"/>
              </w:rPr>
              <w:t>Universidad de Limpopo</w:t>
            </w:r>
          </w:p>
        </w:tc>
        <w:tc>
          <w:tcPr>
            <w:tcW w:w="1418" w:type="dxa"/>
          </w:tcPr>
          <w:p w14:paraId="2924BA35" w14:textId="77777777" w:rsidR="007F2C3D" w:rsidRPr="00B369EB" w:rsidRDefault="001C673E">
            <w:pPr>
              <w:jc w:val="left"/>
              <w:rPr>
                <w:rFonts w:cs="Arial"/>
                <w:sz w:val="18"/>
                <w:szCs w:val="18"/>
              </w:rPr>
            </w:pPr>
            <w:r w:rsidRPr="00B369EB">
              <w:rPr>
                <w:rFonts w:cs="Arial"/>
                <w:sz w:val="18"/>
                <w:szCs w:val="18"/>
              </w:rPr>
              <w:t xml:space="preserve">Oficina de derechos de obtentor de SA, </w:t>
            </w:r>
          </w:p>
          <w:p w14:paraId="337EB1BA" w14:textId="0099A376" w:rsidR="00833038" w:rsidRPr="00B369EB" w:rsidRDefault="001C673E" w:rsidP="00833038">
            <w:pPr>
              <w:jc w:val="left"/>
              <w:rPr>
                <w:rFonts w:cs="Arial"/>
                <w:sz w:val="18"/>
                <w:szCs w:val="18"/>
              </w:rPr>
            </w:pPr>
            <w:r w:rsidRPr="00B369EB">
              <w:rPr>
                <w:rFonts w:cs="Arial"/>
                <w:sz w:val="18"/>
                <w:szCs w:val="18"/>
              </w:rPr>
              <w:t>Departamento de Agricultura, Reforma Agraria y Desarrollo Rural</w:t>
            </w:r>
          </w:p>
        </w:tc>
        <w:tc>
          <w:tcPr>
            <w:tcW w:w="2126" w:type="dxa"/>
          </w:tcPr>
          <w:p w14:paraId="1E74FD6C" w14:textId="77777777" w:rsidR="007F2C3D" w:rsidRPr="00B369EB" w:rsidRDefault="001C673E">
            <w:pPr>
              <w:jc w:val="left"/>
              <w:rPr>
                <w:rFonts w:cs="Arial"/>
                <w:sz w:val="18"/>
                <w:szCs w:val="18"/>
              </w:rPr>
            </w:pPr>
            <w:r w:rsidRPr="00B369EB">
              <w:rPr>
                <w:rFonts w:cs="Arial"/>
                <w:sz w:val="18"/>
                <w:szCs w:val="18"/>
              </w:rPr>
              <w:t>Presentar a los estudiantes de fitomejoramiento las actividades y los procedimientos de los derechos de obtentor y del examen DHE.</w:t>
            </w:r>
          </w:p>
        </w:tc>
        <w:tc>
          <w:tcPr>
            <w:tcW w:w="2126" w:type="dxa"/>
          </w:tcPr>
          <w:p w14:paraId="092AD6D7" w14:textId="77777777" w:rsidR="007F2C3D" w:rsidRPr="00B369EB" w:rsidRDefault="001C673E">
            <w:pPr>
              <w:jc w:val="left"/>
              <w:rPr>
                <w:rFonts w:cs="Arial"/>
                <w:sz w:val="18"/>
                <w:szCs w:val="18"/>
              </w:rPr>
            </w:pPr>
            <w:r w:rsidRPr="00B369EB">
              <w:rPr>
                <w:rFonts w:cs="Arial"/>
                <w:sz w:val="18"/>
                <w:szCs w:val="18"/>
              </w:rPr>
              <w:t>±100 estudiantes</w:t>
            </w:r>
          </w:p>
          <w:p w14:paraId="4B80B395" w14:textId="77777777" w:rsidR="007F2C3D" w:rsidRPr="00B369EB" w:rsidRDefault="001C673E">
            <w:pPr>
              <w:jc w:val="left"/>
              <w:rPr>
                <w:rFonts w:cs="Arial"/>
                <w:sz w:val="18"/>
                <w:szCs w:val="18"/>
              </w:rPr>
            </w:pPr>
            <w:r w:rsidRPr="00B369EB">
              <w:rPr>
                <w:rFonts w:cs="Arial"/>
                <w:sz w:val="18"/>
                <w:szCs w:val="18"/>
              </w:rPr>
              <w:t>3 conferenciantes</w:t>
            </w:r>
          </w:p>
          <w:p w14:paraId="2376498A" w14:textId="77777777" w:rsidR="007F2C3D" w:rsidRPr="00B369EB" w:rsidRDefault="001C673E">
            <w:pPr>
              <w:jc w:val="left"/>
              <w:rPr>
                <w:rFonts w:cs="Arial"/>
                <w:sz w:val="18"/>
                <w:szCs w:val="18"/>
              </w:rPr>
            </w:pPr>
            <w:r w:rsidRPr="00B369EB">
              <w:rPr>
                <w:rFonts w:cs="Arial"/>
                <w:sz w:val="18"/>
                <w:szCs w:val="18"/>
              </w:rPr>
              <w:t>2 funcionarios de derechos de obtentor</w:t>
            </w:r>
          </w:p>
          <w:p w14:paraId="0BEFEC3B" w14:textId="77777777" w:rsidR="007F2C3D" w:rsidRPr="00B369EB" w:rsidRDefault="001C673E">
            <w:pPr>
              <w:jc w:val="left"/>
              <w:rPr>
                <w:rFonts w:cs="Arial"/>
                <w:sz w:val="18"/>
                <w:szCs w:val="18"/>
              </w:rPr>
            </w:pPr>
            <w:r w:rsidRPr="00B369EB">
              <w:rPr>
                <w:rFonts w:cs="Arial"/>
                <w:sz w:val="18"/>
                <w:szCs w:val="18"/>
              </w:rPr>
              <w:t>1 Examinador DHE</w:t>
            </w:r>
          </w:p>
          <w:p w14:paraId="0E4656A6" w14:textId="77777777" w:rsidR="007F2C3D" w:rsidRPr="00B369EB" w:rsidRDefault="001C673E">
            <w:pPr>
              <w:jc w:val="left"/>
              <w:rPr>
                <w:rFonts w:cs="Arial"/>
                <w:sz w:val="18"/>
                <w:szCs w:val="18"/>
              </w:rPr>
            </w:pPr>
            <w:r w:rsidRPr="00B369EB">
              <w:rPr>
                <w:rFonts w:cs="Arial"/>
                <w:sz w:val="18"/>
                <w:szCs w:val="18"/>
              </w:rPr>
              <w:t>1 Científico del banco de genes</w:t>
            </w:r>
          </w:p>
        </w:tc>
      </w:tr>
    </w:tbl>
    <w:p w14:paraId="57F61BDA" w14:textId="77777777" w:rsidR="00736C4C" w:rsidRPr="00B369EB" w:rsidRDefault="00736C4C" w:rsidP="00736C4C">
      <w:pPr>
        <w:rPr>
          <w:u w:val="single"/>
        </w:rPr>
      </w:pPr>
    </w:p>
    <w:p w14:paraId="6FBF9910" w14:textId="77777777" w:rsidR="007F2C3D" w:rsidRPr="00B369EB" w:rsidRDefault="001C673E">
      <w:pPr>
        <w:jc w:val="right"/>
      </w:pPr>
      <w:r w:rsidRPr="00B369EB">
        <w:t>[Sigue el Anexo II]</w:t>
      </w:r>
    </w:p>
    <w:p w14:paraId="245FE570" w14:textId="77777777" w:rsidR="001F63A8" w:rsidRPr="00B369EB" w:rsidRDefault="001F63A8" w:rsidP="001F63A8">
      <w:pPr>
        <w:sectPr w:rsidR="001F63A8" w:rsidRPr="00B369EB" w:rsidSect="006365C8">
          <w:headerReference w:type="default" r:id="rId13"/>
          <w:pgSz w:w="11907" w:h="16840" w:code="9"/>
          <w:pgMar w:top="510" w:right="1134" w:bottom="1134" w:left="1134" w:header="510" w:footer="680" w:gutter="0"/>
          <w:pgNumType w:start="1"/>
          <w:cols w:space="720"/>
          <w:titlePg/>
        </w:sectPr>
      </w:pPr>
    </w:p>
    <w:p w14:paraId="0DF1BF73" w14:textId="77777777" w:rsidR="007F2C3D" w:rsidRPr="00B369EB" w:rsidRDefault="001C673E">
      <w:pPr>
        <w:jc w:val="center"/>
      </w:pPr>
      <w:r w:rsidRPr="00B369EB">
        <w:lastRenderedPageBreak/>
        <w:t>C/58/13</w:t>
      </w:r>
    </w:p>
    <w:p w14:paraId="0E4A5661" w14:textId="77777777" w:rsidR="001F63A8" w:rsidRPr="00B369EB" w:rsidRDefault="001F63A8" w:rsidP="001F63A8">
      <w:pPr>
        <w:jc w:val="center"/>
      </w:pPr>
    </w:p>
    <w:p w14:paraId="54E0722C" w14:textId="77777777" w:rsidR="007F2C3D" w:rsidRPr="00B369EB" w:rsidRDefault="001C673E">
      <w:pPr>
        <w:jc w:val="center"/>
      </w:pPr>
      <w:r w:rsidRPr="00B369EB">
        <w:t>ANEXO II</w:t>
      </w:r>
    </w:p>
    <w:p w14:paraId="4188DEE5" w14:textId="77777777" w:rsidR="001F63A8" w:rsidRPr="00B369EB" w:rsidRDefault="001F63A8" w:rsidP="001F63A8">
      <w:pPr>
        <w:jc w:val="center"/>
      </w:pPr>
    </w:p>
    <w:p w14:paraId="3ADBDA06" w14:textId="77777777" w:rsidR="001F63A8" w:rsidRPr="00B369EB" w:rsidRDefault="001F63A8" w:rsidP="001F63A8">
      <w:pPr>
        <w:jc w:val="center"/>
      </w:pPr>
    </w:p>
    <w:p w14:paraId="1F47E210" w14:textId="77777777" w:rsidR="007F2C3D" w:rsidRPr="00B369EB" w:rsidRDefault="001C673E">
      <w:pPr>
        <w:jc w:val="center"/>
      </w:pPr>
      <w:r w:rsidRPr="00B369EB">
        <w:t>BELARÚS</w:t>
      </w:r>
    </w:p>
    <w:p w14:paraId="23B83709" w14:textId="77777777" w:rsidR="006365C8" w:rsidRPr="00B369EB" w:rsidRDefault="006365C8" w:rsidP="00862B51"/>
    <w:p w14:paraId="6D242916" w14:textId="77777777" w:rsidR="006365C8" w:rsidRPr="00B369EB" w:rsidRDefault="006365C8" w:rsidP="00862B51"/>
    <w:p w14:paraId="1F492283" w14:textId="77777777" w:rsidR="007F2C3D" w:rsidRPr="00B369EB" w:rsidRDefault="001C673E">
      <w:pPr>
        <w:pStyle w:val="Heading1"/>
        <w:rPr>
          <w:lang w:val="es-ES_tradnl"/>
        </w:rPr>
      </w:pPr>
      <w:r w:rsidRPr="00B369EB">
        <w:rPr>
          <w:lang w:val="es-ES_tradnl"/>
        </w:rPr>
        <w:t>I.</w:t>
      </w:r>
      <w:r w:rsidRPr="00B369EB">
        <w:rPr>
          <w:lang w:val="es-ES_tradnl"/>
        </w:rPr>
        <w:tab/>
        <w:t>PROTECCIÓN DE LAS OBTENCIONES VEGETALES</w:t>
      </w:r>
    </w:p>
    <w:p w14:paraId="53BDB642" w14:textId="77777777" w:rsidR="00DA4307" w:rsidRPr="00B369EB" w:rsidRDefault="00DA4307" w:rsidP="00DA4307"/>
    <w:p w14:paraId="3005E46F" w14:textId="77777777" w:rsidR="007F2C3D" w:rsidRPr="00B369EB" w:rsidRDefault="001C673E">
      <w:r w:rsidRPr="00B369EB">
        <w:t xml:space="preserve">1. </w:t>
      </w:r>
      <w:r w:rsidRPr="00B369EB">
        <w:tab/>
      </w:r>
      <w:r w:rsidRPr="00B369EB">
        <w:rPr>
          <w:u w:val="single"/>
        </w:rPr>
        <w:t>Situación en el ámbito legislativo</w:t>
      </w:r>
    </w:p>
    <w:p w14:paraId="6D1943B9" w14:textId="77777777" w:rsidR="00DA4307" w:rsidRPr="00B369EB" w:rsidRDefault="00DA4307" w:rsidP="00DA4307"/>
    <w:p w14:paraId="7D480265" w14:textId="4544673D" w:rsidR="007F2C3D" w:rsidRPr="00B369EB" w:rsidRDefault="001C673E">
      <w:r w:rsidRPr="00B369EB">
        <w:t>1.1</w:t>
      </w:r>
      <w:r w:rsidR="00CF2CCD">
        <w:tab/>
      </w:r>
      <w:r w:rsidRPr="00B369EB">
        <w:t>Modificaciones de la ley y de los reglamentos de aplicación</w:t>
      </w:r>
    </w:p>
    <w:p w14:paraId="4E90D600" w14:textId="77777777" w:rsidR="00DA4307" w:rsidRPr="00B369EB" w:rsidRDefault="00DA4307" w:rsidP="00DA4307"/>
    <w:p w14:paraId="256E9AD7" w14:textId="77777777" w:rsidR="007F2C3D" w:rsidRPr="00B369EB" w:rsidRDefault="001C673E">
      <w:r w:rsidRPr="00B369EB">
        <w:t xml:space="preserve">Debido a la presión ejercida por las sanciones sobre </w:t>
      </w:r>
      <w:proofErr w:type="spellStart"/>
      <w:r w:rsidRPr="00B369EB">
        <w:t>Belarús</w:t>
      </w:r>
      <w:proofErr w:type="spellEnd"/>
      <w:r w:rsidRPr="00B369EB">
        <w:t xml:space="preserve"> en el sector agrícola, incluida la realización de exámenes VCU y DHE, así como en el ámbito de los derechos de obtentor, </w:t>
      </w:r>
      <w:proofErr w:type="spellStart"/>
      <w:r w:rsidRPr="00B369EB">
        <w:t>Belarús</w:t>
      </w:r>
      <w:proofErr w:type="spellEnd"/>
      <w:r w:rsidRPr="00B369EB">
        <w:t xml:space="preserve"> recibió una negativa oficial de la OCVV, ya que ésta recibió instrucciones de la Comisión Europea en el sentido de que no se enviaran informes DHE a la autoridad bielorrusa de protección de las obtenciones vegetales. En consecuencia, la OCVV no podrá proporcionar a </w:t>
      </w:r>
      <w:proofErr w:type="spellStart"/>
      <w:r w:rsidRPr="00B369EB">
        <w:t>Belarús</w:t>
      </w:r>
      <w:proofErr w:type="spellEnd"/>
      <w:r w:rsidRPr="00B369EB">
        <w:t xml:space="preserve"> las copias certificadas solicitadas </w:t>
      </w:r>
      <w:r w:rsidR="00ED5274" w:rsidRPr="00B369EB">
        <w:t>[</w:t>
      </w:r>
      <w:r w:rsidR="00D34767" w:rsidRPr="00B369EB">
        <w:t>a continuación</w:t>
      </w:r>
      <w:r w:rsidR="00ED5274" w:rsidRPr="00B369EB">
        <w:t>]</w:t>
      </w:r>
      <w:bookmarkStart w:id="0" w:name="_Hlk173928258"/>
      <w:r w:rsidRPr="00B369EB">
        <w:t xml:space="preserve"> en violación de las normas de cooperación de conformidad con el documento básico UPOV TGP/5 Experiencia y cooperación en el examen DHE . </w:t>
      </w:r>
      <w:bookmarkEnd w:id="0"/>
    </w:p>
    <w:p w14:paraId="1F36DF9B" w14:textId="77777777" w:rsidR="00DA4307" w:rsidRPr="00B369EB" w:rsidRDefault="00DA4307" w:rsidP="00DA4307"/>
    <w:p w14:paraId="172D0B50" w14:textId="77777777" w:rsidR="00DA4307" w:rsidRPr="00B369EB" w:rsidRDefault="00DA4307" w:rsidP="00DA4307">
      <w:pPr>
        <w:jc w:val="center"/>
      </w:pPr>
      <w:r w:rsidRPr="00B369EB">
        <w:drawing>
          <wp:inline distT="0" distB="0" distL="0" distR="0" wp14:anchorId="7E09DC05" wp14:editId="5B4AA92C">
            <wp:extent cx="4253818" cy="6249725"/>
            <wp:effectExtent l="19050" t="19050" r="13970" b="17780"/>
            <wp:docPr id="12098881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8811" name="Picture 1" descr="A close-up of a document&#10;&#10;Description automatically generated"/>
                    <pic:cNvPicPr/>
                  </pic:nvPicPr>
                  <pic:blipFill rotWithShape="1">
                    <a:blip r:embed="rId14" cstate="print">
                      <a:extLst>
                        <a:ext uri="{28A0092B-C50C-407E-A947-70E740481C1C}">
                          <a14:useLocalDpi xmlns:a14="http://schemas.microsoft.com/office/drawing/2010/main" val="0"/>
                        </a:ext>
                      </a:extLst>
                    </a:blip>
                    <a:srcRect l="4061" t="3091" r="5032" b="2511"/>
                    <a:stretch/>
                  </pic:blipFill>
                  <pic:spPr bwMode="auto">
                    <a:xfrm>
                      <a:off x="0" y="0"/>
                      <a:ext cx="4265074" cy="62662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17B2E9" w14:textId="77777777" w:rsidR="00DA4307" w:rsidRPr="00B369EB" w:rsidRDefault="00DA4307" w:rsidP="00DA4307"/>
    <w:p w14:paraId="46376CFC" w14:textId="77777777" w:rsidR="007F2C3D" w:rsidRPr="00B369EB" w:rsidRDefault="001C673E">
      <w:r w:rsidRPr="00B369EB">
        <w:lastRenderedPageBreak/>
        <w:t xml:space="preserve">Para superar esta situación, </w:t>
      </w:r>
      <w:proofErr w:type="spellStart"/>
      <w:r w:rsidRPr="00B369EB">
        <w:t>Belarús</w:t>
      </w:r>
      <w:proofErr w:type="spellEnd"/>
      <w:r w:rsidRPr="00B369EB">
        <w:t xml:space="preserve"> modificó en 2024 la actual Ley de Patentes de Obtenciones </w:t>
      </w:r>
      <w:proofErr w:type="gramStart"/>
      <w:r w:rsidRPr="00B369EB">
        <w:t>Vegetales</w:t>
      </w:r>
      <w:bookmarkStart w:id="1" w:name="_Hlk173930667"/>
      <w:r w:rsidRPr="00B369EB">
        <w:t xml:space="preserve"> </w:t>
      </w:r>
      <w:bookmarkEnd w:id="1"/>
      <w:r w:rsidRPr="00B369EB">
        <w:t xml:space="preserve"> ,</w:t>
      </w:r>
      <w:proofErr w:type="gramEnd"/>
      <w:r w:rsidRPr="00B369EB">
        <w:t xml:space="preserve"> así como sus reglamentos.</w:t>
      </w:r>
    </w:p>
    <w:p w14:paraId="575CDF4E" w14:textId="77777777" w:rsidR="00DA4307" w:rsidRPr="00B369EB" w:rsidRDefault="00DA4307" w:rsidP="008F45E2">
      <w:pPr>
        <w:jc w:val="center"/>
      </w:pPr>
      <w:r w:rsidRPr="00B369EB">
        <w:rPr>
          <w:lang w:eastAsia="ru-RU"/>
        </w:rPr>
        <w:drawing>
          <wp:inline distT="0" distB="0" distL="0" distR="0" wp14:anchorId="5A48D27A" wp14:editId="36BF75D3">
            <wp:extent cx="3755508" cy="1804947"/>
            <wp:effectExtent l="0" t="0" r="0" b="5080"/>
            <wp:docPr id="1" name="Рисунок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144" cy="1807175"/>
                    </a:xfrm>
                    <a:prstGeom prst="rect">
                      <a:avLst/>
                    </a:prstGeom>
                    <a:noFill/>
                  </pic:spPr>
                </pic:pic>
              </a:graphicData>
            </a:graphic>
          </wp:inline>
        </w:drawing>
      </w:r>
    </w:p>
    <w:p w14:paraId="20EF926C" w14:textId="77777777" w:rsidR="00DA4307" w:rsidRPr="00B369EB" w:rsidRDefault="00DA4307" w:rsidP="00DA4307">
      <w:pPr>
        <w:pStyle w:val="BodyTextIndent2"/>
        <w:ind w:left="425"/>
        <w:rPr>
          <w:sz w:val="20"/>
          <w:szCs w:val="20"/>
          <w:lang w:val="es-ES_tradnl"/>
        </w:rPr>
      </w:pPr>
    </w:p>
    <w:p w14:paraId="21D0FFF8" w14:textId="6FB20B5D" w:rsidR="007F2C3D" w:rsidRPr="00B369EB" w:rsidRDefault="001C673E">
      <w:pPr>
        <w:pStyle w:val="BodyTextIndent2"/>
        <w:ind w:left="425"/>
        <w:rPr>
          <w:sz w:val="20"/>
          <w:szCs w:val="20"/>
          <w:lang w:val="es-ES_tradnl"/>
        </w:rPr>
      </w:pPr>
      <w:r w:rsidRPr="00B369EB">
        <w:rPr>
          <w:sz w:val="20"/>
          <w:szCs w:val="20"/>
          <w:lang w:val="es-ES_tradnl"/>
        </w:rPr>
        <w:t>1.2</w:t>
      </w:r>
      <w:r w:rsidR="00CF2CCD">
        <w:rPr>
          <w:sz w:val="20"/>
          <w:szCs w:val="20"/>
          <w:lang w:val="es-ES_tradnl"/>
        </w:rPr>
        <w:tab/>
      </w:r>
      <w:r w:rsidRPr="00B369EB">
        <w:rPr>
          <w:sz w:val="20"/>
          <w:szCs w:val="20"/>
          <w:lang w:val="es-ES_tradnl"/>
        </w:rPr>
        <w:t>Ampliación de la protección a otros géneros y especies (realizada o prevista)</w:t>
      </w:r>
    </w:p>
    <w:p w14:paraId="69F8928D" w14:textId="77777777" w:rsidR="008F45E2" w:rsidRPr="00B369EB" w:rsidRDefault="008F45E2" w:rsidP="00DA4307">
      <w:pPr>
        <w:pStyle w:val="BodyTextIndent2"/>
        <w:ind w:left="425"/>
        <w:rPr>
          <w:sz w:val="20"/>
          <w:szCs w:val="20"/>
          <w:lang w:val="es-ES_tradnl"/>
        </w:rPr>
      </w:pPr>
    </w:p>
    <w:p w14:paraId="001B13AD" w14:textId="77777777" w:rsidR="007F2C3D" w:rsidRPr="00B369EB" w:rsidRDefault="001C673E">
      <w:pPr>
        <w:pStyle w:val="BodyTextIndent2"/>
        <w:ind w:left="425" w:firstLine="0"/>
        <w:rPr>
          <w:sz w:val="20"/>
          <w:szCs w:val="20"/>
          <w:lang w:val="es-ES_tradnl"/>
        </w:rPr>
      </w:pPr>
      <w:r w:rsidRPr="00B369EB">
        <w:rPr>
          <w:sz w:val="20"/>
          <w:szCs w:val="20"/>
          <w:lang w:val="es-ES_tradnl"/>
        </w:rPr>
        <w:t>Sin cambios</w:t>
      </w:r>
      <w:r w:rsidR="008F45E2" w:rsidRPr="00B369EB">
        <w:rPr>
          <w:sz w:val="20"/>
          <w:szCs w:val="20"/>
          <w:lang w:val="es-ES_tradnl"/>
        </w:rPr>
        <w:t>.</w:t>
      </w:r>
    </w:p>
    <w:p w14:paraId="29CE8F44" w14:textId="77777777" w:rsidR="00DA4307" w:rsidRPr="00B369EB" w:rsidRDefault="00DA4307" w:rsidP="00DA4307">
      <w:pPr>
        <w:pStyle w:val="BodyTextIndent2"/>
        <w:ind w:left="425"/>
        <w:rPr>
          <w:sz w:val="20"/>
          <w:szCs w:val="20"/>
          <w:lang w:val="es-ES_tradnl"/>
        </w:rPr>
      </w:pPr>
    </w:p>
    <w:p w14:paraId="745AFF1D" w14:textId="48A7E7F9" w:rsidR="007F2C3D" w:rsidRPr="00B369EB" w:rsidRDefault="001C673E">
      <w:pPr>
        <w:pStyle w:val="BodyTextIndent2"/>
        <w:ind w:left="425"/>
        <w:rPr>
          <w:sz w:val="20"/>
          <w:szCs w:val="20"/>
          <w:lang w:val="es-ES_tradnl"/>
        </w:rPr>
      </w:pPr>
      <w:r w:rsidRPr="00B369EB">
        <w:rPr>
          <w:sz w:val="20"/>
          <w:szCs w:val="20"/>
          <w:lang w:val="es-ES_tradnl"/>
        </w:rPr>
        <w:t>1.3</w:t>
      </w:r>
      <w:r w:rsidR="00CF2CCD">
        <w:rPr>
          <w:sz w:val="20"/>
          <w:szCs w:val="20"/>
          <w:lang w:val="es-ES_tradnl"/>
        </w:rPr>
        <w:tab/>
      </w:r>
      <w:r w:rsidRPr="00B369EB">
        <w:rPr>
          <w:sz w:val="20"/>
          <w:szCs w:val="20"/>
          <w:lang w:val="es-ES_tradnl"/>
        </w:rPr>
        <w:t>La jurisprudencia</w:t>
      </w:r>
    </w:p>
    <w:p w14:paraId="61F9FAD6" w14:textId="77777777" w:rsidR="008F45E2" w:rsidRPr="00B369EB" w:rsidRDefault="008F45E2" w:rsidP="00DA4307">
      <w:pPr>
        <w:pStyle w:val="BodyTextIndent2"/>
        <w:ind w:left="425"/>
        <w:rPr>
          <w:sz w:val="20"/>
          <w:szCs w:val="20"/>
          <w:lang w:val="es-ES_tradnl"/>
        </w:rPr>
      </w:pPr>
    </w:p>
    <w:p w14:paraId="4E18D4F5" w14:textId="77777777" w:rsidR="007F2C3D" w:rsidRPr="00B369EB" w:rsidRDefault="001C673E">
      <w:pPr>
        <w:pStyle w:val="BodyTextIndent2"/>
        <w:ind w:left="425" w:firstLine="0"/>
        <w:rPr>
          <w:sz w:val="20"/>
          <w:szCs w:val="20"/>
          <w:lang w:val="es-ES_tradnl"/>
        </w:rPr>
      </w:pPr>
      <w:r w:rsidRPr="00B369EB">
        <w:rPr>
          <w:sz w:val="20"/>
          <w:szCs w:val="20"/>
          <w:lang w:val="es-ES_tradnl"/>
        </w:rPr>
        <w:t>La autoridad bielorrusa (</w:t>
      </w:r>
      <w:bookmarkStart w:id="2" w:name="_Hlk173928701"/>
      <w:r w:rsidRPr="00B369EB">
        <w:rPr>
          <w:sz w:val="20"/>
          <w:szCs w:val="20"/>
          <w:lang w:val="es-ES_tradnl"/>
        </w:rPr>
        <w:t xml:space="preserve"> SE </w:t>
      </w:r>
      <w:r w:rsidR="007018E1" w:rsidRPr="00B369EB">
        <w:rPr>
          <w:sz w:val="20"/>
          <w:szCs w:val="20"/>
          <w:lang w:val="es-ES_tradnl"/>
        </w:rPr>
        <w:t>"</w:t>
      </w:r>
      <w:proofErr w:type="spellStart"/>
      <w:r w:rsidRPr="00B369EB">
        <w:rPr>
          <w:sz w:val="20"/>
          <w:szCs w:val="20"/>
          <w:lang w:val="es-ES_tradnl"/>
        </w:rPr>
        <w:t>State</w:t>
      </w:r>
      <w:proofErr w:type="spellEnd"/>
      <w:r w:rsidRPr="00B369EB">
        <w:rPr>
          <w:sz w:val="20"/>
          <w:szCs w:val="20"/>
          <w:lang w:val="es-ES_tradnl"/>
        </w:rPr>
        <w:t xml:space="preserve"> </w:t>
      </w:r>
      <w:proofErr w:type="spellStart"/>
      <w:r w:rsidRPr="00B369EB">
        <w:rPr>
          <w:sz w:val="20"/>
          <w:szCs w:val="20"/>
          <w:lang w:val="es-ES_tradnl"/>
        </w:rPr>
        <w:t>Inspection</w:t>
      </w:r>
      <w:proofErr w:type="spellEnd"/>
      <w:r w:rsidRPr="00B369EB">
        <w:rPr>
          <w:sz w:val="20"/>
          <w:szCs w:val="20"/>
          <w:lang w:val="es-ES_tradnl"/>
        </w:rPr>
        <w:t xml:space="preserve"> </w:t>
      </w:r>
      <w:proofErr w:type="spellStart"/>
      <w:r w:rsidRPr="00B369EB">
        <w:rPr>
          <w:sz w:val="20"/>
          <w:szCs w:val="20"/>
          <w:lang w:val="es-ES_tradnl"/>
        </w:rPr>
        <w:t>for</w:t>
      </w:r>
      <w:proofErr w:type="spellEnd"/>
      <w:r w:rsidRPr="00B369EB">
        <w:rPr>
          <w:sz w:val="20"/>
          <w:szCs w:val="20"/>
          <w:lang w:val="es-ES_tradnl"/>
        </w:rPr>
        <w:t xml:space="preserve"> </w:t>
      </w:r>
      <w:proofErr w:type="spellStart"/>
      <w:r w:rsidRPr="00B369EB">
        <w:rPr>
          <w:sz w:val="20"/>
          <w:szCs w:val="20"/>
          <w:lang w:val="es-ES_tradnl"/>
        </w:rPr>
        <w:t>Testing</w:t>
      </w:r>
      <w:proofErr w:type="spellEnd"/>
      <w:r w:rsidRPr="00B369EB">
        <w:rPr>
          <w:sz w:val="20"/>
          <w:szCs w:val="20"/>
          <w:lang w:val="es-ES_tradnl"/>
        </w:rPr>
        <w:t xml:space="preserve"> and </w:t>
      </w:r>
      <w:proofErr w:type="spellStart"/>
      <w:r w:rsidRPr="00B369EB">
        <w:rPr>
          <w:sz w:val="20"/>
          <w:szCs w:val="20"/>
          <w:lang w:val="es-ES_tradnl"/>
        </w:rPr>
        <w:t>Protection</w:t>
      </w:r>
      <w:proofErr w:type="spellEnd"/>
      <w:r w:rsidRPr="00B369EB">
        <w:rPr>
          <w:sz w:val="20"/>
          <w:szCs w:val="20"/>
          <w:lang w:val="es-ES_tradnl"/>
        </w:rPr>
        <w:t xml:space="preserve"> of </w:t>
      </w:r>
      <w:proofErr w:type="spellStart"/>
      <w:r w:rsidRPr="00B369EB">
        <w:rPr>
          <w:sz w:val="20"/>
          <w:szCs w:val="20"/>
          <w:lang w:val="es-ES_tradnl"/>
        </w:rPr>
        <w:t>Plant</w:t>
      </w:r>
      <w:proofErr w:type="spellEnd"/>
      <w:r w:rsidRPr="00B369EB">
        <w:rPr>
          <w:sz w:val="20"/>
          <w:szCs w:val="20"/>
          <w:lang w:val="es-ES_tradnl"/>
        </w:rPr>
        <w:t xml:space="preserve"> </w:t>
      </w:r>
      <w:proofErr w:type="spellStart"/>
      <w:r w:rsidR="007018E1" w:rsidRPr="00B369EB">
        <w:rPr>
          <w:sz w:val="20"/>
          <w:szCs w:val="20"/>
          <w:lang w:val="es-ES_tradnl"/>
        </w:rPr>
        <w:t>Varieties</w:t>
      </w:r>
      <w:proofErr w:type="spellEnd"/>
      <w:r w:rsidRPr="00B369EB">
        <w:rPr>
          <w:sz w:val="20"/>
          <w:szCs w:val="20"/>
          <w:lang w:val="es-ES_tradnl"/>
        </w:rPr>
        <w:t>"</w:t>
      </w:r>
      <w:bookmarkEnd w:id="2"/>
      <w:r w:rsidRPr="00B369EB">
        <w:rPr>
          <w:sz w:val="20"/>
          <w:szCs w:val="20"/>
          <w:lang w:val="es-ES_tradnl"/>
        </w:rPr>
        <w:t xml:space="preserve"> ) no tiene conocimiento de tales casos.</w:t>
      </w:r>
    </w:p>
    <w:p w14:paraId="29AEA674" w14:textId="77777777" w:rsidR="00DA4307" w:rsidRPr="00B369EB" w:rsidRDefault="00DA4307" w:rsidP="00DA4307"/>
    <w:p w14:paraId="2C3475C0" w14:textId="77777777" w:rsidR="00DA4307" w:rsidRPr="00B369EB" w:rsidRDefault="00DA4307" w:rsidP="00DA4307"/>
    <w:p w14:paraId="739616C5" w14:textId="77777777" w:rsidR="007F2C3D" w:rsidRPr="00B369EB" w:rsidRDefault="001C673E">
      <w:r w:rsidRPr="00B369EB">
        <w:t>2.</w:t>
      </w:r>
      <w:r w:rsidRPr="00B369EB">
        <w:tab/>
      </w:r>
      <w:r w:rsidRPr="00B369EB">
        <w:rPr>
          <w:u w:val="single"/>
        </w:rPr>
        <w:t>Cooperación en el examen</w:t>
      </w:r>
    </w:p>
    <w:p w14:paraId="5FF48378" w14:textId="77777777" w:rsidR="00DA4307" w:rsidRPr="00B369EB" w:rsidRDefault="00DA4307" w:rsidP="00DA4307">
      <w:pPr>
        <w:tabs>
          <w:tab w:val="left" w:pos="426"/>
          <w:tab w:val="left" w:pos="851"/>
        </w:tabs>
      </w:pPr>
    </w:p>
    <w:p w14:paraId="42646ED5" w14:textId="4A936345" w:rsidR="007F2C3D" w:rsidRPr="00B369EB" w:rsidRDefault="001C673E">
      <w:pPr>
        <w:tabs>
          <w:tab w:val="left" w:pos="426"/>
          <w:tab w:val="left" w:pos="851"/>
        </w:tabs>
      </w:pPr>
      <w:r w:rsidRPr="00B369EB">
        <w:t>-</w:t>
      </w:r>
      <w:r w:rsidR="00CF2CCD">
        <w:tab/>
      </w:r>
      <w:r w:rsidRPr="00B369EB">
        <w:t>Conclusión de nuevos acuerdos (finalizados, en curso o previstos)</w:t>
      </w:r>
    </w:p>
    <w:p w14:paraId="21FCABDC" w14:textId="1FB0F3C4" w:rsidR="007F2C3D" w:rsidRPr="00B369EB" w:rsidRDefault="001C673E">
      <w:pPr>
        <w:tabs>
          <w:tab w:val="left" w:pos="426"/>
          <w:tab w:val="left" w:pos="851"/>
        </w:tabs>
      </w:pPr>
      <w:r w:rsidRPr="00B369EB">
        <w:t>-</w:t>
      </w:r>
      <w:r w:rsidR="00CF2CCD">
        <w:tab/>
      </w:r>
      <w:r w:rsidRPr="00B369EB">
        <w:t>Modificación de acuerdos existentes (finalizados, en curso o previstos)</w:t>
      </w:r>
    </w:p>
    <w:p w14:paraId="7559DF86" w14:textId="77777777" w:rsidR="00DA4307" w:rsidRPr="00B369EB" w:rsidRDefault="00DA4307" w:rsidP="00DA4307">
      <w:pPr>
        <w:tabs>
          <w:tab w:val="left" w:pos="426"/>
          <w:tab w:val="left" w:pos="851"/>
        </w:tabs>
      </w:pPr>
    </w:p>
    <w:p w14:paraId="13E11842" w14:textId="77777777" w:rsidR="007F2C3D" w:rsidRPr="00B369EB" w:rsidRDefault="001C673E">
      <w:r w:rsidRPr="00B369EB">
        <w:t xml:space="preserve">Debido a la negativa oficial de la OCVV a proporcionar a </w:t>
      </w:r>
      <w:proofErr w:type="spellStart"/>
      <w:r w:rsidRPr="00B369EB">
        <w:t>Belarús</w:t>
      </w:r>
      <w:proofErr w:type="spellEnd"/>
      <w:r w:rsidRPr="00B369EB">
        <w:t xml:space="preserve"> informes DHE, en violación de las normas de cooperación de conformidad con el documento básico UPOV TGP/5 Experiencia y cooperación en el examen DHE, </w:t>
      </w:r>
      <w:proofErr w:type="spellStart"/>
      <w:r w:rsidRPr="00B369EB">
        <w:t>Belarús</w:t>
      </w:r>
      <w:proofErr w:type="spellEnd"/>
      <w:r w:rsidRPr="00B369EB">
        <w:t xml:space="preserve"> ha perdido la oportunidad de recibir de la OCVV informes DHE, que son muy solicitados en nuestro país debido a condiciones agroclimáticas similares.  En consecuencia, la SE </w:t>
      </w:r>
      <w:r w:rsidR="007018E1" w:rsidRPr="00B369EB">
        <w:t>"</w:t>
      </w:r>
      <w:r w:rsidRPr="00B369EB">
        <w:t>Inspección Estatal para el Examen y la Protección de las Obtenciones Vegetales</w:t>
      </w:r>
      <w:r w:rsidR="007018E1" w:rsidRPr="00B369EB">
        <w:t xml:space="preserve">" </w:t>
      </w:r>
      <w:r w:rsidRPr="00B369EB">
        <w:t xml:space="preserve">está trabajando en cuestiones relativas a la concertación de nuevos acuerdos con otros </w:t>
      </w:r>
      <w:r w:rsidR="008F45E2" w:rsidRPr="00B369EB">
        <w:t xml:space="preserve">miembros </w:t>
      </w:r>
      <w:r w:rsidRPr="00B369EB">
        <w:t>de la UPOV, incluidos los países de la CEI (Comunidad de Estados Independientes).</w:t>
      </w:r>
    </w:p>
    <w:p w14:paraId="3D6C6A21" w14:textId="77777777" w:rsidR="00DA4307" w:rsidRPr="00B369EB" w:rsidRDefault="00DA4307" w:rsidP="00DA4307"/>
    <w:p w14:paraId="033038C7" w14:textId="77777777" w:rsidR="00D34767" w:rsidRPr="00B369EB" w:rsidRDefault="00D34767" w:rsidP="00DA4307"/>
    <w:p w14:paraId="6BFED407" w14:textId="77777777" w:rsidR="007F2C3D" w:rsidRPr="00B369EB" w:rsidRDefault="001C673E">
      <w:pPr>
        <w:rPr>
          <w:u w:val="single"/>
        </w:rPr>
      </w:pPr>
      <w:r w:rsidRPr="00B369EB">
        <w:t>3.</w:t>
      </w:r>
      <w:r w:rsidRPr="00B369EB">
        <w:tab/>
      </w:r>
      <w:r w:rsidRPr="00B369EB">
        <w:rPr>
          <w:u w:val="single"/>
        </w:rPr>
        <w:t>Situación en el ámbito administrativo</w:t>
      </w:r>
    </w:p>
    <w:p w14:paraId="2A18F10E" w14:textId="77777777" w:rsidR="00DA4307" w:rsidRPr="00B369EB" w:rsidRDefault="00DA4307" w:rsidP="00DA4307"/>
    <w:p w14:paraId="19E46ED8" w14:textId="192D0ABF" w:rsidR="007F2C3D" w:rsidRPr="00B369EB" w:rsidRDefault="001C673E">
      <w:pPr>
        <w:ind w:left="425" w:hanging="425"/>
      </w:pPr>
      <w:r w:rsidRPr="00B369EB">
        <w:t>-</w:t>
      </w:r>
      <w:r w:rsidR="00CF2CCD">
        <w:tab/>
      </w:r>
      <w:r w:rsidRPr="00B369EB">
        <w:t>Cambios en la estructura administrativa</w:t>
      </w:r>
    </w:p>
    <w:p w14:paraId="6B7D1641" w14:textId="7001EF3D" w:rsidR="007F2C3D" w:rsidRPr="00B369EB" w:rsidRDefault="001C673E">
      <w:pPr>
        <w:ind w:left="425" w:hanging="425"/>
      </w:pPr>
      <w:r w:rsidRPr="00B369EB">
        <w:t>-</w:t>
      </w:r>
      <w:r w:rsidR="00CF2CCD">
        <w:tab/>
      </w:r>
      <w:r w:rsidRPr="00B369EB">
        <w:t>Cambios en los procedimientos y sistemas de oficina</w:t>
      </w:r>
    </w:p>
    <w:p w14:paraId="38CBA7E3" w14:textId="77777777" w:rsidR="00DA4307" w:rsidRPr="00B369EB" w:rsidRDefault="00DA4307" w:rsidP="00DA4307">
      <w:pPr>
        <w:ind w:left="425" w:hanging="425"/>
      </w:pPr>
    </w:p>
    <w:p w14:paraId="77F47512" w14:textId="77777777" w:rsidR="007F2C3D" w:rsidRPr="00B369EB" w:rsidRDefault="001C673E">
      <w:r w:rsidRPr="00B369EB">
        <w:t>En relación con las modificaciones que se están desarrollando en la Ley de Patentes de Obtenciones Vegetales y ordenanzas y teniendo en cuenta la minimización de la carga para el Solicitante, se optimizará la solicitud de patente (se requerirán menos documentos)</w:t>
      </w:r>
    </w:p>
    <w:p w14:paraId="783C29EC" w14:textId="77777777" w:rsidR="00DA4307" w:rsidRPr="00B369EB" w:rsidRDefault="00DA4307" w:rsidP="00DA4307">
      <w:pPr>
        <w:ind w:left="425" w:hanging="425"/>
      </w:pPr>
    </w:p>
    <w:p w14:paraId="372142A3" w14:textId="77777777" w:rsidR="00DA4307" w:rsidRPr="00B369EB" w:rsidRDefault="00DA4307" w:rsidP="00DA4307"/>
    <w:p w14:paraId="12064374" w14:textId="77777777" w:rsidR="007F2C3D" w:rsidRPr="00B369EB" w:rsidRDefault="001C673E">
      <w:pPr>
        <w:rPr>
          <w:u w:val="single"/>
        </w:rPr>
      </w:pPr>
      <w:r w:rsidRPr="00B369EB">
        <w:t>4.</w:t>
      </w:r>
      <w:r w:rsidRPr="00B369EB">
        <w:tab/>
      </w:r>
      <w:r w:rsidRPr="00B369EB">
        <w:rPr>
          <w:u w:val="single"/>
        </w:rPr>
        <w:t>Situación en el ámbito técnico</w:t>
      </w:r>
    </w:p>
    <w:p w14:paraId="1556839F" w14:textId="77777777" w:rsidR="00D34767" w:rsidRPr="00B369EB" w:rsidRDefault="00D34767" w:rsidP="00D34767"/>
    <w:p w14:paraId="3304335E" w14:textId="77777777" w:rsidR="007F2C3D" w:rsidRPr="00B369EB" w:rsidRDefault="001C673E">
      <w:r w:rsidRPr="00B369EB">
        <w:t xml:space="preserve">Asimismo, para minimizar las consecuencias de la mencionada infracción de la OCVV de las normas de cooperación de conformidad con el documento básico UPOV TGP/5 Experiencia y cooperación en el examen DHE SE </w:t>
      </w:r>
      <w:r w:rsidR="007018E1" w:rsidRPr="00B369EB">
        <w:t>"</w:t>
      </w:r>
      <w:proofErr w:type="spellStart"/>
      <w:r w:rsidRPr="00B369EB">
        <w:t>State</w:t>
      </w:r>
      <w:proofErr w:type="spellEnd"/>
      <w:r w:rsidRPr="00B369EB">
        <w:t xml:space="preserve"> </w:t>
      </w:r>
      <w:proofErr w:type="spellStart"/>
      <w:r w:rsidRPr="00B369EB">
        <w:t>Inspection</w:t>
      </w:r>
      <w:proofErr w:type="spellEnd"/>
      <w:r w:rsidRPr="00B369EB">
        <w:t xml:space="preserve"> </w:t>
      </w:r>
      <w:proofErr w:type="spellStart"/>
      <w:r w:rsidRPr="00B369EB">
        <w:t>for</w:t>
      </w:r>
      <w:proofErr w:type="spellEnd"/>
      <w:r w:rsidRPr="00B369EB">
        <w:t xml:space="preserve"> </w:t>
      </w:r>
      <w:proofErr w:type="spellStart"/>
      <w:r w:rsidRPr="00B369EB">
        <w:t>Testing</w:t>
      </w:r>
      <w:proofErr w:type="spellEnd"/>
      <w:r w:rsidRPr="00B369EB">
        <w:t xml:space="preserve"> and </w:t>
      </w:r>
      <w:proofErr w:type="spellStart"/>
      <w:r w:rsidRPr="00B369EB">
        <w:t>Protection</w:t>
      </w:r>
      <w:proofErr w:type="spellEnd"/>
      <w:r w:rsidRPr="00B369EB">
        <w:t xml:space="preserve"> of </w:t>
      </w:r>
      <w:proofErr w:type="spellStart"/>
      <w:r w:rsidRPr="00B369EB">
        <w:t>Plant</w:t>
      </w:r>
      <w:proofErr w:type="spellEnd"/>
      <w:r w:rsidRPr="00B369EB">
        <w:t xml:space="preserve"> </w:t>
      </w:r>
      <w:proofErr w:type="spellStart"/>
      <w:r w:rsidRPr="00B369EB">
        <w:t>Varieties</w:t>
      </w:r>
      <w:proofErr w:type="spellEnd"/>
      <w:r w:rsidRPr="00B369EB">
        <w:t>" está ampliando el examen DHE en las instalaciones del SOLICITANTE.</w:t>
      </w:r>
    </w:p>
    <w:p w14:paraId="4333775D" w14:textId="77777777" w:rsidR="00DA4307" w:rsidRPr="00B369EB" w:rsidRDefault="00DA4307" w:rsidP="00DA4307"/>
    <w:p w14:paraId="2876F8F0" w14:textId="77777777" w:rsidR="00DA4307" w:rsidRPr="00B369EB" w:rsidRDefault="00D34767" w:rsidP="00D34767">
      <w:pPr>
        <w:jc w:val="center"/>
      </w:pPr>
      <w:r w:rsidRPr="00B369EB">
        <w:rPr>
          <w:lang w:eastAsia="ru-RU"/>
        </w:rPr>
        <w:lastRenderedPageBreak/>
        <w:drawing>
          <wp:inline distT="0" distB="0" distL="0" distR="0" wp14:anchorId="6A1801E2" wp14:editId="360D19F6">
            <wp:extent cx="3590897" cy="2689326"/>
            <wp:effectExtent l="0" t="0" r="0" b="0"/>
            <wp:docPr id="2" name="Рисунок 2" descr="A diagram of a variety of applic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A diagram of a variety of applicatio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863" cy="2703530"/>
                    </a:xfrm>
                    <a:prstGeom prst="rect">
                      <a:avLst/>
                    </a:prstGeom>
                    <a:noFill/>
                  </pic:spPr>
                </pic:pic>
              </a:graphicData>
            </a:graphic>
          </wp:inline>
        </w:drawing>
      </w:r>
    </w:p>
    <w:p w14:paraId="7738D3F8" w14:textId="77777777" w:rsidR="00DA4307" w:rsidRPr="00B369EB" w:rsidRDefault="00DA4307" w:rsidP="00DA4307"/>
    <w:p w14:paraId="5A28C78E" w14:textId="77777777" w:rsidR="007F2C3D" w:rsidRPr="00B369EB" w:rsidRDefault="001C673E">
      <w:r w:rsidRPr="00B369EB">
        <w:t xml:space="preserve">Para mejorar la calidad del examen DHE, la SE </w:t>
      </w:r>
      <w:r w:rsidR="007018E1" w:rsidRPr="00B369EB">
        <w:t>"</w:t>
      </w:r>
      <w:r w:rsidRPr="00B369EB">
        <w:t xml:space="preserve">Inspección Estatal para el Examen y la Protección de las Obtenciones Vegetales" está introduciendo activamente catálogos fotográficos de caracteres morfológicos. En 2024, en cooperación con obtentores nacionales, se elaboró y publicó un CATÁLOGO FOTOGRÁFICO de los principales caracteres morfológicos de FRAGARIA L. con impresión de alta calidad. </w:t>
      </w:r>
    </w:p>
    <w:p w14:paraId="697C732B" w14:textId="77777777" w:rsidR="00D34767" w:rsidRPr="00B369EB" w:rsidRDefault="00D34767" w:rsidP="00D34767"/>
    <w:p w14:paraId="665B17A1" w14:textId="77777777" w:rsidR="007F2C3D" w:rsidRPr="00B369EB" w:rsidRDefault="001C673E">
      <w:r w:rsidRPr="00B369EB">
        <w:t xml:space="preserve">Este CATÁLOGO también se transfirió al sistema de control varietal de </w:t>
      </w:r>
      <w:proofErr w:type="spellStart"/>
      <w:r w:rsidRPr="00B369EB">
        <w:t>Belarús</w:t>
      </w:r>
      <w:proofErr w:type="spellEnd"/>
      <w:r w:rsidRPr="00B369EB">
        <w:t>.</w:t>
      </w:r>
    </w:p>
    <w:p w14:paraId="4FA6619D" w14:textId="77777777" w:rsidR="00DA4307" w:rsidRPr="00B369EB" w:rsidRDefault="00DA4307" w:rsidP="00DA4307"/>
    <w:p w14:paraId="3CFBB3FB" w14:textId="77777777" w:rsidR="00DA4307" w:rsidRPr="00B369EB" w:rsidRDefault="00DA4307" w:rsidP="00D34767">
      <w:pPr>
        <w:jc w:val="center"/>
      </w:pPr>
      <w:r w:rsidRPr="00B369EB">
        <w:rPr>
          <w:rFonts w:ascii="Georgia" w:hAnsi="Georgia"/>
          <w:lang w:eastAsia="ru-RU"/>
        </w:rPr>
        <w:drawing>
          <wp:inline distT="0" distB="0" distL="0" distR="0" wp14:anchorId="2FA9CA8F" wp14:editId="1FCCA1C6">
            <wp:extent cx="3833633" cy="2273544"/>
            <wp:effectExtent l="0" t="0" r="0" b="0"/>
            <wp:docPr id="6" name="Рисунок 6" descr="A book with a picture of a strawberr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A book with a picture of a strawberry plant&#10;&#10;Description automatically generated"/>
                    <pic:cNvPicPr/>
                  </pic:nvPicPr>
                  <pic:blipFill rotWithShape="1">
                    <a:blip r:embed="rId17">
                      <a:extLst>
                        <a:ext uri="{28A0092B-C50C-407E-A947-70E740481C1C}">
                          <a14:useLocalDpi xmlns:a14="http://schemas.microsoft.com/office/drawing/2010/main" val="0"/>
                        </a:ext>
                      </a:extLst>
                    </a:blip>
                    <a:srcRect l="1667" t="10001" r="3103" b="14723"/>
                    <a:stretch/>
                  </pic:blipFill>
                  <pic:spPr bwMode="auto">
                    <a:xfrm>
                      <a:off x="0" y="0"/>
                      <a:ext cx="3850694" cy="2283662"/>
                    </a:xfrm>
                    <a:prstGeom prst="rect">
                      <a:avLst/>
                    </a:prstGeom>
                    <a:ln>
                      <a:noFill/>
                    </a:ln>
                    <a:extLst>
                      <a:ext uri="{53640926-AAD7-44D8-BBD7-CCE9431645EC}">
                        <a14:shadowObscured xmlns:a14="http://schemas.microsoft.com/office/drawing/2010/main"/>
                      </a:ext>
                    </a:extLst>
                  </pic:spPr>
                </pic:pic>
              </a:graphicData>
            </a:graphic>
          </wp:inline>
        </w:drawing>
      </w:r>
    </w:p>
    <w:p w14:paraId="1F3465E6" w14:textId="77777777" w:rsidR="00DA4307" w:rsidRPr="00B369EB" w:rsidRDefault="00DA4307" w:rsidP="00DA4307"/>
    <w:p w14:paraId="3835E77F" w14:textId="77777777" w:rsidR="007F2C3D" w:rsidRPr="00B369EB" w:rsidRDefault="001C673E">
      <w:r w:rsidRPr="00B369EB">
        <w:t xml:space="preserve">Con el fin de realizar exámenes DHE fiables, la </w:t>
      </w:r>
      <w:r w:rsidR="007018E1" w:rsidRPr="00B369EB">
        <w:t>"</w:t>
      </w:r>
      <w:r w:rsidRPr="00B369EB">
        <w:t>Inspección Estatal de Examen y Protección de las Obtenciones Vegetales</w:t>
      </w:r>
      <w:r w:rsidR="007018E1" w:rsidRPr="00B369EB">
        <w:t xml:space="preserve">" </w:t>
      </w:r>
      <w:r w:rsidRPr="00B369EB">
        <w:t>de la SE siguió formando activamente una colección de variedades notoriamente conocidas y de referencia, tanto nacionales como extranjeras, almacenándolas en un depósito de colecciones con un entorno controlado.</w:t>
      </w:r>
    </w:p>
    <w:p w14:paraId="06FEBCCC" w14:textId="77777777" w:rsidR="00DA4307" w:rsidRPr="00B369EB" w:rsidRDefault="00DA4307" w:rsidP="00DA4307"/>
    <w:p w14:paraId="759D806C" w14:textId="77777777" w:rsidR="00DA4307" w:rsidRPr="00B369EB" w:rsidRDefault="00D34767" w:rsidP="00934CBD">
      <w:pPr>
        <w:jc w:val="center"/>
      </w:pPr>
      <w:r w:rsidRPr="00B369EB">
        <w:rPr>
          <w:lang w:eastAsia="ru-RU"/>
        </w:rPr>
        <w:drawing>
          <wp:inline distT="0" distB="0" distL="0" distR="0" wp14:anchorId="0866E9E5" wp14:editId="6F27BC2C">
            <wp:extent cx="3275613" cy="2359494"/>
            <wp:effectExtent l="0" t="0" r="1270" b="3175"/>
            <wp:docPr id="18" name="Рисунок 18"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A graph of a number of different colored bars&#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3887"/>
                    <a:stretch/>
                  </pic:blipFill>
                  <pic:spPr bwMode="auto">
                    <a:xfrm>
                      <a:off x="0" y="0"/>
                      <a:ext cx="3276000" cy="2359773"/>
                    </a:xfrm>
                    <a:prstGeom prst="rect">
                      <a:avLst/>
                    </a:prstGeom>
                    <a:ln>
                      <a:noFill/>
                    </a:ln>
                    <a:extLst>
                      <a:ext uri="{53640926-AAD7-44D8-BBD7-CCE9431645EC}">
                        <a14:shadowObscured xmlns:a14="http://schemas.microsoft.com/office/drawing/2010/main"/>
                      </a:ext>
                    </a:extLst>
                  </pic:spPr>
                </pic:pic>
              </a:graphicData>
            </a:graphic>
          </wp:inline>
        </w:drawing>
      </w:r>
    </w:p>
    <w:p w14:paraId="3654B6C8" w14:textId="77777777" w:rsidR="00DA4307" w:rsidRPr="00B369EB" w:rsidRDefault="00DA4307" w:rsidP="00DA4307"/>
    <w:p w14:paraId="6AF4E0C2" w14:textId="77777777" w:rsidR="007F2C3D" w:rsidRPr="00B369EB" w:rsidRDefault="001C673E">
      <w:pPr>
        <w:rPr>
          <w:u w:val="single"/>
        </w:rPr>
      </w:pPr>
      <w:r w:rsidRPr="00B369EB">
        <w:t>5.</w:t>
      </w:r>
      <w:r w:rsidRPr="00B369EB">
        <w:tab/>
      </w:r>
      <w:r w:rsidRPr="00B369EB">
        <w:rPr>
          <w:u w:val="single"/>
        </w:rPr>
        <w:t>Actividades de fomento de la protección de las obtenciones vegetales</w:t>
      </w:r>
    </w:p>
    <w:p w14:paraId="4F5F64F7" w14:textId="77777777" w:rsidR="00DA4307" w:rsidRPr="00B369EB" w:rsidRDefault="00DA4307" w:rsidP="00DA4307">
      <w:pPr>
        <w:rPr>
          <w:u w:val="single"/>
        </w:rPr>
      </w:pPr>
    </w:p>
    <w:tbl>
      <w:tblPr>
        <w:tblStyle w:val="TableGrid"/>
        <w:tblpPr w:leftFromText="180" w:rightFromText="180" w:vertAnchor="text" w:horzAnchor="margin" w:tblpY="94"/>
        <w:tblW w:w="0" w:type="auto"/>
        <w:tblLayout w:type="fixed"/>
        <w:tblCellMar>
          <w:top w:w="28" w:type="dxa"/>
          <w:left w:w="57" w:type="dxa"/>
          <w:bottom w:w="28" w:type="dxa"/>
          <w:right w:w="57" w:type="dxa"/>
        </w:tblCellMar>
        <w:tblLook w:val="01E0" w:firstRow="1" w:lastRow="1" w:firstColumn="1" w:lastColumn="1" w:noHBand="0" w:noVBand="0"/>
      </w:tblPr>
      <w:tblGrid>
        <w:gridCol w:w="1248"/>
        <w:gridCol w:w="821"/>
        <w:gridCol w:w="1192"/>
        <w:gridCol w:w="1554"/>
        <w:gridCol w:w="2273"/>
        <w:gridCol w:w="1247"/>
        <w:gridCol w:w="1276"/>
      </w:tblGrid>
      <w:tr w:rsidR="00DA4307" w:rsidRPr="00B369EB" w14:paraId="67EA6ED9" w14:textId="77777777" w:rsidTr="00CF2CCD">
        <w:tc>
          <w:tcPr>
            <w:tcW w:w="1248" w:type="dxa"/>
          </w:tcPr>
          <w:p w14:paraId="19B1468D" w14:textId="77777777" w:rsidR="007F2C3D" w:rsidRPr="00B369EB" w:rsidRDefault="001C673E">
            <w:pPr>
              <w:keepNext/>
              <w:jc w:val="left"/>
              <w:rPr>
                <w:rFonts w:cs="Arial"/>
                <w:sz w:val="18"/>
                <w:szCs w:val="18"/>
              </w:rPr>
            </w:pPr>
            <w:r w:rsidRPr="00B369EB">
              <w:rPr>
                <w:rFonts w:cs="Arial"/>
                <w:sz w:val="18"/>
                <w:szCs w:val="18"/>
              </w:rPr>
              <w:t>Título de la actividad</w:t>
            </w:r>
          </w:p>
        </w:tc>
        <w:tc>
          <w:tcPr>
            <w:tcW w:w="821" w:type="dxa"/>
          </w:tcPr>
          <w:p w14:paraId="40EC5B80" w14:textId="77777777" w:rsidR="007F2C3D" w:rsidRPr="00B369EB" w:rsidRDefault="001C673E">
            <w:pPr>
              <w:keepNext/>
              <w:jc w:val="left"/>
              <w:rPr>
                <w:rFonts w:cs="Arial"/>
                <w:sz w:val="18"/>
                <w:szCs w:val="18"/>
              </w:rPr>
            </w:pPr>
            <w:r w:rsidRPr="00B369EB">
              <w:rPr>
                <w:rFonts w:cs="Arial"/>
                <w:sz w:val="18"/>
                <w:szCs w:val="18"/>
              </w:rPr>
              <w:t>Fecha</w:t>
            </w:r>
          </w:p>
        </w:tc>
        <w:tc>
          <w:tcPr>
            <w:tcW w:w="1192" w:type="dxa"/>
          </w:tcPr>
          <w:p w14:paraId="467F13E4" w14:textId="77777777" w:rsidR="007F2C3D" w:rsidRPr="00B369EB" w:rsidRDefault="001C673E">
            <w:pPr>
              <w:keepNext/>
              <w:jc w:val="left"/>
              <w:rPr>
                <w:rFonts w:cs="Arial"/>
                <w:sz w:val="18"/>
                <w:szCs w:val="18"/>
              </w:rPr>
            </w:pPr>
            <w:r w:rsidRPr="00B369EB">
              <w:rPr>
                <w:rFonts w:cs="Arial"/>
                <w:sz w:val="18"/>
                <w:szCs w:val="18"/>
              </w:rPr>
              <w:t>Ubicación</w:t>
            </w:r>
          </w:p>
        </w:tc>
        <w:tc>
          <w:tcPr>
            <w:tcW w:w="1554" w:type="dxa"/>
          </w:tcPr>
          <w:p w14:paraId="142AFC3B" w14:textId="77777777" w:rsidR="007F2C3D" w:rsidRPr="00B369EB" w:rsidRDefault="001C673E">
            <w:pPr>
              <w:keepNext/>
              <w:jc w:val="left"/>
              <w:rPr>
                <w:rFonts w:cs="Arial"/>
                <w:sz w:val="18"/>
                <w:szCs w:val="18"/>
              </w:rPr>
            </w:pPr>
            <w:r w:rsidRPr="00B369EB">
              <w:rPr>
                <w:rFonts w:cs="Arial"/>
                <w:sz w:val="18"/>
                <w:szCs w:val="18"/>
              </w:rPr>
              <w:t>Organizador(es)</w:t>
            </w:r>
          </w:p>
        </w:tc>
        <w:tc>
          <w:tcPr>
            <w:tcW w:w="2273" w:type="dxa"/>
          </w:tcPr>
          <w:p w14:paraId="501B1436" w14:textId="77777777" w:rsidR="007F2C3D" w:rsidRPr="00B369EB" w:rsidRDefault="001C673E">
            <w:pPr>
              <w:keepNext/>
              <w:jc w:val="left"/>
              <w:rPr>
                <w:rFonts w:cs="Arial"/>
                <w:sz w:val="18"/>
                <w:szCs w:val="18"/>
              </w:rPr>
            </w:pPr>
            <w:r w:rsidRPr="00B369EB">
              <w:rPr>
                <w:rFonts w:cs="Arial"/>
                <w:sz w:val="18"/>
                <w:szCs w:val="18"/>
              </w:rPr>
              <w:t>Objetivo de la actividad</w:t>
            </w:r>
          </w:p>
        </w:tc>
        <w:tc>
          <w:tcPr>
            <w:tcW w:w="1247" w:type="dxa"/>
          </w:tcPr>
          <w:p w14:paraId="39E33EF9" w14:textId="5C6FFF74" w:rsidR="007F2C3D" w:rsidRPr="00B369EB" w:rsidRDefault="001C673E">
            <w:pPr>
              <w:keepNext/>
              <w:jc w:val="left"/>
              <w:rPr>
                <w:rFonts w:cs="Arial"/>
                <w:sz w:val="18"/>
                <w:szCs w:val="18"/>
              </w:rPr>
            </w:pPr>
            <w:r w:rsidRPr="00B369EB">
              <w:rPr>
                <w:rFonts w:cs="Arial"/>
                <w:sz w:val="18"/>
                <w:szCs w:val="18"/>
              </w:rPr>
              <w:t>Países/</w:t>
            </w:r>
            <w:proofErr w:type="spellStart"/>
            <w:r w:rsidRPr="00B369EB">
              <w:rPr>
                <w:rFonts w:cs="Arial"/>
                <w:sz w:val="18"/>
                <w:szCs w:val="18"/>
              </w:rPr>
              <w:t>orga</w:t>
            </w:r>
            <w:r w:rsidR="00CF2CCD">
              <w:rPr>
                <w:rFonts w:cs="Arial"/>
                <w:sz w:val="18"/>
                <w:szCs w:val="18"/>
              </w:rPr>
              <w:t>-</w:t>
            </w:r>
            <w:r w:rsidRPr="00B369EB">
              <w:rPr>
                <w:rFonts w:cs="Arial"/>
                <w:sz w:val="18"/>
                <w:szCs w:val="18"/>
              </w:rPr>
              <w:t>nizaciones</w:t>
            </w:r>
            <w:proofErr w:type="spellEnd"/>
            <w:r w:rsidRPr="00B369EB">
              <w:rPr>
                <w:rFonts w:cs="Arial"/>
                <w:sz w:val="18"/>
                <w:szCs w:val="18"/>
              </w:rPr>
              <w:t xml:space="preserve"> participantes (número de participantes de cada uno)</w:t>
            </w:r>
          </w:p>
        </w:tc>
        <w:tc>
          <w:tcPr>
            <w:tcW w:w="1276" w:type="dxa"/>
          </w:tcPr>
          <w:p w14:paraId="5DF3AAC0" w14:textId="77777777" w:rsidR="007F2C3D" w:rsidRPr="00B369EB" w:rsidRDefault="001C673E">
            <w:pPr>
              <w:keepNext/>
              <w:jc w:val="left"/>
              <w:rPr>
                <w:rFonts w:cs="Arial"/>
                <w:sz w:val="18"/>
                <w:szCs w:val="18"/>
              </w:rPr>
            </w:pPr>
            <w:r w:rsidRPr="00B369EB">
              <w:rPr>
                <w:rFonts w:cs="Arial"/>
                <w:sz w:val="18"/>
                <w:szCs w:val="18"/>
              </w:rPr>
              <w:t>Comentarios</w:t>
            </w:r>
          </w:p>
        </w:tc>
      </w:tr>
      <w:tr w:rsidR="00DA4307" w:rsidRPr="00B369EB" w14:paraId="71F14136" w14:textId="77777777" w:rsidTr="00CF2CCD">
        <w:tc>
          <w:tcPr>
            <w:tcW w:w="1248" w:type="dxa"/>
          </w:tcPr>
          <w:p w14:paraId="27AB78A3" w14:textId="77777777" w:rsidR="007F2C3D" w:rsidRPr="00B369EB" w:rsidRDefault="001C673E">
            <w:pPr>
              <w:keepNext/>
              <w:jc w:val="left"/>
              <w:rPr>
                <w:rFonts w:cs="Arial"/>
                <w:sz w:val="18"/>
                <w:szCs w:val="18"/>
              </w:rPr>
            </w:pPr>
            <w:r w:rsidRPr="00B369EB">
              <w:rPr>
                <w:rFonts w:cs="Arial"/>
                <w:sz w:val="18"/>
                <w:szCs w:val="18"/>
              </w:rPr>
              <w:t>1. Curso de formación DHE</w:t>
            </w:r>
          </w:p>
          <w:p w14:paraId="783FDE14" w14:textId="77777777" w:rsidR="00DA4307" w:rsidRPr="00B369EB" w:rsidRDefault="00DA4307" w:rsidP="00934CBD">
            <w:pPr>
              <w:keepNext/>
              <w:jc w:val="left"/>
              <w:rPr>
                <w:rFonts w:cs="Arial"/>
                <w:sz w:val="18"/>
                <w:szCs w:val="18"/>
              </w:rPr>
            </w:pPr>
          </w:p>
        </w:tc>
        <w:tc>
          <w:tcPr>
            <w:tcW w:w="821" w:type="dxa"/>
          </w:tcPr>
          <w:p w14:paraId="45378F70" w14:textId="77777777" w:rsidR="007F2C3D" w:rsidRPr="00B369EB" w:rsidRDefault="001C673E">
            <w:pPr>
              <w:keepNext/>
              <w:jc w:val="left"/>
              <w:rPr>
                <w:rFonts w:cs="Arial"/>
                <w:sz w:val="18"/>
                <w:szCs w:val="18"/>
              </w:rPr>
            </w:pPr>
            <w:r w:rsidRPr="00B369EB">
              <w:rPr>
                <w:rFonts w:cs="Arial"/>
                <w:sz w:val="18"/>
                <w:szCs w:val="18"/>
              </w:rPr>
              <w:t>10-15 de marzo de 2024</w:t>
            </w:r>
          </w:p>
        </w:tc>
        <w:tc>
          <w:tcPr>
            <w:tcW w:w="1192" w:type="dxa"/>
          </w:tcPr>
          <w:p w14:paraId="7F86A45C" w14:textId="77777777" w:rsidR="007F2C3D" w:rsidRPr="00B369EB" w:rsidRDefault="001C673E">
            <w:pPr>
              <w:keepNext/>
              <w:jc w:val="left"/>
              <w:rPr>
                <w:rFonts w:cs="Arial"/>
                <w:sz w:val="18"/>
                <w:szCs w:val="18"/>
              </w:rPr>
            </w:pPr>
            <w:r w:rsidRPr="00B369EB">
              <w:rPr>
                <w:rFonts w:cs="Arial"/>
                <w:sz w:val="18"/>
                <w:szCs w:val="18"/>
              </w:rPr>
              <w:t>Academia Bielorrusa de Agricultura</w:t>
            </w:r>
          </w:p>
          <w:p w14:paraId="6B5C541B" w14:textId="77777777" w:rsidR="007F2C3D" w:rsidRPr="00B369EB" w:rsidRDefault="001C673E">
            <w:pPr>
              <w:keepNext/>
              <w:jc w:val="left"/>
              <w:rPr>
                <w:rFonts w:cs="Arial"/>
                <w:sz w:val="18"/>
                <w:szCs w:val="18"/>
              </w:rPr>
            </w:pPr>
            <w:proofErr w:type="spellStart"/>
            <w:r w:rsidRPr="00B369EB">
              <w:rPr>
                <w:rFonts w:cs="Arial"/>
                <w:sz w:val="18"/>
                <w:szCs w:val="18"/>
              </w:rPr>
              <w:t>Belarús</w:t>
            </w:r>
            <w:proofErr w:type="spellEnd"/>
          </w:p>
        </w:tc>
        <w:tc>
          <w:tcPr>
            <w:tcW w:w="1554" w:type="dxa"/>
          </w:tcPr>
          <w:p w14:paraId="50138538" w14:textId="77777777" w:rsidR="007F2C3D" w:rsidRPr="00B369EB" w:rsidRDefault="001C673E">
            <w:pPr>
              <w:keepNext/>
              <w:jc w:val="left"/>
              <w:rPr>
                <w:rFonts w:cs="Arial"/>
                <w:sz w:val="18"/>
                <w:szCs w:val="18"/>
              </w:rPr>
            </w:pPr>
            <w:r w:rsidRPr="00B369EB">
              <w:rPr>
                <w:rFonts w:cs="Arial"/>
                <w:sz w:val="18"/>
                <w:szCs w:val="18"/>
              </w:rPr>
              <w:t xml:space="preserve">SE </w:t>
            </w:r>
            <w:r w:rsidR="007018E1" w:rsidRPr="00B369EB">
              <w:rPr>
                <w:rFonts w:cs="Arial"/>
                <w:sz w:val="18"/>
                <w:szCs w:val="18"/>
              </w:rPr>
              <w:t>"</w:t>
            </w:r>
            <w:r w:rsidRPr="00B369EB">
              <w:rPr>
                <w:rFonts w:cs="Arial"/>
                <w:sz w:val="18"/>
                <w:szCs w:val="18"/>
              </w:rPr>
              <w:t>Inspección estatal para el examen y la protección de las obtenciones vegetales</w:t>
            </w:r>
            <w:r w:rsidR="007018E1" w:rsidRPr="00B369EB">
              <w:rPr>
                <w:rFonts w:cs="Arial"/>
                <w:sz w:val="18"/>
                <w:szCs w:val="18"/>
              </w:rPr>
              <w:t>"</w:t>
            </w:r>
          </w:p>
        </w:tc>
        <w:tc>
          <w:tcPr>
            <w:tcW w:w="2273" w:type="dxa"/>
          </w:tcPr>
          <w:p w14:paraId="17EAA776" w14:textId="77777777" w:rsidR="007F2C3D" w:rsidRPr="00B369EB" w:rsidRDefault="001C673E">
            <w:pPr>
              <w:keepNext/>
              <w:jc w:val="left"/>
              <w:rPr>
                <w:rFonts w:cs="Arial"/>
                <w:sz w:val="18"/>
                <w:szCs w:val="18"/>
              </w:rPr>
            </w:pPr>
            <w:r w:rsidRPr="00B369EB">
              <w:rPr>
                <w:rFonts w:cs="Arial"/>
                <w:sz w:val="18"/>
                <w:szCs w:val="18"/>
              </w:rPr>
              <w:t xml:space="preserve">Formación DHE para expertos DHE de </w:t>
            </w:r>
            <w:proofErr w:type="spellStart"/>
            <w:r w:rsidRPr="00B369EB">
              <w:rPr>
                <w:rFonts w:cs="Arial"/>
                <w:sz w:val="18"/>
                <w:szCs w:val="18"/>
              </w:rPr>
              <w:t>Belarús</w:t>
            </w:r>
            <w:proofErr w:type="spellEnd"/>
          </w:p>
        </w:tc>
        <w:tc>
          <w:tcPr>
            <w:tcW w:w="1247" w:type="dxa"/>
          </w:tcPr>
          <w:p w14:paraId="202725D9" w14:textId="77777777" w:rsidR="007F2C3D" w:rsidRPr="00B369EB" w:rsidRDefault="001C673E">
            <w:pPr>
              <w:keepNext/>
              <w:jc w:val="left"/>
              <w:rPr>
                <w:rFonts w:cs="Arial"/>
                <w:sz w:val="18"/>
                <w:szCs w:val="18"/>
              </w:rPr>
            </w:pPr>
            <w:proofErr w:type="spellStart"/>
            <w:r w:rsidRPr="00B369EB">
              <w:rPr>
                <w:rFonts w:cs="Arial"/>
                <w:sz w:val="18"/>
                <w:szCs w:val="18"/>
              </w:rPr>
              <w:t>Belarús</w:t>
            </w:r>
            <w:proofErr w:type="spellEnd"/>
          </w:p>
        </w:tc>
        <w:tc>
          <w:tcPr>
            <w:tcW w:w="1276" w:type="dxa"/>
          </w:tcPr>
          <w:p w14:paraId="18E3B05B" w14:textId="77777777" w:rsidR="007F2C3D" w:rsidRPr="00B369EB" w:rsidRDefault="001C673E">
            <w:pPr>
              <w:keepNext/>
              <w:jc w:val="left"/>
              <w:rPr>
                <w:rFonts w:cs="Arial"/>
                <w:sz w:val="18"/>
                <w:szCs w:val="18"/>
              </w:rPr>
            </w:pPr>
            <w:r w:rsidRPr="00B369EB">
              <w:rPr>
                <w:rFonts w:cs="Arial"/>
                <w:sz w:val="18"/>
                <w:szCs w:val="18"/>
              </w:rPr>
              <w:t>Cooperación útil, especialmente formación práctica en parcelas DUS</w:t>
            </w:r>
          </w:p>
        </w:tc>
      </w:tr>
      <w:tr w:rsidR="00DA4307" w:rsidRPr="00B369EB" w14:paraId="28047A65" w14:textId="77777777" w:rsidTr="00CF2CCD">
        <w:tc>
          <w:tcPr>
            <w:tcW w:w="1248" w:type="dxa"/>
          </w:tcPr>
          <w:p w14:paraId="4F5FB09F" w14:textId="77777777" w:rsidR="007F2C3D" w:rsidRPr="00B369EB" w:rsidRDefault="001C673E">
            <w:pPr>
              <w:keepNext/>
              <w:jc w:val="left"/>
              <w:rPr>
                <w:rFonts w:cs="Arial"/>
                <w:sz w:val="18"/>
                <w:szCs w:val="18"/>
              </w:rPr>
            </w:pPr>
            <w:r w:rsidRPr="00B369EB">
              <w:rPr>
                <w:rFonts w:cs="Arial"/>
                <w:sz w:val="18"/>
                <w:szCs w:val="18"/>
              </w:rPr>
              <w:t>2. Intercambio de experiencias</w:t>
            </w:r>
          </w:p>
          <w:p w14:paraId="2507B548" w14:textId="77777777" w:rsidR="00DA4307" w:rsidRPr="00B369EB" w:rsidRDefault="00DA4307" w:rsidP="00934CBD">
            <w:pPr>
              <w:keepNext/>
              <w:jc w:val="left"/>
              <w:rPr>
                <w:rFonts w:cs="Arial"/>
                <w:sz w:val="18"/>
                <w:szCs w:val="18"/>
              </w:rPr>
            </w:pPr>
          </w:p>
        </w:tc>
        <w:tc>
          <w:tcPr>
            <w:tcW w:w="821" w:type="dxa"/>
          </w:tcPr>
          <w:p w14:paraId="33C245C0" w14:textId="77777777" w:rsidR="007F2C3D" w:rsidRPr="00B369EB" w:rsidRDefault="001C673E">
            <w:pPr>
              <w:keepNext/>
              <w:jc w:val="left"/>
              <w:rPr>
                <w:rFonts w:cs="Arial"/>
                <w:sz w:val="18"/>
                <w:szCs w:val="18"/>
              </w:rPr>
            </w:pPr>
            <w:r w:rsidRPr="00B369EB">
              <w:rPr>
                <w:rFonts w:cs="Arial"/>
                <w:sz w:val="18"/>
                <w:szCs w:val="18"/>
              </w:rPr>
              <w:t>27-28 de marzo de 2024</w:t>
            </w:r>
          </w:p>
        </w:tc>
        <w:tc>
          <w:tcPr>
            <w:tcW w:w="1192" w:type="dxa"/>
          </w:tcPr>
          <w:p w14:paraId="3EFAB23D" w14:textId="77777777" w:rsidR="007F2C3D" w:rsidRPr="00B369EB" w:rsidRDefault="001C673E">
            <w:pPr>
              <w:keepNext/>
              <w:jc w:val="left"/>
              <w:rPr>
                <w:rFonts w:cs="Arial"/>
                <w:sz w:val="18"/>
                <w:szCs w:val="18"/>
              </w:rPr>
            </w:pPr>
            <w:r w:rsidRPr="00B369EB">
              <w:rPr>
                <w:rFonts w:cs="Arial"/>
                <w:sz w:val="18"/>
                <w:szCs w:val="18"/>
              </w:rPr>
              <w:t>Federación de Rusia</w:t>
            </w:r>
          </w:p>
        </w:tc>
        <w:tc>
          <w:tcPr>
            <w:tcW w:w="1554" w:type="dxa"/>
          </w:tcPr>
          <w:p w14:paraId="32949FAF" w14:textId="77777777" w:rsidR="007F2C3D" w:rsidRPr="00B369EB" w:rsidRDefault="00DA4307">
            <w:pPr>
              <w:keepNext/>
              <w:jc w:val="left"/>
              <w:rPr>
                <w:rFonts w:cs="Arial"/>
                <w:sz w:val="18"/>
                <w:szCs w:val="18"/>
              </w:rPr>
            </w:pPr>
            <w:r w:rsidRPr="00B369EB">
              <w:rPr>
                <w:rFonts w:cs="Arial"/>
                <w:sz w:val="18"/>
                <w:szCs w:val="18"/>
              </w:rPr>
              <w:t>"Comisión Estatal de la Federación de Rusia para la Prueba y Protección de los Logros de la Selección</w:t>
            </w:r>
          </w:p>
        </w:tc>
        <w:tc>
          <w:tcPr>
            <w:tcW w:w="2273" w:type="dxa"/>
          </w:tcPr>
          <w:p w14:paraId="0ABEC808" w14:textId="77777777" w:rsidR="007F2C3D" w:rsidRPr="00B369EB" w:rsidRDefault="00DA4307">
            <w:pPr>
              <w:pStyle w:val="BodyText2"/>
              <w:spacing w:after="0" w:line="240" w:lineRule="auto"/>
              <w:jc w:val="left"/>
              <w:rPr>
                <w:rFonts w:cs="Arial"/>
                <w:sz w:val="18"/>
                <w:szCs w:val="18"/>
              </w:rPr>
            </w:pPr>
            <w:r w:rsidRPr="00B369EB">
              <w:rPr>
                <w:rFonts w:cs="Arial"/>
                <w:sz w:val="18"/>
                <w:szCs w:val="18"/>
              </w:rPr>
              <w:t>Debatir la estrategia para desarrollar el examen de variedades de conformidad con los reglamentos de la Unión Económica Euroasiática (UEEA) y la Unión Internacional para la Protección de las Obtenciones Vegetales (UPOV).</w:t>
            </w:r>
          </w:p>
        </w:tc>
        <w:tc>
          <w:tcPr>
            <w:tcW w:w="1247" w:type="dxa"/>
          </w:tcPr>
          <w:p w14:paraId="540C8B02" w14:textId="77777777" w:rsidR="007F2C3D" w:rsidRPr="00B369EB" w:rsidRDefault="001C673E">
            <w:pPr>
              <w:keepNext/>
              <w:jc w:val="left"/>
              <w:rPr>
                <w:rFonts w:cs="Arial"/>
                <w:sz w:val="18"/>
                <w:szCs w:val="18"/>
              </w:rPr>
            </w:pPr>
            <w:proofErr w:type="spellStart"/>
            <w:r w:rsidRPr="00B369EB">
              <w:rPr>
                <w:rFonts w:cs="Arial"/>
                <w:sz w:val="18"/>
                <w:szCs w:val="18"/>
              </w:rPr>
              <w:t>Belarús</w:t>
            </w:r>
            <w:proofErr w:type="spellEnd"/>
          </w:p>
          <w:p w14:paraId="003DBD19" w14:textId="77777777" w:rsidR="007F2C3D" w:rsidRPr="00B369EB" w:rsidRDefault="001C673E">
            <w:pPr>
              <w:keepNext/>
              <w:jc w:val="left"/>
              <w:rPr>
                <w:rFonts w:cs="Arial"/>
                <w:sz w:val="18"/>
                <w:szCs w:val="18"/>
              </w:rPr>
            </w:pPr>
            <w:r w:rsidRPr="00B369EB">
              <w:rPr>
                <w:rFonts w:cs="Arial"/>
                <w:sz w:val="18"/>
                <w:szCs w:val="18"/>
              </w:rPr>
              <w:t>Federación de Rusia</w:t>
            </w:r>
          </w:p>
        </w:tc>
        <w:tc>
          <w:tcPr>
            <w:tcW w:w="1276" w:type="dxa"/>
          </w:tcPr>
          <w:p w14:paraId="5B8C14BD" w14:textId="77777777" w:rsidR="007F2C3D" w:rsidRPr="00B369EB" w:rsidRDefault="001C673E">
            <w:pPr>
              <w:keepNext/>
              <w:jc w:val="left"/>
              <w:rPr>
                <w:rFonts w:cs="Arial"/>
                <w:sz w:val="18"/>
                <w:szCs w:val="18"/>
              </w:rPr>
            </w:pPr>
            <w:r w:rsidRPr="00B369EB">
              <w:rPr>
                <w:rFonts w:cs="Arial"/>
                <w:sz w:val="18"/>
                <w:szCs w:val="18"/>
              </w:rPr>
              <w:t>Cooperación fructífera</w:t>
            </w:r>
          </w:p>
        </w:tc>
      </w:tr>
      <w:tr w:rsidR="00DA4307" w:rsidRPr="00B369EB" w14:paraId="43826055" w14:textId="77777777" w:rsidTr="00CF2CCD">
        <w:tc>
          <w:tcPr>
            <w:tcW w:w="1248" w:type="dxa"/>
          </w:tcPr>
          <w:p w14:paraId="4ED82D7D" w14:textId="77777777" w:rsidR="007F2C3D" w:rsidRPr="00B369EB" w:rsidRDefault="001C673E">
            <w:pPr>
              <w:keepNext/>
              <w:jc w:val="left"/>
              <w:rPr>
                <w:rFonts w:cs="Arial"/>
                <w:sz w:val="18"/>
                <w:szCs w:val="18"/>
              </w:rPr>
            </w:pPr>
            <w:r w:rsidRPr="00B369EB">
              <w:rPr>
                <w:rFonts w:cs="Arial"/>
                <w:sz w:val="18"/>
                <w:szCs w:val="18"/>
              </w:rPr>
              <w:t>3. Curso de formación VCU y DHE</w:t>
            </w:r>
          </w:p>
          <w:p w14:paraId="5655E21C" w14:textId="77777777" w:rsidR="00DA4307" w:rsidRPr="00B369EB" w:rsidRDefault="00DA4307" w:rsidP="00934CBD">
            <w:pPr>
              <w:keepNext/>
              <w:jc w:val="left"/>
              <w:rPr>
                <w:rFonts w:cs="Arial"/>
                <w:sz w:val="18"/>
                <w:szCs w:val="18"/>
              </w:rPr>
            </w:pPr>
          </w:p>
        </w:tc>
        <w:tc>
          <w:tcPr>
            <w:tcW w:w="821" w:type="dxa"/>
          </w:tcPr>
          <w:p w14:paraId="37D033E0" w14:textId="77777777" w:rsidR="007F2C3D" w:rsidRPr="00B369EB" w:rsidRDefault="001C673E">
            <w:pPr>
              <w:keepNext/>
              <w:jc w:val="left"/>
              <w:rPr>
                <w:rFonts w:cs="Arial"/>
                <w:sz w:val="18"/>
                <w:szCs w:val="18"/>
              </w:rPr>
            </w:pPr>
            <w:r w:rsidRPr="00B369EB">
              <w:rPr>
                <w:rFonts w:cs="Arial"/>
                <w:sz w:val="18"/>
                <w:szCs w:val="18"/>
              </w:rPr>
              <w:t>17 - 22 de junio de 2024</w:t>
            </w:r>
          </w:p>
        </w:tc>
        <w:tc>
          <w:tcPr>
            <w:tcW w:w="1192" w:type="dxa"/>
          </w:tcPr>
          <w:p w14:paraId="4962DAD6" w14:textId="77777777" w:rsidR="007F2C3D" w:rsidRPr="00B369EB" w:rsidRDefault="001C673E">
            <w:pPr>
              <w:keepNext/>
              <w:jc w:val="left"/>
              <w:rPr>
                <w:rFonts w:cs="Arial"/>
                <w:sz w:val="18"/>
                <w:szCs w:val="18"/>
              </w:rPr>
            </w:pPr>
            <w:proofErr w:type="spellStart"/>
            <w:r w:rsidRPr="00B369EB">
              <w:rPr>
                <w:rFonts w:cs="Arial"/>
                <w:sz w:val="18"/>
                <w:szCs w:val="18"/>
              </w:rPr>
              <w:t>Belarús</w:t>
            </w:r>
            <w:proofErr w:type="spellEnd"/>
          </w:p>
          <w:p w14:paraId="70722200" w14:textId="77777777" w:rsidR="007F2C3D" w:rsidRPr="00B369EB" w:rsidRDefault="001C673E">
            <w:pPr>
              <w:keepNext/>
              <w:jc w:val="left"/>
              <w:rPr>
                <w:rFonts w:cs="Arial"/>
                <w:sz w:val="18"/>
                <w:szCs w:val="18"/>
              </w:rPr>
            </w:pPr>
            <w:r w:rsidRPr="00B369EB">
              <w:rPr>
                <w:rFonts w:cs="Arial"/>
                <w:sz w:val="18"/>
                <w:szCs w:val="18"/>
              </w:rPr>
              <w:t>Minsk,</w:t>
            </w:r>
          </w:p>
          <w:p w14:paraId="658F472B" w14:textId="77777777" w:rsidR="007F2C3D" w:rsidRPr="00B369EB" w:rsidRDefault="001C673E">
            <w:pPr>
              <w:keepNext/>
              <w:jc w:val="left"/>
              <w:rPr>
                <w:rFonts w:cs="Arial"/>
                <w:sz w:val="18"/>
                <w:szCs w:val="18"/>
              </w:rPr>
            </w:pPr>
            <w:r w:rsidRPr="00B369EB">
              <w:rPr>
                <w:rFonts w:cs="Arial"/>
                <w:sz w:val="18"/>
                <w:szCs w:val="18"/>
              </w:rPr>
              <w:t xml:space="preserve">Estación de Pruebas de </w:t>
            </w:r>
            <w:proofErr w:type="spellStart"/>
            <w:r w:rsidRPr="00B369EB">
              <w:rPr>
                <w:rFonts w:cs="Arial"/>
                <w:sz w:val="18"/>
                <w:szCs w:val="18"/>
              </w:rPr>
              <w:t>Molodechno</w:t>
            </w:r>
            <w:proofErr w:type="spellEnd"/>
            <w:r w:rsidRPr="00B369EB">
              <w:rPr>
                <w:rFonts w:cs="Arial"/>
                <w:sz w:val="18"/>
                <w:szCs w:val="18"/>
              </w:rPr>
              <w:t>,</w:t>
            </w:r>
          </w:p>
          <w:p w14:paraId="44AA2F7C" w14:textId="77777777" w:rsidR="007F2C3D" w:rsidRPr="00B369EB" w:rsidRDefault="001C673E">
            <w:pPr>
              <w:keepNext/>
              <w:jc w:val="left"/>
              <w:rPr>
                <w:rFonts w:cs="Arial"/>
                <w:sz w:val="18"/>
                <w:szCs w:val="18"/>
              </w:rPr>
            </w:pPr>
            <w:r w:rsidRPr="00B369EB">
              <w:rPr>
                <w:rFonts w:cs="Arial"/>
                <w:sz w:val="18"/>
                <w:szCs w:val="18"/>
              </w:rPr>
              <w:t xml:space="preserve">Estación de pruebas de </w:t>
            </w:r>
            <w:proofErr w:type="spellStart"/>
            <w:r w:rsidRPr="00B369EB">
              <w:rPr>
                <w:rFonts w:cs="Arial"/>
                <w:sz w:val="18"/>
                <w:szCs w:val="18"/>
              </w:rPr>
              <w:t>Vileyka</w:t>
            </w:r>
            <w:proofErr w:type="spellEnd"/>
            <w:r w:rsidRPr="00B369EB">
              <w:rPr>
                <w:rFonts w:cs="Arial"/>
                <w:sz w:val="18"/>
                <w:szCs w:val="18"/>
              </w:rPr>
              <w:t>,</w:t>
            </w:r>
          </w:p>
          <w:p w14:paraId="4FEC9358" w14:textId="77777777" w:rsidR="007F2C3D" w:rsidRPr="00B369EB" w:rsidRDefault="001C673E">
            <w:pPr>
              <w:keepNext/>
              <w:jc w:val="left"/>
              <w:rPr>
                <w:rFonts w:cs="Arial"/>
                <w:sz w:val="18"/>
                <w:szCs w:val="18"/>
              </w:rPr>
            </w:pPr>
            <w:proofErr w:type="spellStart"/>
            <w:r w:rsidRPr="00B369EB">
              <w:rPr>
                <w:rFonts w:cs="Arial"/>
                <w:sz w:val="18"/>
                <w:szCs w:val="18"/>
              </w:rPr>
              <w:t>Zhodino</w:t>
            </w:r>
            <w:proofErr w:type="spellEnd"/>
          </w:p>
          <w:p w14:paraId="41DD7501" w14:textId="77777777" w:rsidR="00DA4307" w:rsidRPr="00B369EB" w:rsidRDefault="00DA4307" w:rsidP="00934CBD">
            <w:pPr>
              <w:keepNext/>
              <w:jc w:val="left"/>
              <w:rPr>
                <w:rFonts w:cs="Arial"/>
                <w:sz w:val="18"/>
                <w:szCs w:val="18"/>
              </w:rPr>
            </w:pPr>
          </w:p>
        </w:tc>
        <w:tc>
          <w:tcPr>
            <w:tcW w:w="1554" w:type="dxa"/>
          </w:tcPr>
          <w:p w14:paraId="67DE7FA0" w14:textId="77777777" w:rsidR="007F2C3D" w:rsidRPr="00B369EB" w:rsidRDefault="001C673E">
            <w:pPr>
              <w:keepNext/>
              <w:jc w:val="left"/>
              <w:rPr>
                <w:rFonts w:cs="Arial"/>
                <w:sz w:val="18"/>
                <w:szCs w:val="18"/>
              </w:rPr>
            </w:pPr>
            <w:r w:rsidRPr="00B369EB">
              <w:rPr>
                <w:rFonts w:cs="Arial"/>
                <w:sz w:val="18"/>
                <w:szCs w:val="18"/>
              </w:rPr>
              <w:t xml:space="preserve">SE </w:t>
            </w:r>
            <w:r w:rsidR="007018E1" w:rsidRPr="00B369EB">
              <w:rPr>
                <w:rFonts w:cs="Arial"/>
                <w:sz w:val="18"/>
                <w:szCs w:val="18"/>
              </w:rPr>
              <w:t>"</w:t>
            </w:r>
            <w:r w:rsidRPr="00B369EB">
              <w:rPr>
                <w:rFonts w:cs="Arial"/>
                <w:sz w:val="18"/>
                <w:szCs w:val="18"/>
              </w:rPr>
              <w:t>Inspección estatal para el examen y la protección de las obtenciones vegetales</w:t>
            </w:r>
            <w:r w:rsidR="007018E1" w:rsidRPr="00B369EB">
              <w:rPr>
                <w:rFonts w:cs="Arial"/>
                <w:sz w:val="18"/>
                <w:szCs w:val="18"/>
              </w:rPr>
              <w:t>"</w:t>
            </w:r>
          </w:p>
        </w:tc>
        <w:tc>
          <w:tcPr>
            <w:tcW w:w="2273" w:type="dxa"/>
          </w:tcPr>
          <w:p w14:paraId="5DD31C47" w14:textId="77777777" w:rsidR="007F2C3D" w:rsidRPr="00B369EB" w:rsidRDefault="001C673E">
            <w:pPr>
              <w:keepNext/>
              <w:jc w:val="left"/>
              <w:rPr>
                <w:rFonts w:cs="Arial"/>
                <w:sz w:val="18"/>
                <w:szCs w:val="18"/>
              </w:rPr>
            </w:pPr>
            <w:r w:rsidRPr="00B369EB">
              <w:rPr>
                <w:rFonts w:cs="Arial"/>
                <w:sz w:val="18"/>
                <w:szCs w:val="18"/>
              </w:rPr>
              <w:t xml:space="preserve">- la aplicación del Programa de Cooperación en el ámbito del examen estatal y la protección mediante patente de las obtenciones vegetales entre la Comisión Estatal de Examen de Variedades de Cultivos Agrícolas de la República de Kazajstán y la Inspección Estatal de Examen y Protección de las Obtenciones Vegetales de la República de </w:t>
            </w:r>
            <w:proofErr w:type="spellStart"/>
            <w:r w:rsidRPr="00B369EB">
              <w:rPr>
                <w:rFonts w:cs="Arial"/>
                <w:sz w:val="18"/>
                <w:szCs w:val="18"/>
              </w:rPr>
              <w:t>Belarús</w:t>
            </w:r>
            <w:proofErr w:type="spellEnd"/>
            <w:r w:rsidRPr="00B369EB">
              <w:rPr>
                <w:rFonts w:cs="Arial"/>
                <w:sz w:val="18"/>
                <w:szCs w:val="18"/>
              </w:rPr>
              <w:t xml:space="preserve"> para 2021-2025 y el Protocolo de la decimoctava reunión de la Comisión Intergubernamental </w:t>
            </w:r>
            <w:proofErr w:type="spellStart"/>
            <w:r w:rsidRPr="00B369EB">
              <w:rPr>
                <w:rFonts w:cs="Arial"/>
                <w:sz w:val="18"/>
                <w:szCs w:val="18"/>
              </w:rPr>
              <w:t>Belaruso</w:t>
            </w:r>
            <w:proofErr w:type="spellEnd"/>
            <w:r w:rsidRPr="00B369EB">
              <w:rPr>
                <w:rFonts w:cs="Arial"/>
                <w:sz w:val="18"/>
                <w:szCs w:val="18"/>
              </w:rPr>
              <w:t>-Kazaja de Cooperación Comercial y Económica</w:t>
            </w:r>
          </w:p>
          <w:p w14:paraId="06F0B300" w14:textId="77777777" w:rsidR="007F2C3D" w:rsidRPr="00B369EB" w:rsidRDefault="001C673E">
            <w:pPr>
              <w:keepNext/>
              <w:jc w:val="left"/>
              <w:rPr>
                <w:rFonts w:cs="Arial"/>
                <w:sz w:val="18"/>
                <w:szCs w:val="18"/>
              </w:rPr>
            </w:pPr>
            <w:r w:rsidRPr="00B369EB">
              <w:rPr>
                <w:rFonts w:cs="Arial"/>
                <w:sz w:val="18"/>
                <w:szCs w:val="18"/>
              </w:rPr>
              <w:t xml:space="preserve">- un seminario de formación en el ámbito del examen de variedades y el examen de variedades vegetales a escala estatal </w:t>
            </w:r>
          </w:p>
        </w:tc>
        <w:tc>
          <w:tcPr>
            <w:tcW w:w="1247" w:type="dxa"/>
          </w:tcPr>
          <w:p w14:paraId="5B0FCD5B" w14:textId="77777777" w:rsidR="007F2C3D" w:rsidRPr="00B369EB" w:rsidRDefault="001C673E">
            <w:pPr>
              <w:keepNext/>
              <w:jc w:val="left"/>
              <w:rPr>
                <w:rFonts w:cs="Arial"/>
                <w:sz w:val="18"/>
                <w:szCs w:val="18"/>
              </w:rPr>
            </w:pPr>
            <w:proofErr w:type="spellStart"/>
            <w:r w:rsidRPr="00B369EB">
              <w:rPr>
                <w:rFonts w:cs="Arial"/>
                <w:sz w:val="18"/>
                <w:szCs w:val="18"/>
              </w:rPr>
              <w:t>Belarús</w:t>
            </w:r>
            <w:proofErr w:type="spellEnd"/>
          </w:p>
          <w:p w14:paraId="08460B68" w14:textId="77777777" w:rsidR="007F2C3D" w:rsidRPr="00B369EB" w:rsidRDefault="001C673E">
            <w:pPr>
              <w:keepNext/>
              <w:jc w:val="left"/>
              <w:rPr>
                <w:rFonts w:cs="Arial"/>
                <w:sz w:val="18"/>
                <w:szCs w:val="18"/>
              </w:rPr>
            </w:pPr>
            <w:r w:rsidRPr="00B369EB">
              <w:rPr>
                <w:rFonts w:cs="Arial"/>
                <w:sz w:val="18"/>
                <w:szCs w:val="18"/>
              </w:rPr>
              <w:t>Kazajstán</w:t>
            </w:r>
          </w:p>
        </w:tc>
        <w:tc>
          <w:tcPr>
            <w:tcW w:w="1276" w:type="dxa"/>
          </w:tcPr>
          <w:p w14:paraId="0230451D" w14:textId="77777777" w:rsidR="007F2C3D" w:rsidRPr="00B369EB" w:rsidRDefault="001C673E">
            <w:pPr>
              <w:keepNext/>
              <w:jc w:val="left"/>
              <w:rPr>
                <w:rFonts w:cs="Arial"/>
                <w:sz w:val="18"/>
                <w:szCs w:val="18"/>
              </w:rPr>
            </w:pPr>
            <w:r w:rsidRPr="00B369EB">
              <w:rPr>
                <w:rFonts w:cs="Arial"/>
                <w:sz w:val="18"/>
                <w:szCs w:val="18"/>
              </w:rPr>
              <w:t>Cooperación fructífera</w:t>
            </w:r>
          </w:p>
          <w:p w14:paraId="10D82315" w14:textId="77777777" w:rsidR="007F2C3D" w:rsidRPr="00B369EB" w:rsidRDefault="001C673E">
            <w:pPr>
              <w:keepNext/>
              <w:jc w:val="left"/>
              <w:rPr>
                <w:rFonts w:cs="Arial"/>
                <w:sz w:val="18"/>
                <w:szCs w:val="18"/>
              </w:rPr>
            </w:pPr>
            <w:r w:rsidRPr="00B369EB">
              <w:rPr>
                <w:rFonts w:cs="Arial"/>
                <w:sz w:val="18"/>
                <w:szCs w:val="18"/>
              </w:rPr>
              <w:t>Formación útil, especialmente la formación práctica en parcelas DUS</w:t>
            </w:r>
          </w:p>
          <w:p w14:paraId="4EC6A34A" w14:textId="77777777" w:rsidR="00DA4307" w:rsidRPr="00B369EB" w:rsidRDefault="00DA4307" w:rsidP="00934CBD">
            <w:pPr>
              <w:keepNext/>
              <w:jc w:val="left"/>
              <w:rPr>
                <w:rFonts w:cs="Arial"/>
                <w:sz w:val="18"/>
                <w:szCs w:val="18"/>
              </w:rPr>
            </w:pPr>
          </w:p>
          <w:p w14:paraId="35732361" w14:textId="77777777" w:rsidR="00DA4307" w:rsidRPr="00B369EB" w:rsidRDefault="00DA4307" w:rsidP="00934CBD">
            <w:pPr>
              <w:keepNext/>
              <w:jc w:val="left"/>
              <w:rPr>
                <w:rFonts w:cs="Arial"/>
                <w:sz w:val="18"/>
                <w:szCs w:val="18"/>
              </w:rPr>
            </w:pPr>
          </w:p>
          <w:p w14:paraId="1D20FD62" w14:textId="77777777" w:rsidR="00DA4307" w:rsidRPr="00B369EB" w:rsidRDefault="00DA4307" w:rsidP="00934CBD">
            <w:pPr>
              <w:keepNext/>
              <w:jc w:val="left"/>
              <w:rPr>
                <w:rFonts w:cs="Arial"/>
                <w:sz w:val="18"/>
                <w:szCs w:val="18"/>
              </w:rPr>
            </w:pPr>
          </w:p>
          <w:p w14:paraId="15A55479" w14:textId="77777777" w:rsidR="00DA4307" w:rsidRPr="00B369EB" w:rsidRDefault="00DA4307" w:rsidP="00934CBD">
            <w:pPr>
              <w:keepNext/>
              <w:jc w:val="left"/>
              <w:rPr>
                <w:rFonts w:cs="Arial"/>
                <w:sz w:val="18"/>
                <w:szCs w:val="18"/>
              </w:rPr>
            </w:pPr>
          </w:p>
          <w:p w14:paraId="02A65E75" w14:textId="77777777" w:rsidR="00DA4307" w:rsidRPr="00B369EB" w:rsidRDefault="00DA4307" w:rsidP="00934CBD">
            <w:pPr>
              <w:keepNext/>
              <w:jc w:val="left"/>
              <w:rPr>
                <w:rFonts w:cs="Arial"/>
                <w:sz w:val="18"/>
                <w:szCs w:val="18"/>
              </w:rPr>
            </w:pPr>
          </w:p>
        </w:tc>
      </w:tr>
      <w:tr w:rsidR="00DA4307" w:rsidRPr="00B369EB" w14:paraId="35B50803" w14:textId="77777777" w:rsidTr="00CF2CCD">
        <w:tc>
          <w:tcPr>
            <w:tcW w:w="1248" w:type="dxa"/>
          </w:tcPr>
          <w:p w14:paraId="7BB66EB3" w14:textId="77777777" w:rsidR="007F2C3D" w:rsidRPr="00B369EB" w:rsidRDefault="001C673E">
            <w:pPr>
              <w:keepNext/>
              <w:jc w:val="left"/>
              <w:rPr>
                <w:rFonts w:cs="Arial"/>
                <w:sz w:val="18"/>
                <w:szCs w:val="18"/>
              </w:rPr>
            </w:pPr>
            <w:r w:rsidRPr="00B369EB">
              <w:rPr>
                <w:rFonts w:cs="Arial"/>
                <w:sz w:val="18"/>
                <w:szCs w:val="18"/>
              </w:rPr>
              <w:t>4. Curso de formación VCU y DHE</w:t>
            </w:r>
          </w:p>
          <w:p w14:paraId="20C1C75C" w14:textId="77777777" w:rsidR="00DA4307" w:rsidRPr="00B369EB" w:rsidRDefault="00DA4307" w:rsidP="00934CBD">
            <w:pPr>
              <w:keepNext/>
              <w:jc w:val="left"/>
              <w:rPr>
                <w:rFonts w:cs="Arial"/>
                <w:sz w:val="18"/>
                <w:szCs w:val="18"/>
              </w:rPr>
            </w:pPr>
          </w:p>
          <w:p w14:paraId="4509D17D" w14:textId="77777777" w:rsidR="00DA4307" w:rsidRPr="00B369EB" w:rsidRDefault="00DA4307" w:rsidP="00934CBD">
            <w:pPr>
              <w:keepNext/>
              <w:jc w:val="left"/>
              <w:rPr>
                <w:rFonts w:cs="Arial"/>
                <w:sz w:val="18"/>
                <w:szCs w:val="18"/>
              </w:rPr>
            </w:pPr>
          </w:p>
          <w:p w14:paraId="24B683AD" w14:textId="77777777" w:rsidR="00DA4307" w:rsidRPr="00B369EB" w:rsidRDefault="00DA4307" w:rsidP="00934CBD">
            <w:pPr>
              <w:keepNext/>
              <w:jc w:val="left"/>
              <w:rPr>
                <w:rFonts w:cs="Arial"/>
                <w:sz w:val="18"/>
                <w:szCs w:val="18"/>
              </w:rPr>
            </w:pPr>
          </w:p>
          <w:p w14:paraId="08E64078" w14:textId="77777777" w:rsidR="00DA4307" w:rsidRPr="00B369EB" w:rsidRDefault="00DA4307" w:rsidP="00934CBD">
            <w:pPr>
              <w:keepNext/>
              <w:jc w:val="left"/>
              <w:rPr>
                <w:rFonts w:cs="Arial"/>
                <w:sz w:val="18"/>
                <w:szCs w:val="18"/>
              </w:rPr>
            </w:pPr>
          </w:p>
          <w:p w14:paraId="0443ED0D" w14:textId="77777777" w:rsidR="00DA4307" w:rsidRPr="00B369EB" w:rsidRDefault="00DA4307" w:rsidP="00934CBD">
            <w:pPr>
              <w:keepNext/>
              <w:jc w:val="left"/>
              <w:rPr>
                <w:rFonts w:cs="Arial"/>
                <w:sz w:val="18"/>
                <w:szCs w:val="18"/>
              </w:rPr>
            </w:pPr>
          </w:p>
          <w:p w14:paraId="3CE9BAB4" w14:textId="77777777" w:rsidR="00DA4307" w:rsidRPr="00B369EB" w:rsidRDefault="00DA4307" w:rsidP="00934CBD">
            <w:pPr>
              <w:keepNext/>
              <w:jc w:val="left"/>
              <w:rPr>
                <w:rFonts w:cs="Arial"/>
                <w:sz w:val="18"/>
                <w:szCs w:val="18"/>
              </w:rPr>
            </w:pPr>
          </w:p>
        </w:tc>
        <w:tc>
          <w:tcPr>
            <w:tcW w:w="821" w:type="dxa"/>
          </w:tcPr>
          <w:p w14:paraId="6DAC60F5" w14:textId="77777777" w:rsidR="007F2C3D" w:rsidRPr="00B369EB" w:rsidRDefault="001C673E">
            <w:pPr>
              <w:keepNext/>
              <w:jc w:val="left"/>
              <w:rPr>
                <w:rFonts w:cs="Arial"/>
                <w:sz w:val="18"/>
                <w:szCs w:val="18"/>
              </w:rPr>
            </w:pPr>
            <w:r w:rsidRPr="00B369EB">
              <w:rPr>
                <w:rFonts w:cs="Arial"/>
                <w:sz w:val="18"/>
                <w:szCs w:val="18"/>
              </w:rPr>
              <w:t>15-20 de julio de 2024</w:t>
            </w:r>
          </w:p>
        </w:tc>
        <w:tc>
          <w:tcPr>
            <w:tcW w:w="1192" w:type="dxa"/>
          </w:tcPr>
          <w:p w14:paraId="0910817B" w14:textId="77777777" w:rsidR="007F2C3D" w:rsidRPr="00B369EB" w:rsidRDefault="001C673E">
            <w:pPr>
              <w:keepNext/>
              <w:jc w:val="left"/>
              <w:rPr>
                <w:rFonts w:cs="Arial"/>
                <w:sz w:val="18"/>
                <w:szCs w:val="18"/>
              </w:rPr>
            </w:pPr>
            <w:proofErr w:type="spellStart"/>
            <w:r w:rsidRPr="00B369EB">
              <w:rPr>
                <w:rFonts w:cs="Arial"/>
                <w:sz w:val="18"/>
                <w:szCs w:val="18"/>
              </w:rPr>
              <w:t>Belarús</w:t>
            </w:r>
            <w:proofErr w:type="spellEnd"/>
            <w:r w:rsidRPr="00B369EB">
              <w:rPr>
                <w:rFonts w:cs="Arial"/>
                <w:sz w:val="18"/>
                <w:szCs w:val="18"/>
              </w:rPr>
              <w:t>,</w:t>
            </w:r>
          </w:p>
          <w:p w14:paraId="59440381" w14:textId="77777777" w:rsidR="007F2C3D" w:rsidRPr="00B369EB" w:rsidRDefault="001C673E">
            <w:pPr>
              <w:keepNext/>
              <w:jc w:val="left"/>
              <w:rPr>
                <w:rFonts w:cs="Arial"/>
                <w:sz w:val="18"/>
                <w:szCs w:val="18"/>
              </w:rPr>
            </w:pPr>
            <w:r w:rsidRPr="00B369EB">
              <w:rPr>
                <w:rFonts w:cs="Arial"/>
                <w:sz w:val="18"/>
                <w:szCs w:val="18"/>
              </w:rPr>
              <w:t>Minsk,</w:t>
            </w:r>
          </w:p>
          <w:p w14:paraId="21475211" w14:textId="77777777" w:rsidR="007F2C3D" w:rsidRPr="00B369EB" w:rsidRDefault="001C673E">
            <w:pPr>
              <w:keepNext/>
              <w:jc w:val="left"/>
              <w:rPr>
                <w:rFonts w:cs="Arial"/>
                <w:sz w:val="18"/>
                <w:szCs w:val="18"/>
              </w:rPr>
            </w:pPr>
            <w:r w:rsidRPr="00B369EB">
              <w:rPr>
                <w:rFonts w:cs="Arial"/>
                <w:sz w:val="18"/>
                <w:szCs w:val="18"/>
              </w:rPr>
              <w:t>Estación de pruebas de Gorki</w:t>
            </w:r>
          </w:p>
        </w:tc>
        <w:tc>
          <w:tcPr>
            <w:tcW w:w="1554" w:type="dxa"/>
          </w:tcPr>
          <w:p w14:paraId="482426B9" w14:textId="77777777" w:rsidR="007F2C3D" w:rsidRPr="00B369EB" w:rsidRDefault="001C673E">
            <w:pPr>
              <w:keepNext/>
              <w:jc w:val="left"/>
              <w:rPr>
                <w:rFonts w:cs="Arial"/>
                <w:sz w:val="18"/>
                <w:szCs w:val="18"/>
              </w:rPr>
            </w:pPr>
            <w:r w:rsidRPr="00B369EB">
              <w:rPr>
                <w:rFonts w:cs="Arial"/>
                <w:sz w:val="18"/>
                <w:szCs w:val="18"/>
              </w:rPr>
              <w:t xml:space="preserve">SE </w:t>
            </w:r>
            <w:r w:rsidR="007018E1" w:rsidRPr="00B369EB">
              <w:rPr>
                <w:rFonts w:cs="Arial"/>
                <w:sz w:val="18"/>
                <w:szCs w:val="18"/>
              </w:rPr>
              <w:t>"</w:t>
            </w:r>
            <w:r w:rsidRPr="00B369EB">
              <w:rPr>
                <w:rFonts w:cs="Arial"/>
                <w:sz w:val="18"/>
                <w:szCs w:val="18"/>
              </w:rPr>
              <w:t>Inspección estatal para el examen y la protección de las obtenciones vegetales</w:t>
            </w:r>
          </w:p>
        </w:tc>
        <w:tc>
          <w:tcPr>
            <w:tcW w:w="2273" w:type="dxa"/>
          </w:tcPr>
          <w:p w14:paraId="2DEE6B2A" w14:textId="77777777" w:rsidR="007F2C3D" w:rsidRPr="00B369EB" w:rsidRDefault="001C673E">
            <w:pPr>
              <w:keepNext/>
              <w:jc w:val="left"/>
              <w:rPr>
                <w:rFonts w:cs="Arial"/>
                <w:sz w:val="18"/>
                <w:szCs w:val="18"/>
              </w:rPr>
            </w:pPr>
            <w:r w:rsidRPr="00B369EB">
              <w:rPr>
                <w:rFonts w:cs="Arial"/>
                <w:sz w:val="18"/>
                <w:szCs w:val="18"/>
              </w:rPr>
              <w:t xml:space="preserve">-la aplicación del Protocolo de la décima reunión de la Comisión Mixta Intergubernamental de Cooperación Bilateral entre la República de </w:t>
            </w:r>
            <w:proofErr w:type="spellStart"/>
            <w:r w:rsidRPr="00B369EB">
              <w:rPr>
                <w:rFonts w:cs="Arial"/>
                <w:sz w:val="18"/>
                <w:szCs w:val="18"/>
              </w:rPr>
              <w:t>Belarús</w:t>
            </w:r>
            <w:proofErr w:type="spellEnd"/>
            <w:r w:rsidRPr="00B369EB">
              <w:rPr>
                <w:rFonts w:cs="Arial"/>
                <w:sz w:val="18"/>
                <w:szCs w:val="18"/>
              </w:rPr>
              <w:t xml:space="preserve"> y la República de Uzbekistán.</w:t>
            </w:r>
          </w:p>
          <w:p w14:paraId="2E91E993" w14:textId="77777777" w:rsidR="007F2C3D" w:rsidRPr="00B369EB" w:rsidRDefault="001C673E">
            <w:pPr>
              <w:keepNext/>
              <w:jc w:val="left"/>
              <w:rPr>
                <w:rFonts w:cs="Arial"/>
                <w:sz w:val="18"/>
                <w:szCs w:val="18"/>
              </w:rPr>
            </w:pPr>
            <w:r w:rsidRPr="00B369EB">
              <w:rPr>
                <w:rFonts w:cs="Arial"/>
                <w:sz w:val="18"/>
                <w:szCs w:val="18"/>
              </w:rPr>
              <w:t>- un seminario de formación en el ámbito del examen de variedades y el examen de variedades vegetales a escala estatal</w:t>
            </w:r>
          </w:p>
        </w:tc>
        <w:tc>
          <w:tcPr>
            <w:tcW w:w="1247" w:type="dxa"/>
          </w:tcPr>
          <w:p w14:paraId="2EBA7289" w14:textId="77777777" w:rsidR="007F2C3D" w:rsidRPr="00B369EB" w:rsidRDefault="001C673E">
            <w:pPr>
              <w:keepNext/>
              <w:jc w:val="left"/>
              <w:rPr>
                <w:rFonts w:cs="Arial"/>
                <w:sz w:val="18"/>
                <w:szCs w:val="18"/>
              </w:rPr>
            </w:pPr>
            <w:proofErr w:type="spellStart"/>
            <w:r w:rsidRPr="00B369EB">
              <w:rPr>
                <w:rFonts w:cs="Arial"/>
                <w:sz w:val="18"/>
                <w:szCs w:val="18"/>
              </w:rPr>
              <w:t>Belarús</w:t>
            </w:r>
            <w:proofErr w:type="spellEnd"/>
            <w:r w:rsidRPr="00B369EB">
              <w:rPr>
                <w:rFonts w:cs="Arial"/>
                <w:sz w:val="18"/>
                <w:szCs w:val="18"/>
              </w:rPr>
              <w:t>,</w:t>
            </w:r>
          </w:p>
          <w:p w14:paraId="41C8CC35" w14:textId="77777777" w:rsidR="007F2C3D" w:rsidRPr="00B369EB" w:rsidRDefault="001C673E">
            <w:pPr>
              <w:keepNext/>
              <w:jc w:val="left"/>
              <w:rPr>
                <w:rFonts w:cs="Arial"/>
                <w:sz w:val="18"/>
                <w:szCs w:val="18"/>
              </w:rPr>
            </w:pPr>
            <w:r w:rsidRPr="00B369EB">
              <w:rPr>
                <w:rFonts w:cs="Arial"/>
                <w:sz w:val="18"/>
                <w:szCs w:val="18"/>
              </w:rPr>
              <w:t>Uzbekistán</w:t>
            </w:r>
          </w:p>
        </w:tc>
        <w:tc>
          <w:tcPr>
            <w:tcW w:w="1276" w:type="dxa"/>
          </w:tcPr>
          <w:p w14:paraId="4F4EF04F" w14:textId="77777777" w:rsidR="007F2C3D" w:rsidRPr="00B369EB" w:rsidRDefault="001C673E">
            <w:pPr>
              <w:keepNext/>
              <w:jc w:val="left"/>
              <w:rPr>
                <w:rFonts w:cs="Arial"/>
                <w:sz w:val="18"/>
                <w:szCs w:val="18"/>
              </w:rPr>
            </w:pPr>
            <w:r w:rsidRPr="00B369EB">
              <w:rPr>
                <w:rFonts w:cs="Arial"/>
                <w:sz w:val="18"/>
                <w:szCs w:val="18"/>
              </w:rPr>
              <w:t>Cooperación fructífera</w:t>
            </w:r>
          </w:p>
          <w:p w14:paraId="2265E57C" w14:textId="77777777" w:rsidR="007F2C3D" w:rsidRPr="00B369EB" w:rsidRDefault="001C673E">
            <w:pPr>
              <w:keepNext/>
              <w:jc w:val="left"/>
              <w:rPr>
                <w:rFonts w:cs="Arial"/>
                <w:sz w:val="18"/>
                <w:szCs w:val="18"/>
              </w:rPr>
            </w:pPr>
            <w:r w:rsidRPr="00B369EB">
              <w:rPr>
                <w:rFonts w:cs="Arial"/>
                <w:sz w:val="18"/>
                <w:szCs w:val="18"/>
              </w:rPr>
              <w:t>Formación útil, especialmente la formación práctica en parcelas DUS</w:t>
            </w:r>
          </w:p>
          <w:p w14:paraId="3A219745" w14:textId="77777777" w:rsidR="00DA4307" w:rsidRPr="00B369EB" w:rsidRDefault="00DA4307" w:rsidP="00934CBD">
            <w:pPr>
              <w:keepNext/>
              <w:jc w:val="left"/>
              <w:rPr>
                <w:rFonts w:cs="Arial"/>
                <w:sz w:val="18"/>
                <w:szCs w:val="18"/>
              </w:rPr>
            </w:pPr>
          </w:p>
        </w:tc>
      </w:tr>
    </w:tbl>
    <w:p w14:paraId="7D011BAD" w14:textId="77777777" w:rsidR="00DA4307" w:rsidRPr="00B369EB" w:rsidRDefault="00DA4307" w:rsidP="00DA4307">
      <w:pPr>
        <w:rPr>
          <w:u w:val="single"/>
        </w:rPr>
      </w:pPr>
    </w:p>
    <w:p w14:paraId="2E8FABB8" w14:textId="77777777" w:rsidR="00DA4307" w:rsidRPr="00B369EB" w:rsidRDefault="00DA4307" w:rsidP="00DA4307"/>
    <w:p w14:paraId="29447FCA" w14:textId="77777777" w:rsidR="007F2C3D" w:rsidRPr="00B369EB" w:rsidRDefault="001C673E">
      <w:pPr>
        <w:pStyle w:val="Heading1"/>
        <w:rPr>
          <w:lang w:val="es-ES_tradnl"/>
        </w:rPr>
      </w:pPr>
      <w:r w:rsidRPr="00B369EB">
        <w:rPr>
          <w:lang w:val="es-ES_tradnl"/>
        </w:rPr>
        <w:lastRenderedPageBreak/>
        <w:t>II.</w:t>
      </w:r>
      <w:r w:rsidRPr="00B369EB">
        <w:rPr>
          <w:lang w:val="es-ES_tradnl"/>
        </w:rPr>
        <w:tab/>
        <w:t>OTROS ACONTECIMIENTOS DE INTERÉS PARA LA UPOV</w:t>
      </w:r>
    </w:p>
    <w:p w14:paraId="43E72D8B" w14:textId="77777777" w:rsidR="00DA4307" w:rsidRPr="00B369EB" w:rsidRDefault="00DA4307" w:rsidP="00DA4307">
      <w:pPr>
        <w:rPr>
          <w:b/>
        </w:rPr>
      </w:pPr>
    </w:p>
    <w:p w14:paraId="16CAFA13" w14:textId="77777777" w:rsidR="007F2C3D" w:rsidRPr="00B369EB" w:rsidRDefault="001C673E">
      <w:r w:rsidRPr="00B369EB">
        <w:t>El número de patentes de obtenciones vegetales en relación con la modernización del examen DHE y el número de acuerdos de licencia para la propagación de variedades vegetales protegidas aumenta constantemente.</w:t>
      </w:r>
    </w:p>
    <w:p w14:paraId="03E876CF" w14:textId="77777777" w:rsidR="00DA4307" w:rsidRPr="00B369EB" w:rsidRDefault="00DA4307" w:rsidP="00DA4307"/>
    <w:p w14:paraId="082296C1" w14:textId="77777777" w:rsidR="00DA4307" w:rsidRPr="00B369EB" w:rsidRDefault="00DA4307" w:rsidP="00934CBD">
      <w:pPr>
        <w:jc w:val="center"/>
      </w:pPr>
      <w:r w:rsidRPr="00B369EB">
        <w:rPr>
          <w:lang w:eastAsia="ru-RU"/>
        </w:rPr>
        <w:drawing>
          <wp:inline distT="0" distB="0" distL="0" distR="0" wp14:anchorId="626AD6D9" wp14:editId="6548FCF0">
            <wp:extent cx="3746908" cy="2556933"/>
            <wp:effectExtent l="0" t="0" r="6350" b="0"/>
            <wp:docPr id="189972250" name="Рисунок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2250" name="Рисунок 3"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917" cy="2578777"/>
                    </a:xfrm>
                    <a:prstGeom prst="rect">
                      <a:avLst/>
                    </a:prstGeom>
                    <a:noFill/>
                  </pic:spPr>
                </pic:pic>
              </a:graphicData>
            </a:graphic>
          </wp:inline>
        </w:drawing>
      </w:r>
    </w:p>
    <w:p w14:paraId="31FE1C64" w14:textId="77777777" w:rsidR="00DA4307" w:rsidRPr="00B369EB" w:rsidRDefault="00DA4307" w:rsidP="00DA4307"/>
    <w:p w14:paraId="7C93FD98" w14:textId="77777777" w:rsidR="007F2C3D" w:rsidRPr="00B369EB" w:rsidRDefault="001C673E">
      <w:r w:rsidRPr="00B369EB">
        <w:t xml:space="preserve">Los empleados de la SE </w:t>
      </w:r>
      <w:r w:rsidR="007018E1" w:rsidRPr="00B369EB">
        <w:t>"</w:t>
      </w:r>
      <w:r w:rsidRPr="00B369EB">
        <w:t xml:space="preserve">Inspección Estatal para el Examen y la Protección de las Obtenciones Vegetales" utilizan activamente en su trabajo la Base de datos sobre variedades vegetales PLUTO.  </w:t>
      </w:r>
      <w:r w:rsidR="00CB19F4" w:rsidRPr="00B369EB">
        <w:t xml:space="preserve">El 25 de marzo </w:t>
      </w:r>
      <w:r w:rsidRPr="00B369EB">
        <w:t xml:space="preserve">de 2024 </w:t>
      </w:r>
      <w:proofErr w:type="spellStart"/>
      <w:r w:rsidRPr="00B369EB">
        <w:t>Belarús</w:t>
      </w:r>
      <w:proofErr w:type="spellEnd"/>
      <w:r w:rsidRPr="00B369EB">
        <w:t xml:space="preserve"> aportó datos: 7280 número total de registros.</w:t>
      </w:r>
    </w:p>
    <w:p w14:paraId="5474A52E" w14:textId="77777777" w:rsidR="00DA4307" w:rsidRPr="00B369EB" w:rsidRDefault="00DA4307" w:rsidP="00DA4307"/>
    <w:p w14:paraId="19F1C462" w14:textId="77777777" w:rsidR="00DA4307" w:rsidRPr="00B369EB" w:rsidRDefault="00DA4307" w:rsidP="00CB19F4">
      <w:pPr>
        <w:jc w:val="center"/>
      </w:pPr>
      <w:r w:rsidRPr="00B369EB">
        <w:rPr>
          <w:lang w:eastAsia="ru-RU"/>
        </w:rPr>
        <w:drawing>
          <wp:inline distT="0" distB="0" distL="0" distR="0" wp14:anchorId="091665E6" wp14:editId="6760129F">
            <wp:extent cx="5387373" cy="814872"/>
            <wp:effectExtent l="0" t="0" r="3810" b="4445"/>
            <wp:docPr id="4" name="Рисунок 4" descr="C:\Users\Татьяна\Desktop\2024-08-07 09_22_26-Upov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2024-08-07 09_22_26-UpovSubmiss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077" cy="816642"/>
                    </a:xfrm>
                    <a:prstGeom prst="rect">
                      <a:avLst/>
                    </a:prstGeom>
                    <a:noFill/>
                    <a:ln>
                      <a:noFill/>
                    </a:ln>
                  </pic:spPr>
                </pic:pic>
              </a:graphicData>
            </a:graphic>
          </wp:inline>
        </w:drawing>
      </w:r>
    </w:p>
    <w:p w14:paraId="6B07A1F1" w14:textId="77777777" w:rsidR="00DA4307" w:rsidRPr="00B369EB" w:rsidRDefault="00DA4307" w:rsidP="00DA4307"/>
    <w:p w14:paraId="1EDC7930" w14:textId="77777777" w:rsidR="007F2C3D" w:rsidRPr="00B369EB" w:rsidRDefault="001C673E">
      <w:pPr>
        <w:rPr>
          <w:rFonts w:cs="Arial"/>
        </w:rPr>
      </w:pPr>
      <w:bookmarkStart w:id="3" w:name="_Hlk173935079"/>
      <w:r w:rsidRPr="00B369EB">
        <w:t xml:space="preserve">En 2024 </w:t>
      </w:r>
      <w:r w:rsidRPr="00B369EB">
        <w:rPr>
          <w:rFonts w:cs="Arial"/>
        </w:rPr>
        <w:t xml:space="preserve">se concedió </w:t>
      </w:r>
      <w:r w:rsidRPr="00B369EB">
        <w:t xml:space="preserve">a los expertos de la SE </w:t>
      </w:r>
      <w:r w:rsidR="007018E1" w:rsidRPr="00B369EB">
        <w:t>"</w:t>
      </w:r>
      <w:r w:rsidRPr="00B369EB">
        <w:t xml:space="preserve">Inspección Estatal para el Examen y la Protección de las </w:t>
      </w:r>
      <w:r w:rsidR="007018E1" w:rsidRPr="00B369EB">
        <w:t>Obtenciones</w:t>
      </w:r>
      <w:r w:rsidRPr="00B369EB">
        <w:t xml:space="preserve"> Vegetales"</w:t>
      </w:r>
      <w:bookmarkEnd w:id="3"/>
      <w:r w:rsidRPr="00B369EB">
        <w:t xml:space="preserve"> </w:t>
      </w:r>
      <w:r w:rsidRPr="00B369EB">
        <w:rPr>
          <w:rFonts w:cs="Arial"/>
        </w:rPr>
        <w:t>el Certificado Internacional de la UPOV sobre Protección de las Obtenciones Vegetales (Certificado PVV de la UPOV) El Certificado PVV de la UPOV proporciona un reconocimiento internacional de los conocimientos y la experiencia en materia de protección de las obtenciones vegetales.  Los titulares del Certificado PVV de la UPOV demuestran haber seguido un determinado número de cursos y haber contribuido a actividades relacionadas con el Convenio de la UPOV y su orientación, el funcionamiento de una Oficina de Protección de las Obtenciones Vegetales y el examen de solicitudes, incluido el examen DHE.</w:t>
      </w:r>
    </w:p>
    <w:p w14:paraId="0B21E9CD" w14:textId="77777777" w:rsidR="00DA4307" w:rsidRPr="00B369EB" w:rsidRDefault="00DA4307" w:rsidP="00DA4307">
      <w:pPr>
        <w:rPr>
          <w:rFonts w:cs="Arial"/>
        </w:rPr>
      </w:pPr>
    </w:p>
    <w:p w14:paraId="2F131C44" w14:textId="77777777" w:rsidR="00DA4307" w:rsidRPr="00B369EB" w:rsidRDefault="008731DA" w:rsidP="008731DA">
      <w:pPr>
        <w:jc w:val="center"/>
        <w:rPr>
          <w:rFonts w:cs="Arial"/>
        </w:rPr>
      </w:pPr>
      <w:r w:rsidRPr="00B369EB">
        <w:rPr>
          <w:rFonts w:ascii="Calibri" w:eastAsia="Calibri" w:hAnsi="Calibri"/>
          <w:sz w:val="22"/>
          <w:szCs w:val="22"/>
          <w:lang w:eastAsia="ru-RU"/>
        </w:rPr>
        <w:drawing>
          <wp:inline distT="0" distB="0" distL="0" distR="0" wp14:anchorId="00DE7A69" wp14:editId="2CC04692">
            <wp:extent cx="2250088" cy="2789767"/>
            <wp:effectExtent l="38100" t="38100" r="36195" b="29845"/>
            <wp:docPr id="5" name="Рисунок 5" descr="C:\Users\Татьяна\Desktop\Certificate_PVP_Tatsiana_Siamashka_July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Certificate_PVP_Tatsiana_Siamashka_July_2024_page-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96" b="5804"/>
                    <a:stretch/>
                  </pic:blipFill>
                  <pic:spPr bwMode="auto">
                    <a:xfrm>
                      <a:off x="0" y="0"/>
                      <a:ext cx="2265402" cy="2808754"/>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30186D" w14:textId="77777777" w:rsidR="007F2C3D" w:rsidRPr="00B369EB" w:rsidRDefault="001C673E">
      <w:r w:rsidRPr="00B369EB">
        <w:lastRenderedPageBreak/>
        <w:t xml:space="preserve">En 2024 los expertos de la SE </w:t>
      </w:r>
      <w:r w:rsidR="007018E1" w:rsidRPr="00B369EB">
        <w:t>"</w:t>
      </w:r>
      <w:r w:rsidRPr="00B369EB">
        <w:t>Inspección Estatal para el Examen y la Protección de las Obtenciones Vegetales</w:t>
      </w:r>
      <w:r w:rsidR="007018E1" w:rsidRPr="00B369EB">
        <w:t xml:space="preserve">" </w:t>
      </w:r>
      <w:r w:rsidRPr="00B369EB">
        <w:t xml:space="preserve">participaron activamente en la Escuela de Verano de la OMPI y también presentaron un informe sobre la </w:t>
      </w:r>
      <w:r w:rsidR="007018E1" w:rsidRPr="00B369EB">
        <w:t>"</w:t>
      </w:r>
      <w:r w:rsidRPr="00B369EB">
        <w:t xml:space="preserve">Protección Jurídica de las Obtenciones Vegetales en la República de </w:t>
      </w:r>
      <w:proofErr w:type="spellStart"/>
      <w:r w:rsidRPr="00B369EB">
        <w:t>Belarús</w:t>
      </w:r>
      <w:proofErr w:type="spellEnd"/>
      <w:r w:rsidR="007018E1" w:rsidRPr="00B369EB">
        <w:t xml:space="preserve">" </w:t>
      </w:r>
      <w:r w:rsidRPr="00B369EB">
        <w:t>en el reglamento para la celebración de la Escuela de Verano de la OMPI sobre Propiedad Intelectual, organizada por la Organización Mundial de la Propiedad Intelectual (OMPI</w:t>
      </w:r>
      <w:r w:rsidR="00CB19F4" w:rsidRPr="00B369EB">
        <w:t xml:space="preserve">), Sección </w:t>
      </w:r>
      <w:r w:rsidRPr="00B369EB">
        <w:t xml:space="preserve">IV </w:t>
      </w:r>
      <w:r w:rsidR="00CB19F4" w:rsidRPr="00B369EB">
        <w:t>Otros Derechos Intelectuales</w:t>
      </w:r>
      <w:r w:rsidRPr="00B369EB">
        <w:t xml:space="preserve">, junto con el Centro Nacional de Propiedad Intelectual (NCIP), el Comité Estatal de Ciencia y Tecnología de la República de </w:t>
      </w:r>
      <w:proofErr w:type="spellStart"/>
      <w:r w:rsidRPr="00B369EB">
        <w:t>Belarús</w:t>
      </w:r>
      <w:proofErr w:type="spellEnd"/>
      <w:r w:rsidRPr="00B369EB">
        <w:t xml:space="preserve"> (SCST), la Biblioteca Nacional de </w:t>
      </w:r>
      <w:proofErr w:type="spellStart"/>
      <w:r w:rsidRPr="00B369EB">
        <w:t>Belarús</w:t>
      </w:r>
      <w:proofErr w:type="spellEnd"/>
      <w:r w:rsidRPr="00B369EB">
        <w:t>.</w:t>
      </w:r>
    </w:p>
    <w:p w14:paraId="4F25B828" w14:textId="77777777" w:rsidR="00DA4307" w:rsidRPr="00B369EB" w:rsidRDefault="00DA4307" w:rsidP="00DA4307"/>
    <w:p w14:paraId="7516B6F6" w14:textId="77777777" w:rsidR="00DA4307" w:rsidRPr="00B369EB" w:rsidRDefault="008731DA" w:rsidP="008731DA">
      <w:pPr>
        <w:jc w:val="center"/>
      </w:pPr>
      <w:r w:rsidRPr="00B369EB">
        <w:drawing>
          <wp:inline distT="0" distB="0" distL="0" distR="0" wp14:anchorId="2292F859" wp14:editId="34228E77">
            <wp:extent cx="2356485" cy="3493745"/>
            <wp:effectExtent l="0" t="0" r="5715" b="0"/>
            <wp:docPr id="10" name="Рисунок 10" descr="D:\Диск Д\Pic\2024 Летняя школа ВОИС\IMG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Д\Pic\2024 Летняя школа ВОИС\IMG_139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824"/>
                    <a:stretch/>
                  </pic:blipFill>
                  <pic:spPr bwMode="auto">
                    <a:xfrm>
                      <a:off x="0" y="0"/>
                      <a:ext cx="2359714" cy="3498533"/>
                    </a:xfrm>
                    <a:prstGeom prst="rect">
                      <a:avLst/>
                    </a:prstGeom>
                    <a:noFill/>
                    <a:ln>
                      <a:noFill/>
                    </a:ln>
                    <a:extLst>
                      <a:ext uri="{53640926-AAD7-44D8-BBD7-CCE9431645EC}">
                        <a14:shadowObscured xmlns:a14="http://schemas.microsoft.com/office/drawing/2010/main"/>
                      </a:ext>
                    </a:extLst>
                  </pic:spPr>
                </pic:pic>
              </a:graphicData>
            </a:graphic>
          </wp:inline>
        </w:drawing>
      </w:r>
    </w:p>
    <w:p w14:paraId="0375F2CF" w14:textId="77777777" w:rsidR="00DA4307" w:rsidRPr="00B369EB" w:rsidRDefault="00DA4307" w:rsidP="00DA4307"/>
    <w:p w14:paraId="5EF090FE" w14:textId="77777777" w:rsidR="00DA4307" w:rsidRPr="00B369EB" w:rsidRDefault="00DA4307" w:rsidP="00DA4307"/>
    <w:p w14:paraId="4DF7370A" w14:textId="77777777" w:rsidR="00DA4307" w:rsidRPr="00B369EB" w:rsidRDefault="00DA4307" w:rsidP="00DA4307"/>
    <w:p w14:paraId="20076183" w14:textId="77777777" w:rsidR="007F2C3D" w:rsidRPr="00B369EB" w:rsidRDefault="001C673E">
      <w:pPr>
        <w:jc w:val="right"/>
      </w:pPr>
      <w:r w:rsidRPr="00B369EB">
        <w:t>[Sigue el Anexo III]</w:t>
      </w:r>
    </w:p>
    <w:p w14:paraId="5634A120" w14:textId="77777777" w:rsidR="00882D7E" w:rsidRPr="00B369EB" w:rsidRDefault="00882D7E" w:rsidP="00882D7E"/>
    <w:p w14:paraId="3C162DDB" w14:textId="77777777" w:rsidR="00882D7E" w:rsidRPr="00B369EB" w:rsidRDefault="00882D7E" w:rsidP="00882D7E">
      <w:pPr>
        <w:sectPr w:rsidR="00882D7E" w:rsidRPr="00B369EB" w:rsidSect="00934CBD">
          <w:headerReference w:type="default" r:id="rId23"/>
          <w:pgSz w:w="11907" w:h="16840" w:code="9"/>
          <w:pgMar w:top="510" w:right="1134" w:bottom="851" w:left="1134" w:header="510" w:footer="680" w:gutter="0"/>
          <w:pgNumType w:start="1"/>
          <w:cols w:space="720"/>
          <w:titlePg/>
          <w:docGrid w:linePitch="272"/>
        </w:sectPr>
      </w:pPr>
    </w:p>
    <w:p w14:paraId="39E9ED3F" w14:textId="77777777" w:rsidR="007F2C3D" w:rsidRPr="00B369EB" w:rsidRDefault="001C673E">
      <w:pPr>
        <w:jc w:val="center"/>
      </w:pPr>
      <w:r w:rsidRPr="00B369EB">
        <w:lastRenderedPageBreak/>
        <w:t>C/58/13</w:t>
      </w:r>
    </w:p>
    <w:p w14:paraId="5E3F56B0" w14:textId="77777777" w:rsidR="00882D7E" w:rsidRPr="00B369EB" w:rsidRDefault="00882D7E" w:rsidP="00882D7E">
      <w:pPr>
        <w:jc w:val="center"/>
      </w:pPr>
    </w:p>
    <w:p w14:paraId="3EED7EBF" w14:textId="77777777" w:rsidR="007F2C3D" w:rsidRPr="00B369EB" w:rsidRDefault="001C673E">
      <w:pPr>
        <w:jc w:val="center"/>
      </w:pPr>
      <w:r w:rsidRPr="00B369EB">
        <w:t>ANEXO III</w:t>
      </w:r>
    </w:p>
    <w:p w14:paraId="382432F0" w14:textId="77777777" w:rsidR="00882D7E" w:rsidRPr="00B369EB" w:rsidRDefault="00882D7E" w:rsidP="00882D7E">
      <w:pPr>
        <w:jc w:val="center"/>
      </w:pPr>
    </w:p>
    <w:p w14:paraId="5FC2FAF3" w14:textId="77777777" w:rsidR="00882D7E" w:rsidRPr="00B369EB" w:rsidRDefault="00882D7E" w:rsidP="00882D7E">
      <w:pPr>
        <w:jc w:val="center"/>
      </w:pPr>
    </w:p>
    <w:p w14:paraId="56222D58" w14:textId="77777777" w:rsidR="007F2C3D" w:rsidRPr="00B369EB" w:rsidRDefault="001C673E">
      <w:pPr>
        <w:jc w:val="center"/>
      </w:pPr>
      <w:r w:rsidRPr="00B369EB">
        <w:t>CHINA</w:t>
      </w:r>
    </w:p>
    <w:p w14:paraId="7832667A" w14:textId="77777777" w:rsidR="00882D7E" w:rsidRPr="00B369EB" w:rsidRDefault="00882D7E" w:rsidP="00882D7E"/>
    <w:p w14:paraId="40924A89" w14:textId="77777777" w:rsidR="00882D7E" w:rsidRPr="00B369EB" w:rsidRDefault="00882D7E" w:rsidP="00882D7E"/>
    <w:p w14:paraId="4742391E" w14:textId="77777777" w:rsidR="007F2C3D" w:rsidRPr="00B369EB" w:rsidRDefault="001C673E">
      <w:pPr>
        <w:pStyle w:val="Heading1"/>
        <w:rPr>
          <w:rFonts w:eastAsia="SimSun"/>
          <w:lang w:val="es-ES_tradnl" w:eastAsia="zh-CN"/>
        </w:rPr>
      </w:pPr>
      <w:r w:rsidRPr="00B369EB">
        <w:rPr>
          <w:lang w:val="es-ES_tradnl"/>
        </w:rPr>
        <w:t xml:space="preserve">ACTIVIDADES DE FOMENTO DE LA </w:t>
      </w:r>
      <w:r w:rsidRPr="00B369EB">
        <w:rPr>
          <w:rFonts w:eastAsia="SimSun"/>
          <w:lang w:val="es-ES_tradnl" w:eastAsia="zh-CN"/>
        </w:rPr>
        <w:t>PROTECCIÓN DE LAS</w:t>
      </w:r>
      <w:r w:rsidRPr="00B369EB">
        <w:rPr>
          <w:lang w:val="es-ES_tradnl"/>
        </w:rPr>
        <w:t xml:space="preserve"> OBTENCIONES VEGETALES </w:t>
      </w:r>
    </w:p>
    <w:p w14:paraId="52961B73" w14:textId="77777777" w:rsidR="006E470A" w:rsidRPr="00B369EB" w:rsidRDefault="006E470A" w:rsidP="00F047DD">
      <w:pPr>
        <w:rPr>
          <w:rFonts w:eastAsia="SimSun" w:cs="Arial"/>
          <w:u w:val="single"/>
          <w:lang w:eastAsia="zh-CN"/>
        </w:rPr>
      </w:pPr>
    </w:p>
    <w:tbl>
      <w:tblPr>
        <w:tblStyle w:val="TableGrid"/>
        <w:tblW w:w="9923" w:type="dxa"/>
        <w:tblInd w:w="-5" w:type="dxa"/>
        <w:tblLayout w:type="fixed"/>
        <w:tblCellMar>
          <w:top w:w="28" w:type="dxa"/>
          <w:left w:w="28" w:type="dxa"/>
          <w:bottom w:w="28" w:type="dxa"/>
          <w:right w:w="28" w:type="dxa"/>
        </w:tblCellMar>
        <w:tblLook w:val="04A0" w:firstRow="1" w:lastRow="0" w:firstColumn="1" w:lastColumn="0" w:noHBand="0" w:noVBand="1"/>
      </w:tblPr>
      <w:tblGrid>
        <w:gridCol w:w="1560"/>
        <w:gridCol w:w="1087"/>
        <w:gridCol w:w="987"/>
        <w:gridCol w:w="1848"/>
        <w:gridCol w:w="2315"/>
        <w:gridCol w:w="2126"/>
      </w:tblGrid>
      <w:tr w:rsidR="00F047DD" w:rsidRPr="00B369EB" w14:paraId="3A341DB6" w14:textId="77777777" w:rsidTr="006E470A">
        <w:tc>
          <w:tcPr>
            <w:tcW w:w="1560" w:type="dxa"/>
          </w:tcPr>
          <w:p w14:paraId="63A7E5AA" w14:textId="77777777" w:rsidR="007F2C3D" w:rsidRPr="00B369EB" w:rsidRDefault="001C673E">
            <w:pPr>
              <w:jc w:val="left"/>
              <w:rPr>
                <w:rFonts w:cs="Arial"/>
                <w:sz w:val="18"/>
                <w:szCs w:val="18"/>
              </w:rPr>
            </w:pPr>
            <w:r w:rsidRPr="00B369EB">
              <w:rPr>
                <w:rFonts w:cs="Arial"/>
                <w:sz w:val="18"/>
                <w:szCs w:val="18"/>
              </w:rPr>
              <w:t>Título de la actividad</w:t>
            </w:r>
          </w:p>
        </w:tc>
        <w:tc>
          <w:tcPr>
            <w:tcW w:w="1087" w:type="dxa"/>
          </w:tcPr>
          <w:p w14:paraId="3B229143" w14:textId="77777777" w:rsidR="007F2C3D" w:rsidRPr="00B369EB" w:rsidRDefault="001C673E">
            <w:pPr>
              <w:jc w:val="left"/>
              <w:rPr>
                <w:rFonts w:cs="Arial"/>
                <w:sz w:val="18"/>
                <w:szCs w:val="18"/>
              </w:rPr>
            </w:pPr>
            <w:r w:rsidRPr="00B369EB">
              <w:rPr>
                <w:rFonts w:cs="Arial"/>
                <w:sz w:val="18"/>
                <w:szCs w:val="18"/>
              </w:rPr>
              <w:t>Fecha</w:t>
            </w:r>
          </w:p>
        </w:tc>
        <w:tc>
          <w:tcPr>
            <w:tcW w:w="987" w:type="dxa"/>
          </w:tcPr>
          <w:p w14:paraId="382B7D66" w14:textId="77777777" w:rsidR="007F2C3D" w:rsidRPr="00B369EB" w:rsidRDefault="001C673E">
            <w:pPr>
              <w:jc w:val="left"/>
              <w:rPr>
                <w:rFonts w:cs="Arial"/>
                <w:sz w:val="18"/>
                <w:szCs w:val="18"/>
              </w:rPr>
            </w:pPr>
            <w:r w:rsidRPr="00B369EB">
              <w:rPr>
                <w:rFonts w:cs="Arial"/>
                <w:sz w:val="18"/>
                <w:szCs w:val="18"/>
              </w:rPr>
              <w:t>Ubicación</w:t>
            </w:r>
          </w:p>
        </w:tc>
        <w:tc>
          <w:tcPr>
            <w:tcW w:w="1848" w:type="dxa"/>
          </w:tcPr>
          <w:p w14:paraId="77768586" w14:textId="77777777" w:rsidR="007F2C3D" w:rsidRPr="00B369EB" w:rsidRDefault="001C673E">
            <w:pPr>
              <w:jc w:val="left"/>
              <w:rPr>
                <w:rFonts w:cs="Arial"/>
                <w:sz w:val="18"/>
                <w:szCs w:val="18"/>
              </w:rPr>
            </w:pPr>
            <w:r w:rsidRPr="00B369EB">
              <w:rPr>
                <w:rFonts w:cs="Arial"/>
                <w:sz w:val="18"/>
                <w:szCs w:val="18"/>
              </w:rPr>
              <w:t>Organizador(es)</w:t>
            </w:r>
          </w:p>
        </w:tc>
        <w:tc>
          <w:tcPr>
            <w:tcW w:w="2315" w:type="dxa"/>
          </w:tcPr>
          <w:p w14:paraId="18ED4CDC" w14:textId="77777777" w:rsidR="007F2C3D" w:rsidRPr="00B369EB" w:rsidRDefault="001C673E">
            <w:pPr>
              <w:jc w:val="left"/>
              <w:rPr>
                <w:rFonts w:cs="Arial"/>
                <w:sz w:val="18"/>
                <w:szCs w:val="18"/>
              </w:rPr>
            </w:pPr>
            <w:r w:rsidRPr="00B369EB">
              <w:rPr>
                <w:rFonts w:cs="Arial"/>
                <w:sz w:val="18"/>
                <w:szCs w:val="18"/>
              </w:rPr>
              <w:t>Objetivo de la actividad</w:t>
            </w:r>
          </w:p>
        </w:tc>
        <w:tc>
          <w:tcPr>
            <w:tcW w:w="2126" w:type="dxa"/>
          </w:tcPr>
          <w:p w14:paraId="62AA4C0B" w14:textId="77777777" w:rsidR="007F2C3D" w:rsidRPr="00B369EB" w:rsidRDefault="001C673E">
            <w:pPr>
              <w:jc w:val="left"/>
              <w:rPr>
                <w:rFonts w:cs="Arial"/>
                <w:sz w:val="18"/>
                <w:szCs w:val="18"/>
              </w:rPr>
            </w:pPr>
            <w:r w:rsidRPr="00B369EB">
              <w:rPr>
                <w:rFonts w:cs="Arial"/>
                <w:sz w:val="18"/>
                <w:szCs w:val="18"/>
              </w:rPr>
              <w:t>Países/organizaciones participantes (número de participantes de cada uno)</w:t>
            </w:r>
          </w:p>
        </w:tc>
      </w:tr>
      <w:tr w:rsidR="00F047DD" w:rsidRPr="00B369EB" w14:paraId="757E9C07" w14:textId="77777777" w:rsidTr="006E470A">
        <w:trPr>
          <w:trHeight w:val="1709"/>
        </w:trPr>
        <w:tc>
          <w:tcPr>
            <w:tcW w:w="1560" w:type="dxa"/>
          </w:tcPr>
          <w:p w14:paraId="7C648F2D" w14:textId="77777777" w:rsidR="007F2C3D" w:rsidRPr="00B369EB" w:rsidRDefault="001C673E">
            <w:pPr>
              <w:jc w:val="left"/>
              <w:rPr>
                <w:rFonts w:eastAsia="SimSun"/>
                <w:sz w:val="18"/>
                <w:szCs w:val="18"/>
              </w:rPr>
            </w:pPr>
            <w:r w:rsidRPr="00B369EB">
              <w:rPr>
                <w:rFonts w:eastAsia="SimSun"/>
                <w:sz w:val="18"/>
                <w:szCs w:val="18"/>
              </w:rPr>
              <w:t xml:space="preserve">1. </w:t>
            </w:r>
            <w:r w:rsidR="00F047DD" w:rsidRPr="00B369EB">
              <w:rPr>
                <w:rFonts w:eastAsia="SimSun"/>
                <w:sz w:val="18"/>
                <w:szCs w:val="18"/>
              </w:rPr>
              <w:t>Formación I sobre el aumento de la capacidad de protección de las obtenciones vegetales y el examen DHE en 2023</w:t>
            </w:r>
          </w:p>
        </w:tc>
        <w:tc>
          <w:tcPr>
            <w:tcW w:w="1087" w:type="dxa"/>
          </w:tcPr>
          <w:p w14:paraId="38D5BD2A" w14:textId="77777777" w:rsidR="007F2C3D" w:rsidRPr="00B369EB" w:rsidRDefault="001C673E">
            <w:pPr>
              <w:jc w:val="left"/>
              <w:rPr>
                <w:rFonts w:eastAsia="SimSun"/>
                <w:sz w:val="18"/>
                <w:szCs w:val="18"/>
              </w:rPr>
            </w:pPr>
            <w:r w:rsidRPr="00B369EB">
              <w:rPr>
                <w:rFonts w:eastAsia="SimSun"/>
                <w:sz w:val="18"/>
                <w:szCs w:val="18"/>
              </w:rPr>
              <w:t>Del 2 al 5 de julio de 2023</w:t>
            </w:r>
          </w:p>
          <w:p w14:paraId="7AC6CBFF" w14:textId="77777777" w:rsidR="00F047DD" w:rsidRPr="00B369EB" w:rsidRDefault="00F047DD" w:rsidP="00A321B6">
            <w:pPr>
              <w:jc w:val="left"/>
              <w:rPr>
                <w:rFonts w:eastAsia="SimSun"/>
                <w:sz w:val="18"/>
                <w:szCs w:val="18"/>
              </w:rPr>
            </w:pPr>
          </w:p>
          <w:p w14:paraId="378CEA60" w14:textId="77777777" w:rsidR="00F047DD" w:rsidRPr="00B369EB" w:rsidRDefault="00F047DD" w:rsidP="00A321B6">
            <w:pPr>
              <w:jc w:val="left"/>
              <w:rPr>
                <w:rFonts w:eastAsia="SimSun"/>
                <w:sz w:val="18"/>
                <w:szCs w:val="18"/>
              </w:rPr>
            </w:pPr>
          </w:p>
        </w:tc>
        <w:tc>
          <w:tcPr>
            <w:tcW w:w="987" w:type="dxa"/>
          </w:tcPr>
          <w:p w14:paraId="34083EB7" w14:textId="77777777" w:rsidR="007F2C3D" w:rsidRPr="00B369EB" w:rsidRDefault="001C673E">
            <w:pPr>
              <w:jc w:val="left"/>
              <w:rPr>
                <w:rFonts w:eastAsia="SimSun"/>
                <w:sz w:val="18"/>
                <w:szCs w:val="18"/>
              </w:rPr>
            </w:pPr>
            <w:r w:rsidRPr="00B369EB">
              <w:rPr>
                <w:rFonts w:eastAsia="SimSun"/>
                <w:sz w:val="18"/>
                <w:szCs w:val="18"/>
              </w:rPr>
              <w:t xml:space="preserve">Ciudad de </w:t>
            </w:r>
            <w:proofErr w:type="spellStart"/>
            <w:r w:rsidRPr="00B369EB">
              <w:rPr>
                <w:rFonts w:eastAsia="SimSun"/>
                <w:sz w:val="18"/>
                <w:szCs w:val="18"/>
              </w:rPr>
              <w:t>Dali</w:t>
            </w:r>
            <w:proofErr w:type="spellEnd"/>
            <w:r w:rsidRPr="00B369EB">
              <w:rPr>
                <w:rFonts w:eastAsia="SimSun"/>
                <w:sz w:val="18"/>
                <w:szCs w:val="18"/>
              </w:rPr>
              <w:t>, provincia de Yunnan</w:t>
            </w:r>
          </w:p>
          <w:p w14:paraId="3B5AC427" w14:textId="77777777" w:rsidR="00F047DD" w:rsidRPr="00B369EB" w:rsidRDefault="00F047DD" w:rsidP="00A321B6">
            <w:pPr>
              <w:jc w:val="left"/>
              <w:rPr>
                <w:rFonts w:eastAsia="SimSun"/>
                <w:sz w:val="18"/>
                <w:szCs w:val="18"/>
              </w:rPr>
            </w:pPr>
          </w:p>
          <w:p w14:paraId="2423E58F" w14:textId="77777777" w:rsidR="00F047DD" w:rsidRPr="00B369EB" w:rsidRDefault="00F047DD" w:rsidP="00A321B6">
            <w:pPr>
              <w:jc w:val="left"/>
              <w:rPr>
                <w:rFonts w:eastAsia="SimSun"/>
                <w:sz w:val="18"/>
                <w:szCs w:val="18"/>
              </w:rPr>
            </w:pPr>
          </w:p>
        </w:tc>
        <w:tc>
          <w:tcPr>
            <w:tcW w:w="1848" w:type="dxa"/>
          </w:tcPr>
          <w:p w14:paraId="102A6D2D" w14:textId="77777777" w:rsidR="007F2C3D" w:rsidRPr="00B369EB" w:rsidRDefault="001C673E">
            <w:pPr>
              <w:jc w:val="left"/>
              <w:rPr>
                <w:rFonts w:eastAsia="SimSun"/>
                <w:sz w:val="18"/>
                <w:szCs w:val="18"/>
              </w:rPr>
            </w:pPr>
            <w:r w:rsidRPr="00B369EB">
              <w:rPr>
                <w:rFonts w:eastAsia="SimSun"/>
                <w:sz w:val="18"/>
                <w:szCs w:val="18"/>
              </w:rPr>
              <w:t>Centro de Desarrollo de Ciencia y Tecnología, Ministerio de Agricultura y Asuntos Rurales, R. P. China</w:t>
            </w:r>
          </w:p>
          <w:p w14:paraId="46AB231A" w14:textId="77777777" w:rsidR="00F047DD" w:rsidRPr="00B369EB" w:rsidRDefault="00F047DD" w:rsidP="00A321B6">
            <w:pPr>
              <w:jc w:val="left"/>
              <w:rPr>
                <w:rFonts w:eastAsia="SimSun"/>
                <w:sz w:val="18"/>
                <w:szCs w:val="18"/>
              </w:rPr>
            </w:pPr>
          </w:p>
          <w:p w14:paraId="2E6E686D" w14:textId="77777777" w:rsidR="00F047DD" w:rsidRPr="00B369EB" w:rsidRDefault="00F047DD" w:rsidP="00A321B6">
            <w:pPr>
              <w:jc w:val="left"/>
              <w:rPr>
                <w:rFonts w:eastAsia="SimSun"/>
                <w:sz w:val="18"/>
                <w:szCs w:val="18"/>
              </w:rPr>
            </w:pPr>
          </w:p>
        </w:tc>
        <w:tc>
          <w:tcPr>
            <w:tcW w:w="2315" w:type="dxa"/>
          </w:tcPr>
          <w:p w14:paraId="5CA8D81D" w14:textId="77777777" w:rsidR="007F2C3D" w:rsidRPr="00B369EB" w:rsidRDefault="001C673E">
            <w:pPr>
              <w:jc w:val="left"/>
              <w:rPr>
                <w:rFonts w:eastAsia="SimSun"/>
                <w:sz w:val="18"/>
                <w:szCs w:val="18"/>
                <w:highlight w:val="yellow"/>
              </w:rPr>
            </w:pPr>
            <w:r w:rsidRPr="00B369EB">
              <w:rPr>
                <w:rFonts w:eastAsia="SimSun"/>
                <w:sz w:val="18"/>
                <w:szCs w:val="18"/>
              </w:rPr>
              <w:t>Satisfacer las necesidades de los obtentores de institutos de investigación, universidades y empresas de semillas que realizan el examen DHE por sí mismos y mejorar la capacidad en materia de examen DHE y protección de las obtenciones vegetales en la nueva situación.</w:t>
            </w:r>
          </w:p>
        </w:tc>
        <w:tc>
          <w:tcPr>
            <w:tcW w:w="2126" w:type="dxa"/>
          </w:tcPr>
          <w:p w14:paraId="5477CB6B" w14:textId="77777777" w:rsidR="007F2C3D" w:rsidRPr="00B369EB" w:rsidRDefault="001C673E">
            <w:pPr>
              <w:jc w:val="left"/>
              <w:rPr>
                <w:rFonts w:eastAsia="SimSun"/>
                <w:sz w:val="18"/>
                <w:szCs w:val="18"/>
              </w:rPr>
            </w:pPr>
            <w:r w:rsidRPr="00B369EB">
              <w:rPr>
                <w:rFonts w:eastAsia="SimSun"/>
                <w:sz w:val="18"/>
                <w:szCs w:val="18"/>
              </w:rPr>
              <w:t>125 becarios chinos</w:t>
            </w:r>
          </w:p>
          <w:p w14:paraId="12C39D84" w14:textId="77777777" w:rsidR="00F047DD" w:rsidRPr="00B369EB" w:rsidRDefault="00F047DD" w:rsidP="00A321B6">
            <w:pPr>
              <w:jc w:val="left"/>
              <w:rPr>
                <w:sz w:val="18"/>
                <w:szCs w:val="18"/>
              </w:rPr>
            </w:pPr>
          </w:p>
        </w:tc>
      </w:tr>
      <w:tr w:rsidR="00F047DD" w:rsidRPr="00B369EB" w14:paraId="5C713C07" w14:textId="77777777" w:rsidTr="006E470A">
        <w:tc>
          <w:tcPr>
            <w:tcW w:w="1560" w:type="dxa"/>
          </w:tcPr>
          <w:p w14:paraId="1534B8E6" w14:textId="77777777" w:rsidR="007F2C3D" w:rsidRPr="00B369EB" w:rsidRDefault="001C673E">
            <w:pPr>
              <w:jc w:val="left"/>
              <w:rPr>
                <w:rFonts w:eastAsia="SimSun"/>
                <w:sz w:val="18"/>
                <w:szCs w:val="18"/>
              </w:rPr>
            </w:pPr>
            <w:r w:rsidRPr="00B369EB">
              <w:rPr>
                <w:rFonts w:eastAsia="SimSun"/>
                <w:sz w:val="18"/>
                <w:szCs w:val="18"/>
              </w:rPr>
              <w:t xml:space="preserve">2. </w:t>
            </w:r>
            <w:r w:rsidR="00F047DD" w:rsidRPr="00B369EB">
              <w:rPr>
                <w:rFonts w:eastAsia="SimSun"/>
                <w:sz w:val="18"/>
                <w:szCs w:val="18"/>
              </w:rPr>
              <w:t>Formación II sobre el aumento de la capacidad de protección de las obtenciones vegetales y el examen DHE en 2023</w:t>
            </w:r>
          </w:p>
          <w:p w14:paraId="22A608E0" w14:textId="77777777" w:rsidR="00F047DD" w:rsidRPr="00B369EB" w:rsidRDefault="00F047DD" w:rsidP="00A321B6">
            <w:pPr>
              <w:jc w:val="left"/>
              <w:rPr>
                <w:rFonts w:eastAsia="SimSun"/>
                <w:sz w:val="18"/>
                <w:szCs w:val="18"/>
                <w:highlight w:val="yellow"/>
              </w:rPr>
            </w:pPr>
          </w:p>
        </w:tc>
        <w:tc>
          <w:tcPr>
            <w:tcW w:w="1087" w:type="dxa"/>
          </w:tcPr>
          <w:p w14:paraId="56AF517D" w14:textId="77777777" w:rsidR="007F2C3D" w:rsidRPr="00B369EB" w:rsidRDefault="001C673E">
            <w:pPr>
              <w:jc w:val="left"/>
              <w:rPr>
                <w:rFonts w:eastAsia="SimSun"/>
                <w:sz w:val="18"/>
                <w:szCs w:val="18"/>
              </w:rPr>
            </w:pPr>
            <w:r w:rsidRPr="00B369EB">
              <w:rPr>
                <w:rFonts w:eastAsia="SimSun"/>
                <w:sz w:val="18"/>
                <w:szCs w:val="18"/>
              </w:rPr>
              <w:t>Del 15 al 19 de octubre de 2023</w:t>
            </w:r>
          </w:p>
          <w:p w14:paraId="1ED619A1" w14:textId="77777777" w:rsidR="00F047DD" w:rsidRPr="00B369EB" w:rsidRDefault="00F047DD" w:rsidP="00A321B6">
            <w:pPr>
              <w:jc w:val="left"/>
              <w:rPr>
                <w:sz w:val="18"/>
                <w:szCs w:val="18"/>
              </w:rPr>
            </w:pPr>
          </w:p>
        </w:tc>
        <w:tc>
          <w:tcPr>
            <w:tcW w:w="987" w:type="dxa"/>
          </w:tcPr>
          <w:p w14:paraId="16A1FA93" w14:textId="77777777" w:rsidR="007F2C3D" w:rsidRPr="00B369EB" w:rsidRDefault="001C673E">
            <w:pPr>
              <w:jc w:val="left"/>
              <w:rPr>
                <w:rFonts w:eastAsiaTheme="minorEastAsia"/>
                <w:sz w:val="18"/>
                <w:szCs w:val="18"/>
              </w:rPr>
            </w:pPr>
            <w:r w:rsidRPr="00B369EB">
              <w:rPr>
                <w:rFonts w:eastAsia="SimSun"/>
                <w:sz w:val="18"/>
                <w:szCs w:val="18"/>
              </w:rPr>
              <w:t>Ciudad de Tianjin</w:t>
            </w:r>
          </w:p>
          <w:p w14:paraId="5F169F02" w14:textId="77777777" w:rsidR="00F047DD" w:rsidRPr="00B369EB" w:rsidRDefault="00F047DD" w:rsidP="00A321B6">
            <w:pPr>
              <w:jc w:val="left"/>
              <w:rPr>
                <w:rFonts w:eastAsiaTheme="minorEastAsia"/>
                <w:sz w:val="18"/>
                <w:szCs w:val="18"/>
              </w:rPr>
            </w:pPr>
          </w:p>
        </w:tc>
        <w:tc>
          <w:tcPr>
            <w:tcW w:w="1848" w:type="dxa"/>
          </w:tcPr>
          <w:p w14:paraId="01DF061E" w14:textId="77777777" w:rsidR="007F2C3D" w:rsidRPr="00B369EB" w:rsidRDefault="001C673E">
            <w:pPr>
              <w:jc w:val="left"/>
              <w:rPr>
                <w:sz w:val="18"/>
                <w:szCs w:val="18"/>
              </w:rPr>
            </w:pPr>
            <w:r w:rsidRPr="00B369EB">
              <w:rPr>
                <w:rFonts w:eastAsia="SimSun"/>
                <w:sz w:val="18"/>
                <w:szCs w:val="18"/>
              </w:rPr>
              <w:t xml:space="preserve">Centro de Desarrollo de Ciencia y Tecnología, Ministerio de Agricultura y Asuntos Rurales, R. P. China </w:t>
            </w:r>
          </w:p>
          <w:p w14:paraId="63FA6013" w14:textId="77777777" w:rsidR="00F047DD" w:rsidRPr="00B369EB" w:rsidRDefault="00F047DD" w:rsidP="00A321B6">
            <w:pPr>
              <w:jc w:val="left"/>
              <w:rPr>
                <w:sz w:val="18"/>
                <w:szCs w:val="18"/>
              </w:rPr>
            </w:pPr>
          </w:p>
        </w:tc>
        <w:tc>
          <w:tcPr>
            <w:tcW w:w="2315" w:type="dxa"/>
          </w:tcPr>
          <w:p w14:paraId="17449512" w14:textId="77777777" w:rsidR="007F2C3D" w:rsidRPr="00B369EB" w:rsidRDefault="001C673E">
            <w:pPr>
              <w:jc w:val="left"/>
              <w:rPr>
                <w:rFonts w:eastAsia="SimSun"/>
                <w:sz w:val="18"/>
                <w:szCs w:val="18"/>
              </w:rPr>
            </w:pPr>
            <w:r w:rsidRPr="00B369EB">
              <w:rPr>
                <w:rFonts w:eastAsia="SimSun"/>
                <w:sz w:val="18"/>
                <w:szCs w:val="18"/>
              </w:rPr>
              <w:t>Satisfacer las necesidades de los obtentores de institutos de investigación, universidades y empresas de semillas que realizan el examen DHE por sí mismos y mejorar la capacidad en materia de examen DHE y protección de las obtenciones vegetales en la nueva situación.</w:t>
            </w:r>
          </w:p>
        </w:tc>
        <w:tc>
          <w:tcPr>
            <w:tcW w:w="2126" w:type="dxa"/>
          </w:tcPr>
          <w:p w14:paraId="3D1787B1" w14:textId="77777777" w:rsidR="007F2C3D" w:rsidRPr="00B369EB" w:rsidRDefault="001C673E">
            <w:pPr>
              <w:jc w:val="left"/>
              <w:rPr>
                <w:rFonts w:eastAsia="SimSun"/>
                <w:sz w:val="18"/>
                <w:szCs w:val="18"/>
              </w:rPr>
            </w:pPr>
            <w:r w:rsidRPr="00B369EB">
              <w:rPr>
                <w:rFonts w:eastAsia="SimSun"/>
                <w:sz w:val="18"/>
                <w:szCs w:val="18"/>
              </w:rPr>
              <w:t>Más de 90 becarios chinos</w:t>
            </w:r>
          </w:p>
          <w:p w14:paraId="4ABD54F6" w14:textId="77777777" w:rsidR="00F047DD" w:rsidRPr="00B369EB" w:rsidRDefault="00F047DD" w:rsidP="00A321B6">
            <w:pPr>
              <w:jc w:val="left"/>
              <w:rPr>
                <w:sz w:val="18"/>
                <w:szCs w:val="18"/>
              </w:rPr>
            </w:pPr>
          </w:p>
        </w:tc>
      </w:tr>
      <w:tr w:rsidR="006E470A" w:rsidRPr="00B369EB" w14:paraId="2496196F" w14:textId="77777777" w:rsidTr="006E470A">
        <w:tc>
          <w:tcPr>
            <w:tcW w:w="1560" w:type="dxa"/>
          </w:tcPr>
          <w:p w14:paraId="7F18D080" w14:textId="77777777" w:rsidR="007F2C3D" w:rsidRPr="00B369EB" w:rsidRDefault="001C673E">
            <w:pPr>
              <w:jc w:val="left"/>
              <w:rPr>
                <w:rFonts w:eastAsia="SimSun"/>
                <w:sz w:val="18"/>
                <w:szCs w:val="18"/>
              </w:rPr>
            </w:pPr>
            <w:r w:rsidRPr="00B369EB">
              <w:rPr>
                <w:rFonts w:eastAsia="SimSun"/>
                <w:sz w:val="18"/>
                <w:szCs w:val="18"/>
              </w:rPr>
              <w:t>3. Medidas para promover los derechos de propiedad intelectual y su utilización en la industria de las semillas</w:t>
            </w:r>
          </w:p>
          <w:p w14:paraId="7603B748" w14:textId="77777777" w:rsidR="007F2C3D" w:rsidRPr="00B369EB" w:rsidRDefault="001C673E">
            <w:pPr>
              <w:jc w:val="left"/>
              <w:rPr>
                <w:rFonts w:eastAsia="SimSun"/>
                <w:sz w:val="18"/>
                <w:szCs w:val="18"/>
              </w:rPr>
            </w:pPr>
            <w:r w:rsidRPr="00B369EB">
              <w:rPr>
                <w:rFonts w:eastAsia="SimSun"/>
                <w:sz w:val="18"/>
                <w:szCs w:val="18"/>
              </w:rPr>
              <w:t>(2023)</w:t>
            </w:r>
          </w:p>
        </w:tc>
        <w:tc>
          <w:tcPr>
            <w:tcW w:w="1087" w:type="dxa"/>
          </w:tcPr>
          <w:p w14:paraId="079B3DDF" w14:textId="77777777" w:rsidR="007F2C3D" w:rsidRPr="00B369EB" w:rsidRDefault="001C673E">
            <w:pPr>
              <w:jc w:val="left"/>
              <w:rPr>
                <w:sz w:val="18"/>
                <w:szCs w:val="18"/>
              </w:rPr>
            </w:pPr>
            <w:r w:rsidRPr="00B369EB">
              <w:rPr>
                <w:rFonts w:eastAsia="SimSun"/>
                <w:sz w:val="18"/>
                <w:szCs w:val="18"/>
              </w:rPr>
              <w:t>21 de septiembre de 2023</w:t>
            </w:r>
          </w:p>
          <w:p w14:paraId="69A13919" w14:textId="77777777" w:rsidR="006E470A" w:rsidRPr="00B369EB" w:rsidRDefault="006E470A" w:rsidP="00A321B6">
            <w:pPr>
              <w:jc w:val="left"/>
              <w:rPr>
                <w:sz w:val="18"/>
                <w:szCs w:val="18"/>
              </w:rPr>
            </w:pPr>
          </w:p>
        </w:tc>
        <w:tc>
          <w:tcPr>
            <w:tcW w:w="987" w:type="dxa"/>
          </w:tcPr>
          <w:p w14:paraId="691870E9" w14:textId="77777777" w:rsidR="007F2C3D" w:rsidRPr="00B369EB" w:rsidRDefault="001C673E">
            <w:pPr>
              <w:jc w:val="left"/>
              <w:rPr>
                <w:sz w:val="18"/>
                <w:szCs w:val="18"/>
              </w:rPr>
            </w:pPr>
            <w:r w:rsidRPr="00B369EB">
              <w:rPr>
                <w:rFonts w:eastAsia="SimSun"/>
                <w:sz w:val="18"/>
                <w:szCs w:val="18"/>
              </w:rPr>
              <w:t xml:space="preserve">Ciudad de Xuzhou, </w:t>
            </w:r>
            <w:r w:rsidRPr="00B369EB">
              <w:rPr>
                <w:sz w:val="18"/>
                <w:szCs w:val="18"/>
              </w:rPr>
              <w:t>provincia de</w:t>
            </w:r>
            <w:r w:rsidRPr="00B369EB">
              <w:rPr>
                <w:rFonts w:eastAsia="SimSun"/>
                <w:sz w:val="18"/>
                <w:szCs w:val="18"/>
              </w:rPr>
              <w:t xml:space="preserve"> Jiangsu </w:t>
            </w:r>
          </w:p>
          <w:p w14:paraId="69B08C02" w14:textId="77777777" w:rsidR="006E470A" w:rsidRPr="00B369EB" w:rsidRDefault="006E470A" w:rsidP="00A321B6">
            <w:pPr>
              <w:jc w:val="left"/>
              <w:rPr>
                <w:sz w:val="18"/>
                <w:szCs w:val="18"/>
              </w:rPr>
            </w:pPr>
          </w:p>
        </w:tc>
        <w:tc>
          <w:tcPr>
            <w:tcW w:w="1848" w:type="dxa"/>
          </w:tcPr>
          <w:p w14:paraId="34F8221D" w14:textId="77777777" w:rsidR="007F2C3D" w:rsidRPr="00B369EB" w:rsidRDefault="001C673E">
            <w:pPr>
              <w:jc w:val="left"/>
              <w:rPr>
                <w:sz w:val="18"/>
                <w:szCs w:val="18"/>
              </w:rPr>
            </w:pPr>
            <w:r w:rsidRPr="00B369EB">
              <w:rPr>
                <w:rFonts w:eastAsia="SimSun"/>
                <w:sz w:val="18"/>
                <w:szCs w:val="18"/>
              </w:rPr>
              <w:t xml:space="preserve">Centro de Desarrollo de Ciencia y Tecnología, Ministerio de Agricultura y Asuntos Rurales, R. P. China junto con el gobierno popular municipal de Xuzhou. </w:t>
            </w:r>
          </w:p>
          <w:p w14:paraId="2E416FE7" w14:textId="77777777" w:rsidR="006E470A" w:rsidRPr="00B369EB" w:rsidRDefault="006E470A" w:rsidP="00A321B6">
            <w:pPr>
              <w:jc w:val="left"/>
              <w:rPr>
                <w:sz w:val="18"/>
                <w:szCs w:val="18"/>
              </w:rPr>
            </w:pPr>
          </w:p>
        </w:tc>
        <w:tc>
          <w:tcPr>
            <w:tcW w:w="2315" w:type="dxa"/>
          </w:tcPr>
          <w:p w14:paraId="1F6EC1B1" w14:textId="77777777" w:rsidR="007F2C3D" w:rsidRPr="00B369EB" w:rsidRDefault="001C673E">
            <w:pPr>
              <w:jc w:val="left"/>
              <w:rPr>
                <w:rFonts w:eastAsia="SimSun"/>
                <w:sz w:val="18"/>
                <w:szCs w:val="18"/>
                <w:highlight w:val="yellow"/>
              </w:rPr>
            </w:pPr>
            <w:r w:rsidRPr="00B369EB">
              <w:rPr>
                <w:rFonts w:eastAsia="SimSun"/>
                <w:sz w:val="18"/>
                <w:szCs w:val="18"/>
              </w:rPr>
              <w:t>Mejorar la aplicación de la nueva Ley de Semillas, impulsar el sistema EDV viable y práctico, fortalecer la aplicación de las leyes y reglamentos en el ámbito de la industria de semillas, con el objetivo de su vitalización y promover la transformación de los logros innovadores en el fitomejoramiento.</w:t>
            </w:r>
          </w:p>
        </w:tc>
        <w:tc>
          <w:tcPr>
            <w:tcW w:w="2126" w:type="dxa"/>
          </w:tcPr>
          <w:p w14:paraId="770975CB" w14:textId="77777777" w:rsidR="007F2C3D" w:rsidRPr="00B369EB" w:rsidRDefault="001C673E">
            <w:pPr>
              <w:jc w:val="left"/>
              <w:rPr>
                <w:rFonts w:eastAsia="SimSun"/>
                <w:sz w:val="18"/>
                <w:szCs w:val="18"/>
              </w:rPr>
            </w:pPr>
            <w:r w:rsidRPr="00B369EB">
              <w:rPr>
                <w:rFonts w:eastAsia="SimSun"/>
                <w:sz w:val="18"/>
                <w:szCs w:val="18"/>
              </w:rPr>
              <w:t>Más de 300 participantes chinos</w:t>
            </w:r>
          </w:p>
          <w:p w14:paraId="40F8EC6D" w14:textId="77777777" w:rsidR="006E470A" w:rsidRPr="00B369EB" w:rsidRDefault="006E470A" w:rsidP="00A321B6">
            <w:pPr>
              <w:jc w:val="left"/>
              <w:rPr>
                <w:rFonts w:eastAsia="SimSun"/>
                <w:sz w:val="18"/>
                <w:szCs w:val="18"/>
              </w:rPr>
            </w:pPr>
          </w:p>
          <w:p w14:paraId="2892D8DB" w14:textId="77777777" w:rsidR="006E470A" w:rsidRPr="00B369EB" w:rsidRDefault="006E470A" w:rsidP="00A321B6">
            <w:pPr>
              <w:jc w:val="left"/>
              <w:rPr>
                <w:sz w:val="18"/>
                <w:szCs w:val="18"/>
              </w:rPr>
            </w:pPr>
          </w:p>
        </w:tc>
      </w:tr>
      <w:tr w:rsidR="006E470A" w:rsidRPr="00B369EB" w14:paraId="10B3F41A" w14:textId="77777777" w:rsidTr="006E470A">
        <w:tc>
          <w:tcPr>
            <w:tcW w:w="1560" w:type="dxa"/>
          </w:tcPr>
          <w:p w14:paraId="2D5A82EE" w14:textId="77777777" w:rsidR="007F2C3D" w:rsidRPr="00B369EB" w:rsidRDefault="001C673E">
            <w:pPr>
              <w:jc w:val="left"/>
              <w:rPr>
                <w:rFonts w:eastAsia="SimSun"/>
                <w:sz w:val="18"/>
                <w:szCs w:val="18"/>
                <w:highlight w:val="yellow"/>
              </w:rPr>
            </w:pPr>
            <w:r w:rsidRPr="00B369EB">
              <w:rPr>
                <w:rFonts w:eastAsia="SimSun"/>
                <w:sz w:val="18"/>
                <w:szCs w:val="18"/>
              </w:rPr>
              <w:t>4. Curso de formación sobre el aumento de la capacidad de protección de las obtenciones vegetales y el examen DHE</w:t>
            </w:r>
          </w:p>
          <w:p w14:paraId="045DA281" w14:textId="77777777" w:rsidR="006E470A" w:rsidRPr="00B369EB" w:rsidRDefault="006E470A" w:rsidP="00A321B6">
            <w:pPr>
              <w:jc w:val="left"/>
              <w:rPr>
                <w:rFonts w:eastAsia="SimSun"/>
                <w:sz w:val="18"/>
                <w:szCs w:val="18"/>
                <w:highlight w:val="yellow"/>
              </w:rPr>
            </w:pPr>
          </w:p>
        </w:tc>
        <w:tc>
          <w:tcPr>
            <w:tcW w:w="1087" w:type="dxa"/>
          </w:tcPr>
          <w:p w14:paraId="172FF1A1" w14:textId="77777777" w:rsidR="007F2C3D" w:rsidRPr="00B369EB" w:rsidRDefault="001C673E">
            <w:pPr>
              <w:jc w:val="left"/>
              <w:rPr>
                <w:rFonts w:eastAsia="SimSun"/>
                <w:sz w:val="18"/>
                <w:szCs w:val="18"/>
              </w:rPr>
            </w:pPr>
            <w:r w:rsidRPr="00B369EB">
              <w:rPr>
                <w:rFonts w:eastAsia="SimSun"/>
                <w:sz w:val="18"/>
                <w:szCs w:val="18"/>
              </w:rPr>
              <w:t>Del 21 al 26 de julio de 2027</w:t>
            </w:r>
          </w:p>
          <w:p w14:paraId="25555AE6" w14:textId="77777777" w:rsidR="006E470A" w:rsidRPr="00B369EB" w:rsidRDefault="006E470A" w:rsidP="00A321B6">
            <w:pPr>
              <w:jc w:val="left"/>
              <w:rPr>
                <w:sz w:val="18"/>
                <w:szCs w:val="18"/>
              </w:rPr>
            </w:pPr>
          </w:p>
        </w:tc>
        <w:tc>
          <w:tcPr>
            <w:tcW w:w="987" w:type="dxa"/>
          </w:tcPr>
          <w:p w14:paraId="568CDFE0" w14:textId="77777777" w:rsidR="007F2C3D" w:rsidRPr="00B369EB" w:rsidRDefault="001C673E">
            <w:pPr>
              <w:jc w:val="left"/>
              <w:rPr>
                <w:rFonts w:eastAsiaTheme="minorEastAsia"/>
                <w:sz w:val="18"/>
                <w:szCs w:val="18"/>
              </w:rPr>
            </w:pPr>
            <w:r w:rsidRPr="00B369EB">
              <w:rPr>
                <w:rFonts w:eastAsiaTheme="minorEastAsia"/>
                <w:sz w:val="18"/>
                <w:szCs w:val="18"/>
              </w:rPr>
              <w:t xml:space="preserve">Ciudad de </w:t>
            </w:r>
            <w:proofErr w:type="spellStart"/>
            <w:r w:rsidRPr="00B369EB">
              <w:rPr>
                <w:rFonts w:eastAsiaTheme="minorEastAsia"/>
                <w:sz w:val="18"/>
                <w:szCs w:val="18"/>
              </w:rPr>
              <w:t>Lijiang</w:t>
            </w:r>
            <w:proofErr w:type="spellEnd"/>
            <w:r w:rsidRPr="00B369EB">
              <w:rPr>
                <w:rFonts w:eastAsiaTheme="minorEastAsia"/>
                <w:sz w:val="18"/>
                <w:szCs w:val="18"/>
              </w:rPr>
              <w:t>, provincia de Yunnan</w:t>
            </w:r>
          </w:p>
        </w:tc>
        <w:tc>
          <w:tcPr>
            <w:tcW w:w="1848" w:type="dxa"/>
          </w:tcPr>
          <w:p w14:paraId="757588A9" w14:textId="77777777" w:rsidR="007F2C3D" w:rsidRPr="00B369EB" w:rsidRDefault="001C673E">
            <w:pPr>
              <w:jc w:val="left"/>
              <w:rPr>
                <w:sz w:val="18"/>
                <w:szCs w:val="18"/>
              </w:rPr>
            </w:pPr>
            <w:r w:rsidRPr="00B369EB">
              <w:rPr>
                <w:rFonts w:eastAsia="SimSun"/>
                <w:sz w:val="18"/>
                <w:szCs w:val="18"/>
              </w:rPr>
              <w:t xml:space="preserve">Comité de Protección de Obtenciones Vegetales, Asociación Nacional de Semillas de China </w:t>
            </w:r>
          </w:p>
          <w:p w14:paraId="3908B800" w14:textId="77777777" w:rsidR="006E470A" w:rsidRPr="00B369EB" w:rsidRDefault="006E470A" w:rsidP="00A321B6">
            <w:pPr>
              <w:jc w:val="left"/>
              <w:rPr>
                <w:sz w:val="18"/>
                <w:szCs w:val="18"/>
              </w:rPr>
            </w:pPr>
          </w:p>
        </w:tc>
        <w:tc>
          <w:tcPr>
            <w:tcW w:w="2315" w:type="dxa"/>
          </w:tcPr>
          <w:p w14:paraId="1E87B48A" w14:textId="77777777" w:rsidR="007F2C3D" w:rsidRPr="00B369EB" w:rsidRDefault="001C673E">
            <w:pPr>
              <w:jc w:val="left"/>
              <w:rPr>
                <w:rFonts w:eastAsia="SimSun"/>
                <w:sz w:val="18"/>
                <w:szCs w:val="18"/>
                <w:highlight w:val="yellow"/>
              </w:rPr>
            </w:pPr>
            <w:r w:rsidRPr="00B369EB">
              <w:rPr>
                <w:rFonts w:eastAsia="SimSun"/>
                <w:sz w:val="18"/>
                <w:szCs w:val="18"/>
              </w:rPr>
              <w:t>Satisfacer las necesidades de los obtentores de institutos de investigación, universidades y empresas de semillas que realizan el examen DHE por sí mismos y mejorar la capacidad en materia de examen DHE y protección de las obtenciones vegetales en la nueva situación.</w:t>
            </w:r>
          </w:p>
        </w:tc>
        <w:tc>
          <w:tcPr>
            <w:tcW w:w="2126" w:type="dxa"/>
          </w:tcPr>
          <w:p w14:paraId="5725D21F" w14:textId="77777777" w:rsidR="007F2C3D" w:rsidRPr="00B369EB" w:rsidRDefault="001C673E">
            <w:pPr>
              <w:jc w:val="left"/>
              <w:rPr>
                <w:sz w:val="18"/>
                <w:szCs w:val="18"/>
              </w:rPr>
            </w:pPr>
            <w:r w:rsidRPr="00B369EB">
              <w:rPr>
                <w:rFonts w:eastAsia="SimSun"/>
                <w:sz w:val="18"/>
                <w:szCs w:val="18"/>
              </w:rPr>
              <w:t xml:space="preserve">160 </w:t>
            </w:r>
            <w:r w:rsidRPr="00B369EB">
              <w:rPr>
                <w:sz w:val="18"/>
                <w:szCs w:val="18"/>
              </w:rPr>
              <w:t>becarios</w:t>
            </w:r>
            <w:r w:rsidRPr="00B369EB">
              <w:rPr>
                <w:rFonts w:eastAsia="SimSun"/>
                <w:sz w:val="18"/>
                <w:szCs w:val="18"/>
              </w:rPr>
              <w:t xml:space="preserve"> chinos </w:t>
            </w:r>
          </w:p>
          <w:p w14:paraId="60FACDBF" w14:textId="77777777" w:rsidR="006E470A" w:rsidRPr="00B369EB" w:rsidRDefault="006E470A" w:rsidP="00A321B6">
            <w:pPr>
              <w:jc w:val="left"/>
              <w:rPr>
                <w:sz w:val="18"/>
                <w:szCs w:val="18"/>
              </w:rPr>
            </w:pPr>
          </w:p>
        </w:tc>
      </w:tr>
    </w:tbl>
    <w:p w14:paraId="62A84982" w14:textId="77777777" w:rsidR="00F047DD" w:rsidRPr="00B369EB" w:rsidRDefault="00F047DD" w:rsidP="00F047DD">
      <w:pPr>
        <w:rPr>
          <w:rFonts w:cs="Arial"/>
          <w:lang w:eastAsia="zh-CN"/>
        </w:rPr>
      </w:pPr>
    </w:p>
    <w:p w14:paraId="6D18E5AD" w14:textId="77777777" w:rsidR="00F047DD" w:rsidRPr="00B369EB" w:rsidRDefault="00F047DD" w:rsidP="00F047DD">
      <w:pPr>
        <w:rPr>
          <w:rFonts w:cs="Arial"/>
          <w:lang w:eastAsia="zh-CN"/>
        </w:rPr>
      </w:pPr>
    </w:p>
    <w:p w14:paraId="6F301BCD" w14:textId="77777777" w:rsidR="007F2C3D" w:rsidRPr="00B369EB" w:rsidRDefault="001C673E">
      <w:pPr>
        <w:pStyle w:val="Heading1"/>
        <w:rPr>
          <w:rFonts w:eastAsia="SimSun"/>
          <w:lang w:val="es-ES_tradnl" w:eastAsia="zh-CN"/>
        </w:rPr>
      </w:pPr>
      <w:r w:rsidRPr="00B369EB">
        <w:rPr>
          <w:lang w:val="es-ES_tradnl"/>
        </w:rPr>
        <w:t xml:space="preserve">OTROS ACONTECIMIENTOS DE INTERÉS PARA LA </w:t>
      </w:r>
      <w:r w:rsidRPr="00B369EB">
        <w:rPr>
          <w:rFonts w:eastAsia="SimSun"/>
          <w:lang w:val="es-ES_tradnl" w:eastAsia="zh-CN"/>
        </w:rPr>
        <w:t xml:space="preserve">UPOV </w:t>
      </w:r>
    </w:p>
    <w:p w14:paraId="23A76E5A" w14:textId="77777777" w:rsidR="00F047DD" w:rsidRPr="00B369EB" w:rsidRDefault="00F047DD" w:rsidP="00F047DD">
      <w:pPr>
        <w:rPr>
          <w:rFonts w:cs="Arial"/>
        </w:rPr>
      </w:pPr>
    </w:p>
    <w:p w14:paraId="6941354E" w14:textId="77777777" w:rsidR="007F2C3D" w:rsidRPr="00B369EB" w:rsidRDefault="001C673E">
      <w:pPr>
        <w:rPr>
          <w:rFonts w:eastAsia="SimSun" w:cs="Arial"/>
          <w:lang w:eastAsia="zh-CN"/>
        </w:rPr>
      </w:pPr>
      <w:r w:rsidRPr="00B369EB">
        <w:rPr>
          <w:rFonts w:eastAsia="SimSun" w:cs="Arial"/>
          <w:lang w:eastAsia="zh-CN"/>
        </w:rPr>
        <w:t xml:space="preserve">China, junto con la Oficina de la Unión, puso en marcha </w:t>
      </w:r>
      <w:r w:rsidR="006E470A" w:rsidRPr="00B369EB">
        <w:rPr>
          <w:rFonts w:eastAsia="SimSun" w:cs="Arial"/>
          <w:lang w:eastAsia="zh-CN"/>
        </w:rPr>
        <w:t>el Programa para el uso del idioma chino en la UPOV</w:t>
      </w:r>
      <w:r w:rsidRPr="00B369EB">
        <w:rPr>
          <w:rFonts w:eastAsia="SimSun" w:cs="Arial"/>
          <w:lang w:eastAsia="zh-CN"/>
        </w:rPr>
        <w:t xml:space="preserve">. En el informe </w:t>
      </w:r>
      <w:r w:rsidR="006E470A" w:rsidRPr="00B369EB">
        <w:rPr>
          <w:rFonts w:eastAsia="SimSun" w:cs="Arial"/>
          <w:lang w:eastAsia="zh-CN"/>
        </w:rPr>
        <w:t xml:space="preserve">sobre el Programa para el uso de la lengua china en la UPOV </w:t>
      </w:r>
      <w:r w:rsidRPr="00B369EB">
        <w:rPr>
          <w:rFonts w:eastAsia="SimSun" w:cs="Arial"/>
          <w:lang w:eastAsia="zh-CN"/>
        </w:rPr>
        <w:t xml:space="preserve">se ofrecerán más detalles al respecto. </w:t>
      </w:r>
    </w:p>
    <w:p w14:paraId="05A6DD89" w14:textId="77777777" w:rsidR="00F047DD" w:rsidRPr="00B369EB" w:rsidRDefault="00F047DD" w:rsidP="00F047DD">
      <w:pPr>
        <w:rPr>
          <w:rFonts w:cs="Arial"/>
          <w:lang w:eastAsia="zh-CN"/>
        </w:rPr>
      </w:pPr>
    </w:p>
    <w:p w14:paraId="6D8D8F55" w14:textId="77777777" w:rsidR="00882D7E" w:rsidRPr="00B369EB" w:rsidRDefault="00882D7E" w:rsidP="00882D7E"/>
    <w:p w14:paraId="41FBF5AD" w14:textId="1186523D" w:rsidR="00882D7E" w:rsidRPr="00B369EB" w:rsidRDefault="001C673E" w:rsidP="004E1AB4">
      <w:pPr>
        <w:jc w:val="right"/>
      </w:pPr>
      <w:r w:rsidRPr="00B369EB">
        <w:t>[Sigue el Anexo IV]</w:t>
      </w:r>
    </w:p>
    <w:p w14:paraId="7A0CB5A0" w14:textId="77777777" w:rsidR="001F63A8" w:rsidRPr="00B369EB" w:rsidRDefault="001F63A8" w:rsidP="001F63A8">
      <w:pPr>
        <w:jc w:val="center"/>
        <w:sectPr w:rsidR="001F63A8" w:rsidRPr="00B369EB" w:rsidSect="00934CBD">
          <w:headerReference w:type="default" r:id="rId24"/>
          <w:pgSz w:w="11907" w:h="16840" w:code="9"/>
          <w:pgMar w:top="510" w:right="1134" w:bottom="851" w:left="1134" w:header="510" w:footer="680" w:gutter="0"/>
          <w:pgNumType w:start="1"/>
          <w:cols w:space="720"/>
          <w:titlePg/>
          <w:docGrid w:linePitch="272"/>
        </w:sectPr>
      </w:pPr>
    </w:p>
    <w:p w14:paraId="54A0BBC7" w14:textId="77777777" w:rsidR="007F2C3D" w:rsidRPr="00B369EB" w:rsidRDefault="001C673E">
      <w:pPr>
        <w:jc w:val="center"/>
      </w:pPr>
      <w:r w:rsidRPr="00B369EB">
        <w:lastRenderedPageBreak/>
        <w:t>C/58/13</w:t>
      </w:r>
    </w:p>
    <w:p w14:paraId="3550967D" w14:textId="77777777" w:rsidR="001F63A8" w:rsidRPr="00B369EB" w:rsidRDefault="001F63A8" w:rsidP="001F63A8">
      <w:pPr>
        <w:jc w:val="center"/>
      </w:pPr>
    </w:p>
    <w:p w14:paraId="6FAA010A" w14:textId="77777777" w:rsidR="007F2C3D" w:rsidRPr="00B369EB" w:rsidRDefault="001C673E">
      <w:pPr>
        <w:jc w:val="center"/>
      </w:pPr>
      <w:r w:rsidRPr="00B369EB">
        <w:t xml:space="preserve">ANEXO </w:t>
      </w:r>
      <w:r w:rsidR="00882D7E" w:rsidRPr="00B369EB">
        <w:t>IV</w:t>
      </w:r>
    </w:p>
    <w:p w14:paraId="67F6CF59" w14:textId="77777777" w:rsidR="001F63A8" w:rsidRPr="00B369EB" w:rsidRDefault="001F63A8" w:rsidP="001F63A8">
      <w:pPr>
        <w:jc w:val="center"/>
      </w:pPr>
    </w:p>
    <w:p w14:paraId="027D66C6" w14:textId="77777777" w:rsidR="001F63A8" w:rsidRPr="00B369EB" w:rsidRDefault="001F63A8" w:rsidP="001F63A8">
      <w:pPr>
        <w:jc w:val="center"/>
      </w:pPr>
    </w:p>
    <w:p w14:paraId="1FDC5A73" w14:textId="77777777" w:rsidR="007F2C3D" w:rsidRPr="00B369EB" w:rsidRDefault="001C673E">
      <w:pPr>
        <w:jc w:val="center"/>
      </w:pPr>
      <w:r w:rsidRPr="00B369EB">
        <w:t>HUNGRÍA</w:t>
      </w:r>
    </w:p>
    <w:p w14:paraId="6386C12C" w14:textId="77777777" w:rsidR="001F63A8" w:rsidRPr="00B369EB" w:rsidRDefault="001F63A8" w:rsidP="001F63A8"/>
    <w:p w14:paraId="43ADAC32" w14:textId="77777777" w:rsidR="001F63A8" w:rsidRPr="00B369EB" w:rsidRDefault="001F63A8" w:rsidP="001F63A8"/>
    <w:p w14:paraId="78B3D3A0" w14:textId="77777777" w:rsidR="007F2C3D" w:rsidRPr="00B369EB" w:rsidRDefault="001C673E">
      <w:pPr>
        <w:pStyle w:val="Heading1"/>
        <w:rPr>
          <w:lang w:val="es-ES_tradnl"/>
        </w:rPr>
      </w:pPr>
      <w:r w:rsidRPr="00B369EB">
        <w:rPr>
          <w:lang w:val="es-ES_tradnl"/>
        </w:rPr>
        <w:t>I.</w:t>
      </w:r>
      <w:r w:rsidRPr="00B369EB">
        <w:rPr>
          <w:lang w:val="es-ES_tradnl"/>
        </w:rPr>
        <w:tab/>
        <w:t>PROTECCIÓN DE LAS OBTENCIONES VEGETALES</w:t>
      </w:r>
    </w:p>
    <w:p w14:paraId="25CA9CAF" w14:textId="77777777" w:rsidR="0035675F" w:rsidRPr="00B369EB" w:rsidRDefault="0035675F" w:rsidP="0035675F"/>
    <w:p w14:paraId="68E9AD47" w14:textId="77777777" w:rsidR="007F2C3D" w:rsidRPr="00B369EB" w:rsidRDefault="001C673E">
      <w:pPr>
        <w:tabs>
          <w:tab w:val="left" w:pos="426"/>
          <w:tab w:val="left" w:pos="1276"/>
        </w:tabs>
      </w:pPr>
      <w:r w:rsidRPr="00B369EB">
        <w:t xml:space="preserve">1. </w:t>
      </w:r>
      <w:r w:rsidRPr="00B369EB">
        <w:tab/>
      </w:r>
      <w:r w:rsidRPr="00B369EB">
        <w:rPr>
          <w:u w:val="single"/>
        </w:rPr>
        <w:t>Situación en el ámbito legislativo</w:t>
      </w:r>
    </w:p>
    <w:p w14:paraId="67A97679" w14:textId="77777777" w:rsidR="0035675F" w:rsidRPr="00B369EB" w:rsidRDefault="0035675F" w:rsidP="0035675F"/>
    <w:p w14:paraId="6B32FF8F" w14:textId="4C158F57" w:rsidR="007F2C3D" w:rsidRPr="00B369EB" w:rsidRDefault="001C673E">
      <w:r w:rsidRPr="00B369EB">
        <w:t>1.1</w:t>
      </w:r>
      <w:r w:rsidR="004E1AB4">
        <w:tab/>
      </w:r>
      <w:r w:rsidRPr="00B369EB">
        <w:t>Modificaciones de la ley y de los reglamentos de aplicación</w:t>
      </w:r>
    </w:p>
    <w:p w14:paraId="1E82F79A" w14:textId="77777777" w:rsidR="0035675F" w:rsidRPr="00B369EB" w:rsidRDefault="0035675F" w:rsidP="0035675F"/>
    <w:p w14:paraId="2161A318" w14:textId="77777777" w:rsidR="007F2C3D" w:rsidRPr="00B369EB" w:rsidRDefault="001C673E">
      <w:r w:rsidRPr="00B369EB">
        <w:t xml:space="preserve">A partir del 1 de enero de 2024, se abonará el 85% de la tasa de solicitud de protección de obtenciones vegetales en caso de </w:t>
      </w:r>
      <w:r w:rsidRPr="00B369EB">
        <w:rPr>
          <w:spacing w:val="-2"/>
        </w:rPr>
        <w:t xml:space="preserve">presentación </w:t>
      </w:r>
      <w:r w:rsidRPr="00B369EB">
        <w:t xml:space="preserve">electrónica </w:t>
      </w:r>
      <w:r w:rsidRPr="00B369EB">
        <w:rPr>
          <w:spacing w:val="-2"/>
        </w:rPr>
        <w:t>(artículo 115/O (1b), LEY XXXIII DE 1995 SOBRE LA PROTECCIÓN DE LAS INVENCIONES MEDIANTE PATENTES).</w:t>
      </w:r>
    </w:p>
    <w:p w14:paraId="39BA8285" w14:textId="77777777" w:rsidR="0035675F" w:rsidRPr="00B369EB" w:rsidRDefault="0035675F" w:rsidP="0035675F">
      <w:pPr>
        <w:pStyle w:val="BodyTextIndent2"/>
        <w:ind w:left="425"/>
        <w:rPr>
          <w:sz w:val="20"/>
          <w:szCs w:val="20"/>
          <w:lang w:val="es-ES_tradnl"/>
        </w:rPr>
      </w:pPr>
    </w:p>
    <w:p w14:paraId="432E0800" w14:textId="26FC1F74" w:rsidR="007F2C3D" w:rsidRPr="00B369EB" w:rsidRDefault="001C673E">
      <w:r w:rsidRPr="00B369EB">
        <w:t>1.2</w:t>
      </w:r>
      <w:r w:rsidR="004E1AB4">
        <w:tab/>
      </w:r>
      <w:r w:rsidRPr="00B369EB">
        <w:t>Ampliación de la protección a otros géneros y especies (realizada o prevista)</w:t>
      </w:r>
    </w:p>
    <w:p w14:paraId="57F5C01D" w14:textId="77777777" w:rsidR="0035675F" w:rsidRPr="00B369EB" w:rsidRDefault="0035675F" w:rsidP="0035675F">
      <w:pPr>
        <w:pStyle w:val="BodyTextIndent2"/>
        <w:ind w:left="425"/>
        <w:rPr>
          <w:sz w:val="20"/>
          <w:szCs w:val="20"/>
          <w:lang w:val="es-ES_tradnl"/>
        </w:rPr>
      </w:pPr>
    </w:p>
    <w:p w14:paraId="09D809C1" w14:textId="77777777" w:rsidR="007F2C3D" w:rsidRPr="00B369EB" w:rsidRDefault="001C673E">
      <w:pPr>
        <w:pStyle w:val="BodyTextIndent2"/>
        <w:ind w:left="425"/>
        <w:rPr>
          <w:sz w:val="20"/>
          <w:szCs w:val="20"/>
          <w:lang w:val="es-ES_tradnl"/>
        </w:rPr>
      </w:pPr>
      <w:r w:rsidRPr="00B369EB">
        <w:rPr>
          <w:sz w:val="20"/>
          <w:szCs w:val="20"/>
          <w:lang w:val="es-ES_tradnl"/>
        </w:rPr>
        <w:tab/>
        <w:t>Sin cambios. De conformidad con la normativa vigente, la protección de las obtenciones vegetales se extiende a todos los géneros y especies vegetales.</w:t>
      </w:r>
    </w:p>
    <w:p w14:paraId="3FFAF633" w14:textId="77777777" w:rsidR="0035675F" w:rsidRPr="00B369EB" w:rsidRDefault="0035675F" w:rsidP="0035675F">
      <w:pPr>
        <w:pStyle w:val="BodyTextIndent2"/>
        <w:ind w:left="425"/>
        <w:rPr>
          <w:sz w:val="20"/>
          <w:szCs w:val="20"/>
          <w:lang w:val="es-ES_tradnl"/>
        </w:rPr>
      </w:pPr>
    </w:p>
    <w:p w14:paraId="19C3C823" w14:textId="704E7A09" w:rsidR="007F2C3D" w:rsidRPr="00B369EB" w:rsidRDefault="001C673E">
      <w:r w:rsidRPr="00B369EB">
        <w:t>1.3</w:t>
      </w:r>
      <w:r w:rsidR="004E1AB4">
        <w:tab/>
        <w:t>J</w:t>
      </w:r>
      <w:r w:rsidRPr="00B369EB">
        <w:t>urisprudencia</w:t>
      </w:r>
    </w:p>
    <w:p w14:paraId="06E1B6BE" w14:textId="77777777" w:rsidR="0035675F" w:rsidRPr="00B369EB" w:rsidRDefault="0035675F" w:rsidP="0035675F">
      <w:pPr>
        <w:pStyle w:val="BodyTextIndent2"/>
        <w:ind w:left="425"/>
        <w:rPr>
          <w:sz w:val="20"/>
          <w:szCs w:val="20"/>
          <w:lang w:val="es-ES_tradnl"/>
        </w:rPr>
      </w:pPr>
    </w:p>
    <w:p w14:paraId="1C2C4A34" w14:textId="77777777" w:rsidR="007F2C3D" w:rsidRPr="00B369EB" w:rsidRDefault="001C673E">
      <w:pPr>
        <w:pStyle w:val="BodyTextIndent2"/>
        <w:ind w:left="567" w:hanging="567"/>
        <w:rPr>
          <w:sz w:val="20"/>
          <w:szCs w:val="20"/>
          <w:lang w:val="es-ES_tradnl"/>
        </w:rPr>
      </w:pPr>
      <w:r w:rsidRPr="00B369EB">
        <w:rPr>
          <w:sz w:val="20"/>
          <w:szCs w:val="20"/>
          <w:lang w:val="es-ES_tradnl"/>
        </w:rPr>
        <w:tab/>
        <w:t>Sin datos.</w:t>
      </w:r>
    </w:p>
    <w:p w14:paraId="6A2762B0" w14:textId="77777777" w:rsidR="0035675F" w:rsidRPr="00B369EB" w:rsidRDefault="0035675F" w:rsidP="0035675F"/>
    <w:p w14:paraId="0401E3D1" w14:textId="77777777" w:rsidR="0035675F" w:rsidRPr="00B369EB" w:rsidRDefault="0035675F" w:rsidP="0035675F"/>
    <w:p w14:paraId="578D6F4A" w14:textId="77777777" w:rsidR="007F2C3D" w:rsidRPr="00B369EB" w:rsidRDefault="001C673E">
      <w:r w:rsidRPr="00B369EB">
        <w:t>2.</w:t>
      </w:r>
      <w:r w:rsidRPr="00B369EB">
        <w:tab/>
      </w:r>
      <w:r w:rsidRPr="00B369EB">
        <w:rPr>
          <w:u w:val="single"/>
        </w:rPr>
        <w:t>Cooperación en el examen</w:t>
      </w:r>
    </w:p>
    <w:p w14:paraId="67F343B8" w14:textId="77777777" w:rsidR="0035675F" w:rsidRPr="00B369EB" w:rsidRDefault="0035675F" w:rsidP="0035675F">
      <w:pPr>
        <w:tabs>
          <w:tab w:val="left" w:pos="426"/>
          <w:tab w:val="left" w:pos="851"/>
        </w:tabs>
      </w:pPr>
    </w:p>
    <w:p w14:paraId="7A79E1E0" w14:textId="77777777" w:rsidR="007F2C3D" w:rsidRPr="00B369EB" w:rsidRDefault="001C673E">
      <w:r w:rsidRPr="00B369EB">
        <w:t>Sin cambios.  De conformidad con los párrafos (3) y (4) del Artículo 114/R de la Ley de Patentes, los resultados de los ensayos experimentales (informe de examen DHE) realizados por una autoridad extranjera competente podrán tomarse en consideración con el consentimiento de dicha autoridad.  Los costes de los ensayos experimentales correrán a cargo del solicitante.  Por consiguiente, la Oficina Húngara de la Propiedad Intelectual (HIPO) tomó medidas para concertar acuerdos con las oficinas nacionales y regionales sobre el envío de informes de examen técnico DHE de la oficina correspondiente a la HIPO.</w:t>
      </w:r>
    </w:p>
    <w:p w14:paraId="30DB4E21" w14:textId="77777777" w:rsidR="0035675F" w:rsidRPr="00B369EB" w:rsidRDefault="0035675F" w:rsidP="0035675F">
      <w:pPr>
        <w:tabs>
          <w:tab w:val="left" w:pos="426"/>
          <w:tab w:val="left" w:pos="851"/>
        </w:tabs>
      </w:pPr>
    </w:p>
    <w:p w14:paraId="68511649" w14:textId="77777777" w:rsidR="007F2C3D" w:rsidRPr="00B369EB" w:rsidRDefault="001C673E">
      <w:r w:rsidRPr="00B369EB">
        <w:t>La Oficina Húngara de Propiedad Intelectual celebró acuerdos sobre el envío de informes relativos al examen técnico DHE con la Oficina Comunitaria de Variedades Vegetales (OCVV), con el Bundessortenamt (Alemania), así como con la Junta de Derechos de Obtentor del Ministerio de Agricultura, Naturaleza y Calidad Alimentaria (Reino de los Países Bajos).</w:t>
      </w:r>
    </w:p>
    <w:p w14:paraId="09D0E79B" w14:textId="77777777" w:rsidR="0035675F" w:rsidRPr="00B369EB" w:rsidRDefault="0035675F" w:rsidP="0035675F">
      <w:pPr>
        <w:tabs>
          <w:tab w:val="left" w:pos="426"/>
          <w:tab w:val="left" w:pos="851"/>
        </w:tabs>
      </w:pPr>
    </w:p>
    <w:p w14:paraId="2E51ED2B" w14:textId="77777777" w:rsidR="0035675F" w:rsidRPr="00B369EB" w:rsidRDefault="0035675F" w:rsidP="0035675F"/>
    <w:p w14:paraId="18044584" w14:textId="77777777" w:rsidR="007F2C3D" w:rsidRPr="00B369EB" w:rsidRDefault="001C673E">
      <w:pPr>
        <w:rPr>
          <w:u w:val="single"/>
        </w:rPr>
      </w:pPr>
      <w:r w:rsidRPr="00B369EB">
        <w:t>3.</w:t>
      </w:r>
      <w:r w:rsidRPr="00B369EB">
        <w:tab/>
      </w:r>
      <w:r w:rsidRPr="00B369EB">
        <w:rPr>
          <w:u w:val="single"/>
        </w:rPr>
        <w:t>Situación en el ámbito administrativo</w:t>
      </w:r>
    </w:p>
    <w:p w14:paraId="76EBA9F3" w14:textId="77777777" w:rsidR="0035675F" w:rsidRPr="00B369EB" w:rsidRDefault="0035675F" w:rsidP="0035675F"/>
    <w:p w14:paraId="49E3B6AE" w14:textId="77777777" w:rsidR="007F2C3D" w:rsidRPr="00B369EB" w:rsidRDefault="001C673E">
      <w:r w:rsidRPr="00B369EB">
        <w:t>Sin cambios.  La HIPO está autorizada a conceder protección a las obtenciones vegetales. En el sistema nacional, la HIPO es responsable del examen de la novedad, la denominación y la unidad, así como del registro de las obtenciones vegetales. La Oficina Nacional de Seguridad de la Cadena Alimentaria es responsable del examen biológico (examen DHE).</w:t>
      </w:r>
    </w:p>
    <w:p w14:paraId="3FE3FE2A" w14:textId="77777777" w:rsidR="0035675F" w:rsidRPr="00B369EB" w:rsidRDefault="0035675F" w:rsidP="0035675F"/>
    <w:p w14:paraId="289A59A4" w14:textId="77777777" w:rsidR="0035675F" w:rsidRPr="00B369EB" w:rsidRDefault="0035675F" w:rsidP="0035675F"/>
    <w:p w14:paraId="446DADE3" w14:textId="77777777" w:rsidR="007F2C3D" w:rsidRPr="00B369EB" w:rsidRDefault="001C673E">
      <w:r w:rsidRPr="00B369EB">
        <w:t>4.</w:t>
      </w:r>
      <w:r w:rsidRPr="00B369EB">
        <w:tab/>
      </w:r>
      <w:r w:rsidRPr="00B369EB">
        <w:rPr>
          <w:u w:val="single"/>
        </w:rPr>
        <w:t>Situación en el ámbito técnico</w:t>
      </w:r>
    </w:p>
    <w:p w14:paraId="3EB4B7FB" w14:textId="77777777" w:rsidR="0035675F" w:rsidRPr="00B369EB" w:rsidRDefault="0035675F" w:rsidP="0035675F"/>
    <w:p w14:paraId="3602DBD8" w14:textId="77777777" w:rsidR="007F2C3D" w:rsidRPr="00B369EB" w:rsidRDefault="001C673E">
      <w:r w:rsidRPr="00B369EB">
        <w:t>El examen técnico corre a cargo de la Oficina Nacional de Seguridad de la Cadena Alimentaria.</w:t>
      </w:r>
    </w:p>
    <w:p w14:paraId="26B8C822" w14:textId="77777777" w:rsidR="0035675F" w:rsidRPr="00B369EB" w:rsidRDefault="0035675F" w:rsidP="0035675F"/>
    <w:p w14:paraId="19E291F3" w14:textId="77777777" w:rsidR="001F63A8" w:rsidRPr="00B369EB" w:rsidRDefault="001F63A8" w:rsidP="001F63A8"/>
    <w:p w14:paraId="2405E9B3" w14:textId="77777777" w:rsidR="001F63A8" w:rsidRPr="00B369EB" w:rsidRDefault="001F63A8" w:rsidP="001F63A8"/>
    <w:p w14:paraId="11E34A60" w14:textId="77777777" w:rsidR="007F2C3D" w:rsidRPr="00B369EB" w:rsidRDefault="001C673E">
      <w:pPr>
        <w:jc w:val="right"/>
      </w:pPr>
      <w:r w:rsidRPr="00B369EB">
        <w:t>[Sigue el Anexo V]</w:t>
      </w:r>
    </w:p>
    <w:p w14:paraId="57A91040" w14:textId="77777777" w:rsidR="001F63A8" w:rsidRPr="00B369EB" w:rsidRDefault="001F63A8" w:rsidP="001F63A8"/>
    <w:p w14:paraId="0BE15D1E" w14:textId="77777777" w:rsidR="001F63A8" w:rsidRPr="00B369EB" w:rsidRDefault="001F63A8" w:rsidP="001F63A8">
      <w:pPr>
        <w:jc w:val="center"/>
        <w:sectPr w:rsidR="001F63A8" w:rsidRPr="00B369EB" w:rsidSect="000B2CE0">
          <w:headerReference w:type="default" r:id="rId25"/>
          <w:pgSz w:w="11907" w:h="16840" w:code="9"/>
          <w:pgMar w:top="510" w:right="1134" w:bottom="568" w:left="1134" w:header="510" w:footer="680" w:gutter="0"/>
          <w:pgNumType w:start="1"/>
          <w:cols w:space="720"/>
          <w:titlePg/>
        </w:sectPr>
      </w:pPr>
    </w:p>
    <w:p w14:paraId="5FBDF0A8" w14:textId="77777777" w:rsidR="007F2C3D" w:rsidRPr="00B369EB" w:rsidRDefault="001C673E">
      <w:pPr>
        <w:jc w:val="center"/>
      </w:pPr>
      <w:r w:rsidRPr="00B369EB">
        <w:lastRenderedPageBreak/>
        <w:t>C/58/13</w:t>
      </w:r>
    </w:p>
    <w:p w14:paraId="14C6560B" w14:textId="77777777" w:rsidR="001F63A8" w:rsidRPr="00B369EB" w:rsidRDefault="001F63A8" w:rsidP="001F63A8">
      <w:pPr>
        <w:jc w:val="center"/>
      </w:pPr>
    </w:p>
    <w:p w14:paraId="17DFA4E3" w14:textId="77777777" w:rsidR="007F2C3D" w:rsidRPr="00B369EB" w:rsidRDefault="001C673E">
      <w:pPr>
        <w:jc w:val="center"/>
      </w:pPr>
      <w:r w:rsidRPr="00B369EB">
        <w:t>ANEXO V</w:t>
      </w:r>
    </w:p>
    <w:p w14:paraId="79C5577A" w14:textId="77777777" w:rsidR="001F63A8" w:rsidRPr="00B369EB" w:rsidRDefault="001F63A8" w:rsidP="001F63A8">
      <w:pPr>
        <w:jc w:val="center"/>
      </w:pPr>
    </w:p>
    <w:p w14:paraId="22B9DA4F" w14:textId="77777777" w:rsidR="001F63A8" w:rsidRPr="00B369EB" w:rsidRDefault="001F63A8" w:rsidP="001F63A8">
      <w:pPr>
        <w:jc w:val="center"/>
      </w:pPr>
    </w:p>
    <w:p w14:paraId="4EF8CD42" w14:textId="77777777" w:rsidR="007F2C3D" w:rsidRPr="00B369EB" w:rsidRDefault="001C673E">
      <w:pPr>
        <w:jc w:val="center"/>
      </w:pPr>
      <w:r w:rsidRPr="00B369EB">
        <w:t>NUEVA ZELANDIA</w:t>
      </w:r>
    </w:p>
    <w:p w14:paraId="39E73E89" w14:textId="77777777" w:rsidR="001F63A8" w:rsidRPr="00B369EB" w:rsidRDefault="001F63A8" w:rsidP="001F63A8"/>
    <w:p w14:paraId="7756D446" w14:textId="77777777" w:rsidR="001F63A8" w:rsidRPr="00B369EB" w:rsidRDefault="001F63A8" w:rsidP="001F63A8"/>
    <w:p w14:paraId="591A7EB5" w14:textId="77777777" w:rsidR="007F2C3D" w:rsidRPr="00B369EB" w:rsidRDefault="001C673E">
      <w:pPr>
        <w:pStyle w:val="Heading1"/>
        <w:rPr>
          <w:lang w:val="es-ES_tradnl"/>
        </w:rPr>
      </w:pPr>
      <w:r w:rsidRPr="00B369EB">
        <w:rPr>
          <w:lang w:val="es-ES_tradnl"/>
        </w:rPr>
        <w:t>I.</w:t>
      </w:r>
      <w:r w:rsidRPr="00B369EB">
        <w:rPr>
          <w:lang w:val="es-ES_tradnl"/>
        </w:rPr>
        <w:tab/>
        <w:t>PROTECCIÓN DE LAS OBTENCIONES VEGETALES</w:t>
      </w:r>
    </w:p>
    <w:p w14:paraId="687BDA91" w14:textId="77777777" w:rsidR="009366AF" w:rsidRPr="00B369EB" w:rsidRDefault="009366AF" w:rsidP="009366AF"/>
    <w:p w14:paraId="727CCD55" w14:textId="77777777" w:rsidR="007F2C3D" w:rsidRPr="00B369EB" w:rsidRDefault="001C673E">
      <w:r w:rsidRPr="00B369EB">
        <w:t>1.</w:t>
      </w:r>
      <w:r w:rsidRPr="00B369EB">
        <w:tab/>
      </w:r>
      <w:r w:rsidRPr="00B369EB">
        <w:rPr>
          <w:u w:val="single"/>
        </w:rPr>
        <w:t>Situación en el ámbito legislativo</w:t>
      </w:r>
    </w:p>
    <w:p w14:paraId="38DE1BDB" w14:textId="77777777" w:rsidR="009366AF" w:rsidRPr="00B369EB" w:rsidRDefault="009366AF" w:rsidP="009366AF"/>
    <w:p w14:paraId="3BDF82A4" w14:textId="77777777" w:rsidR="007F2C3D" w:rsidRPr="00B369EB" w:rsidRDefault="001C673E">
      <w:r w:rsidRPr="00B369EB">
        <w:t xml:space="preserve">La Ley de Derechos de Obtentor de 2022 está en vigor y contempla los derechos establecidos en UPOV 91.  Aunque Nueva Zelandia no se ha adherido a UPOV 91, sigue siendo miembro en virtud de UPOV 78.  </w:t>
      </w:r>
    </w:p>
    <w:p w14:paraId="08A39E81" w14:textId="77777777" w:rsidR="009366AF" w:rsidRPr="00B369EB" w:rsidRDefault="009366AF" w:rsidP="009366AF"/>
    <w:p w14:paraId="080474F0" w14:textId="77777777" w:rsidR="007F2C3D" w:rsidRPr="00B369EB" w:rsidRDefault="001C673E">
      <w:r w:rsidRPr="00B369EB">
        <w:t>La Ley de protección de las obtenciones vegetales de 2022 no tiene carácter retroactivo, y todas las solicitudes presentadas y los derechos concedidos para variedades antes del 24 de enero de 2023, fecha de entrada en vigor de la Ley de protección de las obtenciones vegetales de 2022, siguen estando sujetos a la anterior Ley de protección de las obtenciones vegetales de 1987.</w:t>
      </w:r>
    </w:p>
    <w:p w14:paraId="2E06C5E6" w14:textId="77777777" w:rsidR="009366AF" w:rsidRPr="00B369EB" w:rsidRDefault="009366AF" w:rsidP="009366AF"/>
    <w:p w14:paraId="54E2D08F" w14:textId="77777777" w:rsidR="007F2C3D" w:rsidRPr="00B369EB" w:rsidRDefault="001C673E">
      <w:r w:rsidRPr="00B369EB">
        <w:t xml:space="preserve">La Ley de Derechos sobre Obtenciones Vegetales de 2022 reconoce y respeta las obligaciones derivadas de los principios del Tratado de </w:t>
      </w:r>
      <w:proofErr w:type="spellStart"/>
      <w:r w:rsidRPr="00B369EB">
        <w:t>Waitangi</w:t>
      </w:r>
      <w:proofErr w:type="spellEnd"/>
      <w:r w:rsidRPr="00B369EB">
        <w:t xml:space="preserve"> mediante la protección de las relaciones </w:t>
      </w:r>
      <w:proofErr w:type="spellStart"/>
      <w:r w:rsidRPr="00B369EB">
        <w:t>kaitiaki</w:t>
      </w:r>
      <w:proofErr w:type="spellEnd"/>
      <w:r w:rsidRPr="00B369EB">
        <w:t xml:space="preserve"> con especies autóctonas y no autóctonas de importancia.  La Subparte 3 de la Parte 5 de la Ley de Derechos sobre Obtenciones Vegetales de 2022 prevé procedimientos adicionales e incluye la creación del Comité Maorí de Obtenciones Vegetales.  El Comité está en proceso de creación y estará en funcionamiento cuando la Parte 5 entre en vigor en noviembre de 2024.</w:t>
      </w:r>
    </w:p>
    <w:p w14:paraId="1C67ED25" w14:textId="77777777" w:rsidR="009366AF" w:rsidRPr="00B369EB" w:rsidRDefault="009366AF" w:rsidP="009366AF"/>
    <w:p w14:paraId="5A016D32" w14:textId="77777777" w:rsidR="007F2C3D" w:rsidRPr="00B369EB" w:rsidRDefault="001C673E">
      <w:r w:rsidRPr="00B369EB">
        <w:t xml:space="preserve">La primera concesión en virtud de la Ley de derechos de obtención vegetal de 2022 se efectuó el 2 de febrero de 2024 para la variedad de </w:t>
      </w:r>
      <w:proofErr w:type="spellStart"/>
      <w:r w:rsidRPr="00B369EB">
        <w:t>Lilium</w:t>
      </w:r>
      <w:proofErr w:type="spellEnd"/>
      <w:r w:rsidRPr="00B369EB">
        <w:t xml:space="preserve"> "</w:t>
      </w:r>
      <w:proofErr w:type="spellStart"/>
      <w:r w:rsidRPr="00B369EB">
        <w:t>Strong</w:t>
      </w:r>
      <w:proofErr w:type="spellEnd"/>
      <w:r w:rsidRPr="00B369EB">
        <w:t xml:space="preserve"> Love</w:t>
      </w:r>
      <w:r w:rsidR="007018E1" w:rsidRPr="00B369EB">
        <w:t>"</w:t>
      </w:r>
      <w:r w:rsidRPr="00B369EB">
        <w:t>.</w:t>
      </w:r>
    </w:p>
    <w:p w14:paraId="03C6FF52" w14:textId="77777777" w:rsidR="009366AF" w:rsidRPr="00B369EB" w:rsidRDefault="009366AF" w:rsidP="009366AF"/>
    <w:p w14:paraId="043D8C56" w14:textId="77777777" w:rsidR="009366AF" w:rsidRPr="00B369EB" w:rsidRDefault="009366AF" w:rsidP="009366AF"/>
    <w:p w14:paraId="483D84C7" w14:textId="77777777" w:rsidR="007F2C3D" w:rsidRPr="00B369EB" w:rsidRDefault="001C673E">
      <w:pPr>
        <w:rPr>
          <w:u w:val="single"/>
        </w:rPr>
      </w:pPr>
      <w:r w:rsidRPr="00B369EB">
        <w:t>2.</w:t>
      </w:r>
      <w:r w:rsidRPr="00B369EB">
        <w:tab/>
      </w:r>
      <w:r w:rsidRPr="00B369EB">
        <w:rPr>
          <w:u w:val="single"/>
        </w:rPr>
        <w:t>Cooperación en el examen</w:t>
      </w:r>
    </w:p>
    <w:p w14:paraId="7B1B8F58" w14:textId="77777777" w:rsidR="009366AF" w:rsidRPr="00B369EB" w:rsidRDefault="009366AF" w:rsidP="009366AF"/>
    <w:p w14:paraId="6B5726FD" w14:textId="77777777" w:rsidR="007F2C3D" w:rsidRPr="00B369EB" w:rsidRDefault="001C673E">
      <w:r w:rsidRPr="00B369EB">
        <w:t xml:space="preserve">Nueva Zelandia sigue adquiriendo informes de examen de los Estados miembros, en función de las necesidades, en virtud de las disposiciones generales del Convenio de la UPOV.  Nueva Zelandia facilitará un informe de examen, a petición de una autoridad de protección de las obtenciones vegetales extranjera, sin coste alguno.  En 2023, Nueva Zelandia utilizó quince (15) informes de examen extranjeros para tomar decisiones en materia de derechos y suministró quince (15) informes de examen a autoridades extranjeras de protección de las obtenciones vegetales. </w:t>
      </w:r>
    </w:p>
    <w:p w14:paraId="097FBA37" w14:textId="77777777" w:rsidR="009366AF" w:rsidRPr="00B369EB" w:rsidRDefault="009366AF" w:rsidP="009366AF"/>
    <w:p w14:paraId="04177EAA" w14:textId="77777777" w:rsidR="007F2C3D" w:rsidRPr="00B369EB" w:rsidRDefault="001C673E">
      <w:r w:rsidRPr="00B369EB">
        <w:t xml:space="preserve">Nueva Zelandia tiene la intención de adherirse </w:t>
      </w:r>
      <w:r w:rsidR="003C0991" w:rsidRPr="00B369EB">
        <w:t xml:space="preserve">al e-PVP </w:t>
      </w:r>
      <w:r w:rsidRPr="00B369EB">
        <w:t xml:space="preserve">de la UPOV y utilizará el módulo de intercambio de informes de prueba.  Nueva Zelandia participó en un ejercicio de prueba en mayo de 2024 y espera poder utilizar el módulo en el futuro, cuando esté disponible. </w:t>
      </w:r>
    </w:p>
    <w:p w14:paraId="1462F975" w14:textId="77777777" w:rsidR="009366AF" w:rsidRPr="00B369EB" w:rsidRDefault="009366AF" w:rsidP="009366AF"/>
    <w:p w14:paraId="3408ABBC" w14:textId="77777777" w:rsidR="007F2C3D" w:rsidRPr="00B369EB" w:rsidRDefault="001C673E">
      <w:r w:rsidRPr="00B369EB">
        <w:t xml:space="preserve">Nueva Zelandia fue invitada por el East Asia PVP </w:t>
      </w:r>
      <w:proofErr w:type="spellStart"/>
      <w:r w:rsidRPr="00B369EB">
        <w:t>Forum</w:t>
      </w:r>
      <w:proofErr w:type="spellEnd"/>
      <w:r w:rsidRPr="00B369EB">
        <w:t xml:space="preserve"> a participar en calidad de observador en el desarrollo de </w:t>
      </w:r>
      <w:r w:rsidR="003C0991" w:rsidRPr="00B369EB">
        <w:t>e</w:t>
      </w:r>
      <w:r w:rsidR="003C0991" w:rsidRPr="00B369EB">
        <w:noBreakHyphen/>
      </w:r>
      <w:r w:rsidRPr="00B369EB">
        <w:t xml:space="preserve"> PVP Asia. </w:t>
      </w:r>
      <w:r w:rsidR="003C0991" w:rsidRPr="00B369EB">
        <w:t xml:space="preserve">e-PVP </w:t>
      </w:r>
      <w:r w:rsidRPr="00B369EB">
        <w:t xml:space="preserve">Asia es una iniciativa, apoyada por el Foro, para desarrollar un enfoque regional en el uso de las herramientas </w:t>
      </w:r>
      <w:r w:rsidR="003C0991" w:rsidRPr="00B369EB">
        <w:t xml:space="preserve">e-PVP </w:t>
      </w:r>
      <w:r w:rsidRPr="00B369EB">
        <w:t>de la UPOV en los potenciales Estados miembros de la UPOV del Sudeste Asiático.  Nueva Zelandia ha participado en dos reuniones virtuales del Foro.</w:t>
      </w:r>
    </w:p>
    <w:p w14:paraId="4BB127E8" w14:textId="77777777" w:rsidR="009366AF" w:rsidRPr="00B369EB" w:rsidRDefault="009366AF" w:rsidP="009366AF"/>
    <w:p w14:paraId="6654DC9A" w14:textId="77777777" w:rsidR="009366AF" w:rsidRPr="00B369EB" w:rsidRDefault="009366AF" w:rsidP="009366AF"/>
    <w:p w14:paraId="609FDA4F" w14:textId="77777777" w:rsidR="007F2C3D" w:rsidRPr="00B369EB" w:rsidRDefault="001C673E">
      <w:pPr>
        <w:rPr>
          <w:u w:val="single"/>
        </w:rPr>
      </w:pPr>
      <w:r w:rsidRPr="00B369EB">
        <w:t>3.</w:t>
      </w:r>
      <w:r w:rsidRPr="00B369EB">
        <w:tab/>
      </w:r>
      <w:r w:rsidR="009366AF" w:rsidRPr="00B369EB">
        <w:rPr>
          <w:u w:val="single"/>
        </w:rPr>
        <w:t>Situación en el ámbito administrativo</w:t>
      </w:r>
    </w:p>
    <w:p w14:paraId="6F86E4C9" w14:textId="77777777" w:rsidR="009366AF" w:rsidRPr="00B369EB" w:rsidRDefault="009366AF" w:rsidP="009366AF"/>
    <w:p w14:paraId="2503D5ED" w14:textId="77777777" w:rsidR="007F2C3D" w:rsidRPr="00B369EB" w:rsidRDefault="001C673E">
      <w:r w:rsidRPr="00B369EB">
        <w:t xml:space="preserve">Durante el ejercicio comprendido entre el 1 de julio de 2023 y el 30 de junio de 2024, se aceptaron 125 solicitudes de protección de obtenciones vegetales (un 27 % más que el año anterior), se concedieron 93 títulos (un 8 % menos que el año anterior) y se cancelaron 116 títulos (un 60 % más que el año anterior).  A 30 de junio de 2024 había 1293 concesiones válidas, lo que supone un ligero descenso con respecto al ejercicio anterior. </w:t>
      </w:r>
    </w:p>
    <w:p w14:paraId="1F32B5F3" w14:textId="77777777" w:rsidR="009366AF" w:rsidRPr="00B369EB" w:rsidRDefault="009366AF" w:rsidP="009366AF"/>
    <w:p w14:paraId="777ADE60" w14:textId="77777777" w:rsidR="007F2C3D" w:rsidRPr="00B369EB" w:rsidRDefault="001C673E">
      <w:r w:rsidRPr="00B369EB">
        <w:t>La Oficina de Propiedad Intelectual de Nueva Zelandia (IPONZ) ha iniciado una revisión de las tasas prescritas en virtud de la Ley de Derechos de Obtentor de 2022.  La consulta pública sobre las tasas está prevista para finales de 2024 y se espera que el baremo de tasas revisado entre en vigor a mediados de 2025.</w:t>
      </w:r>
    </w:p>
    <w:p w14:paraId="3FB2046F" w14:textId="77777777" w:rsidR="009366AF" w:rsidRPr="00B369EB" w:rsidRDefault="009366AF" w:rsidP="009366AF"/>
    <w:p w14:paraId="2B60DE08" w14:textId="77777777" w:rsidR="007F2C3D" w:rsidRPr="00B369EB" w:rsidRDefault="001C673E">
      <w:r w:rsidRPr="00B369EB">
        <w:t xml:space="preserve">A finales de 2023 se completó un estudio para determinar el valor económico, de innovación y de bien público de la protección de las obtenciones vegetales en Nueva Zelandia, que se publicó en marzo de 2024. En el estudio se recopilaron datos e información sobre las repercusiones de la protección de las obtenciones vegetales y las conclusiones se utilizarán para el futuro desarrollo del sistema. </w:t>
      </w:r>
    </w:p>
    <w:p w14:paraId="3E32AC3A" w14:textId="77777777" w:rsidR="009366AF" w:rsidRPr="00B369EB" w:rsidRDefault="009366AF" w:rsidP="009366AF"/>
    <w:p w14:paraId="39060650" w14:textId="77777777" w:rsidR="007F2C3D" w:rsidRPr="00B369EB" w:rsidRDefault="001C673E">
      <w:r w:rsidRPr="00B369EB">
        <w:lastRenderedPageBreak/>
        <w:t xml:space="preserve">El informe está disponible en </w:t>
      </w:r>
      <w:hyperlink r:id="rId26" w:history="1">
        <w:proofErr w:type="spellStart"/>
        <w:r w:rsidRPr="00B369EB">
          <w:rPr>
            <w:rStyle w:val="Hyperlink"/>
          </w:rPr>
          <w:t>Plant</w:t>
        </w:r>
        <w:proofErr w:type="spellEnd"/>
        <w:r w:rsidRPr="00B369EB">
          <w:rPr>
            <w:rStyle w:val="Hyperlink"/>
          </w:rPr>
          <w:t xml:space="preserve"> </w:t>
        </w:r>
        <w:proofErr w:type="spellStart"/>
        <w:r w:rsidRPr="00B369EB">
          <w:rPr>
            <w:rStyle w:val="Hyperlink"/>
          </w:rPr>
          <w:t>Variety</w:t>
        </w:r>
        <w:proofErr w:type="spellEnd"/>
        <w:r w:rsidRPr="00B369EB">
          <w:rPr>
            <w:rStyle w:val="Hyperlink"/>
          </w:rPr>
          <w:t xml:space="preserve"> </w:t>
        </w:r>
        <w:proofErr w:type="spellStart"/>
        <w:r w:rsidRPr="00B369EB">
          <w:rPr>
            <w:rStyle w:val="Hyperlink"/>
          </w:rPr>
          <w:t>Rights</w:t>
        </w:r>
        <w:proofErr w:type="spellEnd"/>
        <w:r w:rsidRPr="00B369EB">
          <w:rPr>
            <w:rStyle w:val="Hyperlink"/>
          </w:rPr>
          <w:t>: Beneficios económicos y de interés público (iponz.govt.nz)</w:t>
        </w:r>
      </w:hyperlink>
    </w:p>
    <w:p w14:paraId="372CEB5A" w14:textId="77777777" w:rsidR="009366AF" w:rsidRPr="00B369EB" w:rsidRDefault="009366AF" w:rsidP="009366AF"/>
    <w:p w14:paraId="514DAFB0" w14:textId="77777777" w:rsidR="009366AF" w:rsidRPr="00B369EB" w:rsidRDefault="009366AF" w:rsidP="009366AF"/>
    <w:p w14:paraId="2C59E488" w14:textId="77777777" w:rsidR="007F2C3D" w:rsidRPr="00B369EB" w:rsidRDefault="001C673E">
      <w:pPr>
        <w:keepNext/>
        <w:rPr>
          <w:u w:val="single"/>
        </w:rPr>
      </w:pPr>
      <w:r w:rsidRPr="00B369EB">
        <w:t>4.</w:t>
      </w:r>
      <w:r w:rsidRPr="00B369EB">
        <w:tab/>
      </w:r>
      <w:r w:rsidR="009366AF" w:rsidRPr="00B369EB">
        <w:rPr>
          <w:u w:val="single"/>
        </w:rPr>
        <w:t>Situación en el ámbito técnico</w:t>
      </w:r>
    </w:p>
    <w:p w14:paraId="0FA0F6F9" w14:textId="77777777" w:rsidR="009366AF" w:rsidRPr="00B369EB" w:rsidRDefault="009366AF" w:rsidP="003C0991">
      <w:pPr>
        <w:keepNext/>
      </w:pPr>
    </w:p>
    <w:p w14:paraId="2D2F5F76" w14:textId="77777777" w:rsidR="007F2C3D" w:rsidRPr="00B369EB" w:rsidRDefault="001C673E">
      <w:r w:rsidRPr="00B369EB">
        <w:t>A 1 de julio de 2024, hay 363 variedades en fase de ensayo o examen, lo que supone un ligero descenso con respecto al año pasado. La duración media de la solicitud para las variedades pertenecientes a especies no leñosas es de dos (2) años y para las especies leñosas de cuatro (4) años.</w:t>
      </w:r>
    </w:p>
    <w:p w14:paraId="0D6E03C4" w14:textId="77777777" w:rsidR="009366AF" w:rsidRPr="00B369EB" w:rsidRDefault="009366AF" w:rsidP="009366AF"/>
    <w:p w14:paraId="50933E22" w14:textId="77777777" w:rsidR="007F2C3D" w:rsidRPr="00B369EB" w:rsidRDefault="001C673E">
      <w:r w:rsidRPr="00B369EB">
        <w:t>Un número constante de solicitudes de variedades de plátano (</w:t>
      </w:r>
      <w:proofErr w:type="spellStart"/>
      <w:r w:rsidRPr="00B369EB">
        <w:t>Plantago</w:t>
      </w:r>
      <w:proofErr w:type="spellEnd"/>
      <w:r w:rsidRPr="00B369EB">
        <w:t xml:space="preserve"> </w:t>
      </w:r>
      <w:proofErr w:type="spellStart"/>
      <w:r w:rsidRPr="00B369EB">
        <w:t>lanceolata</w:t>
      </w:r>
      <w:proofErr w:type="spellEnd"/>
      <w:r w:rsidRPr="00B369EB">
        <w:t xml:space="preserve"> L.) y achicoria (</w:t>
      </w:r>
      <w:proofErr w:type="spellStart"/>
      <w:r w:rsidRPr="00B369EB">
        <w:t>Cichorium</w:t>
      </w:r>
      <w:proofErr w:type="spellEnd"/>
      <w:r w:rsidRPr="00B369EB">
        <w:t xml:space="preserve"> </w:t>
      </w:r>
      <w:proofErr w:type="spellStart"/>
      <w:r w:rsidRPr="00B369EB">
        <w:t>intybus</w:t>
      </w:r>
      <w:proofErr w:type="spellEnd"/>
      <w:r w:rsidRPr="00B369EB">
        <w:t xml:space="preserve"> L.) para uso forrajero ha hecho necesario redactar directrices de examen nacionales y adaptar las directrices de examen de la UPOV existentes. La directriz de examen de la UPOV para la achicoria se redactó para determinados tipos de variedades, pero se utiliza a escala nacional para distintos tipos de variedades. Las modificaciones nacionales de los caracteres pueden proponerse para su consideración a un nivel más amplio de la UPOV, a fin de que la directriz de examen de la UPOV para la achicoria incluya caracteres y niveles de expresión más adecuados para las variedades forrajeras. Es probable que el aumento de la gama de especies forrajeras esté influido por el objetivo de la industria de reducir la producción de metano del ganado.</w:t>
      </w:r>
    </w:p>
    <w:p w14:paraId="3BC38694" w14:textId="77777777" w:rsidR="009366AF" w:rsidRPr="00B369EB" w:rsidRDefault="009366AF" w:rsidP="009366AF"/>
    <w:p w14:paraId="570EA8A4" w14:textId="77777777" w:rsidR="007F2C3D" w:rsidRPr="00B369EB" w:rsidRDefault="001C673E">
      <w:r w:rsidRPr="00B369EB">
        <w:t xml:space="preserve">El primer ensayo DHE en Nueva Zelandia de una variedad de hongo </w:t>
      </w:r>
      <w:proofErr w:type="spellStart"/>
      <w:r w:rsidRPr="00B369EB">
        <w:t>Rochefort</w:t>
      </w:r>
      <w:proofErr w:type="spellEnd"/>
      <w:r w:rsidRPr="00B369EB">
        <w:t xml:space="preserve"> (</w:t>
      </w:r>
      <w:proofErr w:type="spellStart"/>
      <w:r w:rsidRPr="00B369EB">
        <w:t>Penicillium</w:t>
      </w:r>
      <w:proofErr w:type="spellEnd"/>
      <w:r w:rsidRPr="00B369EB">
        <w:t xml:space="preserve"> </w:t>
      </w:r>
      <w:proofErr w:type="spellStart"/>
      <w:r w:rsidRPr="00B369EB">
        <w:t>roqueforti</w:t>
      </w:r>
      <w:proofErr w:type="spellEnd"/>
      <w:r w:rsidRPr="00B369EB">
        <w:t xml:space="preserve"> Thom.) se llevará a cabo a finales de 2024. La solicitud ha requerido una investigación considerable en relación con el método de examen DHE y la identificación de cualquier variedad similar. La cooperación del obtentor ha sido importante en el desarrollo del examen DHE y en el examen general.</w:t>
      </w:r>
    </w:p>
    <w:p w14:paraId="6868835A" w14:textId="77777777" w:rsidR="009366AF" w:rsidRPr="00B369EB" w:rsidRDefault="009366AF" w:rsidP="009366AF"/>
    <w:p w14:paraId="0C84037E" w14:textId="77777777" w:rsidR="001F63A8" w:rsidRPr="00B369EB" w:rsidRDefault="001F63A8" w:rsidP="009366AF"/>
    <w:p w14:paraId="3F86AC8D" w14:textId="77777777" w:rsidR="001F63A8" w:rsidRPr="00B369EB" w:rsidRDefault="001F63A8" w:rsidP="001F63A8"/>
    <w:p w14:paraId="2C966468" w14:textId="77777777" w:rsidR="007F2C3D" w:rsidRPr="00B369EB" w:rsidRDefault="001C673E">
      <w:pPr>
        <w:jc w:val="right"/>
      </w:pPr>
      <w:r w:rsidRPr="00B369EB">
        <w:t xml:space="preserve">[Sigue el Anexo </w:t>
      </w:r>
      <w:r w:rsidR="00B737B1" w:rsidRPr="00B369EB">
        <w:t>VI</w:t>
      </w:r>
      <w:r w:rsidRPr="00B369EB">
        <w:t>]</w:t>
      </w:r>
    </w:p>
    <w:p w14:paraId="2096B2B0" w14:textId="77777777" w:rsidR="001F63A8" w:rsidRPr="00B369EB" w:rsidRDefault="001F63A8" w:rsidP="001F63A8"/>
    <w:p w14:paraId="5051D9A9" w14:textId="77777777" w:rsidR="001F63A8" w:rsidRPr="00B369EB" w:rsidRDefault="001F63A8" w:rsidP="001F63A8"/>
    <w:p w14:paraId="6F180C6C" w14:textId="77777777" w:rsidR="001F63A8" w:rsidRPr="00B369EB" w:rsidRDefault="001F63A8" w:rsidP="001F63A8">
      <w:pPr>
        <w:jc w:val="center"/>
        <w:sectPr w:rsidR="001F63A8" w:rsidRPr="00B369EB" w:rsidSect="000B2CE0">
          <w:headerReference w:type="default" r:id="rId27"/>
          <w:pgSz w:w="11907" w:h="16840" w:code="9"/>
          <w:pgMar w:top="510" w:right="1134" w:bottom="568" w:left="1134" w:header="510" w:footer="680" w:gutter="0"/>
          <w:pgNumType w:start="1"/>
          <w:cols w:space="720"/>
          <w:titlePg/>
        </w:sectPr>
      </w:pPr>
    </w:p>
    <w:p w14:paraId="08A177E2" w14:textId="77777777" w:rsidR="007F2C3D" w:rsidRPr="00B369EB" w:rsidRDefault="001C673E">
      <w:pPr>
        <w:jc w:val="center"/>
      </w:pPr>
      <w:r w:rsidRPr="00B369EB">
        <w:lastRenderedPageBreak/>
        <w:t>C/58/13</w:t>
      </w:r>
    </w:p>
    <w:p w14:paraId="3580DB44" w14:textId="77777777" w:rsidR="001F63A8" w:rsidRPr="00B369EB" w:rsidRDefault="001F63A8" w:rsidP="001F63A8">
      <w:pPr>
        <w:jc w:val="center"/>
      </w:pPr>
    </w:p>
    <w:p w14:paraId="2B688217" w14:textId="77777777" w:rsidR="007F2C3D" w:rsidRPr="00B369EB" w:rsidRDefault="001C673E">
      <w:pPr>
        <w:jc w:val="center"/>
      </w:pPr>
      <w:r w:rsidRPr="00B369EB">
        <w:t xml:space="preserve">ANEXO </w:t>
      </w:r>
      <w:r w:rsidR="00C2720B" w:rsidRPr="00B369EB">
        <w:t>VI</w:t>
      </w:r>
    </w:p>
    <w:p w14:paraId="635383A5" w14:textId="77777777" w:rsidR="001F63A8" w:rsidRPr="00B369EB" w:rsidRDefault="001F63A8" w:rsidP="001F63A8">
      <w:pPr>
        <w:jc w:val="center"/>
      </w:pPr>
    </w:p>
    <w:p w14:paraId="15EE423C" w14:textId="77777777" w:rsidR="001F63A8" w:rsidRPr="00B369EB" w:rsidRDefault="001F63A8" w:rsidP="001F63A8">
      <w:pPr>
        <w:jc w:val="center"/>
      </w:pPr>
    </w:p>
    <w:p w14:paraId="706FC3D9" w14:textId="77777777" w:rsidR="007F2C3D" w:rsidRPr="00B369EB" w:rsidRDefault="001C673E">
      <w:pPr>
        <w:jc w:val="center"/>
      </w:pPr>
      <w:r w:rsidRPr="00B369EB">
        <w:t>POLONIA</w:t>
      </w:r>
    </w:p>
    <w:p w14:paraId="0AB943B0" w14:textId="77777777" w:rsidR="001F63A8" w:rsidRPr="00B369EB" w:rsidRDefault="001F63A8" w:rsidP="001F63A8">
      <w:pPr>
        <w:jc w:val="center"/>
      </w:pPr>
    </w:p>
    <w:p w14:paraId="00666120" w14:textId="77777777" w:rsidR="007F2C3D" w:rsidRPr="00B369EB" w:rsidRDefault="001C673E">
      <w:pPr>
        <w:tabs>
          <w:tab w:val="left" w:pos="4962"/>
        </w:tabs>
        <w:jc w:val="center"/>
        <w:rPr>
          <w:rFonts w:cs="Arial"/>
        </w:rPr>
      </w:pPr>
      <w:r w:rsidRPr="00B369EB">
        <w:rPr>
          <w:rFonts w:cs="Arial"/>
        </w:rPr>
        <w:t>Periodo: 1 de septiembre de 2023 - 30 de agosto de 2024</w:t>
      </w:r>
    </w:p>
    <w:p w14:paraId="72A8C637" w14:textId="77777777" w:rsidR="00BC5748" w:rsidRPr="00B369EB" w:rsidRDefault="00BC5748" w:rsidP="00BC5748">
      <w:pPr>
        <w:tabs>
          <w:tab w:val="left" w:pos="4962"/>
        </w:tabs>
        <w:jc w:val="center"/>
        <w:rPr>
          <w:rFonts w:cs="Arial"/>
        </w:rPr>
      </w:pPr>
    </w:p>
    <w:p w14:paraId="4FC911A9" w14:textId="77777777" w:rsidR="00BC5748" w:rsidRPr="00B369EB" w:rsidRDefault="00BC5748" w:rsidP="00BC5748">
      <w:pPr>
        <w:tabs>
          <w:tab w:val="left" w:pos="4962"/>
        </w:tabs>
        <w:jc w:val="center"/>
        <w:rPr>
          <w:rFonts w:cs="Arial"/>
        </w:rPr>
      </w:pPr>
    </w:p>
    <w:p w14:paraId="6FB754FC" w14:textId="77777777" w:rsidR="007F2C3D" w:rsidRPr="00B369EB" w:rsidRDefault="001C673E">
      <w:pPr>
        <w:pStyle w:val="Heading1"/>
        <w:rPr>
          <w:lang w:val="es-ES_tradnl"/>
        </w:rPr>
      </w:pPr>
      <w:r w:rsidRPr="00B369EB">
        <w:rPr>
          <w:lang w:val="es-ES_tradnl"/>
        </w:rPr>
        <w:t>I.</w:t>
      </w:r>
      <w:r w:rsidRPr="00B369EB">
        <w:rPr>
          <w:lang w:val="es-ES_tradnl"/>
        </w:rPr>
        <w:tab/>
        <w:t>PROTECCIÓN DE LAS OBTENCIONES VEGETALES</w:t>
      </w:r>
    </w:p>
    <w:p w14:paraId="67444A85" w14:textId="77777777" w:rsidR="00BC5748" w:rsidRPr="00B369EB" w:rsidRDefault="00BC5748" w:rsidP="00BC5748">
      <w:pPr>
        <w:tabs>
          <w:tab w:val="left" w:pos="4962"/>
        </w:tabs>
        <w:rPr>
          <w:rFonts w:cs="Arial"/>
          <w:u w:val="single"/>
        </w:rPr>
      </w:pPr>
    </w:p>
    <w:p w14:paraId="41EBBDA3" w14:textId="77777777" w:rsidR="007F2C3D" w:rsidRPr="00B369EB" w:rsidRDefault="001C673E">
      <w:pPr>
        <w:tabs>
          <w:tab w:val="left" w:pos="567"/>
          <w:tab w:val="left" w:pos="4962"/>
        </w:tabs>
        <w:rPr>
          <w:rFonts w:cs="Arial"/>
          <w:u w:val="single"/>
        </w:rPr>
      </w:pPr>
      <w:r w:rsidRPr="00B369EB">
        <w:rPr>
          <w:rFonts w:cs="Arial"/>
        </w:rPr>
        <w:t>1.</w:t>
      </w:r>
      <w:r w:rsidRPr="00B369EB">
        <w:rPr>
          <w:rFonts w:cs="Arial"/>
        </w:rPr>
        <w:tab/>
      </w:r>
      <w:r w:rsidRPr="00B369EB">
        <w:rPr>
          <w:rFonts w:cs="Arial"/>
          <w:u w:val="single"/>
        </w:rPr>
        <w:t>Situación en el ámbito legislativo</w:t>
      </w:r>
    </w:p>
    <w:p w14:paraId="0BD6F095" w14:textId="77777777" w:rsidR="00BC5748" w:rsidRPr="00B369EB" w:rsidRDefault="00BC5748" w:rsidP="00BC5748">
      <w:pPr>
        <w:tabs>
          <w:tab w:val="left" w:pos="4962"/>
        </w:tabs>
        <w:rPr>
          <w:rFonts w:cs="Arial"/>
        </w:rPr>
      </w:pPr>
    </w:p>
    <w:p w14:paraId="4FD839DA" w14:textId="77777777" w:rsidR="007F2C3D" w:rsidRPr="00B369EB" w:rsidRDefault="001C673E">
      <w:r w:rsidRPr="00B369EB">
        <w:t xml:space="preserve">La Ley de 26 de junio de 2003 sobre la protección jurídica de las obtenciones vegetales (texto consolidado: DO de 2021, punto 213) constituye la base jurídica del sistema nacional de protección de los derechos de obtentor en Polonia. </w:t>
      </w:r>
    </w:p>
    <w:p w14:paraId="3530431A" w14:textId="77777777" w:rsidR="00BC5748" w:rsidRPr="00B369EB" w:rsidRDefault="00BC5748" w:rsidP="00BC5748"/>
    <w:p w14:paraId="178B0D4C" w14:textId="77777777" w:rsidR="007F2C3D" w:rsidRPr="00B369EB" w:rsidRDefault="001C673E">
      <w:r w:rsidRPr="00B369EB">
        <w:t>La ley polaca de protección de las obtenciones vegetales se basa en el Acta de 1991 del Convenio de la UPOV.  Desde el 1 de noviembre de 2000, todos los géneros y especies vegetales pueden acogerse a la protección del derecho de obtentor en Polonia.</w:t>
      </w:r>
    </w:p>
    <w:p w14:paraId="4C89CFB6" w14:textId="77777777" w:rsidR="00BC5748" w:rsidRPr="00B369EB" w:rsidRDefault="00BC5748" w:rsidP="00BC5748"/>
    <w:p w14:paraId="5DF24E4F" w14:textId="13869D3A" w:rsidR="007F2C3D" w:rsidRPr="00B369EB" w:rsidRDefault="001C673E">
      <w:r w:rsidRPr="00B369EB">
        <w:t>En lo que respecta a las tasas, está en vigor el Decreto del Ministro de Agricultura y Desarrollo Rural de 17</w:t>
      </w:r>
      <w:r w:rsidR="004E1AB4">
        <w:t> </w:t>
      </w:r>
      <w:r w:rsidRPr="00B369EB">
        <w:t>de</w:t>
      </w:r>
      <w:r w:rsidR="004E1AB4">
        <w:t> </w:t>
      </w:r>
      <w:r w:rsidRPr="00B369EB">
        <w:t xml:space="preserve">febrero de 2004 sobre las tasas para la presentación de una solicitud de protección de los derechos de obtentor, el examen DHE, así como para la concesión y el mantenimiento de los títulos de derecho exclusivo </w:t>
      </w:r>
      <w:hyperlink r:id="rId28" w:tgtFrame="_blank" w:history="1">
        <w:r w:rsidRPr="00B369EB">
          <w:t xml:space="preserve">(DO </w:t>
        </w:r>
        <w:proofErr w:type="spellStart"/>
        <w:r w:rsidRPr="00B369EB">
          <w:t>nº</w:t>
        </w:r>
        <w:proofErr w:type="spellEnd"/>
        <w:r w:rsidRPr="00B369EB">
          <w:t xml:space="preserve"> 60 de 2004, punto 567</w:t>
        </w:r>
      </w:hyperlink>
      <w:r w:rsidRPr="00B369EB">
        <w:t xml:space="preserve">; DO </w:t>
      </w:r>
      <w:hyperlink r:id="rId29" w:tgtFrame="_blank" w:history="1">
        <w:r w:rsidRPr="00B369EB">
          <w:t>de 2015, punto 2166)</w:t>
        </w:r>
      </w:hyperlink>
      <w:r w:rsidRPr="00B369EB">
        <w:t>.</w:t>
      </w:r>
    </w:p>
    <w:p w14:paraId="33B31AB2" w14:textId="77777777" w:rsidR="00BC5748" w:rsidRPr="00B369EB" w:rsidRDefault="00BC5748" w:rsidP="00BC5748"/>
    <w:p w14:paraId="7913EB03" w14:textId="77777777" w:rsidR="007F2C3D" w:rsidRPr="00B369EB" w:rsidRDefault="001C673E">
      <w:r w:rsidRPr="00B369EB">
        <w:t>Polonia se convirtió en miembro de la UPOV el 11 de noviembre de 1989 y se adhirió al Acta de 1991 del Convenio de la UPOV como vigésimo cuarto Estado, el 15 de agosto de 2003.</w:t>
      </w:r>
    </w:p>
    <w:p w14:paraId="0C2BD5D1" w14:textId="77777777" w:rsidR="00BC5748" w:rsidRPr="00B369EB" w:rsidRDefault="00BC5748" w:rsidP="00BC5748"/>
    <w:p w14:paraId="08B672FE" w14:textId="77777777" w:rsidR="00BC5748" w:rsidRPr="00B369EB" w:rsidRDefault="00BC5748" w:rsidP="00BC5748"/>
    <w:p w14:paraId="5A66395D" w14:textId="77777777" w:rsidR="007F2C3D" w:rsidRPr="00B369EB" w:rsidRDefault="001C673E">
      <w:pPr>
        <w:tabs>
          <w:tab w:val="left" w:pos="567"/>
          <w:tab w:val="left" w:pos="4962"/>
        </w:tabs>
        <w:rPr>
          <w:rFonts w:cs="Arial"/>
          <w:u w:val="single"/>
        </w:rPr>
      </w:pPr>
      <w:r w:rsidRPr="00B369EB">
        <w:rPr>
          <w:rFonts w:cs="Arial"/>
        </w:rPr>
        <w:t>2.</w:t>
      </w:r>
      <w:r w:rsidRPr="00B369EB">
        <w:rPr>
          <w:rFonts w:cs="Arial"/>
        </w:rPr>
        <w:tab/>
      </w:r>
      <w:r w:rsidRPr="00B369EB">
        <w:rPr>
          <w:rFonts w:cs="Arial"/>
          <w:u w:val="single"/>
        </w:rPr>
        <w:t>Cooperación en el examen</w:t>
      </w:r>
    </w:p>
    <w:p w14:paraId="1EB37C61" w14:textId="77777777" w:rsidR="00BC5748" w:rsidRPr="00B369EB" w:rsidRDefault="00BC5748" w:rsidP="00BC5748">
      <w:pPr>
        <w:tabs>
          <w:tab w:val="left" w:pos="4962"/>
        </w:tabs>
        <w:rPr>
          <w:rFonts w:cs="Arial"/>
          <w:highlight w:val="yellow"/>
        </w:rPr>
      </w:pPr>
    </w:p>
    <w:p w14:paraId="66B755AD" w14:textId="77777777" w:rsidR="007F2C3D" w:rsidRPr="00B369EB" w:rsidRDefault="001C673E">
      <w:pPr>
        <w:tabs>
          <w:tab w:val="left" w:pos="4962"/>
        </w:tabs>
        <w:rPr>
          <w:rFonts w:cs="Arial"/>
          <w:color w:val="000000"/>
        </w:rPr>
      </w:pPr>
      <w:r w:rsidRPr="00B369EB">
        <w:rPr>
          <w:rFonts w:cs="Arial"/>
          <w:color w:val="000000"/>
        </w:rPr>
        <w:t xml:space="preserve">El Centro de Investigación para el Ensayo de Cultivares (COBORU) de </w:t>
      </w:r>
      <w:proofErr w:type="spellStart"/>
      <w:r w:rsidRPr="00B369EB">
        <w:rPr>
          <w:rFonts w:cs="Arial"/>
          <w:color w:val="000000"/>
        </w:rPr>
        <w:t>Słupia</w:t>
      </w:r>
      <w:proofErr w:type="spellEnd"/>
      <w:r w:rsidRPr="00B369EB">
        <w:rPr>
          <w:rFonts w:cs="Arial"/>
          <w:color w:val="000000"/>
        </w:rPr>
        <w:t xml:space="preserve"> </w:t>
      </w:r>
      <w:proofErr w:type="spellStart"/>
      <w:r w:rsidRPr="00B369EB">
        <w:rPr>
          <w:rFonts w:cs="Arial"/>
          <w:color w:val="000000"/>
        </w:rPr>
        <w:t>Wielka</w:t>
      </w:r>
      <w:proofErr w:type="spellEnd"/>
      <w:r w:rsidRPr="00B369EB">
        <w:rPr>
          <w:rFonts w:cs="Arial"/>
          <w:color w:val="000000"/>
        </w:rPr>
        <w:t xml:space="preserve"> prosigue su cooperación en materia de examen técnico con distintos países.</w:t>
      </w:r>
    </w:p>
    <w:p w14:paraId="225EAFC8" w14:textId="77777777" w:rsidR="00BC5748" w:rsidRPr="00B369EB" w:rsidRDefault="00BC5748" w:rsidP="00BC5748">
      <w:pPr>
        <w:tabs>
          <w:tab w:val="left" w:pos="4962"/>
        </w:tabs>
        <w:rPr>
          <w:rFonts w:cs="Arial"/>
        </w:rPr>
      </w:pPr>
    </w:p>
    <w:p w14:paraId="258A4EA5" w14:textId="77777777" w:rsidR="007F2C3D" w:rsidRPr="00B369EB" w:rsidRDefault="001C673E">
      <w:pPr>
        <w:tabs>
          <w:tab w:val="left" w:pos="4962"/>
        </w:tabs>
        <w:rPr>
          <w:rFonts w:cs="Arial"/>
        </w:rPr>
      </w:pPr>
      <w:r w:rsidRPr="00B369EB">
        <w:rPr>
          <w:rFonts w:cs="Arial"/>
        </w:rPr>
        <w:t xml:space="preserve">Hemos firmado acuerdos bilaterales sobre el examen DHE con la República Checa, Hungría y Eslovaquia. Están en vigor acuerdos unilaterales con Estonia, Letonia, Lituania, Rumania, Eslovenia y Ucrania. </w:t>
      </w:r>
    </w:p>
    <w:p w14:paraId="45F7D241" w14:textId="77777777" w:rsidR="00BC5748" w:rsidRPr="00B369EB" w:rsidRDefault="00BC5748" w:rsidP="00BC5748">
      <w:pPr>
        <w:tabs>
          <w:tab w:val="left" w:pos="4962"/>
        </w:tabs>
        <w:rPr>
          <w:rFonts w:cs="Arial"/>
          <w:color w:val="000000" w:themeColor="text1"/>
        </w:rPr>
      </w:pPr>
    </w:p>
    <w:p w14:paraId="4F49D7F0" w14:textId="338E8BD3" w:rsidR="007F2C3D" w:rsidRPr="00B369EB" w:rsidRDefault="001C673E">
      <w:pPr>
        <w:tabs>
          <w:tab w:val="left" w:pos="4962"/>
        </w:tabs>
        <w:rPr>
          <w:rFonts w:cs="Arial"/>
          <w:color w:val="000000" w:themeColor="text1"/>
        </w:rPr>
      </w:pPr>
      <w:r w:rsidRPr="00B369EB">
        <w:rPr>
          <w:rFonts w:cs="Arial"/>
          <w:color w:val="000000" w:themeColor="text1"/>
        </w:rPr>
        <w:t xml:space="preserve">En el período objeto del informe, Polonia realizó exámenes DHE para las autoridades de los siguientes países: Austria (7 variedades), Bélgica (1 variedad), </w:t>
      </w:r>
      <w:r w:rsidRPr="00B369EB">
        <w:rPr>
          <w:rFonts w:cs="Arial"/>
        </w:rPr>
        <w:t xml:space="preserve">Croacia </w:t>
      </w:r>
      <w:r w:rsidRPr="00B369EB">
        <w:rPr>
          <w:rFonts w:cs="Arial"/>
          <w:color w:val="000000" w:themeColor="text1"/>
        </w:rPr>
        <w:t>(5 variedades), República Checa (6 variedades), Dinamarca (8 variedades), Estonia (8 variedades), Finlandia (1 variedad), Francia (1 variedad), Alemania (1</w:t>
      </w:r>
      <w:r w:rsidR="004E1AB4">
        <w:rPr>
          <w:rFonts w:cs="Arial"/>
          <w:color w:val="000000" w:themeColor="text1"/>
        </w:rPr>
        <w:t> </w:t>
      </w:r>
      <w:r w:rsidRPr="00B369EB">
        <w:rPr>
          <w:rFonts w:cs="Arial"/>
          <w:color w:val="000000" w:themeColor="text1"/>
        </w:rPr>
        <w:t>variedad), Hungría (19 variedades), Letonia (13 variedades), Lituania (85 variedades), Noruega (3</w:t>
      </w:r>
      <w:r w:rsidR="004E1AB4">
        <w:rPr>
          <w:rFonts w:cs="Arial"/>
          <w:color w:val="000000" w:themeColor="text1"/>
        </w:rPr>
        <w:t> </w:t>
      </w:r>
      <w:r w:rsidRPr="00B369EB">
        <w:rPr>
          <w:rFonts w:cs="Arial"/>
          <w:color w:val="000000" w:themeColor="text1"/>
        </w:rPr>
        <w:t>variedades), Países Bajos (Reino de) (4 variedades), Eslovaquia (1 variedad), Eslovenia (5 variedades), Suecia (1 variedad), Suiza (26 variedades), Reino Unido (6 variedades), así como para la OCVV (65</w:t>
      </w:r>
      <w:r w:rsidR="004E1AB4">
        <w:rPr>
          <w:rFonts w:cs="Arial"/>
          <w:color w:val="000000" w:themeColor="text1"/>
        </w:rPr>
        <w:t> </w:t>
      </w:r>
      <w:r w:rsidRPr="00B369EB">
        <w:rPr>
          <w:rFonts w:cs="Arial"/>
          <w:color w:val="000000" w:themeColor="text1"/>
        </w:rPr>
        <w:t>variedades).</w:t>
      </w:r>
    </w:p>
    <w:p w14:paraId="5EEDE13C" w14:textId="77777777" w:rsidR="00BC5748" w:rsidRPr="00B369EB" w:rsidRDefault="00BC5748" w:rsidP="00BC5748">
      <w:pPr>
        <w:tabs>
          <w:tab w:val="left" w:pos="4962"/>
        </w:tabs>
        <w:rPr>
          <w:rFonts w:cs="Arial"/>
          <w:color w:val="000000" w:themeColor="text1"/>
        </w:rPr>
      </w:pPr>
    </w:p>
    <w:p w14:paraId="66E6ACD6" w14:textId="7F0660EF" w:rsidR="007F2C3D" w:rsidRPr="00B369EB" w:rsidRDefault="001C673E">
      <w:pPr>
        <w:tabs>
          <w:tab w:val="left" w:pos="4962"/>
        </w:tabs>
        <w:rPr>
          <w:rFonts w:cs="Arial"/>
          <w:color w:val="000000" w:themeColor="text1"/>
        </w:rPr>
      </w:pPr>
      <w:r w:rsidRPr="00B369EB">
        <w:rPr>
          <w:rFonts w:cs="Arial"/>
          <w:color w:val="000000" w:themeColor="text1"/>
        </w:rPr>
        <w:t>Estas pruebas se realizaron para las diferentes especies de plantas agrícolas (161 variedades), hortícolas (30</w:t>
      </w:r>
      <w:r w:rsidR="004E1AB4">
        <w:rPr>
          <w:rFonts w:cs="Arial"/>
          <w:color w:val="000000" w:themeColor="text1"/>
        </w:rPr>
        <w:t> </w:t>
      </w:r>
      <w:r w:rsidRPr="00B369EB">
        <w:rPr>
          <w:rFonts w:cs="Arial"/>
          <w:color w:val="000000" w:themeColor="text1"/>
        </w:rPr>
        <w:t xml:space="preserve">variedades), ornamentales (44 variedades) y frutales (31 variedades). </w:t>
      </w:r>
    </w:p>
    <w:p w14:paraId="3A81791D" w14:textId="77777777" w:rsidR="00BC5748" w:rsidRPr="00B369EB" w:rsidRDefault="00BC5748" w:rsidP="00BC5748">
      <w:pPr>
        <w:tabs>
          <w:tab w:val="left" w:pos="4962"/>
        </w:tabs>
        <w:rPr>
          <w:rFonts w:cs="Arial"/>
          <w:color w:val="000000" w:themeColor="text1"/>
        </w:rPr>
      </w:pPr>
    </w:p>
    <w:p w14:paraId="1410328B" w14:textId="77777777" w:rsidR="007F2C3D" w:rsidRPr="00B369EB" w:rsidRDefault="001C673E">
      <w:pPr>
        <w:tabs>
          <w:tab w:val="left" w:pos="4962"/>
        </w:tabs>
        <w:rPr>
          <w:rFonts w:cs="Arial"/>
          <w:color w:val="000000" w:themeColor="text1"/>
        </w:rPr>
      </w:pPr>
      <w:r w:rsidRPr="00B369EB">
        <w:rPr>
          <w:rFonts w:cs="Arial"/>
          <w:color w:val="000000" w:themeColor="text1"/>
        </w:rPr>
        <w:t>En total, se examinaron 266 variedades por encargo de las autoridades mencionadas.</w:t>
      </w:r>
    </w:p>
    <w:p w14:paraId="4C6FAC47" w14:textId="77777777" w:rsidR="00BC5748" w:rsidRPr="00B369EB" w:rsidRDefault="00BC5748" w:rsidP="00BC5748">
      <w:pPr>
        <w:tabs>
          <w:tab w:val="left" w:pos="4962"/>
        </w:tabs>
        <w:rPr>
          <w:rFonts w:cs="Arial"/>
        </w:rPr>
      </w:pPr>
    </w:p>
    <w:p w14:paraId="7330F8F4" w14:textId="77777777" w:rsidR="007F2C3D" w:rsidRPr="00B369EB" w:rsidRDefault="001C673E">
      <w:pPr>
        <w:tabs>
          <w:tab w:val="left" w:pos="4962"/>
        </w:tabs>
        <w:rPr>
          <w:rFonts w:cs="Arial"/>
        </w:rPr>
      </w:pPr>
      <w:r w:rsidRPr="00B369EB">
        <w:rPr>
          <w:rFonts w:cs="Arial"/>
        </w:rPr>
        <w:t>Como en años anteriores, algunas autoridades, a saber, Austria, Bosnia y Herzegovina, Canadá, OCVV, República Checa, Dinamarca, Estonia, Francia, Irlanda, Japón, Lituania, Noruega, Rumania, Serbia, Eslovenia, Suiza, Türkiye y Reino Unido, tomaron los resultados de los exámenes técnicos del COBORU para basar sus decisiones en sus propios procedimientos.</w:t>
      </w:r>
    </w:p>
    <w:p w14:paraId="38CBAEB0" w14:textId="77777777" w:rsidR="00BC5748" w:rsidRPr="00B369EB" w:rsidRDefault="00BC5748" w:rsidP="00BC5748">
      <w:pPr>
        <w:tabs>
          <w:tab w:val="left" w:pos="4962"/>
        </w:tabs>
        <w:rPr>
          <w:rFonts w:cs="Arial"/>
        </w:rPr>
      </w:pPr>
    </w:p>
    <w:p w14:paraId="78F96E20" w14:textId="77777777" w:rsidR="007F2C3D" w:rsidRPr="00B369EB" w:rsidRDefault="001C673E">
      <w:pPr>
        <w:tabs>
          <w:tab w:val="left" w:pos="4962"/>
        </w:tabs>
        <w:rPr>
          <w:rFonts w:cs="Arial"/>
        </w:rPr>
      </w:pPr>
      <w:r w:rsidRPr="00B369EB">
        <w:rPr>
          <w:rFonts w:cs="Arial"/>
        </w:rPr>
        <w:t>Polonia participó activamente en los trabajos de elaboración de los protocolos técnicos durante las reuniones organizadas por la OCVV.</w:t>
      </w:r>
    </w:p>
    <w:p w14:paraId="1402B9D0" w14:textId="77777777" w:rsidR="00BC5748" w:rsidRPr="00B369EB" w:rsidRDefault="00BC5748" w:rsidP="00BC5748">
      <w:pPr>
        <w:tabs>
          <w:tab w:val="left" w:pos="4962"/>
        </w:tabs>
        <w:rPr>
          <w:rFonts w:cs="Arial"/>
        </w:rPr>
      </w:pPr>
    </w:p>
    <w:p w14:paraId="479F2186" w14:textId="77777777" w:rsidR="00BC5748" w:rsidRPr="00B369EB" w:rsidRDefault="00BC5748" w:rsidP="00BC5748">
      <w:pPr>
        <w:tabs>
          <w:tab w:val="left" w:pos="4962"/>
        </w:tabs>
        <w:rPr>
          <w:rFonts w:cs="Arial"/>
          <w:highlight w:val="yellow"/>
        </w:rPr>
      </w:pPr>
    </w:p>
    <w:p w14:paraId="3ED5FE07" w14:textId="77777777" w:rsidR="007F2C3D" w:rsidRPr="00B369EB" w:rsidRDefault="001C673E">
      <w:pPr>
        <w:tabs>
          <w:tab w:val="left" w:pos="567"/>
        </w:tabs>
        <w:rPr>
          <w:rFonts w:cs="Arial"/>
          <w:u w:val="single"/>
        </w:rPr>
      </w:pPr>
      <w:r w:rsidRPr="00B369EB">
        <w:rPr>
          <w:rFonts w:cs="Arial"/>
        </w:rPr>
        <w:t>3. y 4.</w:t>
      </w:r>
      <w:r w:rsidRPr="00B369EB">
        <w:rPr>
          <w:rFonts w:cs="Arial"/>
        </w:rPr>
        <w:tab/>
      </w:r>
      <w:r w:rsidRPr="00B369EB">
        <w:rPr>
          <w:rFonts w:cs="Arial"/>
          <w:u w:val="single"/>
        </w:rPr>
        <w:t>Situación en los ámbitos administrativo y técnico</w:t>
      </w:r>
    </w:p>
    <w:p w14:paraId="327F1F0C" w14:textId="77777777" w:rsidR="00BC5748" w:rsidRPr="00B369EB" w:rsidRDefault="00BC5748" w:rsidP="00BC5748">
      <w:pPr>
        <w:tabs>
          <w:tab w:val="left" w:pos="567"/>
          <w:tab w:val="left" w:pos="4962"/>
        </w:tabs>
        <w:rPr>
          <w:rFonts w:cs="Arial"/>
          <w:u w:val="single"/>
        </w:rPr>
      </w:pPr>
    </w:p>
    <w:p w14:paraId="51D6D44B" w14:textId="77777777" w:rsidR="007F2C3D" w:rsidRPr="00B369EB" w:rsidRDefault="001C673E">
      <w:pPr>
        <w:rPr>
          <w:rFonts w:cs="Arial"/>
        </w:rPr>
      </w:pPr>
      <w:r w:rsidRPr="00B369EB">
        <w:rPr>
          <w:rFonts w:cs="Arial"/>
        </w:rPr>
        <w:t>La actividad de examen de variedades del COBORU en el ámbito del DHE se lleva a cabo en 13 estaciones experimentales de examen de variedades diferentes situadas por todo el país.</w:t>
      </w:r>
    </w:p>
    <w:p w14:paraId="399B1F48" w14:textId="77777777" w:rsidR="00BC5748" w:rsidRPr="00B369EB" w:rsidRDefault="00BC5748" w:rsidP="00BC5748">
      <w:pPr>
        <w:rPr>
          <w:rFonts w:cs="Arial"/>
          <w:highlight w:val="yellow"/>
        </w:rPr>
      </w:pPr>
    </w:p>
    <w:p w14:paraId="0F0BE56D" w14:textId="77777777" w:rsidR="007F2C3D" w:rsidRPr="00B369EB" w:rsidRDefault="001C673E">
      <w:pPr>
        <w:tabs>
          <w:tab w:val="left" w:pos="567"/>
          <w:tab w:val="left" w:pos="4962"/>
        </w:tabs>
        <w:rPr>
          <w:rFonts w:cs="Arial"/>
        </w:rPr>
      </w:pPr>
      <w:r w:rsidRPr="00B369EB">
        <w:rPr>
          <w:rFonts w:cs="Arial"/>
        </w:rPr>
        <w:lastRenderedPageBreak/>
        <w:t xml:space="preserve">En 2023, se examinaron 11 461 variedades dentro de 197 especies vegetales (que incluían 10 247 variedades de la colección de referencia viva y 1214 variedades candidatas). </w:t>
      </w:r>
    </w:p>
    <w:p w14:paraId="566D3906" w14:textId="77777777" w:rsidR="00BC5748" w:rsidRPr="00B369EB" w:rsidRDefault="00BC5748" w:rsidP="00BC5748">
      <w:pPr>
        <w:tabs>
          <w:tab w:val="left" w:pos="567"/>
          <w:tab w:val="left" w:pos="4962"/>
        </w:tabs>
        <w:rPr>
          <w:rFonts w:cs="Arial"/>
        </w:rPr>
      </w:pPr>
    </w:p>
    <w:p w14:paraId="37317E63" w14:textId="77777777" w:rsidR="007F2C3D" w:rsidRPr="00B369EB" w:rsidRDefault="001C673E">
      <w:pPr>
        <w:keepNext/>
        <w:tabs>
          <w:tab w:val="left" w:pos="567"/>
          <w:tab w:val="left" w:pos="4962"/>
        </w:tabs>
        <w:rPr>
          <w:rFonts w:cs="Arial"/>
        </w:rPr>
      </w:pPr>
      <w:r w:rsidRPr="00B369EB">
        <w:rPr>
          <w:rFonts w:cs="Arial"/>
        </w:rPr>
        <w:t>El número de variedades examinadas en Polonia, por sector vegetal, se muestra en el siguiente gráfico.</w:t>
      </w:r>
    </w:p>
    <w:p w14:paraId="00CA6254" w14:textId="77777777" w:rsidR="00BC5748" w:rsidRPr="00B369EB" w:rsidRDefault="00BC5748" w:rsidP="00BC5748">
      <w:pPr>
        <w:keepNext/>
        <w:tabs>
          <w:tab w:val="left" w:pos="567"/>
          <w:tab w:val="left" w:pos="4962"/>
        </w:tabs>
        <w:rPr>
          <w:rFonts w:cs="Arial"/>
        </w:rPr>
      </w:pPr>
    </w:p>
    <w:p w14:paraId="6F2AD321" w14:textId="77777777" w:rsidR="007F2C3D" w:rsidRPr="00B369EB" w:rsidRDefault="001C673E">
      <w:pPr>
        <w:pStyle w:val="Heading8"/>
        <w:rPr>
          <w:rFonts w:ascii="Arial" w:hAnsi="Arial" w:cs="Arial"/>
          <w:sz w:val="20"/>
          <w:lang w:val="es-ES_tradnl"/>
        </w:rPr>
      </w:pPr>
      <w:r w:rsidRPr="00B369EB">
        <w:rPr>
          <w:rFonts w:ascii="Arial" w:hAnsi="Arial" w:cs="Arial"/>
          <w:sz w:val="20"/>
          <w:lang w:val="es-ES_tradnl"/>
        </w:rPr>
        <w:t>Número de variedades en examen DHE en 2023</w:t>
      </w:r>
    </w:p>
    <w:p w14:paraId="58F2960B" w14:textId="77777777" w:rsidR="00BC5748" w:rsidRPr="00B369EB" w:rsidRDefault="00BC5748" w:rsidP="00BC5748">
      <w:pPr>
        <w:rPr>
          <w:rFonts w:cs="Arial"/>
        </w:rPr>
      </w:pPr>
    </w:p>
    <w:p w14:paraId="6D730F84" w14:textId="77777777" w:rsidR="00BC5748" w:rsidRPr="00B369EB" w:rsidRDefault="00BC5748" w:rsidP="00BC5748">
      <w:pPr>
        <w:jc w:val="center"/>
        <w:rPr>
          <w:rFonts w:cs="Arial"/>
        </w:rPr>
      </w:pPr>
      <w:r w:rsidRPr="00B369EB">
        <w:rPr>
          <w:rFonts w:cs="Arial"/>
        </w:rPr>
        <w:drawing>
          <wp:inline distT="0" distB="0" distL="0" distR="0" wp14:anchorId="04AF579C" wp14:editId="55C0AC73">
            <wp:extent cx="5546034" cy="3126980"/>
            <wp:effectExtent l="0" t="0" r="0" b="0"/>
            <wp:docPr id="2051285125" name="Obraz 1" descr="A graph showing different varieties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85125" name="Obraz 1" descr="A graph showing different varieties of fruits and vegetables&#10;&#10;Description automatically generated"/>
                    <pic:cNvPicPr/>
                  </pic:nvPicPr>
                  <pic:blipFill>
                    <a:blip r:embed="rId30"/>
                    <a:stretch>
                      <a:fillRect/>
                    </a:stretch>
                  </pic:blipFill>
                  <pic:spPr>
                    <a:xfrm>
                      <a:off x="0" y="0"/>
                      <a:ext cx="5550263" cy="3129365"/>
                    </a:xfrm>
                    <a:prstGeom prst="rect">
                      <a:avLst/>
                    </a:prstGeom>
                  </pic:spPr>
                </pic:pic>
              </a:graphicData>
            </a:graphic>
          </wp:inline>
        </w:drawing>
      </w:r>
    </w:p>
    <w:p w14:paraId="72272DE4" w14:textId="77777777" w:rsidR="00BC5748" w:rsidRPr="00B369EB" w:rsidRDefault="00BC5748" w:rsidP="00BC5748">
      <w:pPr>
        <w:rPr>
          <w:rFonts w:cs="Arial"/>
          <w:highlight w:val="yellow"/>
        </w:rPr>
      </w:pPr>
    </w:p>
    <w:p w14:paraId="6418763E" w14:textId="77777777" w:rsidR="007F2C3D" w:rsidRPr="00B369EB" w:rsidRDefault="001C673E">
      <w:pPr>
        <w:pStyle w:val="BodyText"/>
        <w:rPr>
          <w:rFonts w:cs="Arial"/>
        </w:rPr>
      </w:pPr>
      <w:r w:rsidRPr="00B369EB">
        <w:rPr>
          <w:rFonts w:cs="Arial"/>
        </w:rPr>
        <w:t>En 2023, el COBORU recibió un total de 159 solicitudes de protección nacional de derechos de obtentor, lo que supone un aumento de 43 solicitudes con respecto al año anterior.</w:t>
      </w:r>
    </w:p>
    <w:p w14:paraId="197D1074" w14:textId="77777777" w:rsidR="00BC5748" w:rsidRPr="00B369EB" w:rsidRDefault="00BC5748" w:rsidP="00BC5748">
      <w:pPr>
        <w:pStyle w:val="BodyText"/>
        <w:rPr>
          <w:rFonts w:cs="Arial"/>
        </w:rPr>
      </w:pPr>
    </w:p>
    <w:p w14:paraId="6DECE324" w14:textId="77777777" w:rsidR="007F2C3D" w:rsidRPr="00B369EB" w:rsidRDefault="001C673E">
      <w:pPr>
        <w:pStyle w:val="BodyText"/>
        <w:rPr>
          <w:rFonts w:cs="Arial"/>
        </w:rPr>
      </w:pPr>
      <w:r w:rsidRPr="00B369EB">
        <w:rPr>
          <w:rFonts w:cs="Arial"/>
        </w:rPr>
        <w:t>Del 1 de enero al 30 de agosto de 2024, se han presentado 86 nuevas solicitudes de derechos de obtentor nacionales, de las cuales 44 son nacionales y 42 extranjeras. Esta cifra es superior en 5 solicitudes a la observada en el periodo del informe anterior (81).</w:t>
      </w:r>
    </w:p>
    <w:p w14:paraId="33D2D457" w14:textId="77777777" w:rsidR="00BC5748" w:rsidRPr="00B369EB" w:rsidRDefault="00BC5748" w:rsidP="00BC5748">
      <w:pPr>
        <w:pStyle w:val="BodyText"/>
        <w:rPr>
          <w:rFonts w:cs="Arial"/>
          <w:highlight w:val="yellow"/>
        </w:rPr>
      </w:pPr>
    </w:p>
    <w:p w14:paraId="3A28D59D" w14:textId="77777777" w:rsidR="007F2C3D" w:rsidRPr="00B369EB" w:rsidRDefault="001C673E">
      <w:pPr>
        <w:pStyle w:val="BodyText"/>
        <w:rPr>
          <w:rFonts w:cs="Arial"/>
        </w:rPr>
      </w:pPr>
      <w:r w:rsidRPr="00B369EB">
        <w:rPr>
          <w:rFonts w:cs="Arial"/>
        </w:rPr>
        <w:t xml:space="preserve">En 2023, el Director del COBORU concedió 56 títulos de protección nacional (9 títulos menos que en 2022).  A finales de 2023, había 1.310 títulos nacionales de derechos de obtentor en vigor, lo que en comparación con el año anterior representa una disminución de 7 variedades. </w:t>
      </w:r>
    </w:p>
    <w:p w14:paraId="4B97B0DD" w14:textId="77777777" w:rsidR="00BC5748" w:rsidRPr="00B369EB" w:rsidRDefault="00BC5748" w:rsidP="00BC5748">
      <w:pPr>
        <w:pStyle w:val="BodyText"/>
        <w:rPr>
          <w:rFonts w:cs="Arial"/>
        </w:rPr>
      </w:pPr>
    </w:p>
    <w:p w14:paraId="1568FD68" w14:textId="77777777" w:rsidR="007F2C3D" w:rsidRPr="00B369EB" w:rsidRDefault="001C673E">
      <w:pPr>
        <w:pStyle w:val="BodyText"/>
        <w:rPr>
          <w:rFonts w:cs="Arial"/>
        </w:rPr>
      </w:pPr>
      <w:r w:rsidRPr="00B369EB">
        <w:rPr>
          <w:rFonts w:cs="Arial"/>
        </w:rPr>
        <w:t>En el período comprendido entre el 1 de enero y el 30 de agosto de 2024, se han concedido 70 títulos de protección nacional de derechos de obtentor. En total, 1329 variedades están protegidas en Polonia (a 30 de agosto de 2024).</w:t>
      </w:r>
    </w:p>
    <w:p w14:paraId="77CE4091" w14:textId="77777777" w:rsidR="00BC5748" w:rsidRPr="00B369EB" w:rsidRDefault="00BC5748" w:rsidP="00BC5748">
      <w:pPr>
        <w:pStyle w:val="BodyText"/>
        <w:rPr>
          <w:rFonts w:cs="Arial"/>
          <w:highlight w:val="yellow"/>
        </w:rPr>
      </w:pPr>
    </w:p>
    <w:p w14:paraId="3E8FE6F3" w14:textId="77777777" w:rsidR="007F2C3D" w:rsidRPr="00B369EB" w:rsidRDefault="001C673E">
      <w:pPr>
        <w:pStyle w:val="BodyText"/>
        <w:rPr>
          <w:rFonts w:cs="Arial"/>
        </w:rPr>
      </w:pPr>
      <w:r w:rsidRPr="00B369EB">
        <w:rPr>
          <w:rFonts w:cs="Arial"/>
        </w:rPr>
        <w:t>Las estadísticas se detallan en el cuadro siguiente.</w:t>
      </w:r>
    </w:p>
    <w:p w14:paraId="319BBDE3" w14:textId="77777777" w:rsidR="00BC5748" w:rsidRPr="00B369EB" w:rsidRDefault="00BC5748" w:rsidP="00BC5748">
      <w:pPr>
        <w:pStyle w:val="BodyText"/>
        <w:rPr>
          <w:rFonts w:cs="Arial"/>
        </w:rPr>
      </w:pPr>
    </w:p>
    <w:p w14:paraId="3ED07D7D" w14:textId="77777777" w:rsidR="007F2C3D" w:rsidRPr="00B369EB" w:rsidRDefault="001C673E">
      <w:pPr>
        <w:pStyle w:val="BodyText"/>
        <w:rPr>
          <w:rFonts w:cs="Arial"/>
        </w:rPr>
      </w:pPr>
      <w:r w:rsidRPr="00B369EB">
        <w:rPr>
          <w:rFonts w:cs="Arial"/>
        </w:rPr>
        <w:t xml:space="preserve">En la columna </w:t>
      </w:r>
      <w:r w:rsidR="007018E1" w:rsidRPr="00B369EB">
        <w:rPr>
          <w:rFonts w:cs="Arial"/>
        </w:rPr>
        <w:t>"</w:t>
      </w:r>
      <w:r w:rsidRPr="00B369EB">
        <w:rPr>
          <w:rFonts w:cs="Arial"/>
        </w:rPr>
        <w:t>Títulos que han cesado</w:t>
      </w:r>
      <w:r w:rsidR="007018E1" w:rsidRPr="00B369EB">
        <w:rPr>
          <w:rFonts w:cs="Arial"/>
        </w:rPr>
        <w:t>"</w:t>
      </w:r>
      <w:r w:rsidRPr="00B369EB">
        <w:rPr>
          <w:rFonts w:cs="Arial"/>
        </w:rPr>
        <w:t>, se incluyen 28 variedades para las que -dentro del período objeto del informe- expiraron los derechos de obtentor nacionales.</w:t>
      </w:r>
    </w:p>
    <w:p w14:paraId="5F6AFDF3" w14:textId="77777777" w:rsidR="00BC5748" w:rsidRPr="00B369EB" w:rsidRDefault="00BC5748" w:rsidP="00BC5748">
      <w:pPr>
        <w:pStyle w:val="BodyText"/>
        <w:rPr>
          <w:rFonts w:cs="Arial"/>
        </w:rPr>
      </w:pPr>
    </w:p>
    <w:tbl>
      <w:tblPr>
        <w:tblW w:w="9631" w:type="dxa"/>
        <w:tblLayout w:type="fixed"/>
        <w:tblCellMar>
          <w:left w:w="70" w:type="dxa"/>
          <w:right w:w="70" w:type="dxa"/>
        </w:tblCellMar>
        <w:tblLook w:val="04A0" w:firstRow="1" w:lastRow="0" w:firstColumn="1" w:lastColumn="0" w:noHBand="0" w:noVBand="1"/>
      </w:tblPr>
      <w:tblGrid>
        <w:gridCol w:w="1552"/>
        <w:gridCol w:w="1134"/>
        <w:gridCol w:w="850"/>
        <w:gridCol w:w="851"/>
        <w:gridCol w:w="1134"/>
        <w:gridCol w:w="873"/>
        <w:gridCol w:w="828"/>
        <w:gridCol w:w="1134"/>
        <w:gridCol w:w="1275"/>
      </w:tblGrid>
      <w:tr w:rsidR="00BC5748" w:rsidRPr="00B369EB" w14:paraId="280EEF37" w14:textId="77777777" w:rsidTr="004E1AB4">
        <w:tc>
          <w:tcPr>
            <w:tcW w:w="1552" w:type="dxa"/>
            <w:tcBorders>
              <w:top w:val="single" w:sz="4" w:space="0" w:color="auto"/>
              <w:left w:val="single" w:sz="6" w:space="0" w:color="auto"/>
              <w:bottom w:val="nil"/>
              <w:right w:val="nil"/>
            </w:tcBorders>
          </w:tcPr>
          <w:p w14:paraId="269D2F71" w14:textId="77777777" w:rsidR="00BC5748" w:rsidRPr="00B369EB" w:rsidRDefault="00BC5748" w:rsidP="000524C5">
            <w:pPr>
              <w:jc w:val="center"/>
              <w:rPr>
                <w:rFonts w:cs="Arial"/>
              </w:rPr>
            </w:pPr>
          </w:p>
          <w:p w14:paraId="7731C58F" w14:textId="77777777" w:rsidR="007F2C3D" w:rsidRPr="00B369EB" w:rsidRDefault="001C673E">
            <w:pPr>
              <w:jc w:val="center"/>
              <w:rPr>
                <w:rFonts w:cs="Arial"/>
              </w:rPr>
            </w:pPr>
            <w:r w:rsidRPr="00B369EB">
              <w:rPr>
                <w:rFonts w:cs="Arial"/>
              </w:rPr>
              <w:t>Planta</w:t>
            </w:r>
          </w:p>
          <w:p w14:paraId="4B74F20A" w14:textId="77777777" w:rsidR="007F2C3D" w:rsidRPr="00B369EB" w:rsidRDefault="001C673E">
            <w:pPr>
              <w:jc w:val="center"/>
              <w:rPr>
                <w:rFonts w:cs="Arial"/>
              </w:rPr>
            </w:pPr>
            <w:r w:rsidRPr="00B369EB">
              <w:rPr>
                <w:rFonts w:cs="Arial"/>
              </w:rPr>
              <w:t>Especie</w:t>
            </w:r>
          </w:p>
        </w:tc>
        <w:tc>
          <w:tcPr>
            <w:tcW w:w="2835" w:type="dxa"/>
            <w:gridSpan w:val="3"/>
            <w:tcBorders>
              <w:top w:val="single" w:sz="4" w:space="0" w:color="auto"/>
              <w:left w:val="single" w:sz="12" w:space="0" w:color="auto"/>
              <w:bottom w:val="nil"/>
              <w:right w:val="single" w:sz="12" w:space="0" w:color="auto"/>
            </w:tcBorders>
            <w:hideMark/>
          </w:tcPr>
          <w:p w14:paraId="60764378" w14:textId="77777777" w:rsidR="007F2C3D" w:rsidRPr="00B369EB" w:rsidRDefault="001C673E">
            <w:pPr>
              <w:jc w:val="center"/>
              <w:rPr>
                <w:rFonts w:cs="Arial"/>
              </w:rPr>
            </w:pPr>
            <w:r w:rsidRPr="00B369EB">
              <w:rPr>
                <w:rFonts w:cs="Arial"/>
              </w:rPr>
              <w:t>Solicitudes de derechos de obtentor</w:t>
            </w:r>
          </w:p>
          <w:p w14:paraId="34074AA1" w14:textId="77777777" w:rsidR="007F2C3D" w:rsidRPr="00B369EB" w:rsidRDefault="001C673E">
            <w:pPr>
              <w:jc w:val="center"/>
              <w:rPr>
                <w:rFonts w:cs="Arial"/>
              </w:rPr>
            </w:pPr>
            <w:r w:rsidRPr="00B369EB">
              <w:rPr>
                <w:rFonts w:cs="Arial"/>
              </w:rPr>
              <w:t>1.01. - 30.08.2024</w:t>
            </w:r>
          </w:p>
        </w:tc>
        <w:tc>
          <w:tcPr>
            <w:tcW w:w="2835" w:type="dxa"/>
            <w:gridSpan w:val="3"/>
            <w:tcBorders>
              <w:top w:val="single" w:sz="4" w:space="0" w:color="auto"/>
              <w:left w:val="nil"/>
              <w:bottom w:val="nil"/>
              <w:right w:val="single" w:sz="12" w:space="0" w:color="auto"/>
            </w:tcBorders>
            <w:shd w:val="clear" w:color="auto" w:fill="FFFFFF"/>
            <w:hideMark/>
          </w:tcPr>
          <w:p w14:paraId="11351914" w14:textId="77777777" w:rsidR="004E1AB4" w:rsidRDefault="004E1AB4">
            <w:pPr>
              <w:shd w:val="clear" w:color="auto" w:fill="FFFFFF"/>
              <w:jc w:val="center"/>
            </w:pPr>
            <w:r>
              <w:t>Títulos concedidos</w:t>
            </w:r>
          </w:p>
          <w:p w14:paraId="65EE14F6" w14:textId="2DBB9AF9" w:rsidR="007F2C3D" w:rsidRPr="00B369EB" w:rsidRDefault="001C673E">
            <w:pPr>
              <w:shd w:val="clear" w:color="auto" w:fill="FFFFFF"/>
              <w:jc w:val="center"/>
              <w:rPr>
                <w:rFonts w:cs="Arial"/>
              </w:rPr>
            </w:pPr>
            <w:r w:rsidRPr="00B369EB">
              <w:rPr>
                <w:rFonts w:cs="Arial"/>
              </w:rPr>
              <w:t>1.01. - 30.08.2024</w:t>
            </w:r>
          </w:p>
        </w:tc>
        <w:tc>
          <w:tcPr>
            <w:tcW w:w="1134" w:type="dxa"/>
            <w:tcBorders>
              <w:top w:val="single" w:sz="4" w:space="0" w:color="auto"/>
              <w:left w:val="nil"/>
              <w:bottom w:val="nil"/>
              <w:right w:val="single" w:sz="12" w:space="0" w:color="auto"/>
            </w:tcBorders>
            <w:hideMark/>
          </w:tcPr>
          <w:p w14:paraId="79A7137B" w14:textId="032316EB" w:rsidR="007F2C3D" w:rsidRPr="00B369EB" w:rsidRDefault="004E1AB4">
            <w:pPr>
              <w:jc w:val="center"/>
              <w:rPr>
                <w:rFonts w:cs="Arial"/>
              </w:rPr>
            </w:pPr>
            <w:r>
              <w:t>Títulos caducados</w:t>
            </w:r>
          </w:p>
        </w:tc>
        <w:tc>
          <w:tcPr>
            <w:tcW w:w="1275" w:type="dxa"/>
            <w:tcBorders>
              <w:top w:val="single" w:sz="4" w:space="0" w:color="auto"/>
              <w:left w:val="nil"/>
              <w:bottom w:val="nil"/>
              <w:right w:val="single" w:sz="6" w:space="0" w:color="auto"/>
            </w:tcBorders>
            <w:shd w:val="clear" w:color="auto" w:fill="FFFFFF"/>
            <w:hideMark/>
          </w:tcPr>
          <w:p w14:paraId="19A34807" w14:textId="77777777" w:rsidR="007F2C3D" w:rsidRPr="00B369EB" w:rsidRDefault="001C673E">
            <w:pPr>
              <w:ind w:right="-6"/>
              <w:jc w:val="center"/>
              <w:rPr>
                <w:rFonts w:cs="Arial"/>
              </w:rPr>
            </w:pPr>
            <w:r w:rsidRPr="00B369EB">
              <w:rPr>
                <w:rFonts w:cs="Arial"/>
              </w:rPr>
              <w:t>Títulos en vigor a 30.08.2024</w:t>
            </w:r>
          </w:p>
        </w:tc>
      </w:tr>
      <w:tr w:rsidR="004E1AB4" w:rsidRPr="00B369EB" w14:paraId="429CD762" w14:textId="77777777" w:rsidTr="004E1AB4">
        <w:tc>
          <w:tcPr>
            <w:tcW w:w="1552" w:type="dxa"/>
            <w:tcBorders>
              <w:top w:val="nil"/>
              <w:left w:val="single" w:sz="6" w:space="0" w:color="auto"/>
              <w:bottom w:val="nil"/>
              <w:right w:val="single" w:sz="12" w:space="0" w:color="auto"/>
            </w:tcBorders>
          </w:tcPr>
          <w:p w14:paraId="5FFBCD12" w14:textId="77777777" w:rsidR="004E1AB4" w:rsidRPr="00B369EB" w:rsidRDefault="004E1AB4" w:rsidP="004E1AB4">
            <w:pPr>
              <w:rPr>
                <w:rFonts w:cs="Arial"/>
              </w:rPr>
            </w:pPr>
          </w:p>
        </w:tc>
        <w:tc>
          <w:tcPr>
            <w:tcW w:w="1134" w:type="dxa"/>
            <w:tcBorders>
              <w:top w:val="single" w:sz="6" w:space="0" w:color="auto"/>
              <w:left w:val="nil"/>
              <w:bottom w:val="nil"/>
              <w:right w:val="single" w:sz="6" w:space="0" w:color="auto"/>
            </w:tcBorders>
            <w:hideMark/>
          </w:tcPr>
          <w:p w14:paraId="59F71F4D" w14:textId="0F997EA9" w:rsidR="004E1AB4" w:rsidRPr="00B369EB" w:rsidRDefault="004E1AB4" w:rsidP="004E1AB4">
            <w:pPr>
              <w:jc w:val="center"/>
              <w:rPr>
                <w:rFonts w:cs="Arial"/>
              </w:rPr>
            </w:pPr>
            <w:r>
              <w:rPr>
                <w:rFonts w:cs="Arial"/>
              </w:rPr>
              <w:t>nacionales</w:t>
            </w:r>
          </w:p>
        </w:tc>
        <w:tc>
          <w:tcPr>
            <w:tcW w:w="850" w:type="dxa"/>
            <w:tcBorders>
              <w:top w:val="single" w:sz="6" w:space="0" w:color="auto"/>
              <w:left w:val="nil"/>
              <w:bottom w:val="nil"/>
              <w:right w:val="single" w:sz="6" w:space="0" w:color="auto"/>
            </w:tcBorders>
            <w:hideMark/>
          </w:tcPr>
          <w:p w14:paraId="7878BF29" w14:textId="52AA11F2" w:rsidR="004E1AB4" w:rsidRPr="00B369EB" w:rsidRDefault="004E1AB4" w:rsidP="004E1AB4">
            <w:pPr>
              <w:jc w:val="center"/>
              <w:rPr>
                <w:rFonts w:cs="Arial"/>
              </w:rPr>
            </w:pPr>
            <w:r>
              <w:rPr>
                <w:rFonts w:cs="Arial"/>
              </w:rPr>
              <w:t>otros países</w:t>
            </w:r>
          </w:p>
        </w:tc>
        <w:tc>
          <w:tcPr>
            <w:tcW w:w="851" w:type="dxa"/>
            <w:tcBorders>
              <w:top w:val="single" w:sz="6" w:space="0" w:color="auto"/>
              <w:left w:val="nil"/>
              <w:bottom w:val="nil"/>
              <w:right w:val="single" w:sz="12" w:space="0" w:color="auto"/>
            </w:tcBorders>
            <w:hideMark/>
          </w:tcPr>
          <w:p w14:paraId="4B4A8134" w14:textId="77777777" w:rsidR="004E1AB4" w:rsidRPr="00B369EB" w:rsidRDefault="004E1AB4" w:rsidP="004E1AB4">
            <w:pPr>
              <w:jc w:val="center"/>
              <w:rPr>
                <w:rFonts w:cs="Arial"/>
              </w:rPr>
            </w:pPr>
            <w:r w:rsidRPr="00B369EB">
              <w:rPr>
                <w:rFonts w:cs="Arial"/>
              </w:rPr>
              <w:t>juntos</w:t>
            </w:r>
          </w:p>
        </w:tc>
        <w:tc>
          <w:tcPr>
            <w:tcW w:w="1134" w:type="dxa"/>
            <w:tcBorders>
              <w:top w:val="single" w:sz="6" w:space="0" w:color="auto"/>
              <w:left w:val="nil"/>
              <w:bottom w:val="nil"/>
              <w:right w:val="single" w:sz="6" w:space="0" w:color="auto"/>
            </w:tcBorders>
            <w:hideMark/>
          </w:tcPr>
          <w:p w14:paraId="044B84BB" w14:textId="72EB5CA1" w:rsidR="004E1AB4" w:rsidRPr="00B369EB" w:rsidRDefault="004E1AB4" w:rsidP="004E1AB4">
            <w:pPr>
              <w:jc w:val="center"/>
              <w:rPr>
                <w:rFonts w:cs="Arial"/>
              </w:rPr>
            </w:pPr>
            <w:r>
              <w:rPr>
                <w:rFonts w:cs="Arial"/>
              </w:rPr>
              <w:t>nacionales</w:t>
            </w:r>
          </w:p>
        </w:tc>
        <w:tc>
          <w:tcPr>
            <w:tcW w:w="873" w:type="dxa"/>
            <w:tcBorders>
              <w:top w:val="single" w:sz="6" w:space="0" w:color="auto"/>
              <w:left w:val="nil"/>
              <w:bottom w:val="nil"/>
              <w:right w:val="single" w:sz="6" w:space="0" w:color="auto"/>
            </w:tcBorders>
            <w:hideMark/>
          </w:tcPr>
          <w:p w14:paraId="602FAF6E" w14:textId="19AE4FFC" w:rsidR="004E1AB4" w:rsidRPr="00B369EB" w:rsidRDefault="004E1AB4" w:rsidP="004E1AB4">
            <w:pPr>
              <w:jc w:val="center"/>
              <w:rPr>
                <w:rFonts w:cs="Arial"/>
              </w:rPr>
            </w:pPr>
            <w:r>
              <w:rPr>
                <w:rFonts w:cs="Arial"/>
              </w:rPr>
              <w:t>otros países</w:t>
            </w:r>
          </w:p>
        </w:tc>
        <w:tc>
          <w:tcPr>
            <w:tcW w:w="828" w:type="dxa"/>
            <w:tcBorders>
              <w:top w:val="single" w:sz="6" w:space="0" w:color="auto"/>
              <w:left w:val="nil"/>
              <w:bottom w:val="nil"/>
              <w:right w:val="single" w:sz="12" w:space="0" w:color="auto"/>
            </w:tcBorders>
            <w:hideMark/>
          </w:tcPr>
          <w:p w14:paraId="206A0354" w14:textId="47610126" w:rsidR="004E1AB4" w:rsidRPr="00B369EB" w:rsidRDefault="004E1AB4" w:rsidP="004E1AB4">
            <w:pPr>
              <w:jc w:val="center"/>
              <w:rPr>
                <w:rFonts w:cs="Arial"/>
              </w:rPr>
            </w:pPr>
            <w:r w:rsidRPr="00B369EB">
              <w:rPr>
                <w:rFonts w:cs="Arial"/>
              </w:rPr>
              <w:t>juntos</w:t>
            </w:r>
          </w:p>
        </w:tc>
        <w:tc>
          <w:tcPr>
            <w:tcW w:w="1134" w:type="dxa"/>
            <w:tcBorders>
              <w:top w:val="nil"/>
              <w:left w:val="nil"/>
              <w:bottom w:val="nil"/>
              <w:right w:val="single" w:sz="12" w:space="0" w:color="auto"/>
            </w:tcBorders>
          </w:tcPr>
          <w:p w14:paraId="1E0E645E" w14:textId="77777777" w:rsidR="004E1AB4" w:rsidRPr="00B369EB" w:rsidRDefault="004E1AB4" w:rsidP="004E1AB4">
            <w:pPr>
              <w:jc w:val="center"/>
              <w:rPr>
                <w:rFonts w:cs="Arial"/>
              </w:rPr>
            </w:pPr>
          </w:p>
        </w:tc>
        <w:tc>
          <w:tcPr>
            <w:tcW w:w="1275" w:type="dxa"/>
            <w:tcBorders>
              <w:top w:val="nil"/>
              <w:left w:val="nil"/>
              <w:bottom w:val="nil"/>
              <w:right w:val="single" w:sz="6" w:space="0" w:color="auto"/>
            </w:tcBorders>
            <w:shd w:val="clear" w:color="auto" w:fill="FFFFFF"/>
          </w:tcPr>
          <w:p w14:paraId="292D1C21" w14:textId="77777777" w:rsidR="004E1AB4" w:rsidRPr="00B369EB" w:rsidRDefault="004E1AB4" w:rsidP="004E1AB4">
            <w:pPr>
              <w:jc w:val="center"/>
              <w:rPr>
                <w:rFonts w:cs="Arial"/>
              </w:rPr>
            </w:pPr>
          </w:p>
        </w:tc>
      </w:tr>
      <w:tr w:rsidR="00BC5748" w:rsidRPr="00B369EB" w14:paraId="1249A122" w14:textId="77777777" w:rsidTr="004E1AB4">
        <w:tc>
          <w:tcPr>
            <w:tcW w:w="1552" w:type="dxa"/>
            <w:tcBorders>
              <w:top w:val="single" w:sz="12" w:space="0" w:color="auto"/>
              <w:left w:val="single" w:sz="6" w:space="0" w:color="auto"/>
              <w:bottom w:val="single" w:sz="6" w:space="0" w:color="auto"/>
              <w:right w:val="single" w:sz="12" w:space="0" w:color="auto"/>
            </w:tcBorders>
            <w:hideMark/>
          </w:tcPr>
          <w:p w14:paraId="15FFA9B0" w14:textId="7EA9DB5E" w:rsidR="007F2C3D" w:rsidRPr="00B369EB" w:rsidRDefault="004E1AB4">
            <w:pPr>
              <w:spacing w:before="120"/>
              <w:jc w:val="center"/>
              <w:rPr>
                <w:rFonts w:cs="Arial"/>
              </w:rPr>
            </w:pPr>
            <w:r>
              <w:rPr>
                <w:rFonts w:cs="Arial"/>
              </w:rPr>
              <w:t>Agrícolas</w:t>
            </w:r>
          </w:p>
        </w:tc>
        <w:tc>
          <w:tcPr>
            <w:tcW w:w="1134" w:type="dxa"/>
            <w:tcBorders>
              <w:top w:val="single" w:sz="12" w:space="0" w:color="auto"/>
              <w:left w:val="nil"/>
              <w:bottom w:val="single" w:sz="6" w:space="0" w:color="auto"/>
              <w:right w:val="single" w:sz="6" w:space="0" w:color="auto"/>
            </w:tcBorders>
            <w:hideMark/>
          </w:tcPr>
          <w:p w14:paraId="0C1D8BAC" w14:textId="77777777" w:rsidR="007F2C3D" w:rsidRPr="00B369EB" w:rsidRDefault="001C673E">
            <w:pPr>
              <w:spacing w:before="120"/>
              <w:jc w:val="center"/>
              <w:rPr>
                <w:rFonts w:cs="Arial"/>
              </w:rPr>
            </w:pPr>
            <w:r w:rsidRPr="00B369EB">
              <w:rPr>
                <w:rFonts w:cs="Arial"/>
              </w:rPr>
              <w:t>29</w:t>
            </w:r>
          </w:p>
        </w:tc>
        <w:tc>
          <w:tcPr>
            <w:tcW w:w="850" w:type="dxa"/>
            <w:tcBorders>
              <w:top w:val="single" w:sz="12" w:space="0" w:color="auto"/>
              <w:left w:val="single" w:sz="6" w:space="0" w:color="auto"/>
              <w:bottom w:val="single" w:sz="6" w:space="0" w:color="auto"/>
              <w:right w:val="single" w:sz="6" w:space="0" w:color="auto"/>
            </w:tcBorders>
            <w:hideMark/>
          </w:tcPr>
          <w:p w14:paraId="64840AF1" w14:textId="77777777" w:rsidR="007F2C3D" w:rsidRPr="00B369EB" w:rsidRDefault="001C673E">
            <w:pPr>
              <w:spacing w:before="120"/>
              <w:jc w:val="center"/>
              <w:rPr>
                <w:rFonts w:cs="Arial"/>
              </w:rPr>
            </w:pPr>
            <w:r w:rsidRPr="00B369EB">
              <w:rPr>
                <w:rFonts w:cs="Arial"/>
              </w:rPr>
              <w:t>13</w:t>
            </w:r>
          </w:p>
        </w:tc>
        <w:tc>
          <w:tcPr>
            <w:tcW w:w="851" w:type="dxa"/>
            <w:tcBorders>
              <w:top w:val="single" w:sz="12" w:space="0" w:color="auto"/>
              <w:left w:val="single" w:sz="6" w:space="0" w:color="auto"/>
              <w:bottom w:val="single" w:sz="6" w:space="0" w:color="auto"/>
              <w:right w:val="single" w:sz="12" w:space="0" w:color="auto"/>
            </w:tcBorders>
            <w:shd w:val="clear" w:color="auto" w:fill="D9D9D9"/>
            <w:hideMark/>
          </w:tcPr>
          <w:p w14:paraId="38A4A800" w14:textId="77777777" w:rsidR="007F2C3D" w:rsidRPr="00B369EB" w:rsidRDefault="001C673E">
            <w:pPr>
              <w:spacing w:before="120"/>
              <w:jc w:val="center"/>
              <w:rPr>
                <w:rFonts w:cs="Arial"/>
              </w:rPr>
            </w:pPr>
            <w:r w:rsidRPr="00B369EB">
              <w:rPr>
                <w:rFonts w:cs="Arial"/>
              </w:rPr>
              <w:t>42</w:t>
            </w:r>
          </w:p>
        </w:tc>
        <w:tc>
          <w:tcPr>
            <w:tcW w:w="1134" w:type="dxa"/>
            <w:tcBorders>
              <w:top w:val="single" w:sz="12" w:space="0" w:color="auto"/>
              <w:left w:val="nil"/>
              <w:bottom w:val="single" w:sz="6" w:space="0" w:color="auto"/>
              <w:right w:val="single" w:sz="6" w:space="0" w:color="auto"/>
            </w:tcBorders>
            <w:hideMark/>
          </w:tcPr>
          <w:p w14:paraId="1FCDE9C9" w14:textId="77777777" w:rsidR="007F2C3D" w:rsidRPr="00B369EB" w:rsidRDefault="001C673E">
            <w:pPr>
              <w:spacing w:before="120"/>
              <w:jc w:val="center"/>
              <w:rPr>
                <w:rFonts w:cs="Arial"/>
              </w:rPr>
            </w:pPr>
            <w:r w:rsidRPr="00B369EB">
              <w:rPr>
                <w:rFonts w:cs="Arial"/>
              </w:rPr>
              <w:t>38</w:t>
            </w:r>
          </w:p>
        </w:tc>
        <w:tc>
          <w:tcPr>
            <w:tcW w:w="873" w:type="dxa"/>
            <w:tcBorders>
              <w:top w:val="single" w:sz="12" w:space="0" w:color="auto"/>
              <w:left w:val="single" w:sz="6" w:space="0" w:color="auto"/>
              <w:bottom w:val="single" w:sz="6" w:space="0" w:color="auto"/>
              <w:right w:val="single" w:sz="6" w:space="0" w:color="auto"/>
            </w:tcBorders>
            <w:hideMark/>
          </w:tcPr>
          <w:p w14:paraId="398E7912" w14:textId="77777777" w:rsidR="007F2C3D" w:rsidRPr="00B369EB" w:rsidRDefault="001C673E">
            <w:pPr>
              <w:spacing w:before="120"/>
              <w:jc w:val="center"/>
              <w:rPr>
                <w:rFonts w:cs="Arial"/>
              </w:rPr>
            </w:pPr>
            <w:r w:rsidRPr="00B369EB">
              <w:rPr>
                <w:rFonts w:cs="Arial"/>
              </w:rPr>
              <w:t>4</w:t>
            </w:r>
          </w:p>
        </w:tc>
        <w:tc>
          <w:tcPr>
            <w:tcW w:w="828" w:type="dxa"/>
            <w:tcBorders>
              <w:top w:val="single" w:sz="12" w:space="0" w:color="auto"/>
              <w:left w:val="single" w:sz="6" w:space="0" w:color="auto"/>
              <w:bottom w:val="single" w:sz="6" w:space="0" w:color="auto"/>
              <w:right w:val="single" w:sz="12" w:space="0" w:color="auto"/>
            </w:tcBorders>
            <w:shd w:val="clear" w:color="auto" w:fill="D9D9D9"/>
            <w:hideMark/>
          </w:tcPr>
          <w:p w14:paraId="29C77218" w14:textId="77777777" w:rsidR="007F2C3D" w:rsidRPr="00B369EB" w:rsidRDefault="001C673E">
            <w:pPr>
              <w:spacing w:before="120"/>
              <w:jc w:val="center"/>
              <w:rPr>
                <w:rFonts w:cs="Arial"/>
              </w:rPr>
            </w:pPr>
            <w:r w:rsidRPr="00B369EB">
              <w:rPr>
                <w:rFonts w:cs="Arial"/>
              </w:rPr>
              <w:t>42</w:t>
            </w:r>
          </w:p>
        </w:tc>
        <w:tc>
          <w:tcPr>
            <w:tcW w:w="1134" w:type="dxa"/>
            <w:tcBorders>
              <w:top w:val="single" w:sz="12" w:space="0" w:color="auto"/>
              <w:left w:val="nil"/>
              <w:bottom w:val="single" w:sz="6" w:space="0" w:color="auto"/>
              <w:right w:val="single" w:sz="12" w:space="0" w:color="auto"/>
            </w:tcBorders>
            <w:hideMark/>
          </w:tcPr>
          <w:p w14:paraId="6370D24A" w14:textId="77777777" w:rsidR="007F2C3D" w:rsidRPr="00B369EB" w:rsidRDefault="001C673E">
            <w:pPr>
              <w:spacing w:before="120"/>
              <w:jc w:val="center"/>
              <w:rPr>
                <w:rFonts w:cs="Arial"/>
              </w:rPr>
            </w:pPr>
            <w:r w:rsidRPr="00B369EB">
              <w:rPr>
                <w:rFonts w:cs="Arial"/>
              </w:rPr>
              <w:t>36</w:t>
            </w:r>
          </w:p>
        </w:tc>
        <w:tc>
          <w:tcPr>
            <w:tcW w:w="1275" w:type="dxa"/>
            <w:tcBorders>
              <w:top w:val="single" w:sz="12" w:space="0" w:color="auto"/>
              <w:left w:val="nil"/>
              <w:bottom w:val="single" w:sz="6" w:space="0" w:color="auto"/>
              <w:right w:val="single" w:sz="6" w:space="0" w:color="auto"/>
            </w:tcBorders>
            <w:shd w:val="clear" w:color="auto" w:fill="D9D9D9"/>
            <w:hideMark/>
          </w:tcPr>
          <w:p w14:paraId="7A405D56" w14:textId="77777777" w:rsidR="007F2C3D" w:rsidRPr="00B369EB" w:rsidRDefault="001C673E">
            <w:pPr>
              <w:spacing w:before="120"/>
              <w:jc w:val="center"/>
              <w:rPr>
                <w:rFonts w:cs="Arial"/>
              </w:rPr>
            </w:pPr>
            <w:r w:rsidRPr="00B369EB">
              <w:rPr>
                <w:rFonts w:cs="Arial"/>
              </w:rPr>
              <w:t>739</w:t>
            </w:r>
          </w:p>
        </w:tc>
      </w:tr>
      <w:tr w:rsidR="00BC5748" w:rsidRPr="00B369EB" w14:paraId="09067BD4" w14:textId="77777777" w:rsidTr="004E1AB4">
        <w:tc>
          <w:tcPr>
            <w:tcW w:w="1552" w:type="dxa"/>
            <w:tcBorders>
              <w:top w:val="single" w:sz="6" w:space="0" w:color="auto"/>
              <w:left w:val="single" w:sz="6" w:space="0" w:color="auto"/>
              <w:bottom w:val="single" w:sz="6" w:space="0" w:color="auto"/>
              <w:right w:val="single" w:sz="12" w:space="0" w:color="auto"/>
            </w:tcBorders>
            <w:hideMark/>
          </w:tcPr>
          <w:p w14:paraId="2DB7569E" w14:textId="0C09E3F8" w:rsidR="007F2C3D" w:rsidRPr="00B369EB" w:rsidRDefault="004E1AB4">
            <w:pPr>
              <w:spacing w:before="120"/>
              <w:jc w:val="center"/>
              <w:rPr>
                <w:rFonts w:cs="Arial"/>
              </w:rPr>
            </w:pPr>
            <w:r>
              <w:rPr>
                <w:rFonts w:cs="Arial"/>
              </w:rPr>
              <w:t>Hortícolas</w:t>
            </w:r>
          </w:p>
        </w:tc>
        <w:tc>
          <w:tcPr>
            <w:tcW w:w="1134" w:type="dxa"/>
            <w:tcBorders>
              <w:top w:val="single" w:sz="6" w:space="0" w:color="auto"/>
              <w:left w:val="nil"/>
              <w:bottom w:val="single" w:sz="6" w:space="0" w:color="auto"/>
              <w:right w:val="single" w:sz="6" w:space="0" w:color="auto"/>
            </w:tcBorders>
            <w:hideMark/>
          </w:tcPr>
          <w:p w14:paraId="6D82A6E4" w14:textId="77777777" w:rsidR="007F2C3D" w:rsidRPr="00B369EB" w:rsidRDefault="001C673E">
            <w:pPr>
              <w:spacing w:before="120"/>
              <w:jc w:val="center"/>
              <w:rPr>
                <w:rFonts w:cs="Arial"/>
              </w:rPr>
            </w:pPr>
            <w:r w:rsidRPr="00B369EB">
              <w:rPr>
                <w:rFonts w:cs="Arial"/>
              </w:rPr>
              <w:t>0</w:t>
            </w:r>
          </w:p>
        </w:tc>
        <w:tc>
          <w:tcPr>
            <w:tcW w:w="850" w:type="dxa"/>
            <w:tcBorders>
              <w:top w:val="single" w:sz="6" w:space="0" w:color="auto"/>
              <w:left w:val="single" w:sz="6" w:space="0" w:color="auto"/>
              <w:bottom w:val="single" w:sz="6" w:space="0" w:color="auto"/>
              <w:right w:val="single" w:sz="6" w:space="0" w:color="auto"/>
            </w:tcBorders>
            <w:hideMark/>
          </w:tcPr>
          <w:p w14:paraId="48495B35" w14:textId="77777777" w:rsidR="007F2C3D" w:rsidRPr="00B369EB" w:rsidRDefault="001C673E">
            <w:pPr>
              <w:spacing w:before="120"/>
              <w:jc w:val="center"/>
              <w:rPr>
                <w:rFonts w:cs="Arial"/>
              </w:rPr>
            </w:pPr>
            <w:r w:rsidRPr="00B369EB">
              <w:rPr>
                <w:rFonts w:cs="Arial"/>
              </w:rPr>
              <w:t>0</w:t>
            </w:r>
          </w:p>
        </w:tc>
        <w:tc>
          <w:tcPr>
            <w:tcW w:w="851" w:type="dxa"/>
            <w:tcBorders>
              <w:top w:val="single" w:sz="6" w:space="0" w:color="auto"/>
              <w:left w:val="single" w:sz="6" w:space="0" w:color="auto"/>
              <w:bottom w:val="single" w:sz="6" w:space="0" w:color="auto"/>
              <w:right w:val="single" w:sz="12" w:space="0" w:color="auto"/>
            </w:tcBorders>
            <w:shd w:val="clear" w:color="auto" w:fill="D9D9D9"/>
            <w:hideMark/>
          </w:tcPr>
          <w:p w14:paraId="413CED20" w14:textId="77777777" w:rsidR="007F2C3D" w:rsidRPr="00B369EB" w:rsidRDefault="001C673E">
            <w:pPr>
              <w:spacing w:before="120"/>
              <w:jc w:val="center"/>
              <w:rPr>
                <w:rFonts w:cs="Arial"/>
              </w:rPr>
            </w:pPr>
            <w:r w:rsidRPr="00B369EB">
              <w:rPr>
                <w:rFonts w:cs="Arial"/>
              </w:rPr>
              <w:t>0</w:t>
            </w:r>
          </w:p>
        </w:tc>
        <w:tc>
          <w:tcPr>
            <w:tcW w:w="1134" w:type="dxa"/>
            <w:tcBorders>
              <w:top w:val="single" w:sz="6" w:space="0" w:color="auto"/>
              <w:left w:val="nil"/>
              <w:bottom w:val="single" w:sz="6" w:space="0" w:color="auto"/>
              <w:right w:val="single" w:sz="6" w:space="0" w:color="auto"/>
            </w:tcBorders>
            <w:hideMark/>
          </w:tcPr>
          <w:p w14:paraId="5961BB8A" w14:textId="77777777" w:rsidR="007F2C3D" w:rsidRPr="00B369EB" w:rsidRDefault="001C673E">
            <w:pPr>
              <w:spacing w:before="120"/>
              <w:jc w:val="center"/>
              <w:rPr>
                <w:rFonts w:cs="Arial"/>
              </w:rPr>
            </w:pPr>
            <w:r w:rsidRPr="00B369EB">
              <w:rPr>
                <w:rFonts w:cs="Arial"/>
              </w:rPr>
              <w:t>2</w:t>
            </w:r>
          </w:p>
        </w:tc>
        <w:tc>
          <w:tcPr>
            <w:tcW w:w="873" w:type="dxa"/>
            <w:tcBorders>
              <w:top w:val="single" w:sz="6" w:space="0" w:color="auto"/>
              <w:left w:val="single" w:sz="6" w:space="0" w:color="auto"/>
              <w:bottom w:val="single" w:sz="6" w:space="0" w:color="auto"/>
              <w:right w:val="single" w:sz="6" w:space="0" w:color="auto"/>
            </w:tcBorders>
            <w:hideMark/>
          </w:tcPr>
          <w:p w14:paraId="156491F3" w14:textId="77777777" w:rsidR="007F2C3D" w:rsidRPr="00B369EB" w:rsidRDefault="001C673E">
            <w:pPr>
              <w:spacing w:before="120"/>
              <w:jc w:val="center"/>
              <w:rPr>
                <w:rFonts w:cs="Arial"/>
              </w:rPr>
            </w:pPr>
            <w:r w:rsidRPr="00B369EB">
              <w:rPr>
                <w:rFonts w:cs="Arial"/>
              </w:rPr>
              <w:t>1</w:t>
            </w:r>
          </w:p>
        </w:tc>
        <w:tc>
          <w:tcPr>
            <w:tcW w:w="828" w:type="dxa"/>
            <w:tcBorders>
              <w:top w:val="single" w:sz="6" w:space="0" w:color="auto"/>
              <w:left w:val="single" w:sz="6" w:space="0" w:color="auto"/>
              <w:bottom w:val="single" w:sz="6" w:space="0" w:color="auto"/>
              <w:right w:val="single" w:sz="12" w:space="0" w:color="auto"/>
            </w:tcBorders>
            <w:shd w:val="clear" w:color="auto" w:fill="D9D9D9"/>
            <w:hideMark/>
          </w:tcPr>
          <w:p w14:paraId="4E3FD192" w14:textId="77777777" w:rsidR="007F2C3D" w:rsidRPr="00B369EB" w:rsidRDefault="001C673E">
            <w:pPr>
              <w:spacing w:before="120"/>
              <w:jc w:val="center"/>
              <w:rPr>
                <w:rFonts w:cs="Arial"/>
              </w:rPr>
            </w:pPr>
            <w:r w:rsidRPr="00B369EB">
              <w:rPr>
                <w:rFonts w:cs="Arial"/>
              </w:rPr>
              <w:t>3</w:t>
            </w:r>
          </w:p>
        </w:tc>
        <w:tc>
          <w:tcPr>
            <w:tcW w:w="1134" w:type="dxa"/>
            <w:tcBorders>
              <w:top w:val="single" w:sz="6" w:space="0" w:color="auto"/>
              <w:left w:val="nil"/>
              <w:bottom w:val="single" w:sz="6" w:space="0" w:color="auto"/>
              <w:right w:val="single" w:sz="12" w:space="0" w:color="auto"/>
            </w:tcBorders>
            <w:hideMark/>
          </w:tcPr>
          <w:p w14:paraId="0157B405" w14:textId="77777777" w:rsidR="007F2C3D" w:rsidRPr="00B369EB" w:rsidRDefault="001C673E">
            <w:pPr>
              <w:spacing w:before="120"/>
              <w:jc w:val="center"/>
              <w:rPr>
                <w:rFonts w:cs="Arial"/>
              </w:rPr>
            </w:pPr>
            <w:r w:rsidRPr="00B369EB">
              <w:rPr>
                <w:rFonts w:cs="Arial"/>
              </w:rPr>
              <w:t>3</w:t>
            </w:r>
          </w:p>
        </w:tc>
        <w:tc>
          <w:tcPr>
            <w:tcW w:w="1275" w:type="dxa"/>
            <w:tcBorders>
              <w:top w:val="single" w:sz="6" w:space="0" w:color="auto"/>
              <w:left w:val="nil"/>
              <w:bottom w:val="single" w:sz="6" w:space="0" w:color="auto"/>
              <w:right w:val="single" w:sz="6" w:space="0" w:color="auto"/>
            </w:tcBorders>
            <w:shd w:val="clear" w:color="auto" w:fill="D9D9D9"/>
            <w:hideMark/>
          </w:tcPr>
          <w:p w14:paraId="1CA1DF76" w14:textId="77777777" w:rsidR="007F2C3D" w:rsidRPr="00B369EB" w:rsidRDefault="001C673E">
            <w:pPr>
              <w:spacing w:before="120"/>
              <w:jc w:val="center"/>
              <w:rPr>
                <w:rFonts w:cs="Arial"/>
              </w:rPr>
            </w:pPr>
            <w:r w:rsidRPr="00B369EB">
              <w:rPr>
                <w:rFonts w:cs="Arial"/>
              </w:rPr>
              <w:t>212</w:t>
            </w:r>
          </w:p>
        </w:tc>
      </w:tr>
      <w:tr w:rsidR="00BC5748" w:rsidRPr="00B369EB" w14:paraId="294176FE" w14:textId="77777777" w:rsidTr="004E1AB4">
        <w:tc>
          <w:tcPr>
            <w:tcW w:w="1552" w:type="dxa"/>
            <w:tcBorders>
              <w:top w:val="single" w:sz="6" w:space="0" w:color="auto"/>
              <w:left w:val="single" w:sz="6" w:space="0" w:color="auto"/>
              <w:bottom w:val="nil"/>
              <w:right w:val="single" w:sz="12" w:space="0" w:color="auto"/>
            </w:tcBorders>
            <w:hideMark/>
          </w:tcPr>
          <w:p w14:paraId="58C91758" w14:textId="7F7F612F" w:rsidR="007F2C3D" w:rsidRPr="00B369EB" w:rsidRDefault="001C673E">
            <w:pPr>
              <w:spacing w:before="120"/>
              <w:jc w:val="center"/>
              <w:rPr>
                <w:rFonts w:cs="Arial"/>
              </w:rPr>
            </w:pPr>
            <w:r w:rsidRPr="00B369EB">
              <w:rPr>
                <w:rFonts w:cs="Arial"/>
              </w:rPr>
              <w:t>Ornamental</w:t>
            </w:r>
            <w:r w:rsidR="004E1AB4">
              <w:rPr>
                <w:rFonts w:cs="Arial"/>
              </w:rPr>
              <w:t>es</w:t>
            </w:r>
          </w:p>
        </w:tc>
        <w:tc>
          <w:tcPr>
            <w:tcW w:w="1134" w:type="dxa"/>
            <w:tcBorders>
              <w:top w:val="single" w:sz="6" w:space="0" w:color="auto"/>
              <w:left w:val="nil"/>
              <w:bottom w:val="nil"/>
              <w:right w:val="single" w:sz="6" w:space="0" w:color="auto"/>
            </w:tcBorders>
            <w:hideMark/>
          </w:tcPr>
          <w:p w14:paraId="35916A51" w14:textId="77777777" w:rsidR="007F2C3D" w:rsidRPr="00B369EB" w:rsidRDefault="001C673E">
            <w:pPr>
              <w:spacing w:before="120"/>
              <w:jc w:val="center"/>
              <w:rPr>
                <w:rFonts w:cs="Arial"/>
              </w:rPr>
            </w:pPr>
            <w:r w:rsidRPr="00B369EB">
              <w:rPr>
                <w:rFonts w:cs="Arial"/>
              </w:rPr>
              <w:t>15</w:t>
            </w:r>
          </w:p>
        </w:tc>
        <w:tc>
          <w:tcPr>
            <w:tcW w:w="850" w:type="dxa"/>
            <w:tcBorders>
              <w:top w:val="single" w:sz="6" w:space="0" w:color="auto"/>
              <w:left w:val="single" w:sz="6" w:space="0" w:color="auto"/>
              <w:bottom w:val="nil"/>
              <w:right w:val="single" w:sz="6" w:space="0" w:color="auto"/>
            </w:tcBorders>
            <w:hideMark/>
          </w:tcPr>
          <w:p w14:paraId="26A87168" w14:textId="77777777" w:rsidR="007F2C3D" w:rsidRPr="00B369EB" w:rsidRDefault="001C673E">
            <w:pPr>
              <w:spacing w:before="120"/>
              <w:jc w:val="center"/>
              <w:rPr>
                <w:rFonts w:cs="Arial"/>
              </w:rPr>
            </w:pPr>
            <w:r w:rsidRPr="00B369EB">
              <w:rPr>
                <w:rFonts w:cs="Arial"/>
              </w:rPr>
              <w:t>27</w:t>
            </w:r>
          </w:p>
        </w:tc>
        <w:tc>
          <w:tcPr>
            <w:tcW w:w="851" w:type="dxa"/>
            <w:tcBorders>
              <w:top w:val="single" w:sz="6" w:space="0" w:color="auto"/>
              <w:left w:val="single" w:sz="6" w:space="0" w:color="auto"/>
              <w:bottom w:val="nil"/>
              <w:right w:val="single" w:sz="12" w:space="0" w:color="auto"/>
            </w:tcBorders>
            <w:shd w:val="clear" w:color="auto" w:fill="D9D9D9"/>
            <w:hideMark/>
          </w:tcPr>
          <w:p w14:paraId="27135D4D" w14:textId="77777777" w:rsidR="007F2C3D" w:rsidRPr="00B369EB" w:rsidRDefault="001C673E">
            <w:pPr>
              <w:spacing w:before="120"/>
              <w:jc w:val="center"/>
              <w:rPr>
                <w:rFonts w:cs="Arial"/>
              </w:rPr>
            </w:pPr>
            <w:r w:rsidRPr="00B369EB">
              <w:rPr>
                <w:rFonts w:cs="Arial"/>
              </w:rPr>
              <w:t>42</w:t>
            </w:r>
          </w:p>
        </w:tc>
        <w:tc>
          <w:tcPr>
            <w:tcW w:w="1134" w:type="dxa"/>
            <w:tcBorders>
              <w:top w:val="single" w:sz="6" w:space="0" w:color="auto"/>
              <w:left w:val="nil"/>
              <w:bottom w:val="nil"/>
              <w:right w:val="single" w:sz="6" w:space="0" w:color="auto"/>
            </w:tcBorders>
            <w:hideMark/>
          </w:tcPr>
          <w:p w14:paraId="2CEF277E" w14:textId="77777777" w:rsidR="007F2C3D" w:rsidRPr="00B369EB" w:rsidRDefault="001C673E">
            <w:pPr>
              <w:spacing w:before="120"/>
              <w:jc w:val="center"/>
              <w:rPr>
                <w:rFonts w:cs="Arial"/>
              </w:rPr>
            </w:pPr>
            <w:r w:rsidRPr="00B369EB">
              <w:rPr>
                <w:rFonts w:cs="Arial"/>
              </w:rPr>
              <w:t>9</w:t>
            </w:r>
          </w:p>
        </w:tc>
        <w:tc>
          <w:tcPr>
            <w:tcW w:w="873" w:type="dxa"/>
            <w:tcBorders>
              <w:top w:val="single" w:sz="6" w:space="0" w:color="auto"/>
              <w:left w:val="single" w:sz="6" w:space="0" w:color="auto"/>
              <w:bottom w:val="nil"/>
              <w:right w:val="single" w:sz="6" w:space="0" w:color="auto"/>
            </w:tcBorders>
            <w:hideMark/>
          </w:tcPr>
          <w:p w14:paraId="6DCAE26A" w14:textId="77777777" w:rsidR="007F2C3D" w:rsidRPr="00B369EB" w:rsidRDefault="001C673E">
            <w:pPr>
              <w:spacing w:before="120"/>
              <w:jc w:val="center"/>
              <w:rPr>
                <w:rFonts w:cs="Arial"/>
              </w:rPr>
            </w:pPr>
            <w:r w:rsidRPr="00B369EB">
              <w:rPr>
                <w:rFonts w:cs="Arial"/>
              </w:rPr>
              <w:t>2</w:t>
            </w:r>
          </w:p>
        </w:tc>
        <w:tc>
          <w:tcPr>
            <w:tcW w:w="828" w:type="dxa"/>
            <w:tcBorders>
              <w:top w:val="single" w:sz="6" w:space="0" w:color="auto"/>
              <w:left w:val="single" w:sz="6" w:space="0" w:color="auto"/>
              <w:bottom w:val="nil"/>
              <w:right w:val="single" w:sz="12" w:space="0" w:color="auto"/>
            </w:tcBorders>
            <w:shd w:val="clear" w:color="auto" w:fill="D9D9D9"/>
            <w:hideMark/>
          </w:tcPr>
          <w:p w14:paraId="1B5CEDF4" w14:textId="77777777" w:rsidR="007F2C3D" w:rsidRPr="00B369EB" w:rsidRDefault="001C673E">
            <w:pPr>
              <w:spacing w:before="120"/>
              <w:jc w:val="center"/>
              <w:rPr>
                <w:rFonts w:cs="Arial"/>
              </w:rPr>
            </w:pPr>
            <w:r w:rsidRPr="00B369EB">
              <w:rPr>
                <w:rFonts w:cs="Arial"/>
              </w:rPr>
              <w:t>11</w:t>
            </w:r>
          </w:p>
        </w:tc>
        <w:tc>
          <w:tcPr>
            <w:tcW w:w="1134" w:type="dxa"/>
            <w:tcBorders>
              <w:top w:val="single" w:sz="6" w:space="0" w:color="auto"/>
              <w:left w:val="nil"/>
              <w:bottom w:val="nil"/>
              <w:right w:val="single" w:sz="12" w:space="0" w:color="auto"/>
            </w:tcBorders>
            <w:hideMark/>
          </w:tcPr>
          <w:p w14:paraId="57215D6A" w14:textId="77777777" w:rsidR="007F2C3D" w:rsidRPr="00B369EB" w:rsidRDefault="001C673E">
            <w:pPr>
              <w:spacing w:before="120"/>
              <w:jc w:val="center"/>
              <w:rPr>
                <w:rFonts w:cs="Arial"/>
              </w:rPr>
            </w:pPr>
            <w:r w:rsidRPr="00B369EB">
              <w:rPr>
                <w:rFonts w:cs="Arial"/>
              </w:rPr>
              <w:t>6</w:t>
            </w:r>
          </w:p>
        </w:tc>
        <w:tc>
          <w:tcPr>
            <w:tcW w:w="1275" w:type="dxa"/>
            <w:tcBorders>
              <w:top w:val="single" w:sz="6" w:space="0" w:color="auto"/>
              <w:left w:val="nil"/>
              <w:bottom w:val="nil"/>
              <w:right w:val="single" w:sz="6" w:space="0" w:color="auto"/>
            </w:tcBorders>
            <w:shd w:val="clear" w:color="auto" w:fill="D9D9D9"/>
            <w:hideMark/>
          </w:tcPr>
          <w:p w14:paraId="3609990E" w14:textId="77777777" w:rsidR="007F2C3D" w:rsidRPr="00B369EB" w:rsidRDefault="001C673E">
            <w:pPr>
              <w:spacing w:before="120"/>
              <w:jc w:val="center"/>
              <w:rPr>
                <w:rFonts w:cs="Arial"/>
              </w:rPr>
            </w:pPr>
            <w:r w:rsidRPr="00B369EB">
              <w:rPr>
                <w:rFonts w:cs="Arial"/>
              </w:rPr>
              <w:t>255</w:t>
            </w:r>
          </w:p>
        </w:tc>
      </w:tr>
      <w:tr w:rsidR="00BC5748" w:rsidRPr="00B369EB" w14:paraId="00ED6EA9" w14:textId="77777777" w:rsidTr="004E1AB4">
        <w:tc>
          <w:tcPr>
            <w:tcW w:w="1552" w:type="dxa"/>
            <w:tcBorders>
              <w:top w:val="single" w:sz="6" w:space="0" w:color="auto"/>
              <w:left w:val="single" w:sz="6" w:space="0" w:color="auto"/>
              <w:bottom w:val="nil"/>
              <w:right w:val="single" w:sz="12" w:space="0" w:color="auto"/>
            </w:tcBorders>
            <w:hideMark/>
          </w:tcPr>
          <w:p w14:paraId="4F7EBDFF" w14:textId="16B03CC5" w:rsidR="007F2C3D" w:rsidRPr="00B369EB" w:rsidRDefault="001C673E">
            <w:pPr>
              <w:spacing w:before="120"/>
              <w:jc w:val="center"/>
              <w:rPr>
                <w:rFonts w:cs="Arial"/>
              </w:rPr>
            </w:pPr>
            <w:r w:rsidRPr="00B369EB">
              <w:rPr>
                <w:rFonts w:cs="Arial"/>
              </w:rPr>
              <w:t>Fruta</w:t>
            </w:r>
            <w:r w:rsidR="004E1AB4">
              <w:rPr>
                <w:rFonts w:cs="Arial"/>
              </w:rPr>
              <w:t>les</w:t>
            </w:r>
          </w:p>
        </w:tc>
        <w:tc>
          <w:tcPr>
            <w:tcW w:w="1134" w:type="dxa"/>
            <w:tcBorders>
              <w:top w:val="single" w:sz="6" w:space="0" w:color="auto"/>
              <w:left w:val="nil"/>
              <w:bottom w:val="nil"/>
              <w:right w:val="single" w:sz="6" w:space="0" w:color="auto"/>
            </w:tcBorders>
            <w:hideMark/>
          </w:tcPr>
          <w:p w14:paraId="4C4BC3AA" w14:textId="77777777" w:rsidR="007F2C3D" w:rsidRPr="00B369EB" w:rsidRDefault="001C673E">
            <w:pPr>
              <w:spacing w:before="120"/>
              <w:jc w:val="center"/>
              <w:rPr>
                <w:rFonts w:cs="Arial"/>
              </w:rPr>
            </w:pPr>
            <w:r w:rsidRPr="00B369EB">
              <w:rPr>
                <w:rFonts w:cs="Arial"/>
              </w:rPr>
              <w:t>0</w:t>
            </w:r>
          </w:p>
        </w:tc>
        <w:tc>
          <w:tcPr>
            <w:tcW w:w="850" w:type="dxa"/>
            <w:tcBorders>
              <w:top w:val="single" w:sz="6" w:space="0" w:color="auto"/>
              <w:left w:val="single" w:sz="6" w:space="0" w:color="auto"/>
              <w:bottom w:val="nil"/>
              <w:right w:val="single" w:sz="6" w:space="0" w:color="auto"/>
            </w:tcBorders>
            <w:hideMark/>
          </w:tcPr>
          <w:p w14:paraId="119E3D68" w14:textId="77777777" w:rsidR="007F2C3D" w:rsidRPr="00B369EB" w:rsidRDefault="001C673E">
            <w:pPr>
              <w:spacing w:before="120"/>
              <w:jc w:val="center"/>
              <w:rPr>
                <w:rFonts w:cs="Arial"/>
              </w:rPr>
            </w:pPr>
            <w:r w:rsidRPr="00B369EB">
              <w:rPr>
                <w:rFonts w:cs="Arial"/>
              </w:rPr>
              <w:t>2</w:t>
            </w:r>
          </w:p>
        </w:tc>
        <w:tc>
          <w:tcPr>
            <w:tcW w:w="851" w:type="dxa"/>
            <w:tcBorders>
              <w:top w:val="single" w:sz="6" w:space="0" w:color="auto"/>
              <w:left w:val="single" w:sz="6" w:space="0" w:color="auto"/>
              <w:bottom w:val="nil"/>
              <w:right w:val="single" w:sz="12" w:space="0" w:color="auto"/>
            </w:tcBorders>
            <w:shd w:val="clear" w:color="auto" w:fill="D9D9D9"/>
            <w:hideMark/>
          </w:tcPr>
          <w:p w14:paraId="7EA680CA" w14:textId="77777777" w:rsidR="007F2C3D" w:rsidRPr="00B369EB" w:rsidRDefault="001C673E">
            <w:pPr>
              <w:spacing w:before="120"/>
              <w:jc w:val="center"/>
              <w:rPr>
                <w:rFonts w:cs="Arial"/>
              </w:rPr>
            </w:pPr>
            <w:r w:rsidRPr="00B369EB">
              <w:rPr>
                <w:rFonts w:cs="Arial"/>
              </w:rPr>
              <w:t>2</w:t>
            </w:r>
          </w:p>
        </w:tc>
        <w:tc>
          <w:tcPr>
            <w:tcW w:w="1134" w:type="dxa"/>
            <w:tcBorders>
              <w:top w:val="single" w:sz="6" w:space="0" w:color="auto"/>
              <w:left w:val="nil"/>
              <w:bottom w:val="nil"/>
              <w:right w:val="single" w:sz="6" w:space="0" w:color="auto"/>
            </w:tcBorders>
            <w:hideMark/>
          </w:tcPr>
          <w:p w14:paraId="54A7C68F" w14:textId="77777777" w:rsidR="007F2C3D" w:rsidRPr="00B369EB" w:rsidRDefault="001C673E">
            <w:pPr>
              <w:pStyle w:val="Footer"/>
              <w:tabs>
                <w:tab w:val="left" w:pos="708"/>
              </w:tabs>
              <w:spacing w:before="120"/>
              <w:jc w:val="center"/>
              <w:rPr>
                <w:rFonts w:cs="Arial"/>
                <w:sz w:val="20"/>
                <w:lang w:val="es-ES_tradnl"/>
              </w:rPr>
            </w:pPr>
            <w:r w:rsidRPr="00B369EB">
              <w:rPr>
                <w:rFonts w:cs="Arial"/>
                <w:sz w:val="20"/>
                <w:lang w:val="es-ES_tradnl"/>
              </w:rPr>
              <w:t>11</w:t>
            </w:r>
          </w:p>
        </w:tc>
        <w:tc>
          <w:tcPr>
            <w:tcW w:w="873" w:type="dxa"/>
            <w:tcBorders>
              <w:top w:val="single" w:sz="6" w:space="0" w:color="auto"/>
              <w:left w:val="single" w:sz="6" w:space="0" w:color="auto"/>
              <w:bottom w:val="nil"/>
              <w:right w:val="single" w:sz="6" w:space="0" w:color="auto"/>
            </w:tcBorders>
            <w:hideMark/>
          </w:tcPr>
          <w:p w14:paraId="43793B7C" w14:textId="77777777" w:rsidR="007F2C3D" w:rsidRPr="00B369EB" w:rsidRDefault="001C673E">
            <w:pPr>
              <w:spacing w:before="120"/>
              <w:jc w:val="center"/>
              <w:rPr>
                <w:rFonts w:cs="Arial"/>
              </w:rPr>
            </w:pPr>
            <w:r w:rsidRPr="00B369EB">
              <w:rPr>
                <w:rFonts w:cs="Arial"/>
              </w:rPr>
              <w:t>3</w:t>
            </w:r>
          </w:p>
        </w:tc>
        <w:tc>
          <w:tcPr>
            <w:tcW w:w="828" w:type="dxa"/>
            <w:tcBorders>
              <w:top w:val="single" w:sz="6" w:space="0" w:color="auto"/>
              <w:left w:val="single" w:sz="6" w:space="0" w:color="auto"/>
              <w:bottom w:val="nil"/>
              <w:right w:val="single" w:sz="12" w:space="0" w:color="auto"/>
            </w:tcBorders>
            <w:shd w:val="clear" w:color="auto" w:fill="D9D9D9"/>
            <w:hideMark/>
          </w:tcPr>
          <w:p w14:paraId="1CEBCE3A" w14:textId="77777777" w:rsidR="007F2C3D" w:rsidRPr="00B369EB" w:rsidRDefault="001C673E">
            <w:pPr>
              <w:spacing w:before="120"/>
              <w:jc w:val="center"/>
              <w:rPr>
                <w:rFonts w:cs="Arial"/>
              </w:rPr>
            </w:pPr>
            <w:r w:rsidRPr="00B369EB">
              <w:rPr>
                <w:rFonts w:cs="Arial"/>
              </w:rPr>
              <w:t>14</w:t>
            </w:r>
          </w:p>
        </w:tc>
        <w:tc>
          <w:tcPr>
            <w:tcW w:w="1134" w:type="dxa"/>
            <w:tcBorders>
              <w:top w:val="single" w:sz="6" w:space="0" w:color="auto"/>
              <w:left w:val="nil"/>
              <w:bottom w:val="nil"/>
              <w:right w:val="single" w:sz="12" w:space="0" w:color="auto"/>
            </w:tcBorders>
            <w:hideMark/>
          </w:tcPr>
          <w:p w14:paraId="1D535A2B" w14:textId="77777777" w:rsidR="007F2C3D" w:rsidRPr="00B369EB" w:rsidRDefault="001C673E">
            <w:pPr>
              <w:spacing w:before="120"/>
              <w:jc w:val="center"/>
              <w:rPr>
                <w:rFonts w:cs="Arial"/>
              </w:rPr>
            </w:pPr>
            <w:r w:rsidRPr="00B369EB">
              <w:rPr>
                <w:rFonts w:cs="Arial"/>
              </w:rPr>
              <w:t>6</w:t>
            </w:r>
          </w:p>
        </w:tc>
        <w:tc>
          <w:tcPr>
            <w:tcW w:w="1275" w:type="dxa"/>
            <w:tcBorders>
              <w:top w:val="single" w:sz="6" w:space="0" w:color="auto"/>
              <w:left w:val="nil"/>
              <w:bottom w:val="nil"/>
              <w:right w:val="single" w:sz="6" w:space="0" w:color="auto"/>
            </w:tcBorders>
            <w:shd w:val="clear" w:color="auto" w:fill="D9D9D9"/>
            <w:hideMark/>
          </w:tcPr>
          <w:p w14:paraId="21B6E7F5" w14:textId="77777777" w:rsidR="007F2C3D" w:rsidRPr="00B369EB" w:rsidRDefault="001C673E">
            <w:pPr>
              <w:spacing w:before="120"/>
              <w:jc w:val="center"/>
              <w:rPr>
                <w:rFonts w:cs="Arial"/>
              </w:rPr>
            </w:pPr>
            <w:r w:rsidRPr="00B369EB">
              <w:rPr>
                <w:rFonts w:cs="Arial"/>
              </w:rPr>
              <w:t>123</w:t>
            </w:r>
          </w:p>
        </w:tc>
      </w:tr>
      <w:tr w:rsidR="00BC5748" w:rsidRPr="00B369EB" w14:paraId="10F18EB4" w14:textId="77777777" w:rsidTr="004E1AB4">
        <w:tc>
          <w:tcPr>
            <w:tcW w:w="1552" w:type="dxa"/>
            <w:tcBorders>
              <w:top w:val="single" w:sz="12" w:space="0" w:color="auto"/>
              <w:left w:val="single" w:sz="6" w:space="0" w:color="auto"/>
              <w:bottom w:val="single" w:sz="6" w:space="0" w:color="auto"/>
              <w:right w:val="single" w:sz="12" w:space="0" w:color="auto"/>
            </w:tcBorders>
            <w:shd w:val="clear" w:color="auto" w:fill="FFFFFF"/>
            <w:hideMark/>
          </w:tcPr>
          <w:p w14:paraId="2FBAF5E7" w14:textId="77777777" w:rsidR="007F2C3D" w:rsidRPr="00B369EB" w:rsidRDefault="001C673E">
            <w:pPr>
              <w:spacing w:before="120"/>
              <w:jc w:val="center"/>
              <w:rPr>
                <w:rFonts w:cs="Arial"/>
              </w:rPr>
            </w:pPr>
            <w:r w:rsidRPr="00B369EB">
              <w:rPr>
                <w:rFonts w:cs="Arial"/>
                <w:b/>
              </w:rPr>
              <w:t>Total</w:t>
            </w:r>
          </w:p>
        </w:tc>
        <w:tc>
          <w:tcPr>
            <w:tcW w:w="1134" w:type="dxa"/>
            <w:tcBorders>
              <w:top w:val="single" w:sz="12" w:space="0" w:color="auto"/>
              <w:left w:val="nil"/>
              <w:bottom w:val="single" w:sz="6" w:space="0" w:color="auto"/>
              <w:right w:val="single" w:sz="6" w:space="0" w:color="auto"/>
            </w:tcBorders>
            <w:shd w:val="clear" w:color="auto" w:fill="D9D9D9"/>
            <w:hideMark/>
          </w:tcPr>
          <w:p w14:paraId="327874B7" w14:textId="77777777" w:rsidR="007F2C3D" w:rsidRPr="00B369EB" w:rsidRDefault="001C673E">
            <w:pPr>
              <w:spacing w:before="120"/>
              <w:jc w:val="center"/>
              <w:rPr>
                <w:rFonts w:cs="Arial"/>
                <w:b/>
              </w:rPr>
            </w:pPr>
            <w:r w:rsidRPr="00B369EB">
              <w:rPr>
                <w:rFonts w:cs="Arial"/>
                <w:b/>
              </w:rPr>
              <w:t>44</w:t>
            </w:r>
          </w:p>
        </w:tc>
        <w:tc>
          <w:tcPr>
            <w:tcW w:w="850" w:type="dxa"/>
            <w:tcBorders>
              <w:top w:val="single" w:sz="12" w:space="0" w:color="auto"/>
              <w:left w:val="single" w:sz="6" w:space="0" w:color="auto"/>
              <w:bottom w:val="single" w:sz="6" w:space="0" w:color="auto"/>
              <w:right w:val="single" w:sz="6" w:space="0" w:color="auto"/>
            </w:tcBorders>
            <w:shd w:val="clear" w:color="auto" w:fill="D9D9D9"/>
            <w:hideMark/>
          </w:tcPr>
          <w:p w14:paraId="52224EA2" w14:textId="77777777" w:rsidR="007F2C3D" w:rsidRPr="00B369EB" w:rsidRDefault="001C673E">
            <w:pPr>
              <w:spacing w:before="120"/>
              <w:jc w:val="center"/>
              <w:rPr>
                <w:rFonts w:cs="Arial"/>
                <w:b/>
              </w:rPr>
            </w:pPr>
            <w:r w:rsidRPr="00B369EB">
              <w:rPr>
                <w:rFonts w:cs="Arial"/>
                <w:b/>
              </w:rPr>
              <w:t>42</w:t>
            </w:r>
          </w:p>
        </w:tc>
        <w:tc>
          <w:tcPr>
            <w:tcW w:w="851" w:type="dxa"/>
            <w:tcBorders>
              <w:top w:val="single" w:sz="12" w:space="0" w:color="auto"/>
              <w:left w:val="single" w:sz="6" w:space="0" w:color="auto"/>
              <w:bottom w:val="single" w:sz="6" w:space="0" w:color="auto"/>
              <w:right w:val="single" w:sz="12" w:space="0" w:color="auto"/>
            </w:tcBorders>
            <w:shd w:val="clear" w:color="auto" w:fill="D9D9D9"/>
            <w:hideMark/>
          </w:tcPr>
          <w:p w14:paraId="092F7D40" w14:textId="77777777" w:rsidR="007F2C3D" w:rsidRPr="00B369EB" w:rsidRDefault="001C673E">
            <w:pPr>
              <w:spacing w:before="120"/>
              <w:jc w:val="center"/>
              <w:rPr>
                <w:rFonts w:cs="Arial"/>
                <w:b/>
              </w:rPr>
            </w:pPr>
            <w:r w:rsidRPr="00B369EB">
              <w:rPr>
                <w:rFonts w:cs="Arial"/>
                <w:b/>
              </w:rPr>
              <w:t>86</w:t>
            </w:r>
          </w:p>
        </w:tc>
        <w:tc>
          <w:tcPr>
            <w:tcW w:w="1134" w:type="dxa"/>
            <w:tcBorders>
              <w:top w:val="single" w:sz="12" w:space="0" w:color="auto"/>
              <w:left w:val="nil"/>
              <w:bottom w:val="single" w:sz="6" w:space="0" w:color="auto"/>
              <w:right w:val="single" w:sz="6" w:space="0" w:color="auto"/>
            </w:tcBorders>
            <w:shd w:val="clear" w:color="auto" w:fill="D9D9D9"/>
            <w:hideMark/>
          </w:tcPr>
          <w:p w14:paraId="7DE4BAB1" w14:textId="77777777" w:rsidR="007F2C3D" w:rsidRPr="00B369EB" w:rsidRDefault="001C673E">
            <w:pPr>
              <w:spacing w:before="120"/>
              <w:jc w:val="center"/>
              <w:rPr>
                <w:rFonts w:cs="Arial"/>
                <w:b/>
              </w:rPr>
            </w:pPr>
            <w:r w:rsidRPr="00B369EB">
              <w:rPr>
                <w:rFonts w:cs="Arial"/>
                <w:b/>
              </w:rPr>
              <w:t>60</w:t>
            </w:r>
          </w:p>
        </w:tc>
        <w:tc>
          <w:tcPr>
            <w:tcW w:w="873" w:type="dxa"/>
            <w:tcBorders>
              <w:top w:val="single" w:sz="12" w:space="0" w:color="auto"/>
              <w:left w:val="single" w:sz="6" w:space="0" w:color="auto"/>
              <w:bottom w:val="single" w:sz="6" w:space="0" w:color="auto"/>
              <w:right w:val="single" w:sz="6" w:space="0" w:color="auto"/>
            </w:tcBorders>
            <w:shd w:val="clear" w:color="auto" w:fill="D9D9D9"/>
            <w:hideMark/>
          </w:tcPr>
          <w:p w14:paraId="4ADB0C37" w14:textId="77777777" w:rsidR="007F2C3D" w:rsidRPr="00B369EB" w:rsidRDefault="001C673E">
            <w:pPr>
              <w:spacing w:before="120"/>
              <w:jc w:val="center"/>
              <w:rPr>
                <w:rFonts w:cs="Arial"/>
                <w:b/>
              </w:rPr>
            </w:pPr>
            <w:r w:rsidRPr="00B369EB">
              <w:rPr>
                <w:rFonts w:cs="Arial"/>
                <w:b/>
              </w:rPr>
              <w:t>10</w:t>
            </w:r>
          </w:p>
        </w:tc>
        <w:tc>
          <w:tcPr>
            <w:tcW w:w="828" w:type="dxa"/>
            <w:tcBorders>
              <w:top w:val="single" w:sz="12" w:space="0" w:color="auto"/>
              <w:left w:val="single" w:sz="6" w:space="0" w:color="auto"/>
              <w:bottom w:val="single" w:sz="6" w:space="0" w:color="auto"/>
              <w:right w:val="single" w:sz="12" w:space="0" w:color="auto"/>
            </w:tcBorders>
            <w:shd w:val="clear" w:color="auto" w:fill="D9D9D9"/>
            <w:hideMark/>
          </w:tcPr>
          <w:p w14:paraId="507073D2" w14:textId="77777777" w:rsidR="007F2C3D" w:rsidRPr="00B369EB" w:rsidRDefault="001C673E">
            <w:pPr>
              <w:spacing w:before="120"/>
              <w:jc w:val="center"/>
              <w:rPr>
                <w:rFonts w:cs="Arial"/>
                <w:b/>
              </w:rPr>
            </w:pPr>
            <w:r w:rsidRPr="00B369EB">
              <w:rPr>
                <w:rFonts w:cs="Arial"/>
                <w:b/>
              </w:rPr>
              <w:t>70</w:t>
            </w:r>
          </w:p>
        </w:tc>
        <w:tc>
          <w:tcPr>
            <w:tcW w:w="1134" w:type="dxa"/>
            <w:tcBorders>
              <w:top w:val="single" w:sz="12" w:space="0" w:color="auto"/>
              <w:left w:val="nil"/>
              <w:bottom w:val="single" w:sz="6" w:space="0" w:color="auto"/>
              <w:right w:val="single" w:sz="12" w:space="0" w:color="auto"/>
            </w:tcBorders>
            <w:shd w:val="clear" w:color="auto" w:fill="D9D9D9"/>
            <w:hideMark/>
          </w:tcPr>
          <w:p w14:paraId="051810F7" w14:textId="77777777" w:rsidR="007F2C3D" w:rsidRPr="00B369EB" w:rsidRDefault="001C673E">
            <w:pPr>
              <w:spacing w:before="120"/>
              <w:jc w:val="center"/>
              <w:rPr>
                <w:rFonts w:cs="Arial"/>
                <w:b/>
              </w:rPr>
            </w:pPr>
            <w:r w:rsidRPr="00B369EB">
              <w:rPr>
                <w:rFonts w:cs="Arial"/>
                <w:b/>
              </w:rPr>
              <w:t>51</w:t>
            </w:r>
          </w:p>
        </w:tc>
        <w:tc>
          <w:tcPr>
            <w:tcW w:w="1275" w:type="dxa"/>
            <w:tcBorders>
              <w:top w:val="single" w:sz="12" w:space="0" w:color="auto"/>
              <w:left w:val="nil"/>
              <w:bottom w:val="single" w:sz="6" w:space="0" w:color="auto"/>
              <w:right w:val="single" w:sz="6" w:space="0" w:color="auto"/>
            </w:tcBorders>
            <w:shd w:val="clear" w:color="auto" w:fill="D9D9D9"/>
            <w:hideMark/>
          </w:tcPr>
          <w:p w14:paraId="074F86C3" w14:textId="77777777" w:rsidR="007F2C3D" w:rsidRPr="00B369EB" w:rsidRDefault="001C673E">
            <w:pPr>
              <w:spacing w:before="120"/>
              <w:jc w:val="center"/>
              <w:rPr>
                <w:rFonts w:cs="Arial"/>
                <w:b/>
              </w:rPr>
            </w:pPr>
            <w:r w:rsidRPr="00B369EB">
              <w:rPr>
                <w:rFonts w:cs="Arial"/>
                <w:b/>
              </w:rPr>
              <w:t>1329</w:t>
            </w:r>
          </w:p>
        </w:tc>
      </w:tr>
    </w:tbl>
    <w:p w14:paraId="1DFC5B25" w14:textId="77777777" w:rsidR="00BC5748" w:rsidRPr="00B369EB" w:rsidRDefault="00BC5748" w:rsidP="00BC5748">
      <w:pPr>
        <w:tabs>
          <w:tab w:val="left" w:pos="4962"/>
        </w:tabs>
        <w:rPr>
          <w:rFonts w:cs="Arial"/>
          <w:u w:val="single"/>
        </w:rPr>
      </w:pPr>
    </w:p>
    <w:p w14:paraId="7541666A" w14:textId="77777777" w:rsidR="00BC5748" w:rsidRPr="00B369EB" w:rsidRDefault="00BC5748" w:rsidP="00BC5748">
      <w:pPr>
        <w:tabs>
          <w:tab w:val="left" w:pos="4962"/>
        </w:tabs>
        <w:rPr>
          <w:rFonts w:cs="Arial"/>
          <w:u w:val="single"/>
        </w:rPr>
      </w:pPr>
    </w:p>
    <w:p w14:paraId="6902F7C0" w14:textId="77777777" w:rsidR="007F2C3D" w:rsidRPr="00B369EB" w:rsidRDefault="001C673E">
      <w:pPr>
        <w:keepNext/>
        <w:tabs>
          <w:tab w:val="left" w:pos="567"/>
          <w:tab w:val="left" w:pos="4962"/>
        </w:tabs>
        <w:rPr>
          <w:rFonts w:cs="Arial"/>
          <w:u w:val="single"/>
        </w:rPr>
      </w:pPr>
      <w:r w:rsidRPr="00B369EB">
        <w:rPr>
          <w:rFonts w:cs="Arial"/>
        </w:rPr>
        <w:lastRenderedPageBreak/>
        <w:t>5.</w:t>
      </w:r>
      <w:r w:rsidRPr="00B369EB">
        <w:rPr>
          <w:rFonts w:cs="Arial"/>
        </w:rPr>
        <w:tab/>
      </w:r>
      <w:r w:rsidRPr="00B369EB">
        <w:rPr>
          <w:rFonts w:cs="Arial"/>
          <w:u w:val="single"/>
        </w:rPr>
        <w:t>Actividades de fomento de la protección de las obtenciones vegetales</w:t>
      </w:r>
    </w:p>
    <w:p w14:paraId="31E77BB5" w14:textId="77777777" w:rsidR="00BC5748" w:rsidRPr="00B369EB" w:rsidRDefault="00BC5748" w:rsidP="00BC5748">
      <w:pPr>
        <w:keepNext/>
        <w:tabs>
          <w:tab w:val="left" w:pos="567"/>
          <w:tab w:val="left" w:pos="4962"/>
        </w:tabs>
        <w:rPr>
          <w:rFonts w:cs="Arial"/>
          <w:u w:val="single"/>
        </w:rPr>
      </w:pPr>
    </w:p>
    <w:p w14:paraId="1881AB5E" w14:textId="77777777" w:rsidR="007F2C3D" w:rsidRPr="00B369EB" w:rsidRDefault="001C673E">
      <w:pPr>
        <w:pStyle w:val="BodyText"/>
        <w:keepNext/>
        <w:rPr>
          <w:rFonts w:cs="Arial"/>
        </w:rPr>
      </w:pPr>
      <w:r w:rsidRPr="00B369EB">
        <w:rPr>
          <w:rFonts w:cs="Arial"/>
        </w:rPr>
        <w:t xml:space="preserve">Representantes de Polonia participan regularmente en las sesiones de los órganos de la UPOV y en los Grupos de Trabajo Técnico de la UPOV. </w:t>
      </w:r>
    </w:p>
    <w:p w14:paraId="4197FC1B" w14:textId="77777777" w:rsidR="00BC5748" w:rsidRPr="00B369EB" w:rsidRDefault="00BC5748" w:rsidP="00BC5748">
      <w:pPr>
        <w:pStyle w:val="BodyText"/>
        <w:keepNext/>
        <w:rPr>
          <w:rFonts w:cs="Arial"/>
        </w:rPr>
      </w:pPr>
    </w:p>
    <w:p w14:paraId="7EAF722B" w14:textId="77777777" w:rsidR="007F2C3D" w:rsidRPr="00B369EB" w:rsidRDefault="001C673E">
      <w:pPr>
        <w:pStyle w:val="BodyText"/>
        <w:rPr>
          <w:rFonts w:cs="Arial"/>
        </w:rPr>
      </w:pPr>
      <w:r w:rsidRPr="00B369EB">
        <w:rPr>
          <w:rFonts w:cs="Arial"/>
        </w:rPr>
        <w:t>Además, representantes polacos participan en las reuniones del Comité Permanente de la DG SANTE de Bruselas, así como en las reuniones del Consejo de Administración de la OCVV.</w:t>
      </w:r>
    </w:p>
    <w:p w14:paraId="2BBBDE13" w14:textId="77777777" w:rsidR="00BC5748" w:rsidRPr="00B369EB" w:rsidRDefault="00BC5748" w:rsidP="00BC5748">
      <w:pPr>
        <w:tabs>
          <w:tab w:val="left" w:pos="4962"/>
        </w:tabs>
        <w:rPr>
          <w:rFonts w:cs="Arial"/>
        </w:rPr>
      </w:pPr>
    </w:p>
    <w:p w14:paraId="61433B85" w14:textId="77777777" w:rsidR="007F2C3D" w:rsidRPr="00B369EB" w:rsidRDefault="001C673E">
      <w:pPr>
        <w:tabs>
          <w:tab w:val="left" w:pos="4962"/>
        </w:tabs>
        <w:rPr>
          <w:rFonts w:cs="Arial"/>
          <w:color w:val="000000" w:themeColor="text1"/>
        </w:rPr>
      </w:pPr>
      <w:r w:rsidRPr="00B369EB">
        <w:rPr>
          <w:rFonts w:cs="Arial"/>
          <w:color w:val="000000" w:themeColor="text1"/>
        </w:rPr>
        <w:t>En el período objeto de examen, los cursos de enseñanza a distancia de la UPOV: "Introducción al sistema de la UPOV de protección de las variedades vegetales en virtud del Convenio de la UPOV</w:t>
      </w:r>
      <w:r w:rsidR="007018E1" w:rsidRPr="00B369EB">
        <w:rPr>
          <w:rFonts w:cs="Arial"/>
          <w:color w:val="000000" w:themeColor="text1"/>
        </w:rPr>
        <w:t xml:space="preserve">" </w:t>
      </w:r>
      <w:r w:rsidRPr="00B369EB">
        <w:rPr>
          <w:rFonts w:cs="Arial"/>
          <w:color w:val="000000" w:themeColor="text1"/>
        </w:rPr>
        <w:t xml:space="preserve">(DL-205), </w:t>
      </w:r>
      <w:r w:rsidR="007018E1" w:rsidRPr="00B369EB">
        <w:rPr>
          <w:rFonts w:cs="Arial"/>
          <w:color w:val="000000" w:themeColor="text1"/>
        </w:rPr>
        <w:t>"</w:t>
      </w:r>
      <w:r w:rsidRPr="00B369EB">
        <w:rPr>
          <w:rFonts w:cs="Arial"/>
          <w:color w:val="000000" w:themeColor="text1"/>
        </w:rPr>
        <w:t xml:space="preserve">Administración de los derechos </w:t>
      </w:r>
      <w:r w:rsidR="007018E1" w:rsidRPr="00B369EB">
        <w:rPr>
          <w:rFonts w:cs="Arial"/>
          <w:color w:val="000000" w:themeColor="text1"/>
        </w:rPr>
        <w:t>de</w:t>
      </w:r>
      <w:r w:rsidRPr="00B369EB">
        <w:rPr>
          <w:rFonts w:cs="Arial"/>
          <w:color w:val="000000" w:themeColor="text1"/>
        </w:rPr>
        <w:t xml:space="preserve"> obtentor</w:t>
      </w:r>
      <w:r w:rsidR="007018E1" w:rsidRPr="00B369EB">
        <w:rPr>
          <w:rFonts w:cs="Arial"/>
          <w:color w:val="000000" w:themeColor="text1"/>
        </w:rPr>
        <w:t xml:space="preserve">" </w:t>
      </w:r>
      <w:r w:rsidRPr="00B369EB">
        <w:rPr>
          <w:rFonts w:cs="Arial"/>
          <w:color w:val="000000" w:themeColor="text1"/>
        </w:rPr>
        <w:t xml:space="preserve">(Parte A del curso DL-305: Examen de las solicitudes de derechos de obtentor) y "Examen DHE (Parte B del curso DL-305: Examen de solicitudes de derechos de </w:t>
      </w:r>
      <w:r w:rsidR="007018E1" w:rsidRPr="00B369EB">
        <w:rPr>
          <w:rFonts w:cs="Arial"/>
          <w:color w:val="000000" w:themeColor="text1"/>
        </w:rPr>
        <w:t>obtentor</w:t>
      </w:r>
      <w:r w:rsidRPr="00B369EB">
        <w:rPr>
          <w:rFonts w:cs="Arial"/>
          <w:color w:val="000000" w:themeColor="text1"/>
        </w:rPr>
        <w:t>)</w:t>
      </w:r>
      <w:r w:rsidR="007018E1" w:rsidRPr="00B369EB">
        <w:rPr>
          <w:rFonts w:cs="Arial"/>
          <w:color w:val="000000" w:themeColor="text1"/>
        </w:rPr>
        <w:t xml:space="preserve">" </w:t>
      </w:r>
      <w:r w:rsidRPr="00B369EB">
        <w:rPr>
          <w:rFonts w:cs="Arial"/>
          <w:color w:val="000000" w:themeColor="text1"/>
        </w:rPr>
        <w:t>han sido completados con éxito por veintiocho expertos o especialistas del COBORU.</w:t>
      </w:r>
    </w:p>
    <w:p w14:paraId="6B4F3521" w14:textId="77777777" w:rsidR="00BC5748" w:rsidRPr="00B369EB" w:rsidRDefault="00BC5748" w:rsidP="00BC5748">
      <w:pPr>
        <w:tabs>
          <w:tab w:val="left" w:pos="4962"/>
        </w:tabs>
        <w:rPr>
          <w:rFonts w:cs="Arial"/>
        </w:rPr>
      </w:pPr>
    </w:p>
    <w:p w14:paraId="58B62EB2" w14:textId="77777777" w:rsidR="007F2C3D" w:rsidRPr="00B369EB" w:rsidRDefault="001C673E">
      <w:pPr>
        <w:pStyle w:val="BodyText"/>
        <w:tabs>
          <w:tab w:val="left" w:pos="567"/>
        </w:tabs>
        <w:rPr>
          <w:rFonts w:cs="Arial"/>
          <w:i/>
          <w:iCs/>
        </w:rPr>
      </w:pPr>
      <w:r w:rsidRPr="00B369EB">
        <w:rPr>
          <w:rFonts w:cs="Arial"/>
          <w:i/>
          <w:iCs/>
        </w:rPr>
        <w:t>Publicaciones</w:t>
      </w:r>
    </w:p>
    <w:p w14:paraId="602A384E" w14:textId="77777777" w:rsidR="00BC5748" w:rsidRPr="00B369EB" w:rsidRDefault="00BC5748" w:rsidP="00BC5748">
      <w:pPr>
        <w:pStyle w:val="BodyText"/>
        <w:rPr>
          <w:rFonts w:cs="Arial"/>
          <w:u w:val="single"/>
        </w:rPr>
      </w:pPr>
    </w:p>
    <w:p w14:paraId="4EBEF9C7" w14:textId="77777777" w:rsidR="007F2C3D" w:rsidRPr="00B369EB" w:rsidRDefault="001C673E">
      <w:pPr>
        <w:pStyle w:val="BodyText"/>
        <w:rPr>
          <w:rFonts w:cs="Arial"/>
        </w:rPr>
      </w:pPr>
      <w:r w:rsidRPr="00B369EB">
        <w:rPr>
          <w:rFonts w:cs="Arial"/>
        </w:rPr>
        <w:t xml:space="preserve">El COBORU publica cada dos meses la </w:t>
      </w:r>
      <w:r w:rsidRPr="00B369EB">
        <w:rPr>
          <w:rFonts w:cs="Arial"/>
          <w:i/>
          <w:iCs/>
        </w:rPr>
        <w:t xml:space="preserve">Gaceta Polaca de Derechos de Obtentor y Lista Nacional </w:t>
      </w:r>
      <w:r w:rsidRPr="00B369EB">
        <w:rPr>
          <w:rFonts w:cs="Arial"/>
        </w:rPr>
        <w:t>(</w:t>
      </w:r>
      <w:proofErr w:type="spellStart"/>
      <w:r w:rsidRPr="00B369EB">
        <w:rPr>
          <w:rFonts w:cs="Arial"/>
        </w:rPr>
        <w:t>Diariusz</w:t>
      </w:r>
      <w:proofErr w:type="spellEnd"/>
      <w:r w:rsidRPr="00B369EB">
        <w:rPr>
          <w:rFonts w:cs="Arial"/>
        </w:rPr>
        <w:t xml:space="preserve">), que contiene información detallada sobre la protección nacional de los derechos de obtentor y los sistemas de listas nacionales. </w:t>
      </w:r>
    </w:p>
    <w:p w14:paraId="0F812149" w14:textId="77777777" w:rsidR="00BC5748" w:rsidRPr="00B369EB" w:rsidRDefault="00BC5748" w:rsidP="00BC5748">
      <w:pPr>
        <w:pStyle w:val="BodyText"/>
        <w:rPr>
          <w:rFonts w:cs="Arial"/>
        </w:rPr>
      </w:pPr>
    </w:p>
    <w:p w14:paraId="67E6A6C3" w14:textId="77777777" w:rsidR="007F2C3D" w:rsidRPr="00B369EB" w:rsidRDefault="001C673E">
      <w:pPr>
        <w:pStyle w:val="BodyText"/>
        <w:rPr>
          <w:rFonts w:cs="Arial"/>
        </w:rPr>
      </w:pPr>
      <w:r w:rsidRPr="00B369EB">
        <w:rPr>
          <w:rFonts w:cs="Arial"/>
        </w:rPr>
        <w:t xml:space="preserve">La lista de variedades protegidas por derechos de </w:t>
      </w:r>
      <w:r w:rsidR="007018E1" w:rsidRPr="00B369EB">
        <w:rPr>
          <w:rFonts w:cs="Arial"/>
        </w:rPr>
        <w:t>obtentor</w:t>
      </w:r>
      <w:r w:rsidRPr="00B369EB">
        <w:rPr>
          <w:rFonts w:cs="Arial"/>
        </w:rPr>
        <w:t xml:space="preserve"> nacionales (incluidos </w:t>
      </w:r>
      <w:r w:rsidR="007018E1" w:rsidRPr="00B369EB">
        <w:rPr>
          <w:rFonts w:cs="Arial"/>
        </w:rPr>
        <w:t>los</w:t>
      </w:r>
      <w:r w:rsidRPr="00B369EB">
        <w:rPr>
          <w:rFonts w:cs="Arial"/>
        </w:rPr>
        <w:t xml:space="preserve"> derechos de obtentor provisionales), a 30 de junio de 2024, se ha publicado en el tercer número de la </w:t>
      </w:r>
      <w:r w:rsidRPr="00B369EB">
        <w:rPr>
          <w:rFonts w:cs="Arial"/>
          <w:i/>
          <w:iCs/>
        </w:rPr>
        <w:t>Gaceta Polaca de Derechos de Obtentor y Lista Nacional</w:t>
      </w:r>
      <w:r w:rsidRPr="00B369EB">
        <w:rPr>
          <w:rFonts w:cs="Arial"/>
          <w:iCs/>
        </w:rPr>
        <w:t xml:space="preserve">, es decir, </w:t>
      </w:r>
      <w:r w:rsidRPr="00B369EB">
        <w:rPr>
          <w:rFonts w:cs="Arial"/>
        </w:rPr>
        <w:t>el número 3(182)2024.</w:t>
      </w:r>
    </w:p>
    <w:p w14:paraId="16987E5A" w14:textId="77777777" w:rsidR="00BC5748" w:rsidRPr="00B369EB" w:rsidRDefault="00BC5748" w:rsidP="00BC5748">
      <w:pPr>
        <w:pStyle w:val="BodyText"/>
        <w:rPr>
          <w:rFonts w:cs="Arial"/>
        </w:rPr>
      </w:pPr>
    </w:p>
    <w:p w14:paraId="733411AB" w14:textId="77777777" w:rsidR="007F2C3D" w:rsidRPr="00B369EB" w:rsidRDefault="001C673E">
      <w:pPr>
        <w:pStyle w:val="BodyText"/>
        <w:rPr>
          <w:rFonts w:cs="Arial"/>
        </w:rPr>
      </w:pPr>
      <w:r w:rsidRPr="00B369EB">
        <w:rPr>
          <w:rFonts w:cs="Arial"/>
        </w:rPr>
        <w:t xml:space="preserve">El Boletín Oficial también puede consultarse en nuestro sitio web, en la sección: </w:t>
      </w:r>
      <w:r w:rsidRPr="00B369EB">
        <w:rPr>
          <w:rFonts w:cs="Arial"/>
          <w:i/>
          <w:iCs/>
        </w:rPr>
        <w:t>Publicaciones</w:t>
      </w:r>
      <w:r w:rsidRPr="00B369EB">
        <w:rPr>
          <w:rFonts w:cs="Arial"/>
        </w:rPr>
        <w:t>.</w:t>
      </w:r>
    </w:p>
    <w:p w14:paraId="2F96B832" w14:textId="77777777" w:rsidR="00BC5748" w:rsidRPr="00B369EB" w:rsidRDefault="00BC5748" w:rsidP="00BC5748">
      <w:pPr>
        <w:pStyle w:val="BodyText"/>
        <w:rPr>
          <w:rFonts w:cs="Arial"/>
        </w:rPr>
      </w:pPr>
    </w:p>
    <w:p w14:paraId="44251F5E" w14:textId="77777777" w:rsidR="007F2C3D" w:rsidRPr="00B369EB" w:rsidRDefault="001C673E">
      <w:pPr>
        <w:pStyle w:val="BodyText"/>
        <w:rPr>
          <w:rFonts w:cs="Arial"/>
        </w:rPr>
      </w:pPr>
      <w:r w:rsidRPr="00B369EB">
        <w:rPr>
          <w:rFonts w:cs="Arial"/>
        </w:rPr>
        <w:t xml:space="preserve">Además, el Centro de Investigación para el Ensayo de Cultivares mantiene y actualiza sistemáticamente una página web </w:t>
      </w:r>
      <w:hyperlink r:id="rId31" w:history="1">
        <w:r w:rsidRPr="00B369EB">
          <w:rPr>
            <w:rStyle w:val="Hyperlink"/>
            <w:rFonts w:cs="Arial"/>
          </w:rPr>
          <w:t>www.coboru.gov.pl</w:t>
        </w:r>
      </w:hyperlink>
      <w:r w:rsidRPr="00B369EB">
        <w:rPr>
          <w:rFonts w:cs="Arial"/>
        </w:rPr>
        <w:t xml:space="preserve"> que contiene la información oficial sobre cuestiones de protección de las obtenciones vegetales en Polonia.</w:t>
      </w:r>
    </w:p>
    <w:p w14:paraId="5F3144BE" w14:textId="77777777" w:rsidR="00BC5748" w:rsidRPr="00B369EB" w:rsidRDefault="00BC5748" w:rsidP="00BC5748">
      <w:pPr>
        <w:tabs>
          <w:tab w:val="left" w:pos="4962"/>
        </w:tabs>
        <w:rPr>
          <w:rFonts w:cs="Arial"/>
        </w:rPr>
      </w:pPr>
    </w:p>
    <w:p w14:paraId="002726F0" w14:textId="77777777" w:rsidR="007F2C3D" w:rsidRPr="00B369EB" w:rsidRDefault="001C673E">
      <w:pPr>
        <w:tabs>
          <w:tab w:val="left" w:pos="4962"/>
        </w:tabs>
        <w:rPr>
          <w:rFonts w:cs="Arial"/>
        </w:rPr>
      </w:pPr>
      <w:r w:rsidRPr="00B369EB">
        <w:rPr>
          <w:rFonts w:cs="Arial"/>
        </w:rPr>
        <w:t>Durante el periodo cubierto por el informe, COBORU participó en las siguientes actividades de promoción:</w:t>
      </w:r>
    </w:p>
    <w:p w14:paraId="790D669A" w14:textId="77777777" w:rsidR="00BC5748" w:rsidRPr="00B369EB" w:rsidRDefault="00BC5748" w:rsidP="00BC5748">
      <w:pPr>
        <w:tabs>
          <w:tab w:val="left" w:pos="567"/>
          <w:tab w:val="left" w:pos="4962"/>
        </w:tabs>
        <w:rPr>
          <w:rFonts w:cs="Arial"/>
          <w:color w:val="000000"/>
        </w:rPr>
      </w:pP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17"/>
        <w:gridCol w:w="1125"/>
        <w:gridCol w:w="1276"/>
        <w:gridCol w:w="1418"/>
        <w:gridCol w:w="1692"/>
        <w:gridCol w:w="2135"/>
      </w:tblGrid>
      <w:tr w:rsidR="00703092" w:rsidRPr="00B369EB" w14:paraId="6A9E2FD3" w14:textId="77777777" w:rsidTr="00703092">
        <w:trPr>
          <w:trHeight w:val="758"/>
        </w:trPr>
        <w:tc>
          <w:tcPr>
            <w:tcW w:w="2117" w:type="dxa"/>
            <w:hideMark/>
          </w:tcPr>
          <w:p w14:paraId="1226229A" w14:textId="77777777" w:rsidR="007F2C3D" w:rsidRPr="004E1AB4" w:rsidRDefault="001C673E">
            <w:pPr>
              <w:jc w:val="left"/>
              <w:rPr>
                <w:rFonts w:cs="Arial"/>
                <w:sz w:val="16"/>
                <w:szCs w:val="16"/>
              </w:rPr>
            </w:pPr>
            <w:r w:rsidRPr="004E1AB4">
              <w:rPr>
                <w:rFonts w:cs="Arial"/>
                <w:sz w:val="16"/>
                <w:szCs w:val="16"/>
              </w:rPr>
              <w:t>Título de la actividad</w:t>
            </w:r>
          </w:p>
        </w:tc>
        <w:tc>
          <w:tcPr>
            <w:tcW w:w="1125" w:type="dxa"/>
            <w:hideMark/>
          </w:tcPr>
          <w:p w14:paraId="5C0A2B29" w14:textId="77777777" w:rsidR="007F2C3D" w:rsidRPr="004E1AB4" w:rsidRDefault="001C673E">
            <w:pPr>
              <w:jc w:val="left"/>
              <w:rPr>
                <w:rFonts w:cs="Arial"/>
                <w:sz w:val="16"/>
                <w:szCs w:val="16"/>
              </w:rPr>
            </w:pPr>
            <w:r w:rsidRPr="004E1AB4">
              <w:rPr>
                <w:rFonts w:cs="Arial"/>
                <w:sz w:val="16"/>
                <w:szCs w:val="16"/>
              </w:rPr>
              <w:t>Fecha</w:t>
            </w:r>
          </w:p>
        </w:tc>
        <w:tc>
          <w:tcPr>
            <w:tcW w:w="1276" w:type="dxa"/>
            <w:hideMark/>
          </w:tcPr>
          <w:p w14:paraId="0D26AD19" w14:textId="77777777" w:rsidR="007F2C3D" w:rsidRPr="004E1AB4" w:rsidRDefault="001C673E">
            <w:pPr>
              <w:jc w:val="left"/>
              <w:rPr>
                <w:rFonts w:cs="Arial"/>
                <w:sz w:val="16"/>
                <w:szCs w:val="16"/>
              </w:rPr>
            </w:pPr>
            <w:r w:rsidRPr="004E1AB4">
              <w:rPr>
                <w:rFonts w:cs="Arial"/>
                <w:sz w:val="16"/>
                <w:szCs w:val="16"/>
              </w:rPr>
              <w:t>Ubicación</w:t>
            </w:r>
          </w:p>
        </w:tc>
        <w:tc>
          <w:tcPr>
            <w:tcW w:w="1418" w:type="dxa"/>
            <w:hideMark/>
          </w:tcPr>
          <w:p w14:paraId="1FCB4C76" w14:textId="77777777" w:rsidR="007F2C3D" w:rsidRPr="004E1AB4" w:rsidRDefault="001C673E">
            <w:pPr>
              <w:jc w:val="left"/>
              <w:rPr>
                <w:rFonts w:cs="Arial"/>
                <w:sz w:val="16"/>
                <w:szCs w:val="16"/>
              </w:rPr>
            </w:pPr>
            <w:r w:rsidRPr="004E1AB4">
              <w:rPr>
                <w:rFonts w:cs="Arial"/>
                <w:sz w:val="16"/>
                <w:szCs w:val="16"/>
              </w:rPr>
              <w:t>Organizador(es)</w:t>
            </w:r>
          </w:p>
        </w:tc>
        <w:tc>
          <w:tcPr>
            <w:tcW w:w="1692" w:type="dxa"/>
            <w:hideMark/>
          </w:tcPr>
          <w:p w14:paraId="5540FD11" w14:textId="77777777" w:rsidR="007F2C3D" w:rsidRPr="004E1AB4" w:rsidRDefault="001C673E">
            <w:pPr>
              <w:jc w:val="left"/>
              <w:rPr>
                <w:rFonts w:cs="Arial"/>
                <w:sz w:val="16"/>
                <w:szCs w:val="16"/>
              </w:rPr>
            </w:pPr>
            <w:r w:rsidRPr="004E1AB4">
              <w:rPr>
                <w:rFonts w:cs="Arial"/>
                <w:sz w:val="16"/>
                <w:szCs w:val="16"/>
              </w:rPr>
              <w:t>Objetivo de la actividad</w:t>
            </w:r>
          </w:p>
        </w:tc>
        <w:tc>
          <w:tcPr>
            <w:tcW w:w="2135" w:type="dxa"/>
            <w:hideMark/>
          </w:tcPr>
          <w:p w14:paraId="393969D7" w14:textId="77777777" w:rsidR="007F2C3D" w:rsidRPr="004E1AB4" w:rsidRDefault="001C673E">
            <w:pPr>
              <w:jc w:val="left"/>
              <w:rPr>
                <w:rFonts w:cs="Arial"/>
                <w:sz w:val="16"/>
                <w:szCs w:val="16"/>
              </w:rPr>
            </w:pPr>
            <w:r w:rsidRPr="004E1AB4">
              <w:rPr>
                <w:rFonts w:cs="Arial"/>
                <w:sz w:val="16"/>
                <w:szCs w:val="16"/>
              </w:rPr>
              <w:t>Países/organizaciones participantes (número de participantes de cada uno)</w:t>
            </w:r>
          </w:p>
        </w:tc>
      </w:tr>
      <w:tr w:rsidR="00703092" w:rsidRPr="00B369EB" w14:paraId="57903BD3" w14:textId="77777777" w:rsidTr="00703092">
        <w:tc>
          <w:tcPr>
            <w:tcW w:w="2117" w:type="dxa"/>
          </w:tcPr>
          <w:p w14:paraId="519D9FDF" w14:textId="77777777" w:rsidR="007F2C3D" w:rsidRPr="004E1AB4" w:rsidRDefault="001C673E">
            <w:pPr>
              <w:jc w:val="left"/>
              <w:rPr>
                <w:rFonts w:cs="Arial"/>
                <w:sz w:val="16"/>
                <w:szCs w:val="16"/>
              </w:rPr>
            </w:pPr>
            <w:r w:rsidRPr="004E1AB4">
              <w:rPr>
                <w:rFonts w:cs="Arial"/>
                <w:sz w:val="16"/>
                <w:szCs w:val="16"/>
              </w:rPr>
              <w:t xml:space="preserve">Conferencia sobre política de semillas ecológicas </w:t>
            </w:r>
            <w:proofErr w:type="spellStart"/>
            <w:r w:rsidRPr="004E1AB4">
              <w:rPr>
                <w:rFonts w:cs="Arial"/>
                <w:sz w:val="16"/>
                <w:szCs w:val="16"/>
              </w:rPr>
              <w:t>LiveSeeding</w:t>
            </w:r>
            <w:proofErr w:type="spellEnd"/>
          </w:p>
        </w:tc>
        <w:tc>
          <w:tcPr>
            <w:tcW w:w="1125" w:type="dxa"/>
          </w:tcPr>
          <w:p w14:paraId="270B0F45" w14:textId="77777777" w:rsidR="007F2C3D" w:rsidRPr="004E1AB4" w:rsidRDefault="001C673E">
            <w:pPr>
              <w:jc w:val="left"/>
              <w:rPr>
                <w:rFonts w:cs="Arial"/>
                <w:sz w:val="16"/>
                <w:szCs w:val="16"/>
              </w:rPr>
            </w:pPr>
            <w:r w:rsidRPr="004E1AB4">
              <w:rPr>
                <w:rFonts w:cs="Arial"/>
                <w:sz w:val="16"/>
                <w:szCs w:val="16"/>
              </w:rPr>
              <w:t>29.09.2023</w:t>
            </w:r>
          </w:p>
        </w:tc>
        <w:tc>
          <w:tcPr>
            <w:tcW w:w="1276" w:type="dxa"/>
          </w:tcPr>
          <w:p w14:paraId="6E559B10" w14:textId="77777777" w:rsidR="007F2C3D" w:rsidRPr="004E1AB4" w:rsidRDefault="001C673E">
            <w:pPr>
              <w:jc w:val="left"/>
              <w:rPr>
                <w:rFonts w:cs="Arial"/>
                <w:sz w:val="16"/>
                <w:szCs w:val="16"/>
              </w:rPr>
            </w:pPr>
            <w:r w:rsidRPr="004E1AB4">
              <w:rPr>
                <w:rFonts w:cs="Arial"/>
                <w:sz w:val="16"/>
                <w:szCs w:val="16"/>
              </w:rPr>
              <w:t>Poznań, Polonia</w:t>
            </w:r>
          </w:p>
        </w:tc>
        <w:tc>
          <w:tcPr>
            <w:tcW w:w="1418" w:type="dxa"/>
          </w:tcPr>
          <w:p w14:paraId="652A9C36" w14:textId="77777777" w:rsidR="007F2C3D" w:rsidRPr="004E1AB4" w:rsidRDefault="001C673E">
            <w:pPr>
              <w:jc w:val="left"/>
              <w:rPr>
                <w:rFonts w:cs="Arial"/>
                <w:sz w:val="16"/>
                <w:szCs w:val="16"/>
              </w:rPr>
            </w:pPr>
            <w:r w:rsidRPr="004E1AB4">
              <w:rPr>
                <w:rFonts w:cs="Arial"/>
                <w:sz w:val="16"/>
                <w:szCs w:val="16"/>
              </w:rPr>
              <w:t xml:space="preserve">Consorcio </w:t>
            </w:r>
            <w:proofErr w:type="spellStart"/>
            <w:r w:rsidRPr="004E1AB4">
              <w:rPr>
                <w:rFonts w:cs="Arial"/>
                <w:sz w:val="16"/>
                <w:szCs w:val="16"/>
              </w:rPr>
              <w:t>LiveSeeding</w:t>
            </w:r>
            <w:proofErr w:type="spellEnd"/>
          </w:p>
        </w:tc>
        <w:tc>
          <w:tcPr>
            <w:tcW w:w="1692" w:type="dxa"/>
          </w:tcPr>
          <w:p w14:paraId="2EB7B6EF" w14:textId="77777777" w:rsidR="007F2C3D" w:rsidRPr="004E1AB4" w:rsidRDefault="001C673E">
            <w:pPr>
              <w:jc w:val="left"/>
              <w:rPr>
                <w:rFonts w:cs="Arial"/>
                <w:sz w:val="16"/>
                <w:szCs w:val="16"/>
              </w:rPr>
            </w:pPr>
            <w:r w:rsidRPr="004E1AB4">
              <w:rPr>
                <w:rFonts w:cs="Arial"/>
                <w:sz w:val="16"/>
                <w:szCs w:val="16"/>
              </w:rPr>
              <w:t>Conferencia sobre política de semillas ecológicas</w:t>
            </w:r>
          </w:p>
        </w:tc>
        <w:tc>
          <w:tcPr>
            <w:tcW w:w="2135" w:type="dxa"/>
          </w:tcPr>
          <w:p w14:paraId="58F1B734" w14:textId="77777777" w:rsidR="007F2C3D" w:rsidRPr="004E1AB4" w:rsidRDefault="001C673E">
            <w:pPr>
              <w:jc w:val="left"/>
              <w:rPr>
                <w:rFonts w:cs="Arial"/>
                <w:sz w:val="16"/>
                <w:szCs w:val="16"/>
              </w:rPr>
            </w:pPr>
            <w:r w:rsidRPr="004E1AB4">
              <w:rPr>
                <w:rFonts w:cs="Arial"/>
                <w:sz w:val="16"/>
                <w:szCs w:val="16"/>
              </w:rPr>
              <w:t>PL: 20</w:t>
            </w:r>
          </w:p>
          <w:p w14:paraId="4C0E3190" w14:textId="77777777" w:rsidR="007F2C3D" w:rsidRPr="004E1AB4" w:rsidRDefault="001C673E">
            <w:pPr>
              <w:jc w:val="left"/>
              <w:rPr>
                <w:rFonts w:cs="Arial"/>
                <w:sz w:val="16"/>
                <w:szCs w:val="16"/>
              </w:rPr>
            </w:pPr>
            <w:r w:rsidRPr="004E1AB4">
              <w:rPr>
                <w:rFonts w:cs="Arial"/>
                <w:sz w:val="16"/>
                <w:szCs w:val="16"/>
              </w:rPr>
              <w:t>Total: 60</w:t>
            </w:r>
          </w:p>
        </w:tc>
      </w:tr>
      <w:tr w:rsidR="00703092" w:rsidRPr="00B369EB" w14:paraId="58351949" w14:textId="77777777" w:rsidTr="00703092">
        <w:tc>
          <w:tcPr>
            <w:tcW w:w="2117" w:type="dxa"/>
          </w:tcPr>
          <w:p w14:paraId="5353F7AD" w14:textId="77777777" w:rsidR="007F2C3D" w:rsidRPr="004E1AB4" w:rsidRDefault="001C673E">
            <w:pPr>
              <w:jc w:val="left"/>
              <w:rPr>
                <w:rFonts w:cs="Arial"/>
                <w:sz w:val="16"/>
                <w:szCs w:val="16"/>
              </w:rPr>
            </w:pPr>
            <w:r w:rsidRPr="004E1AB4">
              <w:rPr>
                <w:rFonts w:cs="Arial"/>
                <w:sz w:val="16"/>
                <w:szCs w:val="16"/>
              </w:rPr>
              <w:t>"</w:t>
            </w:r>
            <w:r w:rsidR="00BC5748" w:rsidRPr="004E1AB4">
              <w:rPr>
                <w:rFonts w:cs="Arial"/>
                <w:sz w:val="16"/>
                <w:szCs w:val="16"/>
              </w:rPr>
              <w:t>Centenario de la creación de los recursos nacionales de variedades vegetales de Ucrania</w:t>
            </w:r>
            <w:r w:rsidRPr="004E1AB4">
              <w:rPr>
                <w:rFonts w:cs="Arial"/>
                <w:sz w:val="16"/>
                <w:szCs w:val="16"/>
              </w:rPr>
              <w:t>"</w:t>
            </w:r>
          </w:p>
        </w:tc>
        <w:tc>
          <w:tcPr>
            <w:tcW w:w="1125" w:type="dxa"/>
          </w:tcPr>
          <w:p w14:paraId="57518283" w14:textId="77777777" w:rsidR="007F2C3D" w:rsidRPr="004E1AB4" w:rsidRDefault="001C673E">
            <w:pPr>
              <w:jc w:val="left"/>
              <w:rPr>
                <w:rFonts w:cs="Arial"/>
                <w:sz w:val="16"/>
                <w:szCs w:val="16"/>
              </w:rPr>
            </w:pPr>
            <w:r w:rsidRPr="004E1AB4">
              <w:rPr>
                <w:rFonts w:cs="Arial"/>
                <w:sz w:val="16"/>
                <w:szCs w:val="16"/>
              </w:rPr>
              <w:t>29.09.2023</w:t>
            </w:r>
          </w:p>
        </w:tc>
        <w:tc>
          <w:tcPr>
            <w:tcW w:w="1276" w:type="dxa"/>
          </w:tcPr>
          <w:p w14:paraId="6D08AD2F" w14:textId="77777777" w:rsidR="007F2C3D" w:rsidRPr="004E1AB4" w:rsidRDefault="001C673E">
            <w:pPr>
              <w:jc w:val="left"/>
              <w:rPr>
                <w:rFonts w:cs="Arial"/>
                <w:sz w:val="16"/>
                <w:szCs w:val="16"/>
              </w:rPr>
            </w:pPr>
            <w:r w:rsidRPr="004E1AB4">
              <w:rPr>
                <w:rFonts w:cs="Arial"/>
                <w:sz w:val="16"/>
                <w:szCs w:val="16"/>
              </w:rPr>
              <w:t>en línea</w:t>
            </w:r>
          </w:p>
        </w:tc>
        <w:tc>
          <w:tcPr>
            <w:tcW w:w="1418" w:type="dxa"/>
          </w:tcPr>
          <w:p w14:paraId="00E8DCDD" w14:textId="77777777" w:rsidR="007F2C3D" w:rsidRPr="004E1AB4" w:rsidRDefault="001C673E">
            <w:pPr>
              <w:jc w:val="left"/>
              <w:rPr>
                <w:rFonts w:cs="Arial"/>
                <w:sz w:val="16"/>
                <w:szCs w:val="16"/>
              </w:rPr>
            </w:pPr>
            <w:r w:rsidRPr="004E1AB4">
              <w:rPr>
                <w:rFonts w:cs="Arial"/>
                <w:sz w:val="16"/>
                <w:szCs w:val="16"/>
              </w:rPr>
              <w:t>Instituto Ucraniano de Examen de Variedades Vegetales</w:t>
            </w:r>
          </w:p>
        </w:tc>
        <w:tc>
          <w:tcPr>
            <w:tcW w:w="1692" w:type="dxa"/>
          </w:tcPr>
          <w:p w14:paraId="006DB646" w14:textId="77777777" w:rsidR="007F2C3D" w:rsidRPr="004E1AB4" w:rsidRDefault="001C673E">
            <w:pPr>
              <w:jc w:val="left"/>
              <w:rPr>
                <w:rFonts w:cs="Arial"/>
                <w:sz w:val="16"/>
                <w:szCs w:val="16"/>
              </w:rPr>
            </w:pPr>
            <w:r w:rsidRPr="004E1AB4">
              <w:rPr>
                <w:rFonts w:cs="Arial"/>
                <w:sz w:val="16"/>
                <w:szCs w:val="16"/>
              </w:rPr>
              <w:t>Cooperación internacional UA-PL</w:t>
            </w:r>
          </w:p>
        </w:tc>
        <w:tc>
          <w:tcPr>
            <w:tcW w:w="2135" w:type="dxa"/>
          </w:tcPr>
          <w:p w14:paraId="0BF64073" w14:textId="77777777" w:rsidR="007F2C3D" w:rsidRPr="004E1AB4" w:rsidRDefault="001C673E">
            <w:pPr>
              <w:jc w:val="left"/>
              <w:rPr>
                <w:rFonts w:cs="Arial"/>
                <w:sz w:val="16"/>
                <w:szCs w:val="16"/>
              </w:rPr>
            </w:pPr>
            <w:r w:rsidRPr="004E1AB4">
              <w:rPr>
                <w:rFonts w:cs="Arial"/>
                <w:sz w:val="16"/>
                <w:szCs w:val="16"/>
              </w:rPr>
              <w:t>PL: 1</w:t>
            </w:r>
          </w:p>
          <w:p w14:paraId="0113306B" w14:textId="77777777" w:rsidR="007F2C3D" w:rsidRPr="004E1AB4" w:rsidRDefault="001C673E">
            <w:pPr>
              <w:jc w:val="left"/>
              <w:rPr>
                <w:rFonts w:cs="Arial"/>
                <w:sz w:val="16"/>
                <w:szCs w:val="16"/>
              </w:rPr>
            </w:pPr>
            <w:r w:rsidRPr="004E1AB4">
              <w:rPr>
                <w:rFonts w:cs="Arial"/>
                <w:sz w:val="16"/>
                <w:szCs w:val="16"/>
              </w:rPr>
              <w:t>Total: 150</w:t>
            </w:r>
          </w:p>
        </w:tc>
      </w:tr>
      <w:tr w:rsidR="00703092" w:rsidRPr="00B369EB" w14:paraId="2B9820EE" w14:textId="77777777" w:rsidTr="00703092">
        <w:tc>
          <w:tcPr>
            <w:tcW w:w="2117" w:type="dxa"/>
          </w:tcPr>
          <w:p w14:paraId="0817F0E8" w14:textId="77777777" w:rsidR="007F2C3D" w:rsidRPr="004E1AB4" w:rsidRDefault="001C673E">
            <w:pPr>
              <w:jc w:val="left"/>
              <w:rPr>
                <w:rFonts w:cs="Arial"/>
                <w:sz w:val="16"/>
                <w:szCs w:val="16"/>
              </w:rPr>
            </w:pPr>
            <w:r w:rsidRPr="004E1AB4">
              <w:rPr>
                <w:rFonts w:cs="Arial"/>
                <w:sz w:val="16"/>
                <w:szCs w:val="16"/>
              </w:rPr>
              <w:t xml:space="preserve">Reuniones del Proyecto </w:t>
            </w:r>
            <w:proofErr w:type="spellStart"/>
            <w:r w:rsidRPr="004E1AB4">
              <w:rPr>
                <w:rFonts w:cs="Arial"/>
                <w:sz w:val="16"/>
                <w:szCs w:val="16"/>
              </w:rPr>
              <w:t>Twining</w:t>
            </w:r>
            <w:proofErr w:type="spellEnd"/>
            <w:r w:rsidRPr="004E1AB4">
              <w:rPr>
                <w:rFonts w:cs="Arial"/>
                <w:sz w:val="16"/>
                <w:szCs w:val="16"/>
              </w:rPr>
              <w:t>: UA 19 ENI HE 01 20 para Ucrania</w:t>
            </w:r>
          </w:p>
        </w:tc>
        <w:tc>
          <w:tcPr>
            <w:tcW w:w="1125" w:type="dxa"/>
          </w:tcPr>
          <w:p w14:paraId="1981A74F" w14:textId="77777777" w:rsidR="007F2C3D" w:rsidRPr="004E1AB4" w:rsidRDefault="001C673E">
            <w:pPr>
              <w:jc w:val="left"/>
              <w:rPr>
                <w:rFonts w:cs="Arial"/>
                <w:sz w:val="16"/>
                <w:szCs w:val="16"/>
              </w:rPr>
            </w:pPr>
            <w:r w:rsidRPr="004E1AB4">
              <w:rPr>
                <w:rFonts w:cs="Arial"/>
                <w:sz w:val="16"/>
                <w:szCs w:val="16"/>
              </w:rPr>
              <w:t>10.11.2023</w:t>
            </w:r>
          </w:p>
        </w:tc>
        <w:tc>
          <w:tcPr>
            <w:tcW w:w="1276" w:type="dxa"/>
          </w:tcPr>
          <w:p w14:paraId="1DFC4FED" w14:textId="77777777" w:rsidR="007F2C3D" w:rsidRPr="004E1AB4" w:rsidRDefault="001C673E">
            <w:pPr>
              <w:jc w:val="left"/>
              <w:rPr>
                <w:rFonts w:cs="Arial"/>
                <w:sz w:val="16"/>
                <w:szCs w:val="16"/>
              </w:rPr>
            </w:pPr>
            <w:proofErr w:type="spellStart"/>
            <w:r w:rsidRPr="004E1AB4">
              <w:rPr>
                <w:rFonts w:cs="Arial"/>
                <w:sz w:val="16"/>
                <w:szCs w:val="16"/>
              </w:rPr>
              <w:t>Słupia</w:t>
            </w:r>
            <w:proofErr w:type="spellEnd"/>
            <w:r w:rsidRPr="004E1AB4">
              <w:rPr>
                <w:rFonts w:cs="Arial"/>
                <w:sz w:val="16"/>
                <w:szCs w:val="16"/>
              </w:rPr>
              <w:t xml:space="preserve"> </w:t>
            </w:r>
            <w:proofErr w:type="spellStart"/>
            <w:r w:rsidRPr="004E1AB4">
              <w:rPr>
                <w:rFonts w:cs="Arial"/>
                <w:sz w:val="16"/>
                <w:szCs w:val="16"/>
              </w:rPr>
              <w:t>Wielka</w:t>
            </w:r>
            <w:proofErr w:type="spellEnd"/>
            <w:r w:rsidRPr="004E1AB4">
              <w:rPr>
                <w:rFonts w:cs="Arial"/>
                <w:sz w:val="16"/>
                <w:szCs w:val="16"/>
              </w:rPr>
              <w:t>/ Poznań, Polonia</w:t>
            </w:r>
          </w:p>
        </w:tc>
        <w:tc>
          <w:tcPr>
            <w:tcW w:w="1418" w:type="dxa"/>
          </w:tcPr>
          <w:p w14:paraId="739302D9" w14:textId="77777777" w:rsidR="007F2C3D" w:rsidRPr="004E1AB4" w:rsidRDefault="001C673E">
            <w:pPr>
              <w:jc w:val="left"/>
              <w:rPr>
                <w:rFonts w:cs="Arial"/>
                <w:sz w:val="16"/>
                <w:szCs w:val="16"/>
              </w:rPr>
            </w:pPr>
            <w:r w:rsidRPr="004E1AB4">
              <w:rPr>
                <w:rFonts w:cs="Arial"/>
                <w:sz w:val="16"/>
                <w:szCs w:val="16"/>
              </w:rPr>
              <w:t>COBORU, GIORIN</w:t>
            </w:r>
          </w:p>
        </w:tc>
        <w:tc>
          <w:tcPr>
            <w:tcW w:w="1692" w:type="dxa"/>
          </w:tcPr>
          <w:p w14:paraId="69E1312C" w14:textId="77777777" w:rsidR="007F2C3D" w:rsidRPr="004E1AB4" w:rsidRDefault="001C673E">
            <w:pPr>
              <w:jc w:val="left"/>
              <w:rPr>
                <w:rFonts w:cs="Arial"/>
                <w:sz w:val="16"/>
                <w:szCs w:val="16"/>
              </w:rPr>
            </w:pPr>
            <w:r w:rsidRPr="004E1AB4">
              <w:rPr>
                <w:rFonts w:cs="Arial"/>
                <w:sz w:val="16"/>
                <w:szCs w:val="16"/>
              </w:rPr>
              <w:t>Cooperación internacional UA-PL</w:t>
            </w:r>
          </w:p>
        </w:tc>
        <w:tc>
          <w:tcPr>
            <w:tcW w:w="2135" w:type="dxa"/>
          </w:tcPr>
          <w:p w14:paraId="7F284603" w14:textId="77777777" w:rsidR="007F2C3D" w:rsidRPr="004E1AB4" w:rsidRDefault="001C673E">
            <w:pPr>
              <w:jc w:val="left"/>
              <w:rPr>
                <w:rFonts w:cs="Arial"/>
                <w:sz w:val="16"/>
                <w:szCs w:val="16"/>
              </w:rPr>
            </w:pPr>
            <w:r w:rsidRPr="004E1AB4">
              <w:rPr>
                <w:rFonts w:cs="Arial"/>
                <w:sz w:val="16"/>
                <w:szCs w:val="16"/>
              </w:rPr>
              <w:t>PL: 5</w:t>
            </w:r>
          </w:p>
          <w:p w14:paraId="4712E9E9" w14:textId="77777777" w:rsidR="007F2C3D" w:rsidRPr="004E1AB4" w:rsidRDefault="001C673E">
            <w:pPr>
              <w:jc w:val="left"/>
              <w:rPr>
                <w:rFonts w:cs="Arial"/>
                <w:sz w:val="16"/>
                <w:szCs w:val="16"/>
              </w:rPr>
            </w:pPr>
            <w:r w:rsidRPr="004E1AB4">
              <w:rPr>
                <w:rFonts w:cs="Arial"/>
                <w:sz w:val="16"/>
                <w:szCs w:val="16"/>
              </w:rPr>
              <w:t>UA: 5</w:t>
            </w:r>
          </w:p>
          <w:p w14:paraId="3BA45D32" w14:textId="77777777" w:rsidR="00BC5748" w:rsidRPr="004E1AB4" w:rsidRDefault="00BC5748" w:rsidP="00003382">
            <w:pPr>
              <w:jc w:val="left"/>
              <w:rPr>
                <w:rFonts w:cs="Arial"/>
                <w:sz w:val="16"/>
                <w:szCs w:val="16"/>
              </w:rPr>
            </w:pPr>
          </w:p>
        </w:tc>
      </w:tr>
      <w:tr w:rsidR="00703092" w:rsidRPr="00B369EB" w14:paraId="13FB5A62" w14:textId="77777777" w:rsidTr="00703092">
        <w:tc>
          <w:tcPr>
            <w:tcW w:w="2117" w:type="dxa"/>
          </w:tcPr>
          <w:p w14:paraId="0634152B" w14:textId="77777777" w:rsidR="007F2C3D" w:rsidRPr="004E1AB4" w:rsidRDefault="001C673E">
            <w:pPr>
              <w:jc w:val="left"/>
              <w:rPr>
                <w:rFonts w:cs="Arial"/>
                <w:sz w:val="16"/>
                <w:szCs w:val="16"/>
              </w:rPr>
            </w:pPr>
            <w:r w:rsidRPr="004E1AB4">
              <w:rPr>
                <w:rFonts w:cs="Arial"/>
                <w:sz w:val="16"/>
                <w:szCs w:val="16"/>
              </w:rPr>
              <w:t xml:space="preserve">Reunión de representantes de las autoridades competentes de Polonia, Estonia, Lituania y Letonia </w:t>
            </w:r>
          </w:p>
        </w:tc>
        <w:tc>
          <w:tcPr>
            <w:tcW w:w="1125" w:type="dxa"/>
          </w:tcPr>
          <w:p w14:paraId="171CC9C5" w14:textId="77777777" w:rsidR="007F2C3D" w:rsidRPr="004E1AB4" w:rsidRDefault="001C673E">
            <w:pPr>
              <w:jc w:val="left"/>
              <w:rPr>
                <w:rFonts w:cs="Arial"/>
                <w:sz w:val="16"/>
                <w:szCs w:val="16"/>
              </w:rPr>
            </w:pPr>
            <w:r w:rsidRPr="004E1AB4">
              <w:rPr>
                <w:rFonts w:cs="Arial"/>
                <w:sz w:val="16"/>
                <w:szCs w:val="16"/>
              </w:rPr>
              <w:t>13.12.2023</w:t>
            </w:r>
          </w:p>
        </w:tc>
        <w:tc>
          <w:tcPr>
            <w:tcW w:w="1276" w:type="dxa"/>
          </w:tcPr>
          <w:p w14:paraId="4675586B" w14:textId="77777777" w:rsidR="007F2C3D" w:rsidRPr="004E1AB4" w:rsidRDefault="001C673E">
            <w:pPr>
              <w:jc w:val="left"/>
              <w:rPr>
                <w:rFonts w:cs="Arial"/>
                <w:sz w:val="16"/>
                <w:szCs w:val="16"/>
              </w:rPr>
            </w:pPr>
            <w:r w:rsidRPr="004E1AB4">
              <w:rPr>
                <w:rFonts w:cs="Arial"/>
                <w:sz w:val="16"/>
                <w:szCs w:val="16"/>
              </w:rPr>
              <w:t>Białystok,</w:t>
            </w:r>
          </w:p>
          <w:p w14:paraId="1ECDD026" w14:textId="77777777" w:rsidR="007F2C3D" w:rsidRPr="004E1AB4" w:rsidRDefault="001C673E">
            <w:pPr>
              <w:jc w:val="left"/>
              <w:rPr>
                <w:rFonts w:cs="Arial"/>
                <w:sz w:val="16"/>
                <w:szCs w:val="16"/>
              </w:rPr>
            </w:pPr>
            <w:r w:rsidRPr="004E1AB4">
              <w:rPr>
                <w:rFonts w:cs="Arial"/>
                <w:sz w:val="16"/>
                <w:szCs w:val="16"/>
              </w:rPr>
              <w:t>Polonia</w:t>
            </w:r>
          </w:p>
        </w:tc>
        <w:tc>
          <w:tcPr>
            <w:tcW w:w="1418" w:type="dxa"/>
          </w:tcPr>
          <w:p w14:paraId="58B6FC06" w14:textId="77777777" w:rsidR="007F2C3D" w:rsidRPr="004E1AB4" w:rsidRDefault="001C673E">
            <w:pPr>
              <w:jc w:val="left"/>
              <w:rPr>
                <w:rFonts w:cs="Arial"/>
                <w:sz w:val="16"/>
                <w:szCs w:val="16"/>
              </w:rPr>
            </w:pPr>
            <w:r w:rsidRPr="004E1AB4">
              <w:rPr>
                <w:rFonts w:cs="Arial"/>
                <w:sz w:val="16"/>
                <w:szCs w:val="16"/>
              </w:rPr>
              <w:t>COBORU</w:t>
            </w:r>
          </w:p>
        </w:tc>
        <w:tc>
          <w:tcPr>
            <w:tcW w:w="1692" w:type="dxa"/>
          </w:tcPr>
          <w:p w14:paraId="7EEF512F" w14:textId="77777777" w:rsidR="007F2C3D" w:rsidRPr="004E1AB4" w:rsidRDefault="001C673E">
            <w:pPr>
              <w:jc w:val="left"/>
              <w:rPr>
                <w:rFonts w:cs="Arial"/>
                <w:sz w:val="16"/>
                <w:szCs w:val="16"/>
              </w:rPr>
            </w:pPr>
            <w:r w:rsidRPr="004E1AB4">
              <w:rPr>
                <w:rFonts w:cs="Arial"/>
                <w:sz w:val="16"/>
                <w:szCs w:val="16"/>
              </w:rPr>
              <w:t>Cooperación en el ámbito de la realización por el COBORU de exámenes DHE de variedades en beneficio de las autoridades de los Estados bálticos.</w:t>
            </w:r>
          </w:p>
        </w:tc>
        <w:tc>
          <w:tcPr>
            <w:tcW w:w="2135" w:type="dxa"/>
          </w:tcPr>
          <w:p w14:paraId="3E0A8491" w14:textId="77777777" w:rsidR="007F2C3D" w:rsidRPr="004E1AB4" w:rsidRDefault="001C673E">
            <w:pPr>
              <w:jc w:val="left"/>
              <w:rPr>
                <w:rFonts w:cs="Arial"/>
                <w:sz w:val="16"/>
                <w:szCs w:val="16"/>
              </w:rPr>
            </w:pPr>
            <w:r w:rsidRPr="004E1AB4">
              <w:rPr>
                <w:rFonts w:cs="Arial"/>
                <w:sz w:val="16"/>
                <w:szCs w:val="16"/>
              </w:rPr>
              <w:t>PL:5</w:t>
            </w:r>
          </w:p>
          <w:p w14:paraId="348C7855" w14:textId="77777777" w:rsidR="007F2C3D" w:rsidRPr="004E1AB4" w:rsidRDefault="001C673E">
            <w:pPr>
              <w:jc w:val="left"/>
              <w:rPr>
                <w:rFonts w:cs="Arial"/>
                <w:sz w:val="16"/>
                <w:szCs w:val="16"/>
              </w:rPr>
            </w:pPr>
            <w:r w:rsidRPr="004E1AB4">
              <w:rPr>
                <w:rFonts w:cs="Arial"/>
                <w:sz w:val="16"/>
                <w:szCs w:val="16"/>
              </w:rPr>
              <w:t>EE:4</w:t>
            </w:r>
          </w:p>
          <w:p w14:paraId="0BF11D90" w14:textId="77777777" w:rsidR="007F2C3D" w:rsidRPr="004E1AB4" w:rsidRDefault="001C673E">
            <w:pPr>
              <w:jc w:val="left"/>
              <w:rPr>
                <w:rFonts w:cs="Arial"/>
                <w:sz w:val="16"/>
                <w:szCs w:val="16"/>
              </w:rPr>
            </w:pPr>
            <w:r w:rsidRPr="004E1AB4">
              <w:rPr>
                <w:rFonts w:cs="Arial"/>
                <w:sz w:val="16"/>
                <w:szCs w:val="16"/>
              </w:rPr>
              <w:t>LV: 2</w:t>
            </w:r>
          </w:p>
          <w:p w14:paraId="3C07D822" w14:textId="77777777" w:rsidR="007F2C3D" w:rsidRPr="004E1AB4" w:rsidRDefault="001C673E">
            <w:pPr>
              <w:jc w:val="left"/>
              <w:rPr>
                <w:rFonts w:cs="Arial"/>
                <w:sz w:val="16"/>
                <w:szCs w:val="16"/>
              </w:rPr>
            </w:pPr>
            <w:r w:rsidRPr="004E1AB4">
              <w:rPr>
                <w:rFonts w:cs="Arial"/>
                <w:sz w:val="16"/>
                <w:szCs w:val="16"/>
              </w:rPr>
              <w:t>LT: 2</w:t>
            </w:r>
          </w:p>
        </w:tc>
      </w:tr>
      <w:tr w:rsidR="00703092" w:rsidRPr="00B369EB" w14:paraId="58B684A8" w14:textId="77777777" w:rsidTr="00703092">
        <w:tc>
          <w:tcPr>
            <w:tcW w:w="2117" w:type="dxa"/>
            <w:hideMark/>
          </w:tcPr>
          <w:p w14:paraId="2CC726C3" w14:textId="77777777" w:rsidR="007F2C3D" w:rsidRPr="004E1AB4" w:rsidRDefault="001C673E">
            <w:pPr>
              <w:jc w:val="left"/>
              <w:rPr>
                <w:rFonts w:cs="Arial"/>
                <w:sz w:val="16"/>
                <w:szCs w:val="16"/>
              </w:rPr>
            </w:pPr>
            <w:r w:rsidRPr="004E1AB4">
              <w:rPr>
                <w:rFonts w:cs="Arial"/>
                <w:sz w:val="16"/>
                <w:szCs w:val="16"/>
              </w:rPr>
              <w:t>IPM ESSEN 2024</w:t>
            </w:r>
          </w:p>
        </w:tc>
        <w:tc>
          <w:tcPr>
            <w:tcW w:w="1125" w:type="dxa"/>
            <w:hideMark/>
          </w:tcPr>
          <w:p w14:paraId="6F26D36A" w14:textId="77777777" w:rsidR="007F2C3D" w:rsidRPr="004E1AB4" w:rsidRDefault="001C673E">
            <w:pPr>
              <w:jc w:val="left"/>
              <w:rPr>
                <w:rFonts w:cs="Arial"/>
                <w:sz w:val="16"/>
                <w:szCs w:val="16"/>
              </w:rPr>
            </w:pPr>
            <w:r w:rsidRPr="004E1AB4">
              <w:rPr>
                <w:rFonts w:cs="Arial"/>
                <w:sz w:val="16"/>
                <w:szCs w:val="16"/>
              </w:rPr>
              <w:t>23-26.01. 2024</w:t>
            </w:r>
          </w:p>
        </w:tc>
        <w:tc>
          <w:tcPr>
            <w:tcW w:w="1276" w:type="dxa"/>
            <w:hideMark/>
          </w:tcPr>
          <w:p w14:paraId="3F897BC6" w14:textId="77777777" w:rsidR="007F2C3D" w:rsidRPr="004E1AB4" w:rsidRDefault="001C673E">
            <w:pPr>
              <w:jc w:val="left"/>
              <w:rPr>
                <w:rFonts w:cs="Arial"/>
                <w:sz w:val="16"/>
                <w:szCs w:val="16"/>
              </w:rPr>
            </w:pPr>
            <w:r w:rsidRPr="004E1AB4">
              <w:rPr>
                <w:rFonts w:cs="Arial"/>
                <w:sz w:val="16"/>
                <w:szCs w:val="16"/>
              </w:rPr>
              <w:t>Essen, Alemania</w:t>
            </w:r>
          </w:p>
        </w:tc>
        <w:tc>
          <w:tcPr>
            <w:tcW w:w="1418" w:type="dxa"/>
            <w:hideMark/>
          </w:tcPr>
          <w:p w14:paraId="185E34EC" w14:textId="77777777" w:rsidR="007F2C3D" w:rsidRPr="004E1AB4" w:rsidRDefault="001C673E">
            <w:pPr>
              <w:jc w:val="left"/>
              <w:rPr>
                <w:rFonts w:cs="Arial"/>
                <w:sz w:val="16"/>
                <w:szCs w:val="16"/>
              </w:rPr>
            </w:pPr>
            <w:r w:rsidRPr="004E1AB4">
              <w:rPr>
                <w:rFonts w:cs="Arial"/>
                <w:sz w:val="16"/>
                <w:szCs w:val="16"/>
              </w:rPr>
              <w:t>IPM</w:t>
            </w:r>
          </w:p>
        </w:tc>
        <w:tc>
          <w:tcPr>
            <w:tcW w:w="1692" w:type="dxa"/>
            <w:hideMark/>
          </w:tcPr>
          <w:p w14:paraId="7120FAFA" w14:textId="77777777" w:rsidR="007F2C3D" w:rsidRPr="004E1AB4" w:rsidRDefault="001C673E">
            <w:pPr>
              <w:jc w:val="left"/>
              <w:rPr>
                <w:rFonts w:cs="Arial"/>
                <w:sz w:val="16"/>
                <w:szCs w:val="16"/>
              </w:rPr>
            </w:pPr>
            <w:r w:rsidRPr="004E1AB4">
              <w:rPr>
                <w:rFonts w:cs="Arial"/>
                <w:sz w:val="16"/>
                <w:szCs w:val="16"/>
              </w:rPr>
              <w:t xml:space="preserve">Promoción de PVP y </w:t>
            </w:r>
            <w:proofErr w:type="spellStart"/>
            <w:r w:rsidRPr="004E1AB4">
              <w:rPr>
                <w:rFonts w:cs="Arial"/>
                <w:sz w:val="16"/>
                <w:szCs w:val="16"/>
              </w:rPr>
              <w:t>Variety</w:t>
            </w:r>
            <w:proofErr w:type="spellEnd"/>
            <w:r w:rsidRPr="004E1AB4">
              <w:rPr>
                <w:rFonts w:cs="Arial"/>
                <w:sz w:val="16"/>
                <w:szCs w:val="16"/>
              </w:rPr>
              <w:t xml:space="preserve"> </w:t>
            </w:r>
            <w:proofErr w:type="spellStart"/>
            <w:r w:rsidRPr="004E1AB4">
              <w:rPr>
                <w:rFonts w:cs="Arial"/>
                <w:sz w:val="16"/>
                <w:szCs w:val="16"/>
              </w:rPr>
              <w:t>Offices</w:t>
            </w:r>
            <w:proofErr w:type="spellEnd"/>
          </w:p>
        </w:tc>
        <w:tc>
          <w:tcPr>
            <w:tcW w:w="2135" w:type="dxa"/>
            <w:hideMark/>
          </w:tcPr>
          <w:p w14:paraId="19494055" w14:textId="77777777" w:rsidR="007F2C3D" w:rsidRPr="004E1AB4" w:rsidRDefault="001C673E">
            <w:pPr>
              <w:jc w:val="left"/>
              <w:rPr>
                <w:rFonts w:cs="Arial"/>
                <w:sz w:val="16"/>
                <w:szCs w:val="16"/>
              </w:rPr>
            </w:pPr>
            <w:r w:rsidRPr="004E1AB4">
              <w:rPr>
                <w:rFonts w:cs="Arial"/>
                <w:sz w:val="16"/>
                <w:szCs w:val="16"/>
              </w:rPr>
              <w:t>PL: 8</w:t>
            </w:r>
          </w:p>
          <w:p w14:paraId="2A35CBEE" w14:textId="77777777" w:rsidR="007F2C3D" w:rsidRPr="004E1AB4" w:rsidRDefault="001C673E">
            <w:pPr>
              <w:jc w:val="left"/>
              <w:rPr>
                <w:rFonts w:cs="Arial"/>
                <w:sz w:val="16"/>
                <w:szCs w:val="16"/>
              </w:rPr>
            </w:pPr>
            <w:r w:rsidRPr="004E1AB4">
              <w:rPr>
                <w:rFonts w:cs="Arial"/>
                <w:sz w:val="16"/>
                <w:szCs w:val="16"/>
              </w:rPr>
              <w:t>DE:5</w:t>
            </w:r>
          </w:p>
          <w:p w14:paraId="6CDD3523" w14:textId="77777777" w:rsidR="007F2C3D" w:rsidRPr="004E1AB4" w:rsidRDefault="001C673E">
            <w:pPr>
              <w:jc w:val="left"/>
              <w:rPr>
                <w:rFonts w:cs="Arial"/>
                <w:sz w:val="16"/>
                <w:szCs w:val="16"/>
              </w:rPr>
            </w:pPr>
            <w:r w:rsidRPr="004E1AB4">
              <w:rPr>
                <w:rFonts w:cs="Arial"/>
                <w:sz w:val="16"/>
                <w:szCs w:val="16"/>
              </w:rPr>
              <w:t>NL:6</w:t>
            </w:r>
          </w:p>
          <w:p w14:paraId="7D4C6B15" w14:textId="77777777" w:rsidR="007F2C3D" w:rsidRPr="004E1AB4" w:rsidRDefault="001C673E">
            <w:pPr>
              <w:jc w:val="left"/>
              <w:rPr>
                <w:rFonts w:cs="Arial"/>
                <w:sz w:val="16"/>
                <w:szCs w:val="16"/>
              </w:rPr>
            </w:pPr>
            <w:r w:rsidRPr="004E1AB4">
              <w:rPr>
                <w:rFonts w:cs="Arial"/>
                <w:sz w:val="16"/>
                <w:szCs w:val="16"/>
              </w:rPr>
              <w:t>FR:2</w:t>
            </w:r>
          </w:p>
          <w:p w14:paraId="77B51011" w14:textId="77777777" w:rsidR="007F2C3D" w:rsidRPr="004E1AB4" w:rsidRDefault="001C673E">
            <w:pPr>
              <w:jc w:val="left"/>
              <w:rPr>
                <w:rFonts w:cs="Arial"/>
                <w:sz w:val="16"/>
                <w:szCs w:val="16"/>
              </w:rPr>
            </w:pPr>
            <w:r w:rsidRPr="004E1AB4">
              <w:rPr>
                <w:rFonts w:cs="Arial"/>
                <w:sz w:val="16"/>
                <w:szCs w:val="16"/>
              </w:rPr>
              <w:t>OCVV:1</w:t>
            </w:r>
          </w:p>
          <w:p w14:paraId="78365DB9" w14:textId="77777777" w:rsidR="007F2C3D" w:rsidRPr="004E1AB4" w:rsidRDefault="001C673E">
            <w:pPr>
              <w:jc w:val="left"/>
              <w:rPr>
                <w:rFonts w:cs="Arial"/>
                <w:sz w:val="16"/>
                <w:szCs w:val="16"/>
              </w:rPr>
            </w:pPr>
            <w:r w:rsidRPr="004E1AB4">
              <w:rPr>
                <w:rFonts w:cs="Arial"/>
                <w:sz w:val="16"/>
                <w:szCs w:val="16"/>
              </w:rPr>
              <w:t>Total:36.000 visitantes</w:t>
            </w:r>
          </w:p>
        </w:tc>
      </w:tr>
    </w:tbl>
    <w:p w14:paraId="6D0C0402" w14:textId="77777777" w:rsidR="00BC5748" w:rsidRPr="00B369EB" w:rsidRDefault="00BC5748" w:rsidP="00BC5748">
      <w:pPr>
        <w:tabs>
          <w:tab w:val="left" w:pos="567"/>
          <w:tab w:val="left" w:pos="4962"/>
        </w:tabs>
        <w:rPr>
          <w:rFonts w:cs="Arial"/>
          <w:color w:val="000000"/>
        </w:rPr>
      </w:pPr>
    </w:p>
    <w:p w14:paraId="0102BEE9" w14:textId="77777777" w:rsidR="00BC5748" w:rsidRPr="00B369EB" w:rsidRDefault="00BC5748" w:rsidP="00BC5748">
      <w:pPr>
        <w:tabs>
          <w:tab w:val="left" w:pos="567"/>
          <w:tab w:val="left" w:pos="4962"/>
        </w:tabs>
        <w:rPr>
          <w:rFonts w:cs="Arial"/>
          <w:color w:val="000000"/>
        </w:rPr>
      </w:pPr>
    </w:p>
    <w:p w14:paraId="61629F9F" w14:textId="77777777" w:rsidR="007F2C3D" w:rsidRPr="00B369EB" w:rsidRDefault="001C673E">
      <w:pPr>
        <w:pStyle w:val="Heading1"/>
        <w:rPr>
          <w:lang w:val="es-ES_tradnl"/>
        </w:rPr>
      </w:pPr>
      <w:r w:rsidRPr="00B369EB">
        <w:rPr>
          <w:lang w:val="es-ES_tradnl"/>
        </w:rPr>
        <w:t>II.</w:t>
      </w:r>
      <w:r w:rsidRPr="00B369EB">
        <w:rPr>
          <w:lang w:val="es-ES_tradnl"/>
        </w:rPr>
        <w:tab/>
      </w:r>
      <w:r w:rsidR="00BC5748" w:rsidRPr="00B369EB">
        <w:rPr>
          <w:lang w:val="es-ES_tradnl"/>
        </w:rPr>
        <w:t>OTROS ACONTECIMIENTOS RELEVANTES PARA LA UPOV</w:t>
      </w:r>
    </w:p>
    <w:p w14:paraId="1F9292B2" w14:textId="77777777" w:rsidR="00BC5748" w:rsidRPr="00B369EB" w:rsidRDefault="00BC5748" w:rsidP="00BC5748">
      <w:pPr>
        <w:rPr>
          <w:rFonts w:cs="Arial"/>
        </w:rPr>
      </w:pPr>
    </w:p>
    <w:p w14:paraId="5512863D" w14:textId="77777777" w:rsidR="007F2C3D" w:rsidRPr="00B369EB" w:rsidRDefault="001C673E">
      <w:pPr>
        <w:pStyle w:val="BodyText"/>
        <w:rPr>
          <w:rFonts w:cs="Arial"/>
          <w:i/>
          <w:iCs/>
        </w:rPr>
      </w:pPr>
      <w:r w:rsidRPr="00B369EB">
        <w:rPr>
          <w:rFonts w:cs="Arial"/>
        </w:rPr>
        <w:t xml:space="preserve">La </w:t>
      </w:r>
      <w:r w:rsidRPr="00B369EB">
        <w:rPr>
          <w:rFonts w:cs="Arial"/>
          <w:i/>
          <w:iCs/>
        </w:rPr>
        <w:t xml:space="preserve">Lista nacional polaca de variedades de plantas agrícolas, </w:t>
      </w:r>
      <w:r w:rsidRPr="00B369EB">
        <w:rPr>
          <w:rFonts w:cs="Arial"/>
        </w:rPr>
        <w:t xml:space="preserve">la </w:t>
      </w:r>
      <w:r w:rsidRPr="00B369EB">
        <w:rPr>
          <w:rFonts w:cs="Arial"/>
          <w:i/>
          <w:iCs/>
        </w:rPr>
        <w:t xml:space="preserve">Lista nacional polaca de variedades de plantas hortícolas </w:t>
      </w:r>
      <w:r w:rsidRPr="00B369EB">
        <w:rPr>
          <w:rFonts w:cs="Arial"/>
        </w:rPr>
        <w:t xml:space="preserve">y la </w:t>
      </w:r>
      <w:r w:rsidRPr="00B369EB">
        <w:rPr>
          <w:rFonts w:cs="Arial"/>
          <w:i/>
          <w:iCs/>
        </w:rPr>
        <w:t xml:space="preserve">Lista nacional polaca de variedades de plantas frutales </w:t>
      </w:r>
      <w:r w:rsidRPr="00B369EB">
        <w:rPr>
          <w:rFonts w:cs="Arial"/>
        </w:rPr>
        <w:t xml:space="preserve">se publicaron en mayo de 2024.  Estas listas oficiales, así como las listas actualizadas de variedades, también están disponibles en: </w:t>
      </w:r>
      <w:hyperlink r:id="rId32" w:history="1">
        <w:r w:rsidRPr="00B369EB">
          <w:rPr>
            <w:rStyle w:val="Hyperlink"/>
            <w:rFonts w:cs="Arial"/>
          </w:rPr>
          <w:t>www.coboru.gov.pl</w:t>
        </w:r>
      </w:hyperlink>
    </w:p>
    <w:p w14:paraId="62EAEA57" w14:textId="77777777" w:rsidR="007F2C3D" w:rsidRPr="00B369EB" w:rsidRDefault="001C673E">
      <w:pPr>
        <w:jc w:val="right"/>
      </w:pPr>
      <w:r w:rsidRPr="00B369EB">
        <w:t xml:space="preserve">[Sigue el Anexo </w:t>
      </w:r>
      <w:r w:rsidR="00B737B1" w:rsidRPr="00B369EB">
        <w:t>VII</w:t>
      </w:r>
      <w:r w:rsidRPr="00B369EB">
        <w:t>]</w:t>
      </w:r>
    </w:p>
    <w:p w14:paraId="692CED76" w14:textId="77777777" w:rsidR="001F63A8" w:rsidRPr="00B369EB" w:rsidRDefault="001F63A8" w:rsidP="001F63A8">
      <w:pPr>
        <w:jc w:val="center"/>
        <w:sectPr w:rsidR="001F63A8" w:rsidRPr="00B369EB" w:rsidSect="000B2CE0">
          <w:headerReference w:type="default" r:id="rId33"/>
          <w:pgSz w:w="11907" w:h="16840" w:code="9"/>
          <w:pgMar w:top="510" w:right="1134" w:bottom="568" w:left="1134" w:header="510" w:footer="680" w:gutter="0"/>
          <w:pgNumType w:start="1"/>
          <w:cols w:space="720"/>
          <w:titlePg/>
        </w:sectPr>
      </w:pPr>
    </w:p>
    <w:p w14:paraId="7B9EAA3F" w14:textId="77777777" w:rsidR="007F2C3D" w:rsidRPr="00B369EB" w:rsidRDefault="001C673E">
      <w:pPr>
        <w:jc w:val="center"/>
      </w:pPr>
      <w:r w:rsidRPr="00B369EB">
        <w:lastRenderedPageBreak/>
        <w:t>C/58/13</w:t>
      </w:r>
    </w:p>
    <w:p w14:paraId="10F61FB0" w14:textId="77777777" w:rsidR="001F63A8" w:rsidRPr="00B369EB" w:rsidRDefault="001F63A8" w:rsidP="001F63A8">
      <w:pPr>
        <w:jc w:val="center"/>
      </w:pPr>
    </w:p>
    <w:p w14:paraId="4D2A4C86" w14:textId="77777777" w:rsidR="007F2C3D" w:rsidRPr="00B369EB" w:rsidRDefault="001C673E">
      <w:pPr>
        <w:jc w:val="center"/>
      </w:pPr>
      <w:r w:rsidRPr="00B369EB">
        <w:t xml:space="preserve">ANEXO </w:t>
      </w:r>
      <w:r w:rsidR="00C2720B" w:rsidRPr="00B369EB">
        <w:t>VII</w:t>
      </w:r>
    </w:p>
    <w:p w14:paraId="6AC68340" w14:textId="77777777" w:rsidR="001F63A8" w:rsidRPr="00B369EB" w:rsidRDefault="001F63A8" w:rsidP="001F63A8">
      <w:pPr>
        <w:jc w:val="center"/>
      </w:pPr>
    </w:p>
    <w:p w14:paraId="5CA60E88" w14:textId="77777777" w:rsidR="001F63A8" w:rsidRPr="00B369EB" w:rsidRDefault="001F63A8" w:rsidP="001F63A8">
      <w:pPr>
        <w:jc w:val="center"/>
      </w:pPr>
    </w:p>
    <w:p w14:paraId="698860FA" w14:textId="77777777" w:rsidR="007F2C3D" w:rsidRPr="00B369EB" w:rsidRDefault="001C673E">
      <w:pPr>
        <w:jc w:val="center"/>
      </w:pPr>
      <w:r w:rsidRPr="00B369EB">
        <w:t>REPÚBLICA DE MOLDOVA</w:t>
      </w:r>
    </w:p>
    <w:p w14:paraId="2FFD5467" w14:textId="77777777" w:rsidR="001F63A8" w:rsidRPr="00B369EB" w:rsidRDefault="001F63A8" w:rsidP="001F63A8"/>
    <w:p w14:paraId="249BB761" w14:textId="77777777" w:rsidR="001F63A8" w:rsidRPr="00B369EB" w:rsidRDefault="001F63A8" w:rsidP="001F63A8"/>
    <w:p w14:paraId="04D6D46A" w14:textId="77777777" w:rsidR="007F2C3D" w:rsidRPr="00B369EB" w:rsidRDefault="001C673E">
      <w:r w:rsidRPr="00B369EB">
        <w:t>I.</w:t>
      </w:r>
      <w:r w:rsidRPr="00B369EB">
        <w:tab/>
        <w:t>PROTECCIÓN DE LAS OBTENCIONES VEGETALES</w:t>
      </w:r>
    </w:p>
    <w:p w14:paraId="409FA79F" w14:textId="77777777" w:rsidR="007018E1" w:rsidRPr="00B369EB" w:rsidRDefault="007018E1" w:rsidP="007018E1"/>
    <w:p w14:paraId="47EE52AE" w14:textId="77777777" w:rsidR="007F2C3D" w:rsidRPr="00B369EB" w:rsidRDefault="001C673E">
      <w:r w:rsidRPr="00B369EB">
        <w:t xml:space="preserve">1. </w:t>
      </w:r>
      <w:r w:rsidRPr="00B369EB">
        <w:tab/>
      </w:r>
      <w:r w:rsidRPr="00B369EB">
        <w:rPr>
          <w:u w:val="single"/>
        </w:rPr>
        <w:t>Situación en el ámbito legislativo</w:t>
      </w:r>
    </w:p>
    <w:p w14:paraId="1CE6C7D6" w14:textId="77777777" w:rsidR="007018E1" w:rsidRPr="00B369EB" w:rsidRDefault="007018E1" w:rsidP="007018E1"/>
    <w:p w14:paraId="5C8D226D" w14:textId="1ACA65D3" w:rsidR="007F2C3D" w:rsidRPr="00B369EB" w:rsidRDefault="001C673E">
      <w:pPr>
        <w:spacing w:after="60"/>
        <w:ind w:left="567"/>
      </w:pPr>
      <w:r w:rsidRPr="00B369EB">
        <w:t>1.1</w:t>
      </w:r>
      <w:r w:rsidR="001B0262">
        <w:tab/>
      </w:r>
      <w:r w:rsidRPr="00B369EB">
        <w:t>Modificaciones de la ley y de los reglamentos de aplicación</w:t>
      </w:r>
    </w:p>
    <w:p w14:paraId="2D6E8697" w14:textId="77777777" w:rsidR="007F2C3D" w:rsidRPr="00B369EB" w:rsidRDefault="001C673E">
      <w:pPr>
        <w:ind w:left="567" w:firstLine="567"/>
      </w:pPr>
      <w:r w:rsidRPr="00B369EB">
        <w:t>Sin cambios.</w:t>
      </w:r>
    </w:p>
    <w:p w14:paraId="042E2447" w14:textId="77777777" w:rsidR="007018E1" w:rsidRPr="00B369EB" w:rsidRDefault="007018E1" w:rsidP="007018E1">
      <w:pPr>
        <w:ind w:left="567"/>
      </w:pPr>
    </w:p>
    <w:p w14:paraId="79326DF7" w14:textId="6221D482" w:rsidR="007F2C3D" w:rsidRPr="00B369EB" w:rsidRDefault="001C673E">
      <w:pPr>
        <w:spacing w:after="60"/>
        <w:ind w:left="567"/>
      </w:pPr>
      <w:r w:rsidRPr="00B369EB">
        <w:t>1.2</w:t>
      </w:r>
      <w:r w:rsidR="001B0262">
        <w:tab/>
      </w:r>
      <w:r w:rsidRPr="00B369EB">
        <w:t>Ampliación de la protección a otros géneros y especies (realizada o prevista)</w:t>
      </w:r>
    </w:p>
    <w:p w14:paraId="1EB18316" w14:textId="77777777" w:rsidR="007F2C3D" w:rsidRPr="00B369EB" w:rsidRDefault="001C673E">
      <w:pPr>
        <w:ind w:left="1134"/>
      </w:pPr>
      <w:r w:rsidRPr="00B369EB">
        <w:t xml:space="preserve">De conformidad con la Ley </w:t>
      </w:r>
      <w:proofErr w:type="spellStart"/>
      <w:r w:rsidRPr="00B369EB">
        <w:t>nº</w:t>
      </w:r>
      <w:proofErr w:type="spellEnd"/>
      <w:r w:rsidRPr="00B369EB">
        <w:t xml:space="preserve"> 39-XVI/2008 de Protección de las Obtenciones Vegetales, la protección se ofrece a las variedades de todos los géneros y especies botánicos, incluidos los híbridos entre géneros y especies.</w:t>
      </w:r>
    </w:p>
    <w:p w14:paraId="1AFE9B44" w14:textId="77777777" w:rsidR="007018E1" w:rsidRPr="00B369EB" w:rsidRDefault="007018E1" w:rsidP="007018E1">
      <w:pPr>
        <w:ind w:left="567"/>
      </w:pPr>
    </w:p>
    <w:p w14:paraId="349742FD" w14:textId="3BCD301B" w:rsidR="007F2C3D" w:rsidRPr="00B369EB" w:rsidRDefault="001C673E">
      <w:pPr>
        <w:spacing w:after="60"/>
        <w:ind w:left="567"/>
      </w:pPr>
      <w:r w:rsidRPr="00B369EB">
        <w:t>1.3</w:t>
      </w:r>
      <w:r w:rsidR="001B0262">
        <w:tab/>
        <w:t>J</w:t>
      </w:r>
      <w:r w:rsidRPr="00B369EB">
        <w:t>urisprudencia</w:t>
      </w:r>
    </w:p>
    <w:p w14:paraId="29F1C219" w14:textId="77777777" w:rsidR="007F2C3D" w:rsidRPr="00B369EB" w:rsidRDefault="001C673E">
      <w:pPr>
        <w:ind w:left="1134"/>
        <w:rPr>
          <w:highlight w:val="yellow"/>
        </w:rPr>
      </w:pPr>
      <w:r w:rsidRPr="00B369EB">
        <w:t>No existen precedentes en materia de protección de los derechos de los obtentores.</w:t>
      </w:r>
    </w:p>
    <w:p w14:paraId="3AAFF8EC" w14:textId="77777777" w:rsidR="007018E1" w:rsidRPr="00B369EB" w:rsidRDefault="007018E1" w:rsidP="007018E1"/>
    <w:p w14:paraId="0BED4649" w14:textId="77777777" w:rsidR="007018E1" w:rsidRPr="00B369EB" w:rsidRDefault="007018E1" w:rsidP="007018E1"/>
    <w:p w14:paraId="28AE1C1D" w14:textId="77777777" w:rsidR="007F2C3D" w:rsidRPr="00B369EB" w:rsidRDefault="001C673E">
      <w:pPr>
        <w:rPr>
          <w:u w:val="single"/>
        </w:rPr>
      </w:pPr>
      <w:r w:rsidRPr="00B369EB">
        <w:t>2.</w:t>
      </w:r>
      <w:r w:rsidRPr="00B369EB">
        <w:tab/>
      </w:r>
      <w:r w:rsidRPr="00B369EB">
        <w:rPr>
          <w:u w:val="single"/>
        </w:rPr>
        <w:t>Cooperación en el examen</w:t>
      </w:r>
    </w:p>
    <w:p w14:paraId="3A7943DA" w14:textId="77777777" w:rsidR="007018E1" w:rsidRPr="00B369EB" w:rsidRDefault="007018E1" w:rsidP="007018E1"/>
    <w:p w14:paraId="592CC854" w14:textId="77777777" w:rsidR="007F2C3D" w:rsidRPr="00B369EB" w:rsidRDefault="001C673E">
      <w:pPr>
        <w:spacing w:after="120"/>
        <w:rPr>
          <w:u w:val="single"/>
        </w:rPr>
      </w:pPr>
      <w:r w:rsidRPr="00B369EB">
        <w:t>Utilización del informe DHE existente ofrecido por:</w:t>
      </w:r>
    </w:p>
    <w:p w14:paraId="260E18F5" w14:textId="77777777" w:rsidR="007F2C3D" w:rsidRPr="00B369EB" w:rsidRDefault="001C673E">
      <w:pPr>
        <w:pStyle w:val="ListParagraph"/>
        <w:numPr>
          <w:ilvl w:val="0"/>
          <w:numId w:val="4"/>
        </w:numPr>
      </w:pPr>
      <w:r w:rsidRPr="00B369EB">
        <w:t>OCVV</w:t>
      </w:r>
    </w:p>
    <w:p w14:paraId="05E02BB3" w14:textId="77777777" w:rsidR="007F2C3D" w:rsidRPr="00B369EB" w:rsidRDefault="001C673E">
      <w:pPr>
        <w:pStyle w:val="ListParagraph"/>
        <w:numPr>
          <w:ilvl w:val="0"/>
          <w:numId w:val="4"/>
        </w:numPr>
      </w:pPr>
      <w:r w:rsidRPr="00B369EB">
        <w:t>GEVES, FR</w:t>
      </w:r>
    </w:p>
    <w:p w14:paraId="03F92A74" w14:textId="77777777" w:rsidR="007F2C3D" w:rsidRPr="00B369EB" w:rsidRDefault="001C673E">
      <w:pPr>
        <w:pStyle w:val="ListParagraph"/>
        <w:numPr>
          <w:ilvl w:val="0"/>
          <w:numId w:val="4"/>
        </w:numPr>
      </w:pPr>
      <w:r w:rsidRPr="00B369EB">
        <w:t>Bundessortenamt, DE</w:t>
      </w:r>
    </w:p>
    <w:p w14:paraId="08DE4F01" w14:textId="77777777" w:rsidR="007F2C3D" w:rsidRPr="00B369EB" w:rsidRDefault="001C673E">
      <w:pPr>
        <w:pStyle w:val="ListParagraph"/>
        <w:numPr>
          <w:ilvl w:val="0"/>
          <w:numId w:val="4"/>
        </w:numPr>
      </w:pPr>
      <w:r w:rsidRPr="00B369EB">
        <w:t>Naktuinbouw, NL</w:t>
      </w:r>
    </w:p>
    <w:p w14:paraId="538988F1" w14:textId="77777777" w:rsidR="007018E1" w:rsidRPr="00B369EB" w:rsidRDefault="007018E1" w:rsidP="007018E1"/>
    <w:p w14:paraId="5E576C80" w14:textId="77777777" w:rsidR="007018E1" w:rsidRPr="00B369EB" w:rsidRDefault="007018E1" w:rsidP="007018E1"/>
    <w:p w14:paraId="5AEA5A5E" w14:textId="77777777" w:rsidR="007F2C3D" w:rsidRPr="00B369EB" w:rsidRDefault="001C673E">
      <w:pPr>
        <w:rPr>
          <w:u w:val="single"/>
        </w:rPr>
      </w:pPr>
      <w:r w:rsidRPr="00B369EB">
        <w:t>3.</w:t>
      </w:r>
      <w:r w:rsidRPr="00B369EB">
        <w:tab/>
      </w:r>
      <w:r w:rsidRPr="00B369EB">
        <w:rPr>
          <w:u w:val="single"/>
        </w:rPr>
        <w:t>Situación en el ámbito administrativo</w:t>
      </w:r>
    </w:p>
    <w:p w14:paraId="6B99A941" w14:textId="77777777" w:rsidR="007018E1" w:rsidRPr="00B369EB" w:rsidRDefault="007018E1" w:rsidP="007018E1"/>
    <w:p w14:paraId="00FF0C0B" w14:textId="3289B636" w:rsidR="007F2C3D" w:rsidRPr="00B369EB" w:rsidRDefault="001C673E">
      <w:r w:rsidRPr="00B369EB">
        <w:t>-</w:t>
      </w:r>
      <w:r w:rsidR="001B0262">
        <w:tab/>
      </w:r>
      <w:r w:rsidRPr="00B369EB">
        <w:t>Cambios en la estructura administrativa:  Sin cambios.</w:t>
      </w:r>
    </w:p>
    <w:p w14:paraId="537DA4FD" w14:textId="77777777" w:rsidR="007018E1" w:rsidRPr="00B369EB" w:rsidRDefault="007018E1" w:rsidP="007018E1"/>
    <w:p w14:paraId="162F5116" w14:textId="2F1DC2C6" w:rsidR="007F2C3D" w:rsidRPr="00B369EB" w:rsidRDefault="001C673E">
      <w:r w:rsidRPr="00B369EB">
        <w:t>-</w:t>
      </w:r>
      <w:r w:rsidR="001B0262">
        <w:tab/>
      </w:r>
      <w:r w:rsidRPr="00B369EB">
        <w:t>Cambios en los procedimientos y sistemas de oficina:  Sin cambios.</w:t>
      </w:r>
    </w:p>
    <w:p w14:paraId="30466966" w14:textId="77777777" w:rsidR="007018E1" w:rsidRPr="00B369EB" w:rsidRDefault="007018E1" w:rsidP="007018E1"/>
    <w:p w14:paraId="18462E92" w14:textId="77777777" w:rsidR="007F2C3D" w:rsidRPr="00B369EB" w:rsidRDefault="001C673E">
      <w:pPr>
        <w:rPr>
          <w:bCs/>
          <w:i/>
        </w:rPr>
      </w:pPr>
      <w:r w:rsidRPr="00B369EB">
        <w:rPr>
          <w:bCs/>
          <w:i/>
        </w:rPr>
        <w:t xml:space="preserve">Cambios en el sistema de procedimiento y protección </w:t>
      </w:r>
    </w:p>
    <w:p w14:paraId="57755993" w14:textId="77777777" w:rsidR="007018E1" w:rsidRPr="00B369EB" w:rsidRDefault="007018E1" w:rsidP="007018E1">
      <w:pPr>
        <w:rPr>
          <w:rFonts w:cs="Arial"/>
        </w:rPr>
      </w:pPr>
    </w:p>
    <w:p w14:paraId="4BFA41A1" w14:textId="77777777" w:rsidR="007F2C3D" w:rsidRPr="00B369EB" w:rsidRDefault="001C673E">
      <w:pPr>
        <w:spacing w:after="120"/>
        <w:rPr>
          <w:rFonts w:cs="Arial"/>
        </w:rPr>
      </w:pPr>
      <w:r w:rsidRPr="00B369EB">
        <w:rPr>
          <w:rFonts w:cs="Arial"/>
        </w:rPr>
        <w:t>Se elaboraron cuatro (4) directrices nacionales de ensayo para:</w:t>
      </w:r>
    </w:p>
    <w:p w14:paraId="5AB4A689" w14:textId="77777777" w:rsidR="007F2C3D" w:rsidRPr="00B369EB" w:rsidRDefault="001C673E">
      <w:pPr>
        <w:pStyle w:val="ListParagraph"/>
        <w:numPr>
          <w:ilvl w:val="0"/>
          <w:numId w:val="5"/>
        </w:numPr>
        <w:rPr>
          <w:rFonts w:cs="Arial"/>
          <w:lang w:eastAsia="ro-RO"/>
        </w:rPr>
      </w:pPr>
      <w:proofErr w:type="spellStart"/>
      <w:r w:rsidRPr="00B369EB">
        <w:rPr>
          <w:rFonts w:cs="Arial"/>
          <w:i/>
          <w:color w:val="000000"/>
          <w:lang w:eastAsia="ru-RU"/>
        </w:rPr>
        <w:t>Prunus</w:t>
      </w:r>
      <w:proofErr w:type="spellEnd"/>
      <w:r w:rsidRPr="00B369EB">
        <w:rPr>
          <w:rFonts w:cs="Arial"/>
          <w:i/>
          <w:color w:val="000000"/>
          <w:lang w:eastAsia="ru-RU"/>
        </w:rPr>
        <w:t xml:space="preserve"> tomentosa </w:t>
      </w:r>
      <w:proofErr w:type="spellStart"/>
      <w:r w:rsidRPr="00B369EB">
        <w:rPr>
          <w:rFonts w:cs="Arial"/>
          <w:color w:val="000000"/>
          <w:lang w:eastAsia="ru-RU"/>
        </w:rPr>
        <w:t>Thunb</w:t>
      </w:r>
      <w:proofErr w:type="spellEnd"/>
      <w:r w:rsidRPr="00B369EB">
        <w:rPr>
          <w:rFonts w:cs="Arial"/>
          <w:color w:val="000000"/>
          <w:lang w:eastAsia="ru-RU"/>
        </w:rPr>
        <w:t>. - MTG/27/1</w:t>
      </w:r>
    </w:p>
    <w:p w14:paraId="5F65C8EF" w14:textId="77777777" w:rsidR="007F2C3D" w:rsidRPr="00B369EB" w:rsidRDefault="001C673E">
      <w:pPr>
        <w:pStyle w:val="ListParagraph"/>
        <w:numPr>
          <w:ilvl w:val="0"/>
          <w:numId w:val="5"/>
        </w:numPr>
        <w:rPr>
          <w:rFonts w:cs="Arial"/>
          <w:lang w:eastAsia="ro-RO"/>
        </w:rPr>
      </w:pPr>
      <w:proofErr w:type="spellStart"/>
      <w:r w:rsidRPr="00B369EB">
        <w:rPr>
          <w:rFonts w:cs="Arial"/>
          <w:i/>
          <w:color w:val="000000"/>
          <w:lang w:eastAsia="ru-RU"/>
        </w:rPr>
        <w:t>Thymus</w:t>
      </w:r>
      <w:proofErr w:type="spellEnd"/>
      <w:r w:rsidRPr="00B369EB">
        <w:rPr>
          <w:rFonts w:cs="Arial"/>
          <w:i/>
          <w:color w:val="000000"/>
          <w:lang w:eastAsia="ru-RU"/>
        </w:rPr>
        <w:t xml:space="preserve"> </w:t>
      </w:r>
      <w:r w:rsidRPr="00B369EB">
        <w:rPr>
          <w:rFonts w:cs="Arial"/>
          <w:color w:val="000000"/>
          <w:lang w:eastAsia="ru-RU"/>
        </w:rPr>
        <w:t xml:space="preserve">× </w:t>
      </w:r>
      <w:proofErr w:type="spellStart"/>
      <w:r w:rsidRPr="00B369EB">
        <w:rPr>
          <w:rFonts w:cs="Arial"/>
          <w:i/>
          <w:color w:val="000000"/>
          <w:lang w:eastAsia="ru-RU"/>
        </w:rPr>
        <w:t>citriodorus</w:t>
      </w:r>
      <w:proofErr w:type="spellEnd"/>
      <w:r w:rsidRPr="00B369EB">
        <w:rPr>
          <w:rFonts w:cs="Arial"/>
          <w:i/>
          <w:color w:val="000000"/>
          <w:lang w:eastAsia="ru-RU"/>
        </w:rPr>
        <w:t xml:space="preserve"> </w:t>
      </w:r>
      <w:r w:rsidRPr="00B369EB">
        <w:rPr>
          <w:rFonts w:cs="Arial"/>
          <w:color w:val="000000"/>
          <w:lang w:eastAsia="ru-RU"/>
        </w:rPr>
        <w:t xml:space="preserve">(Pers.) </w:t>
      </w:r>
      <w:proofErr w:type="spellStart"/>
      <w:r w:rsidRPr="00B369EB">
        <w:rPr>
          <w:rFonts w:cs="Arial"/>
          <w:color w:val="000000"/>
          <w:lang w:eastAsia="ru-RU"/>
        </w:rPr>
        <w:t>Schreb</w:t>
      </w:r>
      <w:proofErr w:type="spellEnd"/>
      <w:r w:rsidRPr="00B369EB">
        <w:rPr>
          <w:rFonts w:cs="Arial"/>
          <w:color w:val="000000"/>
          <w:lang w:eastAsia="ru-RU"/>
        </w:rPr>
        <w:t xml:space="preserve"> - MTG/28/1</w:t>
      </w:r>
    </w:p>
    <w:p w14:paraId="5EDA59A1" w14:textId="77777777" w:rsidR="007F2C3D" w:rsidRPr="00B369EB" w:rsidRDefault="001C673E">
      <w:pPr>
        <w:pStyle w:val="ListParagraph"/>
        <w:numPr>
          <w:ilvl w:val="0"/>
          <w:numId w:val="5"/>
        </w:numPr>
        <w:rPr>
          <w:rFonts w:cs="Arial"/>
          <w:lang w:eastAsia="ro-RO"/>
        </w:rPr>
      </w:pPr>
      <w:r w:rsidRPr="00B369EB">
        <w:rPr>
          <w:rFonts w:cs="Arial"/>
          <w:i/>
          <w:color w:val="000000"/>
          <w:lang w:eastAsia="ru-RU"/>
        </w:rPr>
        <w:t xml:space="preserve">Galega </w:t>
      </w:r>
      <w:proofErr w:type="spellStart"/>
      <w:r w:rsidRPr="00B369EB">
        <w:rPr>
          <w:rFonts w:cs="Arial"/>
          <w:i/>
          <w:color w:val="000000"/>
          <w:lang w:eastAsia="ru-RU"/>
        </w:rPr>
        <w:t>orientalis</w:t>
      </w:r>
      <w:proofErr w:type="spellEnd"/>
      <w:r w:rsidRPr="00B369EB">
        <w:rPr>
          <w:rFonts w:cs="Arial"/>
          <w:i/>
          <w:color w:val="000000"/>
          <w:lang w:eastAsia="ru-RU"/>
        </w:rPr>
        <w:t xml:space="preserve"> </w:t>
      </w:r>
      <w:r w:rsidRPr="00B369EB">
        <w:rPr>
          <w:rFonts w:cs="Arial"/>
          <w:color w:val="000000"/>
          <w:lang w:eastAsia="ru-RU"/>
        </w:rPr>
        <w:t>Lam. - MTG/29/1</w:t>
      </w:r>
    </w:p>
    <w:p w14:paraId="79AD6966" w14:textId="77777777" w:rsidR="007F2C3D" w:rsidRPr="00B369EB" w:rsidRDefault="001C673E">
      <w:pPr>
        <w:pStyle w:val="ListParagraph"/>
        <w:numPr>
          <w:ilvl w:val="0"/>
          <w:numId w:val="5"/>
        </w:numPr>
        <w:rPr>
          <w:rFonts w:cs="Arial"/>
          <w:lang w:eastAsia="ro-RO"/>
        </w:rPr>
      </w:pPr>
      <w:proofErr w:type="spellStart"/>
      <w:r w:rsidRPr="00B369EB">
        <w:rPr>
          <w:rFonts w:cs="Arial"/>
          <w:i/>
          <w:color w:val="000000"/>
          <w:lang w:eastAsia="ru-RU"/>
        </w:rPr>
        <w:t>Helichrysum</w:t>
      </w:r>
      <w:proofErr w:type="spellEnd"/>
      <w:r w:rsidRPr="00B369EB">
        <w:rPr>
          <w:rFonts w:cs="Arial"/>
          <w:i/>
          <w:color w:val="000000"/>
          <w:lang w:eastAsia="ru-RU"/>
        </w:rPr>
        <w:t xml:space="preserve"> </w:t>
      </w:r>
      <w:proofErr w:type="spellStart"/>
      <w:r w:rsidRPr="00B369EB">
        <w:rPr>
          <w:rFonts w:cs="Arial"/>
          <w:i/>
          <w:color w:val="000000"/>
          <w:lang w:eastAsia="ru-RU"/>
        </w:rPr>
        <w:t>italicum</w:t>
      </w:r>
      <w:proofErr w:type="spellEnd"/>
      <w:r w:rsidRPr="00B369EB">
        <w:rPr>
          <w:rFonts w:cs="Arial"/>
          <w:i/>
          <w:color w:val="000000"/>
          <w:lang w:eastAsia="ru-RU"/>
        </w:rPr>
        <w:t xml:space="preserve"> </w:t>
      </w:r>
      <w:r w:rsidRPr="00B369EB">
        <w:rPr>
          <w:rFonts w:cs="Arial"/>
          <w:color w:val="000000"/>
          <w:lang w:eastAsia="ru-RU"/>
        </w:rPr>
        <w:t xml:space="preserve">(Roth) </w:t>
      </w:r>
      <w:proofErr w:type="spellStart"/>
      <w:r w:rsidRPr="00B369EB">
        <w:rPr>
          <w:rFonts w:cs="Arial"/>
          <w:color w:val="000000"/>
          <w:lang w:eastAsia="ru-RU"/>
        </w:rPr>
        <w:t>Gussone</w:t>
      </w:r>
      <w:proofErr w:type="spellEnd"/>
      <w:r w:rsidRPr="00B369EB">
        <w:rPr>
          <w:rFonts w:cs="Arial"/>
          <w:color w:val="000000"/>
          <w:lang w:eastAsia="ru-RU"/>
        </w:rPr>
        <w:t xml:space="preserve"> </w:t>
      </w:r>
      <w:r w:rsidRPr="00B369EB">
        <w:rPr>
          <w:rFonts w:cs="Arial"/>
          <w:lang w:eastAsia="ro-RO"/>
        </w:rPr>
        <w:t>- MTG/30/1</w:t>
      </w:r>
    </w:p>
    <w:p w14:paraId="0CB16E2F" w14:textId="77777777" w:rsidR="007018E1" w:rsidRPr="00B369EB" w:rsidRDefault="007018E1" w:rsidP="007018E1"/>
    <w:p w14:paraId="0DDCCBEE" w14:textId="77777777" w:rsidR="007F2C3D" w:rsidRPr="00B369EB" w:rsidRDefault="001C673E">
      <w:pPr>
        <w:rPr>
          <w:bCs/>
          <w:i/>
        </w:rPr>
      </w:pPr>
      <w:r w:rsidRPr="00B369EB">
        <w:rPr>
          <w:bCs/>
          <w:i/>
        </w:rPr>
        <w:t>Estadísticas</w:t>
      </w:r>
    </w:p>
    <w:p w14:paraId="6A882E8B" w14:textId="77777777" w:rsidR="007018E1" w:rsidRPr="00B369EB" w:rsidRDefault="007018E1" w:rsidP="007018E1"/>
    <w:p w14:paraId="056E7679" w14:textId="77777777" w:rsidR="007F2C3D" w:rsidRPr="00B369EB" w:rsidRDefault="001C673E">
      <w:pPr>
        <w:spacing w:after="120"/>
      </w:pPr>
      <w:r w:rsidRPr="00B369EB">
        <w:t>En el periodo comprendido entre el 1 de enero de 2023 y el 31 de diciembre de 2023:</w:t>
      </w:r>
    </w:p>
    <w:p w14:paraId="79C3A99D" w14:textId="77777777" w:rsidR="007F2C3D" w:rsidRPr="00B369EB" w:rsidRDefault="001C673E">
      <w:pPr>
        <w:pStyle w:val="ListParagraph"/>
        <w:numPr>
          <w:ilvl w:val="0"/>
          <w:numId w:val="6"/>
        </w:numPr>
        <w:rPr>
          <w:bCs/>
        </w:rPr>
      </w:pPr>
      <w:r w:rsidRPr="00B369EB">
        <w:rPr>
          <w:bCs/>
        </w:rPr>
        <w:t>Se han recibido 17 solicitudes;</w:t>
      </w:r>
    </w:p>
    <w:p w14:paraId="624EEBF0" w14:textId="77777777" w:rsidR="007F2C3D" w:rsidRPr="00B369EB" w:rsidRDefault="001C673E">
      <w:pPr>
        <w:pStyle w:val="ListParagraph"/>
        <w:numPr>
          <w:ilvl w:val="0"/>
          <w:numId w:val="6"/>
        </w:numPr>
        <w:rPr>
          <w:bCs/>
        </w:rPr>
      </w:pPr>
      <w:r w:rsidRPr="00B369EB">
        <w:rPr>
          <w:bCs/>
        </w:rPr>
        <w:t>Se han adoptado 32 decisiones de concesión de patentes de obtenciones vegetales;</w:t>
      </w:r>
    </w:p>
    <w:p w14:paraId="08BE326E" w14:textId="77777777" w:rsidR="007F2C3D" w:rsidRPr="00B369EB" w:rsidRDefault="001C673E">
      <w:pPr>
        <w:pStyle w:val="ListParagraph"/>
        <w:numPr>
          <w:ilvl w:val="0"/>
          <w:numId w:val="6"/>
        </w:numPr>
      </w:pPr>
      <w:r w:rsidRPr="00B369EB">
        <w:t xml:space="preserve">Se han concedido </w:t>
      </w:r>
      <w:r w:rsidRPr="00B369EB">
        <w:rPr>
          <w:bCs/>
        </w:rPr>
        <w:t xml:space="preserve">24 </w:t>
      </w:r>
      <w:r w:rsidRPr="00B369EB">
        <w:t>patentes de obtenciones vegetales.</w:t>
      </w:r>
    </w:p>
    <w:p w14:paraId="03A14A15" w14:textId="77777777" w:rsidR="007018E1" w:rsidRPr="00B369EB" w:rsidRDefault="007018E1" w:rsidP="007018E1"/>
    <w:p w14:paraId="5DA3A9DF" w14:textId="77777777" w:rsidR="007018E1" w:rsidRPr="00B369EB" w:rsidRDefault="007018E1" w:rsidP="007018E1"/>
    <w:p w14:paraId="6AB8AA39" w14:textId="77777777" w:rsidR="007F2C3D" w:rsidRPr="00B369EB" w:rsidRDefault="001C673E">
      <w:r w:rsidRPr="00B369EB">
        <w:t>4.</w:t>
      </w:r>
      <w:r w:rsidRPr="00B369EB">
        <w:tab/>
      </w:r>
      <w:r w:rsidRPr="00B369EB">
        <w:rPr>
          <w:u w:val="single"/>
        </w:rPr>
        <w:t>Situación en el ámbito técnico</w:t>
      </w:r>
    </w:p>
    <w:p w14:paraId="49674138" w14:textId="77777777" w:rsidR="007018E1" w:rsidRPr="00B369EB" w:rsidRDefault="007018E1" w:rsidP="007018E1"/>
    <w:p w14:paraId="193DEC7E" w14:textId="77777777" w:rsidR="007F2C3D" w:rsidRPr="00B369EB" w:rsidRDefault="001C673E">
      <w:pPr>
        <w:ind w:left="567"/>
      </w:pPr>
      <w:r w:rsidRPr="00B369EB">
        <w:t>Sin cambios.</w:t>
      </w:r>
    </w:p>
    <w:p w14:paraId="77A66DDE" w14:textId="77777777" w:rsidR="007018E1" w:rsidRPr="00B369EB" w:rsidRDefault="007018E1" w:rsidP="007018E1"/>
    <w:p w14:paraId="46D1E485" w14:textId="77777777" w:rsidR="007F2C3D" w:rsidRPr="00B369EB" w:rsidRDefault="001C673E">
      <w:pPr>
        <w:keepNext/>
        <w:keepLines/>
        <w:rPr>
          <w:u w:val="single"/>
        </w:rPr>
      </w:pPr>
      <w:r w:rsidRPr="00B369EB">
        <w:lastRenderedPageBreak/>
        <w:t>5.</w:t>
      </w:r>
      <w:r w:rsidRPr="00B369EB">
        <w:tab/>
      </w:r>
      <w:r w:rsidRPr="00B369EB">
        <w:rPr>
          <w:u w:val="single"/>
        </w:rPr>
        <w:t>Actividades de fomento de la protección de las obtenciones vegetales</w:t>
      </w:r>
    </w:p>
    <w:p w14:paraId="7D389A5B" w14:textId="77777777" w:rsidR="007018E1" w:rsidRPr="00B369EB" w:rsidRDefault="007018E1" w:rsidP="007018E1">
      <w:pPr>
        <w:keepNext/>
        <w:keepLines/>
        <w:rPr>
          <w:u w:val="single"/>
        </w:rPr>
      </w:pPr>
    </w:p>
    <w:p w14:paraId="7F867F4E" w14:textId="77777777" w:rsidR="007F2C3D" w:rsidRPr="00B369EB" w:rsidRDefault="001C673E">
      <w:pPr>
        <w:keepNext/>
        <w:keepLines/>
        <w:rPr>
          <w:rFonts w:cs="Arial"/>
        </w:rPr>
      </w:pPr>
      <w:r w:rsidRPr="00B369EB">
        <w:rPr>
          <w:rFonts w:cs="Arial"/>
        </w:rPr>
        <w:t>El AGEPI mantiene periódicamente el sitio Web www.agepi.gov.md, en el que se puede acceder a la legislación nacional en el ámbito de la protección de las obtenciones vegetales, así como a los formularios de solicitud de una patente de obtención vegetal y a información útil conexa para solicitantes y obtentores, disponible en rumano, ruso e inglés.</w:t>
      </w:r>
    </w:p>
    <w:p w14:paraId="65CEC30D" w14:textId="77777777" w:rsidR="007018E1" w:rsidRPr="00B369EB" w:rsidRDefault="007018E1" w:rsidP="007018E1">
      <w:pPr>
        <w:keepNext/>
        <w:keepLines/>
        <w:rPr>
          <w:rFonts w:cs="Arial"/>
        </w:rPr>
      </w:pPr>
    </w:p>
    <w:p w14:paraId="481DC355" w14:textId="77777777" w:rsidR="007F2C3D" w:rsidRPr="00B369EB" w:rsidRDefault="001C673E">
      <w:r w:rsidRPr="00B369EB">
        <w:t>El material informativo relacionado con la protección de las obtenciones vegetales se distribuye en el marco de las distintas actividades organizadas por la AGEPI o en las que ésta participa, como seminarios, campañas de sensibilización sobre la propiedad intelectual y exposiciones.</w:t>
      </w:r>
    </w:p>
    <w:p w14:paraId="38DB6627" w14:textId="77777777" w:rsidR="007018E1" w:rsidRPr="00B369EB" w:rsidRDefault="007018E1" w:rsidP="007018E1"/>
    <w:p w14:paraId="53EAAA94" w14:textId="77777777" w:rsidR="007F2C3D" w:rsidRPr="00B369EB" w:rsidRDefault="001C673E">
      <w:r w:rsidRPr="00B369EB">
        <w:t xml:space="preserve">Desde 2016, la República de Moldova, representada por el AGEPI, participa en el proyecto de la UPOV sobre la elaboración de un formulario electrónico de solicitud UPOV PRISMA.  La información conexa sobre el procedimiento de protección de las obtenciones vegetales mediante el formulario de solicitud electrónica UPOV PRISMA puede consultarse </w:t>
      </w:r>
      <w:r w:rsidRPr="00B369EB">
        <w:rPr>
          <w:color w:val="0000FF"/>
          <w:u w:val="single"/>
        </w:rPr>
        <w:t>en el sitio web www.agepi.gov.md.</w:t>
      </w:r>
    </w:p>
    <w:p w14:paraId="6C9EC362" w14:textId="77777777" w:rsidR="007018E1" w:rsidRPr="00B369EB" w:rsidRDefault="007018E1" w:rsidP="007018E1"/>
    <w:p w14:paraId="21BA7BB7" w14:textId="77777777" w:rsidR="001F63A8" w:rsidRPr="00B369EB" w:rsidRDefault="001F63A8" w:rsidP="007018E1"/>
    <w:p w14:paraId="0A28F1BA" w14:textId="77777777" w:rsidR="001F63A8" w:rsidRPr="00B369EB" w:rsidRDefault="001F63A8" w:rsidP="007018E1"/>
    <w:p w14:paraId="5FCE22AB" w14:textId="77777777" w:rsidR="007F2C3D" w:rsidRPr="00B369EB" w:rsidRDefault="001C673E">
      <w:pPr>
        <w:jc w:val="right"/>
      </w:pPr>
      <w:r w:rsidRPr="00B369EB">
        <w:t>[Sigue el anexo VIII].</w:t>
      </w:r>
    </w:p>
    <w:p w14:paraId="0214D982" w14:textId="77777777" w:rsidR="001F63A8" w:rsidRPr="00B369EB" w:rsidRDefault="001F63A8" w:rsidP="001F63A8"/>
    <w:p w14:paraId="74E90C77" w14:textId="77777777" w:rsidR="001F63A8" w:rsidRPr="00B369EB" w:rsidRDefault="001F63A8" w:rsidP="001F63A8"/>
    <w:p w14:paraId="2B9032EF" w14:textId="77777777" w:rsidR="001F63A8" w:rsidRPr="00B369EB" w:rsidRDefault="001F63A8" w:rsidP="001F63A8">
      <w:pPr>
        <w:jc w:val="center"/>
        <w:sectPr w:rsidR="001F63A8" w:rsidRPr="00B369EB" w:rsidSect="000B2CE0">
          <w:headerReference w:type="default" r:id="rId34"/>
          <w:pgSz w:w="11907" w:h="16840" w:code="9"/>
          <w:pgMar w:top="510" w:right="1134" w:bottom="568" w:left="1134" w:header="510" w:footer="680" w:gutter="0"/>
          <w:pgNumType w:start="1"/>
          <w:cols w:space="720"/>
          <w:titlePg/>
        </w:sectPr>
      </w:pPr>
    </w:p>
    <w:p w14:paraId="55FED569" w14:textId="77777777" w:rsidR="007F2C3D" w:rsidRPr="00B369EB" w:rsidRDefault="001C673E">
      <w:pPr>
        <w:jc w:val="center"/>
      </w:pPr>
      <w:r w:rsidRPr="00B369EB">
        <w:lastRenderedPageBreak/>
        <w:t>C/58/13</w:t>
      </w:r>
    </w:p>
    <w:p w14:paraId="2C4E0E23" w14:textId="77777777" w:rsidR="001F63A8" w:rsidRPr="00B369EB" w:rsidRDefault="001F63A8" w:rsidP="001F63A8">
      <w:pPr>
        <w:jc w:val="center"/>
      </w:pPr>
    </w:p>
    <w:p w14:paraId="49812B42" w14:textId="77777777" w:rsidR="007F2C3D" w:rsidRPr="00B369EB" w:rsidRDefault="001C673E">
      <w:pPr>
        <w:jc w:val="center"/>
      </w:pPr>
      <w:r w:rsidRPr="00B369EB">
        <w:t xml:space="preserve">ANEXO </w:t>
      </w:r>
      <w:r w:rsidR="00C2720B" w:rsidRPr="00B369EB">
        <w:t>VIII</w:t>
      </w:r>
    </w:p>
    <w:p w14:paraId="7B6554F2" w14:textId="77777777" w:rsidR="001F63A8" w:rsidRPr="00B369EB" w:rsidRDefault="001F63A8" w:rsidP="001F63A8">
      <w:pPr>
        <w:jc w:val="center"/>
      </w:pPr>
    </w:p>
    <w:p w14:paraId="7978BD2C" w14:textId="77777777" w:rsidR="001F63A8" w:rsidRPr="00B369EB" w:rsidRDefault="001F63A8" w:rsidP="001F63A8">
      <w:pPr>
        <w:jc w:val="center"/>
      </w:pPr>
    </w:p>
    <w:p w14:paraId="27FE4B87" w14:textId="77777777" w:rsidR="007F2C3D" w:rsidRPr="00B369EB" w:rsidRDefault="001C673E">
      <w:pPr>
        <w:jc w:val="center"/>
      </w:pPr>
      <w:r w:rsidRPr="00B369EB">
        <w:t>REINO UNIDO</w:t>
      </w:r>
    </w:p>
    <w:p w14:paraId="61A44E56" w14:textId="77777777" w:rsidR="001F63A8" w:rsidRPr="00B369EB" w:rsidRDefault="001F63A8" w:rsidP="001F63A8"/>
    <w:p w14:paraId="775E2057" w14:textId="77777777" w:rsidR="001F63A8" w:rsidRPr="00B369EB" w:rsidRDefault="001F63A8" w:rsidP="001F63A8"/>
    <w:p w14:paraId="710BA768" w14:textId="77777777" w:rsidR="007F2C3D" w:rsidRPr="00B369EB" w:rsidRDefault="001C673E">
      <w:pPr>
        <w:pStyle w:val="Heading1"/>
        <w:rPr>
          <w:lang w:val="es-ES_tradnl"/>
        </w:rPr>
      </w:pPr>
      <w:r w:rsidRPr="00B369EB">
        <w:rPr>
          <w:lang w:val="es-ES_tradnl"/>
        </w:rPr>
        <w:t>I.</w:t>
      </w:r>
      <w:r w:rsidRPr="00B369EB">
        <w:rPr>
          <w:lang w:val="es-ES_tradnl"/>
        </w:rPr>
        <w:tab/>
        <w:t>PROTECCIÓN DE LAS OBTENCIONES VEGETALES</w:t>
      </w:r>
    </w:p>
    <w:p w14:paraId="67224015" w14:textId="77777777" w:rsidR="002B0F13" w:rsidRPr="00B369EB" w:rsidRDefault="002B0F13" w:rsidP="002B0F13"/>
    <w:p w14:paraId="280156D9" w14:textId="77777777" w:rsidR="007F2C3D" w:rsidRPr="00B369EB" w:rsidRDefault="001C673E">
      <w:r w:rsidRPr="00B369EB">
        <w:t xml:space="preserve">1. </w:t>
      </w:r>
      <w:r w:rsidRPr="00B369EB">
        <w:tab/>
      </w:r>
      <w:r w:rsidRPr="00B369EB">
        <w:rPr>
          <w:u w:val="single"/>
        </w:rPr>
        <w:t>Situación en el ámbito legislativo</w:t>
      </w:r>
    </w:p>
    <w:p w14:paraId="566D87EA" w14:textId="77777777" w:rsidR="002B0F13" w:rsidRPr="00B369EB" w:rsidRDefault="002B0F13" w:rsidP="002B0F13"/>
    <w:p w14:paraId="430407FB" w14:textId="7D879F05" w:rsidR="007F2C3D" w:rsidRPr="00B369EB" w:rsidRDefault="001C673E">
      <w:r w:rsidRPr="00B369EB">
        <w:t>1.1</w:t>
      </w:r>
      <w:r w:rsidR="001B0262">
        <w:tab/>
      </w:r>
      <w:r w:rsidRPr="00B369EB">
        <w:t>Modificaciones de la ley y de los reglamentos de aplicación</w:t>
      </w:r>
    </w:p>
    <w:p w14:paraId="0CB2F836" w14:textId="77777777" w:rsidR="002B0F13" w:rsidRPr="00B369EB" w:rsidRDefault="002B0F13" w:rsidP="002B0F13"/>
    <w:p w14:paraId="48E8E2CB" w14:textId="77777777" w:rsidR="007F2C3D" w:rsidRPr="00B369EB" w:rsidRDefault="001C673E">
      <w:pPr>
        <w:ind w:left="567"/>
      </w:pPr>
      <w:r w:rsidRPr="00B369EB">
        <w:t>Nada que comunicar.</w:t>
      </w:r>
    </w:p>
    <w:p w14:paraId="295161E9" w14:textId="77777777" w:rsidR="002B0F13" w:rsidRPr="00B369EB" w:rsidRDefault="002B0F13" w:rsidP="002B0F13">
      <w:pPr>
        <w:pStyle w:val="BodyTextIndent2"/>
        <w:ind w:left="425"/>
        <w:rPr>
          <w:sz w:val="20"/>
          <w:szCs w:val="20"/>
          <w:lang w:val="es-ES_tradnl"/>
        </w:rPr>
      </w:pPr>
    </w:p>
    <w:p w14:paraId="3225EB28" w14:textId="4A348AF2" w:rsidR="007F2C3D" w:rsidRPr="00B369EB" w:rsidRDefault="001C673E">
      <w:r w:rsidRPr="00B369EB">
        <w:t>1.2</w:t>
      </w:r>
      <w:r w:rsidR="001B0262">
        <w:tab/>
      </w:r>
      <w:r w:rsidRPr="00B369EB">
        <w:t>Ampliación de la protección a otros géneros y especies (realizada o prevista)</w:t>
      </w:r>
    </w:p>
    <w:p w14:paraId="73BB2A41" w14:textId="77777777" w:rsidR="002B0F13" w:rsidRPr="00B369EB" w:rsidRDefault="002B0F13" w:rsidP="002B0F13">
      <w:pPr>
        <w:pStyle w:val="BodyTextIndent2"/>
        <w:ind w:left="425"/>
        <w:rPr>
          <w:sz w:val="20"/>
          <w:szCs w:val="20"/>
          <w:lang w:val="es-ES_tradnl"/>
        </w:rPr>
      </w:pPr>
    </w:p>
    <w:p w14:paraId="6E50FFD0" w14:textId="77777777" w:rsidR="007F2C3D" w:rsidRPr="00B369EB" w:rsidRDefault="001C673E">
      <w:r w:rsidRPr="00B369EB">
        <w:t xml:space="preserve">El Reino Unido ha seguido trabajando para ampliar de 25 a 30 años la duración de los derechos de obtentor para la especie espárrago y los grupos de especies bulbos de flor, pequeños frutos leñosos y plantas ornamentales leñosas.  No se espera que estos trabajos concluyan antes de 2025. </w:t>
      </w:r>
    </w:p>
    <w:p w14:paraId="3472C6AC" w14:textId="77777777" w:rsidR="002B0F13" w:rsidRPr="00B369EB" w:rsidRDefault="002B0F13" w:rsidP="002B0F13">
      <w:pPr>
        <w:pStyle w:val="BodyTextIndent2"/>
        <w:ind w:left="425"/>
        <w:rPr>
          <w:sz w:val="20"/>
          <w:szCs w:val="20"/>
          <w:lang w:val="es-ES_tradnl"/>
        </w:rPr>
      </w:pPr>
    </w:p>
    <w:p w14:paraId="323C94EB" w14:textId="1D524CC5" w:rsidR="007F2C3D" w:rsidRPr="00B369EB" w:rsidRDefault="001C673E">
      <w:r w:rsidRPr="00B369EB">
        <w:t>1.3</w:t>
      </w:r>
      <w:r w:rsidR="001B0262">
        <w:tab/>
        <w:t>J</w:t>
      </w:r>
      <w:r w:rsidRPr="00B369EB">
        <w:t>urisprudencia</w:t>
      </w:r>
    </w:p>
    <w:p w14:paraId="5929CC71" w14:textId="77777777" w:rsidR="002B0F13" w:rsidRPr="00B369EB" w:rsidRDefault="002B0F13" w:rsidP="002B0F13">
      <w:pPr>
        <w:pStyle w:val="BodyTextIndent2"/>
        <w:ind w:left="425"/>
        <w:rPr>
          <w:sz w:val="20"/>
          <w:szCs w:val="20"/>
          <w:lang w:val="es-ES_tradnl"/>
        </w:rPr>
      </w:pPr>
    </w:p>
    <w:p w14:paraId="3394F96C" w14:textId="77777777" w:rsidR="007F2C3D" w:rsidRPr="00B369EB" w:rsidRDefault="001C673E">
      <w:pPr>
        <w:pStyle w:val="BodyTextIndent2"/>
        <w:ind w:left="425"/>
        <w:rPr>
          <w:sz w:val="20"/>
          <w:szCs w:val="20"/>
          <w:lang w:val="es-ES_tradnl"/>
        </w:rPr>
      </w:pPr>
      <w:r w:rsidRPr="00B369EB">
        <w:rPr>
          <w:sz w:val="20"/>
          <w:szCs w:val="20"/>
          <w:lang w:val="es-ES_tradnl"/>
        </w:rPr>
        <w:t>Nada que comunicar.</w:t>
      </w:r>
    </w:p>
    <w:p w14:paraId="75316D10" w14:textId="77777777" w:rsidR="002B0F13" w:rsidRPr="00B369EB" w:rsidRDefault="002B0F13" w:rsidP="002B0F13"/>
    <w:p w14:paraId="0431EDEF" w14:textId="77777777" w:rsidR="002B0F13" w:rsidRPr="00B369EB" w:rsidRDefault="002B0F13" w:rsidP="002B0F13"/>
    <w:p w14:paraId="0A81ABB1" w14:textId="77777777" w:rsidR="007F2C3D" w:rsidRPr="00B369EB" w:rsidRDefault="001C673E">
      <w:r w:rsidRPr="00B369EB">
        <w:t>2.</w:t>
      </w:r>
      <w:r w:rsidRPr="00B369EB">
        <w:tab/>
      </w:r>
      <w:r w:rsidRPr="00B369EB">
        <w:rPr>
          <w:u w:val="single"/>
        </w:rPr>
        <w:t>Cooperación en el examen</w:t>
      </w:r>
    </w:p>
    <w:p w14:paraId="2BA44BD1" w14:textId="77777777" w:rsidR="002B0F13" w:rsidRPr="00B369EB" w:rsidRDefault="002B0F13" w:rsidP="002B0F13">
      <w:pPr>
        <w:tabs>
          <w:tab w:val="left" w:pos="426"/>
          <w:tab w:val="left" w:pos="851"/>
        </w:tabs>
      </w:pPr>
    </w:p>
    <w:p w14:paraId="58FD5256" w14:textId="77777777" w:rsidR="007F2C3D" w:rsidRPr="00B369EB" w:rsidRDefault="001C673E">
      <w:pPr>
        <w:tabs>
          <w:tab w:val="left" w:pos="426"/>
          <w:tab w:val="left" w:pos="851"/>
        </w:tabs>
      </w:pPr>
      <w:r w:rsidRPr="00B369EB">
        <w:t>Se está elaborando un proyecto de acuerdo de cooperación entre el Reino Unido y Japón.</w:t>
      </w:r>
    </w:p>
    <w:p w14:paraId="094C9D0A" w14:textId="77777777" w:rsidR="002B0F13" w:rsidRPr="00B369EB" w:rsidRDefault="002B0F13" w:rsidP="002B0F13"/>
    <w:p w14:paraId="5B313C68" w14:textId="77777777" w:rsidR="002B0F13" w:rsidRPr="00B369EB" w:rsidRDefault="002B0F13" w:rsidP="002B0F13"/>
    <w:p w14:paraId="0AE74F54" w14:textId="77777777" w:rsidR="007F2C3D" w:rsidRPr="00B369EB" w:rsidRDefault="001C673E">
      <w:pPr>
        <w:rPr>
          <w:u w:val="single"/>
        </w:rPr>
      </w:pPr>
      <w:r w:rsidRPr="00B369EB">
        <w:t>3.</w:t>
      </w:r>
      <w:r w:rsidRPr="00B369EB">
        <w:tab/>
      </w:r>
      <w:r w:rsidRPr="00B369EB">
        <w:rPr>
          <w:u w:val="single"/>
        </w:rPr>
        <w:t>Situación en el ámbito administrativo</w:t>
      </w:r>
    </w:p>
    <w:p w14:paraId="66DB126B" w14:textId="77777777" w:rsidR="002B0F13" w:rsidRPr="00B369EB" w:rsidRDefault="002B0F13" w:rsidP="002B0F13"/>
    <w:p w14:paraId="7D5E88F4" w14:textId="3E6EA0CD" w:rsidR="007F2C3D" w:rsidRPr="00B369EB" w:rsidRDefault="001C673E">
      <w:pPr>
        <w:ind w:left="425" w:hanging="425"/>
      </w:pPr>
      <w:r w:rsidRPr="00B369EB">
        <w:t>-</w:t>
      </w:r>
      <w:r w:rsidR="001B0262">
        <w:tab/>
      </w:r>
      <w:r w:rsidRPr="00B369EB">
        <w:t>Cambios en la estructura administrativa</w:t>
      </w:r>
    </w:p>
    <w:p w14:paraId="2EB90309" w14:textId="00331428" w:rsidR="007F2C3D" w:rsidRPr="00B369EB" w:rsidRDefault="001C673E">
      <w:pPr>
        <w:ind w:left="425" w:hanging="425"/>
      </w:pPr>
      <w:r w:rsidRPr="00B369EB">
        <w:t>-</w:t>
      </w:r>
      <w:r w:rsidR="001B0262">
        <w:tab/>
      </w:r>
      <w:r w:rsidRPr="00B369EB">
        <w:t>Cambios en los procedimientos y sistemas de oficina</w:t>
      </w:r>
    </w:p>
    <w:p w14:paraId="0AB636A1" w14:textId="77777777" w:rsidR="002B0F13" w:rsidRPr="00B369EB" w:rsidRDefault="002B0F13" w:rsidP="002B0F13">
      <w:pPr>
        <w:ind w:left="425" w:hanging="425"/>
      </w:pPr>
    </w:p>
    <w:p w14:paraId="0B5A8779" w14:textId="77777777" w:rsidR="007F2C3D" w:rsidRPr="00B369EB" w:rsidRDefault="001C673E">
      <w:r w:rsidRPr="00B369EB">
        <w:t xml:space="preserve">La política del Gobierno británico es cobrar por muchos bienes y servicios públicos. El planteamiento estándar consiste en fijar tarifas que permitan recuperar la totalidad de los costes de prestación del servicio y revisarlas periódicamente (anual o bienalmente, según proceda). De este modo se libera al contribuyente general de los costes, de modo que éstos son sufragados adecuadamente por los usuarios que se benefician de un servicio. Esto permite una distribución más equitativa de los recursos públicos y posibilita la reducción del gasto público y del endeudamiento. </w:t>
      </w:r>
    </w:p>
    <w:p w14:paraId="2B0BDD4A" w14:textId="77777777" w:rsidR="002B0F13" w:rsidRPr="00B369EB" w:rsidRDefault="002B0F13" w:rsidP="002B0F13"/>
    <w:p w14:paraId="0135196F" w14:textId="77777777" w:rsidR="007F2C3D" w:rsidRPr="00B369EB" w:rsidRDefault="001C673E">
      <w:r w:rsidRPr="00B369EB">
        <w:t>Los servicios de Variedades Vegetales y Semillas funcionan de acuerdo con este principio de recuperación total de los costes. Las tasas de los servicios de Variedades Vegetales y Semillas se revisan periódicamente y se ajustan para garantizar que no se produzca una recuperación excesiva o insuficiente de los costes.</w:t>
      </w:r>
    </w:p>
    <w:p w14:paraId="6D1D579E" w14:textId="77777777" w:rsidR="002B0F13" w:rsidRPr="00B369EB" w:rsidRDefault="002B0F13" w:rsidP="002B0F13"/>
    <w:p w14:paraId="19B72D41" w14:textId="77777777" w:rsidR="007F2C3D" w:rsidRPr="00B369EB" w:rsidRDefault="001C673E">
      <w:r w:rsidRPr="00B369EB">
        <w:t xml:space="preserve">Los cambios en las tasas se aplicaron a partir del 1 de junio de 2024 para los servicios de Listado de Variedades y Derechos de Obtentor (VL/PBR) y Certificación de Semillas de Gran Bretaña e Irlanda del Norte (GB/NI). Estos cambios eran necesarios debido al aumento de los costes de los insumos desde los últimos cambios de tasas. </w:t>
      </w:r>
    </w:p>
    <w:p w14:paraId="234FE85D" w14:textId="77777777" w:rsidR="002B0F13" w:rsidRPr="00B369EB" w:rsidRDefault="002B0F13" w:rsidP="002B0F13"/>
    <w:p w14:paraId="4B91F1C7" w14:textId="77777777" w:rsidR="007F2C3D" w:rsidRPr="00B369EB" w:rsidRDefault="001C673E">
      <w:r w:rsidRPr="00B369EB">
        <w:t>En 2025, la Oficina de Derechos de Obtentor (PVRO) del Reino Unido se propondrá implantar el módulo de administración e-PVP de la UPOV y el módulo de intercambio de informes DHE. Estos nuevos módulos complementarán la herramienta de solicitud UPOV PRISMA, que el Reino Unido adoptó en 2021.</w:t>
      </w:r>
    </w:p>
    <w:p w14:paraId="38F54FC3" w14:textId="77777777" w:rsidR="002B0F13" w:rsidRPr="00B369EB" w:rsidRDefault="002B0F13" w:rsidP="002B0F13"/>
    <w:p w14:paraId="3601B7F8" w14:textId="77777777" w:rsidR="002B0F13" w:rsidRPr="00B369EB" w:rsidRDefault="002B0F13" w:rsidP="002B0F13"/>
    <w:p w14:paraId="7AFB6D8C" w14:textId="77777777" w:rsidR="007F2C3D" w:rsidRPr="00B369EB" w:rsidRDefault="001C673E">
      <w:pPr>
        <w:rPr>
          <w:u w:val="single"/>
        </w:rPr>
      </w:pPr>
      <w:r w:rsidRPr="00B369EB">
        <w:t>4.</w:t>
      </w:r>
      <w:r w:rsidRPr="00B369EB">
        <w:tab/>
      </w:r>
      <w:r w:rsidRPr="00B369EB">
        <w:rPr>
          <w:u w:val="single"/>
        </w:rPr>
        <w:t>Situación en el ámbito técnico</w:t>
      </w:r>
    </w:p>
    <w:p w14:paraId="1AA68681" w14:textId="77777777" w:rsidR="00A97406" w:rsidRPr="00B369EB" w:rsidRDefault="00A97406" w:rsidP="00A97406"/>
    <w:p w14:paraId="0182B30C" w14:textId="77777777" w:rsidR="007F2C3D" w:rsidRPr="00B369EB" w:rsidRDefault="001C673E">
      <w:r w:rsidRPr="00B369EB">
        <w:t xml:space="preserve">El Reino Unido cuenta con dos proyectos de investigación activos para apoyar el examen DHE, financiados por </w:t>
      </w:r>
      <w:proofErr w:type="spellStart"/>
      <w:r w:rsidRPr="00B369EB">
        <w:t>Defra</w:t>
      </w:r>
      <w:proofErr w:type="spellEnd"/>
      <w:r w:rsidRPr="00B369EB">
        <w:t xml:space="preserve">, sobre el desarrollo del uso de marcadores genéticos y su combinación con el reconocimiento de patrones de la Inteligencia Artificial (IA) para la gestión de colecciones de referencia. El Reino Unido tiene previsto presentar un informe a la UPOV en 2025 sobre los proyectos, junto con propuestas para el uso del modelo de IA. </w:t>
      </w:r>
    </w:p>
    <w:p w14:paraId="0E1B7EF9" w14:textId="77777777" w:rsidR="002B0F13" w:rsidRPr="00B369EB" w:rsidRDefault="002B0F13" w:rsidP="002B0F13"/>
    <w:p w14:paraId="4FE2BEFE" w14:textId="77777777" w:rsidR="002B0F13" w:rsidRPr="00B369EB" w:rsidRDefault="002B0F13" w:rsidP="002B0F13"/>
    <w:p w14:paraId="48C605E1" w14:textId="77777777" w:rsidR="007F2C3D" w:rsidRPr="00B369EB" w:rsidRDefault="001C673E">
      <w:pPr>
        <w:pStyle w:val="Heading1"/>
        <w:rPr>
          <w:lang w:val="es-ES_tradnl"/>
        </w:rPr>
      </w:pPr>
      <w:r w:rsidRPr="00B369EB">
        <w:rPr>
          <w:lang w:val="es-ES_tradnl"/>
        </w:rPr>
        <w:lastRenderedPageBreak/>
        <w:t>II.</w:t>
      </w:r>
      <w:r w:rsidRPr="00B369EB">
        <w:rPr>
          <w:lang w:val="es-ES_tradnl"/>
        </w:rPr>
        <w:tab/>
        <w:t>OTROS ACONTECIMIENTOS DE INTERÉS PARA LA UPOV</w:t>
      </w:r>
    </w:p>
    <w:p w14:paraId="6FDC6499" w14:textId="77777777" w:rsidR="002B0F13" w:rsidRPr="00B369EB" w:rsidRDefault="002B0F13" w:rsidP="009B15AF">
      <w:pPr>
        <w:keepNext/>
      </w:pPr>
    </w:p>
    <w:p w14:paraId="750C35F1" w14:textId="77777777" w:rsidR="007F2C3D" w:rsidRPr="00B369EB" w:rsidRDefault="001C673E">
      <w:pPr>
        <w:keepLines/>
      </w:pPr>
      <w:r w:rsidRPr="00B369EB">
        <w:t>La Ley de Tecnología Genética (Cría de Precisión) de 2023 se introdujo en marzo del año pasado para Inglaterra.  Esta ley regula la liberación en el medio ambiente y la comercialización de plantas y animales desarrollados mediante técnicas biotecnológicas modernas, como la edición de genes, cuando los cambios genéticos podrían haberse producido de forma natural o mediante métodos de cría tradicionales. Se está trabajando en los instrumentos legales necesarios para aplicar la ley, dando prioridad a las plantas de precisión.</w:t>
      </w:r>
    </w:p>
    <w:p w14:paraId="707E6232" w14:textId="77777777" w:rsidR="002B0F13" w:rsidRPr="00B369EB" w:rsidRDefault="002B0F13" w:rsidP="009B15AF"/>
    <w:p w14:paraId="3B8A1DE9" w14:textId="77777777" w:rsidR="007F2C3D" w:rsidRPr="00B369EB" w:rsidRDefault="001C673E">
      <w:r w:rsidRPr="00B369EB">
        <w:t xml:space="preserve">La Ley de Tecnología Genética (Mejora Genética de Precisión) de 2023 introduce cuatro cambios políticos fundamentales: </w:t>
      </w:r>
    </w:p>
    <w:p w14:paraId="3CAA5653" w14:textId="77777777" w:rsidR="002B0F13" w:rsidRPr="00B369EB" w:rsidRDefault="002B0F13" w:rsidP="009B15AF"/>
    <w:p w14:paraId="6DBE9075" w14:textId="77777777" w:rsidR="007F2C3D" w:rsidRPr="00B369EB" w:rsidRDefault="001C673E">
      <w:pPr>
        <w:numPr>
          <w:ilvl w:val="0"/>
          <w:numId w:val="7"/>
        </w:numPr>
        <w:spacing w:after="120"/>
        <w:ind w:left="714" w:hanging="357"/>
      </w:pPr>
      <w:r w:rsidRPr="00B369EB">
        <w:t>Eliminación de las plantas y animales criados con precisión de los requisitos reglamentarios aplicables a los organismos modificados genéticamente (excluidos los relativos a microbios, productos orgánicos y utilización confinada).</w:t>
      </w:r>
    </w:p>
    <w:p w14:paraId="42B8BE55" w14:textId="77777777" w:rsidR="007F2C3D" w:rsidRPr="00B369EB" w:rsidRDefault="001C673E">
      <w:pPr>
        <w:numPr>
          <w:ilvl w:val="0"/>
          <w:numId w:val="8"/>
        </w:numPr>
        <w:spacing w:after="120"/>
        <w:ind w:left="714" w:hanging="357"/>
      </w:pPr>
      <w:r w:rsidRPr="00B369EB">
        <w:t>Introducción de dos sistemas de notificación con fines de investigación y comercialización, en los que los ganaderos e investigadores deberán realizar notificaciones.</w:t>
      </w:r>
    </w:p>
    <w:p w14:paraId="446A9706" w14:textId="77777777" w:rsidR="007F2C3D" w:rsidRPr="00B369EB" w:rsidRDefault="001C673E">
      <w:pPr>
        <w:numPr>
          <w:ilvl w:val="0"/>
          <w:numId w:val="9"/>
        </w:numPr>
        <w:spacing w:after="120"/>
        <w:ind w:left="714" w:hanging="357"/>
      </w:pPr>
      <w:r w:rsidRPr="00B369EB">
        <w:t>Establecer un sistema normativo proporcionado para la comercialización de animales criados con precisión que garantice la salvaguarda del bienestar animal.</w:t>
      </w:r>
    </w:p>
    <w:p w14:paraId="48309A58" w14:textId="77777777" w:rsidR="007F2C3D" w:rsidRPr="00B369EB" w:rsidRDefault="001C673E">
      <w:pPr>
        <w:numPr>
          <w:ilvl w:val="0"/>
          <w:numId w:val="10"/>
        </w:numPr>
      </w:pPr>
      <w:r w:rsidRPr="00B369EB">
        <w:t>Establecimiento de un nuevo proceso de autorización de base científica para los alimentos y piensos elaborados a partir de organismos criados con precisión.</w:t>
      </w:r>
    </w:p>
    <w:p w14:paraId="0B9E01A8" w14:textId="77777777" w:rsidR="002B0F13" w:rsidRPr="00B369EB" w:rsidRDefault="002B0F13" w:rsidP="002B0F13"/>
    <w:p w14:paraId="47B23BC9" w14:textId="77777777" w:rsidR="001F63A8" w:rsidRPr="00B369EB" w:rsidRDefault="001F63A8" w:rsidP="001F63A8"/>
    <w:p w14:paraId="1BAC58E0" w14:textId="77777777" w:rsidR="009B15AF" w:rsidRPr="00B369EB" w:rsidRDefault="009B15AF" w:rsidP="001F63A8"/>
    <w:p w14:paraId="3DDA4E76" w14:textId="77777777" w:rsidR="007F2C3D" w:rsidRPr="00B369EB" w:rsidRDefault="001C673E">
      <w:pPr>
        <w:jc w:val="right"/>
      </w:pPr>
      <w:r w:rsidRPr="00B369EB">
        <w:t xml:space="preserve">[Sigue el Anexo </w:t>
      </w:r>
      <w:r w:rsidR="00B737B1" w:rsidRPr="00B369EB">
        <w:t>IX</w:t>
      </w:r>
      <w:r w:rsidRPr="00B369EB">
        <w:t>]</w:t>
      </w:r>
    </w:p>
    <w:p w14:paraId="7B00CA79" w14:textId="77777777" w:rsidR="001F63A8" w:rsidRPr="00B369EB" w:rsidRDefault="001F63A8" w:rsidP="001F63A8">
      <w:pPr>
        <w:jc w:val="center"/>
        <w:sectPr w:rsidR="001F63A8" w:rsidRPr="00B369EB" w:rsidSect="00863583">
          <w:headerReference w:type="default" r:id="rId35"/>
          <w:pgSz w:w="11907" w:h="16840" w:code="9"/>
          <w:pgMar w:top="510" w:right="1134" w:bottom="567" w:left="1134" w:header="510" w:footer="680" w:gutter="0"/>
          <w:pgNumType w:start="1"/>
          <w:cols w:space="720"/>
          <w:titlePg/>
        </w:sectPr>
      </w:pPr>
    </w:p>
    <w:p w14:paraId="68647A57" w14:textId="77777777" w:rsidR="007F2C3D" w:rsidRPr="00B369EB" w:rsidRDefault="001C673E">
      <w:pPr>
        <w:jc w:val="center"/>
      </w:pPr>
      <w:r w:rsidRPr="00B369EB">
        <w:lastRenderedPageBreak/>
        <w:t>C/58/13</w:t>
      </w:r>
    </w:p>
    <w:p w14:paraId="71B65B81" w14:textId="77777777" w:rsidR="001F63A8" w:rsidRPr="00B369EB" w:rsidRDefault="001F63A8" w:rsidP="001F63A8">
      <w:pPr>
        <w:jc w:val="center"/>
      </w:pPr>
    </w:p>
    <w:p w14:paraId="7BE16663" w14:textId="77777777" w:rsidR="007F2C3D" w:rsidRPr="00B369EB" w:rsidRDefault="001C673E">
      <w:pPr>
        <w:jc w:val="center"/>
      </w:pPr>
      <w:r w:rsidRPr="00B369EB">
        <w:t xml:space="preserve">ANEXO </w:t>
      </w:r>
      <w:r w:rsidR="00C2720B" w:rsidRPr="00B369EB">
        <w:t>IX</w:t>
      </w:r>
    </w:p>
    <w:p w14:paraId="1121CDFE" w14:textId="77777777" w:rsidR="001F63A8" w:rsidRPr="00B369EB" w:rsidRDefault="001F63A8" w:rsidP="001F63A8">
      <w:pPr>
        <w:jc w:val="center"/>
      </w:pPr>
    </w:p>
    <w:p w14:paraId="58E83DA6" w14:textId="77777777" w:rsidR="001F63A8" w:rsidRPr="00B369EB" w:rsidRDefault="001F63A8" w:rsidP="001F63A8">
      <w:pPr>
        <w:jc w:val="center"/>
      </w:pPr>
    </w:p>
    <w:p w14:paraId="6091E1DE" w14:textId="77777777" w:rsidR="007F2C3D" w:rsidRPr="00B369EB" w:rsidRDefault="001C673E">
      <w:pPr>
        <w:jc w:val="center"/>
      </w:pPr>
      <w:r w:rsidRPr="00B369EB">
        <w:t>SERBIA</w:t>
      </w:r>
    </w:p>
    <w:p w14:paraId="5792F650" w14:textId="77777777" w:rsidR="001F63A8" w:rsidRPr="00B369EB" w:rsidRDefault="001F63A8" w:rsidP="001F63A8"/>
    <w:p w14:paraId="3C002DC9" w14:textId="77777777" w:rsidR="001F63A8" w:rsidRPr="00B369EB" w:rsidRDefault="001F63A8" w:rsidP="001F63A8"/>
    <w:p w14:paraId="6DE93FE0" w14:textId="77777777" w:rsidR="007F2C3D" w:rsidRPr="00B369EB" w:rsidRDefault="001C673E">
      <w:pPr>
        <w:pStyle w:val="Heading1"/>
        <w:rPr>
          <w:lang w:val="es-ES_tradnl"/>
        </w:rPr>
      </w:pPr>
      <w:r w:rsidRPr="00B369EB">
        <w:rPr>
          <w:lang w:val="es-ES_tradnl"/>
        </w:rPr>
        <w:t>I.</w:t>
      </w:r>
      <w:r w:rsidRPr="00B369EB">
        <w:rPr>
          <w:lang w:val="es-ES_tradnl"/>
        </w:rPr>
        <w:tab/>
        <w:t>PROTECCIÓN DE LAS OBTENCIONES VEGETALES</w:t>
      </w:r>
    </w:p>
    <w:p w14:paraId="284455A2" w14:textId="77777777" w:rsidR="00802B87" w:rsidRPr="00B369EB" w:rsidRDefault="00802B87" w:rsidP="00802B87"/>
    <w:p w14:paraId="6095F8FF" w14:textId="77777777" w:rsidR="007F2C3D" w:rsidRPr="00B369EB" w:rsidRDefault="001C673E">
      <w:r w:rsidRPr="00B369EB">
        <w:t xml:space="preserve">1. </w:t>
      </w:r>
      <w:r w:rsidRPr="00B369EB">
        <w:tab/>
      </w:r>
      <w:r w:rsidRPr="00B369EB">
        <w:rPr>
          <w:u w:val="single"/>
        </w:rPr>
        <w:t>Situación en el ámbito legislativo</w:t>
      </w:r>
    </w:p>
    <w:p w14:paraId="747E43F9" w14:textId="77777777" w:rsidR="00802B87" w:rsidRPr="00B369EB" w:rsidRDefault="00802B87" w:rsidP="00802B87"/>
    <w:p w14:paraId="2B029288" w14:textId="7FC3CC2D" w:rsidR="007F2C3D" w:rsidRPr="00B369EB" w:rsidRDefault="001C673E">
      <w:r w:rsidRPr="00B369EB">
        <w:tab/>
        <w:t>1.1</w:t>
      </w:r>
      <w:r w:rsidR="001B0262">
        <w:tab/>
      </w:r>
      <w:r w:rsidRPr="00B369EB">
        <w:t>Modificaciones de la ley y de los reglamentos de aplicación</w:t>
      </w:r>
    </w:p>
    <w:p w14:paraId="1CBC349D" w14:textId="77777777" w:rsidR="00802B87" w:rsidRPr="00B369EB" w:rsidRDefault="00802B87" w:rsidP="00802B87"/>
    <w:p w14:paraId="7B3B3044" w14:textId="77777777" w:rsidR="007F2C3D" w:rsidRPr="00B369EB" w:rsidRDefault="001C673E">
      <w:pPr>
        <w:ind w:left="567"/>
        <w:rPr>
          <w:rFonts w:cs="Arial"/>
        </w:rPr>
      </w:pPr>
      <w:r w:rsidRPr="00B369EB">
        <w:rPr>
          <w:rFonts w:cs="Arial"/>
        </w:rPr>
        <w:t>No hubo cambios.</w:t>
      </w:r>
    </w:p>
    <w:p w14:paraId="28B79A9D" w14:textId="77777777" w:rsidR="00802B87" w:rsidRPr="00B369EB" w:rsidRDefault="00802B87" w:rsidP="00802B87"/>
    <w:p w14:paraId="26B340E5" w14:textId="6ECB4825" w:rsidR="007F2C3D" w:rsidRPr="00B369EB" w:rsidRDefault="001C673E">
      <w:pPr>
        <w:ind w:left="567"/>
      </w:pPr>
      <w:r w:rsidRPr="00B369EB">
        <w:t>-</w:t>
      </w:r>
      <w:r w:rsidR="001B0262">
        <w:tab/>
      </w:r>
      <w:r w:rsidRPr="00B369EB">
        <w:t>Otras modificaciones, incluidas las relativas a las tasas</w:t>
      </w:r>
    </w:p>
    <w:p w14:paraId="45CD4C16" w14:textId="77777777" w:rsidR="00802B87" w:rsidRPr="00B369EB" w:rsidRDefault="00802B87" w:rsidP="00802B87">
      <w:pPr>
        <w:rPr>
          <w:rFonts w:cs="Arial"/>
        </w:rPr>
      </w:pPr>
    </w:p>
    <w:p w14:paraId="6FECB8FD" w14:textId="77777777" w:rsidR="007F2C3D" w:rsidRPr="00B369EB" w:rsidRDefault="001C673E">
      <w:pPr>
        <w:ind w:left="567"/>
      </w:pPr>
      <w:r w:rsidRPr="00B369EB">
        <w:t xml:space="preserve">Las nuevas tasas relacionadas con los derechos de obtentor se publican en la Ley de Tasas Administrativas ("Boletín Oficial de RS", </w:t>
      </w:r>
      <w:proofErr w:type="spellStart"/>
      <w:r w:rsidRPr="00B369EB">
        <w:t>nº</w:t>
      </w:r>
      <w:proofErr w:type="spellEnd"/>
      <w:r w:rsidRPr="00B369EB">
        <w:t xml:space="preserve"> </w:t>
      </w:r>
      <w:r w:rsidRPr="00B369EB">
        <w:rPr>
          <w:rFonts w:cs="Arial"/>
        </w:rPr>
        <w:t>63/24</w:t>
      </w:r>
      <w:r w:rsidRPr="00B369EB">
        <w:t>), en vigor desde el 1 de agosto de 2024.</w:t>
      </w:r>
    </w:p>
    <w:p w14:paraId="6781A94F" w14:textId="77777777" w:rsidR="00802B87" w:rsidRPr="00B369EB" w:rsidRDefault="00802B87" w:rsidP="00802B87"/>
    <w:p w14:paraId="74492F03" w14:textId="41CE6A4A" w:rsidR="007F2C3D" w:rsidRPr="00B369EB" w:rsidRDefault="001C673E">
      <w:r w:rsidRPr="00B369EB">
        <w:t>1.2</w:t>
      </w:r>
      <w:r w:rsidR="001B0262">
        <w:tab/>
      </w:r>
      <w:r w:rsidRPr="00B369EB">
        <w:t>Ampliación</w:t>
      </w:r>
      <w:r w:rsidR="001B0262">
        <w:t xml:space="preserve"> </w:t>
      </w:r>
      <w:r w:rsidRPr="00B369EB">
        <w:t>de la protección a otros géneros y especies (realizada o prevista)</w:t>
      </w:r>
    </w:p>
    <w:p w14:paraId="369D74D6" w14:textId="77777777" w:rsidR="00802B87" w:rsidRPr="00B369EB" w:rsidRDefault="00802B87" w:rsidP="00802B87"/>
    <w:p w14:paraId="5197FB33" w14:textId="77777777" w:rsidR="007F2C3D" w:rsidRPr="00B369EB" w:rsidRDefault="001C673E">
      <w:pPr>
        <w:rPr>
          <w:rFonts w:cs="Arial"/>
        </w:rPr>
      </w:pPr>
      <w:r w:rsidRPr="00B369EB">
        <w:rPr>
          <w:rFonts w:cs="Arial"/>
        </w:rPr>
        <w:t xml:space="preserve">Todos los géneros y especies vegetales están sujetos a protección en virtud de la Ley de Protección de los Derechos de los Obtentores Vegetales ("Boletín Oficial de RS", </w:t>
      </w:r>
      <w:proofErr w:type="spellStart"/>
      <w:r w:rsidRPr="00B369EB">
        <w:rPr>
          <w:rFonts w:cs="Arial"/>
        </w:rPr>
        <w:t>nº</w:t>
      </w:r>
      <w:proofErr w:type="spellEnd"/>
      <w:r w:rsidRPr="00B369EB">
        <w:rPr>
          <w:rFonts w:cs="Arial"/>
        </w:rPr>
        <w:t xml:space="preserve"> 41/2009 y 88/2011).</w:t>
      </w:r>
    </w:p>
    <w:p w14:paraId="4E8CBBFA" w14:textId="77777777" w:rsidR="00802B87" w:rsidRPr="00B369EB" w:rsidRDefault="00802B87" w:rsidP="00556718"/>
    <w:p w14:paraId="0814479B" w14:textId="77777777" w:rsidR="00802B87" w:rsidRPr="00B369EB" w:rsidRDefault="00802B87" w:rsidP="00556718"/>
    <w:p w14:paraId="0D0BBA5C" w14:textId="77777777" w:rsidR="007F2C3D" w:rsidRPr="00B369EB" w:rsidRDefault="001C673E">
      <w:r w:rsidRPr="00B369EB">
        <w:t>2.</w:t>
      </w:r>
      <w:r w:rsidRPr="00B369EB">
        <w:tab/>
      </w:r>
      <w:r w:rsidRPr="00B369EB">
        <w:rPr>
          <w:u w:val="single"/>
        </w:rPr>
        <w:t>Cooperación en el examen</w:t>
      </w:r>
    </w:p>
    <w:p w14:paraId="15F925FA" w14:textId="77777777" w:rsidR="00802B87" w:rsidRPr="00B369EB" w:rsidRDefault="00802B87" w:rsidP="00802B87"/>
    <w:p w14:paraId="1232B766" w14:textId="77777777" w:rsidR="007F2C3D" w:rsidRPr="00B369EB" w:rsidRDefault="001C673E">
      <w:r w:rsidRPr="00B369EB">
        <w:tab/>
        <w:t>Nada que comunicar.</w:t>
      </w:r>
    </w:p>
    <w:p w14:paraId="3EB273C9" w14:textId="77777777" w:rsidR="00556718" w:rsidRPr="00B369EB" w:rsidRDefault="00556718" w:rsidP="00802B87"/>
    <w:p w14:paraId="5F10B48B" w14:textId="77777777" w:rsidR="00556718" w:rsidRPr="00B369EB" w:rsidRDefault="00556718" w:rsidP="00802B87"/>
    <w:p w14:paraId="1EEB2020" w14:textId="77777777" w:rsidR="007F2C3D" w:rsidRPr="00B369EB" w:rsidRDefault="001C673E">
      <w:pPr>
        <w:rPr>
          <w:u w:val="single"/>
        </w:rPr>
      </w:pPr>
      <w:r w:rsidRPr="00B369EB">
        <w:t>3.</w:t>
      </w:r>
      <w:r w:rsidRPr="00B369EB">
        <w:tab/>
      </w:r>
      <w:r w:rsidRPr="00B369EB">
        <w:rPr>
          <w:u w:val="single"/>
        </w:rPr>
        <w:t>Situación en el ámbito administrativo</w:t>
      </w:r>
    </w:p>
    <w:p w14:paraId="3D3C271E" w14:textId="77777777" w:rsidR="00802B87" w:rsidRPr="00B369EB" w:rsidRDefault="00802B87" w:rsidP="00802B87"/>
    <w:p w14:paraId="47B58C47" w14:textId="245B2590" w:rsidR="007F2C3D" w:rsidRPr="00B369EB" w:rsidRDefault="001C673E">
      <w:r w:rsidRPr="00B369EB">
        <w:t>-</w:t>
      </w:r>
      <w:r w:rsidR="001B0262">
        <w:tab/>
      </w:r>
      <w:r w:rsidRPr="00B369EB">
        <w:t>Cambios en la estructura administrativa</w:t>
      </w:r>
    </w:p>
    <w:p w14:paraId="1AD36C97" w14:textId="77777777" w:rsidR="00802B87" w:rsidRPr="00B369EB" w:rsidRDefault="00802B87" w:rsidP="00802B87"/>
    <w:p w14:paraId="3BF9ACCE" w14:textId="77777777" w:rsidR="007F2C3D" w:rsidRPr="00B369EB" w:rsidRDefault="001C673E">
      <w:pPr>
        <w:rPr>
          <w:rFonts w:cs="Arial"/>
        </w:rPr>
      </w:pPr>
      <w:r w:rsidRPr="00B369EB">
        <w:rPr>
          <w:rFonts w:cs="Arial"/>
        </w:rPr>
        <w:t>No hubo cambios en la estructura administrativa.</w:t>
      </w:r>
    </w:p>
    <w:p w14:paraId="74672D67" w14:textId="77777777" w:rsidR="00802B87" w:rsidRPr="00B369EB" w:rsidRDefault="00802B87" w:rsidP="00802B87">
      <w:pPr>
        <w:rPr>
          <w:rFonts w:cs="Arial"/>
        </w:rPr>
      </w:pPr>
    </w:p>
    <w:p w14:paraId="3545CF11" w14:textId="77777777" w:rsidR="007F2C3D" w:rsidRPr="00B369EB" w:rsidRDefault="001C673E">
      <w:pPr>
        <w:rPr>
          <w:rFonts w:cs="Arial"/>
        </w:rPr>
      </w:pPr>
      <w:r w:rsidRPr="00B369EB">
        <w:rPr>
          <w:rFonts w:cs="Arial"/>
        </w:rPr>
        <w:t>La Dirección de Protección Vegetal del Ministerio de Agricultura, Silvicultura y Recursos Hídricos es la autoridad designada para la protección de los derechos de los obtentores vegetales en la República de Serbia. La Dirección de Protección Vegetal realiza también tareas relacionadas con: la protección de las plantas contra organismos nocivos; la autorización y el control de los productos fitosanitarios y de nutrición vegetal; el registro de variedades vegetales para la Lista Nacional; la seguridad biológica (OMG); las inspecciones fitosanitarias. Dentro de la Dirección de Protección Vegetal, el Grupo de Protección de las Obtenciones Vegetales y Bioseguridad lleva a cabo procedimientos administrativos relacionados con las disposiciones de la Ley de Protección de los Derechos de los Obtentores Vegetales y con la concesión de derechos de obtentor, así como tareas relacionadas con la seguridad biológica (OMG).</w:t>
      </w:r>
    </w:p>
    <w:p w14:paraId="52258263" w14:textId="77777777" w:rsidR="00802B87" w:rsidRPr="00B369EB" w:rsidRDefault="00802B87" w:rsidP="00802B87"/>
    <w:p w14:paraId="0407E72F" w14:textId="02E69710" w:rsidR="007F2C3D" w:rsidRPr="00B369EB" w:rsidRDefault="001C673E">
      <w:r w:rsidRPr="00B369EB">
        <w:t>-</w:t>
      </w:r>
      <w:r w:rsidR="001B0262">
        <w:tab/>
      </w:r>
      <w:r w:rsidRPr="00B369EB">
        <w:t>Cambios en los procedimientos y sistemas de oficina</w:t>
      </w:r>
    </w:p>
    <w:p w14:paraId="3E3CBA09" w14:textId="77777777" w:rsidR="00802B87" w:rsidRPr="00B369EB" w:rsidRDefault="00802B87" w:rsidP="00802B87"/>
    <w:p w14:paraId="3AB9BB72" w14:textId="77777777" w:rsidR="007F2C3D" w:rsidRPr="00B369EB" w:rsidRDefault="001C673E">
      <w:pPr>
        <w:rPr>
          <w:rFonts w:cs="Arial"/>
        </w:rPr>
      </w:pPr>
      <w:r w:rsidRPr="00B369EB">
        <w:rPr>
          <w:rFonts w:cs="Arial"/>
        </w:rPr>
        <w:t>No hubo cambios.</w:t>
      </w:r>
    </w:p>
    <w:p w14:paraId="0258C588" w14:textId="77777777" w:rsidR="00802B87" w:rsidRPr="00B369EB" w:rsidRDefault="00802B87" w:rsidP="00556718"/>
    <w:p w14:paraId="229E9FF7" w14:textId="77777777" w:rsidR="00802B87" w:rsidRPr="00B369EB" w:rsidRDefault="00802B87" w:rsidP="00556718"/>
    <w:p w14:paraId="3A6B8AFE" w14:textId="77777777" w:rsidR="007F2C3D" w:rsidRPr="00B369EB" w:rsidRDefault="001C673E">
      <w:r w:rsidRPr="00B369EB">
        <w:t>4.</w:t>
      </w:r>
      <w:r w:rsidRPr="00B369EB">
        <w:tab/>
      </w:r>
      <w:r w:rsidRPr="00B369EB">
        <w:rPr>
          <w:u w:val="single"/>
        </w:rPr>
        <w:t>Situación en el ámbito técnico</w:t>
      </w:r>
    </w:p>
    <w:p w14:paraId="4AC00EF6" w14:textId="77777777" w:rsidR="00556718" w:rsidRPr="00B369EB" w:rsidRDefault="00556718" w:rsidP="00802B87">
      <w:pPr>
        <w:rPr>
          <w:rFonts w:cs="Arial"/>
          <w:lang w:bidi="ne-NP"/>
        </w:rPr>
      </w:pPr>
    </w:p>
    <w:p w14:paraId="450AC14B" w14:textId="77777777" w:rsidR="007F2C3D" w:rsidRPr="00B369EB" w:rsidRDefault="001C673E">
      <w:pPr>
        <w:rPr>
          <w:rFonts w:cs="Arial"/>
          <w:kern w:val="28"/>
        </w:rPr>
      </w:pPr>
      <w:r w:rsidRPr="00B369EB">
        <w:rPr>
          <w:rFonts w:cs="Arial"/>
          <w:lang w:bidi="ne-NP"/>
        </w:rPr>
        <w:t xml:space="preserve">De </w:t>
      </w:r>
      <w:r w:rsidR="00802B87" w:rsidRPr="00B369EB">
        <w:rPr>
          <w:rFonts w:cs="Arial"/>
          <w:lang w:bidi="ne-NP"/>
        </w:rPr>
        <w:t xml:space="preserve">septiembre de 2023 a septiembre de 2024, se han concedido derechos de obtentor para 52 variedades vegetales, sobre la base de los resultados del examen de las variedades vegetales y las propuestas del Consejo de Expertos para la Protección de los Derechos de Obtentor, como órgano especial de expertos </w:t>
      </w:r>
      <w:r w:rsidR="00802B87" w:rsidRPr="00B369EB">
        <w:rPr>
          <w:rFonts w:cs="Arial"/>
        </w:rPr>
        <w:t>del Ministerio de Agricultura, Silvicultura y Recursos Hídricos - Dirección de Protección Vegetal</w:t>
      </w:r>
      <w:r w:rsidR="00802B87" w:rsidRPr="00B369EB">
        <w:rPr>
          <w:rFonts w:cs="Arial"/>
          <w:lang w:bidi="ne-NP"/>
        </w:rPr>
        <w:t>.</w:t>
      </w:r>
    </w:p>
    <w:p w14:paraId="48A6307D" w14:textId="77777777" w:rsidR="00802B87" w:rsidRPr="00B369EB" w:rsidRDefault="00802B87" w:rsidP="00802B87">
      <w:pPr>
        <w:rPr>
          <w:rFonts w:cs="Arial"/>
          <w:spacing w:val="-2"/>
        </w:rPr>
      </w:pPr>
    </w:p>
    <w:p w14:paraId="2A9F07E0" w14:textId="77777777" w:rsidR="007F2C3D" w:rsidRPr="00B369EB" w:rsidRDefault="001C673E">
      <w:pPr>
        <w:rPr>
          <w:rFonts w:cs="Arial"/>
          <w:spacing w:val="-2"/>
        </w:rPr>
      </w:pPr>
      <w:r w:rsidRPr="00B369EB">
        <w:rPr>
          <w:rFonts w:cs="Arial"/>
          <w:spacing w:val="-2"/>
        </w:rPr>
        <w:t xml:space="preserve">Serbia </w:t>
      </w:r>
      <w:r w:rsidR="00556718" w:rsidRPr="00B369EB">
        <w:rPr>
          <w:rFonts w:cs="Arial"/>
          <w:spacing w:val="-2"/>
        </w:rPr>
        <w:t xml:space="preserve">participa </w:t>
      </w:r>
      <w:r w:rsidRPr="00B369EB">
        <w:rPr>
          <w:rFonts w:cs="Arial"/>
          <w:spacing w:val="-2"/>
        </w:rPr>
        <w:t>en la herramienta de solicitud de derechos de obtentor UPOV PRISMA.</w:t>
      </w:r>
    </w:p>
    <w:p w14:paraId="31FDD566" w14:textId="77777777" w:rsidR="00802B87" w:rsidRPr="00B369EB" w:rsidRDefault="00802B87" w:rsidP="00802B87">
      <w:pPr>
        <w:rPr>
          <w:rFonts w:cs="Arial"/>
        </w:rPr>
      </w:pPr>
    </w:p>
    <w:p w14:paraId="71F0664B" w14:textId="77777777" w:rsidR="00802B87" w:rsidRPr="00B369EB" w:rsidRDefault="00802B87" w:rsidP="00802B87">
      <w:pPr>
        <w:rPr>
          <w:rFonts w:cs="Arial"/>
        </w:rPr>
      </w:pPr>
    </w:p>
    <w:p w14:paraId="2E914CF3" w14:textId="77777777" w:rsidR="007F2C3D" w:rsidRPr="00B369EB" w:rsidRDefault="001C673E">
      <w:pPr>
        <w:keepNext/>
        <w:rPr>
          <w:u w:val="single"/>
        </w:rPr>
      </w:pPr>
      <w:r w:rsidRPr="00B369EB">
        <w:lastRenderedPageBreak/>
        <w:t>5.</w:t>
      </w:r>
      <w:r w:rsidRPr="00B369EB">
        <w:tab/>
      </w:r>
      <w:r w:rsidRPr="00B369EB">
        <w:rPr>
          <w:u w:val="single"/>
        </w:rPr>
        <w:t>Actividades de fomento de la protección de las obtenciones vegetales</w:t>
      </w:r>
    </w:p>
    <w:p w14:paraId="1741C9F1" w14:textId="77777777" w:rsidR="00802B87" w:rsidRPr="00B369EB" w:rsidRDefault="00802B87" w:rsidP="00556718">
      <w:pPr>
        <w:keepNext/>
      </w:pPr>
    </w:p>
    <w:tbl>
      <w:tblPr>
        <w:tblStyle w:val="TableGrid"/>
        <w:tblW w:w="9634" w:type="dxa"/>
        <w:tblLayout w:type="fixed"/>
        <w:tblLook w:val="01E0" w:firstRow="1" w:lastRow="1" w:firstColumn="1" w:lastColumn="1" w:noHBand="0" w:noVBand="0"/>
      </w:tblPr>
      <w:tblGrid>
        <w:gridCol w:w="1271"/>
        <w:gridCol w:w="992"/>
        <w:gridCol w:w="1276"/>
        <w:gridCol w:w="3544"/>
        <w:gridCol w:w="2551"/>
      </w:tblGrid>
      <w:tr w:rsidR="00802B87" w:rsidRPr="00B369EB" w14:paraId="7EF21D74" w14:textId="77777777" w:rsidTr="00556718">
        <w:tc>
          <w:tcPr>
            <w:tcW w:w="1271" w:type="dxa"/>
          </w:tcPr>
          <w:p w14:paraId="51ECD6DA" w14:textId="77777777" w:rsidR="007F2C3D" w:rsidRPr="00B369EB" w:rsidRDefault="001C673E">
            <w:pPr>
              <w:keepNext/>
              <w:jc w:val="left"/>
              <w:rPr>
                <w:sz w:val="18"/>
                <w:szCs w:val="18"/>
              </w:rPr>
            </w:pPr>
            <w:r w:rsidRPr="00B369EB">
              <w:rPr>
                <w:sz w:val="18"/>
                <w:szCs w:val="18"/>
              </w:rPr>
              <w:t>Título de la actividad</w:t>
            </w:r>
          </w:p>
        </w:tc>
        <w:tc>
          <w:tcPr>
            <w:tcW w:w="992" w:type="dxa"/>
          </w:tcPr>
          <w:p w14:paraId="05FB3ACC" w14:textId="77777777" w:rsidR="007F2C3D" w:rsidRPr="00B369EB" w:rsidRDefault="001C673E">
            <w:pPr>
              <w:keepNext/>
              <w:jc w:val="left"/>
              <w:rPr>
                <w:sz w:val="18"/>
                <w:szCs w:val="18"/>
              </w:rPr>
            </w:pPr>
            <w:r w:rsidRPr="00B369EB">
              <w:rPr>
                <w:sz w:val="18"/>
                <w:szCs w:val="18"/>
              </w:rPr>
              <w:t>Fecha</w:t>
            </w:r>
          </w:p>
        </w:tc>
        <w:tc>
          <w:tcPr>
            <w:tcW w:w="1276" w:type="dxa"/>
          </w:tcPr>
          <w:p w14:paraId="120B502C" w14:textId="77777777" w:rsidR="007F2C3D" w:rsidRPr="00B369EB" w:rsidRDefault="001C673E">
            <w:pPr>
              <w:keepNext/>
              <w:jc w:val="left"/>
              <w:rPr>
                <w:sz w:val="18"/>
                <w:szCs w:val="18"/>
              </w:rPr>
            </w:pPr>
            <w:r w:rsidRPr="00B369EB">
              <w:rPr>
                <w:sz w:val="18"/>
                <w:szCs w:val="18"/>
              </w:rPr>
              <w:t>Ubicación</w:t>
            </w:r>
          </w:p>
        </w:tc>
        <w:tc>
          <w:tcPr>
            <w:tcW w:w="3544" w:type="dxa"/>
          </w:tcPr>
          <w:p w14:paraId="570F53F7" w14:textId="77777777" w:rsidR="007F2C3D" w:rsidRPr="00B369EB" w:rsidRDefault="001C673E">
            <w:pPr>
              <w:keepNext/>
              <w:jc w:val="left"/>
              <w:rPr>
                <w:sz w:val="18"/>
                <w:szCs w:val="18"/>
              </w:rPr>
            </w:pPr>
            <w:r w:rsidRPr="00B369EB">
              <w:rPr>
                <w:sz w:val="18"/>
                <w:szCs w:val="18"/>
              </w:rPr>
              <w:t>Organizador(es)</w:t>
            </w:r>
          </w:p>
        </w:tc>
        <w:tc>
          <w:tcPr>
            <w:tcW w:w="2551" w:type="dxa"/>
          </w:tcPr>
          <w:p w14:paraId="02151C7A" w14:textId="77777777" w:rsidR="007F2C3D" w:rsidRPr="00B369EB" w:rsidRDefault="001C673E">
            <w:pPr>
              <w:keepNext/>
              <w:jc w:val="left"/>
              <w:rPr>
                <w:sz w:val="18"/>
                <w:szCs w:val="18"/>
              </w:rPr>
            </w:pPr>
            <w:r w:rsidRPr="00B369EB">
              <w:rPr>
                <w:sz w:val="18"/>
                <w:szCs w:val="18"/>
              </w:rPr>
              <w:t>Objetivo de la actividad</w:t>
            </w:r>
          </w:p>
        </w:tc>
      </w:tr>
      <w:tr w:rsidR="00802B87" w:rsidRPr="00B369EB" w14:paraId="3F10CD9E" w14:textId="77777777" w:rsidTr="00556718">
        <w:trPr>
          <w:cantSplit/>
        </w:trPr>
        <w:tc>
          <w:tcPr>
            <w:tcW w:w="1271" w:type="dxa"/>
          </w:tcPr>
          <w:p w14:paraId="2960E0A2" w14:textId="77777777" w:rsidR="007F2C3D" w:rsidRPr="00B369EB" w:rsidRDefault="001C673E">
            <w:pPr>
              <w:jc w:val="left"/>
              <w:rPr>
                <w:rFonts w:cs="Arial"/>
                <w:sz w:val="18"/>
                <w:szCs w:val="18"/>
                <w:shd w:val="clear" w:color="auto" w:fill="FFFFFF"/>
              </w:rPr>
            </w:pPr>
            <w:r w:rsidRPr="00B369EB">
              <w:rPr>
                <w:rFonts w:cs="Arial"/>
                <w:sz w:val="18"/>
                <w:szCs w:val="18"/>
                <w:shd w:val="clear" w:color="auto" w:fill="FFFFFF"/>
              </w:rPr>
              <w:t>Sistema de derechos de obtentor en Serbia</w:t>
            </w:r>
          </w:p>
        </w:tc>
        <w:tc>
          <w:tcPr>
            <w:tcW w:w="992" w:type="dxa"/>
          </w:tcPr>
          <w:p w14:paraId="04966A37" w14:textId="77777777" w:rsidR="007F2C3D" w:rsidRPr="00B369EB" w:rsidRDefault="001C673E">
            <w:pPr>
              <w:jc w:val="left"/>
              <w:rPr>
                <w:sz w:val="18"/>
                <w:szCs w:val="18"/>
              </w:rPr>
            </w:pPr>
            <w:r w:rsidRPr="00B369EB">
              <w:rPr>
                <w:sz w:val="18"/>
                <w:szCs w:val="18"/>
              </w:rPr>
              <w:t>12 de octubre de 2023</w:t>
            </w:r>
          </w:p>
        </w:tc>
        <w:tc>
          <w:tcPr>
            <w:tcW w:w="1276" w:type="dxa"/>
          </w:tcPr>
          <w:p w14:paraId="19757EC6" w14:textId="77777777" w:rsidR="007F2C3D" w:rsidRPr="00B369EB" w:rsidRDefault="001C673E">
            <w:pPr>
              <w:jc w:val="left"/>
              <w:rPr>
                <w:sz w:val="18"/>
                <w:szCs w:val="18"/>
              </w:rPr>
            </w:pPr>
            <w:r w:rsidRPr="00B369EB">
              <w:rPr>
                <w:sz w:val="18"/>
                <w:szCs w:val="18"/>
              </w:rPr>
              <w:t>Belgrado</w:t>
            </w:r>
          </w:p>
          <w:p w14:paraId="4B8D2DA6" w14:textId="77777777" w:rsidR="007F2C3D" w:rsidRPr="00B369EB" w:rsidRDefault="001C673E">
            <w:pPr>
              <w:jc w:val="left"/>
              <w:rPr>
                <w:sz w:val="18"/>
                <w:szCs w:val="18"/>
              </w:rPr>
            </w:pPr>
            <w:r w:rsidRPr="00B369EB">
              <w:rPr>
                <w:sz w:val="18"/>
                <w:szCs w:val="18"/>
              </w:rPr>
              <w:t>República de Serbia</w:t>
            </w:r>
          </w:p>
        </w:tc>
        <w:tc>
          <w:tcPr>
            <w:tcW w:w="3544" w:type="dxa"/>
          </w:tcPr>
          <w:p w14:paraId="021D0A3B" w14:textId="77777777" w:rsidR="007F2C3D" w:rsidRPr="00B369EB" w:rsidRDefault="001C673E">
            <w:pPr>
              <w:jc w:val="left"/>
              <w:rPr>
                <w:sz w:val="18"/>
                <w:szCs w:val="18"/>
              </w:rPr>
            </w:pPr>
            <w:r w:rsidRPr="00B369EB">
              <w:rPr>
                <w:sz w:val="18"/>
                <w:szCs w:val="18"/>
              </w:rPr>
              <w:t>Agencia de los Estados Unidos para el Desarrollo Internacional (USAID)</w:t>
            </w:r>
          </w:p>
          <w:p w14:paraId="2F1E3381" w14:textId="77777777" w:rsidR="00802B87" w:rsidRPr="00B369EB" w:rsidRDefault="00802B87" w:rsidP="00556718">
            <w:pPr>
              <w:jc w:val="left"/>
              <w:rPr>
                <w:sz w:val="18"/>
                <w:szCs w:val="18"/>
              </w:rPr>
            </w:pPr>
          </w:p>
          <w:p w14:paraId="34AAACF0" w14:textId="77777777" w:rsidR="007F2C3D" w:rsidRPr="00B369EB" w:rsidRDefault="001C673E">
            <w:pPr>
              <w:jc w:val="left"/>
              <w:rPr>
                <w:rFonts w:cs="Arial"/>
                <w:sz w:val="18"/>
                <w:szCs w:val="18"/>
                <w:shd w:val="clear" w:color="auto" w:fill="FFFFFF"/>
              </w:rPr>
            </w:pPr>
            <w:r w:rsidRPr="00B369EB">
              <w:rPr>
                <w:rStyle w:val="Emphasis"/>
                <w:rFonts w:cs="Arial"/>
                <w:bCs/>
                <w:i w:val="0"/>
                <w:iCs w:val="0"/>
                <w:sz w:val="18"/>
                <w:szCs w:val="18"/>
                <w:shd w:val="clear" w:color="auto" w:fill="FFFFFF"/>
              </w:rPr>
              <w:t xml:space="preserve">Embajada de los Países Bajos </w:t>
            </w:r>
            <w:r w:rsidR="00556718" w:rsidRPr="00B369EB">
              <w:rPr>
                <w:rStyle w:val="Emphasis"/>
                <w:rFonts w:cs="Arial"/>
                <w:bCs/>
                <w:i w:val="0"/>
                <w:iCs w:val="0"/>
                <w:sz w:val="18"/>
                <w:szCs w:val="18"/>
                <w:shd w:val="clear" w:color="auto" w:fill="FFFFFF"/>
              </w:rPr>
              <w:t xml:space="preserve">(Reino de los) </w:t>
            </w:r>
            <w:r w:rsidRPr="00B369EB">
              <w:rPr>
                <w:rFonts w:cs="Arial"/>
                <w:sz w:val="18"/>
                <w:szCs w:val="18"/>
                <w:shd w:val="clear" w:color="auto" w:fill="FFFFFF"/>
              </w:rPr>
              <w:t>en Belgrado, Serbia</w:t>
            </w:r>
          </w:p>
          <w:p w14:paraId="12B95233" w14:textId="77777777" w:rsidR="00802B87" w:rsidRPr="00B369EB" w:rsidRDefault="00802B87" w:rsidP="00556718">
            <w:pPr>
              <w:jc w:val="left"/>
              <w:rPr>
                <w:sz w:val="18"/>
                <w:szCs w:val="18"/>
              </w:rPr>
            </w:pPr>
          </w:p>
          <w:p w14:paraId="6A932E4A" w14:textId="77777777" w:rsidR="007F2C3D" w:rsidRPr="00B369EB" w:rsidRDefault="001C673E">
            <w:pPr>
              <w:jc w:val="left"/>
              <w:rPr>
                <w:sz w:val="18"/>
                <w:szCs w:val="18"/>
              </w:rPr>
            </w:pPr>
            <w:r w:rsidRPr="00B369EB">
              <w:rPr>
                <w:sz w:val="18"/>
                <w:szCs w:val="18"/>
              </w:rPr>
              <w:t>Ministerio de Agricultura, Silvicultura y Gestión del Agua de la República de Serbia</w:t>
            </w:r>
          </w:p>
          <w:p w14:paraId="2B63BCD4" w14:textId="77777777" w:rsidR="00802B87" w:rsidRPr="00B369EB" w:rsidRDefault="00802B87" w:rsidP="00556718">
            <w:pPr>
              <w:jc w:val="left"/>
              <w:rPr>
                <w:sz w:val="18"/>
                <w:szCs w:val="18"/>
              </w:rPr>
            </w:pPr>
          </w:p>
          <w:p w14:paraId="2C4FD2BB" w14:textId="77777777" w:rsidR="007F2C3D" w:rsidRPr="00B369EB" w:rsidRDefault="001C673E">
            <w:pPr>
              <w:jc w:val="left"/>
              <w:rPr>
                <w:sz w:val="18"/>
                <w:szCs w:val="18"/>
              </w:rPr>
            </w:pPr>
            <w:r w:rsidRPr="00B369EB">
              <w:rPr>
                <w:sz w:val="18"/>
                <w:szCs w:val="18"/>
              </w:rPr>
              <w:t>AGRO Belgrado</w:t>
            </w:r>
          </w:p>
          <w:p w14:paraId="0D540EE0" w14:textId="77777777" w:rsidR="00556718" w:rsidRPr="00B369EB" w:rsidRDefault="00556718" w:rsidP="00556718">
            <w:pPr>
              <w:jc w:val="left"/>
              <w:rPr>
                <w:sz w:val="18"/>
                <w:szCs w:val="18"/>
              </w:rPr>
            </w:pPr>
          </w:p>
        </w:tc>
        <w:tc>
          <w:tcPr>
            <w:tcW w:w="2551" w:type="dxa"/>
          </w:tcPr>
          <w:p w14:paraId="6CCB7107" w14:textId="77777777" w:rsidR="007F2C3D" w:rsidRPr="00B369EB" w:rsidRDefault="001C673E">
            <w:pPr>
              <w:jc w:val="left"/>
              <w:rPr>
                <w:rFonts w:cs="Arial"/>
                <w:sz w:val="18"/>
                <w:szCs w:val="18"/>
                <w:shd w:val="clear" w:color="auto" w:fill="FFFFFF"/>
              </w:rPr>
            </w:pPr>
            <w:r w:rsidRPr="00B369EB">
              <w:rPr>
                <w:rFonts w:cs="Arial"/>
                <w:sz w:val="18"/>
                <w:szCs w:val="18"/>
                <w:shd w:val="clear" w:color="auto" w:fill="FFFFFF"/>
              </w:rPr>
              <w:t>Foro Empresarial Berry</w:t>
            </w:r>
          </w:p>
          <w:p w14:paraId="53BC0896" w14:textId="77777777" w:rsidR="00802B87" w:rsidRPr="00B369EB" w:rsidRDefault="00802B87" w:rsidP="00556718">
            <w:pPr>
              <w:jc w:val="left"/>
              <w:rPr>
                <w:rFonts w:cs="Arial"/>
                <w:sz w:val="18"/>
                <w:szCs w:val="18"/>
                <w:shd w:val="clear" w:color="auto" w:fill="FFFFFF"/>
              </w:rPr>
            </w:pPr>
          </w:p>
          <w:p w14:paraId="6FA243D2" w14:textId="77777777" w:rsidR="007F2C3D" w:rsidRPr="00B369EB" w:rsidRDefault="001C673E">
            <w:pPr>
              <w:jc w:val="left"/>
              <w:rPr>
                <w:sz w:val="18"/>
                <w:szCs w:val="18"/>
              </w:rPr>
            </w:pPr>
            <w:r w:rsidRPr="00B369EB">
              <w:rPr>
                <w:rFonts w:cs="Arial"/>
                <w:sz w:val="18"/>
                <w:szCs w:val="18"/>
                <w:shd w:val="clear" w:color="auto" w:fill="FFFFFF"/>
              </w:rPr>
              <w:t>Conferencia especializada organizada para los productores y exportadores de bayas frescas y los miembros de la industria de las bayas de Serbia.</w:t>
            </w:r>
          </w:p>
        </w:tc>
      </w:tr>
    </w:tbl>
    <w:p w14:paraId="02AD09D5" w14:textId="77777777" w:rsidR="00802B87" w:rsidRPr="00B369EB" w:rsidRDefault="00802B87" w:rsidP="00556718"/>
    <w:p w14:paraId="435EE547" w14:textId="77777777" w:rsidR="001F63A8" w:rsidRPr="00B369EB" w:rsidRDefault="001F63A8" w:rsidP="00802B87"/>
    <w:p w14:paraId="2A8EB7C7" w14:textId="77777777" w:rsidR="001F63A8" w:rsidRPr="00B369EB" w:rsidRDefault="001F63A8" w:rsidP="00802B87"/>
    <w:p w14:paraId="402D15C0" w14:textId="77777777" w:rsidR="007F2C3D" w:rsidRPr="00B369EB" w:rsidRDefault="001C673E">
      <w:pPr>
        <w:jc w:val="right"/>
      </w:pPr>
      <w:r w:rsidRPr="00B369EB">
        <w:t>Sigue el [anexo X]</w:t>
      </w:r>
    </w:p>
    <w:p w14:paraId="1CA83308" w14:textId="77777777" w:rsidR="001F63A8" w:rsidRPr="00B369EB" w:rsidRDefault="001F63A8" w:rsidP="001F63A8"/>
    <w:p w14:paraId="7BBA69EF" w14:textId="77777777" w:rsidR="001F63A8" w:rsidRPr="00B369EB" w:rsidRDefault="001F63A8" w:rsidP="001F63A8">
      <w:pPr>
        <w:jc w:val="center"/>
        <w:sectPr w:rsidR="001F63A8" w:rsidRPr="00B369EB" w:rsidSect="008230A9">
          <w:headerReference w:type="default" r:id="rId36"/>
          <w:pgSz w:w="11907" w:h="16840" w:code="9"/>
          <w:pgMar w:top="510" w:right="1134" w:bottom="567" w:left="1134" w:header="510" w:footer="680" w:gutter="0"/>
          <w:pgNumType w:start="1"/>
          <w:cols w:space="720"/>
          <w:titlePg/>
        </w:sectPr>
      </w:pPr>
    </w:p>
    <w:p w14:paraId="397EE039" w14:textId="77777777" w:rsidR="007F2C3D" w:rsidRPr="00B369EB" w:rsidRDefault="001C673E">
      <w:pPr>
        <w:jc w:val="center"/>
      </w:pPr>
      <w:r w:rsidRPr="00B369EB">
        <w:lastRenderedPageBreak/>
        <w:t>C/58/13</w:t>
      </w:r>
    </w:p>
    <w:p w14:paraId="536CC1D9" w14:textId="77777777" w:rsidR="001F63A8" w:rsidRPr="00B369EB" w:rsidRDefault="001F63A8" w:rsidP="001F63A8">
      <w:pPr>
        <w:jc w:val="center"/>
      </w:pPr>
    </w:p>
    <w:p w14:paraId="0E558531" w14:textId="77777777" w:rsidR="007F2C3D" w:rsidRPr="00B369EB" w:rsidRDefault="001C673E">
      <w:pPr>
        <w:jc w:val="center"/>
      </w:pPr>
      <w:r w:rsidRPr="00B369EB">
        <w:t>ANEXO X</w:t>
      </w:r>
    </w:p>
    <w:p w14:paraId="01E356BC" w14:textId="77777777" w:rsidR="001F63A8" w:rsidRPr="00B369EB" w:rsidRDefault="001F63A8" w:rsidP="001F63A8">
      <w:pPr>
        <w:jc w:val="center"/>
      </w:pPr>
    </w:p>
    <w:p w14:paraId="09832B0A" w14:textId="77777777" w:rsidR="001F63A8" w:rsidRPr="00B369EB" w:rsidRDefault="001F63A8" w:rsidP="001F63A8">
      <w:pPr>
        <w:jc w:val="center"/>
      </w:pPr>
    </w:p>
    <w:p w14:paraId="0816CFB8" w14:textId="77777777" w:rsidR="007F2C3D" w:rsidRPr="00B369EB" w:rsidRDefault="001C673E">
      <w:pPr>
        <w:jc w:val="center"/>
      </w:pPr>
      <w:r w:rsidRPr="00B369EB">
        <w:t>SINGAPUR</w:t>
      </w:r>
    </w:p>
    <w:p w14:paraId="6E2B68F9" w14:textId="77777777" w:rsidR="001F63A8" w:rsidRPr="00B369EB" w:rsidRDefault="001F63A8" w:rsidP="001F63A8">
      <w:pPr>
        <w:jc w:val="center"/>
      </w:pPr>
    </w:p>
    <w:p w14:paraId="126710AC" w14:textId="77777777" w:rsidR="001F63A8" w:rsidRPr="00B369EB" w:rsidRDefault="001F63A8" w:rsidP="001F63A8">
      <w:pPr>
        <w:jc w:val="center"/>
      </w:pPr>
    </w:p>
    <w:p w14:paraId="16F75EF1" w14:textId="77777777" w:rsidR="007F2C3D" w:rsidRPr="00B369EB" w:rsidRDefault="001C673E">
      <w:pPr>
        <w:pStyle w:val="Heading1"/>
        <w:rPr>
          <w:lang w:val="es-ES_tradnl"/>
        </w:rPr>
      </w:pPr>
      <w:r w:rsidRPr="00B369EB">
        <w:rPr>
          <w:lang w:val="es-ES_tradnl"/>
        </w:rPr>
        <w:t>PROTECCIÓN DE LAS OBTENCIONES VEGETALES</w:t>
      </w:r>
    </w:p>
    <w:p w14:paraId="2B020FD4" w14:textId="77777777" w:rsidR="00AD5079" w:rsidRPr="00B369EB" w:rsidRDefault="00AD5079" w:rsidP="00AD5079"/>
    <w:p w14:paraId="09260E69" w14:textId="77777777" w:rsidR="007F2C3D" w:rsidRPr="00B369EB" w:rsidRDefault="001C673E">
      <w:r w:rsidRPr="00B369EB">
        <w:t>1.</w:t>
      </w:r>
      <w:r w:rsidRPr="00B369EB">
        <w:tab/>
      </w:r>
      <w:r w:rsidRPr="00B369EB">
        <w:rPr>
          <w:u w:val="single"/>
        </w:rPr>
        <w:t>Situación en el ámbito legislativo</w:t>
      </w:r>
    </w:p>
    <w:p w14:paraId="1403962F" w14:textId="77777777" w:rsidR="00AD5079" w:rsidRPr="00B369EB" w:rsidRDefault="00AD5079" w:rsidP="00AD5079"/>
    <w:p w14:paraId="68A539DA" w14:textId="33E26035" w:rsidR="007F2C3D" w:rsidRPr="00B369EB" w:rsidRDefault="001C673E">
      <w:r w:rsidRPr="00B369EB">
        <w:t>1.1</w:t>
      </w:r>
      <w:r w:rsidR="007C78E0">
        <w:tab/>
      </w:r>
      <w:r w:rsidRPr="00B369EB">
        <w:t>Modificaciones de la ley y de los reglamentos de aplicación</w:t>
      </w:r>
    </w:p>
    <w:p w14:paraId="25A9438D" w14:textId="77777777" w:rsidR="002650AF" w:rsidRPr="00B369EB" w:rsidRDefault="002650AF" w:rsidP="002650AF">
      <w:pPr>
        <w:ind w:left="567"/>
      </w:pPr>
    </w:p>
    <w:p w14:paraId="69914C84" w14:textId="77777777" w:rsidR="007F2C3D" w:rsidRPr="00B369EB" w:rsidRDefault="001C673E">
      <w:pPr>
        <w:ind w:left="567"/>
      </w:pPr>
      <w:r w:rsidRPr="00B369EB">
        <w:t xml:space="preserve">No se ha introducido ninguna modificación en la legislación sobre protección de las obtenciones vegetales (PVV) de Singapur tras el informe presentado al Consejo en 2022. </w:t>
      </w:r>
    </w:p>
    <w:p w14:paraId="06314B0F" w14:textId="77777777" w:rsidR="00AD5079" w:rsidRPr="00B369EB" w:rsidRDefault="00AD5079" w:rsidP="002650AF">
      <w:pPr>
        <w:ind w:left="567"/>
      </w:pPr>
    </w:p>
    <w:p w14:paraId="2C192F87" w14:textId="77777777" w:rsidR="007F2C3D" w:rsidRPr="00B369EB" w:rsidRDefault="001C673E">
      <w:pPr>
        <w:ind w:left="567"/>
      </w:pPr>
      <w:r w:rsidRPr="00B369EB">
        <w:t xml:space="preserve">La legislación más reciente de Singapur es la siguiente: </w:t>
      </w:r>
    </w:p>
    <w:p w14:paraId="5D4126E8" w14:textId="77777777" w:rsidR="002650AF" w:rsidRPr="00B369EB" w:rsidRDefault="002650AF" w:rsidP="002650AF">
      <w:pPr>
        <w:ind w:left="567"/>
      </w:pPr>
    </w:p>
    <w:p w14:paraId="277E7C75" w14:textId="77777777" w:rsidR="007F2C3D" w:rsidRPr="00B369EB" w:rsidRDefault="001C673E">
      <w:pPr>
        <w:ind w:left="567"/>
      </w:pPr>
      <w:r w:rsidRPr="00B369EB">
        <w:t xml:space="preserve">- Ley de protección de las obtenciones vegetales de Singapur </w:t>
      </w:r>
    </w:p>
    <w:p w14:paraId="3A7956BE" w14:textId="77777777" w:rsidR="007F2C3D" w:rsidRPr="00B369EB" w:rsidRDefault="001C673E">
      <w:pPr>
        <w:ind w:left="567"/>
      </w:pPr>
      <w:r w:rsidRPr="00B369EB">
        <w:t>- Reglas PVP de Singapur</w:t>
      </w:r>
    </w:p>
    <w:p w14:paraId="5C018060" w14:textId="77777777" w:rsidR="00AD5079" w:rsidRPr="00B369EB" w:rsidRDefault="00AD5079" w:rsidP="002650AF"/>
    <w:p w14:paraId="40A6DC69" w14:textId="0221AEA4" w:rsidR="007F2C3D" w:rsidRPr="00B369EB" w:rsidRDefault="001C673E">
      <w:r w:rsidRPr="00B369EB">
        <w:t>1.2</w:t>
      </w:r>
      <w:r w:rsidR="007C78E0">
        <w:tab/>
      </w:r>
      <w:r w:rsidRPr="00B369EB">
        <w:t>Ampliación de la protección a otros géneros y especies (realizada o prevista)</w:t>
      </w:r>
    </w:p>
    <w:p w14:paraId="5C627372" w14:textId="77777777" w:rsidR="00AD5079" w:rsidRPr="00B369EB" w:rsidRDefault="00AD5079" w:rsidP="002650AF"/>
    <w:p w14:paraId="47F3CB4F" w14:textId="77777777" w:rsidR="007F2C3D" w:rsidRPr="00B369EB" w:rsidRDefault="001C673E">
      <w:pPr>
        <w:ind w:left="567"/>
      </w:pPr>
      <w:r w:rsidRPr="00B369EB">
        <w:t>Singapur permite la protección de todos los géneros y especies vegetales desde el 30 de julio de 2014.</w:t>
      </w:r>
    </w:p>
    <w:p w14:paraId="6ECB68F1" w14:textId="77777777" w:rsidR="00AD5079" w:rsidRPr="00B369EB" w:rsidRDefault="00AD5079" w:rsidP="002650AF"/>
    <w:p w14:paraId="0C85DE30" w14:textId="5B257206" w:rsidR="007F2C3D" w:rsidRPr="00B369EB" w:rsidRDefault="001C673E">
      <w:r w:rsidRPr="00B369EB">
        <w:t>1.3</w:t>
      </w:r>
      <w:r w:rsidR="007C78E0">
        <w:tab/>
        <w:t>J</w:t>
      </w:r>
      <w:r w:rsidRPr="00B369EB">
        <w:t>urisprudencia</w:t>
      </w:r>
    </w:p>
    <w:p w14:paraId="06A99C00" w14:textId="77777777" w:rsidR="00AD5079" w:rsidRPr="00B369EB" w:rsidRDefault="00AD5079" w:rsidP="002650AF"/>
    <w:p w14:paraId="33D26732" w14:textId="77777777" w:rsidR="007F2C3D" w:rsidRPr="00B369EB" w:rsidRDefault="001C673E">
      <w:pPr>
        <w:ind w:left="567"/>
      </w:pPr>
      <w:r w:rsidRPr="00B369EB">
        <w:t xml:space="preserve">No hay actualizaciones. </w:t>
      </w:r>
    </w:p>
    <w:p w14:paraId="29CDAFAC" w14:textId="77777777" w:rsidR="00AD5079" w:rsidRPr="00B369EB" w:rsidRDefault="00AD5079" w:rsidP="002650AF"/>
    <w:p w14:paraId="52D93066" w14:textId="77777777" w:rsidR="002650AF" w:rsidRPr="00B369EB" w:rsidRDefault="002650AF" w:rsidP="002650AF"/>
    <w:p w14:paraId="7122ADDD" w14:textId="77777777" w:rsidR="007F2C3D" w:rsidRPr="00B369EB" w:rsidRDefault="001C673E">
      <w:r w:rsidRPr="00B369EB">
        <w:t>2.</w:t>
      </w:r>
      <w:r w:rsidRPr="00B369EB">
        <w:tab/>
      </w:r>
      <w:r w:rsidRPr="00B369EB">
        <w:rPr>
          <w:u w:val="single"/>
        </w:rPr>
        <w:t>Cooperación en el examen</w:t>
      </w:r>
    </w:p>
    <w:p w14:paraId="5A74FE4E" w14:textId="77777777" w:rsidR="00AD5079" w:rsidRPr="00B369EB" w:rsidRDefault="00AD5079" w:rsidP="002650AF"/>
    <w:p w14:paraId="554CDC76" w14:textId="77777777" w:rsidR="007F2C3D" w:rsidRPr="00B369EB" w:rsidRDefault="001C673E">
      <w:pPr>
        <w:ind w:left="567"/>
      </w:pPr>
      <w:r w:rsidRPr="00B369EB">
        <w:t xml:space="preserve">No hay actualizaciones. </w:t>
      </w:r>
    </w:p>
    <w:p w14:paraId="00B28AD0" w14:textId="77777777" w:rsidR="00AD5079" w:rsidRPr="00B369EB" w:rsidRDefault="00AD5079" w:rsidP="002650AF"/>
    <w:p w14:paraId="5C840F46" w14:textId="77777777" w:rsidR="002650AF" w:rsidRPr="00B369EB" w:rsidRDefault="002650AF" w:rsidP="002650AF"/>
    <w:p w14:paraId="514AD5BC" w14:textId="77777777" w:rsidR="007F2C3D" w:rsidRPr="00B369EB" w:rsidRDefault="001C673E">
      <w:pPr>
        <w:rPr>
          <w:u w:val="single"/>
        </w:rPr>
      </w:pPr>
      <w:r w:rsidRPr="00B369EB">
        <w:t>3.</w:t>
      </w:r>
      <w:r w:rsidRPr="00B369EB">
        <w:tab/>
      </w:r>
      <w:r w:rsidRPr="00B369EB">
        <w:rPr>
          <w:u w:val="single"/>
        </w:rPr>
        <w:t>Situación en el ámbito administrativo</w:t>
      </w:r>
    </w:p>
    <w:p w14:paraId="3EF6626A" w14:textId="77777777" w:rsidR="00AD5079" w:rsidRPr="00B369EB" w:rsidRDefault="00AD5079" w:rsidP="002650AF"/>
    <w:p w14:paraId="0D2A638A" w14:textId="77777777" w:rsidR="007F2C3D" w:rsidRPr="00B369EB" w:rsidRDefault="001C673E">
      <w:pPr>
        <w:rPr>
          <w:i/>
          <w:iCs/>
        </w:rPr>
      </w:pPr>
      <w:r w:rsidRPr="00B369EB">
        <w:rPr>
          <w:i/>
          <w:iCs/>
        </w:rPr>
        <w:t>Estructura administrativa</w:t>
      </w:r>
    </w:p>
    <w:p w14:paraId="2E394F3E" w14:textId="77777777" w:rsidR="002650AF" w:rsidRPr="00B369EB" w:rsidRDefault="002650AF" w:rsidP="002650AF"/>
    <w:p w14:paraId="67A1DA82" w14:textId="77777777" w:rsidR="007F2C3D" w:rsidRPr="00B369EB" w:rsidRDefault="001C673E">
      <w:r w:rsidRPr="00B369EB">
        <w:t xml:space="preserve">No hay cambios en la estructura administrativa. </w:t>
      </w:r>
    </w:p>
    <w:p w14:paraId="47489706" w14:textId="77777777" w:rsidR="00AD5079" w:rsidRPr="00B369EB" w:rsidRDefault="00AD5079" w:rsidP="002650AF"/>
    <w:p w14:paraId="46D6AD4D" w14:textId="77777777" w:rsidR="007F2C3D" w:rsidRPr="00B369EB" w:rsidRDefault="001C673E">
      <w:pPr>
        <w:rPr>
          <w:i/>
          <w:iCs/>
        </w:rPr>
      </w:pPr>
      <w:r w:rsidRPr="00B369EB">
        <w:rPr>
          <w:i/>
          <w:iCs/>
        </w:rPr>
        <w:t>Procedimientos y sistemas de oficina</w:t>
      </w:r>
    </w:p>
    <w:p w14:paraId="34C340EF" w14:textId="77777777" w:rsidR="002650AF" w:rsidRPr="00B369EB" w:rsidRDefault="002650AF" w:rsidP="002650AF">
      <w:pPr>
        <w:rPr>
          <w:i/>
          <w:iCs/>
        </w:rPr>
      </w:pPr>
    </w:p>
    <w:p w14:paraId="419EE21F" w14:textId="77777777" w:rsidR="007F2C3D" w:rsidRPr="00B369EB" w:rsidRDefault="001C673E">
      <w:pPr>
        <w:rPr>
          <w:b/>
          <w:bCs/>
        </w:rPr>
      </w:pPr>
      <w:r w:rsidRPr="00B369EB">
        <w:t xml:space="preserve">Presentación electrónica a través de IPOS Digital Hub: A partir del 23 de noviembre de 2023, el modo por defecto a través del cual las partes presentan, </w:t>
      </w:r>
      <w:proofErr w:type="gramStart"/>
      <w:r w:rsidRPr="00B369EB">
        <w:t>envían</w:t>
      </w:r>
      <w:proofErr w:type="gramEnd"/>
      <w:r w:rsidRPr="00B369EB">
        <w:t xml:space="preserve"> o notifican al Registrador documentos para todas las solicitudes (excepto para una solicitud de inspección del registro en virtud del artículo 40 de la Ley de Protección de las Obtenciones Vegetales) será a través del sistema electrónico en línea (</w:t>
      </w:r>
      <w:hyperlink r:id="rId37" w:history="1">
        <w:r w:rsidRPr="00B369EB">
          <w:rPr>
            <w:rStyle w:val="Hyperlink"/>
          </w:rPr>
          <w:t>IPOS Digital Hub</w:t>
        </w:r>
      </w:hyperlink>
      <w:r w:rsidRPr="00B369EB">
        <w:t xml:space="preserve">). El modo de presentación por defecto de una solicitud de inspección del registro en virtud del artículo 40 de la Ley de Protección de las Obtenciones Vegetales seguirá siendo el </w:t>
      </w:r>
      <w:hyperlink r:id="rId38" w:history="1">
        <w:proofErr w:type="spellStart"/>
        <w:r w:rsidRPr="00B369EB">
          <w:rPr>
            <w:rStyle w:val="Hyperlink"/>
          </w:rPr>
          <w:t>FormSG</w:t>
        </w:r>
        <w:proofErr w:type="spellEnd"/>
      </w:hyperlink>
      <w:r w:rsidRPr="00B369EB">
        <w:t xml:space="preserve">. </w:t>
      </w:r>
    </w:p>
    <w:p w14:paraId="07559C2D" w14:textId="77777777" w:rsidR="00AD5079" w:rsidRPr="00B369EB" w:rsidRDefault="00AD5079" w:rsidP="002650AF"/>
    <w:p w14:paraId="7A5526D0" w14:textId="77777777" w:rsidR="00AD5079" w:rsidRPr="00B369EB" w:rsidRDefault="00AD5079" w:rsidP="002650AF"/>
    <w:p w14:paraId="2FBEE9CE" w14:textId="77777777" w:rsidR="007F2C3D" w:rsidRPr="00B369EB" w:rsidRDefault="001C673E">
      <w:r w:rsidRPr="00B369EB">
        <w:t>4.</w:t>
      </w:r>
      <w:r w:rsidRPr="00B369EB">
        <w:tab/>
      </w:r>
      <w:r w:rsidRPr="00B369EB">
        <w:rPr>
          <w:u w:val="single"/>
        </w:rPr>
        <w:t>Situación en el ámbito técnico</w:t>
      </w:r>
    </w:p>
    <w:p w14:paraId="4A1C6192" w14:textId="77777777" w:rsidR="00AD5079" w:rsidRPr="00B369EB" w:rsidRDefault="00AD5079" w:rsidP="002650AF"/>
    <w:p w14:paraId="3DD800CC" w14:textId="77777777" w:rsidR="007F2C3D" w:rsidRPr="00B369EB" w:rsidRDefault="001C673E">
      <w:r w:rsidRPr="00B369EB">
        <w:t xml:space="preserve">No hay actualizaciones. </w:t>
      </w:r>
    </w:p>
    <w:p w14:paraId="22A35506" w14:textId="77777777" w:rsidR="00AD5079" w:rsidRPr="00B369EB" w:rsidRDefault="00AD5079" w:rsidP="002650AF"/>
    <w:p w14:paraId="6F018285" w14:textId="77777777" w:rsidR="00AD5079" w:rsidRPr="00B369EB" w:rsidRDefault="00AD5079" w:rsidP="002650AF"/>
    <w:p w14:paraId="27F92320" w14:textId="77777777" w:rsidR="007F2C3D" w:rsidRPr="00B369EB" w:rsidRDefault="001C673E">
      <w:pPr>
        <w:rPr>
          <w:u w:val="single"/>
        </w:rPr>
      </w:pPr>
      <w:r w:rsidRPr="00B369EB">
        <w:t>5.</w:t>
      </w:r>
      <w:r w:rsidRPr="00B369EB">
        <w:tab/>
      </w:r>
      <w:r w:rsidRPr="00B369EB">
        <w:rPr>
          <w:u w:val="single"/>
        </w:rPr>
        <w:t>Actividades de fomento de la protección de las obtenciones vegetales</w:t>
      </w:r>
    </w:p>
    <w:p w14:paraId="1BC55161" w14:textId="77777777" w:rsidR="00AD5079" w:rsidRPr="00B369EB" w:rsidRDefault="00AD5079" w:rsidP="002650AF"/>
    <w:p w14:paraId="7BCFA60A" w14:textId="77777777" w:rsidR="007F2C3D" w:rsidRPr="00B369EB" w:rsidRDefault="001C673E">
      <w:r w:rsidRPr="00B369EB">
        <w:t xml:space="preserve">No hay actualizaciones. </w:t>
      </w:r>
    </w:p>
    <w:p w14:paraId="6821C97D" w14:textId="77777777" w:rsidR="00AD5079" w:rsidRPr="00B369EB" w:rsidRDefault="00AD5079" w:rsidP="002650AF"/>
    <w:p w14:paraId="733BA3FD" w14:textId="77777777" w:rsidR="001F63A8" w:rsidRPr="00B369EB" w:rsidRDefault="001F63A8" w:rsidP="002650AF"/>
    <w:p w14:paraId="520F0A1C" w14:textId="77777777" w:rsidR="001F63A8" w:rsidRPr="00B369EB" w:rsidRDefault="001F63A8" w:rsidP="001F63A8"/>
    <w:p w14:paraId="2603AEE9" w14:textId="77777777" w:rsidR="007F2C3D" w:rsidRPr="00B369EB" w:rsidRDefault="001C673E">
      <w:pPr>
        <w:jc w:val="right"/>
      </w:pPr>
      <w:r w:rsidRPr="00B369EB">
        <w:t xml:space="preserve">[Sigue el Anexo </w:t>
      </w:r>
      <w:r w:rsidR="00B737B1" w:rsidRPr="00B369EB">
        <w:t>XI</w:t>
      </w:r>
      <w:r w:rsidRPr="00B369EB">
        <w:t>]</w:t>
      </w:r>
    </w:p>
    <w:p w14:paraId="7659F935" w14:textId="77777777" w:rsidR="001F63A8" w:rsidRPr="00B369EB" w:rsidRDefault="001F63A8" w:rsidP="001F63A8"/>
    <w:p w14:paraId="74BA5AEA" w14:textId="77777777" w:rsidR="001F63A8" w:rsidRPr="00B369EB" w:rsidRDefault="001F63A8" w:rsidP="001F63A8">
      <w:pPr>
        <w:jc w:val="center"/>
        <w:sectPr w:rsidR="001F63A8" w:rsidRPr="00B369EB" w:rsidSect="00C10F83">
          <w:headerReference w:type="default" r:id="rId39"/>
          <w:pgSz w:w="11907" w:h="16840" w:code="9"/>
          <w:pgMar w:top="510" w:right="1134" w:bottom="1134" w:left="1134" w:header="510" w:footer="680" w:gutter="0"/>
          <w:pgNumType w:start="1"/>
          <w:cols w:space="720"/>
          <w:titlePg/>
        </w:sectPr>
      </w:pPr>
    </w:p>
    <w:p w14:paraId="2C3EBC2B" w14:textId="77777777" w:rsidR="007F2C3D" w:rsidRPr="00B369EB" w:rsidRDefault="001C673E">
      <w:pPr>
        <w:jc w:val="center"/>
      </w:pPr>
      <w:r w:rsidRPr="00B369EB">
        <w:lastRenderedPageBreak/>
        <w:t>C/58/13</w:t>
      </w:r>
    </w:p>
    <w:p w14:paraId="7DC58C84" w14:textId="77777777" w:rsidR="001F63A8" w:rsidRPr="00B369EB" w:rsidRDefault="001F63A8" w:rsidP="001F63A8">
      <w:pPr>
        <w:jc w:val="center"/>
      </w:pPr>
    </w:p>
    <w:p w14:paraId="1EACAE6C" w14:textId="77777777" w:rsidR="007F2C3D" w:rsidRPr="00B369EB" w:rsidRDefault="001C673E">
      <w:pPr>
        <w:jc w:val="center"/>
      </w:pPr>
      <w:r w:rsidRPr="00B369EB">
        <w:t xml:space="preserve">ANEXO </w:t>
      </w:r>
      <w:r w:rsidR="00C2720B" w:rsidRPr="00B369EB">
        <w:t>XI</w:t>
      </w:r>
    </w:p>
    <w:p w14:paraId="61AC327C" w14:textId="77777777" w:rsidR="001F63A8" w:rsidRPr="00B369EB" w:rsidRDefault="001F63A8" w:rsidP="001F63A8">
      <w:pPr>
        <w:jc w:val="center"/>
      </w:pPr>
    </w:p>
    <w:p w14:paraId="2619A34E" w14:textId="77777777" w:rsidR="001F63A8" w:rsidRPr="00B369EB" w:rsidRDefault="001F63A8" w:rsidP="001F63A8">
      <w:pPr>
        <w:jc w:val="center"/>
      </w:pPr>
    </w:p>
    <w:p w14:paraId="409A9C29" w14:textId="77777777" w:rsidR="007F2C3D" w:rsidRPr="00B369EB" w:rsidRDefault="001C673E">
      <w:pPr>
        <w:jc w:val="center"/>
      </w:pPr>
      <w:r w:rsidRPr="00B369EB">
        <w:t>UCRANIA</w:t>
      </w:r>
    </w:p>
    <w:p w14:paraId="0665ACE9" w14:textId="77777777" w:rsidR="007F2C3D" w:rsidRPr="00B369EB" w:rsidRDefault="001C673E">
      <w:pPr>
        <w:jc w:val="center"/>
      </w:pPr>
      <w:r w:rsidRPr="00B369EB">
        <w:t>(2023)</w:t>
      </w:r>
    </w:p>
    <w:p w14:paraId="05A71C39" w14:textId="77777777" w:rsidR="001F63A8" w:rsidRPr="00B369EB" w:rsidRDefault="001F63A8" w:rsidP="001F63A8"/>
    <w:p w14:paraId="76F2654F" w14:textId="77777777" w:rsidR="001F63A8" w:rsidRPr="00B369EB" w:rsidRDefault="001F63A8" w:rsidP="001F63A8"/>
    <w:p w14:paraId="4C258727" w14:textId="77777777" w:rsidR="007F2C3D" w:rsidRPr="00B369EB" w:rsidRDefault="001C673E">
      <w:pPr>
        <w:pStyle w:val="Heading1"/>
        <w:rPr>
          <w:lang w:val="es-ES_tradnl"/>
        </w:rPr>
      </w:pPr>
      <w:r w:rsidRPr="00B369EB">
        <w:rPr>
          <w:lang w:val="es-ES_tradnl"/>
        </w:rPr>
        <w:t>І.</w:t>
      </w:r>
      <w:r w:rsidR="00C03165" w:rsidRPr="00B369EB">
        <w:rPr>
          <w:lang w:val="es-ES_tradnl"/>
        </w:rPr>
        <w:tab/>
      </w:r>
      <w:r w:rsidRPr="00B369EB">
        <w:rPr>
          <w:lang w:val="es-ES_tradnl"/>
        </w:rPr>
        <w:t>PROTECCIÓN DE LAS OBTENCIONES VEGETALES</w:t>
      </w:r>
    </w:p>
    <w:p w14:paraId="56BEBBF5" w14:textId="77777777" w:rsidR="00C03165" w:rsidRPr="00B369EB" w:rsidRDefault="00C03165" w:rsidP="00356E77"/>
    <w:p w14:paraId="6E3D8935" w14:textId="77777777" w:rsidR="007F2C3D" w:rsidRPr="00B369EB" w:rsidRDefault="001C673E">
      <w:pPr>
        <w:rPr>
          <w:u w:val="single"/>
        </w:rPr>
      </w:pPr>
      <w:r w:rsidRPr="00B369EB">
        <w:t>1.</w:t>
      </w:r>
      <w:r w:rsidR="00C03165" w:rsidRPr="00B369EB">
        <w:tab/>
      </w:r>
      <w:r w:rsidRPr="00B369EB">
        <w:rPr>
          <w:u w:val="single"/>
        </w:rPr>
        <w:t>Estado del sector jurídico</w:t>
      </w:r>
    </w:p>
    <w:p w14:paraId="49C5A2F9" w14:textId="77777777" w:rsidR="00C03165" w:rsidRPr="00B369EB" w:rsidRDefault="00C03165" w:rsidP="00356E77"/>
    <w:p w14:paraId="3E0A19E0" w14:textId="77777777" w:rsidR="007F2C3D" w:rsidRPr="00B369EB" w:rsidRDefault="001C673E">
      <w:r w:rsidRPr="00B369EB">
        <w:t>Se adoptó la Ley N.º 2763-IX de Ucrania, de 16 de noviembre de 2022, por la que se modifican determinados actos legislativos de Ucrania para armonizar la legislación en el ámbito de la protección de las obtenciones vegetales y la producción de semillas y plántulas con las disposiciones de la legislación de la Unión Europea, acerca de la cual el Ministerio de Política Agraria y Alimentación de Ucrania informó a la UPOV y le proporcionó una traducción con fecha 10 de mayo de 2023</w:t>
      </w:r>
      <w:r w:rsidR="005377CD" w:rsidRPr="00B369EB">
        <w:t>,</w:t>
      </w:r>
      <w:r w:rsidRPr="00B369EB">
        <w:t xml:space="preserve"> N.º 21</w:t>
      </w:r>
      <w:r w:rsidR="005377CD" w:rsidRPr="00B369EB">
        <w:noBreakHyphen/>
      </w:r>
      <w:r w:rsidRPr="00B369EB">
        <w:t xml:space="preserve"> 1331-06.1/12514.</w:t>
      </w:r>
    </w:p>
    <w:p w14:paraId="248F840A" w14:textId="77777777" w:rsidR="00C03165" w:rsidRPr="00B369EB" w:rsidRDefault="00C03165" w:rsidP="00356E77"/>
    <w:p w14:paraId="30C9290F" w14:textId="77777777" w:rsidR="007F2C3D" w:rsidRPr="00B369EB" w:rsidRDefault="001C673E">
      <w:r w:rsidRPr="00B369EB">
        <w:t xml:space="preserve">Debido a la ausencia de la Ley en el sitio web de la UPOV </w:t>
      </w:r>
      <w:hyperlink r:id="rId40" w:history="1">
        <w:r w:rsidR="005377CD" w:rsidRPr="00B369EB">
          <w:rPr>
            <w:rStyle w:val="Hyperlink"/>
          </w:rPr>
          <w:t>(</w:t>
        </w:r>
      </w:hyperlink>
      <w:r w:rsidRPr="00B369EB">
        <w:t>https://upovlex.upov.int/en/legislation/profile/UA)</w:t>
      </w:r>
      <w:r w:rsidR="005377CD" w:rsidRPr="00B369EB">
        <w:t xml:space="preserve">, </w:t>
      </w:r>
      <w:r w:rsidRPr="00B369EB">
        <w:t>volvemos a traducir la Ley.</w:t>
      </w:r>
    </w:p>
    <w:p w14:paraId="3038EB7C" w14:textId="77777777" w:rsidR="00C03165" w:rsidRPr="00B369EB" w:rsidRDefault="00C03165" w:rsidP="00356E77"/>
    <w:p w14:paraId="12AEAF05" w14:textId="77777777" w:rsidR="007F2C3D" w:rsidRPr="00B369EB" w:rsidRDefault="001C673E">
      <w:pPr>
        <w:rPr>
          <w:i/>
          <w:iCs/>
        </w:rPr>
      </w:pPr>
      <w:r w:rsidRPr="00B369EB">
        <w:rPr>
          <w:i/>
          <w:iCs/>
        </w:rPr>
        <w:t>Resoluciones adoptadas por el Consejo de Ministros de Ucrania:</w:t>
      </w:r>
    </w:p>
    <w:p w14:paraId="527D046B" w14:textId="77777777" w:rsidR="00C03165" w:rsidRPr="00B369EB" w:rsidRDefault="00C03165" w:rsidP="00356E77"/>
    <w:p w14:paraId="211F6027" w14:textId="77777777" w:rsidR="007F2C3D" w:rsidRPr="00B369EB" w:rsidRDefault="001C673E">
      <w:pPr>
        <w:pStyle w:val="ListParagraph"/>
        <w:numPr>
          <w:ilvl w:val="0"/>
          <w:numId w:val="12"/>
        </w:numPr>
        <w:ind w:left="360"/>
      </w:pPr>
      <w:r w:rsidRPr="00B369EB">
        <w:t xml:space="preserve">de fecha 12 de diciembre de 2023 </w:t>
      </w:r>
      <w:proofErr w:type="spellStart"/>
      <w:r w:rsidRPr="00B369EB">
        <w:t>Nº</w:t>
      </w:r>
      <w:proofErr w:type="spellEnd"/>
      <w:r w:rsidRPr="00B369EB">
        <w:t xml:space="preserve"> 1305 "Sobre la aprobación del procedimiento para solicitar muestras de prueba de componentes parentales que son componentes constitutivos del objeto de solicitud de variedades";</w:t>
      </w:r>
    </w:p>
    <w:p w14:paraId="4BB8857E" w14:textId="77777777" w:rsidR="00C03165" w:rsidRPr="00B369EB" w:rsidRDefault="00C03165" w:rsidP="005377CD"/>
    <w:p w14:paraId="00E61E00" w14:textId="77777777" w:rsidR="007F2C3D" w:rsidRPr="00B369EB" w:rsidRDefault="001C673E">
      <w:pPr>
        <w:pStyle w:val="ListParagraph"/>
        <w:numPr>
          <w:ilvl w:val="0"/>
          <w:numId w:val="12"/>
        </w:numPr>
        <w:ind w:left="360"/>
      </w:pPr>
      <w:r w:rsidRPr="00B369EB">
        <w:t xml:space="preserve">de fecha 4 de agosto de 2023 </w:t>
      </w:r>
      <w:proofErr w:type="spellStart"/>
      <w:r w:rsidRPr="00B369EB">
        <w:t>nº</w:t>
      </w:r>
      <w:proofErr w:type="spellEnd"/>
      <w:r w:rsidRPr="00B369EB">
        <w:t xml:space="preserve"> 813 "Sobre las enmiendas a la Resolución </w:t>
      </w:r>
      <w:proofErr w:type="spellStart"/>
      <w:r w:rsidRPr="00B369EB">
        <w:t>nº</w:t>
      </w:r>
      <w:proofErr w:type="spellEnd"/>
      <w:r w:rsidRPr="00B369EB">
        <w:t xml:space="preserve"> 1183 del Consejo de Ministros de Ucrania de fecha 19 de agosto de 2002".</w:t>
      </w:r>
    </w:p>
    <w:p w14:paraId="171996B5" w14:textId="77777777" w:rsidR="00C03165" w:rsidRPr="00B369EB" w:rsidRDefault="00C03165" w:rsidP="00356E77"/>
    <w:p w14:paraId="4BB753C7" w14:textId="77777777" w:rsidR="007F2C3D" w:rsidRPr="00B369EB" w:rsidRDefault="001C673E">
      <w:pPr>
        <w:rPr>
          <w:i/>
          <w:iCs/>
        </w:rPr>
      </w:pPr>
      <w:r w:rsidRPr="00B369EB">
        <w:rPr>
          <w:i/>
          <w:iCs/>
        </w:rPr>
        <w:t xml:space="preserve">Órdenes adoptadas de la </w:t>
      </w:r>
      <w:proofErr w:type="spellStart"/>
      <w:r w:rsidRPr="00B369EB">
        <w:rPr>
          <w:i/>
          <w:iCs/>
        </w:rPr>
        <w:t>Minagropolítica</w:t>
      </w:r>
      <w:proofErr w:type="spellEnd"/>
      <w:r w:rsidRPr="00B369EB">
        <w:rPr>
          <w:i/>
          <w:iCs/>
        </w:rPr>
        <w:t>:</w:t>
      </w:r>
    </w:p>
    <w:p w14:paraId="5315DD36" w14:textId="77777777" w:rsidR="00C03165" w:rsidRPr="00B369EB" w:rsidRDefault="00C03165" w:rsidP="00356E77"/>
    <w:p w14:paraId="08D42F98" w14:textId="77777777" w:rsidR="007F2C3D" w:rsidRPr="00B369EB" w:rsidRDefault="001C673E">
      <w:pPr>
        <w:pStyle w:val="ListParagraph"/>
        <w:numPr>
          <w:ilvl w:val="0"/>
          <w:numId w:val="12"/>
        </w:numPr>
        <w:ind w:left="360"/>
      </w:pPr>
      <w:r w:rsidRPr="00B369EB">
        <w:t xml:space="preserve">de fecha 31 de agosto de 2023 </w:t>
      </w:r>
      <w:proofErr w:type="spellStart"/>
      <w:r w:rsidRPr="00B369EB">
        <w:t>Nº</w:t>
      </w:r>
      <w:proofErr w:type="spellEnd"/>
      <w:r w:rsidRPr="00B369EB">
        <w:t xml:space="preserve"> 1609 "Sobre la aprobación del procedimiento de elaboración, presentación y examen de una solicitud de variedad", registrada en el Ministerio de Justicia de Ucrania el 3 de octubre de 2023 </w:t>
      </w:r>
      <w:proofErr w:type="spellStart"/>
      <w:r w:rsidRPr="00B369EB">
        <w:t>Nº</w:t>
      </w:r>
      <w:proofErr w:type="spellEnd"/>
      <w:r w:rsidRPr="00B369EB">
        <w:t xml:space="preserve"> 1735/40791;</w:t>
      </w:r>
    </w:p>
    <w:p w14:paraId="4F329EED" w14:textId="77777777" w:rsidR="00C03165" w:rsidRPr="00B369EB" w:rsidRDefault="00C03165" w:rsidP="005377CD"/>
    <w:p w14:paraId="6407D997" w14:textId="77777777" w:rsidR="007F2C3D" w:rsidRPr="00B369EB" w:rsidRDefault="001C673E">
      <w:pPr>
        <w:pStyle w:val="ListParagraph"/>
        <w:numPr>
          <w:ilvl w:val="0"/>
          <w:numId w:val="12"/>
        </w:numPr>
        <w:ind w:left="360"/>
      </w:pPr>
      <w:r w:rsidRPr="00B369EB">
        <w:t xml:space="preserve">de fecha 26 de septiembre de 2023 </w:t>
      </w:r>
      <w:proofErr w:type="spellStart"/>
      <w:r w:rsidRPr="00B369EB">
        <w:t>Nº</w:t>
      </w:r>
      <w:proofErr w:type="spellEnd"/>
      <w:r w:rsidRPr="00B369EB">
        <w:t xml:space="preserve"> 1710 "Sobre la aprobación del procedimiento de suministro de muestras oficiales y experimentales de material de siembra de la variedad", registrada en el Ministerio de Justicia de Ucrania el 12 de octubre de 2023 </w:t>
      </w:r>
      <w:proofErr w:type="spellStart"/>
      <w:r w:rsidRPr="00B369EB">
        <w:t>Nº</w:t>
      </w:r>
      <w:proofErr w:type="spellEnd"/>
      <w:r w:rsidRPr="00B369EB">
        <w:t xml:space="preserve"> 1785/40841;</w:t>
      </w:r>
    </w:p>
    <w:p w14:paraId="1C335A7D" w14:textId="77777777" w:rsidR="00C03165" w:rsidRPr="00B369EB" w:rsidRDefault="00C03165" w:rsidP="005377CD"/>
    <w:p w14:paraId="79231EB6" w14:textId="77777777" w:rsidR="007F2C3D" w:rsidRPr="00B369EB" w:rsidRDefault="001C673E">
      <w:pPr>
        <w:pStyle w:val="ListParagraph"/>
        <w:numPr>
          <w:ilvl w:val="0"/>
          <w:numId w:val="12"/>
        </w:numPr>
        <w:ind w:left="360"/>
      </w:pPr>
      <w:r w:rsidRPr="00B369EB">
        <w:t xml:space="preserve">de fecha 5 de julio de 2023, </w:t>
      </w:r>
      <w:proofErr w:type="spellStart"/>
      <w:r w:rsidRPr="00B369EB">
        <w:t>nº</w:t>
      </w:r>
      <w:proofErr w:type="spellEnd"/>
      <w:r w:rsidRPr="00B369EB">
        <w:t xml:space="preserve"> 1344 "Sobre la aprobación del procedimiento para llevar a cabo el examen de cualificación de variedades", registrado en el Ministerio de Justicia de Ucrania el 21 de julio de 2023 </w:t>
      </w:r>
      <w:proofErr w:type="spellStart"/>
      <w:r w:rsidRPr="00B369EB">
        <w:t>nº</w:t>
      </w:r>
      <w:proofErr w:type="spellEnd"/>
      <w:r w:rsidRPr="00B369EB">
        <w:t xml:space="preserve"> 1244/40300;</w:t>
      </w:r>
    </w:p>
    <w:p w14:paraId="535E19E3" w14:textId="77777777" w:rsidR="00C03165" w:rsidRPr="00B369EB" w:rsidRDefault="00C03165" w:rsidP="005377CD"/>
    <w:p w14:paraId="5C13F759" w14:textId="77777777" w:rsidR="007F2C3D" w:rsidRPr="00B369EB" w:rsidRDefault="001C673E">
      <w:pPr>
        <w:pStyle w:val="ListParagraph"/>
        <w:numPr>
          <w:ilvl w:val="0"/>
          <w:numId w:val="12"/>
        </w:numPr>
        <w:ind w:left="360"/>
      </w:pPr>
      <w:r w:rsidRPr="00B369EB">
        <w:t xml:space="preserve">de fecha 16 de noviembre de 2023 </w:t>
      </w:r>
      <w:proofErr w:type="spellStart"/>
      <w:r w:rsidRPr="00B369EB">
        <w:t>Nº</w:t>
      </w:r>
      <w:proofErr w:type="spellEnd"/>
      <w:r w:rsidRPr="00B369EB">
        <w:t xml:space="preserve"> 1981 "Sobre la aprobación del procedimiento para la realización de estudios de clasificación previos al registro", registrado en el Ministerio de Justicia de Ucrania el 9 de enero de 2024 </w:t>
      </w:r>
      <w:proofErr w:type="spellStart"/>
      <w:r w:rsidRPr="00B369EB">
        <w:t>Nº</w:t>
      </w:r>
      <w:proofErr w:type="spellEnd"/>
      <w:r w:rsidRPr="00B369EB">
        <w:t xml:space="preserve"> 45/41390.</w:t>
      </w:r>
    </w:p>
    <w:p w14:paraId="05050207" w14:textId="77777777" w:rsidR="00C03165" w:rsidRPr="00B369EB" w:rsidRDefault="00C03165" w:rsidP="00356E77"/>
    <w:p w14:paraId="2C2B8137" w14:textId="77777777" w:rsidR="007F2C3D" w:rsidRPr="00B369EB" w:rsidRDefault="001C673E">
      <w:pPr>
        <w:rPr>
          <w:i/>
          <w:iCs/>
        </w:rPr>
      </w:pPr>
      <w:r w:rsidRPr="00B369EB">
        <w:rPr>
          <w:i/>
          <w:iCs/>
        </w:rPr>
        <w:t>Ha expirado:</w:t>
      </w:r>
    </w:p>
    <w:p w14:paraId="1C08D713" w14:textId="77777777" w:rsidR="00C03165" w:rsidRPr="00B369EB" w:rsidRDefault="00C03165" w:rsidP="00356E77"/>
    <w:p w14:paraId="1A2FC14E" w14:textId="77777777" w:rsidR="007F2C3D" w:rsidRPr="00B369EB" w:rsidRDefault="001C673E">
      <w:pPr>
        <w:pStyle w:val="ListParagraph"/>
        <w:numPr>
          <w:ilvl w:val="0"/>
          <w:numId w:val="12"/>
        </w:numPr>
        <w:ind w:left="360"/>
      </w:pPr>
      <w:r w:rsidRPr="00B369EB">
        <w:t xml:space="preserve">Resolución del Gabinete de Ministros de Ucrania de fecha 19 de septiembre de 2018 </w:t>
      </w:r>
      <w:proofErr w:type="spellStart"/>
      <w:r w:rsidRPr="00B369EB">
        <w:t>Nº</w:t>
      </w:r>
      <w:proofErr w:type="spellEnd"/>
      <w:r w:rsidRPr="00B369EB">
        <w:t xml:space="preserve"> 756 "Sobre la aprobación del procedimiento de solicitud de muestras de material de siembra de componentes parentales del objeto de la solicitud";</w:t>
      </w:r>
    </w:p>
    <w:p w14:paraId="3517992A" w14:textId="77777777" w:rsidR="00C03165" w:rsidRPr="00B369EB" w:rsidRDefault="00C03165" w:rsidP="00356E77"/>
    <w:p w14:paraId="655BB334" w14:textId="77777777" w:rsidR="007F2C3D" w:rsidRPr="00B369EB" w:rsidRDefault="001C673E">
      <w:pPr>
        <w:pStyle w:val="ListParagraph"/>
        <w:numPr>
          <w:ilvl w:val="0"/>
          <w:numId w:val="12"/>
        </w:numPr>
        <w:ind w:left="360"/>
      </w:pPr>
      <w:r w:rsidRPr="00B369EB">
        <w:t>Orden del Servicio Estatal de Protección de los Derechos sobre las Obtenciones Vegetales de fecha 12 de marzo de 2003 N.º 3 2/139</w:t>
      </w:r>
      <w:r w:rsidR="005377CD" w:rsidRPr="00B369EB">
        <w:noBreakHyphen/>
      </w:r>
      <w:r w:rsidR="005377CD" w:rsidRPr="00B369EB">
        <w:noBreakHyphen/>
      </w:r>
      <w:r w:rsidRPr="00B369EB">
        <w:t xml:space="preserve"> 43 "Sobre la aprobación del procedimiento de distribución en Ucrania de una variedad sobre la que no existe el derecho exclusivo del titular", registrada en el Ministerio de Justicia de Ucrania el 27 de marzo de 2003 N.º 241/7562;</w:t>
      </w:r>
    </w:p>
    <w:p w14:paraId="09F6AEA8" w14:textId="77777777" w:rsidR="00C03165" w:rsidRPr="00B369EB" w:rsidRDefault="00C03165" w:rsidP="00356E77"/>
    <w:p w14:paraId="57971190" w14:textId="77777777" w:rsidR="007F2C3D" w:rsidRPr="00B369EB" w:rsidRDefault="001C673E">
      <w:pPr>
        <w:pStyle w:val="ListParagraph"/>
        <w:numPr>
          <w:ilvl w:val="0"/>
          <w:numId w:val="12"/>
        </w:numPr>
        <w:ind w:left="360"/>
      </w:pPr>
      <w:r w:rsidRPr="00B369EB">
        <w:t xml:space="preserve">Orden del </w:t>
      </w:r>
      <w:proofErr w:type="spellStart"/>
      <w:r w:rsidRPr="00B369EB">
        <w:t>Minagropolicy</w:t>
      </w:r>
      <w:proofErr w:type="spellEnd"/>
      <w:r w:rsidRPr="00B369EB">
        <w:t xml:space="preserve"> de fecha 28 de mayo de 2003 </w:t>
      </w:r>
      <w:proofErr w:type="spellStart"/>
      <w:r w:rsidRPr="00B369EB">
        <w:t>Nº</w:t>
      </w:r>
      <w:proofErr w:type="spellEnd"/>
      <w:r w:rsidRPr="00B369EB">
        <w:t xml:space="preserve"> 151 "Sobre la aprobación del Reglamento relativo al certificado de autoría de una obtención vegetal", registrada en el Ministerio de Justicia de Ucrania el 11 de junio de 2003 </w:t>
      </w:r>
      <w:proofErr w:type="spellStart"/>
      <w:r w:rsidRPr="00B369EB">
        <w:t>Nº</w:t>
      </w:r>
      <w:proofErr w:type="spellEnd"/>
      <w:r w:rsidRPr="00B369EB">
        <w:t xml:space="preserve"> 470/7791;</w:t>
      </w:r>
    </w:p>
    <w:p w14:paraId="5989936F" w14:textId="77777777" w:rsidR="00C03165" w:rsidRPr="00B369EB" w:rsidRDefault="00C03165" w:rsidP="00356E77"/>
    <w:p w14:paraId="0DE9E62A" w14:textId="77777777" w:rsidR="007F2C3D" w:rsidRPr="00B369EB" w:rsidRDefault="001C673E">
      <w:pPr>
        <w:pStyle w:val="ListParagraph"/>
        <w:numPr>
          <w:ilvl w:val="0"/>
          <w:numId w:val="12"/>
        </w:numPr>
        <w:ind w:left="360"/>
      </w:pPr>
      <w:r w:rsidRPr="00B369EB">
        <w:lastRenderedPageBreak/>
        <w:t xml:space="preserve">Orden del </w:t>
      </w:r>
      <w:proofErr w:type="spellStart"/>
      <w:r w:rsidRPr="00B369EB">
        <w:t>Minagropolio</w:t>
      </w:r>
      <w:proofErr w:type="spellEnd"/>
      <w:r w:rsidRPr="00B369EB">
        <w:t xml:space="preserve"> de fecha 28 de febrero de 2018 </w:t>
      </w:r>
      <w:proofErr w:type="spellStart"/>
      <w:r w:rsidRPr="00B369EB">
        <w:t>Nº</w:t>
      </w:r>
      <w:proofErr w:type="spellEnd"/>
      <w:r w:rsidRPr="00B369EB">
        <w:t xml:space="preserve"> 110 "Sobre la aprobación de las normas de elaboración y presentación de solicitudes de obtenciones vegetales", registrada en el Ministerio de Justicia de Ucrania el 5 de julio de 2018 </w:t>
      </w:r>
      <w:proofErr w:type="spellStart"/>
      <w:r w:rsidRPr="00B369EB">
        <w:t>Nº</w:t>
      </w:r>
      <w:proofErr w:type="spellEnd"/>
      <w:r w:rsidRPr="00B369EB">
        <w:t xml:space="preserve"> 781/32233.</w:t>
      </w:r>
    </w:p>
    <w:p w14:paraId="612F8EC1" w14:textId="77777777" w:rsidR="00C03165" w:rsidRPr="00B369EB" w:rsidRDefault="00C03165" w:rsidP="00356E77"/>
    <w:p w14:paraId="78847679" w14:textId="77777777" w:rsidR="007F2C3D" w:rsidRPr="00B369EB" w:rsidRDefault="001C673E">
      <w:pPr>
        <w:rPr>
          <w:u w:val="single"/>
        </w:rPr>
      </w:pPr>
      <w:r w:rsidRPr="00B369EB">
        <w:t>2.</w:t>
      </w:r>
      <w:r w:rsidR="005377CD" w:rsidRPr="00B369EB">
        <w:tab/>
      </w:r>
      <w:r w:rsidRPr="00B369EB">
        <w:rPr>
          <w:u w:val="single"/>
        </w:rPr>
        <w:t>Cooperación en el examen</w:t>
      </w:r>
    </w:p>
    <w:p w14:paraId="0CC20389" w14:textId="77777777" w:rsidR="00C03165" w:rsidRPr="00B369EB" w:rsidRDefault="00C03165" w:rsidP="00356E77"/>
    <w:p w14:paraId="0A0E50C0" w14:textId="77777777" w:rsidR="007F2C3D" w:rsidRPr="00B369EB" w:rsidRDefault="001C673E">
      <w:r w:rsidRPr="00B369EB">
        <w:t xml:space="preserve">Ucrania intercambió 112 informes sobre los resultados de la investigación sobre el terreno en el Consejo de Europa durante 2023.  </w:t>
      </w:r>
      <w:r w:rsidR="005377CD" w:rsidRPr="00B369EB">
        <w:t xml:space="preserve">Ucrania </w:t>
      </w:r>
      <w:r w:rsidRPr="00B369EB">
        <w:t>utilizó los informes del examen en la Asamblea General de los siguientes países: Eslovaquia, Austria, Hungría, Alemania, España, Francia y Rumania.</w:t>
      </w:r>
    </w:p>
    <w:p w14:paraId="623C8F25" w14:textId="77777777" w:rsidR="00C03165" w:rsidRPr="00B369EB" w:rsidRDefault="00C03165" w:rsidP="00356E77"/>
    <w:p w14:paraId="484C5D86" w14:textId="77777777" w:rsidR="007F2C3D" w:rsidRPr="00B369EB" w:rsidRDefault="001C673E">
      <w:pPr>
        <w:rPr>
          <w:u w:val="single"/>
        </w:rPr>
      </w:pPr>
      <w:r w:rsidRPr="00B369EB">
        <w:t>3.</w:t>
      </w:r>
      <w:r w:rsidR="005377CD" w:rsidRPr="00B369EB">
        <w:tab/>
      </w:r>
      <w:r w:rsidRPr="00B369EB">
        <w:rPr>
          <w:u w:val="single"/>
        </w:rPr>
        <w:t>Estado del sector administrativo</w:t>
      </w:r>
    </w:p>
    <w:p w14:paraId="34ACCAC7" w14:textId="77777777" w:rsidR="00C03165" w:rsidRPr="00B369EB" w:rsidRDefault="00C03165" w:rsidP="00356E77"/>
    <w:p w14:paraId="63EBF9C0" w14:textId="77777777" w:rsidR="007F2C3D" w:rsidRPr="00B369EB" w:rsidRDefault="001C673E">
      <w:r w:rsidRPr="00B369EB">
        <w:t xml:space="preserve">Desde 2020, el </w:t>
      </w:r>
      <w:proofErr w:type="spellStart"/>
      <w:r w:rsidRPr="00B369EB">
        <w:t>Minagropolicy</w:t>
      </w:r>
      <w:proofErr w:type="spellEnd"/>
      <w:r w:rsidRPr="00B369EB">
        <w:t xml:space="preserve"> está autorizado a ser el organismo competente para el registro de los derechos de obtención vegetal en Ucrania.</w:t>
      </w:r>
    </w:p>
    <w:p w14:paraId="6ED92333" w14:textId="77777777" w:rsidR="00C03165" w:rsidRPr="00B369EB" w:rsidRDefault="00C03165" w:rsidP="00356E77"/>
    <w:p w14:paraId="1B283D50" w14:textId="77777777" w:rsidR="007F2C3D" w:rsidRPr="00B369EB" w:rsidRDefault="001C673E">
      <w:r w:rsidRPr="00B369EB">
        <w:t>4.</w:t>
      </w:r>
      <w:r w:rsidR="005377CD" w:rsidRPr="00B369EB">
        <w:tab/>
      </w:r>
      <w:r w:rsidRPr="00B369EB">
        <w:rPr>
          <w:u w:val="single"/>
        </w:rPr>
        <w:t>Estado del sector técnico</w:t>
      </w:r>
    </w:p>
    <w:p w14:paraId="71C4DB2F" w14:textId="77777777" w:rsidR="00C03165" w:rsidRPr="00B369EB" w:rsidRDefault="00C03165" w:rsidP="00356E77"/>
    <w:p w14:paraId="281991F6" w14:textId="77777777" w:rsidR="007F2C3D" w:rsidRPr="00B369EB" w:rsidRDefault="001C673E">
      <w:r w:rsidRPr="00B369EB">
        <w:t>4.</w:t>
      </w:r>
      <w:r w:rsidR="00356E77" w:rsidRPr="00B369EB">
        <w:t>1</w:t>
      </w:r>
      <w:r w:rsidRPr="00B369EB">
        <w:tab/>
      </w:r>
      <w:r w:rsidR="00356E77" w:rsidRPr="00B369EB">
        <w:t xml:space="preserve">Se han introducido </w:t>
      </w:r>
      <w:r w:rsidRPr="00B369EB">
        <w:t xml:space="preserve">los siguientes </w:t>
      </w:r>
      <w:r w:rsidR="00356E77" w:rsidRPr="00B369EB">
        <w:t>cambios:</w:t>
      </w:r>
    </w:p>
    <w:p w14:paraId="780155D1" w14:textId="77777777" w:rsidR="00C03165" w:rsidRPr="00B369EB" w:rsidRDefault="00C03165" w:rsidP="00356E77"/>
    <w:p w14:paraId="66462FC1" w14:textId="77777777" w:rsidR="007F2C3D" w:rsidRPr="00B369EB" w:rsidRDefault="001C673E">
      <w:pPr>
        <w:pStyle w:val="ListParagraph"/>
        <w:numPr>
          <w:ilvl w:val="0"/>
          <w:numId w:val="13"/>
        </w:numPr>
        <w:ind w:left="360"/>
      </w:pPr>
      <w:r w:rsidRPr="00B369EB">
        <w:t xml:space="preserve">"MÉTODOS DE REALIZACIÓN DEL EXAMEN DE CALIFICACIÓN DE VARIEDADES VEGETALES PARA SU APTITUD PARA LA PROPAGACIÓN EN UCRANIA (Métodos para determinar los indicadores de calidad de la producción de cultivos)" (orden del </w:t>
      </w:r>
      <w:proofErr w:type="spellStart"/>
      <w:r w:rsidRPr="00B369EB">
        <w:t>Minagropolicy</w:t>
      </w:r>
      <w:proofErr w:type="spellEnd"/>
      <w:r w:rsidRPr="00B369EB">
        <w:t xml:space="preserve"> de fecha 27 de noviembre de 2023 N º 2055);</w:t>
      </w:r>
    </w:p>
    <w:p w14:paraId="2DA2F0A2" w14:textId="77777777" w:rsidR="00C03165" w:rsidRPr="00B369EB" w:rsidRDefault="00C03165" w:rsidP="005377CD"/>
    <w:p w14:paraId="5EF63172" w14:textId="77777777" w:rsidR="007F2C3D" w:rsidRPr="00B369EB" w:rsidRDefault="001C673E">
      <w:pPr>
        <w:pStyle w:val="ListParagraph"/>
        <w:numPr>
          <w:ilvl w:val="0"/>
          <w:numId w:val="13"/>
        </w:numPr>
        <w:ind w:left="360"/>
      </w:pPr>
      <w:r w:rsidRPr="00B369EB">
        <w:t>Metodología para determinar la conformidad de las variedades de col portuguesa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var</w:t>
      </w:r>
      <w:proofErr w:type="spellEnd"/>
      <w:r w:rsidRPr="00B369EB">
        <w:t xml:space="preserve">. </w:t>
      </w:r>
      <w:proofErr w:type="spellStart"/>
      <w:r w:rsidRPr="00B369EB">
        <w:t>costata</w:t>
      </w:r>
      <w:proofErr w:type="spellEnd"/>
      <w:r w:rsidRPr="00B369EB">
        <w:t xml:space="preserve"> DC.), repollo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convar</w:t>
      </w:r>
      <w:proofErr w:type="spellEnd"/>
      <w:r w:rsidRPr="00B369EB">
        <w:t xml:space="preserve">. </w:t>
      </w:r>
      <w:proofErr w:type="spellStart"/>
      <w:r w:rsidRPr="00B369EB">
        <w:t>acephala</w:t>
      </w:r>
      <w:proofErr w:type="spellEnd"/>
      <w:r w:rsidRPr="00B369EB">
        <w:t xml:space="preserve"> (DC.) </w:t>
      </w:r>
      <w:proofErr w:type="spellStart"/>
      <w:r w:rsidRPr="00B369EB">
        <w:t>Alef</w:t>
      </w:r>
      <w:proofErr w:type="spellEnd"/>
      <w:r w:rsidRPr="00B369EB">
        <w:t xml:space="preserve">. </w:t>
      </w:r>
      <w:proofErr w:type="spellStart"/>
      <w:r w:rsidRPr="00B369EB">
        <w:t>var</w:t>
      </w:r>
      <w:proofErr w:type="spellEnd"/>
      <w:r w:rsidRPr="00B369EB">
        <w:t xml:space="preserve">. </w:t>
      </w:r>
      <w:proofErr w:type="spellStart"/>
      <w:r w:rsidRPr="00B369EB">
        <w:t>medullosa</w:t>
      </w:r>
      <w:proofErr w:type="spellEnd"/>
      <w:r w:rsidRPr="00B369EB">
        <w:t xml:space="preserve"> </w:t>
      </w:r>
      <w:proofErr w:type="spellStart"/>
      <w:r w:rsidRPr="00B369EB">
        <w:t>Thell</w:t>
      </w:r>
      <w:proofErr w:type="spellEnd"/>
      <w:r w:rsidRPr="00B369EB">
        <w:t>.), col rizada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convar</w:t>
      </w:r>
      <w:proofErr w:type="spellEnd"/>
      <w:r w:rsidRPr="00B369EB">
        <w:t xml:space="preserve">. </w:t>
      </w:r>
      <w:proofErr w:type="spellStart"/>
      <w:r w:rsidRPr="00B369EB">
        <w:t>acephala</w:t>
      </w:r>
      <w:proofErr w:type="spellEnd"/>
      <w:r w:rsidRPr="00B369EB">
        <w:t xml:space="preserve"> (DC.) </w:t>
      </w:r>
      <w:proofErr w:type="spellStart"/>
      <w:r w:rsidRPr="00B369EB">
        <w:t>Alef</w:t>
      </w:r>
      <w:proofErr w:type="spellEnd"/>
      <w:r w:rsidRPr="00B369EB">
        <w:t xml:space="preserve">. </w:t>
      </w:r>
      <w:proofErr w:type="spellStart"/>
      <w:r w:rsidRPr="00B369EB">
        <w:t>var</w:t>
      </w:r>
      <w:proofErr w:type="spellEnd"/>
      <w:r w:rsidRPr="00B369EB">
        <w:t xml:space="preserve">. </w:t>
      </w:r>
      <w:proofErr w:type="spellStart"/>
      <w:r w:rsidRPr="00B369EB">
        <w:t>sabellica</w:t>
      </w:r>
      <w:proofErr w:type="spellEnd"/>
      <w:r w:rsidRPr="00B369EB">
        <w:t xml:space="preserve"> L.), repollo de hoja verde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convar</w:t>
      </w:r>
      <w:proofErr w:type="spellEnd"/>
      <w:r w:rsidRPr="00B369EB">
        <w:t xml:space="preserve">. </w:t>
      </w:r>
      <w:proofErr w:type="spellStart"/>
      <w:r w:rsidRPr="00B369EB">
        <w:t>acephala</w:t>
      </w:r>
      <w:proofErr w:type="spellEnd"/>
      <w:r w:rsidRPr="00B369EB">
        <w:t xml:space="preserve"> (DC.) </w:t>
      </w:r>
      <w:proofErr w:type="spellStart"/>
      <w:r w:rsidRPr="00B369EB">
        <w:t>Alef</w:t>
      </w:r>
      <w:proofErr w:type="spellEnd"/>
      <w:r w:rsidRPr="00B369EB">
        <w:t xml:space="preserve">. </w:t>
      </w:r>
      <w:proofErr w:type="spellStart"/>
      <w:r w:rsidRPr="00B369EB">
        <w:t>var</w:t>
      </w:r>
      <w:proofErr w:type="spellEnd"/>
      <w:r w:rsidRPr="00B369EB">
        <w:t xml:space="preserve">. </w:t>
      </w:r>
      <w:proofErr w:type="spellStart"/>
      <w:r w:rsidRPr="00B369EB">
        <w:t>viridis</w:t>
      </w:r>
      <w:proofErr w:type="spellEnd"/>
      <w:r w:rsidRPr="00B369EB">
        <w:t xml:space="preserve"> L.), repollo de hoja de palmera (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var</w:t>
      </w:r>
      <w:proofErr w:type="spellEnd"/>
      <w:r w:rsidRPr="00B369EB">
        <w:t xml:space="preserve">. </w:t>
      </w:r>
      <w:proofErr w:type="spellStart"/>
      <w:r w:rsidRPr="00B369EB">
        <w:t>palmifolia</w:t>
      </w:r>
      <w:proofErr w:type="spellEnd"/>
      <w:r w:rsidRPr="00B369EB">
        <w:t xml:space="preserve"> DC.) criterios de distinción, uniformidad y estabilidad (orden del </w:t>
      </w:r>
      <w:proofErr w:type="spellStart"/>
      <w:r w:rsidRPr="00B369EB">
        <w:t>Minagropolicy</w:t>
      </w:r>
      <w:proofErr w:type="spellEnd"/>
      <w:r w:rsidRPr="00B369EB">
        <w:t xml:space="preserve"> de fecha 01.12.2023 No. 2092);</w:t>
      </w:r>
    </w:p>
    <w:p w14:paraId="25D3BDE7" w14:textId="77777777" w:rsidR="00C03165" w:rsidRPr="00B369EB" w:rsidRDefault="00C03165" w:rsidP="005377CD"/>
    <w:p w14:paraId="47291871" w14:textId="77777777" w:rsidR="007F2C3D" w:rsidRPr="00B369EB" w:rsidRDefault="001C673E">
      <w:pPr>
        <w:pStyle w:val="ListParagraph"/>
        <w:numPr>
          <w:ilvl w:val="0"/>
          <w:numId w:val="13"/>
        </w:numPr>
        <w:ind w:left="360"/>
      </w:pPr>
      <w:r w:rsidRPr="00B369EB">
        <w:t>Metodología para determinar la compatibilidad de las variedades de col japonesa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nipposinica</w:t>
      </w:r>
      <w:proofErr w:type="spellEnd"/>
      <w:r w:rsidRPr="00B369EB">
        <w:t xml:space="preserve"> (L. H. Bailey) </w:t>
      </w:r>
      <w:proofErr w:type="spellStart"/>
      <w:r w:rsidRPr="00B369EB">
        <w:t>Hanelt</w:t>
      </w:r>
      <w:proofErr w:type="spellEnd"/>
      <w:r w:rsidRPr="00B369EB">
        <w:t xml:space="preserve">), col china × col japonesa (híbridos entre </w:t>
      </w:r>
      <w:proofErr w:type="spellStart"/>
      <w:r w:rsidRPr="00B369EB">
        <w:t>Brassica</w:t>
      </w:r>
      <w:proofErr w:type="spellEnd"/>
      <w:r w:rsidRPr="00B369EB">
        <w:t xml:space="preserve"> rapa L. </w:t>
      </w:r>
      <w:proofErr w:type="spellStart"/>
      <w:r w:rsidRPr="00B369EB">
        <w:t>Emend</w:t>
      </w:r>
      <w:proofErr w:type="spellEnd"/>
      <w:r w:rsidRPr="00B369EB">
        <w:t xml:space="preserve">. </w:t>
      </w:r>
      <w:proofErr w:type="spellStart"/>
      <w:r w:rsidRPr="00B369EB">
        <w:t>Metzg</w:t>
      </w:r>
      <w:proofErr w:type="spellEnd"/>
      <w:r w:rsidRPr="00B369EB">
        <w:t xml:space="preserve">. </w:t>
      </w:r>
      <w:proofErr w:type="spellStart"/>
      <w:r w:rsidRPr="00B369EB">
        <w:t>ssp</w:t>
      </w:r>
      <w:proofErr w:type="spellEnd"/>
      <w:r w:rsidRPr="00B369EB">
        <w:t xml:space="preserve">. </w:t>
      </w:r>
      <w:proofErr w:type="spellStart"/>
      <w:r w:rsidRPr="00B369EB">
        <w:t>chinensis</w:t>
      </w:r>
      <w:proofErr w:type="spellEnd"/>
      <w:r w:rsidRPr="00B369EB">
        <w:t xml:space="preserve"> (L.) </w:t>
      </w:r>
      <w:proofErr w:type="spellStart"/>
      <w:r w:rsidRPr="00B369EB">
        <w:t>Hanelt</w:t>
      </w:r>
      <w:proofErr w:type="spellEnd"/>
      <w:r w:rsidRPr="00B369EB">
        <w:t xml:space="preserve"> y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nipposinica</w:t>
      </w:r>
      <w:proofErr w:type="spellEnd"/>
      <w:r w:rsidRPr="00B369EB">
        <w:t xml:space="preserve"> (L. H. Bailey) </w:t>
      </w:r>
      <w:proofErr w:type="spellStart"/>
      <w:r w:rsidRPr="00B369EB">
        <w:t>Hanelt</w:t>
      </w:r>
      <w:proofErr w:type="spellEnd"/>
      <w:r w:rsidRPr="00B369EB">
        <w:t xml:space="preserve">), col japonesa × col de nariz ancha (híbridos entre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nipposinica</w:t>
      </w:r>
      <w:proofErr w:type="spellEnd"/>
      <w:r w:rsidRPr="00B369EB">
        <w:t xml:space="preserve"> (L. H. Bailey) </w:t>
      </w:r>
      <w:proofErr w:type="spellStart"/>
      <w:r w:rsidRPr="00B369EB">
        <w:t>Hanelt</w:t>
      </w:r>
      <w:proofErr w:type="spellEnd"/>
      <w:r w:rsidRPr="00B369EB">
        <w:t xml:space="preserve"> y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narinosa</w:t>
      </w:r>
      <w:proofErr w:type="spellEnd"/>
      <w:r w:rsidRPr="00B369EB">
        <w:t xml:space="preserve"> (L. H. Bailey) </w:t>
      </w:r>
      <w:proofErr w:type="spellStart"/>
      <w:r w:rsidRPr="00B369EB">
        <w:t>Hanelt</w:t>
      </w:r>
      <w:proofErr w:type="spellEnd"/>
      <w:r w:rsidRPr="00B369EB">
        <w:t xml:space="preserve">). col japonesa × nabo (híbridos entre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nipposinica</w:t>
      </w:r>
      <w:proofErr w:type="spellEnd"/>
      <w:r w:rsidRPr="00B369EB">
        <w:t xml:space="preserve"> (L. H. Bailey) </w:t>
      </w:r>
      <w:proofErr w:type="spellStart"/>
      <w:r w:rsidRPr="00B369EB">
        <w:t>Hanelt</w:t>
      </w:r>
      <w:proofErr w:type="spellEnd"/>
      <w:r w:rsidRPr="00B369EB">
        <w:t xml:space="preserve"> y </w:t>
      </w:r>
      <w:proofErr w:type="spellStart"/>
      <w:r w:rsidRPr="00B369EB">
        <w:t>Brassica</w:t>
      </w:r>
      <w:proofErr w:type="spellEnd"/>
      <w:r w:rsidRPr="00B369EB">
        <w:t xml:space="preserve"> rapa L. </w:t>
      </w:r>
      <w:proofErr w:type="spellStart"/>
      <w:r w:rsidRPr="00B369EB">
        <w:t>subsp</w:t>
      </w:r>
      <w:proofErr w:type="spellEnd"/>
      <w:r w:rsidRPr="00B369EB">
        <w:t xml:space="preserve">. Rapa) a los criterios de diferencia, uniformidad y estabilidad (Orden del </w:t>
      </w:r>
      <w:proofErr w:type="spellStart"/>
      <w:r w:rsidRPr="00B369EB">
        <w:t>Minagropolio</w:t>
      </w:r>
      <w:proofErr w:type="spellEnd"/>
      <w:r w:rsidRPr="00B369EB">
        <w:t xml:space="preserve"> de fecha 01.12.2023 </w:t>
      </w:r>
      <w:proofErr w:type="spellStart"/>
      <w:r w:rsidRPr="00B369EB">
        <w:t>nº</w:t>
      </w:r>
      <w:proofErr w:type="spellEnd"/>
      <w:r w:rsidRPr="00B369EB">
        <w:t xml:space="preserve"> 2092);</w:t>
      </w:r>
    </w:p>
    <w:p w14:paraId="0E9B7282" w14:textId="77777777" w:rsidR="00C03165" w:rsidRPr="00B369EB" w:rsidRDefault="00C03165" w:rsidP="005377CD"/>
    <w:p w14:paraId="7C849554" w14:textId="77777777" w:rsidR="007F2C3D" w:rsidRPr="00B369EB" w:rsidRDefault="001C673E">
      <w:pPr>
        <w:pStyle w:val="ListParagraph"/>
        <w:numPr>
          <w:ilvl w:val="0"/>
          <w:numId w:val="13"/>
        </w:numPr>
        <w:ind w:left="360"/>
      </w:pPr>
      <w:r w:rsidRPr="00B369EB">
        <w:t>Metodología para determinar la conformidad de las variedades de juncia de flor grande (</w:t>
      </w:r>
      <w:proofErr w:type="spellStart"/>
      <w:r w:rsidRPr="00B369EB">
        <w:t>Koeleria</w:t>
      </w:r>
      <w:proofErr w:type="spellEnd"/>
      <w:r w:rsidRPr="00B369EB">
        <w:t xml:space="preserve"> </w:t>
      </w:r>
      <w:proofErr w:type="spellStart"/>
      <w:r w:rsidRPr="00B369EB">
        <w:t>macrantha</w:t>
      </w:r>
      <w:proofErr w:type="spellEnd"/>
      <w:r w:rsidRPr="00B369EB">
        <w:t xml:space="preserve"> (</w:t>
      </w:r>
      <w:proofErr w:type="spellStart"/>
      <w:r w:rsidRPr="00B369EB">
        <w:t>Ledeb</w:t>
      </w:r>
      <w:proofErr w:type="spellEnd"/>
      <w:r w:rsidRPr="00B369EB">
        <w:t>.) Schult.) y juncia gris (</w:t>
      </w:r>
      <w:proofErr w:type="spellStart"/>
      <w:r w:rsidRPr="00B369EB">
        <w:t>Koeleria</w:t>
      </w:r>
      <w:proofErr w:type="spellEnd"/>
      <w:r w:rsidRPr="00B369EB">
        <w:t xml:space="preserve"> glauca (</w:t>
      </w:r>
      <w:proofErr w:type="spellStart"/>
      <w:r w:rsidRPr="00B369EB">
        <w:t>Spreng</w:t>
      </w:r>
      <w:proofErr w:type="spellEnd"/>
      <w:r w:rsidRPr="00B369EB">
        <w:t xml:space="preserve">.) DC.) con los criterios de distinción, homogeneidad y estabilidad (orden del </w:t>
      </w:r>
      <w:proofErr w:type="spellStart"/>
      <w:r w:rsidRPr="00B369EB">
        <w:t>Minagropolio</w:t>
      </w:r>
      <w:proofErr w:type="spellEnd"/>
      <w:r w:rsidRPr="00B369EB">
        <w:t xml:space="preserve"> de fecha 01.12.2023 </w:t>
      </w:r>
      <w:proofErr w:type="spellStart"/>
      <w:r w:rsidRPr="00B369EB">
        <w:t>Nº</w:t>
      </w:r>
      <w:proofErr w:type="spellEnd"/>
      <w:r w:rsidRPr="00B369EB">
        <w:t xml:space="preserve"> 2092);</w:t>
      </w:r>
    </w:p>
    <w:p w14:paraId="0561A8E3" w14:textId="77777777" w:rsidR="00C03165" w:rsidRPr="00B369EB" w:rsidRDefault="00C03165" w:rsidP="00356E77"/>
    <w:p w14:paraId="0E98B933" w14:textId="77777777" w:rsidR="007F2C3D" w:rsidRPr="00B369EB" w:rsidRDefault="001C673E">
      <w:pPr>
        <w:pStyle w:val="ListParagraph"/>
        <w:numPr>
          <w:ilvl w:val="0"/>
          <w:numId w:val="13"/>
        </w:numPr>
        <w:ind w:left="360"/>
      </w:pPr>
      <w:r w:rsidRPr="00B369EB">
        <w:t>Metodología para determinar la conformidad de las variedades de sorgo (</w:t>
      </w:r>
      <w:proofErr w:type="spellStart"/>
      <w:r w:rsidRPr="00B369EB">
        <w:t>Sorghum</w:t>
      </w:r>
      <w:proofErr w:type="spellEnd"/>
      <w:r w:rsidRPr="00B369EB">
        <w:t xml:space="preserve"> Moench) con los criterios de distinción, homogeneidad y estabilidad (orden del </w:t>
      </w:r>
      <w:proofErr w:type="spellStart"/>
      <w:r w:rsidRPr="00B369EB">
        <w:t>Minagropolio</w:t>
      </w:r>
      <w:proofErr w:type="spellEnd"/>
      <w:r w:rsidRPr="00B369EB">
        <w:t xml:space="preserve"> de fecha 01.12.2023 </w:t>
      </w:r>
      <w:proofErr w:type="spellStart"/>
      <w:r w:rsidRPr="00B369EB">
        <w:t>nº</w:t>
      </w:r>
      <w:proofErr w:type="spellEnd"/>
      <w:r w:rsidRPr="00B369EB">
        <w:t xml:space="preserve"> 2092).</w:t>
      </w:r>
    </w:p>
    <w:p w14:paraId="14059DDD" w14:textId="77777777" w:rsidR="00C03165" w:rsidRPr="00B369EB" w:rsidRDefault="00C03165" w:rsidP="00356E77"/>
    <w:p w14:paraId="3685F3F0" w14:textId="3DA10D8A" w:rsidR="007F2C3D" w:rsidRPr="00B369EB" w:rsidRDefault="001C673E">
      <w:r w:rsidRPr="00B369EB">
        <w:t>4.2</w:t>
      </w:r>
      <w:r w:rsidR="007C78E0">
        <w:tab/>
      </w:r>
      <w:r w:rsidRPr="00B369EB">
        <w:t>Aprobado</w:t>
      </w:r>
      <w:r w:rsidR="00356E77" w:rsidRPr="00B369EB">
        <w:t>:</w:t>
      </w:r>
    </w:p>
    <w:p w14:paraId="4BEC110F" w14:textId="77777777" w:rsidR="00C03165" w:rsidRPr="00B369EB" w:rsidRDefault="00C03165" w:rsidP="00356E77"/>
    <w:p w14:paraId="3A57423E" w14:textId="77777777" w:rsidR="007F2C3D" w:rsidRPr="00B369EB" w:rsidRDefault="001C673E">
      <w:pPr>
        <w:pStyle w:val="ListParagraph"/>
        <w:numPr>
          <w:ilvl w:val="0"/>
          <w:numId w:val="14"/>
        </w:numPr>
        <w:ind w:left="360"/>
      </w:pPr>
      <w:r w:rsidRPr="00B369EB">
        <w:t xml:space="preserve">Metodología para llevar a cabo un examen de calificación de las obtenciones vegetales para determinar su idoneidad para la distribución en Ucrania (parte general) (Orden del </w:t>
      </w:r>
      <w:proofErr w:type="spellStart"/>
      <w:r w:rsidRPr="00B369EB">
        <w:t>Minagropolicy</w:t>
      </w:r>
      <w:proofErr w:type="spellEnd"/>
      <w:r w:rsidRPr="00B369EB">
        <w:t xml:space="preserve"> de fecha 17 de noviembre de 2023 N.º 2005);</w:t>
      </w:r>
    </w:p>
    <w:p w14:paraId="40951D8A" w14:textId="77777777" w:rsidR="00C03165" w:rsidRPr="00B369EB" w:rsidRDefault="00C03165" w:rsidP="005377CD"/>
    <w:p w14:paraId="339B08E1" w14:textId="77777777" w:rsidR="007F2C3D" w:rsidRPr="00B369EB" w:rsidRDefault="001C673E">
      <w:pPr>
        <w:pStyle w:val="ListParagraph"/>
        <w:numPr>
          <w:ilvl w:val="0"/>
          <w:numId w:val="14"/>
        </w:numPr>
        <w:ind w:left="360"/>
      </w:pPr>
      <w:r w:rsidRPr="00B369EB">
        <w:t>Metodología para determinar la compatibilidad de las variedades de col portuguesa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var</w:t>
      </w:r>
      <w:proofErr w:type="spellEnd"/>
      <w:r w:rsidRPr="00B369EB">
        <w:t xml:space="preserve">. </w:t>
      </w:r>
      <w:proofErr w:type="spellStart"/>
      <w:r w:rsidRPr="00B369EB">
        <w:t>costata</w:t>
      </w:r>
      <w:proofErr w:type="spellEnd"/>
      <w:r w:rsidRPr="00B369EB">
        <w:t xml:space="preserve"> DC.), repollo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convar</w:t>
      </w:r>
      <w:proofErr w:type="spellEnd"/>
      <w:r w:rsidRPr="00B369EB">
        <w:t xml:space="preserve">. </w:t>
      </w:r>
      <w:proofErr w:type="spellStart"/>
      <w:r w:rsidRPr="00B369EB">
        <w:t>acephala</w:t>
      </w:r>
      <w:proofErr w:type="spellEnd"/>
      <w:r w:rsidRPr="00B369EB">
        <w:t xml:space="preserve"> (DC.) </w:t>
      </w:r>
      <w:proofErr w:type="spellStart"/>
      <w:r w:rsidRPr="00B369EB">
        <w:t>Alef</w:t>
      </w:r>
      <w:proofErr w:type="spellEnd"/>
      <w:r w:rsidRPr="00B369EB">
        <w:t xml:space="preserve">. </w:t>
      </w:r>
      <w:proofErr w:type="spellStart"/>
      <w:r w:rsidRPr="00B369EB">
        <w:t>var</w:t>
      </w:r>
      <w:proofErr w:type="spellEnd"/>
      <w:r w:rsidRPr="00B369EB">
        <w:t xml:space="preserve">. </w:t>
      </w:r>
      <w:proofErr w:type="spellStart"/>
      <w:r w:rsidRPr="00B369EB">
        <w:t>medullosa</w:t>
      </w:r>
      <w:proofErr w:type="spellEnd"/>
      <w:r w:rsidRPr="00B369EB">
        <w:t xml:space="preserve"> </w:t>
      </w:r>
      <w:proofErr w:type="spellStart"/>
      <w:r w:rsidRPr="00B369EB">
        <w:t>Thell</w:t>
      </w:r>
      <w:proofErr w:type="spellEnd"/>
      <w:r w:rsidRPr="00B369EB">
        <w:t>.), col rizada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acephala</w:t>
      </w:r>
      <w:proofErr w:type="spellEnd"/>
      <w:r w:rsidRPr="00B369EB">
        <w:t xml:space="preserve"> (DC.) repollo de hoja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convar</w:t>
      </w:r>
      <w:proofErr w:type="spellEnd"/>
      <w:r w:rsidRPr="00B369EB">
        <w:t xml:space="preserve">. </w:t>
      </w:r>
      <w:proofErr w:type="spellStart"/>
      <w:r w:rsidRPr="00B369EB">
        <w:t>acephala</w:t>
      </w:r>
      <w:proofErr w:type="spellEnd"/>
      <w:r w:rsidRPr="00B369EB">
        <w:t>) repollo de hoja (</w:t>
      </w:r>
      <w:proofErr w:type="spellStart"/>
      <w:r w:rsidRPr="00B369EB">
        <w:t>Brassica</w:t>
      </w:r>
      <w:proofErr w:type="spellEnd"/>
      <w:r w:rsidRPr="00B369EB">
        <w:t xml:space="preserve"> </w:t>
      </w:r>
      <w:proofErr w:type="spellStart"/>
      <w:r w:rsidRPr="00B369EB">
        <w:t>oleracea</w:t>
      </w:r>
      <w:proofErr w:type="spellEnd"/>
      <w:r w:rsidRPr="00B369EB">
        <w:t xml:space="preserve"> L.) (</w:t>
      </w:r>
      <w:proofErr w:type="spellStart"/>
      <w:r w:rsidRPr="00B369EB">
        <w:t>var</w:t>
      </w:r>
      <w:proofErr w:type="spellEnd"/>
      <w:r w:rsidRPr="00B369EB">
        <w:t xml:space="preserve">. </w:t>
      </w:r>
      <w:proofErr w:type="spellStart"/>
      <w:r w:rsidRPr="00B369EB">
        <w:t>palmifolia</w:t>
      </w:r>
      <w:proofErr w:type="spellEnd"/>
      <w:r w:rsidRPr="00B369EB">
        <w:t xml:space="preserve"> DC.) criterios de distinción, uniformidad y estabilidad (Orden del </w:t>
      </w:r>
      <w:proofErr w:type="spellStart"/>
      <w:r w:rsidRPr="00B369EB">
        <w:t>Minagropolio</w:t>
      </w:r>
      <w:proofErr w:type="spellEnd"/>
      <w:r w:rsidRPr="00B369EB">
        <w:t xml:space="preserve"> de fecha 17.01.2023 </w:t>
      </w:r>
      <w:proofErr w:type="spellStart"/>
      <w:r w:rsidRPr="00B369EB">
        <w:t>nº</w:t>
      </w:r>
      <w:proofErr w:type="spellEnd"/>
      <w:r w:rsidRPr="00B369EB">
        <w:t xml:space="preserve"> 42);</w:t>
      </w:r>
    </w:p>
    <w:p w14:paraId="5DB08018" w14:textId="77777777" w:rsidR="00C03165" w:rsidRPr="00B369EB" w:rsidRDefault="00C03165" w:rsidP="005377CD"/>
    <w:p w14:paraId="572F092F" w14:textId="77777777" w:rsidR="007F2C3D" w:rsidRPr="00B369EB" w:rsidRDefault="001C673E">
      <w:pPr>
        <w:pStyle w:val="ListParagraph"/>
        <w:numPr>
          <w:ilvl w:val="0"/>
          <w:numId w:val="14"/>
        </w:numPr>
        <w:ind w:left="360"/>
      </w:pPr>
      <w:r w:rsidRPr="00B369EB">
        <w:t>Metodología para determinar la compatibilidad de las variedades de col japonesa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nipposinica</w:t>
      </w:r>
      <w:proofErr w:type="spellEnd"/>
      <w:r w:rsidRPr="00B369EB">
        <w:t xml:space="preserve"> (L. H. Bailey) </w:t>
      </w:r>
      <w:proofErr w:type="spellStart"/>
      <w:r w:rsidRPr="00B369EB">
        <w:t>Hanelt</w:t>
      </w:r>
      <w:proofErr w:type="spellEnd"/>
      <w:r w:rsidRPr="00B369EB">
        <w:t xml:space="preserve">), col china × col japonesa (híbridos entre </w:t>
      </w:r>
      <w:proofErr w:type="spellStart"/>
      <w:r w:rsidRPr="00B369EB">
        <w:t>Brassica</w:t>
      </w:r>
      <w:proofErr w:type="spellEnd"/>
      <w:r w:rsidRPr="00B369EB">
        <w:t xml:space="preserve"> rapa L. </w:t>
      </w:r>
      <w:proofErr w:type="spellStart"/>
      <w:r w:rsidRPr="00B369EB">
        <w:t>Emend</w:t>
      </w:r>
      <w:proofErr w:type="spellEnd"/>
      <w:r w:rsidRPr="00B369EB">
        <w:t xml:space="preserve">. </w:t>
      </w:r>
      <w:proofErr w:type="spellStart"/>
      <w:r w:rsidRPr="00B369EB">
        <w:t>Metzg</w:t>
      </w:r>
      <w:proofErr w:type="spellEnd"/>
      <w:r w:rsidRPr="00B369EB">
        <w:t xml:space="preserve">. </w:t>
      </w:r>
      <w:proofErr w:type="spellStart"/>
      <w:r w:rsidRPr="00B369EB">
        <w:t>ssp</w:t>
      </w:r>
      <w:proofErr w:type="spellEnd"/>
      <w:r w:rsidRPr="00B369EB">
        <w:t xml:space="preserve">. </w:t>
      </w:r>
      <w:proofErr w:type="spellStart"/>
      <w:r w:rsidRPr="00B369EB">
        <w:t>chinensis</w:t>
      </w:r>
      <w:proofErr w:type="spellEnd"/>
      <w:r w:rsidRPr="00B369EB">
        <w:t xml:space="preserve"> (L.) </w:t>
      </w:r>
      <w:proofErr w:type="spellStart"/>
      <w:r w:rsidRPr="00B369EB">
        <w:t>Hanelt</w:t>
      </w:r>
      <w:proofErr w:type="spellEnd"/>
      <w:r w:rsidRPr="00B369EB">
        <w:t xml:space="preserve"> y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nipposinica</w:t>
      </w:r>
      <w:proofErr w:type="spellEnd"/>
      <w:r w:rsidRPr="00B369EB">
        <w:t xml:space="preserve"> (L. H. Bailey) </w:t>
      </w:r>
      <w:proofErr w:type="spellStart"/>
      <w:r w:rsidRPr="00B369EB">
        <w:t>Hanelt</w:t>
      </w:r>
      <w:proofErr w:type="spellEnd"/>
      <w:r w:rsidRPr="00B369EB">
        <w:t xml:space="preserve">), col japonesa × col de nariz ancha (híbridos entre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nipposinica</w:t>
      </w:r>
      <w:proofErr w:type="spellEnd"/>
      <w:r w:rsidRPr="00B369EB">
        <w:t xml:space="preserve"> (L. H. Bailey) </w:t>
      </w:r>
      <w:proofErr w:type="spellStart"/>
      <w:r w:rsidRPr="00B369EB">
        <w:t>Hanelt</w:t>
      </w:r>
      <w:proofErr w:type="spellEnd"/>
      <w:r w:rsidRPr="00B369EB">
        <w:t xml:space="preserve"> y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t>narinosa</w:t>
      </w:r>
      <w:proofErr w:type="spellEnd"/>
      <w:r w:rsidRPr="00B369EB">
        <w:t xml:space="preserve"> (L. H. Bailey) </w:t>
      </w:r>
      <w:proofErr w:type="spellStart"/>
      <w:r w:rsidRPr="00B369EB">
        <w:t>Hanelt</w:t>
      </w:r>
      <w:proofErr w:type="spellEnd"/>
      <w:r w:rsidRPr="00B369EB">
        <w:t xml:space="preserve">), col japonesa × nabos (híbridos entre </w:t>
      </w:r>
      <w:proofErr w:type="spellStart"/>
      <w:r w:rsidRPr="00B369EB">
        <w:t>Brassica</w:t>
      </w:r>
      <w:proofErr w:type="spellEnd"/>
      <w:r w:rsidRPr="00B369EB">
        <w:t xml:space="preserve"> rapa L. </w:t>
      </w:r>
      <w:proofErr w:type="spellStart"/>
      <w:r w:rsidRPr="00B369EB">
        <w:t>subsp</w:t>
      </w:r>
      <w:proofErr w:type="spellEnd"/>
      <w:r w:rsidRPr="00B369EB">
        <w:t xml:space="preserve">. </w:t>
      </w:r>
      <w:proofErr w:type="spellStart"/>
      <w:r w:rsidRPr="00B369EB">
        <w:lastRenderedPageBreak/>
        <w:t>nipposinica</w:t>
      </w:r>
      <w:proofErr w:type="spellEnd"/>
      <w:r w:rsidRPr="00B369EB">
        <w:t xml:space="preserve"> (L. H. Bailey) </w:t>
      </w:r>
      <w:proofErr w:type="spellStart"/>
      <w:r w:rsidRPr="00B369EB">
        <w:t>Hanelt</w:t>
      </w:r>
      <w:proofErr w:type="spellEnd"/>
      <w:r w:rsidRPr="00B369EB">
        <w:t xml:space="preserve"> y </w:t>
      </w:r>
      <w:proofErr w:type="spellStart"/>
      <w:r w:rsidRPr="00B369EB">
        <w:t>Brassica</w:t>
      </w:r>
      <w:proofErr w:type="spellEnd"/>
      <w:r w:rsidRPr="00B369EB">
        <w:t xml:space="preserve"> rapa L. </w:t>
      </w:r>
      <w:proofErr w:type="spellStart"/>
      <w:r w:rsidRPr="00B369EB">
        <w:t>subsp</w:t>
      </w:r>
      <w:proofErr w:type="spellEnd"/>
      <w:r w:rsidRPr="00B369EB">
        <w:t xml:space="preserve">. Rapa) a los criterios de diferencia, homogeneidad y estabilidad (Orden del </w:t>
      </w:r>
      <w:proofErr w:type="spellStart"/>
      <w:r w:rsidRPr="00B369EB">
        <w:t>Minagropolio</w:t>
      </w:r>
      <w:proofErr w:type="spellEnd"/>
      <w:r w:rsidRPr="00B369EB">
        <w:t xml:space="preserve"> de fecha 02.03.2023 No. 133);</w:t>
      </w:r>
    </w:p>
    <w:p w14:paraId="42804291" w14:textId="77777777" w:rsidR="00C03165" w:rsidRPr="00B369EB" w:rsidRDefault="00C03165" w:rsidP="005377CD"/>
    <w:p w14:paraId="4D867D22" w14:textId="77777777" w:rsidR="007F2C3D" w:rsidRPr="00B369EB" w:rsidRDefault="001C673E">
      <w:pPr>
        <w:pStyle w:val="ListParagraph"/>
        <w:numPr>
          <w:ilvl w:val="0"/>
          <w:numId w:val="14"/>
        </w:numPr>
        <w:ind w:left="360"/>
      </w:pPr>
      <w:r w:rsidRPr="00B369EB">
        <w:t>Metodología para determinar la conformidad de las variedades de tojo de flor grande (</w:t>
      </w:r>
      <w:proofErr w:type="spellStart"/>
      <w:r w:rsidRPr="00B369EB">
        <w:t>Koeleria</w:t>
      </w:r>
      <w:proofErr w:type="spellEnd"/>
      <w:r w:rsidRPr="00B369EB">
        <w:t xml:space="preserve"> </w:t>
      </w:r>
      <w:proofErr w:type="spellStart"/>
      <w:r w:rsidRPr="00B369EB">
        <w:t>macrantha</w:t>
      </w:r>
      <w:proofErr w:type="spellEnd"/>
      <w:r w:rsidRPr="00B369EB">
        <w:t xml:space="preserve"> (</w:t>
      </w:r>
      <w:proofErr w:type="spellStart"/>
      <w:r w:rsidRPr="00B369EB">
        <w:t>Ledeb</w:t>
      </w:r>
      <w:proofErr w:type="spellEnd"/>
      <w:r w:rsidRPr="00B369EB">
        <w:t>.) Schult.) y tojo gris (</w:t>
      </w:r>
      <w:proofErr w:type="spellStart"/>
      <w:r w:rsidRPr="00B369EB">
        <w:t>Koeleria</w:t>
      </w:r>
      <w:proofErr w:type="spellEnd"/>
      <w:r w:rsidRPr="00B369EB">
        <w:t xml:space="preserve"> glauca (</w:t>
      </w:r>
      <w:proofErr w:type="spellStart"/>
      <w:r w:rsidRPr="00B369EB">
        <w:t>Spreng</w:t>
      </w:r>
      <w:proofErr w:type="spellEnd"/>
      <w:r w:rsidRPr="00B369EB">
        <w:t xml:space="preserve">.) DC.) con los criterios de distinción, homogeneidad y estabilidad (Orden del </w:t>
      </w:r>
      <w:proofErr w:type="spellStart"/>
      <w:r w:rsidRPr="00B369EB">
        <w:t>Minagropolio</w:t>
      </w:r>
      <w:proofErr w:type="spellEnd"/>
      <w:r w:rsidRPr="00B369EB">
        <w:t xml:space="preserve"> de fecha 14.02.2023 </w:t>
      </w:r>
      <w:proofErr w:type="spellStart"/>
      <w:r w:rsidRPr="00B369EB">
        <w:t>Nº</w:t>
      </w:r>
      <w:proofErr w:type="spellEnd"/>
      <w:r w:rsidRPr="00B369EB">
        <w:t xml:space="preserve"> 190);</w:t>
      </w:r>
    </w:p>
    <w:p w14:paraId="3B7B4DA1" w14:textId="77777777" w:rsidR="00C03165" w:rsidRPr="00B369EB" w:rsidRDefault="00C03165" w:rsidP="005377CD"/>
    <w:p w14:paraId="045DEFE2" w14:textId="77777777" w:rsidR="007F2C3D" w:rsidRPr="00B369EB" w:rsidRDefault="001C673E">
      <w:pPr>
        <w:pStyle w:val="ListParagraph"/>
        <w:numPr>
          <w:ilvl w:val="0"/>
          <w:numId w:val="14"/>
        </w:numPr>
        <w:ind w:left="360"/>
      </w:pPr>
      <w:r w:rsidRPr="00B369EB">
        <w:t>Metodología para determinar la conformidad de las variedades de sorgo (</w:t>
      </w:r>
      <w:proofErr w:type="spellStart"/>
      <w:r w:rsidRPr="00B369EB">
        <w:t>Sorghum</w:t>
      </w:r>
      <w:proofErr w:type="spellEnd"/>
      <w:r w:rsidRPr="00B369EB">
        <w:t xml:space="preserve"> Moench) con los criterios de distinción, homogeneidad y estabilidad (Orden del </w:t>
      </w:r>
      <w:proofErr w:type="spellStart"/>
      <w:r w:rsidRPr="00B369EB">
        <w:t>Minagropolio</w:t>
      </w:r>
      <w:proofErr w:type="spellEnd"/>
      <w:r w:rsidRPr="00B369EB">
        <w:t xml:space="preserve"> de fecha 10.03.2023 </w:t>
      </w:r>
      <w:proofErr w:type="spellStart"/>
      <w:r w:rsidRPr="00B369EB">
        <w:t>Nº</w:t>
      </w:r>
      <w:proofErr w:type="spellEnd"/>
      <w:r w:rsidRPr="00B369EB">
        <w:t xml:space="preserve"> 422);</w:t>
      </w:r>
    </w:p>
    <w:p w14:paraId="22C87523" w14:textId="77777777" w:rsidR="00C03165" w:rsidRPr="00B369EB" w:rsidRDefault="00C03165" w:rsidP="005377CD"/>
    <w:p w14:paraId="7F4296DA" w14:textId="77777777" w:rsidR="007F2C3D" w:rsidRPr="00B369EB" w:rsidRDefault="001C673E">
      <w:pPr>
        <w:pStyle w:val="ListParagraph"/>
        <w:numPr>
          <w:ilvl w:val="0"/>
          <w:numId w:val="14"/>
        </w:numPr>
        <w:ind w:left="360"/>
      </w:pPr>
      <w:r w:rsidRPr="00B369EB">
        <w:t xml:space="preserve">Metodología para determinar la idoneidad de las variedades de </w:t>
      </w:r>
      <w:proofErr w:type="spellStart"/>
      <w:r w:rsidRPr="00B369EB">
        <w:t>festuca</w:t>
      </w:r>
      <w:proofErr w:type="spellEnd"/>
      <w:r w:rsidRPr="00B369EB">
        <w:t xml:space="preserve"> roja (</w:t>
      </w:r>
      <w:proofErr w:type="spellStart"/>
      <w:r w:rsidRPr="00B369EB">
        <w:t>Festuca</w:t>
      </w:r>
      <w:proofErr w:type="spellEnd"/>
      <w:r w:rsidRPr="00B369EB">
        <w:t xml:space="preserve"> rubra L.), </w:t>
      </w:r>
      <w:proofErr w:type="spellStart"/>
      <w:r w:rsidRPr="00B369EB">
        <w:t>festuca</w:t>
      </w:r>
      <w:proofErr w:type="spellEnd"/>
      <w:r w:rsidRPr="00B369EB">
        <w:t xml:space="preserve"> ovina (</w:t>
      </w:r>
      <w:proofErr w:type="spellStart"/>
      <w:r w:rsidRPr="00B369EB">
        <w:t>Festuca</w:t>
      </w:r>
      <w:proofErr w:type="spellEnd"/>
      <w:r w:rsidRPr="00B369EB">
        <w:t xml:space="preserve"> ovina L.), </w:t>
      </w:r>
      <w:proofErr w:type="spellStart"/>
      <w:r w:rsidRPr="00B369EB">
        <w:t>festuca</w:t>
      </w:r>
      <w:proofErr w:type="spellEnd"/>
      <w:r w:rsidRPr="00B369EB">
        <w:t xml:space="preserve"> de hoja fina (</w:t>
      </w:r>
      <w:proofErr w:type="spellStart"/>
      <w:r w:rsidRPr="00B369EB">
        <w:t>Festuca</w:t>
      </w:r>
      <w:proofErr w:type="spellEnd"/>
      <w:r w:rsidRPr="00B369EB">
        <w:t xml:space="preserve"> </w:t>
      </w:r>
      <w:proofErr w:type="spellStart"/>
      <w:r w:rsidRPr="00B369EB">
        <w:t>filiformis</w:t>
      </w:r>
      <w:proofErr w:type="spellEnd"/>
      <w:r w:rsidRPr="00B369EB">
        <w:t xml:space="preserve"> </w:t>
      </w:r>
      <w:proofErr w:type="spellStart"/>
      <w:r w:rsidRPr="00B369EB">
        <w:t>Pourr</w:t>
      </w:r>
      <w:proofErr w:type="spellEnd"/>
      <w:r w:rsidRPr="00B369EB">
        <w:t xml:space="preserve">.), </w:t>
      </w:r>
      <w:proofErr w:type="spellStart"/>
      <w:r w:rsidRPr="00B369EB">
        <w:t>festuca</w:t>
      </w:r>
      <w:proofErr w:type="spellEnd"/>
      <w:r w:rsidRPr="00B369EB">
        <w:t xml:space="preserve"> rugosa (</w:t>
      </w:r>
      <w:proofErr w:type="spellStart"/>
      <w:r w:rsidRPr="00B369EB">
        <w:t>Festuca</w:t>
      </w:r>
      <w:proofErr w:type="spellEnd"/>
      <w:r w:rsidRPr="00B369EB">
        <w:t xml:space="preserve"> </w:t>
      </w:r>
      <w:proofErr w:type="spellStart"/>
      <w:r w:rsidRPr="00B369EB">
        <w:t>brevipila</w:t>
      </w:r>
      <w:proofErr w:type="spellEnd"/>
      <w:r w:rsidRPr="00B369EB">
        <w:t xml:space="preserve"> R. </w:t>
      </w:r>
      <w:proofErr w:type="spellStart"/>
      <w:r w:rsidRPr="00B369EB">
        <w:t>Tracey</w:t>
      </w:r>
      <w:proofErr w:type="spellEnd"/>
      <w:r w:rsidRPr="00B369EB">
        <w:t xml:space="preserve">), </w:t>
      </w:r>
      <w:proofErr w:type="spellStart"/>
      <w:r w:rsidRPr="00B369EB">
        <w:t>festuca</w:t>
      </w:r>
      <w:proofErr w:type="spellEnd"/>
      <w:r w:rsidRPr="00B369EB">
        <w:t xml:space="preserve"> variegada (</w:t>
      </w:r>
      <w:proofErr w:type="spellStart"/>
      <w:r w:rsidRPr="00B369EB">
        <w:t>Festuca</w:t>
      </w:r>
      <w:proofErr w:type="spellEnd"/>
      <w:r w:rsidRPr="00B369EB">
        <w:t xml:space="preserve"> </w:t>
      </w:r>
      <w:proofErr w:type="spellStart"/>
      <w:r w:rsidRPr="00B369EB">
        <w:t>heterophylla</w:t>
      </w:r>
      <w:proofErr w:type="spellEnd"/>
      <w:r w:rsidRPr="00B369EB">
        <w:t xml:space="preserve"> Lam. ), </w:t>
      </w:r>
      <w:proofErr w:type="spellStart"/>
      <w:r w:rsidRPr="00B369EB">
        <w:t>festuca</w:t>
      </w:r>
      <w:proofErr w:type="spellEnd"/>
      <w:r w:rsidRPr="00B369EB">
        <w:t xml:space="preserve"> (</w:t>
      </w:r>
      <w:proofErr w:type="spellStart"/>
      <w:r w:rsidRPr="00B369EB">
        <w:t>Festuca</w:t>
      </w:r>
      <w:proofErr w:type="spellEnd"/>
      <w:r w:rsidRPr="00B369EB">
        <w:t xml:space="preserve"> </w:t>
      </w:r>
      <w:proofErr w:type="spellStart"/>
      <w:r w:rsidRPr="00B369EB">
        <w:t>pseudovina</w:t>
      </w:r>
      <w:proofErr w:type="spellEnd"/>
      <w:r w:rsidRPr="00B369EB">
        <w:t xml:space="preserve"> </w:t>
      </w:r>
      <w:proofErr w:type="spellStart"/>
      <w:r w:rsidRPr="00B369EB">
        <w:t>Hack</w:t>
      </w:r>
      <w:proofErr w:type="spellEnd"/>
      <w:r w:rsidRPr="00B369EB">
        <w:t xml:space="preserve">. ex </w:t>
      </w:r>
      <w:proofErr w:type="spellStart"/>
      <w:r w:rsidRPr="00B369EB">
        <w:t>Wiesb</w:t>
      </w:r>
      <w:proofErr w:type="spellEnd"/>
      <w:r w:rsidRPr="00B369EB">
        <w:t xml:space="preserve">.), </w:t>
      </w:r>
      <w:proofErr w:type="spellStart"/>
      <w:r w:rsidRPr="00B369EB">
        <w:t>festuca</w:t>
      </w:r>
      <w:proofErr w:type="spellEnd"/>
      <w:r w:rsidRPr="00B369EB">
        <w:t xml:space="preserve"> roja (</w:t>
      </w:r>
      <w:proofErr w:type="spellStart"/>
      <w:r w:rsidRPr="00B369EB">
        <w:t>Festuca</w:t>
      </w:r>
      <w:proofErr w:type="spellEnd"/>
      <w:r w:rsidRPr="00B369EB">
        <w:t xml:space="preserve"> rubra </w:t>
      </w:r>
      <w:proofErr w:type="spellStart"/>
      <w:r w:rsidRPr="00B369EB">
        <w:t>var</w:t>
      </w:r>
      <w:proofErr w:type="spellEnd"/>
      <w:r w:rsidRPr="00B369EB">
        <w:t xml:space="preserve">. </w:t>
      </w:r>
      <w:proofErr w:type="spellStart"/>
      <w:r w:rsidRPr="00B369EB">
        <w:t>commutata</w:t>
      </w:r>
      <w:proofErr w:type="spellEnd"/>
      <w:r w:rsidRPr="00B369EB">
        <w:t xml:space="preserve"> </w:t>
      </w:r>
      <w:proofErr w:type="spellStart"/>
      <w:r w:rsidRPr="00B369EB">
        <w:t>Gaudin</w:t>
      </w:r>
      <w:proofErr w:type="spellEnd"/>
      <w:r w:rsidRPr="00B369EB">
        <w:t xml:space="preserve">.), </w:t>
      </w:r>
      <w:proofErr w:type="spellStart"/>
      <w:r w:rsidRPr="00B369EB">
        <w:t>festuca</w:t>
      </w:r>
      <w:proofErr w:type="spellEnd"/>
      <w:r w:rsidRPr="00B369EB">
        <w:t xml:space="preserve"> surcada (</w:t>
      </w:r>
      <w:proofErr w:type="spellStart"/>
      <w:r w:rsidRPr="00B369EB">
        <w:t>Festuca</w:t>
      </w:r>
      <w:proofErr w:type="spellEnd"/>
      <w:r w:rsidRPr="00B369EB">
        <w:t xml:space="preserve"> </w:t>
      </w:r>
      <w:proofErr w:type="spellStart"/>
      <w:r w:rsidRPr="00B369EB">
        <w:t>rupicola</w:t>
      </w:r>
      <w:proofErr w:type="spellEnd"/>
      <w:r w:rsidRPr="00B369EB">
        <w:t xml:space="preserve"> </w:t>
      </w:r>
      <w:proofErr w:type="spellStart"/>
      <w:r w:rsidRPr="00B369EB">
        <w:t>Heuff</w:t>
      </w:r>
      <w:proofErr w:type="spellEnd"/>
      <w:r w:rsidRPr="00B369EB">
        <w:t xml:space="preserve">.), </w:t>
      </w:r>
      <w:proofErr w:type="spellStart"/>
      <w:r w:rsidRPr="00B369EB">
        <w:t>festuca</w:t>
      </w:r>
      <w:proofErr w:type="spellEnd"/>
      <w:r w:rsidRPr="00B369EB">
        <w:t xml:space="preserve"> galesa (</w:t>
      </w:r>
      <w:proofErr w:type="spellStart"/>
      <w:r w:rsidRPr="00B369EB">
        <w:t>Festuca</w:t>
      </w:r>
      <w:proofErr w:type="spellEnd"/>
      <w:r w:rsidRPr="00B369EB">
        <w:t xml:space="preserve"> </w:t>
      </w:r>
      <w:proofErr w:type="spellStart"/>
      <w:r w:rsidRPr="00B369EB">
        <w:t>valesiaca</w:t>
      </w:r>
      <w:proofErr w:type="spellEnd"/>
      <w:r w:rsidRPr="00B369EB">
        <w:t xml:space="preserve"> </w:t>
      </w:r>
      <w:proofErr w:type="spellStart"/>
      <w:r w:rsidRPr="00B369EB">
        <w:t>Schleinch</w:t>
      </w:r>
      <w:proofErr w:type="spellEnd"/>
      <w:r w:rsidRPr="00B369EB">
        <w:t xml:space="preserve">. ex </w:t>
      </w:r>
      <w:proofErr w:type="spellStart"/>
      <w:r w:rsidRPr="00B369EB">
        <w:t>Gaudin</w:t>
      </w:r>
      <w:proofErr w:type="spellEnd"/>
      <w:r w:rsidRPr="00B369EB">
        <w:t xml:space="preserve">.), </w:t>
      </w:r>
      <w:proofErr w:type="spellStart"/>
      <w:r w:rsidRPr="00B369EB">
        <w:t>festuca</w:t>
      </w:r>
      <w:proofErr w:type="spellEnd"/>
      <w:r w:rsidRPr="00B369EB">
        <w:t xml:space="preserve"> roja </w:t>
      </w:r>
      <w:proofErr w:type="spellStart"/>
      <w:r w:rsidRPr="00B369EB">
        <w:t>roja</w:t>
      </w:r>
      <w:proofErr w:type="spellEnd"/>
      <w:r w:rsidRPr="00B369EB">
        <w:t xml:space="preserve"> (</w:t>
      </w:r>
      <w:proofErr w:type="spellStart"/>
      <w:r w:rsidRPr="00B369EB">
        <w:t>Festuca</w:t>
      </w:r>
      <w:proofErr w:type="spellEnd"/>
      <w:r w:rsidRPr="00B369EB">
        <w:t xml:space="preserve"> rubra L. </w:t>
      </w:r>
      <w:proofErr w:type="spellStart"/>
      <w:r w:rsidRPr="00B369EB">
        <w:t>subsp</w:t>
      </w:r>
      <w:proofErr w:type="spellEnd"/>
      <w:r w:rsidRPr="00B369EB">
        <w:t xml:space="preserve">. rubra) criterios de distinción, homogeneidad y estabilidad (Orden del </w:t>
      </w:r>
      <w:proofErr w:type="spellStart"/>
      <w:r w:rsidRPr="00B369EB">
        <w:t>Minagropolígono</w:t>
      </w:r>
      <w:proofErr w:type="spellEnd"/>
      <w:r w:rsidRPr="00B369EB">
        <w:t xml:space="preserve"> del 17.03.2023 </w:t>
      </w:r>
      <w:proofErr w:type="spellStart"/>
      <w:r w:rsidRPr="00B369EB">
        <w:t>n°</w:t>
      </w:r>
      <w:proofErr w:type="spellEnd"/>
      <w:r w:rsidRPr="00B369EB">
        <w:t xml:space="preserve"> 530);</w:t>
      </w:r>
    </w:p>
    <w:p w14:paraId="38A232EA" w14:textId="77777777" w:rsidR="00C03165" w:rsidRPr="00B369EB" w:rsidRDefault="00C03165" w:rsidP="005377CD"/>
    <w:p w14:paraId="41880F74" w14:textId="77777777" w:rsidR="007F2C3D" w:rsidRPr="00B369EB" w:rsidRDefault="001C673E">
      <w:pPr>
        <w:pStyle w:val="ListParagraph"/>
        <w:numPr>
          <w:ilvl w:val="0"/>
          <w:numId w:val="14"/>
        </w:numPr>
        <w:ind w:left="360"/>
      </w:pPr>
      <w:r w:rsidRPr="00B369EB">
        <w:t xml:space="preserve">Metodología para determinar la conformidad de las variedades del género rosa (Rosa L.) con los criterios de distinción, homogeneidad y estabilidad (orden del </w:t>
      </w:r>
      <w:proofErr w:type="spellStart"/>
      <w:r w:rsidRPr="00B369EB">
        <w:t>Minagropolio</w:t>
      </w:r>
      <w:proofErr w:type="spellEnd"/>
      <w:r w:rsidRPr="00B369EB">
        <w:t xml:space="preserve"> de fecha 29.03.2023 </w:t>
      </w:r>
      <w:proofErr w:type="spellStart"/>
      <w:r w:rsidRPr="00B369EB">
        <w:t>Nº</w:t>
      </w:r>
      <w:proofErr w:type="spellEnd"/>
      <w:r w:rsidRPr="00B369EB">
        <w:t xml:space="preserve"> 667);</w:t>
      </w:r>
    </w:p>
    <w:p w14:paraId="1BC5A3D1" w14:textId="77777777" w:rsidR="00C03165" w:rsidRPr="00B369EB" w:rsidRDefault="00C03165" w:rsidP="005377CD"/>
    <w:p w14:paraId="082A5821" w14:textId="77777777" w:rsidR="007F2C3D" w:rsidRPr="00B369EB" w:rsidRDefault="001C673E">
      <w:pPr>
        <w:pStyle w:val="ListParagraph"/>
        <w:numPr>
          <w:ilvl w:val="0"/>
          <w:numId w:val="14"/>
        </w:numPr>
        <w:ind w:left="360"/>
      </w:pPr>
      <w:r w:rsidRPr="00B369EB">
        <w:t>Metodología para determinar la conformidad de las variedades de soja cultivada (</w:t>
      </w:r>
      <w:proofErr w:type="spellStart"/>
      <w:r w:rsidRPr="00B369EB">
        <w:t>Glucine</w:t>
      </w:r>
      <w:proofErr w:type="spellEnd"/>
      <w:r w:rsidRPr="00B369EB">
        <w:t xml:space="preserve"> </w:t>
      </w:r>
      <w:proofErr w:type="spellStart"/>
      <w:r w:rsidRPr="00B369EB">
        <w:t>max</w:t>
      </w:r>
      <w:proofErr w:type="spellEnd"/>
      <w:r w:rsidRPr="00B369EB">
        <w:t xml:space="preserve"> (L.) </w:t>
      </w:r>
      <w:proofErr w:type="spellStart"/>
      <w:r w:rsidRPr="00B369EB">
        <w:t>Merr</w:t>
      </w:r>
      <w:proofErr w:type="spellEnd"/>
      <w:r w:rsidRPr="00B369EB">
        <w:t xml:space="preserve">.) con los criterios de distinción, homogeneidad y estabilidad (orden del </w:t>
      </w:r>
      <w:proofErr w:type="spellStart"/>
      <w:r w:rsidRPr="00B369EB">
        <w:t>Minagropolio</w:t>
      </w:r>
      <w:proofErr w:type="spellEnd"/>
      <w:r w:rsidRPr="00B369EB">
        <w:t xml:space="preserve"> de fecha 02.10.2023 </w:t>
      </w:r>
      <w:proofErr w:type="spellStart"/>
      <w:r w:rsidRPr="00B369EB">
        <w:t>Nº</w:t>
      </w:r>
      <w:proofErr w:type="spellEnd"/>
      <w:r w:rsidRPr="00B369EB">
        <w:t xml:space="preserve"> 1745);</w:t>
      </w:r>
    </w:p>
    <w:p w14:paraId="5B839D3D" w14:textId="77777777" w:rsidR="00C03165" w:rsidRPr="00B369EB" w:rsidRDefault="00C03165" w:rsidP="005377CD"/>
    <w:p w14:paraId="6334104A" w14:textId="77777777" w:rsidR="007F2C3D" w:rsidRPr="00B369EB" w:rsidRDefault="001C673E">
      <w:pPr>
        <w:pStyle w:val="ListParagraph"/>
        <w:numPr>
          <w:ilvl w:val="0"/>
          <w:numId w:val="14"/>
        </w:numPr>
        <w:ind w:left="360"/>
      </w:pPr>
      <w:r w:rsidRPr="00B369EB">
        <w:t>Metodología para determinar la conformidad de las variedades de trébol rojo (</w:t>
      </w:r>
      <w:proofErr w:type="spellStart"/>
      <w:r w:rsidRPr="00B369EB">
        <w:t>Trifolium</w:t>
      </w:r>
      <w:proofErr w:type="spellEnd"/>
      <w:r w:rsidRPr="00B369EB">
        <w:t xml:space="preserve"> pratense L.) con los criterios de distinción, homogeneidad y estabilidad (orden del </w:t>
      </w:r>
      <w:proofErr w:type="spellStart"/>
      <w:r w:rsidRPr="00B369EB">
        <w:t>Minagropolio</w:t>
      </w:r>
      <w:proofErr w:type="spellEnd"/>
      <w:r w:rsidRPr="00B369EB">
        <w:t xml:space="preserve"> de fecha 02.10.2023 </w:t>
      </w:r>
      <w:proofErr w:type="spellStart"/>
      <w:r w:rsidRPr="00B369EB">
        <w:t>Nº</w:t>
      </w:r>
      <w:proofErr w:type="spellEnd"/>
      <w:r w:rsidRPr="00B369EB">
        <w:t xml:space="preserve"> 1747);</w:t>
      </w:r>
    </w:p>
    <w:p w14:paraId="5F61CCA2" w14:textId="77777777" w:rsidR="00C03165" w:rsidRPr="00B369EB" w:rsidRDefault="00C03165" w:rsidP="005377CD"/>
    <w:p w14:paraId="45F45651" w14:textId="77777777" w:rsidR="007F2C3D" w:rsidRPr="00B369EB" w:rsidRDefault="001C673E">
      <w:pPr>
        <w:pStyle w:val="ListParagraph"/>
        <w:numPr>
          <w:ilvl w:val="0"/>
          <w:numId w:val="14"/>
        </w:numPr>
        <w:ind w:left="360"/>
      </w:pPr>
      <w:r w:rsidRPr="00B369EB">
        <w:t xml:space="preserve">Metodología para determinar la conformidad de las variedades de </w:t>
      </w:r>
      <w:proofErr w:type="spellStart"/>
      <w:r w:rsidRPr="00B369EB">
        <w:t>viburnum</w:t>
      </w:r>
      <w:proofErr w:type="spellEnd"/>
      <w:r w:rsidRPr="00B369EB">
        <w:t xml:space="preserve"> (</w:t>
      </w:r>
      <w:proofErr w:type="spellStart"/>
      <w:r w:rsidRPr="00B369EB">
        <w:t>Viburnum</w:t>
      </w:r>
      <w:proofErr w:type="spellEnd"/>
      <w:r w:rsidRPr="00B369EB">
        <w:t xml:space="preserve"> </w:t>
      </w:r>
      <w:proofErr w:type="spellStart"/>
      <w:r w:rsidRPr="00B369EB">
        <w:t>opulus</w:t>
      </w:r>
      <w:proofErr w:type="spellEnd"/>
      <w:r w:rsidRPr="00B369EB">
        <w:t xml:space="preserve"> L.) con los criterios de distinción, homogeneidad y estabilidad (orden del </w:t>
      </w:r>
      <w:proofErr w:type="spellStart"/>
      <w:r w:rsidRPr="00B369EB">
        <w:t>Minagropolio</w:t>
      </w:r>
      <w:proofErr w:type="spellEnd"/>
      <w:r w:rsidRPr="00B369EB">
        <w:t xml:space="preserve"> de fecha 04.10.2023 </w:t>
      </w:r>
      <w:proofErr w:type="spellStart"/>
      <w:r w:rsidRPr="00B369EB">
        <w:t>Nº</w:t>
      </w:r>
      <w:proofErr w:type="spellEnd"/>
      <w:r w:rsidRPr="00B369EB">
        <w:t xml:space="preserve"> 1754);</w:t>
      </w:r>
    </w:p>
    <w:p w14:paraId="49A037BE" w14:textId="77777777" w:rsidR="00C03165" w:rsidRPr="00B369EB" w:rsidRDefault="00C03165" w:rsidP="005377CD"/>
    <w:p w14:paraId="22875775" w14:textId="77777777" w:rsidR="007F2C3D" w:rsidRPr="00B369EB" w:rsidRDefault="001C673E">
      <w:pPr>
        <w:pStyle w:val="ListParagraph"/>
        <w:numPr>
          <w:ilvl w:val="0"/>
          <w:numId w:val="14"/>
        </w:numPr>
        <w:ind w:left="360"/>
      </w:pPr>
      <w:r w:rsidRPr="00B369EB">
        <w:t>Metodología para determinar la conformidad de las variedades de patata (</w:t>
      </w:r>
      <w:proofErr w:type="spellStart"/>
      <w:r w:rsidRPr="00B369EB">
        <w:t>Solanum</w:t>
      </w:r>
      <w:proofErr w:type="spellEnd"/>
      <w:r w:rsidRPr="00B369EB">
        <w:t xml:space="preserve"> </w:t>
      </w:r>
      <w:proofErr w:type="spellStart"/>
      <w:r w:rsidRPr="00B369EB">
        <w:t>tuberosum</w:t>
      </w:r>
      <w:proofErr w:type="spellEnd"/>
      <w:r w:rsidRPr="00B369EB">
        <w:t xml:space="preserve"> L.) con los criterios de distinción, homogeneidad y estabilidad (orden del </w:t>
      </w:r>
      <w:proofErr w:type="spellStart"/>
      <w:r w:rsidRPr="00B369EB">
        <w:t>Minagropolio</w:t>
      </w:r>
      <w:proofErr w:type="spellEnd"/>
      <w:r w:rsidRPr="00B369EB">
        <w:t xml:space="preserve"> de 06.10.2023 </w:t>
      </w:r>
      <w:proofErr w:type="spellStart"/>
      <w:r w:rsidRPr="00B369EB">
        <w:t>nº</w:t>
      </w:r>
      <w:proofErr w:type="spellEnd"/>
      <w:r w:rsidRPr="00B369EB">
        <w:t xml:space="preserve"> 1772).</w:t>
      </w:r>
    </w:p>
    <w:p w14:paraId="3D32D867" w14:textId="77777777" w:rsidR="00C03165" w:rsidRPr="00B369EB" w:rsidRDefault="00C03165" w:rsidP="00356E77"/>
    <w:p w14:paraId="62A4CA65" w14:textId="77777777" w:rsidR="007F2C3D" w:rsidRPr="00B369EB" w:rsidRDefault="001C673E">
      <w:r w:rsidRPr="00B369EB">
        <w:t>5.</w:t>
      </w:r>
      <w:r w:rsidR="005377CD" w:rsidRPr="00B369EB">
        <w:tab/>
      </w:r>
      <w:r w:rsidRPr="00B369EB">
        <w:rPr>
          <w:u w:val="single"/>
        </w:rPr>
        <w:t>Actividades de fomento de la protección de las obtenciones vegetales</w:t>
      </w:r>
    </w:p>
    <w:p w14:paraId="66F582DE" w14:textId="77777777" w:rsidR="00C03165" w:rsidRPr="00B369EB" w:rsidRDefault="00C03165" w:rsidP="00356E77"/>
    <w:p w14:paraId="73AA7A5A" w14:textId="77777777" w:rsidR="007F2C3D" w:rsidRPr="00B369EB" w:rsidRDefault="001C673E">
      <w:r w:rsidRPr="00B369EB">
        <w:t xml:space="preserve">[El Apéndice contiene] </w:t>
      </w:r>
      <w:r w:rsidR="00356E77" w:rsidRPr="00B369EB">
        <w:t>información sobre las actividades de promoción de la protección de las obtenciones vegetales y publicaciones en el ámbito de la protección de los derechos de obtentor en formato electrónico.</w:t>
      </w:r>
    </w:p>
    <w:p w14:paraId="6E24CAA0" w14:textId="77777777" w:rsidR="00C03165" w:rsidRPr="00B369EB" w:rsidRDefault="00C03165" w:rsidP="00356E77"/>
    <w:p w14:paraId="147E46C0" w14:textId="77777777" w:rsidR="005377CD" w:rsidRPr="00B369EB" w:rsidRDefault="005377CD" w:rsidP="00356E77"/>
    <w:p w14:paraId="4B6CF982" w14:textId="77777777" w:rsidR="007F2C3D" w:rsidRPr="00B369EB" w:rsidRDefault="001C673E">
      <w:r w:rsidRPr="00B369EB">
        <w:t>ІІ.</w:t>
      </w:r>
      <w:r w:rsidR="005377CD" w:rsidRPr="00B369EB">
        <w:tab/>
      </w:r>
      <w:r w:rsidRPr="00B369EB">
        <w:t>OTROS ACONTECIMIENTOS DE INTERÉS PARA LA UPOV</w:t>
      </w:r>
    </w:p>
    <w:p w14:paraId="2EACCE30" w14:textId="77777777" w:rsidR="00C03165" w:rsidRPr="00B369EB" w:rsidRDefault="00C03165" w:rsidP="00356E77"/>
    <w:p w14:paraId="366ED8BC" w14:textId="77777777" w:rsidR="007F2C3D" w:rsidRPr="00B369EB" w:rsidRDefault="001C673E">
      <w:r w:rsidRPr="00B369EB">
        <w:t xml:space="preserve">La información estadística sobre la protección de las obtenciones vegetales en Ucrania para 2023 fue transmitida por carta del </w:t>
      </w:r>
      <w:proofErr w:type="spellStart"/>
      <w:r w:rsidRPr="00B369EB">
        <w:t>Minagropolicy</w:t>
      </w:r>
      <w:proofErr w:type="spellEnd"/>
      <w:r w:rsidRPr="00B369EB">
        <w:t xml:space="preserve"> de fecha 19 de abril de 2024 No № 21-1331-06.1/11064 y en formato electrónico al е-mail: </w:t>
      </w:r>
      <w:r w:rsidR="005377CD" w:rsidRPr="00B369EB">
        <w:t>upov.mail@upov.int.</w:t>
      </w:r>
    </w:p>
    <w:p w14:paraId="557D8135" w14:textId="77777777" w:rsidR="005377CD" w:rsidRPr="00B369EB" w:rsidRDefault="005377CD" w:rsidP="00356E77"/>
    <w:p w14:paraId="4AD2B116" w14:textId="77777777" w:rsidR="005377CD" w:rsidRPr="00B369EB" w:rsidRDefault="005377CD" w:rsidP="00356E77"/>
    <w:p w14:paraId="0FE062E0" w14:textId="77777777" w:rsidR="007F2C3D" w:rsidRPr="00B369EB" w:rsidRDefault="001C673E">
      <w:pPr>
        <w:jc w:val="right"/>
      </w:pPr>
      <w:r w:rsidRPr="00B369EB">
        <w:t>[Sigue el apéndice del anexo IX].</w:t>
      </w:r>
    </w:p>
    <w:p w14:paraId="2E3DE299" w14:textId="77777777" w:rsidR="005377CD" w:rsidRPr="00B369EB" w:rsidRDefault="005377CD" w:rsidP="00356E77"/>
    <w:p w14:paraId="172ADC67" w14:textId="77777777" w:rsidR="005377CD" w:rsidRPr="00B369EB" w:rsidRDefault="005377CD" w:rsidP="00356E77"/>
    <w:p w14:paraId="62562692" w14:textId="77777777" w:rsidR="005377CD" w:rsidRPr="00B369EB" w:rsidRDefault="005377CD" w:rsidP="00356E77"/>
    <w:p w14:paraId="1E129000" w14:textId="77777777" w:rsidR="00356E77" w:rsidRPr="00B369EB" w:rsidRDefault="00356E77" w:rsidP="001F63A8">
      <w:pPr>
        <w:sectPr w:rsidR="00356E77" w:rsidRPr="00B369EB" w:rsidSect="00C10F83">
          <w:headerReference w:type="default" r:id="rId41"/>
          <w:pgSz w:w="11907" w:h="16840" w:code="9"/>
          <w:pgMar w:top="510" w:right="1134" w:bottom="1134" w:left="1134" w:header="510" w:footer="680" w:gutter="0"/>
          <w:pgNumType w:start="1"/>
          <w:cols w:space="720"/>
          <w:titlePg/>
        </w:sectPr>
      </w:pPr>
    </w:p>
    <w:p w14:paraId="492B0520" w14:textId="77777777" w:rsidR="007F2C3D" w:rsidRPr="00B369EB" w:rsidRDefault="001C673E">
      <w:pPr>
        <w:jc w:val="center"/>
      </w:pPr>
      <w:r w:rsidRPr="00B369EB">
        <w:lastRenderedPageBreak/>
        <w:t>ANEXO</w:t>
      </w:r>
    </w:p>
    <w:p w14:paraId="12706E26" w14:textId="77777777" w:rsidR="005377CD" w:rsidRPr="00B369EB" w:rsidRDefault="005377CD" w:rsidP="005377CD">
      <w:pPr>
        <w:jc w:val="center"/>
      </w:pPr>
    </w:p>
    <w:p w14:paraId="7E3E7341" w14:textId="77777777" w:rsidR="007F2C3D" w:rsidRPr="00B369EB" w:rsidRDefault="001C673E">
      <w:pPr>
        <w:jc w:val="center"/>
      </w:pPr>
      <w:r w:rsidRPr="00B369EB">
        <w:t>ACTIVIDADES DE FOMENTO DE LA PROTECCIÓN DE LAS OBTENCIONES VEGETALES</w:t>
      </w:r>
    </w:p>
    <w:p w14:paraId="3CD88172" w14:textId="77777777" w:rsidR="005377CD" w:rsidRPr="00B369EB" w:rsidRDefault="005377CD" w:rsidP="005377CD">
      <w:pPr>
        <w:jc w:val="center"/>
        <w:rPr>
          <w:u w:val="single"/>
        </w:rPr>
      </w:pPr>
    </w:p>
    <w:tbl>
      <w:tblPr>
        <w:tblStyle w:val="TableGrid"/>
        <w:tblW w:w="14879" w:type="dxa"/>
        <w:tblLayout w:type="fixed"/>
        <w:tblCellMar>
          <w:top w:w="28" w:type="dxa"/>
          <w:left w:w="57" w:type="dxa"/>
          <w:bottom w:w="28" w:type="dxa"/>
          <w:right w:w="28" w:type="dxa"/>
        </w:tblCellMar>
        <w:tblLook w:val="04A0" w:firstRow="1" w:lastRow="0" w:firstColumn="1" w:lastColumn="0" w:noHBand="0" w:noVBand="1"/>
      </w:tblPr>
      <w:tblGrid>
        <w:gridCol w:w="3539"/>
        <w:gridCol w:w="1134"/>
        <w:gridCol w:w="1134"/>
        <w:gridCol w:w="2977"/>
        <w:gridCol w:w="2693"/>
        <w:gridCol w:w="2126"/>
        <w:gridCol w:w="1276"/>
      </w:tblGrid>
      <w:tr w:rsidR="00602E93" w:rsidRPr="00B369EB" w14:paraId="2BBA98D0" w14:textId="77777777" w:rsidTr="00137F5B">
        <w:trPr>
          <w:tblHeader/>
        </w:trPr>
        <w:tc>
          <w:tcPr>
            <w:tcW w:w="3539" w:type="dxa"/>
          </w:tcPr>
          <w:p w14:paraId="58EABD91" w14:textId="77777777" w:rsidR="007F2C3D" w:rsidRPr="00B369EB" w:rsidRDefault="001C673E">
            <w:pPr>
              <w:jc w:val="center"/>
              <w:rPr>
                <w:u w:val="single"/>
              </w:rPr>
            </w:pPr>
            <w:r w:rsidRPr="00B369EB">
              <w:rPr>
                <w:sz w:val="18"/>
                <w:szCs w:val="18"/>
              </w:rPr>
              <w:t xml:space="preserve">Título de la actividad </w:t>
            </w:r>
          </w:p>
        </w:tc>
        <w:tc>
          <w:tcPr>
            <w:tcW w:w="1134" w:type="dxa"/>
          </w:tcPr>
          <w:p w14:paraId="407744A2" w14:textId="77777777" w:rsidR="007F2C3D" w:rsidRPr="00B369EB" w:rsidRDefault="001C673E">
            <w:pPr>
              <w:jc w:val="center"/>
              <w:rPr>
                <w:u w:val="single"/>
              </w:rPr>
            </w:pPr>
            <w:r w:rsidRPr="00B369EB">
              <w:rPr>
                <w:sz w:val="18"/>
                <w:szCs w:val="18"/>
              </w:rPr>
              <w:t xml:space="preserve">Fecha </w:t>
            </w:r>
          </w:p>
        </w:tc>
        <w:tc>
          <w:tcPr>
            <w:tcW w:w="1134" w:type="dxa"/>
          </w:tcPr>
          <w:p w14:paraId="3A90D657" w14:textId="77777777" w:rsidR="007F2C3D" w:rsidRPr="00B369EB" w:rsidRDefault="001C673E">
            <w:pPr>
              <w:jc w:val="center"/>
              <w:rPr>
                <w:u w:val="single"/>
              </w:rPr>
            </w:pPr>
            <w:r w:rsidRPr="00B369EB">
              <w:rPr>
                <w:sz w:val="18"/>
                <w:szCs w:val="18"/>
              </w:rPr>
              <w:t xml:space="preserve">Ubicación </w:t>
            </w:r>
          </w:p>
        </w:tc>
        <w:tc>
          <w:tcPr>
            <w:tcW w:w="2977" w:type="dxa"/>
          </w:tcPr>
          <w:p w14:paraId="617B9920" w14:textId="77777777" w:rsidR="007F2C3D" w:rsidRPr="00B369EB" w:rsidRDefault="001C673E">
            <w:pPr>
              <w:jc w:val="center"/>
              <w:rPr>
                <w:u w:val="single"/>
              </w:rPr>
            </w:pPr>
            <w:r w:rsidRPr="00B369EB">
              <w:rPr>
                <w:sz w:val="18"/>
                <w:szCs w:val="18"/>
              </w:rPr>
              <w:t xml:space="preserve">Organizador(es) </w:t>
            </w:r>
          </w:p>
        </w:tc>
        <w:tc>
          <w:tcPr>
            <w:tcW w:w="2693" w:type="dxa"/>
          </w:tcPr>
          <w:p w14:paraId="5DAE5271" w14:textId="77777777" w:rsidR="007F2C3D" w:rsidRPr="00B369EB" w:rsidRDefault="001C673E">
            <w:pPr>
              <w:jc w:val="center"/>
              <w:rPr>
                <w:u w:val="single"/>
              </w:rPr>
            </w:pPr>
            <w:r w:rsidRPr="00B369EB">
              <w:rPr>
                <w:sz w:val="18"/>
                <w:szCs w:val="18"/>
              </w:rPr>
              <w:t xml:space="preserve">Objetivo de la actividad </w:t>
            </w:r>
          </w:p>
        </w:tc>
        <w:tc>
          <w:tcPr>
            <w:tcW w:w="2126" w:type="dxa"/>
          </w:tcPr>
          <w:p w14:paraId="039D8F86" w14:textId="77777777" w:rsidR="007F2C3D" w:rsidRPr="00B369EB" w:rsidRDefault="001C673E">
            <w:pPr>
              <w:jc w:val="center"/>
              <w:rPr>
                <w:u w:val="single"/>
              </w:rPr>
            </w:pPr>
            <w:r w:rsidRPr="00B369EB">
              <w:rPr>
                <w:sz w:val="18"/>
                <w:szCs w:val="18"/>
              </w:rPr>
              <w:t xml:space="preserve">Países/organizaciones participantes (número de participantes de cada uno) </w:t>
            </w:r>
          </w:p>
        </w:tc>
        <w:tc>
          <w:tcPr>
            <w:tcW w:w="1276" w:type="dxa"/>
          </w:tcPr>
          <w:p w14:paraId="4E97AC52" w14:textId="77777777" w:rsidR="007F2C3D" w:rsidRPr="00B369EB" w:rsidRDefault="001C673E">
            <w:pPr>
              <w:jc w:val="center"/>
              <w:rPr>
                <w:u w:val="single"/>
              </w:rPr>
            </w:pPr>
            <w:r w:rsidRPr="00B369EB">
              <w:rPr>
                <w:sz w:val="18"/>
                <w:szCs w:val="18"/>
              </w:rPr>
              <w:t xml:space="preserve">Comentarios </w:t>
            </w:r>
          </w:p>
        </w:tc>
      </w:tr>
      <w:tr w:rsidR="00602E93" w:rsidRPr="00B369EB" w14:paraId="22C3581C" w14:textId="77777777" w:rsidTr="00137F5B">
        <w:tc>
          <w:tcPr>
            <w:tcW w:w="3539" w:type="dxa"/>
          </w:tcPr>
          <w:p w14:paraId="308520EE" w14:textId="77777777" w:rsidR="007F2C3D" w:rsidRPr="00B369EB" w:rsidRDefault="001C673E">
            <w:pPr>
              <w:jc w:val="left"/>
              <w:rPr>
                <w:sz w:val="18"/>
                <w:szCs w:val="18"/>
              </w:rPr>
            </w:pPr>
            <w:r w:rsidRPr="00B369EB">
              <w:rPr>
                <w:sz w:val="18"/>
                <w:szCs w:val="18"/>
              </w:rPr>
              <w:t xml:space="preserve">"Estudio y protección de las obtenciones vegetales" </w:t>
            </w:r>
          </w:p>
          <w:p w14:paraId="7E4D1B3B" w14:textId="77777777" w:rsidR="007F2C3D" w:rsidRPr="00B369EB" w:rsidRDefault="001C673E">
            <w:pPr>
              <w:jc w:val="left"/>
              <w:rPr>
                <w:sz w:val="18"/>
                <w:szCs w:val="18"/>
              </w:rPr>
            </w:pPr>
            <w:r w:rsidRPr="00B369EB">
              <w:rPr>
                <w:sz w:val="18"/>
                <w:szCs w:val="18"/>
              </w:rPr>
              <w:t xml:space="preserve">Impreso ISSN 2518-1017 </w:t>
            </w:r>
          </w:p>
          <w:p w14:paraId="6F1A9F4A" w14:textId="77777777" w:rsidR="007F2C3D" w:rsidRPr="00B369EB" w:rsidRDefault="001C673E">
            <w:pPr>
              <w:jc w:val="left"/>
              <w:rPr>
                <w:sz w:val="18"/>
                <w:szCs w:val="18"/>
              </w:rPr>
            </w:pPr>
            <w:r w:rsidRPr="00B369EB">
              <w:rPr>
                <w:sz w:val="18"/>
                <w:szCs w:val="18"/>
              </w:rPr>
              <w:t xml:space="preserve">En línea ISSN 2518-7457 </w:t>
            </w:r>
          </w:p>
          <w:p w14:paraId="6B5DD9A2" w14:textId="77777777" w:rsidR="007F2C3D" w:rsidRPr="00B369EB" w:rsidRDefault="001C673E">
            <w:pPr>
              <w:jc w:val="left"/>
              <w:rPr>
                <w:sz w:val="18"/>
                <w:szCs w:val="18"/>
              </w:rPr>
            </w:pPr>
            <w:r w:rsidRPr="00B369EB">
              <w:rPr>
                <w:sz w:val="18"/>
                <w:szCs w:val="18"/>
              </w:rPr>
              <w:t xml:space="preserve">№ 1, 2, 3, 4, volumen 19, 2023 </w:t>
            </w:r>
          </w:p>
          <w:p w14:paraId="0A731085" w14:textId="77777777" w:rsidR="007F2C3D" w:rsidRPr="00B369EB" w:rsidRDefault="00A66F67">
            <w:pPr>
              <w:jc w:val="left"/>
              <w:rPr>
                <w:sz w:val="18"/>
                <w:szCs w:val="18"/>
              </w:rPr>
            </w:pPr>
            <w:hyperlink r:id="rId42" w:history="1">
              <w:r w:rsidR="00602E93" w:rsidRPr="00B369EB">
                <w:rPr>
                  <w:rStyle w:val="Hyperlink"/>
                  <w:sz w:val="18"/>
                  <w:szCs w:val="18"/>
                </w:rPr>
                <w:t xml:space="preserve">https://journal.sops.gov.ua/issue/archive </w:t>
              </w:r>
            </w:hyperlink>
          </w:p>
        </w:tc>
        <w:tc>
          <w:tcPr>
            <w:tcW w:w="1134" w:type="dxa"/>
          </w:tcPr>
          <w:p w14:paraId="7B4D6ABF" w14:textId="77777777" w:rsidR="007F2C3D" w:rsidRPr="00B369EB" w:rsidRDefault="001C673E">
            <w:pPr>
              <w:jc w:val="left"/>
              <w:rPr>
                <w:sz w:val="18"/>
                <w:szCs w:val="18"/>
              </w:rPr>
            </w:pPr>
            <w:r w:rsidRPr="00B369EB">
              <w:rPr>
                <w:sz w:val="18"/>
                <w:szCs w:val="18"/>
              </w:rPr>
              <w:t xml:space="preserve">trimestral </w:t>
            </w:r>
          </w:p>
        </w:tc>
        <w:tc>
          <w:tcPr>
            <w:tcW w:w="1134" w:type="dxa"/>
          </w:tcPr>
          <w:p w14:paraId="64051693" w14:textId="77777777" w:rsidR="007F2C3D" w:rsidRPr="00B369EB" w:rsidRDefault="001C673E">
            <w:pPr>
              <w:jc w:val="left"/>
              <w:rPr>
                <w:sz w:val="18"/>
                <w:szCs w:val="18"/>
              </w:rPr>
            </w:pPr>
            <w:r w:rsidRPr="00B369EB">
              <w:rPr>
                <w:sz w:val="18"/>
                <w:szCs w:val="18"/>
              </w:rPr>
              <w:t xml:space="preserve">Kiev, </w:t>
            </w:r>
          </w:p>
          <w:p w14:paraId="323FE28A" w14:textId="77777777" w:rsidR="007F2C3D" w:rsidRPr="00B369EB" w:rsidRDefault="001C673E">
            <w:pPr>
              <w:jc w:val="left"/>
              <w:rPr>
                <w:sz w:val="18"/>
                <w:szCs w:val="18"/>
              </w:rPr>
            </w:pPr>
            <w:r w:rsidRPr="00B369EB">
              <w:rPr>
                <w:sz w:val="18"/>
                <w:szCs w:val="18"/>
              </w:rPr>
              <w:t xml:space="preserve">Ucrania </w:t>
            </w:r>
          </w:p>
        </w:tc>
        <w:tc>
          <w:tcPr>
            <w:tcW w:w="2977" w:type="dxa"/>
          </w:tcPr>
          <w:p w14:paraId="57E29981" w14:textId="77777777" w:rsidR="007F2C3D" w:rsidRPr="00B369EB" w:rsidRDefault="001C673E">
            <w:pPr>
              <w:jc w:val="left"/>
              <w:rPr>
                <w:sz w:val="18"/>
                <w:szCs w:val="18"/>
              </w:rPr>
            </w:pPr>
            <w:r w:rsidRPr="00B369EB">
              <w:rPr>
                <w:sz w:val="18"/>
                <w:szCs w:val="18"/>
              </w:rPr>
              <w:t xml:space="preserve">Instituto Ucraniano de Examen de Variedades Vegetales, </w:t>
            </w:r>
          </w:p>
          <w:p w14:paraId="2B27CDBF" w14:textId="77777777" w:rsidR="007F2C3D" w:rsidRPr="00B369EB" w:rsidRDefault="001C673E">
            <w:pPr>
              <w:jc w:val="left"/>
              <w:rPr>
                <w:sz w:val="18"/>
                <w:szCs w:val="18"/>
              </w:rPr>
            </w:pPr>
            <w:proofErr w:type="spellStart"/>
            <w:r w:rsidRPr="00B369EB">
              <w:rPr>
                <w:sz w:val="18"/>
                <w:szCs w:val="18"/>
              </w:rPr>
              <w:t>Plant</w:t>
            </w:r>
            <w:proofErr w:type="spellEnd"/>
            <w:r w:rsidRPr="00B369EB">
              <w:rPr>
                <w:sz w:val="18"/>
                <w:szCs w:val="18"/>
              </w:rPr>
              <w:t xml:space="preserve"> </w:t>
            </w:r>
            <w:proofErr w:type="spellStart"/>
            <w:r w:rsidRPr="00B369EB">
              <w:rPr>
                <w:sz w:val="18"/>
                <w:szCs w:val="18"/>
              </w:rPr>
              <w:t>Breeding</w:t>
            </w:r>
            <w:proofErr w:type="spellEnd"/>
            <w:r w:rsidRPr="00B369EB">
              <w:rPr>
                <w:sz w:val="18"/>
                <w:szCs w:val="18"/>
              </w:rPr>
              <w:t xml:space="preserve"> &amp; </w:t>
            </w:r>
            <w:proofErr w:type="spellStart"/>
            <w:r w:rsidRPr="00B369EB">
              <w:rPr>
                <w:sz w:val="18"/>
                <w:szCs w:val="18"/>
              </w:rPr>
              <w:t>Genetics</w:t>
            </w:r>
            <w:proofErr w:type="spellEnd"/>
            <w:r w:rsidRPr="00B369EB">
              <w:rPr>
                <w:sz w:val="18"/>
                <w:szCs w:val="18"/>
              </w:rPr>
              <w:t xml:space="preserve"> </w:t>
            </w:r>
            <w:proofErr w:type="spellStart"/>
            <w:r w:rsidRPr="00B369EB">
              <w:rPr>
                <w:sz w:val="18"/>
                <w:szCs w:val="18"/>
              </w:rPr>
              <w:t>Institute</w:t>
            </w:r>
            <w:proofErr w:type="spellEnd"/>
            <w:r w:rsidRPr="00B369EB">
              <w:rPr>
                <w:sz w:val="18"/>
                <w:szCs w:val="18"/>
              </w:rPr>
              <w:t xml:space="preserve"> - Centro Nacional de Investigación de Semillas y Cultivares del NAAS, </w:t>
            </w:r>
          </w:p>
          <w:p w14:paraId="310CD0BC" w14:textId="77777777" w:rsidR="007F2C3D" w:rsidRPr="00B369EB" w:rsidRDefault="001C673E">
            <w:pPr>
              <w:jc w:val="left"/>
              <w:rPr>
                <w:sz w:val="18"/>
                <w:szCs w:val="18"/>
              </w:rPr>
            </w:pPr>
            <w:r w:rsidRPr="00B369EB">
              <w:rPr>
                <w:sz w:val="18"/>
                <w:szCs w:val="18"/>
              </w:rPr>
              <w:t xml:space="preserve">Instituto de Fisiología y Genética Vegetal, Academia Nacional de Ciencias de Ucrania </w:t>
            </w:r>
          </w:p>
        </w:tc>
        <w:tc>
          <w:tcPr>
            <w:tcW w:w="2693" w:type="dxa"/>
          </w:tcPr>
          <w:p w14:paraId="53B0868D" w14:textId="77777777" w:rsidR="007F2C3D" w:rsidRPr="00B369EB" w:rsidRDefault="001C673E">
            <w:pPr>
              <w:jc w:val="left"/>
              <w:rPr>
                <w:sz w:val="18"/>
                <w:szCs w:val="18"/>
              </w:rPr>
            </w:pPr>
            <w:r w:rsidRPr="00B369EB">
              <w:rPr>
                <w:sz w:val="18"/>
                <w:szCs w:val="18"/>
              </w:rPr>
              <w:t xml:space="preserve">Publicaciones sobre el estudio y la ciencia de las obtenciones vegetales, la genética, el fitomejoramiento y la producción de semillas, la fisiología vegetal, la biotecnología y la bioseguridad, la producción vegetal, el mercado de las obtenciones vegetales, la protección de las obtenciones vegetales, la cooperación internacional, los sistemas y tecnologías de la información, la visión de los jóvenes científicos, la historia de la ciencia, los aniversarios </w:t>
            </w:r>
          </w:p>
        </w:tc>
        <w:tc>
          <w:tcPr>
            <w:tcW w:w="2126" w:type="dxa"/>
          </w:tcPr>
          <w:p w14:paraId="3626A94A" w14:textId="77777777" w:rsidR="007F2C3D" w:rsidRPr="00B369EB" w:rsidRDefault="001C673E">
            <w:pPr>
              <w:jc w:val="left"/>
              <w:rPr>
                <w:sz w:val="18"/>
                <w:szCs w:val="18"/>
              </w:rPr>
            </w:pPr>
            <w:r w:rsidRPr="00B369EB">
              <w:rPr>
                <w:sz w:val="18"/>
                <w:szCs w:val="18"/>
              </w:rPr>
              <w:t>Ucrania</w:t>
            </w:r>
          </w:p>
        </w:tc>
        <w:tc>
          <w:tcPr>
            <w:tcW w:w="1276" w:type="dxa"/>
          </w:tcPr>
          <w:p w14:paraId="04393C1A" w14:textId="77777777" w:rsidR="00602E93" w:rsidRPr="00B369EB" w:rsidRDefault="00602E93" w:rsidP="00602E93">
            <w:pPr>
              <w:jc w:val="left"/>
              <w:rPr>
                <w:sz w:val="18"/>
                <w:szCs w:val="18"/>
              </w:rPr>
            </w:pPr>
          </w:p>
        </w:tc>
      </w:tr>
      <w:tr w:rsidR="00602E93" w:rsidRPr="00B369EB" w14:paraId="08673F96" w14:textId="77777777" w:rsidTr="00137F5B">
        <w:tc>
          <w:tcPr>
            <w:tcW w:w="3539" w:type="dxa"/>
          </w:tcPr>
          <w:p w14:paraId="3B17F986" w14:textId="77777777" w:rsidR="007F2C3D" w:rsidRPr="00B369EB" w:rsidRDefault="001C673E">
            <w:pPr>
              <w:jc w:val="left"/>
              <w:rPr>
                <w:sz w:val="18"/>
                <w:szCs w:val="18"/>
              </w:rPr>
            </w:pPr>
            <w:r w:rsidRPr="00B369EB">
              <w:rPr>
                <w:sz w:val="18"/>
                <w:szCs w:val="18"/>
              </w:rPr>
              <w:t xml:space="preserve">Boletín "Protección de las obtenciones vegetales", № ½, № 3, № 4, № 5, № 6, № 7, № 8, № 9, № 10, № 11, №12, 2023. </w:t>
            </w:r>
          </w:p>
          <w:p w14:paraId="21CC4ADF" w14:textId="77777777" w:rsidR="007F2C3D" w:rsidRPr="00B369EB" w:rsidRDefault="00A66F67">
            <w:pPr>
              <w:jc w:val="left"/>
              <w:rPr>
                <w:sz w:val="18"/>
                <w:szCs w:val="18"/>
              </w:rPr>
            </w:pPr>
            <w:hyperlink r:id="rId43" w:history="1">
              <w:r w:rsidR="00602E93" w:rsidRPr="00B369EB">
                <w:rPr>
                  <w:rStyle w:val="Hyperlink"/>
                  <w:sz w:val="18"/>
                  <w:szCs w:val="18"/>
                </w:rPr>
                <w:t xml:space="preserve">https://sops.gov.ua/buleten-arhiv-nomeriv </w:t>
              </w:r>
            </w:hyperlink>
          </w:p>
        </w:tc>
        <w:tc>
          <w:tcPr>
            <w:tcW w:w="1134" w:type="dxa"/>
          </w:tcPr>
          <w:p w14:paraId="3561018A" w14:textId="77777777" w:rsidR="007F2C3D" w:rsidRPr="00B369EB" w:rsidRDefault="001C673E">
            <w:pPr>
              <w:jc w:val="left"/>
              <w:rPr>
                <w:sz w:val="18"/>
                <w:szCs w:val="18"/>
              </w:rPr>
            </w:pPr>
            <w:r w:rsidRPr="00B369EB">
              <w:rPr>
                <w:sz w:val="18"/>
                <w:szCs w:val="18"/>
              </w:rPr>
              <w:t xml:space="preserve">mensualmente </w:t>
            </w:r>
          </w:p>
        </w:tc>
        <w:tc>
          <w:tcPr>
            <w:tcW w:w="1134" w:type="dxa"/>
          </w:tcPr>
          <w:p w14:paraId="6584CB45" w14:textId="77777777" w:rsidR="007F2C3D" w:rsidRPr="00B369EB" w:rsidRDefault="001C673E">
            <w:pPr>
              <w:jc w:val="left"/>
              <w:rPr>
                <w:sz w:val="18"/>
                <w:szCs w:val="18"/>
              </w:rPr>
            </w:pPr>
            <w:r w:rsidRPr="00B369EB">
              <w:rPr>
                <w:sz w:val="18"/>
                <w:szCs w:val="18"/>
              </w:rPr>
              <w:t xml:space="preserve">Kiev, </w:t>
            </w:r>
          </w:p>
          <w:p w14:paraId="3277027D" w14:textId="77777777" w:rsidR="007F2C3D" w:rsidRPr="00B369EB" w:rsidRDefault="001C673E">
            <w:pPr>
              <w:jc w:val="left"/>
              <w:rPr>
                <w:sz w:val="18"/>
                <w:szCs w:val="18"/>
              </w:rPr>
            </w:pPr>
            <w:r w:rsidRPr="00B369EB">
              <w:rPr>
                <w:sz w:val="18"/>
                <w:szCs w:val="18"/>
              </w:rPr>
              <w:t xml:space="preserve">Ucrania </w:t>
            </w:r>
          </w:p>
        </w:tc>
        <w:tc>
          <w:tcPr>
            <w:tcW w:w="2977" w:type="dxa"/>
          </w:tcPr>
          <w:p w14:paraId="1AA748E2" w14:textId="77777777" w:rsidR="007F2C3D" w:rsidRPr="00B369EB" w:rsidRDefault="001C673E">
            <w:pPr>
              <w:jc w:val="left"/>
              <w:rPr>
                <w:sz w:val="18"/>
                <w:szCs w:val="18"/>
              </w:rPr>
            </w:pPr>
            <w:r w:rsidRPr="00B369EB">
              <w:rPr>
                <w:sz w:val="18"/>
                <w:szCs w:val="18"/>
              </w:rPr>
              <w:t xml:space="preserve">Instituto Ucraniano de Examen de Variedades Vegetales </w:t>
            </w:r>
          </w:p>
        </w:tc>
        <w:tc>
          <w:tcPr>
            <w:tcW w:w="2693" w:type="dxa"/>
          </w:tcPr>
          <w:p w14:paraId="1EA3C6EB" w14:textId="77777777" w:rsidR="007F2C3D" w:rsidRPr="00B369EB" w:rsidRDefault="001C673E">
            <w:pPr>
              <w:jc w:val="left"/>
              <w:rPr>
                <w:sz w:val="18"/>
                <w:szCs w:val="18"/>
              </w:rPr>
            </w:pPr>
            <w:r w:rsidRPr="00B369EB">
              <w:rPr>
                <w:sz w:val="18"/>
                <w:szCs w:val="18"/>
              </w:rPr>
              <w:t xml:space="preserve">Boletín publicado de conformidad con la Ley de Ucrania "Protección de las Obtenciones Vegetales" a los fines de la actividad de información oficial en el ámbito de la protección de las obtenciones vegetales y el cumplimiento de las obligaciones internacionales de Ucrania derivadas de su pertenencia a la Unión Internacional para la Protección de las Obtenciones Vegetales (UPOV). </w:t>
            </w:r>
          </w:p>
        </w:tc>
        <w:tc>
          <w:tcPr>
            <w:tcW w:w="2126" w:type="dxa"/>
          </w:tcPr>
          <w:p w14:paraId="0C12DD6C" w14:textId="77777777" w:rsidR="007F2C3D" w:rsidRPr="00B369EB" w:rsidRDefault="001C673E">
            <w:pPr>
              <w:jc w:val="left"/>
              <w:rPr>
                <w:sz w:val="18"/>
                <w:szCs w:val="18"/>
              </w:rPr>
            </w:pPr>
            <w:r w:rsidRPr="00B369EB">
              <w:rPr>
                <w:sz w:val="18"/>
                <w:szCs w:val="18"/>
              </w:rPr>
              <w:t xml:space="preserve">Ucrania </w:t>
            </w:r>
          </w:p>
        </w:tc>
        <w:tc>
          <w:tcPr>
            <w:tcW w:w="1276" w:type="dxa"/>
          </w:tcPr>
          <w:p w14:paraId="4AC5269D" w14:textId="77777777" w:rsidR="00602E93" w:rsidRPr="00B369EB" w:rsidRDefault="00602E93" w:rsidP="00602E93">
            <w:pPr>
              <w:jc w:val="left"/>
              <w:rPr>
                <w:sz w:val="18"/>
                <w:szCs w:val="18"/>
              </w:rPr>
            </w:pPr>
          </w:p>
        </w:tc>
      </w:tr>
      <w:tr w:rsidR="00602E93" w:rsidRPr="00B369EB" w14:paraId="28B5AF59" w14:textId="77777777" w:rsidTr="00137F5B">
        <w:tc>
          <w:tcPr>
            <w:tcW w:w="3539" w:type="dxa"/>
          </w:tcPr>
          <w:p w14:paraId="7BFF1C34" w14:textId="77777777" w:rsidR="007F2C3D" w:rsidRPr="00B369EB" w:rsidRDefault="001C673E">
            <w:pPr>
              <w:jc w:val="left"/>
              <w:rPr>
                <w:sz w:val="18"/>
                <w:szCs w:val="18"/>
              </w:rPr>
            </w:pPr>
            <w:r w:rsidRPr="00B369EB">
              <w:rPr>
                <w:sz w:val="18"/>
                <w:szCs w:val="18"/>
              </w:rPr>
              <w:t>Conferencia Internacional de Investigación Aplicada de Jóvenes Científicos y Especialistas "Mejora, Genética y Tecnologías para el Cultivo</w:t>
            </w:r>
            <w:hyperlink r:id="rId44" w:history="1">
              <w:r w:rsidRPr="00B369EB">
                <w:rPr>
                  <w:rStyle w:val="Hyperlink"/>
                  <w:sz w:val="18"/>
                  <w:szCs w:val="18"/>
                </w:rPr>
                <w:t>"</w:t>
              </w:r>
            </w:hyperlink>
            <w:r w:rsidRPr="00B369EB">
              <w:rPr>
                <w:sz w:val="18"/>
                <w:szCs w:val="18"/>
              </w:rPr>
              <w:t xml:space="preserve"> </w:t>
            </w:r>
            <w:r w:rsidRPr="00B369EB">
              <w:rPr>
                <w:sz w:val="18"/>
                <w:szCs w:val="18"/>
              </w:rPr>
              <w:lastRenderedPageBreak/>
              <w:t xml:space="preserve">http://confer.uiesr.sops.gov.ua/miron2023/schedConf/presentations </w:t>
            </w:r>
          </w:p>
        </w:tc>
        <w:tc>
          <w:tcPr>
            <w:tcW w:w="1134" w:type="dxa"/>
          </w:tcPr>
          <w:p w14:paraId="04E9F85F" w14:textId="77777777" w:rsidR="007F2C3D" w:rsidRPr="00B369EB" w:rsidRDefault="001C673E">
            <w:pPr>
              <w:jc w:val="left"/>
              <w:rPr>
                <w:sz w:val="18"/>
                <w:szCs w:val="18"/>
              </w:rPr>
            </w:pPr>
            <w:r w:rsidRPr="00B369EB">
              <w:rPr>
                <w:sz w:val="18"/>
                <w:szCs w:val="18"/>
              </w:rPr>
              <w:lastRenderedPageBreak/>
              <w:t xml:space="preserve">21.04.2023 </w:t>
            </w:r>
          </w:p>
        </w:tc>
        <w:tc>
          <w:tcPr>
            <w:tcW w:w="1134" w:type="dxa"/>
          </w:tcPr>
          <w:p w14:paraId="1EEA0332" w14:textId="77777777" w:rsidR="007F2C3D" w:rsidRPr="00B369EB" w:rsidRDefault="001C673E">
            <w:pPr>
              <w:jc w:val="left"/>
              <w:rPr>
                <w:sz w:val="18"/>
                <w:szCs w:val="18"/>
              </w:rPr>
            </w:pPr>
            <w:r w:rsidRPr="00B369EB">
              <w:rPr>
                <w:sz w:val="18"/>
                <w:szCs w:val="18"/>
              </w:rPr>
              <w:t xml:space="preserve">pueblo </w:t>
            </w:r>
            <w:proofErr w:type="spellStart"/>
            <w:r w:rsidRPr="00B369EB">
              <w:rPr>
                <w:sz w:val="18"/>
                <w:szCs w:val="18"/>
              </w:rPr>
              <w:t>Centralne</w:t>
            </w:r>
            <w:proofErr w:type="spellEnd"/>
            <w:r w:rsidRPr="00B369EB">
              <w:rPr>
                <w:sz w:val="18"/>
                <w:szCs w:val="18"/>
              </w:rPr>
              <w:t xml:space="preserve">, región de Kiev </w:t>
            </w:r>
          </w:p>
        </w:tc>
        <w:tc>
          <w:tcPr>
            <w:tcW w:w="2977" w:type="dxa"/>
          </w:tcPr>
          <w:p w14:paraId="12894EDD" w14:textId="77777777" w:rsidR="007F2C3D" w:rsidRPr="00B369EB" w:rsidRDefault="001C673E">
            <w:pPr>
              <w:jc w:val="left"/>
              <w:rPr>
                <w:sz w:val="18"/>
                <w:szCs w:val="18"/>
              </w:rPr>
            </w:pPr>
            <w:r w:rsidRPr="00B369EB">
              <w:rPr>
                <w:sz w:val="18"/>
                <w:szCs w:val="18"/>
              </w:rPr>
              <w:t xml:space="preserve">V.M. </w:t>
            </w:r>
            <w:proofErr w:type="spellStart"/>
            <w:r w:rsidRPr="00B369EB">
              <w:rPr>
                <w:sz w:val="18"/>
                <w:szCs w:val="18"/>
              </w:rPr>
              <w:t>Remeslo</w:t>
            </w:r>
            <w:proofErr w:type="spellEnd"/>
            <w:r w:rsidRPr="00B369EB">
              <w:rPr>
                <w:sz w:val="18"/>
                <w:szCs w:val="18"/>
              </w:rPr>
              <w:t xml:space="preserve"> Instituto </w:t>
            </w:r>
            <w:proofErr w:type="spellStart"/>
            <w:r w:rsidRPr="00B369EB">
              <w:rPr>
                <w:sz w:val="18"/>
                <w:szCs w:val="18"/>
              </w:rPr>
              <w:t>Myronivka</w:t>
            </w:r>
            <w:proofErr w:type="spellEnd"/>
            <w:r w:rsidRPr="00B369EB">
              <w:rPr>
                <w:sz w:val="18"/>
                <w:szCs w:val="18"/>
              </w:rPr>
              <w:t xml:space="preserve"> de Trigo de </w:t>
            </w:r>
          </w:p>
          <w:p w14:paraId="38A32284" w14:textId="77777777" w:rsidR="007F2C3D" w:rsidRPr="00B369EB" w:rsidRDefault="001C673E">
            <w:pPr>
              <w:jc w:val="left"/>
              <w:rPr>
                <w:sz w:val="18"/>
                <w:szCs w:val="18"/>
              </w:rPr>
            </w:pPr>
            <w:r w:rsidRPr="00B369EB">
              <w:rPr>
                <w:sz w:val="18"/>
                <w:szCs w:val="18"/>
              </w:rPr>
              <w:t xml:space="preserve">Academia Nacional de Ciencias Agrarias de Ucrania; </w:t>
            </w:r>
          </w:p>
          <w:p w14:paraId="656FFE90" w14:textId="77777777" w:rsidR="007F2C3D" w:rsidRPr="00B369EB" w:rsidRDefault="001C673E">
            <w:pPr>
              <w:jc w:val="left"/>
              <w:rPr>
                <w:sz w:val="18"/>
                <w:szCs w:val="18"/>
              </w:rPr>
            </w:pPr>
            <w:r w:rsidRPr="00B369EB">
              <w:rPr>
                <w:sz w:val="18"/>
                <w:szCs w:val="18"/>
              </w:rPr>
              <w:lastRenderedPageBreak/>
              <w:t xml:space="preserve">Instituto Ucraniano de Examen de Variedades Vegetales </w:t>
            </w:r>
          </w:p>
        </w:tc>
        <w:tc>
          <w:tcPr>
            <w:tcW w:w="2693" w:type="dxa"/>
          </w:tcPr>
          <w:p w14:paraId="1485C7A3" w14:textId="77777777" w:rsidR="007F2C3D" w:rsidRPr="00B369EB" w:rsidRDefault="001C673E">
            <w:pPr>
              <w:jc w:val="left"/>
              <w:rPr>
                <w:sz w:val="18"/>
                <w:szCs w:val="18"/>
              </w:rPr>
            </w:pPr>
            <w:r w:rsidRPr="00B369EB">
              <w:rPr>
                <w:sz w:val="18"/>
                <w:szCs w:val="18"/>
              </w:rPr>
              <w:lastRenderedPageBreak/>
              <w:t xml:space="preserve">Definición de las tendencias modernas en investigación agrícola y evaluación de variedades vegetales </w:t>
            </w:r>
          </w:p>
        </w:tc>
        <w:tc>
          <w:tcPr>
            <w:tcW w:w="2126" w:type="dxa"/>
          </w:tcPr>
          <w:p w14:paraId="6B486C36" w14:textId="77777777" w:rsidR="007F2C3D" w:rsidRPr="00B369EB" w:rsidRDefault="001C673E">
            <w:pPr>
              <w:jc w:val="left"/>
              <w:rPr>
                <w:sz w:val="18"/>
                <w:szCs w:val="18"/>
              </w:rPr>
            </w:pPr>
            <w:r w:rsidRPr="00B369EB">
              <w:rPr>
                <w:sz w:val="18"/>
                <w:szCs w:val="18"/>
              </w:rPr>
              <w:t xml:space="preserve">Ucrania, Egipto </w:t>
            </w:r>
          </w:p>
          <w:p w14:paraId="546C5611" w14:textId="77777777" w:rsidR="007F2C3D" w:rsidRPr="00B369EB" w:rsidRDefault="001C673E">
            <w:pPr>
              <w:jc w:val="left"/>
              <w:rPr>
                <w:sz w:val="18"/>
                <w:szCs w:val="18"/>
              </w:rPr>
            </w:pPr>
            <w:r w:rsidRPr="00B369EB">
              <w:rPr>
                <w:sz w:val="18"/>
                <w:szCs w:val="18"/>
              </w:rPr>
              <w:t xml:space="preserve">(200 participantes) </w:t>
            </w:r>
          </w:p>
        </w:tc>
        <w:tc>
          <w:tcPr>
            <w:tcW w:w="1276" w:type="dxa"/>
          </w:tcPr>
          <w:p w14:paraId="5B2EAD28" w14:textId="77777777" w:rsidR="007F2C3D" w:rsidRPr="00B369EB" w:rsidRDefault="001C673E">
            <w:pPr>
              <w:jc w:val="left"/>
              <w:rPr>
                <w:sz w:val="18"/>
                <w:szCs w:val="18"/>
              </w:rPr>
            </w:pPr>
            <w:r w:rsidRPr="00B369EB">
              <w:rPr>
                <w:sz w:val="18"/>
                <w:szCs w:val="18"/>
              </w:rPr>
              <w:t xml:space="preserve">publicó una colección de material de conferencias </w:t>
            </w:r>
          </w:p>
        </w:tc>
      </w:tr>
      <w:tr w:rsidR="00602E93" w:rsidRPr="00B369EB" w14:paraId="3090EC70" w14:textId="77777777" w:rsidTr="00137F5B">
        <w:tc>
          <w:tcPr>
            <w:tcW w:w="3539" w:type="dxa"/>
          </w:tcPr>
          <w:p w14:paraId="5D14BEAD" w14:textId="77777777" w:rsidR="007F2C3D" w:rsidRPr="00B369EB" w:rsidRDefault="001C673E">
            <w:pPr>
              <w:jc w:val="left"/>
              <w:rPr>
                <w:sz w:val="18"/>
                <w:szCs w:val="18"/>
              </w:rPr>
            </w:pPr>
            <w:r w:rsidRPr="00B369EB">
              <w:rPr>
                <w:sz w:val="18"/>
                <w:szCs w:val="18"/>
              </w:rPr>
              <w:t xml:space="preserve">VI Conferencia en Internet para Jóvenes Científicos "Mejora de los cultivos agrícolas - de la molécula a la variedad" </w:t>
            </w:r>
          </w:p>
          <w:p w14:paraId="7FE3C86A" w14:textId="77777777" w:rsidR="007F2C3D" w:rsidRPr="00B369EB" w:rsidRDefault="00A66F67">
            <w:pPr>
              <w:jc w:val="left"/>
              <w:rPr>
                <w:sz w:val="18"/>
                <w:szCs w:val="18"/>
              </w:rPr>
            </w:pPr>
            <w:hyperlink r:id="rId45" w:history="1">
              <w:r w:rsidR="00602E93" w:rsidRPr="00B369EB">
                <w:rPr>
                  <w:rStyle w:val="Hyperlink"/>
                  <w:sz w:val="18"/>
                  <w:szCs w:val="18"/>
                </w:rPr>
                <w:t xml:space="preserve">http://confer.uiesr.sops.gov.ua/genetika2023/schedConf/presentations </w:t>
              </w:r>
            </w:hyperlink>
          </w:p>
        </w:tc>
        <w:tc>
          <w:tcPr>
            <w:tcW w:w="1134" w:type="dxa"/>
          </w:tcPr>
          <w:p w14:paraId="608C74FB" w14:textId="77777777" w:rsidR="007F2C3D" w:rsidRPr="00B369EB" w:rsidRDefault="001C673E">
            <w:pPr>
              <w:jc w:val="left"/>
              <w:rPr>
                <w:sz w:val="18"/>
                <w:szCs w:val="18"/>
              </w:rPr>
            </w:pPr>
            <w:r w:rsidRPr="00B369EB">
              <w:rPr>
                <w:sz w:val="18"/>
                <w:szCs w:val="18"/>
              </w:rPr>
              <w:t xml:space="preserve">07.09.2023 </w:t>
            </w:r>
          </w:p>
        </w:tc>
        <w:tc>
          <w:tcPr>
            <w:tcW w:w="1134" w:type="dxa"/>
          </w:tcPr>
          <w:p w14:paraId="07709F5F" w14:textId="77777777" w:rsidR="007F2C3D" w:rsidRPr="00B369EB" w:rsidRDefault="001C673E">
            <w:pPr>
              <w:jc w:val="left"/>
              <w:rPr>
                <w:sz w:val="18"/>
                <w:szCs w:val="18"/>
              </w:rPr>
            </w:pPr>
            <w:r w:rsidRPr="00B369EB">
              <w:rPr>
                <w:sz w:val="18"/>
                <w:szCs w:val="18"/>
              </w:rPr>
              <w:t xml:space="preserve">Kiev, Odesa </w:t>
            </w:r>
          </w:p>
        </w:tc>
        <w:tc>
          <w:tcPr>
            <w:tcW w:w="2977" w:type="dxa"/>
          </w:tcPr>
          <w:p w14:paraId="069EBF5B" w14:textId="77777777" w:rsidR="007F2C3D" w:rsidRPr="00B369EB" w:rsidRDefault="001C673E">
            <w:pPr>
              <w:jc w:val="left"/>
              <w:rPr>
                <w:sz w:val="18"/>
                <w:szCs w:val="18"/>
              </w:rPr>
            </w:pPr>
            <w:r w:rsidRPr="00B369EB">
              <w:rPr>
                <w:sz w:val="18"/>
                <w:szCs w:val="18"/>
              </w:rPr>
              <w:t xml:space="preserve">Instituto Ucraniano de Examen de Variedades Vegetales; </w:t>
            </w:r>
          </w:p>
          <w:p w14:paraId="131FB03F" w14:textId="77777777" w:rsidR="007F2C3D" w:rsidRPr="00B369EB" w:rsidRDefault="001C673E">
            <w:pPr>
              <w:jc w:val="left"/>
              <w:rPr>
                <w:sz w:val="18"/>
                <w:szCs w:val="18"/>
              </w:rPr>
            </w:pPr>
            <w:r w:rsidRPr="00B369EB">
              <w:rPr>
                <w:sz w:val="18"/>
                <w:szCs w:val="18"/>
              </w:rPr>
              <w:t xml:space="preserve">Instituto de Fitomejoramiento y Genética - Centro Nacional de Investigación de Semillas y Cultivares de la Academia Nacional de Ciencias Agrarias de Ucrania </w:t>
            </w:r>
          </w:p>
        </w:tc>
        <w:tc>
          <w:tcPr>
            <w:tcW w:w="2693" w:type="dxa"/>
          </w:tcPr>
          <w:p w14:paraId="41B91E7A" w14:textId="77777777" w:rsidR="007F2C3D" w:rsidRPr="00B369EB" w:rsidRDefault="001C673E">
            <w:pPr>
              <w:jc w:val="left"/>
              <w:rPr>
                <w:sz w:val="18"/>
                <w:szCs w:val="18"/>
              </w:rPr>
            </w:pPr>
            <w:r w:rsidRPr="00B369EB">
              <w:rPr>
                <w:sz w:val="18"/>
                <w:szCs w:val="18"/>
              </w:rPr>
              <w:t xml:space="preserve">Aplicación de métodos modernos de biotecnología y genética en la agricultura y el examen de variedades </w:t>
            </w:r>
          </w:p>
        </w:tc>
        <w:tc>
          <w:tcPr>
            <w:tcW w:w="2126" w:type="dxa"/>
          </w:tcPr>
          <w:p w14:paraId="75D313FF" w14:textId="77777777" w:rsidR="007F2C3D" w:rsidRPr="00B369EB" w:rsidRDefault="001C673E">
            <w:pPr>
              <w:jc w:val="left"/>
              <w:rPr>
                <w:sz w:val="18"/>
                <w:szCs w:val="18"/>
              </w:rPr>
            </w:pPr>
            <w:r w:rsidRPr="00B369EB">
              <w:rPr>
                <w:sz w:val="18"/>
                <w:szCs w:val="18"/>
              </w:rPr>
              <w:t xml:space="preserve">Ucrania </w:t>
            </w:r>
          </w:p>
          <w:p w14:paraId="3DB30A22" w14:textId="77777777" w:rsidR="007F2C3D" w:rsidRPr="00B369EB" w:rsidRDefault="001C673E">
            <w:pPr>
              <w:jc w:val="left"/>
              <w:rPr>
                <w:sz w:val="18"/>
                <w:szCs w:val="18"/>
              </w:rPr>
            </w:pPr>
            <w:r w:rsidRPr="00B369EB">
              <w:rPr>
                <w:sz w:val="18"/>
                <w:szCs w:val="18"/>
              </w:rPr>
              <w:t xml:space="preserve">(29 participantes) </w:t>
            </w:r>
          </w:p>
        </w:tc>
        <w:tc>
          <w:tcPr>
            <w:tcW w:w="1276" w:type="dxa"/>
          </w:tcPr>
          <w:p w14:paraId="189894CB" w14:textId="77777777" w:rsidR="007F2C3D" w:rsidRPr="00B369EB" w:rsidRDefault="001C673E">
            <w:pPr>
              <w:jc w:val="left"/>
              <w:rPr>
                <w:sz w:val="18"/>
                <w:szCs w:val="18"/>
              </w:rPr>
            </w:pPr>
            <w:r w:rsidRPr="00B369EB">
              <w:rPr>
                <w:sz w:val="18"/>
                <w:szCs w:val="18"/>
              </w:rPr>
              <w:t xml:space="preserve">publicó una colección de material de conferencias </w:t>
            </w:r>
          </w:p>
        </w:tc>
      </w:tr>
      <w:tr w:rsidR="00602E93" w:rsidRPr="00B369EB" w14:paraId="7DF888CC" w14:textId="77777777" w:rsidTr="00137F5B">
        <w:tc>
          <w:tcPr>
            <w:tcW w:w="3539" w:type="dxa"/>
          </w:tcPr>
          <w:p w14:paraId="42CB6379" w14:textId="77777777" w:rsidR="007F2C3D" w:rsidRPr="00B369EB" w:rsidRDefault="001C673E">
            <w:pPr>
              <w:jc w:val="left"/>
              <w:rPr>
                <w:sz w:val="18"/>
                <w:szCs w:val="18"/>
              </w:rPr>
            </w:pPr>
            <w:r w:rsidRPr="00B369EB">
              <w:rPr>
                <w:sz w:val="18"/>
                <w:szCs w:val="18"/>
              </w:rPr>
              <w:t xml:space="preserve">La Conferencia Internacional de Ciencias Aplicadas "Centenario de la creación de la Oficina Nacional de Variedades Vegetales </w:t>
            </w:r>
          </w:p>
          <w:p w14:paraId="0FB3EA2F" w14:textId="77777777" w:rsidR="007F2C3D" w:rsidRPr="00B369EB" w:rsidRDefault="001C673E">
            <w:pPr>
              <w:jc w:val="left"/>
              <w:rPr>
                <w:sz w:val="18"/>
                <w:szCs w:val="18"/>
              </w:rPr>
            </w:pPr>
            <w:r w:rsidRPr="00B369EB">
              <w:rPr>
                <w:sz w:val="18"/>
                <w:szCs w:val="18"/>
              </w:rPr>
              <w:t xml:space="preserve">Recursos de Ucrania". </w:t>
            </w:r>
          </w:p>
          <w:p w14:paraId="042BBCA8" w14:textId="77777777" w:rsidR="007F2C3D" w:rsidRPr="00B369EB" w:rsidRDefault="001C673E">
            <w:pPr>
              <w:jc w:val="left"/>
              <w:rPr>
                <w:sz w:val="18"/>
                <w:szCs w:val="18"/>
              </w:rPr>
            </w:pPr>
            <w:r w:rsidRPr="00B369EB">
              <w:rPr>
                <w:sz w:val="18"/>
                <w:szCs w:val="18"/>
              </w:rPr>
              <w:t xml:space="preserve">https://events.sops.gov.ua/uploads/ZbirnykHundred.pdf </w:t>
            </w:r>
          </w:p>
          <w:p w14:paraId="1CF1399F" w14:textId="77777777" w:rsidR="007F2C3D" w:rsidRPr="00B369EB" w:rsidRDefault="00A66F67">
            <w:pPr>
              <w:jc w:val="left"/>
              <w:rPr>
                <w:sz w:val="18"/>
                <w:szCs w:val="18"/>
              </w:rPr>
            </w:pPr>
            <w:hyperlink r:id="rId46" w:history="1">
              <w:r w:rsidR="00602E93" w:rsidRPr="00B369EB">
                <w:rPr>
                  <w:rStyle w:val="Hyperlink"/>
                  <w:sz w:val="18"/>
                  <w:szCs w:val="18"/>
                </w:rPr>
                <w:t xml:space="preserve">http://confer.uiesr.sops.gov.ua/100nsrr/schedConf/presentations </w:t>
              </w:r>
            </w:hyperlink>
          </w:p>
        </w:tc>
        <w:tc>
          <w:tcPr>
            <w:tcW w:w="1134" w:type="dxa"/>
          </w:tcPr>
          <w:p w14:paraId="6D3C5244" w14:textId="77777777" w:rsidR="007F2C3D" w:rsidRPr="00B369EB" w:rsidRDefault="001C673E">
            <w:pPr>
              <w:jc w:val="left"/>
              <w:rPr>
                <w:sz w:val="18"/>
                <w:szCs w:val="18"/>
              </w:rPr>
            </w:pPr>
            <w:r w:rsidRPr="00B369EB">
              <w:rPr>
                <w:sz w:val="18"/>
                <w:szCs w:val="18"/>
              </w:rPr>
              <w:t xml:space="preserve">29.09.2023 </w:t>
            </w:r>
          </w:p>
        </w:tc>
        <w:tc>
          <w:tcPr>
            <w:tcW w:w="1134" w:type="dxa"/>
          </w:tcPr>
          <w:p w14:paraId="3E2CDBD0" w14:textId="77777777" w:rsidR="007F2C3D" w:rsidRPr="00B369EB" w:rsidRDefault="001C673E">
            <w:pPr>
              <w:jc w:val="left"/>
              <w:rPr>
                <w:sz w:val="18"/>
                <w:szCs w:val="18"/>
              </w:rPr>
            </w:pPr>
            <w:r w:rsidRPr="00B369EB">
              <w:rPr>
                <w:sz w:val="18"/>
                <w:szCs w:val="18"/>
              </w:rPr>
              <w:t xml:space="preserve">Kiev </w:t>
            </w:r>
          </w:p>
        </w:tc>
        <w:tc>
          <w:tcPr>
            <w:tcW w:w="2977" w:type="dxa"/>
          </w:tcPr>
          <w:p w14:paraId="59F97D9F" w14:textId="77777777" w:rsidR="007F2C3D" w:rsidRPr="00B369EB" w:rsidRDefault="001C673E">
            <w:pPr>
              <w:jc w:val="left"/>
              <w:rPr>
                <w:sz w:val="18"/>
                <w:szCs w:val="18"/>
              </w:rPr>
            </w:pPr>
            <w:r w:rsidRPr="00B369EB">
              <w:rPr>
                <w:sz w:val="18"/>
                <w:szCs w:val="18"/>
              </w:rPr>
              <w:t xml:space="preserve">Instituto Ucraniano de Examen de Variedades Vegetales </w:t>
            </w:r>
          </w:p>
        </w:tc>
        <w:tc>
          <w:tcPr>
            <w:tcW w:w="2693" w:type="dxa"/>
          </w:tcPr>
          <w:p w14:paraId="53552C67" w14:textId="77777777" w:rsidR="007F2C3D" w:rsidRPr="00B369EB" w:rsidRDefault="001C673E">
            <w:pPr>
              <w:jc w:val="left"/>
              <w:rPr>
                <w:sz w:val="18"/>
                <w:szCs w:val="18"/>
              </w:rPr>
            </w:pPr>
            <w:r w:rsidRPr="00B369EB">
              <w:rPr>
                <w:sz w:val="18"/>
                <w:szCs w:val="18"/>
              </w:rPr>
              <w:t xml:space="preserve">El desarrollo del examen de variedades vegetales, tendencias modernas de la investigación agrícola </w:t>
            </w:r>
          </w:p>
        </w:tc>
        <w:tc>
          <w:tcPr>
            <w:tcW w:w="2126" w:type="dxa"/>
          </w:tcPr>
          <w:p w14:paraId="05955DFD" w14:textId="77777777" w:rsidR="007F2C3D" w:rsidRPr="00B369EB" w:rsidRDefault="001C673E">
            <w:pPr>
              <w:jc w:val="left"/>
              <w:rPr>
                <w:sz w:val="18"/>
                <w:szCs w:val="18"/>
              </w:rPr>
            </w:pPr>
            <w:r w:rsidRPr="00B369EB">
              <w:rPr>
                <w:sz w:val="18"/>
                <w:szCs w:val="18"/>
              </w:rPr>
              <w:t xml:space="preserve">Ucrania </w:t>
            </w:r>
          </w:p>
          <w:p w14:paraId="4E435BF8" w14:textId="77777777" w:rsidR="007F2C3D" w:rsidRPr="00B369EB" w:rsidRDefault="001C673E">
            <w:pPr>
              <w:jc w:val="left"/>
              <w:rPr>
                <w:sz w:val="18"/>
                <w:szCs w:val="18"/>
              </w:rPr>
            </w:pPr>
            <w:r w:rsidRPr="00B369EB">
              <w:rPr>
                <w:sz w:val="18"/>
                <w:szCs w:val="18"/>
              </w:rPr>
              <w:t xml:space="preserve">(100 participantes) </w:t>
            </w:r>
          </w:p>
        </w:tc>
        <w:tc>
          <w:tcPr>
            <w:tcW w:w="1276" w:type="dxa"/>
          </w:tcPr>
          <w:p w14:paraId="092C279E" w14:textId="77777777" w:rsidR="007F2C3D" w:rsidRPr="00B369EB" w:rsidRDefault="001C673E">
            <w:pPr>
              <w:jc w:val="left"/>
              <w:rPr>
                <w:sz w:val="18"/>
                <w:szCs w:val="18"/>
              </w:rPr>
            </w:pPr>
            <w:r w:rsidRPr="00B369EB">
              <w:rPr>
                <w:sz w:val="18"/>
                <w:szCs w:val="18"/>
              </w:rPr>
              <w:t xml:space="preserve">publicó una colección de material de conferencias </w:t>
            </w:r>
          </w:p>
        </w:tc>
      </w:tr>
    </w:tbl>
    <w:p w14:paraId="42A50759" w14:textId="77777777" w:rsidR="005377CD" w:rsidRPr="00B369EB" w:rsidRDefault="005377CD" w:rsidP="00602E93"/>
    <w:p w14:paraId="5017CA4E" w14:textId="77777777" w:rsidR="00602E93" w:rsidRPr="00B369EB" w:rsidRDefault="00602E93" w:rsidP="00602E93"/>
    <w:p w14:paraId="3BB8FE88" w14:textId="77777777" w:rsidR="001F63A8" w:rsidRPr="00B369EB" w:rsidRDefault="001F63A8" w:rsidP="00356E77"/>
    <w:p w14:paraId="43098C56" w14:textId="77777777" w:rsidR="007F2C3D" w:rsidRPr="00B369EB" w:rsidRDefault="001C673E">
      <w:pPr>
        <w:jc w:val="right"/>
      </w:pPr>
      <w:r w:rsidRPr="00B369EB">
        <w:t>Sigue el [anexo XII]</w:t>
      </w:r>
    </w:p>
    <w:p w14:paraId="60598C6B" w14:textId="77777777" w:rsidR="001F63A8" w:rsidRPr="00B369EB" w:rsidRDefault="001F63A8" w:rsidP="001F63A8">
      <w:pPr>
        <w:jc w:val="center"/>
        <w:sectPr w:rsidR="001F63A8" w:rsidRPr="00B369EB" w:rsidSect="00B737B1">
          <w:pgSz w:w="16840" w:h="11907" w:orient="landscape" w:code="9"/>
          <w:pgMar w:top="510" w:right="1134" w:bottom="1134" w:left="1134" w:header="510" w:footer="680" w:gutter="0"/>
          <w:cols w:space="720"/>
          <w:docGrid w:linePitch="272"/>
        </w:sectPr>
      </w:pPr>
    </w:p>
    <w:p w14:paraId="666CC228" w14:textId="77777777" w:rsidR="007F2C3D" w:rsidRPr="00B369EB" w:rsidRDefault="001C673E">
      <w:pPr>
        <w:jc w:val="center"/>
      </w:pPr>
      <w:r w:rsidRPr="00B369EB">
        <w:lastRenderedPageBreak/>
        <w:t>C/58/13</w:t>
      </w:r>
    </w:p>
    <w:p w14:paraId="756157D6" w14:textId="77777777" w:rsidR="001F63A8" w:rsidRPr="00B369EB" w:rsidRDefault="001F63A8" w:rsidP="001F63A8">
      <w:pPr>
        <w:jc w:val="center"/>
      </w:pPr>
    </w:p>
    <w:p w14:paraId="3273AEBE" w14:textId="77777777" w:rsidR="007F2C3D" w:rsidRPr="00B369EB" w:rsidRDefault="001C673E">
      <w:pPr>
        <w:jc w:val="center"/>
      </w:pPr>
      <w:r w:rsidRPr="00B369EB">
        <w:t xml:space="preserve">ANEXO </w:t>
      </w:r>
      <w:r w:rsidR="00C2720B" w:rsidRPr="00B369EB">
        <w:t>XII</w:t>
      </w:r>
    </w:p>
    <w:p w14:paraId="1B038E8F" w14:textId="77777777" w:rsidR="001F63A8" w:rsidRPr="00B369EB" w:rsidRDefault="001F63A8" w:rsidP="001F63A8">
      <w:pPr>
        <w:jc w:val="center"/>
      </w:pPr>
    </w:p>
    <w:p w14:paraId="7280CE20" w14:textId="77777777" w:rsidR="001F63A8" w:rsidRPr="00B369EB" w:rsidRDefault="001F63A8" w:rsidP="001F63A8">
      <w:pPr>
        <w:jc w:val="center"/>
      </w:pPr>
    </w:p>
    <w:p w14:paraId="52709B15" w14:textId="77777777" w:rsidR="007F2C3D" w:rsidRPr="00B369EB" w:rsidRDefault="001C673E">
      <w:pPr>
        <w:jc w:val="center"/>
      </w:pPr>
      <w:r w:rsidRPr="00B369EB">
        <w:t>UNIÓN EUROPEA</w:t>
      </w:r>
      <w:r w:rsidR="006A1579" w:rsidRPr="00B369EB">
        <w:rPr>
          <w:rStyle w:val="EndnoteReference"/>
        </w:rPr>
        <w:endnoteReference w:id="2"/>
      </w:r>
    </w:p>
    <w:p w14:paraId="44FA5F67" w14:textId="77777777" w:rsidR="007F2C3D" w:rsidRPr="00B369EB" w:rsidRDefault="001C673E">
      <w:pPr>
        <w:jc w:val="center"/>
      </w:pPr>
      <w:r w:rsidRPr="00B369EB">
        <w:t>Periodo: Julio 2023 - Julio 2024</w:t>
      </w:r>
    </w:p>
    <w:p w14:paraId="542AC609" w14:textId="77777777" w:rsidR="006A1579" w:rsidRPr="00B369EB" w:rsidRDefault="006A1579" w:rsidP="006A1579">
      <w:pPr>
        <w:jc w:val="center"/>
      </w:pPr>
    </w:p>
    <w:p w14:paraId="07FC3C63" w14:textId="77777777" w:rsidR="007F2C3D" w:rsidRPr="00B369EB" w:rsidRDefault="001C673E">
      <w:pPr>
        <w:jc w:val="center"/>
      </w:pPr>
      <w:r w:rsidRPr="00B369EB">
        <w:t xml:space="preserve">(Informe elaborado por la Comisión Europea </w:t>
      </w:r>
      <w:r w:rsidRPr="00B369EB">
        <w:br/>
        <w:t>en estrecha relación con la Oficina Comunitaria de Variedades Vegetales)</w:t>
      </w:r>
    </w:p>
    <w:p w14:paraId="72A551C4" w14:textId="77777777" w:rsidR="006A1579" w:rsidRPr="00B369EB" w:rsidRDefault="006A1579" w:rsidP="006A1579"/>
    <w:p w14:paraId="4B3EC80F" w14:textId="77777777" w:rsidR="006A1579" w:rsidRPr="00B369EB" w:rsidRDefault="006A1579" w:rsidP="006A1579"/>
    <w:p w14:paraId="428DCB07" w14:textId="77777777" w:rsidR="007F2C3D" w:rsidRPr="00B369EB" w:rsidRDefault="001C673E">
      <w:pPr>
        <w:rPr>
          <w:bCs/>
        </w:rPr>
      </w:pPr>
      <w:r w:rsidRPr="00B369EB">
        <w:rPr>
          <w:bCs/>
        </w:rPr>
        <w:t>PROTECCIÓN DE LAS OBTENCIONES VEGETALES</w:t>
      </w:r>
    </w:p>
    <w:p w14:paraId="54B2B4BE" w14:textId="77777777" w:rsidR="006A1579" w:rsidRPr="00B369EB" w:rsidRDefault="006A1579" w:rsidP="006A1579">
      <w:pPr>
        <w:rPr>
          <w:bCs/>
        </w:rPr>
      </w:pPr>
    </w:p>
    <w:p w14:paraId="66CCB7C2" w14:textId="77777777" w:rsidR="007F2C3D" w:rsidRPr="00B369EB" w:rsidRDefault="001C673E">
      <w:pPr>
        <w:rPr>
          <w:bCs/>
          <w:u w:val="single"/>
        </w:rPr>
      </w:pPr>
      <w:r w:rsidRPr="00B369EB">
        <w:rPr>
          <w:bCs/>
        </w:rPr>
        <w:t>1)</w:t>
      </w:r>
      <w:r w:rsidRPr="00B369EB">
        <w:rPr>
          <w:bCs/>
        </w:rPr>
        <w:tab/>
      </w:r>
      <w:r w:rsidRPr="00B369EB">
        <w:rPr>
          <w:bCs/>
          <w:u w:val="single"/>
        </w:rPr>
        <w:t>Legislación</w:t>
      </w:r>
    </w:p>
    <w:p w14:paraId="56B28C67" w14:textId="77777777" w:rsidR="006A1579" w:rsidRPr="00B369EB" w:rsidRDefault="006A1579" w:rsidP="006A1579">
      <w:pPr>
        <w:rPr>
          <w:bCs/>
          <w:u w:val="single"/>
        </w:rPr>
      </w:pPr>
    </w:p>
    <w:p w14:paraId="1AC14015" w14:textId="77777777" w:rsidR="007F2C3D" w:rsidRPr="00B369EB" w:rsidRDefault="001C673E">
      <w:pPr>
        <w:rPr>
          <w:bCs/>
          <w:u w:val="single"/>
        </w:rPr>
      </w:pPr>
      <w:r w:rsidRPr="00B369EB">
        <w:rPr>
          <w:bCs/>
          <w:u w:val="single"/>
        </w:rPr>
        <w:t>General</w:t>
      </w:r>
    </w:p>
    <w:p w14:paraId="02C4385B" w14:textId="77777777" w:rsidR="006A1579" w:rsidRPr="00B369EB" w:rsidRDefault="006A1579" w:rsidP="006A1579">
      <w:pPr>
        <w:rPr>
          <w:bCs/>
          <w:u w:val="single"/>
        </w:rPr>
      </w:pPr>
    </w:p>
    <w:p w14:paraId="3CB29C8D" w14:textId="77777777" w:rsidR="007F2C3D" w:rsidRPr="00B369EB" w:rsidRDefault="001C673E">
      <w:pPr>
        <w:rPr>
          <w:bCs/>
          <w:u w:val="single"/>
        </w:rPr>
      </w:pPr>
      <w:r w:rsidRPr="00B369EB">
        <w:rPr>
          <w:bCs/>
          <w:u w:val="single"/>
        </w:rPr>
        <w:t xml:space="preserve">1.1 Modificación de la ley y de los Reglamentos de aplicación: </w:t>
      </w:r>
    </w:p>
    <w:p w14:paraId="2B2CAE7C" w14:textId="77777777" w:rsidR="006A1579" w:rsidRPr="00B369EB" w:rsidRDefault="006A1579" w:rsidP="006A1579">
      <w:pPr>
        <w:rPr>
          <w:bCs/>
        </w:rPr>
      </w:pPr>
    </w:p>
    <w:p w14:paraId="6C2E8CAF" w14:textId="77777777" w:rsidR="007F2C3D" w:rsidRPr="00B369EB" w:rsidRDefault="001C673E">
      <w:pPr>
        <w:rPr>
          <w:bCs/>
        </w:rPr>
      </w:pPr>
      <w:r w:rsidRPr="00B369EB">
        <w:rPr>
          <w:bCs/>
        </w:rPr>
        <w:t xml:space="preserve">A partir del 1 de abril de 2024, a raíz de la sentencia del Tribunal de Justicia de la Unión Europea en el asunto C-522/21, la UE modificó las normas de aplicación de la exención agrícola, mediante el Reglamento de Ejecución (UE) 2024/833 de la Comisión, de 11 de marzo de 2024, por el que se modifica el Reglamento (CE) </w:t>
      </w:r>
      <w:proofErr w:type="spellStart"/>
      <w:r w:rsidRPr="00B369EB">
        <w:rPr>
          <w:bCs/>
        </w:rPr>
        <w:t>nº</w:t>
      </w:r>
      <w:proofErr w:type="spellEnd"/>
      <w:r w:rsidRPr="00B369EB">
        <w:rPr>
          <w:bCs/>
        </w:rPr>
        <w:t xml:space="preserve"> 1768/95 de la Comisión en lo que respecta a la responsabilidad por daños con arreglo al artículo 94, apartado 2, del Reglamento (CE) </w:t>
      </w:r>
      <w:proofErr w:type="spellStart"/>
      <w:r w:rsidRPr="00B369EB">
        <w:rPr>
          <w:bCs/>
        </w:rPr>
        <w:t>nº</w:t>
      </w:r>
      <w:proofErr w:type="spellEnd"/>
      <w:r w:rsidRPr="00B369EB">
        <w:rPr>
          <w:bCs/>
        </w:rPr>
        <w:t xml:space="preserve"> 2100/94 del Consejo. </w:t>
      </w:r>
    </w:p>
    <w:p w14:paraId="50D7F3E9" w14:textId="77777777" w:rsidR="006A1579" w:rsidRPr="00B369EB" w:rsidRDefault="006A1579" w:rsidP="006A1579">
      <w:pPr>
        <w:rPr>
          <w:bCs/>
        </w:rPr>
      </w:pPr>
    </w:p>
    <w:p w14:paraId="07B4FF80" w14:textId="77777777" w:rsidR="007F2C3D" w:rsidRPr="00B369EB" w:rsidRDefault="001C673E">
      <w:pPr>
        <w:rPr>
          <w:bCs/>
          <w:u w:val="single"/>
        </w:rPr>
      </w:pPr>
      <w:r w:rsidRPr="00B369EB">
        <w:rPr>
          <w:bCs/>
          <w:u w:val="single"/>
        </w:rPr>
        <w:t>1.2 Jurisprudencia</w:t>
      </w:r>
    </w:p>
    <w:p w14:paraId="45BA7A69" w14:textId="77777777" w:rsidR="00D11C1B" w:rsidRPr="00B369EB" w:rsidRDefault="00D11C1B" w:rsidP="006A1579">
      <w:pPr>
        <w:rPr>
          <w:bCs/>
        </w:rPr>
      </w:pPr>
    </w:p>
    <w:p w14:paraId="1DF6EEBB" w14:textId="77777777" w:rsidR="007F2C3D" w:rsidRPr="00B369EB" w:rsidRDefault="001C673E">
      <w:pPr>
        <w:rPr>
          <w:bCs/>
          <w:u w:val="single"/>
        </w:rPr>
      </w:pPr>
      <w:r w:rsidRPr="00B369EB">
        <w:rPr>
          <w:bCs/>
          <w:u w:val="single"/>
        </w:rPr>
        <w:t>1.2.1 Tribunal General de la Unión Europea</w:t>
      </w:r>
    </w:p>
    <w:p w14:paraId="25313495" w14:textId="77777777" w:rsidR="00D11C1B" w:rsidRPr="00B369EB" w:rsidRDefault="00D11C1B" w:rsidP="006A1579">
      <w:pPr>
        <w:rPr>
          <w:bCs/>
        </w:rPr>
      </w:pPr>
      <w:bookmarkStart w:id="4" w:name="_Hlk172413528"/>
      <w:bookmarkStart w:id="5" w:name="_Hlk172410267"/>
    </w:p>
    <w:p w14:paraId="6BBAF7E4" w14:textId="77777777" w:rsidR="007F2C3D" w:rsidRPr="00B369EB" w:rsidRDefault="001C673E">
      <w:pPr>
        <w:rPr>
          <w:bCs/>
          <w:i/>
          <w:iCs/>
        </w:rPr>
      </w:pPr>
      <w:r w:rsidRPr="00B369EB">
        <w:rPr>
          <w:bCs/>
          <w:i/>
          <w:iCs/>
        </w:rPr>
        <w:t xml:space="preserve">Sentencia de 28 de febrero de 2024 en el asunto </w:t>
      </w:r>
      <w:r w:rsidRPr="00B369EB">
        <w:rPr>
          <w:rFonts w:ascii="Cambria Math" w:hAnsi="Cambria Math" w:cs="Cambria Math"/>
          <w:bCs/>
          <w:i/>
          <w:iCs/>
        </w:rPr>
        <w:t>T-556/22</w:t>
      </w:r>
      <w:r w:rsidRPr="00B369EB">
        <w:rPr>
          <w:bCs/>
          <w:i/>
          <w:iCs/>
        </w:rPr>
        <w:t xml:space="preserve">, House </w:t>
      </w:r>
      <w:proofErr w:type="spellStart"/>
      <w:r w:rsidRPr="00B369EB">
        <w:rPr>
          <w:bCs/>
          <w:i/>
          <w:iCs/>
        </w:rPr>
        <w:t>Foods</w:t>
      </w:r>
      <w:proofErr w:type="spellEnd"/>
      <w:r w:rsidRPr="00B369EB">
        <w:rPr>
          <w:bCs/>
          <w:i/>
          <w:iCs/>
        </w:rPr>
        <w:t xml:space="preserve"> </w:t>
      </w:r>
      <w:proofErr w:type="spellStart"/>
      <w:r w:rsidRPr="00B369EB">
        <w:rPr>
          <w:bCs/>
          <w:i/>
          <w:iCs/>
        </w:rPr>
        <w:t>Group</w:t>
      </w:r>
      <w:proofErr w:type="spellEnd"/>
      <w:r w:rsidRPr="00B369EB">
        <w:rPr>
          <w:bCs/>
          <w:i/>
          <w:iCs/>
        </w:rPr>
        <w:t>, Inc. contra OCVV ("SK20")</w:t>
      </w:r>
    </w:p>
    <w:bookmarkEnd w:id="4"/>
    <w:p w14:paraId="7EC4D5C4" w14:textId="77777777" w:rsidR="00D11C1B" w:rsidRPr="00B369EB" w:rsidRDefault="00D11C1B" w:rsidP="006A1579"/>
    <w:p w14:paraId="6049CECA" w14:textId="77777777" w:rsidR="007F2C3D" w:rsidRPr="00B369EB" w:rsidRDefault="001C673E">
      <w:r w:rsidRPr="00B369EB">
        <w:t xml:space="preserve">En diciembre de 2017, House </w:t>
      </w:r>
      <w:proofErr w:type="spellStart"/>
      <w:r w:rsidRPr="00B369EB">
        <w:t>Foods</w:t>
      </w:r>
      <w:proofErr w:type="spellEnd"/>
      <w:r w:rsidRPr="00B369EB">
        <w:t xml:space="preserve"> </w:t>
      </w:r>
      <w:proofErr w:type="spellStart"/>
      <w:r w:rsidRPr="00B369EB">
        <w:t>Group</w:t>
      </w:r>
      <w:proofErr w:type="spellEnd"/>
      <w:r w:rsidRPr="00B369EB">
        <w:t xml:space="preserve"> Inc. ("solicitante") presentó una solicitud de protección comunitaria de obtención vegetal ("CPVR") para una variedad de la especie </w:t>
      </w:r>
      <w:proofErr w:type="spellStart"/>
      <w:r w:rsidRPr="00B369EB">
        <w:rPr>
          <w:i/>
          <w:iCs/>
        </w:rPr>
        <w:t>Allum</w:t>
      </w:r>
      <w:proofErr w:type="spellEnd"/>
      <w:r w:rsidRPr="00B369EB">
        <w:rPr>
          <w:i/>
          <w:iCs/>
        </w:rPr>
        <w:t xml:space="preserve"> cepa </w:t>
      </w:r>
      <w:r w:rsidRPr="00B369EB">
        <w:t>(grupo Cepa) con denominación "SK20" (expediente n.º 2017/3314). La OCVV consideró que la variedad cumplía los requisitos DHE y emitió un informe final positivo sobre el examen técnico junto con la descripción de la variedad. No obstante, el solicitante pidió que se añadiera en la descripción de la variedad un carácter no incluido en el protocolo técnico.</w:t>
      </w:r>
    </w:p>
    <w:p w14:paraId="0A8F0EB3" w14:textId="77777777" w:rsidR="00D11C1B" w:rsidRPr="00B369EB" w:rsidRDefault="00D11C1B" w:rsidP="006A1579"/>
    <w:p w14:paraId="2D33B169" w14:textId="77777777" w:rsidR="007F2C3D" w:rsidRPr="00B369EB" w:rsidRDefault="001C673E">
      <w:r w:rsidRPr="00B369EB">
        <w:t xml:space="preserve">La Oficina denegó la solicitud explicando que ya se había determinado que la variedad era distinta de la notoriamente conocida basándose en otras características morfológicas que formaban parte del protocolo pertinente. La CPVR fue entonces concedida. </w:t>
      </w:r>
    </w:p>
    <w:p w14:paraId="3329CE74" w14:textId="77777777" w:rsidR="00D11C1B" w:rsidRPr="00B369EB" w:rsidRDefault="00D11C1B" w:rsidP="006A1579"/>
    <w:p w14:paraId="65E212A7" w14:textId="77777777" w:rsidR="007F2C3D" w:rsidRPr="00B369EB" w:rsidRDefault="001C673E">
      <w:r w:rsidRPr="00B369EB">
        <w:t xml:space="preserve">El solicitante (ahora "recurrente") recurrió la decisión de la Oficina sobre la concesión del derecho de obtentor ante la Sala de Recurso de la OCVV ("Sala"). El recurso se basaba esencialmente en que la decisión de la OCVV de negarse a modificar la descripción de la variedad para reflejar la característica adicional invocada por el recurrente afectaba al alcance de la protección del derecho concedido. </w:t>
      </w:r>
    </w:p>
    <w:p w14:paraId="2CF27AB1" w14:textId="77777777" w:rsidR="00D11C1B" w:rsidRPr="00B369EB" w:rsidRDefault="00D11C1B" w:rsidP="006A1579"/>
    <w:p w14:paraId="6D59B2F6" w14:textId="77777777" w:rsidR="007F2C3D" w:rsidRPr="00B369EB" w:rsidRDefault="001C673E">
      <w:r w:rsidRPr="00B369EB">
        <w:t>Mediante resolución de 1 de julio de 2022 (</w:t>
      </w:r>
      <w:proofErr w:type="spellStart"/>
      <w:r w:rsidRPr="00B369EB">
        <w:t>nº</w:t>
      </w:r>
      <w:proofErr w:type="spellEnd"/>
      <w:r w:rsidRPr="00B369EB">
        <w:t xml:space="preserve"> A018/2021), la Sala desestimó el recurso. La Sala lo consideró inadmisible con arreglo al artículo 49, apartado 1, del Reglamento (CE) </w:t>
      </w:r>
      <w:proofErr w:type="spellStart"/>
      <w:r w:rsidRPr="00B369EB">
        <w:t>nº</w:t>
      </w:r>
      <w:proofErr w:type="spellEnd"/>
      <w:r w:rsidRPr="00B369EB">
        <w:t xml:space="preserve"> 874/2009 ("Reglamento de procedimiento" o "RP") en relación con el artículo 81 del Reglamento (CE) </w:t>
      </w:r>
      <w:proofErr w:type="spellStart"/>
      <w:r w:rsidRPr="00B369EB">
        <w:t>nº</w:t>
      </w:r>
      <w:proofErr w:type="spellEnd"/>
      <w:r w:rsidRPr="00B369EB">
        <w:t xml:space="preserve"> 2100/94 ("Reglamento de base" o "RB"), ya que el recurrente no cumplía los requisitos para ser considerado "parte perdedora".</w:t>
      </w:r>
    </w:p>
    <w:p w14:paraId="25337F54" w14:textId="77777777" w:rsidR="00D11C1B" w:rsidRPr="00B369EB" w:rsidRDefault="00D11C1B" w:rsidP="006A1579">
      <w:bookmarkStart w:id="6" w:name="_Hlk172414272"/>
    </w:p>
    <w:p w14:paraId="43A88C03" w14:textId="77777777" w:rsidR="007F2C3D" w:rsidRPr="00B369EB" w:rsidRDefault="001C673E">
      <w:r w:rsidRPr="00B369EB">
        <w:t xml:space="preserve">La recurrente interpuso un nuevo recurso contra la resolución de la Sala ante el Tribunal General. El Tribunal General también desestimó el recurso, confirmando la posición de la Oficina y de la Sala. </w:t>
      </w:r>
    </w:p>
    <w:bookmarkEnd w:id="6"/>
    <w:p w14:paraId="34102868" w14:textId="77777777" w:rsidR="00D11C1B" w:rsidRPr="00B369EB" w:rsidRDefault="00D11C1B" w:rsidP="006A1579"/>
    <w:p w14:paraId="6AEAE509" w14:textId="77777777" w:rsidR="007F2C3D" w:rsidRPr="00B369EB" w:rsidRDefault="001C673E">
      <w:r w:rsidRPr="00B369EB">
        <w:t xml:space="preserve">En su sentencia, el Tribunal General aclaró que la descripción oficial de la variedad no tiene por objeto reflejar la expresión de todos los caracteres resultantes del genotipo de una variedad candidata, sino únicamente la de aquellos caracteres suficientes para demostrar la distinción de la variedad. Basta con que la variedad se distinga claramente por al menos un carácter. Por lo tanto, aunque la característica adicional se hubiera incluido en el examen técnico y en la descripción de la variedad, ello no habría influido en la protección conferida por la CPVR. </w:t>
      </w:r>
    </w:p>
    <w:p w14:paraId="50618081" w14:textId="77777777" w:rsidR="00D11C1B" w:rsidRPr="00B369EB" w:rsidRDefault="00D11C1B" w:rsidP="006A1579"/>
    <w:p w14:paraId="478BC6FB" w14:textId="77777777" w:rsidR="007F2C3D" w:rsidRPr="00B369EB" w:rsidRDefault="001C673E">
      <w:r w:rsidRPr="00B369EB">
        <w:t xml:space="preserve">El Tribunal General dictaminó además que la inserción de la característica adicional en la descripción de la variedad no puede suponer ninguna ventaja en lo que respecta al alcance de la protección de una protección </w:t>
      </w:r>
      <w:r w:rsidRPr="00B369EB">
        <w:lastRenderedPageBreak/>
        <w:t>comunitaria de las obtenciones vegetales. Ello se debe a que el alcance de la protección comunitaria de las obtenciones vegetales se refiere a la propia variedad y a todo su material vegetal, abarcando todas las características de la variedad resultantes de su genotipo, e independientemente de las características que se reflejen en la descripción de la variedad. Sobre esta base, el Tribunal General declaró que la Sala había considerado acertadamente que la recurrente carecía de interés para interponer el recurso.</w:t>
      </w:r>
    </w:p>
    <w:p w14:paraId="585D5729" w14:textId="77777777" w:rsidR="00D11C1B" w:rsidRPr="00B369EB" w:rsidRDefault="00D11C1B" w:rsidP="006A1579"/>
    <w:p w14:paraId="0FE5A0C8" w14:textId="77777777" w:rsidR="007F2C3D" w:rsidRPr="00B369EB" w:rsidRDefault="001C673E">
      <w:r w:rsidRPr="00B369EB">
        <w:t>Por último, el Tribunal General confirmó que la Sala tenía razón al señalar que el Presidente de la OCVV no tenía obligación de poner en marcha el procedimiento de caracteres adicionales del Art. 23 PR, puesto que la distinción de la variedad ya se había establecido sobre la base de al menos una característica.</w:t>
      </w:r>
    </w:p>
    <w:p w14:paraId="7755C6CF" w14:textId="77777777" w:rsidR="00D11C1B" w:rsidRPr="00B369EB" w:rsidRDefault="00D11C1B" w:rsidP="006A1579"/>
    <w:p w14:paraId="30B8EF35" w14:textId="77777777" w:rsidR="007F2C3D" w:rsidRPr="00B369EB" w:rsidRDefault="001C673E">
      <w:pPr>
        <w:rPr>
          <w:rFonts w:cs="Calibri"/>
          <w:i/>
          <w:iCs/>
        </w:rPr>
      </w:pPr>
      <w:r w:rsidRPr="00B369EB">
        <w:rPr>
          <w:i/>
          <w:iCs/>
        </w:rPr>
        <w:t xml:space="preserve">Sentencia de </w:t>
      </w:r>
      <w:r w:rsidRPr="00B369EB">
        <w:rPr>
          <w:rFonts w:cs="Calibri"/>
          <w:i/>
          <w:iCs/>
        </w:rPr>
        <w:t xml:space="preserve">17 de abril de 2024 </w:t>
      </w:r>
      <w:r w:rsidRPr="00B369EB">
        <w:rPr>
          <w:i/>
          <w:iCs/>
        </w:rPr>
        <w:t xml:space="preserve">en el asunto </w:t>
      </w:r>
      <w:r w:rsidRPr="00B369EB">
        <w:rPr>
          <w:rFonts w:cs="Calibri"/>
          <w:i/>
          <w:iCs/>
        </w:rPr>
        <w:t>T-2/23</w:t>
      </w:r>
      <w:r w:rsidRPr="00B369EB">
        <w:rPr>
          <w:i/>
          <w:iCs/>
        </w:rPr>
        <w:t xml:space="preserve">, </w:t>
      </w:r>
      <w:r w:rsidRPr="00B369EB">
        <w:rPr>
          <w:rFonts w:cs="Calibri"/>
          <w:i/>
          <w:iCs/>
        </w:rPr>
        <w:t xml:space="preserve">Romagnoli Fratelli </w:t>
      </w:r>
      <w:proofErr w:type="spellStart"/>
      <w:r w:rsidRPr="00B369EB">
        <w:rPr>
          <w:rFonts w:cs="Calibri"/>
          <w:i/>
          <w:iCs/>
        </w:rPr>
        <w:t>SpA</w:t>
      </w:r>
      <w:proofErr w:type="spellEnd"/>
      <w:r w:rsidRPr="00B369EB">
        <w:rPr>
          <w:rFonts w:cs="Calibri"/>
          <w:i/>
          <w:iCs/>
        </w:rPr>
        <w:t xml:space="preserve"> contra OCVV ("</w:t>
      </w:r>
      <w:proofErr w:type="spellStart"/>
      <w:r w:rsidRPr="00B369EB">
        <w:rPr>
          <w:rFonts w:cs="Calibri"/>
          <w:i/>
          <w:iCs/>
        </w:rPr>
        <w:t>Melrose</w:t>
      </w:r>
      <w:proofErr w:type="spellEnd"/>
      <w:r w:rsidRPr="00B369EB">
        <w:rPr>
          <w:rFonts w:cs="Calibri"/>
          <w:i/>
          <w:iCs/>
        </w:rPr>
        <w:t>")</w:t>
      </w:r>
    </w:p>
    <w:p w14:paraId="41BD8F68" w14:textId="77777777" w:rsidR="00D11C1B" w:rsidRPr="00B369EB" w:rsidRDefault="00D11C1B" w:rsidP="006A1579"/>
    <w:p w14:paraId="203369BE" w14:textId="77777777" w:rsidR="007F2C3D" w:rsidRPr="00B369EB" w:rsidRDefault="001C673E">
      <w:r w:rsidRPr="00B369EB">
        <w:t>El presente asunto se refiere a la CPVR de la variedad de patata "</w:t>
      </w:r>
      <w:proofErr w:type="spellStart"/>
      <w:r w:rsidRPr="00B369EB">
        <w:t>Melrose</w:t>
      </w:r>
      <w:proofErr w:type="spellEnd"/>
      <w:r w:rsidRPr="00B369EB">
        <w:t xml:space="preserve">" perteneciente a Romagnoli Fratelli </w:t>
      </w:r>
      <w:proofErr w:type="spellStart"/>
      <w:r w:rsidRPr="00B369EB">
        <w:t>SpA</w:t>
      </w:r>
      <w:proofErr w:type="spellEnd"/>
      <w:r w:rsidRPr="00B369EB">
        <w:t xml:space="preserve"> ("titular"). El 27 de octubre de 2021, la OCVV envió al titular a través de la plataforma en línea </w:t>
      </w:r>
      <w:proofErr w:type="spellStart"/>
      <w:r w:rsidRPr="00B369EB">
        <w:t>MyPVR</w:t>
      </w:r>
      <w:proofErr w:type="spellEnd"/>
      <w:r w:rsidRPr="00B369EB">
        <w:t xml:space="preserve"> </w:t>
      </w:r>
      <w:proofErr w:type="spellStart"/>
      <w:r w:rsidRPr="00B369EB">
        <w:t>User</w:t>
      </w:r>
      <w:proofErr w:type="spellEnd"/>
      <w:r w:rsidRPr="00B369EB">
        <w:t xml:space="preserve"> </w:t>
      </w:r>
      <w:proofErr w:type="spellStart"/>
      <w:r w:rsidRPr="00B369EB">
        <w:t>Area</w:t>
      </w:r>
      <w:proofErr w:type="spellEnd"/>
      <w:r w:rsidRPr="00B369EB">
        <w:t xml:space="preserve"> la nota de adeudo relativa al pago de la tasa anual de mantenimiento de la CPVR. A falta de pago, la OCVV envió a través del Área de Usuario </w:t>
      </w:r>
      <w:proofErr w:type="spellStart"/>
      <w:r w:rsidRPr="00B369EB">
        <w:t>MyPVR</w:t>
      </w:r>
      <w:proofErr w:type="spellEnd"/>
      <w:r w:rsidRPr="00B369EB">
        <w:t xml:space="preserve"> un recordatorio el 10 de enero de 2022, de nuevo a través de </w:t>
      </w:r>
      <w:proofErr w:type="spellStart"/>
      <w:r w:rsidRPr="00B369EB">
        <w:t>MyPVR</w:t>
      </w:r>
      <w:proofErr w:type="spellEnd"/>
      <w:r w:rsidRPr="00B369EB">
        <w:t xml:space="preserve">, en el que se concedía al titular un plazo de un mes para abonar la tasa anual. El 21 de marzo de 2022 y basándose en la falta de pago, la OCVV canceló la CPVR de conformidad con el artículo 21 del Reglamento de base. El 6 de mayo de 2022, el titular presentó una solicitud de </w:t>
      </w:r>
      <w:proofErr w:type="spellStart"/>
      <w:r w:rsidRPr="00B369EB">
        <w:rPr>
          <w:i/>
          <w:iCs/>
        </w:rPr>
        <w:t>restitutio</w:t>
      </w:r>
      <w:proofErr w:type="spellEnd"/>
      <w:r w:rsidRPr="00B369EB">
        <w:rPr>
          <w:i/>
          <w:iCs/>
        </w:rPr>
        <w:t xml:space="preserve"> in </w:t>
      </w:r>
      <w:proofErr w:type="spellStart"/>
      <w:r w:rsidRPr="00B369EB">
        <w:rPr>
          <w:i/>
          <w:iCs/>
        </w:rPr>
        <w:t>integrum</w:t>
      </w:r>
      <w:proofErr w:type="spellEnd"/>
      <w:r w:rsidRPr="00B369EB">
        <w:rPr>
          <w:i/>
          <w:iCs/>
        </w:rPr>
        <w:t xml:space="preserve"> </w:t>
      </w:r>
      <w:r w:rsidRPr="00B369EB">
        <w:t xml:space="preserve">de conformidad con el artículo 80 del RB. La OCVV denegó esta solicitud por no cumplir las condiciones legales exigidas. </w:t>
      </w:r>
    </w:p>
    <w:p w14:paraId="6F6C5325" w14:textId="77777777" w:rsidR="00D11C1B" w:rsidRPr="00B369EB" w:rsidRDefault="00D11C1B" w:rsidP="006A1579"/>
    <w:p w14:paraId="29BEAA54" w14:textId="77777777" w:rsidR="007F2C3D" w:rsidRPr="00B369EB" w:rsidRDefault="001C673E">
      <w:r w:rsidRPr="00B369EB">
        <w:t xml:space="preserve">El titular (ahora "recurrente") impugnó directamente ante el Tribunal General la decisión de la OCVV sobre su solicitud de </w:t>
      </w:r>
      <w:proofErr w:type="spellStart"/>
      <w:r w:rsidRPr="00B369EB">
        <w:t>restitutio</w:t>
      </w:r>
      <w:proofErr w:type="spellEnd"/>
      <w:r w:rsidRPr="00B369EB">
        <w:t xml:space="preserve"> in </w:t>
      </w:r>
      <w:proofErr w:type="spellStart"/>
      <w:r w:rsidRPr="00B369EB">
        <w:t>integrum</w:t>
      </w:r>
      <w:proofErr w:type="spellEnd"/>
      <w:r w:rsidRPr="00B369EB">
        <w:t xml:space="preserve">. Alegó que, a pesar de haber ejercido toda la diligencia debida, circunstancias imprevisibles relacionadas con la pandemia de Covid-19 le impidieron realizar el seguimiento del pago exigido. Ello justificaría su incumplimiento del plazo para el pago. A continuación, el titular impugnó la legalidad del canal de comunicación electrónica </w:t>
      </w:r>
      <w:proofErr w:type="spellStart"/>
      <w:r w:rsidRPr="00B369EB">
        <w:t>MyPVR</w:t>
      </w:r>
      <w:proofErr w:type="spellEnd"/>
      <w:r w:rsidRPr="00B369EB">
        <w:t xml:space="preserve"> de la OCVV como medio válido para notificar las notas de adeudo y los recordatorios relativos al pago de las tasas anuales.</w:t>
      </w:r>
    </w:p>
    <w:p w14:paraId="129923F9" w14:textId="77777777" w:rsidR="00D11C1B" w:rsidRPr="00B369EB" w:rsidRDefault="00D11C1B" w:rsidP="006A1579"/>
    <w:p w14:paraId="1805B790" w14:textId="77777777" w:rsidR="007F2C3D" w:rsidRPr="00B369EB" w:rsidRDefault="001C673E">
      <w:r w:rsidRPr="00B369EB">
        <w:t xml:space="preserve">Por su parte, la OCVV impugnó la admisibilidad del recurso del recurrente por carecer de base jurídica para ello. Las decisiones de </w:t>
      </w:r>
      <w:proofErr w:type="spellStart"/>
      <w:r w:rsidRPr="00B369EB">
        <w:rPr>
          <w:i/>
          <w:iCs/>
        </w:rPr>
        <w:t>restitutio</w:t>
      </w:r>
      <w:proofErr w:type="spellEnd"/>
      <w:r w:rsidRPr="00B369EB">
        <w:rPr>
          <w:i/>
          <w:iCs/>
        </w:rPr>
        <w:t xml:space="preserve"> in </w:t>
      </w:r>
      <w:proofErr w:type="spellStart"/>
      <w:r w:rsidRPr="00B369EB">
        <w:rPr>
          <w:i/>
          <w:iCs/>
        </w:rPr>
        <w:t>integrum</w:t>
      </w:r>
      <w:proofErr w:type="spellEnd"/>
      <w:r w:rsidRPr="00B369EB">
        <w:rPr>
          <w:i/>
          <w:iCs/>
        </w:rPr>
        <w:t xml:space="preserve"> </w:t>
      </w:r>
      <w:r w:rsidRPr="00B369EB">
        <w:t>no son susceptibles de recurso en el sentido del artículo 67, apartado 1, del Reglamento de base y, además, el recurrente había impugnado una decisión de la OCVV directamente ante el Tribunal General, sin pasar por la Sala.</w:t>
      </w:r>
    </w:p>
    <w:p w14:paraId="2E5FDA51" w14:textId="77777777" w:rsidR="00D11C1B" w:rsidRPr="00B369EB" w:rsidRDefault="00D11C1B" w:rsidP="006A1579"/>
    <w:p w14:paraId="2E472873" w14:textId="77777777" w:rsidR="007F2C3D" w:rsidRPr="00B369EB" w:rsidRDefault="001C673E">
      <w:r w:rsidRPr="00B369EB">
        <w:t xml:space="preserve">El Tribunal General declaró el recurso admisible pero infundado y desestimó el recurso. </w:t>
      </w:r>
    </w:p>
    <w:p w14:paraId="7AE78124" w14:textId="77777777" w:rsidR="00D11C1B" w:rsidRPr="00B369EB" w:rsidRDefault="00D11C1B" w:rsidP="006A1579"/>
    <w:p w14:paraId="1E523937" w14:textId="77777777" w:rsidR="007F2C3D" w:rsidRPr="00B369EB" w:rsidRDefault="001C673E">
      <w:r w:rsidRPr="00B369EB">
        <w:t xml:space="preserve">Por lo que respecta a la admisibilidad del recurso, el Tribunal General declaró que, a pesar de la ausencia de disposiciones específicas de procedimiento en el Reglamento de base para interponer un recurso contra una resolución de la Oficina a raíz de una petición de </w:t>
      </w:r>
      <w:proofErr w:type="spellStart"/>
      <w:r w:rsidRPr="00B369EB">
        <w:rPr>
          <w:i/>
          <w:iCs/>
        </w:rPr>
        <w:t>restitutio</w:t>
      </w:r>
      <w:proofErr w:type="spellEnd"/>
      <w:r w:rsidRPr="00B369EB">
        <w:rPr>
          <w:i/>
          <w:iCs/>
        </w:rPr>
        <w:t xml:space="preserve"> in </w:t>
      </w:r>
      <w:proofErr w:type="spellStart"/>
      <w:r w:rsidRPr="00B369EB">
        <w:rPr>
          <w:i/>
          <w:iCs/>
        </w:rPr>
        <w:t>integrum</w:t>
      </w:r>
      <w:proofErr w:type="spellEnd"/>
      <w:r w:rsidRPr="00B369EB">
        <w:t>, la OCVV debe aplicar los principios de Derecho procesal generalmente reconocidos en los Estados miembros. Debe considerarse que estos principios, junto con determinadas disposiciones legales del Tratado de Funcionamiento de la Unión Europea (TFUE), ofrecen la posibilidad de interponer un recurso contra los actos de cualquier órgano de la UE, incluida la OCVV.</w:t>
      </w:r>
    </w:p>
    <w:p w14:paraId="5369C5A0" w14:textId="77777777" w:rsidR="00D11C1B" w:rsidRPr="00B369EB" w:rsidRDefault="00D11C1B" w:rsidP="006A1579"/>
    <w:p w14:paraId="1BCF7261" w14:textId="77777777" w:rsidR="007F2C3D" w:rsidRPr="00B369EB" w:rsidRDefault="001C673E">
      <w:r w:rsidRPr="00B369EB">
        <w:t xml:space="preserve">En cuanto al fondo, el Tribunal General desestimó los motivos de la recurrente por infundados. En primer lugar, el Tribunal General consideró que la OCVV actuó correctamente al estimar que las pruebas aportadas por el recurrente no eran suficientes para acreditar las circunstancias imprevisibles invocadas, y que no podía demostrarse la diligencia debida exigida por el recurrente. Por lo tanto, la solicitud de </w:t>
      </w:r>
      <w:proofErr w:type="spellStart"/>
      <w:r w:rsidRPr="00B369EB">
        <w:rPr>
          <w:i/>
          <w:iCs/>
        </w:rPr>
        <w:t>restitutio</w:t>
      </w:r>
      <w:proofErr w:type="spellEnd"/>
      <w:r w:rsidRPr="00B369EB">
        <w:rPr>
          <w:i/>
          <w:iCs/>
        </w:rPr>
        <w:t xml:space="preserve"> in </w:t>
      </w:r>
      <w:proofErr w:type="spellStart"/>
      <w:r w:rsidRPr="00B369EB">
        <w:rPr>
          <w:i/>
          <w:iCs/>
        </w:rPr>
        <w:t>integrum</w:t>
      </w:r>
      <w:proofErr w:type="spellEnd"/>
      <w:r w:rsidRPr="00B369EB">
        <w:rPr>
          <w:i/>
          <w:iCs/>
        </w:rPr>
        <w:t xml:space="preserve"> </w:t>
      </w:r>
      <w:r w:rsidRPr="00B369EB">
        <w:t xml:space="preserve">no cumplía los requisitos establecidos en el artículo 80 del Reglamento de base, y se confirmó la corrección de la decisión de la OCVV. En segundo lugar, el Tribunal General declaró que no podía reprocharse a la OCVV haber enviado los recordatorios de nota de adeudo a través de </w:t>
      </w:r>
      <w:proofErr w:type="spellStart"/>
      <w:r w:rsidRPr="00B369EB">
        <w:t>MyPVR</w:t>
      </w:r>
      <w:proofErr w:type="spellEnd"/>
      <w:r w:rsidRPr="00B369EB">
        <w:t xml:space="preserve">, dado que el solicitante había optado previamente por la comunicación electrónica mediante la firma de las condiciones de uso de </w:t>
      </w:r>
      <w:proofErr w:type="spellStart"/>
      <w:r w:rsidRPr="00B369EB">
        <w:t>MyPVR</w:t>
      </w:r>
      <w:proofErr w:type="spellEnd"/>
      <w:r w:rsidRPr="00B369EB">
        <w:t xml:space="preserve">. En tercer lugar, el tribunal consideró que el marco jurídico de la OCVV reconoce los medios electrónicos como método válido de comunicación, marco que incluye la decisión del Presidente de la OCVV por la que se establece </w:t>
      </w:r>
      <w:proofErr w:type="spellStart"/>
      <w:r w:rsidRPr="00B369EB">
        <w:t>MyPVR</w:t>
      </w:r>
      <w:proofErr w:type="spellEnd"/>
      <w:r w:rsidRPr="00B369EB">
        <w:t xml:space="preserve"> como medio de comunicación con los </w:t>
      </w:r>
      <w:proofErr w:type="spellStart"/>
      <w:r w:rsidRPr="00B369EB">
        <w:t>ciberusuarios</w:t>
      </w:r>
      <w:proofErr w:type="spellEnd"/>
      <w:r w:rsidRPr="00B369EB">
        <w:t xml:space="preserve">. </w:t>
      </w:r>
    </w:p>
    <w:p w14:paraId="0063B242" w14:textId="77777777" w:rsidR="00D11C1B" w:rsidRPr="00B369EB" w:rsidRDefault="00D11C1B" w:rsidP="006A1579"/>
    <w:p w14:paraId="0BBA383D" w14:textId="77777777" w:rsidR="007F2C3D" w:rsidRPr="00B369EB" w:rsidRDefault="001C673E">
      <w:r w:rsidRPr="00B369EB">
        <w:t xml:space="preserve">Se señala que la recurrente interpuso el 14 de junio de 2024 un recurso ante el Tribunal de Justicia para impugnar la sentencia del Tribunal General (asunto C-426/24 P). Los criterios de admisibilidad en la instancia del Tribunal de Justicia son restrictivos, por lo que queda por ver si el recurso se considera admisible en primer lugar. </w:t>
      </w:r>
    </w:p>
    <w:p w14:paraId="020C40BA" w14:textId="77777777" w:rsidR="00D11C1B" w:rsidRPr="00B369EB" w:rsidRDefault="00D11C1B" w:rsidP="006A1579"/>
    <w:p w14:paraId="2B1BC2C7" w14:textId="77777777" w:rsidR="007F2C3D" w:rsidRPr="00B369EB" w:rsidRDefault="001C673E" w:rsidP="007C78E0">
      <w:pPr>
        <w:keepNext/>
        <w:rPr>
          <w:rFonts w:cs="Calibri"/>
          <w:i/>
          <w:iCs/>
        </w:rPr>
      </w:pPr>
      <w:r w:rsidRPr="00B369EB">
        <w:rPr>
          <w:rFonts w:cs="Calibri"/>
          <w:i/>
          <w:iCs/>
        </w:rPr>
        <w:lastRenderedPageBreak/>
        <w:t xml:space="preserve">Sentencia de 29 de mayo de 2024 en el asunto </w:t>
      </w:r>
      <w:r w:rsidRPr="00B369EB">
        <w:rPr>
          <w:rFonts w:ascii="Cambria Math" w:hAnsi="Cambria Math" w:cs="Cambria Math"/>
          <w:i/>
          <w:iCs/>
        </w:rPr>
        <w:t>T-77/23</w:t>
      </w:r>
      <w:r w:rsidRPr="00B369EB">
        <w:rPr>
          <w:rFonts w:cs="Calibri"/>
          <w:i/>
          <w:iCs/>
        </w:rPr>
        <w:t xml:space="preserve">, </w:t>
      </w:r>
      <w:proofErr w:type="spellStart"/>
      <w:r w:rsidRPr="00B369EB">
        <w:rPr>
          <w:rFonts w:cs="Calibri"/>
          <w:i/>
          <w:iCs/>
        </w:rPr>
        <w:t>Jaw</w:t>
      </w:r>
      <w:proofErr w:type="spellEnd"/>
      <w:r w:rsidRPr="00B369EB">
        <w:rPr>
          <w:rFonts w:cs="Calibri"/>
          <w:i/>
          <w:iCs/>
        </w:rPr>
        <w:t xml:space="preserve"> de </w:t>
      </w:r>
      <w:proofErr w:type="spellStart"/>
      <w:r w:rsidRPr="00B369EB">
        <w:rPr>
          <w:rFonts w:cs="Calibri"/>
          <w:i/>
          <w:iCs/>
        </w:rPr>
        <w:t>Croon</w:t>
      </w:r>
      <w:proofErr w:type="spellEnd"/>
      <w:r w:rsidRPr="00B369EB">
        <w:rPr>
          <w:rFonts w:cs="Calibri"/>
          <w:i/>
          <w:iCs/>
        </w:rPr>
        <w:t xml:space="preserve"> Holding BV contra OCVV ("Belsemred1")</w:t>
      </w:r>
    </w:p>
    <w:p w14:paraId="630C251D" w14:textId="77777777" w:rsidR="00D11C1B" w:rsidRPr="00B369EB" w:rsidRDefault="00D11C1B" w:rsidP="007C78E0">
      <w:pPr>
        <w:keepNext/>
      </w:pPr>
    </w:p>
    <w:p w14:paraId="63F8A4CC" w14:textId="77777777" w:rsidR="007F2C3D" w:rsidRPr="00B369EB" w:rsidRDefault="001C673E">
      <w:r w:rsidRPr="00B369EB">
        <w:t xml:space="preserve">En noviembre de 2015, </w:t>
      </w:r>
      <w:proofErr w:type="spellStart"/>
      <w:r w:rsidRPr="00B369EB">
        <w:t>Belgicactus</w:t>
      </w:r>
      <w:proofErr w:type="spellEnd"/>
      <w:r w:rsidRPr="00B369EB">
        <w:t xml:space="preserve"> BVBA ("solicitante") solicitó una CPVR para la variedad 'Belsemred1' de</w:t>
      </w:r>
      <w:r w:rsidRPr="00B369EB">
        <w:rPr>
          <w:i/>
          <w:iCs/>
        </w:rPr>
        <w:t xml:space="preserve"> </w:t>
      </w:r>
      <w:proofErr w:type="spellStart"/>
      <w:r w:rsidRPr="00B369EB">
        <w:rPr>
          <w:i/>
          <w:iCs/>
        </w:rPr>
        <w:t>Sempervivum</w:t>
      </w:r>
      <w:proofErr w:type="spellEnd"/>
      <w:r w:rsidRPr="00B369EB">
        <w:rPr>
          <w:i/>
          <w:iCs/>
        </w:rPr>
        <w:t xml:space="preserve"> </w:t>
      </w:r>
      <w:proofErr w:type="spellStart"/>
      <w:r w:rsidRPr="00B369EB">
        <w:rPr>
          <w:i/>
          <w:iCs/>
        </w:rPr>
        <w:t>arachnoideum</w:t>
      </w:r>
      <w:proofErr w:type="spellEnd"/>
      <w:r w:rsidRPr="00B369EB">
        <w:rPr>
          <w:i/>
          <w:iCs/>
        </w:rPr>
        <w:t xml:space="preserve"> </w:t>
      </w:r>
      <w:r w:rsidRPr="00B369EB">
        <w:t xml:space="preserve">L. El derecho se concedió en marzo de 2018. En octubre de 2019, </w:t>
      </w:r>
      <w:proofErr w:type="spellStart"/>
      <w:r w:rsidRPr="00B369EB">
        <w:t>Jaw</w:t>
      </w:r>
      <w:proofErr w:type="spellEnd"/>
      <w:r w:rsidRPr="00B369EB">
        <w:t xml:space="preserve"> de </w:t>
      </w:r>
      <w:proofErr w:type="spellStart"/>
      <w:r w:rsidRPr="00B369EB">
        <w:t>Croon</w:t>
      </w:r>
      <w:proofErr w:type="spellEnd"/>
      <w:r w:rsidRPr="00B369EB">
        <w:t xml:space="preserve"> BV presentó una petición de nulidad para impugnar la CPVR, alegando que la variedad protegida no cumplía los requisitos de distinción y novedad. Según el solicitante de nulidad, existía una variedad </w:t>
      </w:r>
      <w:r w:rsidRPr="00B369EB">
        <w:rPr>
          <w:i/>
          <w:iCs/>
        </w:rPr>
        <w:t xml:space="preserve">de </w:t>
      </w:r>
      <w:proofErr w:type="spellStart"/>
      <w:r w:rsidRPr="00B369EB">
        <w:rPr>
          <w:i/>
          <w:iCs/>
        </w:rPr>
        <w:t>Sempervivum</w:t>
      </w:r>
      <w:proofErr w:type="spellEnd"/>
      <w:r w:rsidRPr="00B369EB">
        <w:rPr>
          <w:i/>
          <w:iCs/>
        </w:rPr>
        <w:t xml:space="preserve"> </w:t>
      </w:r>
      <w:r w:rsidRPr="00B369EB">
        <w:t xml:space="preserve">rojo "idéntica o similar" a 'Belsemred1' desde 2007 y se comercializaba en grandes cantidades desde 2009/2010. También alegó que el examen técnico de 'Belsemred1' no se había realizado correctamente, ya que no había tenido en cuenta la supuesta variedad idéntica. </w:t>
      </w:r>
    </w:p>
    <w:p w14:paraId="54D70917" w14:textId="77777777" w:rsidR="00D11C1B" w:rsidRPr="00B369EB" w:rsidRDefault="00D11C1B" w:rsidP="006A1579"/>
    <w:p w14:paraId="58848F2C" w14:textId="77777777" w:rsidR="007F2C3D" w:rsidRPr="00B369EB" w:rsidRDefault="001C673E">
      <w:r w:rsidRPr="00B369EB">
        <w:t>La OCVV rechazó la petición de nulidad mediante su decisión de octubre de 2021 basándose en la insuficiencia de pruebas. El solicitante de la nulidad (ahora "recurrente") recurrió la decisión ante la Junta, alegando errores de la OCVV en la evaluación de la solicitud de nulidad y solicitando un nuevo examen técnico.</w:t>
      </w:r>
    </w:p>
    <w:p w14:paraId="70756053" w14:textId="77777777" w:rsidR="00D11C1B" w:rsidRPr="00B369EB" w:rsidRDefault="00D11C1B" w:rsidP="006A1579"/>
    <w:p w14:paraId="61FD4C15" w14:textId="77777777" w:rsidR="007F2C3D" w:rsidRPr="00B369EB" w:rsidRDefault="001C673E">
      <w:r w:rsidRPr="00B369EB">
        <w:t>Mediante resolución de 16 de diciembre de 2022 (</w:t>
      </w:r>
      <w:proofErr w:type="spellStart"/>
      <w:r w:rsidRPr="00B369EB">
        <w:t>nº</w:t>
      </w:r>
      <w:proofErr w:type="spellEnd"/>
      <w:r w:rsidRPr="00B369EB">
        <w:t xml:space="preserve"> A024/2021), la Sala desestimó el recurso. La Sala consideró que la OCVV había desestimado correctamente la petición de nulidad y no había abusado de su facultad discrecional al rechazar las pruebas presentadas por el recurrente. Las pruebas eran insuficientes y poco fiables. </w:t>
      </w:r>
    </w:p>
    <w:p w14:paraId="4D5CAC40" w14:textId="77777777" w:rsidR="00D11C1B" w:rsidRPr="00B369EB" w:rsidRDefault="00D11C1B" w:rsidP="006A1579"/>
    <w:p w14:paraId="7748FF4B" w14:textId="77777777" w:rsidR="007F2C3D" w:rsidRPr="00B369EB" w:rsidRDefault="001C673E">
      <w:r w:rsidRPr="00B369EB">
        <w:t xml:space="preserve">La recurrente interpuso un recurso contra la resolución de la Sala ante el Tribunal General. El Tribunal General también desestimó el recurso, confirmando las posiciones de la Oficina y de la Sala. </w:t>
      </w:r>
    </w:p>
    <w:p w14:paraId="4676DD9A" w14:textId="77777777" w:rsidR="00D11C1B" w:rsidRPr="00B369EB" w:rsidRDefault="00D11C1B" w:rsidP="006A1579"/>
    <w:p w14:paraId="59203270" w14:textId="77777777" w:rsidR="007F2C3D" w:rsidRPr="00B369EB" w:rsidRDefault="001C673E">
      <w:r w:rsidRPr="00B369EB">
        <w:t xml:space="preserve">En el recurso ante el Tribunal General, la recurrente invocó dos motivos principales sobre la resolución de la Sala impugnada: i) vicios sustanciales de forma ─argumentando que la motivación de la Sala era insuficiente y poco convincente; y </w:t>
      </w:r>
      <w:proofErr w:type="spellStart"/>
      <w:r w:rsidRPr="00B369EB">
        <w:t>ii</w:t>
      </w:r>
      <w:proofErr w:type="spellEnd"/>
      <w:r w:rsidRPr="00B369EB">
        <w:t xml:space="preserve">) errores en la apreciación de los requisitos de novedad y distinción de la variedad candidata "Belsemred1" ─en lo que respecta a la apreciación de las pruebas y a la obligación de la OCVV de organizar un nuevo examen técnico. </w:t>
      </w:r>
    </w:p>
    <w:p w14:paraId="433BD631" w14:textId="77777777" w:rsidR="00D11C1B" w:rsidRPr="00B369EB" w:rsidRDefault="00D11C1B" w:rsidP="006A1579"/>
    <w:p w14:paraId="6994F808" w14:textId="77777777" w:rsidR="007F2C3D" w:rsidRPr="00B369EB" w:rsidRDefault="001C673E">
      <w:r w:rsidRPr="00B369EB">
        <w:t>Por lo que respecta al primer argumento, el Tribunal General confirmó que la obligación de motivación puede cumplirse sin que sea necesario responder expresa y exhaustivamente a todas las alegaciones formuladas por las partes. Además, también declaró que el derecho de defensa sólo se vulnera por una irregularidad procesal en la medida en que dicha irregularidad limita o afecta a la defensa de la parte.</w:t>
      </w:r>
    </w:p>
    <w:p w14:paraId="12FC29C5" w14:textId="77777777" w:rsidR="00D11C1B" w:rsidRPr="00B369EB" w:rsidRDefault="00D11C1B" w:rsidP="006A1579"/>
    <w:p w14:paraId="6EDB1C64" w14:textId="77777777" w:rsidR="007F2C3D" w:rsidRPr="00B369EB" w:rsidRDefault="001C673E">
      <w:r w:rsidRPr="00B369EB">
        <w:t xml:space="preserve">Por lo que respecta al segundo argumento, el Tribunal General confirmó que, en materia técnica, el alcance de su control se limita a los errores manifiestos de apreciación, mientras que, en materia de apreciación de los hechos, lleva a cabo un control completo de la legalidad (por ejemplo, en materia de novedad). Además, el Tribunal reconoció que la carga de la prueba recae sobre el solicitante de la nulidad y consideró que en el caso que nos ocupa la Oficina había cumplido también con su obligación de examinar de oficio los hechos. Además, el Tribunal aclaró que la alegación de identidad de dos variedades a efectos de establecer la novedad es un concepto objetivo que requiere ser probado mediante pruebas adecuadas. Por último, el Tribunal confirmó la decisión de la Oficina de rechazar un nuevo examen técnico por su falta de utilidad, dado que un nuevo examen no reflejaría la situación anterior a la fecha de la solicitud de registro de "Belsemred1". </w:t>
      </w:r>
    </w:p>
    <w:p w14:paraId="66DD2083" w14:textId="77777777" w:rsidR="00D11C1B" w:rsidRPr="00B369EB" w:rsidRDefault="00D11C1B" w:rsidP="006A1579"/>
    <w:p w14:paraId="4C3528EA" w14:textId="77777777" w:rsidR="007F2C3D" w:rsidRPr="00B369EB" w:rsidRDefault="001C673E">
      <w:r w:rsidRPr="00B369EB">
        <w:t xml:space="preserve">Por último, se señala que la recurrente interpuso el 29 de julio de 2024 un recurso ante el Tribunal de Justicia para impugnar la sentencia del Tribunal General (asunto C-520/24 P). Los criterios de admisibilidad en la instancia del Tribunal de Justicia son muy restrictivos, por lo que queda por ver si el recurso se considera admisible en primer lugar. </w:t>
      </w:r>
      <w:bookmarkEnd w:id="5"/>
    </w:p>
    <w:p w14:paraId="2E6F855B" w14:textId="77777777" w:rsidR="00D11C1B" w:rsidRPr="00B369EB" w:rsidRDefault="00D11C1B" w:rsidP="006A1579">
      <w:pPr>
        <w:rPr>
          <w:rFonts w:ascii="Tahoma" w:eastAsia="Cambria" w:hAnsi="Tahoma" w:cs="Tahoma"/>
          <w:b/>
          <w:spacing w:val="-3"/>
          <w:sz w:val="18"/>
          <w:szCs w:val="18"/>
        </w:rPr>
      </w:pPr>
    </w:p>
    <w:p w14:paraId="075BC090" w14:textId="77777777" w:rsidR="007F2C3D" w:rsidRPr="00B369EB" w:rsidRDefault="001C673E">
      <w:pPr>
        <w:rPr>
          <w:u w:val="single"/>
        </w:rPr>
      </w:pPr>
      <w:r w:rsidRPr="00B369EB">
        <w:rPr>
          <w:u w:val="single"/>
        </w:rPr>
        <w:t>1.2.2 Sala de Recurso de la OCVV</w:t>
      </w:r>
    </w:p>
    <w:p w14:paraId="65F7193F" w14:textId="77777777" w:rsidR="00D11C1B" w:rsidRPr="00B369EB" w:rsidRDefault="00D11C1B" w:rsidP="006A1579"/>
    <w:p w14:paraId="539063EC" w14:textId="77777777" w:rsidR="007F2C3D" w:rsidRPr="00B369EB" w:rsidRDefault="001C673E">
      <w:pPr>
        <w:rPr>
          <w:i/>
          <w:iCs/>
        </w:rPr>
      </w:pPr>
      <w:r w:rsidRPr="00B369EB">
        <w:rPr>
          <w:i/>
          <w:iCs/>
        </w:rPr>
        <w:t xml:space="preserve">Decisión de la Junta de 13 de diciembre de 2023 en el asunto </w:t>
      </w:r>
      <w:proofErr w:type="spellStart"/>
      <w:r w:rsidRPr="00B369EB">
        <w:rPr>
          <w:i/>
          <w:iCs/>
        </w:rPr>
        <w:t>nº</w:t>
      </w:r>
      <w:proofErr w:type="spellEnd"/>
      <w:r w:rsidRPr="00B369EB">
        <w:rPr>
          <w:i/>
          <w:iCs/>
        </w:rPr>
        <w:t xml:space="preserve"> A001/2022 ("Queen")</w:t>
      </w:r>
    </w:p>
    <w:p w14:paraId="65562CFF" w14:textId="77777777" w:rsidR="00D11C1B" w:rsidRPr="00B369EB" w:rsidRDefault="00D11C1B" w:rsidP="006A1579">
      <w:bookmarkStart w:id="7" w:name="_Hlk172416855"/>
    </w:p>
    <w:p w14:paraId="360931CA" w14:textId="77777777" w:rsidR="007F2C3D" w:rsidRPr="00B369EB" w:rsidRDefault="001C673E">
      <w:r w:rsidRPr="00B369EB">
        <w:t xml:space="preserve">En febrero de 2022, Ángel Teresa Hermanos S.A. ("ATH", "recurrente") interpuso un recurso contra la Oficina y ante la Sala. </w:t>
      </w:r>
      <w:bookmarkEnd w:id="7"/>
      <w:r w:rsidRPr="00B369EB">
        <w:t xml:space="preserve">El recurrente criticaba que la OCVV hubiera inscrito en su Registro la cesión de la CPVR de la variedad "Queen" a </w:t>
      </w:r>
      <w:proofErr w:type="spellStart"/>
      <w:r w:rsidRPr="00B369EB">
        <w:t>Seedless</w:t>
      </w:r>
      <w:proofErr w:type="spellEnd"/>
      <w:r w:rsidRPr="00B369EB">
        <w:t xml:space="preserve"> Gold International S.L ("SGI") basándose en pruebas documentales supuestamente deficientes. El recurrente alegó que su anterior representante procesal había solicitado la inscripción de la cesión de mala fe. La recurrente también inició paralelamente procedimientos judiciales penales en España contra el representante procesal y contra SGI. Basándose en el resultado pendiente de dichos procedimientos, la OCVV suspendió el procedimiento de la solicitud del recurrente de que se suprimiera la inscripción de la cesión y el recurrente impugnó este paso procesal dado por la Oficina.</w:t>
      </w:r>
    </w:p>
    <w:p w14:paraId="19C7F597" w14:textId="77777777" w:rsidR="00D11C1B" w:rsidRPr="00B369EB" w:rsidRDefault="00D11C1B" w:rsidP="006A1579"/>
    <w:p w14:paraId="27256837" w14:textId="77777777" w:rsidR="007F2C3D" w:rsidRPr="00B369EB" w:rsidRDefault="001C673E">
      <w:r w:rsidRPr="00B369EB">
        <w:lastRenderedPageBreak/>
        <w:t xml:space="preserve">En los motivos del recurso, el recurrente solicitó a la Sala que declarase nula la cesión y que reflejase en el Registro de la OCVV que la CPVR pertenecía al titular original, ATH. El recurrente alegó que la OCVV no analizó adecuadamente las pruebas antes de registrar la cesión. Por su parte, la OCVV alegó la inadmisibilidad del recurso. La OCVV alegó que carecía de competencia para adoptar decisiones sobre cesiones, ya que éstas pertenecen a la esfera privada de los titulares, por lo que no había decisión que recurrir. Además, el representante procesal designado por el recurrente seguía figurando en el Registro en esa función en el momento en que se recibió e inscribió la cesión. Por ello, la OCVV, considerando la aparente validez del documento presentado, no tenía ninguna razón para no registrar la cesión. Según la OCVV, era responsabilidad del recurrente informar a la OCVV de que el representante procesal ya no trabajaba con ellos y, por lo tanto, ya no podía actuar ante la OCVV. </w:t>
      </w:r>
    </w:p>
    <w:p w14:paraId="611BCEF5" w14:textId="77777777" w:rsidR="00D11C1B" w:rsidRPr="00B369EB" w:rsidRDefault="00D11C1B" w:rsidP="006A1579"/>
    <w:p w14:paraId="02DF8A10" w14:textId="77777777" w:rsidR="007F2C3D" w:rsidRPr="00B369EB" w:rsidRDefault="001C673E">
      <w:r w:rsidRPr="00B369EB">
        <w:t xml:space="preserve">La Sala estimó el recurso por considerarlo admisible y fundado. Consideró que la cesión nunca debió registrarse por falta de pruebas suficientes y ordenó a la OCVV que reflejara a la recurrente como legítima titular de la CPVR "Reina". </w:t>
      </w:r>
    </w:p>
    <w:p w14:paraId="54C0415B" w14:textId="77777777" w:rsidR="00D11C1B" w:rsidRPr="00B369EB" w:rsidRDefault="00D11C1B" w:rsidP="006A1579"/>
    <w:p w14:paraId="6E982D14" w14:textId="77777777" w:rsidR="007F2C3D" w:rsidRPr="00B369EB" w:rsidRDefault="001C673E">
      <w:r w:rsidRPr="00B369EB">
        <w:t xml:space="preserve">Cabe señalar que la decisión de la Sala aún no es firme. SGI interpuso el 13 de febrero de 2024 un recurso contra la decisión de la Junta ante el Tribunal General (T-74/24). En este procedimiento, la OCVV mantendrá su posición, defendida ante la Junta. Así pues, el Tribunal General está pendiente de dictar sentencia al respecto, por lo que queda por ver si confirmará o anulará la decisión de la Junta. </w:t>
      </w:r>
    </w:p>
    <w:p w14:paraId="5F06541F" w14:textId="77777777" w:rsidR="00D11C1B" w:rsidRPr="00B369EB" w:rsidRDefault="00D11C1B" w:rsidP="006A1579"/>
    <w:p w14:paraId="10D60CD8" w14:textId="77777777" w:rsidR="007F2C3D" w:rsidRPr="00B369EB" w:rsidRDefault="001C673E">
      <w:pPr>
        <w:rPr>
          <w:i/>
          <w:iCs/>
          <w:spacing w:val="-2"/>
        </w:rPr>
      </w:pPr>
      <w:r w:rsidRPr="00B369EB">
        <w:rPr>
          <w:i/>
          <w:iCs/>
          <w:spacing w:val="-2"/>
        </w:rPr>
        <w:t>Decisión de la Sala de 12 de enero de 2024 en los asuntos acumulados A019/2021 y A020/2021 ("</w:t>
      </w:r>
      <w:proofErr w:type="spellStart"/>
      <w:r w:rsidRPr="00B369EB">
        <w:rPr>
          <w:i/>
          <w:iCs/>
          <w:spacing w:val="-2"/>
        </w:rPr>
        <w:t>Cripps</w:t>
      </w:r>
      <w:proofErr w:type="spellEnd"/>
      <w:r w:rsidRPr="00B369EB">
        <w:rPr>
          <w:i/>
          <w:iCs/>
          <w:spacing w:val="-2"/>
        </w:rPr>
        <w:t xml:space="preserve"> Pink" / </w:t>
      </w:r>
      <w:r w:rsidR="00D11C1B" w:rsidRPr="00B369EB">
        <w:rPr>
          <w:i/>
          <w:iCs/>
          <w:spacing w:val="-2"/>
        </w:rPr>
        <w:t>"</w:t>
      </w:r>
      <w:proofErr w:type="spellStart"/>
      <w:r w:rsidRPr="00B369EB">
        <w:rPr>
          <w:i/>
          <w:iCs/>
          <w:spacing w:val="-2"/>
        </w:rPr>
        <w:t>Cripps</w:t>
      </w:r>
      <w:proofErr w:type="spellEnd"/>
      <w:r w:rsidRPr="00B369EB">
        <w:rPr>
          <w:i/>
          <w:iCs/>
          <w:spacing w:val="-2"/>
        </w:rPr>
        <w:t xml:space="preserve"> Red")</w:t>
      </w:r>
    </w:p>
    <w:p w14:paraId="7EB77D4D" w14:textId="77777777" w:rsidR="00D11C1B" w:rsidRPr="00B369EB" w:rsidRDefault="00D11C1B" w:rsidP="006A1579">
      <w:pPr>
        <w:rPr>
          <w:i/>
          <w:iCs/>
          <w:sz w:val="24"/>
          <w:szCs w:val="24"/>
        </w:rPr>
      </w:pPr>
    </w:p>
    <w:p w14:paraId="604EF413" w14:textId="77777777" w:rsidR="007F2C3D" w:rsidRPr="00B369EB" w:rsidRDefault="001C673E">
      <w:r w:rsidRPr="00B369EB">
        <w:t xml:space="preserve">En diciembre de 2020, </w:t>
      </w:r>
      <w:proofErr w:type="spellStart"/>
      <w:r w:rsidRPr="00B369EB">
        <w:t>Teak</w:t>
      </w:r>
      <w:proofErr w:type="spellEnd"/>
      <w:r w:rsidRPr="00B369EB">
        <w:t xml:space="preserve"> </w:t>
      </w:r>
      <w:proofErr w:type="spellStart"/>
      <w:r w:rsidRPr="00B369EB">
        <w:t>Enterprises</w:t>
      </w:r>
      <w:proofErr w:type="spellEnd"/>
      <w:r w:rsidRPr="00B369EB">
        <w:t xml:space="preserve"> </w:t>
      </w:r>
      <w:proofErr w:type="spellStart"/>
      <w:r w:rsidRPr="00B369EB">
        <w:t>Pty</w:t>
      </w:r>
      <w:proofErr w:type="spellEnd"/>
      <w:r w:rsidRPr="00B369EB">
        <w:t xml:space="preserve"> presentó demandas de nulidad contra dos CPVR. Las dos CPVR en cuestión eran "</w:t>
      </w:r>
      <w:proofErr w:type="spellStart"/>
      <w:r w:rsidRPr="00B369EB">
        <w:t>Cripps</w:t>
      </w:r>
      <w:proofErr w:type="spellEnd"/>
      <w:r w:rsidRPr="00B369EB">
        <w:t xml:space="preserve"> Pink" (expediente </w:t>
      </w:r>
      <w:proofErr w:type="spellStart"/>
      <w:r w:rsidRPr="00B369EB">
        <w:t>nº</w:t>
      </w:r>
      <w:proofErr w:type="spellEnd"/>
      <w:r w:rsidRPr="00B369EB">
        <w:t xml:space="preserve"> 1995/1039) y "</w:t>
      </w:r>
      <w:proofErr w:type="spellStart"/>
      <w:r w:rsidRPr="00B369EB">
        <w:t>Cripps</w:t>
      </w:r>
      <w:proofErr w:type="spellEnd"/>
      <w:r w:rsidRPr="00B369EB">
        <w:t xml:space="preserve"> Red" (expediente </w:t>
      </w:r>
      <w:proofErr w:type="spellStart"/>
      <w:r w:rsidRPr="00B369EB">
        <w:t>nº</w:t>
      </w:r>
      <w:proofErr w:type="spellEnd"/>
      <w:r w:rsidRPr="00B369EB">
        <w:t xml:space="preserve"> 1995/1040). La Oficina adoptó dos resoluciones distintas el 17 de mayo de 2021. La OCVV consideró que no se habían planteado serias dudas sobre la validez de los RCPV, noción que debe cumplirse con arreglo al artículo 53 bis del Reglamento de Procedimiento para que la OCVV pueda incoar formalmente el procedimiento de nulidad. </w:t>
      </w:r>
    </w:p>
    <w:p w14:paraId="4FF6558B" w14:textId="77777777" w:rsidR="00D11C1B" w:rsidRPr="00B369EB" w:rsidRDefault="00D11C1B" w:rsidP="006A1579"/>
    <w:p w14:paraId="383C8AC4" w14:textId="77777777" w:rsidR="007F2C3D" w:rsidRPr="00B369EB" w:rsidRDefault="001C673E">
      <w:r w:rsidRPr="00B369EB">
        <w:t xml:space="preserve">En julio de 2021, el solicitante de la nulidad (ahora "recurrente") recurrió las decisiones de la OCVV ante la Junta. El recurrente solicitó a la Junta que anulara las decisiones de la Oficina de no iniciar procedimientos de nulidad, así como que entrara en el fondo de las peticiones de nulidad y declarara nulas ambas CPVR. </w:t>
      </w:r>
    </w:p>
    <w:p w14:paraId="05A44FCF" w14:textId="77777777" w:rsidR="00D11C1B" w:rsidRPr="00B369EB" w:rsidRDefault="00D11C1B" w:rsidP="006A1579"/>
    <w:p w14:paraId="0B965A12" w14:textId="77777777" w:rsidR="007F2C3D" w:rsidRPr="00B369EB" w:rsidRDefault="001C673E">
      <w:r w:rsidRPr="00B369EB">
        <w:t xml:space="preserve">Por su parte, la OCVV, junto con la Western </w:t>
      </w:r>
      <w:proofErr w:type="spellStart"/>
      <w:r w:rsidRPr="00B369EB">
        <w:t>Australian</w:t>
      </w:r>
      <w:proofErr w:type="spellEnd"/>
      <w:r w:rsidRPr="00B369EB">
        <w:t xml:space="preserve"> </w:t>
      </w:r>
      <w:proofErr w:type="spellStart"/>
      <w:r w:rsidRPr="00B369EB">
        <w:t>Agriculture</w:t>
      </w:r>
      <w:proofErr w:type="spellEnd"/>
      <w:r w:rsidRPr="00B369EB">
        <w:t xml:space="preserve"> </w:t>
      </w:r>
      <w:proofErr w:type="spellStart"/>
      <w:r w:rsidRPr="00B369EB">
        <w:t>Authority</w:t>
      </w:r>
      <w:proofErr w:type="spellEnd"/>
      <w:r w:rsidRPr="00B369EB">
        <w:t xml:space="preserve"> ("WAAA" o "parte coadyuvante"), alegó que el recurso carecía de fundamento y debía desestimarse. Alegaron que el examen de la Sala se limitaba a las decisiones de la Oficina de no incoar un procedimiento de nulidad y no podía evaluar el fondo de la cuestión sobre si las CPVR debían declararse (o no) nulas en esta fase. </w:t>
      </w:r>
    </w:p>
    <w:p w14:paraId="220A1BEA" w14:textId="77777777" w:rsidR="00D11C1B" w:rsidRPr="00B369EB" w:rsidRDefault="00D11C1B" w:rsidP="006A1579"/>
    <w:p w14:paraId="78DD9C66" w14:textId="77777777" w:rsidR="007F2C3D" w:rsidRPr="00B369EB" w:rsidRDefault="001C673E">
      <w:r w:rsidRPr="00B369EB">
        <w:t>La Sala estimó el recurso, considerándolo admisible y fundado. La Sala dictaminó que las decisiones de la OCVV debían anularse. El caso se devolvió a la OCVV para que iniciara formalmente el procedimiento de nulidad contra las organizaciones de productores y vendedores afectadas y llevara a cabo evaluaciones e investigaciones exhaustivas de todos los hechos y pruebas pertinentes presentados por el recurrente. La Junta consideró que la OCVV se había equivocado al evaluar los hechos y pruebas (parcialmente nuevos) y al no incoar el procedimiento de nulidad.</w:t>
      </w:r>
    </w:p>
    <w:p w14:paraId="68C5DE54" w14:textId="77777777" w:rsidR="00D11C1B" w:rsidRPr="00B369EB" w:rsidRDefault="00D11C1B" w:rsidP="006A1579"/>
    <w:p w14:paraId="09EF1E4D" w14:textId="77777777" w:rsidR="007F2C3D" w:rsidRPr="00B369EB" w:rsidRDefault="001C673E">
      <w:r w:rsidRPr="00B369EB">
        <w:t xml:space="preserve">Cabe señalar que la decisión de la Sala aún no es firme. La WAAA interpuso el 21 de marzo de 2024 un recurso contra la decisión de la Junta ante el Tribunal General (T-159/24). En este procedimiento, la OCVV mantendrá su posición, defendida ante la Junta. Así pues, el Tribunal General está pendiente de dictar sentencia al respecto, por lo que queda por ver si confirmará o anulará la decisión de la Junta. </w:t>
      </w:r>
    </w:p>
    <w:p w14:paraId="356A2506" w14:textId="77777777" w:rsidR="00D11C1B" w:rsidRPr="00B369EB" w:rsidRDefault="00D11C1B" w:rsidP="006A1579"/>
    <w:p w14:paraId="441B21BC" w14:textId="77777777" w:rsidR="007F2C3D" w:rsidRPr="00B369EB" w:rsidRDefault="001C673E">
      <w:pPr>
        <w:rPr>
          <w:bCs/>
          <w:u w:val="single"/>
        </w:rPr>
      </w:pPr>
      <w:r w:rsidRPr="00B369EB">
        <w:rPr>
          <w:bCs/>
          <w:u w:val="single"/>
        </w:rPr>
        <w:t>2)</w:t>
      </w:r>
      <w:r w:rsidR="00D11C1B" w:rsidRPr="00B369EB">
        <w:rPr>
          <w:bCs/>
          <w:u w:val="single"/>
        </w:rPr>
        <w:tab/>
      </w:r>
      <w:r w:rsidRPr="00B369EB">
        <w:rPr>
          <w:bCs/>
          <w:u w:val="single"/>
        </w:rPr>
        <w:t>Cooperación en el examen</w:t>
      </w:r>
    </w:p>
    <w:p w14:paraId="5FE9F8DE" w14:textId="77777777" w:rsidR="00D11C1B" w:rsidRPr="00B369EB" w:rsidRDefault="00D11C1B" w:rsidP="006A1579">
      <w:pPr>
        <w:rPr>
          <w:u w:val="single"/>
        </w:rPr>
      </w:pPr>
    </w:p>
    <w:p w14:paraId="2DFD591B" w14:textId="77777777" w:rsidR="007F2C3D" w:rsidRPr="00B369EB" w:rsidRDefault="001C673E">
      <w:r w:rsidRPr="00B369EB">
        <w:rPr>
          <w:u w:val="single"/>
        </w:rPr>
        <w:t xml:space="preserve">2.1 Celebración de nuevos </w:t>
      </w:r>
      <w:r w:rsidRPr="00B369EB">
        <w:t xml:space="preserve">acuerdos </w:t>
      </w:r>
    </w:p>
    <w:p w14:paraId="6B502F55" w14:textId="77777777" w:rsidR="006A1579" w:rsidRPr="00B369EB" w:rsidRDefault="006A1579" w:rsidP="006A1579"/>
    <w:p w14:paraId="7E34B780" w14:textId="77777777" w:rsidR="007F2C3D" w:rsidRPr="00B369EB" w:rsidRDefault="001C673E">
      <w:r w:rsidRPr="00B369EB">
        <w:t xml:space="preserve">La OCVV firmó un acuerdo escrito con el Ministerio de Agricultura de Japón para hacerse cargo de los informes sobre las variedades </w:t>
      </w:r>
      <w:proofErr w:type="spellStart"/>
      <w:r w:rsidRPr="00B369EB">
        <w:rPr>
          <w:i/>
          <w:iCs/>
        </w:rPr>
        <w:t>Flammulina</w:t>
      </w:r>
      <w:proofErr w:type="spellEnd"/>
      <w:r w:rsidRPr="00B369EB">
        <w:rPr>
          <w:i/>
          <w:iCs/>
        </w:rPr>
        <w:t xml:space="preserve"> </w:t>
      </w:r>
      <w:proofErr w:type="spellStart"/>
      <w:r w:rsidRPr="00B369EB">
        <w:rPr>
          <w:i/>
          <w:iCs/>
        </w:rPr>
        <w:t>velutipes</w:t>
      </w:r>
      <w:proofErr w:type="spellEnd"/>
      <w:r w:rsidRPr="00B369EB">
        <w:rPr>
          <w:i/>
          <w:iCs/>
        </w:rPr>
        <w:t xml:space="preserve">, </w:t>
      </w:r>
      <w:proofErr w:type="spellStart"/>
      <w:r w:rsidRPr="00B369EB">
        <w:rPr>
          <w:i/>
          <w:iCs/>
        </w:rPr>
        <w:t>Grifola</w:t>
      </w:r>
      <w:proofErr w:type="spellEnd"/>
      <w:r w:rsidRPr="00B369EB">
        <w:rPr>
          <w:i/>
          <w:iCs/>
        </w:rPr>
        <w:t xml:space="preserve"> frondosa, </w:t>
      </w:r>
      <w:proofErr w:type="spellStart"/>
      <w:r w:rsidRPr="00B369EB">
        <w:rPr>
          <w:i/>
          <w:iCs/>
        </w:rPr>
        <w:t>Hypsizygus</w:t>
      </w:r>
      <w:proofErr w:type="spellEnd"/>
      <w:r w:rsidRPr="00B369EB">
        <w:rPr>
          <w:i/>
          <w:iCs/>
        </w:rPr>
        <w:t xml:space="preserve"> </w:t>
      </w:r>
      <w:proofErr w:type="spellStart"/>
      <w:r w:rsidRPr="00B369EB">
        <w:rPr>
          <w:i/>
          <w:iCs/>
        </w:rPr>
        <w:t>marmoreus</w:t>
      </w:r>
      <w:proofErr w:type="spellEnd"/>
      <w:r w:rsidRPr="00B369EB">
        <w:rPr>
          <w:i/>
          <w:iCs/>
        </w:rPr>
        <w:t xml:space="preserve">, </w:t>
      </w:r>
      <w:proofErr w:type="spellStart"/>
      <w:r w:rsidRPr="00B369EB">
        <w:rPr>
          <w:i/>
          <w:iCs/>
        </w:rPr>
        <w:t>Lentinula</w:t>
      </w:r>
      <w:proofErr w:type="spellEnd"/>
      <w:r w:rsidRPr="00B369EB">
        <w:rPr>
          <w:i/>
          <w:iCs/>
        </w:rPr>
        <w:t xml:space="preserve"> </w:t>
      </w:r>
      <w:proofErr w:type="spellStart"/>
      <w:r w:rsidRPr="00B369EB">
        <w:rPr>
          <w:i/>
          <w:iCs/>
        </w:rPr>
        <w:t>elodes</w:t>
      </w:r>
      <w:proofErr w:type="spellEnd"/>
      <w:r w:rsidRPr="00B369EB">
        <w:rPr>
          <w:i/>
          <w:iCs/>
        </w:rPr>
        <w:t xml:space="preserve"> y </w:t>
      </w:r>
      <w:proofErr w:type="spellStart"/>
      <w:r w:rsidRPr="00B369EB">
        <w:rPr>
          <w:i/>
          <w:iCs/>
        </w:rPr>
        <w:t>Pleurotus</w:t>
      </w:r>
      <w:proofErr w:type="spellEnd"/>
      <w:r w:rsidRPr="00B369EB">
        <w:rPr>
          <w:i/>
          <w:iCs/>
        </w:rPr>
        <w:t xml:space="preserve"> </w:t>
      </w:r>
      <w:proofErr w:type="spellStart"/>
      <w:r w:rsidRPr="00B369EB">
        <w:rPr>
          <w:i/>
          <w:iCs/>
        </w:rPr>
        <w:t>eryngii</w:t>
      </w:r>
      <w:proofErr w:type="spellEnd"/>
      <w:r w:rsidRPr="00B369EB">
        <w:t>.</w:t>
      </w:r>
    </w:p>
    <w:p w14:paraId="4770B1CB" w14:textId="77777777" w:rsidR="006A1579" w:rsidRPr="00B369EB" w:rsidRDefault="006A1579" w:rsidP="006A1579"/>
    <w:p w14:paraId="4961A22C" w14:textId="77777777" w:rsidR="007F2C3D" w:rsidRPr="00B369EB" w:rsidRDefault="001C673E">
      <w:r w:rsidRPr="00B369EB">
        <w:rPr>
          <w:u w:val="single"/>
        </w:rPr>
        <w:t xml:space="preserve">2.2 Modificación de los </w:t>
      </w:r>
      <w:r w:rsidRPr="00B369EB">
        <w:t>acuerdos</w:t>
      </w:r>
      <w:r w:rsidRPr="00B369EB">
        <w:rPr>
          <w:u w:val="single"/>
        </w:rPr>
        <w:t xml:space="preserve"> existentes </w:t>
      </w:r>
    </w:p>
    <w:p w14:paraId="41973B44" w14:textId="77777777" w:rsidR="00D11C1B" w:rsidRPr="00B369EB" w:rsidRDefault="00D11C1B" w:rsidP="006A1579"/>
    <w:p w14:paraId="61C96BE7" w14:textId="77777777" w:rsidR="007F2C3D" w:rsidRPr="00B369EB" w:rsidRDefault="006A1579">
      <w:r w:rsidRPr="00B369EB">
        <w:t>Nada que comunicar</w:t>
      </w:r>
      <w:r w:rsidR="001C673E" w:rsidRPr="00B369EB">
        <w:t>.</w:t>
      </w:r>
    </w:p>
    <w:p w14:paraId="073D72B6" w14:textId="77777777" w:rsidR="006A1579" w:rsidRPr="00B369EB" w:rsidRDefault="006A1579" w:rsidP="006A1579"/>
    <w:p w14:paraId="5B6651E9" w14:textId="77777777" w:rsidR="007F2C3D" w:rsidRPr="00B369EB" w:rsidRDefault="001C673E">
      <w:r w:rsidRPr="00B369EB">
        <w:rPr>
          <w:u w:val="single"/>
        </w:rPr>
        <w:t>2.3 Memorándum de Acuerdo con terceros países</w:t>
      </w:r>
    </w:p>
    <w:p w14:paraId="7F612E68" w14:textId="77777777" w:rsidR="00D11C1B" w:rsidRPr="00B369EB" w:rsidRDefault="00D11C1B" w:rsidP="006A1579"/>
    <w:p w14:paraId="4E3E5905" w14:textId="77777777" w:rsidR="007F2C3D" w:rsidRPr="00B369EB" w:rsidRDefault="001C673E">
      <w:r w:rsidRPr="00B369EB">
        <w:t xml:space="preserve">Nada </w:t>
      </w:r>
      <w:r w:rsidR="006A1579" w:rsidRPr="00B369EB">
        <w:t>que comunicar</w:t>
      </w:r>
      <w:r w:rsidRPr="00B369EB">
        <w:t>.</w:t>
      </w:r>
    </w:p>
    <w:p w14:paraId="48E9FDCA" w14:textId="77777777" w:rsidR="006A1579" w:rsidRPr="00B369EB" w:rsidRDefault="006A1579" w:rsidP="006A1579">
      <w:pPr>
        <w:rPr>
          <w:u w:val="single"/>
        </w:rPr>
      </w:pPr>
    </w:p>
    <w:p w14:paraId="53BA1A94" w14:textId="77777777" w:rsidR="00D11C1B" w:rsidRPr="00B369EB" w:rsidRDefault="00D11C1B" w:rsidP="006A1579">
      <w:pPr>
        <w:rPr>
          <w:u w:val="single"/>
        </w:rPr>
      </w:pPr>
    </w:p>
    <w:p w14:paraId="259A84B2" w14:textId="77777777" w:rsidR="007F2C3D" w:rsidRPr="00B369EB" w:rsidRDefault="001C673E">
      <w:pPr>
        <w:rPr>
          <w:bCs/>
          <w:u w:val="single"/>
        </w:rPr>
      </w:pPr>
      <w:r w:rsidRPr="00B369EB">
        <w:rPr>
          <w:bCs/>
          <w:u w:val="single"/>
        </w:rPr>
        <w:t>3)</w:t>
      </w:r>
      <w:r w:rsidR="00D11C1B" w:rsidRPr="00B369EB">
        <w:rPr>
          <w:bCs/>
          <w:u w:val="single"/>
        </w:rPr>
        <w:tab/>
      </w:r>
      <w:r w:rsidRPr="00B369EB">
        <w:rPr>
          <w:bCs/>
          <w:u w:val="single"/>
        </w:rPr>
        <w:t xml:space="preserve">Situación en el ámbito administrativo </w:t>
      </w:r>
    </w:p>
    <w:p w14:paraId="33E16DD7" w14:textId="77777777" w:rsidR="00D11C1B" w:rsidRPr="00B369EB" w:rsidRDefault="00D11C1B" w:rsidP="006A1579">
      <w:pPr>
        <w:rPr>
          <w:rFonts w:cs="Tahoma"/>
        </w:rPr>
      </w:pPr>
    </w:p>
    <w:p w14:paraId="6A3FAE64" w14:textId="77777777" w:rsidR="007F2C3D" w:rsidRPr="00B369EB" w:rsidRDefault="001C673E">
      <w:pPr>
        <w:rPr>
          <w:rFonts w:cs="Tahoma"/>
        </w:rPr>
      </w:pPr>
      <w:r w:rsidRPr="00B369EB">
        <w:rPr>
          <w:rFonts w:cs="Tahoma"/>
        </w:rPr>
        <w:t>Nada que comunicar</w:t>
      </w:r>
      <w:r w:rsidR="00D11C1B" w:rsidRPr="00B369EB">
        <w:rPr>
          <w:rFonts w:cs="Tahoma"/>
        </w:rPr>
        <w:t>.</w:t>
      </w:r>
    </w:p>
    <w:p w14:paraId="281211A4" w14:textId="77777777" w:rsidR="00D11C1B" w:rsidRPr="00B369EB" w:rsidRDefault="00D11C1B" w:rsidP="006A1579">
      <w:pPr>
        <w:rPr>
          <w:rFonts w:cs="Tahoma"/>
        </w:rPr>
      </w:pPr>
    </w:p>
    <w:p w14:paraId="583B75DA" w14:textId="77777777" w:rsidR="007F2C3D" w:rsidRPr="00B369EB" w:rsidRDefault="001C673E">
      <w:pPr>
        <w:keepNext/>
        <w:rPr>
          <w:bCs/>
          <w:u w:val="single"/>
        </w:rPr>
      </w:pPr>
      <w:r w:rsidRPr="00B369EB">
        <w:rPr>
          <w:bCs/>
          <w:u w:val="single"/>
        </w:rPr>
        <w:t>4)</w:t>
      </w:r>
      <w:r w:rsidR="00D11C1B" w:rsidRPr="00B369EB">
        <w:rPr>
          <w:bCs/>
          <w:u w:val="single"/>
        </w:rPr>
        <w:tab/>
      </w:r>
      <w:r w:rsidRPr="00B369EB">
        <w:rPr>
          <w:bCs/>
          <w:u w:val="single"/>
        </w:rPr>
        <w:t>Situación en el ámbito técnico</w:t>
      </w:r>
    </w:p>
    <w:p w14:paraId="7C250BA7" w14:textId="77777777" w:rsidR="00D11C1B" w:rsidRPr="00B369EB" w:rsidRDefault="00D11C1B" w:rsidP="00D11C1B">
      <w:pPr>
        <w:keepNext/>
        <w:rPr>
          <w:u w:val="single"/>
        </w:rPr>
      </w:pPr>
    </w:p>
    <w:p w14:paraId="343CEF3E" w14:textId="77777777" w:rsidR="007F2C3D" w:rsidRPr="00B369EB" w:rsidRDefault="001C673E">
      <w:pPr>
        <w:keepNext/>
        <w:rPr>
          <w:u w:val="single"/>
        </w:rPr>
      </w:pPr>
      <w:r w:rsidRPr="00B369EB">
        <w:rPr>
          <w:u w:val="single"/>
        </w:rPr>
        <w:t>4.1 Información sobre el funcionamiento de la protección comunitaria de las obtenciones vegetales</w:t>
      </w:r>
    </w:p>
    <w:p w14:paraId="20B2F4D1" w14:textId="77777777" w:rsidR="00D11C1B" w:rsidRPr="00B369EB" w:rsidRDefault="00D11C1B" w:rsidP="00D11C1B">
      <w:pPr>
        <w:keepNext/>
        <w:rPr>
          <w:u w:val="single"/>
        </w:rPr>
      </w:pPr>
    </w:p>
    <w:p w14:paraId="0C66C0DC" w14:textId="77777777" w:rsidR="007F2C3D" w:rsidRPr="00B369EB" w:rsidRDefault="001C673E">
      <w:pPr>
        <w:rPr>
          <w:bCs/>
          <w:u w:val="single"/>
        </w:rPr>
      </w:pPr>
      <w:r w:rsidRPr="00B369EB">
        <w:rPr>
          <w:bCs/>
          <w:u w:val="single"/>
        </w:rPr>
        <w:t>a. Relación con las oficinas de examen (OE)</w:t>
      </w:r>
    </w:p>
    <w:p w14:paraId="5D015D9C" w14:textId="77777777" w:rsidR="00D11C1B" w:rsidRPr="00B369EB" w:rsidRDefault="00D11C1B" w:rsidP="00D11C1B"/>
    <w:p w14:paraId="18711186" w14:textId="77777777" w:rsidR="007F2C3D" w:rsidRPr="00B369EB" w:rsidRDefault="001C673E">
      <w:r w:rsidRPr="00B369EB">
        <w:t>En diciembre de 2023, la OCVV celebró su 27ª reunión anual con sus OE, a la que también asistieron representantes de la Comisión Europea, la oficina de la UPOV y las organizaciones de obtentores (</w:t>
      </w:r>
      <w:r w:rsidR="00D11C1B" w:rsidRPr="00B369EB">
        <w:t>CIOPORA</w:t>
      </w:r>
      <w:r w:rsidRPr="00B369EB">
        <w:t xml:space="preserve">, </w:t>
      </w:r>
      <w:proofErr w:type="spellStart"/>
      <w:r w:rsidRPr="00B369EB">
        <w:t>Euroseeds</w:t>
      </w:r>
      <w:proofErr w:type="spellEnd"/>
      <w:r w:rsidRPr="00B369EB">
        <w:t xml:space="preserve">, </w:t>
      </w:r>
      <w:proofErr w:type="spellStart"/>
      <w:r w:rsidRPr="00B369EB">
        <w:t>Plantum</w:t>
      </w:r>
      <w:proofErr w:type="spellEnd"/>
      <w:r w:rsidRPr="00B369EB">
        <w:t xml:space="preserve"> y ECO-PB), así como representantes de Suiza y Noruega en calidad de Oficinas de Derechos de Obtentor no pertenecientes a la UE. La reunión se celebró por videoconferencia. Los principales temas de debate fueron los siguientes</w:t>
      </w:r>
    </w:p>
    <w:p w14:paraId="44BA1214" w14:textId="77777777" w:rsidR="00D11C1B" w:rsidRPr="00B369EB" w:rsidRDefault="00D11C1B" w:rsidP="00D11C1B">
      <w:pPr>
        <w:rPr>
          <w:color w:val="000000"/>
        </w:rPr>
      </w:pPr>
    </w:p>
    <w:p w14:paraId="31545F49" w14:textId="77777777" w:rsidR="007F2C3D" w:rsidRPr="00B369EB" w:rsidRDefault="001C673E">
      <w:pPr>
        <w:pStyle w:val="ListParagraph"/>
        <w:numPr>
          <w:ilvl w:val="0"/>
          <w:numId w:val="31"/>
        </w:numPr>
        <w:rPr>
          <w:color w:val="000000"/>
        </w:rPr>
      </w:pPr>
      <w:r w:rsidRPr="00B369EB">
        <w:rPr>
          <w:color w:val="000000"/>
        </w:rPr>
        <w:t>Información y presentación de los informes de examen;</w:t>
      </w:r>
    </w:p>
    <w:p w14:paraId="0CD83B14" w14:textId="77777777" w:rsidR="007F2C3D" w:rsidRPr="00B369EB" w:rsidRDefault="001C673E">
      <w:pPr>
        <w:pStyle w:val="ListParagraph"/>
        <w:numPr>
          <w:ilvl w:val="0"/>
          <w:numId w:val="31"/>
        </w:numPr>
        <w:rPr>
          <w:color w:val="000000"/>
        </w:rPr>
      </w:pPr>
      <w:r w:rsidRPr="00B369EB">
        <w:rPr>
          <w:color w:val="000000"/>
        </w:rPr>
        <w:t>Normas vinculadas al aplazamiento del examen DHE en el sector frutícola;</w:t>
      </w:r>
    </w:p>
    <w:p w14:paraId="5E5F33A6" w14:textId="77777777" w:rsidR="007F2C3D" w:rsidRPr="00B369EB" w:rsidRDefault="001C673E">
      <w:pPr>
        <w:pStyle w:val="ListParagraph"/>
        <w:numPr>
          <w:ilvl w:val="0"/>
          <w:numId w:val="31"/>
        </w:numPr>
        <w:rPr>
          <w:color w:val="000000"/>
        </w:rPr>
      </w:pPr>
      <w:r w:rsidRPr="00B369EB">
        <w:t>No disponibilidad de variedades de referencia;</w:t>
      </w:r>
    </w:p>
    <w:p w14:paraId="054D48CA" w14:textId="77777777" w:rsidR="007F2C3D" w:rsidRPr="00B369EB" w:rsidRDefault="001C673E">
      <w:pPr>
        <w:pStyle w:val="ListParagraph"/>
        <w:numPr>
          <w:ilvl w:val="0"/>
          <w:numId w:val="31"/>
        </w:numPr>
        <w:rPr>
          <w:color w:val="000000"/>
        </w:rPr>
      </w:pPr>
      <w:r w:rsidRPr="00B369EB">
        <w:t>Observaciones individuales en pruebas plurianuales;</w:t>
      </w:r>
    </w:p>
    <w:p w14:paraId="00EE2CED" w14:textId="77777777" w:rsidR="007F2C3D" w:rsidRPr="00B369EB" w:rsidRDefault="001C673E">
      <w:pPr>
        <w:pStyle w:val="ListParagraph"/>
        <w:numPr>
          <w:ilvl w:val="0"/>
          <w:numId w:val="31"/>
        </w:numPr>
        <w:rPr>
          <w:color w:val="000000"/>
        </w:rPr>
      </w:pPr>
      <w:r w:rsidRPr="00B369EB">
        <w:t>Revisión de la política de la OCVV sobre la situación del material vegetal utilizado a efectos del examen DHE;</w:t>
      </w:r>
    </w:p>
    <w:p w14:paraId="4C3E34C6" w14:textId="77777777" w:rsidR="007F2C3D" w:rsidRPr="00B369EB" w:rsidRDefault="001C673E">
      <w:pPr>
        <w:pStyle w:val="ListParagraph"/>
        <w:numPr>
          <w:ilvl w:val="0"/>
          <w:numId w:val="31"/>
        </w:numPr>
        <w:rPr>
          <w:color w:val="000000"/>
        </w:rPr>
      </w:pPr>
      <w:bookmarkStart w:id="8" w:name="_Toc153268434"/>
      <w:r w:rsidRPr="00B369EB">
        <w:t>Falta de uniformidad (Art.8) vs. no-variedad (Art.5) .</w:t>
      </w:r>
      <w:bookmarkEnd w:id="8"/>
    </w:p>
    <w:p w14:paraId="097B5E03" w14:textId="77777777" w:rsidR="006A1579" w:rsidRPr="00B369EB" w:rsidRDefault="006A1579" w:rsidP="00D11C1B">
      <w:pPr>
        <w:rPr>
          <w:color w:val="000000"/>
        </w:rPr>
      </w:pPr>
    </w:p>
    <w:p w14:paraId="5CD23C01" w14:textId="77777777" w:rsidR="007F2C3D" w:rsidRPr="00B369EB" w:rsidRDefault="001C673E">
      <w:pPr>
        <w:rPr>
          <w:rFonts w:cs="Calibri"/>
        </w:rPr>
      </w:pPr>
      <w:r w:rsidRPr="00B369EB">
        <w:rPr>
          <w:rFonts w:cs="Calibri"/>
        </w:rPr>
        <w:t xml:space="preserve">Además, se informó a los participantes sobre la jurisprudencia, la evolución del </w:t>
      </w:r>
      <w:proofErr w:type="spellStart"/>
      <w:r w:rsidRPr="00B369EB">
        <w:rPr>
          <w:rFonts w:cs="Calibri"/>
        </w:rPr>
        <w:t>Variety</w:t>
      </w:r>
      <w:proofErr w:type="spellEnd"/>
      <w:r w:rsidRPr="00B369EB">
        <w:rPr>
          <w:rFonts w:cs="Calibri"/>
        </w:rPr>
        <w:t xml:space="preserve"> Finder, las actividades del QAS, la situación de los proyectos de I+D, los proyectos informáticos y el cálculo de los costes por parte de las OE.</w:t>
      </w:r>
    </w:p>
    <w:p w14:paraId="0854E4EF" w14:textId="77777777" w:rsidR="00D11C1B" w:rsidRPr="00B369EB" w:rsidRDefault="00D11C1B" w:rsidP="006A1579">
      <w:pPr>
        <w:rPr>
          <w:rFonts w:cs="Arial"/>
        </w:rPr>
      </w:pPr>
    </w:p>
    <w:p w14:paraId="3BDF4DE3" w14:textId="77777777" w:rsidR="007F2C3D" w:rsidRPr="00B369EB" w:rsidRDefault="001C673E">
      <w:pPr>
        <w:rPr>
          <w:rFonts w:cs="Arial"/>
          <w:u w:val="single"/>
        </w:rPr>
      </w:pPr>
      <w:r w:rsidRPr="00B369EB">
        <w:rPr>
          <w:rFonts w:cs="Arial"/>
          <w:u w:val="single"/>
        </w:rPr>
        <w:t>b. Preparación de los protocolos de la OCVV</w:t>
      </w:r>
    </w:p>
    <w:p w14:paraId="00BBC5A0" w14:textId="77777777" w:rsidR="00CC6A77" w:rsidRPr="00B369EB" w:rsidRDefault="00CC6A77" w:rsidP="006A1579">
      <w:pPr>
        <w:rPr>
          <w:rFonts w:cs="Arial"/>
        </w:rPr>
      </w:pPr>
    </w:p>
    <w:p w14:paraId="3E993B87" w14:textId="77777777" w:rsidR="007F2C3D" w:rsidRPr="00B369EB" w:rsidRDefault="001C673E">
      <w:pPr>
        <w:rPr>
          <w:rFonts w:cs="Arial"/>
        </w:rPr>
      </w:pPr>
      <w:r w:rsidRPr="00B369EB">
        <w:rPr>
          <w:rFonts w:cs="Arial"/>
        </w:rPr>
        <w:t>En 2023, se invitó a expertos de las oficinas de examen de los Estados miembros de la UE a participar en la elaboración o revisión de protocolos técnicos para el examen DHE que, o bien fueron aprobados posteriormente por el Consejo de Administración, o bien cabe esperar que se aprueben en 2024. Se celebraron reuniones de expertos para debatir los protocolos técnicos de:</w:t>
      </w:r>
    </w:p>
    <w:p w14:paraId="178D90EC" w14:textId="77777777" w:rsidR="00CC6A77" w:rsidRPr="00B369EB" w:rsidRDefault="00CC6A77" w:rsidP="006A1579">
      <w:pPr>
        <w:rPr>
          <w:rFonts w:cs="Arial"/>
        </w:rPr>
      </w:pPr>
    </w:p>
    <w:p w14:paraId="2CFD7BBC" w14:textId="77777777" w:rsidR="007F2C3D" w:rsidRPr="00B369EB" w:rsidRDefault="001C673E">
      <w:pPr>
        <w:pStyle w:val="ListParagraph"/>
        <w:numPr>
          <w:ilvl w:val="0"/>
          <w:numId w:val="31"/>
        </w:numPr>
        <w:rPr>
          <w:rFonts w:cs="Arial"/>
          <w:szCs w:val="20"/>
        </w:rPr>
      </w:pPr>
      <w:r w:rsidRPr="00B369EB">
        <w:rPr>
          <w:rFonts w:cs="Arial"/>
          <w:szCs w:val="20"/>
        </w:rPr>
        <w:t xml:space="preserve">Cultivos agrícolas: </w:t>
      </w:r>
      <w:r w:rsidRPr="00B369EB">
        <w:rPr>
          <w:rFonts w:cs="Arial"/>
          <w:color w:val="000000"/>
          <w:szCs w:val="20"/>
        </w:rPr>
        <w:t xml:space="preserve">arroz, patata, nabina, soja, mijo común. </w:t>
      </w:r>
    </w:p>
    <w:p w14:paraId="1380B883" w14:textId="77777777" w:rsidR="007F2C3D" w:rsidRPr="00B369EB" w:rsidRDefault="001C673E">
      <w:pPr>
        <w:pStyle w:val="ListParagraph"/>
        <w:numPr>
          <w:ilvl w:val="0"/>
          <w:numId w:val="31"/>
        </w:numPr>
        <w:rPr>
          <w:rFonts w:cs="Arial"/>
          <w:szCs w:val="20"/>
        </w:rPr>
      </w:pPr>
      <w:r w:rsidRPr="00B369EB">
        <w:rPr>
          <w:rFonts w:cs="Arial"/>
          <w:szCs w:val="20"/>
        </w:rPr>
        <w:t>Cultivos hortícolas: lechuga, portainjertos de tomate, sandía, brécol, coles de Bruselas, col, coliflor, colinabo, rábano y rábano negro, ensalada de maíz.</w:t>
      </w:r>
    </w:p>
    <w:p w14:paraId="4C332B91" w14:textId="77777777" w:rsidR="007F2C3D" w:rsidRPr="00B369EB" w:rsidRDefault="001C673E">
      <w:pPr>
        <w:pStyle w:val="ListParagraph"/>
        <w:numPr>
          <w:ilvl w:val="0"/>
          <w:numId w:val="31"/>
        </w:numPr>
        <w:rPr>
          <w:rFonts w:cs="Arial"/>
          <w:i/>
          <w:iCs/>
          <w:szCs w:val="20"/>
          <w:u w:val="single"/>
        </w:rPr>
      </w:pPr>
      <w:r w:rsidRPr="00B369EB">
        <w:rPr>
          <w:rFonts w:cs="Arial"/>
          <w:szCs w:val="20"/>
        </w:rPr>
        <w:t xml:space="preserve">Cultivos ornamentales: </w:t>
      </w:r>
      <w:bookmarkStart w:id="9" w:name="_Toc25329854"/>
      <w:proofErr w:type="spellStart"/>
      <w:r w:rsidRPr="00B369EB">
        <w:rPr>
          <w:rFonts w:cs="Arial"/>
          <w:i/>
          <w:iCs/>
          <w:color w:val="000000"/>
          <w:szCs w:val="20"/>
        </w:rPr>
        <w:t>Anthurium</w:t>
      </w:r>
      <w:proofErr w:type="spellEnd"/>
      <w:r w:rsidRPr="00B369EB">
        <w:rPr>
          <w:rFonts w:cs="Arial"/>
          <w:i/>
          <w:iCs/>
          <w:color w:val="000000"/>
          <w:szCs w:val="20"/>
        </w:rPr>
        <w:t xml:space="preserve"> </w:t>
      </w:r>
      <w:proofErr w:type="spellStart"/>
      <w:r w:rsidRPr="00B369EB">
        <w:rPr>
          <w:rFonts w:cs="Arial"/>
          <w:color w:val="000000"/>
          <w:szCs w:val="20"/>
        </w:rPr>
        <w:t>Schott</w:t>
      </w:r>
      <w:proofErr w:type="spellEnd"/>
      <w:r w:rsidRPr="00B369EB">
        <w:rPr>
          <w:rFonts w:cs="Arial"/>
          <w:i/>
          <w:iCs/>
          <w:color w:val="000000"/>
          <w:szCs w:val="20"/>
        </w:rPr>
        <w:t xml:space="preserve">, Berberis </w:t>
      </w:r>
      <w:r w:rsidRPr="00B369EB">
        <w:rPr>
          <w:rFonts w:cs="Arial"/>
          <w:color w:val="000000"/>
          <w:szCs w:val="20"/>
        </w:rPr>
        <w:t>L</w:t>
      </w:r>
      <w:r w:rsidRPr="00B369EB">
        <w:rPr>
          <w:rFonts w:cs="Arial"/>
          <w:i/>
          <w:iCs/>
          <w:color w:val="000000"/>
          <w:szCs w:val="20"/>
        </w:rPr>
        <w:t xml:space="preserve">.; </w:t>
      </w:r>
      <w:proofErr w:type="spellStart"/>
      <w:r w:rsidRPr="00B369EB">
        <w:rPr>
          <w:rFonts w:cs="Arial"/>
          <w:i/>
          <w:iCs/>
          <w:color w:val="000000"/>
          <w:szCs w:val="20"/>
        </w:rPr>
        <w:t>Anigozanthos</w:t>
      </w:r>
      <w:proofErr w:type="spellEnd"/>
      <w:r w:rsidRPr="00B369EB">
        <w:rPr>
          <w:rFonts w:cs="Arial"/>
          <w:i/>
          <w:iCs/>
          <w:color w:val="000000"/>
          <w:szCs w:val="20"/>
        </w:rPr>
        <w:t xml:space="preserve"> </w:t>
      </w:r>
      <w:proofErr w:type="spellStart"/>
      <w:r w:rsidRPr="00B369EB">
        <w:rPr>
          <w:rFonts w:cs="Arial"/>
          <w:color w:val="000000"/>
          <w:szCs w:val="20"/>
        </w:rPr>
        <w:t>Labill</w:t>
      </w:r>
      <w:proofErr w:type="spellEnd"/>
      <w:r w:rsidRPr="00B369EB">
        <w:rPr>
          <w:rFonts w:cs="Arial"/>
          <w:color w:val="000000"/>
          <w:szCs w:val="20"/>
        </w:rPr>
        <w:t>.</w:t>
      </w:r>
      <w:bookmarkEnd w:id="9"/>
    </w:p>
    <w:p w14:paraId="621B396F" w14:textId="77777777" w:rsidR="007F2C3D" w:rsidRPr="00B369EB" w:rsidRDefault="001C673E">
      <w:pPr>
        <w:pStyle w:val="ListParagraph"/>
        <w:numPr>
          <w:ilvl w:val="0"/>
          <w:numId w:val="31"/>
        </w:numPr>
        <w:rPr>
          <w:rFonts w:cs="Arial"/>
          <w:szCs w:val="20"/>
        </w:rPr>
      </w:pPr>
      <w:r w:rsidRPr="00B369EB">
        <w:rPr>
          <w:rFonts w:cs="Arial"/>
          <w:szCs w:val="20"/>
        </w:rPr>
        <w:t xml:space="preserve">Cultivos frutales: </w:t>
      </w:r>
      <w:r w:rsidRPr="00B369EB">
        <w:rPr>
          <w:rFonts w:cs="Arial"/>
          <w:color w:val="000000"/>
          <w:szCs w:val="20"/>
        </w:rPr>
        <w:t>Nogal, melocotón.</w:t>
      </w:r>
    </w:p>
    <w:p w14:paraId="49773668" w14:textId="77777777" w:rsidR="006A1579" w:rsidRPr="00B369EB" w:rsidRDefault="006A1579" w:rsidP="006A1579">
      <w:pPr>
        <w:rPr>
          <w:rFonts w:cs="Arial"/>
        </w:rPr>
      </w:pPr>
    </w:p>
    <w:p w14:paraId="7D6F20E0" w14:textId="77777777" w:rsidR="007F2C3D" w:rsidRPr="00B369EB" w:rsidRDefault="001C673E">
      <w:pPr>
        <w:rPr>
          <w:rFonts w:cs="Arial"/>
          <w:u w:val="single"/>
        </w:rPr>
      </w:pPr>
      <w:r w:rsidRPr="00B369EB">
        <w:rPr>
          <w:rFonts w:cs="Arial"/>
          <w:u w:val="single"/>
        </w:rPr>
        <w:t xml:space="preserve">c. Perfeccionamiento del buscador de variedades de la OCVV </w:t>
      </w:r>
    </w:p>
    <w:p w14:paraId="2B4D1D33" w14:textId="77777777" w:rsidR="00F31FE1" w:rsidRPr="00B369EB" w:rsidRDefault="00F31FE1" w:rsidP="00F31FE1"/>
    <w:p w14:paraId="4865EFB0" w14:textId="77777777" w:rsidR="007F2C3D" w:rsidRPr="00B369EB" w:rsidRDefault="001C673E">
      <w:proofErr w:type="spellStart"/>
      <w:r w:rsidRPr="00B369EB">
        <w:t>Variety</w:t>
      </w:r>
      <w:proofErr w:type="spellEnd"/>
      <w:r w:rsidRPr="00B369EB">
        <w:t xml:space="preserve"> Finder de la OCVV es una base de datos centralizada que reúne información sobre registros de variedades vegetales de 70 países. En 2023, incluía 1 558 000 denominaciones de 74 países y datos de 159 registros diferentes, como los de derechos de obtentor (DOV), nacionales y comunitarios de variedades vegetales (CPVR). Además, incluye datos sobre variedades que pueden comercializarse en la UE (registros de listas nacionales (NLI) y catálogos comunes), registros de patentes de plantas, marcas registradas en la UE de plantas y productos vivos de la Oficina de Propiedad Intelectual de la Unión Europea (EUIPO), así como cualquier registro de interés como variedades comercializadas notoriamente conocidas.</w:t>
      </w:r>
    </w:p>
    <w:p w14:paraId="09A91BB1" w14:textId="77777777" w:rsidR="00F31FE1" w:rsidRPr="00B369EB" w:rsidRDefault="00F31FE1" w:rsidP="00F31FE1"/>
    <w:p w14:paraId="3798063B" w14:textId="77777777" w:rsidR="007F2C3D" w:rsidRPr="00B369EB" w:rsidRDefault="001C673E">
      <w:r w:rsidRPr="00B369EB">
        <w:t xml:space="preserve">El buscador de variedades ofrece a los usuarios una herramienta de búsqueda general y una herramienta de prueba de similitud para comprobar la idoneidad de las denominaciones de variedades, lo que constituye un servicio para los obtentores, las autoridades nacionales y el público en general. También es una valiosa fuente de información de todos los organismos nacionales o internacionales que contribuyen a la base de datos. La OCVV recibe entre 300 y 380 contribuciones al año. </w:t>
      </w:r>
    </w:p>
    <w:p w14:paraId="5E33D05C" w14:textId="77777777" w:rsidR="00F31FE1" w:rsidRPr="00B369EB" w:rsidRDefault="00F31FE1" w:rsidP="00F31FE1"/>
    <w:p w14:paraId="04CD4BD7" w14:textId="77777777" w:rsidR="007F2C3D" w:rsidRPr="00B369EB" w:rsidRDefault="001C673E">
      <w:r w:rsidRPr="00B369EB">
        <w:t>Los distintos colaboradores actualizan la base de datos en cuanto se publican oficialmente los datos. Se ha firmado un memorando de acuerdo con la UPOV para compartir la tarea de recopilar datos de</w:t>
      </w:r>
      <w:bookmarkStart w:id="10" w:name="_Int_SsuN4m1n"/>
      <w:r w:rsidRPr="00B369EB">
        <w:t xml:space="preserve"> Estados miembros de la UE</w:t>
      </w:r>
      <w:bookmarkEnd w:id="10"/>
      <w:r w:rsidRPr="00B369EB">
        <w:t xml:space="preserve"> y de países no pertenecientes a la UE y garantizar un intercambio periódico de datos.  Los datos de la UE representan el 66 % del contenido del </w:t>
      </w:r>
      <w:proofErr w:type="spellStart"/>
      <w:r w:rsidRPr="00B369EB">
        <w:t>Variety</w:t>
      </w:r>
      <w:proofErr w:type="spellEnd"/>
      <w:r w:rsidRPr="00B369EB">
        <w:t xml:space="preserve"> Finder y los datos de países no pertenecientes a la UE ascienden al 34 %.</w:t>
      </w:r>
      <w:bookmarkStart w:id="11" w:name="_1775983252"/>
      <w:bookmarkStart w:id="12" w:name="_1775983257"/>
      <w:bookmarkStart w:id="13" w:name="_1775983259"/>
      <w:bookmarkEnd w:id="11"/>
      <w:bookmarkEnd w:id="12"/>
      <w:bookmarkEnd w:id="13"/>
    </w:p>
    <w:p w14:paraId="52E33898" w14:textId="77777777" w:rsidR="00F31FE1" w:rsidRPr="00B369EB" w:rsidRDefault="00F31FE1" w:rsidP="00F31FE1"/>
    <w:p w14:paraId="71FEEF9D" w14:textId="77777777" w:rsidR="007F2C3D" w:rsidRPr="00B369EB" w:rsidRDefault="001C673E">
      <w:r w:rsidRPr="00B369EB">
        <w:t>Los solicitantes y titulares de la OCVV representan el mayor grupo de usuarios, con más del 51% de las pruebas de similitud de denominación lanzadas. El número de pruebas aumentó un 5% en comparación con 2022.</w:t>
      </w:r>
      <w:bookmarkStart w:id="14" w:name="_1775983262"/>
      <w:bookmarkEnd w:id="14"/>
    </w:p>
    <w:p w14:paraId="5C3B566A" w14:textId="77777777" w:rsidR="00F31FE1" w:rsidRPr="00B369EB" w:rsidRDefault="00F31FE1" w:rsidP="00F31FE1"/>
    <w:p w14:paraId="6B6F0E6D" w14:textId="77777777" w:rsidR="007F2C3D" w:rsidRPr="00B369EB" w:rsidRDefault="001C673E">
      <w:r w:rsidRPr="00B369EB">
        <w:t xml:space="preserve">La OCVV también ha trabajado intensamente en 2023 en varios proyectos: el programa para desarrolladores de interfaces de programación de aplicaciones (API) es uno de ellos. Este proyecto debería permitir el uso de las funcionalidades de </w:t>
      </w:r>
      <w:proofErr w:type="spellStart"/>
      <w:r w:rsidRPr="00B369EB">
        <w:t>Variety</w:t>
      </w:r>
      <w:proofErr w:type="spellEnd"/>
      <w:r w:rsidRPr="00B369EB">
        <w:t xml:space="preserve"> Finder (prueba, búsqueda) directamente desde las aplicaciones internas de los usuarios. </w:t>
      </w:r>
    </w:p>
    <w:p w14:paraId="1E895759" w14:textId="77777777" w:rsidR="00F31FE1" w:rsidRPr="00B369EB" w:rsidRDefault="00F31FE1" w:rsidP="00F31FE1"/>
    <w:p w14:paraId="15E8AC9A" w14:textId="77777777" w:rsidR="007F2C3D" w:rsidRPr="00B369EB" w:rsidRDefault="001C673E">
      <w:r w:rsidRPr="00B369EB">
        <w:t>La OCVV y la Comisión (Dirección General de Salud y Seguridad Alimentaria) también siguieron trabajando intensamente en 2023 en el proyecto conjunto denominado "Portal de Variedades Vegetales de la UE (EU PVP)".  Uno de los objetivos es crear un sistema único de notificación de variedades vegetales en la UE basado en las tecnologías de la información. Debería ofrecer a los Estados miembros un portal único para la notificación de variedades a la Comisión para los catálogos comunes de variedades, y a la OCVV para el buscador de variedades.</w:t>
      </w:r>
    </w:p>
    <w:p w14:paraId="1A325D6C" w14:textId="77777777" w:rsidR="00F31FE1" w:rsidRPr="00B369EB" w:rsidRDefault="00F31FE1" w:rsidP="00F31FE1"/>
    <w:p w14:paraId="1936CB08" w14:textId="77777777" w:rsidR="007F2C3D" w:rsidRPr="00B369EB" w:rsidRDefault="001C673E">
      <w:r w:rsidRPr="00B369EB">
        <w:t xml:space="preserve">En 2023, los Estados miembros de la UE empezaron a utilizar el nuevo portal de la Comisión para notificar variedades </w:t>
      </w:r>
      <w:r w:rsidR="00F31FE1" w:rsidRPr="00B369EB">
        <w:t>de</w:t>
      </w:r>
      <w:r w:rsidRPr="00B369EB">
        <w:t xml:space="preserve"> sus registros nacionales de variedades de especies agrícolas y hortícolas reguladas por la UE y actualizar el Catálogo común de variedades de especies agrícolas y hortícolas de la Comisión. El alcance de las notificaciones debería ampliarse en el futuro para permitir también contribuir al </w:t>
      </w:r>
      <w:proofErr w:type="spellStart"/>
      <w:r w:rsidRPr="00B369EB">
        <w:t>Variety</w:t>
      </w:r>
      <w:proofErr w:type="spellEnd"/>
      <w:r w:rsidRPr="00B369EB">
        <w:t xml:space="preserve"> Finder.</w:t>
      </w:r>
    </w:p>
    <w:p w14:paraId="6617C0BB" w14:textId="77777777" w:rsidR="00F31FE1" w:rsidRPr="00B369EB" w:rsidRDefault="00F31FE1" w:rsidP="00F31FE1"/>
    <w:p w14:paraId="3849A312" w14:textId="77777777" w:rsidR="007F2C3D" w:rsidRPr="00B369EB" w:rsidRDefault="001C673E">
      <w:pPr>
        <w:rPr>
          <w:rFonts w:cs="Arial"/>
          <w:u w:val="single"/>
        </w:rPr>
      </w:pPr>
      <w:bookmarkStart w:id="15" w:name="_1775983265"/>
      <w:bookmarkEnd w:id="15"/>
      <w:r w:rsidRPr="00B369EB">
        <w:rPr>
          <w:rFonts w:cs="Arial"/>
          <w:u w:val="single"/>
        </w:rPr>
        <w:t xml:space="preserve">d. Cooperación en las pruebas de denominación con los Estados miembros de la UE </w:t>
      </w:r>
    </w:p>
    <w:p w14:paraId="7C01BAE8" w14:textId="77777777" w:rsidR="00F31FE1" w:rsidRPr="00B369EB" w:rsidRDefault="00F31FE1" w:rsidP="006A1579">
      <w:pPr>
        <w:rPr>
          <w:rFonts w:cs="Arial"/>
        </w:rPr>
      </w:pPr>
    </w:p>
    <w:p w14:paraId="696C6086" w14:textId="77777777" w:rsidR="007F2C3D" w:rsidRPr="00B369EB" w:rsidRDefault="001C673E">
      <w:pPr>
        <w:rPr>
          <w:rFonts w:cs="Arial"/>
        </w:rPr>
      </w:pPr>
      <w:r w:rsidRPr="00B369EB">
        <w:rPr>
          <w:rFonts w:cs="Arial"/>
        </w:rPr>
        <w:t>La colaboración entre los Estados miembros es esencial para garantizar un enfoque armonizado y una interpretación coherente del artículo 63 del Reglamento CE 2100/94 del Consejo, que se basa en el Convenio de la UPOV. El servicio de cooperación en materia de examen de denominaciones encarna esta colaboración fomentando los intercambios regulares entre los 27 países participantes y la Oficina, lo que se traduce en unos 7 000 dictámenes emitidos cada año. Estos dictámenes permiten mantenerse al día sobre la evolución, las tendencias y los cambios. Se trata de una herramienta de seguimiento en colaboración que no sólo proporciona información en las primeras fases de las propuestas de denominación, sino que también identifica de forma proactiva determinadas cuestiones. Este enfoque permite tomar medidas transparentes y coordinadas para evitar cargas administrativas que puedan afectar negativamente a los obtentores.</w:t>
      </w:r>
    </w:p>
    <w:p w14:paraId="7DBFD376" w14:textId="77777777" w:rsidR="00F31FE1" w:rsidRPr="00B369EB" w:rsidRDefault="00F31FE1" w:rsidP="006A1579">
      <w:pPr>
        <w:rPr>
          <w:rFonts w:cs="Arial"/>
        </w:rPr>
      </w:pPr>
    </w:p>
    <w:p w14:paraId="43204D74" w14:textId="77777777" w:rsidR="007F2C3D" w:rsidRPr="00B369EB" w:rsidRDefault="001C673E">
      <w:pPr>
        <w:rPr>
          <w:rFonts w:cs="Arial"/>
        </w:rPr>
      </w:pPr>
      <w:r w:rsidRPr="00B369EB">
        <w:rPr>
          <w:rFonts w:cs="Arial"/>
        </w:rPr>
        <w:t>Además, el servicio de cooperación pretende poner de relieve los aspectos normativos que pueden dar lugar a interpretaciones divergentes y garantiza la aportación de las aclaraciones necesarias.</w:t>
      </w:r>
    </w:p>
    <w:p w14:paraId="49483115" w14:textId="77777777" w:rsidR="00F31FE1" w:rsidRPr="00B369EB" w:rsidRDefault="00F31FE1" w:rsidP="006A1579">
      <w:pPr>
        <w:rPr>
          <w:rFonts w:cs="Arial"/>
        </w:rPr>
      </w:pPr>
    </w:p>
    <w:p w14:paraId="718FD994" w14:textId="77777777" w:rsidR="007F2C3D" w:rsidRPr="00B369EB" w:rsidRDefault="001C673E">
      <w:pPr>
        <w:rPr>
          <w:rFonts w:cs="Arial"/>
        </w:rPr>
      </w:pPr>
      <w:r w:rsidRPr="00B369EB">
        <w:rPr>
          <w:rFonts w:cs="Arial"/>
        </w:rPr>
        <w:t xml:space="preserve">Desde la creación del servicio de cooperación para el examen de denominaciones en 2010, las directrices para las denominaciones de variedades y sus notas explicativas han evolucionado considerablemente. Estos cambios son el resultado directo de las interacciones diarias entre los usuarios del servicio y la Oficina. La versión más reciente de las directrices y notas explicativas, en vigor desde enero de 2022, ha introducido cambios notables, cuyo impacto se evaluó durante su año inaugural.  </w:t>
      </w:r>
    </w:p>
    <w:p w14:paraId="369AF2A2" w14:textId="77777777" w:rsidR="00F31FE1" w:rsidRPr="00B369EB" w:rsidRDefault="00F31FE1" w:rsidP="006A1579">
      <w:pPr>
        <w:rPr>
          <w:rFonts w:cs="Arial"/>
        </w:rPr>
      </w:pPr>
    </w:p>
    <w:p w14:paraId="715B1208" w14:textId="77777777" w:rsidR="007F2C3D" w:rsidRPr="00B369EB" w:rsidRDefault="001C673E">
      <w:pPr>
        <w:rPr>
          <w:rFonts w:cs="Arial"/>
        </w:rPr>
      </w:pPr>
      <w:r w:rsidRPr="00B369EB">
        <w:rPr>
          <w:rFonts w:cs="Arial"/>
        </w:rPr>
        <w:t>Reconociendo la necesidad de actualizar y adaptar periódicamente las normas e interpretaciones relativas a las denominaciones de variedades, así como la importancia de mantener debates más frecuentes sobre temas conexos, la OCVV ha decidido crear un foro dedicado a las cuestiones de denominación. En el Consejo de Administración de abril de 2024, la OCVV informó a los Estados miembros de la creación de un Grupo de Trabajo Técnico sobre Denominaciones de Variedades. Este grupo de expertos tiene como objetivo no sólo finalizar la primera ronda de debates sobre la versión 2022 de las Directrices, que comenzó en 2023, sino también abordar otros temas relacionados con las denominaciones de variedades vegetales, como las bases de datos, el intercambio de datos y la cooperación en materia de propiedad intelectual en el ámbito de las denominaciones de variedades. La primera reunión se celebrará en línea en septiembre de 2024.</w:t>
      </w:r>
    </w:p>
    <w:p w14:paraId="4DCFAD4C" w14:textId="77777777" w:rsidR="00F31FE1" w:rsidRPr="00B369EB" w:rsidRDefault="00F31FE1" w:rsidP="006A1579">
      <w:pPr>
        <w:rPr>
          <w:rFonts w:cs="Arial"/>
        </w:rPr>
      </w:pPr>
    </w:p>
    <w:p w14:paraId="33382822" w14:textId="77777777" w:rsidR="007F2C3D" w:rsidRPr="00B369EB" w:rsidRDefault="001C673E">
      <w:pPr>
        <w:rPr>
          <w:rFonts w:cs="Arial"/>
          <w:u w:val="single"/>
        </w:rPr>
      </w:pPr>
      <w:r w:rsidRPr="00B369EB">
        <w:rPr>
          <w:rFonts w:cs="Arial"/>
          <w:u w:val="single"/>
        </w:rPr>
        <w:t>4.2 Reunión de expertos en cultivos</w:t>
      </w:r>
    </w:p>
    <w:p w14:paraId="0C686CEF" w14:textId="77777777" w:rsidR="00F31FE1" w:rsidRPr="00B369EB" w:rsidRDefault="00F31FE1" w:rsidP="006A1579">
      <w:pPr>
        <w:rPr>
          <w:rFonts w:cs="Arial"/>
          <w:color w:val="000000"/>
          <w:lang w:eastAsia="en-GB"/>
        </w:rPr>
      </w:pPr>
    </w:p>
    <w:p w14:paraId="1D27B25E" w14:textId="77777777" w:rsidR="007F2C3D" w:rsidRPr="00B369EB" w:rsidRDefault="001C673E">
      <w:pPr>
        <w:rPr>
          <w:rFonts w:cs="Arial"/>
          <w:color w:val="000000"/>
          <w:lang w:eastAsia="en-GB"/>
        </w:rPr>
      </w:pPr>
      <w:r w:rsidRPr="00B369EB">
        <w:rPr>
          <w:rFonts w:cs="Arial"/>
          <w:color w:val="000000"/>
          <w:lang w:eastAsia="en-GB"/>
        </w:rPr>
        <w:t>Los días 3 y 4 de octubre de 2023 se celebró por vía electrónica una reunión de expertos agrícolas para debatir:</w:t>
      </w:r>
    </w:p>
    <w:p w14:paraId="16F273B4" w14:textId="77777777" w:rsidR="00F31FE1" w:rsidRPr="00B369EB" w:rsidRDefault="00F31FE1" w:rsidP="006A1579">
      <w:pPr>
        <w:rPr>
          <w:rFonts w:cs="Arial"/>
          <w:color w:val="000000"/>
          <w:lang w:eastAsia="en-GB"/>
        </w:rPr>
      </w:pPr>
    </w:p>
    <w:p w14:paraId="6E4D72AA" w14:textId="77777777" w:rsidR="007F2C3D" w:rsidRPr="00B369EB" w:rsidRDefault="001C673E">
      <w:pPr>
        <w:pStyle w:val="ListParagraph"/>
        <w:numPr>
          <w:ilvl w:val="0"/>
          <w:numId w:val="32"/>
        </w:numPr>
        <w:rPr>
          <w:rFonts w:cs="Arial"/>
          <w:color w:val="000000"/>
          <w:lang w:eastAsia="en-GB"/>
        </w:rPr>
      </w:pPr>
      <w:r w:rsidRPr="00B369EB">
        <w:rPr>
          <w:rFonts w:cs="Arial"/>
          <w:color w:val="000000"/>
          <w:lang w:eastAsia="en-GB"/>
        </w:rPr>
        <w:t>observar en las pruebas plurianuales determinadas características una sola vez,</w:t>
      </w:r>
    </w:p>
    <w:p w14:paraId="2C34DF64" w14:textId="77777777" w:rsidR="007F2C3D" w:rsidRPr="00B369EB" w:rsidRDefault="001C673E">
      <w:pPr>
        <w:pStyle w:val="ListParagraph"/>
        <w:numPr>
          <w:ilvl w:val="0"/>
          <w:numId w:val="32"/>
        </w:numPr>
        <w:rPr>
          <w:rFonts w:cs="Arial"/>
        </w:rPr>
      </w:pPr>
      <w:r w:rsidRPr="00B369EB">
        <w:rPr>
          <w:rFonts w:cs="Arial"/>
        </w:rPr>
        <w:t>maíz: sistema de examen con participación de obtentores en Italia, elementos técnicos del examen DHE en dicho sistema,</w:t>
      </w:r>
    </w:p>
    <w:p w14:paraId="036ACE15" w14:textId="77777777" w:rsidR="007F2C3D" w:rsidRPr="00B369EB" w:rsidRDefault="001C673E">
      <w:pPr>
        <w:pStyle w:val="ListParagraph"/>
        <w:numPr>
          <w:ilvl w:val="0"/>
          <w:numId w:val="32"/>
        </w:numPr>
        <w:rPr>
          <w:rFonts w:cs="Arial"/>
        </w:rPr>
      </w:pPr>
      <w:r w:rsidRPr="00B369EB">
        <w:rPr>
          <w:rFonts w:cs="Arial"/>
        </w:rPr>
        <w:t>cebada de primavera: problemas de observación de la distinción,</w:t>
      </w:r>
    </w:p>
    <w:p w14:paraId="3370AB6F" w14:textId="77777777" w:rsidR="007F2C3D" w:rsidRPr="00B369EB" w:rsidRDefault="001C673E">
      <w:pPr>
        <w:pStyle w:val="ListParagraph"/>
        <w:numPr>
          <w:ilvl w:val="0"/>
          <w:numId w:val="32"/>
        </w:numPr>
        <w:rPr>
          <w:rFonts w:cs="Arial"/>
        </w:rPr>
      </w:pPr>
      <w:r w:rsidRPr="00B369EB">
        <w:rPr>
          <w:rFonts w:cs="Arial"/>
        </w:rPr>
        <w:t>variedades de semillas de patatas verdaderas (TPS), debate y aprobación del proyecto final del Protocolo Técnico de la OCVV para las patatas,</w:t>
      </w:r>
    </w:p>
    <w:p w14:paraId="046D96D2" w14:textId="77777777" w:rsidR="007F2C3D" w:rsidRPr="00B369EB" w:rsidRDefault="001C673E">
      <w:pPr>
        <w:pStyle w:val="ListParagraph"/>
        <w:numPr>
          <w:ilvl w:val="0"/>
          <w:numId w:val="32"/>
        </w:numPr>
        <w:rPr>
          <w:rFonts w:cs="Arial"/>
        </w:rPr>
      </w:pPr>
      <w:r w:rsidRPr="00B369EB">
        <w:rPr>
          <w:rFonts w:cs="Arial"/>
        </w:rPr>
        <w:t>Evaluación DHE de variedades híbridas de colza oleaginosa en Dinamarca,</w:t>
      </w:r>
    </w:p>
    <w:p w14:paraId="7B3FB36D" w14:textId="77777777" w:rsidR="007F2C3D" w:rsidRPr="00B369EB" w:rsidRDefault="001C673E">
      <w:pPr>
        <w:pStyle w:val="ListParagraph"/>
        <w:numPr>
          <w:ilvl w:val="0"/>
          <w:numId w:val="32"/>
        </w:numPr>
        <w:rPr>
          <w:rFonts w:cs="Arial"/>
          <w:color w:val="000000"/>
          <w:lang w:eastAsia="en-GB"/>
        </w:rPr>
      </w:pPr>
      <w:r w:rsidRPr="00B369EB">
        <w:rPr>
          <w:rFonts w:cs="Arial"/>
        </w:rPr>
        <w:t>talleres técnicos que se organizarán en 2024,</w:t>
      </w:r>
    </w:p>
    <w:p w14:paraId="55D36531" w14:textId="77777777" w:rsidR="007F2C3D" w:rsidRPr="00B369EB" w:rsidRDefault="001C673E">
      <w:pPr>
        <w:pStyle w:val="ListParagraph"/>
        <w:numPr>
          <w:ilvl w:val="0"/>
          <w:numId w:val="32"/>
        </w:numPr>
        <w:rPr>
          <w:rFonts w:cs="Arial"/>
          <w:color w:val="000000"/>
          <w:lang w:eastAsia="en-GB"/>
        </w:rPr>
      </w:pPr>
      <w:r w:rsidRPr="00B369EB">
        <w:rPr>
          <w:rFonts w:cs="Arial"/>
          <w:color w:val="000000"/>
          <w:lang w:eastAsia="en-GB"/>
        </w:rPr>
        <w:t>revisiones de varios protocolos técnicos y nuevos protocolos técnicos.</w:t>
      </w:r>
    </w:p>
    <w:p w14:paraId="29DDE7BD" w14:textId="77777777" w:rsidR="006A1579" w:rsidRPr="00B369EB" w:rsidRDefault="006A1579" w:rsidP="006A1579">
      <w:pPr>
        <w:rPr>
          <w:rFonts w:cs="Arial"/>
          <w:color w:val="000000"/>
          <w:lang w:eastAsia="en-GB"/>
        </w:rPr>
      </w:pPr>
    </w:p>
    <w:p w14:paraId="410FF675" w14:textId="77777777" w:rsidR="007F2C3D" w:rsidRPr="00B369EB" w:rsidRDefault="001C673E">
      <w:pPr>
        <w:rPr>
          <w:rFonts w:cs="Arial"/>
          <w:color w:val="000000"/>
          <w:lang w:eastAsia="en-GB"/>
        </w:rPr>
      </w:pPr>
      <w:r w:rsidRPr="00B369EB">
        <w:rPr>
          <w:rFonts w:cs="Arial"/>
          <w:color w:val="000000"/>
          <w:lang w:eastAsia="en-GB"/>
        </w:rPr>
        <w:t>Los días 15 y 16 de noviembre de 2023 se celebró una reunión de expertos en hortalizas para debatir e informar sobre diversos temas:</w:t>
      </w:r>
    </w:p>
    <w:p w14:paraId="1C6EB435" w14:textId="77777777" w:rsidR="00F31FE1" w:rsidRPr="00B369EB" w:rsidRDefault="00F31FE1" w:rsidP="006A1579">
      <w:pPr>
        <w:rPr>
          <w:rFonts w:cs="Arial"/>
          <w:color w:val="000000"/>
          <w:lang w:eastAsia="en-GB"/>
        </w:rPr>
      </w:pPr>
    </w:p>
    <w:p w14:paraId="5E041697" w14:textId="77777777" w:rsidR="007F2C3D" w:rsidRPr="00B369EB" w:rsidRDefault="001C673E">
      <w:pPr>
        <w:pStyle w:val="ListParagraph"/>
        <w:numPr>
          <w:ilvl w:val="0"/>
          <w:numId w:val="33"/>
        </w:numPr>
        <w:rPr>
          <w:rFonts w:cs="Arial"/>
          <w:color w:val="000000"/>
          <w:lang w:eastAsia="en-GB"/>
        </w:rPr>
      </w:pPr>
      <w:r w:rsidRPr="00B369EB">
        <w:rPr>
          <w:rFonts w:cs="Arial"/>
          <w:color w:val="000000"/>
          <w:lang w:eastAsia="en-GB"/>
        </w:rPr>
        <w:t xml:space="preserve">El grupo estaba trabajando para aclarar las características de los protocolos técnicos de la OCVV que sólo pueden observarse una vez, mejorando la eficacia del examen DHE. Se ha creado un grupo de trabajo que preparará un documento para 2024. </w:t>
      </w:r>
    </w:p>
    <w:p w14:paraId="5DE387AE" w14:textId="77777777" w:rsidR="007F2C3D" w:rsidRPr="00B369EB" w:rsidRDefault="001C673E">
      <w:pPr>
        <w:pStyle w:val="ListParagraph"/>
        <w:numPr>
          <w:ilvl w:val="0"/>
          <w:numId w:val="33"/>
        </w:numPr>
        <w:rPr>
          <w:rFonts w:cs="Arial"/>
          <w:color w:val="000000"/>
          <w:lang w:eastAsia="en-GB"/>
        </w:rPr>
      </w:pPr>
      <w:r w:rsidRPr="00B369EB">
        <w:rPr>
          <w:rFonts w:cs="Arial"/>
          <w:color w:val="000000"/>
          <w:lang w:eastAsia="en-GB"/>
        </w:rPr>
        <w:t xml:space="preserve">Se ha reforzado el compromiso de las OE y de la OCVV para adoptar las recomendaciones del IBEB, en particular en lo relativo a la integración de las características de resistencia a la </w:t>
      </w:r>
      <w:proofErr w:type="spellStart"/>
      <w:r w:rsidRPr="00B369EB">
        <w:rPr>
          <w:rFonts w:cs="Arial"/>
          <w:color w:val="000000"/>
          <w:lang w:eastAsia="en-GB"/>
        </w:rPr>
        <w:t>Bremia</w:t>
      </w:r>
      <w:proofErr w:type="spellEnd"/>
      <w:r w:rsidRPr="00B369EB">
        <w:rPr>
          <w:rFonts w:cs="Arial"/>
          <w:color w:val="000000"/>
          <w:lang w:eastAsia="en-GB"/>
        </w:rPr>
        <w:t xml:space="preserve"> en los protocolos técnicos. </w:t>
      </w:r>
    </w:p>
    <w:p w14:paraId="7CD8FC78" w14:textId="77777777" w:rsidR="007F2C3D" w:rsidRPr="00B369EB" w:rsidRDefault="001C673E">
      <w:pPr>
        <w:pStyle w:val="ListParagraph"/>
        <w:numPr>
          <w:ilvl w:val="0"/>
          <w:numId w:val="33"/>
        </w:numPr>
        <w:rPr>
          <w:rFonts w:cs="Arial"/>
          <w:color w:val="000000"/>
          <w:lang w:eastAsia="en-GB"/>
        </w:rPr>
      </w:pPr>
      <w:r w:rsidRPr="00B369EB">
        <w:rPr>
          <w:rFonts w:cs="Arial"/>
          <w:color w:val="000000"/>
          <w:lang w:eastAsia="en-GB"/>
        </w:rPr>
        <w:t>Se están manteniendo conversaciones para aclarar las expectativas de los obtentores en cuanto a los índices de germinación de las semillas de las muestras entregadas para el examen DHE.</w:t>
      </w:r>
    </w:p>
    <w:p w14:paraId="2B5A74C4" w14:textId="77777777" w:rsidR="007F2C3D" w:rsidRPr="00B369EB" w:rsidRDefault="001C673E">
      <w:pPr>
        <w:pStyle w:val="ListParagraph"/>
        <w:numPr>
          <w:ilvl w:val="0"/>
          <w:numId w:val="33"/>
        </w:numPr>
        <w:rPr>
          <w:rFonts w:cs="Arial"/>
          <w:color w:val="000000"/>
          <w:lang w:eastAsia="en-GB"/>
        </w:rPr>
      </w:pPr>
      <w:r w:rsidRPr="00B369EB">
        <w:rPr>
          <w:rFonts w:cs="Arial"/>
          <w:color w:val="000000"/>
          <w:lang w:eastAsia="en-GB"/>
        </w:rPr>
        <w:t xml:space="preserve">A petición de </w:t>
      </w:r>
      <w:proofErr w:type="spellStart"/>
      <w:r w:rsidRPr="00B369EB">
        <w:rPr>
          <w:rFonts w:cs="Arial"/>
          <w:color w:val="000000"/>
          <w:lang w:eastAsia="en-GB"/>
        </w:rPr>
        <w:t>Euroseeds</w:t>
      </w:r>
      <w:proofErr w:type="spellEnd"/>
      <w:r w:rsidRPr="00B369EB">
        <w:rPr>
          <w:rFonts w:cs="Arial"/>
          <w:color w:val="000000"/>
          <w:lang w:eastAsia="en-GB"/>
        </w:rPr>
        <w:t xml:space="preserve">, el grupo reflexionó sobre cómo mejorar, dentro de la red de oficinas de examen de la UE, los procesos de gestión de las colecciones de referencia y el envío de las solicitudes de obtención del material de referencia. </w:t>
      </w:r>
    </w:p>
    <w:p w14:paraId="483E4FB4" w14:textId="77777777" w:rsidR="007F2C3D" w:rsidRPr="00B369EB" w:rsidRDefault="001C673E">
      <w:pPr>
        <w:pStyle w:val="ListParagraph"/>
        <w:numPr>
          <w:ilvl w:val="0"/>
          <w:numId w:val="33"/>
        </w:numPr>
        <w:rPr>
          <w:rFonts w:cs="Arial"/>
          <w:color w:val="000000"/>
          <w:lang w:eastAsia="en-GB"/>
        </w:rPr>
      </w:pPr>
      <w:r w:rsidRPr="00B369EB">
        <w:rPr>
          <w:rFonts w:cs="Arial"/>
          <w:color w:val="000000"/>
          <w:lang w:eastAsia="en-GB"/>
        </w:rPr>
        <w:t>El grupo recibió información actualizada sobre los últimos resultados de los proyectos de I+D en curso cofinanciados actualmente por la OCVV y fue informado por la Universidad de Wageningen sobre los progresos realizados en el análisis de imágenes en el proyecto INVITE con el fin de ayudar a los examinadores y mejorar las observaciones en los exámenes DHE.</w:t>
      </w:r>
    </w:p>
    <w:p w14:paraId="198497B1" w14:textId="77777777" w:rsidR="00F31FE1" w:rsidRPr="00B369EB" w:rsidRDefault="00F31FE1" w:rsidP="006A1579">
      <w:pPr>
        <w:rPr>
          <w:rFonts w:cs="Arial"/>
          <w:color w:val="000000"/>
          <w:lang w:eastAsia="en-GB"/>
        </w:rPr>
      </w:pPr>
    </w:p>
    <w:p w14:paraId="0EBC18FA" w14:textId="77777777" w:rsidR="007F2C3D" w:rsidRPr="00B369EB" w:rsidRDefault="001C673E">
      <w:pPr>
        <w:rPr>
          <w:rFonts w:cs="Arial"/>
          <w:color w:val="000000"/>
          <w:lang w:eastAsia="en-GB"/>
        </w:rPr>
      </w:pPr>
      <w:r w:rsidRPr="00B369EB">
        <w:rPr>
          <w:rFonts w:cs="Arial"/>
          <w:color w:val="000000"/>
          <w:lang w:eastAsia="en-GB"/>
        </w:rPr>
        <w:t>Los días 19 y 20 de septiembre de 2023 se celebró una reunión de expertos en fruta para debatir, entre otras cosas:</w:t>
      </w:r>
    </w:p>
    <w:p w14:paraId="6116E0B9" w14:textId="77777777" w:rsidR="00F31FE1" w:rsidRPr="00B369EB" w:rsidRDefault="00F31FE1" w:rsidP="006A1579">
      <w:pPr>
        <w:rPr>
          <w:rFonts w:cs="Arial"/>
        </w:rPr>
      </w:pPr>
    </w:p>
    <w:p w14:paraId="45B7F1FF" w14:textId="77777777" w:rsidR="007F2C3D" w:rsidRPr="00B369EB" w:rsidRDefault="001C673E">
      <w:pPr>
        <w:pStyle w:val="ListParagraph"/>
        <w:numPr>
          <w:ilvl w:val="0"/>
          <w:numId w:val="34"/>
        </w:numPr>
        <w:rPr>
          <w:rFonts w:cs="Arial"/>
          <w:color w:val="000000"/>
          <w:lang w:eastAsia="en-GB"/>
        </w:rPr>
      </w:pPr>
      <w:r w:rsidRPr="00B369EB">
        <w:rPr>
          <w:rFonts w:cs="Arial"/>
        </w:rPr>
        <w:t>Pruebas de grupos de mutación del manzano, retos en materia fitosanitaria,</w:t>
      </w:r>
    </w:p>
    <w:p w14:paraId="3CCBA6D8" w14:textId="77777777" w:rsidR="007F2C3D" w:rsidRPr="00B369EB" w:rsidRDefault="001C673E">
      <w:pPr>
        <w:pStyle w:val="ListParagraph"/>
        <w:numPr>
          <w:ilvl w:val="0"/>
          <w:numId w:val="34"/>
        </w:numPr>
        <w:rPr>
          <w:rFonts w:cs="Arial"/>
          <w:color w:val="000000"/>
          <w:lang w:eastAsia="en-GB"/>
        </w:rPr>
      </w:pPr>
      <w:r w:rsidRPr="00B369EB">
        <w:rPr>
          <w:rFonts w:cs="Arial"/>
        </w:rPr>
        <w:t xml:space="preserve">presentación de muestras: cambios en los requisitos generales de presentación de muestras para los cultivos frutales, </w:t>
      </w:r>
    </w:p>
    <w:p w14:paraId="6BCC72D3" w14:textId="77777777" w:rsidR="007F2C3D" w:rsidRPr="00B369EB" w:rsidRDefault="001C673E">
      <w:pPr>
        <w:pStyle w:val="ListParagraph"/>
        <w:numPr>
          <w:ilvl w:val="0"/>
          <w:numId w:val="34"/>
        </w:numPr>
        <w:rPr>
          <w:rFonts w:cs="Arial"/>
          <w:color w:val="000000"/>
          <w:lang w:eastAsia="en-GB"/>
        </w:rPr>
      </w:pPr>
      <w:r w:rsidRPr="00B369EB">
        <w:rPr>
          <w:rFonts w:cs="Arial"/>
        </w:rPr>
        <w:t xml:space="preserve">Información adicional vinculada al código UPOV para agrupar variedades, </w:t>
      </w:r>
    </w:p>
    <w:p w14:paraId="1D5DF800" w14:textId="77777777" w:rsidR="007F2C3D" w:rsidRPr="00B369EB" w:rsidRDefault="001C673E">
      <w:pPr>
        <w:pStyle w:val="ListParagraph"/>
        <w:numPr>
          <w:ilvl w:val="0"/>
          <w:numId w:val="34"/>
        </w:numPr>
        <w:rPr>
          <w:rFonts w:cs="Arial"/>
          <w:color w:val="000000"/>
          <w:lang w:eastAsia="en-GB"/>
        </w:rPr>
      </w:pPr>
      <w:r w:rsidRPr="00B369EB">
        <w:rPr>
          <w:rFonts w:cs="Arial"/>
        </w:rPr>
        <w:t xml:space="preserve">Revisión de nuestros requisitos fitosanitarios en la solicitud de material vegetal, </w:t>
      </w:r>
    </w:p>
    <w:p w14:paraId="38FFC87B" w14:textId="77777777" w:rsidR="007F2C3D" w:rsidRPr="00B369EB" w:rsidRDefault="001C673E">
      <w:pPr>
        <w:pStyle w:val="ListParagraph"/>
        <w:numPr>
          <w:ilvl w:val="0"/>
          <w:numId w:val="34"/>
        </w:numPr>
        <w:rPr>
          <w:rFonts w:cs="Arial"/>
          <w:color w:val="000000"/>
          <w:lang w:eastAsia="en-GB"/>
        </w:rPr>
      </w:pPr>
      <w:r w:rsidRPr="00B369EB">
        <w:rPr>
          <w:rFonts w:cs="Arial"/>
          <w:bCs/>
        </w:rPr>
        <w:t>Informe de las oficinas de examen sobre las medidas específicas adoptadas para proteger los ensayos DHE de las condiciones meteorológicas adversas</w:t>
      </w:r>
      <w:r w:rsidRPr="00B369EB">
        <w:rPr>
          <w:rFonts w:cs="Arial"/>
        </w:rPr>
        <w:t>,</w:t>
      </w:r>
    </w:p>
    <w:p w14:paraId="47BADE2A" w14:textId="77777777" w:rsidR="007F2C3D" w:rsidRPr="00B369EB" w:rsidRDefault="001C673E">
      <w:pPr>
        <w:pStyle w:val="ListParagraph"/>
        <w:numPr>
          <w:ilvl w:val="0"/>
          <w:numId w:val="34"/>
        </w:numPr>
        <w:rPr>
          <w:rFonts w:cs="Arial"/>
          <w:color w:val="000000"/>
          <w:lang w:eastAsia="en-GB"/>
        </w:rPr>
      </w:pPr>
      <w:r w:rsidRPr="00B369EB">
        <w:rPr>
          <w:rFonts w:cs="Arial"/>
        </w:rPr>
        <w:t>Asunción de los costes de las pruebas en caso de daños en la oficina de examen, calendario de pago o impago,</w:t>
      </w:r>
    </w:p>
    <w:p w14:paraId="66E9D609" w14:textId="77777777" w:rsidR="007F2C3D" w:rsidRPr="00B369EB" w:rsidRDefault="001C673E">
      <w:pPr>
        <w:pStyle w:val="ListParagraph"/>
        <w:numPr>
          <w:ilvl w:val="0"/>
          <w:numId w:val="34"/>
        </w:numPr>
        <w:rPr>
          <w:rFonts w:cs="Arial"/>
          <w:color w:val="000000"/>
          <w:lang w:eastAsia="en-GB"/>
        </w:rPr>
      </w:pPr>
      <w:r w:rsidRPr="00B369EB">
        <w:rPr>
          <w:rFonts w:cs="Arial"/>
        </w:rPr>
        <w:t>Asunción de los costes de las pruebas en caso de daños en la oficina de examen, calendario de pago o impago,</w:t>
      </w:r>
    </w:p>
    <w:p w14:paraId="33C4FCE0" w14:textId="77777777" w:rsidR="007F2C3D" w:rsidRPr="00B369EB" w:rsidRDefault="001C673E">
      <w:pPr>
        <w:pStyle w:val="ListParagraph"/>
        <w:numPr>
          <w:ilvl w:val="0"/>
          <w:numId w:val="34"/>
        </w:numPr>
        <w:rPr>
          <w:rFonts w:cs="Arial"/>
          <w:color w:val="000000"/>
          <w:lang w:eastAsia="en-GB"/>
        </w:rPr>
      </w:pPr>
      <w:r w:rsidRPr="00B369EB">
        <w:rPr>
          <w:rFonts w:cs="Arial"/>
          <w:color w:val="000000"/>
          <w:lang w:eastAsia="en-GB"/>
        </w:rPr>
        <w:t>Preparación de informes y descripciones de variedades - intercambio de experiencias por expertos y posición de la OCVV,</w:t>
      </w:r>
    </w:p>
    <w:p w14:paraId="2725DC8B" w14:textId="77777777" w:rsidR="007F2C3D" w:rsidRPr="00B369EB" w:rsidRDefault="001C673E">
      <w:pPr>
        <w:pStyle w:val="ListParagraph"/>
        <w:numPr>
          <w:ilvl w:val="0"/>
          <w:numId w:val="34"/>
        </w:numPr>
        <w:rPr>
          <w:rFonts w:cs="Arial"/>
          <w:color w:val="000000"/>
          <w:lang w:eastAsia="en-GB"/>
        </w:rPr>
      </w:pPr>
      <w:r w:rsidRPr="00B369EB">
        <w:rPr>
          <w:rFonts w:cs="Arial"/>
        </w:rPr>
        <w:t>Asunción de los informes por parte de Australia,</w:t>
      </w:r>
    </w:p>
    <w:p w14:paraId="728A78B1" w14:textId="77777777" w:rsidR="007F2C3D" w:rsidRPr="00B369EB" w:rsidRDefault="001C673E">
      <w:pPr>
        <w:pStyle w:val="ListParagraph"/>
        <w:numPr>
          <w:ilvl w:val="0"/>
          <w:numId w:val="34"/>
        </w:numPr>
        <w:rPr>
          <w:rFonts w:cs="Arial"/>
          <w:color w:val="000000"/>
          <w:lang w:eastAsia="en-GB"/>
        </w:rPr>
      </w:pPr>
      <w:proofErr w:type="spellStart"/>
      <w:r w:rsidRPr="00B369EB">
        <w:rPr>
          <w:rFonts w:cs="Arial"/>
        </w:rPr>
        <w:t>Vitis</w:t>
      </w:r>
      <w:proofErr w:type="spellEnd"/>
      <w:r w:rsidRPr="00B369EB">
        <w:rPr>
          <w:rFonts w:cs="Arial"/>
        </w:rPr>
        <w:t xml:space="preserve"> - posibilidad de utilizar plantas de 2 años para la plantación en los ensayos DHE</w:t>
      </w:r>
    </w:p>
    <w:p w14:paraId="454500FB" w14:textId="77777777" w:rsidR="007F2C3D" w:rsidRPr="00B369EB" w:rsidRDefault="001C673E">
      <w:pPr>
        <w:pStyle w:val="ListParagraph"/>
        <w:numPr>
          <w:ilvl w:val="0"/>
          <w:numId w:val="34"/>
        </w:numPr>
        <w:rPr>
          <w:rFonts w:cs="Arial"/>
          <w:color w:val="000000"/>
          <w:lang w:eastAsia="en-GB"/>
        </w:rPr>
      </w:pPr>
      <w:r w:rsidRPr="00B369EB">
        <w:rPr>
          <w:rFonts w:cs="Arial"/>
        </w:rPr>
        <w:t>Posible modificación de la carta de advertencia de la OCVV TV</w:t>
      </w:r>
    </w:p>
    <w:p w14:paraId="03437F92" w14:textId="77777777" w:rsidR="007F2C3D" w:rsidRPr="00B369EB" w:rsidRDefault="001C673E">
      <w:pPr>
        <w:pStyle w:val="ListParagraph"/>
        <w:numPr>
          <w:ilvl w:val="0"/>
          <w:numId w:val="34"/>
        </w:numPr>
        <w:rPr>
          <w:rFonts w:cs="Arial"/>
          <w:color w:val="000000"/>
          <w:lang w:eastAsia="en-GB"/>
        </w:rPr>
      </w:pPr>
      <w:r w:rsidRPr="00B369EB">
        <w:rPr>
          <w:rFonts w:cs="Arial"/>
        </w:rPr>
        <w:t xml:space="preserve">Modificaciones en los cuestionarios técnicos: Aspectos de confidencialidad, más dependencias entre preguntas, Normalización de la sección 7 y posiblemente 4 </w:t>
      </w:r>
      <w:r w:rsidRPr="00B369EB">
        <w:rPr>
          <w:rFonts w:cs="Arial"/>
          <w:color w:val="000000"/>
          <w:lang w:eastAsia="en-GB"/>
        </w:rPr>
        <w:t>Proyectos de I+D en el sector frutícola,</w:t>
      </w:r>
    </w:p>
    <w:p w14:paraId="4F81A41C" w14:textId="77777777" w:rsidR="007F2C3D" w:rsidRPr="00B369EB" w:rsidRDefault="001C673E">
      <w:pPr>
        <w:pStyle w:val="ListParagraph"/>
        <w:numPr>
          <w:ilvl w:val="0"/>
          <w:numId w:val="34"/>
        </w:numPr>
        <w:rPr>
          <w:rFonts w:cs="Arial"/>
          <w:color w:val="000000"/>
          <w:lang w:eastAsia="en-GB"/>
        </w:rPr>
      </w:pPr>
      <w:r w:rsidRPr="00B369EB">
        <w:rPr>
          <w:rFonts w:cs="Arial"/>
          <w:color w:val="000000"/>
          <w:lang w:eastAsia="en-GB"/>
        </w:rPr>
        <w:t>actualización de los avances en fenotipado automatizado,</w:t>
      </w:r>
    </w:p>
    <w:p w14:paraId="3B819620" w14:textId="77777777" w:rsidR="007F2C3D" w:rsidRPr="00B369EB" w:rsidRDefault="001C673E">
      <w:pPr>
        <w:pStyle w:val="ListParagraph"/>
        <w:numPr>
          <w:ilvl w:val="0"/>
          <w:numId w:val="34"/>
        </w:numPr>
        <w:rPr>
          <w:rFonts w:cs="Arial"/>
          <w:color w:val="000000"/>
          <w:lang w:eastAsia="en-GB"/>
        </w:rPr>
      </w:pPr>
      <w:r w:rsidRPr="00B369EB">
        <w:rPr>
          <w:rFonts w:cs="Arial"/>
          <w:color w:val="000000"/>
          <w:lang w:eastAsia="en-GB"/>
        </w:rPr>
        <w:t>La informática importa,</w:t>
      </w:r>
    </w:p>
    <w:p w14:paraId="75690CD5" w14:textId="77777777" w:rsidR="007F2C3D" w:rsidRPr="00B369EB" w:rsidRDefault="001C673E">
      <w:pPr>
        <w:pStyle w:val="ListParagraph"/>
        <w:numPr>
          <w:ilvl w:val="0"/>
          <w:numId w:val="34"/>
        </w:numPr>
        <w:rPr>
          <w:rFonts w:cs="Arial"/>
          <w:color w:val="000000"/>
          <w:lang w:eastAsia="en-GB"/>
        </w:rPr>
      </w:pPr>
      <w:r w:rsidRPr="00B369EB">
        <w:rPr>
          <w:rFonts w:cs="Arial"/>
          <w:color w:val="000000"/>
          <w:lang w:eastAsia="en-GB"/>
        </w:rPr>
        <w:t xml:space="preserve">fondos para ayudar a las PYME. </w:t>
      </w:r>
    </w:p>
    <w:p w14:paraId="5A1E44F5" w14:textId="77777777" w:rsidR="006A1579" w:rsidRPr="00B369EB" w:rsidRDefault="006A1579" w:rsidP="006A1579">
      <w:pPr>
        <w:rPr>
          <w:rFonts w:cs="Arial"/>
          <w:color w:val="000000"/>
          <w:lang w:eastAsia="en-GB"/>
        </w:rPr>
      </w:pPr>
    </w:p>
    <w:p w14:paraId="56485553" w14:textId="77777777" w:rsidR="007F2C3D" w:rsidRPr="00B369EB" w:rsidRDefault="001C673E">
      <w:pPr>
        <w:rPr>
          <w:rFonts w:cs="Arial"/>
          <w:color w:val="000000"/>
          <w:lang w:eastAsia="en-GB"/>
        </w:rPr>
      </w:pPr>
      <w:r w:rsidRPr="00B369EB">
        <w:rPr>
          <w:rFonts w:cs="Arial"/>
          <w:color w:val="000000"/>
          <w:lang w:eastAsia="en-GB"/>
        </w:rPr>
        <w:t>Los días 18 y 19 de octubre de 2023 se celebró una reunión de expertos en ornamentación para debatir o facilitar información sobre una serie de temas, entre otros:</w:t>
      </w:r>
    </w:p>
    <w:p w14:paraId="2FFE47B1" w14:textId="77777777" w:rsidR="00F31FE1" w:rsidRPr="00B369EB" w:rsidRDefault="00F31FE1" w:rsidP="006A1579">
      <w:pPr>
        <w:rPr>
          <w:rFonts w:cs="Arial"/>
          <w:color w:val="000000"/>
          <w:lang w:eastAsia="en-GB"/>
        </w:rPr>
      </w:pPr>
    </w:p>
    <w:p w14:paraId="4911126A" w14:textId="77777777" w:rsidR="007F2C3D" w:rsidRPr="00B369EB" w:rsidRDefault="001C673E">
      <w:pPr>
        <w:pStyle w:val="ListParagraph"/>
        <w:numPr>
          <w:ilvl w:val="0"/>
          <w:numId w:val="34"/>
        </w:numPr>
        <w:rPr>
          <w:rFonts w:cs="Arial"/>
        </w:rPr>
      </w:pPr>
      <w:r w:rsidRPr="00B369EB">
        <w:rPr>
          <w:rFonts w:cs="Arial"/>
          <w:color w:val="000000"/>
          <w:szCs w:val="20"/>
        </w:rPr>
        <w:t xml:space="preserve">consideración del material de especies en la evaluación de la distinción; </w:t>
      </w:r>
      <w:r w:rsidR="00F31FE1" w:rsidRPr="00B369EB">
        <w:rPr>
          <w:rFonts w:cs="Arial"/>
          <w:szCs w:val="20"/>
        </w:rPr>
        <w:t xml:space="preserve">evaluación de </w:t>
      </w:r>
      <w:r w:rsidRPr="00B369EB">
        <w:rPr>
          <w:rFonts w:cs="Arial"/>
          <w:szCs w:val="20"/>
        </w:rPr>
        <w:t xml:space="preserve">la homogeneidad; caracteres QN en variedades ornamentales de polinización cruzada propagadas mediante semillas; revisión del requisito general de presentación; ámbito de aplicación de las directrices nacionales; </w:t>
      </w:r>
      <w:r w:rsidR="00F31FE1" w:rsidRPr="00B369EB">
        <w:rPr>
          <w:rFonts w:cs="Arial"/>
          <w:szCs w:val="20"/>
        </w:rPr>
        <w:lastRenderedPageBreak/>
        <w:t xml:space="preserve">evaluación </w:t>
      </w:r>
      <w:r w:rsidRPr="00B369EB">
        <w:rPr>
          <w:rFonts w:cs="Arial"/>
          <w:szCs w:val="20"/>
        </w:rPr>
        <w:t xml:space="preserve">de la homogeneidad cuando se cultiva más de una planta por maceta o cuando se injertan varias púas por planta patrón; protocolos técnicos </w:t>
      </w:r>
      <w:r w:rsidR="00F31FE1" w:rsidRPr="00B369EB">
        <w:rPr>
          <w:rFonts w:cs="Arial"/>
          <w:szCs w:val="20"/>
        </w:rPr>
        <w:t xml:space="preserve">nuevos </w:t>
      </w:r>
      <w:r w:rsidRPr="00B369EB">
        <w:rPr>
          <w:rFonts w:cs="Arial"/>
          <w:szCs w:val="20"/>
        </w:rPr>
        <w:t xml:space="preserve">o revisados de Berberis, </w:t>
      </w:r>
      <w:proofErr w:type="spellStart"/>
      <w:r w:rsidRPr="00B369EB">
        <w:rPr>
          <w:rFonts w:cs="Arial"/>
          <w:szCs w:val="20"/>
        </w:rPr>
        <w:t>Anigozanthos</w:t>
      </w:r>
      <w:proofErr w:type="spellEnd"/>
      <w:r w:rsidRPr="00B369EB">
        <w:rPr>
          <w:rFonts w:cs="Arial"/>
          <w:szCs w:val="20"/>
        </w:rPr>
        <w:t xml:space="preserve"> y </w:t>
      </w:r>
      <w:proofErr w:type="spellStart"/>
      <w:r w:rsidRPr="00B369EB">
        <w:rPr>
          <w:rFonts w:cs="Arial"/>
          <w:szCs w:val="20"/>
        </w:rPr>
        <w:t>Anthurium</w:t>
      </w:r>
      <w:proofErr w:type="spellEnd"/>
      <w:r w:rsidRPr="00B369EB">
        <w:rPr>
          <w:rFonts w:cs="Arial"/>
          <w:szCs w:val="20"/>
        </w:rPr>
        <w:t xml:space="preserve">. </w:t>
      </w:r>
    </w:p>
    <w:p w14:paraId="2EFC406E" w14:textId="77777777" w:rsidR="00F31FE1" w:rsidRPr="00B369EB" w:rsidRDefault="00F31FE1" w:rsidP="006A1579">
      <w:pPr>
        <w:rPr>
          <w:rFonts w:cs="Arial"/>
        </w:rPr>
      </w:pPr>
    </w:p>
    <w:p w14:paraId="1E408039" w14:textId="77777777" w:rsidR="007F2C3D" w:rsidRPr="00B369EB" w:rsidRDefault="001C673E">
      <w:pPr>
        <w:rPr>
          <w:rFonts w:cs="Arial"/>
          <w:u w:val="single"/>
        </w:rPr>
      </w:pPr>
      <w:r w:rsidRPr="00B369EB">
        <w:rPr>
          <w:rFonts w:cs="Arial"/>
          <w:u w:val="single"/>
        </w:rPr>
        <w:t>4.3 Servicio de Auditoría de Calidad (QAS)</w:t>
      </w:r>
    </w:p>
    <w:p w14:paraId="2B83D064" w14:textId="77777777" w:rsidR="00D84B7D" w:rsidRPr="00B369EB" w:rsidRDefault="00D84B7D" w:rsidP="006A1579">
      <w:pPr>
        <w:rPr>
          <w:rFonts w:cs="Arial"/>
        </w:rPr>
      </w:pPr>
    </w:p>
    <w:p w14:paraId="7ADE6351" w14:textId="77777777" w:rsidR="007F2C3D" w:rsidRPr="00B369EB" w:rsidRDefault="001C673E">
      <w:pPr>
        <w:rPr>
          <w:rFonts w:cs="Arial"/>
        </w:rPr>
      </w:pPr>
      <w:r w:rsidRPr="00B369EB">
        <w:rPr>
          <w:rFonts w:cs="Arial"/>
        </w:rPr>
        <w:t>En los doce meses transcurridos hasta julio de 2024, QAS llevó a cabo un total de nueve ejercicios de evaluación in situ para oficinas de examen encargadas en la UE. Todos ellos se llevaron a cabo con arreglo a los Requisitos de Encomienda revisados que entraron en vigor el 1 de enero de 2023.</w:t>
      </w:r>
    </w:p>
    <w:p w14:paraId="40951635" w14:textId="77777777" w:rsidR="00D84B7D" w:rsidRPr="00B369EB" w:rsidRDefault="00D84B7D" w:rsidP="006A1579">
      <w:pPr>
        <w:rPr>
          <w:rFonts w:cs="Arial"/>
        </w:rPr>
      </w:pPr>
    </w:p>
    <w:p w14:paraId="3281CBCB" w14:textId="77777777" w:rsidR="007F2C3D" w:rsidRPr="00B369EB" w:rsidRDefault="001C673E">
      <w:pPr>
        <w:rPr>
          <w:rFonts w:cs="Arial"/>
        </w:rPr>
      </w:pPr>
      <w:r w:rsidRPr="00B369EB">
        <w:rPr>
          <w:rFonts w:cs="Arial"/>
        </w:rPr>
        <w:t xml:space="preserve">Debido al refuerzo del proceso de trabajo DHE en varios capítulos de los Requisitos de Encomienda revisados, las oficinas de examen evaluadas en los últimos doce meses aplicaron ampliamente mejoras en la calidad del trabajo de examen DHE. No obstante, las nueve oficinas de examen a las que se encomendó el examen DHE presentaron más no conformidades que tres años antes, cuando fueron evaluadas por última vez con arreglo a la antigua versión de los Requisitos de Encomienda. El único ámbito en el que las nueve oficinas de examen recibieron </w:t>
      </w:r>
      <w:proofErr w:type="gramStart"/>
      <w:r w:rsidRPr="00B369EB">
        <w:rPr>
          <w:rFonts w:cs="Arial"/>
        </w:rPr>
        <w:t>una no</w:t>
      </w:r>
      <w:proofErr w:type="gramEnd"/>
      <w:r w:rsidRPr="00B369EB">
        <w:rPr>
          <w:rFonts w:cs="Arial"/>
        </w:rPr>
        <w:t xml:space="preserve"> conformidad u observación fue el de la no aplicación plena del requisito de que todos los examinadores DHE debían haber seguido el curso de enseñanza a distancia DL-305 de la UPOV. Las oficinas de examen pudieron resolver la mayoría de las no conformidades planteadas por el QAS dentro del plazo establecido, lo que permitió al QAS formular recomendaciones positivas al Consejo de Administración de la OCVV. </w:t>
      </w:r>
    </w:p>
    <w:p w14:paraId="3873EABC" w14:textId="77777777" w:rsidR="006A1579" w:rsidRPr="00B369EB" w:rsidRDefault="006A1579" w:rsidP="006A1579">
      <w:pPr>
        <w:rPr>
          <w:rFonts w:cs="Arial"/>
        </w:rPr>
      </w:pPr>
    </w:p>
    <w:p w14:paraId="52010CC8" w14:textId="77777777" w:rsidR="007F2C3D" w:rsidRPr="00B369EB" w:rsidRDefault="001C673E">
      <w:pPr>
        <w:rPr>
          <w:rFonts w:cs="Arial"/>
        </w:rPr>
      </w:pPr>
      <w:r w:rsidRPr="00B369EB">
        <w:rPr>
          <w:rFonts w:cs="Arial"/>
        </w:rPr>
        <w:t xml:space="preserve">En noviembre de 2023, bajo los auspicios del proyecto </w:t>
      </w:r>
      <w:proofErr w:type="spellStart"/>
      <w:r w:rsidRPr="00B369EB">
        <w:rPr>
          <w:rFonts w:cs="Arial"/>
        </w:rPr>
        <w:t>IPKey</w:t>
      </w:r>
      <w:proofErr w:type="spellEnd"/>
      <w:r w:rsidRPr="00B369EB">
        <w:rPr>
          <w:rFonts w:cs="Arial"/>
        </w:rPr>
        <w:t xml:space="preserve"> China, un equipo de la OCVV visitó las instalaciones de examen DHE de champiñones en </w:t>
      </w:r>
      <w:proofErr w:type="spellStart"/>
      <w:r w:rsidRPr="00B369EB">
        <w:rPr>
          <w:rFonts w:cs="Arial"/>
        </w:rPr>
        <w:t>Shanghai</w:t>
      </w:r>
      <w:proofErr w:type="spellEnd"/>
      <w:r w:rsidRPr="00B369EB">
        <w:rPr>
          <w:rFonts w:cs="Arial"/>
        </w:rPr>
        <w:t xml:space="preserve"> del Ministerio de Agricultura y Asuntos Rurales de China (MARA). El objetivo era evaluar la posibilidad de que la OCVV se hiciera cargo del informe técnico u organizara el examen técnico de determinadas especies de hongos exóticos con las autoridades chinas. QAS elaboró poco después un informe de evaluación y recomendaciones de mejora para las autoridades chinas, con una perspectiva positiva para la futura colaboración entre la OCVV y MARA en esta gama de cultivos. En consecuencia, se prevé la firma de un acuerdo formal entre ambas partes antes de finales de 2024.QAS también proporcionó asesoramiento técnico continuo a la OAPI y a sus cuatro oficinas de examen designadas en Burkina Faso, Camerún, Costa de Marfil y Senegal, en el marco del proyecto </w:t>
      </w:r>
      <w:proofErr w:type="spellStart"/>
      <w:r w:rsidRPr="00B369EB">
        <w:rPr>
          <w:rFonts w:cs="Arial"/>
        </w:rPr>
        <w:t>AfrIPI</w:t>
      </w:r>
      <w:proofErr w:type="spellEnd"/>
      <w:r w:rsidRPr="00B369EB">
        <w:rPr>
          <w:rFonts w:cs="Arial"/>
        </w:rPr>
        <w:t xml:space="preserve"> para mejorar la gestión de las colecciones de variedades en esos cuatro países.</w:t>
      </w:r>
    </w:p>
    <w:p w14:paraId="0D54305F" w14:textId="77777777" w:rsidR="006A1579" w:rsidRPr="00B369EB" w:rsidRDefault="006A1579" w:rsidP="006A1579">
      <w:pPr>
        <w:rPr>
          <w:rFonts w:cs="Arial"/>
        </w:rPr>
      </w:pPr>
    </w:p>
    <w:p w14:paraId="71D06C93" w14:textId="77777777" w:rsidR="007F2C3D" w:rsidRPr="00B369EB" w:rsidRDefault="001C673E">
      <w:pPr>
        <w:rPr>
          <w:rFonts w:cs="Arial"/>
          <w:bCs/>
          <w:u w:val="single"/>
        </w:rPr>
      </w:pPr>
      <w:r w:rsidRPr="00B369EB">
        <w:rPr>
          <w:rFonts w:cs="Arial"/>
          <w:bCs/>
          <w:u w:val="single"/>
        </w:rPr>
        <w:t>5)</w:t>
      </w:r>
      <w:r w:rsidR="00D84B7D" w:rsidRPr="00B369EB">
        <w:rPr>
          <w:rFonts w:cs="Arial"/>
          <w:bCs/>
          <w:u w:val="single"/>
        </w:rPr>
        <w:tab/>
      </w:r>
      <w:r w:rsidRPr="00B369EB">
        <w:rPr>
          <w:rFonts w:cs="Arial"/>
          <w:bCs/>
          <w:u w:val="single"/>
        </w:rPr>
        <w:t xml:space="preserve">Actividades de fomento de la protección de las obtenciones vegetales </w:t>
      </w:r>
    </w:p>
    <w:p w14:paraId="63E228DA" w14:textId="77777777" w:rsidR="00D84B7D" w:rsidRPr="00B369EB" w:rsidRDefault="00D84B7D" w:rsidP="006A1579">
      <w:pPr>
        <w:rPr>
          <w:rFonts w:cs="Arial"/>
          <w:bCs/>
          <w:u w:val="single"/>
        </w:rPr>
      </w:pPr>
    </w:p>
    <w:p w14:paraId="7646314C" w14:textId="77777777" w:rsidR="007F2C3D" w:rsidRPr="00B369EB" w:rsidRDefault="001C673E">
      <w:pPr>
        <w:rPr>
          <w:rFonts w:cs="Arial"/>
          <w:u w:val="single"/>
        </w:rPr>
      </w:pPr>
      <w:r w:rsidRPr="00B369EB">
        <w:rPr>
          <w:rFonts w:cs="Arial"/>
          <w:u w:val="single"/>
        </w:rPr>
        <w:t>5.1 Cooperación internacional</w:t>
      </w:r>
    </w:p>
    <w:p w14:paraId="7DDE2558" w14:textId="77777777" w:rsidR="00D84B7D" w:rsidRPr="00B369EB" w:rsidRDefault="00D84B7D" w:rsidP="006A1579">
      <w:pPr>
        <w:rPr>
          <w:rFonts w:cs="Arial"/>
        </w:rPr>
      </w:pPr>
    </w:p>
    <w:p w14:paraId="4E4BA12C" w14:textId="77777777" w:rsidR="007F2C3D" w:rsidRPr="00B369EB" w:rsidRDefault="001C673E">
      <w:pPr>
        <w:rPr>
          <w:rFonts w:cs="Arial"/>
        </w:rPr>
      </w:pPr>
      <w:r w:rsidRPr="00B369EB">
        <w:rPr>
          <w:rFonts w:cs="Arial"/>
        </w:rPr>
        <w:t xml:space="preserve">El alcance de la cooperación de la Oficina se ha ampliado considerablemente en los últimos años, para seguir el ritmo de las políticas en continua evolución que abarca el sector de la cría. </w:t>
      </w:r>
    </w:p>
    <w:p w14:paraId="4672E6BB" w14:textId="77777777" w:rsidR="00D84B7D" w:rsidRPr="00B369EB" w:rsidRDefault="00D84B7D" w:rsidP="006A1579">
      <w:pPr>
        <w:rPr>
          <w:rFonts w:cs="Arial"/>
        </w:rPr>
      </w:pPr>
    </w:p>
    <w:p w14:paraId="410A744B" w14:textId="77777777" w:rsidR="007F2C3D" w:rsidRPr="00B369EB" w:rsidRDefault="001C673E">
      <w:pPr>
        <w:rPr>
          <w:rFonts w:cs="Arial"/>
        </w:rPr>
      </w:pPr>
      <w:r w:rsidRPr="00B369EB">
        <w:rPr>
          <w:rFonts w:cs="Arial"/>
        </w:rPr>
        <w:t>La OCVV sigue aportando sus conocimientos especializados mediante la cooperación bilateral y multilateral (con socios estratégicos, como la EUIPO, la Oficina Europea de Patentes (OEP) y la UPOV, las oficinas de protección y examen de las obtenciones vegetales y las organizaciones sectoriales), sin perjuicio de las relaciones bilaterales en curso con los principales países destinatarios y las organizaciones regionales, como los diálogos de larga data con China, Japón, la OAPI y la ARIPO.</w:t>
      </w:r>
    </w:p>
    <w:p w14:paraId="491C2B5A" w14:textId="77777777" w:rsidR="00D84B7D" w:rsidRPr="00B369EB" w:rsidRDefault="00D84B7D" w:rsidP="006A1579">
      <w:pPr>
        <w:rPr>
          <w:rFonts w:cs="Arial"/>
        </w:rPr>
      </w:pPr>
    </w:p>
    <w:p w14:paraId="58B7E7D2" w14:textId="77777777" w:rsidR="007F2C3D" w:rsidRPr="00B369EB" w:rsidRDefault="001C673E">
      <w:pPr>
        <w:rPr>
          <w:rFonts w:cs="Arial"/>
        </w:rPr>
      </w:pPr>
      <w:r w:rsidRPr="00B369EB">
        <w:rPr>
          <w:rFonts w:cs="Arial"/>
        </w:rPr>
        <w:t>Los proyectos de cooperación internacional IP Key están dirigidos por la Comisión Europea y se ejecutan en colaboración con la EUIPO para reforzar la protección de la propiedad intelectual en China, América Latina y los países de la ASEAN. Además de los proyectos IP Key, la EUIPO ejecuta en nombre de la Comisión Europea un proyecto en el Caribe (</w:t>
      </w:r>
      <w:proofErr w:type="spellStart"/>
      <w:r w:rsidRPr="00B369EB">
        <w:rPr>
          <w:rFonts w:cs="Arial"/>
        </w:rPr>
        <w:t>CarIPI</w:t>
      </w:r>
      <w:proofErr w:type="spellEnd"/>
      <w:r w:rsidRPr="00B369EB">
        <w:rPr>
          <w:rFonts w:cs="Arial"/>
        </w:rPr>
        <w:t>), otro en África (</w:t>
      </w:r>
      <w:proofErr w:type="spellStart"/>
      <w:r w:rsidRPr="00B369EB">
        <w:rPr>
          <w:rFonts w:cs="Arial"/>
        </w:rPr>
        <w:t>AfrIPI</w:t>
      </w:r>
      <w:proofErr w:type="spellEnd"/>
      <w:r w:rsidRPr="00B369EB">
        <w:rPr>
          <w:rFonts w:cs="Arial"/>
        </w:rPr>
        <w:t xml:space="preserve">) y otro en los países del Mercosur (AL-INVEST PI). Las actividades llevadas a cabo en el marco de estos proyectos incluyen la organización de seminarios y formaciones mutuas, así como la realización de estudios y la prestación de apoyo jurídico a los países beneficiarios.  </w:t>
      </w:r>
    </w:p>
    <w:p w14:paraId="2245521C" w14:textId="77777777" w:rsidR="00D84B7D" w:rsidRPr="00B369EB" w:rsidRDefault="00D84B7D" w:rsidP="006A1579">
      <w:pPr>
        <w:rPr>
          <w:rFonts w:cs="Arial"/>
        </w:rPr>
      </w:pPr>
    </w:p>
    <w:p w14:paraId="586BC873" w14:textId="77777777" w:rsidR="007F2C3D" w:rsidRPr="00B369EB" w:rsidRDefault="001C673E">
      <w:pPr>
        <w:rPr>
          <w:rFonts w:cs="Arial"/>
        </w:rPr>
      </w:pPr>
      <w:r w:rsidRPr="00B369EB">
        <w:rPr>
          <w:rFonts w:cs="Arial"/>
        </w:rPr>
        <w:t xml:space="preserve">A </w:t>
      </w:r>
      <w:proofErr w:type="gramStart"/>
      <w:r w:rsidRPr="00B369EB">
        <w:rPr>
          <w:rFonts w:cs="Arial"/>
        </w:rPr>
        <w:t>continuación</w:t>
      </w:r>
      <w:proofErr w:type="gramEnd"/>
      <w:r w:rsidRPr="00B369EB">
        <w:rPr>
          <w:rFonts w:cs="Arial"/>
        </w:rPr>
        <w:t xml:space="preserve"> figura un cuadro recapitulativo de las actividades realizadas:</w:t>
      </w:r>
    </w:p>
    <w:p w14:paraId="39F5BA2C" w14:textId="77777777" w:rsidR="00D84B7D" w:rsidRPr="00B369EB" w:rsidRDefault="00D84B7D" w:rsidP="006A1579">
      <w:pPr>
        <w:rPr>
          <w:rFonts w:cs="Arial"/>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57" w:type="dxa"/>
          <w:bottom w:w="28" w:type="dxa"/>
          <w:right w:w="28" w:type="dxa"/>
        </w:tblCellMar>
        <w:tblLook w:val="04A0" w:firstRow="1" w:lastRow="0" w:firstColumn="1" w:lastColumn="0" w:noHBand="0" w:noVBand="1"/>
      </w:tblPr>
      <w:tblGrid>
        <w:gridCol w:w="1560"/>
        <w:gridCol w:w="1984"/>
        <w:gridCol w:w="1134"/>
        <w:gridCol w:w="1134"/>
        <w:gridCol w:w="1843"/>
        <w:gridCol w:w="2381"/>
      </w:tblGrid>
      <w:tr w:rsidR="00D84B7D" w:rsidRPr="00B369EB" w14:paraId="499E821A" w14:textId="77777777" w:rsidTr="00D84B7D">
        <w:trPr>
          <w:cantSplit/>
          <w:tblHeader/>
        </w:trPr>
        <w:tc>
          <w:tcPr>
            <w:tcW w:w="1560" w:type="dxa"/>
            <w:shd w:val="clear" w:color="auto" w:fill="F2F2F2" w:themeFill="background1" w:themeFillShade="F2"/>
            <w:vAlign w:val="bottom"/>
          </w:tcPr>
          <w:p w14:paraId="22F3EE05" w14:textId="77777777" w:rsidR="007F2C3D" w:rsidRPr="00B369EB" w:rsidRDefault="001C673E">
            <w:pPr>
              <w:jc w:val="left"/>
              <w:rPr>
                <w:sz w:val="18"/>
                <w:szCs w:val="18"/>
              </w:rPr>
            </w:pPr>
            <w:r w:rsidRPr="00B369EB">
              <w:rPr>
                <w:sz w:val="18"/>
                <w:szCs w:val="18"/>
              </w:rPr>
              <w:t>Fecha</w:t>
            </w:r>
          </w:p>
        </w:tc>
        <w:tc>
          <w:tcPr>
            <w:tcW w:w="1984" w:type="dxa"/>
            <w:shd w:val="clear" w:color="auto" w:fill="F2F2F2" w:themeFill="background1" w:themeFillShade="F2"/>
            <w:vAlign w:val="bottom"/>
          </w:tcPr>
          <w:p w14:paraId="02FF0CF6" w14:textId="77777777" w:rsidR="007F2C3D" w:rsidRPr="00B369EB" w:rsidRDefault="001C673E">
            <w:pPr>
              <w:jc w:val="left"/>
              <w:rPr>
                <w:sz w:val="18"/>
                <w:szCs w:val="18"/>
              </w:rPr>
            </w:pPr>
            <w:r w:rsidRPr="00B369EB">
              <w:rPr>
                <w:sz w:val="18"/>
                <w:szCs w:val="18"/>
              </w:rPr>
              <w:t>País/Organización</w:t>
            </w:r>
          </w:p>
        </w:tc>
        <w:tc>
          <w:tcPr>
            <w:tcW w:w="1134" w:type="dxa"/>
            <w:shd w:val="clear" w:color="auto" w:fill="F2F2F2" w:themeFill="background1" w:themeFillShade="F2"/>
            <w:vAlign w:val="bottom"/>
          </w:tcPr>
          <w:p w14:paraId="0DA0F65D" w14:textId="77777777" w:rsidR="007F2C3D" w:rsidRPr="00B369EB" w:rsidRDefault="001C673E">
            <w:pPr>
              <w:jc w:val="left"/>
              <w:rPr>
                <w:sz w:val="18"/>
                <w:szCs w:val="18"/>
              </w:rPr>
            </w:pPr>
            <w:r w:rsidRPr="00B369EB">
              <w:rPr>
                <w:sz w:val="18"/>
                <w:szCs w:val="18"/>
              </w:rPr>
              <w:t>Proyecto</w:t>
            </w:r>
          </w:p>
          <w:p w14:paraId="7317FBB7" w14:textId="77777777" w:rsidR="007F2C3D" w:rsidRPr="00B369EB" w:rsidRDefault="001C673E">
            <w:pPr>
              <w:jc w:val="left"/>
              <w:rPr>
                <w:sz w:val="18"/>
                <w:szCs w:val="18"/>
              </w:rPr>
            </w:pPr>
            <w:r w:rsidRPr="00B369EB">
              <w:rPr>
                <w:sz w:val="18"/>
                <w:szCs w:val="18"/>
              </w:rPr>
              <w:t>Iniciador</w:t>
            </w:r>
          </w:p>
        </w:tc>
        <w:tc>
          <w:tcPr>
            <w:tcW w:w="1134" w:type="dxa"/>
            <w:shd w:val="clear" w:color="auto" w:fill="F2F2F2" w:themeFill="background1" w:themeFillShade="F2"/>
            <w:vAlign w:val="bottom"/>
          </w:tcPr>
          <w:p w14:paraId="7A209995" w14:textId="77777777" w:rsidR="007F2C3D" w:rsidRPr="00B369EB" w:rsidRDefault="001C673E">
            <w:pPr>
              <w:jc w:val="left"/>
              <w:rPr>
                <w:sz w:val="18"/>
                <w:szCs w:val="18"/>
              </w:rPr>
            </w:pPr>
            <w:r w:rsidRPr="00B369EB">
              <w:rPr>
                <w:sz w:val="18"/>
                <w:szCs w:val="18"/>
              </w:rPr>
              <w:t>Formato</w:t>
            </w:r>
          </w:p>
        </w:tc>
        <w:tc>
          <w:tcPr>
            <w:tcW w:w="1843" w:type="dxa"/>
            <w:shd w:val="clear" w:color="auto" w:fill="F2F2F2" w:themeFill="background1" w:themeFillShade="F2"/>
            <w:vAlign w:val="bottom"/>
          </w:tcPr>
          <w:p w14:paraId="4FB0DDF1" w14:textId="77777777" w:rsidR="007F2C3D" w:rsidRPr="00B369EB" w:rsidRDefault="001C673E">
            <w:pPr>
              <w:jc w:val="left"/>
              <w:rPr>
                <w:sz w:val="18"/>
                <w:szCs w:val="18"/>
              </w:rPr>
            </w:pPr>
            <w:r w:rsidRPr="00B369EB">
              <w:rPr>
                <w:sz w:val="18"/>
                <w:szCs w:val="18"/>
              </w:rPr>
              <w:t>Tema principal</w:t>
            </w:r>
          </w:p>
        </w:tc>
        <w:tc>
          <w:tcPr>
            <w:tcW w:w="2381" w:type="dxa"/>
            <w:shd w:val="clear" w:color="auto" w:fill="F2F2F2" w:themeFill="background1" w:themeFillShade="F2"/>
            <w:vAlign w:val="bottom"/>
          </w:tcPr>
          <w:p w14:paraId="4F3F4748" w14:textId="77777777" w:rsidR="007F2C3D" w:rsidRPr="00B369EB" w:rsidRDefault="001C673E">
            <w:pPr>
              <w:jc w:val="left"/>
              <w:rPr>
                <w:sz w:val="18"/>
                <w:szCs w:val="18"/>
              </w:rPr>
            </w:pPr>
            <w:r w:rsidRPr="00B369EB">
              <w:rPr>
                <w:sz w:val="18"/>
                <w:szCs w:val="18"/>
              </w:rPr>
              <w:t>Título</w:t>
            </w:r>
          </w:p>
        </w:tc>
      </w:tr>
      <w:tr w:rsidR="00D84B7D" w:rsidRPr="00B369EB" w14:paraId="634D38B7" w14:textId="77777777" w:rsidTr="00D84B7D">
        <w:trPr>
          <w:cantSplit/>
        </w:trPr>
        <w:tc>
          <w:tcPr>
            <w:tcW w:w="1560" w:type="dxa"/>
            <w:shd w:val="clear" w:color="auto" w:fill="FFFFFF"/>
            <w:hideMark/>
          </w:tcPr>
          <w:p w14:paraId="60F1FD54" w14:textId="77777777" w:rsidR="007F2C3D" w:rsidRPr="00B369EB" w:rsidRDefault="001C673E">
            <w:pPr>
              <w:jc w:val="left"/>
              <w:rPr>
                <w:sz w:val="18"/>
                <w:szCs w:val="18"/>
              </w:rPr>
            </w:pPr>
            <w:r w:rsidRPr="00B369EB">
              <w:rPr>
                <w:sz w:val="18"/>
                <w:szCs w:val="18"/>
              </w:rPr>
              <w:t>22/08/2023</w:t>
            </w:r>
          </w:p>
        </w:tc>
        <w:tc>
          <w:tcPr>
            <w:tcW w:w="1984" w:type="dxa"/>
            <w:shd w:val="clear" w:color="auto" w:fill="FFFFFF"/>
            <w:hideMark/>
          </w:tcPr>
          <w:p w14:paraId="3E907035" w14:textId="77777777" w:rsidR="007F2C3D" w:rsidRPr="00B369EB" w:rsidRDefault="001C673E">
            <w:pPr>
              <w:jc w:val="left"/>
              <w:rPr>
                <w:sz w:val="18"/>
                <w:szCs w:val="18"/>
              </w:rPr>
            </w:pPr>
            <w:r w:rsidRPr="00B369EB">
              <w:rPr>
                <w:sz w:val="18"/>
                <w:szCs w:val="18"/>
              </w:rPr>
              <w:t>LAO PDR</w:t>
            </w:r>
          </w:p>
        </w:tc>
        <w:tc>
          <w:tcPr>
            <w:tcW w:w="1134" w:type="dxa"/>
            <w:shd w:val="clear" w:color="auto" w:fill="FFFFFF"/>
            <w:hideMark/>
          </w:tcPr>
          <w:p w14:paraId="462D8249" w14:textId="77777777" w:rsidR="007F2C3D" w:rsidRPr="00B369EB" w:rsidRDefault="001C673E">
            <w:pPr>
              <w:jc w:val="left"/>
              <w:rPr>
                <w:sz w:val="18"/>
                <w:szCs w:val="18"/>
              </w:rPr>
            </w:pPr>
            <w:r w:rsidRPr="00B369EB">
              <w:rPr>
                <w:sz w:val="18"/>
                <w:szCs w:val="18"/>
              </w:rPr>
              <w:t>EAPVP</w:t>
            </w:r>
          </w:p>
        </w:tc>
        <w:tc>
          <w:tcPr>
            <w:tcW w:w="1134" w:type="dxa"/>
            <w:shd w:val="clear" w:color="auto" w:fill="FFFFFF"/>
            <w:hideMark/>
          </w:tcPr>
          <w:p w14:paraId="5AEC0CF9" w14:textId="77777777" w:rsidR="007F2C3D" w:rsidRPr="00B369EB" w:rsidRDefault="001C673E">
            <w:pPr>
              <w:jc w:val="left"/>
              <w:rPr>
                <w:sz w:val="18"/>
                <w:szCs w:val="18"/>
              </w:rPr>
            </w:pPr>
            <w:r w:rsidRPr="00B369EB">
              <w:rPr>
                <w:sz w:val="18"/>
                <w:szCs w:val="18"/>
              </w:rPr>
              <w:t>Híbrido</w:t>
            </w:r>
          </w:p>
        </w:tc>
        <w:tc>
          <w:tcPr>
            <w:tcW w:w="1843" w:type="dxa"/>
            <w:shd w:val="clear" w:color="auto" w:fill="FFFFFF"/>
            <w:hideMark/>
          </w:tcPr>
          <w:p w14:paraId="2CBAA039" w14:textId="77777777" w:rsidR="007F2C3D" w:rsidRPr="00B369EB" w:rsidRDefault="001C673E">
            <w:pPr>
              <w:jc w:val="left"/>
              <w:rPr>
                <w:sz w:val="18"/>
                <w:szCs w:val="18"/>
              </w:rPr>
            </w:pPr>
            <w:r w:rsidRPr="00B369EB">
              <w:rPr>
                <w:sz w:val="18"/>
                <w:szCs w:val="18"/>
              </w:rPr>
              <w:t>Cooperación regional</w:t>
            </w:r>
          </w:p>
        </w:tc>
        <w:tc>
          <w:tcPr>
            <w:tcW w:w="2381" w:type="dxa"/>
            <w:shd w:val="clear" w:color="auto" w:fill="FFFFFF"/>
            <w:hideMark/>
          </w:tcPr>
          <w:p w14:paraId="0EA1768A" w14:textId="77777777" w:rsidR="007F2C3D" w:rsidRPr="00B369EB" w:rsidRDefault="001C673E">
            <w:pPr>
              <w:jc w:val="left"/>
              <w:rPr>
                <w:sz w:val="18"/>
                <w:szCs w:val="18"/>
              </w:rPr>
            </w:pPr>
            <w:r w:rsidRPr="00B369EB">
              <w:rPr>
                <w:sz w:val="18"/>
                <w:szCs w:val="18"/>
              </w:rPr>
              <w:t xml:space="preserve">EAPVP - 16ª reunión anual </w:t>
            </w:r>
          </w:p>
        </w:tc>
      </w:tr>
      <w:tr w:rsidR="00D84B7D" w:rsidRPr="00B369EB" w14:paraId="26456447" w14:textId="77777777" w:rsidTr="00D84B7D">
        <w:trPr>
          <w:cantSplit/>
        </w:trPr>
        <w:tc>
          <w:tcPr>
            <w:tcW w:w="1560" w:type="dxa"/>
            <w:shd w:val="clear" w:color="auto" w:fill="FFFFFF"/>
            <w:hideMark/>
          </w:tcPr>
          <w:p w14:paraId="2485A13E" w14:textId="77777777" w:rsidR="007F2C3D" w:rsidRPr="00B369EB" w:rsidRDefault="001C673E">
            <w:pPr>
              <w:jc w:val="left"/>
              <w:rPr>
                <w:sz w:val="18"/>
                <w:szCs w:val="18"/>
              </w:rPr>
            </w:pPr>
            <w:r w:rsidRPr="00B369EB">
              <w:rPr>
                <w:sz w:val="18"/>
                <w:szCs w:val="18"/>
              </w:rPr>
              <w:t>04/09/2023</w:t>
            </w:r>
          </w:p>
        </w:tc>
        <w:tc>
          <w:tcPr>
            <w:tcW w:w="1984" w:type="dxa"/>
            <w:shd w:val="clear" w:color="auto" w:fill="FFFFFF"/>
            <w:hideMark/>
          </w:tcPr>
          <w:p w14:paraId="35879C6B" w14:textId="77777777" w:rsidR="007F2C3D" w:rsidRPr="00B369EB" w:rsidRDefault="001C673E">
            <w:pPr>
              <w:jc w:val="left"/>
              <w:rPr>
                <w:sz w:val="18"/>
                <w:szCs w:val="18"/>
              </w:rPr>
            </w:pPr>
            <w:r w:rsidRPr="00B369EB">
              <w:rPr>
                <w:sz w:val="18"/>
                <w:szCs w:val="18"/>
              </w:rPr>
              <w:t>Chile</w:t>
            </w:r>
          </w:p>
        </w:tc>
        <w:tc>
          <w:tcPr>
            <w:tcW w:w="1134" w:type="dxa"/>
            <w:shd w:val="clear" w:color="auto" w:fill="FFFFFF"/>
            <w:hideMark/>
          </w:tcPr>
          <w:p w14:paraId="2E8886FE" w14:textId="77777777" w:rsidR="007F2C3D" w:rsidRPr="00B369EB" w:rsidRDefault="001C673E">
            <w:pPr>
              <w:jc w:val="left"/>
              <w:rPr>
                <w:sz w:val="18"/>
                <w:szCs w:val="18"/>
              </w:rPr>
            </w:pPr>
            <w:r w:rsidRPr="00B369EB">
              <w:rPr>
                <w:sz w:val="18"/>
                <w:szCs w:val="18"/>
              </w:rPr>
              <w:t>TAIEX</w:t>
            </w:r>
          </w:p>
        </w:tc>
        <w:tc>
          <w:tcPr>
            <w:tcW w:w="1134" w:type="dxa"/>
            <w:shd w:val="clear" w:color="auto" w:fill="FFFFFF"/>
            <w:hideMark/>
          </w:tcPr>
          <w:p w14:paraId="46AF9B1C" w14:textId="77777777" w:rsidR="007F2C3D" w:rsidRPr="00B369EB" w:rsidRDefault="001C673E">
            <w:pPr>
              <w:jc w:val="left"/>
              <w:rPr>
                <w:sz w:val="18"/>
                <w:szCs w:val="18"/>
              </w:rPr>
            </w:pPr>
            <w:r w:rsidRPr="00B369EB">
              <w:rPr>
                <w:sz w:val="18"/>
                <w:szCs w:val="18"/>
              </w:rPr>
              <w:t>Presencial</w:t>
            </w:r>
          </w:p>
        </w:tc>
        <w:tc>
          <w:tcPr>
            <w:tcW w:w="1843" w:type="dxa"/>
            <w:shd w:val="clear" w:color="auto" w:fill="FFFFFF"/>
            <w:hideMark/>
          </w:tcPr>
          <w:p w14:paraId="59DE5D08" w14:textId="77777777" w:rsidR="007F2C3D" w:rsidRPr="00B369EB" w:rsidRDefault="001C673E">
            <w:pPr>
              <w:jc w:val="left"/>
              <w:rPr>
                <w:sz w:val="18"/>
                <w:szCs w:val="18"/>
              </w:rPr>
            </w:pPr>
            <w:r w:rsidRPr="00B369EB">
              <w:rPr>
                <w:sz w:val="18"/>
                <w:szCs w:val="18"/>
              </w:rPr>
              <w:t>Refuerzo de las capacidades</w:t>
            </w:r>
          </w:p>
        </w:tc>
        <w:tc>
          <w:tcPr>
            <w:tcW w:w="2381" w:type="dxa"/>
            <w:shd w:val="clear" w:color="auto" w:fill="FFFFFF"/>
            <w:hideMark/>
          </w:tcPr>
          <w:p w14:paraId="42A3F045" w14:textId="77777777" w:rsidR="007F2C3D" w:rsidRPr="00B369EB" w:rsidRDefault="001C673E">
            <w:pPr>
              <w:jc w:val="left"/>
              <w:rPr>
                <w:sz w:val="18"/>
                <w:szCs w:val="18"/>
              </w:rPr>
            </w:pPr>
            <w:r w:rsidRPr="00B369EB">
              <w:rPr>
                <w:sz w:val="18"/>
                <w:szCs w:val="18"/>
              </w:rPr>
              <w:t>Formación DHE de TAIEX para funcionarios de Chile</w:t>
            </w:r>
          </w:p>
        </w:tc>
      </w:tr>
      <w:tr w:rsidR="00D84B7D" w:rsidRPr="00B369EB" w14:paraId="344A1DFA" w14:textId="77777777" w:rsidTr="00D84B7D">
        <w:trPr>
          <w:cantSplit/>
        </w:trPr>
        <w:tc>
          <w:tcPr>
            <w:tcW w:w="1560" w:type="dxa"/>
            <w:shd w:val="clear" w:color="auto" w:fill="FFFFFF"/>
            <w:hideMark/>
          </w:tcPr>
          <w:p w14:paraId="4F24D022" w14:textId="77777777" w:rsidR="007F2C3D" w:rsidRPr="00B369EB" w:rsidRDefault="001C673E">
            <w:pPr>
              <w:jc w:val="left"/>
              <w:rPr>
                <w:sz w:val="18"/>
                <w:szCs w:val="18"/>
              </w:rPr>
            </w:pPr>
            <w:r w:rsidRPr="00B369EB">
              <w:rPr>
                <w:sz w:val="18"/>
                <w:szCs w:val="18"/>
              </w:rPr>
              <w:lastRenderedPageBreak/>
              <w:t>16/10/2023</w:t>
            </w:r>
          </w:p>
        </w:tc>
        <w:tc>
          <w:tcPr>
            <w:tcW w:w="1984" w:type="dxa"/>
            <w:shd w:val="clear" w:color="auto" w:fill="FFFFFF"/>
            <w:hideMark/>
          </w:tcPr>
          <w:p w14:paraId="5251881C" w14:textId="77777777" w:rsidR="007F2C3D" w:rsidRPr="00B369EB" w:rsidRDefault="001C673E">
            <w:pPr>
              <w:jc w:val="left"/>
              <w:rPr>
                <w:sz w:val="18"/>
                <w:szCs w:val="18"/>
              </w:rPr>
            </w:pPr>
            <w:r w:rsidRPr="00B369EB">
              <w:rPr>
                <w:sz w:val="18"/>
                <w:szCs w:val="18"/>
              </w:rPr>
              <w:t>Colombia</w:t>
            </w:r>
          </w:p>
        </w:tc>
        <w:tc>
          <w:tcPr>
            <w:tcW w:w="1134" w:type="dxa"/>
            <w:shd w:val="clear" w:color="auto" w:fill="FFFFFF"/>
            <w:hideMark/>
          </w:tcPr>
          <w:p w14:paraId="1CDF7942" w14:textId="77777777" w:rsidR="007F2C3D" w:rsidRPr="00B369EB" w:rsidRDefault="001C673E">
            <w:pPr>
              <w:jc w:val="left"/>
              <w:rPr>
                <w:sz w:val="18"/>
                <w:szCs w:val="18"/>
              </w:rPr>
            </w:pPr>
            <w:r w:rsidRPr="00B369EB">
              <w:rPr>
                <w:sz w:val="18"/>
                <w:szCs w:val="18"/>
              </w:rPr>
              <w:t>TAIEX</w:t>
            </w:r>
          </w:p>
        </w:tc>
        <w:tc>
          <w:tcPr>
            <w:tcW w:w="1134" w:type="dxa"/>
            <w:shd w:val="clear" w:color="auto" w:fill="FFFFFF"/>
            <w:hideMark/>
          </w:tcPr>
          <w:p w14:paraId="443B9FB5" w14:textId="77777777" w:rsidR="007F2C3D" w:rsidRPr="00B369EB" w:rsidRDefault="001C673E">
            <w:pPr>
              <w:jc w:val="left"/>
              <w:rPr>
                <w:sz w:val="18"/>
                <w:szCs w:val="18"/>
              </w:rPr>
            </w:pPr>
            <w:r w:rsidRPr="00B369EB">
              <w:rPr>
                <w:sz w:val="18"/>
                <w:szCs w:val="18"/>
              </w:rPr>
              <w:t>Presencial</w:t>
            </w:r>
          </w:p>
        </w:tc>
        <w:tc>
          <w:tcPr>
            <w:tcW w:w="1843" w:type="dxa"/>
            <w:shd w:val="clear" w:color="auto" w:fill="FFFFFF"/>
            <w:hideMark/>
          </w:tcPr>
          <w:p w14:paraId="3E6ACE93" w14:textId="77777777" w:rsidR="007F2C3D" w:rsidRPr="00B369EB" w:rsidRDefault="001C673E">
            <w:pPr>
              <w:jc w:val="left"/>
              <w:rPr>
                <w:sz w:val="18"/>
                <w:szCs w:val="18"/>
              </w:rPr>
            </w:pPr>
            <w:r w:rsidRPr="00B369EB">
              <w:rPr>
                <w:sz w:val="18"/>
                <w:szCs w:val="18"/>
              </w:rPr>
              <w:t>DUS</w:t>
            </w:r>
          </w:p>
        </w:tc>
        <w:tc>
          <w:tcPr>
            <w:tcW w:w="2381" w:type="dxa"/>
            <w:shd w:val="clear" w:color="auto" w:fill="FFFFFF"/>
            <w:hideMark/>
          </w:tcPr>
          <w:p w14:paraId="2283C5DB" w14:textId="77777777" w:rsidR="007F2C3D" w:rsidRPr="00B369EB" w:rsidRDefault="001C673E">
            <w:pPr>
              <w:jc w:val="left"/>
              <w:rPr>
                <w:sz w:val="18"/>
                <w:szCs w:val="18"/>
              </w:rPr>
            </w:pPr>
            <w:r w:rsidRPr="00B369EB">
              <w:rPr>
                <w:sz w:val="18"/>
                <w:szCs w:val="18"/>
              </w:rPr>
              <w:t>TAEIX Colombia visita los Países Bajos para estudiar el cannabis y las rosas</w:t>
            </w:r>
          </w:p>
        </w:tc>
      </w:tr>
      <w:tr w:rsidR="00D84B7D" w:rsidRPr="00B369EB" w14:paraId="0ACE5D12" w14:textId="77777777" w:rsidTr="00D84B7D">
        <w:trPr>
          <w:cantSplit/>
        </w:trPr>
        <w:tc>
          <w:tcPr>
            <w:tcW w:w="1560" w:type="dxa"/>
            <w:shd w:val="clear" w:color="auto" w:fill="FFFFFF"/>
            <w:hideMark/>
          </w:tcPr>
          <w:p w14:paraId="1A6CDB3C" w14:textId="77777777" w:rsidR="007F2C3D" w:rsidRPr="00B369EB" w:rsidRDefault="001C673E">
            <w:pPr>
              <w:jc w:val="left"/>
              <w:rPr>
                <w:sz w:val="18"/>
                <w:szCs w:val="18"/>
              </w:rPr>
            </w:pPr>
            <w:r w:rsidRPr="00B369EB">
              <w:rPr>
                <w:sz w:val="18"/>
                <w:szCs w:val="18"/>
              </w:rPr>
              <w:t>26/10/2023</w:t>
            </w:r>
          </w:p>
        </w:tc>
        <w:tc>
          <w:tcPr>
            <w:tcW w:w="1984" w:type="dxa"/>
            <w:shd w:val="clear" w:color="auto" w:fill="FFFFFF"/>
            <w:hideMark/>
          </w:tcPr>
          <w:p w14:paraId="5D235759" w14:textId="77777777" w:rsidR="007F2C3D" w:rsidRPr="00B369EB" w:rsidRDefault="001C673E">
            <w:pPr>
              <w:jc w:val="left"/>
              <w:rPr>
                <w:sz w:val="18"/>
                <w:szCs w:val="18"/>
              </w:rPr>
            </w:pPr>
            <w:r w:rsidRPr="00B369EB">
              <w:rPr>
                <w:sz w:val="18"/>
                <w:szCs w:val="18"/>
              </w:rPr>
              <w:t>AIPH</w:t>
            </w:r>
          </w:p>
        </w:tc>
        <w:tc>
          <w:tcPr>
            <w:tcW w:w="1134" w:type="dxa"/>
            <w:shd w:val="clear" w:color="auto" w:fill="FFFFFF"/>
            <w:hideMark/>
          </w:tcPr>
          <w:p w14:paraId="2FDAE745" w14:textId="77777777" w:rsidR="007F2C3D" w:rsidRPr="00B369EB" w:rsidRDefault="001C673E">
            <w:pPr>
              <w:jc w:val="left"/>
              <w:rPr>
                <w:sz w:val="18"/>
                <w:szCs w:val="18"/>
              </w:rPr>
            </w:pPr>
            <w:r w:rsidRPr="00B369EB">
              <w:rPr>
                <w:sz w:val="18"/>
                <w:szCs w:val="18"/>
              </w:rPr>
              <w:t>OCVV</w:t>
            </w:r>
          </w:p>
        </w:tc>
        <w:tc>
          <w:tcPr>
            <w:tcW w:w="1134" w:type="dxa"/>
            <w:shd w:val="clear" w:color="auto" w:fill="FFFFFF"/>
            <w:hideMark/>
          </w:tcPr>
          <w:p w14:paraId="7BE71828" w14:textId="77777777" w:rsidR="007F2C3D" w:rsidRPr="00B369EB" w:rsidRDefault="001C673E">
            <w:pPr>
              <w:jc w:val="left"/>
              <w:rPr>
                <w:sz w:val="18"/>
                <w:szCs w:val="18"/>
              </w:rPr>
            </w:pPr>
            <w:r w:rsidRPr="00B369EB">
              <w:rPr>
                <w:sz w:val="18"/>
                <w:szCs w:val="18"/>
              </w:rPr>
              <w:t>Presencial</w:t>
            </w:r>
          </w:p>
        </w:tc>
        <w:tc>
          <w:tcPr>
            <w:tcW w:w="1843" w:type="dxa"/>
            <w:shd w:val="clear" w:color="auto" w:fill="FFFFFF"/>
            <w:hideMark/>
          </w:tcPr>
          <w:p w14:paraId="6B96AB6B" w14:textId="77777777" w:rsidR="007F2C3D" w:rsidRPr="00B369EB" w:rsidRDefault="001C673E">
            <w:pPr>
              <w:jc w:val="left"/>
              <w:rPr>
                <w:sz w:val="18"/>
                <w:szCs w:val="18"/>
              </w:rPr>
            </w:pPr>
            <w:r w:rsidRPr="00B369EB">
              <w:rPr>
                <w:sz w:val="18"/>
                <w:szCs w:val="18"/>
              </w:rPr>
              <w:t>Reunión institucional</w:t>
            </w:r>
          </w:p>
        </w:tc>
        <w:tc>
          <w:tcPr>
            <w:tcW w:w="2381" w:type="dxa"/>
            <w:shd w:val="clear" w:color="auto" w:fill="FFFFFF"/>
            <w:hideMark/>
          </w:tcPr>
          <w:p w14:paraId="0E3B0F80" w14:textId="77777777" w:rsidR="007F2C3D" w:rsidRPr="00B369EB" w:rsidRDefault="001C673E">
            <w:pPr>
              <w:jc w:val="left"/>
              <w:rPr>
                <w:sz w:val="18"/>
                <w:szCs w:val="18"/>
              </w:rPr>
            </w:pPr>
            <w:r w:rsidRPr="00B369EB">
              <w:rPr>
                <w:sz w:val="18"/>
                <w:szCs w:val="18"/>
              </w:rPr>
              <w:t>Reunión institucional con la AIPH</w:t>
            </w:r>
          </w:p>
        </w:tc>
      </w:tr>
      <w:tr w:rsidR="00D84B7D" w:rsidRPr="00B369EB" w14:paraId="1AB33F9D" w14:textId="77777777" w:rsidTr="00D84B7D">
        <w:trPr>
          <w:cantSplit/>
        </w:trPr>
        <w:tc>
          <w:tcPr>
            <w:tcW w:w="1560" w:type="dxa"/>
            <w:shd w:val="clear" w:color="auto" w:fill="FFFFFF"/>
            <w:hideMark/>
          </w:tcPr>
          <w:p w14:paraId="29D53E87" w14:textId="77777777" w:rsidR="007F2C3D" w:rsidRPr="00B369EB" w:rsidRDefault="001C673E">
            <w:pPr>
              <w:jc w:val="left"/>
              <w:rPr>
                <w:sz w:val="18"/>
                <w:szCs w:val="18"/>
              </w:rPr>
            </w:pPr>
            <w:r w:rsidRPr="00B369EB">
              <w:rPr>
                <w:sz w:val="18"/>
                <w:szCs w:val="18"/>
              </w:rPr>
              <w:t>13/11/2023</w:t>
            </w:r>
          </w:p>
        </w:tc>
        <w:tc>
          <w:tcPr>
            <w:tcW w:w="1984" w:type="dxa"/>
            <w:shd w:val="clear" w:color="auto" w:fill="FFFFFF"/>
            <w:hideMark/>
          </w:tcPr>
          <w:p w14:paraId="74CC835A" w14:textId="77777777" w:rsidR="007F2C3D" w:rsidRPr="00B369EB" w:rsidRDefault="001C673E">
            <w:pPr>
              <w:jc w:val="left"/>
              <w:rPr>
                <w:sz w:val="18"/>
                <w:szCs w:val="18"/>
              </w:rPr>
            </w:pPr>
            <w:r w:rsidRPr="00B369EB">
              <w:rPr>
                <w:sz w:val="18"/>
                <w:szCs w:val="18"/>
              </w:rPr>
              <w:t>NCSS, NARO</w:t>
            </w:r>
          </w:p>
        </w:tc>
        <w:tc>
          <w:tcPr>
            <w:tcW w:w="1134" w:type="dxa"/>
            <w:shd w:val="clear" w:color="auto" w:fill="FFFFFF"/>
            <w:hideMark/>
          </w:tcPr>
          <w:p w14:paraId="64D80A61" w14:textId="77777777" w:rsidR="007F2C3D" w:rsidRPr="00B369EB" w:rsidRDefault="001C673E">
            <w:pPr>
              <w:jc w:val="left"/>
              <w:rPr>
                <w:sz w:val="18"/>
                <w:szCs w:val="18"/>
              </w:rPr>
            </w:pPr>
            <w:r w:rsidRPr="00B369EB">
              <w:rPr>
                <w:sz w:val="18"/>
                <w:szCs w:val="18"/>
              </w:rPr>
              <w:t>TAIEX</w:t>
            </w:r>
          </w:p>
        </w:tc>
        <w:tc>
          <w:tcPr>
            <w:tcW w:w="1134" w:type="dxa"/>
            <w:shd w:val="clear" w:color="auto" w:fill="FFFFFF"/>
            <w:hideMark/>
          </w:tcPr>
          <w:p w14:paraId="4F1320A6" w14:textId="77777777" w:rsidR="007F2C3D" w:rsidRPr="00B369EB" w:rsidRDefault="001C673E">
            <w:pPr>
              <w:jc w:val="left"/>
              <w:rPr>
                <w:sz w:val="18"/>
                <w:szCs w:val="18"/>
              </w:rPr>
            </w:pPr>
            <w:r w:rsidRPr="00B369EB">
              <w:rPr>
                <w:sz w:val="18"/>
                <w:szCs w:val="18"/>
              </w:rPr>
              <w:t>Presencial</w:t>
            </w:r>
          </w:p>
        </w:tc>
        <w:tc>
          <w:tcPr>
            <w:tcW w:w="1843" w:type="dxa"/>
            <w:shd w:val="clear" w:color="auto" w:fill="FFFFFF"/>
            <w:hideMark/>
          </w:tcPr>
          <w:p w14:paraId="2BD87259" w14:textId="77777777" w:rsidR="007F2C3D" w:rsidRPr="00B369EB" w:rsidRDefault="001C673E">
            <w:pPr>
              <w:jc w:val="left"/>
              <w:rPr>
                <w:sz w:val="18"/>
                <w:szCs w:val="18"/>
              </w:rPr>
            </w:pPr>
            <w:r w:rsidRPr="00B369EB">
              <w:rPr>
                <w:sz w:val="18"/>
                <w:szCs w:val="18"/>
              </w:rPr>
              <w:t>Refuerzo de las capacidades</w:t>
            </w:r>
          </w:p>
        </w:tc>
        <w:tc>
          <w:tcPr>
            <w:tcW w:w="2381" w:type="dxa"/>
            <w:shd w:val="clear" w:color="auto" w:fill="FFFFFF"/>
            <w:hideMark/>
          </w:tcPr>
          <w:p w14:paraId="29A78558" w14:textId="77777777" w:rsidR="007F2C3D" w:rsidRPr="00B369EB" w:rsidRDefault="001C673E">
            <w:pPr>
              <w:jc w:val="left"/>
              <w:rPr>
                <w:sz w:val="18"/>
                <w:szCs w:val="18"/>
              </w:rPr>
            </w:pPr>
            <w:r w:rsidRPr="00B369EB">
              <w:rPr>
                <w:sz w:val="18"/>
                <w:szCs w:val="18"/>
              </w:rPr>
              <w:t>Misión de expertos sobre la cooperación UE-Japón en materia de derechos de obtentor</w:t>
            </w:r>
          </w:p>
        </w:tc>
      </w:tr>
      <w:tr w:rsidR="00D84B7D" w:rsidRPr="00B369EB" w14:paraId="02F24E74" w14:textId="77777777" w:rsidTr="00D84B7D">
        <w:trPr>
          <w:cantSplit/>
        </w:trPr>
        <w:tc>
          <w:tcPr>
            <w:tcW w:w="1560" w:type="dxa"/>
            <w:shd w:val="clear" w:color="auto" w:fill="FFFFFF"/>
            <w:hideMark/>
          </w:tcPr>
          <w:p w14:paraId="699C17D0" w14:textId="77777777" w:rsidR="007F2C3D" w:rsidRPr="00B369EB" w:rsidRDefault="001C673E">
            <w:pPr>
              <w:jc w:val="left"/>
              <w:rPr>
                <w:sz w:val="18"/>
                <w:szCs w:val="18"/>
              </w:rPr>
            </w:pPr>
            <w:r w:rsidRPr="00B369EB">
              <w:rPr>
                <w:sz w:val="18"/>
                <w:szCs w:val="18"/>
              </w:rPr>
              <w:t>20/11/2023</w:t>
            </w:r>
          </w:p>
        </w:tc>
        <w:tc>
          <w:tcPr>
            <w:tcW w:w="1984" w:type="dxa"/>
            <w:shd w:val="clear" w:color="auto" w:fill="FFFFFF"/>
            <w:hideMark/>
          </w:tcPr>
          <w:p w14:paraId="244A8618" w14:textId="77777777" w:rsidR="007F2C3D" w:rsidRPr="00B369EB" w:rsidRDefault="001C673E">
            <w:pPr>
              <w:jc w:val="left"/>
              <w:rPr>
                <w:sz w:val="18"/>
                <w:szCs w:val="18"/>
              </w:rPr>
            </w:pPr>
            <w:r w:rsidRPr="00B369EB">
              <w:rPr>
                <w:sz w:val="18"/>
                <w:szCs w:val="18"/>
              </w:rPr>
              <w:t>China</w:t>
            </w:r>
          </w:p>
        </w:tc>
        <w:tc>
          <w:tcPr>
            <w:tcW w:w="1134" w:type="dxa"/>
            <w:shd w:val="clear" w:color="auto" w:fill="FFFFFF"/>
            <w:hideMark/>
          </w:tcPr>
          <w:p w14:paraId="5A07000A" w14:textId="77777777" w:rsidR="007F2C3D" w:rsidRPr="00B369EB" w:rsidRDefault="001C673E">
            <w:pPr>
              <w:jc w:val="left"/>
              <w:rPr>
                <w:sz w:val="18"/>
                <w:szCs w:val="18"/>
              </w:rPr>
            </w:pPr>
            <w:proofErr w:type="spellStart"/>
            <w:r w:rsidRPr="00B369EB">
              <w:rPr>
                <w:sz w:val="18"/>
                <w:szCs w:val="18"/>
              </w:rPr>
              <w:t>IPKey</w:t>
            </w:r>
            <w:proofErr w:type="spellEnd"/>
            <w:r w:rsidRPr="00B369EB">
              <w:rPr>
                <w:sz w:val="18"/>
                <w:szCs w:val="18"/>
              </w:rPr>
              <w:t xml:space="preserve"> China</w:t>
            </w:r>
          </w:p>
        </w:tc>
        <w:tc>
          <w:tcPr>
            <w:tcW w:w="1134" w:type="dxa"/>
            <w:shd w:val="clear" w:color="auto" w:fill="FFFFFF"/>
            <w:hideMark/>
          </w:tcPr>
          <w:p w14:paraId="599957BF" w14:textId="77777777" w:rsidR="007F2C3D" w:rsidRPr="00B369EB" w:rsidRDefault="001C673E">
            <w:pPr>
              <w:jc w:val="left"/>
              <w:rPr>
                <w:sz w:val="18"/>
                <w:szCs w:val="18"/>
              </w:rPr>
            </w:pPr>
            <w:r w:rsidRPr="00B369EB">
              <w:rPr>
                <w:sz w:val="18"/>
                <w:szCs w:val="18"/>
              </w:rPr>
              <w:t>En línea</w:t>
            </w:r>
          </w:p>
        </w:tc>
        <w:tc>
          <w:tcPr>
            <w:tcW w:w="1843" w:type="dxa"/>
            <w:shd w:val="clear" w:color="auto" w:fill="FFFFFF"/>
            <w:hideMark/>
          </w:tcPr>
          <w:p w14:paraId="6AC82B9A" w14:textId="77777777" w:rsidR="007F2C3D" w:rsidRPr="00B369EB" w:rsidRDefault="001C673E">
            <w:pPr>
              <w:jc w:val="left"/>
              <w:rPr>
                <w:sz w:val="18"/>
                <w:szCs w:val="18"/>
              </w:rPr>
            </w:pPr>
            <w:r w:rsidRPr="00B369EB">
              <w:rPr>
                <w:sz w:val="18"/>
                <w:szCs w:val="18"/>
              </w:rPr>
              <w:t>DUS</w:t>
            </w:r>
          </w:p>
        </w:tc>
        <w:tc>
          <w:tcPr>
            <w:tcW w:w="2381" w:type="dxa"/>
            <w:shd w:val="clear" w:color="auto" w:fill="FFFFFF"/>
            <w:hideMark/>
          </w:tcPr>
          <w:p w14:paraId="1C3D9E65" w14:textId="77777777" w:rsidR="007F2C3D" w:rsidRPr="00B369EB" w:rsidRDefault="001C673E">
            <w:pPr>
              <w:jc w:val="left"/>
              <w:rPr>
                <w:sz w:val="18"/>
                <w:szCs w:val="18"/>
              </w:rPr>
            </w:pPr>
            <w:r w:rsidRPr="00B369EB">
              <w:rPr>
                <w:sz w:val="18"/>
                <w:szCs w:val="18"/>
              </w:rPr>
              <w:t>Formación DHE para funcionarios chinos</w:t>
            </w:r>
          </w:p>
        </w:tc>
      </w:tr>
      <w:tr w:rsidR="00D84B7D" w:rsidRPr="00B369EB" w14:paraId="4EB65952" w14:textId="77777777" w:rsidTr="00D84B7D">
        <w:trPr>
          <w:cantSplit/>
        </w:trPr>
        <w:tc>
          <w:tcPr>
            <w:tcW w:w="1560" w:type="dxa"/>
            <w:shd w:val="clear" w:color="auto" w:fill="FFFFFF"/>
            <w:hideMark/>
          </w:tcPr>
          <w:p w14:paraId="24B86FBD" w14:textId="77777777" w:rsidR="007F2C3D" w:rsidRPr="00B369EB" w:rsidRDefault="001C673E">
            <w:pPr>
              <w:jc w:val="left"/>
              <w:rPr>
                <w:sz w:val="18"/>
                <w:szCs w:val="18"/>
              </w:rPr>
            </w:pPr>
            <w:r w:rsidRPr="00B369EB">
              <w:rPr>
                <w:sz w:val="18"/>
                <w:szCs w:val="18"/>
              </w:rPr>
              <w:t>23/11/2023</w:t>
            </w:r>
          </w:p>
        </w:tc>
        <w:tc>
          <w:tcPr>
            <w:tcW w:w="1984" w:type="dxa"/>
            <w:shd w:val="clear" w:color="auto" w:fill="FFFFFF"/>
            <w:hideMark/>
          </w:tcPr>
          <w:p w14:paraId="52A376F5" w14:textId="77777777" w:rsidR="007F2C3D" w:rsidRPr="00B369EB" w:rsidRDefault="001C673E">
            <w:pPr>
              <w:jc w:val="left"/>
              <w:rPr>
                <w:sz w:val="18"/>
                <w:szCs w:val="18"/>
              </w:rPr>
            </w:pPr>
            <w:r w:rsidRPr="00B369EB">
              <w:rPr>
                <w:sz w:val="18"/>
                <w:szCs w:val="18"/>
              </w:rPr>
              <w:t>China</w:t>
            </w:r>
          </w:p>
        </w:tc>
        <w:tc>
          <w:tcPr>
            <w:tcW w:w="1134" w:type="dxa"/>
            <w:shd w:val="clear" w:color="auto" w:fill="FFFFFF"/>
            <w:hideMark/>
          </w:tcPr>
          <w:p w14:paraId="641788EB" w14:textId="77777777" w:rsidR="007F2C3D" w:rsidRPr="00B369EB" w:rsidRDefault="001C673E">
            <w:pPr>
              <w:jc w:val="left"/>
              <w:rPr>
                <w:sz w:val="18"/>
                <w:szCs w:val="18"/>
              </w:rPr>
            </w:pPr>
            <w:proofErr w:type="spellStart"/>
            <w:r w:rsidRPr="00B369EB">
              <w:rPr>
                <w:sz w:val="18"/>
                <w:szCs w:val="18"/>
              </w:rPr>
              <w:t>IPKey</w:t>
            </w:r>
            <w:proofErr w:type="spellEnd"/>
            <w:r w:rsidRPr="00B369EB">
              <w:rPr>
                <w:sz w:val="18"/>
                <w:szCs w:val="18"/>
              </w:rPr>
              <w:t xml:space="preserve"> China</w:t>
            </w:r>
          </w:p>
        </w:tc>
        <w:tc>
          <w:tcPr>
            <w:tcW w:w="1134" w:type="dxa"/>
            <w:shd w:val="clear" w:color="auto" w:fill="FFFFFF"/>
            <w:hideMark/>
          </w:tcPr>
          <w:p w14:paraId="75EC7922" w14:textId="77777777" w:rsidR="007F2C3D" w:rsidRPr="00B369EB" w:rsidRDefault="001C673E">
            <w:pPr>
              <w:jc w:val="left"/>
              <w:rPr>
                <w:sz w:val="18"/>
                <w:szCs w:val="18"/>
              </w:rPr>
            </w:pPr>
            <w:r w:rsidRPr="00B369EB">
              <w:rPr>
                <w:sz w:val="18"/>
                <w:szCs w:val="18"/>
              </w:rPr>
              <w:t>Presencial</w:t>
            </w:r>
          </w:p>
        </w:tc>
        <w:tc>
          <w:tcPr>
            <w:tcW w:w="1843" w:type="dxa"/>
            <w:shd w:val="clear" w:color="auto" w:fill="FFFFFF"/>
            <w:hideMark/>
          </w:tcPr>
          <w:p w14:paraId="0BEFFE6C" w14:textId="77777777" w:rsidR="007F2C3D" w:rsidRPr="00B369EB" w:rsidRDefault="001C673E">
            <w:pPr>
              <w:jc w:val="left"/>
              <w:rPr>
                <w:sz w:val="18"/>
                <w:szCs w:val="18"/>
              </w:rPr>
            </w:pPr>
            <w:r w:rsidRPr="00B369EB">
              <w:rPr>
                <w:sz w:val="18"/>
                <w:szCs w:val="18"/>
              </w:rPr>
              <w:t>QAS</w:t>
            </w:r>
          </w:p>
        </w:tc>
        <w:tc>
          <w:tcPr>
            <w:tcW w:w="2381" w:type="dxa"/>
            <w:shd w:val="clear" w:color="auto" w:fill="FFFFFF"/>
            <w:hideMark/>
          </w:tcPr>
          <w:p w14:paraId="11002C76" w14:textId="77777777" w:rsidR="007F2C3D" w:rsidRPr="00B369EB" w:rsidRDefault="001C673E">
            <w:pPr>
              <w:jc w:val="left"/>
              <w:rPr>
                <w:sz w:val="18"/>
                <w:szCs w:val="18"/>
              </w:rPr>
            </w:pPr>
            <w:r w:rsidRPr="00B369EB">
              <w:rPr>
                <w:sz w:val="18"/>
                <w:szCs w:val="18"/>
              </w:rPr>
              <w:t xml:space="preserve">Evaluación de las actividades del instituto de pruebas de champiñones de </w:t>
            </w:r>
            <w:proofErr w:type="spellStart"/>
            <w:r w:rsidRPr="00B369EB">
              <w:rPr>
                <w:sz w:val="18"/>
                <w:szCs w:val="18"/>
              </w:rPr>
              <w:t>Shanghai</w:t>
            </w:r>
            <w:proofErr w:type="spellEnd"/>
          </w:p>
        </w:tc>
      </w:tr>
      <w:tr w:rsidR="00D84B7D" w:rsidRPr="00B369EB" w14:paraId="34E8D0C7" w14:textId="77777777" w:rsidTr="00D84B7D">
        <w:trPr>
          <w:cantSplit/>
        </w:trPr>
        <w:tc>
          <w:tcPr>
            <w:tcW w:w="1560" w:type="dxa"/>
            <w:shd w:val="clear" w:color="auto" w:fill="FFFFFF"/>
            <w:hideMark/>
          </w:tcPr>
          <w:p w14:paraId="448D904E" w14:textId="77777777" w:rsidR="007F2C3D" w:rsidRPr="00B369EB" w:rsidRDefault="001C673E">
            <w:pPr>
              <w:jc w:val="left"/>
              <w:rPr>
                <w:sz w:val="18"/>
                <w:szCs w:val="18"/>
              </w:rPr>
            </w:pPr>
            <w:r w:rsidRPr="00B369EB">
              <w:rPr>
                <w:sz w:val="18"/>
                <w:szCs w:val="18"/>
              </w:rPr>
              <w:t>27/11/2023</w:t>
            </w:r>
          </w:p>
        </w:tc>
        <w:tc>
          <w:tcPr>
            <w:tcW w:w="1984" w:type="dxa"/>
            <w:shd w:val="clear" w:color="auto" w:fill="FFFFFF"/>
            <w:hideMark/>
          </w:tcPr>
          <w:p w14:paraId="05E5E14C" w14:textId="77777777" w:rsidR="007F2C3D" w:rsidRPr="00B369EB" w:rsidRDefault="001C673E">
            <w:pPr>
              <w:jc w:val="left"/>
              <w:rPr>
                <w:sz w:val="18"/>
                <w:szCs w:val="18"/>
              </w:rPr>
            </w:pPr>
            <w:r w:rsidRPr="00B369EB">
              <w:rPr>
                <w:sz w:val="18"/>
                <w:szCs w:val="18"/>
              </w:rPr>
              <w:t>América Latina</w:t>
            </w:r>
          </w:p>
        </w:tc>
        <w:tc>
          <w:tcPr>
            <w:tcW w:w="1134" w:type="dxa"/>
            <w:shd w:val="clear" w:color="auto" w:fill="FFFFFF"/>
            <w:hideMark/>
          </w:tcPr>
          <w:p w14:paraId="5F00D5BB" w14:textId="77777777" w:rsidR="007F2C3D" w:rsidRPr="00B369EB" w:rsidRDefault="001C673E">
            <w:pPr>
              <w:jc w:val="left"/>
              <w:rPr>
                <w:sz w:val="18"/>
                <w:szCs w:val="18"/>
              </w:rPr>
            </w:pPr>
            <w:proofErr w:type="spellStart"/>
            <w:r w:rsidRPr="00B369EB">
              <w:rPr>
                <w:sz w:val="18"/>
                <w:szCs w:val="18"/>
              </w:rPr>
              <w:t>IPKey</w:t>
            </w:r>
            <w:proofErr w:type="spellEnd"/>
            <w:r w:rsidRPr="00B369EB">
              <w:rPr>
                <w:sz w:val="18"/>
                <w:szCs w:val="18"/>
              </w:rPr>
              <w:t xml:space="preserve"> LA</w:t>
            </w:r>
          </w:p>
        </w:tc>
        <w:tc>
          <w:tcPr>
            <w:tcW w:w="1134" w:type="dxa"/>
            <w:shd w:val="clear" w:color="auto" w:fill="FFFFFF"/>
            <w:hideMark/>
          </w:tcPr>
          <w:p w14:paraId="3E145ED2" w14:textId="77777777" w:rsidR="007F2C3D" w:rsidRPr="00B369EB" w:rsidRDefault="001C673E">
            <w:pPr>
              <w:jc w:val="left"/>
              <w:rPr>
                <w:sz w:val="18"/>
                <w:szCs w:val="18"/>
              </w:rPr>
            </w:pPr>
            <w:r w:rsidRPr="00B369EB">
              <w:rPr>
                <w:sz w:val="18"/>
                <w:szCs w:val="18"/>
              </w:rPr>
              <w:t>En línea</w:t>
            </w:r>
          </w:p>
        </w:tc>
        <w:tc>
          <w:tcPr>
            <w:tcW w:w="1843" w:type="dxa"/>
            <w:shd w:val="clear" w:color="auto" w:fill="FFFFFF"/>
            <w:hideMark/>
          </w:tcPr>
          <w:p w14:paraId="2E8669BE" w14:textId="77777777" w:rsidR="007F2C3D" w:rsidRPr="00B369EB" w:rsidRDefault="001C673E">
            <w:pPr>
              <w:jc w:val="left"/>
              <w:rPr>
                <w:sz w:val="18"/>
                <w:szCs w:val="18"/>
              </w:rPr>
            </w:pPr>
            <w:r w:rsidRPr="00B369EB">
              <w:rPr>
                <w:sz w:val="18"/>
                <w:szCs w:val="18"/>
              </w:rPr>
              <w:t>Ejecución</w:t>
            </w:r>
          </w:p>
        </w:tc>
        <w:tc>
          <w:tcPr>
            <w:tcW w:w="2381" w:type="dxa"/>
            <w:shd w:val="clear" w:color="auto" w:fill="FFFFFF"/>
            <w:hideMark/>
          </w:tcPr>
          <w:p w14:paraId="7593747D" w14:textId="77777777" w:rsidR="007F2C3D" w:rsidRPr="00B369EB" w:rsidRDefault="001C673E">
            <w:pPr>
              <w:jc w:val="left"/>
              <w:rPr>
                <w:sz w:val="18"/>
                <w:szCs w:val="18"/>
              </w:rPr>
            </w:pPr>
            <w:r w:rsidRPr="00B369EB">
              <w:rPr>
                <w:sz w:val="18"/>
                <w:szCs w:val="18"/>
              </w:rPr>
              <w:t>Seminario web sobre la aplicación de los RGPV</w:t>
            </w:r>
          </w:p>
        </w:tc>
      </w:tr>
      <w:tr w:rsidR="00D84B7D" w:rsidRPr="00B369EB" w14:paraId="6E80F9AA" w14:textId="77777777" w:rsidTr="00D84B7D">
        <w:trPr>
          <w:cantSplit/>
        </w:trPr>
        <w:tc>
          <w:tcPr>
            <w:tcW w:w="1560" w:type="dxa"/>
            <w:shd w:val="clear" w:color="auto" w:fill="FFFFFF"/>
            <w:hideMark/>
          </w:tcPr>
          <w:p w14:paraId="629E3563" w14:textId="77777777" w:rsidR="007F2C3D" w:rsidRPr="00B369EB" w:rsidRDefault="001C673E">
            <w:pPr>
              <w:jc w:val="left"/>
              <w:rPr>
                <w:sz w:val="18"/>
                <w:szCs w:val="18"/>
              </w:rPr>
            </w:pPr>
            <w:r w:rsidRPr="00B369EB">
              <w:rPr>
                <w:sz w:val="18"/>
                <w:szCs w:val="18"/>
              </w:rPr>
              <w:t>04/12/2023</w:t>
            </w:r>
          </w:p>
        </w:tc>
        <w:tc>
          <w:tcPr>
            <w:tcW w:w="1984" w:type="dxa"/>
            <w:shd w:val="clear" w:color="auto" w:fill="FFFFFF"/>
            <w:hideMark/>
          </w:tcPr>
          <w:p w14:paraId="6A7301A9" w14:textId="77777777" w:rsidR="007F2C3D" w:rsidRPr="00B369EB" w:rsidRDefault="001C673E">
            <w:pPr>
              <w:jc w:val="left"/>
              <w:rPr>
                <w:sz w:val="18"/>
                <w:szCs w:val="18"/>
              </w:rPr>
            </w:pPr>
            <w:r w:rsidRPr="00B369EB">
              <w:rPr>
                <w:sz w:val="18"/>
                <w:szCs w:val="18"/>
              </w:rPr>
              <w:t>Sudeste asiático</w:t>
            </w:r>
          </w:p>
        </w:tc>
        <w:tc>
          <w:tcPr>
            <w:tcW w:w="1134" w:type="dxa"/>
            <w:shd w:val="clear" w:color="auto" w:fill="FFFFFF"/>
            <w:hideMark/>
          </w:tcPr>
          <w:p w14:paraId="5913A369" w14:textId="77777777" w:rsidR="007F2C3D" w:rsidRPr="00B369EB" w:rsidRDefault="001C673E">
            <w:pPr>
              <w:jc w:val="left"/>
              <w:rPr>
                <w:sz w:val="18"/>
                <w:szCs w:val="18"/>
              </w:rPr>
            </w:pPr>
            <w:proofErr w:type="spellStart"/>
            <w:r w:rsidRPr="00B369EB">
              <w:rPr>
                <w:sz w:val="18"/>
                <w:szCs w:val="18"/>
              </w:rPr>
              <w:t>IPKey</w:t>
            </w:r>
            <w:proofErr w:type="spellEnd"/>
            <w:r w:rsidRPr="00B369EB">
              <w:rPr>
                <w:sz w:val="18"/>
                <w:szCs w:val="18"/>
              </w:rPr>
              <w:t xml:space="preserve"> SEA</w:t>
            </w:r>
          </w:p>
        </w:tc>
        <w:tc>
          <w:tcPr>
            <w:tcW w:w="1134" w:type="dxa"/>
            <w:shd w:val="clear" w:color="auto" w:fill="FFFFFF"/>
            <w:hideMark/>
          </w:tcPr>
          <w:p w14:paraId="6170C603" w14:textId="77777777" w:rsidR="007F2C3D" w:rsidRPr="00B369EB" w:rsidRDefault="001C673E">
            <w:pPr>
              <w:jc w:val="left"/>
              <w:rPr>
                <w:sz w:val="18"/>
                <w:szCs w:val="18"/>
              </w:rPr>
            </w:pPr>
            <w:r w:rsidRPr="00B369EB">
              <w:rPr>
                <w:sz w:val="18"/>
                <w:szCs w:val="18"/>
              </w:rPr>
              <w:t>Híbrido</w:t>
            </w:r>
          </w:p>
        </w:tc>
        <w:tc>
          <w:tcPr>
            <w:tcW w:w="1843" w:type="dxa"/>
            <w:shd w:val="clear" w:color="auto" w:fill="FFFFFF"/>
            <w:hideMark/>
          </w:tcPr>
          <w:p w14:paraId="3E695D3F" w14:textId="77777777" w:rsidR="007F2C3D" w:rsidRPr="00B369EB" w:rsidRDefault="001C673E">
            <w:pPr>
              <w:jc w:val="left"/>
              <w:rPr>
                <w:sz w:val="18"/>
                <w:szCs w:val="18"/>
              </w:rPr>
            </w:pPr>
            <w:r w:rsidRPr="00B369EB">
              <w:rPr>
                <w:sz w:val="18"/>
                <w:szCs w:val="18"/>
              </w:rPr>
              <w:t>UPOV 1991</w:t>
            </w:r>
          </w:p>
        </w:tc>
        <w:tc>
          <w:tcPr>
            <w:tcW w:w="2381" w:type="dxa"/>
            <w:shd w:val="clear" w:color="auto" w:fill="FFFFFF"/>
            <w:hideMark/>
          </w:tcPr>
          <w:p w14:paraId="6B2B12E6" w14:textId="77777777" w:rsidR="007F2C3D" w:rsidRPr="00B369EB" w:rsidRDefault="001C673E">
            <w:pPr>
              <w:jc w:val="left"/>
              <w:rPr>
                <w:sz w:val="18"/>
                <w:szCs w:val="18"/>
              </w:rPr>
            </w:pPr>
            <w:r w:rsidRPr="00B369EB">
              <w:rPr>
                <w:sz w:val="18"/>
                <w:szCs w:val="18"/>
              </w:rPr>
              <w:t>Seminario abierto sobre las ventajas de UPOV 1991 y desmentir mitos</w:t>
            </w:r>
          </w:p>
        </w:tc>
      </w:tr>
      <w:tr w:rsidR="00D84B7D" w:rsidRPr="00B369EB" w14:paraId="4C86E017" w14:textId="77777777" w:rsidTr="00D84B7D">
        <w:trPr>
          <w:cantSplit/>
        </w:trPr>
        <w:tc>
          <w:tcPr>
            <w:tcW w:w="1560" w:type="dxa"/>
            <w:shd w:val="clear" w:color="auto" w:fill="FFFFFF"/>
            <w:hideMark/>
          </w:tcPr>
          <w:p w14:paraId="64F6CF30" w14:textId="77777777" w:rsidR="007F2C3D" w:rsidRPr="00B369EB" w:rsidRDefault="001C673E">
            <w:pPr>
              <w:jc w:val="left"/>
              <w:rPr>
                <w:sz w:val="18"/>
                <w:szCs w:val="18"/>
              </w:rPr>
            </w:pPr>
            <w:r w:rsidRPr="00B369EB">
              <w:rPr>
                <w:sz w:val="18"/>
                <w:szCs w:val="18"/>
              </w:rPr>
              <w:t>05/12/2023</w:t>
            </w:r>
          </w:p>
        </w:tc>
        <w:tc>
          <w:tcPr>
            <w:tcW w:w="1984" w:type="dxa"/>
            <w:shd w:val="clear" w:color="auto" w:fill="FFFFFF"/>
            <w:hideMark/>
          </w:tcPr>
          <w:p w14:paraId="6B775BF2" w14:textId="77777777" w:rsidR="007F2C3D" w:rsidRPr="00B369EB" w:rsidRDefault="001C673E">
            <w:pPr>
              <w:jc w:val="left"/>
              <w:rPr>
                <w:sz w:val="18"/>
                <w:szCs w:val="18"/>
              </w:rPr>
            </w:pPr>
            <w:r w:rsidRPr="00B369EB">
              <w:rPr>
                <w:sz w:val="18"/>
                <w:szCs w:val="18"/>
              </w:rPr>
              <w:t>Indonesia</w:t>
            </w:r>
          </w:p>
        </w:tc>
        <w:tc>
          <w:tcPr>
            <w:tcW w:w="1134" w:type="dxa"/>
            <w:shd w:val="clear" w:color="auto" w:fill="FFFFFF"/>
            <w:hideMark/>
          </w:tcPr>
          <w:p w14:paraId="5D0F4840" w14:textId="77777777" w:rsidR="007F2C3D" w:rsidRPr="00B369EB" w:rsidRDefault="001C673E">
            <w:pPr>
              <w:jc w:val="left"/>
              <w:rPr>
                <w:sz w:val="18"/>
                <w:szCs w:val="18"/>
              </w:rPr>
            </w:pPr>
            <w:proofErr w:type="spellStart"/>
            <w:r w:rsidRPr="00B369EB">
              <w:rPr>
                <w:sz w:val="18"/>
                <w:szCs w:val="18"/>
              </w:rPr>
              <w:t>IPKey</w:t>
            </w:r>
            <w:proofErr w:type="spellEnd"/>
            <w:r w:rsidRPr="00B369EB">
              <w:rPr>
                <w:sz w:val="18"/>
                <w:szCs w:val="18"/>
              </w:rPr>
              <w:t xml:space="preserve"> SEA</w:t>
            </w:r>
          </w:p>
        </w:tc>
        <w:tc>
          <w:tcPr>
            <w:tcW w:w="1134" w:type="dxa"/>
            <w:shd w:val="clear" w:color="auto" w:fill="FFFFFF"/>
            <w:hideMark/>
          </w:tcPr>
          <w:p w14:paraId="2E53AA79" w14:textId="77777777" w:rsidR="007F2C3D" w:rsidRPr="00B369EB" w:rsidRDefault="001C673E">
            <w:pPr>
              <w:jc w:val="left"/>
              <w:rPr>
                <w:sz w:val="18"/>
                <w:szCs w:val="18"/>
              </w:rPr>
            </w:pPr>
            <w:r w:rsidRPr="00B369EB">
              <w:rPr>
                <w:sz w:val="18"/>
                <w:szCs w:val="18"/>
              </w:rPr>
              <w:t>Presencial</w:t>
            </w:r>
          </w:p>
        </w:tc>
        <w:tc>
          <w:tcPr>
            <w:tcW w:w="1843" w:type="dxa"/>
            <w:shd w:val="clear" w:color="auto" w:fill="FFFFFF"/>
            <w:hideMark/>
          </w:tcPr>
          <w:p w14:paraId="5ABFBB06" w14:textId="77777777" w:rsidR="007F2C3D" w:rsidRPr="00B369EB" w:rsidRDefault="001C673E">
            <w:pPr>
              <w:jc w:val="left"/>
              <w:rPr>
                <w:sz w:val="18"/>
                <w:szCs w:val="18"/>
              </w:rPr>
            </w:pPr>
            <w:r w:rsidRPr="00B369EB">
              <w:rPr>
                <w:sz w:val="18"/>
                <w:szCs w:val="18"/>
              </w:rPr>
              <w:t>UPOV 1991</w:t>
            </w:r>
          </w:p>
        </w:tc>
        <w:tc>
          <w:tcPr>
            <w:tcW w:w="2381" w:type="dxa"/>
            <w:shd w:val="clear" w:color="auto" w:fill="FFFFFF"/>
            <w:hideMark/>
          </w:tcPr>
          <w:p w14:paraId="0876B192" w14:textId="77777777" w:rsidR="007F2C3D" w:rsidRPr="00B369EB" w:rsidRDefault="001C673E">
            <w:pPr>
              <w:jc w:val="left"/>
              <w:rPr>
                <w:sz w:val="18"/>
                <w:szCs w:val="18"/>
              </w:rPr>
            </w:pPr>
            <w:r w:rsidRPr="00B369EB">
              <w:rPr>
                <w:sz w:val="18"/>
                <w:szCs w:val="18"/>
              </w:rPr>
              <w:t>Taller cerrado sobre la aplicación del sistema PVR en el marco de la UPOV 1991 - Indonesia</w:t>
            </w:r>
          </w:p>
        </w:tc>
      </w:tr>
      <w:tr w:rsidR="00D84B7D" w:rsidRPr="00B369EB" w14:paraId="21B0426F" w14:textId="77777777" w:rsidTr="00D84B7D">
        <w:trPr>
          <w:cantSplit/>
        </w:trPr>
        <w:tc>
          <w:tcPr>
            <w:tcW w:w="1560" w:type="dxa"/>
            <w:shd w:val="clear" w:color="auto" w:fill="FFFFFF"/>
            <w:hideMark/>
          </w:tcPr>
          <w:p w14:paraId="6D4FB914" w14:textId="77777777" w:rsidR="007F2C3D" w:rsidRPr="00B369EB" w:rsidRDefault="001C673E">
            <w:pPr>
              <w:jc w:val="left"/>
              <w:rPr>
                <w:sz w:val="18"/>
                <w:szCs w:val="18"/>
              </w:rPr>
            </w:pPr>
            <w:r w:rsidRPr="00B369EB">
              <w:rPr>
                <w:sz w:val="18"/>
                <w:szCs w:val="18"/>
              </w:rPr>
              <w:t>07/12/2023</w:t>
            </w:r>
          </w:p>
        </w:tc>
        <w:tc>
          <w:tcPr>
            <w:tcW w:w="1984" w:type="dxa"/>
            <w:shd w:val="clear" w:color="auto" w:fill="FFFFFF"/>
            <w:hideMark/>
          </w:tcPr>
          <w:p w14:paraId="267C3598" w14:textId="77777777" w:rsidR="007F2C3D" w:rsidRPr="00B369EB" w:rsidRDefault="001C673E">
            <w:pPr>
              <w:jc w:val="left"/>
              <w:rPr>
                <w:sz w:val="18"/>
                <w:szCs w:val="18"/>
              </w:rPr>
            </w:pPr>
            <w:r w:rsidRPr="00B369EB">
              <w:rPr>
                <w:sz w:val="18"/>
                <w:szCs w:val="18"/>
              </w:rPr>
              <w:t>Tailandia</w:t>
            </w:r>
          </w:p>
        </w:tc>
        <w:tc>
          <w:tcPr>
            <w:tcW w:w="1134" w:type="dxa"/>
            <w:shd w:val="clear" w:color="auto" w:fill="FFFFFF"/>
            <w:hideMark/>
          </w:tcPr>
          <w:p w14:paraId="0620CF7B" w14:textId="77777777" w:rsidR="007F2C3D" w:rsidRPr="00B369EB" w:rsidRDefault="001C673E">
            <w:pPr>
              <w:jc w:val="left"/>
              <w:rPr>
                <w:sz w:val="18"/>
                <w:szCs w:val="18"/>
              </w:rPr>
            </w:pPr>
            <w:proofErr w:type="spellStart"/>
            <w:r w:rsidRPr="00B369EB">
              <w:rPr>
                <w:sz w:val="18"/>
                <w:szCs w:val="18"/>
              </w:rPr>
              <w:t>IPKey</w:t>
            </w:r>
            <w:proofErr w:type="spellEnd"/>
            <w:r w:rsidRPr="00B369EB">
              <w:rPr>
                <w:sz w:val="18"/>
                <w:szCs w:val="18"/>
              </w:rPr>
              <w:t xml:space="preserve"> SEA</w:t>
            </w:r>
          </w:p>
        </w:tc>
        <w:tc>
          <w:tcPr>
            <w:tcW w:w="1134" w:type="dxa"/>
            <w:shd w:val="clear" w:color="auto" w:fill="FFFFFF"/>
            <w:hideMark/>
          </w:tcPr>
          <w:p w14:paraId="33C44B32" w14:textId="77777777" w:rsidR="007F2C3D" w:rsidRPr="00B369EB" w:rsidRDefault="001C673E">
            <w:pPr>
              <w:jc w:val="left"/>
              <w:rPr>
                <w:sz w:val="18"/>
                <w:szCs w:val="18"/>
              </w:rPr>
            </w:pPr>
            <w:r w:rsidRPr="00B369EB">
              <w:rPr>
                <w:sz w:val="18"/>
                <w:szCs w:val="18"/>
              </w:rPr>
              <w:t>Presencial</w:t>
            </w:r>
          </w:p>
        </w:tc>
        <w:tc>
          <w:tcPr>
            <w:tcW w:w="1843" w:type="dxa"/>
            <w:shd w:val="clear" w:color="auto" w:fill="FFFFFF"/>
            <w:hideMark/>
          </w:tcPr>
          <w:p w14:paraId="0C8588C5" w14:textId="77777777" w:rsidR="007F2C3D" w:rsidRPr="00B369EB" w:rsidRDefault="001C673E">
            <w:pPr>
              <w:jc w:val="left"/>
              <w:rPr>
                <w:sz w:val="18"/>
                <w:szCs w:val="18"/>
              </w:rPr>
            </w:pPr>
            <w:r w:rsidRPr="00B369EB">
              <w:rPr>
                <w:sz w:val="18"/>
                <w:szCs w:val="18"/>
              </w:rPr>
              <w:t>UPOV 1991</w:t>
            </w:r>
          </w:p>
        </w:tc>
        <w:tc>
          <w:tcPr>
            <w:tcW w:w="2381" w:type="dxa"/>
            <w:shd w:val="clear" w:color="auto" w:fill="FFFFFF"/>
            <w:hideMark/>
          </w:tcPr>
          <w:p w14:paraId="79DCAB9B" w14:textId="77777777" w:rsidR="007F2C3D" w:rsidRPr="00B369EB" w:rsidRDefault="001C673E">
            <w:pPr>
              <w:jc w:val="left"/>
              <w:rPr>
                <w:sz w:val="18"/>
                <w:szCs w:val="18"/>
              </w:rPr>
            </w:pPr>
            <w:r w:rsidRPr="00B369EB">
              <w:rPr>
                <w:sz w:val="18"/>
                <w:szCs w:val="18"/>
              </w:rPr>
              <w:t>Taller cerrado sobre la aplicación del sistema PVR en el marco de la UPOV 1991 - Tailandia</w:t>
            </w:r>
          </w:p>
        </w:tc>
      </w:tr>
      <w:tr w:rsidR="00D84B7D" w:rsidRPr="00B369EB" w14:paraId="6643D43D" w14:textId="77777777" w:rsidTr="00D84B7D">
        <w:trPr>
          <w:cantSplit/>
        </w:trPr>
        <w:tc>
          <w:tcPr>
            <w:tcW w:w="1560" w:type="dxa"/>
            <w:shd w:val="clear" w:color="auto" w:fill="FFFFFF"/>
            <w:hideMark/>
          </w:tcPr>
          <w:p w14:paraId="01F1702C" w14:textId="77777777" w:rsidR="007F2C3D" w:rsidRPr="00B369EB" w:rsidRDefault="001C673E">
            <w:pPr>
              <w:jc w:val="left"/>
              <w:rPr>
                <w:sz w:val="18"/>
                <w:szCs w:val="18"/>
              </w:rPr>
            </w:pPr>
            <w:r w:rsidRPr="00B369EB">
              <w:rPr>
                <w:sz w:val="18"/>
                <w:szCs w:val="18"/>
              </w:rPr>
              <w:t>12/12/2023</w:t>
            </w:r>
          </w:p>
        </w:tc>
        <w:tc>
          <w:tcPr>
            <w:tcW w:w="1984" w:type="dxa"/>
            <w:shd w:val="clear" w:color="auto" w:fill="FFFFFF"/>
            <w:hideMark/>
          </w:tcPr>
          <w:p w14:paraId="26690547" w14:textId="77777777" w:rsidR="007F2C3D" w:rsidRPr="00B369EB" w:rsidRDefault="001C673E">
            <w:pPr>
              <w:jc w:val="left"/>
              <w:rPr>
                <w:sz w:val="18"/>
                <w:szCs w:val="18"/>
              </w:rPr>
            </w:pPr>
            <w:r w:rsidRPr="00B369EB">
              <w:rPr>
                <w:sz w:val="18"/>
                <w:szCs w:val="18"/>
              </w:rPr>
              <w:t>América Latina</w:t>
            </w:r>
          </w:p>
        </w:tc>
        <w:tc>
          <w:tcPr>
            <w:tcW w:w="1134" w:type="dxa"/>
            <w:shd w:val="clear" w:color="auto" w:fill="FFFFFF"/>
            <w:hideMark/>
          </w:tcPr>
          <w:p w14:paraId="25FC3E9A" w14:textId="77777777" w:rsidR="007F2C3D" w:rsidRPr="00B369EB" w:rsidRDefault="001C673E">
            <w:pPr>
              <w:jc w:val="left"/>
              <w:rPr>
                <w:sz w:val="18"/>
                <w:szCs w:val="18"/>
              </w:rPr>
            </w:pPr>
            <w:r w:rsidRPr="00B369EB">
              <w:rPr>
                <w:sz w:val="18"/>
                <w:szCs w:val="18"/>
              </w:rPr>
              <w:t xml:space="preserve">AL-INVEST </w:t>
            </w:r>
          </w:p>
        </w:tc>
        <w:tc>
          <w:tcPr>
            <w:tcW w:w="1134" w:type="dxa"/>
            <w:shd w:val="clear" w:color="auto" w:fill="FFFFFF"/>
            <w:hideMark/>
          </w:tcPr>
          <w:p w14:paraId="58FA6133" w14:textId="77777777" w:rsidR="007F2C3D" w:rsidRPr="00B369EB" w:rsidRDefault="001C673E">
            <w:pPr>
              <w:jc w:val="left"/>
              <w:rPr>
                <w:sz w:val="18"/>
                <w:szCs w:val="18"/>
              </w:rPr>
            </w:pPr>
            <w:r w:rsidRPr="00B369EB">
              <w:rPr>
                <w:sz w:val="18"/>
                <w:szCs w:val="18"/>
              </w:rPr>
              <w:t>En línea</w:t>
            </w:r>
          </w:p>
        </w:tc>
        <w:tc>
          <w:tcPr>
            <w:tcW w:w="1843" w:type="dxa"/>
            <w:shd w:val="clear" w:color="auto" w:fill="FFFFFF"/>
            <w:hideMark/>
          </w:tcPr>
          <w:p w14:paraId="186FD7C4" w14:textId="77777777" w:rsidR="007F2C3D" w:rsidRPr="00B369EB" w:rsidRDefault="001C673E">
            <w:pPr>
              <w:jc w:val="left"/>
              <w:rPr>
                <w:sz w:val="18"/>
                <w:szCs w:val="18"/>
              </w:rPr>
            </w:pPr>
            <w:r w:rsidRPr="00B369EB">
              <w:rPr>
                <w:sz w:val="18"/>
                <w:szCs w:val="18"/>
              </w:rPr>
              <w:t>Licencias</w:t>
            </w:r>
          </w:p>
        </w:tc>
        <w:tc>
          <w:tcPr>
            <w:tcW w:w="2381" w:type="dxa"/>
            <w:shd w:val="clear" w:color="auto" w:fill="FFFFFF"/>
            <w:hideMark/>
          </w:tcPr>
          <w:p w14:paraId="15B545CF" w14:textId="77777777" w:rsidR="007F2C3D" w:rsidRPr="00B369EB" w:rsidRDefault="001C673E">
            <w:pPr>
              <w:jc w:val="left"/>
              <w:rPr>
                <w:sz w:val="18"/>
                <w:szCs w:val="18"/>
              </w:rPr>
            </w:pPr>
            <w:r w:rsidRPr="00B369EB">
              <w:rPr>
                <w:sz w:val="18"/>
                <w:szCs w:val="18"/>
              </w:rPr>
              <w:t>Seminario web avanzado sobre licencias de PVR para universidades e institutos públicos</w:t>
            </w:r>
          </w:p>
        </w:tc>
      </w:tr>
      <w:tr w:rsidR="00D84B7D" w:rsidRPr="00B369EB" w14:paraId="0BDE59C2" w14:textId="77777777" w:rsidTr="00D84B7D">
        <w:trPr>
          <w:cantSplit/>
        </w:trPr>
        <w:tc>
          <w:tcPr>
            <w:tcW w:w="1560" w:type="dxa"/>
            <w:shd w:val="clear" w:color="auto" w:fill="FFFFFF"/>
          </w:tcPr>
          <w:p w14:paraId="53321149" w14:textId="77777777" w:rsidR="007F2C3D" w:rsidRPr="00B369EB" w:rsidRDefault="001C673E">
            <w:pPr>
              <w:jc w:val="left"/>
              <w:rPr>
                <w:sz w:val="18"/>
                <w:szCs w:val="18"/>
              </w:rPr>
            </w:pPr>
            <w:r w:rsidRPr="00B369EB">
              <w:rPr>
                <w:sz w:val="18"/>
                <w:szCs w:val="18"/>
              </w:rPr>
              <w:t>13/05/2024</w:t>
            </w:r>
          </w:p>
        </w:tc>
        <w:tc>
          <w:tcPr>
            <w:tcW w:w="1984" w:type="dxa"/>
            <w:shd w:val="clear" w:color="auto" w:fill="FFFFFF"/>
          </w:tcPr>
          <w:p w14:paraId="42CDF14A" w14:textId="77777777" w:rsidR="007F2C3D" w:rsidRPr="00B369EB" w:rsidRDefault="001C673E">
            <w:pPr>
              <w:jc w:val="left"/>
              <w:rPr>
                <w:sz w:val="18"/>
                <w:szCs w:val="18"/>
              </w:rPr>
            </w:pPr>
            <w:r w:rsidRPr="00B369EB">
              <w:rPr>
                <w:sz w:val="18"/>
                <w:szCs w:val="18"/>
              </w:rPr>
              <w:t>Colombia</w:t>
            </w:r>
          </w:p>
        </w:tc>
        <w:tc>
          <w:tcPr>
            <w:tcW w:w="1134" w:type="dxa"/>
            <w:shd w:val="clear" w:color="auto" w:fill="FFFFFF"/>
          </w:tcPr>
          <w:p w14:paraId="71AE8091" w14:textId="77777777" w:rsidR="007F2C3D" w:rsidRPr="00B369EB" w:rsidRDefault="001C673E">
            <w:pPr>
              <w:jc w:val="left"/>
              <w:rPr>
                <w:sz w:val="18"/>
                <w:szCs w:val="18"/>
              </w:rPr>
            </w:pPr>
            <w:r w:rsidRPr="00B369EB">
              <w:rPr>
                <w:sz w:val="18"/>
                <w:szCs w:val="18"/>
              </w:rPr>
              <w:t>IPKEY LA</w:t>
            </w:r>
          </w:p>
        </w:tc>
        <w:tc>
          <w:tcPr>
            <w:tcW w:w="1134" w:type="dxa"/>
            <w:shd w:val="clear" w:color="auto" w:fill="FFFFFF"/>
          </w:tcPr>
          <w:p w14:paraId="4E872EF7" w14:textId="77777777" w:rsidR="007F2C3D" w:rsidRPr="00B369EB" w:rsidRDefault="001C673E">
            <w:pPr>
              <w:jc w:val="left"/>
              <w:rPr>
                <w:sz w:val="18"/>
                <w:szCs w:val="18"/>
              </w:rPr>
            </w:pPr>
            <w:r w:rsidRPr="00B369EB">
              <w:rPr>
                <w:sz w:val="18"/>
                <w:szCs w:val="18"/>
              </w:rPr>
              <w:t>Presencial</w:t>
            </w:r>
          </w:p>
        </w:tc>
        <w:tc>
          <w:tcPr>
            <w:tcW w:w="1843" w:type="dxa"/>
            <w:shd w:val="clear" w:color="auto" w:fill="FFFFFF"/>
          </w:tcPr>
          <w:p w14:paraId="33218FF9" w14:textId="77777777" w:rsidR="007F2C3D" w:rsidRPr="00B369EB" w:rsidRDefault="001C673E">
            <w:pPr>
              <w:jc w:val="left"/>
              <w:rPr>
                <w:sz w:val="18"/>
                <w:szCs w:val="18"/>
              </w:rPr>
            </w:pPr>
            <w:r w:rsidRPr="00B369EB">
              <w:rPr>
                <w:sz w:val="18"/>
                <w:szCs w:val="18"/>
              </w:rPr>
              <w:t>Ejecución</w:t>
            </w:r>
          </w:p>
        </w:tc>
        <w:tc>
          <w:tcPr>
            <w:tcW w:w="2381" w:type="dxa"/>
            <w:shd w:val="clear" w:color="auto" w:fill="FFFFFF"/>
          </w:tcPr>
          <w:p w14:paraId="299D1FEC" w14:textId="77777777" w:rsidR="007F2C3D" w:rsidRPr="00B369EB" w:rsidRDefault="001C673E">
            <w:pPr>
              <w:jc w:val="left"/>
              <w:rPr>
                <w:sz w:val="18"/>
                <w:szCs w:val="18"/>
              </w:rPr>
            </w:pPr>
            <w:r w:rsidRPr="00B369EB">
              <w:rPr>
                <w:sz w:val="18"/>
                <w:szCs w:val="18"/>
              </w:rPr>
              <w:t>Seminario de ejecución para jueces y fiscales de la Comunidad Andina</w:t>
            </w:r>
          </w:p>
        </w:tc>
      </w:tr>
      <w:tr w:rsidR="00D84B7D" w:rsidRPr="00B369EB" w14:paraId="69529383" w14:textId="77777777" w:rsidTr="00D84B7D">
        <w:trPr>
          <w:cantSplit/>
        </w:trPr>
        <w:tc>
          <w:tcPr>
            <w:tcW w:w="1560" w:type="dxa"/>
            <w:shd w:val="clear" w:color="auto" w:fill="FFFFFF"/>
          </w:tcPr>
          <w:p w14:paraId="6C2623B7" w14:textId="77777777" w:rsidR="007F2C3D" w:rsidRPr="00B369EB" w:rsidRDefault="001C673E">
            <w:pPr>
              <w:jc w:val="left"/>
              <w:rPr>
                <w:sz w:val="18"/>
                <w:szCs w:val="18"/>
              </w:rPr>
            </w:pPr>
            <w:r w:rsidRPr="00B369EB">
              <w:rPr>
                <w:sz w:val="18"/>
                <w:szCs w:val="18"/>
              </w:rPr>
              <w:t>27/05/2024</w:t>
            </w:r>
          </w:p>
        </w:tc>
        <w:tc>
          <w:tcPr>
            <w:tcW w:w="1984" w:type="dxa"/>
            <w:shd w:val="clear" w:color="auto" w:fill="FFFFFF"/>
          </w:tcPr>
          <w:p w14:paraId="0E35252F" w14:textId="77777777" w:rsidR="007F2C3D" w:rsidRPr="00B369EB" w:rsidRDefault="001C673E">
            <w:pPr>
              <w:jc w:val="left"/>
              <w:rPr>
                <w:sz w:val="18"/>
                <w:szCs w:val="18"/>
              </w:rPr>
            </w:pPr>
            <w:r w:rsidRPr="00B369EB">
              <w:rPr>
                <w:sz w:val="18"/>
                <w:szCs w:val="18"/>
              </w:rPr>
              <w:t>Federación Internacional de Semillas</w:t>
            </w:r>
          </w:p>
        </w:tc>
        <w:tc>
          <w:tcPr>
            <w:tcW w:w="1134" w:type="dxa"/>
            <w:shd w:val="clear" w:color="auto" w:fill="FFFFFF"/>
          </w:tcPr>
          <w:p w14:paraId="27E03FBC" w14:textId="77777777" w:rsidR="007F2C3D" w:rsidRPr="00B369EB" w:rsidRDefault="001C673E">
            <w:pPr>
              <w:jc w:val="left"/>
              <w:rPr>
                <w:sz w:val="18"/>
                <w:szCs w:val="18"/>
              </w:rPr>
            </w:pPr>
            <w:r w:rsidRPr="00B369EB">
              <w:rPr>
                <w:sz w:val="18"/>
                <w:szCs w:val="18"/>
              </w:rPr>
              <w:t>ISF</w:t>
            </w:r>
          </w:p>
        </w:tc>
        <w:tc>
          <w:tcPr>
            <w:tcW w:w="1134" w:type="dxa"/>
            <w:shd w:val="clear" w:color="auto" w:fill="FFFFFF"/>
          </w:tcPr>
          <w:p w14:paraId="60F9E9F5" w14:textId="77777777" w:rsidR="007F2C3D" w:rsidRPr="00B369EB" w:rsidRDefault="001C673E">
            <w:pPr>
              <w:jc w:val="left"/>
              <w:rPr>
                <w:sz w:val="18"/>
                <w:szCs w:val="18"/>
              </w:rPr>
            </w:pPr>
            <w:r w:rsidRPr="00B369EB">
              <w:rPr>
                <w:sz w:val="18"/>
                <w:szCs w:val="18"/>
              </w:rPr>
              <w:t>Presencial</w:t>
            </w:r>
          </w:p>
        </w:tc>
        <w:tc>
          <w:tcPr>
            <w:tcW w:w="1843" w:type="dxa"/>
            <w:shd w:val="clear" w:color="auto" w:fill="FFFFFF"/>
          </w:tcPr>
          <w:p w14:paraId="6E9153F6" w14:textId="77777777" w:rsidR="007F2C3D" w:rsidRPr="00B369EB" w:rsidRDefault="001C673E">
            <w:pPr>
              <w:jc w:val="left"/>
              <w:rPr>
                <w:sz w:val="18"/>
                <w:szCs w:val="18"/>
              </w:rPr>
            </w:pPr>
            <w:r w:rsidRPr="00B369EB">
              <w:rPr>
                <w:sz w:val="18"/>
                <w:szCs w:val="18"/>
              </w:rPr>
              <w:t>Cooperación internacional</w:t>
            </w:r>
          </w:p>
        </w:tc>
        <w:tc>
          <w:tcPr>
            <w:tcW w:w="2381" w:type="dxa"/>
            <w:shd w:val="clear" w:color="auto" w:fill="FFFFFF"/>
          </w:tcPr>
          <w:p w14:paraId="584EFD27" w14:textId="77777777" w:rsidR="007F2C3D" w:rsidRPr="00B369EB" w:rsidRDefault="001C673E">
            <w:pPr>
              <w:jc w:val="left"/>
              <w:rPr>
                <w:sz w:val="18"/>
                <w:szCs w:val="18"/>
              </w:rPr>
            </w:pPr>
            <w:r w:rsidRPr="00B369EB">
              <w:rPr>
                <w:sz w:val="18"/>
                <w:szCs w:val="18"/>
              </w:rPr>
              <w:t>100</w:t>
            </w:r>
            <w:r w:rsidRPr="00B369EB">
              <w:rPr>
                <w:sz w:val="18"/>
                <w:szCs w:val="18"/>
                <w:vertAlign w:val="superscript"/>
              </w:rPr>
              <w:t>th</w:t>
            </w:r>
            <w:r w:rsidRPr="00B369EB">
              <w:rPr>
                <w:sz w:val="18"/>
                <w:szCs w:val="18"/>
              </w:rPr>
              <w:t xml:space="preserve"> Congreso del aniversario de la ISF</w:t>
            </w:r>
          </w:p>
        </w:tc>
      </w:tr>
      <w:tr w:rsidR="00D84B7D" w:rsidRPr="00B369EB" w14:paraId="6AB36026" w14:textId="77777777" w:rsidTr="00D84B7D">
        <w:trPr>
          <w:cantSplit/>
        </w:trPr>
        <w:tc>
          <w:tcPr>
            <w:tcW w:w="1560" w:type="dxa"/>
            <w:shd w:val="clear" w:color="auto" w:fill="FFFFFF"/>
          </w:tcPr>
          <w:p w14:paraId="1FF1FA55" w14:textId="77777777" w:rsidR="007F2C3D" w:rsidRPr="00B369EB" w:rsidRDefault="001C673E">
            <w:pPr>
              <w:jc w:val="left"/>
              <w:rPr>
                <w:sz w:val="18"/>
                <w:szCs w:val="18"/>
              </w:rPr>
            </w:pPr>
            <w:r w:rsidRPr="00B369EB">
              <w:rPr>
                <w:sz w:val="18"/>
                <w:szCs w:val="18"/>
              </w:rPr>
              <w:t>19/06/2024</w:t>
            </w:r>
          </w:p>
        </w:tc>
        <w:tc>
          <w:tcPr>
            <w:tcW w:w="1984" w:type="dxa"/>
            <w:shd w:val="clear" w:color="auto" w:fill="FFFFFF"/>
          </w:tcPr>
          <w:p w14:paraId="211D5E61" w14:textId="77777777" w:rsidR="007F2C3D" w:rsidRPr="00B369EB" w:rsidRDefault="001C673E">
            <w:pPr>
              <w:jc w:val="left"/>
              <w:rPr>
                <w:sz w:val="18"/>
                <w:szCs w:val="18"/>
              </w:rPr>
            </w:pPr>
            <w:r w:rsidRPr="00B369EB">
              <w:rPr>
                <w:sz w:val="18"/>
                <w:szCs w:val="18"/>
              </w:rPr>
              <w:t>Ghana</w:t>
            </w:r>
          </w:p>
        </w:tc>
        <w:tc>
          <w:tcPr>
            <w:tcW w:w="1134" w:type="dxa"/>
            <w:shd w:val="clear" w:color="auto" w:fill="FFFFFF"/>
          </w:tcPr>
          <w:p w14:paraId="7EBA7E5C" w14:textId="77777777" w:rsidR="007F2C3D" w:rsidRPr="00B369EB" w:rsidRDefault="001C673E">
            <w:pPr>
              <w:jc w:val="left"/>
              <w:rPr>
                <w:sz w:val="18"/>
                <w:szCs w:val="18"/>
              </w:rPr>
            </w:pPr>
            <w:r w:rsidRPr="00B369EB">
              <w:rPr>
                <w:sz w:val="18"/>
                <w:szCs w:val="18"/>
              </w:rPr>
              <w:t>ARIPO</w:t>
            </w:r>
          </w:p>
        </w:tc>
        <w:tc>
          <w:tcPr>
            <w:tcW w:w="1134" w:type="dxa"/>
            <w:shd w:val="clear" w:color="auto" w:fill="FFFFFF"/>
          </w:tcPr>
          <w:p w14:paraId="538E886E" w14:textId="77777777" w:rsidR="007F2C3D" w:rsidRPr="00B369EB" w:rsidRDefault="001C673E">
            <w:pPr>
              <w:jc w:val="left"/>
              <w:rPr>
                <w:sz w:val="18"/>
                <w:szCs w:val="18"/>
              </w:rPr>
            </w:pPr>
            <w:r w:rsidRPr="00B369EB">
              <w:rPr>
                <w:sz w:val="18"/>
                <w:szCs w:val="18"/>
              </w:rPr>
              <w:t>Presencial</w:t>
            </w:r>
          </w:p>
        </w:tc>
        <w:tc>
          <w:tcPr>
            <w:tcW w:w="1843" w:type="dxa"/>
            <w:shd w:val="clear" w:color="auto" w:fill="FFFFFF"/>
          </w:tcPr>
          <w:p w14:paraId="1E14CB4A" w14:textId="77777777" w:rsidR="007F2C3D" w:rsidRPr="00B369EB" w:rsidRDefault="001C673E">
            <w:pPr>
              <w:jc w:val="left"/>
              <w:rPr>
                <w:sz w:val="18"/>
                <w:szCs w:val="18"/>
              </w:rPr>
            </w:pPr>
            <w:r w:rsidRPr="00B369EB">
              <w:rPr>
                <w:sz w:val="18"/>
                <w:szCs w:val="18"/>
              </w:rPr>
              <w:t>Cooperación regional</w:t>
            </w:r>
          </w:p>
        </w:tc>
        <w:tc>
          <w:tcPr>
            <w:tcW w:w="2381" w:type="dxa"/>
            <w:shd w:val="clear" w:color="auto" w:fill="FFFFFF"/>
          </w:tcPr>
          <w:p w14:paraId="1EC79BDE" w14:textId="77777777" w:rsidR="007F2C3D" w:rsidRPr="00B369EB" w:rsidRDefault="001C673E">
            <w:pPr>
              <w:jc w:val="left"/>
              <w:rPr>
                <w:sz w:val="18"/>
                <w:szCs w:val="18"/>
              </w:rPr>
            </w:pPr>
            <w:r w:rsidRPr="00B369EB">
              <w:rPr>
                <w:sz w:val="18"/>
                <w:szCs w:val="18"/>
              </w:rPr>
              <w:t xml:space="preserve">Taller regional sobre la protección de las obtenciones vegetales para los Estados miembros de la ARIPO.  Protección de las obtenciones vegetales para el desarrollo agrícola sostenible y la seguridad alimentaria en el contexto del cambio climático. </w:t>
            </w:r>
          </w:p>
        </w:tc>
      </w:tr>
      <w:tr w:rsidR="00D84B7D" w:rsidRPr="00B369EB" w14:paraId="12AF3697" w14:textId="77777777" w:rsidTr="00D84B7D">
        <w:trPr>
          <w:cantSplit/>
        </w:trPr>
        <w:tc>
          <w:tcPr>
            <w:tcW w:w="1560" w:type="dxa"/>
            <w:shd w:val="clear" w:color="auto" w:fill="FFFFFF"/>
          </w:tcPr>
          <w:p w14:paraId="7E7C7D19" w14:textId="77777777" w:rsidR="007F2C3D" w:rsidRPr="00B369EB" w:rsidRDefault="001C673E">
            <w:pPr>
              <w:jc w:val="left"/>
              <w:rPr>
                <w:sz w:val="18"/>
                <w:szCs w:val="18"/>
              </w:rPr>
            </w:pPr>
            <w:r w:rsidRPr="00B369EB">
              <w:rPr>
                <w:sz w:val="18"/>
                <w:szCs w:val="18"/>
              </w:rPr>
              <w:t>30/06/2024</w:t>
            </w:r>
          </w:p>
        </w:tc>
        <w:tc>
          <w:tcPr>
            <w:tcW w:w="1984" w:type="dxa"/>
            <w:shd w:val="clear" w:color="auto" w:fill="FFFFFF"/>
          </w:tcPr>
          <w:p w14:paraId="08D82C7C" w14:textId="77777777" w:rsidR="007F2C3D" w:rsidRPr="00B369EB" w:rsidRDefault="001C673E">
            <w:pPr>
              <w:jc w:val="left"/>
              <w:rPr>
                <w:sz w:val="18"/>
                <w:szCs w:val="18"/>
              </w:rPr>
            </w:pPr>
            <w:r w:rsidRPr="00B369EB">
              <w:rPr>
                <w:sz w:val="18"/>
                <w:szCs w:val="18"/>
              </w:rPr>
              <w:t xml:space="preserve">Camerún, Senegal, </w:t>
            </w:r>
            <w:r w:rsidR="00D84B7D" w:rsidRPr="00B369EB">
              <w:rPr>
                <w:sz w:val="18"/>
                <w:szCs w:val="18"/>
              </w:rPr>
              <w:t>Costa de Marfil</w:t>
            </w:r>
            <w:r w:rsidRPr="00B369EB">
              <w:rPr>
                <w:sz w:val="18"/>
                <w:szCs w:val="18"/>
              </w:rPr>
              <w:t>, Burkina Faso</w:t>
            </w:r>
          </w:p>
        </w:tc>
        <w:tc>
          <w:tcPr>
            <w:tcW w:w="1134" w:type="dxa"/>
            <w:shd w:val="clear" w:color="auto" w:fill="FFFFFF"/>
          </w:tcPr>
          <w:p w14:paraId="682F4306" w14:textId="77777777" w:rsidR="007F2C3D" w:rsidRPr="00B369EB" w:rsidRDefault="001C673E">
            <w:pPr>
              <w:jc w:val="left"/>
              <w:rPr>
                <w:sz w:val="18"/>
                <w:szCs w:val="18"/>
              </w:rPr>
            </w:pPr>
            <w:r w:rsidRPr="00B369EB">
              <w:rPr>
                <w:sz w:val="18"/>
                <w:szCs w:val="18"/>
              </w:rPr>
              <w:t>AFRIPI</w:t>
            </w:r>
          </w:p>
        </w:tc>
        <w:tc>
          <w:tcPr>
            <w:tcW w:w="1134" w:type="dxa"/>
            <w:shd w:val="clear" w:color="auto" w:fill="FFFFFF"/>
          </w:tcPr>
          <w:p w14:paraId="782B1CEF" w14:textId="77777777" w:rsidR="007F2C3D" w:rsidRPr="00B369EB" w:rsidRDefault="001C673E">
            <w:pPr>
              <w:jc w:val="left"/>
              <w:rPr>
                <w:sz w:val="18"/>
                <w:szCs w:val="18"/>
              </w:rPr>
            </w:pPr>
            <w:r w:rsidRPr="00B369EB">
              <w:rPr>
                <w:sz w:val="18"/>
                <w:szCs w:val="18"/>
              </w:rPr>
              <w:t>Presencial/Online</w:t>
            </w:r>
          </w:p>
        </w:tc>
        <w:tc>
          <w:tcPr>
            <w:tcW w:w="1843" w:type="dxa"/>
            <w:shd w:val="clear" w:color="auto" w:fill="FFFFFF"/>
          </w:tcPr>
          <w:p w14:paraId="29020246" w14:textId="77777777" w:rsidR="007F2C3D" w:rsidRPr="00B369EB" w:rsidRDefault="001C673E">
            <w:pPr>
              <w:jc w:val="left"/>
              <w:rPr>
                <w:sz w:val="18"/>
                <w:szCs w:val="18"/>
              </w:rPr>
            </w:pPr>
            <w:r w:rsidRPr="00B369EB">
              <w:rPr>
                <w:sz w:val="18"/>
                <w:szCs w:val="18"/>
              </w:rPr>
              <w:t>DUS</w:t>
            </w:r>
          </w:p>
        </w:tc>
        <w:tc>
          <w:tcPr>
            <w:tcW w:w="2381" w:type="dxa"/>
            <w:shd w:val="clear" w:color="auto" w:fill="FFFFFF"/>
          </w:tcPr>
          <w:p w14:paraId="4D1DFE3D" w14:textId="77777777" w:rsidR="007F2C3D" w:rsidRPr="00B369EB" w:rsidRDefault="001C673E">
            <w:pPr>
              <w:jc w:val="left"/>
              <w:rPr>
                <w:sz w:val="18"/>
                <w:szCs w:val="18"/>
              </w:rPr>
            </w:pPr>
            <w:r w:rsidRPr="00B369EB">
              <w:rPr>
                <w:sz w:val="18"/>
                <w:szCs w:val="18"/>
              </w:rPr>
              <w:t>Apoyo técnico a las colecciones de referencia para los Centros Acreditados de Investigación y Examen de Variedades Vegetales de los países de la OAPI.</w:t>
            </w:r>
          </w:p>
        </w:tc>
      </w:tr>
      <w:tr w:rsidR="00D84B7D" w:rsidRPr="00B369EB" w14:paraId="7C56D851" w14:textId="77777777" w:rsidTr="00D84B7D">
        <w:trPr>
          <w:cantSplit/>
        </w:trPr>
        <w:tc>
          <w:tcPr>
            <w:tcW w:w="1560" w:type="dxa"/>
            <w:shd w:val="clear" w:color="auto" w:fill="FFFFFF"/>
          </w:tcPr>
          <w:p w14:paraId="66CDFCD2" w14:textId="77777777" w:rsidR="007F2C3D" w:rsidRPr="00B369EB" w:rsidRDefault="001C673E">
            <w:pPr>
              <w:jc w:val="left"/>
              <w:rPr>
                <w:sz w:val="18"/>
                <w:szCs w:val="18"/>
              </w:rPr>
            </w:pPr>
            <w:r w:rsidRPr="00B369EB">
              <w:rPr>
                <w:sz w:val="18"/>
                <w:szCs w:val="18"/>
              </w:rPr>
              <w:t>15/07/2024</w:t>
            </w:r>
          </w:p>
        </w:tc>
        <w:tc>
          <w:tcPr>
            <w:tcW w:w="1984" w:type="dxa"/>
            <w:shd w:val="clear" w:color="auto" w:fill="FFFFFF"/>
          </w:tcPr>
          <w:p w14:paraId="0768E673" w14:textId="77777777" w:rsidR="007F2C3D" w:rsidRPr="00B369EB" w:rsidRDefault="001C673E">
            <w:pPr>
              <w:jc w:val="left"/>
              <w:rPr>
                <w:sz w:val="18"/>
                <w:szCs w:val="18"/>
              </w:rPr>
            </w:pPr>
            <w:r w:rsidRPr="00B369EB">
              <w:rPr>
                <w:sz w:val="18"/>
                <w:szCs w:val="18"/>
              </w:rPr>
              <w:t>China</w:t>
            </w:r>
          </w:p>
        </w:tc>
        <w:tc>
          <w:tcPr>
            <w:tcW w:w="1134" w:type="dxa"/>
            <w:shd w:val="clear" w:color="auto" w:fill="FFFFFF"/>
          </w:tcPr>
          <w:p w14:paraId="5E5D7B4E" w14:textId="77777777" w:rsidR="007F2C3D" w:rsidRPr="00B369EB" w:rsidRDefault="001C673E">
            <w:pPr>
              <w:jc w:val="left"/>
              <w:rPr>
                <w:sz w:val="18"/>
                <w:szCs w:val="18"/>
              </w:rPr>
            </w:pPr>
            <w:r w:rsidRPr="00B369EB">
              <w:rPr>
                <w:sz w:val="18"/>
                <w:szCs w:val="18"/>
              </w:rPr>
              <w:t>IPKEY CHINA</w:t>
            </w:r>
          </w:p>
        </w:tc>
        <w:tc>
          <w:tcPr>
            <w:tcW w:w="1134" w:type="dxa"/>
            <w:shd w:val="clear" w:color="auto" w:fill="FFFFFF"/>
          </w:tcPr>
          <w:p w14:paraId="43503BA6" w14:textId="77777777" w:rsidR="007F2C3D" w:rsidRPr="00B369EB" w:rsidRDefault="001C673E">
            <w:pPr>
              <w:jc w:val="left"/>
              <w:rPr>
                <w:sz w:val="18"/>
                <w:szCs w:val="18"/>
              </w:rPr>
            </w:pPr>
            <w:r w:rsidRPr="00B369EB">
              <w:rPr>
                <w:sz w:val="18"/>
                <w:szCs w:val="18"/>
              </w:rPr>
              <w:t>Presencial</w:t>
            </w:r>
          </w:p>
        </w:tc>
        <w:tc>
          <w:tcPr>
            <w:tcW w:w="1843" w:type="dxa"/>
            <w:shd w:val="clear" w:color="auto" w:fill="FFFFFF"/>
          </w:tcPr>
          <w:p w14:paraId="780D20C0" w14:textId="77777777" w:rsidR="007F2C3D" w:rsidRPr="00B369EB" w:rsidRDefault="001C673E">
            <w:pPr>
              <w:jc w:val="left"/>
              <w:rPr>
                <w:sz w:val="18"/>
                <w:szCs w:val="18"/>
              </w:rPr>
            </w:pPr>
            <w:r w:rsidRPr="00B369EB">
              <w:rPr>
                <w:sz w:val="18"/>
                <w:szCs w:val="18"/>
              </w:rPr>
              <w:t>Novedades legislativas</w:t>
            </w:r>
          </w:p>
        </w:tc>
        <w:tc>
          <w:tcPr>
            <w:tcW w:w="2381" w:type="dxa"/>
            <w:shd w:val="clear" w:color="auto" w:fill="FFFFFF"/>
          </w:tcPr>
          <w:p w14:paraId="2AAE5099" w14:textId="77777777" w:rsidR="007F2C3D" w:rsidRPr="00B369EB" w:rsidRDefault="00D84B7D">
            <w:pPr>
              <w:jc w:val="left"/>
              <w:rPr>
                <w:sz w:val="18"/>
                <w:szCs w:val="18"/>
              </w:rPr>
            </w:pPr>
            <w:r w:rsidRPr="00B369EB">
              <w:rPr>
                <w:sz w:val="18"/>
                <w:szCs w:val="18"/>
              </w:rPr>
              <w:t xml:space="preserve">Visita de </w:t>
            </w:r>
            <w:r w:rsidR="001C673E" w:rsidRPr="00B369EB">
              <w:rPr>
                <w:sz w:val="18"/>
                <w:szCs w:val="18"/>
              </w:rPr>
              <w:t>estudio de alto nivel en Europa de una delegación de MARA, NFGA, SPC (Tribunal Supremo)</w:t>
            </w:r>
          </w:p>
        </w:tc>
      </w:tr>
    </w:tbl>
    <w:p w14:paraId="2AB59A5B" w14:textId="77777777" w:rsidR="006A1579" w:rsidRPr="00B369EB" w:rsidRDefault="006A1579" w:rsidP="006A1579">
      <w:pPr>
        <w:rPr>
          <w:rFonts w:cs="Calibri"/>
          <w:szCs w:val="21"/>
        </w:rPr>
      </w:pPr>
    </w:p>
    <w:p w14:paraId="13EF6383" w14:textId="77777777" w:rsidR="007F2C3D" w:rsidRPr="00B369EB" w:rsidRDefault="001C673E" w:rsidP="007C78E0">
      <w:pPr>
        <w:keepNext/>
        <w:rPr>
          <w:rFonts w:cs="Calibri"/>
          <w:szCs w:val="21"/>
        </w:rPr>
      </w:pPr>
      <w:proofErr w:type="spellStart"/>
      <w:r w:rsidRPr="00B369EB">
        <w:rPr>
          <w:rFonts w:cs="Calibri"/>
          <w:b/>
          <w:szCs w:val="21"/>
        </w:rPr>
        <w:lastRenderedPageBreak/>
        <w:t>CarIP</w:t>
      </w:r>
      <w:r w:rsidRPr="00B369EB">
        <w:rPr>
          <w:rFonts w:cs="Calibri"/>
          <w:szCs w:val="21"/>
        </w:rPr>
        <w:t>I</w:t>
      </w:r>
      <w:proofErr w:type="spellEnd"/>
      <w:r w:rsidRPr="00B369EB">
        <w:rPr>
          <w:rFonts w:cs="Calibri"/>
          <w:szCs w:val="21"/>
        </w:rPr>
        <w:t xml:space="preserve"> </w:t>
      </w:r>
    </w:p>
    <w:p w14:paraId="61C952E2" w14:textId="77777777" w:rsidR="00D84B7D" w:rsidRPr="00B369EB" w:rsidRDefault="00D84B7D" w:rsidP="007C78E0">
      <w:pPr>
        <w:keepNext/>
        <w:rPr>
          <w:rFonts w:cs="Calibri"/>
          <w:szCs w:val="21"/>
        </w:rPr>
      </w:pPr>
    </w:p>
    <w:p w14:paraId="037D8E15" w14:textId="77777777" w:rsidR="007F2C3D" w:rsidRPr="00B369EB" w:rsidRDefault="001C673E">
      <w:pPr>
        <w:rPr>
          <w:rFonts w:cs="Calibri"/>
          <w:szCs w:val="21"/>
        </w:rPr>
      </w:pPr>
      <w:r w:rsidRPr="00B369EB">
        <w:rPr>
          <w:rFonts w:cs="Calibri"/>
          <w:szCs w:val="21"/>
        </w:rPr>
        <w:t xml:space="preserve">En 2023, a raíz de la iniciativa de la CARICOM, la OCVV y la UPOV están cooperando en un proyecto de apoyo a la elaboración de una política regional de semillas en relación con la protección de las obtenciones vegetales que abarque a los Estados de la CARICOM. La OCVV no dispone de información actualizada sobre este proyecto. </w:t>
      </w:r>
    </w:p>
    <w:p w14:paraId="02C07747" w14:textId="77777777" w:rsidR="00D84B7D" w:rsidRPr="00B369EB" w:rsidRDefault="00D84B7D" w:rsidP="006A1579">
      <w:pPr>
        <w:rPr>
          <w:rFonts w:cs="Calibri"/>
          <w:bCs/>
          <w:szCs w:val="21"/>
        </w:rPr>
      </w:pPr>
    </w:p>
    <w:p w14:paraId="2CAC8263" w14:textId="77777777" w:rsidR="007F2C3D" w:rsidRPr="00B369EB" w:rsidRDefault="001C673E">
      <w:pPr>
        <w:rPr>
          <w:rFonts w:cs="Calibri"/>
          <w:szCs w:val="21"/>
        </w:rPr>
      </w:pPr>
      <w:r w:rsidRPr="00B369EB">
        <w:rPr>
          <w:rFonts w:cs="Calibri"/>
          <w:bCs/>
          <w:szCs w:val="21"/>
        </w:rPr>
        <w:t xml:space="preserve">En el marco del </w:t>
      </w:r>
      <w:r w:rsidRPr="00B369EB">
        <w:rPr>
          <w:rFonts w:cs="Calibri"/>
          <w:szCs w:val="21"/>
        </w:rPr>
        <w:t xml:space="preserve">proyecto </w:t>
      </w:r>
      <w:proofErr w:type="spellStart"/>
      <w:r w:rsidRPr="00B369EB">
        <w:rPr>
          <w:rFonts w:cs="Calibri"/>
          <w:b/>
          <w:szCs w:val="21"/>
        </w:rPr>
        <w:t>AfrIPI</w:t>
      </w:r>
      <w:proofErr w:type="spellEnd"/>
      <w:r w:rsidRPr="00B369EB">
        <w:rPr>
          <w:rFonts w:cs="Calibri"/>
          <w:b/>
          <w:szCs w:val="21"/>
        </w:rPr>
        <w:t xml:space="preserve"> </w:t>
      </w:r>
      <w:r w:rsidRPr="00B369EB">
        <w:rPr>
          <w:rFonts w:cs="Calibri"/>
          <w:szCs w:val="21"/>
        </w:rPr>
        <w:t xml:space="preserve">y continuaron las actividades relativas a la recopilación de referencias de centros acreditados y centros de examen en los países de la OAPI (Camerún, Senegal, </w:t>
      </w:r>
      <w:r w:rsidR="00D84B7D" w:rsidRPr="00B369EB">
        <w:rPr>
          <w:rFonts w:cs="Calibri"/>
          <w:szCs w:val="21"/>
        </w:rPr>
        <w:t>Costa de Marfil</w:t>
      </w:r>
      <w:r w:rsidRPr="00B369EB">
        <w:rPr>
          <w:rFonts w:cs="Calibri"/>
          <w:szCs w:val="21"/>
        </w:rPr>
        <w:t xml:space="preserve">, Burkina Faso). Las actividades concluyeron el 30 de junio de 2024. </w:t>
      </w:r>
    </w:p>
    <w:p w14:paraId="7112CE28" w14:textId="77777777" w:rsidR="00D84B7D" w:rsidRPr="00B369EB" w:rsidRDefault="00D84B7D" w:rsidP="006A1579">
      <w:pPr>
        <w:rPr>
          <w:rFonts w:cs="Calibri"/>
          <w:szCs w:val="21"/>
        </w:rPr>
      </w:pPr>
    </w:p>
    <w:p w14:paraId="797BBC3B" w14:textId="77777777" w:rsidR="007F2C3D" w:rsidRPr="00B369EB" w:rsidRDefault="001C673E">
      <w:pPr>
        <w:rPr>
          <w:rFonts w:cs="Calibri"/>
          <w:szCs w:val="21"/>
        </w:rPr>
      </w:pPr>
      <w:r w:rsidRPr="00B369EB">
        <w:rPr>
          <w:rFonts w:cs="Calibri"/>
          <w:szCs w:val="21"/>
        </w:rPr>
        <w:t>Se espera que se aprueben otras iniciativas TAIEX en 2024 y se llevarán a cabo durante el año, los países implicados son: Bosnia y Herzegovina y, potencialmente, Turquía. Colombia, actividades de seguimiento de las misiones de 2022 a Chile, y Egipto, Albania y Serbia también manifestaron su interés por las actividades de apoyo y desarrollo de capacidades.</w:t>
      </w:r>
    </w:p>
    <w:p w14:paraId="1AF10C43" w14:textId="77777777" w:rsidR="00D84B7D" w:rsidRPr="00B369EB" w:rsidRDefault="00D84B7D" w:rsidP="006A1579">
      <w:pPr>
        <w:rPr>
          <w:rFonts w:cs="Calibri"/>
          <w:szCs w:val="21"/>
        </w:rPr>
      </w:pPr>
    </w:p>
    <w:p w14:paraId="2C701E50" w14:textId="77777777" w:rsidR="007F2C3D" w:rsidRPr="00B369EB" w:rsidRDefault="001C673E">
      <w:pPr>
        <w:rPr>
          <w:rFonts w:cs="Calibri"/>
          <w:szCs w:val="21"/>
        </w:rPr>
      </w:pPr>
      <w:r w:rsidRPr="00B369EB">
        <w:rPr>
          <w:rFonts w:cs="Calibri"/>
          <w:szCs w:val="21"/>
        </w:rPr>
        <w:t>Se prevén otras actividades para el resto de 2024.</w:t>
      </w:r>
    </w:p>
    <w:p w14:paraId="6447B0D6" w14:textId="77777777" w:rsidR="00D84B7D" w:rsidRPr="00B369EB" w:rsidRDefault="00D84B7D" w:rsidP="006A1579">
      <w:pPr>
        <w:rPr>
          <w:rFonts w:cs="Calibri"/>
          <w:szCs w:val="21"/>
        </w:rPr>
      </w:pPr>
    </w:p>
    <w:p w14:paraId="2D57F06A" w14:textId="77777777" w:rsidR="007F2C3D" w:rsidRPr="00B369EB" w:rsidRDefault="001C673E">
      <w:pPr>
        <w:rPr>
          <w:rFonts w:cs="Calibri"/>
          <w:b/>
          <w:bCs/>
          <w:u w:val="single"/>
        </w:rPr>
      </w:pPr>
      <w:r w:rsidRPr="00B369EB">
        <w:rPr>
          <w:rFonts w:cs="Calibri"/>
          <w:b/>
          <w:bCs/>
          <w:u w:val="single"/>
        </w:rPr>
        <w:t>EAPVP</w:t>
      </w:r>
    </w:p>
    <w:p w14:paraId="21AED0DA" w14:textId="77777777" w:rsidR="00D84B7D" w:rsidRPr="00B369EB" w:rsidRDefault="00D84B7D" w:rsidP="006A1579">
      <w:pPr>
        <w:rPr>
          <w:rFonts w:cs="Calibri"/>
        </w:rPr>
      </w:pPr>
    </w:p>
    <w:p w14:paraId="4A8EF377" w14:textId="77777777" w:rsidR="007F2C3D" w:rsidRPr="00B369EB" w:rsidRDefault="001C673E">
      <w:pPr>
        <w:rPr>
          <w:rFonts w:cs="Calibri"/>
        </w:rPr>
      </w:pPr>
      <w:r w:rsidRPr="00B369EB">
        <w:rPr>
          <w:rFonts w:cs="Calibri"/>
        </w:rPr>
        <w:t xml:space="preserve">La participación en el Foro EAPVP está prevista para agosto de 2024. La reunión anual del Foro de la EAPVP tiene por objeto informar sobre las actividades del año anterior y planificar futuras iniciativas de cooperación, incluida la actualización del proyecto piloto de la EAPVP sobre el establecimiento de una plataforma de e-PVP.  </w:t>
      </w:r>
    </w:p>
    <w:p w14:paraId="691F05E1" w14:textId="77777777" w:rsidR="006A1579" w:rsidRPr="00B369EB" w:rsidRDefault="006A1579" w:rsidP="006A1579">
      <w:pPr>
        <w:rPr>
          <w:rFonts w:cs="Calibri"/>
          <w:szCs w:val="21"/>
        </w:rPr>
      </w:pPr>
    </w:p>
    <w:p w14:paraId="663166EC" w14:textId="77777777" w:rsidR="006A1579" w:rsidRPr="00B369EB" w:rsidRDefault="006A1579" w:rsidP="006A1579">
      <w:pPr>
        <w:rPr>
          <w:rFonts w:cs="Calibri"/>
        </w:rPr>
      </w:pPr>
    </w:p>
    <w:p w14:paraId="104651F1" w14:textId="77777777" w:rsidR="007F2C3D" w:rsidRPr="00B369EB" w:rsidRDefault="001C673E">
      <w:pPr>
        <w:rPr>
          <w:rFonts w:cs="Calibri"/>
          <w:b/>
          <w:bCs/>
          <w:u w:val="single"/>
        </w:rPr>
      </w:pPr>
      <w:r w:rsidRPr="00B369EB">
        <w:rPr>
          <w:rFonts w:cs="Calibri"/>
          <w:b/>
          <w:bCs/>
          <w:u w:val="single"/>
        </w:rPr>
        <w:t>Reuniones de la UPOV</w:t>
      </w:r>
    </w:p>
    <w:p w14:paraId="74C234BC" w14:textId="77777777" w:rsidR="00D84B7D" w:rsidRPr="00B369EB" w:rsidRDefault="00D84B7D" w:rsidP="006A1579">
      <w:pPr>
        <w:rPr>
          <w:rFonts w:cs="Calibri"/>
          <w:szCs w:val="21"/>
        </w:rPr>
      </w:pPr>
    </w:p>
    <w:p w14:paraId="596DF440" w14:textId="77777777" w:rsidR="007F2C3D" w:rsidRPr="00B369EB" w:rsidRDefault="001C673E">
      <w:pPr>
        <w:rPr>
          <w:rFonts w:cs="Calibri"/>
          <w:szCs w:val="21"/>
        </w:rPr>
      </w:pPr>
      <w:r w:rsidRPr="00B369EB">
        <w:rPr>
          <w:rFonts w:cs="Calibri"/>
          <w:szCs w:val="21"/>
        </w:rPr>
        <w:t>La UE (incluida la OCVV) asistió a las reuniones del Consejo de la UPOV, del Comité Consultivo, del Comité Administrativo y Jurídico, del Comité Técnico y de todos los Grupos de Trabajo Técnico. Además, la UE asistió y contribuyó a los grupos de trabajo sobre el formulario electrónico de solicitud, sobre asistencia en materia de DHE (WG-DUS), sobre material cosechado y uso no autorizado de material de reproducción o multiplicación (WG-HRV), sobre orientaciones relativas a los pequeños agricultores en relación con el uso privado y con fines no comerciales (WG-SHF), así como sobre Variedades Esencialmente Derivadas (WG-EDV).</w:t>
      </w:r>
    </w:p>
    <w:p w14:paraId="6A402113" w14:textId="77777777" w:rsidR="006A1579" w:rsidRPr="00B369EB" w:rsidRDefault="006A1579" w:rsidP="006A1579">
      <w:pPr>
        <w:rPr>
          <w:rFonts w:cs="Calibri"/>
        </w:rPr>
      </w:pPr>
    </w:p>
    <w:p w14:paraId="3941D056" w14:textId="77777777" w:rsidR="007F2C3D" w:rsidRPr="00B369EB" w:rsidRDefault="001C673E">
      <w:pPr>
        <w:keepNext/>
        <w:rPr>
          <w:rFonts w:cs="Calibri"/>
          <w:b/>
          <w:bCs/>
          <w:u w:val="single"/>
        </w:rPr>
      </w:pPr>
      <w:r w:rsidRPr="00B369EB">
        <w:rPr>
          <w:rFonts w:cs="Calibri"/>
          <w:b/>
          <w:bCs/>
          <w:u w:val="single"/>
        </w:rPr>
        <w:t xml:space="preserve">OCVV - </w:t>
      </w:r>
      <w:proofErr w:type="spellStart"/>
      <w:r w:rsidRPr="00B369EB">
        <w:rPr>
          <w:rFonts w:cs="Calibri"/>
          <w:b/>
          <w:bCs/>
          <w:u w:val="single"/>
        </w:rPr>
        <w:t>European</w:t>
      </w:r>
      <w:proofErr w:type="spellEnd"/>
      <w:r w:rsidRPr="00B369EB">
        <w:rPr>
          <w:rFonts w:cs="Calibri"/>
          <w:b/>
          <w:bCs/>
          <w:u w:val="single"/>
        </w:rPr>
        <w:t xml:space="preserve"> </w:t>
      </w:r>
      <w:proofErr w:type="spellStart"/>
      <w:r w:rsidRPr="00B369EB">
        <w:rPr>
          <w:rFonts w:cs="Calibri"/>
          <w:b/>
          <w:bCs/>
          <w:u w:val="single"/>
        </w:rPr>
        <w:t>Patent</w:t>
      </w:r>
      <w:proofErr w:type="spellEnd"/>
      <w:r w:rsidRPr="00B369EB">
        <w:rPr>
          <w:rFonts w:cs="Calibri"/>
          <w:b/>
          <w:bCs/>
          <w:u w:val="single"/>
        </w:rPr>
        <w:t xml:space="preserve"> Office (EPO) (Oficina Europea de Patentes) </w:t>
      </w:r>
    </w:p>
    <w:p w14:paraId="2CE24571" w14:textId="77777777" w:rsidR="006A1579" w:rsidRPr="00B369EB" w:rsidRDefault="006A1579" w:rsidP="00D84B7D">
      <w:pPr>
        <w:keepNext/>
        <w:rPr>
          <w:rFonts w:cs="Calibri"/>
          <w:u w:val="single"/>
        </w:rPr>
      </w:pPr>
    </w:p>
    <w:p w14:paraId="7F8EBD7D" w14:textId="77777777" w:rsidR="007F2C3D" w:rsidRPr="00B369EB" w:rsidRDefault="001C673E">
      <w:pPr>
        <w:rPr>
          <w:rFonts w:eastAsia="Calibri" w:cs="Calibri"/>
        </w:rPr>
      </w:pPr>
      <w:r w:rsidRPr="00B369EB">
        <w:rPr>
          <w:rFonts w:eastAsia="Calibri" w:cs="Calibri"/>
        </w:rPr>
        <w:t xml:space="preserve">La OCVV y la OEP firmaron en 2016 un primer Acuerdo Administrativo, en vigor hasta 2022, y un segundo Acuerdo Administrativo firmado en marzo de 2022, que estará en vigor hasta 2027. El acuerdo administrativo actual incluye como anexo un primer plan de aplicación que contiene una serie de actividades de cooperación, como talleres y seminarios conjuntos sobre prácticas de patentamiento de plantas y protección de las obtenciones vegetales para el personal pertinente de la OEP y la OCVV, y la organización de reuniones periódicas entre examinadores de ambas partes para informar sobre novedades de interés mutuo. </w:t>
      </w:r>
    </w:p>
    <w:p w14:paraId="22086284" w14:textId="77777777" w:rsidR="000F49AE" w:rsidRPr="00B369EB" w:rsidRDefault="000F49AE" w:rsidP="006A1579">
      <w:pPr>
        <w:rPr>
          <w:rFonts w:eastAsia="Calibri" w:cs="Calibri"/>
        </w:rPr>
      </w:pPr>
    </w:p>
    <w:p w14:paraId="36B83067" w14:textId="77777777" w:rsidR="007F2C3D" w:rsidRPr="00B369EB" w:rsidRDefault="001C673E">
      <w:pPr>
        <w:rPr>
          <w:rFonts w:eastAsia="Calibri" w:cs="Calibri"/>
        </w:rPr>
      </w:pPr>
      <w:r w:rsidRPr="00B369EB">
        <w:rPr>
          <w:rFonts w:eastAsia="Calibri" w:cs="Calibri"/>
        </w:rPr>
        <w:t xml:space="preserve">Bajo este paraguas, en 2023 se organizó un seminario conjunto centrado en el uso por parte de la OEP de la información de la OCVV contenida en las descripciones de variedades vegetales y de la información no confidencial de los cuestionarios técnicos. También se organizó en 2023 una reunión de intercambio técnico entre la OEP, la OCVV y </w:t>
      </w:r>
      <w:proofErr w:type="spellStart"/>
      <w:r w:rsidRPr="00B369EB">
        <w:rPr>
          <w:rFonts w:eastAsia="Calibri" w:cs="Calibri"/>
        </w:rPr>
        <w:t>Euroseeds</w:t>
      </w:r>
      <w:proofErr w:type="spellEnd"/>
      <w:r w:rsidRPr="00B369EB">
        <w:rPr>
          <w:rFonts w:eastAsia="Calibri" w:cs="Calibri"/>
        </w:rPr>
        <w:t xml:space="preserve"> como foro abierto de debate entre las tres organizaciones. En particular, la OEP presentó los principios aplicados para evaluar la patentabilidad de tipos específicos de reivindicaciones, incluidas las reivindicaciones de genes y las reivindicaciones de marcadores seleccionados y aleatorios.  </w:t>
      </w:r>
    </w:p>
    <w:p w14:paraId="5325C013" w14:textId="77777777" w:rsidR="000F49AE" w:rsidRPr="00B369EB" w:rsidRDefault="000F49AE" w:rsidP="006A1579">
      <w:pPr>
        <w:rPr>
          <w:rFonts w:eastAsia="Calibri" w:cs="Calibri"/>
        </w:rPr>
      </w:pPr>
    </w:p>
    <w:p w14:paraId="6A467EE1" w14:textId="77777777" w:rsidR="007F2C3D" w:rsidRPr="00B369EB" w:rsidRDefault="001C673E">
      <w:pPr>
        <w:rPr>
          <w:rFonts w:eastAsia="Calibri" w:cs="Calibri"/>
        </w:rPr>
      </w:pPr>
      <w:r w:rsidRPr="00B369EB">
        <w:rPr>
          <w:rFonts w:eastAsia="Calibri" w:cs="Calibri"/>
        </w:rPr>
        <w:t xml:space="preserve">En 2024 el programa de trabajo incluye dos seminarios conjuntos para intercambiar información. El primero tuvo lugar en abril de 2024. El 20 de noviembre de 2024 se celebrará un nuevo seminario conjunto centrado en el uso del buscador de variedades, así como en las últimas actualizaciones de ambas organizaciones.  </w:t>
      </w:r>
    </w:p>
    <w:p w14:paraId="2D7E5FBF" w14:textId="77777777" w:rsidR="000F49AE" w:rsidRPr="00B369EB" w:rsidRDefault="000F49AE" w:rsidP="006A1579">
      <w:pPr>
        <w:rPr>
          <w:rFonts w:eastAsia="Calibri" w:cs="Calibri"/>
        </w:rPr>
      </w:pPr>
    </w:p>
    <w:p w14:paraId="642BEC57" w14:textId="77777777" w:rsidR="007F2C3D" w:rsidRPr="00B369EB" w:rsidRDefault="001C673E">
      <w:pPr>
        <w:rPr>
          <w:rFonts w:eastAsia="Calibri" w:cs="Calibri"/>
        </w:rPr>
      </w:pPr>
      <w:r w:rsidRPr="00B369EB">
        <w:rPr>
          <w:rFonts w:eastAsia="Calibri" w:cs="Calibri"/>
        </w:rPr>
        <w:t xml:space="preserve">Durante el seminario celebrado en marzo de 2024, la OEP informó de que actualmente la cooperación con la OCVV está incluida en el plan estratégico de la OEP. La OEP presentó el marco jurídico para el examen de la protección mediante patente de plantas o material vegetal y métodos para obtener dichas plantas. Se refirieron a la Regla 28(2) del Convenio sobre la Patente Europea, del 1 de julio de 2017, que dice: "No se concederán patentes europeas respecto de plantas obtenidas exclusivamente mediante un procedimiento biológico esencial" y posteriormente a la Resolución de la Sala de Recurso G 3/19 publicada en 2020 que </w:t>
      </w:r>
      <w:r w:rsidRPr="00B369EB">
        <w:rPr>
          <w:rFonts w:eastAsia="Calibri" w:cs="Calibri"/>
        </w:rPr>
        <w:lastRenderedPageBreak/>
        <w:t>dice: "Las reivindicaciones de producto para plantas o material vegetal no están permitidas si el producto reivindicado se obtiene exclusivamente mediante un proceso esencialmente biológico. Esto no se aplica a las patentes europeas concedidas y a las solicitudes de patente europea presentadas antes del 1 de julio de 2017."</w:t>
      </w:r>
    </w:p>
    <w:p w14:paraId="0416AA2A" w14:textId="77777777" w:rsidR="000F49AE" w:rsidRPr="00B369EB" w:rsidRDefault="000F49AE" w:rsidP="006A1579">
      <w:pPr>
        <w:rPr>
          <w:rFonts w:eastAsia="Calibri" w:cs="Calibri"/>
        </w:rPr>
      </w:pPr>
    </w:p>
    <w:p w14:paraId="748AB797" w14:textId="77777777" w:rsidR="007F2C3D" w:rsidRPr="00B369EB" w:rsidRDefault="001C673E">
      <w:pPr>
        <w:rPr>
          <w:rFonts w:eastAsia="Calibri" w:cs="Calibri"/>
        </w:rPr>
      </w:pPr>
      <w:r w:rsidRPr="00B369EB">
        <w:rPr>
          <w:rFonts w:eastAsia="Calibri" w:cs="Calibri"/>
        </w:rPr>
        <w:t xml:space="preserve">Para la OEP, hay tres tipos de material vegetal vivo sujeto a patentabilidad: </w:t>
      </w:r>
    </w:p>
    <w:p w14:paraId="08B20DC0" w14:textId="77777777" w:rsidR="000F49AE" w:rsidRPr="00B369EB" w:rsidRDefault="000F49AE" w:rsidP="006A1579">
      <w:pPr>
        <w:rPr>
          <w:rFonts w:eastAsia="Calibri" w:cs="Calibri"/>
          <w:u w:val="single"/>
        </w:rPr>
      </w:pPr>
    </w:p>
    <w:p w14:paraId="31C635D3" w14:textId="77777777" w:rsidR="007F2C3D" w:rsidRPr="00B369EB" w:rsidRDefault="001C673E">
      <w:pPr>
        <w:rPr>
          <w:rFonts w:eastAsia="Calibri" w:cs="Calibri"/>
        </w:rPr>
      </w:pPr>
      <w:r w:rsidRPr="00B369EB">
        <w:rPr>
          <w:rFonts w:eastAsia="Calibri" w:cs="Calibri"/>
          <w:u w:val="single"/>
        </w:rPr>
        <w:t>Plantas convencionales</w:t>
      </w:r>
      <w:r w:rsidRPr="00B369EB">
        <w:rPr>
          <w:rFonts w:eastAsia="Calibri" w:cs="Calibri"/>
        </w:rPr>
        <w:t>: Obtenidas por procedimientos esencialmente biológicos. Patentables antes del 1 de julio de 2017.</w:t>
      </w:r>
    </w:p>
    <w:p w14:paraId="1C0BA689" w14:textId="77777777" w:rsidR="000F49AE" w:rsidRPr="00B369EB" w:rsidRDefault="000F49AE" w:rsidP="006A1579">
      <w:pPr>
        <w:rPr>
          <w:rFonts w:eastAsia="Calibri" w:cs="Calibri"/>
        </w:rPr>
      </w:pPr>
    </w:p>
    <w:p w14:paraId="0600A92B" w14:textId="0480665C" w:rsidR="007F2C3D" w:rsidRPr="00B369EB" w:rsidRDefault="001C673E">
      <w:pPr>
        <w:rPr>
          <w:rFonts w:eastAsia="Calibri" w:cs="Calibri"/>
        </w:rPr>
      </w:pPr>
      <w:r w:rsidRPr="00B369EB">
        <w:rPr>
          <w:rFonts w:eastAsia="Calibri" w:cs="Calibri"/>
          <w:u w:val="single"/>
        </w:rPr>
        <w:t>Mutantes técnicos</w:t>
      </w:r>
      <w:r w:rsidRPr="00B369EB">
        <w:rPr>
          <w:rFonts w:eastAsia="Calibri" w:cs="Calibri"/>
        </w:rPr>
        <w:t>:</w:t>
      </w:r>
      <w:r w:rsidR="00A66F67" w:rsidRPr="00A66F67">
        <w:rPr>
          <w:rFonts w:eastAsia="Calibri" w:cs="Calibri"/>
        </w:rPr>
        <w:t xml:space="preserve"> </w:t>
      </w:r>
      <w:r w:rsidRPr="00B369EB">
        <w:rPr>
          <w:rFonts w:eastAsia="Calibri" w:cs="Calibri"/>
        </w:rPr>
        <w:t xml:space="preserve">Obtenidos por medios técnicos, pero concebiblemente también por procedimientos esencialmente biológicos. Patentables antes del 1 de julio de 2017. Después del 1 de julio de 2017, patentables únicamente con una cláusula de exención de responsabilidad al final de la reivindicación con el siguiente </w:t>
      </w:r>
      <w:proofErr w:type="spellStart"/>
      <w:r w:rsidRPr="00B369EB">
        <w:rPr>
          <w:rFonts w:eastAsia="Calibri" w:cs="Calibri"/>
        </w:rPr>
        <w:t>texto:"con</w:t>
      </w:r>
      <w:proofErr w:type="spellEnd"/>
      <w:r w:rsidRPr="00B369EB">
        <w:rPr>
          <w:rFonts w:eastAsia="Calibri" w:cs="Calibri"/>
        </w:rPr>
        <w:t xml:space="preserve"> la condición de que la planta no se obtenga exclusivamente mediante un procedimiento esencialmente </w:t>
      </w:r>
      <w:proofErr w:type="spellStart"/>
      <w:r w:rsidRPr="00B369EB">
        <w:rPr>
          <w:rFonts w:eastAsia="Calibri" w:cs="Calibri"/>
        </w:rPr>
        <w:t>biológico".Las</w:t>
      </w:r>
      <w:proofErr w:type="spellEnd"/>
      <w:r w:rsidRPr="00B369EB">
        <w:rPr>
          <w:rFonts w:eastAsia="Calibri" w:cs="Calibri"/>
        </w:rPr>
        <w:t xml:space="preserve"> plantas obtenidas por mutación dirigida, por ejemplo, incluidas las plantas NGT tipo 1, se incluirían en este grupo.</w:t>
      </w:r>
    </w:p>
    <w:p w14:paraId="62669077" w14:textId="77777777" w:rsidR="000F49AE" w:rsidRPr="00B369EB" w:rsidRDefault="000F49AE" w:rsidP="006A1579">
      <w:pPr>
        <w:rPr>
          <w:rFonts w:eastAsia="Calibri" w:cs="Calibri"/>
          <w:u w:val="single"/>
        </w:rPr>
      </w:pPr>
    </w:p>
    <w:p w14:paraId="13C107C4" w14:textId="77777777" w:rsidR="007F2C3D" w:rsidRPr="00B369EB" w:rsidRDefault="001C673E">
      <w:pPr>
        <w:rPr>
          <w:rFonts w:eastAsia="Calibri" w:cs="Calibri"/>
        </w:rPr>
      </w:pPr>
      <w:r w:rsidRPr="00B369EB">
        <w:rPr>
          <w:rFonts w:eastAsia="Calibri" w:cs="Calibri"/>
          <w:u w:val="single"/>
        </w:rPr>
        <w:t>Plantas transgénicas</w:t>
      </w:r>
      <w:r w:rsidRPr="00B369EB">
        <w:rPr>
          <w:rFonts w:eastAsia="Calibri" w:cs="Calibri"/>
        </w:rPr>
        <w:t>: Obtenidas por medios técnicos no concebibles por procesos esencialmente biológicos. Estas plantas pueden incluir NGT tipo 2 y otro tipo de plantas transgénicas que no utilicen tecnologías NGT. Estas plantas son patentables.</w:t>
      </w:r>
    </w:p>
    <w:p w14:paraId="6F539835" w14:textId="77777777" w:rsidR="000F49AE" w:rsidRPr="00B369EB" w:rsidRDefault="000F49AE" w:rsidP="006A1579">
      <w:pPr>
        <w:rPr>
          <w:rFonts w:eastAsia="Calibri" w:cs="Calibri"/>
        </w:rPr>
      </w:pPr>
    </w:p>
    <w:p w14:paraId="75031752" w14:textId="77777777" w:rsidR="007F2C3D" w:rsidRPr="00B369EB" w:rsidRDefault="001C673E">
      <w:pPr>
        <w:rPr>
          <w:rFonts w:eastAsia="Calibri" w:cs="Calibri"/>
        </w:rPr>
      </w:pPr>
      <w:r w:rsidRPr="00B369EB">
        <w:rPr>
          <w:rFonts w:eastAsia="Calibri" w:cs="Calibri"/>
        </w:rPr>
        <w:t xml:space="preserve">El principal problema que plantean las patentes sobre mutantes técnicos es que pueden ser difíciles de hacer valer, debido a la dificultad de encontrar métodos analíticos para distinguir entre plantas manipuladas y plantas obtenidas mediante cría convencional, por lo que la carga de la prueba será clave. La jurisprudencia será extremadamente útil para averiguar si tales reivindicaciones son realmente exigibles, aunque este tipo de patentes son muy nuevas y todavía no se dispone de </w:t>
      </w:r>
      <w:proofErr w:type="spellStart"/>
      <w:r w:rsidRPr="00B369EB">
        <w:rPr>
          <w:rFonts w:eastAsia="Calibri" w:cs="Calibri"/>
        </w:rPr>
        <w:t>jurisprudencia.La</w:t>
      </w:r>
      <w:proofErr w:type="spellEnd"/>
      <w:r w:rsidRPr="00B369EB">
        <w:rPr>
          <w:rFonts w:eastAsia="Calibri" w:cs="Calibri"/>
        </w:rPr>
        <w:t xml:space="preserve"> OEP también señaló que hasta entonces sólo se había concedido una patente sobre una planta mutante técnica con la cláusula de exención de responsabilidad.</w:t>
      </w:r>
    </w:p>
    <w:p w14:paraId="12A29E8D" w14:textId="77777777" w:rsidR="000F49AE" w:rsidRPr="00B369EB" w:rsidRDefault="000F49AE" w:rsidP="006A1579">
      <w:pPr>
        <w:rPr>
          <w:rFonts w:eastAsia="Calibri" w:cs="Calibri"/>
        </w:rPr>
      </w:pPr>
    </w:p>
    <w:p w14:paraId="03A94125" w14:textId="4CE38727" w:rsidR="007F2C3D" w:rsidRPr="00B369EB" w:rsidRDefault="001C673E">
      <w:pPr>
        <w:rPr>
          <w:rFonts w:eastAsia="Calibri" w:cs="Calibri"/>
        </w:rPr>
      </w:pPr>
      <w:r w:rsidRPr="00B369EB">
        <w:rPr>
          <w:rFonts w:eastAsia="Calibri" w:cs="Calibri"/>
        </w:rPr>
        <w:t>En el caso de los métodos para obtener plantas, se aplicaría el art. 53(b) del Convenio sobre la Patente Europea se aplicaría, haciendo que el proceso esencialmente biológico para la producción de plantas no fuera patentable.</w:t>
      </w:r>
      <w:r w:rsidR="00A66F67">
        <w:rPr>
          <w:rFonts w:eastAsia="Calibri" w:cs="Calibri"/>
        </w:rPr>
        <w:t xml:space="preserve"> </w:t>
      </w:r>
      <w:r w:rsidRPr="00B369EB">
        <w:rPr>
          <w:rFonts w:eastAsia="Calibri" w:cs="Calibri"/>
        </w:rPr>
        <w:t xml:space="preserve">La OEP también aclaró </w:t>
      </w:r>
      <w:proofErr w:type="gramStart"/>
      <w:r w:rsidRPr="00B369EB">
        <w:rPr>
          <w:rFonts w:eastAsia="Calibri" w:cs="Calibri"/>
        </w:rPr>
        <w:t>que</w:t>
      </w:r>
      <w:proofErr w:type="gramEnd"/>
      <w:r w:rsidRPr="00B369EB">
        <w:rPr>
          <w:rFonts w:eastAsia="Calibri" w:cs="Calibri"/>
        </w:rPr>
        <w:t xml:space="preserve"> si la mejora convencional formaba parte del método para obtener la planta, aunque hubiera otros pasos técnicos implicados, el método no sería patentable. Aunque las directrices para evaluar la patentabilidad de esos métodos estaban claras para los examinadores de patentes, la cuestión seguía abierta en el caso de la mutagénesis aleatoria, para la que se recurrieron algunas patentes alegando que podría haber un paso de mejora "oculto" implicado. Podría argumentarse, por ejemplo, que el cruce implícito y la selección de mutantes interesantes serían necesarios después de que la mutagénesis hubiera tenido lugar. La OEP indicó que aún no se ha tomado ninguna decisión sobre estos casos.</w:t>
      </w:r>
    </w:p>
    <w:p w14:paraId="0F34EB95" w14:textId="77777777" w:rsidR="000F49AE" w:rsidRPr="00B369EB" w:rsidRDefault="000F49AE" w:rsidP="006A1579">
      <w:pPr>
        <w:rPr>
          <w:rFonts w:eastAsia="Calibri" w:cs="Calibri"/>
        </w:rPr>
      </w:pPr>
    </w:p>
    <w:p w14:paraId="7C3E5D03" w14:textId="77777777" w:rsidR="007F2C3D" w:rsidRPr="00B369EB" w:rsidRDefault="001C673E">
      <w:pPr>
        <w:rPr>
          <w:rFonts w:eastAsia="Calibri" w:cs="Calibri"/>
        </w:rPr>
      </w:pPr>
      <w:r w:rsidRPr="00B369EB">
        <w:rPr>
          <w:rFonts w:eastAsia="Calibri" w:cs="Calibri"/>
        </w:rPr>
        <w:t xml:space="preserve">La OEP también presentó las estadísticas más recientes sobre el número de patentes, indicando que se han concedido 1172 patentes sobre plantas en 40 años sobre un universo total de unas 200.000 patentes. Cabe destacar que, aunque la OEP está adoptando una política muy clara de no conceder patentes sobre plantas convencionales desde julio de 2017, se siguen recibiendo solicitudes para patentar este tipo de plantas a un ritmo de más de 100 al año. También se indicó </w:t>
      </w:r>
      <w:proofErr w:type="gramStart"/>
      <w:r w:rsidRPr="00B369EB">
        <w:rPr>
          <w:rFonts w:eastAsia="Calibri" w:cs="Calibri"/>
        </w:rPr>
        <w:t>que</w:t>
      </w:r>
      <w:proofErr w:type="gramEnd"/>
      <w:r w:rsidRPr="00B369EB">
        <w:rPr>
          <w:rFonts w:eastAsia="Calibri" w:cs="Calibri"/>
        </w:rPr>
        <w:t xml:space="preserve"> para aquellas patentes sobre plantas convencionales presentadas antes de julio de 2017, el 23% de ellas habían sido concedidas, el 35% retiradas o denegadas y el 42% seguían pendientes (unas 600 solicitudes de patentes). Cabe señalar que dichas patentes también necesitarían validación a nivel nacional antes de poder entrar en vigor.</w:t>
      </w:r>
    </w:p>
    <w:p w14:paraId="7F832A88" w14:textId="77777777" w:rsidR="000F49AE" w:rsidRPr="00B369EB" w:rsidRDefault="000F49AE" w:rsidP="006A1579">
      <w:pPr>
        <w:rPr>
          <w:rFonts w:eastAsia="Calibri" w:cs="Calibri"/>
        </w:rPr>
      </w:pPr>
    </w:p>
    <w:p w14:paraId="660399B7" w14:textId="77777777" w:rsidR="007F2C3D" w:rsidRPr="00B369EB" w:rsidRDefault="001C673E">
      <w:pPr>
        <w:rPr>
          <w:rFonts w:eastAsia="Calibri" w:cs="Calibri"/>
        </w:rPr>
      </w:pPr>
      <w:r w:rsidRPr="00B369EB">
        <w:rPr>
          <w:rFonts w:eastAsia="Calibri" w:cs="Calibri"/>
        </w:rPr>
        <w:t xml:space="preserve">La OEP también hizo un análisis del tipo de titulares de patentes de plantas transgénicas, ya fueran empresas (66%), universidades (11,5%), centros de investigación (8%) u otros. De estas empresas, el 52% tenía 250 empleados o menos (PYME). Sin embargo, el 48% restante posee 2/3 de todas las patentes de plantas transgénicas. En cuanto al origen, el 44% de las empresas tenían su sede en Estados Unidos, el 35% en Europa, el 12% en Japón, el 1% en Corea del Sur y el 1% en China.  </w:t>
      </w:r>
    </w:p>
    <w:p w14:paraId="332CFA7E" w14:textId="77777777" w:rsidR="000F49AE" w:rsidRPr="00B369EB" w:rsidRDefault="000F49AE" w:rsidP="006A1579">
      <w:pPr>
        <w:rPr>
          <w:rFonts w:eastAsia="Calibri" w:cs="Calibri"/>
        </w:rPr>
      </w:pPr>
    </w:p>
    <w:p w14:paraId="5F9274A9" w14:textId="77777777" w:rsidR="007F2C3D" w:rsidRPr="00B369EB" w:rsidRDefault="001C673E">
      <w:pPr>
        <w:rPr>
          <w:rFonts w:eastAsia="Calibri" w:cs="Calibri"/>
        </w:rPr>
      </w:pPr>
      <w:r w:rsidRPr="00B369EB">
        <w:rPr>
          <w:rFonts w:eastAsia="Calibri" w:cs="Calibri"/>
        </w:rPr>
        <w:t>Una búsqueda básica basada en palabras clave y códigos de clasificación en PATENTSCOPE realizada por la OCVV indicó que el número de solicitudes chinas de patentes basadas en NGT había aumentado exponencialmente, en contraste con el escasísimo número de patentes que posee China sobre plantas transgénicas, y que los solicitantes estadounidenses eran mucho más frecuentes que los europeos. Esta tendencia fue confirmada por la OEP, que no presentó estadísticas ya que sólo se habían utilizado códigos de clasificación para elaborar el análisis, y dicha búsqueda no podía discriminar las tecnologías utilizadas.</w:t>
      </w:r>
    </w:p>
    <w:p w14:paraId="10925CC7" w14:textId="77777777" w:rsidR="006A1579" w:rsidRPr="00B369EB" w:rsidRDefault="006A1579" w:rsidP="000F49AE"/>
    <w:p w14:paraId="59FDE88D" w14:textId="77777777" w:rsidR="007F2C3D" w:rsidRPr="00B369EB" w:rsidRDefault="001C673E" w:rsidP="00A66F67">
      <w:pPr>
        <w:keepNext/>
        <w:rPr>
          <w:rFonts w:cs="Calibri"/>
          <w:u w:val="single"/>
        </w:rPr>
      </w:pPr>
      <w:r w:rsidRPr="00B369EB">
        <w:rPr>
          <w:rFonts w:cs="Calibri"/>
          <w:u w:val="single"/>
        </w:rPr>
        <w:lastRenderedPageBreak/>
        <w:t>5.2 Formación</w:t>
      </w:r>
    </w:p>
    <w:p w14:paraId="7CCF5424" w14:textId="77777777" w:rsidR="000F49AE" w:rsidRPr="00B369EB" w:rsidRDefault="000F49AE" w:rsidP="00A66F67">
      <w:pPr>
        <w:keepNext/>
        <w:rPr>
          <w:rFonts w:cs="Calibri"/>
        </w:rPr>
      </w:pPr>
    </w:p>
    <w:p w14:paraId="38DBF100" w14:textId="77777777" w:rsidR="007F2C3D" w:rsidRPr="00B369EB" w:rsidRDefault="001C673E">
      <w:pPr>
        <w:rPr>
          <w:rFonts w:cs="Calibri"/>
        </w:rPr>
      </w:pPr>
      <w:r w:rsidRPr="00B369EB">
        <w:rPr>
          <w:rFonts w:cs="Calibri"/>
        </w:rPr>
        <w:t xml:space="preserve">Durante el año 2023-2024, la OCVV reanudó algunos actos presenciales, pero también siguió ofreciendo presentaciones en línea, seminarios web y clases magistrales para diferentes centros educativos y partes interesadas: </w:t>
      </w:r>
    </w:p>
    <w:p w14:paraId="68B953A8" w14:textId="77777777" w:rsidR="006A1579" w:rsidRPr="00B369EB" w:rsidRDefault="006A1579" w:rsidP="006A1579">
      <w:pPr>
        <w:rPr>
          <w:rFonts w:cs="Calibri"/>
        </w:rPr>
      </w:pPr>
    </w:p>
    <w:p w14:paraId="28CB38E3" w14:textId="77777777" w:rsidR="007F2C3D" w:rsidRPr="00B369EB" w:rsidRDefault="001C673E">
      <w:pPr>
        <w:pStyle w:val="ListParagraph"/>
        <w:numPr>
          <w:ilvl w:val="0"/>
          <w:numId w:val="34"/>
        </w:numPr>
        <w:rPr>
          <w:rFonts w:cs="Calibri"/>
          <w:color w:val="000000"/>
        </w:rPr>
      </w:pPr>
      <w:r w:rsidRPr="00B369EB">
        <w:rPr>
          <w:rFonts w:cs="Calibri"/>
          <w:color w:val="000000"/>
        </w:rPr>
        <w:t>Participación en el panel "</w:t>
      </w:r>
      <w:proofErr w:type="spellStart"/>
      <w:r w:rsidRPr="00B369EB">
        <w:rPr>
          <w:rFonts w:cs="Calibri"/>
          <w:color w:val="000000"/>
        </w:rPr>
        <w:t>Plant</w:t>
      </w:r>
      <w:proofErr w:type="spellEnd"/>
      <w:r w:rsidRPr="00B369EB">
        <w:rPr>
          <w:rFonts w:cs="Calibri"/>
          <w:color w:val="000000"/>
        </w:rPr>
        <w:t xml:space="preserve"> </w:t>
      </w:r>
      <w:proofErr w:type="spellStart"/>
      <w:r w:rsidRPr="00B369EB">
        <w:rPr>
          <w:rFonts w:cs="Calibri"/>
          <w:color w:val="000000"/>
        </w:rPr>
        <w:t>Variety</w:t>
      </w:r>
      <w:proofErr w:type="spellEnd"/>
      <w:r w:rsidRPr="00B369EB">
        <w:rPr>
          <w:rFonts w:cs="Calibri"/>
          <w:color w:val="000000"/>
        </w:rPr>
        <w:t xml:space="preserve"> </w:t>
      </w:r>
      <w:proofErr w:type="spellStart"/>
      <w:r w:rsidRPr="00B369EB">
        <w:rPr>
          <w:rFonts w:cs="Calibri"/>
          <w:color w:val="000000"/>
        </w:rPr>
        <w:t>Protection</w:t>
      </w:r>
      <w:proofErr w:type="spellEnd"/>
      <w:r w:rsidRPr="00B369EB">
        <w:rPr>
          <w:rFonts w:cs="Calibri"/>
          <w:color w:val="000000"/>
        </w:rPr>
        <w:t xml:space="preserve">: </w:t>
      </w:r>
      <w:proofErr w:type="spellStart"/>
      <w:r w:rsidRPr="00B369EB">
        <w:rPr>
          <w:rFonts w:cs="Calibri"/>
          <w:color w:val="000000"/>
        </w:rPr>
        <w:t>Into</w:t>
      </w:r>
      <w:proofErr w:type="spellEnd"/>
      <w:r w:rsidRPr="00B369EB">
        <w:rPr>
          <w:rFonts w:cs="Calibri"/>
          <w:color w:val="000000"/>
        </w:rPr>
        <w:t xml:space="preserve"> </w:t>
      </w:r>
      <w:proofErr w:type="spellStart"/>
      <w:r w:rsidRPr="00B369EB">
        <w:rPr>
          <w:rFonts w:cs="Calibri"/>
          <w:color w:val="000000"/>
        </w:rPr>
        <w:t>the</w:t>
      </w:r>
      <w:proofErr w:type="spellEnd"/>
      <w:r w:rsidRPr="00B369EB">
        <w:rPr>
          <w:rFonts w:cs="Calibri"/>
          <w:color w:val="000000"/>
        </w:rPr>
        <w:t xml:space="preserve"> </w:t>
      </w:r>
      <w:proofErr w:type="spellStart"/>
      <w:r w:rsidRPr="00B369EB">
        <w:rPr>
          <w:rFonts w:cs="Calibri"/>
          <w:color w:val="000000"/>
        </w:rPr>
        <w:t>Weeds</w:t>
      </w:r>
      <w:proofErr w:type="spellEnd"/>
      <w:r w:rsidRPr="00B369EB">
        <w:rPr>
          <w:rFonts w:cs="Calibri"/>
          <w:color w:val="000000"/>
        </w:rPr>
        <w:t>" en el Congreso Internacional de la AIPPI en Estambul el 23 de octubre de 2023.</w:t>
      </w:r>
    </w:p>
    <w:p w14:paraId="175222AD" w14:textId="77777777" w:rsidR="007F2C3D" w:rsidRPr="00B369EB" w:rsidRDefault="001C673E">
      <w:pPr>
        <w:pStyle w:val="ListParagraph"/>
        <w:numPr>
          <w:ilvl w:val="0"/>
          <w:numId w:val="34"/>
        </w:numPr>
        <w:rPr>
          <w:rFonts w:cs="Calibri"/>
          <w:color w:val="000000"/>
        </w:rPr>
      </w:pPr>
      <w:r w:rsidRPr="00B369EB">
        <w:rPr>
          <w:rFonts w:cs="Calibri"/>
          <w:color w:val="000000"/>
        </w:rPr>
        <w:t xml:space="preserve">Formación a Carabinieri </w:t>
      </w:r>
      <w:proofErr w:type="spellStart"/>
      <w:r w:rsidRPr="00B369EB">
        <w:rPr>
          <w:rFonts w:cs="Calibri"/>
          <w:color w:val="000000"/>
        </w:rPr>
        <w:t>Forestali</w:t>
      </w:r>
      <w:proofErr w:type="spellEnd"/>
      <w:r w:rsidRPr="00B369EB">
        <w:rPr>
          <w:rFonts w:cs="Calibri"/>
          <w:color w:val="000000"/>
        </w:rPr>
        <w:t xml:space="preserve"> en Almería (España) el 15 de mayo de 2024.</w:t>
      </w:r>
    </w:p>
    <w:p w14:paraId="450901E4" w14:textId="77777777" w:rsidR="007F2C3D" w:rsidRPr="00B369EB" w:rsidRDefault="001C673E">
      <w:pPr>
        <w:pStyle w:val="ListParagraph"/>
        <w:numPr>
          <w:ilvl w:val="0"/>
          <w:numId w:val="34"/>
        </w:numPr>
        <w:rPr>
          <w:rFonts w:cs="Calibri"/>
          <w:color w:val="000000"/>
        </w:rPr>
      </w:pPr>
      <w:r w:rsidRPr="00B369EB">
        <w:rPr>
          <w:rFonts w:cs="Calibri"/>
          <w:color w:val="000000"/>
        </w:rPr>
        <w:t xml:space="preserve">Presentación del sistema de protección comunitaria de las obtenciones vegetales en el Magister </w:t>
      </w:r>
      <w:proofErr w:type="spellStart"/>
      <w:r w:rsidRPr="00B369EB">
        <w:rPr>
          <w:rFonts w:cs="Calibri"/>
          <w:color w:val="000000"/>
        </w:rPr>
        <w:t>Lvcentinvs</w:t>
      </w:r>
      <w:proofErr w:type="spellEnd"/>
      <w:r w:rsidRPr="00B369EB">
        <w:rPr>
          <w:rFonts w:cs="Calibri"/>
          <w:color w:val="000000"/>
        </w:rPr>
        <w:t xml:space="preserve"> (IP LLM) de la Universidad de Alicante el 16 de mayo de 2024.</w:t>
      </w:r>
    </w:p>
    <w:p w14:paraId="059A66C4" w14:textId="77777777" w:rsidR="007F2C3D" w:rsidRPr="00B369EB" w:rsidRDefault="001C673E">
      <w:pPr>
        <w:pStyle w:val="ListParagraph"/>
        <w:numPr>
          <w:ilvl w:val="0"/>
          <w:numId w:val="34"/>
        </w:numPr>
        <w:rPr>
          <w:rFonts w:cs="Calibri"/>
          <w:color w:val="000000"/>
        </w:rPr>
      </w:pPr>
      <w:r w:rsidRPr="00B369EB">
        <w:rPr>
          <w:rFonts w:cs="Calibri"/>
          <w:color w:val="000000"/>
        </w:rPr>
        <w:t>Presentación al Colegio Oficial de Agentes de la Propiedad Industrial (COAPI) online el 6 de junio de 2024.</w:t>
      </w:r>
    </w:p>
    <w:p w14:paraId="0F652601" w14:textId="77777777" w:rsidR="007F2C3D" w:rsidRPr="00B369EB" w:rsidRDefault="001C673E">
      <w:pPr>
        <w:pStyle w:val="ListParagraph"/>
        <w:numPr>
          <w:ilvl w:val="0"/>
          <w:numId w:val="34"/>
        </w:numPr>
        <w:rPr>
          <w:rFonts w:cs="Calibri"/>
          <w:color w:val="000000"/>
        </w:rPr>
      </w:pPr>
      <w:r w:rsidRPr="00B369EB">
        <w:rPr>
          <w:rFonts w:cs="Calibri"/>
          <w:color w:val="000000"/>
        </w:rPr>
        <w:t xml:space="preserve">Participación en la mesa redonda sobre la protección de las obtenciones vegetales, en el marco del LL.M. </w:t>
      </w:r>
      <w:proofErr w:type="spellStart"/>
      <w:r w:rsidRPr="00B369EB">
        <w:rPr>
          <w:rFonts w:cs="Calibri"/>
          <w:color w:val="000000"/>
        </w:rPr>
        <w:t>on</w:t>
      </w:r>
      <w:proofErr w:type="spellEnd"/>
      <w:r w:rsidRPr="00B369EB">
        <w:rPr>
          <w:rFonts w:cs="Calibri"/>
          <w:color w:val="000000"/>
        </w:rPr>
        <w:t xml:space="preserve"> IP </w:t>
      </w:r>
      <w:proofErr w:type="spellStart"/>
      <w:r w:rsidRPr="00B369EB">
        <w:rPr>
          <w:rFonts w:cs="Calibri"/>
          <w:color w:val="000000"/>
        </w:rPr>
        <w:t>Law</w:t>
      </w:r>
      <w:proofErr w:type="spellEnd"/>
      <w:r w:rsidRPr="00B369EB">
        <w:rPr>
          <w:rFonts w:cs="Calibri"/>
          <w:color w:val="000000"/>
        </w:rPr>
        <w:t xml:space="preserve"> and Management del Centre </w:t>
      </w:r>
      <w:proofErr w:type="spellStart"/>
      <w:r w:rsidRPr="00B369EB">
        <w:rPr>
          <w:rFonts w:cs="Calibri"/>
          <w:color w:val="000000"/>
        </w:rPr>
        <w:t>d'Etudes</w:t>
      </w:r>
      <w:proofErr w:type="spellEnd"/>
      <w:r w:rsidRPr="00B369EB">
        <w:rPr>
          <w:rFonts w:cs="Calibri"/>
          <w:color w:val="000000"/>
        </w:rPr>
        <w:t xml:space="preserve"> </w:t>
      </w:r>
      <w:proofErr w:type="spellStart"/>
      <w:r w:rsidRPr="00B369EB">
        <w:rPr>
          <w:rFonts w:cs="Calibri"/>
          <w:color w:val="000000"/>
        </w:rPr>
        <w:t>Internationales</w:t>
      </w:r>
      <w:proofErr w:type="spellEnd"/>
      <w:r w:rsidRPr="00B369EB">
        <w:rPr>
          <w:rFonts w:cs="Calibri"/>
          <w:color w:val="000000"/>
        </w:rPr>
        <w:t xml:space="preserve"> de la </w:t>
      </w:r>
      <w:proofErr w:type="spellStart"/>
      <w:r w:rsidRPr="00B369EB">
        <w:rPr>
          <w:rFonts w:cs="Calibri"/>
          <w:color w:val="000000"/>
        </w:rPr>
        <w:t>Propriété</w:t>
      </w:r>
      <w:proofErr w:type="spellEnd"/>
      <w:r w:rsidRPr="00B369EB">
        <w:rPr>
          <w:rFonts w:cs="Calibri"/>
          <w:color w:val="000000"/>
        </w:rPr>
        <w:t xml:space="preserve"> </w:t>
      </w:r>
      <w:proofErr w:type="spellStart"/>
      <w:r w:rsidRPr="00B369EB">
        <w:rPr>
          <w:rFonts w:cs="Calibri"/>
          <w:color w:val="000000"/>
        </w:rPr>
        <w:t>Intellectuelle</w:t>
      </w:r>
      <w:proofErr w:type="spellEnd"/>
      <w:r w:rsidRPr="00B369EB">
        <w:rPr>
          <w:rFonts w:cs="Calibri"/>
          <w:color w:val="000000"/>
        </w:rPr>
        <w:t xml:space="preserve"> el 16 de febrero de 2024.</w:t>
      </w:r>
    </w:p>
    <w:p w14:paraId="366F9BB4" w14:textId="77777777" w:rsidR="006A1579" w:rsidRPr="00B369EB" w:rsidRDefault="006A1579" w:rsidP="006A1579">
      <w:pPr>
        <w:rPr>
          <w:rFonts w:cs="Calibri"/>
          <w:color w:val="000000"/>
        </w:rPr>
      </w:pPr>
    </w:p>
    <w:p w14:paraId="72B509BA" w14:textId="77777777" w:rsidR="007F2C3D" w:rsidRPr="00B369EB" w:rsidRDefault="001C673E">
      <w:pPr>
        <w:rPr>
          <w:rFonts w:cs="Calibri"/>
        </w:rPr>
      </w:pPr>
      <w:r w:rsidRPr="00B369EB">
        <w:rPr>
          <w:rFonts w:cs="Calibri"/>
          <w:u w:val="single"/>
        </w:rPr>
        <w:t>5.3 Reuniones con las partes interesadas</w:t>
      </w:r>
    </w:p>
    <w:p w14:paraId="26430D66" w14:textId="77777777" w:rsidR="000F49AE" w:rsidRPr="00B369EB" w:rsidRDefault="000F49AE" w:rsidP="006A1579">
      <w:pPr>
        <w:rPr>
          <w:rFonts w:cs="Calibri"/>
        </w:rPr>
      </w:pPr>
    </w:p>
    <w:p w14:paraId="7565BA06" w14:textId="77777777" w:rsidR="007F2C3D" w:rsidRPr="00B369EB" w:rsidRDefault="001C673E">
      <w:pPr>
        <w:rPr>
          <w:rFonts w:cs="Calibri"/>
        </w:rPr>
      </w:pPr>
      <w:r w:rsidRPr="00B369EB">
        <w:rPr>
          <w:rFonts w:cs="Calibri"/>
        </w:rPr>
        <w:t xml:space="preserve">La OCVV asistió a la reunión anual de </w:t>
      </w:r>
      <w:proofErr w:type="spellStart"/>
      <w:r w:rsidRPr="00B369EB">
        <w:rPr>
          <w:rFonts w:cs="Calibri"/>
        </w:rPr>
        <w:t>Euroseeds</w:t>
      </w:r>
      <w:proofErr w:type="spellEnd"/>
      <w:r w:rsidRPr="00B369EB">
        <w:rPr>
          <w:rFonts w:cs="Calibri"/>
        </w:rPr>
        <w:t xml:space="preserve"> en Malta en octubre de 2023 </w:t>
      </w:r>
    </w:p>
    <w:p w14:paraId="5A9E6C51" w14:textId="77777777" w:rsidR="000F49AE" w:rsidRPr="00B369EB" w:rsidRDefault="000F49AE" w:rsidP="006A1579">
      <w:pPr>
        <w:rPr>
          <w:rFonts w:cs="Calibri"/>
        </w:rPr>
      </w:pPr>
    </w:p>
    <w:p w14:paraId="0AAE4E40" w14:textId="77777777" w:rsidR="007F2C3D" w:rsidRPr="00B369EB" w:rsidRDefault="001C673E">
      <w:pPr>
        <w:rPr>
          <w:rFonts w:cs="Calibri"/>
        </w:rPr>
      </w:pPr>
      <w:r w:rsidRPr="00B369EB">
        <w:rPr>
          <w:rFonts w:cs="Calibri"/>
        </w:rPr>
        <w:t>La OCVV también se ha reunido bilateralmente con las organizaciones de ganaderos:</w:t>
      </w:r>
    </w:p>
    <w:p w14:paraId="5BFC932A" w14:textId="77777777" w:rsidR="000F49AE" w:rsidRPr="00B369EB" w:rsidRDefault="000F49AE" w:rsidP="006A1579">
      <w:pPr>
        <w:rPr>
          <w:rFonts w:cs="Calibri"/>
        </w:rPr>
      </w:pPr>
    </w:p>
    <w:p w14:paraId="03A688A7" w14:textId="77777777" w:rsidR="007F2C3D" w:rsidRPr="00B369EB" w:rsidRDefault="001C673E">
      <w:pPr>
        <w:pStyle w:val="ListParagraph"/>
        <w:numPr>
          <w:ilvl w:val="0"/>
          <w:numId w:val="35"/>
        </w:numPr>
        <w:rPr>
          <w:rFonts w:cs="Calibri"/>
        </w:rPr>
      </w:pPr>
      <w:proofErr w:type="spellStart"/>
      <w:r w:rsidRPr="00B369EB">
        <w:rPr>
          <w:rFonts w:cs="Calibri"/>
        </w:rPr>
        <w:t>Euroseeds</w:t>
      </w:r>
      <w:proofErr w:type="spellEnd"/>
      <w:r w:rsidRPr="00B369EB">
        <w:rPr>
          <w:rFonts w:cs="Calibri"/>
        </w:rPr>
        <w:t xml:space="preserve"> &amp; </w:t>
      </w:r>
      <w:proofErr w:type="spellStart"/>
      <w:r w:rsidRPr="00B369EB">
        <w:rPr>
          <w:rFonts w:cs="Calibri"/>
        </w:rPr>
        <w:t>Plantum</w:t>
      </w:r>
      <w:proofErr w:type="spellEnd"/>
      <w:r w:rsidRPr="00B369EB">
        <w:rPr>
          <w:rFonts w:cs="Calibri"/>
        </w:rPr>
        <w:t xml:space="preserve"> 11/03/2024,</w:t>
      </w:r>
    </w:p>
    <w:p w14:paraId="26D532B4" w14:textId="77777777" w:rsidR="007F2C3D" w:rsidRPr="00B369EB" w:rsidRDefault="001C673E">
      <w:pPr>
        <w:pStyle w:val="ListParagraph"/>
        <w:numPr>
          <w:ilvl w:val="0"/>
          <w:numId w:val="35"/>
        </w:numPr>
        <w:rPr>
          <w:rFonts w:cs="Calibri"/>
        </w:rPr>
      </w:pPr>
      <w:r w:rsidRPr="00B369EB">
        <w:rPr>
          <w:rFonts w:cs="Calibri"/>
        </w:rPr>
        <w:t>CIOPORA 06/05/2024.</w:t>
      </w:r>
    </w:p>
    <w:p w14:paraId="5C06FA88" w14:textId="77777777" w:rsidR="000F49AE" w:rsidRPr="00B369EB" w:rsidRDefault="000F49AE" w:rsidP="006A1579">
      <w:pPr>
        <w:rPr>
          <w:rFonts w:cs="Calibri"/>
        </w:rPr>
      </w:pPr>
    </w:p>
    <w:p w14:paraId="12C616C4" w14:textId="77777777" w:rsidR="007F2C3D" w:rsidRPr="00B369EB" w:rsidRDefault="001C673E">
      <w:pPr>
        <w:rPr>
          <w:rFonts w:cs="Calibri"/>
        </w:rPr>
      </w:pPr>
      <w:r w:rsidRPr="00B369EB">
        <w:rPr>
          <w:rFonts w:cs="Calibri"/>
        </w:rPr>
        <w:t>La OCVV también se reunió con representantes de la AIPH el 26/10/2023.</w:t>
      </w:r>
    </w:p>
    <w:p w14:paraId="54640B22" w14:textId="77777777" w:rsidR="000F49AE" w:rsidRPr="00B369EB" w:rsidRDefault="000F49AE" w:rsidP="006A1579">
      <w:pPr>
        <w:rPr>
          <w:rFonts w:cs="Calibri"/>
        </w:rPr>
      </w:pPr>
    </w:p>
    <w:p w14:paraId="1D0BFE75" w14:textId="77777777" w:rsidR="007F2C3D" w:rsidRPr="00B369EB" w:rsidRDefault="001C673E">
      <w:pPr>
        <w:rPr>
          <w:rFonts w:cs="Calibri"/>
        </w:rPr>
      </w:pPr>
      <w:r w:rsidRPr="00B369EB">
        <w:rPr>
          <w:rFonts w:cs="Calibri"/>
        </w:rPr>
        <w:t xml:space="preserve">Además, el Presidente de la OCVV ha realizado visitas de estudio a Estados miembros de la UE desde 2021, con visitas a Dinamarca y España durante el período del informe. </w:t>
      </w:r>
    </w:p>
    <w:p w14:paraId="702D7F94" w14:textId="77777777" w:rsidR="006A1579" w:rsidRPr="00B369EB" w:rsidRDefault="006A1579" w:rsidP="006A1579">
      <w:pPr>
        <w:rPr>
          <w:rFonts w:cs="Calibri"/>
        </w:rPr>
      </w:pPr>
    </w:p>
    <w:p w14:paraId="1C844FFF" w14:textId="77777777" w:rsidR="007F2C3D" w:rsidRPr="00B369EB" w:rsidRDefault="001C673E">
      <w:pPr>
        <w:rPr>
          <w:u w:val="single"/>
        </w:rPr>
      </w:pPr>
      <w:bookmarkStart w:id="16" w:name="_Hlk171062986"/>
      <w:r w:rsidRPr="00B369EB">
        <w:rPr>
          <w:u w:val="single"/>
        </w:rPr>
        <w:t>5.4 Participación en ferias internacionales y jornadas de puertas abiertas</w:t>
      </w:r>
    </w:p>
    <w:bookmarkEnd w:id="16"/>
    <w:p w14:paraId="1AFDAD99" w14:textId="77777777" w:rsidR="000F49AE" w:rsidRPr="00B369EB" w:rsidRDefault="000F49AE" w:rsidP="006A1579"/>
    <w:p w14:paraId="10F996C2" w14:textId="77777777" w:rsidR="007F2C3D" w:rsidRPr="00B369EB" w:rsidRDefault="001C673E">
      <w:r w:rsidRPr="00B369EB">
        <w:t xml:space="preserve">Del 23 al 26 de enero de 2024, la Oficina asistió a la feria IPM Essen (DE) </w:t>
      </w:r>
      <w:proofErr w:type="gramStart"/>
      <w:r w:rsidRPr="00B369EB">
        <w:t>conjuntamente con</w:t>
      </w:r>
      <w:proofErr w:type="gramEnd"/>
      <w:r w:rsidRPr="00B369EB">
        <w:t xml:space="preserve"> el Bundessortenamt (DE), COBORU, (PL), GEVES (FR) y Naktuinbouw (NL). Durante el "</w:t>
      </w:r>
      <w:proofErr w:type="spellStart"/>
      <w:r w:rsidRPr="00B369EB">
        <w:t>Salon</w:t>
      </w:r>
      <w:proofErr w:type="spellEnd"/>
      <w:r w:rsidRPr="00B369EB">
        <w:t xml:space="preserve"> </w:t>
      </w:r>
      <w:proofErr w:type="spellStart"/>
      <w:r w:rsidRPr="00B369EB">
        <w:t>Sival</w:t>
      </w:r>
      <w:proofErr w:type="spellEnd"/>
      <w:r w:rsidRPr="00B369EB">
        <w:t xml:space="preserve">" de Angers (FR), la OCVV presentó el sistema de RCPV en la zona del foro. La OCVV también visitó la </w:t>
      </w:r>
      <w:proofErr w:type="spellStart"/>
      <w:r w:rsidRPr="00B369EB">
        <w:t>Fruitlogistica</w:t>
      </w:r>
      <w:proofErr w:type="spellEnd"/>
      <w:r w:rsidRPr="00B369EB">
        <w:t xml:space="preserve"> en febrero de 2024 en Berlín-Alemania. La Oficina también participó activamente en la Feria Internacional de Frutas y Hortalizas MACFRUT, celebrada en Rímini (Italia) del 8 al 10 de mayo de 2024, y presentó ponencias en el Simposio internacional sobre portainjertos y en el Simposio sobre uva de mesa.</w:t>
      </w:r>
    </w:p>
    <w:p w14:paraId="52195197" w14:textId="77777777" w:rsidR="000F49AE" w:rsidRPr="00B369EB" w:rsidRDefault="000F49AE" w:rsidP="006A1579"/>
    <w:p w14:paraId="305BE1C7" w14:textId="77777777" w:rsidR="007F2C3D" w:rsidRPr="00B369EB" w:rsidRDefault="001C673E">
      <w:pPr>
        <w:rPr>
          <w:u w:val="single"/>
        </w:rPr>
      </w:pPr>
      <w:r w:rsidRPr="00B369EB">
        <w:rPr>
          <w:u w:val="single"/>
        </w:rPr>
        <w:t xml:space="preserve">5.5 Desarrollos informáticos </w:t>
      </w:r>
    </w:p>
    <w:p w14:paraId="4FF1538D" w14:textId="77777777" w:rsidR="000F49AE" w:rsidRPr="00B369EB" w:rsidRDefault="000F49AE" w:rsidP="006A1579"/>
    <w:p w14:paraId="781F3444" w14:textId="77777777" w:rsidR="007F2C3D" w:rsidRPr="00B369EB" w:rsidRDefault="001C673E">
      <w:r w:rsidRPr="00B369EB">
        <w:t xml:space="preserve">La OCVV participa en un proyecto informático por el que la OCVV facilitará la compra de unos cuarenta mil informes DHE a través del "módulo de intercambio DHE" de la UPOV. </w:t>
      </w:r>
    </w:p>
    <w:p w14:paraId="6025120E" w14:textId="77777777" w:rsidR="000F49AE" w:rsidRPr="00B369EB" w:rsidRDefault="000F49AE" w:rsidP="006A1579"/>
    <w:p w14:paraId="09329EF2" w14:textId="77777777" w:rsidR="007F2C3D" w:rsidRPr="00B369EB" w:rsidRDefault="001C673E">
      <w:r w:rsidRPr="00B369EB">
        <w:t>La OCVV también se ha centrado en mejorar los procesos y procedimientos internos. La OCVV ha emprendido una formación en Lean y en Notación y Modelo de Procesos Empresariales (BPMN), y se está llevando a cabo una importante renovación de todas las aplicaciones internas. Los objetivos son alinear las tecnologías con las aplicaciones de cara al público, garantizando el mismo nivel de seguridad, facilidad de evolución e identidad visual coherente y mejorando la interfaz con otras áreas de negocio.</w:t>
      </w:r>
    </w:p>
    <w:p w14:paraId="7608670D" w14:textId="77777777" w:rsidR="000F49AE" w:rsidRPr="00B369EB" w:rsidRDefault="000F49AE" w:rsidP="006A1579">
      <w:pPr>
        <w:rPr>
          <w:bCs/>
          <w:u w:val="single"/>
        </w:rPr>
      </w:pPr>
    </w:p>
    <w:p w14:paraId="3B666651" w14:textId="77777777" w:rsidR="007F2C3D" w:rsidRPr="00B369EB" w:rsidRDefault="001C673E">
      <w:pPr>
        <w:rPr>
          <w:bCs/>
          <w:u w:val="single"/>
        </w:rPr>
      </w:pPr>
      <w:r w:rsidRPr="00B369EB">
        <w:rPr>
          <w:bCs/>
          <w:u w:val="single"/>
        </w:rPr>
        <w:t>6.</w:t>
      </w:r>
      <w:r w:rsidRPr="00B369EB">
        <w:rPr>
          <w:bCs/>
          <w:u w:val="single"/>
        </w:rPr>
        <w:tab/>
      </w:r>
      <w:r w:rsidR="006A1579" w:rsidRPr="00B369EB">
        <w:rPr>
          <w:bCs/>
          <w:u w:val="single"/>
        </w:rPr>
        <w:t xml:space="preserve">I+D </w:t>
      </w:r>
    </w:p>
    <w:p w14:paraId="6270105C" w14:textId="77777777" w:rsidR="000F49AE" w:rsidRPr="00B369EB" w:rsidRDefault="000F49AE" w:rsidP="006A1579">
      <w:pPr>
        <w:rPr>
          <w:u w:val="single"/>
        </w:rPr>
      </w:pPr>
    </w:p>
    <w:p w14:paraId="00307896" w14:textId="77777777" w:rsidR="007F2C3D" w:rsidRPr="00B369EB" w:rsidRDefault="001C673E">
      <w:pPr>
        <w:rPr>
          <w:u w:val="single"/>
        </w:rPr>
      </w:pPr>
      <w:r w:rsidRPr="00B369EB">
        <w:rPr>
          <w:u w:val="single"/>
        </w:rPr>
        <w:t>6.1 Grupo de trabajo ad hoc IMODDUS</w:t>
      </w:r>
    </w:p>
    <w:p w14:paraId="5E8EB9D4" w14:textId="77777777" w:rsidR="000F49AE" w:rsidRPr="00B369EB" w:rsidRDefault="000F49AE" w:rsidP="006A1579"/>
    <w:p w14:paraId="247BE1B8" w14:textId="77777777" w:rsidR="007F2C3D" w:rsidRPr="00B369EB" w:rsidRDefault="001C673E">
      <w:r w:rsidRPr="00B369EB">
        <w:t>Como parte de la estrategia de I+D de la OCVV, el Consejo de Administración ha creado en 2016, y confirmado en 2021, el grupo de trabajo ad hoc de la OCVV sobre técnicas biomoleculares. Este grupo de trabajo se denomina IMODDUS, que significa "Integración de datos moleculares en el examen DHE". El objetivo del grupo es seguir y debatir el desarrollo de técnicas biomoleculares y evaluar proyectos de I+D para la aplicación de estas técnicas en los exámenes DHE de todos los sectores de cultivo en los que podrían contribuir a mejorar la eficiencia y la calidad.</w:t>
      </w:r>
    </w:p>
    <w:p w14:paraId="3F8F20B1" w14:textId="77777777" w:rsidR="000F49AE" w:rsidRPr="00B369EB" w:rsidRDefault="000F49AE" w:rsidP="006A1579"/>
    <w:p w14:paraId="70E5FFC3" w14:textId="77777777" w:rsidR="007F2C3D" w:rsidRPr="00B369EB" w:rsidRDefault="001C673E">
      <w:r w:rsidRPr="00B369EB">
        <w:lastRenderedPageBreak/>
        <w:t>El grupo está compuesto por expertos en BMT de las oficinas de examen y organizaciones de obtentores interesadas. La participación se limita a expertos que puedan contribuir activamente en términos de preparación de documentos y presentaciones. El Presidente del grupo también puede invitar a expertos de laboratorios, universidades, la industria, etc.</w:t>
      </w:r>
    </w:p>
    <w:p w14:paraId="4291D766" w14:textId="77777777" w:rsidR="000F49AE" w:rsidRPr="00B369EB" w:rsidRDefault="000F49AE" w:rsidP="006A1579"/>
    <w:p w14:paraId="70012BC2" w14:textId="77777777" w:rsidR="007F2C3D" w:rsidRPr="00B369EB" w:rsidRDefault="001C673E">
      <w:r w:rsidRPr="00B369EB">
        <w:t>En mayo de 2024 se organizó una reunión en línea. El orden del día incluía presentaciones y debates sobre los siguientes temas:</w:t>
      </w:r>
    </w:p>
    <w:p w14:paraId="77F8AB28" w14:textId="77777777" w:rsidR="000F49AE" w:rsidRPr="00B369EB" w:rsidRDefault="000F49AE" w:rsidP="006A1579"/>
    <w:p w14:paraId="19CB1D23" w14:textId="77777777" w:rsidR="007F2C3D" w:rsidRPr="00B369EB" w:rsidRDefault="001C673E">
      <w:r w:rsidRPr="00B369EB">
        <w:t>-</w:t>
      </w:r>
      <w:r w:rsidRPr="00B369EB">
        <w:tab/>
        <w:t>Proyectos de I+D IMODDUS finalizados y en curso</w:t>
      </w:r>
    </w:p>
    <w:p w14:paraId="20298815" w14:textId="47E1BAED" w:rsidR="007F2C3D" w:rsidRPr="00B369EB" w:rsidRDefault="001C673E">
      <w:r w:rsidRPr="00B369EB">
        <w:t>-</w:t>
      </w:r>
      <w:r w:rsidR="00A66F67">
        <w:tab/>
      </w:r>
      <w:r w:rsidRPr="00B369EB">
        <w:t>Nuevos programas sobre cebada y frambuesa en el Reino Unido</w:t>
      </w:r>
    </w:p>
    <w:p w14:paraId="7456423A" w14:textId="07512E06" w:rsidR="007F2C3D" w:rsidRPr="00B369EB" w:rsidRDefault="001C673E">
      <w:r w:rsidRPr="00B369EB">
        <w:t>-</w:t>
      </w:r>
      <w:r w:rsidR="00A66F67">
        <w:tab/>
      </w:r>
      <w:r w:rsidRPr="00B369EB">
        <w:t>Desafíos de las bases de datos moleculares de DHE para el futuro</w:t>
      </w:r>
    </w:p>
    <w:p w14:paraId="2C37988B" w14:textId="0067C61F" w:rsidR="007F2C3D" w:rsidRPr="00B369EB" w:rsidRDefault="001C673E" w:rsidP="00A66F67">
      <w:pPr>
        <w:ind w:left="567" w:hanging="567"/>
      </w:pPr>
      <w:r w:rsidRPr="00B369EB">
        <w:t>-</w:t>
      </w:r>
      <w:r w:rsidR="00A66F67">
        <w:tab/>
      </w:r>
      <w:r w:rsidRPr="00B369EB">
        <w:t>Trabajo molecular con los proyectos de la UE INVITE e INNOVAR (centrado en la evaluación de D y U basada en marcadores).</w:t>
      </w:r>
    </w:p>
    <w:p w14:paraId="6BE3CE81" w14:textId="77777777" w:rsidR="006A1579" w:rsidRPr="00B369EB" w:rsidRDefault="006A1579" w:rsidP="006A1579"/>
    <w:p w14:paraId="1D762C0B" w14:textId="77777777" w:rsidR="007F2C3D" w:rsidRPr="00B369EB" w:rsidRDefault="001C673E">
      <w:r w:rsidRPr="00B369EB">
        <w:t>En 2024, IMODDUS contribuyó a la evaluación de una nueva propuesta de proyecto de I+D sobre la lechuga: "Armonización internacional y validación de un conjunto de SNP para la gestión de la colección de referencia de la lechuga".</w:t>
      </w:r>
    </w:p>
    <w:p w14:paraId="59845B2A" w14:textId="77777777" w:rsidR="006A1579" w:rsidRPr="00B369EB" w:rsidRDefault="006A1579" w:rsidP="006A1579"/>
    <w:p w14:paraId="45AA4ACD" w14:textId="77777777" w:rsidR="007F2C3D" w:rsidRPr="00B369EB" w:rsidRDefault="001C673E">
      <w:r w:rsidRPr="00B369EB">
        <w:t>Se finalizó un proyecto de I+D previamente evaluado positivamente por IMODDUS y cofinanciado:</w:t>
      </w:r>
    </w:p>
    <w:p w14:paraId="31046D92" w14:textId="77777777" w:rsidR="006A1579" w:rsidRPr="00B369EB" w:rsidRDefault="006A1579" w:rsidP="006A1579"/>
    <w:p w14:paraId="11EC3E60" w14:textId="77777777" w:rsidR="007F2C3D" w:rsidRPr="00B369EB" w:rsidRDefault="001C673E">
      <w:pPr>
        <w:ind w:left="567"/>
        <w:rPr>
          <w:bCs/>
          <w:i/>
        </w:rPr>
      </w:pPr>
      <w:r w:rsidRPr="00B369EB">
        <w:rPr>
          <w:bCs/>
          <w:i/>
        </w:rPr>
        <w:t>Tomate</w:t>
      </w:r>
    </w:p>
    <w:p w14:paraId="2F21B587" w14:textId="77777777" w:rsidR="007F2C3D" w:rsidRPr="00B369EB" w:rsidRDefault="001C673E">
      <w:pPr>
        <w:ind w:left="567"/>
      </w:pPr>
      <w:r w:rsidRPr="00B369EB">
        <w:t>"Validación internacional de un conjunto de SNP para determinar distancias genéticas para la gestión de la colección de referencia de tomate"</w:t>
      </w:r>
    </w:p>
    <w:p w14:paraId="3B3DCEEA" w14:textId="77777777" w:rsidR="000F49AE" w:rsidRPr="00B369EB" w:rsidRDefault="000F49AE" w:rsidP="000F49AE">
      <w:pPr>
        <w:ind w:left="567"/>
      </w:pPr>
    </w:p>
    <w:p w14:paraId="4D37BCCD" w14:textId="77777777" w:rsidR="007F2C3D" w:rsidRPr="00B369EB" w:rsidRDefault="001C673E">
      <w:pPr>
        <w:ind w:left="567"/>
        <w:rPr>
          <w:bCs/>
          <w:i/>
        </w:rPr>
      </w:pPr>
      <w:r w:rsidRPr="00B369EB">
        <w:rPr>
          <w:bCs/>
          <w:i/>
        </w:rPr>
        <w:t>Hortensia</w:t>
      </w:r>
    </w:p>
    <w:p w14:paraId="6E52DD7C" w14:textId="77777777" w:rsidR="007F2C3D" w:rsidRPr="00B369EB" w:rsidRDefault="001C673E">
      <w:pPr>
        <w:ind w:left="567"/>
      </w:pPr>
      <w:r w:rsidRPr="00B369EB">
        <w:t xml:space="preserve">"Aprovechamiento de los datos moleculares para apoyar el examen DHE en plantas ornamentales: un estudio de caso sobre </w:t>
      </w:r>
      <w:proofErr w:type="spellStart"/>
      <w:r w:rsidRPr="00B369EB">
        <w:t>Hydrangea</w:t>
      </w:r>
      <w:proofErr w:type="spellEnd"/>
      <w:r w:rsidRPr="00B369EB">
        <w:t>".</w:t>
      </w:r>
    </w:p>
    <w:p w14:paraId="7C07D627" w14:textId="77777777" w:rsidR="007F2C3D" w:rsidRPr="00B369EB" w:rsidRDefault="001C673E">
      <w:pPr>
        <w:ind w:left="567"/>
      </w:pPr>
      <w:r w:rsidRPr="00B369EB">
        <w:t>Este proyecto acaba de concluir y el informe final está previsto para finales de septiembre de 2024.</w:t>
      </w:r>
    </w:p>
    <w:p w14:paraId="53AF9CF7" w14:textId="77777777" w:rsidR="006A1579" w:rsidRPr="00B369EB" w:rsidRDefault="006A1579" w:rsidP="006A1579">
      <w:pPr>
        <w:rPr>
          <w:b/>
          <w:bCs/>
          <w:i/>
          <w:iCs/>
        </w:rPr>
      </w:pPr>
    </w:p>
    <w:p w14:paraId="132580E2" w14:textId="77777777" w:rsidR="007F2C3D" w:rsidRPr="00B369EB" w:rsidRDefault="001C673E">
      <w:r w:rsidRPr="00B369EB">
        <w:t>Otros dos proyectos de I+D validados por IMODDUS avanzaron a buen ritmo durante el periodo:</w:t>
      </w:r>
    </w:p>
    <w:p w14:paraId="20CE06B7" w14:textId="77777777" w:rsidR="000F49AE" w:rsidRPr="00B369EB" w:rsidRDefault="000F49AE" w:rsidP="006A1579"/>
    <w:p w14:paraId="1AE45F31" w14:textId="77777777" w:rsidR="007F2C3D" w:rsidRPr="00B369EB" w:rsidRDefault="001C673E">
      <w:pPr>
        <w:ind w:left="567"/>
        <w:rPr>
          <w:bCs/>
          <w:i/>
        </w:rPr>
      </w:pPr>
      <w:r w:rsidRPr="00B369EB">
        <w:rPr>
          <w:bCs/>
          <w:i/>
        </w:rPr>
        <w:t>Tomate - Pimiento -Melón</w:t>
      </w:r>
    </w:p>
    <w:p w14:paraId="4624A3EE" w14:textId="77777777" w:rsidR="007F2C3D" w:rsidRPr="00B369EB" w:rsidRDefault="001C673E">
      <w:pPr>
        <w:ind w:left="567"/>
        <w:rPr>
          <w:b/>
          <w:i/>
        </w:rPr>
      </w:pPr>
      <w:r w:rsidRPr="00B369EB">
        <w:t>"Actualización de las pruebas de resistencia DHE en función de la evolución de las plagas:</w:t>
      </w:r>
    </w:p>
    <w:p w14:paraId="06B1C618" w14:textId="77777777" w:rsidR="007F2C3D" w:rsidRPr="00B369EB" w:rsidRDefault="001C673E">
      <w:pPr>
        <w:ind w:left="567"/>
      </w:pPr>
      <w:r w:rsidRPr="00B369EB">
        <w:t xml:space="preserve">- Realización de pruebas de resistencia al </w:t>
      </w:r>
      <w:proofErr w:type="spellStart"/>
      <w:r w:rsidRPr="00B369EB">
        <w:t>ToBRFV</w:t>
      </w:r>
      <w:proofErr w:type="spellEnd"/>
      <w:r w:rsidRPr="00B369EB">
        <w:t xml:space="preserve"> en tomate y pimiento</w:t>
      </w:r>
    </w:p>
    <w:p w14:paraId="6D093805" w14:textId="77777777" w:rsidR="007F2C3D" w:rsidRPr="00B369EB" w:rsidRDefault="001C673E">
      <w:pPr>
        <w:ind w:left="567"/>
      </w:pPr>
      <w:r w:rsidRPr="00B369EB">
        <w:t>- Mejora de la prueba de resistencia 'melón/</w:t>
      </w:r>
      <w:proofErr w:type="spellStart"/>
      <w:r w:rsidRPr="00B369EB">
        <w:t>Aphis</w:t>
      </w:r>
      <w:proofErr w:type="spellEnd"/>
      <w:r w:rsidRPr="00B369EB">
        <w:t xml:space="preserve"> </w:t>
      </w:r>
      <w:proofErr w:type="spellStart"/>
      <w:r w:rsidRPr="00B369EB">
        <w:t>gossypii</w:t>
      </w:r>
      <w:proofErr w:type="spellEnd"/>
      <w:r w:rsidRPr="00B369EB">
        <w:t>'".</w:t>
      </w:r>
    </w:p>
    <w:p w14:paraId="15B70597" w14:textId="77777777" w:rsidR="000F49AE" w:rsidRPr="00B369EB" w:rsidRDefault="000F49AE" w:rsidP="000F49AE">
      <w:pPr>
        <w:ind w:left="567"/>
      </w:pPr>
    </w:p>
    <w:p w14:paraId="295E2961" w14:textId="77777777" w:rsidR="007F2C3D" w:rsidRPr="00B369EB" w:rsidRDefault="001C673E">
      <w:pPr>
        <w:ind w:left="567"/>
        <w:rPr>
          <w:i/>
          <w:iCs/>
        </w:rPr>
      </w:pPr>
      <w:r w:rsidRPr="00B369EB">
        <w:rPr>
          <w:i/>
          <w:iCs/>
        </w:rPr>
        <w:t>Colza III (</w:t>
      </w:r>
      <w:proofErr w:type="spellStart"/>
      <w:r w:rsidRPr="00B369EB">
        <w:rPr>
          <w:i/>
          <w:iCs/>
        </w:rPr>
        <w:t>SNPsNap</w:t>
      </w:r>
      <w:proofErr w:type="spellEnd"/>
      <w:r w:rsidRPr="00B369EB">
        <w:rPr>
          <w:i/>
          <w:iCs/>
        </w:rPr>
        <w:t>)</w:t>
      </w:r>
    </w:p>
    <w:p w14:paraId="1C663892" w14:textId="77777777" w:rsidR="007F2C3D" w:rsidRPr="00B369EB" w:rsidRDefault="001C673E">
      <w:pPr>
        <w:ind w:left="567"/>
      </w:pPr>
      <w:r w:rsidRPr="00B369EB">
        <w:t>"Marcadores SNP para guiar el examen DHE en colza oleaginosa de invierno: Validación del nuevo modelo".</w:t>
      </w:r>
    </w:p>
    <w:p w14:paraId="1894F3B6" w14:textId="77777777" w:rsidR="006A1579" w:rsidRPr="00B369EB" w:rsidRDefault="006A1579" w:rsidP="006A1579"/>
    <w:p w14:paraId="25564936" w14:textId="77777777" w:rsidR="007F2C3D" w:rsidRPr="00B369EB" w:rsidRDefault="001C673E">
      <w:r w:rsidRPr="00B369EB">
        <w:rPr>
          <w:u w:val="single"/>
        </w:rPr>
        <w:t>6.2 INVITA</w:t>
      </w:r>
    </w:p>
    <w:p w14:paraId="7A436A04" w14:textId="77777777" w:rsidR="00204E88" w:rsidRPr="00B369EB" w:rsidRDefault="00204E88" w:rsidP="006A1579"/>
    <w:p w14:paraId="07470DA6" w14:textId="77777777" w:rsidR="007F2C3D" w:rsidRPr="00B369EB" w:rsidRDefault="001C673E">
      <w:r w:rsidRPr="00B369EB">
        <w:t>INVITE es el acrónimo de "</w:t>
      </w:r>
      <w:proofErr w:type="spellStart"/>
      <w:r w:rsidRPr="00B369EB">
        <w:t>INnovations</w:t>
      </w:r>
      <w:proofErr w:type="spellEnd"/>
      <w:r w:rsidRPr="00B369EB">
        <w:t xml:space="preserve"> in </w:t>
      </w:r>
      <w:proofErr w:type="spellStart"/>
      <w:r w:rsidRPr="00B369EB">
        <w:t>plant</w:t>
      </w:r>
      <w:proofErr w:type="spellEnd"/>
      <w:r w:rsidRPr="00B369EB">
        <w:t xml:space="preserve"> </w:t>
      </w:r>
      <w:proofErr w:type="spellStart"/>
      <w:r w:rsidRPr="00B369EB">
        <w:t>VarIety</w:t>
      </w:r>
      <w:proofErr w:type="spellEnd"/>
      <w:r w:rsidRPr="00B369EB">
        <w:t xml:space="preserve"> </w:t>
      </w:r>
      <w:proofErr w:type="spellStart"/>
      <w:r w:rsidRPr="00B369EB">
        <w:t>Testing</w:t>
      </w:r>
      <w:proofErr w:type="spellEnd"/>
      <w:r w:rsidRPr="00B369EB">
        <w:t xml:space="preserve"> in </w:t>
      </w:r>
      <w:proofErr w:type="spellStart"/>
      <w:r w:rsidRPr="00B369EB">
        <w:t>Europe</w:t>
      </w:r>
      <w:proofErr w:type="spellEnd"/>
      <w:r w:rsidRPr="00B369EB">
        <w:t xml:space="preserve"> to </w:t>
      </w:r>
      <w:proofErr w:type="spellStart"/>
      <w:r w:rsidRPr="00B369EB">
        <w:t>foster</w:t>
      </w:r>
      <w:proofErr w:type="spellEnd"/>
      <w:r w:rsidRPr="00B369EB">
        <w:t xml:space="preserve"> </w:t>
      </w:r>
      <w:proofErr w:type="spellStart"/>
      <w:r w:rsidRPr="00B369EB">
        <w:t>the</w:t>
      </w:r>
      <w:proofErr w:type="spellEnd"/>
      <w:r w:rsidRPr="00B369EB">
        <w:t xml:space="preserve"> </w:t>
      </w:r>
      <w:proofErr w:type="spellStart"/>
      <w:r w:rsidRPr="00B369EB">
        <w:t>introduction</w:t>
      </w:r>
      <w:proofErr w:type="spellEnd"/>
      <w:r w:rsidRPr="00B369EB">
        <w:t xml:space="preserve"> of new </w:t>
      </w:r>
      <w:proofErr w:type="spellStart"/>
      <w:r w:rsidRPr="00B369EB">
        <w:t>varieties</w:t>
      </w:r>
      <w:proofErr w:type="spellEnd"/>
      <w:r w:rsidRPr="00B369EB">
        <w:t xml:space="preserve"> </w:t>
      </w:r>
      <w:proofErr w:type="spellStart"/>
      <w:r w:rsidRPr="00B369EB">
        <w:t>better</w:t>
      </w:r>
      <w:proofErr w:type="spellEnd"/>
      <w:r w:rsidRPr="00B369EB">
        <w:t xml:space="preserve"> </w:t>
      </w:r>
      <w:proofErr w:type="spellStart"/>
      <w:r w:rsidRPr="00B369EB">
        <w:t>adapted</w:t>
      </w:r>
      <w:proofErr w:type="spellEnd"/>
      <w:r w:rsidRPr="00B369EB">
        <w:t xml:space="preserve"> to </w:t>
      </w:r>
      <w:proofErr w:type="spellStart"/>
      <w:r w:rsidRPr="00B369EB">
        <w:t>varying</w:t>
      </w:r>
      <w:proofErr w:type="spellEnd"/>
      <w:r w:rsidRPr="00B369EB">
        <w:t xml:space="preserve"> </w:t>
      </w:r>
      <w:proofErr w:type="spellStart"/>
      <w:r w:rsidRPr="00B369EB">
        <w:t>biotic</w:t>
      </w:r>
      <w:proofErr w:type="spellEnd"/>
      <w:r w:rsidRPr="00B369EB">
        <w:t xml:space="preserve"> and </w:t>
      </w:r>
      <w:proofErr w:type="spellStart"/>
      <w:r w:rsidRPr="00B369EB">
        <w:t>abiotic</w:t>
      </w:r>
      <w:proofErr w:type="spellEnd"/>
      <w:r w:rsidRPr="00B369EB">
        <w:t xml:space="preserve"> </w:t>
      </w:r>
      <w:proofErr w:type="spellStart"/>
      <w:r w:rsidRPr="00B369EB">
        <w:t>conditions</w:t>
      </w:r>
      <w:proofErr w:type="spellEnd"/>
      <w:r w:rsidRPr="00B369EB">
        <w:t xml:space="preserve"> and to more </w:t>
      </w:r>
      <w:proofErr w:type="spellStart"/>
      <w:r w:rsidRPr="00B369EB">
        <w:t>sustainable</w:t>
      </w:r>
      <w:proofErr w:type="spellEnd"/>
      <w:r w:rsidRPr="00B369EB">
        <w:t xml:space="preserve"> </w:t>
      </w:r>
      <w:proofErr w:type="spellStart"/>
      <w:r w:rsidRPr="00B369EB">
        <w:t>crop</w:t>
      </w:r>
      <w:proofErr w:type="spellEnd"/>
      <w:r w:rsidRPr="00B369EB">
        <w:t xml:space="preserve"> </w:t>
      </w:r>
      <w:proofErr w:type="spellStart"/>
      <w:r w:rsidRPr="00B369EB">
        <w:t>management</w:t>
      </w:r>
      <w:proofErr w:type="spellEnd"/>
      <w:r w:rsidRPr="00B369EB">
        <w:t xml:space="preserve"> </w:t>
      </w:r>
      <w:proofErr w:type="spellStart"/>
      <w:r w:rsidRPr="00B369EB">
        <w:t>practices</w:t>
      </w:r>
      <w:proofErr w:type="spellEnd"/>
      <w:r w:rsidRPr="00B369EB">
        <w:t xml:space="preserve">". INVITE es uno de los dos proyectos galardonados de la convocatoria SFS-29-2018 "Innovaciones en el examen de variedades vegetales" del programa Horizonte 2020. Su objetivo es mejorar la eficiencia de los ensayos de variedades y la disponibilidad de información para las partes interesadas sobre el rendimiento de las variedades en condiciones de producción diversificadas y sobre el estrés biótico y abiótico para 10 cultivos (7 cultivos "modelo": maíz, trigo, </w:t>
      </w:r>
      <w:proofErr w:type="spellStart"/>
      <w:r w:rsidRPr="00B369EB">
        <w:t>rye</w:t>
      </w:r>
      <w:proofErr w:type="spellEnd"/>
      <w:r w:rsidRPr="00B369EB">
        <w:t xml:space="preserve"> </w:t>
      </w:r>
      <w:proofErr w:type="spellStart"/>
      <w:r w:rsidRPr="00B369EB">
        <w:t>grass</w:t>
      </w:r>
      <w:proofErr w:type="spellEnd"/>
      <w:r w:rsidRPr="00B369EB">
        <w:t xml:space="preserve">, girasol, patata, tomate, manzana y 3 "cultivos de aplicación": alfalfa, soja, colza). Aborda de forma equilibrada los exámenes DHE y de rendimiento y pretende maximizar las sinergias entre ellos mediante actividades relacionadas basadas en el fenotipado, el </w:t>
      </w:r>
      <w:proofErr w:type="spellStart"/>
      <w:r w:rsidRPr="00B369EB">
        <w:t>genotipado</w:t>
      </w:r>
      <w:proofErr w:type="spellEnd"/>
      <w:r w:rsidRPr="00B369EB">
        <w:t>, la modelización y la gestión de bases de datos. A los 29 socios se les concedieron unos 8 millones de euros por un periodo de 5 años ampliado en 6 meses (julio de 2019 - diciembre de 2024). La OCVV no recibió financiación.</w:t>
      </w:r>
    </w:p>
    <w:p w14:paraId="4BE345E3" w14:textId="77777777" w:rsidR="006A1579" w:rsidRPr="00B369EB" w:rsidRDefault="006A1579" w:rsidP="006A1579"/>
    <w:p w14:paraId="68FCF239" w14:textId="77777777" w:rsidR="007F2C3D" w:rsidRPr="00B369EB" w:rsidRDefault="001C673E">
      <w:r w:rsidRPr="00B369EB">
        <w:t>La OCVV se encarga de gestionar todas las cuestiones relacionadas con el acceso a datos históricos y materiales de referencia en poder de las oficinas de examen. Participa en reuniones técnicas, codirige el paquete de trabajo 5 dedicado a las pruebas y la validación de las nuevas herramientas desarrolladas por todos los paquetes de trabajo y es miembro del comité ejecutivo del proyecto.</w:t>
      </w:r>
    </w:p>
    <w:p w14:paraId="4AE56FF7" w14:textId="77777777" w:rsidR="006A1579" w:rsidRPr="00B369EB" w:rsidRDefault="006A1579" w:rsidP="006A1579"/>
    <w:p w14:paraId="5F0528DA" w14:textId="77777777" w:rsidR="007F2C3D" w:rsidRPr="00B369EB" w:rsidRDefault="001C673E">
      <w:r w:rsidRPr="00B369EB">
        <w:t xml:space="preserve">Durante el periodo comprendido entre julio de 2023 y julio de 2024, los trabajos avanzaron de forma constante en todos los paquetes de trabajo. En 2024, todos los socios firmaron una enmienda al acuerdo sobre datos históricos para permitir la publicación de artículos científicos en revistas con factores de impacto elevados (lo </w:t>
      </w:r>
      <w:r w:rsidRPr="00B369EB">
        <w:lastRenderedPageBreak/>
        <w:t xml:space="preserve">que requiere el acceso a los datos originales) y el mantenimiento de la base de datos de INVITE por parte de Naktuinbouw durante cinco años tras la finalización del proyecto (lo que permite posibles acciones de seguimiento, siempre condicionadas a los consentimientos de los obtentores). </w:t>
      </w:r>
    </w:p>
    <w:p w14:paraId="63FD1008" w14:textId="77777777" w:rsidR="006A1579" w:rsidRPr="00B369EB" w:rsidRDefault="006A1579" w:rsidP="006A1579"/>
    <w:p w14:paraId="7E5CDEC4" w14:textId="77777777" w:rsidR="007F2C3D" w:rsidRPr="00B369EB" w:rsidRDefault="001C673E">
      <w:r w:rsidRPr="00B369EB">
        <w:t xml:space="preserve">La 5ª reunión anual del proyecto tuvo lugar en Italia en junio de 2024 en la estación CREA-DC de </w:t>
      </w:r>
      <w:proofErr w:type="spellStart"/>
      <w:r w:rsidRPr="00B369EB">
        <w:t>Impruneta</w:t>
      </w:r>
      <w:proofErr w:type="spellEnd"/>
      <w:r w:rsidRPr="00B369EB">
        <w:t xml:space="preserve"> (IT). Durante la reunión, se organizaron debates a través de 3 grupos focales (</w:t>
      </w:r>
      <w:proofErr w:type="spellStart"/>
      <w:r w:rsidRPr="00B369EB">
        <w:t>genotipado</w:t>
      </w:r>
      <w:proofErr w:type="spellEnd"/>
      <w:r w:rsidRPr="00B369EB">
        <w:t xml:space="preserve">, fenotipado y optimización de VCUS) para comenzar a identificar los mensajes clave que deben transmitirse a las partes interesadas sobre los resultados del proyecto y definir un plan de difusión con el apoyo de Arcadia y </w:t>
      </w:r>
      <w:proofErr w:type="spellStart"/>
      <w:r w:rsidRPr="00B369EB">
        <w:t>Euroseeds</w:t>
      </w:r>
      <w:proofErr w:type="spellEnd"/>
      <w:r w:rsidRPr="00B369EB">
        <w:t>. Se decidió preparar informes temáticos y de cultivos, organizar eventos de difusión para las partes interesadas (oficinas de examen, obtentores) y concluir con una conferencia final abierta a todos los actores de la cadena de semillas el 10 de diciembre de 2024 en Bruselas. La conferencia final de INVITE propondrá análisis y recomendaciones sobre sus 10 cultivos según una perspectiva temática. Paralelamente, los resultados de INVITE sobre el trigo se integrarán en la agenda de la conferencia final de otro proyecto de la UE, INNOVAR, que también se celebrará en Bruselas el 28 de noviembre de 2024.</w:t>
      </w:r>
    </w:p>
    <w:p w14:paraId="4BDAF991" w14:textId="77777777" w:rsidR="00204E88" w:rsidRPr="00B369EB" w:rsidRDefault="00204E88" w:rsidP="006A1579"/>
    <w:p w14:paraId="2AA50CF7" w14:textId="77777777" w:rsidR="007F2C3D" w:rsidRPr="00B369EB" w:rsidRDefault="001C673E">
      <w:pPr>
        <w:rPr>
          <w:u w:val="single"/>
        </w:rPr>
      </w:pPr>
      <w:r w:rsidRPr="00B369EB">
        <w:rPr>
          <w:u w:val="single"/>
        </w:rPr>
        <w:t>6.3 Otros proyectos de I+D</w:t>
      </w:r>
    </w:p>
    <w:p w14:paraId="18EF18AE" w14:textId="77777777" w:rsidR="00547272" w:rsidRPr="00B369EB" w:rsidRDefault="00547272" w:rsidP="006A1579">
      <w:pPr>
        <w:rPr>
          <w:u w:val="single"/>
        </w:rPr>
      </w:pPr>
    </w:p>
    <w:p w14:paraId="2792807D" w14:textId="77777777" w:rsidR="007F2C3D" w:rsidRPr="00B369EB" w:rsidRDefault="001C673E">
      <w:pPr>
        <w:rPr>
          <w:bCs/>
          <w:i/>
        </w:rPr>
      </w:pPr>
      <w:proofErr w:type="spellStart"/>
      <w:r w:rsidRPr="00B369EB">
        <w:rPr>
          <w:bCs/>
          <w:i/>
        </w:rPr>
        <w:t>Harmorescoll</w:t>
      </w:r>
      <w:proofErr w:type="spellEnd"/>
    </w:p>
    <w:p w14:paraId="3A57F482" w14:textId="77777777" w:rsidR="00547272" w:rsidRPr="00B369EB" w:rsidRDefault="00547272" w:rsidP="006A1579"/>
    <w:p w14:paraId="5B4BE270" w14:textId="77777777" w:rsidR="007F2C3D" w:rsidRPr="00B369EB" w:rsidRDefault="001C673E">
      <w:r w:rsidRPr="00B369EB">
        <w:t>"Creación de un sistema de la UE para colecciones armonizadas de aislados de referencia, control y diferenciales para facilitar las pruebas de resistencia a las enfermedades". El proyecto acaba de finalizar y el informe final está previsto para finales de septiembre de 2024.</w:t>
      </w:r>
    </w:p>
    <w:p w14:paraId="093AB9E8" w14:textId="77777777" w:rsidR="006A1579" w:rsidRPr="00B369EB" w:rsidRDefault="006A1579" w:rsidP="006A1579"/>
    <w:p w14:paraId="2CFABD3E" w14:textId="77777777" w:rsidR="00EC45FD" w:rsidRPr="00B369EB" w:rsidRDefault="00EC45FD" w:rsidP="006A1579">
      <w:pPr>
        <w:rPr>
          <w:bCs/>
        </w:rPr>
      </w:pPr>
    </w:p>
    <w:p w14:paraId="2A3AC3B3" w14:textId="77777777" w:rsidR="00B737B1" w:rsidRPr="00B369EB" w:rsidRDefault="00B737B1">
      <w:pPr>
        <w:jc w:val="left"/>
      </w:pPr>
    </w:p>
    <w:p w14:paraId="2B726B24" w14:textId="77777777" w:rsidR="00050E16" w:rsidRPr="00B369EB" w:rsidRDefault="00050E16" w:rsidP="009B440E">
      <w:pPr>
        <w:jc w:val="left"/>
      </w:pPr>
    </w:p>
    <w:sectPr w:rsidR="00050E16" w:rsidRPr="00B369EB" w:rsidSect="00CE5C5C">
      <w:headerReference w:type="default" r:id="rId47"/>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6AA9B" w14:textId="77777777" w:rsidR="00FC7E18" w:rsidRDefault="00FC7E18" w:rsidP="00547272">
      <w:pPr>
        <w:spacing w:after="120"/>
      </w:pPr>
      <w:r>
        <w:separator/>
      </w:r>
    </w:p>
  </w:endnote>
  <w:endnote w:type="continuationSeparator" w:id="0">
    <w:p w14:paraId="14468F14" w14:textId="77777777" w:rsidR="00FC7E18" w:rsidRDefault="00FC7E18" w:rsidP="006655D3">
      <w:r>
        <w:separator/>
      </w:r>
    </w:p>
    <w:p w14:paraId="71EB9BC6" w14:textId="77777777" w:rsidR="007F2C3D" w:rsidRDefault="001C673E">
      <w:pPr>
        <w:pStyle w:val="Footer"/>
        <w:spacing w:after="60"/>
        <w:rPr>
          <w:sz w:val="18"/>
          <w:lang w:val="fr-FR"/>
        </w:rPr>
      </w:pPr>
      <w:r w:rsidRPr="00294751">
        <w:rPr>
          <w:sz w:val="18"/>
          <w:lang w:val="fr-FR"/>
        </w:rPr>
        <w:t>[Suite de la note de la page précédente]</w:t>
      </w:r>
    </w:p>
    <w:p w14:paraId="76C3ECE5" w14:textId="77777777" w:rsidR="00FC7E18" w:rsidRPr="00294751" w:rsidRDefault="00FC7E18" w:rsidP="006655D3">
      <w:pPr>
        <w:rPr>
          <w:lang w:val="fr-FR"/>
        </w:rPr>
      </w:pPr>
    </w:p>
    <w:p w14:paraId="5563F1AB" w14:textId="77777777" w:rsidR="00FC7E18" w:rsidRPr="00294751" w:rsidRDefault="00FC7E18" w:rsidP="006655D3">
      <w:pPr>
        <w:rPr>
          <w:lang w:val="fr-FR"/>
        </w:rPr>
      </w:pPr>
    </w:p>
  </w:endnote>
  <w:endnote w:type="continuationNotice" w:id="1">
    <w:p w14:paraId="54DF7680" w14:textId="77777777" w:rsidR="007F2C3D" w:rsidRDefault="001C673E">
      <w:pPr>
        <w:rPr>
          <w:lang w:val="fr-FR"/>
        </w:rPr>
      </w:pPr>
      <w:r w:rsidRPr="00294751">
        <w:rPr>
          <w:lang w:val="fr-FR"/>
        </w:rPr>
        <w:t>[Suite de la note page suivante]</w:t>
      </w:r>
    </w:p>
    <w:p w14:paraId="1BD1E571" w14:textId="77777777" w:rsidR="00FC7E18" w:rsidRPr="00294751" w:rsidRDefault="00FC7E18" w:rsidP="006655D3">
      <w:pPr>
        <w:rPr>
          <w:lang w:val="fr-FR"/>
        </w:rPr>
      </w:pPr>
    </w:p>
    <w:p w14:paraId="5E5BEAD4" w14:textId="77777777" w:rsidR="00FC7E18" w:rsidRPr="00294751" w:rsidRDefault="00FC7E18" w:rsidP="006655D3">
      <w:pPr>
        <w:rPr>
          <w:lang w:val="fr-FR"/>
        </w:rPr>
      </w:pPr>
    </w:p>
  </w:endnote>
  <w:endnote w:id="2">
    <w:p w14:paraId="777F4F3C" w14:textId="77777777" w:rsidR="007F2C3D" w:rsidRPr="001C673E" w:rsidRDefault="001C673E">
      <w:pPr>
        <w:pStyle w:val="EndnoteText"/>
        <w:tabs>
          <w:tab w:val="left" w:pos="284"/>
        </w:tabs>
        <w:rPr>
          <w:sz w:val="18"/>
          <w:szCs w:val="18"/>
          <w:lang w:val="es-ES"/>
        </w:rPr>
      </w:pPr>
      <w:r>
        <w:rPr>
          <w:rStyle w:val="EndnoteReference"/>
        </w:rPr>
        <w:endnoteRef/>
      </w:r>
      <w:r w:rsidRPr="001C673E">
        <w:rPr>
          <w:lang w:val="es-ES"/>
        </w:rPr>
        <w:tab/>
      </w:r>
      <w:r w:rsidRPr="001C673E">
        <w:rPr>
          <w:sz w:val="18"/>
          <w:szCs w:val="18"/>
          <w:lang w:val="es-ES"/>
        </w:rPr>
        <w:t>Este informe utiliza la terminología de las Naciones Unidas.</w:t>
      </w:r>
    </w:p>
    <w:p w14:paraId="6A0FB352" w14:textId="77777777" w:rsidR="006A1579" w:rsidRPr="001C673E" w:rsidRDefault="006A1579" w:rsidP="006A1579">
      <w:pPr>
        <w:rPr>
          <w:lang w:val="es-ES"/>
        </w:rPr>
      </w:pPr>
    </w:p>
    <w:p w14:paraId="775F3ACF" w14:textId="77777777" w:rsidR="006A1579" w:rsidRPr="001C673E" w:rsidRDefault="006A1579" w:rsidP="006A1579">
      <w:pPr>
        <w:rPr>
          <w:lang w:val="es-ES"/>
        </w:rPr>
      </w:pPr>
    </w:p>
    <w:p w14:paraId="1B60183A" w14:textId="77777777" w:rsidR="00547272" w:rsidRPr="001C673E" w:rsidRDefault="00547272" w:rsidP="006A1579">
      <w:pPr>
        <w:rPr>
          <w:lang w:val="es-ES"/>
        </w:rPr>
      </w:pPr>
    </w:p>
    <w:p w14:paraId="508E3AD1" w14:textId="77777777" w:rsidR="007F2C3D" w:rsidRPr="001C673E" w:rsidRDefault="001C673E">
      <w:pPr>
        <w:jc w:val="right"/>
        <w:rPr>
          <w:lang w:val="es-ES"/>
        </w:rPr>
      </w:pPr>
      <w:r w:rsidRPr="001C673E">
        <w:rPr>
          <w:lang w:val="es-ES"/>
        </w:rPr>
        <w:t>[Fin del anexo XII y del documento]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UAlbertina">
    <w:altName w:val="Calibri"/>
    <w:charset w:val="00"/>
    <w:family w:val="auto"/>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03BA5" w14:textId="77777777" w:rsidR="00FC7E18" w:rsidRDefault="00FC7E18" w:rsidP="006655D3">
      <w:r>
        <w:separator/>
      </w:r>
    </w:p>
  </w:footnote>
  <w:footnote w:type="continuationSeparator" w:id="0">
    <w:p w14:paraId="423D4D70" w14:textId="77777777" w:rsidR="00FC7E18" w:rsidRDefault="00FC7E18" w:rsidP="006655D3">
      <w:r>
        <w:separator/>
      </w:r>
    </w:p>
  </w:footnote>
  <w:footnote w:type="continuationNotice" w:id="1">
    <w:p w14:paraId="11C5FD66" w14:textId="77777777" w:rsidR="00FC7E18" w:rsidRPr="00AB530F" w:rsidRDefault="00FC7E18"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F0DE" w14:textId="77777777" w:rsidR="007F2C3D" w:rsidRDefault="001C673E">
    <w:pPr>
      <w:pStyle w:val="Header"/>
      <w:rPr>
        <w:rStyle w:val="PageNumber"/>
        <w:lang w:val="en-US"/>
      </w:rPr>
    </w:pPr>
    <w:r>
      <w:rPr>
        <w:rStyle w:val="PageNumber"/>
        <w:lang w:val="en-US"/>
      </w:rPr>
      <w:t>C/58/13</w:t>
    </w:r>
  </w:p>
  <w:p w14:paraId="1934444D" w14:textId="77777777" w:rsidR="007F2C3D" w:rsidRDefault="001C673E">
    <w:pPr>
      <w:pStyle w:val="Header"/>
      <w:rPr>
        <w:lang w:val="en-US"/>
      </w:rPr>
    </w:pP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245ED">
      <w:rPr>
        <w:rStyle w:val="PageNumber"/>
        <w:noProof/>
        <w:lang w:val="en-US"/>
      </w:rPr>
      <w:t>2</w:t>
    </w:r>
    <w:r w:rsidRPr="00C5280D">
      <w:rPr>
        <w:rStyle w:val="PageNumber"/>
        <w:lang w:val="en-US"/>
      </w:rPr>
      <w:fldChar w:fldCharType="end"/>
    </w:r>
  </w:p>
  <w:p w14:paraId="052CF4AD" w14:textId="77777777" w:rsidR="0004198B" w:rsidRPr="00C5280D" w:rsidRDefault="0004198B"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CBA88" w14:textId="77777777" w:rsidR="007F2C3D" w:rsidRDefault="001C673E">
    <w:pPr>
      <w:pStyle w:val="Header"/>
      <w:rPr>
        <w:rStyle w:val="PageNumber"/>
        <w:lang w:val="en-US"/>
      </w:rPr>
    </w:pPr>
    <w:r>
      <w:rPr>
        <w:rStyle w:val="PageNumber"/>
        <w:lang w:val="en-US"/>
      </w:rPr>
      <w:t>C/58/13</w:t>
    </w:r>
  </w:p>
  <w:p w14:paraId="7A6CD782" w14:textId="77777777" w:rsidR="007F2C3D" w:rsidRDefault="001C673E">
    <w:pPr>
      <w:pStyle w:val="Header"/>
      <w:rPr>
        <w:lang w:val="en-US"/>
      </w:rPr>
    </w:pPr>
    <w:r>
      <w:rPr>
        <w:lang w:val="en-US"/>
      </w:rPr>
      <w:t xml:space="preserve">Anexo </w:t>
    </w:r>
    <w:r w:rsidR="00802B87">
      <w:rPr>
        <w:lang w:val="en-US"/>
      </w:rPr>
      <w:t>VIII</w:t>
    </w:r>
    <w:r>
      <w:rPr>
        <w:lang w:val="en-US"/>
      </w:rPr>
      <w:t xml:space="preserve">,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C9489D7" w14:textId="77777777" w:rsidR="001F63A8" w:rsidRPr="00C5280D" w:rsidRDefault="001F63A8"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D417C" w14:textId="77777777" w:rsidR="007F2C3D" w:rsidRDefault="001C673E">
    <w:pPr>
      <w:pStyle w:val="Header"/>
      <w:rPr>
        <w:rStyle w:val="PageNumber"/>
        <w:lang w:val="en-US"/>
      </w:rPr>
    </w:pPr>
    <w:r>
      <w:rPr>
        <w:rStyle w:val="PageNumber"/>
        <w:lang w:val="en-US"/>
      </w:rPr>
      <w:t>C/58/13</w:t>
    </w:r>
  </w:p>
  <w:p w14:paraId="0375E394" w14:textId="77777777" w:rsidR="007F2C3D" w:rsidRDefault="001C673E">
    <w:pPr>
      <w:pStyle w:val="Header"/>
      <w:rPr>
        <w:lang w:val="en-US"/>
      </w:rPr>
    </w:pPr>
    <w:r>
      <w:rPr>
        <w:lang w:val="en-US"/>
      </w:rPr>
      <w:t xml:space="preserve">Anexo </w:t>
    </w:r>
    <w:r w:rsidR="00B737B1">
      <w:rPr>
        <w:lang w:val="en-US"/>
      </w:rPr>
      <w:t>IX</w:t>
    </w:r>
    <w:r>
      <w:rPr>
        <w:lang w:val="en-US"/>
      </w:rPr>
      <w:t xml:space="preserve">,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5CA85AB6" w14:textId="77777777" w:rsidR="001F63A8" w:rsidRPr="00C5280D" w:rsidRDefault="001F63A8" w:rsidP="006655D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D41F3" w14:textId="77777777" w:rsidR="007F2C3D" w:rsidRDefault="001C673E">
    <w:pPr>
      <w:pStyle w:val="Header"/>
      <w:rPr>
        <w:rStyle w:val="PageNumber"/>
        <w:lang w:val="en-US"/>
      </w:rPr>
    </w:pPr>
    <w:r>
      <w:rPr>
        <w:rStyle w:val="PageNumber"/>
        <w:lang w:val="en-US"/>
      </w:rPr>
      <w:t>C/58/13</w:t>
    </w:r>
  </w:p>
  <w:p w14:paraId="3A57BB81" w14:textId="77777777" w:rsidR="007F2C3D" w:rsidRDefault="001C673E">
    <w:pPr>
      <w:pStyle w:val="Header"/>
      <w:rPr>
        <w:lang w:val="en-US"/>
      </w:rPr>
    </w:pPr>
    <w:r>
      <w:rPr>
        <w:lang w:val="en-US"/>
      </w:rPr>
      <w:t xml:space="preserve">Anexo X,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52C10E7E" w14:textId="77777777" w:rsidR="001F63A8" w:rsidRPr="00C5280D" w:rsidRDefault="001F63A8" w:rsidP="006655D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8CB66" w14:textId="77777777" w:rsidR="007F2C3D" w:rsidRDefault="001C673E">
    <w:pPr>
      <w:pStyle w:val="Header"/>
      <w:rPr>
        <w:rStyle w:val="PageNumber"/>
        <w:lang w:val="en-US"/>
      </w:rPr>
    </w:pPr>
    <w:r>
      <w:rPr>
        <w:rStyle w:val="PageNumber"/>
        <w:lang w:val="en-US"/>
      </w:rPr>
      <w:t>C/58/13</w:t>
    </w:r>
  </w:p>
  <w:p w14:paraId="20FFD6F5" w14:textId="77777777" w:rsidR="007F2C3D" w:rsidRDefault="001C673E">
    <w:pPr>
      <w:pStyle w:val="Header"/>
      <w:rPr>
        <w:lang w:val="en-US"/>
      </w:rPr>
    </w:pPr>
    <w:r>
      <w:rPr>
        <w:lang w:val="en-US"/>
      </w:rPr>
      <w:t xml:space="preserve">Anexo </w:t>
    </w:r>
    <w:r w:rsidR="00B737B1">
      <w:rPr>
        <w:lang w:val="en-US"/>
      </w:rPr>
      <w:t>XI</w:t>
    </w:r>
    <w:r>
      <w:rPr>
        <w:lang w:val="en-US"/>
      </w:rPr>
      <w:t xml:space="preserve">,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11E632BF" w14:textId="77777777" w:rsidR="001F63A8" w:rsidRPr="00C5280D" w:rsidRDefault="001F63A8" w:rsidP="006655D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0CF77" w14:textId="77777777" w:rsidR="007F2C3D" w:rsidRDefault="001C673E">
    <w:pPr>
      <w:pStyle w:val="Header"/>
      <w:rPr>
        <w:rStyle w:val="PageNumber"/>
        <w:lang w:val="en-US"/>
      </w:rPr>
    </w:pPr>
    <w:r>
      <w:rPr>
        <w:rStyle w:val="PageNumber"/>
        <w:lang w:val="en-US"/>
      </w:rPr>
      <w:t>C/58/13</w:t>
    </w:r>
  </w:p>
  <w:p w14:paraId="648409C8" w14:textId="77777777" w:rsidR="007F2C3D" w:rsidRDefault="001C673E">
    <w:pPr>
      <w:pStyle w:val="Header"/>
      <w:rPr>
        <w:lang w:val="en-US"/>
      </w:rPr>
    </w:pPr>
    <w:r>
      <w:rPr>
        <w:lang w:val="en-US"/>
      </w:rPr>
      <w:t xml:space="preserve">Anexo </w:t>
    </w:r>
    <w:r w:rsidR="00B737B1">
      <w:rPr>
        <w:lang w:val="en-US"/>
      </w:rPr>
      <w:t>XII</w:t>
    </w:r>
    <w:r>
      <w:rPr>
        <w:lang w:val="en-US"/>
      </w:rPr>
      <w:t xml:space="preserve">,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87819BE" w14:textId="77777777" w:rsidR="001F63A8" w:rsidRPr="00C5280D" w:rsidRDefault="001F63A8"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0D076" w14:textId="77777777" w:rsidR="0004198B" w:rsidRPr="005A729D" w:rsidRDefault="0004198B" w:rsidP="005A72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EDF87" w14:textId="77777777" w:rsidR="007F2C3D" w:rsidRDefault="001C673E">
    <w:pPr>
      <w:pStyle w:val="Header"/>
      <w:rPr>
        <w:rStyle w:val="PageNumber"/>
        <w:lang w:val="en-US"/>
      </w:rPr>
    </w:pPr>
    <w:r>
      <w:rPr>
        <w:rStyle w:val="PageNumber"/>
        <w:lang w:val="en-US"/>
      </w:rPr>
      <w:t>C/58/13</w:t>
    </w:r>
  </w:p>
  <w:p w14:paraId="21A20D52" w14:textId="77777777" w:rsidR="007F2C3D" w:rsidRDefault="001C673E">
    <w:pPr>
      <w:pStyle w:val="Header"/>
      <w:rPr>
        <w:lang w:val="en-US"/>
      </w:rPr>
    </w:pPr>
    <w:r>
      <w:rPr>
        <w:lang w:val="en-US"/>
      </w:rPr>
      <w:t xml:space="preserve">Anexo I,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60E5CB65" w14:textId="77777777" w:rsidR="001F63A8" w:rsidRPr="00C5280D" w:rsidRDefault="001F63A8" w:rsidP="006655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D816E" w14:textId="77777777" w:rsidR="007F2C3D" w:rsidRDefault="001C673E">
    <w:pPr>
      <w:pStyle w:val="Header"/>
      <w:rPr>
        <w:rStyle w:val="PageNumber"/>
        <w:lang w:val="en-US"/>
      </w:rPr>
    </w:pPr>
    <w:r>
      <w:rPr>
        <w:rStyle w:val="PageNumber"/>
        <w:lang w:val="en-US"/>
      </w:rPr>
      <w:t>C/58/13</w:t>
    </w:r>
  </w:p>
  <w:p w14:paraId="3D2B441C" w14:textId="77777777" w:rsidR="007F2C3D" w:rsidRDefault="001C673E">
    <w:pPr>
      <w:pStyle w:val="Header"/>
      <w:rPr>
        <w:lang w:val="en-US"/>
      </w:rPr>
    </w:pPr>
    <w:r>
      <w:rPr>
        <w:lang w:val="en-US"/>
      </w:rPr>
      <w:t xml:space="preserve">Anexo II,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FE0B645" w14:textId="77777777" w:rsidR="001F63A8" w:rsidRPr="00C5280D" w:rsidRDefault="001F63A8" w:rsidP="006655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C072" w14:textId="77777777" w:rsidR="007F2C3D" w:rsidRDefault="001C673E">
    <w:pPr>
      <w:pStyle w:val="Header"/>
      <w:rPr>
        <w:rStyle w:val="PageNumber"/>
        <w:lang w:val="en-US"/>
      </w:rPr>
    </w:pPr>
    <w:r>
      <w:rPr>
        <w:rStyle w:val="PageNumber"/>
        <w:lang w:val="en-US"/>
      </w:rPr>
      <w:t>C/58/13</w:t>
    </w:r>
  </w:p>
  <w:p w14:paraId="654B994C" w14:textId="77777777" w:rsidR="007F2C3D" w:rsidRDefault="001C673E">
    <w:pPr>
      <w:pStyle w:val="Header"/>
      <w:rPr>
        <w:lang w:val="en-US"/>
      </w:rPr>
    </w:pPr>
    <w:r>
      <w:rPr>
        <w:lang w:val="en-US"/>
      </w:rPr>
      <w:t xml:space="preserve">Anexo III,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2044E82E" w14:textId="77777777" w:rsidR="00B737B1" w:rsidRPr="00C5280D" w:rsidRDefault="00B737B1" w:rsidP="006655D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DA476" w14:textId="77777777" w:rsidR="007F2C3D" w:rsidRDefault="001C673E">
    <w:pPr>
      <w:pStyle w:val="Header"/>
      <w:rPr>
        <w:rStyle w:val="PageNumber"/>
        <w:lang w:val="en-US"/>
      </w:rPr>
    </w:pPr>
    <w:r>
      <w:rPr>
        <w:rStyle w:val="PageNumber"/>
        <w:lang w:val="en-US"/>
      </w:rPr>
      <w:t>C/58/13</w:t>
    </w:r>
  </w:p>
  <w:p w14:paraId="512B0AA6" w14:textId="77777777" w:rsidR="007F2C3D" w:rsidRDefault="001C673E">
    <w:pPr>
      <w:pStyle w:val="Header"/>
      <w:rPr>
        <w:lang w:val="en-US"/>
      </w:rPr>
    </w:pPr>
    <w:r>
      <w:rPr>
        <w:lang w:val="en-US"/>
      </w:rPr>
      <w:t xml:space="preserve">Anexo </w:t>
    </w:r>
    <w:r w:rsidR="00B737B1">
      <w:rPr>
        <w:lang w:val="en-US"/>
      </w:rPr>
      <w:t>IV</w:t>
    </w:r>
    <w:r>
      <w:rPr>
        <w:lang w:val="en-US"/>
      </w:rPr>
      <w:t xml:space="preserve">,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7B445C97" w14:textId="77777777" w:rsidR="001F63A8" w:rsidRPr="00C5280D" w:rsidRDefault="001F63A8" w:rsidP="00665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9B245" w14:textId="77777777" w:rsidR="007F2C3D" w:rsidRDefault="001C673E">
    <w:pPr>
      <w:pStyle w:val="Header"/>
      <w:rPr>
        <w:rStyle w:val="PageNumber"/>
        <w:lang w:val="en-US"/>
      </w:rPr>
    </w:pPr>
    <w:r>
      <w:rPr>
        <w:rStyle w:val="PageNumber"/>
        <w:lang w:val="en-US"/>
      </w:rPr>
      <w:t>C/58/13</w:t>
    </w:r>
  </w:p>
  <w:p w14:paraId="68C8D18A" w14:textId="77777777" w:rsidR="007F2C3D" w:rsidRDefault="001C673E">
    <w:pPr>
      <w:pStyle w:val="Header"/>
      <w:rPr>
        <w:lang w:val="en-US"/>
      </w:rPr>
    </w:pPr>
    <w:r>
      <w:rPr>
        <w:lang w:val="en-US"/>
      </w:rPr>
      <w:t xml:space="preserve">Anexo V,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7B1B781E" w14:textId="77777777" w:rsidR="001F63A8" w:rsidRPr="00C5280D" w:rsidRDefault="001F63A8" w:rsidP="006655D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98C8" w14:textId="77777777" w:rsidR="007F2C3D" w:rsidRDefault="001C673E">
    <w:pPr>
      <w:pStyle w:val="Header"/>
      <w:rPr>
        <w:rStyle w:val="PageNumber"/>
        <w:lang w:val="en-US"/>
      </w:rPr>
    </w:pPr>
    <w:r>
      <w:rPr>
        <w:rStyle w:val="PageNumber"/>
        <w:lang w:val="en-US"/>
      </w:rPr>
      <w:t>C/58/13</w:t>
    </w:r>
  </w:p>
  <w:p w14:paraId="50D934FB" w14:textId="77777777" w:rsidR="007F2C3D" w:rsidRDefault="001C673E">
    <w:pPr>
      <w:pStyle w:val="Header"/>
      <w:rPr>
        <w:lang w:val="en-US"/>
      </w:rPr>
    </w:pPr>
    <w:r>
      <w:rPr>
        <w:lang w:val="en-US"/>
      </w:rPr>
      <w:t xml:space="preserve">Anexo </w:t>
    </w:r>
    <w:r w:rsidR="00B737B1">
      <w:rPr>
        <w:lang w:val="en-US"/>
      </w:rPr>
      <w:t>VI</w:t>
    </w:r>
    <w:r>
      <w:rPr>
        <w:lang w:val="en-US"/>
      </w:rPr>
      <w:t xml:space="preserve">,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7D252A2" w14:textId="77777777" w:rsidR="001F63A8" w:rsidRPr="00C5280D" w:rsidRDefault="001F63A8" w:rsidP="006655D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D1ED5" w14:textId="77777777" w:rsidR="007F2C3D" w:rsidRDefault="001C673E">
    <w:pPr>
      <w:pStyle w:val="Header"/>
      <w:rPr>
        <w:rStyle w:val="PageNumber"/>
        <w:lang w:val="en-US"/>
      </w:rPr>
    </w:pPr>
    <w:r>
      <w:rPr>
        <w:rStyle w:val="PageNumber"/>
        <w:lang w:val="en-US"/>
      </w:rPr>
      <w:t>C/58/13</w:t>
    </w:r>
  </w:p>
  <w:p w14:paraId="20F49C02" w14:textId="77777777" w:rsidR="007F2C3D" w:rsidRDefault="001C673E">
    <w:pPr>
      <w:pStyle w:val="Header"/>
      <w:rPr>
        <w:lang w:val="en-US"/>
      </w:rPr>
    </w:pPr>
    <w:r>
      <w:rPr>
        <w:lang w:val="en-US"/>
      </w:rPr>
      <w:t xml:space="preserve">Anexo </w:t>
    </w:r>
    <w:r w:rsidR="00B737B1">
      <w:rPr>
        <w:lang w:val="en-US"/>
      </w:rPr>
      <w:t>VII</w:t>
    </w:r>
    <w:r>
      <w:rPr>
        <w:lang w:val="en-US"/>
      </w:rPr>
      <w:t xml:space="preserve">,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6311CF44" w14:textId="77777777" w:rsidR="002B0F13" w:rsidRPr="00C5280D" w:rsidRDefault="002B0F13" w:rsidP="00665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5242227"/>
    <w:multiLevelType w:val="singleLevel"/>
    <w:tmpl w:val="F5242227"/>
    <w:lvl w:ilvl="0">
      <w:start w:val="1"/>
      <w:numFmt w:val="decimal"/>
      <w:suff w:val="space"/>
      <w:lvlText w:val="%1."/>
      <w:lvlJc w:val="left"/>
    </w:lvl>
  </w:abstractNum>
  <w:abstractNum w:abstractNumId="1"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17D5699"/>
    <w:multiLevelType w:val="hybridMultilevel"/>
    <w:tmpl w:val="DECE46FE"/>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8D5CC5"/>
    <w:multiLevelType w:val="hybridMultilevel"/>
    <w:tmpl w:val="6784BC12"/>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B7C53A4"/>
    <w:multiLevelType w:val="hybridMultilevel"/>
    <w:tmpl w:val="FAA40FF8"/>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03029EB"/>
    <w:multiLevelType w:val="multilevel"/>
    <w:tmpl w:val="A8EC023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1" w15:restartNumberingAfterBreak="0">
    <w:nsid w:val="25352EB7"/>
    <w:multiLevelType w:val="hybridMultilevel"/>
    <w:tmpl w:val="CAD24FFA"/>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3" w15:restartNumberingAfterBreak="0">
    <w:nsid w:val="2EA35B39"/>
    <w:multiLevelType w:val="hybridMultilevel"/>
    <w:tmpl w:val="D382C5A8"/>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95921"/>
    <w:multiLevelType w:val="multilevel"/>
    <w:tmpl w:val="0DBAF09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6" w15:restartNumberingAfterBreak="0">
    <w:nsid w:val="40E1339E"/>
    <w:multiLevelType w:val="multilevel"/>
    <w:tmpl w:val="DDCC7F2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40EC6B55"/>
    <w:multiLevelType w:val="hybridMultilevel"/>
    <w:tmpl w:val="B4082F32"/>
    <w:lvl w:ilvl="0" w:tplc="1C090001">
      <w:start w:val="1"/>
      <w:numFmt w:val="bullet"/>
      <w:lvlText w:val=""/>
      <w:lvlJc w:val="left"/>
      <w:pPr>
        <w:ind w:left="1570" w:hanging="360"/>
      </w:pPr>
      <w:rPr>
        <w:rFonts w:ascii="Symbol" w:hAnsi="Symbol" w:hint="default"/>
      </w:rPr>
    </w:lvl>
    <w:lvl w:ilvl="1" w:tplc="1C090003" w:tentative="1">
      <w:start w:val="1"/>
      <w:numFmt w:val="bullet"/>
      <w:lvlText w:val="o"/>
      <w:lvlJc w:val="left"/>
      <w:pPr>
        <w:ind w:left="2290" w:hanging="360"/>
      </w:pPr>
      <w:rPr>
        <w:rFonts w:ascii="Courier New" w:hAnsi="Courier New" w:cs="Courier New" w:hint="default"/>
      </w:rPr>
    </w:lvl>
    <w:lvl w:ilvl="2" w:tplc="1C090005" w:tentative="1">
      <w:start w:val="1"/>
      <w:numFmt w:val="bullet"/>
      <w:lvlText w:val=""/>
      <w:lvlJc w:val="left"/>
      <w:pPr>
        <w:ind w:left="3010" w:hanging="360"/>
      </w:pPr>
      <w:rPr>
        <w:rFonts w:ascii="Wingdings" w:hAnsi="Wingdings" w:hint="default"/>
      </w:rPr>
    </w:lvl>
    <w:lvl w:ilvl="3" w:tplc="1C090001" w:tentative="1">
      <w:start w:val="1"/>
      <w:numFmt w:val="bullet"/>
      <w:lvlText w:val=""/>
      <w:lvlJc w:val="left"/>
      <w:pPr>
        <w:ind w:left="3730" w:hanging="360"/>
      </w:pPr>
      <w:rPr>
        <w:rFonts w:ascii="Symbol" w:hAnsi="Symbol" w:hint="default"/>
      </w:rPr>
    </w:lvl>
    <w:lvl w:ilvl="4" w:tplc="1C090003" w:tentative="1">
      <w:start w:val="1"/>
      <w:numFmt w:val="bullet"/>
      <w:lvlText w:val="o"/>
      <w:lvlJc w:val="left"/>
      <w:pPr>
        <w:ind w:left="4450" w:hanging="360"/>
      </w:pPr>
      <w:rPr>
        <w:rFonts w:ascii="Courier New" w:hAnsi="Courier New" w:cs="Courier New" w:hint="default"/>
      </w:rPr>
    </w:lvl>
    <w:lvl w:ilvl="5" w:tplc="1C090005" w:tentative="1">
      <w:start w:val="1"/>
      <w:numFmt w:val="bullet"/>
      <w:lvlText w:val=""/>
      <w:lvlJc w:val="left"/>
      <w:pPr>
        <w:ind w:left="5170" w:hanging="360"/>
      </w:pPr>
      <w:rPr>
        <w:rFonts w:ascii="Wingdings" w:hAnsi="Wingdings" w:hint="default"/>
      </w:rPr>
    </w:lvl>
    <w:lvl w:ilvl="6" w:tplc="1C090001" w:tentative="1">
      <w:start w:val="1"/>
      <w:numFmt w:val="bullet"/>
      <w:lvlText w:val=""/>
      <w:lvlJc w:val="left"/>
      <w:pPr>
        <w:ind w:left="5890" w:hanging="360"/>
      </w:pPr>
      <w:rPr>
        <w:rFonts w:ascii="Symbol" w:hAnsi="Symbol" w:hint="default"/>
      </w:rPr>
    </w:lvl>
    <w:lvl w:ilvl="7" w:tplc="1C090003" w:tentative="1">
      <w:start w:val="1"/>
      <w:numFmt w:val="bullet"/>
      <w:lvlText w:val="o"/>
      <w:lvlJc w:val="left"/>
      <w:pPr>
        <w:ind w:left="6610" w:hanging="360"/>
      </w:pPr>
      <w:rPr>
        <w:rFonts w:ascii="Courier New" w:hAnsi="Courier New" w:cs="Courier New" w:hint="default"/>
      </w:rPr>
    </w:lvl>
    <w:lvl w:ilvl="8" w:tplc="1C090005" w:tentative="1">
      <w:start w:val="1"/>
      <w:numFmt w:val="bullet"/>
      <w:lvlText w:val=""/>
      <w:lvlJc w:val="left"/>
      <w:pPr>
        <w:ind w:left="7330" w:hanging="360"/>
      </w:pPr>
      <w:rPr>
        <w:rFonts w:ascii="Wingdings" w:hAnsi="Wingdings" w:hint="default"/>
      </w:rPr>
    </w:lvl>
  </w:abstractNum>
  <w:abstractNum w:abstractNumId="18"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D364AA"/>
    <w:multiLevelType w:val="hybridMultilevel"/>
    <w:tmpl w:val="27E292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15:restartNumberingAfterBreak="0">
    <w:nsid w:val="5B104281"/>
    <w:multiLevelType w:val="hybridMultilevel"/>
    <w:tmpl w:val="45B236B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EC407D"/>
    <w:multiLevelType w:val="multilevel"/>
    <w:tmpl w:val="9FD4FFB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5CC24C2F"/>
    <w:multiLevelType w:val="hybridMultilevel"/>
    <w:tmpl w:val="D494BC22"/>
    <w:lvl w:ilvl="0" w:tplc="BA3C0B6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782EF5"/>
    <w:multiLevelType w:val="hybridMultilevel"/>
    <w:tmpl w:val="2D4C4004"/>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38F2E5B"/>
    <w:multiLevelType w:val="hybridMultilevel"/>
    <w:tmpl w:val="0C4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3" w15:restartNumberingAfterBreak="0">
    <w:nsid w:val="7AE7303E"/>
    <w:multiLevelType w:val="hybridMultilevel"/>
    <w:tmpl w:val="836670F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BE607CA"/>
    <w:multiLevelType w:val="hybridMultilevel"/>
    <w:tmpl w:val="DCA2B5A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3977266">
    <w:abstractNumId w:val="28"/>
  </w:num>
  <w:num w:numId="2" w16cid:durableId="1667629085">
    <w:abstractNumId w:val="23"/>
  </w:num>
  <w:num w:numId="3" w16cid:durableId="2134050997">
    <w:abstractNumId w:val="17"/>
  </w:num>
  <w:num w:numId="4" w16cid:durableId="356660894">
    <w:abstractNumId w:val="4"/>
  </w:num>
  <w:num w:numId="5" w16cid:durableId="1004632437">
    <w:abstractNumId w:val="27"/>
  </w:num>
  <w:num w:numId="6" w16cid:durableId="264311829">
    <w:abstractNumId w:val="6"/>
  </w:num>
  <w:num w:numId="7" w16cid:durableId="15042005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587651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790174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899412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6112502">
    <w:abstractNumId w:val="0"/>
  </w:num>
  <w:num w:numId="12" w16cid:durableId="1047417598">
    <w:abstractNumId w:val="13"/>
  </w:num>
  <w:num w:numId="13" w16cid:durableId="1843814930">
    <w:abstractNumId w:val="11"/>
  </w:num>
  <w:num w:numId="14" w16cid:durableId="1104421272">
    <w:abstractNumId w:val="3"/>
  </w:num>
  <w:num w:numId="15" w16cid:durableId="628510781">
    <w:abstractNumId w:val="2"/>
  </w:num>
  <w:num w:numId="16" w16cid:durableId="1918319544">
    <w:abstractNumId w:val="1"/>
  </w:num>
  <w:num w:numId="17" w16cid:durableId="1269585482">
    <w:abstractNumId w:val="15"/>
  </w:num>
  <w:num w:numId="18" w16cid:durableId="730805943">
    <w:abstractNumId w:val="12"/>
  </w:num>
  <w:num w:numId="19" w16cid:durableId="1503738256">
    <w:abstractNumId w:val="9"/>
  </w:num>
  <w:num w:numId="20" w16cid:durableId="126827114">
    <w:abstractNumId w:val="8"/>
  </w:num>
  <w:num w:numId="21" w16cid:durableId="1011838744">
    <w:abstractNumId w:val="29"/>
  </w:num>
  <w:num w:numId="22" w16cid:durableId="1169249347">
    <w:abstractNumId w:val="31"/>
  </w:num>
  <w:num w:numId="23" w16cid:durableId="1180201072">
    <w:abstractNumId w:val="30"/>
  </w:num>
  <w:num w:numId="24" w16cid:durableId="1082262145">
    <w:abstractNumId w:val="32"/>
  </w:num>
  <w:num w:numId="25" w16cid:durableId="1260261030">
    <w:abstractNumId w:val="10"/>
  </w:num>
  <w:num w:numId="26" w16cid:durableId="845706749">
    <w:abstractNumId w:val="18"/>
  </w:num>
  <w:num w:numId="27" w16cid:durableId="1222714695">
    <w:abstractNumId w:val="21"/>
  </w:num>
  <w:num w:numId="28" w16cid:durableId="1076636593">
    <w:abstractNumId w:val="19"/>
  </w:num>
  <w:num w:numId="29" w16cid:durableId="1902253031">
    <w:abstractNumId w:val="5"/>
  </w:num>
  <w:num w:numId="30" w16cid:durableId="1072970664">
    <w:abstractNumId w:val="22"/>
  </w:num>
  <w:num w:numId="31" w16cid:durableId="132211619">
    <w:abstractNumId w:val="33"/>
  </w:num>
  <w:num w:numId="32" w16cid:durableId="1900745197">
    <w:abstractNumId w:val="24"/>
  </w:num>
  <w:num w:numId="33" w16cid:durableId="2042776152">
    <w:abstractNumId w:val="20"/>
  </w:num>
  <w:num w:numId="34" w16cid:durableId="151870693">
    <w:abstractNumId w:val="34"/>
  </w:num>
  <w:num w:numId="35" w16cid:durableId="205221020">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E18"/>
    <w:rsid w:val="00003382"/>
    <w:rsid w:val="00003D05"/>
    <w:rsid w:val="00010CF3"/>
    <w:rsid w:val="00011E27"/>
    <w:rsid w:val="000148BC"/>
    <w:rsid w:val="00024AB8"/>
    <w:rsid w:val="00030854"/>
    <w:rsid w:val="00036028"/>
    <w:rsid w:val="000376DB"/>
    <w:rsid w:val="0004198B"/>
    <w:rsid w:val="00044642"/>
    <w:rsid w:val="000446B9"/>
    <w:rsid w:val="00047E21"/>
    <w:rsid w:val="00050E16"/>
    <w:rsid w:val="000657D0"/>
    <w:rsid w:val="00085505"/>
    <w:rsid w:val="000C3F38"/>
    <w:rsid w:val="000C4E25"/>
    <w:rsid w:val="000C7021"/>
    <w:rsid w:val="000C7D38"/>
    <w:rsid w:val="000D6BBC"/>
    <w:rsid w:val="000D7780"/>
    <w:rsid w:val="000E636A"/>
    <w:rsid w:val="000E6D11"/>
    <w:rsid w:val="000F2F11"/>
    <w:rsid w:val="000F49AE"/>
    <w:rsid w:val="00100A5F"/>
    <w:rsid w:val="00105929"/>
    <w:rsid w:val="00110BED"/>
    <w:rsid w:val="00110C36"/>
    <w:rsid w:val="001131D5"/>
    <w:rsid w:val="00114547"/>
    <w:rsid w:val="00124956"/>
    <w:rsid w:val="00137F5B"/>
    <w:rsid w:val="00141DB8"/>
    <w:rsid w:val="00172084"/>
    <w:rsid w:val="0017474A"/>
    <w:rsid w:val="001758C6"/>
    <w:rsid w:val="00182B99"/>
    <w:rsid w:val="001B0262"/>
    <w:rsid w:val="001C1525"/>
    <w:rsid w:val="001C673E"/>
    <w:rsid w:val="001D736D"/>
    <w:rsid w:val="001F63A8"/>
    <w:rsid w:val="00204E88"/>
    <w:rsid w:val="0021332C"/>
    <w:rsid w:val="00213982"/>
    <w:rsid w:val="0024416D"/>
    <w:rsid w:val="0025197E"/>
    <w:rsid w:val="002650AF"/>
    <w:rsid w:val="00271911"/>
    <w:rsid w:val="00273187"/>
    <w:rsid w:val="002800A0"/>
    <w:rsid w:val="002801B3"/>
    <w:rsid w:val="002809ED"/>
    <w:rsid w:val="00281060"/>
    <w:rsid w:val="00285BD0"/>
    <w:rsid w:val="002940E8"/>
    <w:rsid w:val="00294751"/>
    <w:rsid w:val="002A6E50"/>
    <w:rsid w:val="002B0F13"/>
    <w:rsid w:val="002B2D73"/>
    <w:rsid w:val="002B2F9C"/>
    <w:rsid w:val="002B4298"/>
    <w:rsid w:val="002B7A36"/>
    <w:rsid w:val="002C256A"/>
    <w:rsid w:val="002D5226"/>
    <w:rsid w:val="00305A7F"/>
    <w:rsid w:val="003152FE"/>
    <w:rsid w:val="00327436"/>
    <w:rsid w:val="00344BD6"/>
    <w:rsid w:val="0035528D"/>
    <w:rsid w:val="0035675F"/>
    <w:rsid w:val="00356C51"/>
    <w:rsid w:val="00356E77"/>
    <w:rsid w:val="00361821"/>
    <w:rsid w:val="00361E9E"/>
    <w:rsid w:val="003753EE"/>
    <w:rsid w:val="00391231"/>
    <w:rsid w:val="003A0835"/>
    <w:rsid w:val="003A5AAF"/>
    <w:rsid w:val="003B700A"/>
    <w:rsid w:val="003B741E"/>
    <w:rsid w:val="003C0991"/>
    <w:rsid w:val="003C57B3"/>
    <w:rsid w:val="003C7FBE"/>
    <w:rsid w:val="003D1735"/>
    <w:rsid w:val="003D227C"/>
    <w:rsid w:val="003D2B4D"/>
    <w:rsid w:val="003F35EF"/>
    <w:rsid w:val="003F37F5"/>
    <w:rsid w:val="004126A3"/>
    <w:rsid w:val="00444A88"/>
    <w:rsid w:val="00474DA4"/>
    <w:rsid w:val="00476B4D"/>
    <w:rsid w:val="004805FA"/>
    <w:rsid w:val="004935D2"/>
    <w:rsid w:val="004B1215"/>
    <w:rsid w:val="004B7F21"/>
    <w:rsid w:val="004D047D"/>
    <w:rsid w:val="004E1AB4"/>
    <w:rsid w:val="004F0368"/>
    <w:rsid w:val="004F1E9E"/>
    <w:rsid w:val="004F305A"/>
    <w:rsid w:val="004F3713"/>
    <w:rsid w:val="00512164"/>
    <w:rsid w:val="00520297"/>
    <w:rsid w:val="005338F9"/>
    <w:rsid w:val="005377CD"/>
    <w:rsid w:val="0054281C"/>
    <w:rsid w:val="00544581"/>
    <w:rsid w:val="00547272"/>
    <w:rsid w:val="0055268D"/>
    <w:rsid w:val="00556718"/>
    <w:rsid w:val="0056504F"/>
    <w:rsid w:val="00575718"/>
    <w:rsid w:val="00575DE2"/>
    <w:rsid w:val="00576BE4"/>
    <w:rsid w:val="005779DB"/>
    <w:rsid w:val="005A400A"/>
    <w:rsid w:val="005A729D"/>
    <w:rsid w:val="005B269D"/>
    <w:rsid w:val="005B2752"/>
    <w:rsid w:val="005C0611"/>
    <w:rsid w:val="005F7B92"/>
    <w:rsid w:val="00602E93"/>
    <w:rsid w:val="00606E50"/>
    <w:rsid w:val="00612379"/>
    <w:rsid w:val="006153B6"/>
    <w:rsid w:val="0061555F"/>
    <w:rsid w:val="006245ED"/>
    <w:rsid w:val="00631BC1"/>
    <w:rsid w:val="006365C8"/>
    <w:rsid w:val="00636CA6"/>
    <w:rsid w:val="00641200"/>
    <w:rsid w:val="00645CA8"/>
    <w:rsid w:val="00664EB5"/>
    <w:rsid w:val="006655D3"/>
    <w:rsid w:val="00667404"/>
    <w:rsid w:val="00676EFE"/>
    <w:rsid w:val="006868F8"/>
    <w:rsid w:val="00687EB4"/>
    <w:rsid w:val="00695C56"/>
    <w:rsid w:val="006A1579"/>
    <w:rsid w:val="006A5CDE"/>
    <w:rsid w:val="006A644A"/>
    <w:rsid w:val="006B17D2"/>
    <w:rsid w:val="006C224E"/>
    <w:rsid w:val="006D780A"/>
    <w:rsid w:val="006E470A"/>
    <w:rsid w:val="006F10DD"/>
    <w:rsid w:val="006F222D"/>
    <w:rsid w:val="007018E1"/>
    <w:rsid w:val="00703092"/>
    <w:rsid w:val="0071271E"/>
    <w:rsid w:val="00732DEC"/>
    <w:rsid w:val="00735BD5"/>
    <w:rsid w:val="00736C4C"/>
    <w:rsid w:val="007451EC"/>
    <w:rsid w:val="00751613"/>
    <w:rsid w:val="00753EE9"/>
    <w:rsid w:val="007546B2"/>
    <w:rsid w:val="007556F6"/>
    <w:rsid w:val="00760EEF"/>
    <w:rsid w:val="00776A87"/>
    <w:rsid w:val="00777EE5"/>
    <w:rsid w:val="00784836"/>
    <w:rsid w:val="0079023E"/>
    <w:rsid w:val="007924BA"/>
    <w:rsid w:val="007A2854"/>
    <w:rsid w:val="007C1D92"/>
    <w:rsid w:val="007C4CB9"/>
    <w:rsid w:val="007C78E0"/>
    <w:rsid w:val="007D0B9D"/>
    <w:rsid w:val="007D19B0"/>
    <w:rsid w:val="007F2C3D"/>
    <w:rsid w:val="007F2E78"/>
    <w:rsid w:val="007F498F"/>
    <w:rsid w:val="007F62C4"/>
    <w:rsid w:val="008019AB"/>
    <w:rsid w:val="00802B87"/>
    <w:rsid w:val="0080679D"/>
    <w:rsid w:val="00810791"/>
    <w:rsid w:val="008108B0"/>
    <w:rsid w:val="00811B20"/>
    <w:rsid w:val="00812609"/>
    <w:rsid w:val="008211B5"/>
    <w:rsid w:val="008227FA"/>
    <w:rsid w:val="0082296E"/>
    <w:rsid w:val="00824099"/>
    <w:rsid w:val="00833038"/>
    <w:rsid w:val="0084222E"/>
    <w:rsid w:val="00846D7C"/>
    <w:rsid w:val="00862B51"/>
    <w:rsid w:val="00867AC1"/>
    <w:rsid w:val="008731DA"/>
    <w:rsid w:val="008751DE"/>
    <w:rsid w:val="00882D7E"/>
    <w:rsid w:val="00890DF8"/>
    <w:rsid w:val="008A0ADE"/>
    <w:rsid w:val="008A743F"/>
    <w:rsid w:val="008C0970"/>
    <w:rsid w:val="008D0163"/>
    <w:rsid w:val="008D0BC5"/>
    <w:rsid w:val="008D2CF7"/>
    <w:rsid w:val="008F1899"/>
    <w:rsid w:val="008F45E2"/>
    <w:rsid w:val="00900C26"/>
    <w:rsid w:val="0090197F"/>
    <w:rsid w:val="00903264"/>
    <w:rsid w:val="00906DDC"/>
    <w:rsid w:val="00934CBD"/>
    <w:rsid w:val="00934E09"/>
    <w:rsid w:val="00936253"/>
    <w:rsid w:val="009366AF"/>
    <w:rsid w:val="00940D46"/>
    <w:rsid w:val="009413F1"/>
    <w:rsid w:val="00952DD4"/>
    <w:rsid w:val="009561F4"/>
    <w:rsid w:val="00962952"/>
    <w:rsid w:val="00965AE7"/>
    <w:rsid w:val="00970FED"/>
    <w:rsid w:val="00992D82"/>
    <w:rsid w:val="00997029"/>
    <w:rsid w:val="009A7339"/>
    <w:rsid w:val="009B15AF"/>
    <w:rsid w:val="009B440E"/>
    <w:rsid w:val="009D02EB"/>
    <w:rsid w:val="009D690D"/>
    <w:rsid w:val="009E65B6"/>
    <w:rsid w:val="009F0A51"/>
    <w:rsid w:val="009F77CF"/>
    <w:rsid w:val="00A058CD"/>
    <w:rsid w:val="00A132BB"/>
    <w:rsid w:val="00A134F3"/>
    <w:rsid w:val="00A24C10"/>
    <w:rsid w:val="00A321B6"/>
    <w:rsid w:val="00A3237C"/>
    <w:rsid w:val="00A32758"/>
    <w:rsid w:val="00A42AC3"/>
    <w:rsid w:val="00A430CF"/>
    <w:rsid w:val="00A54309"/>
    <w:rsid w:val="00A610A9"/>
    <w:rsid w:val="00A66F67"/>
    <w:rsid w:val="00A73356"/>
    <w:rsid w:val="00A80F2A"/>
    <w:rsid w:val="00A96C33"/>
    <w:rsid w:val="00A97406"/>
    <w:rsid w:val="00AA13A2"/>
    <w:rsid w:val="00AB1955"/>
    <w:rsid w:val="00AB2B93"/>
    <w:rsid w:val="00AB530F"/>
    <w:rsid w:val="00AB7E5B"/>
    <w:rsid w:val="00AC2883"/>
    <w:rsid w:val="00AD5079"/>
    <w:rsid w:val="00AE0EF1"/>
    <w:rsid w:val="00AE2937"/>
    <w:rsid w:val="00B00DF5"/>
    <w:rsid w:val="00B07301"/>
    <w:rsid w:val="00B11F3E"/>
    <w:rsid w:val="00B224DE"/>
    <w:rsid w:val="00B324D4"/>
    <w:rsid w:val="00B369EB"/>
    <w:rsid w:val="00B46575"/>
    <w:rsid w:val="00B61777"/>
    <w:rsid w:val="00B622E6"/>
    <w:rsid w:val="00B70958"/>
    <w:rsid w:val="00B737B1"/>
    <w:rsid w:val="00B7761B"/>
    <w:rsid w:val="00B83E82"/>
    <w:rsid w:val="00B84BBD"/>
    <w:rsid w:val="00B85EC5"/>
    <w:rsid w:val="00B91BD8"/>
    <w:rsid w:val="00BA43FB"/>
    <w:rsid w:val="00BC127D"/>
    <w:rsid w:val="00BC1FE6"/>
    <w:rsid w:val="00BC5748"/>
    <w:rsid w:val="00C03165"/>
    <w:rsid w:val="00C061B6"/>
    <w:rsid w:val="00C11F8B"/>
    <w:rsid w:val="00C12F2F"/>
    <w:rsid w:val="00C2179B"/>
    <w:rsid w:val="00C23FDA"/>
    <w:rsid w:val="00C2446C"/>
    <w:rsid w:val="00C2720B"/>
    <w:rsid w:val="00C36AE5"/>
    <w:rsid w:val="00C41F17"/>
    <w:rsid w:val="00C527FA"/>
    <w:rsid w:val="00C5280D"/>
    <w:rsid w:val="00C53EB3"/>
    <w:rsid w:val="00C5791C"/>
    <w:rsid w:val="00C641E3"/>
    <w:rsid w:val="00C66290"/>
    <w:rsid w:val="00C72B7A"/>
    <w:rsid w:val="00C751F4"/>
    <w:rsid w:val="00C973F2"/>
    <w:rsid w:val="00CA12C7"/>
    <w:rsid w:val="00CA304C"/>
    <w:rsid w:val="00CA774A"/>
    <w:rsid w:val="00CB19F4"/>
    <w:rsid w:val="00CB4921"/>
    <w:rsid w:val="00CC11B0"/>
    <w:rsid w:val="00CC2841"/>
    <w:rsid w:val="00CC6A77"/>
    <w:rsid w:val="00CF1330"/>
    <w:rsid w:val="00CF2CCD"/>
    <w:rsid w:val="00CF7E36"/>
    <w:rsid w:val="00D11C1B"/>
    <w:rsid w:val="00D34767"/>
    <w:rsid w:val="00D3708D"/>
    <w:rsid w:val="00D40426"/>
    <w:rsid w:val="00D52F5C"/>
    <w:rsid w:val="00D57C96"/>
    <w:rsid w:val="00D57D18"/>
    <w:rsid w:val="00D70E65"/>
    <w:rsid w:val="00D84B7D"/>
    <w:rsid w:val="00D91203"/>
    <w:rsid w:val="00D95174"/>
    <w:rsid w:val="00DA405D"/>
    <w:rsid w:val="00DA4307"/>
    <w:rsid w:val="00DA4973"/>
    <w:rsid w:val="00DA4D89"/>
    <w:rsid w:val="00DA6F36"/>
    <w:rsid w:val="00DB596E"/>
    <w:rsid w:val="00DB7773"/>
    <w:rsid w:val="00DC00EA"/>
    <w:rsid w:val="00DC3802"/>
    <w:rsid w:val="00DC7760"/>
    <w:rsid w:val="00DD6208"/>
    <w:rsid w:val="00DE5D89"/>
    <w:rsid w:val="00DF77E2"/>
    <w:rsid w:val="00DF7E99"/>
    <w:rsid w:val="00E07D87"/>
    <w:rsid w:val="00E249C8"/>
    <w:rsid w:val="00E32F7E"/>
    <w:rsid w:val="00E5267B"/>
    <w:rsid w:val="00E559F0"/>
    <w:rsid w:val="00E63C0E"/>
    <w:rsid w:val="00E72D49"/>
    <w:rsid w:val="00E7593C"/>
    <w:rsid w:val="00E7678A"/>
    <w:rsid w:val="00E935F1"/>
    <w:rsid w:val="00E94A81"/>
    <w:rsid w:val="00EA1FFB"/>
    <w:rsid w:val="00EB048E"/>
    <w:rsid w:val="00EB4E9C"/>
    <w:rsid w:val="00EC45FD"/>
    <w:rsid w:val="00ED5274"/>
    <w:rsid w:val="00EE34DF"/>
    <w:rsid w:val="00EF2F89"/>
    <w:rsid w:val="00EF6D30"/>
    <w:rsid w:val="00F03E98"/>
    <w:rsid w:val="00F047DD"/>
    <w:rsid w:val="00F1237A"/>
    <w:rsid w:val="00F22CBD"/>
    <w:rsid w:val="00F272F1"/>
    <w:rsid w:val="00F31412"/>
    <w:rsid w:val="00F31FE1"/>
    <w:rsid w:val="00F45372"/>
    <w:rsid w:val="00F560F7"/>
    <w:rsid w:val="00F6334D"/>
    <w:rsid w:val="00F63599"/>
    <w:rsid w:val="00F71781"/>
    <w:rsid w:val="00FA35AF"/>
    <w:rsid w:val="00FA49AB"/>
    <w:rsid w:val="00FC5FD0"/>
    <w:rsid w:val="00FC7E18"/>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BC54"/>
  <w15:docId w15:val="{C9824E5F-3BD9-4298-B4FF-498C9FBE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9EB"/>
    <w:pPr>
      <w:jc w:val="both"/>
    </w:pPr>
    <w:rPr>
      <w:rFonts w:ascii="Arial" w:hAnsi="Arial"/>
      <w:lang w:val="es-ES_tradnl"/>
    </w:rPr>
  </w:style>
  <w:style w:type="paragraph" w:styleId="Heading1">
    <w:name w:val="heading 1"/>
    <w:next w:val="Normal"/>
    <w:link w:val="Heading1Char"/>
    <w:autoRedefine/>
    <w:uiPriority w:val="9"/>
    <w:qFormat/>
    <w:rsid w:val="004805FA"/>
    <w:pPr>
      <w:keepNext/>
      <w:jc w:val="both"/>
      <w:outlineLvl w:val="0"/>
    </w:pPr>
    <w:rPr>
      <w:rFonts w:ascii="Arial" w:hAnsi="Arial"/>
      <w:caps/>
    </w:rPr>
  </w:style>
  <w:style w:type="paragraph" w:styleId="Heading2">
    <w:name w:val="heading 2"/>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link w:val="Heading4Char"/>
    <w:autoRedefine/>
    <w:uiPriority w:val="9"/>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uiPriority w:val="9"/>
    <w:qFormat/>
    <w:rsid w:val="004805FA"/>
    <w:pPr>
      <w:keepNext/>
      <w:ind w:left="1134" w:hanging="567"/>
      <w:jc w:val="both"/>
      <w:outlineLvl w:val="4"/>
    </w:pPr>
    <w:rPr>
      <w:rFonts w:ascii="Arial" w:hAnsi="Arial"/>
      <w:i/>
    </w:rPr>
  </w:style>
  <w:style w:type="paragraph" w:styleId="Heading6">
    <w:name w:val="heading 6"/>
    <w:basedOn w:val="Normal"/>
    <w:next w:val="Normal"/>
    <w:link w:val="Heading6Char"/>
    <w:uiPriority w:val="9"/>
    <w:unhideWhenUsed/>
    <w:qFormat/>
    <w:rsid w:val="006A1579"/>
    <w:pPr>
      <w:keepNext/>
      <w:keepLines/>
      <w:spacing w:before="40" w:line="300" w:lineRule="auto"/>
      <w:jc w:val="left"/>
      <w:outlineLvl w:val="5"/>
    </w:pPr>
    <w:rPr>
      <w:rFonts w:ascii="Calibri Light" w:eastAsia="SimSun" w:hAnsi="Calibri Light"/>
      <w:i/>
      <w:iCs/>
      <w:sz w:val="26"/>
      <w:szCs w:val="26"/>
      <w:lang w:val="fr-FR" w:eastAsia="fr-FR"/>
    </w:rPr>
  </w:style>
  <w:style w:type="paragraph" w:styleId="Heading7">
    <w:name w:val="heading 7"/>
    <w:basedOn w:val="Normal"/>
    <w:next w:val="Normal"/>
    <w:link w:val="Heading7Char"/>
    <w:uiPriority w:val="9"/>
    <w:unhideWhenUsed/>
    <w:qFormat/>
    <w:rsid w:val="006A1579"/>
    <w:pPr>
      <w:keepNext/>
      <w:keepLines/>
      <w:spacing w:before="40" w:line="300" w:lineRule="auto"/>
      <w:jc w:val="left"/>
      <w:outlineLvl w:val="6"/>
    </w:pPr>
    <w:rPr>
      <w:rFonts w:ascii="Calibri Light" w:eastAsia="SimSun" w:hAnsi="Calibri Light"/>
      <w:sz w:val="24"/>
      <w:szCs w:val="24"/>
      <w:lang w:val="fr-FR" w:eastAsia="fr-FR"/>
    </w:rPr>
  </w:style>
  <w:style w:type="paragraph" w:styleId="Heading8">
    <w:name w:val="heading 8"/>
    <w:basedOn w:val="Normal"/>
    <w:next w:val="Normal"/>
    <w:link w:val="Heading8Char"/>
    <w:uiPriority w:val="9"/>
    <w:qFormat/>
    <w:rsid w:val="001F63A8"/>
    <w:pPr>
      <w:keepNext/>
      <w:tabs>
        <w:tab w:val="left" w:pos="567"/>
        <w:tab w:val="left" w:pos="4962"/>
      </w:tabs>
      <w:jc w:val="center"/>
      <w:outlineLvl w:val="7"/>
    </w:pPr>
    <w:rPr>
      <w:rFonts w:ascii="Times New Roman" w:hAnsi="Times New Roman"/>
      <w:sz w:val="24"/>
      <w:u w:val="single"/>
      <w:lang w:val="en-GB" w:eastAsia="pl-PL"/>
    </w:rPr>
  </w:style>
  <w:style w:type="paragraph" w:styleId="Heading9">
    <w:name w:val="heading 9"/>
    <w:basedOn w:val="Normal"/>
    <w:next w:val="Normal"/>
    <w:link w:val="Heading9Char"/>
    <w:uiPriority w:val="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uiPriority w:val="10"/>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8Char">
    <w:name w:val="Heading 8 Char"/>
    <w:basedOn w:val="DefaultParagraphFont"/>
    <w:link w:val="Heading8"/>
    <w:uiPriority w:val="9"/>
    <w:rsid w:val="001F63A8"/>
    <w:rPr>
      <w:sz w:val="24"/>
      <w:u w:val="single"/>
      <w:lang w:val="en-GB" w:eastAsia="pl-PL"/>
    </w:rPr>
  </w:style>
  <w:style w:type="table" w:styleId="TableGrid">
    <w:name w:val="Table Grid"/>
    <w:basedOn w:val="TableNormal"/>
    <w:qFormat/>
    <w:rsid w:val="001F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3A8"/>
    <w:pPr>
      <w:ind w:left="720"/>
      <w:contextualSpacing/>
    </w:pPr>
    <w:rPr>
      <w:rFonts w:cs="Mangal"/>
      <w:szCs w:val="26"/>
      <w:lang w:bidi="ne-NP"/>
    </w:rPr>
  </w:style>
  <w:style w:type="character" w:styleId="Strong">
    <w:name w:val="Strong"/>
    <w:uiPriority w:val="22"/>
    <w:qFormat/>
    <w:rsid w:val="001F63A8"/>
    <w:rPr>
      <w:b/>
      <w:bCs/>
    </w:rPr>
  </w:style>
  <w:style w:type="character" w:customStyle="1" w:styleId="Heading4Char">
    <w:name w:val="Heading 4 Char"/>
    <w:link w:val="Heading4"/>
    <w:uiPriority w:val="9"/>
    <w:rsid w:val="001F63A8"/>
    <w:rPr>
      <w:rFonts w:ascii="Arial" w:hAnsi="Arial"/>
      <w:u w:val="single"/>
      <w:lang w:val="fr-FR"/>
    </w:rPr>
  </w:style>
  <w:style w:type="paragraph" w:styleId="BodyTextIndent2">
    <w:name w:val="Body Text Indent 2"/>
    <w:basedOn w:val="Normal"/>
    <w:link w:val="BodyTextIndent2Char"/>
    <w:qFormat/>
    <w:rsid w:val="001F63A8"/>
    <w:pPr>
      <w:ind w:left="851" w:hanging="425"/>
    </w:pPr>
    <w:rPr>
      <w:rFonts w:cs="Mangal"/>
      <w:sz w:val="22"/>
      <w:szCs w:val="22"/>
      <w:lang w:val="de-DE" w:bidi="ne-NP"/>
    </w:rPr>
  </w:style>
  <w:style w:type="character" w:customStyle="1" w:styleId="BodyTextIndent2Char">
    <w:name w:val="Body Text Indent 2 Char"/>
    <w:basedOn w:val="DefaultParagraphFont"/>
    <w:link w:val="BodyTextIndent2"/>
    <w:rsid w:val="001F63A8"/>
    <w:rPr>
      <w:rFonts w:ascii="Arial" w:hAnsi="Arial" w:cs="Mangal"/>
      <w:sz w:val="22"/>
      <w:szCs w:val="22"/>
      <w:lang w:val="de-DE" w:bidi="ne-NP"/>
    </w:rPr>
  </w:style>
  <w:style w:type="paragraph" w:styleId="NoSpacing">
    <w:name w:val="No Spacing"/>
    <w:uiPriority w:val="1"/>
    <w:qFormat/>
    <w:rsid w:val="001F63A8"/>
    <w:pPr>
      <w:overflowPunct w:val="0"/>
      <w:autoSpaceDE w:val="0"/>
      <w:autoSpaceDN w:val="0"/>
      <w:adjustRightInd w:val="0"/>
      <w:textAlignment w:val="baseline"/>
    </w:pPr>
    <w:rPr>
      <w:lang w:val="ro-RO" w:eastAsia="ru-RU"/>
    </w:rPr>
  </w:style>
  <w:style w:type="character" w:styleId="UnresolvedMention">
    <w:name w:val="Unresolved Mention"/>
    <w:basedOn w:val="DefaultParagraphFont"/>
    <w:uiPriority w:val="99"/>
    <w:semiHidden/>
    <w:unhideWhenUsed/>
    <w:rsid w:val="001F63A8"/>
    <w:rPr>
      <w:color w:val="605E5C"/>
      <w:shd w:val="clear" w:color="auto" w:fill="E1DFDD"/>
    </w:rPr>
  </w:style>
  <w:style w:type="paragraph" w:styleId="BodyText3">
    <w:name w:val="Body Text 3"/>
    <w:basedOn w:val="Normal"/>
    <w:link w:val="BodyText3Char"/>
    <w:unhideWhenUsed/>
    <w:rsid w:val="001F63A8"/>
    <w:pPr>
      <w:spacing w:after="120"/>
    </w:pPr>
    <w:rPr>
      <w:sz w:val="16"/>
      <w:szCs w:val="16"/>
    </w:rPr>
  </w:style>
  <w:style w:type="character" w:customStyle="1" w:styleId="BodyText3Char">
    <w:name w:val="Body Text 3 Char"/>
    <w:basedOn w:val="DefaultParagraphFont"/>
    <w:link w:val="BodyText3"/>
    <w:rsid w:val="001F63A8"/>
    <w:rPr>
      <w:rFonts w:ascii="Arial" w:hAnsi="Arial"/>
      <w:sz w:val="16"/>
      <w:szCs w:val="16"/>
    </w:rPr>
  </w:style>
  <w:style w:type="paragraph" w:styleId="BodyText2">
    <w:name w:val="Body Text 2"/>
    <w:basedOn w:val="Normal"/>
    <w:link w:val="BodyText2Char"/>
    <w:unhideWhenUsed/>
    <w:rsid w:val="001F63A8"/>
    <w:pPr>
      <w:spacing w:after="120" w:line="480" w:lineRule="auto"/>
    </w:pPr>
  </w:style>
  <w:style w:type="character" w:customStyle="1" w:styleId="BodyText2Char">
    <w:name w:val="Body Text 2 Char"/>
    <w:basedOn w:val="DefaultParagraphFont"/>
    <w:link w:val="BodyText2"/>
    <w:semiHidden/>
    <w:rsid w:val="001F63A8"/>
    <w:rPr>
      <w:rFonts w:ascii="Arial" w:hAnsi="Arial"/>
    </w:rPr>
  </w:style>
  <w:style w:type="character" w:customStyle="1" w:styleId="FooterChar">
    <w:name w:val="Footer Char"/>
    <w:aliases w:val="doc_path_name Char"/>
    <w:basedOn w:val="DefaultParagraphFont"/>
    <w:link w:val="Footer"/>
    <w:uiPriority w:val="99"/>
    <w:rsid w:val="001F63A8"/>
    <w:rPr>
      <w:rFonts w:ascii="Arial" w:hAnsi="Arial"/>
      <w:sz w:val="14"/>
    </w:rPr>
  </w:style>
  <w:style w:type="character" w:customStyle="1" w:styleId="BodyTextChar">
    <w:name w:val="Body Text Char"/>
    <w:basedOn w:val="DefaultParagraphFont"/>
    <w:link w:val="BodyText"/>
    <w:rsid w:val="001F63A8"/>
    <w:rPr>
      <w:rFonts w:ascii="Arial" w:hAnsi="Arial"/>
    </w:rPr>
  </w:style>
  <w:style w:type="character" w:customStyle="1" w:styleId="normaltextrun">
    <w:name w:val="normaltextrun"/>
    <w:basedOn w:val="DefaultParagraphFont"/>
    <w:rsid w:val="001F63A8"/>
  </w:style>
  <w:style w:type="character" w:customStyle="1" w:styleId="eop">
    <w:name w:val="eop"/>
    <w:basedOn w:val="DefaultParagraphFont"/>
    <w:rsid w:val="001F63A8"/>
  </w:style>
  <w:style w:type="paragraph" w:customStyle="1" w:styleId="paragraph">
    <w:name w:val="paragraph"/>
    <w:basedOn w:val="Normal"/>
    <w:rsid w:val="001F63A8"/>
    <w:pPr>
      <w:spacing w:before="100" w:beforeAutospacing="1" w:after="100" w:afterAutospacing="1"/>
      <w:jc w:val="left"/>
    </w:pPr>
    <w:rPr>
      <w:rFonts w:ascii="Times New Roman" w:hAnsi="Times New Roman"/>
      <w:sz w:val="24"/>
      <w:szCs w:val="24"/>
      <w:lang w:val="en-GB" w:eastAsia="en-GB"/>
    </w:rPr>
  </w:style>
  <w:style w:type="paragraph" w:styleId="ListBullet">
    <w:name w:val="List Bullet"/>
    <w:basedOn w:val="Normal"/>
    <w:uiPriority w:val="99"/>
    <w:rsid w:val="001F63A8"/>
    <w:pPr>
      <w:numPr>
        <w:numId w:val="2"/>
      </w:numPr>
      <w:spacing w:after="160" w:line="300" w:lineRule="auto"/>
      <w:jc w:val="left"/>
    </w:pPr>
    <w:rPr>
      <w:rFonts w:ascii="Calibri" w:hAnsi="Calibri"/>
      <w:sz w:val="21"/>
      <w:szCs w:val="21"/>
      <w:lang w:val="fr-FR" w:eastAsia="fr-FR"/>
    </w:rPr>
  </w:style>
  <w:style w:type="character" w:styleId="Emphasis">
    <w:name w:val="Emphasis"/>
    <w:uiPriority w:val="20"/>
    <w:qFormat/>
    <w:rsid w:val="001F63A8"/>
    <w:rPr>
      <w:i/>
      <w:iCs/>
      <w:color w:val="000000"/>
    </w:rPr>
  </w:style>
  <w:style w:type="paragraph" w:styleId="NormalWeb">
    <w:name w:val="Normal (Web)"/>
    <w:basedOn w:val="Normal"/>
    <w:uiPriority w:val="99"/>
    <w:rsid w:val="001F63A8"/>
    <w:pPr>
      <w:spacing w:before="100" w:beforeAutospacing="1" w:after="100" w:afterAutospacing="1" w:line="300" w:lineRule="auto"/>
      <w:jc w:val="left"/>
    </w:pPr>
    <w:rPr>
      <w:rFonts w:ascii="Calibri" w:eastAsia="Calibri" w:hAnsi="Calibri"/>
      <w:sz w:val="21"/>
      <w:szCs w:val="24"/>
      <w:lang w:eastAsia="fr-FR"/>
    </w:rPr>
  </w:style>
  <w:style w:type="table" w:customStyle="1" w:styleId="TableNormal1">
    <w:name w:val="Table Normal1"/>
    <w:uiPriority w:val="2"/>
    <w:semiHidden/>
    <w:unhideWhenUsed/>
    <w:qFormat/>
    <w:rsid w:val="001F63A8"/>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Revision">
    <w:name w:val="Revision"/>
    <w:hidden/>
    <w:uiPriority w:val="99"/>
    <w:semiHidden/>
    <w:rsid w:val="00D34767"/>
    <w:rPr>
      <w:rFonts w:ascii="Arial" w:hAnsi="Arial"/>
    </w:rPr>
  </w:style>
  <w:style w:type="paragraph" w:customStyle="1" w:styleId="Default">
    <w:name w:val="Default"/>
    <w:rsid w:val="00356E77"/>
    <w:pPr>
      <w:autoSpaceDE w:val="0"/>
      <w:autoSpaceDN w:val="0"/>
      <w:adjustRightInd w:val="0"/>
    </w:pPr>
    <w:rPr>
      <w:color w:val="000000"/>
      <w:sz w:val="24"/>
      <w:szCs w:val="24"/>
      <w:lang w:val="en-GB"/>
    </w:rPr>
  </w:style>
  <w:style w:type="character" w:customStyle="1" w:styleId="Heading6Char">
    <w:name w:val="Heading 6 Char"/>
    <w:basedOn w:val="DefaultParagraphFont"/>
    <w:link w:val="Heading6"/>
    <w:uiPriority w:val="9"/>
    <w:rsid w:val="006A1579"/>
    <w:rPr>
      <w:rFonts w:ascii="Calibri Light" w:eastAsia="SimSun" w:hAnsi="Calibri Light"/>
      <w:i/>
      <w:iCs/>
      <w:sz w:val="26"/>
      <w:szCs w:val="26"/>
      <w:lang w:val="fr-FR" w:eastAsia="fr-FR"/>
    </w:rPr>
  </w:style>
  <w:style w:type="character" w:customStyle="1" w:styleId="Heading7Char">
    <w:name w:val="Heading 7 Char"/>
    <w:basedOn w:val="DefaultParagraphFont"/>
    <w:link w:val="Heading7"/>
    <w:uiPriority w:val="9"/>
    <w:rsid w:val="006A1579"/>
    <w:rPr>
      <w:rFonts w:ascii="Calibri Light" w:eastAsia="SimSun" w:hAnsi="Calibri Light"/>
      <w:sz w:val="24"/>
      <w:szCs w:val="24"/>
      <w:lang w:val="fr-FR" w:eastAsia="fr-FR"/>
    </w:rPr>
  </w:style>
  <w:style w:type="paragraph" w:customStyle="1" w:styleId="Text1">
    <w:name w:val="Text 1"/>
    <w:basedOn w:val="Normal"/>
    <w:rsid w:val="006A1579"/>
    <w:pPr>
      <w:spacing w:after="160" w:line="300" w:lineRule="auto"/>
      <w:ind w:left="482"/>
      <w:jc w:val="left"/>
    </w:pPr>
    <w:rPr>
      <w:rFonts w:ascii="Calibri" w:hAnsi="Calibri"/>
      <w:sz w:val="21"/>
      <w:szCs w:val="21"/>
      <w:lang w:val="fr-FR" w:eastAsia="fr-FR"/>
    </w:rPr>
  </w:style>
  <w:style w:type="paragraph" w:customStyle="1" w:styleId="Text2">
    <w:name w:val="Text 2"/>
    <w:basedOn w:val="Normal"/>
    <w:rsid w:val="006A1579"/>
    <w:pPr>
      <w:tabs>
        <w:tab w:val="left" w:pos="2160"/>
      </w:tabs>
      <w:spacing w:after="160" w:line="300" w:lineRule="auto"/>
      <w:ind w:left="1077"/>
      <w:jc w:val="left"/>
    </w:pPr>
    <w:rPr>
      <w:rFonts w:ascii="Calibri" w:hAnsi="Calibri"/>
      <w:sz w:val="21"/>
      <w:szCs w:val="21"/>
      <w:lang w:val="fr-FR" w:eastAsia="fr-FR"/>
    </w:rPr>
  </w:style>
  <w:style w:type="paragraph" w:customStyle="1" w:styleId="Text3">
    <w:name w:val="Text 3"/>
    <w:basedOn w:val="Normal"/>
    <w:rsid w:val="006A1579"/>
    <w:pPr>
      <w:tabs>
        <w:tab w:val="left" w:pos="2302"/>
      </w:tabs>
      <w:spacing w:after="160" w:line="300" w:lineRule="auto"/>
      <w:ind w:left="1916"/>
      <w:jc w:val="left"/>
    </w:pPr>
    <w:rPr>
      <w:rFonts w:ascii="Calibri" w:hAnsi="Calibri"/>
      <w:sz w:val="21"/>
      <w:szCs w:val="21"/>
      <w:lang w:val="fr-FR" w:eastAsia="fr-FR"/>
    </w:rPr>
  </w:style>
  <w:style w:type="paragraph" w:customStyle="1" w:styleId="Text4">
    <w:name w:val="Text 4"/>
    <w:basedOn w:val="Normal"/>
    <w:rsid w:val="006A1579"/>
    <w:pPr>
      <w:spacing w:after="160" w:line="300" w:lineRule="auto"/>
      <w:ind w:left="2880"/>
      <w:jc w:val="left"/>
    </w:pPr>
    <w:rPr>
      <w:rFonts w:ascii="Calibri" w:hAnsi="Calibri"/>
      <w:sz w:val="21"/>
      <w:szCs w:val="21"/>
      <w:lang w:val="fr-FR" w:eastAsia="fr-FR"/>
    </w:rPr>
  </w:style>
  <w:style w:type="paragraph" w:customStyle="1" w:styleId="Address">
    <w:name w:val="Address"/>
    <w:basedOn w:val="Normal"/>
    <w:rsid w:val="006A1579"/>
    <w:pPr>
      <w:spacing w:line="300" w:lineRule="auto"/>
      <w:jc w:val="left"/>
    </w:pPr>
    <w:rPr>
      <w:rFonts w:ascii="Calibri" w:hAnsi="Calibri"/>
      <w:sz w:val="21"/>
      <w:szCs w:val="21"/>
      <w:lang w:val="fr-FR" w:eastAsia="fr-FR"/>
    </w:rPr>
  </w:style>
  <w:style w:type="paragraph" w:customStyle="1" w:styleId="AddressTL">
    <w:name w:val="AddressTL"/>
    <w:basedOn w:val="Normal"/>
    <w:next w:val="Normal"/>
    <w:rsid w:val="006A1579"/>
    <w:pPr>
      <w:spacing w:after="720" w:line="300" w:lineRule="auto"/>
      <w:jc w:val="left"/>
    </w:pPr>
    <w:rPr>
      <w:rFonts w:ascii="Calibri" w:hAnsi="Calibri"/>
      <w:sz w:val="21"/>
      <w:szCs w:val="21"/>
      <w:lang w:val="fr-FR" w:eastAsia="fr-FR"/>
    </w:rPr>
  </w:style>
  <w:style w:type="paragraph" w:customStyle="1" w:styleId="AddressTR">
    <w:name w:val="AddressTR"/>
    <w:basedOn w:val="Normal"/>
    <w:next w:val="Normal"/>
    <w:rsid w:val="006A1579"/>
    <w:pPr>
      <w:spacing w:after="720" w:line="300" w:lineRule="auto"/>
      <w:ind w:left="5103"/>
      <w:jc w:val="left"/>
    </w:pPr>
    <w:rPr>
      <w:rFonts w:ascii="Calibri" w:hAnsi="Calibri"/>
      <w:sz w:val="21"/>
      <w:szCs w:val="21"/>
      <w:lang w:val="fr-FR" w:eastAsia="fr-FR"/>
    </w:rPr>
  </w:style>
  <w:style w:type="paragraph" w:styleId="BlockText">
    <w:name w:val="Block Text"/>
    <w:basedOn w:val="Normal"/>
    <w:rsid w:val="006A1579"/>
    <w:pPr>
      <w:spacing w:after="120" w:line="300" w:lineRule="auto"/>
      <w:ind w:left="1440" w:right="1440"/>
      <w:jc w:val="left"/>
    </w:pPr>
    <w:rPr>
      <w:rFonts w:ascii="Calibri" w:hAnsi="Calibri"/>
      <w:sz w:val="21"/>
      <w:szCs w:val="21"/>
      <w:lang w:val="fr-FR" w:eastAsia="fr-FR"/>
    </w:rPr>
  </w:style>
  <w:style w:type="paragraph" w:styleId="BodyTextFirstIndent">
    <w:name w:val="Body Text First Indent"/>
    <w:basedOn w:val="BodyText"/>
    <w:link w:val="BodyTextFirstIndentChar"/>
    <w:rsid w:val="006A1579"/>
    <w:pPr>
      <w:spacing w:after="120" w:line="300" w:lineRule="auto"/>
      <w:ind w:firstLine="210"/>
      <w:jc w:val="left"/>
    </w:pPr>
    <w:rPr>
      <w:rFonts w:ascii="Calibri" w:hAnsi="Calibri"/>
      <w:sz w:val="21"/>
      <w:szCs w:val="21"/>
      <w:lang w:val="fr-FR" w:eastAsia="fr-FR"/>
    </w:rPr>
  </w:style>
  <w:style w:type="character" w:customStyle="1" w:styleId="BodyTextFirstIndentChar">
    <w:name w:val="Body Text First Indent Char"/>
    <w:basedOn w:val="BodyTextChar"/>
    <w:link w:val="BodyTextFirstIndent"/>
    <w:rsid w:val="006A1579"/>
    <w:rPr>
      <w:rFonts w:ascii="Calibri" w:hAnsi="Calibri"/>
      <w:sz w:val="21"/>
      <w:szCs w:val="21"/>
      <w:lang w:val="fr-FR" w:eastAsia="fr-FR"/>
    </w:rPr>
  </w:style>
  <w:style w:type="paragraph" w:styleId="BodyTextIndent">
    <w:name w:val="Body Text Indent"/>
    <w:basedOn w:val="Normal"/>
    <w:link w:val="BodyTextIndentChar"/>
    <w:rsid w:val="006A1579"/>
    <w:pPr>
      <w:spacing w:after="120" w:line="300" w:lineRule="auto"/>
      <w:ind w:left="283"/>
      <w:jc w:val="left"/>
    </w:pPr>
    <w:rPr>
      <w:rFonts w:ascii="Calibri" w:hAnsi="Calibri"/>
      <w:sz w:val="21"/>
      <w:szCs w:val="21"/>
      <w:lang w:val="fr-FR" w:eastAsia="fr-FR"/>
    </w:rPr>
  </w:style>
  <w:style w:type="character" w:customStyle="1" w:styleId="BodyTextIndentChar">
    <w:name w:val="Body Text Indent Char"/>
    <w:basedOn w:val="DefaultParagraphFont"/>
    <w:link w:val="BodyTextIndent"/>
    <w:rsid w:val="006A1579"/>
    <w:rPr>
      <w:rFonts w:ascii="Calibri" w:hAnsi="Calibri"/>
      <w:sz w:val="21"/>
      <w:szCs w:val="21"/>
      <w:lang w:val="fr-FR" w:eastAsia="fr-FR"/>
    </w:rPr>
  </w:style>
  <w:style w:type="paragraph" w:styleId="BodyTextFirstIndent2">
    <w:name w:val="Body Text First Indent 2"/>
    <w:basedOn w:val="BodyTextIndent"/>
    <w:link w:val="BodyTextFirstIndent2Char"/>
    <w:rsid w:val="006A1579"/>
    <w:pPr>
      <w:ind w:firstLine="210"/>
    </w:pPr>
  </w:style>
  <w:style w:type="character" w:customStyle="1" w:styleId="BodyTextFirstIndent2Char">
    <w:name w:val="Body Text First Indent 2 Char"/>
    <w:basedOn w:val="BodyTextIndentChar"/>
    <w:link w:val="BodyTextFirstIndent2"/>
    <w:rsid w:val="006A1579"/>
    <w:rPr>
      <w:rFonts w:ascii="Calibri" w:hAnsi="Calibri"/>
      <w:sz w:val="21"/>
      <w:szCs w:val="21"/>
      <w:lang w:val="fr-FR" w:eastAsia="fr-FR"/>
    </w:rPr>
  </w:style>
  <w:style w:type="paragraph" w:styleId="BodyTextIndent3">
    <w:name w:val="Body Text Indent 3"/>
    <w:basedOn w:val="Normal"/>
    <w:link w:val="BodyTextIndent3Char"/>
    <w:rsid w:val="006A1579"/>
    <w:pPr>
      <w:spacing w:after="120" w:line="300" w:lineRule="auto"/>
      <w:ind w:left="283"/>
      <w:jc w:val="left"/>
    </w:pPr>
    <w:rPr>
      <w:rFonts w:ascii="Calibri" w:hAnsi="Calibri"/>
      <w:sz w:val="16"/>
      <w:szCs w:val="21"/>
      <w:lang w:val="fr-FR" w:eastAsia="fr-FR"/>
    </w:rPr>
  </w:style>
  <w:style w:type="character" w:customStyle="1" w:styleId="BodyTextIndent3Char">
    <w:name w:val="Body Text Indent 3 Char"/>
    <w:basedOn w:val="DefaultParagraphFont"/>
    <w:link w:val="BodyTextIndent3"/>
    <w:rsid w:val="006A1579"/>
    <w:rPr>
      <w:rFonts w:ascii="Calibri" w:hAnsi="Calibri"/>
      <w:sz w:val="16"/>
      <w:szCs w:val="21"/>
      <w:lang w:val="fr-FR" w:eastAsia="fr-FR"/>
    </w:rPr>
  </w:style>
  <w:style w:type="paragraph" w:styleId="Caption">
    <w:name w:val="caption"/>
    <w:basedOn w:val="Normal"/>
    <w:next w:val="Normal"/>
    <w:uiPriority w:val="35"/>
    <w:unhideWhenUsed/>
    <w:qFormat/>
    <w:rsid w:val="006A1579"/>
    <w:pPr>
      <w:spacing w:after="160"/>
      <w:jc w:val="left"/>
    </w:pPr>
    <w:rPr>
      <w:rFonts w:ascii="Calibri" w:hAnsi="Calibri"/>
      <w:b/>
      <w:bCs/>
      <w:color w:val="404040"/>
      <w:sz w:val="16"/>
      <w:szCs w:val="16"/>
      <w:lang w:val="fr-FR" w:eastAsia="fr-FR"/>
    </w:rPr>
  </w:style>
  <w:style w:type="paragraph" w:customStyle="1" w:styleId="Enclosures">
    <w:name w:val="Enclosures"/>
    <w:basedOn w:val="Normal"/>
    <w:next w:val="Participants"/>
    <w:rsid w:val="006A1579"/>
    <w:pPr>
      <w:keepNext/>
      <w:keepLines/>
      <w:tabs>
        <w:tab w:val="left" w:pos="5670"/>
      </w:tabs>
      <w:spacing w:before="480" w:line="300" w:lineRule="auto"/>
      <w:ind w:left="1985" w:hanging="1985"/>
      <w:jc w:val="left"/>
    </w:pPr>
    <w:rPr>
      <w:rFonts w:ascii="Calibri" w:hAnsi="Calibri"/>
      <w:sz w:val="21"/>
      <w:szCs w:val="21"/>
      <w:lang w:val="fr-FR" w:eastAsia="fr-FR"/>
    </w:rPr>
  </w:style>
  <w:style w:type="paragraph" w:customStyle="1" w:styleId="Participants">
    <w:name w:val="Participants"/>
    <w:basedOn w:val="Normal"/>
    <w:next w:val="Copies"/>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val="fr-FR" w:eastAsia="fr-FR"/>
    </w:rPr>
  </w:style>
  <w:style w:type="paragraph" w:customStyle="1" w:styleId="Copies">
    <w:name w:val="Copies"/>
    <w:basedOn w:val="Normal"/>
    <w:next w:val="Normal"/>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val="fr-FR" w:eastAsia="fr-FR"/>
    </w:rPr>
  </w:style>
  <w:style w:type="paragraph" w:styleId="CommentText">
    <w:name w:val="annotation text"/>
    <w:basedOn w:val="Normal"/>
    <w:link w:val="CommentTextChar"/>
    <w:uiPriority w:val="99"/>
    <w:rsid w:val="006A1579"/>
    <w:pPr>
      <w:spacing w:after="160" w:line="300" w:lineRule="auto"/>
      <w:jc w:val="left"/>
    </w:pPr>
    <w:rPr>
      <w:rFonts w:ascii="Calibri" w:hAnsi="Calibri"/>
      <w:szCs w:val="21"/>
      <w:lang w:val="fr-FR" w:eastAsia="fr-FR"/>
    </w:rPr>
  </w:style>
  <w:style w:type="character" w:customStyle="1" w:styleId="CommentTextChar">
    <w:name w:val="Comment Text Char"/>
    <w:basedOn w:val="DefaultParagraphFont"/>
    <w:link w:val="CommentText"/>
    <w:uiPriority w:val="99"/>
    <w:rsid w:val="006A1579"/>
    <w:rPr>
      <w:rFonts w:ascii="Calibri" w:hAnsi="Calibri"/>
      <w:szCs w:val="21"/>
      <w:lang w:val="fr-FR" w:eastAsia="fr-FR"/>
    </w:rPr>
  </w:style>
  <w:style w:type="paragraph" w:customStyle="1" w:styleId="References">
    <w:name w:val="References"/>
    <w:basedOn w:val="Normal"/>
    <w:next w:val="AddressTR"/>
    <w:rsid w:val="006A1579"/>
    <w:pPr>
      <w:spacing w:after="160" w:line="300" w:lineRule="auto"/>
      <w:ind w:left="5103"/>
      <w:jc w:val="left"/>
    </w:pPr>
    <w:rPr>
      <w:rFonts w:ascii="Calibri" w:hAnsi="Calibri"/>
      <w:szCs w:val="21"/>
      <w:lang w:val="fr-FR" w:eastAsia="fr-FR"/>
    </w:rPr>
  </w:style>
  <w:style w:type="paragraph" w:styleId="DocumentMap">
    <w:name w:val="Document Map"/>
    <w:basedOn w:val="Normal"/>
    <w:link w:val="DocumentMapChar"/>
    <w:semiHidden/>
    <w:rsid w:val="006A1579"/>
    <w:pPr>
      <w:shd w:val="clear" w:color="auto" w:fill="000080"/>
      <w:spacing w:after="160" w:line="300" w:lineRule="auto"/>
      <w:jc w:val="left"/>
    </w:pPr>
    <w:rPr>
      <w:rFonts w:ascii="Tahoma" w:hAnsi="Tahoma"/>
      <w:sz w:val="21"/>
      <w:szCs w:val="21"/>
      <w:lang w:val="fr-FR" w:eastAsia="fr-FR"/>
    </w:rPr>
  </w:style>
  <w:style w:type="character" w:customStyle="1" w:styleId="DocumentMapChar">
    <w:name w:val="Document Map Char"/>
    <w:basedOn w:val="DefaultParagraphFont"/>
    <w:link w:val="DocumentMap"/>
    <w:semiHidden/>
    <w:rsid w:val="006A1579"/>
    <w:rPr>
      <w:rFonts w:ascii="Tahoma" w:hAnsi="Tahoma"/>
      <w:sz w:val="21"/>
      <w:szCs w:val="21"/>
      <w:shd w:val="clear" w:color="auto" w:fill="000080"/>
      <w:lang w:val="fr-FR" w:eastAsia="fr-FR"/>
    </w:rPr>
  </w:style>
  <w:style w:type="paragraph" w:customStyle="1" w:styleId="DoubSign">
    <w:name w:val="DoubSign"/>
    <w:basedOn w:val="Normal"/>
    <w:next w:val="Contact"/>
    <w:rsid w:val="006A1579"/>
    <w:pPr>
      <w:tabs>
        <w:tab w:val="left" w:pos="5103"/>
      </w:tabs>
      <w:spacing w:before="1200" w:line="300" w:lineRule="auto"/>
      <w:jc w:val="left"/>
    </w:pPr>
    <w:rPr>
      <w:rFonts w:ascii="Calibri" w:hAnsi="Calibri"/>
      <w:sz w:val="21"/>
      <w:szCs w:val="21"/>
      <w:lang w:val="fr-FR" w:eastAsia="fr-FR"/>
    </w:rPr>
  </w:style>
  <w:style w:type="paragraph" w:styleId="EnvelopeAddress">
    <w:name w:val="envelope address"/>
    <w:basedOn w:val="Normal"/>
    <w:rsid w:val="006A1579"/>
    <w:pPr>
      <w:framePr w:w="7920" w:h="1980" w:hRule="exact" w:hSpace="180" w:wrap="auto" w:hAnchor="page" w:xAlign="center" w:yAlign="bottom"/>
      <w:spacing w:line="300" w:lineRule="auto"/>
      <w:jc w:val="left"/>
    </w:pPr>
    <w:rPr>
      <w:rFonts w:ascii="Calibri" w:hAnsi="Calibri"/>
      <w:sz w:val="21"/>
      <w:szCs w:val="21"/>
      <w:lang w:val="fr-FR" w:eastAsia="fr-FR"/>
    </w:rPr>
  </w:style>
  <w:style w:type="paragraph" w:styleId="EnvelopeReturn">
    <w:name w:val="envelope return"/>
    <w:basedOn w:val="Normal"/>
    <w:rsid w:val="006A1579"/>
    <w:pPr>
      <w:spacing w:line="300" w:lineRule="auto"/>
      <w:jc w:val="left"/>
    </w:pPr>
    <w:rPr>
      <w:rFonts w:ascii="Calibri" w:hAnsi="Calibri"/>
      <w:szCs w:val="21"/>
      <w:lang w:val="fr-FR" w:eastAsia="fr-FR"/>
    </w:rPr>
  </w:style>
  <w:style w:type="paragraph" w:styleId="Index4">
    <w:name w:val="index 4"/>
    <w:basedOn w:val="Normal"/>
    <w:next w:val="Normal"/>
    <w:autoRedefine/>
    <w:semiHidden/>
    <w:rsid w:val="006A1579"/>
    <w:pPr>
      <w:spacing w:after="160" w:line="300" w:lineRule="auto"/>
      <w:ind w:left="960" w:hanging="240"/>
      <w:jc w:val="left"/>
    </w:pPr>
    <w:rPr>
      <w:rFonts w:ascii="Calibri" w:hAnsi="Calibri"/>
      <w:sz w:val="21"/>
      <w:szCs w:val="21"/>
      <w:lang w:val="fr-FR" w:eastAsia="fr-FR"/>
    </w:rPr>
  </w:style>
  <w:style w:type="paragraph" w:styleId="Index5">
    <w:name w:val="index 5"/>
    <w:basedOn w:val="Normal"/>
    <w:next w:val="Normal"/>
    <w:autoRedefine/>
    <w:semiHidden/>
    <w:rsid w:val="006A1579"/>
    <w:pPr>
      <w:spacing w:after="160" w:line="300" w:lineRule="auto"/>
      <w:ind w:left="1200" w:hanging="240"/>
      <w:jc w:val="left"/>
    </w:pPr>
    <w:rPr>
      <w:rFonts w:ascii="Calibri" w:hAnsi="Calibri"/>
      <w:sz w:val="21"/>
      <w:szCs w:val="21"/>
      <w:lang w:val="fr-FR" w:eastAsia="fr-FR"/>
    </w:rPr>
  </w:style>
  <w:style w:type="paragraph" w:styleId="Index6">
    <w:name w:val="index 6"/>
    <w:basedOn w:val="Normal"/>
    <w:next w:val="Normal"/>
    <w:autoRedefine/>
    <w:semiHidden/>
    <w:rsid w:val="006A1579"/>
    <w:pPr>
      <w:spacing w:after="160" w:line="300" w:lineRule="auto"/>
      <w:ind w:left="1440" w:hanging="240"/>
      <w:jc w:val="left"/>
    </w:pPr>
    <w:rPr>
      <w:rFonts w:ascii="Calibri" w:hAnsi="Calibri"/>
      <w:sz w:val="21"/>
      <w:szCs w:val="21"/>
      <w:lang w:val="fr-FR" w:eastAsia="fr-FR"/>
    </w:rPr>
  </w:style>
  <w:style w:type="paragraph" w:styleId="Index7">
    <w:name w:val="index 7"/>
    <w:basedOn w:val="Normal"/>
    <w:next w:val="Normal"/>
    <w:autoRedefine/>
    <w:semiHidden/>
    <w:rsid w:val="006A1579"/>
    <w:pPr>
      <w:spacing w:after="160" w:line="300" w:lineRule="auto"/>
      <w:ind w:left="1680" w:hanging="240"/>
      <w:jc w:val="left"/>
    </w:pPr>
    <w:rPr>
      <w:rFonts w:ascii="Calibri" w:hAnsi="Calibri"/>
      <w:sz w:val="21"/>
      <w:szCs w:val="21"/>
      <w:lang w:val="fr-FR" w:eastAsia="fr-FR"/>
    </w:rPr>
  </w:style>
  <w:style w:type="paragraph" w:styleId="Index8">
    <w:name w:val="index 8"/>
    <w:basedOn w:val="Normal"/>
    <w:next w:val="Normal"/>
    <w:autoRedefine/>
    <w:semiHidden/>
    <w:rsid w:val="006A1579"/>
    <w:pPr>
      <w:spacing w:after="160" w:line="300" w:lineRule="auto"/>
      <w:ind w:left="1920" w:hanging="240"/>
      <w:jc w:val="left"/>
    </w:pPr>
    <w:rPr>
      <w:rFonts w:ascii="Calibri" w:hAnsi="Calibri"/>
      <w:sz w:val="21"/>
      <w:szCs w:val="21"/>
      <w:lang w:val="fr-FR" w:eastAsia="fr-FR"/>
    </w:rPr>
  </w:style>
  <w:style w:type="paragraph" w:styleId="Index9">
    <w:name w:val="index 9"/>
    <w:basedOn w:val="Normal"/>
    <w:next w:val="Normal"/>
    <w:autoRedefine/>
    <w:semiHidden/>
    <w:rsid w:val="006A1579"/>
    <w:pPr>
      <w:spacing w:after="160" w:line="300" w:lineRule="auto"/>
      <w:ind w:left="2160" w:hanging="240"/>
      <w:jc w:val="left"/>
    </w:pPr>
    <w:rPr>
      <w:rFonts w:ascii="Calibri" w:hAnsi="Calibri"/>
      <w:sz w:val="21"/>
      <w:szCs w:val="21"/>
      <w:lang w:val="fr-FR" w:eastAsia="fr-FR"/>
    </w:rPr>
  </w:style>
  <w:style w:type="paragraph" w:styleId="IndexHeading">
    <w:name w:val="index heading"/>
    <w:basedOn w:val="Normal"/>
    <w:next w:val="Index1"/>
    <w:semiHidden/>
    <w:rsid w:val="006A1579"/>
    <w:pPr>
      <w:spacing w:after="160" w:line="300" w:lineRule="auto"/>
      <w:jc w:val="left"/>
    </w:pPr>
    <w:rPr>
      <w:b/>
      <w:sz w:val="21"/>
      <w:szCs w:val="21"/>
      <w:lang w:val="fr-FR" w:eastAsia="fr-FR"/>
    </w:rPr>
  </w:style>
  <w:style w:type="paragraph" w:styleId="List">
    <w:name w:val="List"/>
    <w:basedOn w:val="Normal"/>
    <w:rsid w:val="006A1579"/>
    <w:pPr>
      <w:spacing w:after="160" w:line="300" w:lineRule="auto"/>
      <w:ind w:left="283" w:hanging="283"/>
      <w:jc w:val="left"/>
    </w:pPr>
    <w:rPr>
      <w:rFonts w:ascii="Calibri" w:hAnsi="Calibri"/>
      <w:sz w:val="21"/>
      <w:szCs w:val="21"/>
      <w:lang w:val="fr-FR" w:eastAsia="fr-FR"/>
    </w:rPr>
  </w:style>
  <w:style w:type="paragraph" w:styleId="List2">
    <w:name w:val="List 2"/>
    <w:basedOn w:val="Normal"/>
    <w:rsid w:val="006A1579"/>
    <w:pPr>
      <w:spacing w:after="160" w:line="300" w:lineRule="auto"/>
      <w:ind w:left="566" w:hanging="283"/>
      <w:jc w:val="left"/>
    </w:pPr>
    <w:rPr>
      <w:rFonts w:ascii="Calibri" w:hAnsi="Calibri"/>
      <w:sz w:val="21"/>
      <w:szCs w:val="21"/>
      <w:lang w:val="fr-FR" w:eastAsia="fr-FR"/>
    </w:rPr>
  </w:style>
  <w:style w:type="paragraph" w:styleId="List3">
    <w:name w:val="List 3"/>
    <w:basedOn w:val="Normal"/>
    <w:rsid w:val="006A1579"/>
    <w:pPr>
      <w:spacing w:after="160" w:line="300" w:lineRule="auto"/>
      <w:ind w:left="849" w:hanging="283"/>
      <w:jc w:val="left"/>
    </w:pPr>
    <w:rPr>
      <w:rFonts w:ascii="Calibri" w:hAnsi="Calibri"/>
      <w:sz w:val="21"/>
      <w:szCs w:val="21"/>
      <w:lang w:val="fr-FR" w:eastAsia="fr-FR"/>
    </w:rPr>
  </w:style>
  <w:style w:type="paragraph" w:styleId="List4">
    <w:name w:val="List 4"/>
    <w:basedOn w:val="Normal"/>
    <w:rsid w:val="006A1579"/>
    <w:pPr>
      <w:spacing w:after="160" w:line="300" w:lineRule="auto"/>
      <w:ind w:left="1132" w:hanging="283"/>
      <w:jc w:val="left"/>
    </w:pPr>
    <w:rPr>
      <w:rFonts w:ascii="Calibri" w:hAnsi="Calibri"/>
      <w:sz w:val="21"/>
      <w:szCs w:val="21"/>
      <w:lang w:val="fr-FR" w:eastAsia="fr-FR"/>
    </w:rPr>
  </w:style>
  <w:style w:type="paragraph" w:styleId="List5">
    <w:name w:val="List 5"/>
    <w:basedOn w:val="Normal"/>
    <w:rsid w:val="006A1579"/>
    <w:pPr>
      <w:spacing w:after="160" w:line="300" w:lineRule="auto"/>
      <w:ind w:left="1415" w:hanging="283"/>
      <w:jc w:val="left"/>
    </w:pPr>
    <w:rPr>
      <w:rFonts w:ascii="Calibri" w:hAnsi="Calibri"/>
      <w:sz w:val="21"/>
      <w:szCs w:val="21"/>
      <w:lang w:val="fr-FR" w:eastAsia="fr-FR"/>
    </w:rPr>
  </w:style>
  <w:style w:type="paragraph" w:styleId="ListBullet2">
    <w:name w:val="List Bullet 2"/>
    <w:basedOn w:val="Text2"/>
    <w:rsid w:val="006A1579"/>
    <w:pPr>
      <w:numPr>
        <w:numId w:val="18"/>
      </w:numPr>
      <w:tabs>
        <w:tab w:val="clear" w:pos="2160"/>
      </w:tabs>
    </w:pPr>
  </w:style>
  <w:style w:type="paragraph" w:styleId="ListBullet3">
    <w:name w:val="List Bullet 3"/>
    <w:basedOn w:val="Text3"/>
    <w:rsid w:val="006A1579"/>
    <w:pPr>
      <w:numPr>
        <w:numId w:val="19"/>
      </w:numPr>
      <w:tabs>
        <w:tab w:val="clear" w:pos="2302"/>
      </w:tabs>
    </w:pPr>
  </w:style>
  <w:style w:type="paragraph" w:styleId="ListBullet4">
    <w:name w:val="List Bullet 4"/>
    <w:basedOn w:val="Text4"/>
    <w:rsid w:val="006A1579"/>
    <w:pPr>
      <w:numPr>
        <w:numId w:val="20"/>
      </w:numPr>
    </w:pPr>
  </w:style>
  <w:style w:type="paragraph" w:styleId="ListBullet5">
    <w:name w:val="List Bullet 5"/>
    <w:basedOn w:val="Normal"/>
    <w:autoRedefine/>
    <w:rsid w:val="006A1579"/>
    <w:pPr>
      <w:numPr>
        <w:numId w:val="15"/>
      </w:numPr>
      <w:spacing w:after="160" w:line="300" w:lineRule="auto"/>
      <w:jc w:val="left"/>
    </w:pPr>
    <w:rPr>
      <w:rFonts w:ascii="Calibri" w:hAnsi="Calibri"/>
      <w:sz w:val="21"/>
      <w:szCs w:val="21"/>
      <w:lang w:val="fr-FR" w:eastAsia="fr-FR"/>
    </w:rPr>
  </w:style>
  <w:style w:type="paragraph" w:styleId="ListContinue">
    <w:name w:val="List Continue"/>
    <w:basedOn w:val="Normal"/>
    <w:rsid w:val="006A1579"/>
    <w:pPr>
      <w:spacing w:after="120" w:line="300" w:lineRule="auto"/>
      <w:ind w:left="283"/>
      <w:jc w:val="left"/>
    </w:pPr>
    <w:rPr>
      <w:rFonts w:ascii="Calibri" w:hAnsi="Calibri"/>
      <w:sz w:val="21"/>
      <w:szCs w:val="21"/>
      <w:lang w:val="fr-FR" w:eastAsia="fr-FR"/>
    </w:rPr>
  </w:style>
  <w:style w:type="paragraph" w:styleId="ListContinue2">
    <w:name w:val="List Continue 2"/>
    <w:basedOn w:val="Normal"/>
    <w:rsid w:val="006A1579"/>
    <w:pPr>
      <w:spacing w:after="120" w:line="300" w:lineRule="auto"/>
      <w:ind w:left="566"/>
      <w:jc w:val="left"/>
    </w:pPr>
    <w:rPr>
      <w:rFonts w:ascii="Calibri" w:hAnsi="Calibri"/>
      <w:sz w:val="21"/>
      <w:szCs w:val="21"/>
      <w:lang w:val="fr-FR" w:eastAsia="fr-FR"/>
    </w:rPr>
  </w:style>
  <w:style w:type="paragraph" w:styleId="ListContinue3">
    <w:name w:val="List Continue 3"/>
    <w:basedOn w:val="Normal"/>
    <w:rsid w:val="006A1579"/>
    <w:pPr>
      <w:spacing w:after="120" w:line="300" w:lineRule="auto"/>
      <w:ind w:left="849"/>
      <w:jc w:val="left"/>
    </w:pPr>
    <w:rPr>
      <w:rFonts w:ascii="Calibri" w:hAnsi="Calibri"/>
      <w:sz w:val="21"/>
      <w:szCs w:val="21"/>
      <w:lang w:val="fr-FR" w:eastAsia="fr-FR"/>
    </w:rPr>
  </w:style>
  <w:style w:type="paragraph" w:styleId="ListContinue4">
    <w:name w:val="List Continue 4"/>
    <w:basedOn w:val="Normal"/>
    <w:rsid w:val="006A1579"/>
    <w:pPr>
      <w:spacing w:after="120" w:line="300" w:lineRule="auto"/>
      <w:ind w:left="1132"/>
      <w:jc w:val="left"/>
    </w:pPr>
    <w:rPr>
      <w:rFonts w:ascii="Calibri" w:hAnsi="Calibri"/>
      <w:sz w:val="21"/>
      <w:szCs w:val="21"/>
      <w:lang w:val="fr-FR" w:eastAsia="fr-FR"/>
    </w:rPr>
  </w:style>
  <w:style w:type="paragraph" w:styleId="ListContinue5">
    <w:name w:val="List Continue 5"/>
    <w:basedOn w:val="Normal"/>
    <w:rsid w:val="006A1579"/>
    <w:pPr>
      <w:spacing w:after="120" w:line="300" w:lineRule="auto"/>
      <w:ind w:left="1415"/>
      <w:jc w:val="left"/>
    </w:pPr>
    <w:rPr>
      <w:rFonts w:ascii="Calibri" w:hAnsi="Calibri"/>
      <w:sz w:val="21"/>
      <w:szCs w:val="21"/>
      <w:lang w:val="fr-FR" w:eastAsia="fr-FR"/>
    </w:rPr>
  </w:style>
  <w:style w:type="paragraph" w:styleId="ListNumber">
    <w:name w:val="List Number"/>
    <w:basedOn w:val="Normal"/>
    <w:rsid w:val="006A1579"/>
    <w:pPr>
      <w:numPr>
        <w:numId w:val="26"/>
      </w:numPr>
      <w:spacing w:after="160" w:line="300" w:lineRule="auto"/>
      <w:jc w:val="left"/>
    </w:pPr>
    <w:rPr>
      <w:rFonts w:ascii="Calibri" w:hAnsi="Calibri"/>
      <w:sz w:val="21"/>
      <w:szCs w:val="21"/>
      <w:lang w:val="fr-FR" w:eastAsia="fr-FR"/>
    </w:rPr>
  </w:style>
  <w:style w:type="paragraph" w:styleId="ListNumber2">
    <w:name w:val="List Number 2"/>
    <w:basedOn w:val="Text2"/>
    <w:rsid w:val="006A1579"/>
    <w:pPr>
      <w:numPr>
        <w:numId w:val="28"/>
      </w:numPr>
      <w:tabs>
        <w:tab w:val="clear" w:pos="2160"/>
      </w:tabs>
    </w:pPr>
  </w:style>
  <w:style w:type="paragraph" w:styleId="ListNumber3">
    <w:name w:val="List Number 3"/>
    <w:basedOn w:val="Text3"/>
    <w:rsid w:val="006A1579"/>
    <w:pPr>
      <w:numPr>
        <w:numId w:val="29"/>
      </w:numPr>
      <w:tabs>
        <w:tab w:val="clear" w:pos="2302"/>
      </w:tabs>
    </w:pPr>
  </w:style>
  <w:style w:type="paragraph" w:styleId="ListNumber4">
    <w:name w:val="List Number 4"/>
    <w:basedOn w:val="Text4"/>
    <w:rsid w:val="006A1579"/>
    <w:pPr>
      <w:numPr>
        <w:numId w:val="30"/>
      </w:numPr>
    </w:pPr>
  </w:style>
  <w:style w:type="paragraph" w:styleId="ListNumber5">
    <w:name w:val="List Number 5"/>
    <w:basedOn w:val="Normal"/>
    <w:rsid w:val="006A1579"/>
    <w:pPr>
      <w:numPr>
        <w:numId w:val="16"/>
      </w:numPr>
      <w:spacing w:after="160" w:line="300" w:lineRule="auto"/>
      <w:jc w:val="left"/>
    </w:pPr>
    <w:rPr>
      <w:rFonts w:ascii="Calibri" w:hAnsi="Calibri"/>
      <w:sz w:val="21"/>
      <w:szCs w:val="21"/>
      <w:lang w:val="fr-FR" w:eastAsia="fr-FR"/>
    </w:rPr>
  </w:style>
  <w:style w:type="paragraph" w:styleId="MessageHeader">
    <w:name w:val="Message Header"/>
    <w:basedOn w:val="Normal"/>
    <w:link w:val="MessageHeaderChar"/>
    <w:rsid w:val="006A1579"/>
    <w:pPr>
      <w:pBdr>
        <w:top w:val="single" w:sz="6" w:space="1" w:color="auto"/>
        <w:left w:val="single" w:sz="6" w:space="1" w:color="auto"/>
        <w:bottom w:val="single" w:sz="6" w:space="1" w:color="auto"/>
        <w:right w:val="single" w:sz="6" w:space="1" w:color="auto"/>
      </w:pBdr>
      <w:shd w:val="pct20" w:color="auto" w:fill="auto"/>
      <w:spacing w:after="160" w:line="300" w:lineRule="auto"/>
      <w:ind w:left="1134" w:hanging="1134"/>
      <w:jc w:val="left"/>
    </w:pPr>
    <w:rPr>
      <w:sz w:val="21"/>
      <w:szCs w:val="21"/>
      <w:lang w:val="fr-FR" w:eastAsia="fr-FR"/>
    </w:rPr>
  </w:style>
  <w:style w:type="character" w:customStyle="1" w:styleId="MessageHeaderChar">
    <w:name w:val="Message Header Char"/>
    <w:basedOn w:val="DefaultParagraphFont"/>
    <w:link w:val="MessageHeader"/>
    <w:rsid w:val="006A1579"/>
    <w:rPr>
      <w:rFonts w:ascii="Arial" w:hAnsi="Arial"/>
      <w:sz w:val="21"/>
      <w:szCs w:val="21"/>
      <w:shd w:val="pct20" w:color="auto" w:fill="auto"/>
      <w:lang w:val="fr-FR" w:eastAsia="fr-FR"/>
    </w:rPr>
  </w:style>
  <w:style w:type="paragraph" w:styleId="NormalIndent">
    <w:name w:val="Normal Indent"/>
    <w:aliases w:val="Text Indent"/>
    <w:basedOn w:val="Normal"/>
    <w:link w:val="NormalIndentChar"/>
    <w:rsid w:val="006A1579"/>
    <w:pPr>
      <w:spacing w:after="160" w:line="300" w:lineRule="auto"/>
      <w:ind w:left="720"/>
      <w:jc w:val="left"/>
    </w:pPr>
    <w:rPr>
      <w:rFonts w:ascii="Calibri" w:hAnsi="Calibri"/>
      <w:sz w:val="21"/>
      <w:szCs w:val="21"/>
      <w:lang w:val="fr-FR" w:eastAsia="fr-FR"/>
    </w:rPr>
  </w:style>
  <w:style w:type="paragraph" w:styleId="NoteHeading">
    <w:name w:val="Note Heading"/>
    <w:basedOn w:val="Normal"/>
    <w:next w:val="Normal"/>
    <w:link w:val="NoteHeadingChar"/>
    <w:rsid w:val="006A1579"/>
    <w:pPr>
      <w:spacing w:after="160" w:line="300" w:lineRule="auto"/>
      <w:jc w:val="left"/>
    </w:pPr>
    <w:rPr>
      <w:rFonts w:ascii="Calibri" w:hAnsi="Calibri"/>
      <w:sz w:val="21"/>
      <w:szCs w:val="21"/>
      <w:lang w:val="fr-FR" w:eastAsia="fr-FR"/>
    </w:rPr>
  </w:style>
  <w:style w:type="character" w:customStyle="1" w:styleId="NoteHeadingChar">
    <w:name w:val="Note Heading Char"/>
    <w:basedOn w:val="DefaultParagraphFont"/>
    <w:link w:val="NoteHeading"/>
    <w:rsid w:val="006A1579"/>
    <w:rPr>
      <w:rFonts w:ascii="Calibri" w:hAnsi="Calibri"/>
      <w:sz w:val="21"/>
      <w:szCs w:val="21"/>
      <w:lang w:val="fr-FR" w:eastAsia="fr-FR"/>
    </w:rPr>
  </w:style>
  <w:style w:type="paragraph" w:customStyle="1" w:styleId="NoteHead">
    <w:name w:val="NoteHead"/>
    <w:basedOn w:val="Normal"/>
    <w:next w:val="Subject"/>
    <w:rsid w:val="006A1579"/>
    <w:pPr>
      <w:spacing w:before="720" w:after="720" w:line="300" w:lineRule="auto"/>
      <w:jc w:val="center"/>
    </w:pPr>
    <w:rPr>
      <w:rFonts w:ascii="Calibri" w:hAnsi="Calibri"/>
      <w:b/>
      <w:smallCaps/>
      <w:sz w:val="21"/>
      <w:szCs w:val="21"/>
      <w:lang w:val="fr-FR" w:eastAsia="fr-FR"/>
    </w:rPr>
  </w:style>
  <w:style w:type="paragraph" w:customStyle="1" w:styleId="Subject">
    <w:name w:val="Subject"/>
    <w:basedOn w:val="Normal"/>
    <w:next w:val="Normal"/>
    <w:rsid w:val="006A1579"/>
    <w:pPr>
      <w:spacing w:after="480" w:line="300" w:lineRule="auto"/>
      <w:ind w:left="1531" w:hanging="1531"/>
      <w:jc w:val="left"/>
    </w:pPr>
    <w:rPr>
      <w:rFonts w:ascii="Calibri" w:hAnsi="Calibri"/>
      <w:b/>
      <w:sz w:val="21"/>
      <w:szCs w:val="21"/>
      <w:lang w:val="fr-FR" w:eastAsia="fr-FR"/>
    </w:rPr>
  </w:style>
  <w:style w:type="paragraph" w:customStyle="1" w:styleId="NoteList">
    <w:name w:val="NoteList"/>
    <w:basedOn w:val="Normal"/>
    <w:next w:val="Subject"/>
    <w:rsid w:val="006A1579"/>
    <w:pPr>
      <w:tabs>
        <w:tab w:val="left" w:pos="5823"/>
      </w:tabs>
      <w:spacing w:before="720" w:after="720" w:line="300" w:lineRule="auto"/>
      <w:ind w:left="5104" w:hanging="3119"/>
      <w:jc w:val="left"/>
    </w:pPr>
    <w:rPr>
      <w:rFonts w:ascii="Calibri" w:hAnsi="Calibri"/>
      <w:b/>
      <w:smallCaps/>
      <w:sz w:val="21"/>
      <w:szCs w:val="21"/>
      <w:lang w:val="fr-FR" w:eastAsia="fr-FR"/>
    </w:rPr>
  </w:style>
  <w:style w:type="paragraph" w:customStyle="1" w:styleId="NumPar1">
    <w:name w:val="NumPar 1"/>
    <w:basedOn w:val="Heading1"/>
    <w:next w:val="Text1"/>
    <w:rsid w:val="006A1579"/>
    <w:pPr>
      <w:keepNext w:val="0"/>
      <w:keepLines/>
      <w:spacing w:after="80"/>
      <w:jc w:val="center"/>
      <w:outlineLvl w:val="9"/>
    </w:pPr>
    <w:rPr>
      <w:rFonts w:ascii="Calibri Light" w:eastAsia="SimSun" w:hAnsi="Calibri Light"/>
      <w:b/>
      <w:caps w:val="0"/>
      <w:smallCaps/>
      <w:color w:val="2E74B5"/>
      <w:sz w:val="40"/>
      <w:szCs w:val="40"/>
      <w:lang w:val="fr-FR" w:eastAsia="fr-FR"/>
    </w:rPr>
  </w:style>
  <w:style w:type="paragraph" w:customStyle="1" w:styleId="NumPar2">
    <w:name w:val="NumPar 2"/>
    <w:basedOn w:val="Heading2"/>
    <w:next w:val="Text2"/>
    <w:rsid w:val="006A1579"/>
    <w:pPr>
      <w:keepNext w:val="0"/>
      <w:keepLines/>
      <w:spacing w:before="160" w:after="40"/>
      <w:jc w:val="center"/>
      <w:outlineLvl w:val="9"/>
    </w:pPr>
    <w:rPr>
      <w:rFonts w:ascii="Calibri Light" w:eastAsia="SimSun" w:hAnsi="Calibri Light"/>
      <w:b/>
      <w:sz w:val="32"/>
      <w:szCs w:val="32"/>
      <w:u w:val="none"/>
      <w:lang w:val="fr-FR" w:eastAsia="fr-FR"/>
    </w:rPr>
  </w:style>
  <w:style w:type="paragraph" w:customStyle="1" w:styleId="NumPar3">
    <w:name w:val="NumPar 3"/>
    <w:basedOn w:val="Heading3"/>
    <w:next w:val="Text3"/>
    <w:rsid w:val="006A1579"/>
    <w:pPr>
      <w:keepNext w:val="0"/>
      <w:keepLines/>
      <w:spacing w:before="160"/>
      <w:jc w:val="left"/>
      <w:outlineLvl w:val="9"/>
    </w:pPr>
    <w:rPr>
      <w:rFonts w:ascii="Calibri Light" w:eastAsia="SimSun" w:hAnsi="Calibri Light"/>
      <w:sz w:val="32"/>
      <w:szCs w:val="32"/>
      <w:lang w:val="fr-FR" w:eastAsia="fr-FR"/>
    </w:rPr>
  </w:style>
  <w:style w:type="paragraph" w:customStyle="1" w:styleId="NumPar4">
    <w:name w:val="NumPar 4"/>
    <w:basedOn w:val="Heading4"/>
    <w:next w:val="Text4"/>
    <w:rsid w:val="006A1579"/>
    <w:pPr>
      <w:keepNext w:val="0"/>
      <w:keepLines/>
      <w:spacing w:before="80" w:line="300" w:lineRule="auto"/>
      <w:ind w:left="0"/>
      <w:jc w:val="left"/>
      <w:outlineLvl w:val="9"/>
    </w:pPr>
    <w:rPr>
      <w:rFonts w:ascii="Calibri Light" w:eastAsia="SimSun" w:hAnsi="Calibri Light"/>
      <w:i/>
      <w:iCs/>
      <w:sz w:val="30"/>
      <w:szCs w:val="30"/>
      <w:u w:val="none"/>
      <w:lang w:eastAsia="fr-FR"/>
    </w:rPr>
  </w:style>
  <w:style w:type="paragraph" w:styleId="PlainText">
    <w:name w:val="Plain Text"/>
    <w:basedOn w:val="Normal"/>
    <w:link w:val="PlainTextChar"/>
    <w:uiPriority w:val="99"/>
    <w:rsid w:val="006A1579"/>
    <w:pPr>
      <w:spacing w:after="160" w:line="300" w:lineRule="auto"/>
      <w:jc w:val="left"/>
    </w:pPr>
    <w:rPr>
      <w:rFonts w:ascii="Courier New" w:hAnsi="Courier New"/>
      <w:szCs w:val="21"/>
      <w:lang w:val="fr-FR" w:eastAsia="fr-FR"/>
    </w:rPr>
  </w:style>
  <w:style w:type="character" w:customStyle="1" w:styleId="PlainTextChar">
    <w:name w:val="Plain Text Char"/>
    <w:basedOn w:val="DefaultParagraphFont"/>
    <w:link w:val="PlainText"/>
    <w:uiPriority w:val="99"/>
    <w:rsid w:val="006A1579"/>
    <w:rPr>
      <w:rFonts w:ascii="Courier New" w:hAnsi="Courier New"/>
      <w:szCs w:val="21"/>
      <w:lang w:val="fr-FR" w:eastAsia="fr-FR"/>
    </w:rPr>
  </w:style>
  <w:style w:type="paragraph" w:styleId="Salutation">
    <w:name w:val="Salutation"/>
    <w:basedOn w:val="Normal"/>
    <w:next w:val="Normal"/>
    <w:link w:val="SalutationChar"/>
    <w:rsid w:val="006A1579"/>
    <w:pPr>
      <w:spacing w:after="160" w:line="300" w:lineRule="auto"/>
      <w:jc w:val="left"/>
    </w:pPr>
    <w:rPr>
      <w:rFonts w:ascii="Calibri" w:hAnsi="Calibri"/>
      <w:sz w:val="21"/>
      <w:szCs w:val="21"/>
      <w:lang w:val="fr-FR" w:eastAsia="fr-FR"/>
    </w:rPr>
  </w:style>
  <w:style w:type="character" w:customStyle="1" w:styleId="SalutationChar">
    <w:name w:val="Salutation Char"/>
    <w:basedOn w:val="DefaultParagraphFont"/>
    <w:link w:val="Salutation"/>
    <w:rsid w:val="006A1579"/>
    <w:rPr>
      <w:rFonts w:ascii="Calibri" w:hAnsi="Calibri"/>
      <w:sz w:val="21"/>
      <w:szCs w:val="21"/>
      <w:lang w:val="fr-FR" w:eastAsia="fr-FR"/>
    </w:rPr>
  </w:style>
  <w:style w:type="paragraph" w:styleId="Subtitle">
    <w:name w:val="Subtitle"/>
    <w:basedOn w:val="Normal"/>
    <w:next w:val="Normal"/>
    <w:link w:val="SubtitleChar"/>
    <w:uiPriority w:val="11"/>
    <w:qFormat/>
    <w:rsid w:val="006A1579"/>
    <w:pPr>
      <w:numPr>
        <w:ilvl w:val="1"/>
      </w:numPr>
      <w:spacing w:after="160" w:line="300" w:lineRule="auto"/>
      <w:jc w:val="center"/>
    </w:pPr>
    <w:rPr>
      <w:rFonts w:ascii="Calibri" w:hAnsi="Calibri"/>
      <w:color w:val="44546A"/>
      <w:sz w:val="28"/>
      <w:szCs w:val="28"/>
      <w:lang w:val="fr-FR" w:eastAsia="fr-FR"/>
    </w:rPr>
  </w:style>
  <w:style w:type="character" w:customStyle="1" w:styleId="SubtitleChar">
    <w:name w:val="Subtitle Char"/>
    <w:basedOn w:val="DefaultParagraphFont"/>
    <w:link w:val="Subtitle"/>
    <w:uiPriority w:val="11"/>
    <w:rsid w:val="006A1579"/>
    <w:rPr>
      <w:rFonts w:ascii="Calibri" w:hAnsi="Calibri"/>
      <w:color w:val="44546A"/>
      <w:sz w:val="28"/>
      <w:szCs w:val="28"/>
      <w:lang w:val="fr-FR" w:eastAsia="fr-FR"/>
    </w:rPr>
  </w:style>
  <w:style w:type="paragraph" w:styleId="TableofAuthorities">
    <w:name w:val="table of authorities"/>
    <w:basedOn w:val="Normal"/>
    <w:next w:val="Normal"/>
    <w:semiHidden/>
    <w:rsid w:val="006A1579"/>
    <w:pPr>
      <w:spacing w:after="160" w:line="300" w:lineRule="auto"/>
      <w:ind w:left="240" w:hanging="240"/>
      <w:jc w:val="left"/>
    </w:pPr>
    <w:rPr>
      <w:rFonts w:ascii="Calibri" w:hAnsi="Calibri"/>
      <w:sz w:val="21"/>
      <w:szCs w:val="21"/>
      <w:lang w:val="fr-FR" w:eastAsia="fr-FR"/>
    </w:rPr>
  </w:style>
  <w:style w:type="paragraph" w:styleId="TableofFigures">
    <w:name w:val="table of figures"/>
    <w:basedOn w:val="Normal"/>
    <w:next w:val="Normal"/>
    <w:semiHidden/>
    <w:rsid w:val="006A1579"/>
    <w:pPr>
      <w:spacing w:after="160" w:line="300" w:lineRule="auto"/>
      <w:ind w:left="480" w:hanging="480"/>
      <w:jc w:val="left"/>
    </w:pPr>
    <w:rPr>
      <w:rFonts w:ascii="Calibri" w:hAnsi="Calibri"/>
      <w:sz w:val="21"/>
      <w:szCs w:val="21"/>
      <w:lang w:val="fr-FR" w:eastAsia="fr-FR"/>
    </w:rPr>
  </w:style>
  <w:style w:type="paragraph" w:styleId="TOAHeading">
    <w:name w:val="toa heading"/>
    <w:basedOn w:val="Normal"/>
    <w:next w:val="Normal"/>
    <w:semiHidden/>
    <w:rsid w:val="006A1579"/>
    <w:pPr>
      <w:spacing w:before="120" w:after="160" w:line="300" w:lineRule="auto"/>
      <w:jc w:val="left"/>
    </w:pPr>
    <w:rPr>
      <w:b/>
      <w:sz w:val="21"/>
      <w:szCs w:val="21"/>
      <w:lang w:val="fr-FR" w:eastAsia="fr-FR"/>
    </w:rPr>
  </w:style>
  <w:style w:type="paragraph" w:styleId="TOC6">
    <w:name w:val="toc 6"/>
    <w:basedOn w:val="Normal"/>
    <w:next w:val="Normal"/>
    <w:autoRedefine/>
    <w:semiHidden/>
    <w:rsid w:val="006A1579"/>
    <w:pPr>
      <w:spacing w:after="160" w:line="300" w:lineRule="auto"/>
      <w:ind w:left="1200"/>
      <w:jc w:val="left"/>
    </w:pPr>
    <w:rPr>
      <w:rFonts w:ascii="Calibri" w:hAnsi="Calibri"/>
      <w:sz w:val="21"/>
      <w:szCs w:val="21"/>
      <w:lang w:val="fr-FR" w:eastAsia="fr-FR"/>
    </w:rPr>
  </w:style>
  <w:style w:type="paragraph" w:styleId="TOC7">
    <w:name w:val="toc 7"/>
    <w:basedOn w:val="Normal"/>
    <w:next w:val="Normal"/>
    <w:autoRedefine/>
    <w:semiHidden/>
    <w:rsid w:val="006A1579"/>
    <w:pPr>
      <w:spacing w:after="160" w:line="300" w:lineRule="auto"/>
      <w:ind w:left="1440"/>
      <w:jc w:val="left"/>
    </w:pPr>
    <w:rPr>
      <w:rFonts w:ascii="Calibri" w:hAnsi="Calibri"/>
      <w:sz w:val="21"/>
      <w:szCs w:val="21"/>
      <w:lang w:val="fr-FR" w:eastAsia="fr-FR"/>
    </w:rPr>
  </w:style>
  <w:style w:type="paragraph" w:styleId="TOC8">
    <w:name w:val="toc 8"/>
    <w:basedOn w:val="Normal"/>
    <w:next w:val="Normal"/>
    <w:autoRedefine/>
    <w:semiHidden/>
    <w:rsid w:val="006A1579"/>
    <w:pPr>
      <w:spacing w:after="160" w:line="300" w:lineRule="auto"/>
      <w:ind w:left="1680"/>
      <w:jc w:val="left"/>
    </w:pPr>
    <w:rPr>
      <w:rFonts w:ascii="Calibri" w:hAnsi="Calibri"/>
      <w:sz w:val="21"/>
      <w:szCs w:val="21"/>
      <w:lang w:val="fr-FR" w:eastAsia="fr-FR"/>
    </w:rPr>
  </w:style>
  <w:style w:type="paragraph" w:styleId="TOC9">
    <w:name w:val="toc 9"/>
    <w:basedOn w:val="Normal"/>
    <w:next w:val="Normal"/>
    <w:autoRedefine/>
    <w:semiHidden/>
    <w:rsid w:val="006A1579"/>
    <w:pPr>
      <w:spacing w:after="160" w:line="300" w:lineRule="auto"/>
      <w:ind w:left="1920"/>
      <w:jc w:val="left"/>
    </w:pPr>
    <w:rPr>
      <w:rFonts w:ascii="Calibri" w:hAnsi="Calibri"/>
      <w:sz w:val="21"/>
      <w:szCs w:val="21"/>
      <w:lang w:val="fr-FR" w:eastAsia="fr-FR"/>
    </w:rPr>
  </w:style>
  <w:style w:type="paragraph" w:customStyle="1" w:styleId="YReferences">
    <w:name w:val="YReferences"/>
    <w:basedOn w:val="Normal"/>
    <w:next w:val="Normal"/>
    <w:rsid w:val="006A1579"/>
    <w:pPr>
      <w:spacing w:after="480" w:line="300" w:lineRule="auto"/>
      <w:ind w:left="1531" w:hanging="1531"/>
      <w:jc w:val="left"/>
    </w:pPr>
    <w:rPr>
      <w:rFonts w:ascii="Calibri" w:hAnsi="Calibri"/>
      <w:sz w:val="21"/>
      <w:szCs w:val="21"/>
      <w:lang w:val="fr-FR" w:eastAsia="fr-FR"/>
    </w:rPr>
  </w:style>
  <w:style w:type="paragraph" w:customStyle="1" w:styleId="ListBullet1">
    <w:name w:val="List Bullet 1"/>
    <w:basedOn w:val="Text1"/>
    <w:rsid w:val="006A1579"/>
    <w:pPr>
      <w:numPr>
        <w:numId w:val="17"/>
      </w:numPr>
    </w:pPr>
  </w:style>
  <w:style w:type="paragraph" w:customStyle="1" w:styleId="ListDash">
    <w:name w:val="List Dash"/>
    <w:basedOn w:val="Normal"/>
    <w:rsid w:val="006A1579"/>
    <w:pPr>
      <w:numPr>
        <w:numId w:val="21"/>
      </w:numPr>
      <w:spacing w:after="160" w:line="300" w:lineRule="auto"/>
      <w:jc w:val="left"/>
    </w:pPr>
    <w:rPr>
      <w:rFonts w:ascii="Calibri" w:hAnsi="Calibri"/>
      <w:sz w:val="21"/>
      <w:szCs w:val="21"/>
      <w:lang w:val="fr-FR" w:eastAsia="fr-FR"/>
    </w:rPr>
  </w:style>
  <w:style w:type="paragraph" w:customStyle="1" w:styleId="ListDash1">
    <w:name w:val="List Dash 1"/>
    <w:basedOn w:val="Text1"/>
    <w:rsid w:val="006A1579"/>
    <w:pPr>
      <w:numPr>
        <w:numId w:val="22"/>
      </w:numPr>
    </w:pPr>
  </w:style>
  <w:style w:type="paragraph" w:customStyle="1" w:styleId="ListDash2">
    <w:name w:val="List Dash 2"/>
    <w:basedOn w:val="Text2"/>
    <w:rsid w:val="006A1579"/>
    <w:pPr>
      <w:numPr>
        <w:numId w:val="23"/>
      </w:numPr>
      <w:tabs>
        <w:tab w:val="clear" w:pos="2160"/>
      </w:tabs>
    </w:pPr>
  </w:style>
  <w:style w:type="paragraph" w:customStyle="1" w:styleId="ListDash3">
    <w:name w:val="List Dash 3"/>
    <w:basedOn w:val="Text3"/>
    <w:rsid w:val="006A1579"/>
    <w:pPr>
      <w:numPr>
        <w:numId w:val="24"/>
      </w:numPr>
      <w:tabs>
        <w:tab w:val="clear" w:pos="2302"/>
      </w:tabs>
    </w:pPr>
  </w:style>
  <w:style w:type="paragraph" w:customStyle="1" w:styleId="ListDash4">
    <w:name w:val="List Dash 4"/>
    <w:basedOn w:val="Text4"/>
    <w:rsid w:val="006A1579"/>
    <w:pPr>
      <w:numPr>
        <w:numId w:val="25"/>
      </w:numPr>
    </w:pPr>
  </w:style>
  <w:style w:type="paragraph" w:customStyle="1" w:styleId="ListNumberLevel2">
    <w:name w:val="List Number (Level 2)"/>
    <w:basedOn w:val="Normal"/>
    <w:rsid w:val="006A1579"/>
    <w:pPr>
      <w:numPr>
        <w:ilvl w:val="1"/>
        <w:numId w:val="26"/>
      </w:numPr>
      <w:spacing w:after="160" w:line="300" w:lineRule="auto"/>
      <w:jc w:val="left"/>
    </w:pPr>
    <w:rPr>
      <w:rFonts w:ascii="Calibri" w:hAnsi="Calibri"/>
      <w:sz w:val="21"/>
      <w:szCs w:val="21"/>
      <w:lang w:val="fr-FR" w:eastAsia="fr-FR"/>
    </w:rPr>
  </w:style>
  <w:style w:type="paragraph" w:customStyle="1" w:styleId="ListNumberLevel3">
    <w:name w:val="List Number (Level 3)"/>
    <w:basedOn w:val="Normal"/>
    <w:rsid w:val="006A1579"/>
    <w:pPr>
      <w:numPr>
        <w:ilvl w:val="2"/>
        <w:numId w:val="26"/>
      </w:numPr>
      <w:spacing w:after="160" w:line="300" w:lineRule="auto"/>
      <w:jc w:val="left"/>
    </w:pPr>
    <w:rPr>
      <w:rFonts w:ascii="Calibri" w:hAnsi="Calibri"/>
      <w:sz w:val="21"/>
      <w:szCs w:val="21"/>
      <w:lang w:val="fr-FR" w:eastAsia="fr-FR"/>
    </w:rPr>
  </w:style>
  <w:style w:type="paragraph" w:customStyle="1" w:styleId="ListNumberLevel4">
    <w:name w:val="List Number (Level 4)"/>
    <w:basedOn w:val="Normal"/>
    <w:rsid w:val="006A1579"/>
    <w:pPr>
      <w:numPr>
        <w:ilvl w:val="3"/>
        <w:numId w:val="26"/>
      </w:numPr>
      <w:spacing w:after="160" w:line="300" w:lineRule="auto"/>
      <w:jc w:val="left"/>
    </w:pPr>
    <w:rPr>
      <w:rFonts w:ascii="Calibri" w:hAnsi="Calibri"/>
      <w:sz w:val="21"/>
      <w:szCs w:val="21"/>
      <w:lang w:val="fr-FR" w:eastAsia="fr-FR"/>
    </w:rPr>
  </w:style>
  <w:style w:type="paragraph" w:customStyle="1" w:styleId="ListNumber1">
    <w:name w:val="List Number 1"/>
    <w:basedOn w:val="Text1"/>
    <w:rsid w:val="006A1579"/>
    <w:pPr>
      <w:numPr>
        <w:numId w:val="27"/>
      </w:numPr>
    </w:pPr>
  </w:style>
  <w:style w:type="paragraph" w:customStyle="1" w:styleId="ListNumber1Level2">
    <w:name w:val="List Number 1 (Level 2)"/>
    <w:basedOn w:val="Text1"/>
    <w:rsid w:val="006A1579"/>
    <w:pPr>
      <w:numPr>
        <w:ilvl w:val="1"/>
        <w:numId w:val="27"/>
      </w:numPr>
    </w:pPr>
  </w:style>
  <w:style w:type="paragraph" w:customStyle="1" w:styleId="ListNumber1Level3">
    <w:name w:val="List Number 1 (Level 3)"/>
    <w:basedOn w:val="Text1"/>
    <w:rsid w:val="006A1579"/>
    <w:pPr>
      <w:numPr>
        <w:ilvl w:val="2"/>
        <w:numId w:val="27"/>
      </w:numPr>
    </w:pPr>
  </w:style>
  <w:style w:type="paragraph" w:customStyle="1" w:styleId="ListNumber1Level4">
    <w:name w:val="List Number 1 (Level 4)"/>
    <w:basedOn w:val="Text1"/>
    <w:rsid w:val="006A1579"/>
    <w:pPr>
      <w:numPr>
        <w:ilvl w:val="3"/>
        <w:numId w:val="27"/>
      </w:numPr>
    </w:pPr>
  </w:style>
  <w:style w:type="paragraph" w:customStyle="1" w:styleId="ListNumber2Level2">
    <w:name w:val="List Number 2 (Level 2)"/>
    <w:basedOn w:val="Text2"/>
    <w:rsid w:val="006A1579"/>
    <w:pPr>
      <w:numPr>
        <w:ilvl w:val="1"/>
        <w:numId w:val="28"/>
      </w:numPr>
      <w:tabs>
        <w:tab w:val="clear" w:pos="2160"/>
      </w:tabs>
    </w:pPr>
  </w:style>
  <w:style w:type="paragraph" w:customStyle="1" w:styleId="ListNumber2Level3">
    <w:name w:val="List Number 2 (Level 3)"/>
    <w:basedOn w:val="Text2"/>
    <w:rsid w:val="006A1579"/>
    <w:pPr>
      <w:numPr>
        <w:ilvl w:val="2"/>
        <w:numId w:val="28"/>
      </w:numPr>
      <w:tabs>
        <w:tab w:val="clear" w:pos="2160"/>
      </w:tabs>
    </w:pPr>
  </w:style>
  <w:style w:type="paragraph" w:customStyle="1" w:styleId="ListNumber2Level4">
    <w:name w:val="List Number 2 (Level 4)"/>
    <w:basedOn w:val="Text2"/>
    <w:rsid w:val="006A1579"/>
    <w:pPr>
      <w:numPr>
        <w:ilvl w:val="3"/>
        <w:numId w:val="28"/>
      </w:numPr>
      <w:tabs>
        <w:tab w:val="clear" w:pos="2160"/>
      </w:tabs>
      <w:ind w:left="3901" w:hanging="703"/>
    </w:pPr>
  </w:style>
  <w:style w:type="paragraph" w:customStyle="1" w:styleId="ListNumber3Level2">
    <w:name w:val="List Number 3 (Level 2)"/>
    <w:basedOn w:val="Text3"/>
    <w:rsid w:val="006A1579"/>
    <w:pPr>
      <w:numPr>
        <w:ilvl w:val="1"/>
        <w:numId w:val="29"/>
      </w:numPr>
      <w:tabs>
        <w:tab w:val="clear" w:pos="2302"/>
      </w:tabs>
    </w:pPr>
  </w:style>
  <w:style w:type="paragraph" w:customStyle="1" w:styleId="ListNumber3Level3">
    <w:name w:val="List Number 3 (Level 3)"/>
    <w:basedOn w:val="Text3"/>
    <w:rsid w:val="006A1579"/>
    <w:pPr>
      <w:numPr>
        <w:ilvl w:val="2"/>
        <w:numId w:val="29"/>
      </w:numPr>
      <w:tabs>
        <w:tab w:val="clear" w:pos="2302"/>
      </w:tabs>
    </w:pPr>
  </w:style>
  <w:style w:type="paragraph" w:customStyle="1" w:styleId="ListNumber3Level4">
    <w:name w:val="List Number 3 (Level 4)"/>
    <w:basedOn w:val="Text3"/>
    <w:rsid w:val="006A1579"/>
    <w:pPr>
      <w:numPr>
        <w:ilvl w:val="3"/>
        <w:numId w:val="29"/>
      </w:numPr>
      <w:tabs>
        <w:tab w:val="clear" w:pos="2302"/>
      </w:tabs>
    </w:pPr>
  </w:style>
  <w:style w:type="paragraph" w:customStyle="1" w:styleId="ListNumber4Level2">
    <w:name w:val="List Number 4 (Level 2)"/>
    <w:basedOn w:val="Text4"/>
    <w:rsid w:val="006A1579"/>
    <w:pPr>
      <w:numPr>
        <w:ilvl w:val="1"/>
        <w:numId w:val="30"/>
      </w:numPr>
    </w:pPr>
  </w:style>
  <w:style w:type="paragraph" w:customStyle="1" w:styleId="ListNumber4Level3">
    <w:name w:val="List Number 4 (Level 3)"/>
    <w:basedOn w:val="Text4"/>
    <w:rsid w:val="006A1579"/>
    <w:pPr>
      <w:numPr>
        <w:ilvl w:val="2"/>
        <w:numId w:val="30"/>
      </w:numPr>
    </w:pPr>
  </w:style>
  <w:style w:type="paragraph" w:customStyle="1" w:styleId="ListNumber4Level4">
    <w:name w:val="List Number 4 (Level 4)"/>
    <w:basedOn w:val="Text4"/>
    <w:rsid w:val="006A1579"/>
    <w:pPr>
      <w:numPr>
        <w:ilvl w:val="3"/>
        <w:numId w:val="30"/>
      </w:numPr>
    </w:pPr>
  </w:style>
  <w:style w:type="paragraph" w:styleId="TOCHeading">
    <w:name w:val="TOC Heading"/>
    <w:basedOn w:val="Heading1"/>
    <w:next w:val="Normal"/>
    <w:uiPriority w:val="39"/>
    <w:unhideWhenUsed/>
    <w:qFormat/>
    <w:rsid w:val="006A1579"/>
    <w:pPr>
      <w:keepLines/>
      <w:spacing w:before="320" w:after="80"/>
      <w:jc w:val="center"/>
      <w:outlineLvl w:val="9"/>
    </w:pPr>
    <w:rPr>
      <w:rFonts w:ascii="Calibri Light" w:eastAsia="SimSun" w:hAnsi="Calibri Light"/>
      <w:caps w:val="0"/>
      <w:color w:val="2E74B5"/>
      <w:sz w:val="40"/>
      <w:szCs w:val="40"/>
      <w:lang w:val="fr-FR" w:eastAsia="fr-FR"/>
    </w:rPr>
  </w:style>
  <w:style w:type="paragraph" w:customStyle="1" w:styleId="Contact">
    <w:name w:val="Contact"/>
    <w:basedOn w:val="Normal"/>
    <w:next w:val="Enclosures"/>
    <w:rsid w:val="006A1579"/>
    <w:pPr>
      <w:spacing w:before="480" w:line="300" w:lineRule="auto"/>
      <w:ind w:left="567" w:hanging="567"/>
      <w:jc w:val="left"/>
    </w:pPr>
    <w:rPr>
      <w:rFonts w:ascii="Calibri" w:hAnsi="Calibri"/>
      <w:sz w:val="21"/>
      <w:szCs w:val="21"/>
      <w:lang w:val="fr-FR" w:eastAsia="fr-FR"/>
    </w:rPr>
  </w:style>
  <w:style w:type="paragraph" w:customStyle="1" w:styleId="DisclaimerNotice">
    <w:name w:val="Disclaimer Notice"/>
    <w:basedOn w:val="Normal"/>
    <w:next w:val="AddressTR"/>
    <w:rsid w:val="006A1579"/>
    <w:pPr>
      <w:spacing w:after="160" w:line="300" w:lineRule="auto"/>
      <w:ind w:left="5103"/>
      <w:jc w:val="left"/>
    </w:pPr>
    <w:rPr>
      <w:rFonts w:ascii="Calibri" w:hAnsi="Calibri"/>
      <w:i/>
      <w:szCs w:val="21"/>
      <w:lang w:val="fr-FR" w:eastAsia="fr-FR"/>
    </w:rPr>
  </w:style>
  <w:style w:type="character" w:styleId="FollowedHyperlink">
    <w:name w:val="FollowedHyperlink"/>
    <w:rsid w:val="006A1579"/>
    <w:rPr>
      <w:color w:val="800080"/>
      <w:u w:val="single"/>
    </w:rPr>
  </w:style>
  <w:style w:type="paragraph" w:customStyle="1" w:styleId="DisclaimerSJ">
    <w:name w:val="Disclaimer_SJ"/>
    <w:basedOn w:val="Normal"/>
    <w:next w:val="Normal"/>
    <w:rsid w:val="006A1579"/>
    <w:pPr>
      <w:spacing w:line="300" w:lineRule="auto"/>
      <w:jc w:val="left"/>
    </w:pPr>
    <w:rPr>
      <w:b/>
      <w:sz w:val="16"/>
      <w:szCs w:val="21"/>
      <w:lang w:val="fr-FR" w:eastAsia="fr-FR"/>
    </w:rPr>
  </w:style>
  <w:style w:type="paragraph" w:customStyle="1" w:styleId="ZCom">
    <w:name w:val="Z_Com"/>
    <w:basedOn w:val="Normal"/>
    <w:next w:val="ZDGName"/>
    <w:rsid w:val="006A1579"/>
    <w:pPr>
      <w:widowControl w:val="0"/>
      <w:autoSpaceDE w:val="0"/>
      <w:autoSpaceDN w:val="0"/>
      <w:spacing w:line="300" w:lineRule="auto"/>
      <w:ind w:right="85"/>
      <w:jc w:val="left"/>
    </w:pPr>
    <w:rPr>
      <w:rFonts w:cs="Arial"/>
      <w:sz w:val="21"/>
      <w:szCs w:val="24"/>
      <w:lang w:val="fr-FR" w:eastAsia="en-GB"/>
    </w:rPr>
  </w:style>
  <w:style w:type="paragraph" w:customStyle="1" w:styleId="ZDGName">
    <w:name w:val="Z_DGName"/>
    <w:basedOn w:val="Normal"/>
    <w:rsid w:val="006A1579"/>
    <w:pPr>
      <w:widowControl w:val="0"/>
      <w:autoSpaceDE w:val="0"/>
      <w:autoSpaceDN w:val="0"/>
      <w:spacing w:line="300" w:lineRule="auto"/>
      <w:ind w:right="85"/>
      <w:jc w:val="left"/>
    </w:pPr>
    <w:rPr>
      <w:rFonts w:cs="Arial"/>
      <w:sz w:val="16"/>
      <w:szCs w:val="16"/>
      <w:lang w:val="fr-FR" w:eastAsia="en-GB"/>
    </w:rPr>
  </w:style>
  <w:style w:type="character" w:styleId="CommentReference">
    <w:name w:val="annotation reference"/>
    <w:uiPriority w:val="99"/>
    <w:semiHidden/>
    <w:rsid w:val="006A1579"/>
    <w:rPr>
      <w:sz w:val="16"/>
      <w:szCs w:val="16"/>
    </w:rPr>
  </w:style>
  <w:style w:type="paragraph" w:styleId="CommentSubject">
    <w:name w:val="annotation subject"/>
    <w:basedOn w:val="CommentText"/>
    <w:next w:val="CommentText"/>
    <w:link w:val="CommentSubjectChar"/>
    <w:semiHidden/>
    <w:rsid w:val="006A1579"/>
    <w:rPr>
      <w:b/>
      <w:bCs/>
    </w:rPr>
  </w:style>
  <w:style w:type="character" w:customStyle="1" w:styleId="CommentSubjectChar">
    <w:name w:val="Comment Subject Char"/>
    <w:basedOn w:val="CommentTextChar"/>
    <w:link w:val="CommentSubject"/>
    <w:semiHidden/>
    <w:rsid w:val="006A1579"/>
    <w:rPr>
      <w:rFonts w:ascii="Calibri" w:hAnsi="Calibri"/>
      <w:b/>
      <w:bCs/>
      <w:szCs w:val="21"/>
      <w:lang w:val="fr-FR" w:eastAsia="fr-FR"/>
    </w:rPr>
  </w:style>
  <w:style w:type="paragraph" w:customStyle="1" w:styleId="msolistbulletstyle11">
    <w:name w:val="msolistbullet  style11"/>
    <w:basedOn w:val="Normal"/>
    <w:rsid w:val="006A1579"/>
    <w:pPr>
      <w:spacing w:before="100" w:beforeAutospacing="1" w:after="100" w:afterAutospacing="1" w:line="300" w:lineRule="auto"/>
      <w:jc w:val="left"/>
    </w:pPr>
    <w:rPr>
      <w:rFonts w:ascii="Calibri" w:hAnsi="Calibri"/>
      <w:sz w:val="21"/>
      <w:szCs w:val="24"/>
      <w:lang w:eastAsia="fr-FR"/>
    </w:rPr>
  </w:style>
  <w:style w:type="paragraph" w:customStyle="1" w:styleId="CM1">
    <w:name w:val="CM1"/>
    <w:basedOn w:val="Default"/>
    <w:next w:val="Default"/>
    <w:uiPriority w:val="99"/>
    <w:rsid w:val="006A1579"/>
    <w:pPr>
      <w:spacing w:after="160" w:line="300" w:lineRule="auto"/>
    </w:pPr>
    <w:rPr>
      <w:rFonts w:ascii="EUAlbertina" w:hAnsi="EUAlbertina"/>
      <w:color w:val="auto"/>
      <w:lang w:eastAsia="en-GB"/>
    </w:rPr>
  </w:style>
  <w:style w:type="paragraph" w:customStyle="1" w:styleId="CM3">
    <w:name w:val="CM3"/>
    <w:basedOn w:val="Default"/>
    <w:next w:val="Default"/>
    <w:uiPriority w:val="99"/>
    <w:rsid w:val="006A1579"/>
    <w:pPr>
      <w:spacing w:after="160" w:line="300" w:lineRule="auto"/>
    </w:pPr>
    <w:rPr>
      <w:rFonts w:ascii="EUAlbertina" w:hAnsi="EUAlbertina"/>
      <w:color w:val="auto"/>
      <w:lang w:eastAsia="en-GB"/>
    </w:rPr>
  </w:style>
  <w:style w:type="paragraph" w:customStyle="1" w:styleId="CM4">
    <w:name w:val="CM4"/>
    <w:basedOn w:val="Default"/>
    <w:next w:val="Default"/>
    <w:uiPriority w:val="99"/>
    <w:rsid w:val="006A1579"/>
    <w:pPr>
      <w:spacing w:after="160" w:line="300" w:lineRule="auto"/>
    </w:pPr>
    <w:rPr>
      <w:rFonts w:ascii="EUAlbertina" w:hAnsi="EUAlbertina"/>
      <w:color w:val="auto"/>
      <w:lang w:eastAsia="en-GB"/>
    </w:rPr>
  </w:style>
  <w:style w:type="paragraph" w:customStyle="1" w:styleId="c71indicateur">
    <w:name w:val="c71indicateur"/>
    <w:basedOn w:val="Normal"/>
    <w:rsid w:val="006A1579"/>
    <w:pPr>
      <w:spacing w:before="600" w:after="560" w:line="300" w:lineRule="auto"/>
      <w:ind w:left="567"/>
      <w:jc w:val="center"/>
    </w:pPr>
    <w:rPr>
      <w:rFonts w:ascii="Calibri" w:hAnsi="Calibri"/>
      <w:sz w:val="21"/>
      <w:szCs w:val="24"/>
      <w:lang w:val="fr-FR" w:eastAsia="fr-FR"/>
    </w:rPr>
  </w:style>
  <w:style w:type="paragraph" w:customStyle="1" w:styleId="c02alineaalta">
    <w:name w:val="c02alineaalta"/>
    <w:basedOn w:val="Normal"/>
    <w:rsid w:val="006A1579"/>
    <w:pPr>
      <w:spacing w:after="160" w:line="300" w:lineRule="auto"/>
      <w:ind w:left="567"/>
      <w:jc w:val="left"/>
    </w:pPr>
    <w:rPr>
      <w:rFonts w:ascii="Calibri" w:hAnsi="Calibri"/>
      <w:sz w:val="21"/>
      <w:szCs w:val="24"/>
      <w:lang w:val="fr-FR" w:eastAsia="fr-FR"/>
    </w:rPr>
  </w:style>
  <w:style w:type="paragraph" w:customStyle="1" w:styleId="Pa11">
    <w:name w:val="Pa11"/>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val="fr-FR" w:eastAsia="fr-FR"/>
    </w:rPr>
  </w:style>
  <w:style w:type="paragraph" w:customStyle="1" w:styleId="Pa26">
    <w:name w:val="Pa26"/>
    <w:basedOn w:val="Normal"/>
    <w:next w:val="Normal"/>
    <w:uiPriority w:val="99"/>
    <w:rsid w:val="006A1579"/>
    <w:pPr>
      <w:autoSpaceDE w:val="0"/>
      <w:autoSpaceDN w:val="0"/>
      <w:adjustRightInd w:val="0"/>
      <w:spacing w:line="181" w:lineRule="atLeast"/>
      <w:jc w:val="left"/>
    </w:pPr>
    <w:rPr>
      <w:rFonts w:ascii="Myriad Pro Light" w:eastAsia="Calibri" w:hAnsi="Myriad Pro Light"/>
      <w:sz w:val="21"/>
      <w:szCs w:val="24"/>
      <w:lang w:val="fr-FR" w:eastAsia="fr-FR"/>
    </w:rPr>
  </w:style>
  <w:style w:type="character" w:customStyle="1" w:styleId="st1">
    <w:name w:val="st1"/>
    <w:rsid w:val="006A1579"/>
  </w:style>
  <w:style w:type="character" w:customStyle="1" w:styleId="Heading1Char">
    <w:name w:val="Heading 1 Char"/>
    <w:link w:val="Heading1"/>
    <w:uiPriority w:val="9"/>
    <w:rsid w:val="006A1579"/>
    <w:rPr>
      <w:rFonts w:ascii="Arial" w:hAnsi="Arial"/>
      <w:caps/>
    </w:rPr>
  </w:style>
  <w:style w:type="paragraph" w:customStyle="1" w:styleId="Pa14">
    <w:name w:val="Pa14"/>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val="fr-FR" w:eastAsia="fr-FR"/>
    </w:rPr>
  </w:style>
  <w:style w:type="character" w:customStyle="1" w:styleId="Heading2Char">
    <w:name w:val="Heading 2 Char"/>
    <w:link w:val="Heading2"/>
    <w:uiPriority w:val="9"/>
    <w:rsid w:val="006A1579"/>
    <w:rPr>
      <w:rFonts w:ascii="Arial" w:hAnsi="Arial"/>
      <w:u w:val="single"/>
    </w:rPr>
  </w:style>
  <w:style w:type="character" w:customStyle="1" w:styleId="Heading3Char">
    <w:name w:val="Heading 3 Char"/>
    <w:link w:val="Heading3"/>
    <w:uiPriority w:val="9"/>
    <w:rsid w:val="006A1579"/>
    <w:rPr>
      <w:rFonts w:ascii="Arial" w:hAnsi="Arial"/>
      <w:i/>
    </w:rPr>
  </w:style>
  <w:style w:type="character" w:customStyle="1" w:styleId="Heading5Char">
    <w:name w:val="Heading 5 Char"/>
    <w:link w:val="Heading5"/>
    <w:uiPriority w:val="9"/>
    <w:rsid w:val="006A1579"/>
    <w:rPr>
      <w:rFonts w:ascii="Arial" w:hAnsi="Arial"/>
      <w:i/>
    </w:rPr>
  </w:style>
  <w:style w:type="character" w:customStyle="1" w:styleId="Heading9Char">
    <w:name w:val="Heading 9 Char"/>
    <w:link w:val="Heading9"/>
    <w:uiPriority w:val="9"/>
    <w:rsid w:val="006A1579"/>
    <w:rPr>
      <w:rFonts w:ascii="Arial" w:hAnsi="Arial"/>
      <w:i/>
      <w:sz w:val="18"/>
    </w:rPr>
  </w:style>
  <w:style w:type="character" w:customStyle="1" w:styleId="TitleChar">
    <w:name w:val="Title Char"/>
    <w:link w:val="Title"/>
    <w:uiPriority w:val="10"/>
    <w:rsid w:val="006A1579"/>
    <w:rPr>
      <w:rFonts w:ascii="Arial" w:hAnsi="Arial"/>
      <w:b/>
      <w:caps/>
      <w:kern w:val="28"/>
      <w:sz w:val="30"/>
    </w:rPr>
  </w:style>
  <w:style w:type="paragraph" w:styleId="Quote">
    <w:name w:val="Quote"/>
    <w:basedOn w:val="Normal"/>
    <w:next w:val="Normal"/>
    <w:link w:val="QuoteChar"/>
    <w:uiPriority w:val="29"/>
    <w:qFormat/>
    <w:rsid w:val="006A1579"/>
    <w:pPr>
      <w:spacing w:before="160" w:after="160" w:line="300" w:lineRule="auto"/>
      <w:ind w:left="720" w:right="720"/>
      <w:jc w:val="center"/>
    </w:pPr>
    <w:rPr>
      <w:rFonts w:ascii="Calibri" w:hAnsi="Calibri"/>
      <w:i/>
      <w:iCs/>
      <w:color w:val="7B7B7B"/>
      <w:sz w:val="24"/>
      <w:szCs w:val="24"/>
      <w:lang w:val="fr-FR" w:eastAsia="fr-FR"/>
    </w:rPr>
  </w:style>
  <w:style w:type="character" w:customStyle="1" w:styleId="QuoteChar">
    <w:name w:val="Quote Char"/>
    <w:basedOn w:val="DefaultParagraphFont"/>
    <w:link w:val="Quote"/>
    <w:uiPriority w:val="29"/>
    <w:rsid w:val="006A1579"/>
    <w:rPr>
      <w:rFonts w:ascii="Calibri" w:hAnsi="Calibri"/>
      <w:i/>
      <w:iCs/>
      <w:color w:val="7B7B7B"/>
      <w:sz w:val="24"/>
      <w:szCs w:val="24"/>
      <w:lang w:val="fr-FR" w:eastAsia="fr-FR"/>
    </w:rPr>
  </w:style>
  <w:style w:type="paragraph" w:styleId="IntenseQuote">
    <w:name w:val="Intense Quote"/>
    <w:basedOn w:val="Normal"/>
    <w:next w:val="Normal"/>
    <w:link w:val="IntenseQuoteChar"/>
    <w:uiPriority w:val="30"/>
    <w:qFormat/>
    <w:rsid w:val="006A1579"/>
    <w:pPr>
      <w:spacing w:before="160" w:after="160" w:line="276" w:lineRule="auto"/>
      <w:ind w:left="936" w:right="936"/>
      <w:jc w:val="center"/>
    </w:pPr>
    <w:rPr>
      <w:rFonts w:ascii="Calibri Light" w:eastAsia="SimSun" w:hAnsi="Calibri Light"/>
      <w:caps/>
      <w:color w:val="2E74B5"/>
      <w:sz w:val="28"/>
      <w:szCs w:val="28"/>
      <w:lang w:val="fr-FR" w:eastAsia="fr-FR"/>
    </w:rPr>
  </w:style>
  <w:style w:type="character" w:customStyle="1" w:styleId="IntenseQuoteChar">
    <w:name w:val="Intense Quote Char"/>
    <w:basedOn w:val="DefaultParagraphFont"/>
    <w:link w:val="IntenseQuote"/>
    <w:uiPriority w:val="30"/>
    <w:rsid w:val="006A1579"/>
    <w:rPr>
      <w:rFonts w:ascii="Calibri Light" w:eastAsia="SimSun" w:hAnsi="Calibri Light"/>
      <w:caps/>
      <w:color w:val="2E74B5"/>
      <w:sz w:val="28"/>
      <w:szCs w:val="28"/>
      <w:lang w:val="fr-FR" w:eastAsia="fr-FR"/>
    </w:rPr>
  </w:style>
  <w:style w:type="character" w:styleId="SubtleEmphasis">
    <w:name w:val="Subtle Emphasis"/>
    <w:uiPriority w:val="19"/>
    <w:qFormat/>
    <w:rsid w:val="006A1579"/>
    <w:rPr>
      <w:i/>
      <w:iCs/>
      <w:color w:val="595959"/>
    </w:rPr>
  </w:style>
  <w:style w:type="character" w:styleId="IntenseEmphasis">
    <w:name w:val="Intense Emphasis"/>
    <w:uiPriority w:val="21"/>
    <w:qFormat/>
    <w:rsid w:val="006A1579"/>
    <w:rPr>
      <w:b/>
      <w:bCs/>
      <w:i/>
      <w:iCs/>
      <w:color w:val="auto"/>
    </w:rPr>
  </w:style>
  <w:style w:type="character" w:styleId="SubtleReference">
    <w:name w:val="Subtle Reference"/>
    <w:uiPriority w:val="31"/>
    <w:qFormat/>
    <w:rsid w:val="006A1579"/>
    <w:rPr>
      <w:caps w:val="0"/>
      <w:smallCaps/>
      <w:color w:val="404040"/>
      <w:spacing w:val="0"/>
      <w:u w:val="single" w:color="7F7F7F"/>
    </w:rPr>
  </w:style>
  <w:style w:type="character" w:styleId="IntenseReference">
    <w:name w:val="Intense Reference"/>
    <w:uiPriority w:val="32"/>
    <w:qFormat/>
    <w:rsid w:val="006A1579"/>
    <w:rPr>
      <w:b/>
      <w:bCs/>
      <w:caps w:val="0"/>
      <w:smallCaps/>
      <w:color w:val="auto"/>
      <w:spacing w:val="0"/>
      <w:u w:val="single"/>
    </w:rPr>
  </w:style>
  <w:style w:type="character" w:styleId="BookTitle">
    <w:name w:val="Book Title"/>
    <w:uiPriority w:val="33"/>
    <w:qFormat/>
    <w:rsid w:val="006A1579"/>
    <w:rPr>
      <w:b/>
      <w:bCs/>
      <w:caps w:val="0"/>
      <w:smallCaps/>
      <w:spacing w:val="0"/>
    </w:rPr>
  </w:style>
  <w:style w:type="paragraph" w:customStyle="1" w:styleId="Graphs">
    <w:name w:val="Graphs"/>
    <w:basedOn w:val="Normal"/>
    <w:qFormat/>
    <w:rsid w:val="006A1579"/>
    <w:pPr>
      <w:tabs>
        <w:tab w:val="left" w:pos="567"/>
      </w:tabs>
      <w:spacing w:after="200" w:line="276" w:lineRule="auto"/>
    </w:pPr>
    <w:rPr>
      <w:rFonts w:ascii="Tahoma" w:eastAsia="Calibri" w:hAnsi="Tahoma" w:cs="Tahoma"/>
      <w:b/>
      <w:sz w:val="18"/>
      <w:szCs w:val="18"/>
      <w:lang w:val="en-GB"/>
    </w:rPr>
  </w:style>
  <w:style w:type="table" w:customStyle="1" w:styleId="WTOTable1">
    <w:name w:val="WTOTable1"/>
    <w:basedOn w:val="TableNormal"/>
    <w:uiPriority w:val="99"/>
    <w:rsid w:val="006A1579"/>
    <w:rPr>
      <w:rFonts w:ascii="Verdana" w:eastAsia="Calibri" w:hAnsi="Verdana"/>
      <w:sz w:val="16"/>
      <w:lang w:val="fr-FR" w:eastAsia="fr-FR"/>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character" w:customStyle="1" w:styleId="NormalIndentChar">
    <w:name w:val="Normal Indent Char"/>
    <w:aliases w:val="Text Indent Char"/>
    <w:link w:val="NormalIndent"/>
    <w:rsid w:val="006A1579"/>
    <w:rPr>
      <w:rFonts w:ascii="Calibri" w:hAnsi="Calibri"/>
      <w:sz w:val="21"/>
      <w:szCs w:val="21"/>
      <w:lang w:val="fr-FR" w:eastAsia="fr-FR"/>
    </w:rPr>
  </w:style>
  <w:style w:type="table" w:styleId="GridTable4-Accent6">
    <w:name w:val="Grid Table 4 Accent 6"/>
    <w:basedOn w:val="TableNormal"/>
    <w:uiPriority w:val="49"/>
    <w:rsid w:val="006A1579"/>
    <w:rPr>
      <w:rFonts w:ascii="Calibri" w:eastAsia="Calibri" w:hAnsi="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001567">
      <w:bodyDiv w:val="1"/>
      <w:marLeft w:val="0"/>
      <w:marRight w:val="0"/>
      <w:marTop w:val="0"/>
      <w:marBottom w:val="0"/>
      <w:divBdr>
        <w:top w:val="none" w:sz="0" w:space="0" w:color="auto"/>
        <w:left w:val="none" w:sz="0" w:space="0" w:color="auto"/>
        <w:bottom w:val="none" w:sz="0" w:space="0" w:color="auto"/>
        <w:right w:val="none" w:sz="0" w:space="0" w:color="auto"/>
      </w:divBdr>
    </w:div>
    <w:div w:id="178796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www.iponz.govt.nz/assets/pdf/PVR/plant-variety-rights-economic-and-public-good-value.pdf" TargetMode="External"/><Relationship Id="rId39" Type="http://schemas.openxmlformats.org/officeDocument/2006/relationships/header" Target="header12.xml"/><Relationship Id="rId21" Type="http://schemas.openxmlformats.org/officeDocument/2006/relationships/image" Target="media/image9.jpeg"/><Relationship Id="rId34" Type="http://schemas.openxmlformats.org/officeDocument/2006/relationships/header" Target="header9.xml"/><Relationship Id="rId42" Type="http://schemas.openxmlformats.org/officeDocument/2006/relationships/hyperlink" Target="https://journal.sops.gov.ua/issue/archive" TargetMode="External"/><Relationship Id="rId47"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coboru.pl/Polska/Podstawy_prawne/DU20152166.pdf" TargetMode="External"/><Relationship Id="rId11" Type="http://schemas.openxmlformats.org/officeDocument/2006/relationships/hyperlink" Target="mailto:AndaniMA@dalrrd.gov.za" TargetMode="External"/><Relationship Id="rId24" Type="http://schemas.openxmlformats.org/officeDocument/2006/relationships/header" Target="header5.xml"/><Relationship Id="rId32" Type="http://schemas.openxmlformats.org/officeDocument/2006/relationships/hyperlink" Target="http://www.coboru.gov.pl" TargetMode="External"/><Relationship Id="rId37" Type="http://schemas.openxmlformats.org/officeDocument/2006/relationships/hyperlink" Target="https://digitalhub.ipos.gov.sg" TargetMode="External"/><Relationship Id="rId40" Type="http://schemas.openxmlformats.org/officeDocument/2006/relationships/hyperlink" Target="https://upovlex.upov.int/en/legislation/profile/UA" TargetMode="External"/><Relationship Id="rId45" Type="http://schemas.openxmlformats.org/officeDocument/2006/relationships/hyperlink" Target="http://confer.uiesr.sops.gov.ua/genetika2023/schedConf/presentation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www.coboru.pl/Polska/Podstawy_prawne/D20040567.pdf" TargetMode="Externa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www.coboru.gov.pl" TargetMode="External"/><Relationship Id="rId44" Type="http://schemas.openxmlformats.org/officeDocument/2006/relationships/hyperlink" Target="http://confer.uiesr.sops.gov.ua/miron2023/schedConf/presenta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43" Type="http://schemas.openxmlformats.org/officeDocument/2006/relationships/hyperlink" Target="https://sops.gov.ua/buleten-arhiv-nomeriv"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abeloNdl@dalrrd.gov.za" TargetMode="Externa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yperlink" Target="https://form.gov.sg/5ebec372d5cab700113a802e" TargetMode="External"/><Relationship Id="rId46" Type="http://schemas.openxmlformats.org/officeDocument/2006/relationships/hyperlink" Target="http://confer.uiesr.sops.gov.ua/100nsrr/schedConf/presentations" TargetMode="External"/><Relationship Id="rId20" Type="http://schemas.openxmlformats.org/officeDocument/2006/relationships/image" Target="media/image8.pn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8%20(2024)\templates\routing_slip_with_doc_c_5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19A7-1907-47FE-A831-DDB91B20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routing_slip_with_doc_c_58.dotm</Template>
  <TotalTime>23</TotalTime>
  <Pages>42</Pages>
  <Words>17910</Words>
  <Characters>97518</Characters>
  <Application>Microsoft Office Word</Application>
  <DocSecurity>0</DocSecurity>
  <Lines>2868</Lines>
  <Paragraphs>1154</Paragraphs>
  <ScaleCrop>false</ScaleCrop>
  <HeadingPairs>
    <vt:vector size="2" baseType="variant">
      <vt:variant>
        <vt:lpstr>Title</vt:lpstr>
      </vt:variant>
      <vt:variant>
        <vt:i4>1</vt:i4>
      </vt:variant>
    </vt:vector>
  </HeadingPairs>
  <TitlesOfParts>
    <vt:vector size="1" baseType="lpstr">
      <vt:lpstr>C/58/13</vt:lpstr>
    </vt:vector>
  </TitlesOfParts>
  <Company>UPOV</Company>
  <LinksUpToDate>false</LinksUpToDate>
  <CharactersWithSpaces>114274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C/58/13</dc:title>
  <dc:creator>SANCHEZ VIZCAINO GOMEZ Rosa Maria</dc:creator>
  <cp:keywords>, docId:6E41C1DC982DC1002C8F6FB2E3124D0C</cp:keywords>
  <cp:lastModifiedBy>SANCHEZ VIZCAINO GOMEZ Rosa Maria</cp:lastModifiedBy>
  <cp:revision>10</cp:revision>
  <cp:lastPrinted>2024-09-30T09:27:00Z</cp:lastPrinted>
  <dcterms:created xsi:type="dcterms:W3CDTF">2024-10-01T07:20:00Z</dcterms:created>
  <dcterms:modified xsi:type="dcterms:W3CDTF">2024-10-03T11:56:00Z</dcterms:modified>
</cp:coreProperties>
</file>