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8502A" w14:paraId="524B6FCA" w14:textId="77777777" w:rsidTr="00EB4E9C">
        <w:tc>
          <w:tcPr>
            <w:tcW w:w="6522" w:type="dxa"/>
          </w:tcPr>
          <w:p w14:paraId="6F6BCDC6" w14:textId="77777777" w:rsidR="00DC3802" w:rsidRPr="0088502A" w:rsidRDefault="00DC3802" w:rsidP="00AC2883">
            <w:r>
              <w:rPr>
                <w:noProof/>
                <w:lang w:val="en-US"/>
              </w:rPr>
              <w:drawing>
                <wp:inline distT="0" distB="0" distL="0" distR="0" wp14:anchorId="5A18571A" wp14:editId="72D2761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5C21925" w14:textId="77777777" w:rsidR="00DC3802" w:rsidRPr="0088502A" w:rsidRDefault="00DC3802" w:rsidP="00AC2883">
            <w:pPr>
              <w:pStyle w:val="Lettrine"/>
            </w:pPr>
            <w:r>
              <w:t>S</w:t>
            </w:r>
          </w:p>
        </w:tc>
      </w:tr>
      <w:tr w:rsidR="00DC3802" w:rsidRPr="0088502A" w14:paraId="44CB029E" w14:textId="77777777" w:rsidTr="00645CA8">
        <w:trPr>
          <w:trHeight w:val="219"/>
        </w:trPr>
        <w:tc>
          <w:tcPr>
            <w:tcW w:w="6522" w:type="dxa"/>
          </w:tcPr>
          <w:p w14:paraId="330C7FEF" w14:textId="77777777" w:rsidR="00DC3802" w:rsidRPr="0088502A" w:rsidRDefault="00DC3802" w:rsidP="00AC2883">
            <w:pPr>
              <w:pStyle w:val="upove"/>
            </w:pPr>
            <w:r>
              <w:t>Unión Internacional para la Protección de las Obtenciones Vegetales</w:t>
            </w:r>
          </w:p>
        </w:tc>
        <w:tc>
          <w:tcPr>
            <w:tcW w:w="3117" w:type="dxa"/>
          </w:tcPr>
          <w:p w14:paraId="0194CEB7" w14:textId="77777777" w:rsidR="00DC3802" w:rsidRPr="0088502A" w:rsidRDefault="00DC3802" w:rsidP="00DA4973"/>
        </w:tc>
      </w:tr>
    </w:tbl>
    <w:p w14:paraId="3B3053D2" w14:textId="77777777" w:rsidR="00DC3802" w:rsidRPr="0088502A" w:rsidRDefault="00DC3802" w:rsidP="00DC3802"/>
    <w:p w14:paraId="480C7E39" w14:textId="77777777" w:rsidR="007B73A9" w:rsidRPr="0088502A"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88502A" w14:paraId="7750AE68" w14:textId="77777777" w:rsidTr="003243B5">
        <w:tc>
          <w:tcPr>
            <w:tcW w:w="6512" w:type="dxa"/>
          </w:tcPr>
          <w:p w14:paraId="22532FDE" w14:textId="77777777" w:rsidR="007B73A9" w:rsidRPr="0088502A" w:rsidRDefault="007B73A9" w:rsidP="003243B5">
            <w:pPr>
              <w:pStyle w:val="Sessiontwp"/>
            </w:pPr>
            <w:r>
              <w:t>Comité Técnico</w:t>
            </w:r>
          </w:p>
          <w:p w14:paraId="6C602559" w14:textId="77777777" w:rsidR="007B73A9" w:rsidRPr="0088502A" w:rsidRDefault="007B73A9" w:rsidP="003243B5">
            <w:pPr>
              <w:pStyle w:val="Sessiontwpplacedate"/>
            </w:pPr>
            <w:r>
              <w:t>Quincuagésima novena sesión</w:t>
            </w:r>
          </w:p>
          <w:p w14:paraId="3F85AF08" w14:textId="77777777" w:rsidR="007B73A9" w:rsidRPr="0088502A" w:rsidRDefault="007B73A9" w:rsidP="003243B5">
            <w:r>
              <w:t>Ginebra, 23 y 24 de octubre de 2023</w:t>
            </w:r>
          </w:p>
          <w:p w14:paraId="0698AEBC" w14:textId="77777777" w:rsidR="007B73A9" w:rsidRPr="0088502A" w:rsidRDefault="007B73A9" w:rsidP="003243B5"/>
          <w:p w14:paraId="2A741A32" w14:textId="77777777" w:rsidR="007B73A9" w:rsidRPr="0088502A" w:rsidRDefault="007B73A9" w:rsidP="003243B5">
            <w:pPr>
              <w:pStyle w:val="Sessiontwp"/>
            </w:pPr>
            <w:r>
              <w:t>Comité Administrativo y Jurídico</w:t>
            </w:r>
          </w:p>
          <w:p w14:paraId="431DB6F9" w14:textId="77777777" w:rsidR="007B73A9" w:rsidRPr="0088502A" w:rsidRDefault="007B73A9" w:rsidP="003243B5">
            <w:pPr>
              <w:pStyle w:val="Sessiontwp"/>
              <w:rPr>
                <w:b w:val="0"/>
              </w:rPr>
            </w:pPr>
            <w:r>
              <w:rPr>
                <w:b w:val="0"/>
              </w:rPr>
              <w:t>Octogésima sesión</w:t>
            </w:r>
          </w:p>
          <w:p w14:paraId="66013AE2" w14:textId="77777777" w:rsidR="007B73A9" w:rsidRPr="0088502A" w:rsidRDefault="007B73A9" w:rsidP="003243B5">
            <w:pPr>
              <w:pStyle w:val="Sessiontwpplacedate"/>
            </w:pPr>
            <w:r>
              <w:t>Ginebra, 25 de octubre de 2023</w:t>
            </w:r>
          </w:p>
          <w:p w14:paraId="583CD46E" w14:textId="77777777" w:rsidR="007B73A9" w:rsidRPr="0088502A" w:rsidRDefault="007B73A9" w:rsidP="003243B5"/>
          <w:p w14:paraId="30AE621E" w14:textId="77777777" w:rsidR="007B73A9" w:rsidRPr="0088502A" w:rsidRDefault="007B73A9" w:rsidP="003243B5">
            <w:pPr>
              <w:pStyle w:val="Sessiontwp"/>
            </w:pPr>
            <w:r>
              <w:t>Consejo</w:t>
            </w:r>
          </w:p>
          <w:p w14:paraId="2CF6F0CA" w14:textId="77777777" w:rsidR="007B73A9" w:rsidRPr="0088502A" w:rsidRDefault="007B73A9" w:rsidP="003243B5">
            <w:pPr>
              <w:pStyle w:val="Sessiontwp"/>
              <w:rPr>
                <w:b w:val="0"/>
              </w:rPr>
            </w:pPr>
            <w:r>
              <w:rPr>
                <w:b w:val="0"/>
              </w:rPr>
              <w:t>Quincuagésima séptima sesión ordinaria</w:t>
            </w:r>
          </w:p>
          <w:p w14:paraId="188051B2" w14:textId="77777777" w:rsidR="007B73A9" w:rsidRPr="0088502A" w:rsidRDefault="007B73A9" w:rsidP="003243B5">
            <w:r>
              <w:t>Ginebra, 27 de octubre de 2023</w:t>
            </w:r>
          </w:p>
        </w:tc>
        <w:tc>
          <w:tcPr>
            <w:tcW w:w="3127" w:type="dxa"/>
          </w:tcPr>
          <w:p w14:paraId="0DCAEB1D" w14:textId="53EBD893" w:rsidR="007B73A9" w:rsidRPr="0088502A" w:rsidRDefault="008D175E" w:rsidP="003243B5">
            <w:pPr>
              <w:pStyle w:val="Doccode"/>
            </w:pPr>
            <w:r>
              <w:t>SESSIONS</w:t>
            </w:r>
            <w:r w:rsidR="000173C1">
              <w:t>/2023/2</w:t>
            </w:r>
          </w:p>
          <w:p w14:paraId="3CAA7C05" w14:textId="696983ED" w:rsidR="007B73A9" w:rsidRPr="0088502A" w:rsidRDefault="007B73A9" w:rsidP="003243B5">
            <w:pPr>
              <w:pStyle w:val="Docoriginal"/>
            </w:pPr>
            <w:r>
              <w:t>Original:</w:t>
            </w:r>
            <w:r>
              <w:rPr>
                <w:b w:val="0"/>
              </w:rPr>
              <w:t xml:space="preserve"> Inglés</w:t>
            </w:r>
          </w:p>
          <w:p w14:paraId="7364A667" w14:textId="0FF715FC" w:rsidR="007B73A9" w:rsidRPr="0088502A" w:rsidRDefault="007B73A9" w:rsidP="0088502A">
            <w:pPr>
              <w:pStyle w:val="Docoriginal"/>
            </w:pPr>
            <w:r>
              <w:t>Fecha:</w:t>
            </w:r>
            <w:r>
              <w:rPr>
                <w:b w:val="0"/>
              </w:rPr>
              <w:t xml:space="preserve"> 29 de agosto de 2023</w:t>
            </w:r>
          </w:p>
        </w:tc>
      </w:tr>
    </w:tbl>
    <w:p w14:paraId="6D3FC8AF" w14:textId="77777777" w:rsidR="007B73A9" w:rsidRPr="0088502A" w:rsidRDefault="00214C66" w:rsidP="007B73A9">
      <w:pPr>
        <w:pStyle w:val="Titleofdoc0"/>
      </w:pPr>
      <w:r>
        <w:t xml:space="preserve">Elaboración de orientaciones y documentos propuestos para su aprobación por el Consejo </w:t>
      </w:r>
    </w:p>
    <w:p w14:paraId="4302D9FC" w14:textId="0BF4107D" w:rsidR="001D736D" w:rsidRPr="0088502A" w:rsidRDefault="001D736D" w:rsidP="001D736D">
      <w:pPr>
        <w:pStyle w:val="preparedby1"/>
        <w:jc w:val="left"/>
      </w:pPr>
      <w:r>
        <w:t>Documento preparado por la</w:t>
      </w:r>
      <w:r w:rsidR="003B494F">
        <w:t> </w:t>
      </w:r>
      <w:r>
        <w:t>Oficina de la</w:t>
      </w:r>
      <w:r w:rsidR="003B494F">
        <w:t> </w:t>
      </w:r>
      <w:r>
        <w:t>Unión</w:t>
      </w:r>
    </w:p>
    <w:p w14:paraId="5F716E7D" w14:textId="72746EA9" w:rsidR="001D736D" w:rsidRPr="0088502A" w:rsidRDefault="001D736D" w:rsidP="001D736D">
      <w:pPr>
        <w:pStyle w:val="Disclaimer"/>
      </w:pPr>
      <w:r>
        <w:t>Descargo de responsabilidad: el presente documento no constituye un documento de política u orientación de la</w:t>
      </w:r>
      <w:r w:rsidR="003B494F">
        <w:t> </w:t>
      </w:r>
      <w:r>
        <w:t>UPOV</w:t>
      </w:r>
    </w:p>
    <w:p w14:paraId="1DA8985D" w14:textId="77777777" w:rsidR="00E54EAA" w:rsidRPr="0088502A" w:rsidRDefault="00E54EAA" w:rsidP="006F28F6">
      <w:pPr>
        <w:pStyle w:val="Heading1"/>
        <w:rPr>
          <w:snapToGrid w:val="0"/>
        </w:rPr>
      </w:pPr>
      <w:bookmarkStart w:id="0" w:name="_Toc145605421"/>
      <w:r>
        <w:rPr>
          <w:snapToGrid w:val="0"/>
        </w:rPr>
        <w:t>RESUMEN</w:t>
      </w:r>
      <w:bookmarkEnd w:id="0"/>
    </w:p>
    <w:p w14:paraId="67E9F14A" w14:textId="77777777" w:rsidR="009A53F0" w:rsidRPr="0088502A" w:rsidRDefault="009A53F0" w:rsidP="00E54EAA"/>
    <w:p w14:paraId="14DA84FE" w14:textId="3471D9CF" w:rsidR="0054359E" w:rsidRPr="00CC1204" w:rsidRDefault="00E54EAA" w:rsidP="00214C66">
      <w:r w:rsidRPr="0088502A">
        <w:fldChar w:fldCharType="begin"/>
      </w:r>
      <w:r w:rsidRPr="0088502A">
        <w:instrText xml:space="preserve"> AUTONUM  </w:instrText>
      </w:r>
      <w:r w:rsidRPr="0088502A">
        <w:fldChar w:fldCharType="end"/>
      </w:r>
      <w:r>
        <w:tab/>
        <w:t>El presente documento tiene por objeto informar acerca de las novedades e invitar al</w:t>
      </w:r>
      <w:r w:rsidR="003B494F">
        <w:t> </w:t>
      </w:r>
      <w:r>
        <w:t>Comité</w:t>
      </w:r>
      <w:r w:rsidR="003B494F">
        <w:t> </w:t>
      </w:r>
      <w:r>
        <w:t>Técnico (TC), al</w:t>
      </w:r>
      <w:r w:rsidR="000D1EF3">
        <w:t> </w:t>
      </w:r>
      <w:r>
        <w:t>Comité Administrativo y Jurídico (CAJ) y al</w:t>
      </w:r>
      <w:r w:rsidR="000D1EF3">
        <w:t> </w:t>
      </w:r>
      <w:r>
        <w:t>Consejo a examinar los asuntos y los documentos pertinentes sometidos a aprobación en</w:t>
      </w:r>
      <w:r w:rsidR="000D1EF3">
        <w:t> </w:t>
      </w:r>
      <w:r>
        <w:t xml:space="preserve">2023.  </w:t>
      </w:r>
    </w:p>
    <w:p w14:paraId="1E2CC756" w14:textId="77777777" w:rsidR="00214C66" w:rsidRPr="00CC1204" w:rsidRDefault="00214C66" w:rsidP="00214C66"/>
    <w:p w14:paraId="36E7F786" w14:textId="3CDA04E8" w:rsidR="0088502A" w:rsidRPr="0088502A" w:rsidRDefault="00214C66" w:rsidP="0088502A">
      <w:r w:rsidRPr="0088502A">
        <w:fldChar w:fldCharType="begin"/>
      </w:r>
      <w:r w:rsidRPr="0088502A">
        <w:instrText xml:space="preserve"> AUTONUM  </w:instrText>
      </w:r>
      <w:r w:rsidRPr="0088502A">
        <w:fldChar w:fldCharType="end"/>
      </w:r>
      <w:r>
        <w:tab/>
        <w:t>El presente documento se presenta en tres secciones. En la primera sección, “Cuestiones que se proponen para su aprobación por el Consejo en 2023”, se ofrece información sobre los documentos pertinentes y se invita a su aprobación por el</w:t>
      </w:r>
      <w:r w:rsidR="000D1EF3">
        <w:t> </w:t>
      </w:r>
      <w:r>
        <w:t>Consejo. La segunda sección es “Cuestiones que se proponen para su aprobación por el</w:t>
      </w:r>
      <w:r w:rsidR="00661BE7">
        <w:t> </w:t>
      </w:r>
      <w:r>
        <w:t>Consejo en</w:t>
      </w:r>
      <w:r w:rsidR="00661BE7">
        <w:t> </w:t>
      </w:r>
      <w:r>
        <w:t>2023, previo acuerdo del Comité Técnico y/o del</w:t>
      </w:r>
      <w:r w:rsidR="00661BE7">
        <w:t> </w:t>
      </w:r>
      <w:r>
        <w:t>Comité Administrativo y Jurídico”. En la tercera sección, “Cuestiones sujetas al examen del</w:t>
      </w:r>
      <w:r w:rsidR="000D1EF3">
        <w:t> </w:t>
      </w:r>
      <w:r>
        <w:t>Comité Técnico”, se informa acerca de las novedades relativas a las posibles futuras revisiones de las orientaciones y el material de información que se están estudiando en el</w:t>
      </w:r>
      <w:r w:rsidR="000D1EF3">
        <w:t> </w:t>
      </w:r>
      <w:r>
        <w:t>TC.</w:t>
      </w:r>
    </w:p>
    <w:p w14:paraId="7C0F9BE1" w14:textId="77777777" w:rsidR="0088502A" w:rsidRPr="0088502A" w:rsidRDefault="0088502A" w:rsidP="00214C66"/>
    <w:p w14:paraId="7DDBFC86" w14:textId="27D07F1F" w:rsidR="001558D4" w:rsidRDefault="001558D4" w:rsidP="00214C66">
      <w:r w:rsidRPr="0088502A">
        <w:fldChar w:fldCharType="begin"/>
      </w:r>
      <w:r w:rsidRPr="0088502A">
        <w:instrText xml:space="preserve"> AUTONUM  </w:instrText>
      </w:r>
      <w:r w:rsidRPr="0088502A">
        <w:fldChar w:fldCharType="end"/>
      </w:r>
      <w:r>
        <w:tab/>
        <w:t>Se invita al</w:t>
      </w:r>
      <w:r w:rsidR="000D1EF3">
        <w:t> </w:t>
      </w:r>
      <w:r>
        <w:t>Consejo a aprobar los siguientes documentos en</w:t>
      </w:r>
      <w:r w:rsidR="000D1EF3">
        <w:t> </w:t>
      </w:r>
      <w:r>
        <w:t>2023:</w:t>
      </w:r>
    </w:p>
    <w:p w14:paraId="7B738F32" w14:textId="1213E088" w:rsidR="00214C66" w:rsidRDefault="00214C66" w:rsidP="00E54EAA"/>
    <w:p w14:paraId="167AA655" w14:textId="7539309D" w:rsidR="00FE12F1" w:rsidRPr="00FE12F1" w:rsidRDefault="00FE12F1" w:rsidP="00FE12F1">
      <w:pPr>
        <w:pStyle w:val="ListParagraph"/>
        <w:ind w:left="567"/>
        <w:contextualSpacing w:val="0"/>
        <w:jc w:val="left"/>
        <w:rPr>
          <w:rFonts w:cs="Arial"/>
          <w:u w:val="single"/>
        </w:rPr>
      </w:pPr>
      <w:r>
        <w:rPr>
          <w:u w:val="single"/>
        </w:rPr>
        <w:t>Documentos que ha de aprobar el</w:t>
      </w:r>
      <w:r w:rsidR="000D1EF3">
        <w:rPr>
          <w:u w:val="single"/>
        </w:rPr>
        <w:t> </w:t>
      </w:r>
      <w:r>
        <w:rPr>
          <w:u w:val="single"/>
        </w:rPr>
        <w:t>Consejo</w:t>
      </w:r>
    </w:p>
    <w:p w14:paraId="63B26E8F" w14:textId="77777777" w:rsidR="009A53F0" w:rsidRPr="0088502A" w:rsidRDefault="009A53F0" w:rsidP="009A53F0"/>
    <w:p w14:paraId="4F485E62" w14:textId="0FD3666B" w:rsidR="009A53F0" w:rsidRPr="0088502A" w:rsidRDefault="009A53F0" w:rsidP="009A53F0">
      <w:pPr>
        <w:ind w:left="567"/>
        <w:jc w:val="left"/>
      </w:pPr>
      <w:r>
        <w:t>Notas explicativas:</w:t>
      </w:r>
    </w:p>
    <w:p w14:paraId="530688BF" w14:textId="77777777" w:rsidR="009A53F0" w:rsidRPr="0088502A" w:rsidRDefault="009A53F0" w:rsidP="009A53F0"/>
    <w:p w14:paraId="3CB8FC20" w14:textId="3E9E58D1" w:rsidR="009A53F0" w:rsidRPr="0088502A" w:rsidRDefault="009A53F0" w:rsidP="009A53F0">
      <w:pPr>
        <w:keepNext/>
        <w:ind w:left="2835" w:hanging="1701"/>
        <w:jc w:val="left"/>
      </w:pPr>
      <w:r>
        <w:t xml:space="preserve">UPOV/EXN/EDV </w:t>
      </w:r>
      <w:r>
        <w:rPr>
          <w:b/>
        </w:rPr>
        <w:tab/>
      </w:r>
      <w:r>
        <w:t>Notas explicativas sobre las variedades esencialmente derivadas con arreglo al</w:t>
      </w:r>
      <w:r w:rsidR="000D1EF3">
        <w:t> </w:t>
      </w:r>
      <w:r>
        <w:t>Acta de</w:t>
      </w:r>
      <w:r w:rsidR="000D1EF3">
        <w:t> </w:t>
      </w:r>
      <w:r>
        <w:t>1991 del Convenio de la</w:t>
      </w:r>
      <w:r w:rsidR="000D1EF3">
        <w:t> </w:t>
      </w:r>
      <w:r>
        <w:t xml:space="preserve">UPOV (revisión) </w:t>
      </w:r>
    </w:p>
    <w:p w14:paraId="1FAD3151" w14:textId="292D21FA" w:rsidR="009A53F0" w:rsidRPr="0088502A" w:rsidRDefault="009A53F0" w:rsidP="009A53F0">
      <w:pPr>
        <w:keepNext/>
        <w:ind w:left="2835"/>
        <w:jc w:val="left"/>
      </w:pPr>
      <w:r>
        <w:t>(documentos</w:t>
      </w:r>
      <w:r w:rsidR="000D1EF3">
        <w:t> </w:t>
      </w:r>
      <w:r w:rsidR="008D175E">
        <w:t>SESSIONS</w:t>
      </w:r>
      <w:r>
        <w:t>/2023/2</w:t>
      </w:r>
      <w:r>
        <w:rPr>
          <w:snapToGrid w:val="0"/>
        </w:rPr>
        <w:t xml:space="preserve"> </w:t>
      </w:r>
      <w:r>
        <w:t>y UPOV/EXN/EDV/3 Draft 4)</w:t>
      </w:r>
    </w:p>
    <w:p w14:paraId="5249B429" w14:textId="77777777" w:rsidR="009A53F0" w:rsidRPr="0088502A" w:rsidRDefault="009A53F0" w:rsidP="009A53F0"/>
    <w:p w14:paraId="1664248E" w14:textId="4AEDFF4F" w:rsidR="003453CD" w:rsidRPr="00FE12F1" w:rsidRDefault="003453CD" w:rsidP="00B3761A">
      <w:pPr>
        <w:pStyle w:val="ListParagraph"/>
        <w:keepNext/>
        <w:keepLines/>
        <w:ind w:left="567"/>
        <w:contextualSpacing w:val="0"/>
        <w:jc w:val="left"/>
        <w:rPr>
          <w:rFonts w:cs="Arial"/>
          <w:u w:val="single"/>
        </w:rPr>
      </w:pPr>
      <w:r>
        <w:rPr>
          <w:u w:val="single"/>
        </w:rPr>
        <w:t>Documentos que ha de aprobar el</w:t>
      </w:r>
      <w:r w:rsidR="000D1EF3">
        <w:rPr>
          <w:u w:val="single"/>
        </w:rPr>
        <w:t> </w:t>
      </w:r>
      <w:r>
        <w:rPr>
          <w:u w:val="single"/>
        </w:rPr>
        <w:t>Consejo, previo acuerdo del</w:t>
      </w:r>
      <w:r w:rsidR="000D1EF3">
        <w:rPr>
          <w:u w:val="single"/>
        </w:rPr>
        <w:t> </w:t>
      </w:r>
      <w:r>
        <w:rPr>
          <w:u w:val="single"/>
        </w:rPr>
        <w:t>Comité Administrativo y Jurídico</w:t>
      </w:r>
    </w:p>
    <w:p w14:paraId="6452E53C" w14:textId="77777777" w:rsidR="00C816E4" w:rsidRPr="0088502A" w:rsidRDefault="00C816E4" w:rsidP="00B3761A">
      <w:pPr>
        <w:keepNext/>
        <w:keepLines/>
      </w:pPr>
    </w:p>
    <w:p w14:paraId="1F646CBE" w14:textId="69569B6C" w:rsidR="00F56E24" w:rsidRPr="0088502A" w:rsidRDefault="00F56E24" w:rsidP="00B3761A">
      <w:pPr>
        <w:keepNext/>
        <w:keepLines/>
        <w:ind w:left="567"/>
        <w:jc w:val="left"/>
      </w:pPr>
      <w:r>
        <w:t>Documentos</w:t>
      </w:r>
      <w:r w:rsidR="000D1EF3">
        <w:t> </w:t>
      </w:r>
      <w:r>
        <w:t>TGP:</w:t>
      </w:r>
    </w:p>
    <w:p w14:paraId="6AAC77EF" w14:textId="77777777" w:rsidR="00F56E24" w:rsidRPr="0088502A" w:rsidRDefault="00F56E24" w:rsidP="00B3761A">
      <w:pPr>
        <w:keepNext/>
        <w:keepLines/>
        <w:ind w:left="567"/>
        <w:jc w:val="left"/>
      </w:pPr>
    </w:p>
    <w:p w14:paraId="7581ED87" w14:textId="77777777" w:rsidR="00F56E24" w:rsidRPr="0088502A" w:rsidRDefault="00F56E24" w:rsidP="00B3761A">
      <w:pPr>
        <w:keepNext/>
        <w:keepLines/>
        <w:tabs>
          <w:tab w:val="left" w:pos="1134"/>
        </w:tabs>
        <w:spacing w:after="120"/>
        <w:ind w:left="1985" w:hanging="851"/>
        <w:jc w:val="left"/>
      </w:pPr>
      <w:r>
        <w:t>TGP/7</w:t>
      </w:r>
      <w:r>
        <w:tab/>
        <w:t>Elaboración de las directrices de examen (revisión)</w:t>
      </w:r>
    </w:p>
    <w:p w14:paraId="14824EDA" w14:textId="13F188FC" w:rsidR="00F56E24" w:rsidRPr="0088502A" w:rsidRDefault="00F56E24" w:rsidP="00B3761A">
      <w:pPr>
        <w:keepNext/>
        <w:keepLines/>
        <w:spacing w:after="120"/>
        <w:ind w:left="2410" w:right="-284" w:hanging="425"/>
        <w:jc w:val="left"/>
      </w:pPr>
      <w:r>
        <w:t>–</w:t>
      </w:r>
      <w:r>
        <w:tab/>
      </w:r>
      <w:r>
        <w:rPr>
          <w:i/>
        </w:rPr>
        <w:t>Conversión de texto estándar de las directrices de examen en texto opcional</w:t>
      </w:r>
      <w:r>
        <w:rPr>
          <w:i/>
        </w:rPr>
        <w:br/>
      </w:r>
      <w:r>
        <w:t>(</w:t>
      </w:r>
      <w:r w:rsidR="006900F0">
        <w:rPr>
          <w:snapToGrid w:val="0"/>
        </w:rPr>
        <w:t>Anexo</w:t>
      </w:r>
      <w:r w:rsidR="00661BE7">
        <w:rPr>
          <w:snapToGrid w:val="0"/>
        </w:rPr>
        <w:t> </w:t>
      </w:r>
      <w:r w:rsidR="006900F0">
        <w:rPr>
          <w:snapToGrid w:val="0"/>
        </w:rPr>
        <w:t>II</w:t>
      </w:r>
      <w:r>
        <w:rPr>
          <w:snapToGrid w:val="0"/>
        </w:rPr>
        <w:t xml:space="preserve"> del presente documento)</w:t>
      </w:r>
    </w:p>
    <w:p w14:paraId="3A914D15" w14:textId="77777777" w:rsidR="00F56E24" w:rsidRPr="0088502A" w:rsidRDefault="00F56E24" w:rsidP="00F56E24">
      <w:pPr>
        <w:tabs>
          <w:tab w:val="left" w:pos="1701"/>
          <w:tab w:val="left" w:pos="2694"/>
        </w:tabs>
        <w:ind w:left="1134"/>
        <w:jc w:val="left"/>
      </w:pPr>
    </w:p>
    <w:p w14:paraId="344BAA2F" w14:textId="763A1D05" w:rsidR="00F56E24" w:rsidRPr="0088502A" w:rsidRDefault="00F56E24" w:rsidP="00F56E24">
      <w:pPr>
        <w:tabs>
          <w:tab w:val="left" w:pos="1134"/>
        </w:tabs>
        <w:ind w:left="1985" w:right="-284" w:hanging="851"/>
        <w:jc w:val="left"/>
      </w:pPr>
      <w:r>
        <w:t>TGP/14</w:t>
      </w:r>
      <w:r>
        <w:tab/>
        <w:t>Glosario de términos utilizados en los documentos de la</w:t>
      </w:r>
      <w:r w:rsidR="00661BE7">
        <w:t> </w:t>
      </w:r>
      <w:r>
        <w:t xml:space="preserve">UPOV (revisión) </w:t>
      </w:r>
      <w:r>
        <w:tab/>
      </w:r>
      <w:r>
        <w:br/>
        <w:t>(</w:t>
      </w:r>
      <w:r>
        <w:rPr>
          <w:snapToGrid w:val="0"/>
        </w:rPr>
        <w:t>documento</w:t>
      </w:r>
      <w:r w:rsidR="00661BE7">
        <w:rPr>
          <w:snapToGrid w:val="0"/>
        </w:rPr>
        <w:t> </w:t>
      </w:r>
      <w:r w:rsidR="008D175E">
        <w:rPr>
          <w:snapToGrid w:val="0"/>
        </w:rPr>
        <w:t>SESSIONS</w:t>
      </w:r>
      <w:r>
        <w:rPr>
          <w:snapToGrid w:val="0"/>
        </w:rPr>
        <w:t>/2023/2)</w:t>
      </w:r>
    </w:p>
    <w:p w14:paraId="42252240" w14:textId="77777777" w:rsidR="00CD465A" w:rsidRDefault="00CD465A">
      <w:pPr>
        <w:jc w:val="left"/>
        <w:rPr>
          <w:u w:val="single"/>
        </w:rPr>
      </w:pPr>
      <w:r>
        <w:rPr>
          <w:u w:val="single"/>
        </w:rPr>
        <w:br w:type="page"/>
      </w:r>
    </w:p>
    <w:p w14:paraId="3719550C" w14:textId="0FF19671" w:rsidR="00F67F2F" w:rsidRPr="00FE12F1" w:rsidRDefault="00F67F2F" w:rsidP="008D175E">
      <w:pPr>
        <w:pStyle w:val="ListParagraph"/>
        <w:spacing w:before="200"/>
        <w:ind w:left="562"/>
        <w:contextualSpacing w:val="0"/>
        <w:jc w:val="left"/>
        <w:rPr>
          <w:rFonts w:cs="Arial"/>
          <w:u w:val="single"/>
        </w:rPr>
      </w:pPr>
      <w:r>
        <w:rPr>
          <w:u w:val="single"/>
        </w:rPr>
        <w:lastRenderedPageBreak/>
        <w:t>Documentos que ha de aprobar el</w:t>
      </w:r>
      <w:r w:rsidR="00661BE7">
        <w:rPr>
          <w:u w:val="single"/>
        </w:rPr>
        <w:t> </w:t>
      </w:r>
      <w:r>
        <w:rPr>
          <w:u w:val="single"/>
        </w:rPr>
        <w:t>Consejo, previo acuerdo del Comité Técnico y del</w:t>
      </w:r>
      <w:r w:rsidR="00661BE7">
        <w:rPr>
          <w:u w:val="single"/>
        </w:rPr>
        <w:t> </w:t>
      </w:r>
      <w:r>
        <w:rPr>
          <w:u w:val="single"/>
        </w:rPr>
        <w:t>Comité Administrativo y Jurídico</w:t>
      </w:r>
    </w:p>
    <w:p w14:paraId="61E08194" w14:textId="77777777" w:rsidR="00F67F2F" w:rsidRPr="00CC1204" w:rsidRDefault="00F67F2F" w:rsidP="00F67F2F"/>
    <w:p w14:paraId="7CD7EAE5" w14:textId="77777777" w:rsidR="00F67F2F" w:rsidRPr="0088502A" w:rsidRDefault="00F67F2F" w:rsidP="00F67F2F">
      <w:pPr>
        <w:ind w:left="567"/>
        <w:jc w:val="left"/>
      </w:pPr>
      <w:r>
        <w:t>a)</w:t>
      </w:r>
      <w:r>
        <w:tab/>
        <w:t>Documentos de información:</w:t>
      </w:r>
    </w:p>
    <w:p w14:paraId="025B551F" w14:textId="77777777" w:rsidR="00F67F2F" w:rsidRPr="0088502A" w:rsidRDefault="00F67F2F" w:rsidP="00F67F2F"/>
    <w:p w14:paraId="04DD388B" w14:textId="77777777" w:rsidR="00F67F2F" w:rsidRPr="0088502A" w:rsidRDefault="00F67F2F" w:rsidP="00F67F2F">
      <w:pPr>
        <w:spacing w:after="120"/>
        <w:ind w:left="2835" w:right="-426" w:hanging="1701"/>
        <w:jc w:val="left"/>
      </w:pPr>
      <w:r>
        <w:t>UPOV/INF/16</w:t>
      </w:r>
      <w:r>
        <w:tab/>
        <w:t xml:space="preserve">Programas informáticos para intercambio (revisión) </w:t>
      </w:r>
      <w:r>
        <w:rPr>
          <w:snapToGrid w:val="0"/>
        </w:rPr>
        <w:t>(documento UPOV/INF/16/12 Draft 1)</w:t>
      </w:r>
    </w:p>
    <w:p w14:paraId="35CEDB68" w14:textId="77777777" w:rsidR="00F67F2F" w:rsidRPr="0088502A" w:rsidRDefault="00F67F2F" w:rsidP="00F67F2F">
      <w:pPr>
        <w:spacing w:after="120"/>
        <w:ind w:left="2835" w:hanging="1701"/>
        <w:jc w:val="left"/>
      </w:pPr>
      <w:r>
        <w:t>UPOV/INF/22</w:t>
      </w:r>
      <w:r>
        <w:tab/>
        <w:t>Programas informáticos y equipos utilizados por los miembros de la Unión (revisión) (documento UPOV/INF/22/10 Draft 1)</w:t>
      </w:r>
    </w:p>
    <w:p w14:paraId="5BC3E403" w14:textId="0E4C8B0B" w:rsidR="00F67F2F" w:rsidRDefault="00F67F2F" w:rsidP="00F67F2F">
      <w:pPr>
        <w:spacing w:after="120"/>
        <w:ind w:left="2835" w:hanging="1701"/>
        <w:jc w:val="left"/>
      </w:pPr>
      <w:r>
        <w:t>UPOV/INF/23</w:t>
      </w:r>
      <w:r>
        <w:tab/>
        <w:t>Sistema de códigos de la UPOV (revisión) (documento UPOV/INF/23/2 Draft 1)</w:t>
      </w:r>
    </w:p>
    <w:p w14:paraId="297ED3D4" w14:textId="118C9970" w:rsidR="00BF1F9F" w:rsidRPr="00BF1F9F" w:rsidRDefault="00BF1F9F" w:rsidP="00F67F2F">
      <w:pPr>
        <w:spacing w:after="120"/>
        <w:ind w:left="2835" w:hanging="1701"/>
        <w:jc w:val="left"/>
      </w:pPr>
      <w:r>
        <w:t>UPOV/INF-EXN</w:t>
      </w:r>
      <w:r>
        <w:tab/>
        <w:t>Lista de documento</w:t>
      </w:r>
      <w:r w:rsidR="00661BE7">
        <w:t> </w:t>
      </w:r>
      <w:r>
        <w:t>UPOV/INF-EXN y fechas de última publicación (revisión) (documento</w:t>
      </w:r>
      <w:r w:rsidR="00661BE7">
        <w:t> </w:t>
      </w:r>
      <w:r>
        <w:t>UPOV/INF-EXN/17 Draft</w:t>
      </w:r>
      <w:r w:rsidR="00D453FB">
        <w:t> </w:t>
      </w:r>
      <w:r>
        <w:t>1)</w:t>
      </w:r>
    </w:p>
    <w:p w14:paraId="050F1D56" w14:textId="77777777" w:rsidR="00F67F2F" w:rsidRPr="00CC1204" w:rsidRDefault="00F67F2F" w:rsidP="00F67F2F"/>
    <w:p w14:paraId="2FE52257" w14:textId="77777777" w:rsidR="00F67F2F" w:rsidRPr="0088502A" w:rsidRDefault="00F67F2F" w:rsidP="00F67F2F">
      <w:pPr>
        <w:ind w:left="567"/>
        <w:jc w:val="left"/>
      </w:pPr>
      <w:r>
        <w:t>b)</w:t>
      </w:r>
      <w:r>
        <w:tab/>
        <w:t>Notas explicativas:</w:t>
      </w:r>
    </w:p>
    <w:p w14:paraId="046342FE" w14:textId="77777777" w:rsidR="00F67F2F" w:rsidRPr="0088502A" w:rsidRDefault="00F67F2F" w:rsidP="00F67F2F">
      <w:pPr>
        <w:ind w:left="567"/>
        <w:jc w:val="left"/>
      </w:pPr>
    </w:p>
    <w:p w14:paraId="6F0DC683" w14:textId="6FB8C1B9" w:rsidR="00F67F2F" w:rsidRPr="0088502A" w:rsidRDefault="00F67F2F" w:rsidP="00F67F2F">
      <w:pPr>
        <w:keepNext/>
        <w:spacing w:after="120"/>
        <w:ind w:left="2835" w:hanging="1701"/>
        <w:jc w:val="left"/>
      </w:pPr>
      <w:r>
        <w:t xml:space="preserve">UPOV/EXN/DEN </w:t>
      </w:r>
      <w:r>
        <w:tab/>
      </w:r>
      <w:r>
        <w:tab/>
        <w:t>Notas explicativas sobre las denominaciones de variedades con arreglo al</w:t>
      </w:r>
      <w:r w:rsidR="00661BE7">
        <w:t> </w:t>
      </w:r>
      <w:r>
        <w:t>Convenio de la</w:t>
      </w:r>
      <w:r w:rsidR="00661BE7">
        <w:t> </w:t>
      </w:r>
      <w:r>
        <w:t>UPOV (revisión) (</w:t>
      </w:r>
      <w:r w:rsidR="006900F0">
        <w:rPr>
          <w:snapToGrid w:val="0"/>
        </w:rPr>
        <w:t>Anexo</w:t>
      </w:r>
      <w:r w:rsidR="00661BE7">
        <w:rPr>
          <w:snapToGrid w:val="0"/>
        </w:rPr>
        <w:t> </w:t>
      </w:r>
      <w:r w:rsidR="006900F0">
        <w:rPr>
          <w:snapToGrid w:val="0"/>
        </w:rPr>
        <w:t>I</w:t>
      </w:r>
      <w:r>
        <w:rPr>
          <w:snapToGrid w:val="0"/>
        </w:rPr>
        <w:t xml:space="preserve"> del presente documento)</w:t>
      </w:r>
    </w:p>
    <w:p w14:paraId="7E85914A" w14:textId="77777777" w:rsidR="00F67F2F" w:rsidRPr="0088502A" w:rsidRDefault="00F67F2F" w:rsidP="00F67F2F"/>
    <w:p w14:paraId="6523ADE8" w14:textId="2E0F7C06" w:rsidR="00F67F2F" w:rsidRPr="0088502A" w:rsidRDefault="00F67F2F" w:rsidP="00F67F2F">
      <w:pPr>
        <w:keepNext/>
        <w:ind w:left="567"/>
        <w:jc w:val="left"/>
      </w:pPr>
      <w:r>
        <w:t>c)</w:t>
      </w:r>
      <w:r>
        <w:tab/>
        <w:t>Documentos</w:t>
      </w:r>
      <w:r w:rsidR="00661BE7">
        <w:t> </w:t>
      </w:r>
      <w:r>
        <w:t>TGP:</w:t>
      </w:r>
    </w:p>
    <w:p w14:paraId="24D37805" w14:textId="77777777" w:rsidR="00F67F2F" w:rsidRPr="0088502A" w:rsidRDefault="00F67F2F" w:rsidP="00F67F2F">
      <w:pPr>
        <w:keepNext/>
        <w:ind w:left="567"/>
        <w:jc w:val="left"/>
      </w:pPr>
    </w:p>
    <w:p w14:paraId="5FB03061" w14:textId="77777777" w:rsidR="00F67F2F" w:rsidRPr="0088502A" w:rsidRDefault="00F67F2F" w:rsidP="00F67F2F">
      <w:pPr>
        <w:keepNext/>
        <w:tabs>
          <w:tab w:val="left" w:pos="1134"/>
        </w:tabs>
        <w:spacing w:after="120"/>
        <w:ind w:left="1985" w:hanging="851"/>
        <w:jc w:val="left"/>
      </w:pPr>
      <w:r>
        <w:t>TGP/7</w:t>
      </w:r>
      <w:r>
        <w:tab/>
        <w:t>Elaboración de las directrices de examen (revisión)</w:t>
      </w:r>
    </w:p>
    <w:p w14:paraId="0D7F89A4" w14:textId="13AB8B3C" w:rsidR="00F67F2F" w:rsidRPr="0088502A" w:rsidRDefault="00F67F2F" w:rsidP="00F67F2F">
      <w:pPr>
        <w:spacing w:after="120"/>
        <w:ind w:left="2410" w:right="-284" w:hanging="425"/>
        <w:jc w:val="left"/>
      </w:pPr>
      <w:r>
        <w:t>–</w:t>
      </w:r>
      <w:r>
        <w:tab/>
      </w:r>
      <w:r>
        <w:rPr>
          <w:i/>
        </w:rPr>
        <w:t>Caracteres de resistencia a enfermedades: adición de un nivel de expresión y colocación de los caracteres de resistencia a las enfermedades no señalados con asterisco en la sección</w:t>
      </w:r>
      <w:r w:rsidR="00661BE7">
        <w:rPr>
          <w:i/>
        </w:rPr>
        <w:t> </w:t>
      </w:r>
      <w:r>
        <w:rPr>
          <w:i/>
        </w:rPr>
        <w:t>5 del cuestionario técnico</w:t>
      </w:r>
      <w:r>
        <w:t xml:space="preserve"> (</w:t>
      </w:r>
      <w:r w:rsidR="006900F0">
        <w:rPr>
          <w:snapToGrid w:val="0"/>
        </w:rPr>
        <w:t>Anexo</w:t>
      </w:r>
      <w:r w:rsidR="00661BE7">
        <w:rPr>
          <w:snapToGrid w:val="0"/>
        </w:rPr>
        <w:t> </w:t>
      </w:r>
      <w:r w:rsidR="006900F0">
        <w:rPr>
          <w:snapToGrid w:val="0"/>
        </w:rPr>
        <w:t>II</w:t>
      </w:r>
      <w:r>
        <w:rPr>
          <w:snapToGrid w:val="0"/>
        </w:rPr>
        <w:t xml:space="preserve"> del presente documento)</w:t>
      </w:r>
    </w:p>
    <w:p w14:paraId="70D0206F" w14:textId="77777777" w:rsidR="00F67F2F" w:rsidRPr="0088502A" w:rsidRDefault="00F67F2F" w:rsidP="00F67F2F">
      <w:pPr>
        <w:tabs>
          <w:tab w:val="left" w:pos="1701"/>
          <w:tab w:val="left" w:pos="2694"/>
        </w:tabs>
        <w:ind w:left="1134"/>
        <w:jc w:val="left"/>
      </w:pPr>
    </w:p>
    <w:p w14:paraId="7B792394" w14:textId="77777777" w:rsidR="00F67F2F" w:rsidRPr="0088502A" w:rsidRDefault="00F67F2F" w:rsidP="00F67F2F">
      <w:pPr>
        <w:keepNext/>
        <w:tabs>
          <w:tab w:val="left" w:pos="1134"/>
        </w:tabs>
        <w:spacing w:after="120"/>
        <w:ind w:left="1985" w:hanging="851"/>
        <w:jc w:val="left"/>
      </w:pPr>
      <w:r>
        <w:t>TGP/12</w:t>
      </w:r>
      <w:r>
        <w:tab/>
        <w:t>Orientación sobre ciertos caracteres fisiológicos (revisión)</w:t>
      </w:r>
    </w:p>
    <w:p w14:paraId="7156DC46" w14:textId="730F8FF5" w:rsidR="00F67F2F" w:rsidRDefault="00F67F2F" w:rsidP="00F67F2F">
      <w:pPr>
        <w:ind w:left="2410" w:right="-284" w:hanging="425"/>
        <w:jc w:val="left"/>
        <w:rPr>
          <w:rFonts w:cs="Arial"/>
          <w:snapToGrid w:val="0"/>
        </w:rPr>
      </w:pPr>
      <w:r>
        <w:t>–</w:t>
      </w:r>
      <w:r>
        <w:tab/>
      </w:r>
      <w:r w:rsidRPr="00CD465A">
        <w:rPr>
          <w:i/>
        </w:rPr>
        <w:t>Ejemplo de carácter de resistencia a enfermedades: la palabra “altamente</w:t>
      </w:r>
      <w:r>
        <w:rPr>
          <w:i/>
        </w:rPr>
        <w:t>”</w:t>
      </w:r>
      <w:r w:rsidR="00C9248E" w:rsidRPr="00C9248E">
        <w:rPr>
          <w:i/>
        </w:rPr>
        <w:t xml:space="preserve"> utilizada en un solo nivel de expresión</w:t>
      </w:r>
      <w:r>
        <w:rPr>
          <w:i/>
        </w:rPr>
        <w:t xml:space="preserve"> </w:t>
      </w:r>
      <w:r>
        <w:t>(</w:t>
      </w:r>
      <w:r w:rsidR="006900F0">
        <w:rPr>
          <w:snapToGrid w:val="0"/>
        </w:rPr>
        <w:t>Anexo IV</w:t>
      </w:r>
      <w:r>
        <w:rPr>
          <w:snapToGrid w:val="0"/>
        </w:rPr>
        <w:t xml:space="preserve"> del presente documento)</w:t>
      </w:r>
    </w:p>
    <w:p w14:paraId="16191216" w14:textId="77777777" w:rsidR="00BF1F9F" w:rsidRPr="0088502A" w:rsidRDefault="00BF1F9F" w:rsidP="00F67F2F">
      <w:pPr>
        <w:ind w:left="2410" w:right="-284" w:hanging="425"/>
        <w:jc w:val="left"/>
      </w:pPr>
    </w:p>
    <w:p w14:paraId="2C4D5ED8" w14:textId="7A8D110F" w:rsidR="00F67F2F" w:rsidRPr="0088502A" w:rsidRDefault="00BF1F9F" w:rsidP="00BF1F9F">
      <w:pPr>
        <w:ind w:left="1985" w:hanging="851"/>
        <w:jc w:val="left"/>
      </w:pPr>
      <w:r>
        <w:t>TGP</w:t>
      </w:r>
      <w:r>
        <w:rPr>
          <w:bCs/>
          <w:snapToGrid w:val="0"/>
          <w:szCs w:val="24"/>
        </w:rPr>
        <w:t>/0</w:t>
      </w:r>
      <w:r>
        <w:rPr>
          <w:bCs/>
          <w:snapToGrid w:val="0"/>
          <w:szCs w:val="24"/>
        </w:rPr>
        <w:tab/>
        <w:t xml:space="preserve">Lista de documentos </w:t>
      </w:r>
      <w:r w:rsidR="00661BE7">
        <w:rPr>
          <w:bCs/>
          <w:snapToGrid w:val="0"/>
          <w:szCs w:val="24"/>
        </w:rPr>
        <w:t> </w:t>
      </w:r>
      <w:r>
        <w:rPr>
          <w:bCs/>
          <w:snapToGrid w:val="0"/>
          <w:szCs w:val="24"/>
        </w:rPr>
        <w:t xml:space="preserve">GP y fechas de última publicación (revisión) </w:t>
      </w:r>
      <w:r>
        <w:rPr>
          <w:bCs/>
          <w:snapToGrid w:val="0"/>
          <w:szCs w:val="24"/>
        </w:rPr>
        <w:br/>
        <w:t xml:space="preserve">(documento TGP/0/15 Draft 1) </w:t>
      </w:r>
    </w:p>
    <w:p w14:paraId="5E6296BE" w14:textId="77777777" w:rsidR="00FE12F1" w:rsidRPr="00CC1204" w:rsidRDefault="00FE12F1" w:rsidP="00E54EAA"/>
    <w:p w14:paraId="3F6E4720" w14:textId="77777777" w:rsidR="009A53F0" w:rsidRPr="0088502A" w:rsidRDefault="009A53F0" w:rsidP="009A53F0">
      <w:pPr>
        <w:keepNext/>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tab/>
        <w:t>En el presente documento se utilizan las siguientes abreviaturas:</w:t>
      </w:r>
    </w:p>
    <w:p w14:paraId="04AB7198" w14:textId="77777777" w:rsidR="009A53F0" w:rsidRPr="0088502A" w:rsidRDefault="009A53F0" w:rsidP="009A53F0">
      <w:pPr>
        <w:keepNext/>
        <w:ind w:left="1701" w:hanging="1134"/>
        <w:rPr>
          <w:rFonts w:cs="Arial"/>
        </w:rPr>
      </w:pPr>
    </w:p>
    <w:p w14:paraId="403174F6" w14:textId="77777777" w:rsidR="009A53F0" w:rsidRPr="0088502A" w:rsidRDefault="009A53F0" w:rsidP="009A53F0">
      <w:pPr>
        <w:keepNext/>
        <w:ind w:left="1701" w:hanging="1134"/>
        <w:rPr>
          <w:rFonts w:cs="Arial"/>
        </w:rPr>
      </w:pPr>
      <w:r>
        <w:t>CAJ:</w:t>
      </w:r>
      <w:r>
        <w:tab/>
        <w:t>Comité Administrativo y Jurídico</w:t>
      </w:r>
    </w:p>
    <w:p w14:paraId="4460E9AB" w14:textId="77777777" w:rsidR="009A53F0" w:rsidRPr="0088502A" w:rsidRDefault="009A53F0" w:rsidP="009A53F0">
      <w:pPr>
        <w:keepNext/>
        <w:ind w:left="1701" w:hanging="1134"/>
        <w:rPr>
          <w:rFonts w:cs="Arial"/>
        </w:rPr>
      </w:pPr>
      <w:r>
        <w:t xml:space="preserve">TC:  </w:t>
      </w:r>
      <w:r>
        <w:tab/>
        <w:t>Comité Técnico</w:t>
      </w:r>
    </w:p>
    <w:p w14:paraId="54F118F7" w14:textId="77777777" w:rsidR="009A53F0" w:rsidRPr="0088502A" w:rsidRDefault="009A53F0" w:rsidP="009A53F0">
      <w:pPr>
        <w:ind w:left="1701" w:hanging="1134"/>
        <w:rPr>
          <w:rFonts w:cs="Arial"/>
        </w:rPr>
      </w:pPr>
      <w:r>
        <w:t xml:space="preserve">TWA:  </w:t>
      </w:r>
      <w:r>
        <w:tab/>
        <w:t>Grupo de Trabajo Técnico sobre Plantas Agrícolas</w:t>
      </w:r>
    </w:p>
    <w:p w14:paraId="40579F63" w14:textId="77777777" w:rsidR="009A53F0" w:rsidRPr="0088502A" w:rsidRDefault="009A53F0" w:rsidP="009A53F0">
      <w:pPr>
        <w:ind w:left="1701" w:hanging="1134"/>
        <w:rPr>
          <w:rFonts w:cs="Arial"/>
        </w:rPr>
      </w:pPr>
      <w:r>
        <w:t xml:space="preserve">TWF:  </w:t>
      </w:r>
      <w:r>
        <w:tab/>
        <w:t xml:space="preserve">Grupo de Trabajo Técnico sobre Plantas Frutales </w:t>
      </w:r>
    </w:p>
    <w:p w14:paraId="7C8A62C4" w14:textId="77777777" w:rsidR="009A53F0" w:rsidRPr="0088502A" w:rsidRDefault="009A53F0" w:rsidP="009A53F0">
      <w:pPr>
        <w:ind w:left="1701" w:hanging="1134"/>
        <w:rPr>
          <w:rFonts w:cs="Arial"/>
        </w:rPr>
      </w:pPr>
      <w:r>
        <w:t xml:space="preserve">TWO:  </w:t>
      </w:r>
      <w:r>
        <w:tab/>
        <w:t xml:space="preserve">Grupo de Trabajo Técnico sobre Plantas Ornamentales y Árboles Forestales </w:t>
      </w:r>
    </w:p>
    <w:p w14:paraId="63FBF62F" w14:textId="77777777" w:rsidR="009A53F0" w:rsidRPr="0088502A" w:rsidRDefault="009A53F0" w:rsidP="009A53F0">
      <w:pPr>
        <w:ind w:left="1701" w:hanging="1134"/>
        <w:rPr>
          <w:rFonts w:cs="Arial"/>
        </w:rPr>
      </w:pPr>
      <w:r>
        <w:t xml:space="preserve">TWV:  </w:t>
      </w:r>
      <w:r>
        <w:tab/>
        <w:t>Grupo de Trabajo Técnico sobre Hortalizas</w:t>
      </w:r>
    </w:p>
    <w:p w14:paraId="54204203" w14:textId="77777777" w:rsidR="009A53F0" w:rsidRPr="0088502A" w:rsidRDefault="009A53F0" w:rsidP="009A53F0">
      <w:pPr>
        <w:ind w:left="1701" w:hanging="1134"/>
        <w:rPr>
          <w:rFonts w:cs="Arial"/>
          <w:color w:val="000000"/>
        </w:rPr>
      </w:pPr>
      <w:r>
        <w:rPr>
          <w:color w:val="000000"/>
        </w:rPr>
        <w:t>TWP:</w:t>
      </w:r>
      <w:r>
        <w:rPr>
          <w:color w:val="000000"/>
        </w:rPr>
        <w:tab/>
        <w:t xml:space="preserve">Grupos de Trabajo Técnico </w:t>
      </w:r>
    </w:p>
    <w:p w14:paraId="74915E3B" w14:textId="77777777" w:rsidR="009A53F0" w:rsidRPr="0088502A" w:rsidRDefault="009A53F0" w:rsidP="00E54EAA"/>
    <w:p w14:paraId="07D8E1EB" w14:textId="77777777" w:rsidR="00E54EAA" w:rsidRPr="0088502A" w:rsidRDefault="00E54EAA" w:rsidP="00E54EAA">
      <w:pPr>
        <w:keepNext/>
        <w:spacing w:after="240"/>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tab/>
        <w:t>El presente documento se estructura del siguiente modo:</w:t>
      </w:r>
    </w:p>
    <w:p w14:paraId="6993AE2A" w14:textId="62412A25" w:rsidR="00E97429" w:rsidRDefault="00E85A20">
      <w:pPr>
        <w:pStyle w:val="TOC1"/>
        <w:rPr>
          <w:rFonts w:asciiTheme="minorHAnsi" w:eastAsiaTheme="minorEastAsia" w:hAnsiTheme="minorHAnsi" w:cstheme="minorBidi"/>
          <w:caps w:val="0"/>
          <w:noProof/>
          <w:sz w:val="22"/>
          <w:szCs w:val="22"/>
          <w:lang w:val="en-GB" w:eastAsia="en-GB"/>
        </w:rPr>
      </w:pPr>
      <w:r w:rsidRPr="0088502A">
        <w:rPr>
          <w:rFonts w:cs="Arial"/>
          <w:bCs/>
          <w:snapToGrid w:val="0"/>
          <w:highlight w:val="yellow"/>
        </w:rPr>
        <w:fldChar w:fldCharType="begin"/>
      </w:r>
      <w:r w:rsidRPr="0088502A">
        <w:rPr>
          <w:rFonts w:cs="Arial"/>
          <w:bCs/>
          <w:snapToGrid w:val="0"/>
          <w:highlight w:val="yellow"/>
        </w:rPr>
        <w:instrText xml:space="preserve"> TOC \o "1-5" \u </w:instrText>
      </w:r>
      <w:r w:rsidRPr="0088502A">
        <w:rPr>
          <w:rFonts w:cs="Arial"/>
          <w:bCs/>
          <w:snapToGrid w:val="0"/>
          <w:highlight w:val="yellow"/>
        </w:rPr>
        <w:fldChar w:fldCharType="separate"/>
      </w:r>
      <w:r w:rsidR="00E97429" w:rsidRPr="003517F2">
        <w:rPr>
          <w:noProof/>
          <w:snapToGrid w:val="0"/>
        </w:rPr>
        <w:t>RESUMEN</w:t>
      </w:r>
      <w:r w:rsidR="00E97429">
        <w:rPr>
          <w:noProof/>
        </w:rPr>
        <w:tab/>
      </w:r>
      <w:r w:rsidR="00E97429">
        <w:rPr>
          <w:noProof/>
        </w:rPr>
        <w:fldChar w:fldCharType="begin"/>
      </w:r>
      <w:r w:rsidR="00E97429">
        <w:rPr>
          <w:noProof/>
        </w:rPr>
        <w:instrText xml:space="preserve"> PAGEREF _Toc145605421 \h </w:instrText>
      </w:r>
      <w:r w:rsidR="00E97429">
        <w:rPr>
          <w:noProof/>
        </w:rPr>
      </w:r>
      <w:r w:rsidR="00E97429">
        <w:rPr>
          <w:noProof/>
        </w:rPr>
        <w:fldChar w:fldCharType="separate"/>
      </w:r>
      <w:r w:rsidR="001542A8">
        <w:rPr>
          <w:noProof/>
        </w:rPr>
        <w:t>1</w:t>
      </w:r>
      <w:r w:rsidR="00E97429">
        <w:rPr>
          <w:noProof/>
        </w:rPr>
        <w:fldChar w:fldCharType="end"/>
      </w:r>
    </w:p>
    <w:p w14:paraId="618D80EF" w14:textId="43B0DE2A" w:rsidR="00E97429" w:rsidRDefault="00E97429">
      <w:pPr>
        <w:pStyle w:val="TOC1"/>
        <w:rPr>
          <w:rFonts w:asciiTheme="minorHAnsi" w:eastAsiaTheme="minorEastAsia" w:hAnsiTheme="minorHAnsi" w:cstheme="minorBidi"/>
          <w:caps w:val="0"/>
          <w:noProof/>
          <w:sz w:val="22"/>
          <w:szCs w:val="22"/>
          <w:lang w:val="en-GB" w:eastAsia="en-GB"/>
        </w:rPr>
      </w:pPr>
      <w:r>
        <w:rPr>
          <w:noProof/>
        </w:rPr>
        <w:t>Antecedentes</w:t>
      </w:r>
      <w:r>
        <w:rPr>
          <w:noProof/>
        </w:rPr>
        <w:tab/>
      </w:r>
      <w:r>
        <w:rPr>
          <w:noProof/>
        </w:rPr>
        <w:fldChar w:fldCharType="begin"/>
      </w:r>
      <w:r>
        <w:rPr>
          <w:noProof/>
        </w:rPr>
        <w:instrText xml:space="preserve"> PAGEREF _Toc145605422 \h </w:instrText>
      </w:r>
      <w:r>
        <w:rPr>
          <w:noProof/>
        </w:rPr>
      </w:r>
      <w:r>
        <w:rPr>
          <w:noProof/>
        </w:rPr>
        <w:fldChar w:fldCharType="separate"/>
      </w:r>
      <w:r w:rsidR="001542A8">
        <w:rPr>
          <w:noProof/>
        </w:rPr>
        <w:t>4</w:t>
      </w:r>
      <w:r>
        <w:rPr>
          <w:noProof/>
        </w:rPr>
        <w:fldChar w:fldCharType="end"/>
      </w:r>
    </w:p>
    <w:p w14:paraId="0C983E73" w14:textId="23169D77" w:rsidR="00E97429" w:rsidRDefault="00E97429">
      <w:pPr>
        <w:pStyle w:val="TOC1"/>
        <w:rPr>
          <w:rFonts w:asciiTheme="minorHAnsi" w:eastAsiaTheme="minorEastAsia" w:hAnsiTheme="minorHAnsi" w:cstheme="minorBidi"/>
          <w:caps w:val="0"/>
          <w:noProof/>
          <w:sz w:val="22"/>
          <w:szCs w:val="22"/>
          <w:lang w:val="en-GB" w:eastAsia="en-GB"/>
        </w:rPr>
      </w:pPr>
      <w:r>
        <w:rPr>
          <w:noProof/>
        </w:rPr>
        <w:t>CUESTIONES QUE SE PROPONEN PARA SU APROBACIÓN POR EL CONSEJO EN 2023</w:t>
      </w:r>
      <w:r>
        <w:rPr>
          <w:noProof/>
        </w:rPr>
        <w:tab/>
      </w:r>
      <w:r>
        <w:rPr>
          <w:noProof/>
        </w:rPr>
        <w:fldChar w:fldCharType="begin"/>
      </w:r>
      <w:r>
        <w:rPr>
          <w:noProof/>
        </w:rPr>
        <w:instrText xml:space="preserve"> PAGEREF _Toc145605423 \h </w:instrText>
      </w:r>
      <w:r>
        <w:rPr>
          <w:noProof/>
        </w:rPr>
      </w:r>
      <w:r>
        <w:rPr>
          <w:noProof/>
        </w:rPr>
        <w:fldChar w:fldCharType="separate"/>
      </w:r>
      <w:r w:rsidR="001542A8">
        <w:rPr>
          <w:noProof/>
        </w:rPr>
        <w:t>4</w:t>
      </w:r>
      <w:r>
        <w:rPr>
          <w:noProof/>
        </w:rPr>
        <w:fldChar w:fldCharType="end"/>
      </w:r>
    </w:p>
    <w:p w14:paraId="47A06B4A" w14:textId="61418598" w:rsidR="00E97429" w:rsidRDefault="00E97429">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Documentos de información:</w:t>
      </w:r>
      <w:r>
        <w:rPr>
          <w:noProof/>
        </w:rPr>
        <w:tab/>
      </w:r>
      <w:r>
        <w:rPr>
          <w:noProof/>
        </w:rPr>
        <w:fldChar w:fldCharType="begin"/>
      </w:r>
      <w:r>
        <w:rPr>
          <w:noProof/>
        </w:rPr>
        <w:instrText xml:space="preserve"> PAGEREF _Toc145605424 \h </w:instrText>
      </w:r>
      <w:r>
        <w:rPr>
          <w:noProof/>
        </w:rPr>
      </w:r>
      <w:r>
        <w:rPr>
          <w:noProof/>
        </w:rPr>
        <w:fldChar w:fldCharType="separate"/>
      </w:r>
      <w:r w:rsidR="001542A8">
        <w:rPr>
          <w:noProof/>
        </w:rPr>
        <w:t>4</w:t>
      </w:r>
      <w:r>
        <w:rPr>
          <w:noProof/>
        </w:rPr>
        <w:fldChar w:fldCharType="end"/>
      </w:r>
    </w:p>
    <w:p w14:paraId="7040C17C" w14:textId="399FA311" w:rsidR="00E97429" w:rsidRDefault="00E97429">
      <w:pPr>
        <w:pStyle w:val="TOC3"/>
        <w:rPr>
          <w:rFonts w:asciiTheme="minorHAnsi" w:eastAsiaTheme="minorEastAsia" w:hAnsiTheme="minorHAnsi" w:cstheme="minorBidi"/>
          <w:i w:val="0"/>
          <w:sz w:val="22"/>
          <w:szCs w:val="22"/>
          <w:lang w:val="en-GB" w:eastAsia="en-GB"/>
        </w:rPr>
      </w:pPr>
      <w:r>
        <w:t>UPOV/INF-EXN: Lista de documentos UPOV/INF-EXN y fechas de última publicación (revisión)  (documento UPOV/INF-EXN/17 Draft 1)</w:t>
      </w:r>
      <w:r>
        <w:tab/>
      </w:r>
      <w:r>
        <w:fldChar w:fldCharType="begin"/>
      </w:r>
      <w:r>
        <w:instrText xml:space="preserve"> PAGEREF _Toc145605425 \h </w:instrText>
      </w:r>
      <w:r>
        <w:fldChar w:fldCharType="separate"/>
      </w:r>
      <w:r w:rsidR="001542A8">
        <w:t>4</w:t>
      </w:r>
      <w:r>
        <w:fldChar w:fldCharType="end"/>
      </w:r>
    </w:p>
    <w:p w14:paraId="7F4B9672" w14:textId="6F82F39B" w:rsidR="00E97429" w:rsidRDefault="00E97429">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Notas explicativas:</w:t>
      </w:r>
      <w:r>
        <w:rPr>
          <w:noProof/>
        </w:rPr>
        <w:tab/>
      </w:r>
      <w:r>
        <w:rPr>
          <w:noProof/>
        </w:rPr>
        <w:fldChar w:fldCharType="begin"/>
      </w:r>
      <w:r>
        <w:rPr>
          <w:noProof/>
        </w:rPr>
        <w:instrText xml:space="preserve"> PAGEREF _Toc145605426 \h </w:instrText>
      </w:r>
      <w:r>
        <w:rPr>
          <w:noProof/>
        </w:rPr>
      </w:r>
      <w:r>
        <w:rPr>
          <w:noProof/>
        </w:rPr>
        <w:fldChar w:fldCharType="separate"/>
      </w:r>
      <w:r w:rsidR="001542A8">
        <w:rPr>
          <w:noProof/>
        </w:rPr>
        <w:t>4</w:t>
      </w:r>
      <w:r>
        <w:rPr>
          <w:noProof/>
        </w:rPr>
        <w:fldChar w:fldCharType="end"/>
      </w:r>
    </w:p>
    <w:p w14:paraId="11D7A2E8" w14:textId="5D93AD90" w:rsidR="00E97429" w:rsidRDefault="00E97429">
      <w:pPr>
        <w:pStyle w:val="TOC3"/>
        <w:rPr>
          <w:rFonts w:asciiTheme="minorHAnsi" w:eastAsiaTheme="minorEastAsia" w:hAnsiTheme="minorHAnsi" w:cstheme="minorBidi"/>
          <w:i w:val="0"/>
          <w:sz w:val="22"/>
          <w:szCs w:val="22"/>
          <w:lang w:val="en-GB" w:eastAsia="en-GB"/>
        </w:rPr>
      </w:pPr>
      <w:r>
        <w:t>UPOV/EXN/EDV:</w:t>
      </w:r>
      <w:r w:rsidRPr="003517F2">
        <w:rPr>
          <w:bCs/>
        </w:rPr>
        <w:t xml:space="preserve"> </w:t>
      </w:r>
      <w:r>
        <w:t>Notas explicativas sobre las variedades esencialmente derivadas con arreglo al Acta de 1991 del Convenio de la UPOV (revisión) (documentos SESSIONS/2023/2</w:t>
      </w:r>
      <w:r w:rsidRPr="003517F2">
        <w:rPr>
          <w:snapToGrid w:val="0"/>
        </w:rPr>
        <w:t xml:space="preserve"> </w:t>
      </w:r>
      <w:r>
        <w:t>y UPOV/EXN/EDV/3 Draft 4)</w:t>
      </w:r>
      <w:r>
        <w:tab/>
      </w:r>
      <w:r>
        <w:fldChar w:fldCharType="begin"/>
      </w:r>
      <w:r>
        <w:instrText xml:space="preserve"> PAGEREF _Toc145605427 \h </w:instrText>
      </w:r>
      <w:r>
        <w:fldChar w:fldCharType="separate"/>
      </w:r>
      <w:r w:rsidR="001542A8">
        <w:t>4</w:t>
      </w:r>
      <w:r>
        <w:fldChar w:fldCharType="end"/>
      </w:r>
    </w:p>
    <w:p w14:paraId="18914BC4" w14:textId="2826B73A" w:rsidR="00E97429" w:rsidRDefault="00E97429">
      <w:pPr>
        <w:pStyle w:val="TOC2"/>
        <w:rPr>
          <w:rFonts w:asciiTheme="minorHAnsi" w:eastAsiaTheme="minorEastAsia" w:hAnsiTheme="minorHAnsi" w:cstheme="minorBidi"/>
          <w:noProof/>
          <w:sz w:val="22"/>
          <w:szCs w:val="22"/>
          <w:lang w:val="en-GB" w:eastAsia="en-GB"/>
        </w:rPr>
      </w:pPr>
      <w:r>
        <w:rPr>
          <w:noProof/>
        </w:rPr>
        <w:t>c)</w:t>
      </w:r>
      <w:r>
        <w:rPr>
          <w:rFonts w:asciiTheme="minorHAnsi" w:eastAsiaTheme="minorEastAsia" w:hAnsiTheme="minorHAnsi" w:cstheme="minorBidi"/>
          <w:noProof/>
          <w:sz w:val="22"/>
          <w:szCs w:val="22"/>
          <w:lang w:val="en-GB" w:eastAsia="en-GB"/>
        </w:rPr>
        <w:tab/>
      </w:r>
      <w:r>
        <w:rPr>
          <w:noProof/>
        </w:rPr>
        <w:t>Documentos TGP</w:t>
      </w:r>
      <w:r>
        <w:rPr>
          <w:noProof/>
        </w:rPr>
        <w:tab/>
      </w:r>
      <w:r>
        <w:rPr>
          <w:noProof/>
        </w:rPr>
        <w:fldChar w:fldCharType="begin"/>
      </w:r>
      <w:r>
        <w:rPr>
          <w:noProof/>
        </w:rPr>
        <w:instrText xml:space="preserve"> PAGEREF _Toc145605428 \h </w:instrText>
      </w:r>
      <w:r>
        <w:rPr>
          <w:noProof/>
        </w:rPr>
      </w:r>
      <w:r>
        <w:rPr>
          <w:noProof/>
        </w:rPr>
        <w:fldChar w:fldCharType="separate"/>
      </w:r>
      <w:r w:rsidR="001542A8">
        <w:rPr>
          <w:noProof/>
        </w:rPr>
        <w:t>6</w:t>
      </w:r>
      <w:r>
        <w:rPr>
          <w:noProof/>
        </w:rPr>
        <w:fldChar w:fldCharType="end"/>
      </w:r>
    </w:p>
    <w:p w14:paraId="19145B7F" w14:textId="457BD5CC" w:rsidR="00E97429" w:rsidRDefault="00E97429">
      <w:pPr>
        <w:pStyle w:val="TOC3"/>
        <w:rPr>
          <w:rFonts w:asciiTheme="minorHAnsi" w:eastAsiaTheme="minorEastAsia" w:hAnsiTheme="minorHAnsi" w:cstheme="minorBidi"/>
          <w:i w:val="0"/>
          <w:sz w:val="22"/>
          <w:szCs w:val="22"/>
          <w:lang w:val="en-GB" w:eastAsia="en-GB"/>
        </w:rPr>
      </w:pPr>
      <w:r>
        <w:t>TGP</w:t>
      </w:r>
      <w:r w:rsidRPr="003517F2">
        <w:rPr>
          <w:snapToGrid w:val="0"/>
        </w:rPr>
        <w:t>/0 “Lista de documentos TGP y fechas de última publicación” (revisión) (documento TGP/0/15 Draft 1)</w:t>
      </w:r>
      <w:r>
        <w:tab/>
      </w:r>
      <w:r>
        <w:fldChar w:fldCharType="begin"/>
      </w:r>
      <w:r>
        <w:instrText xml:space="preserve"> PAGEREF _Toc145605429 \h </w:instrText>
      </w:r>
      <w:r>
        <w:fldChar w:fldCharType="separate"/>
      </w:r>
      <w:r w:rsidR="001542A8">
        <w:t>6</w:t>
      </w:r>
      <w:r>
        <w:fldChar w:fldCharType="end"/>
      </w:r>
    </w:p>
    <w:p w14:paraId="3D06E0F1" w14:textId="4F1B318E" w:rsidR="00E97429" w:rsidRDefault="00E97429">
      <w:pPr>
        <w:pStyle w:val="TOC1"/>
        <w:rPr>
          <w:rFonts w:asciiTheme="minorHAnsi" w:eastAsiaTheme="minorEastAsia" w:hAnsiTheme="minorHAnsi" w:cstheme="minorBidi"/>
          <w:caps w:val="0"/>
          <w:noProof/>
          <w:sz w:val="22"/>
          <w:szCs w:val="22"/>
          <w:lang w:val="en-GB" w:eastAsia="en-GB"/>
        </w:rPr>
      </w:pPr>
      <w:r>
        <w:rPr>
          <w:noProof/>
        </w:rPr>
        <w:lastRenderedPageBreak/>
        <w:t>CUESTIONES QUE SE PROPONEN PARA SU APROBACIÓN POR EL CONSEJO EN 2023, PREVIO ACUERDO DEL COMITÉ ADMINISTRATIVO Y JURÍDICO</w:t>
      </w:r>
      <w:r>
        <w:rPr>
          <w:noProof/>
        </w:rPr>
        <w:tab/>
      </w:r>
      <w:r>
        <w:rPr>
          <w:noProof/>
        </w:rPr>
        <w:fldChar w:fldCharType="begin"/>
      </w:r>
      <w:r>
        <w:rPr>
          <w:noProof/>
        </w:rPr>
        <w:instrText xml:space="preserve"> PAGEREF _Toc145605430 \h </w:instrText>
      </w:r>
      <w:r>
        <w:rPr>
          <w:noProof/>
        </w:rPr>
      </w:r>
      <w:r>
        <w:rPr>
          <w:noProof/>
        </w:rPr>
        <w:fldChar w:fldCharType="separate"/>
      </w:r>
      <w:r w:rsidR="001542A8">
        <w:rPr>
          <w:noProof/>
        </w:rPr>
        <w:t>6</w:t>
      </w:r>
      <w:r>
        <w:rPr>
          <w:noProof/>
        </w:rPr>
        <w:fldChar w:fldCharType="end"/>
      </w:r>
    </w:p>
    <w:p w14:paraId="4BF0542B" w14:textId="476B0C33" w:rsidR="00E97429" w:rsidRDefault="00E97429">
      <w:pPr>
        <w:pStyle w:val="TOC2"/>
        <w:rPr>
          <w:rFonts w:asciiTheme="minorHAnsi" w:eastAsiaTheme="minorEastAsia" w:hAnsiTheme="minorHAnsi" w:cstheme="minorBidi"/>
          <w:noProof/>
          <w:sz w:val="22"/>
          <w:szCs w:val="22"/>
          <w:lang w:val="en-GB" w:eastAsia="en-GB"/>
        </w:rPr>
      </w:pPr>
      <w:r>
        <w:rPr>
          <w:noProof/>
        </w:rPr>
        <w:t>Documentos TGP:</w:t>
      </w:r>
      <w:r>
        <w:rPr>
          <w:noProof/>
        </w:rPr>
        <w:tab/>
      </w:r>
      <w:r>
        <w:rPr>
          <w:noProof/>
        </w:rPr>
        <w:fldChar w:fldCharType="begin"/>
      </w:r>
      <w:r>
        <w:rPr>
          <w:noProof/>
        </w:rPr>
        <w:instrText xml:space="preserve"> PAGEREF _Toc145605431 \h </w:instrText>
      </w:r>
      <w:r>
        <w:rPr>
          <w:noProof/>
        </w:rPr>
      </w:r>
      <w:r>
        <w:rPr>
          <w:noProof/>
        </w:rPr>
        <w:fldChar w:fldCharType="separate"/>
      </w:r>
      <w:r w:rsidR="001542A8">
        <w:rPr>
          <w:noProof/>
        </w:rPr>
        <w:t>6</w:t>
      </w:r>
      <w:r>
        <w:rPr>
          <w:noProof/>
        </w:rPr>
        <w:fldChar w:fldCharType="end"/>
      </w:r>
    </w:p>
    <w:p w14:paraId="5DD9CE8F" w14:textId="0A0F667F" w:rsidR="00E97429" w:rsidRDefault="00E97429">
      <w:pPr>
        <w:pStyle w:val="TOC3"/>
        <w:rPr>
          <w:rFonts w:asciiTheme="minorHAnsi" w:eastAsiaTheme="minorEastAsia" w:hAnsiTheme="minorHAnsi" w:cstheme="minorBidi"/>
          <w:i w:val="0"/>
          <w:sz w:val="22"/>
          <w:szCs w:val="22"/>
          <w:lang w:val="en-GB" w:eastAsia="en-GB"/>
        </w:rPr>
      </w:pPr>
      <w:r>
        <w:t>TGP/7: Elaboración de las directrices de examen (revisión)</w:t>
      </w:r>
      <w:r>
        <w:tab/>
      </w:r>
      <w:r>
        <w:fldChar w:fldCharType="begin"/>
      </w:r>
      <w:r>
        <w:instrText xml:space="preserve"> PAGEREF _Toc145605432 \h </w:instrText>
      </w:r>
      <w:r>
        <w:fldChar w:fldCharType="separate"/>
      </w:r>
      <w:r w:rsidR="001542A8">
        <w:t>6</w:t>
      </w:r>
      <w:r>
        <w:fldChar w:fldCharType="end"/>
      </w:r>
    </w:p>
    <w:p w14:paraId="07D63518" w14:textId="0CC93B92" w:rsidR="00E97429" w:rsidRDefault="00E97429">
      <w:pPr>
        <w:pStyle w:val="TOC4"/>
        <w:rPr>
          <w:rFonts w:asciiTheme="minorHAnsi" w:eastAsiaTheme="minorEastAsia" w:hAnsiTheme="minorHAnsi" w:cstheme="minorBidi"/>
          <w:noProof/>
          <w:sz w:val="22"/>
          <w:szCs w:val="22"/>
          <w:lang w:val="en-GB" w:eastAsia="en-GB"/>
        </w:rPr>
      </w:pPr>
      <w:r>
        <w:rPr>
          <w:noProof/>
        </w:rPr>
        <w:t>Conversión del Anexo 1 de TGP/7: Estructura y texto estándar universal de los documentos TG (plantilla de las directrices de examen), conversión del párrafo 4.2.2 en texto opcional  (Anexo II del presente documento)</w:t>
      </w:r>
      <w:r>
        <w:rPr>
          <w:noProof/>
        </w:rPr>
        <w:tab/>
      </w:r>
      <w:r>
        <w:rPr>
          <w:noProof/>
        </w:rPr>
        <w:fldChar w:fldCharType="begin"/>
      </w:r>
      <w:r>
        <w:rPr>
          <w:noProof/>
        </w:rPr>
        <w:instrText xml:space="preserve"> PAGEREF _Toc145605433 \h </w:instrText>
      </w:r>
      <w:r>
        <w:rPr>
          <w:noProof/>
        </w:rPr>
      </w:r>
      <w:r>
        <w:rPr>
          <w:noProof/>
        </w:rPr>
        <w:fldChar w:fldCharType="separate"/>
      </w:r>
      <w:r w:rsidR="001542A8">
        <w:rPr>
          <w:noProof/>
        </w:rPr>
        <w:t>6</w:t>
      </w:r>
      <w:r>
        <w:rPr>
          <w:noProof/>
        </w:rPr>
        <w:fldChar w:fldCharType="end"/>
      </w:r>
    </w:p>
    <w:p w14:paraId="3FBF97D6" w14:textId="36148933" w:rsidR="00E97429" w:rsidRDefault="00E97429">
      <w:pPr>
        <w:pStyle w:val="TOC3"/>
        <w:rPr>
          <w:rFonts w:asciiTheme="minorHAnsi" w:eastAsiaTheme="minorEastAsia" w:hAnsiTheme="minorHAnsi" w:cstheme="minorBidi"/>
          <w:i w:val="0"/>
          <w:sz w:val="22"/>
          <w:szCs w:val="22"/>
          <w:lang w:val="en-GB" w:eastAsia="en-GB"/>
        </w:rPr>
      </w:pPr>
      <w:r>
        <w:t>TGP/14: Glosario de términos utilizados en los documentos de la UPOV (revisión)</w:t>
      </w:r>
      <w:r>
        <w:tab/>
      </w:r>
      <w:r>
        <w:fldChar w:fldCharType="begin"/>
      </w:r>
      <w:r>
        <w:instrText xml:space="preserve"> PAGEREF _Toc145605434 \h </w:instrText>
      </w:r>
      <w:r>
        <w:fldChar w:fldCharType="separate"/>
      </w:r>
      <w:r w:rsidR="001542A8">
        <w:t>7</w:t>
      </w:r>
      <w:r>
        <w:fldChar w:fldCharType="end"/>
      </w:r>
    </w:p>
    <w:p w14:paraId="3430B679" w14:textId="4F0FE6A7" w:rsidR="00E97429" w:rsidRDefault="00E97429">
      <w:pPr>
        <w:pStyle w:val="TOC1"/>
        <w:rPr>
          <w:rFonts w:asciiTheme="minorHAnsi" w:eastAsiaTheme="minorEastAsia" w:hAnsiTheme="minorHAnsi" w:cstheme="minorBidi"/>
          <w:caps w:val="0"/>
          <w:noProof/>
          <w:sz w:val="22"/>
          <w:szCs w:val="22"/>
          <w:lang w:val="en-GB" w:eastAsia="en-GB"/>
        </w:rPr>
      </w:pPr>
      <w:r>
        <w:rPr>
          <w:noProof/>
        </w:rPr>
        <w:t>CUESTIONES QUE SE PROPONEN PARA SU APROBACIÓN POR EL CONSEJO EN 2023, PREVIO ACUERDO DEL COMITÉ TÉCNICO Y DEL COMITÉ ADMINISTRATIVO Y JURÍDICO</w:t>
      </w:r>
      <w:r>
        <w:rPr>
          <w:noProof/>
        </w:rPr>
        <w:tab/>
      </w:r>
      <w:r>
        <w:rPr>
          <w:noProof/>
        </w:rPr>
        <w:fldChar w:fldCharType="begin"/>
      </w:r>
      <w:r>
        <w:rPr>
          <w:noProof/>
        </w:rPr>
        <w:instrText xml:space="preserve"> PAGEREF _Toc145605435 \h </w:instrText>
      </w:r>
      <w:r>
        <w:rPr>
          <w:noProof/>
        </w:rPr>
      </w:r>
      <w:r>
        <w:rPr>
          <w:noProof/>
        </w:rPr>
        <w:fldChar w:fldCharType="separate"/>
      </w:r>
      <w:r w:rsidR="001542A8">
        <w:rPr>
          <w:noProof/>
        </w:rPr>
        <w:t>7</w:t>
      </w:r>
      <w:r>
        <w:rPr>
          <w:noProof/>
        </w:rPr>
        <w:fldChar w:fldCharType="end"/>
      </w:r>
    </w:p>
    <w:p w14:paraId="4BD50F9B" w14:textId="01D97DFD" w:rsidR="00E97429" w:rsidRDefault="00E97429">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Documentos de información:</w:t>
      </w:r>
      <w:r>
        <w:rPr>
          <w:noProof/>
        </w:rPr>
        <w:tab/>
      </w:r>
      <w:r>
        <w:rPr>
          <w:noProof/>
        </w:rPr>
        <w:fldChar w:fldCharType="begin"/>
      </w:r>
      <w:r>
        <w:rPr>
          <w:noProof/>
        </w:rPr>
        <w:instrText xml:space="preserve"> PAGEREF _Toc145605436 \h </w:instrText>
      </w:r>
      <w:r>
        <w:rPr>
          <w:noProof/>
        </w:rPr>
      </w:r>
      <w:r>
        <w:rPr>
          <w:noProof/>
        </w:rPr>
        <w:fldChar w:fldCharType="separate"/>
      </w:r>
      <w:r w:rsidR="001542A8">
        <w:rPr>
          <w:noProof/>
        </w:rPr>
        <w:t>7</w:t>
      </w:r>
      <w:r>
        <w:rPr>
          <w:noProof/>
        </w:rPr>
        <w:fldChar w:fldCharType="end"/>
      </w:r>
    </w:p>
    <w:p w14:paraId="47C48A5F" w14:textId="474EDBD9" w:rsidR="00E97429" w:rsidRDefault="00E97429">
      <w:pPr>
        <w:pStyle w:val="TOC3"/>
        <w:rPr>
          <w:rFonts w:asciiTheme="minorHAnsi" w:eastAsiaTheme="minorEastAsia" w:hAnsiTheme="minorHAnsi" w:cstheme="minorBidi"/>
          <w:i w:val="0"/>
          <w:sz w:val="22"/>
          <w:szCs w:val="22"/>
          <w:lang w:val="en-GB" w:eastAsia="en-GB"/>
        </w:rPr>
      </w:pPr>
      <w:r>
        <w:t xml:space="preserve">UPOV/INF/16: Programas informáticos para intercambio (revisión) </w:t>
      </w:r>
      <w:r w:rsidRPr="003517F2">
        <w:rPr>
          <w:snapToGrid w:val="0"/>
        </w:rPr>
        <w:t>(documento UPOV/INF/16/12 Draft 1)</w:t>
      </w:r>
      <w:r>
        <w:tab/>
      </w:r>
      <w:r>
        <w:fldChar w:fldCharType="begin"/>
      </w:r>
      <w:r>
        <w:instrText xml:space="preserve"> PAGEREF _Toc145605437 \h </w:instrText>
      </w:r>
      <w:r>
        <w:fldChar w:fldCharType="separate"/>
      </w:r>
      <w:r w:rsidR="001542A8">
        <w:t>7</w:t>
      </w:r>
      <w:r>
        <w:fldChar w:fldCharType="end"/>
      </w:r>
    </w:p>
    <w:p w14:paraId="59FD28EA" w14:textId="4EB62219" w:rsidR="00E97429" w:rsidRDefault="00E97429">
      <w:pPr>
        <w:pStyle w:val="TOC3"/>
        <w:rPr>
          <w:rFonts w:asciiTheme="minorHAnsi" w:eastAsiaTheme="minorEastAsia" w:hAnsiTheme="minorHAnsi" w:cstheme="minorBidi"/>
          <w:i w:val="0"/>
          <w:sz w:val="22"/>
          <w:szCs w:val="22"/>
          <w:lang w:val="en-GB" w:eastAsia="en-GB"/>
        </w:rPr>
      </w:pPr>
      <w:r>
        <w:t>UPOV/INF/22: Programas informáticos y equipos utilizados por los miembros de la Unión (revisión) (documento UPOV/INF/22/10 Draft 1)</w:t>
      </w:r>
      <w:r>
        <w:tab/>
      </w:r>
      <w:r>
        <w:fldChar w:fldCharType="begin"/>
      </w:r>
      <w:r>
        <w:instrText xml:space="preserve"> PAGEREF _Toc145605438 \h </w:instrText>
      </w:r>
      <w:r>
        <w:fldChar w:fldCharType="separate"/>
      </w:r>
      <w:r w:rsidR="001542A8">
        <w:t>7</w:t>
      </w:r>
      <w:r>
        <w:fldChar w:fldCharType="end"/>
      </w:r>
    </w:p>
    <w:p w14:paraId="60178102" w14:textId="093B3567" w:rsidR="00E97429" w:rsidRDefault="00E97429">
      <w:pPr>
        <w:pStyle w:val="TOC3"/>
        <w:rPr>
          <w:rFonts w:asciiTheme="minorHAnsi" w:eastAsiaTheme="minorEastAsia" w:hAnsiTheme="minorHAnsi" w:cstheme="minorBidi"/>
          <w:i w:val="0"/>
          <w:sz w:val="22"/>
          <w:szCs w:val="22"/>
          <w:lang w:val="en-GB" w:eastAsia="en-GB"/>
        </w:rPr>
      </w:pPr>
      <w:r>
        <w:t>UPOV/INF/23: Sistema de códigos de la UPOV (revisión) (documento UPOV/INF/23/2 Draft 1)</w:t>
      </w:r>
      <w:r>
        <w:tab/>
      </w:r>
      <w:r>
        <w:fldChar w:fldCharType="begin"/>
      </w:r>
      <w:r>
        <w:instrText xml:space="preserve"> PAGEREF _Toc145605439 \h </w:instrText>
      </w:r>
      <w:r>
        <w:fldChar w:fldCharType="separate"/>
      </w:r>
      <w:r w:rsidR="001542A8">
        <w:t>8</w:t>
      </w:r>
      <w:r>
        <w:fldChar w:fldCharType="end"/>
      </w:r>
    </w:p>
    <w:p w14:paraId="00BD0811" w14:textId="201A107F" w:rsidR="00E97429" w:rsidRDefault="00E97429">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Notas explicativas:</w:t>
      </w:r>
      <w:r>
        <w:rPr>
          <w:noProof/>
        </w:rPr>
        <w:tab/>
      </w:r>
      <w:r>
        <w:rPr>
          <w:noProof/>
        </w:rPr>
        <w:fldChar w:fldCharType="begin"/>
      </w:r>
      <w:r>
        <w:rPr>
          <w:noProof/>
        </w:rPr>
        <w:instrText xml:space="preserve"> PAGEREF _Toc145605440 \h </w:instrText>
      </w:r>
      <w:r>
        <w:rPr>
          <w:noProof/>
        </w:rPr>
      </w:r>
      <w:r>
        <w:rPr>
          <w:noProof/>
        </w:rPr>
        <w:fldChar w:fldCharType="separate"/>
      </w:r>
      <w:r w:rsidR="001542A8">
        <w:rPr>
          <w:noProof/>
        </w:rPr>
        <w:t>8</w:t>
      </w:r>
      <w:r>
        <w:rPr>
          <w:noProof/>
        </w:rPr>
        <w:fldChar w:fldCharType="end"/>
      </w:r>
    </w:p>
    <w:p w14:paraId="6EEB1B96" w14:textId="123A4397" w:rsidR="00E97429" w:rsidRDefault="00E97429">
      <w:pPr>
        <w:pStyle w:val="TOC3"/>
        <w:rPr>
          <w:rFonts w:asciiTheme="minorHAnsi" w:eastAsiaTheme="minorEastAsia" w:hAnsiTheme="minorHAnsi" w:cstheme="minorBidi"/>
          <w:i w:val="0"/>
          <w:sz w:val="22"/>
          <w:szCs w:val="22"/>
          <w:lang w:val="en-GB" w:eastAsia="en-GB"/>
        </w:rPr>
      </w:pPr>
      <w:r>
        <w:t>UPOV/EXN/DEN: Notas explicativas sobre las denominaciones de variedades con arreglo al Convenio de la UPOV (revisión) (</w:t>
      </w:r>
      <w:r w:rsidRPr="003517F2">
        <w:rPr>
          <w:snapToGrid w:val="0"/>
        </w:rPr>
        <w:t>Anexo I del presente documento)</w:t>
      </w:r>
      <w:r>
        <w:tab/>
      </w:r>
      <w:r>
        <w:fldChar w:fldCharType="begin"/>
      </w:r>
      <w:r>
        <w:instrText xml:space="preserve"> PAGEREF _Toc145605441 \h </w:instrText>
      </w:r>
      <w:r>
        <w:fldChar w:fldCharType="separate"/>
      </w:r>
      <w:r w:rsidR="001542A8">
        <w:t>8</w:t>
      </w:r>
      <w:r>
        <w:fldChar w:fldCharType="end"/>
      </w:r>
    </w:p>
    <w:p w14:paraId="4C8E3829" w14:textId="099EDF63" w:rsidR="00E97429" w:rsidRDefault="00E97429">
      <w:pPr>
        <w:pStyle w:val="TOC4"/>
        <w:rPr>
          <w:rFonts w:asciiTheme="minorHAnsi" w:eastAsiaTheme="minorEastAsia" w:hAnsiTheme="minorHAnsi" w:cstheme="minorBidi"/>
          <w:noProof/>
          <w:sz w:val="22"/>
          <w:szCs w:val="22"/>
          <w:lang w:val="en-GB" w:eastAsia="en-GB"/>
        </w:rPr>
      </w:pPr>
      <w:r>
        <w:rPr>
          <w:noProof/>
        </w:rPr>
        <w:t xml:space="preserve">Nuevas clases de denominación de variedades para </w:t>
      </w:r>
      <w:r w:rsidRPr="003517F2">
        <w:rPr>
          <w:i/>
          <w:noProof/>
        </w:rPr>
        <w:t>Allium</w:t>
      </w:r>
      <w:r>
        <w:rPr>
          <w:noProof/>
        </w:rPr>
        <w:tab/>
      </w:r>
      <w:r>
        <w:rPr>
          <w:noProof/>
        </w:rPr>
        <w:fldChar w:fldCharType="begin"/>
      </w:r>
      <w:r>
        <w:rPr>
          <w:noProof/>
        </w:rPr>
        <w:instrText xml:space="preserve"> PAGEREF _Toc145605442 \h </w:instrText>
      </w:r>
      <w:r>
        <w:rPr>
          <w:noProof/>
        </w:rPr>
      </w:r>
      <w:r>
        <w:rPr>
          <w:noProof/>
        </w:rPr>
        <w:fldChar w:fldCharType="separate"/>
      </w:r>
      <w:r w:rsidR="001542A8">
        <w:rPr>
          <w:noProof/>
        </w:rPr>
        <w:t>8</w:t>
      </w:r>
      <w:r>
        <w:rPr>
          <w:noProof/>
        </w:rPr>
        <w:fldChar w:fldCharType="end"/>
      </w:r>
    </w:p>
    <w:p w14:paraId="070D6D37" w14:textId="41C0D4A6" w:rsidR="00E97429" w:rsidRDefault="00E97429">
      <w:pPr>
        <w:pStyle w:val="TOC4"/>
        <w:rPr>
          <w:rFonts w:asciiTheme="minorHAnsi" w:eastAsiaTheme="minorEastAsia" w:hAnsiTheme="minorHAnsi" w:cstheme="minorBidi"/>
          <w:noProof/>
          <w:sz w:val="22"/>
          <w:szCs w:val="22"/>
          <w:lang w:val="en-GB" w:eastAsia="en-GB"/>
        </w:rPr>
      </w:pPr>
      <w:r>
        <w:rPr>
          <w:noProof/>
        </w:rPr>
        <w:t xml:space="preserve">Nuevas clases de denominación de variedades para </w:t>
      </w:r>
      <w:r w:rsidRPr="003517F2">
        <w:rPr>
          <w:i/>
          <w:noProof/>
        </w:rPr>
        <w:t>Prunus</w:t>
      </w:r>
      <w:r>
        <w:rPr>
          <w:noProof/>
        </w:rPr>
        <w:tab/>
      </w:r>
      <w:r>
        <w:rPr>
          <w:noProof/>
        </w:rPr>
        <w:fldChar w:fldCharType="begin"/>
      </w:r>
      <w:r>
        <w:rPr>
          <w:noProof/>
        </w:rPr>
        <w:instrText xml:space="preserve"> PAGEREF _Toc145605443 \h </w:instrText>
      </w:r>
      <w:r>
        <w:rPr>
          <w:noProof/>
        </w:rPr>
      </w:r>
      <w:r>
        <w:rPr>
          <w:noProof/>
        </w:rPr>
        <w:fldChar w:fldCharType="separate"/>
      </w:r>
      <w:r w:rsidR="001542A8">
        <w:rPr>
          <w:noProof/>
        </w:rPr>
        <w:t>8</w:t>
      </w:r>
      <w:r>
        <w:rPr>
          <w:noProof/>
        </w:rPr>
        <w:fldChar w:fldCharType="end"/>
      </w:r>
    </w:p>
    <w:p w14:paraId="2923952C" w14:textId="39814C4C" w:rsidR="00E97429" w:rsidRDefault="00E97429">
      <w:pPr>
        <w:pStyle w:val="TOC4"/>
        <w:rPr>
          <w:rFonts w:asciiTheme="minorHAnsi" w:eastAsiaTheme="minorEastAsia" w:hAnsiTheme="minorHAnsi" w:cstheme="minorBidi"/>
          <w:noProof/>
          <w:sz w:val="22"/>
          <w:szCs w:val="22"/>
          <w:lang w:val="en-GB" w:eastAsia="en-GB"/>
        </w:rPr>
      </w:pPr>
      <w:r>
        <w:rPr>
          <w:noProof/>
        </w:rPr>
        <w:t xml:space="preserve">Grupos de variedades para </w:t>
      </w:r>
      <w:r w:rsidRPr="003517F2">
        <w:rPr>
          <w:i/>
          <w:iCs/>
          <w:noProof/>
        </w:rPr>
        <w:t>Beta</w:t>
      </w:r>
      <w:r>
        <w:rPr>
          <w:noProof/>
        </w:rPr>
        <w:tab/>
      </w:r>
      <w:r>
        <w:rPr>
          <w:noProof/>
        </w:rPr>
        <w:fldChar w:fldCharType="begin"/>
      </w:r>
      <w:r>
        <w:rPr>
          <w:noProof/>
        </w:rPr>
        <w:instrText xml:space="preserve"> PAGEREF _Toc145605444 \h </w:instrText>
      </w:r>
      <w:r>
        <w:rPr>
          <w:noProof/>
        </w:rPr>
      </w:r>
      <w:r>
        <w:rPr>
          <w:noProof/>
        </w:rPr>
        <w:fldChar w:fldCharType="separate"/>
      </w:r>
      <w:r w:rsidR="001542A8">
        <w:rPr>
          <w:noProof/>
        </w:rPr>
        <w:t>9</w:t>
      </w:r>
      <w:r>
        <w:rPr>
          <w:noProof/>
        </w:rPr>
        <w:fldChar w:fldCharType="end"/>
      </w:r>
    </w:p>
    <w:p w14:paraId="551E89AE" w14:textId="59649BED" w:rsidR="00E97429" w:rsidRDefault="00E97429">
      <w:pPr>
        <w:pStyle w:val="TOC2"/>
        <w:rPr>
          <w:rFonts w:asciiTheme="minorHAnsi" w:eastAsiaTheme="minorEastAsia" w:hAnsiTheme="minorHAnsi" w:cstheme="minorBidi"/>
          <w:noProof/>
          <w:sz w:val="22"/>
          <w:szCs w:val="22"/>
          <w:lang w:val="en-GB" w:eastAsia="en-GB"/>
        </w:rPr>
      </w:pPr>
      <w:r>
        <w:rPr>
          <w:noProof/>
        </w:rPr>
        <w:t>c)</w:t>
      </w:r>
      <w:r>
        <w:rPr>
          <w:rFonts w:asciiTheme="minorHAnsi" w:eastAsiaTheme="minorEastAsia" w:hAnsiTheme="minorHAnsi" w:cstheme="minorBidi"/>
          <w:noProof/>
          <w:sz w:val="22"/>
          <w:szCs w:val="22"/>
          <w:lang w:val="en-GB" w:eastAsia="en-GB"/>
        </w:rPr>
        <w:tab/>
      </w:r>
      <w:r>
        <w:rPr>
          <w:noProof/>
        </w:rPr>
        <w:t>Documentos TGP:</w:t>
      </w:r>
      <w:r>
        <w:rPr>
          <w:noProof/>
        </w:rPr>
        <w:tab/>
      </w:r>
      <w:r>
        <w:rPr>
          <w:noProof/>
        </w:rPr>
        <w:fldChar w:fldCharType="begin"/>
      </w:r>
      <w:r>
        <w:rPr>
          <w:noProof/>
        </w:rPr>
        <w:instrText xml:space="preserve"> PAGEREF _Toc145605445 \h </w:instrText>
      </w:r>
      <w:r>
        <w:rPr>
          <w:noProof/>
        </w:rPr>
      </w:r>
      <w:r>
        <w:rPr>
          <w:noProof/>
        </w:rPr>
        <w:fldChar w:fldCharType="separate"/>
      </w:r>
      <w:r w:rsidR="001542A8">
        <w:rPr>
          <w:noProof/>
        </w:rPr>
        <w:t>9</w:t>
      </w:r>
      <w:r>
        <w:rPr>
          <w:noProof/>
        </w:rPr>
        <w:fldChar w:fldCharType="end"/>
      </w:r>
    </w:p>
    <w:p w14:paraId="0F94CA1B" w14:textId="45DA9AE7" w:rsidR="00E97429" w:rsidRDefault="00E97429">
      <w:pPr>
        <w:pStyle w:val="TOC3"/>
        <w:rPr>
          <w:rFonts w:asciiTheme="minorHAnsi" w:eastAsiaTheme="minorEastAsia" w:hAnsiTheme="minorHAnsi" w:cstheme="minorBidi"/>
          <w:i w:val="0"/>
          <w:sz w:val="22"/>
          <w:szCs w:val="22"/>
          <w:lang w:val="en-GB" w:eastAsia="en-GB"/>
        </w:rPr>
      </w:pPr>
      <w:r>
        <w:t>Documento TGP/7: “Elaboración de las directrices de examen”, párrafo 3.6 de la nota orientativa GN 13 (revisión): Caracteres de resistencia a enfermedades: adición de un nivel de expresión y colocación de los caracteres de resistencia a las enfermedades no señalados con asterisco en la sección 5 del cuestionario técnico (Anexo II del presente documento)</w:t>
      </w:r>
      <w:r>
        <w:tab/>
      </w:r>
      <w:r>
        <w:fldChar w:fldCharType="begin"/>
      </w:r>
      <w:r>
        <w:instrText xml:space="preserve"> PAGEREF _Toc145605446 \h </w:instrText>
      </w:r>
      <w:r>
        <w:fldChar w:fldCharType="separate"/>
      </w:r>
      <w:r w:rsidR="001542A8">
        <w:t>9</w:t>
      </w:r>
      <w:r>
        <w:fldChar w:fldCharType="end"/>
      </w:r>
    </w:p>
    <w:p w14:paraId="5A1A24E1" w14:textId="27C63BE7" w:rsidR="00E97429" w:rsidRDefault="00E97429">
      <w:pPr>
        <w:pStyle w:val="TOC3"/>
        <w:rPr>
          <w:rFonts w:asciiTheme="minorHAnsi" w:eastAsiaTheme="minorEastAsia" w:hAnsiTheme="minorHAnsi" w:cstheme="minorBidi"/>
          <w:i w:val="0"/>
          <w:sz w:val="22"/>
          <w:szCs w:val="22"/>
          <w:lang w:val="en-GB" w:eastAsia="en-GB"/>
        </w:rPr>
      </w:pPr>
      <w:r>
        <w:t>TGP/12: Orientación sobre ciertos caracteres fisiológicos (revisión): Ejemplo de carácter de resistencia a enfermedades (véase el Anexo IV del presente documento)</w:t>
      </w:r>
      <w:r>
        <w:tab/>
      </w:r>
      <w:r>
        <w:fldChar w:fldCharType="begin"/>
      </w:r>
      <w:r>
        <w:instrText xml:space="preserve"> PAGEREF _Toc145605447 \h </w:instrText>
      </w:r>
      <w:r>
        <w:fldChar w:fldCharType="separate"/>
      </w:r>
      <w:r w:rsidR="001542A8">
        <w:t>9</w:t>
      </w:r>
      <w:r>
        <w:fldChar w:fldCharType="end"/>
      </w:r>
    </w:p>
    <w:p w14:paraId="3805B8FC" w14:textId="1DC74EDC" w:rsidR="00E97429" w:rsidRDefault="00E97429">
      <w:pPr>
        <w:pStyle w:val="TOC1"/>
        <w:rPr>
          <w:rFonts w:asciiTheme="minorHAnsi" w:eastAsiaTheme="minorEastAsia" w:hAnsiTheme="minorHAnsi" w:cstheme="minorBidi"/>
          <w:caps w:val="0"/>
          <w:noProof/>
          <w:sz w:val="22"/>
          <w:szCs w:val="22"/>
          <w:lang w:val="en-GB" w:eastAsia="en-GB"/>
        </w:rPr>
      </w:pPr>
      <w:r>
        <w:rPr>
          <w:noProof/>
        </w:rPr>
        <w:t>Cuestiones sujetas al examen del Comité Técnico</w:t>
      </w:r>
      <w:r>
        <w:rPr>
          <w:noProof/>
        </w:rPr>
        <w:tab/>
      </w:r>
      <w:r>
        <w:rPr>
          <w:noProof/>
        </w:rPr>
        <w:fldChar w:fldCharType="begin"/>
      </w:r>
      <w:r>
        <w:rPr>
          <w:noProof/>
        </w:rPr>
        <w:instrText xml:space="preserve"> PAGEREF _Toc145605448 \h </w:instrText>
      </w:r>
      <w:r>
        <w:rPr>
          <w:noProof/>
        </w:rPr>
      </w:r>
      <w:r>
        <w:rPr>
          <w:noProof/>
        </w:rPr>
        <w:fldChar w:fldCharType="separate"/>
      </w:r>
      <w:r w:rsidR="001542A8">
        <w:rPr>
          <w:noProof/>
        </w:rPr>
        <w:t>10</w:t>
      </w:r>
      <w:r>
        <w:rPr>
          <w:noProof/>
        </w:rPr>
        <w:fldChar w:fldCharType="end"/>
      </w:r>
    </w:p>
    <w:p w14:paraId="4E966EF1" w14:textId="7EF5C05F" w:rsidR="00E97429" w:rsidRDefault="00E97429">
      <w:pPr>
        <w:pStyle w:val="TOC2"/>
        <w:rPr>
          <w:rFonts w:asciiTheme="minorHAnsi" w:eastAsiaTheme="minorEastAsia" w:hAnsiTheme="minorHAnsi" w:cstheme="minorBidi"/>
          <w:noProof/>
          <w:sz w:val="22"/>
          <w:szCs w:val="22"/>
          <w:lang w:val="en-GB" w:eastAsia="en-GB"/>
        </w:rPr>
      </w:pPr>
      <w:r>
        <w:rPr>
          <w:noProof/>
        </w:rPr>
        <w:t>a)</w:t>
      </w:r>
      <w:r>
        <w:rPr>
          <w:rFonts w:asciiTheme="minorHAnsi" w:eastAsiaTheme="minorEastAsia" w:hAnsiTheme="minorHAnsi" w:cstheme="minorBidi"/>
          <w:noProof/>
          <w:sz w:val="22"/>
          <w:szCs w:val="22"/>
          <w:lang w:val="en-GB" w:eastAsia="en-GB"/>
        </w:rPr>
        <w:tab/>
      </w:r>
      <w:r>
        <w:rPr>
          <w:noProof/>
        </w:rPr>
        <w:t>Notas explicativas:</w:t>
      </w:r>
      <w:r>
        <w:rPr>
          <w:noProof/>
        </w:rPr>
        <w:tab/>
      </w:r>
      <w:r>
        <w:rPr>
          <w:noProof/>
        </w:rPr>
        <w:fldChar w:fldCharType="begin"/>
      </w:r>
      <w:r>
        <w:rPr>
          <w:noProof/>
        </w:rPr>
        <w:instrText xml:space="preserve"> PAGEREF _Toc145605449 \h </w:instrText>
      </w:r>
      <w:r>
        <w:rPr>
          <w:noProof/>
        </w:rPr>
      </w:r>
      <w:r>
        <w:rPr>
          <w:noProof/>
        </w:rPr>
        <w:fldChar w:fldCharType="separate"/>
      </w:r>
      <w:r w:rsidR="001542A8">
        <w:rPr>
          <w:noProof/>
        </w:rPr>
        <w:t>10</w:t>
      </w:r>
      <w:r>
        <w:rPr>
          <w:noProof/>
        </w:rPr>
        <w:fldChar w:fldCharType="end"/>
      </w:r>
    </w:p>
    <w:p w14:paraId="7C2AF3C1" w14:textId="5CBA2061" w:rsidR="00E97429" w:rsidRDefault="00E97429">
      <w:pPr>
        <w:pStyle w:val="TOC3"/>
        <w:rPr>
          <w:rFonts w:asciiTheme="minorHAnsi" w:eastAsiaTheme="minorEastAsia" w:hAnsiTheme="minorHAnsi" w:cstheme="minorBidi"/>
          <w:i w:val="0"/>
          <w:sz w:val="22"/>
          <w:szCs w:val="22"/>
          <w:lang w:val="en-GB" w:eastAsia="en-GB"/>
        </w:rPr>
      </w:pPr>
      <w:r>
        <w:t>UPOV/EXN/DEN Notas explicativas sobre las denominaciones de variedades con arreglo al convenio de la UPOV (revisión)</w:t>
      </w:r>
      <w:r>
        <w:tab/>
      </w:r>
      <w:r>
        <w:fldChar w:fldCharType="begin"/>
      </w:r>
      <w:r>
        <w:instrText xml:space="preserve"> PAGEREF _Toc145605450 \h </w:instrText>
      </w:r>
      <w:r>
        <w:fldChar w:fldCharType="separate"/>
      </w:r>
      <w:r w:rsidR="001542A8">
        <w:t>10</w:t>
      </w:r>
      <w:r>
        <w:fldChar w:fldCharType="end"/>
      </w:r>
    </w:p>
    <w:p w14:paraId="16D63C03" w14:textId="1D1600D4" w:rsidR="00E97429" w:rsidRDefault="00E97429">
      <w:pPr>
        <w:pStyle w:val="TOC4"/>
        <w:rPr>
          <w:rFonts w:asciiTheme="minorHAnsi" w:eastAsiaTheme="minorEastAsia" w:hAnsiTheme="minorHAnsi" w:cstheme="minorBidi"/>
          <w:noProof/>
          <w:sz w:val="22"/>
          <w:szCs w:val="22"/>
          <w:lang w:val="en-GB" w:eastAsia="en-GB"/>
        </w:rPr>
      </w:pPr>
      <w:r>
        <w:rPr>
          <w:noProof/>
        </w:rPr>
        <w:t>Modificación de las clases de denominación de variedades de Brassica</w:t>
      </w:r>
      <w:r>
        <w:rPr>
          <w:noProof/>
        </w:rPr>
        <w:tab/>
      </w:r>
      <w:r>
        <w:rPr>
          <w:noProof/>
        </w:rPr>
        <w:fldChar w:fldCharType="begin"/>
      </w:r>
      <w:r>
        <w:rPr>
          <w:noProof/>
        </w:rPr>
        <w:instrText xml:space="preserve"> PAGEREF _Toc145605451 \h </w:instrText>
      </w:r>
      <w:r>
        <w:rPr>
          <w:noProof/>
        </w:rPr>
      </w:r>
      <w:r>
        <w:rPr>
          <w:noProof/>
        </w:rPr>
        <w:fldChar w:fldCharType="separate"/>
      </w:r>
      <w:r w:rsidR="001542A8">
        <w:rPr>
          <w:noProof/>
        </w:rPr>
        <w:t>10</w:t>
      </w:r>
      <w:r>
        <w:rPr>
          <w:noProof/>
        </w:rPr>
        <w:fldChar w:fldCharType="end"/>
      </w:r>
    </w:p>
    <w:p w14:paraId="33C8ED2C" w14:textId="28D60604" w:rsidR="00E97429" w:rsidRDefault="00E97429">
      <w:pPr>
        <w:pStyle w:val="TOC2"/>
        <w:rPr>
          <w:rFonts w:asciiTheme="minorHAnsi" w:eastAsiaTheme="minorEastAsia" w:hAnsiTheme="minorHAnsi" w:cstheme="minorBidi"/>
          <w:noProof/>
          <w:sz w:val="22"/>
          <w:szCs w:val="22"/>
          <w:lang w:val="en-GB" w:eastAsia="en-GB"/>
        </w:rPr>
      </w:pPr>
      <w:r>
        <w:rPr>
          <w:noProof/>
        </w:rPr>
        <w:t>b)</w:t>
      </w:r>
      <w:r>
        <w:rPr>
          <w:rFonts w:asciiTheme="minorHAnsi" w:eastAsiaTheme="minorEastAsia" w:hAnsiTheme="minorHAnsi" w:cstheme="minorBidi"/>
          <w:noProof/>
          <w:sz w:val="22"/>
          <w:szCs w:val="22"/>
          <w:lang w:val="en-GB" w:eastAsia="en-GB"/>
        </w:rPr>
        <w:tab/>
      </w:r>
      <w:r>
        <w:rPr>
          <w:noProof/>
        </w:rPr>
        <w:t>Documentos TGP</w:t>
      </w:r>
      <w:r>
        <w:rPr>
          <w:noProof/>
        </w:rPr>
        <w:tab/>
      </w:r>
      <w:r>
        <w:rPr>
          <w:noProof/>
        </w:rPr>
        <w:fldChar w:fldCharType="begin"/>
      </w:r>
      <w:r>
        <w:rPr>
          <w:noProof/>
        </w:rPr>
        <w:instrText xml:space="preserve"> PAGEREF _Toc145605452 \h </w:instrText>
      </w:r>
      <w:r>
        <w:rPr>
          <w:noProof/>
        </w:rPr>
      </w:r>
      <w:r>
        <w:rPr>
          <w:noProof/>
        </w:rPr>
        <w:fldChar w:fldCharType="separate"/>
      </w:r>
      <w:r w:rsidR="001542A8">
        <w:rPr>
          <w:noProof/>
        </w:rPr>
        <w:t>10</w:t>
      </w:r>
      <w:r>
        <w:rPr>
          <w:noProof/>
        </w:rPr>
        <w:fldChar w:fldCharType="end"/>
      </w:r>
    </w:p>
    <w:p w14:paraId="3E3F7FA9" w14:textId="77832E93" w:rsidR="00E97429" w:rsidRDefault="00E97429">
      <w:pPr>
        <w:pStyle w:val="TOC3"/>
        <w:rPr>
          <w:rFonts w:asciiTheme="minorHAnsi" w:eastAsiaTheme="minorEastAsia" w:hAnsiTheme="minorHAnsi" w:cstheme="minorBidi"/>
          <w:i w:val="0"/>
          <w:sz w:val="22"/>
          <w:szCs w:val="22"/>
          <w:lang w:val="en-GB" w:eastAsia="en-GB"/>
        </w:rPr>
      </w:pPr>
      <w:r>
        <w:t>TGP/5: Sección 6 “Informe de la UPOV sobre el examen técnico y Formulario UPOV para la descripción de variedades” (revisión)</w:t>
      </w:r>
      <w:r>
        <w:tab/>
      </w:r>
      <w:r>
        <w:fldChar w:fldCharType="begin"/>
      </w:r>
      <w:r>
        <w:instrText xml:space="preserve"> PAGEREF _Toc145605453 \h </w:instrText>
      </w:r>
      <w:r>
        <w:fldChar w:fldCharType="separate"/>
      </w:r>
      <w:r w:rsidR="001542A8">
        <w:t>10</w:t>
      </w:r>
      <w:r>
        <w:fldChar w:fldCharType="end"/>
      </w:r>
    </w:p>
    <w:p w14:paraId="25114599" w14:textId="299503CD" w:rsidR="00E97429" w:rsidRDefault="00E97429">
      <w:pPr>
        <w:pStyle w:val="TOC4"/>
        <w:rPr>
          <w:rFonts w:asciiTheme="minorHAnsi" w:eastAsiaTheme="minorEastAsia" w:hAnsiTheme="minorHAnsi" w:cstheme="minorBidi"/>
          <w:noProof/>
          <w:sz w:val="22"/>
          <w:szCs w:val="22"/>
          <w:lang w:val="en-GB" w:eastAsia="en-GB"/>
        </w:rPr>
      </w:pPr>
      <w:r>
        <w:rPr>
          <w:noProof/>
        </w:rPr>
        <w:t>Nuevas propuestas:</w:t>
      </w:r>
      <w:r>
        <w:rPr>
          <w:noProof/>
        </w:rPr>
        <w:tab/>
      </w:r>
      <w:r>
        <w:rPr>
          <w:noProof/>
        </w:rPr>
        <w:fldChar w:fldCharType="begin"/>
      </w:r>
      <w:r>
        <w:rPr>
          <w:noProof/>
        </w:rPr>
        <w:instrText xml:space="preserve"> PAGEREF _Toc145605454 \h </w:instrText>
      </w:r>
      <w:r>
        <w:rPr>
          <w:noProof/>
        </w:rPr>
      </w:r>
      <w:r>
        <w:rPr>
          <w:noProof/>
        </w:rPr>
        <w:fldChar w:fldCharType="separate"/>
      </w:r>
      <w:r w:rsidR="001542A8">
        <w:rPr>
          <w:noProof/>
        </w:rPr>
        <w:t>10</w:t>
      </w:r>
      <w:r>
        <w:rPr>
          <w:noProof/>
        </w:rPr>
        <w:fldChar w:fldCharType="end"/>
      </w:r>
    </w:p>
    <w:p w14:paraId="22A7B1D6" w14:textId="54769A46" w:rsidR="00E97429" w:rsidRDefault="00E97429">
      <w:pPr>
        <w:pStyle w:val="TOC5"/>
        <w:rPr>
          <w:rFonts w:asciiTheme="minorHAnsi" w:eastAsiaTheme="minorEastAsia" w:hAnsiTheme="minorHAnsi" w:cstheme="minorBidi"/>
          <w:i w:val="0"/>
          <w:sz w:val="22"/>
          <w:szCs w:val="22"/>
          <w:lang w:val="en-GB" w:eastAsia="en-GB"/>
        </w:rPr>
      </w:pPr>
      <w:r>
        <w:t>Formulario UPOV para la descripción de variedades: elemento 16 “Variedades similares y diferencias en relación con esas variedades”</w:t>
      </w:r>
      <w:r>
        <w:tab/>
      </w:r>
      <w:r>
        <w:fldChar w:fldCharType="begin"/>
      </w:r>
      <w:r>
        <w:instrText xml:space="preserve"> PAGEREF _Toc145605455 \h </w:instrText>
      </w:r>
      <w:r>
        <w:fldChar w:fldCharType="separate"/>
      </w:r>
      <w:r w:rsidR="001542A8">
        <w:t>10</w:t>
      </w:r>
      <w:r>
        <w:fldChar w:fldCharType="end"/>
      </w:r>
    </w:p>
    <w:p w14:paraId="165E1B83" w14:textId="304CADBD" w:rsidR="00E97429" w:rsidRDefault="00E97429">
      <w:pPr>
        <w:pStyle w:val="TOC5"/>
        <w:rPr>
          <w:rFonts w:asciiTheme="minorHAnsi" w:eastAsiaTheme="minorEastAsia" w:hAnsiTheme="minorHAnsi" w:cstheme="minorBidi"/>
          <w:i w:val="0"/>
          <w:sz w:val="22"/>
          <w:szCs w:val="22"/>
          <w:lang w:val="en-GB" w:eastAsia="en-GB"/>
        </w:rPr>
      </w:pPr>
      <w:r>
        <w:t>Formulario UPOV para la descripción de variedades: elemento 17 “Información adicional”</w:t>
      </w:r>
      <w:r>
        <w:tab/>
      </w:r>
      <w:r>
        <w:fldChar w:fldCharType="begin"/>
      </w:r>
      <w:r>
        <w:instrText xml:space="preserve"> PAGEREF _Toc145605456 \h </w:instrText>
      </w:r>
      <w:r>
        <w:fldChar w:fldCharType="separate"/>
      </w:r>
      <w:r w:rsidR="001542A8">
        <w:t>10</w:t>
      </w:r>
      <w:r>
        <w:fldChar w:fldCharType="end"/>
      </w:r>
    </w:p>
    <w:p w14:paraId="33522FFB" w14:textId="307891F3" w:rsidR="00E97429" w:rsidRDefault="00E97429">
      <w:pPr>
        <w:pStyle w:val="TOC3"/>
        <w:rPr>
          <w:rFonts w:asciiTheme="minorHAnsi" w:eastAsiaTheme="minorEastAsia" w:hAnsiTheme="minorHAnsi" w:cstheme="minorBidi"/>
          <w:i w:val="0"/>
          <w:sz w:val="22"/>
          <w:szCs w:val="22"/>
          <w:lang w:val="en-GB" w:eastAsia="en-GB"/>
        </w:rPr>
      </w:pPr>
      <w:r>
        <w:t>TGP/5: Sección 11 “Ejemplos de políticas y contratos sobre el material presentado por el obtentor” (revisión)</w:t>
      </w:r>
      <w:r>
        <w:tab/>
      </w:r>
      <w:r>
        <w:fldChar w:fldCharType="begin"/>
      </w:r>
      <w:r>
        <w:instrText xml:space="preserve"> PAGEREF _Toc145605457 \h </w:instrText>
      </w:r>
      <w:r>
        <w:fldChar w:fldCharType="separate"/>
      </w:r>
      <w:r w:rsidR="001542A8">
        <w:t>11</w:t>
      </w:r>
      <w:r>
        <w:fldChar w:fldCharType="end"/>
      </w:r>
    </w:p>
    <w:p w14:paraId="73077D48" w14:textId="0AA975E3" w:rsidR="00E97429" w:rsidRDefault="00E97429">
      <w:pPr>
        <w:pStyle w:val="TOC3"/>
        <w:rPr>
          <w:rFonts w:asciiTheme="minorHAnsi" w:eastAsiaTheme="minorEastAsia" w:hAnsiTheme="minorHAnsi" w:cstheme="minorBidi"/>
          <w:i w:val="0"/>
          <w:sz w:val="22"/>
          <w:szCs w:val="22"/>
          <w:lang w:val="en-GB" w:eastAsia="en-GB"/>
        </w:rPr>
      </w:pPr>
      <w:r>
        <w:t>TGP/7: Elaboración de las directrices de examen (revisión)</w:t>
      </w:r>
      <w:r>
        <w:tab/>
      </w:r>
      <w:r>
        <w:fldChar w:fldCharType="begin"/>
      </w:r>
      <w:r>
        <w:instrText xml:space="preserve"> PAGEREF _Toc145605458 \h </w:instrText>
      </w:r>
      <w:r>
        <w:fldChar w:fldCharType="separate"/>
      </w:r>
      <w:r w:rsidR="001542A8">
        <w:t>11</w:t>
      </w:r>
      <w:r>
        <w:fldChar w:fldCharType="end"/>
      </w:r>
    </w:p>
    <w:p w14:paraId="015E2FD7" w14:textId="30CF7B11" w:rsidR="00E97429" w:rsidRDefault="00E97429">
      <w:pPr>
        <w:pStyle w:val="TOC4"/>
        <w:rPr>
          <w:rFonts w:asciiTheme="minorHAnsi" w:eastAsiaTheme="minorEastAsia" w:hAnsiTheme="minorHAnsi" w:cstheme="minorBidi"/>
          <w:noProof/>
          <w:sz w:val="22"/>
          <w:szCs w:val="22"/>
          <w:lang w:val="en-GB" w:eastAsia="en-GB"/>
        </w:rPr>
      </w:pPr>
      <w:r>
        <w:rPr>
          <w:noProof/>
        </w:rPr>
        <w:t>Variedades ejemplo para los caracteres cuantitativos señalados con asterisco cuando se facilitan ilustraciones (véase el Anexo III del presente documento)</w:t>
      </w:r>
      <w:r>
        <w:rPr>
          <w:noProof/>
        </w:rPr>
        <w:tab/>
      </w:r>
      <w:r>
        <w:rPr>
          <w:noProof/>
        </w:rPr>
        <w:fldChar w:fldCharType="begin"/>
      </w:r>
      <w:r>
        <w:rPr>
          <w:noProof/>
        </w:rPr>
        <w:instrText xml:space="preserve"> PAGEREF _Toc145605459 \h </w:instrText>
      </w:r>
      <w:r>
        <w:rPr>
          <w:noProof/>
        </w:rPr>
      </w:r>
      <w:r>
        <w:rPr>
          <w:noProof/>
        </w:rPr>
        <w:fldChar w:fldCharType="separate"/>
      </w:r>
      <w:r w:rsidR="001542A8">
        <w:rPr>
          <w:noProof/>
        </w:rPr>
        <w:t>11</w:t>
      </w:r>
      <w:r>
        <w:rPr>
          <w:noProof/>
        </w:rPr>
        <w:fldChar w:fldCharType="end"/>
      </w:r>
    </w:p>
    <w:p w14:paraId="155E082D" w14:textId="7DDF135D" w:rsidR="00E97429" w:rsidRDefault="00E97429">
      <w:pPr>
        <w:pStyle w:val="TOC4"/>
        <w:rPr>
          <w:rFonts w:asciiTheme="minorHAnsi" w:eastAsiaTheme="minorEastAsia" w:hAnsiTheme="minorHAnsi" w:cstheme="minorBidi"/>
          <w:noProof/>
          <w:sz w:val="22"/>
          <w:szCs w:val="22"/>
          <w:lang w:val="en-GB" w:eastAsia="en-GB"/>
        </w:rPr>
      </w:pPr>
      <w:r>
        <w:rPr>
          <w:noProof/>
        </w:rPr>
        <w:t>Nuevas propuestas de revisión del documento TGP/7</w:t>
      </w:r>
      <w:r>
        <w:rPr>
          <w:noProof/>
        </w:rPr>
        <w:tab/>
      </w:r>
      <w:r>
        <w:rPr>
          <w:noProof/>
        </w:rPr>
        <w:fldChar w:fldCharType="begin"/>
      </w:r>
      <w:r>
        <w:rPr>
          <w:noProof/>
        </w:rPr>
        <w:instrText xml:space="preserve"> PAGEREF _Toc145605460 \h </w:instrText>
      </w:r>
      <w:r>
        <w:rPr>
          <w:noProof/>
        </w:rPr>
      </w:r>
      <w:r>
        <w:rPr>
          <w:noProof/>
        </w:rPr>
        <w:fldChar w:fldCharType="separate"/>
      </w:r>
      <w:r w:rsidR="001542A8">
        <w:rPr>
          <w:noProof/>
        </w:rPr>
        <w:t>11</w:t>
      </w:r>
      <w:r>
        <w:rPr>
          <w:noProof/>
        </w:rPr>
        <w:fldChar w:fldCharType="end"/>
      </w:r>
    </w:p>
    <w:p w14:paraId="536C5B3F" w14:textId="25A83966" w:rsidR="00E97429" w:rsidRDefault="00E97429">
      <w:pPr>
        <w:pStyle w:val="TOC5"/>
        <w:rPr>
          <w:rFonts w:asciiTheme="minorHAnsi" w:eastAsiaTheme="minorEastAsia" w:hAnsiTheme="minorHAnsi" w:cstheme="minorBidi"/>
          <w:i w:val="0"/>
          <w:sz w:val="22"/>
          <w:szCs w:val="22"/>
          <w:lang w:val="en-GB" w:eastAsia="en-GB"/>
        </w:rPr>
      </w:pPr>
      <w:r>
        <w:t>ASW 3 – Explicación del ciclo de cultivo</w:t>
      </w:r>
      <w:r>
        <w:tab/>
      </w:r>
      <w:r>
        <w:fldChar w:fldCharType="begin"/>
      </w:r>
      <w:r>
        <w:instrText xml:space="preserve"> PAGEREF _Toc145605461 \h </w:instrText>
      </w:r>
      <w:r>
        <w:fldChar w:fldCharType="separate"/>
      </w:r>
      <w:r w:rsidR="001542A8">
        <w:t>11</w:t>
      </w:r>
      <w:r>
        <w:fldChar w:fldCharType="end"/>
      </w:r>
    </w:p>
    <w:p w14:paraId="7EF56E5D" w14:textId="6B5E00B5" w:rsidR="00E97429" w:rsidRDefault="00E97429">
      <w:pPr>
        <w:pStyle w:val="TOC5"/>
        <w:rPr>
          <w:rFonts w:asciiTheme="minorHAnsi" w:eastAsiaTheme="minorEastAsia" w:hAnsiTheme="minorHAnsi" w:cstheme="minorBidi"/>
          <w:i w:val="0"/>
          <w:sz w:val="22"/>
          <w:szCs w:val="22"/>
          <w:lang w:val="en-GB" w:eastAsia="en-GB"/>
        </w:rPr>
      </w:pPr>
      <w:r>
        <w:t>ASW 7.b) – Número de plantas / partes de plantas que se ha de examinar</w:t>
      </w:r>
      <w:r>
        <w:tab/>
      </w:r>
      <w:r>
        <w:fldChar w:fldCharType="begin"/>
      </w:r>
      <w:r>
        <w:instrText xml:space="preserve"> PAGEREF _Toc145605462 \h </w:instrText>
      </w:r>
      <w:r>
        <w:fldChar w:fldCharType="separate"/>
      </w:r>
      <w:r w:rsidR="001542A8">
        <w:t>12</w:t>
      </w:r>
      <w:r>
        <w:fldChar w:fldCharType="end"/>
      </w:r>
    </w:p>
    <w:p w14:paraId="2897F2A7" w14:textId="1C7276B0" w:rsidR="00E97429" w:rsidRDefault="00E97429">
      <w:pPr>
        <w:pStyle w:val="TOC3"/>
        <w:rPr>
          <w:rFonts w:asciiTheme="minorHAnsi" w:eastAsiaTheme="minorEastAsia" w:hAnsiTheme="minorHAnsi" w:cstheme="minorBidi"/>
          <w:i w:val="0"/>
          <w:sz w:val="22"/>
          <w:szCs w:val="22"/>
          <w:lang w:val="en-GB" w:eastAsia="en-GB"/>
        </w:rPr>
      </w:pPr>
      <w:r>
        <w:t>Documento TGP/12: “Orientación sobre ciertos caracteres fisiológicos”</w:t>
      </w:r>
      <w:r>
        <w:tab/>
      </w:r>
      <w:r>
        <w:fldChar w:fldCharType="begin"/>
      </w:r>
      <w:r>
        <w:instrText xml:space="preserve"> PAGEREF _Toc145605463 \h </w:instrText>
      </w:r>
      <w:r>
        <w:fldChar w:fldCharType="separate"/>
      </w:r>
      <w:r w:rsidR="001542A8">
        <w:t>12</w:t>
      </w:r>
      <w:r>
        <w:fldChar w:fldCharType="end"/>
      </w:r>
    </w:p>
    <w:p w14:paraId="6844B6B9" w14:textId="2AE8A9F6" w:rsidR="00E97429" w:rsidRDefault="00E97429">
      <w:pPr>
        <w:pStyle w:val="TOC2"/>
        <w:rPr>
          <w:rFonts w:asciiTheme="minorHAnsi" w:eastAsiaTheme="minorEastAsia" w:hAnsiTheme="minorHAnsi" w:cstheme="minorBidi"/>
          <w:noProof/>
          <w:sz w:val="22"/>
          <w:szCs w:val="22"/>
          <w:lang w:val="en-GB" w:eastAsia="en-GB"/>
        </w:rPr>
      </w:pPr>
      <w:r>
        <w:rPr>
          <w:noProof/>
        </w:rPr>
        <w:t>Cuestiones para información</w:t>
      </w:r>
      <w:r>
        <w:rPr>
          <w:noProof/>
        </w:rPr>
        <w:tab/>
      </w:r>
      <w:r>
        <w:rPr>
          <w:noProof/>
        </w:rPr>
        <w:fldChar w:fldCharType="begin"/>
      </w:r>
      <w:r>
        <w:rPr>
          <w:noProof/>
        </w:rPr>
        <w:instrText xml:space="preserve"> PAGEREF _Toc145605464 \h </w:instrText>
      </w:r>
      <w:r>
        <w:rPr>
          <w:noProof/>
        </w:rPr>
      </w:r>
      <w:r>
        <w:rPr>
          <w:noProof/>
        </w:rPr>
        <w:fldChar w:fldCharType="separate"/>
      </w:r>
      <w:r w:rsidR="001542A8">
        <w:rPr>
          <w:noProof/>
        </w:rPr>
        <w:t>13</w:t>
      </w:r>
      <w:r>
        <w:rPr>
          <w:noProof/>
        </w:rPr>
        <w:fldChar w:fldCharType="end"/>
      </w:r>
    </w:p>
    <w:p w14:paraId="0386AF7E" w14:textId="2F22D10B" w:rsidR="009B2D47" w:rsidRPr="0088502A" w:rsidRDefault="00E85A20" w:rsidP="00577707">
      <w:pPr>
        <w:tabs>
          <w:tab w:val="left" w:pos="2790"/>
        </w:tabs>
        <w:spacing w:before="80"/>
        <w:ind w:left="1140" w:hanging="1140"/>
        <w:rPr>
          <w:rFonts w:eastAsiaTheme="minorEastAsia" w:cs="Arial"/>
          <w:sz w:val="18"/>
          <w:szCs w:val="18"/>
        </w:rPr>
      </w:pPr>
      <w:r w:rsidRPr="0088502A">
        <w:rPr>
          <w:rFonts w:cs="Arial"/>
          <w:bCs/>
          <w:caps/>
          <w:snapToGrid w:val="0"/>
          <w:sz w:val="18"/>
          <w:highlight w:val="yellow"/>
        </w:rPr>
        <w:fldChar w:fldCharType="end"/>
      </w:r>
      <w:r w:rsidR="006900F0">
        <w:rPr>
          <w:sz w:val="18"/>
          <w:szCs w:val="18"/>
        </w:rPr>
        <w:t>ANEXO I</w:t>
      </w:r>
      <w:r>
        <w:rPr>
          <w:sz w:val="18"/>
          <w:szCs w:val="18"/>
        </w:rPr>
        <w:t>:</w:t>
      </w:r>
      <w:r>
        <w:rPr>
          <w:sz w:val="18"/>
          <w:szCs w:val="18"/>
        </w:rPr>
        <w:tab/>
        <w:t>UPOV/EXN/DEN “NOTAS EXPLICATIVAS SOBRE LAS DENOMINACIONES DE VARIEDADES CON ARREGLO AL CONVENIO DE LA UPOV (REVISIÓN)”</w:t>
      </w:r>
    </w:p>
    <w:p w14:paraId="61072001" w14:textId="64555390" w:rsidR="005810CC" w:rsidRPr="0088502A" w:rsidRDefault="006900F0" w:rsidP="00577707">
      <w:pPr>
        <w:keepNext/>
        <w:keepLines/>
        <w:tabs>
          <w:tab w:val="left" w:pos="2070"/>
        </w:tabs>
        <w:spacing w:before="80"/>
        <w:ind w:left="1140" w:hanging="1140"/>
        <w:rPr>
          <w:rFonts w:eastAsiaTheme="minorEastAsia" w:cs="Arial"/>
          <w:sz w:val="18"/>
          <w:szCs w:val="18"/>
        </w:rPr>
      </w:pPr>
      <w:r>
        <w:rPr>
          <w:sz w:val="18"/>
          <w:szCs w:val="18"/>
        </w:rPr>
        <w:t>ANEXO II</w:t>
      </w:r>
      <w:r w:rsidR="009B2D47">
        <w:rPr>
          <w:sz w:val="18"/>
          <w:szCs w:val="18"/>
        </w:rPr>
        <w:t>:</w:t>
      </w:r>
      <w:r w:rsidR="009B2D47">
        <w:rPr>
          <w:sz w:val="18"/>
          <w:szCs w:val="18"/>
        </w:rPr>
        <w:tab/>
        <w:t xml:space="preserve">TGP/7 “ELABORACIÓN DE LAS DIRECTRICES DE EXAMEN” (REVISIÓN)  </w:t>
      </w:r>
    </w:p>
    <w:p w14:paraId="6963BF25" w14:textId="77777777" w:rsidR="005810CC" w:rsidRPr="0088502A" w:rsidRDefault="005810CC" w:rsidP="00734B36">
      <w:pPr>
        <w:keepNext/>
        <w:keepLines/>
        <w:tabs>
          <w:tab w:val="left" w:pos="2070"/>
        </w:tabs>
        <w:spacing w:before="60" w:after="60"/>
        <w:ind w:left="1138" w:hanging="1138"/>
        <w:rPr>
          <w:rFonts w:eastAsiaTheme="minorEastAsia" w:cs="Arial"/>
          <w:i/>
          <w:sz w:val="18"/>
          <w:szCs w:val="18"/>
        </w:rPr>
      </w:pPr>
      <w:r>
        <w:rPr>
          <w:sz w:val="18"/>
          <w:szCs w:val="18"/>
        </w:rPr>
        <w:tab/>
      </w:r>
      <w:r>
        <w:rPr>
          <w:i/>
          <w:sz w:val="18"/>
          <w:szCs w:val="18"/>
        </w:rPr>
        <w:t xml:space="preserve">Conversión de texto estándar de las directrices de examen en texto opcional; </w:t>
      </w:r>
    </w:p>
    <w:p w14:paraId="32A8E727" w14:textId="77777777" w:rsidR="009B2D47" w:rsidRPr="0088502A" w:rsidRDefault="001672FB" w:rsidP="00734B36">
      <w:pPr>
        <w:keepNext/>
        <w:keepLines/>
        <w:tabs>
          <w:tab w:val="left" w:pos="2070"/>
        </w:tabs>
        <w:spacing w:before="60" w:after="60"/>
        <w:ind w:left="1138" w:hanging="1138"/>
        <w:rPr>
          <w:rFonts w:eastAsiaTheme="minorEastAsia" w:cs="Arial"/>
          <w:i/>
          <w:sz w:val="18"/>
          <w:szCs w:val="18"/>
        </w:rPr>
      </w:pPr>
      <w:r>
        <w:rPr>
          <w:i/>
          <w:sz w:val="18"/>
          <w:szCs w:val="18"/>
        </w:rPr>
        <w:tab/>
        <w:t>Caracteres de resistencia a enfermedades: adición de un nivel de expresión y colocación de los caracteres de resistencia a enfermedades no señalados con asterisco en la sección 5 del cuestionario técnico</w:t>
      </w:r>
    </w:p>
    <w:p w14:paraId="14B88E8C" w14:textId="7977CEE1" w:rsidR="001672FB" w:rsidRDefault="006900F0" w:rsidP="00577707">
      <w:pPr>
        <w:keepNext/>
        <w:keepLines/>
        <w:tabs>
          <w:tab w:val="left" w:pos="2070"/>
        </w:tabs>
        <w:spacing w:before="80"/>
        <w:ind w:left="1140" w:hanging="1140"/>
        <w:rPr>
          <w:rFonts w:eastAsiaTheme="minorEastAsia" w:cs="Arial"/>
          <w:sz w:val="18"/>
          <w:szCs w:val="18"/>
        </w:rPr>
      </w:pPr>
      <w:r>
        <w:rPr>
          <w:sz w:val="18"/>
          <w:szCs w:val="18"/>
        </w:rPr>
        <w:t>ANEXO III</w:t>
      </w:r>
      <w:r w:rsidR="009B2D47">
        <w:rPr>
          <w:sz w:val="18"/>
          <w:szCs w:val="18"/>
        </w:rPr>
        <w:t>:</w:t>
      </w:r>
      <w:r w:rsidR="009B2D47">
        <w:rPr>
          <w:sz w:val="18"/>
          <w:szCs w:val="18"/>
        </w:rPr>
        <w:tab/>
        <w:t>POSIBLES FUTURAS REVISIONES DE LAS ORIENTACIONES Y EL MATERIAL DE INFORMACIÓN QUE SE ESTÁN ESTUDIANDO EN EL COMITÉ TÉCNICO</w:t>
      </w:r>
    </w:p>
    <w:p w14:paraId="114A61A4" w14:textId="5D4931B2" w:rsidR="001B1BFE" w:rsidRPr="001B1BFE" w:rsidRDefault="001B1BFE" w:rsidP="001B1BFE">
      <w:pPr>
        <w:rPr>
          <w:rFonts w:eastAsiaTheme="minorEastAsia" w:cs="Arial"/>
          <w:i/>
          <w:iCs/>
          <w:sz w:val="18"/>
          <w:szCs w:val="18"/>
        </w:rPr>
      </w:pPr>
      <w:r>
        <w:rPr>
          <w:i/>
          <w:iCs/>
          <w:sz w:val="18"/>
          <w:szCs w:val="18"/>
        </w:rPr>
        <w:tab/>
      </w:r>
      <w:r>
        <w:rPr>
          <w:i/>
          <w:iCs/>
          <w:sz w:val="18"/>
          <w:szCs w:val="18"/>
        </w:rPr>
        <w:tab/>
        <w:t>Modificación de las clases de denominación de variedades de Brassica</w:t>
      </w:r>
    </w:p>
    <w:p w14:paraId="6E7AA5BA" w14:textId="04A4F3C2" w:rsidR="001B1BFE" w:rsidRDefault="001B1BFE" w:rsidP="001B1BFE">
      <w:pPr>
        <w:tabs>
          <w:tab w:val="left" w:pos="2070"/>
        </w:tabs>
        <w:ind w:left="1138" w:hanging="1138"/>
        <w:rPr>
          <w:rFonts w:eastAsiaTheme="minorEastAsia" w:cs="Arial"/>
          <w:i/>
          <w:iCs/>
          <w:sz w:val="18"/>
          <w:szCs w:val="18"/>
        </w:rPr>
      </w:pPr>
      <w:r>
        <w:rPr>
          <w:sz w:val="18"/>
          <w:szCs w:val="18"/>
        </w:rPr>
        <w:tab/>
      </w:r>
      <w:r>
        <w:rPr>
          <w:i/>
          <w:iCs/>
          <w:sz w:val="18"/>
          <w:szCs w:val="18"/>
        </w:rPr>
        <w:t>Nuevas propuestas de modificación del “Formulario UPOV para la descripción de variedades”</w:t>
      </w:r>
    </w:p>
    <w:p w14:paraId="472810D9" w14:textId="3374A223" w:rsidR="001B1BFE" w:rsidRDefault="001B1BFE" w:rsidP="001B1BFE">
      <w:pPr>
        <w:tabs>
          <w:tab w:val="left" w:pos="2070"/>
        </w:tabs>
        <w:ind w:left="1138" w:hanging="1138"/>
        <w:rPr>
          <w:rFonts w:eastAsiaTheme="minorEastAsia" w:cs="Arial"/>
          <w:i/>
          <w:iCs/>
          <w:sz w:val="18"/>
          <w:szCs w:val="18"/>
        </w:rPr>
      </w:pPr>
      <w:r>
        <w:rPr>
          <w:i/>
          <w:iCs/>
          <w:sz w:val="18"/>
          <w:szCs w:val="18"/>
        </w:rPr>
        <w:tab/>
        <w:t>Acceso al material vegetal a efectos de la gestión de colecciones de variedades y el examen DHE</w:t>
      </w:r>
    </w:p>
    <w:p w14:paraId="1C7CEF69" w14:textId="0969D197" w:rsidR="001B1BFE" w:rsidRDefault="001B1BFE" w:rsidP="001B1BFE">
      <w:pPr>
        <w:tabs>
          <w:tab w:val="left" w:pos="2070"/>
        </w:tabs>
        <w:ind w:left="1138" w:hanging="1138"/>
        <w:rPr>
          <w:rFonts w:eastAsiaTheme="minorEastAsia" w:cs="Arial"/>
          <w:i/>
          <w:iCs/>
          <w:sz w:val="18"/>
          <w:szCs w:val="18"/>
        </w:rPr>
      </w:pPr>
      <w:r>
        <w:rPr>
          <w:i/>
          <w:iCs/>
          <w:sz w:val="18"/>
          <w:szCs w:val="18"/>
        </w:rPr>
        <w:tab/>
        <w:t>Variedades ejemplo para los caracteres cuantitativos señalados con asterisco cuando se facilitan ilustraciones</w:t>
      </w:r>
    </w:p>
    <w:p w14:paraId="0741605D" w14:textId="716ADE7F" w:rsidR="009B2D47" w:rsidRPr="0088502A" w:rsidRDefault="006900F0" w:rsidP="00577707">
      <w:pPr>
        <w:tabs>
          <w:tab w:val="left" w:pos="1170"/>
          <w:tab w:val="left" w:pos="2070"/>
        </w:tabs>
        <w:spacing w:before="80" w:after="60"/>
        <w:rPr>
          <w:rFonts w:eastAsiaTheme="minorEastAsia" w:cs="Arial"/>
          <w:sz w:val="18"/>
          <w:szCs w:val="18"/>
        </w:rPr>
      </w:pPr>
      <w:r>
        <w:rPr>
          <w:sz w:val="18"/>
          <w:szCs w:val="18"/>
        </w:rPr>
        <w:t>ANEXO IV</w:t>
      </w:r>
      <w:r w:rsidR="009B2D47">
        <w:rPr>
          <w:sz w:val="18"/>
          <w:szCs w:val="18"/>
        </w:rPr>
        <w:t>:</w:t>
      </w:r>
      <w:r w:rsidR="009B2D47">
        <w:rPr>
          <w:sz w:val="18"/>
          <w:szCs w:val="18"/>
        </w:rPr>
        <w:tab/>
        <w:t>TGP/12 “ORIENTACIÓN SOBRE CIERTOS CARACTERES FISIOLÓGICOS” (REVISIÓN)</w:t>
      </w:r>
    </w:p>
    <w:p w14:paraId="721A788B" w14:textId="77777777" w:rsidR="00E54EAA" w:rsidRPr="0088502A" w:rsidRDefault="00E54EAA" w:rsidP="006F28F6">
      <w:pPr>
        <w:pStyle w:val="Heading1"/>
      </w:pPr>
      <w:bookmarkStart w:id="1" w:name="_Toc145605422"/>
      <w:r>
        <w:lastRenderedPageBreak/>
        <w:t>Antecedentes</w:t>
      </w:r>
      <w:bookmarkEnd w:id="1"/>
    </w:p>
    <w:p w14:paraId="7C8F6580" w14:textId="77777777" w:rsidR="00E54EAA" w:rsidRPr="0088502A" w:rsidRDefault="00E54EAA" w:rsidP="00E54EAA">
      <w:pPr>
        <w:keepNext/>
        <w:jc w:val="left"/>
        <w:rPr>
          <w:rFonts w:cs="Arial"/>
          <w:color w:val="000000"/>
        </w:rPr>
      </w:pPr>
    </w:p>
    <w:p w14:paraId="43D936DC" w14:textId="60F14547" w:rsidR="00050E16" w:rsidRPr="0088502A" w:rsidRDefault="00E54EAA" w:rsidP="00E54EAA">
      <w:r w:rsidRPr="0088502A">
        <w:fldChar w:fldCharType="begin"/>
      </w:r>
      <w:r w:rsidRPr="0088502A">
        <w:instrText xml:space="preserve"> AUTONUM  </w:instrText>
      </w:r>
      <w:r w:rsidRPr="0088502A">
        <w:fldChar w:fldCharType="end"/>
      </w:r>
      <w:r>
        <w:tab/>
        <w:t>Las orientaciones y el material de información aprobados están publicados en la siguiente dirección del sitio web de la</w:t>
      </w:r>
      <w:r w:rsidR="00661BE7">
        <w:t> </w:t>
      </w:r>
      <w:r>
        <w:t xml:space="preserve">UPOV:  </w:t>
      </w:r>
      <w:hyperlink r:id="rId9" w:history="1">
        <w:r w:rsidR="003E2461" w:rsidRPr="00085527">
          <w:rPr>
            <w:rStyle w:val="Hyperlink"/>
          </w:rPr>
          <w:t>http://www.upov.int/upov_collection/es/</w:t>
        </w:r>
      </w:hyperlink>
      <w:r w:rsidR="00C83CED">
        <w:t>.</w:t>
      </w:r>
    </w:p>
    <w:p w14:paraId="334A0881" w14:textId="48FCB71F" w:rsidR="0088502A" w:rsidRPr="0088502A" w:rsidRDefault="0088502A" w:rsidP="006F28F6">
      <w:pPr>
        <w:pStyle w:val="Heading1"/>
      </w:pPr>
      <w:bookmarkStart w:id="2" w:name="_Toc145605423"/>
      <w:r>
        <w:t>CUESTIONES QUE SE PROPONEN PARA SU APROBACIÓN POR EL CONSEJO EN 2023</w:t>
      </w:r>
      <w:bookmarkEnd w:id="2"/>
    </w:p>
    <w:p w14:paraId="3A351B59" w14:textId="77777777" w:rsidR="0088502A" w:rsidRPr="0088502A" w:rsidRDefault="0088502A" w:rsidP="0088502A">
      <w:pPr>
        <w:keepNext/>
        <w:rPr>
          <w:sz w:val="18"/>
        </w:rPr>
      </w:pPr>
    </w:p>
    <w:p w14:paraId="2267010C" w14:textId="77777777" w:rsidR="0088502A" w:rsidRPr="0088502A" w:rsidRDefault="0088502A" w:rsidP="00C83CED">
      <w:pPr>
        <w:pStyle w:val="Heading2"/>
      </w:pPr>
      <w:bookmarkStart w:id="3" w:name="_Toc145605424"/>
      <w:r>
        <w:t>a)</w:t>
      </w:r>
      <w:r>
        <w:tab/>
        <w:t>Documentos de información:</w:t>
      </w:r>
      <w:bookmarkEnd w:id="3"/>
    </w:p>
    <w:p w14:paraId="649FE96C" w14:textId="77777777" w:rsidR="0088502A" w:rsidRPr="0088502A" w:rsidRDefault="0088502A" w:rsidP="0088502A">
      <w:pPr>
        <w:keepNext/>
        <w:rPr>
          <w:sz w:val="18"/>
        </w:rPr>
      </w:pPr>
    </w:p>
    <w:p w14:paraId="65CAB9AF" w14:textId="75633590" w:rsidR="0088502A" w:rsidRPr="0088502A" w:rsidRDefault="0088502A" w:rsidP="002E4010">
      <w:pPr>
        <w:pStyle w:val="Heading3"/>
      </w:pPr>
      <w:bookmarkStart w:id="4" w:name="_Toc145605425"/>
      <w:r>
        <w:t>UPOV/INF-EXN</w:t>
      </w:r>
      <w:r w:rsidR="003E2461">
        <w:t>:</w:t>
      </w:r>
      <w:r w:rsidR="00E97429">
        <w:t xml:space="preserve"> </w:t>
      </w:r>
      <w:r>
        <w:t>Lista de documentos</w:t>
      </w:r>
      <w:r w:rsidR="00661BE7">
        <w:t> </w:t>
      </w:r>
      <w:r>
        <w:t xml:space="preserve">UPOV/INF-EXN y fechas de última publicación (revisión) </w:t>
      </w:r>
      <w:r w:rsidR="003E2461">
        <w:br/>
      </w:r>
      <w:r>
        <w:t>(documento UPOV/INF-EXN/17 Draft 1)</w:t>
      </w:r>
      <w:bookmarkEnd w:id="4"/>
    </w:p>
    <w:p w14:paraId="2D426C88" w14:textId="77777777" w:rsidR="0088502A" w:rsidRPr="0088502A" w:rsidRDefault="0088502A" w:rsidP="0088502A">
      <w:pPr>
        <w:rPr>
          <w:sz w:val="16"/>
        </w:rPr>
      </w:pPr>
    </w:p>
    <w:p w14:paraId="684A5DD8" w14:textId="724087D9" w:rsidR="0088502A" w:rsidRPr="0088502A" w:rsidRDefault="0088502A" w:rsidP="0088502A">
      <w:r w:rsidRPr="0088502A">
        <w:fldChar w:fldCharType="begin"/>
      </w:r>
      <w:r w:rsidRPr="0088502A">
        <w:instrText xml:space="preserve"> AUTONUM  </w:instrText>
      </w:r>
      <w:r w:rsidRPr="0088502A">
        <w:fldChar w:fldCharType="end"/>
      </w:r>
      <w:r>
        <w:tab/>
        <w:t>Junto con los documentos de información que se someterán a la aprobación del</w:t>
      </w:r>
      <w:r w:rsidR="00661BE7">
        <w:t> </w:t>
      </w:r>
      <w:r>
        <w:t>Consejo en</w:t>
      </w:r>
      <w:r w:rsidR="00661BE7">
        <w:t> </w:t>
      </w:r>
      <w:r>
        <w:t>2023, se propone aprobar la revisión del documento UPOV/INF-EXN/16 “Lista de documentos</w:t>
      </w:r>
      <w:r w:rsidR="00661BE7">
        <w:t> </w:t>
      </w:r>
      <w:r>
        <w:t>UPOV/INF-EXN y fechas de última publicación” sobre la base del documento</w:t>
      </w:r>
      <w:r w:rsidR="00661BE7">
        <w:t> </w:t>
      </w:r>
      <w:r>
        <w:t>UPOV/INF-EXN/17</w:t>
      </w:r>
      <w:r w:rsidR="00661BE7">
        <w:t> </w:t>
      </w:r>
      <w:r>
        <w:t>Draft</w:t>
      </w:r>
      <w:r w:rsidR="00661BE7">
        <w:t> </w:t>
      </w:r>
      <w:r>
        <w:t>1.</w:t>
      </w:r>
    </w:p>
    <w:p w14:paraId="07FF0967" w14:textId="77777777" w:rsidR="0088502A" w:rsidRPr="0088502A" w:rsidRDefault="0088502A" w:rsidP="0088502A">
      <w:pPr>
        <w:rPr>
          <w:sz w:val="16"/>
        </w:rPr>
      </w:pPr>
    </w:p>
    <w:p w14:paraId="5E187767" w14:textId="146A1A7E" w:rsidR="0088502A" w:rsidRPr="0088502A" w:rsidRDefault="0088502A" w:rsidP="00785345">
      <w:pPr>
        <w:pStyle w:val="DecisionParagraphs"/>
      </w:pPr>
      <w:r w:rsidRPr="0088502A">
        <w:fldChar w:fldCharType="begin"/>
      </w:r>
      <w:r w:rsidRPr="0088502A">
        <w:instrText xml:space="preserve"> AUTONUM  </w:instrText>
      </w:r>
      <w:r w:rsidRPr="0088502A">
        <w:fldChar w:fldCharType="end"/>
      </w:r>
      <w:r>
        <w:tab/>
        <w:t>Se invita al</w:t>
      </w:r>
      <w:r w:rsidR="00661BE7">
        <w:t> </w:t>
      </w:r>
      <w:r>
        <w:t>Consejo a aprobar la revisión del documento</w:t>
      </w:r>
      <w:r w:rsidR="00661BE7">
        <w:t> </w:t>
      </w:r>
      <w:r>
        <w:t>UPOV/INF-EXN/16 sobre la base del documento</w:t>
      </w:r>
      <w:r w:rsidR="00661BE7">
        <w:t> </w:t>
      </w:r>
      <w:r>
        <w:t>UPOV/INF-EXN/17</w:t>
      </w:r>
      <w:r w:rsidR="00661BE7">
        <w:t> </w:t>
      </w:r>
      <w:r>
        <w:t>Draft</w:t>
      </w:r>
      <w:r w:rsidR="00661BE7">
        <w:t> </w:t>
      </w:r>
      <w:r>
        <w:t xml:space="preserve">1, a reserva de la aprobación de los documentos en cuestión. </w:t>
      </w:r>
    </w:p>
    <w:p w14:paraId="6BA99317" w14:textId="77777777" w:rsidR="0088502A" w:rsidRPr="003E2461" w:rsidRDefault="0088502A" w:rsidP="003E2461"/>
    <w:p w14:paraId="637CD00A" w14:textId="77777777" w:rsidR="0088502A" w:rsidRPr="003E2461" w:rsidRDefault="0088502A" w:rsidP="003E2461"/>
    <w:p w14:paraId="4646050C" w14:textId="77777777" w:rsidR="0088502A" w:rsidRPr="0088502A" w:rsidRDefault="0088502A" w:rsidP="00C83CED">
      <w:pPr>
        <w:pStyle w:val="Heading2"/>
      </w:pPr>
      <w:bookmarkStart w:id="5" w:name="_Toc145605426"/>
      <w:r>
        <w:t>b)</w:t>
      </w:r>
      <w:r>
        <w:tab/>
        <w:t>Notas explicativas:</w:t>
      </w:r>
      <w:bookmarkEnd w:id="5"/>
    </w:p>
    <w:p w14:paraId="073C690A" w14:textId="77777777" w:rsidR="0088502A" w:rsidRPr="0088502A" w:rsidRDefault="0088502A" w:rsidP="0088502A">
      <w:pPr>
        <w:keepNext/>
        <w:rPr>
          <w:sz w:val="18"/>
        </w:rPr>
      </w:pPr>
    </w:p>
    <w:p w14:paraId="339669A5" w14:textId="0A5255DD" w:rsidR="0088502A" w:rsidRPr="0088502A" w:rsidRDefault="0088502A" w:rsidP="002E4010">
      <w:pPr>
        <w:pStyle w:val="Heading3"/>
      </w:pPr>
      <w:bookmarkStart w:id="6" w:name="_Toc145605427"/>
      <w:r>
        <w:t>UPOV/EXN/EDV</w:t>
      </w:r>
      <w:r w:rsidR="003E2461">
        <w:t>:</w:t>
      </w:r>
      <w:r w:rsidR="00E97429" w:rsidRPr="00E97429">
        <w:rPr>
          <w:bCs/>
        </w:rPr>
        <w:t xml:space="preserve"> </w:t>
      </w:r>
      <w:r>
        <w:t>Notas explicativas sobre las variedades esencialmente derivadas con arreglo al</w:t>
      </w:r>
      <w:r w:rsidR="00661BE7">
        <w:t> </w:t>
      </w:r>
      <w:r>
        <w:t>Acta de</w:t>
      </w:r>
      <w:r w:rsidR="00661BE7">
        <w:t> </w:t>
      </w:r>
      <w:r>
        <w:t>1991 del</w:t>
      </w:r>
      <w:r w:rsidR="00661BE7">
        <w:t> </w:t>
      </w:r>
      <w:r>
        <w:t>Convenio de la</w:t>
      </w:r>
      <w:r w:rsidR="00661BE7">
        <w:t> </w:t>
      </w:r>
      <w:r>
        <w:t>UPOV (revisión) (documentos</w:t>
      </w:r>
      <w:r w:rsidR="00661BE7">
        <w:t> </w:t>
      </w:r>
      <w:r w:rsidR="008D175E">
        <w:t>SESSIONS</w:t>
      </w:r>
      <w:r>
        <w:t>/2023/2</w:t>
      </w:r>
      <w:r>
        <w:rPr>
          <w:snapToGrid w:val="0"/>
        </w:rPr>
        <w:t xml:space="preserve"> </w:t>
      </w:r>
      <w:r>
        <w:t>y</w:t>
      </w:r>
      <w:r w:rsidR="00661BE7">
        <w:t> </w:t>
      </w:r>
      <w:r>
        <w:t>UPOV/EXN/EDV/3 Draft 4)</w:t>
      </w:r>
      <w:bookmarkEnd w:id="6"/>
    </w:p>
    <w:p w14:paraId="2C5F9D95" w14:textId="77777777" w:rsidR="0088502A" w:rsidRPr="0088502A" w:rsidRDefault="0088502A" w:rsidP="0088502A">
      <w:pPr>
        <w:rPr>
          <w:sz w:val="16"/>
        </w:rPr>
      </w:pPr>
    </w:p>
    <w:p w14:paraId="6B2D3145" w14:textId="57C7B8D4" w:rsidR="0088502A" w:rsidRPr="0088502A" w:rsidRDefault="0088502A" w:rsidP="0088502A">
      <w:r w:rsidRPr="0088502A">
        <w:fldChar w:fldCharType="begin"/>
      </w:r>
      <w:r w:rsidRPr="0088502A">
        <w:instrText xml:space="preserve"> AUTONUM  </w:instrText>
      </w:r>
      <w:r w:rsidRPr="0088502A">
        <w:fldChar w:fldCharType="end"/>
      </w:r>
      <w:r>
        <w:tab/>
        <w:t>Los antecedentes relativos a este punto se exponen en los párrafos</w:t>
      </w:r>
      <w:r w:rsidR="00661BE7">
        <w:t> </w:t>
      </w:r>
      <w:r>
        <w:t>4 a</w:t>
      </w:r>
      <w:r w:rsidR="00661BE7">
        <w:t> </w:t>
      </w:r>
      <w:r>
        <w:t>14 del documento C/56/9 “Notas explicativas sobre las variedades esencialmente derivadas con arreglo al</w:t>
      </w:r>
      <w:r w:rsidR="00661BE7">
        <w:t> </w:t>
      </w:r>
      <w:r>
        <w:t>Acta de</w:t>
      </w:r>
      <w:r w:rsidR="00661BE7">
        <w:t> </w:t>
      </w:r>
      <w:r>
        <w:t>1991 del</w:t>
      </w:r>
      <w:r w:rsidR="00661BE7">
        <w:t> </w:t>
      </w:r>
      <w:r>
        <w:t>Convenio de la</w:t>
      </w:r>
      <w:r w:rsidR="00661BE7">
        <w:t> </w:t>
      </w:r>
      <w:r>
        <w:t xml:space="preserve">UPOV”. </w:t>
      </w:r>
    </w:p>
    <w:p w14:paraId="3FC82398" w14:textId="77777777" w:rsidR="0088502A" w:rsidRPr="0088502A" w:rsidRDefault="0088502A" w:rsidP="0088502A">
      <w:pPr>
        <w:rPr>
          <w:sz w:val="18"/>
          <w:szCs w:val="18"/>
        </w:rPr>
      </w:pPr>
    </w:p>
    <w:p w14:paraId="7C0A5E0C" w14:textId="2976D90A" w:rsidR="0088502A" w:rsidRPr="0088502A" w:rsidRDefault="0088502A" w:rsidP="0088502A">
      <w:pPr>
        <w:keepLines/>
      </w:pPr>
      <w:r w:rsidRPr="0088502A">
        <w:fldChar w:fldCharType="begin"/>
      </w:r>
      <w:r w:rsidRPr="0088502A">
        <w:instrText xml:space="preserve"> AUTONUM  </w:instrText>
      </w:r>
      <w:r w:rsidRPr="0088502A">
        <w:fldChar w:fldCharType="end"/>
      </w:r>
      <w:r>
        <w:tab/>
        <w:t>En su quincuagésima sexta sesión ordinaria</w:t>
      </w:r>
      <w:bookmarkStart w:id="7" w:name="_Ref139016943"/>
      <w:r w:rsidRPr="0088502A">
        <w:rPr>
          <w:rStyle w:val="FootnoteReference"/>
        </w:rPr>
        <w:footnoteReference w:id="2"/>
      </w:r>
      <w:bookmarkEnd w:id="7"/>
      <w:r>
        <w:t>, el</w:t>
      </w:r>
      <w:r w:rsidR="00661BE7">
        <w:t> </w:t>
      </w:r>
      <w:r>
        <w:t>Consejo tomó nota de que el</w:t>
      </w:r>
      <w:r w:rsidR="00661BE7">
        <w:t> </w:t>
      </w:r>
      <w:r>
        <w:t>Comité Consultivo, en su nonagésima novena sesión</w:t>
      </w:r>
      <w:bookmarkStart w:id="8" w:name="_Ref145582161"/>
      <w:r w:rsidRPr="0088502A">
        <w:rPr>
          <w:rStyle w:val="FootnoteReference"/>
        </w:rPr>
        <w:footnoteReference w:id="3"/>
      </w:r>
      <w:bookmarkEnd w:id="8"/>
      <w:r>
        <w:t>, acordó establecer el</w:t>
      </w:r>
      <w:r w:rsidR="00661BE7">
        <w:t> </w:t>
      </w:r>
      <w:r>
        <w:t>Grupo de Trabajo del Comité Consultivo sobre Variedades Esencialmente Derivadas (CC/WG</w:t>
      </w:r>
      <w:r w:rsidR="00661BE7">
        <w:noBreakHyphen/>
      </w:r>
      <w:r>
        <w:t>EDV), para elaborar un proyecto de revisión de las “Notas explicativas sobre las variedades esencialmente derivadas con arreglo al</w:t>
      </w:r>
      <w:r w:rsidR="00661BE7">
        <w:t> </w:t>
      </w:r>
      <w:r>
        <w:t>Acta de</w:t>
      </w:r>
      <w:r w:rsidR="00661BE7">
        <w:t> </w:t>
      </w:r>
      <w:r>
        <w:t>1991 del</w:t>
      </w:r>
      <w:r w:rsidR="00661BE7">
        <w:t> </w:t>
      </w:r>
      <w:r>
        <w:t>Convenio de la</w:t>
      </w:r>
      <w:r w:rsidR="00661BE7">
        <w:t> </w:t>
      </w:r>
      <w:r>
        <w:t>UPOV” que se someterá al examen del</w:t>
      </w:r>
      <w:r w:rsidR="00661BE7">
        <w:t> </w:t>
      </w:r>
      <w:r>
        <w:t>Comité Consultivo y el</w:t>
      </w:r>
      <w:r w:rsidR="00661BE7">
        <w:t> </w:t>
      </w:r>
      <w:r>
        <w:t>Consejo en octubre de</w:t>
      </w:r>
      <w:r w:rsidR="00661BE7">
        <w:t> </w:t>
      </w:r>
      <w:r>
        <w:t>2023 (véanse los párrafos</w:t>
      </w:r>
      <w:r w:rsidR="00661BE7">
        <w:t> </w:t>
      </w:r>
      <w:r>
        <w:t>33 a</w:t>
      </w:r>
      <w:r w:rsidR="00661BE7">
        <w:t> </w:t>
      </w:r>
      <w:r>
        <w:t>35 del documento</w:t>
      </w:r>
      <w:r w:rsidR="00661BE7">
        <w:t> </w:t>
      </w:r>
      <w:r>
        <w:t xml:space="preserve">C/56/15 “Informe”).  </w:t>
      </w:r>
    </w:p>
    <w:p w14:paraId="34C6FEC7" w14:textId="77777777" w:rsidR="0088502A" w:rsidRPr="0088502A" w:rsidRDefault="0088502A" w:rsidP="0088502A">
      <w:pPr>
        <w:keepLines/>
        <w:rPr>
          <w:sz w:val="18"/>
          <w:szCs w:val="18"/>
        </w:rPr>
      </w:pPr>
    </w:p>
    <w:p w14:paraId="5128DB0E" w14:textId="3A882383" w:rsidR="0088502A" w:rsidRPr="0088502A" w:rsidRDefault="0088502A" w:rsidP="0088502A">
      <w:pPr>
        <w:keepLines/>
      </w:pPr>
      <w:r w:rsidRPr="0088502A">
        <w:fldChar w:fldCharType="begin"/>
      </w:r>
      <w:r w:rsidRPr="0088502A">
        <w:instrText xml:space="preserve"> AUTONUM  </w:instrText>
      </w:r>
      <w:r w:rsidRPr="0088502A">
        <w:fldChar w:fldCharType="end"/>
      </w:r>
      <w:r>
        <w:tab/>
        <w:t>De conformidad con su mandato, el</w:t>
      </w:r>
      <w:r w:rsidR="00661BE7">
        <w:t> </w:t>
      </w:r>
      <w:r>
        <w:t>CC/WG</w:t>
      </w:r>
      <w:r w:rsidR="00661BE7">
        <w:noBreakHyphen/>
      </w:r>
      <w:r>
        <w:t>EDV tenía que “preparar un proyecto de revisión acordado de las “Notas explicativas sobre las variedades esencialmente derivadas con arreglo al</w:t>
      </w:r>
      <w:r w:rsidR="00661BE7">
        <w:t> </w:t>
      </w:r>
      <w:r>
        <w:t>Acta de</w:t>
      </w:r>
      <w:r w:rsidR="00661BE7">
        <w:t> </w:t>
      </w:r>
      <w:r>
        <w:t>1991 del Convenio de la</w:t>
      </w:r>
      <w:r w:rsidR="00661BE7">
        <w:t> </w:t>
      </w:r>
      <w:r>
        <w:t>UPOV” (documento</w:t>
      </w:r>
      <w:r w:rsidR="00661BE7">
        <w:t> </w:t>
      </w:r>
      <w:r>
        <w:t>UPOV/EXN/EDV/3</w:t>
      </w:r>
      <w:r w:rsidR="00661BE7">
        <w:t> </w:t>
      </w:r>
      <w:r>
        <w:t>Draft</w:t>
      </w:r>
      <w:r w:rsidR="00661BE7">
        <w:t> </w:t>
      </w:r>
      <w:r>
        <w:t>4) antes del</w:t>
      </w:r>
      <w:r w:rsidR="00661BE7">
        <w:t> </w:t>
      </w:r>
      <w:r>
        <w:t>31 de julio de</w:t>
      </w:r>
      <w:r w:rsidR="00661BE7">
        <w:t> </w:t>
      </w:r>
      <w:r>
        <w:t>2023”.</w:t>
      </w:r>
    </w:p>
    <w:p w14:paraId="27687BDC" w14:textId="77777777" w:rsidR="0088502A" w:rsidRPr="0088502A" w:rsidRDefault="0088502A" w:rsidP="0088502A">
      <w:pPr>
        <w:rPr>
          <w:sz w:val="18"/>
          <w:szCs w:val="18"/>
        </w:rPr>
      </w:pPr>
    </w:p>
    <w:p w14:paraId="6E645D3E" w14:textId="269FE92A" w:rsidR="0088502A" w:rsidRPr="0088502A" w:rsidRDefault="0088502A" w:rsidP="0088502A">
      <w:r w:rsidRPr="0088502A">
        <w:fldChar w:fldCharType="begin"/>
      </w:r>
      <w:r w:rsidRPr="0088502A">
        <w:instrText xml:space="preserve"> AUTONUM  </w:instrText>
      </w:r>
      <w:r w:rsidRPr="0088502A">
        <w:fldChar w:fldCharType="end"/>
      </w:r>
      <w:r>
        <w:tab/>
        <w:t>El Consejo tomó nota de que el</w:t>
      </w:r>
      <w:r w:rsidR="00661BE7">
        <w:t> </w:t>
      </w:r>
      <w:r>
        <w:t>Comité Consultivo convino en examinar en su centésima primera sesión el resultado de la labor del</w:t>
      </w:r>
      <w:r w:rsidR="00661BE7">
        <w:t> </w:t>
      </w:r>
      <w:r>
        <w:t>CC/WG</w:t>
      </w:r>
      <w:r w:rsidR="00661BE7">
        <w:noBreakHyphen/>
      </w:r>
      <w:r>
        <w:t>EDV y su recomendación al</w:t>
      </w:r>
      <w:r w:rsidR="00661BE7">
        <w:t> </w:t>
      </w:r>
      <w:r>
        <w:t>Consejo, en su quincuagésima séptima sesión ordinaria, sobre el reemplazo o la derogación de la versión de</w:t>
      </w:r>
      <w:r w:rsidR="00661BE7">
        <w:t> </w:t>
      </w:r>
      <w:r>
        <w:t>2017 de las “Notas explicativas sobre las variedades esencialmente derivadas con arreglo al</w:t>
      </w:r>
      <w:r w:rsidR="00661BE7">
        <w:t> </w:t>
      </w:r>
      <w:r>
        <w:t>Acta de</w:t>
      </w:r>
      <w:r w:rsidR="00661BE7">
        <w:t> </w:t>
      </w:r>
      <w:r>
        <w:t>1991 del</w:t>
      </w:r>
      <w:r w:rsidR="00661BE7">
        <w:t> </w:t>
      </w:r>
      <w:r>
        <w:t>Convenio de la</w:t>
      </w:r>
      <w:r w:rsidR="00661BE7">
        <w:t> </w:t>
      </w:r>
      <w:r>
        <w:t xml:space="preserve">UPOV”. </w:t>
      </w:r>
    </w:p>
    <w:p w14:paraId="1B5A07D1" w14:textId="77777777" w:rsidR="0088502A" w:rsidRPr="0088502A" w:rsidRDefault="0088502A" w:rsidP="0088502A">
      <w:pPr>
        <w:rPr>
          <w:sz w:val="18"/>
          <w:szCs w:val="18"/>
        </w:rPr>
      </w:pPr>
    </w:p>
    <w:p w14:paraId="67EA8CCE" w14:textId="7C2E0A57" w:rsidR="0088502A" w:rsidRPr="0088502A" w:rsidRDefault="0088502A" w:rsidP="0088502A">
      <w:r w:rsidRPr="0088502A">
        <w:fldChar w:fldCharType="begin"/>
      </w:r>
      <w:r w:rsidRPr="0088502A">
        <w:instrText xml:space="preserve"> AUTONUM  </w:instrText>
      </w:r>
      <w:r w:rsidRPr="0088502A">
        <w:fldChar w:fldCharType="end"/>
      </w:r>
      <w:r>
        <w:tab/>
        <w:t>De conformidad con la recomendación del</w:t>
      </w:r>
      <w:r w:rsidR="00661BE7">
        <w:t> </w:t>
      </w:r>
      <w:r>
        <w:t>Comité Consultivo, el</w:t>
      </w:r>
      <w:r w:rsidR="00661BE7">
        <w:t> </w:t>
      </w:r>
      <w:r>
        <w:t>Consejo, en su quincuagésima sexta sesión ordinaria</w:t>
      </w:r>
      <w:r w:rsidR="009262DF" w:rsidRPr="009262DF">
        <w:rPr>
          <w:vertAlign w:val="superscript"/>
        </w:rPr>
        <w:fldChar w:fldCharType="begin"/>
      </w:r>
      <w:r w:rsidR="009262DF" w:rsidRPr="009262DF">
        <w:rPr>
          <w:vertAlign w:val="superscript"/>
        </w:rPr>
        <w:instrText xml:space="preserve"> NOTEREF _Ref139016943 \h </w:instrText>
      </w:r>
      <w:r w:rsidR="009262DF">
        <w:rPr>
          <w:vertAlign w:val="superscript"/>
        </w:rPr>
        <w:instrText xml:space="preserve"> \* MERGEFORMAT </w:instrText>
      </w:r>
      <w:r w:rsidR="009262DF" w:rsidRPr="009262DF">
        <w:rPr>
          <w:vertAlign w:val="superscript"/>
        </w:rPr>
      </w:r>
      <w:r w:rsidR="009262DF" w:rsidRPr="009262DF">
        <w:rPr>
          <w:vertAlign w:val="superscript"/>
        </w:rPr>
        <w:fldChar w:fldCharType="separate"/>
      </w:r>
      <w:r w:rsidR="009262DF" w:rsidRPr="009262DF">
        <w:rPr>
          <w:vertAlign w:val="superscript"/>
        </w:rPr>
        <w:t>1</w:t>
      </w:r>
      <w:r w:rsidR="009262DF" w:rsidRPr="009262DF">
        <w:rPr>
          <w:vertAlign w:val="superscript"/>
        </w:rPr>
        <w:fldChar w:fldCharType="end"/>
      </w:r>
      <w:r>
        <w:t>, convino en organizar un “Seminario sobre la interacción entre la protección de las variedades vegetales y el uso de las tecnologías de fitomejoramiento” en formato mixto, que se celebraría el</w:t>
      </w:r>
      <w:r w:rsidR="00661BE7">
        <w:t> </w:t>
      </w:r>
      <w:r>
        <w:t>22 de marzo de</w:t>
      </w:r>
      <w:r w:rsidR="00661BE7">
        <w:t> </w:t>
      </w:r>
      <w:r>
        <w:t>2023 (el “Seminario”).</w:t>
      </w:r>
    </w:p>
    <w:p w14:paraId="2C28974D" w14:textId="77777777" w:rsidR="0088502A" w:rsidRPr="0088502A" w:rsidRDefault="0088502A" w:rsidP="0088502A">
      <w:pPr>
        <w:rPr>
          <w:sz w:val="18"/>
          <w:szCs w:val="18"/>
        </w:rPr>
      </w:pPr>
    </w:p>
    <w:p w14:paraId="2C411DFF" w14:textId="49446472" w:rsidR="0088502A" w:rsidRPr="0088502A" w:rsidRDefault="0088502A" w:rsidP="0088502A">
      <w:r w:rsidRPr="0088502A">
        <w:fldChar w:fldCharType="begin"/>
      </w:r>
      <w:r w:rsidRPr="0088502A">
        <w:instrText xml:space="preserve"> AUTONUM  </w:instrText>
      </w:r>
      <w:r w:rsidRPr="0088502A">
        <w:fldChar w:fldCharType="end"/>
      </w:r>
      <w:r>
        <w:tab/>
        <w:t>El</w:t>
      </w:r>
      <w:r w:rsidR="00661BE7">
        <w:t> </w:t>
      </w:r>
      <w:r>
        <w:t>Consejo tomó nota de que el</w:t>
      </w:r>
      <w:r w:rsidR="00661BE7">
        <w:t> </w:t>
      </w:r>
      <w:r>
        <w:t>Comité Consultivo adquirió el compromiso de trabajar de manera expeditiva en una nueva nota explicativa que se recomendaría al</w:t>
      </w:r>
      <w:r w:rsidR="00661BE7">
        <w:t> </w:t>
      </w:r>
      <w:r>
        <w:t xml:space="preserve">Consejo. </w:t>
      </w:r>
    </w:p>
    <w:p w14:paraId="59287BE1" w14:textId="77777777" w:rsidR="0088502A" w:rsidRPr="0088502A" w:rsidRDefault="0088502A" w:rsidP="0088502A">
      <w:pPr>
        <w:rPr>
          <w:sz w:val="16"/>
        </w:rPr>
      </w:pPr>
    </w:p>
    <w:p w14:paraId="01254214" w14:textId="350F7D35" w:rsidR="0088502A" w:rsidRPr="0088502A" w:rsidRDefault="0088502A" w:rsidP="0088502A">
      <w:pPr>
        <w:spacing w:after="160"/>
      </w:pPr>
      <w:r w:rsidRPr="0088502A">
        <w:fldChar w:fldCharType="begin"/>
      </w:r>
      <w:r w:rsidRPr="0088502A">
        <w:instrText xml:space="preserve"> AUTONUM  </w:instrText>
      </w:r>
      <w:r w:rsidRPr="0088502A">
        <w:fldChar w:fldCharType="end"/>
      </w:r>
      <w:r>
        <w:tab/>
        <w:t>El</w:t>
      </w:r>
      <w:r w:rsidR="00661BE7">
        <w:t> </w:t>
      </w:r>
      <w:r>
        <w:t>CC/WG</w:t>
      </w:r>
      <w:r w:rsidR="00661BE7">
        <w:noBreakHyphen/>
      </w:r>
      <w:r>
        <w:t>EDV se reunió tres veces: el</w:t>
      </w:r>
      <w:r w:rsidR="00661BE7">
        <w:t> </w:t>
      </w:r>
      <w:r>
        <w:t>14 de diciembre de</w:t>
      </w:r>
      <w:r w:rsidR="00661BE7">
        <w:t> </w:t>
      </w:r>
      <w:r>
        <w:t>2022, el</w:t>
      </w:r>
      <w:r w:rsidR="00661BE7">
        <w:t> </w:t>
      </w:r>
      <w:r>
        <w:t>27 de febrero y el</w:t>
      </w:r>
      <w:r w:rsidR="00661BE7">
        <w:t> </w:t>
      </w:r>
      <w:r>
        <w:t>24 de marzo de</w:t>
      </w:r>
      <w:r w:rsidR="00661BE7">
        <w:t> </w:t>
      </w:r>
      <w:r>
        <w:t xml:space="preserve">2023. </w:t>
      </w:r>
    </w:p>
    <w:p w14:paraId="0D64BCDB" w14:textId="656F46EE" w:rsidR="0088502A" w:rsidRPr="0088502A" w:rsidRDefault="0088502A" w:rsidP="0088502A">
      <w:pPr>
        <w:keepNext/>
        <w:ind w:left="567" w:firstLine="567"/>
        <w:rPr>
          <w:i/>
        </w:rPr>
      </w:pPr>
      <w:r>
        <w:rPr>
          <w:i/>
        </w:rPr>
        <w:lastRenderedPageBreak/>
        <w:t>Primera reunión del</w:t>
      </w:r>
      <w:r w:rsidR="00661BE7">
        <w:rPr>
          <w:i/>
        </w:rPr>
        <w:t> </w:t>
      </w:r>
      <w:r>
        <w:rPr>
          <w:i/>
        </w:rPr>
        <w:t>CC/WG</w:t>
      </w:r>
      <w:r w:rsidR="00661BE7">
        <w:rPr>
          <w:i/>
        </w:rPr>
        <w:noBreakHyphen/>
      </w:r>
      <w:r>
        <w:rPr>
          <w:i/>
        </w:rPr>
        <w:t>EDV (14</w:t>
      </w:r>
      <w:r w:rsidR="00661BE7">
        <w:rPr>
          <w:i/>
        </w:rPr>
        <w:t> </w:t>
      </w:r>
      <w:r>
        <w:rPr>
          <w:i/>
        </w:rPr>
        <w:t>de diciembre de</w:t>
      </w:r>
      <w:r w:rsidR="00661BE7">
        <w:rPr>
          <w:i/>
        </w:rPr>
        <w:t> </w:t>
      </w:r>
      <w:r>
        <w:rPr>
          <w:i/>
        </w:rPr>
        <w:t xml:space="preserve">2022) </w:t>
      </w:r>
    </w:p>
    <w:p w14:paraId="6CADCAE4" w14:textId="77777777" w:rsidR="0088502A" w:rsidRPr="0088502A" w:rsidRDefault="0088502A" w:rsidP="0088502A">
      <w:pPr>
        <w:keepNext/>
        <w:rPr>
          <w:sz w:val="18"/>
        </w:rPr>
      </w:pPr>
    </w:p>
    <w:p w14:paraId="624D6E0C" w14:textId="31F1E84B" w:rsidR="0088502A" w:rsidRPr="0088502A" w:rsidRDefault="0088502A" w:rsidP="0088502A">
      <w:r w:rsidRPr="0088502A">
        <w:fldChar w:fldCharType="begin"/>
      </w:r>
      <w:r w:rsidRPr="0088502A">
        <w:instrText xml:space="preserve"> AUTONUM  </w:instrText>
      </w:r>
      <w:r w:rsidRPr="0088502A">
        <w:fldChar w:fldCharType="end"/>
      </w:r>
      <w:r>
        <w:tab/>
        <w:t>En su primera reunión</w:t>
      </w:r>
      <w:r w:rsidRPr="0088502A">
        <w:rPr>
          <w:rStyle w:val="FootnoteReference"/>
        </w:rPr>
        <w:footnoteReference w:id="4"/>
      </w:r>
      <w:r>
        <w:t>, el</w:t>
      </w:r>
      <w:r w:rsidR="00661BE7">
        <w:t> </w:t>
      </w:r>
      <w:r>
        <w:t>CC/WG</w:t>
      </w:r>
      <w:r w:rsidR="00661BE7">
        <w:noBreakHyphen/>
      </w:r>
      <w:r>
        <w:t>EDV examinó el documento</w:t>
      </w:r>
      <w:r w:rsidR="00661BE7">
        <w:t> </w:t>
      </w:r>
      <w:r>
        <w:t>CC/WG</w:t>
      </w:r>
      <w:r w:rsidR="00661BE7">
        <w:noBreakHyphen/>
      </w:r>
      <w:r>
        <w:t>EDV/1/2 “</w:t>
      </w:r>
      <w:r>
        <w:rPr>
          <w:i/>
        </w:rPr>
        <w:t>Consideration of document</w:t>
      </w:r>
      <w:r w:rsidR="00661BE7">
        <w:rPr>
          <w:i/>
        </w:rPr>
        <w:t> </w:t>
      </w:r>
      <w:r>
        <w:rPr>
          <w:i/>
        </w:rPr>
        <w:t>UPOV/EXN/EDV/3</w:t>
      </w:r>
      <w:r w:rsidR="00661BE7">
        <w:rPr>
          <w:i/>
        </w:rPr>
        <w:t> </w:t>
      </w:r>
      <w:r>
        <w:rPr>
          <w:i/>
        </w:rPr>
        <w:t>Draft</w:t>
      </w:r>
      <w:r w:rsidR="00661BE7">
        <w:rPr>
          <w:i/>
        </w:rPr>
        <w:t> </w:t>
      </w:r>
      <w:r>
        <w:rPr>
          <w:i/>
        </w:rPr>
        <w:t>3 "Explanatory Notes on Essentially Derived Varieties under the 1991</w:t>
      </w:r>
      <w:r w:rsidR="00661BE7">
        <w:rPr>
          <w:i/>
        </w:rPr>
        <w:t> </w:t>
      </w:r>
      <w:r>
        <w:rPr>
          <w:i/>
        </w:rPr>
        <w:t>Act of the UPOV Convention</w:t>
      </w:r>
      <w:r>
        <w:t xml:space="preserve">" </w:t>
      </w:r>
      <w:r>
        <w:rPr>
          <w:i/>
        </w:rPr>
        <w:t>(Revision)”</w:t>
      </w:r>
      <w:r>
        <w:t xml:space="preserve"> (Examen del documento</w:t>
      </w:r>
      <w:r w:rsidR="00661BE7">
        <w:t> </w:t>
      </w:r>
      <w:r>
        <w:t>UPOV/EXN/EDV/3</w:t>
      </w:r>
      <w:r w:rsidR="00661BE7">
        <w:t> </w:t>
      </w:r>
      <w:r>
        <w:t>Draft</w:t>
      </w:r>
      <w:r w:rsidR="00661BE7">
        <w:t> </w:t>
      </w:r>
      <w:r>
        <w:t>3 "Notas explicativas sobre las variedades esencialmente derivadas con arreglo al</w:t>
      </w:r>
      <w:r w:rsidR="00661BE7">
        <w:t> </w:t>
      </w:r>
      <w:r>
        <w:t>Acta de</w:t>
      </w:r>
      <w:r w:rsidR="00661BE7">
        <w:t> </w:t>
      </w:r>
      <w:r>
        <w:t>1991 del</w:t>
      </w:r>
      <w:r w:rsidR="00DF47A1">
        <w:t> </w:t>
      </w:r>
      <w:r>
        <w:t>Convenio de la</w:t>
      </w:r>
      <w:r w:rsidR="00DF47A1">
        <w:t> </w:t>
      </w:r>
      <w:r>
        <w:t xml:space="preserve">UPOV (revisión)), y convino en lo siguiente: </w:t>
      </w:r>
    </w:p>
    <w:p w14:paraId="4F83A317" w14:textId="77777777" w:rsidR="0088502A" w:rsidRPr="0088502A" w:rsidRDefault="0088502A" w:rsidP="0088502A">
      <w:pPr>
        <w:rPr>
          <w:sz w:val="12"/>
        </w:rPr>
      </w:pPr>
    </w:p>
    <w:p w14:paraId="0814964E" w14:textId="1D940738" w:rsidR="0088502A" w:rsidRPr="0088502A" w:rsidRDefault="0088502A" w:rsidP="0088502A">
      <w:pPr>
        <w:spacing w:after="120"/>
        <w:ind w:left="562" w:right="461"/>
        <w:rPr>
          <w:spacing w:val="-4"/>
          <w:sz w:val="18"/>
        </w:rPr>
      </w:pPr>
      <w:r>
        <w:rPr>
          <w:sz w:val="18"/>
        </w:rPr>
        <w:t>“16.</w:t>
      </w:r>
      <w:r>
        <w:rPr>
          <w:sz w:val="18"/>
        </w:rPr>
        <w:tab/>
        <w:t>El</w:t>
      </w:r>
      <w:r w:rsidR="00DF47A1">
        <w:rPr>
          <w:sz w:val="18"/>
        </w:rPr>
        <w:t> </w:t>
      </w:r>
      <w:r>
        <w:rPr>
          <w:sz w:val="18"/>
        </w:rPr>
        <w:t>CC/WG</w:t>
      </w:r>
      <w:r w:rsidR="00DF47A1">
        <w:rPr>
          <w:sz w:val="18"/>
        </w:rPr>
        <w:noBreakHyphen/>
      </w:r>
      <w:r>
        <w:rPr>
          <w:sz w:val="18"/>
        </w:rPr>
        <w:t xml:space="preserve">EDV convino en invitar a los miembros del CC/WG-EDV a proporcionar ejemplos de posibles variedades esencialmente derivadas para evaluar el grado de consenso. </w:t>
      </w:r>
      <w:r w:rsidR="00DF47A1">
        <w:rPr>
          <w:sz w:val="18"/>
        </w:rPr>
        <w:t>El CC/WG</w:t>
      </w:r>
      <w:r w:rsidR="00DF47A1">
        <w:rPr>
          <w:sz w:val="18"/>
        </w:rPr>
        <w:noBreakHyphen/>
        <w:t xml:space="preserve">EDV </w:t>
      </w:r>
      <w:r>
        <w:rPr>
          <w:sz w:val="18"/>
        </w:rPr>
        <w:t xml:space="preserve">solicitó a la Oficina de la Unión que elabore una plantilla para la presentación de ejemplos. </w:t>
      </w:r>
      <w:r w:rsidR="00DF47A1">
        <w:rPr>
          <w:sz w:val="18"/>
        </w:rPr>
        <w:t>El CC/WG</w:t>
      </w:r>
      <w:r w:rsidR="00DF47A1">
        <w:rPr>
          <w:sz w:val="18"/>
        </w:rPr>
        <w:noBreakHyphen/>
        <w:t xml:space="preserve">EDV </w:t>
      </w:r>
      <w:r>
        <w:rPr>
          <w:sz w:val="18"/>
        </w:rPr>
        <w:t xml:space="preserve">subrayó que esos ejemplos no se incluirán en las notas explicativas. Convino en que los ejemplos facilitados no deben incluir causas judiciales en curso o pendientes. </w:t>
      </w:r>
    </w:p>
    <w:p w14:paraId="18D6E5DC" w14:textId="493FE1E5" w:rsidR="0088502A" w:rsidRPr="0088502A" w:rsidRDefault="0088502A" w:rsidP="0088502A">
      <w:pPr>
        <w:ind w:left="567" w:right="459"/>
        <w:rPr>
          <w:sz w:val="18"/>
        </w:rPr>
      </w:pPr>
      <w:r>
        <w:rPr>
          <w:sz w:val="18"/>
        </w:rPr>
        <w:t>“17.</w:t>
      </w:r>
      <w:r>
        <w:rPr>
          <w:sz w:val="18"/>
        </w:rPr>
        <w:tab/>
      </w:r>
      <w:r w:rsidR="00DF47A1">
        <w:rPr>
          <w:sz w:val="18"/>
        </w:rPr>
        <w:t>El CC/WG</w:t>
      </w:r>
      <w:r w:rsidR="00DF47A1">
        <w:rPr>
          <w:sz w:val="18"/>
        </w:rPr>
        <w:noBreakHyphen/>
        <w:t xml:space="preserve">EDV </w:t>
      </w:r>
      <w:r>
        <w:rPr>
          <w:sz w:val="18"/>
        </w:rPr>
        <w:t>convino en que la recopilación de los ejemplos recibidos se distribuirá al CC/WG-EDV antes del</w:t>
      </w:r>
      <w:r w:rsidR="00AC05EB">
        <w:rPr>
          <w:sz w:val="18"/>
        </w:rPr>
        <w:t> </w:t>
      </w:r>
      <w:r>
        <w:rPr>
          <w:sz w:val="18"/>
        </w:rPr>
        <w:t>18 de enero de</w:t>
      </w:r>
      <w:r w:rsidR="00AC05EB">
        <w:rPr>
          <w:sz w:val="18"/>
        </w:rPr>
        <w:t> </w:t>
      </w:r>
      <w:r>
        <w:rPr>
          <w:sz w:val="18"/>
        </w:rPr>
        <w:t>2023. Se invitará a los miembros del</w:t>
      </w:r>
      <w:r w:rsidR="00AC05EB">
        <w:rPr>
          <w:sz w:val="18"/>
        </w:rPr>
        <w:t> </w:t>
      </w:r>
      <w:r>
        <w:rPr>
          <w:sz w:val="18"/>
        </w:rPr>
        <w:t>CC/WG</w:t>
      </w:r>
      <w:r w:rsidR="00AC05EB">
        <w:rPr>
          <w:sz w:val="18"/>
        </w:rPr>
        <w:noBreakHyphen/>
      </w:r>
      <w:r>
        <w:rPr>
          <w:sz w:val="18"/>
        </w:rPr>
        <w:t>EDV a indicar cuáles de esos ejemplos consideran como variedades esencialmente derivadas y cuáles no antes del</w:t>
      </w:r>
      <w:r w:rsidR="00AC05EB">
        <w:rPr>
          <w:sz w:val="18"/>
        </w:rPr>
        <w:t> </w:t>
      </w:r>
      <w:r>
        <w:rPr>
          <w:sz w:val="18"/>
        </w:rPr>
        <w:t>15 de febrero de</w:t>
      </w:r>
      <w:r w:rsidR="00AC05EB">
        <w:rPr>
          <w:sz w:val="18"/>
        </w:rPr>
        <w:t> </w:t>
      </w:r>
      <w:r>
        <w:rPr>
          <w:sz w:val="18"/>
        </w:rPr>
        <w:t>2023. Se distribuirá al</w:t>
      </w:r>
      <w:r w:rsidR="00AC05EB">
        <w:rPr>
          <w:sz w:val="18"/>
        </w:rPr>
        <w:t> </w:t>
      </w:r>
      <w:r>
        <w:rPr>
          <w:sz w:val="18"/>
        </w:rPr>
        <w:t>CC/WG</w:t>
      </w:r>
      <w:r w:rsidR="00AC05EB">
        <w:rPr>
          <w:sz w:val="18"/>
        </w:rPr>
        <w:noBreakHyphen/>
      </w:r>
      <w:r>
        <w:rPr>
          <w:sz w:val="18"/>
        </w:rPr>
        <w:t>EDV una recopilación de las respuestas antes del</w:t>
      </w:r>
      <w:r w:rsidR="00AC05EB">
        <w:rPr>
          <w:sz w:val="18"/>
        </w:rPr>
        <w:t> </w:t>
      </w:r>
      <w:r>
        <w:rPr>
          <w:sz w:val="18"/>
        </w:rPr>
        <w:t>17 de febrero de</w:t>
      </w:r>
      <w:r w:rsidR="00AC05EB">
        <w:rPr>
          <w:sz w:val="18"/>
        </w:rPr>
        <w:t> </w:t>
      </w:r>
      <w:r>
        <w:rPr>
          <w:sz w:val="18"/>
        </w:rPr>
        <w:t xml:space="preserve">2023. </w:t>
      </w:r>
    </w:p>
    <w:p w14:paraId="073CF341" w14:textId="77777777" w:rsidR="0088502A" w:rsidRPr="0088502A" w:rsidRDefault="0088502A" w:rsidP="0088502A">
      <w:pPr>
        <w:ind w:left="567" w:right="459"/>
        <w:rPr>
          <w:sz w:val="12"/>
        </w:rPr>
      </w:pPr>
    </w:p>
    <w:p w14:paraId="484CBF48" w14:textId="427E762A" w:rsidR="0088502A" w:rsidRPr="0088502A" w:rsidRDefault="0088502A" w:rsidP="0088502A">
      <w:pPr>
        <w:ind w:left="567" w:right="459"/>
        <w:rPr>
          <w:spacing w:val="-4"/>
          <w:sz w:val="18"/>
        </w:rPr>
      </w:pPr>
      <w:r>
        <w:rPr>
          <w:sz w:val="18"/>
        </w:rPr>
        <w:t>“18.</w:t>
      </w:r>
      <w:r>
        <w:rPr>
          <w:sz w:val="18"/>
        </w:rPr>
        <w:tab/>
      </w:r>
      <w:r w:rsidR="00DF47A1">
        <w:rPr>
          <w:sz w:val="18"/>
        </w:rPr>
        <w:t>El CC/WG</w:t>
      </w:r>
      <w:r w:rsidR="00DF47A1">
        <w:rPr>
          <w:sz w:val="18"/>
        </w:rPr>
        <w:noBreakHyphen/>
        <w:t>EDV</w:t>
      </w:r>
      <w:r>
        <w:rPr>
          <w:sz w:val="18"/>
        </w:rPr>
        <w:t xml:space="preserve"> convino en examinar en su próxima reunión los comentarios relativos a los párrafos</w:t>
      </w:r>
      <w:r w:rsidR="00AC05EB">
        <w:rPr>
          <w:sz w:val="18"/>
        </w:rPr>
        <w:t> </w:t>
      </w:r>
      <w:r>
        <w:rPr>
          <w:sz w:val="18"/>
        </w:rPr>
        <w:t>17, 22 y</w:t>
      </w:r>
      <w:r w:rsidR="00AC05EB">
        <w:rPr>
          <w:sz w:val="18"/>
        </w:rPr>
        <w:t> </w:t>
      </w:r>
      <w:r>
        <w:rPr>
          <w:sz w:val="18"/>
        </w:rPr>
        <w:t xml:space="preserve">27 del </w:t>
      </w:r>
      <w:r w:rsidR="006900F0">
        <w:rPr>
          <w:sz w:val="18"/>
        </w:rPr>
        <w:t>Anexo</w:t>
      </w:r>
      <w:r w:rsidR="00AC05EB">
        <w:rPr>
          <w:sz w:val="18"/>
        </w:rPr>
        <w:t> </w:t>
      </w:r>
      <w:r w:rsidR="006900F0">
        <w:rPr>
          <w:sz w:val="18"/>
        </w:rPr>
        <w:t>II</w:t>
      </w:r>
      <w:r>
        <w:rPr>
          <w:sz w:val="18"/>
        </w:rPr>
        <w:t xml:space="preserve"> del documento</w:t>
      </w:r>
      <w:r w:rsidR="00AC05EB">
        <w:rPr>
          <w:sz w:val="18"/>
        </w:rPr>
        <w:t> </w:t>
      </w:r>
      <w:r>
        <w:rPr>
          <w:sz w:val="18"/>
        </w:rPr>
        <w:t>CC/WG</w:t>
      </w:r>
      <w:r w:rsidR="00AC05EB">
        <w:rPr>
          <w:sz w:val="18"/>
        </w:rPr>
        <w:noBreakHyphen/>
      </w:r>
      <w:r>
        <w:rPr>
          <w:sz w:val="18"/>
        </w:rPr>
        <w:t>EDV/1/2, incluidas sus figuras, junto con el examen de los ejemplos de las posibles variedades esencialmente derivadas”.</w:t>
      </w:r>
    </w:p>
    <w:p w14:paraId="43530F9D" w14:textId="77777777" w:rsidR="0088502A" w:rsidRPr="0088502A" w:rsidRDefault="0088502A" w:rsidP="0088502A"/>
    <w:p w14:paraId="648AC76F" w14:textId="53A03EE5" w:rsidR="0088502A" w:rsidRPr="0088502A" w:rsidRDefault="0088502A" w:rsidP="0088502A">
      <w:pPr>
        <w:keepNext/>
        <w:ind w:left="567" w:firstLine="567"/>
        <w:rPr>
          <w:i/>
        </w:rPr>
      </w:pPr>
      <w:r>
        <w:rPr>
          <w:i/>
        </w:rPr>
        <w:t>Segunda reunión del</w:t>
      </w:r>
      <w:r w:rsidR="00AC05EB">
        <w:rPr>
          <w:i/>
        </w:rPr>
        <w:t> </w:t>
      </w:r>
      <w:r>
        <w:rPr>
          <w:i/>
        </w:rPr>
        <w:t>CC/WG</w:t>
      </w:r>
      <w:r w:rsidR="00AC05EB">
        <w:rPr>
          <w:i/>
        </w:rPr>
        <w:noBreakHyphen/>
      </w:r>
      <w:r>
        <w:rPr>
          <w:i/>
        </w:rPr>
        <w:t>EDV (27</w:t>
      </w:r>
      <w:r w:rsidR="00AC05EB">
        <w:rPr>
          <w:i/>
        </w:rPr>
        <w:t> </w:t>
      </w:r>
      <w:r>
        <w:rPr>
          <w:i/>
        </w:rPr>
        <w:t>de febrero de</w:t>
      </w:r>
      <w:r w:rsidR="00AC05EB">
        <w:rPr>
          <w:i/>
        </w:rPr>
        <w:t> </w:t>
      </w:r>
      <w:r>
        <w:rPr>
          <w:i/>
        </w:rPr>
        <w:t xml:space="preserve">2023) </w:t>
      </w:r>
    </w:p>
    <w:p w14:paraId="3B11DF84" w14:textId="77777777" w:rsidR="0088502A" w:rsidRPr="0088502A" w:rsidRDefault="0088502A" w:rsidP="0088502A">
      <w:pPr>
        <w:keepNext/>
        <w:rPr>
          <w:sz w:val="18"/>
        </w:rPr>
      </w:pPr>
    </w:p>
    <w:p w14:paraId="37B89DE6" w14:textId="6591A55F" w:rsidR="0088502A" w:rsidRPr="0088502A" w:rsidRDefault="0088502A" w:rsidP="0088502A">
      <w:pPr>
        <w:rPr>
          <w:rFonts w:cs="Arial"/>
        </w:rPr>
      </w:pPr>
      <w:r w:rsidRPr="0088502A">
        <w:rPr>
          <w:rFonts w:cs="Arial"/>
        </w:rPr>
        <w:fldChar w:fldCharType="begin"/>
      </w:r>
      <w:r w:rsidRPr="0088502A">
        <w:rPr>
          <w:rFonts w:cs="Arial"/>
        </w:rPr>
        <w:instrText xml:space="preserve"> AUTONUM  </w:instrText>
      </w:r>
      <w:r w:rsidRPr="0088502A">
        <w:rPr>
          <w:rFonts w:cs="Arial"/>
        </w:rPr>
        <w:fldChar w:fldCharType="end"/>
      </w:r>
      <w:r>
        <w:tab/>
        <w:t>En su segunda reunión</w:t>
      </w:r>
      <w:r w:rsidR="00D453FB" w:rsidRPr="0088502A">
        <w:rPr>
          <w:rStyle w:val="FootnoteReference"/>
          <w:rFonts w:cs="Arial"/>
        </w:rPr>
        <w:footnoteReference w:id="5"/>
      </w:r>
      <w:r>
        <w:t>, el</w:t>
      </w:r>
      <w:r w:rsidR="00AC05EB">
        <w:t> </w:t>
      </w:r>
      <w:r>
        <w:t>CC/WG</w:t>
      </w:r>
      <w:r w:rsidR="00AC05EB">
        <w:noBreakHyphen/>
      </w:r>
      <w:r>
        <w:t>EDV examinó el documento</w:t>
      </w:r>
      <w:r w:rsidR="00AC05EB">
        <w:t> </w:t>
      </w:r>
      <w:r>
        <w:t>CC/WG</w:t>
      </w:r>
      <w:r w:rsidR="00AC05EB">
        <w:noBreakHyphen/>
      </w:r>
      <w:r>
        <w:t xml:space="preserve">EDV/2/2 </w:t>
      </w:r>
      <w:r>
        <w:rPr>
          <w:i/>
        </w:rPr>
        <w:t>“Examples of possible EDVs”</w:t>
      </w:r>
      <w:r>
        <w:t xml:space="preserve"> (Ejemplos de posibles variedades esencialmente derivadas) y observó la gran variedad de opiniones expresadas con respecto a los ejemplos de posibles variedades esencialmente derivadas resultante de la falta de consenso sobre lo que se puede considerar variedad esencialmente derivada y lo que no.</w:t>
      </w:r>
    </w:p>
    <w:p w14:paraId="408E5D51" w14:textId="77777777" w:rsidR="0088502A" w:rsidRPr="0088502A" w:rsidRDefault="0088502A" w:rsidP="0088502A">
      <w:pPr>
        <w:rPr>
          <w:sz w:val="18"/>
        </w:rPr>
      </w:pPr>
    </w:p>
    <w:p w14:paraId="309EC152" w14:textId="4DE6E51A" w:rsidR="0088502A" w:rsidRPr="0088502A" w:rsidRDefault="0088502A" w:rsidP="0088502A">
      <w:pPr>
        <w:keepLines/>
        <w:rPr>
          <w:spacing w:val="-2"/>
        </w:rPr>
      </w:pPr>
      <w:r w:rsidRPr="0088502A">
        <w:fldChar w:fldCharType="begin"/>
      </w:r>
      <w:r w:rsidRPr="0088502A">
        <w:instrText xml:space="preserve"> AUTONUM  </w:instrText>
      </w:r>
      <w:r w:rsidRPr="0088502A">
        <w:fldChar w:fldCharType="end"/>
      </w:r>
      <w:r>
        <w:tab/>
        <w:t>El</w:t>
      </w:r>
      <w:r w:rsidR="003939BE">
        <w:t xml:space="preserve"> </w:t>
      </w:r>
      <w:r>
        <w:t>CC/WG</w:t>
      </w:r>
      <w:r w:rsidR="00AC05EB">
        <w:noBreakHyphen/>
      </w:r>
      <w:r>
        <w:t>EDV examinó el documento</w:t>
      </w:r>
      <w:r w:rsidR="003939BE">
        <w:t xml:space="preserve"> </w:t>
      </w:r>
      <w:r>
        <w:t>CC/WG</w:t>
      </w:r>
      <w:r w:rsidR="00AC05EB">
        <w:noBreakHyphen/>
      </w:r>
      <w:r>
        <w:t xml:space="preserve">EDV/2/3 </w:t>
      </w:r>
      <w:r>
        <w:rPr>
          <w:i/>
        </w:rPr>
        <w:t>“Consideration of document</w:t>
      </w:r>
      <w:r w:rsidR="003939BE">
        <w:rPr>
          <w:i/>
        </w:rPr>
        <w:t xml:space="preserve"> </w:t>
      </w:r>
      <w:r>
        <w:rPr>
          <w:i/>
        </w:rPr>
        <w:t>UPOV/EXN/EDV/3</w:t>
      </w:r>
      <w:r w:rsidR="00AC05EB">
        <w:rPr>
          <w:i/>
        </w:rPr>
        <w:t> </w:t>
      </w:r>
      <w:r>
        <w:rPr>
          <w:i/>
        </w:rPr>
        <w:t>Draft</w:t>
      </w:r>
      <w:r w:rsidR="00AC05EB">
        <w:rPr>
          <w:i/>
        </w:rPr>
        <w:t> </w:t>
      </w:r>
      <w:r>
        <w:rPr>
          <w:i/>
        </w:rPr>
        <w:t>3 "Explanatory Notes on Essentially Derived Varieties under the</w:t>
      </w:r>
      <w:r w:rsidR="00AC05EB">
        <w:rPr>
          <w:i/>
        </w:rPr>
        <w:t> </w:t>
      </w:r>
      <w:r>
        <w:rPr>
          <w:i/>
        </w:rPr>
        <w:t>1991 Act of the UPOV Convention" (Revision)”</w:t>
      </w:r>
      <w:r>
        <w:t xml:space="preserve"> (Examen del documento</w:t>
      </w:r>
      <w:r w:rsidR="00AC05EB">
        <w:t> </w:t>
      </w:r>
      <w:r>
        <w:t>UPOV/EXN/EDV/3</w:t>
      </w:r>
      <w:r w:rsidR="00AC05EB">
        <w:t> </w:t>
      </w:r>
      <w:r>
        <w:t>Draft</w:t>
      </w:r>
      <w:r w:rsidR="00AC05EB">
        <w:t> </w:t>
      </w:r>
      <w:r>
        <w:t>3 "Notas explicativas sobre las variedades esencialmente derivadas con arreglo al</w:t>
      </w:r>
      <w:r w:rsidR="00AC05EB">
        <w:t> </w:t>
      </w:r>
      <w:r>
        <w:t>Acta de</w:t>
      </w:r>
      <w:r w:rsidR="00AC05EB">
        <w:t> </w:t>
      </w:r>
      <w:r>
        <w:t>1991 del</w:t>
      </w:r>
      <w:r w:rsidR="00AC05EB">
        <w:t> </w:t>
      </w:r>
      <w:r>
        <w:t>Convenio de la</w:t>
      </w:r>
      <w:r w:rsidR="00AC05EB">
        <w:t> </w:t>
      </w:r>
      <w:r>
        <w:t>UPOV (revisión)), y convino en pedir a la Oficina de la Unión que prepare un texto con una nueva estructura para la sección “b)</w:t>
      </w:r>
      <w:r w:rsidR="003939BE">
        <w:t> </w:t>
      </w:r>
      <w:r>
        <w:t>Definición de variedad esencialmente derivada” con el objeto de explicar los términos usados en el artículo</w:t>
      </w:r>
      <w:r w:rsidR="003939BE">
        <w:t> </w:t>
      </w:r>
      <w:r>
        <w:t>14.5)b) y que retire los elementos del documento</w:t>
      </w:r>
      <w:r w:rsidR="003939BE">
        <w:t xml:space="preserve"> </w:t>
      </w:r>
      <w:r>
        <w:t>UPOV/EXN/EDV/3</w:t>
      </w:r>
      <w:r w:rsidR="00AC05EB">
        <w:t> </w:t>
      </w:r>
      <w:r>
        <w:t>Draft</w:t>
      </w:r>
      <w:r w:rsidR="00AC05EB">
        <w:t> </w:t>
      </w:r>
      <w:r>
        <w:t>3 sobre los que hay diferentes opiniones.</w:t>
      </w:r>
    </w:p>
    <w:p w14:paraId="556B38E9" w14:textId="77777777" w:rsidR="0088502A" w:rsidRPr="0088502A" w:rsidRDefault="0088502A" w:rsidP="0088502A"/>
    <w:p w14:paraId="0D731F7C" w14:textId="0B047300" w:rsidR="0088502A" w:rsidRPr="0088502A" w:rsidRDefault="0088502A" w:rsidP="003E2461">
      <w:pPr>
        <w:keepNext/>
        <w:ind w:left="1134"/>
        <w:rPr>
          <w:i/>
        </w:rPr>
      </w:pPr>
      <w:r>
        <w:rPr>
          <w:i/>
        </w:rPr>
        <w:t>Seminario sobre la interacción entre la protección de las variedades vegetales y el uso de las tecnologías de fitomejoramiento (22</w:t>
      </w:r>
      <w:r w:rsidR="00AC05EB">
        <w:rPr>
          <w:i/>
        </w:rPr>
        <w:t> </w:t>
      </w:r>
      <w:r>
        <w:rPr>
          <w:i/>
        </w:rPr>
        <w:t>de marzo de</w:t>
      </w:r>
      <w:r w:rsidR="00AC05EB">
        <w:rPr>
          <w:i/>
        </w:rPr>
        <w:t> </w:t>
      </w:r>
      <w:r>
        <w:rPr>
          <w:i/>
        </w:rPr>
        <w:t xml:space="preserve">2023) </w:t>
      </w:r>
    </w:p>
    <w:p w14:paraId="148B8D8C" w14:textId="77777777" w:rsidR="0088502A" w:rsidRPr="0088502A" w:rsidRDefault="0088502A" w:rsidP="003E2461">
      <w:pPr>
        <w:keepNext/>
        <w:rPr>
          <w:sz w:val="18"/>
        </w:rPr>
      </w:pPr>
    </w:p>
    <w:p w14:paraId="48C201DC" w14:textId="44F7C4EA" w:rsidR="0088502A" w:rsidRPr="0088502A" w:rsidRDefault="0088502A" w:rsidP="0088502A">
      <w:r w:rsidRPr="0088502A">
        <w:fldChar w:fldCharType="begin"/>
      </w:r>
      <w:r w:rsidRPr="0088502A">
        <w:instrText xml:space="preserve"> AUTONUM  </w:instrText>
      </w:r>
      <w:r w:rsidRPr="0088502A">
        <w:fldChar w:fldCharType="end"/>
      </w:r>
      <w:r>
        <w:tab/>
        <w:t>El</w:t>
      </w:r>
      <w:r w:rsidR="00AC05EB">
        <w:t> </w:t>
      </w:r>
      <w:r>
        <w:t>Seminario se celebró el</w:t>
      </w:r>
      <w:r w:rsidR="00AC05EB">
        <w:t> </w:t>
      </w:r>
      <w:r>
        <w:t>22 de marzo de</w:t>
      </w:r>
      <w:r w:rsidR="00AC05EB">
        <w:t> </w:t>
      </w:r>
      <w:r>
        <w:t>2023, con 312</w:t>
      </w:r>
      <w:r w:rsidR="00AC05EB">
        <w:t> </w:t>
      </w:r>
      <w:r>
        <w:t>participantes. Se ha publicado una grabación del</w:t>
      </w:r>
      <w:r w:rsidR="00AC05EB">
        <w:t> </w:t>
      </w:r>
      <w:r>
        <w:t xml:space="preserve">Seminario en su </w:t>
      </w:r>
      <w:hyperlink r:id="rId10" w:history="1">
        <w:r>
          <w:rPr>
            <w:rStyle w:val="Hyperlink"/>
          </w:rPr>
          <w:t>página web</w:t>
        </w:r>
      </w:hyperlink>
      <w:r>
        <w:t xml:space="preserve">, con canales de interpretación en alemán, español, francés e inglés. Todas las ponencias se han publicado en la </w:t>
      </w:r>
      <w:hyperlink r:id="rId11" w:history="1">
        <w:r>
          <w:rPr>
            <w:rStyle w:val="Hyperlink"/>
          </w:rPr>
          <w:t>página web</w:t>
        </w:r>
      </w:hyperlink>
      <w:r>
        <w:t xml:space="preserve"> del Seminario. Las actas del Seminario se publicarán en el sitio web de la UPOV en alemán, español, francés e inglés. </w:t>
      </w:r>
    </w:p>
    <w:p w14:paraId="55CE3222" w14:textId="77777777" w:rsidR="0088502A" w:rsidRPr="0088502A" w:rsidRDefault="0088502A" w:rsidP="0088502A">
      <w:pPr>
        <w:rPr>
          <w:rFonts w:cs="Arial"/>
        </w:rPr>
      </w:pPr>
    </w:p>
    <w:p w14:paraId="62661AB1" w14:textId="481D50B5" w:rsidR="0088502A" w:rsidRPr="0088502A" w:rsidRDefault="0088502A" w:rsidP="0088502A">
      <w:pPr>
        <w:ind w:left="567" w:firstLine="567"/>
        <w:rPr>
          <w:i/>
        </w:rPr>
      </w:pPr>
      <w:r>
        <w:rPr>
          <w:i/>
        </w:rPr>
        <w:t>Tercera reunión del</w:t>
      </w:r>
      <w:r w:rsidR="00AC05EB">
        <w:rPr>
          <w:i/>
        </w:rPr>
        <w:t> </w:t>
      </w:r>
      <w:r>
        <w:rPr>
          <w:i/>
        </w:rPr>
        <w:t>CC/WG</w:t>
      </w:r>
      <w:r w:rsidR="00AC05EB">
        <w:rPr>
          <w:i/>
        </w:rPr>
        <w:noBreakHyphen/>
      </w:r>
      <w:r>
        <w:rPr>
          <w:i/>
        </w:rPr>
        <w:t>EDV (24</w:t>
      </w:r>
      <w:r w:rsidR="00AC05EB">
        <w:rPr>
          <w:i/>
        </w:rPr>
        <w:t> </w:t>
      </w:r>
      <w:r>
        <w:rPr>
          <w:i/>
        </w:rPr>
        <w:t>de marzo de</w:t>
      </w:r>
      <w:r w:rsidR="00AC05EB">
        <w:rPr>
          <w:i/>
        </w:rPr>
        <w:t> </w:t>
      </w:r>
      <w:r>
        <w:rPr>
          <w:i/>
        </w:rPr>
        <w:t>2023)</w:t>
      </w:r>
    </w:p>
    <w:p w14:paraId="021AD810" w14:textId="77777777" w:rsidR="0088502A" w:rsidRPr="0088502A" w:rsidRDefault="0088502A" w:rsidP="0088502A">
      <w:pPr>
        <w:rPr>
          <w:sz w:val="18"/>
        </w:rPr>
      </w:pPr>
    </w:p>
    <w:p w14:paraId="5ADF9688" w14:textId="7EB2C5A1" w:rsidR="0088502A" w:rsidRPr="0088502A" w:rsidRDefault="0088502A" w:rsidP="0088502A">
      <w:pPr>
        <w:rPr>
          <w:rFonts w:cs="Arial"/>
        </w:rPr>
      </w:pPr>
      <w:r w:rsidRPr="0088502A">
        <w:fldChar w:fldCharType="begin"/>
      </w:r>
      <w:r w:rsidRPr="0088502A">
        <w:instrText xml:space="preserve"> AUTONUM  </w:instrText>
      </w:r>
      <w:r w:rsidRPr="0088502A">
        <w:fldChar w:fldCharType="end"/>
      </w:r>
      <w:r>
        <w:tab/>
        <w:t>En su tercera reunión</w:t>
      </w:r>
      <w:r w:rsidRPr="0088502A">
        <w:rPr>
          <w:rStyle w:val="FootnoteReference"/>
          <w:rFonts w:cs="Arial"/>
        </w:rPr>
        <w:footnoteReference w:id="6"/>
      </w:r>
      <w:r>
        <w:t>, el CC/WG</w:t>
      </w:r>
      <w:r w:rsidR="00AC05EB">
        <w:noBreakHyphen/>
      </w:r>
      <w:r>
        <w:t>EDV elaboró un texto como base para la revisión de las “Notas explicativas sobre las variedades esencialmente derivadas con arreglo al</w:t>
      </w:r>
      <w:r w:rsidR="00AC05EB">
        <w:t> </w:t>
      </w:r>
      <w:r>
        <w:t>Acta de</w:t>
      </w:r>
      <w:r w:rsidR="00AC05EB">
        <w:t> </w:t>
      </w:r>
      <w:r>
        <w:t>1991 del</w:t>
      </w:r>
      <w:r w:rsidR="00AC05EB">
        <w:t> </w:t>
      </w:r>
      <w:r>
        <w:t>Convenio de la</w:t>
      </w:r>
      <w:r w:rsidR="00AC05EB">
        <w:t> </w:t>
      </w:r>
      <w:r>
        <w:t xml:space="preserve">UPOV”.  </w:t>
      </w:r>
    </w:p>
    <w:p w14:paraId="4E9ECC81" w14:textId="77777777" w:rsidR="0088502A" w:rsidRPr="0088502A" w:rsidRDefault="0088502A" w:rsidP="0088502A">
      <w:pPr>
        <w:rPr>
          <w:rFonts w:cs="Arial"/>
          <w:sz w:val="18"/>
        </w:rPr>
      </w:pPr>
    </w:p>
    <w:p w14:paraId="3D184D53" w14:textId="05830660" w:rsidR="0088502A" w:rsidRPr="0088502A" w:rsidRDefault="0088502A" w:rsidP="0088502A">
      <w:pPr>
        <w:rPr>
          <w:rFonts w:cs="Arial"/>
        </w:rPr>
      </w:pPr>
      <w:r w:rsidRPr="0088502A">
        <w:fldChar w:fldCharType="begin"/>
      </w:r>
      <w:r w:rsidRPr="0088502A">
        <w:instrText xml:space="preserve"> AUTONUM  </w:instrText>
      </w:r>
      <w:r w:rsidRPr="0088502A">
        <w:fldChar w:fldCharType="end"/>
      </w:r>
      <w:r>
        <w:tab/>
        <w:t>En su tercera reunión, celebrada el</w:t>
      </w:r>
      <w:r w:rsidR="00AC05EB">
        <w:t> </w:t>
      </w:r>
      <w:r>
        <w:t>3 de mayo de</w:t>
      </w:r>
      <w:r w:rsidR="00AC05EB">
        <w:t> </w:t>
      </w:r>
      <w:r>
        <w:t>2023, el CC/WG</w:t>
      </w:r>
      <w:r w:rsidR="00AC05EB">
        <w:noBreakHyphen/>
      </w:r>
      <w:r>
        <w:t>EDV aprobó por correspondencia el texto elaborado como base para la revisión del documento</w:t>
      </w:r>
      <w:r w:rsidR="00AC05EB">
        <w:t> </w:t>
      </w:r>
      <w:r>
        <w:t>UPOV/EXN/EDV/2 “Notas explicativas sobre las variedades esencialmente derivadas con arreglo al</w:t>
      </w:r>
      <w:r w:rsidR="00AC05EB">
        <w:t> </w:t>
      </w:r>
      <w:r>
        <w:t>Acta de</w:t>
      </w:r>
      <w:r w:rsidR="00AC05EB">
        <w:t> </w:t>
      </w:r>
      <w:r>
        <w:t>1991 del</w:t>
      </w:r>
      <w:r w:rsidR="00AC05EB">
        <w:t> </w:t>
      </w:r>
      <w:r>
        <w:t>Convenio de la</w:t>
      </w:r>
      <w:r w:rsidR="00AC05EB">
        <w:t> </w:t>
      </w:r>
      <w:r>
        <w:t>UPOV” (véase el documento UPOV/EXN/EDV/3 Draft 4) que se someterá al examen del</w:t>
      </w:r>
      <w:r w:rsidR="00AC05EB">
        <w:t> </w:t>
      </w:r>
      <w:r>
        <w:t>Comité Consultivo, en su centésima primera sesión, y del</w:t>
      </w:r>
      <w:r w:rsidR="00AC05EB">
        <w:t> </w:t>
      </w:r>
      <w:r>
        <w:t>Consejo, en su quincuagésima séptima sesión ordinaria de octubre de</w:t>
      </w:r>
      <w:r w:rsidR="00AC05EB">
        <w:t> </w:t>
      </w:r>
      <w:r>
        <w:t xml:space="preserve">2023.  </w:t>
      </w:r>
    </w:p>
    <w:p w14:paraId="685B4889" w14:textId="77777777" w:rsidR="0088502A" w:rsidRPr="0088502A" w:rsidRDefault="0088502A" w:rsidP="0088502A">
      <w:pPr>
        <w:rPr>
          <w:rFonts w:cs="Arial"/>
          <w:sz w:val="18"/>
          <w:lang w:eastAsia="fr-FR"/>
        </w:rPr>
      </w:pPr>
    </w:p>
    <w:p w14:paraId="10FA9261" w14:textId="01D89DE1" w:rsidR="0088502A" w:rsidRPr="0088502A" w:rsidRDefault="0088502A" w:rsidP="0088502A">
      <w:pPr>
        <w:keepLines/>
      </w:pPr>
      <w:r w:rsidRPr="0088502A">
        <w:fldChar w:fldCharType="begin"/>
      </w:r>
      <w:r w:rsidRPr="0088502A">
        <w:instrText xml:space="preserve"> AUTONUM  </w:instrText>
      </w:r>
      <w:r w:rsidRPr="0088502A">
        <w:fldChar w:fldCharType="end"/>
      </w:r>
      <w:r>
        <w:tab/>
        <w:t>Con arreglo a lo anterior y previo acuerdo del</w:t>
      </w:r>
      <w:r w:rsidR="00AC05EB">
        <w:t> </w:t>
      </w:r>
      <w:r>
        <w:t>Comité Consultivo, en su centésima primera sesión, se someterá a la aprobación del</w:t>
      </w:r>
      <w:r w:rsidR="00AC05EB">
        <w:t> </w:t>
      </w:r>
      <w:r>
        <w:t>Consejo, en su quincuagésima séptima sesión ordinaria, una revisión del documento</w:t>
      </w:r>
      <w:r w:rsidR="00AC05EB">
        <w:t> </w:t>
      </w:r>
      <w:r>
        <w:t>UPOV/EXN/EDV/2 “Notas explicativas sobre las variedades esencialmente derivadas con arreglo al</w:t>
      </w:r>
      <w:r w:rsidR="00AC05EB">
        <w:t> </w:t>
      </w:r>
      <w:r>
        <w:t>Acta de</w:t>
      </w:r>
      <w:r w:rsidR="00AC05EB">
        <w:t> </w:t>
      </w:r>
      <w:r>
        <w:t>1991 del</w:t>
      </w:r>
      <w:r w:rsidR="00AC05EB">
        <w:t> </w:t>
      </w:r>
      <w:r>
        <w:t>Convenio de la</w:t>
      </w:r>
      <w:r w:rsidR="00AC05EB">
        <w:t> </w:t>
      </w:r>
      <w:r>
        <w:t>UPOV” sobre la base del documento</w:t>
      </w:r>
      <w:r w:rsidR="00AC05EB">
        <w:t> </w:t>
      </w:r>
      <w:r>
        <w:t>UPOV/EXN/EDV/3</w:t>
      </w:r>
      <w:r w:rsidR="00AC05EB">
        <w:t> </w:t>
      </w:r>
      <w:r>
        <w:t>Draft</w:t>
      </w:r>
      <w:r w:rsidR="00AC05EB">
        <w:t> </w:t>
      </w:r>
      <w:r>
        <w:t>4.</w:t>
      </w:r>
    </w:p>
    <w:p w14:paraId="77CE4836" w14:textId="77777777" w:rsidR="0088502A" w:rsidRPr="0088502A" w:rsidRDefault="0088502A" w:rsidP="0088502A">
      <w:pPr>
        <w:rPr>
          <w:sz w:val="18"/>
        </w:rPr>
      </w:pPr>
    </w:p>
    <w:p w14:paraId="3FB52991" w14:textId="17692794" w:rsidR="0088502A" w:rsidRPr="0088502A" w:rsidRDefault="0088502A" w:rsidP="00785345">
      <w:pPr>
        <w:pStyle w:val="DecisionParagraphs"/>
      </w:pPr>
      <w:r w:rsidRPr="0088502A">
        <w:lastRenderedPageBreak/>
        <w:fldChar w:fldCharType="begin"/>
      </w:r>
      <w:r w:rsidRPr="0088502A">
        <w:instrText xml:space="preserve"> AUTONUM  </w:instrText>
      </w:r>
      <w:r w:rsidRPr="0088502A">
        <w:fldChar w:fldCharType="end"/>
      </w:r>
      <w:r>
        <w:tab/>
        <w:t>Se invita al</w:t>
      </w:r>
      <w:r w:rsidR="00AC05EB">
        <w:t> </w:t>
      </w:r>
      <w:r>
        <w:t>Consejo a aprobar una revisión del documento</w:t>
      </w:r>
      <w:r w:rsidR="00AC05EB">
        <w:t> </w:t>
      </w:r>
      <w:r>
        <w:t>UPOV/EXN/EDV/2 “Notas explicativas sobre las variedades esencialmente derivadas con arreglo al</w:t>
      </w:r>
      <w:r w:rsidR="00785345">
        <w:t xml:space="preserve"> </w:t>
      </w:r>
      <w:r>
        <w:t>Acta de</w:t>
      </w:r>
      <w:r w:rsidR="00785345">
        <w:t xml:space="preserve"> </w:t>
      </w:r>
      <w:r>
        <w:t>1991 del</w:t>
      </w:r>
      <w:r w:rsidR="00785345">
        <w:t xml:space="preserve"> </w:t>
      </w:r>
      <w:r>
        <w:t>Convenio de la</w:t>
      </w:r>
      <w:r w:rsidR="00785345">
        <w:t xml:space="preserve"> </w:t>
      </w:r>
      <w:r>
        <w:t>UPOV” sobre la base del documento</w:t>
      </w:r>
      <w:r w:rsidR="00AC05EB">
        <w:t xml:space="preserve"> </w:t>
      </w:r>
      <w:r>
        <w:t>UPOV/EXN/EDV/3</w:t>
      </w:r>
      <w:r w:rsidR="00AC05EB">
        <w:t> </w:t>
      </w:r>
      <w:r>
        <w:t>Draft</w:t>
      </w:r>
      <w:r w:rsidR="00AC05EB">
        <w:t> </w:t>
      </w:r>
      <w:r>
        <w:t>4.</w:t>
      </w:r>
    </w:p>
    <w:p w14:paraId="24087386" w14:textId="77777777" w:rsidR="0088502A" w:rsidRPr="003E2461" w:rsidRDefault="0088502A" w:rsidP="003E2461"/>
    <w:p w14:paraId="734498F8" w14:textId="77777777" w:rsidR="0088502A" w:rsidRPr="003E2461" w:rsidRDefault="0088502A" w:rsidP="003E2461"/>
    <w:p w14:paraId="29AD5243" w14:textId="77777777" w:rsidR="0088502A" w:rsidRPr="0088502A" w:rsidRDefault="0088502A" w:rsidP="00C83CED">
      <w:pPr>
        <w:pStyle w:val="Heading2"/>
      </w:pPr>
      <w:bookmarkStart w:id="9" w:name="_Toc145605428"/>
      <w:r>
        <w:t>c)</w:t>
      </w:r>
      <w:r>
        <w:tab/>
        <w:t>Documentos TGP</w:t>
      </w:r>
      <w:bookmarkEnd w:id="9"/>
    </w:p>
    <w:p w14:paraId="7939AB07" w14:textId="77777777" w:rsidR="0088502A" w:rsidRPr="0088502A" w:rsidRDefault="0088502A" w:rsidP="0088502A">
      <w:pPr>
        <w:rPr>
          <w:sz w:val="18"/>
        </w:rPr>
      </w:pPr>
    </w:p>
    <w:p w14:paraId="346331D1" w14:textId="2966AD4C" w:rsidR="0088502A" w:rsidRPr="0088502A" w:rsidRDefault="0088502A" w:rsidP="002E4010">
      <w:pPr>
        <w:pStyle w:val="Heading3"/>
        <w:rPr>
          <w:snapToGrid w:val="0"/>
        </w:rPr>
      </w:pPr>
      <w:bookmarkStart w:id="10" w:name="_Toc145605429"/>
      <w:r>
        <w:t>TGP</w:t>
      </w:r>
      <w:r>
        <w:rPr>
          <w:snapToGrid w:val="0"/>
        </w:rPr>
        <w:t>/0 “Lista de documentos</w:t>
      </w:r>
      <w:r w:rsidR="00AC05EB">
        <w:rPr>
          <w:snapToGrid w:val="0"/>
        </w:rPr>
        <w:t> </w:t>
      </w:r>
      <w:r>
        <w:rPr>
          <w:snapToGrid w:val="0"/>
        </w:rPr>
        <w:t>TGP y fechas de última publicación” (revisión) (documento TGP/0/15 Draft 1)</w:t>
      </w:r>
      <w:bookmarkEnd w:id="10"/>
    </w:p>
    <w:p w14:paraId="5C7AE595" w14:textId="77777777" w:rsidR="0088502A" w:rsidRPr="0088502A" w:rsidRDefault="0088502A" w:rsidP="0088502A">
      <w:pPr>
        <w:rPr>
          <w:sz w:val="18"/>
        </w:rPr>
      </w:pPr>
    </w:p>
    <w:p w14:paraId="71C669FB" w14:textId="6E8A5A6D" w:rsidR="0088502A" w:rsidRPr="0088502A" w:rsidRDefault="0088502A" w:rsidP="0088502A">
      <w:r w:rsidRPr="0088502A">
        <w:fldChar w:fldCharType="begin"/>
      </w:r>
      <w:r w:rsidRPr="0088502A">
        <w:instrText xml:space="preserve"> AUTONUM  </w:instrText>
      </w:r>
      <w:r w:rsidRPr="0088502A">
        <w:fldChar w:fldCharType="end"/>
      </w:r>
      <w:r>
        <w:tab/>
        <w:t>Se invita al</w:t>
      </w:r>
      <w:r w:rsidR="00AC05EB">
        <w:t> </w:t>
      </w:r>
      <w:r>
        <w:t>Consejo a aprobar en</w:t>
      </w:r>
      <w:r w:rsidR="00AC05EB">
        <w:t> </w:t>
      </w:r>
      <w:r>
        <w:t>2023, junto con los documentos</w:t>
      </w:r>
      <w:r w:rsidR="00AC05EB">
        <w:t> </w:t>
      </w:r>
      <w:r>
        <w:t>TGP revisados, la revisión del documento</w:t>
      </w:r>
      <w:r w:rsidR="00AC05EB">
        <w:t> </w:t>
      </w:r>
      <w:r>
        <w:t>TGP/0 “Lista de documentos TGP y fechas de última publicación” (documento TGP/0/14) sobre la base del documento TGP/0/15 Draft 1.</w:t>
      </w:r>
    </w:p>
    <w:p w14:paraId="63DCAEC1" w14:textId="77777777" w:rsidR="0088502A" w:rsidRPr="0088502A" w:rsidRDefault="0088502A" w:rsidP="0088502A">
      <w:pPr>
        <w:rPr>
          <w:sz w:val="16"/>
        </w:rPr>
      </w:pPr>
    </w:p>
    <w:p w14:paraId="24290399" w14:textId="02D54DE2" w:rsidR="0088502A" w:rsidRDefault="0088502A" w:rsidP="00785345">
      <w:pPr>
        <w:pStyle w:val="DecisionParagraphs"/>
        <w:rPr>
          <w:spacing w:val="-4"/>
        </w:rPr>
      </w:pPr>
      <w:r w:rsidRPr="0088502A">
        <w:fldChar w:fldCharType="begin"/>
      </w:r>
      <w:r w:rsidRPr="0088502A">
        <w:instrText xml:space="preserve"> AUTONUM  </w:instrText>
      </w:r>
      <w:r w:rsidRPr="0088502A">
        <w:fldChar w:fldCharType="end"/>
      </w:r>
      <w:r>
        <w:tab/>
        <w:t>Se invita al</w:t>
      </w:r>
      <w:r w:rsidR="00AC05EB">
        <w:t> </w:t>
      </w:r>
      <w:r>
        <w:t>Consejo a aprobar el documento</w:t>
      </w:r>
      <w:r w:rsidR="00105AE1">
        <w:t xml:space="preserve"> </w:t>
      </w:r>
      <w:r>
        <w:t>TGP/0/14</w:t>
      </w:r>
      <w:r w:rsidR="00AC05EB">
        <w:t> </w:t>
      </w:r>
      <w:r>
        <w:t>Draft</w:t>
      </w:r>
      <w:r w:rsidR="00AC05EB">
        <w:t> </w:t>
      </w:r>
      <w:r>
        <w:t>1 “Lista de documentos</w:t>
      </w:r>
      <w:r w:rsidR="00AC05EB">
        <w:t> </w:t>
      </w:r>
      <w:r>
        <w:t>TGP y fechas de última publicación”, a reserva de la aprobación de los documentos en cuestión.</w:t>
      </w:r>
    </w:p>
    <w:p w14:paraId="547BC41F" w14:textId="08E49987" w:rsidR="00E95349" w:rsidRPr="0088502A" w:rsidRDefault="00E95349" w:rsidP="006F28F6">
      <w:pPr>
        <w:pStyle w:val="Heading1"/>
      </w:pPr>
      <w:bookmarkStart w:id="11" w:name="_Toc145605430"/>
      <w:r>
        <w:t>CUESTIONES QUE SE PROPONEN PARA SU APROBACIÓN POR EL CONSEJO EN 2023, PREVIO ACUERDO DEL COMITÉ ADMINISTRATIVO Y JURÍDICO</w:t>
      </w:r>
      <w:bookmarkEnd w:id="11"/>
    </w:p>
    <w:p w14:paraId="300FEEC9" w14:textId="77777777" w:rsidR="00381164" w:rsidRPr="0088502A" w:rsidRDefault="00381164" w:rsidP="00C83CED">
      <w:pPr>
        <w:pStyle w:val="Heading2"/>
      </w:pPr>
    </w:p>
    <w:p w14:paraId="6E484FD6" w14:textId="0D4FB10E" w:rsidR="00381164" w:rsidRPr="0088502A" w:rsidRDefault="00381164" w:rsidP="00381164">
      <w:pPr>
        <w:keepNext/>
      </w:pPr>
      <w:r w:rsidRPr="0088502A">
        <w:fldChar w:fldCharType="begin"/>
      </w:r>
      <w:r w:rsidRPr="0088502A">
        <w:instrText xml:space="preserve"> AUTONUM  </w:instrText>
      </w:r>
      <w:r w:rsidRPr="0088502A">
        <w:fldChar w:fldCharType="end"/>
      </w:r>
      <w:r>
        <w:tab/>
        <w:t>Las siguientes cuestiones propuestas para su aprobación por el</w:t>
      </w:r>
      <w:r w:rsidR="00AC05EB">
        <w:t> </w:t>
      </w:r>
      <w:r>
        <w:t>Consejo en</w:t>
      </w:r>
      <w:r w:rsidR="00AC05EB">
        <w:t> </w:t>
      </w:r>
      <w:r>
        <w:t>2023, han sido convenidas con anterioridad por el</w:t>
      </w:r>
      <w:r w:rsidR="002754D3">
        <w:t> </w:t>
      </w:r>
      <w:r>
        <w:t>TC, en su quincuagésima octava sesión</w:t>
      </w:r>
      <w:bookmarkStart w:id="12" w:name="_Ref145614465"/>
      <w:r w:rsidR="009262DF">
        <w:rPr>
          <w:rStyle w:val="FootnoteReference"/>
        </w:rPr>
        <w:footnoteReference w:id="7"/>
      </w:r>
      <w:bookmarkEnd w:id="12"/>
      <w:r>
        <w:t>, a reserva del examen del</w:t>
      </w:r>
      <w:r w:rsidR="002754D3">
        <w:t> </w:t>
      </w:r>
      <w:r>
        <w:t>CAJ, en su octogésima sesión.</w:t>
      </w:r>
    </w:p>
    <w:p w14:paraId="672BB522" w14:textId="0EC1DDD6" w:rsidR="00D453FB" w:rsidRDefault="00D453FB">
      <w:pPr>
        <w:jc w:val="left"/>
      </w:pPr>
    </w:p>
    <w:p w14:paraId="3E6801B5" w14:textId="77777777" w:rsidR="003E2461" w:rsidRDefault="003E2461">
      <w:pPr>
        <w:jc w:val="left"/>
      </w:pPr>
    </w:p>
    <w:p w14:paraId="4C90A329" w14:textId="50F54EFB" w:rsidR="00CF2959" w:rsidRPr="0088502A" w:rsidRDefault="00CF2959" w:rsidP="003E2461">
      <w:pPr>
        <w:pStyle w:val="Heading2"/>
      </w:pPr>
      <w:bookmarkStart w:id="13" w:name="_Toc145605431"/>
      <w:r>
        <w:t>Documentos TGP:</w:t>
      </w:r>
      <w:bookmarkEnd w:id="13"/>
    </w:p>
    <w:p w14:paraId="40DFBDCD" w14:textId="77777777" w:rsidR="00CF2959" w:rsidRPr="0088502A" w:rsidRDefault="00CF2959" w:rsidP="003E2461">
      <w:pPr>
        <w:keepNext/>
      </w:pPr>
    </w:p>
    <w:p w14:paraId="12D0C4E0" w14:textId="0AB543A4" w:rsidR="00381164" w:rsidRPr="0088502A" w:rsidRDefault="00381164" w:rsidP="002E4010">
      <w:pPr>
        <w:pStyle w:val="Heading3"/>
      </w:pPr>
      <w:bookmarkStart w:id="14" w:name="_Toc145605432"/>
      <w:r>
        <w:t>TGP/7</w:t>
      </w:r>
      <w:r w:rsidR="003E2461">
        <w:t>:</w:t>
      </w:r>
      <w:r w:rsidR="00105AE1">
        <w:t xml:space="preserve"> </w:t>
      </w:r>
      <w:r>
        <w:t>Elaboración de las directrices de examen (revisión)</w:t>
      </w:r>
      <w:bookmarkEnd w:id="14"/>
    </w:p>
    <w:p w14:paraId="6E1D91F3" w14:textId="77777777" w:rsidR="00381164" w:rsidRPr="0088502A" w:rsidRDefault="00381164" w:rsidP="00381164">
      <w:pPr>
        <w:keepNext/>
      </w:pPr>
    </w:p>
    <w:p w14:paraId="7F75098A" w14:textId="2CBE0ACA" w:rsidR="00381164" w:rsidRPr="0088502A" w:rsidRDefault="00381164" w:rsidP="00CF2959">
      <w:pPr>
        <w:pStyle w:val="Heading4"/>
      </w:pPr>
      <w:bookmarkStart w:id="15" w:name="_Toc145605433"/>
      <w:r>
        <w:t>Conversión del Anexo</w:t>
      </w:r>
      <w:r w:rsidR="002754D3">
        <w:t> </w:t>
      </w:r>
      <w:r>
        <w:t>1 de</w:t>
      </w:r>
      <w:r w:rsidR="000A6147">
        <w:t> </w:t>
      </w:r>
      <w:r>
        <w:t xml:space="preserve">TGP/7: </w:t>
      </w:r>
      <w:bookmarkStart w:id="16" w:name="_Toc141872241"/>
      <w:r>
        <w:t>Estructura y texto estándar universal de los documentos</w:t>
      </w:r>
      <w:r w:rsidR="000A6147">
        <w:t> </w:t>
      </w:r>
      <w:r>
        <w:t>TG (plantilla de las directrices de examen), conversión del párrafo</w:t>
      </w:r>
      <w:r w:rsidR="000A6147">
        <w:t> </w:t>
      </w:r>
      <w:r>
        <w:t>4.2.2 en texto opcional</w:t>
      </w:r>
      <w:bookmarkEnd w:id="16"/>
      <w:r>
        <w:t xml:space="preserve"> </w:t>
      </w:r>
      <w:r w:rsidR="00D07931">
        <w:br/>
      </w:r>
      <w:r>
        <w:t>(</w:t>
      </w:r>
      <w:r w:rsidR="006900F0">
        <w:t>Anexo</w:t>
      </w:r>
      <w:r w:rsidR="000A6147">
        <w:t> </w:t>
      </w:r>
      <w:r w:rsidR="006900F0">
        <w:t>II</w:t>
      </w:r>
      <w:r>
        <w:t> del presente documento)</w:t>
      </w:r>
      <w:bookmarkEnd w:id="15"/>
    </w:p>
    <w:p w14:paraId="47FBF37C" w14:textId="77777777" w:rsidR="00381164" w:rsidRPr="0088502A" w:rsidRDefault="00381164" w:rsidP="00381164">
      <w:pPr>
        <w:keepNext/>
      </w:pPr>
    </w:p>
    <w:p w14:paraId="27B8BBBB" w14:textId="33FDFD18" w:rsidR="00381164" w:rsidRPr="0088502A" w:rsidRDefault="00381164" w:rsidP="00381164">
      <w:pPr>
        <w:keepNext/>
        <w:keepLines/>
      </w:pPr>
      <w:r w:rsidRPr="0088502A">
        <w:fldChar w:fldCharType="begin"/>
      </w:r>
      <w:r w:rsidRPr="0088502A">
        <w:instrText xml:space="preserve"> AUTONUM  </w:instrText>
      </w:r>
      <w:r w:rsidRPr="0088502A">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 TC convino en modificar el documento</w:t>
      </w:r>
      <w:r w:rsidR="000A6147">
        <w:t> </w:t>
      </w:r>
      <w:r>
        <w:t>TGP/7 “Elaboración de las directrices de examen” con objeto de convertir en “texto estándar adicional” opcional el texto estándar del párrafo</w:t>
      </w:r>
      <w:r w:rsidR="000A6147">
        <w:t> </w:t>
      </w:r>
      <w:r>
        <w:t>4.2.2 de la plantilla de las directrices de examen (véase el párrafo</w:t>
      </w:r>
      <w:r w:rsidR="000A6147">
        <w:t> </w:t>
      </w:r>
      <w:r>
        <w:t>26 del documento</w:t>
      </w:r>
      <w:r w:rsidR="000A6147">
        <w:t> </w:t>
      </w:r>
      <w:r>
        <w:t xml:space="preserve">TC/58/31 “Informe”): </w:t>
      </w:r>
    </w:p>
    <w:p w14:paraId="7506CD0C" w14:textId="77777777" w:rsidR="00381164" w:rsidRPr="0088502A" w:rsidRDefault="00381164" w:rsidP="00381164">
      <w:pPr>
        <w:rPr>
          <w:u w:val="single"/>
        </w:rPr>
      </w:pPr>
    </w:p>
    <w:p w14:paraId="20F53694" w14:textId="015E85E3" w:rsidR="00381164" w:rsidRPr="0088502A" w:rsidRDefault="00381164" w:rsidP="00381164">
      <w:pPr>
        <w:ind w:left="567" w:right="459"/>
        <w:rPr>
          <w:spacing w:val="-2"/>
          <w:sz w:val="18"/>
        </w:rPr>
      </w:pPr>
      <w:r>
        <w:rPr>
          <w:sz w:val="18"/>
        </w:rPr>
        <w:t>“4.2.2</w:t>
      </w:r>
      <w:r>
        <w:rPr>
          <w:sz w:val="18"/>
        </w:rPr>
        <w:tab/>
        <w:t>Las presentes directrices de examen han sido desarrolladas para el examen de variedades [tipo o tipos de reproducción o multiplicación]. En el caso de variedades con otros tipos de reproducción o de multiplicación, deberán seguirse las recomendaciones que figuran en la Introducción General y en la sección</w:t>
      </w:r>
      <w:r w:rsidR="000A6147">
        <w:rPr>
          <w:sz w:val="18"/>
        </w:rPr>
        <w:t> </w:t>
      </w:r>
      <w:r>
        <w:rPr>
          <w:sz w:val="18"/>
        </w:rPr>
        <w:t>4.5 “Examen de la homogeneidad” del documento</w:t>
      </w:r>
      <w:r w:rsidR="000A6147">
        <w:rPr>
          <w:sz w:val="18"/>
        </w:rPr>
        <w:t> </w:t>
      </w:r>
      <w:r>
        <w:rPr>
          <w:sz w:val="18"/>
        </w:rPr>
        <w:t>TGP/13 “Orientaciones para nuevos tipos y especies”.</w:t>
      </w:r>
    </w:p>
    <w:p w14:paraId="7A3B90EC" w14:textId="77777777" w:rsidR="00381164" w:rsidRPr="0088502A" w:rsidRDefault="00381164" w:rsidP="00381164"/>
    <w:p w14:paraId="5A33A0AC" w14:textId="1A1E00C0" w:rsidR="00381164" w:rsidRPr="0088502A" w:rsidRDefault="00381164" w:rsidP="00381164">
      <w:r w:rsidRPr="0088502A">
        <w:fldChar w:fldCharType="begin"/>
      </w:r>
      <w:r w:rsidRPr="0088502A">
        <w:instrText xml:space="preserve"> AUTONUM  </w:instrText>
      </w:r>
      <w:r w:rsidRPr="0088502A">
        <w:fldChar w:fldCharType="end"/>
      </w:r>
      <w:r>
        <w:tab/>
        <w:t>Previo acuerdo del</w:t>
      </w:r>
      <w:r w:rsidR="000A6147">
        <w:t> </w:t>
      </w:r>
      <w:r>
        <w:t>CAJ, en su octogésima sesión, se someterá a la aprobación del</w:t>
      </w:r>
      <w:r w:rsidR="000A6147">
        <w:t> </w:t>
      </w:r>
      <w:r>
        <w:t>Consejo, en su quincuagésima séptima sesión ordinaria, una versión acordada del documento</w:t>
      </w:r>
      <w:r w:rsidR="000A6147">
        <w:t> </w:t>
      </w:r>
      <w:r>
        <w:t xml:space="preserve">TGP/7 sobre la base de las propuestas de modificación que figuran en el </w:t>
      </w:r>
      <w:r w:rsidR="006900F0">
        <w:t>Anexo</w:t>
      </w:r>
      <w:r w:rsidR="000A6147">
        <w:t> </w:t>
      </w:r>
      <w:r w:rsidR="006900F0">
        <w:t>II</w:t>
      </w:r>
      <w:r>
        <w:t xml:space="preserve"> del presente documento.</w:t>
      </w:r>
    </w:p>
    <w:p w14:paraId="09A7D8E7" w14:textId="77777777" w:rsidR="00381164" w:rsidRPr="0088502A" w:rsidRDefault="00381164" w:rsidP="00381164"/>
    <w:p w14:paraId="0738D769" w14:textId="120BBFA1" w:rsidR="00381164" w:rsidRPr="00D07931" w:rsidRDefault="00381164" w:rsidP="00785345">
      <w:pPr>
        <w:pStyle w:val="DecisionParagraphs"/>
      </w:pPr>
      <w:r w:rsidRPr="00D07931">
        <w:fldChar w:fldCharType="begin"/>
      </w:r>
      <w:r w:rsidRPr="00D07931">
        <w:instrText xml:space="preserve"> AUTONUM  </w:instrText>
      </w:r>
      <w:r w:rsidRPr="00D07931">
        <w:fldChar w:fldCharType="end"/>
      </w:r>
      <w:r w:rsidRPr="00D07931">
        <w:tab/>
        <w:t>Se invita al</w:t>
      </w:r>
      <w:r w:rsidR="000A6147" w:rsidRPr="00D07931">
        <w:t> </w:t>
      </w:r>
      <w:r w:rsidRPr="00D07931">
        <w:t>Consejo a aprobar una revisión del documento</w:t>
      </w:r>
      <w:r w:rsidR="000A6147" w:rsidRPr="00D07931">
        <w:t> </w:t>
      </w:r>
      <w:r w:rsidRPr="00D07931">
        <w:t xml:space="preserve">TGP/7 “Elaboración de las directrices de examen” sobre la base de las propuestas de modificación que figuran en el </w:t>
      </w:r>
      <w:r w:rsidR="006900F0" w:rsidRPr="00D07931">
        <w:t>Anexo</w:t>
      </w:r>
      <w:r w:rsidR="000A6147" w:rsidRPr="00D07931">
        <w:t> </w:t>
      </w:r>
      <w:r w:rsidR="006900F0" w:rsidRPr="00D07931">
        <w:t>II</w:t>
      </w:r>
      <w:r w:rsidRPr="00D07931">
        <w:t xml:space="preserve"> del presente documento, previo acuerdo del</w:t>
      </w:r>
      <w:r w:rsidR="000A6147" w:rsidRPr="00D07931">
        <w:t> </w:t>
      </w:r>
      <w:r w:rsidRPr="00D07931">
        <w:t>CAJ, en su octogésima sesión.</w:t>
      </w:r>
    </w:p>
    <w:p w14:paraId="2AAC812E" w14:textId="3E5B2CAE" w:rsidR="00381164" w:rsidRDefault="00381164" w:rsidP="00381164"/>
    <w:p w14:paraId="4ACDDC16" w14:textId="77777777" w:rsidR="00CF2959" w:rsidRPr="0088502A" w:rsidRDefault="00CF2959" w:rsidP="00381164"/>
    <w:p w14:paraId="36E497BB" w14:textId="55EAD423" w:rsidR="00381164" w:rsidRPr="0088502A" w:rsidRDefault="00381164" w:rsidP="002E4010">
      <w:pPr>
        <w:pStyle w:val="Heading3"/>
      </w:pPr>
      <w:bookmarkStart w:id="17" w:name="_Toc145605434"/>
      <w:r>
        <w:lastRenderedPageBreak/>
        <w:t>TGP/14</w:t>
      </w:r>
      <w:r w:rsidR="00D07931">
        <w:t>:</w:t>
      </w:r>
      <w:r w:rsidR="00105AE1">
        <w:t xml:space="preserve"> </w:t>
      </w:r>
      <w:r>
        <w:t>Glosario de términos utilizados en los documentos de la</w:t>
      </w:r>
      <w:r w:rsidR="000A6147">
        <w:t> </w:t>
      </w:r>
      <w:r>
        <w:t>UPOV (revisión)</w:t>
      </w:r>
      <w:bookmarkEnd w:id="17"/>
      <w:r>
        <w:t xml:space="preserve"> </w:t>
      </w:r>
    </w:p>
    <w:p w14:paraId="7A9DA87D" w14:textId="77777777" w:rsidR="00381164" w:rsidRPr="0088502A" w:rsidRDefault="00381164" w:rsidP="00381164">
      <w:pPr>
        <w:keepNext/>
        <w:keepLines/>
      </w:pPr>
    </w:p>
    <w:p w14:paraId="0D55AF29" w14:textId="56CC0999" w:rsidR="00381164" w:rsidRPr="0088502A" w:rsidRDefault="00381164" w:rsidP="00381164">
      <w:pPr>
        <w:keepNext/>
        <w:keepLines/>
      </w:pPr>
      <w:r w:rsidRPr="0088502A">
        <w:fldChar w:fldCharType="begin"/>
      </w:r>
      <w:r w:rsidRPr="0088502A">
        <w:instrText xml:space="preserve"> AUTONUM  </w:instrText>
      </w:r>
      <w:r w:rsidRPr="0088502A">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w:t>
      </w:r>
      <w:r w:rsidR="000A6147">
        <w:t> </w:t>
      </w:r>
      <w:r>
        <w:t>TC convino en corregir el documento</w:t>
      </w:r>
      <w:r w:rsidR="000A6147">
        <w:t> </w:t>
      </w:r>
      <w:r>
        <w:t>TGP/14 “Glosario de términos utilizados en los documentos de la</w:t>
      </w:r>
      <w:r w:rsidR="000A6147">
        <w:t> </w:t>
      </w:r>
      <w:r>
        <w:t>UPOV” del siguiente modo (véase el párrafo</w:t>
      </w:r>
      <w:r w:rsidR="000A6147">
        <w:t> </w:t>
      </w:r>
      <w:r>
        <w:t>117.c) del documento</w:t>
      </w:r>
      <w:r w:rsidR="000A6147">
        <w:t> </w:t>
      </w:r>
      <w:r>
        <w:t>TC/58/31 “Informe”):</w:t>
      </w:r>
    </w:p>
    <w:p w14:paraId="2B2D732A" w14:textId="77777777" w:rsidR="00381164" w:rsidRPr="0088502A" w:rsidRDefault="00381164" w:rsidP="00381164">
      <w:pPr>
        <w:keepNext/>
        <w:keepLines/>
      </w:pPr>
    </w:p>
    <w:p w14:paraId="09A7DFBD" w14:textId="3DD7A61D" w:rsidR="00381164" w:rsidRPr="0088502A" w:rsidRDefault="00381164" w:rsidP="00381164">
      <w:pPr>
        <w:keepNext/>
        <w:ind w:left="567" w:right="459"/>
        <w:rPr>
          <w:sz w:val="18"/>
        </w:rPr>
      </w:pPr>
      <w:r>
        <w:rPr>
          <w:sz w:val="18"/>
        </w:rPr>
        <w:t>“c) TG/280/1 Coralito; Heucherella / Documento</w:t>
      </w:r>
      <w:r w:rsidR="000A6147">
        <w:rPr>
          <w:sz w:val="18"/>
        </w:rPr>
        <w:t> </w:t>
      </w:r>
      <w:r>
        <w:rPr>
          <w:sz w:val="18"/>
        </w:rPr>
        <w:t>TGP/14 ‘Glosario de términos utilizados en los documentos de la</w:t>
      </w:r>
      <w:r w:rsidR="000A6147">
        <w:rPr>
          <w:sz w:val="18"/>
        </w:rPr>
        <w:t> </w:t>
      </w:r>
      <w:r>
        <w:rPr>
          <w:sz w:val="18"/>
        </w:rPr>
        <w:t>UPOV’</w:t>
      </w:r>
    </w:p>
    <w:p w14:paraId="083F0219" w14:textId="77777777" w:rsidR="00381164" w:rsidRPr="0088502A" w:rsidRDefault="00381164" w:rsidP="00381164">
      <w:pPr>
        <w:keepNext/>
        <w:ind w:left="567" w:right="459"/>
        <w:rPr>
          <w:sz w:val="18"/>
        </w:rPr>
      </w:pPr>
    </w:p>
    <w:p w14:paraId="7440218A" w14:textId="77777777" w:rsidR="00381164" w:rsidRPr="0088502A" w:rsidRDefault="00381164" w:rsidP="00381164">
      <w:pPr>
        <w:keepNext/>
        <w:ind w:left="567" w:right="459"/>
        <w:rPr>
          <w:sz w:val="18"/>
        </w:rPr>
      </w:pPr>
      <w:r>
        <w:rPr>
          <w:sz w:val="18"/>
        </w:rPr>
        <w:t xml:space="preserve">“La corrección afecta a los siguientes elementos: </w:t>
      </w:r>
    </w:p>
    <w:p w14:paraId="5B53AEA1" w14:textId="77777777" w:rsidR="00381164" w:rsidRPr="0088502A" w:rsidRDefault="00381164" w:rsidP="00381164">
      <w:pPr>
        <w:keepNext/>
        <w:ind w:left="567" w:right="459"/>
        <w:rPr>
          <w:sz w:val="18"/>
        </w:rPr>
      </w:pPr>
    </w:p>
    <w:p w14:paraId="345F4E4D" w14:textId="18C5D5A8" w:rsidR="00381164" w:rsidRPr="0088502A" w:rsidRDefault="00381164" w:rsidP="00381164">
      <w:pPr>
        <w:keepNext/>
        <w:keepLines/>
        <w:ind w:left="567" w:right="459"/>
        <w:rPr>
          <w:sz w:val="18"/>
        </w:rPr>
      </w:pPr>
      <w:r>
        <w:rPr>
          <w:sz w:val="18"/>
        </w:rPr>
        <w:t>“• Sección</w:t>
      </w:r>
      <w:r w:rsidR="000A6147">
        <w:rPr>
          <w:sz w:val="18"/>
        </w:rPr>
        <w:t> </w:t>
      </w:r>
      <w:r>
        <w:rPr>
          <w:sz w:val="18"/>
        </w:rPr>
        <w:t xml:space="preserve">8.2, ejemplo práctico dos: Venus (variedad con hojas de varios colores), 45: Limbo: tercer color: distribución; el texto ha de ser: ‘entre los nervios en la zona </w:t>
      </w:r>
      <w:r>
        <w:rPr>
          <w:strike/>
          <w:sz w:val="18"/>
          <w:highlight w:val="lightGray"/>
        </w:rPr>
        <w:t>intermedia</w:t>
      </w:r>
      <w:r>
        <w:rPr>
          <w:sz w:val="18"/>
        </w:rPr>
        <w:t xml:space="preserve"> </w:t>
      </w:r>
      <w:r>
        <w:rPr>
          <w:sz w:val="18"/>
          <w:highlight w:val="lightGray"/>
          <w:u w:val="single"/>
        </w:rPr>
        <w:t>central</w:t>
      </w:r>
      <w:r>
        <w:rPr>
          <w:sz w:val="18"/>
        </w:rPr>
        <w:t xml:space="preserve"> (5)’ </w:t>
      </w:r>
    </w:p>
    <w:p w14:paraId="474BA475" w14:textId="77777777" w:rsidR="00381164" w:rsidRPr="0088502A" w:rsidRDefault="00381164" w:rsidP="00381164">
      <w:pPr>
        <w:keepNext/>
        <w:keepLines/>
        <w:ind w:left="567" w:right="459"/>
        <w:rPr>
          <w:sz w:val="18"/>
        </w:rPr>
      </w:pPr>
    </w:p>
    <w:p w14:paraId="3BF0F718" w14:textId="433265D5" w:rsidR="00381164" w:rsidRPr="0088502A" w:rsidRDefault="00381164" w:rsidP="00381164">
      <w:pPr>
        <w:keepLines/>
        <w:ind w:left="567" w:right="459"/>
        <w:rPr>
          <w:sz w:val="18"/>
        </w:rPr>
      </w:pPr>
      <w:r>
        <w:rPr>
          <w:sz w:val="18"/>
        </w:rPr>
        <w:t>“• La misma explicación se reproduce en el documento</w:t>
      </w:r>
      <w:r w:rsidR="000A6147">
        <w:rPr>
          <w:sz w:val="18"/>
        </w:rPr>
        <w:t> </w:t>
      </w:r>
      <w:r>
        <w:rPr>
          <w:sz w:val="18"/>
        </w:rPr>
        <w:t>TGP/14 “Glosario de términos utilizados en los documentos de la</w:t>
      </w:r>
      <w:r w:rsidR="000A6147">
        <w:rPr>
          <w:sz w:val="18"/>
        </w:rPr>
        <w:t> </w:t>
      </w:r>
      <w:r>
        <w:rPr>
          <w:sz w:val="18"/>
        </w:rPr>
        <w:t>UPOV” y se corregirá en consecuencia”.</w:t>
      </w:r>
    </w:p>
    <w:p w14:paraId="26441E59" w14:textId="77777777" w:rsidR="00381164" w:rsidRPr="0088502A" w:rsidRDefault="00381164" w:rsidP="00381164"/>
    <w:p w14:paraId="1E4D12E0" w14:textId="45678973" w:rsidR="00381164" w:rsidRPr="0088502A" w:rsidRDefault="00381164" w:rsidP="00381164">
      <w:r w:rsidRPr="0088502A">
        <w:fldChar w:fldCharType="begin"/>
      </w:r>
      <w:r w:rsidRPr="0088502A">
        <w:instrText xml:space="preserve"> AUTONUM  </w:instrText>
      </w:r>
      <w:r w:rsidRPr="0088502A">
        <w:fldChar w:fldCharType="end"/>
      </w:r>
      <w:r>
        <w:tab/>
        <w:t>Previo acuerdo del</w:t>
      </w:r>
      <w:r w:rsidR="000A6147">
        <w:t> </w:t>
      </w:r>
      <w:r>
        <w:t>CAJ, en su octogésima sesión, se someterá a la aprobación del</w:t>
      </w:r>
      <w:r w:rsidR="000A6147">
        <w:t> </w:t>
      </w:r>
      <w:r>
        <w:t>Consejo, en su quincuagésima séptima sesión ordinaria, la corrección del documento</w:t>
      </w:r>
      <w:r w:rsidR="000A6147">
        <w:t> </w:t>
      </w:r>
      <w:r>
        <w:t>TGP/14 “Glosario de términos utilizados en los documentos de la</w:t>
      </w:r>
      <w:r w:rsidR="000A6147">
        <w:t> </w:t>
      </w:r>
      <w:r>
        <w:t>UPOV”, convenida por el</w:t>
      </w:r>
      <w:r w:rsidR="000A6147">
        <w:t> </w:t>
      </w:r>
      <w:r>
        <w:t>TC 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xml:space="preserve">. </w:t>
      </w:r>
    </w:p>
    <w:p w14:paraId="0DD9ED5A" w14:textId="77777777" w:rsidR="00381164" w:rsidRPr="0088502A" w:rsidRDefault="00381164" w:rsidP="00381164"/>
    <w:p w14:paraId="7C733E3A" w14:textId="70D240DD" w:rsidR="00381164" w:rsidRPr="0088502A" w:rsidRDefault="00381164" w:rsidP="00785345">
      <w:pPr>
        <w:pStyle w:val="DecisionParagraphs"/>
        <w:rPr>
          <w:spacing w:val="2"/>
        </w:rPr>
      </w:pPr>
      <w:r w:rsidRPr="0088502A">
        <w:fldChar w:fldCharType="begin"/>
      </w:r>
      <w:r w:rsidRPr="0088502A">
        <w:instrText xml:space="preserve"> AUTONUM  </w:instrText>
      </w:r>
      <w:r w:rsidRPr="0088502A">
        <w:fldChar w:fldCharType="end"/>
      </w:r>
      <w:r>
        <w:tab/>
        <w:t>Se invita al</w:t>
      </w:r>
      <w:r w:rsidR="000A6147">
        <w:t> </w:t>
      </w:r>
      <w:r>
        <w:t>Consejo a aprobar una revisión del documento</w:t>
      </w:r>
      <w:r w:rsidR="000A6147">
        <w:t> </w:t>
      </w:r>
      <w:r>
        <w:t>TGP/14 “Glosario de términos utilizados en los documentos de la</w:t>
      </w:r>
      <w:r w:rsidR="000A6147">
        <w:t> </w:t>
      </w:r>
      <w:r>
        <w:t>UPOV” sobre la base de la corrección que se expone en el párrafo 30 del presente documento, previo acuerdo del</w:t>
      </w:r>
      <w:r w:rsidR="000A6147">
        <w:t> </w:t>
      </w:r>
      <w:r>
        <w:t>CAJ, en su octogésima sesión.</w:t>
      </w:r>
    </w:p>
    <w:p w14:paraId="6624EDF3" w14:textId="1A0A4358" w:rsidR="006F28F6" w:rsidRPr="0088502A" w:rsidRDefault="006F28F6" w:rsidP="00D07931">
      <w:pPr>
        <w:pStyle w:val="Heading1"/>
      </w:pPr>
      <w:bookmarkStart w:id="18" w:name="_Toc145605435"/>
      <w:r>
        <w:t>CUESTIONES QUE SE PROPONEN PARA SU APROBACIÓN POR EL CONSEJO EN 2023, PREVIO ACUERDO DEL COMITÉ TÉCNICO Y DEL COMITÉ ADMINISTRATIVO Y JURÍDICO</w:t>
      </w:r>
      <w:bookmarkEnd w:id="18"/>
    </w:p>
    <w:p w14:paraId="4A38D037" w14:textId="77777777" w:rsidR="006F28F6" w:rsidRDefault="006F28F6" w:rsidP="00D07931">
      <w:pPr>
        <w:keepNext/>
        <w:jc w:val="left"/>
        <w:rPr>
          <w:rFonts w:cs="Arial"/>
          <w:snapToGrid w:val="0"/>
        </w:rPr>
      </w:pPr>
    </w:p>
    <w:p w14:paraId="7CEB0E6C" w14:textId="749A1DD6" w:rsidR="008C3964" w:rsidRPr="0088502A" w:rsidRDefault="008C3964" w:rsidP="00D07931">
      <w:pPr>
        <w:keepNext/>
      </w:pPr>
      <w:r w:rsidRPr="0088502A">
        <w:fldChar w:fldCharType="begin"/>
      </w:r>
      <w:r w:rsidRPr="0088502A">
        <w:instrText xml:space="preserve"> AUTONUM  </w:instrText>
      </w:r>
      <w:r w:rsidRPr="0088502A">
        <w:fldChar w:fldCharType="end"/>
      </w:r>
      <w:r>
        <w:tab/>
        <w:t>Se proponen las siguientes cuestiones para su aprobación por el</w:t>
      </w:r>
      <w:r w:rsidR="000A6147">
        <w:t> </w:t>
      </w:r>
      <w:r>
        <w:t>Consejo en</w:t>
      </w:r>
      <w:r w:rsidR="000A6147">
        <w:t> </w:t>
      </w:r>
      <w:r>
        <w:t>2023, a reserva de la aprobación del</w:t>
      </w:r>
      <w:r w:rsidR="000A6147">
        <w:t> </w:t>
      </w:r>
      <w:r>
        <w:t>TC y del</w:t>
      </w:r>
      <w:r w:rsidR="000A6147">
        <w:t> </w:t>
      </w:r>
      <w:r>
        <w:t>CAJ, en sus sesiones de</w:t>
      </w:r>
      <w:r w:rsidR="000A6147">
        <w:t> </w:t>
      </w:r>
      <w:r>
        <w:t>2023.</w:t>
      </w:r>
    </w:p>
    <w:p w14:paraId="609552B3" w14:textId="3754477B" w:rsidR="008C3964" w:rsidRDefault="008C3964" w:rsidP="002E4010">
      <w:pPr>
        <w:pStyle w:val="Heading3"/>
      </w:pPr>
    </w:p>
    <w:p w14:paraId="374715EC" w14:textId="77777777" w:rsidR="00D07931" w:rsidRPr="00D07931" w:rsidRDefault="00D07931" w:rsidP="00D07931">
      <w:pPr>
        <w:keepNext/>
      </w:pPr>
    </w:p>
    <w:p w14:paraId="5B927478" w14:textId="77777777" w:rsidR="00E95349" w:rsidRPr="0088502A" w:rsidRDefault="00E95349" w:rsidP="00C83CED">
      <w:pPr>
        <w:pStyle w:val="Heading2"/>
      </w:pPr>
      <w:bookmarkStart w:id="19" w:name="_Toc145605436"/>
      <w:r>
        <w:t>a)</w:t>
      </w:r>
      <w:r>
        <w:tab/>
        <w:t>Documentos de información:</w:t>
      </w:r>
      <w:bookmarkEnd w:id="19"/>
    </w:p>
    <w:p w14:paraId="1C8AF876" w14:textId="77777777" w:rsidR="00E95349" w:rsidRPr="0088502A" w:rsidRDefault="00E95349" w:rsidP="00D07931">
      <w:pPr>
        <w:keepNext/>
        <w:rPr>
          <w:i/>
        </w:rPr>
      </w:pPr>
    </w:p>
    <w:p w14:paraId="1A6A8AAE" w14:textId="5662072C" w:rsidR="00E95349" w:rsidRPr="0088502A" w:rsidRDefault="00E95349" w:rsidP="002E4010">
      <w:pPr>
        <w:pStyle w:val="Heading3"/>
      </w:pPr>
      <w:bookmarkStart w:id="20" w:name="_Toc145605437"/>
      <w:r>
        <w:t>UPOV/INF/16</w:t>
      </w:r>
      <w:r w:rsidR="00D07931">
        <w:t>:</w:t>
      </w:r>
      <w:r w:rsidR="005B66D3">
        <w:t xml:space="preserve"> </w:t>
      </w:r>
      <w:r>
        <w:t xml:space="preserve">Programas informáticos para intercambio (revisión) </w:t>
      </w:r>
      <w:r>
        <w:rPr>
          <w:snapToGrid w:val="0"/>
        </w:rPr>
        <w:t>(documento UPOV/INF/16/12 Draft 1)</w:t>
      </w:r>
      <w:bookmarkEnd w:id="20"/>
    </w:p>
    <w:p w14:paraId="0456F774" w14:textId="77777777" w:rsidR="00E95349" w:rsidRPr="0088502A" w:rsidRDefault="00E95349" w:rsidP="00D07931">
      <w:pPr>
        <w:keepNext/>
        <w:rPr>
          <w:spacing w:val="-2"/>
        </w:rPr>
      </w:pPr>
    </w:p>
    <w:p w14:paraId="175FC023" w14:textId="16DF0AE0" w:rsidR="00E95349" w:rsidRPr="0088502A" w:rsidRDefault="00E95349" w:rsidP="00436F48">
      <w:pPr>
        <w:keepLines/>
        <w:rPr>
          <w:spacing w:val="2"/>
        </w:rPr>
      </w:pPr>
      <w:r w:rsidRPr="0088502A">
        <w:rPr>
          <w:snapToGrid w:val="0"/>
        </w:rPr>
        <w:fldChar w:fldCharType="begin"/>
      </w:r>
      <w:r w:rsidRPr="0088502A">
        <w:rPr>
          <w:snapToGrid w:val="0"/>
        </w:rPr>
        <w:instrText xml:space="preserve"> AUTONUM  </w:instrText>
      </w:r>
      <w:r w:rsidRPr="0088502A">
        <w:rPr>
          <w:snapToGrid w:val="0"/>
        </w:rPr>
        <w:fldChar w:fldCharType="end"/>
      </w:r>
      <w:r>
        <w:rPr>
          <w:snapToGrid w:val="0"/>
        </w:rPr>
        <w:tab/>
        <w:t>El procedimiento de inclusión de información en el d</w:t>
      </w:r>
      <w:r>
        <w:t>ocumento</w:t>
      </w:r>
      <w:r w:rsidR="00645997">
        <w:t> </w:t>
      </w:r>
      <w:r>
        <w:t xml:space="preserve">UPOV/INF/16 se expone en la </w:t>
      </w:r>
      <w:r>
        <w:rPr>
          <w:snapToGrid w:val="0"/>
        </w:rPr>
        <w:t>sección</w:t>
      </w:r>
      <w:r w:rsidR="00645997">
        <w:rPr>
          <w:snapToGrid w:val="0"/>
        </w:rPr>
        <w:t> </w:t>
      </w:r>
      <w:r>
        <w:rPr>
          <w:snapToGrid w:val="0"/>
        </w:rPr>
        <w:t xml:space="preserve">4 de ese documento. </w:t>
      </w:r>
      <w:r>
        <w:t>El</w:t>
      </w:r>
      <w:r w:rsidR="00645997">
        <w:t> </w:t>
      </w:r>
      <w:r>
        <w:t>26 de mayo de</w:t>
      </w:r>
      <w:r w:rsidR="00645997">
        <w:t> </w:t>
      </w:r>
      <w:r>
        <w:t>2023, la</w:t>
      </w:r>
      <w:r w:rsidR="00645997">
        <w:t> </w:t>
      </w:r>
      <w:r>
        <w:t>Oficina de la</w:t>
      </w:r>
      <w:r w:rsidR="00645997">
        <w:t> </w:t>
      </w:r>
      <w:r>
        <w:t>Unión envió la</w:t>
      </w:r>
      <w:r w:rsidR="00645997">
        <w:t> </w:t>
      </w:r>
      <w:r>
        <w:t>Circular</w:t>
      </w:r>
      <w:r w:rsidR="00645997">
        <w:t> </w:t>
      </w:r>
      <w:r>
        <w:t>E</w:t>
      </w:r>
      <w:r w:rsidR="00645997">
        <w:noBreakHyphen/>
      </w:r>
      <w:r>
        <w:t>23/081 a las personas designadas por los miembros de la</w:t>
      </w:r>
      <w:r w:rsidR="00645997">
        <w:t> </w:t>
      </w:r>
      <w:r>
        <w:t>Unión para asistir al</w:t>
      </w:r>
      <w:r w:rsidR="00645997">
        <w:t> </w:t>
      </w:r>
      <w:r>
        <w:t>TC, invitándolas a proporcionar información nueva o actualizada en relación a: 1) programas informáticos desarrollados o adaptados por miembros de la</w:t>
      </w:r>
      <w:r w:rsidR="00645997">
        <w:t> </w:t>
      </w:r>
      <w:r>
        <w:t>Unión a los efectos de la protección de las obtenciones vegetales que deseen poner a disposición de otros miembros de la</w:t>
      </w:r>
      <w:r w:rsidR="00645997">
        <w:t> </w:t>
      </w:r>
      <w:r>
        <w:t>Unión y 2) el uso de los programas informáticos incluidos en el documento</w:t>
      </w:r>
      <w:r w:rsidR="00645997">
        <w:t> </w:t>
      </w:r>
      <w:r>
        <w:t>UPOV/INF/16/11 “Programas informáticos para intercambio”. Se recibieron respuestas de la</w:t>
      </w:r>
      <w:r w:rsidR="00645997">
        <w:t> </w:t>
      </w:r>
      <w:r>
        <w:t>Argentina, que se incluyeron en el documento</w:t>
      </w:r>
      <w:r w:rsidR="00645997">
        <w:t> </w:t>
      </w:r>
      <w:r>
        <w:t>UPOV/INF/16/12 Draft 1.</w:t>
      </w:r>
    </w:p>
    <w:p w14:paraId="4F5AAB85" w14:textId="77777777" w:rsidR="00E95349" w:rsidRPr="0088502A" w:rsidRDefault="00E95349" w:rsidP="00E95349"/>
    <w:p w14:paraId="6472FEFB" w14:textId="3080C68C" w:rsidR="00E95349" w:rsidRPr="0088502A" w:rsidRDefault="00E95349" w:rsidP="00E95349">
      <w:pPr>
        <w:keepLines/>
      </w:pPr>
      <w:r w:rsidRPr="0088502A">
        <w:fldChar w:fldCharType="begin"/>
      </w:r>
      <w:r w:rsidRPr="0088502A">
        <w:instrText xml:space="preserve"> AUTONUM  </w:instrText>
      </w:r>
      <w:r w:rsidRPr="0088502A">
        <w:fldChar w:fldCharType="end"/>
      </w:r>
      <w:r>
        <w:tab/>
        <w:t>Previo acuerdo del</w:t>
      </w:r>
      <w:r w:rsidR="00645997">
        <w:t> </w:t>
      </w:r>
      <w:r>
        <w:t>TC, en su quincuagésima novena sesión, y del</w:t>
      </w:r>
      <w:r w:rsidR="00645997">
        <w:t> </w:t>
      </w:r>
      <w:r>
        <w:t>CAJ, en su octogésima sesión, se someterá a la aprobación del</w:t>
      </w:r>
      <w:r w:rsidR="00645997">
        <w:t> </w:t>
      </w:r>
      <w:r>
        <w:t>Consejo, en su quincuagésima séptima sesión ordinaria, una revisión acordada del documento</w:t>
      </w:r>
      <w:r w:rsidR="00645997">
        <w:t> </w:t>
      </w:r>
      <w:r>
        <w:t>UPOV/INF/16/11 “Programas informáticos para intercambio” sobre la base de las revisiones propuestas, que figuran en el documento</w:t>
      </w:r>
      <w:r w:rsidR="00645997">
        <w:t> </w:t>
      </w:r>
      <w:r>
        <w:t xml:space="preserve">UPOV/INF/16/12 Draft 1.  </w:t>
      </w:r>
    </w:p>
    <w:p w14:paraId="2AACD214" w14:textId="77777777" w:rsidR="00E95349" w:rsidRPr="0088502A" w:rsidRDefault="00E95349" w:rsidP="008378AB"/>
    <w:p w14:paraId="43041C83" w14:textId="44315C25" w:rsidR="00E95349" w:rsidRDefault="00E95349" w:rsidP="00785345">
      <w:pPr>
        <w:pStyle w:val="DecisionParagraphs"/>
      </w:pPr>
      <w:r w:rsidRPr="0088502A">
        <w:fldChar w:fldCharType="begin"/>
      </w:r>
      <w:r w:rsidRPr="0088502A">
        <w:instrText xml:space="preserve"> AUTONUM  </w:instrText>
      </w:r>
      <w:r w:rsidRPr="0088502A">
        <w:fldChar w:fldCharType="end"/>
      </w:r>
      <w:r>
        <w:tab/>
        <w:t>Se invita al</w:t>
      </w:r>
      <w:r w:rsidR="00645997">
        <w:t> </w:t>
      </w:r>
      <w:r>
        <w:t>Consejo a aprobar la revisión del documento</w:t>
      </w:r>
      <w:r w:rsidR="00645997">
        <w:t> </w:t>
      </w:r>
      <w:r>
        <w:t>UPOV/INF/16/11 “Programas informáticos para intercambio” sobre la base del documento</w:t>
      </w:r>
      <w:r w:rsidR="00785345">
        <w:t xml:space="preserve"> </w:t>
      </w:r>
      <w:r>
        <w:t>UPOV/INF/16/12 Draft 1, a reserva de la aprobación del</w:t>
      </w:r>
      <w:r w:rsidR="00645997">
        <w:t> </w:t>
      </w:r>
      <w:r>
        <w:t>TC y del</w:t>
      </w:r>
      <w:r w:rsidR="00645997">
        <w:t> </w:t>
      </w:r>
      <w:r>
        <w:t>CAJ, en sus sesiones de</w:t>
      </w:r>
      <w:r w:rsidR="00645997">
        <w:t> </w:t>
      </w:r>
      <w:r>
        <w:t>2023.</w:t>
      </w:r>
    </w:p>
    <w:p w14:paraId="4671D1F0" w14:textId="77777777" w:rsidR="00785345" w:rsidRPr="00785345" w:rsidRDefault="00785345" w:rsidP="00785345"/>
    <w:p w14:paraId="02C6FBD0" w14:textId="77777777" w:rsidR="00726569" w:rsidRDefault="00726569">
      <w:pPr>
        <w:jc w:val="left"/>
        <w:rPr>
          <w:i/>
          <w:spacing w:val="-4"/>
        </w:rPr>
      </w:pPr>
      <w:bookmarkStart w:id="21" w:name="_Toc145605438"/>
      <w:r>
        <w:br w:type="page"/>
      </w:r>
    </w:p>
    <w:p w14:paraId="0FC69FDD" w14:textId="6316F522" w:rsidR="00E95349" w:rsidRPr="0088502A" w:rsidRDefault="00E95349" w:rsidP="002E4010">
      <w:pPr>
        <w:pStyle w:val="Heading3"/>
      </w:pPr>
      <w:r>
        <w:lastRenderedPageBreak/>
        <w:t>UPOV/INF/22</w:t>
      </w:r>
      <w:r w:rsidR="00D07931">
        <w:t>:</w:t>
      </w:r>
      <w:r w:rsidR="005B66D3">
        <w:t xml:space="preserve"> </w:t>
      </w:r>
      <w:r>
        <w:t>Programas informáticos y equipos utilizados por los miembros de la Unión (revisión) (documento UPOV/INF/22/10</w:t>
      </w:r>
      <w:r w:rsidR="00645997">
        <w:t> </w:t>
      </w:r>
      <w:r>
        <w:t>Draft</w:t>
      </w:r>
      <w:r w:rsidR="00645997">
        <w:t> </w:t>
      </w:r>
      <w:r>
        <w:t>1)</w:t>
      </w:r>
      <w:bookmarkEnd w:id="21"/>
    </w:p>
    <w:p w14:paraId="51EFA5B2" w14:textId="77777777" w:rsidR="00E95349" w:rsidRPr="0088502A" w:rsidRDefault="00E95349" w:rsidP="00223DD7">
      <w:pPr>
        <w:keepNext/>
      </w:pPr>
    </w:p>
    <w:p w14:paraId="71B47148" w14:textId="684CF4D2" w:rsidR="00C43571" w:rsidRPr="0088502A" w:rsidRDefault="00C43571" w:rsidP="00785345">
      <w:r w:rsidRPr="0088502A">
        <w:fldChar w:fldCharType="begin"/>
      </w:r>
      <w:r w:rsidRPr="0088502A">
        <w:instrText xml:space="preserve"> AUTONUM  </w:instrText>
      </w:r>
      <w:r w:rsidRPr="0088502A">
        <w:fldChar w:fldCharType="end"/>
      </w:r>
      <w:r>
        <w:tab/>
      </w:r>
      <w:r>
        <w:rPr>
          <w:rStyle w:val="ui-provider"/>
        </w:rPr>
        <w:t>El</w:t>
      </w:r>
      <w:r w:rsidR="00645997">
        <w:rPr>
          <w:rStyle w:val="ui-provider"/>
        </w:rPr>
        <w:t> </w:t>
      </w:r>
      <w:r>
        <w:rPr>
          <w:rStyle w:val="ui-provider"/>
        </w:rPr>
        <w:t>26 de mayo de</w:t>
      </w:r>
      <w:r w:rsidR="00645997">
        <w:rPr>
          <w:rStyle w:val="ui-provider"/>
        </w:rPr>
        <w:t> </w:t>
      </w:r>
      <w:r>
        <w:rPr>
          <w:rStyle w:val="ui-provider"/>
        </w:rPr>
        <w:t>2023, la</w:t>
      </w:r>
      <w:r w:rsidR="00645997">
        <w:rPr>
          <w:rStyle w:val="ui-provider"/>
        </w:rPr>
        <w:t> </w:t>
      </w:r>
      <w:r>
        <w:rPr>
          <w:rStyle w:val="ui-provider"/>
        </w:rPr>
        <w:t>Oficina de la</w:t>
      </w:r>
      <w:r w:rsidR="00645997">
        <w:rPr>
          <w:rStyle w:val="ui-provider"/>
        </w:rPr>
        <w:t> </w:t>
      </w:r>
      <w:r>
        <w:rPr>
          <w:rStyle w:val="ui-provider"/>
        </w:rPr>
        <w:t>Unión envió la Circular</w:t>
      </w:r>
      <w:r w:rsidR="00645997">
        <w:rPr>
          <w:rStyle w:val="ui-provider"/>
        </w:rPr>
        <w:t> </w:t>
      </w:r>
      <w:r>
        <w:rPr>
          <w:rStyle w:val="ui-provider"/>
        </w:rPr>
        <w:t>E</w:t>
      </w:r>
      <w:r w:rsidR="00645997">
        <w:rPr>
          <w:rStyle w:val="ui-provider"/>
        </w:rPr>
        <w:noBreakHyphen/>
      </w:r>
      <w:r>
        <w:rPr>
          <w:rStyle w:val="ui-provider"/>
        </w:rPr>
        <w:t>23/081 a las personas designadas por los miembros de la Unión para asistir al</w:t>
      </w:r>
      <w:r w:rsidR="00645997">
        <w:rPr>
          <w:rStyle w:val="ui-provider"/>
        </w:rPr>
        <w:t> </w:t>
      </w:r>
      <w:r>
        <w:rPr>
          <w:rStyle w:val="ui-provider"/>
        </w:rPr>
        <w:t>TC, invitándolas a proporcionar información nueva o actualizada sobre el uso que hacen de los programas informáticos y equipos existentes en el documento</w:t>
      </w:r>
      <w:r w:rsidR="00645997">
        <w:rPr>
          <w:rStyle w:val="ui-provider"/>
        </w:rPr>
        <w:t> </w:t>
      </w:r>
      <w:r>
        <w:rPr>
          <w:rStyle w:val="ui-provider"/>
        </w:rPr>
        <w:t>UPOV/INF/22/9 “Programas informáticos y equipos utilizados p</w:t>
      </w:r>
      <w:r>
        <w:t>or los miembros de la Unión”. Se recibieron respuestas de la Argentina, Belarús, Croacia, Estonia y Ucrania, que se incluyeron en el documento</w:t>
      </w:r>
      <w:r w:rsidR="00645997">
        <w:t> </w:t>
      </w:r>
      <w:r>
        <w:t>UPOV/INF/22/10 Draft 1.</w:t>
      </w:r>
    </w:p>
    <w:p w14:paraId="326ACC45" w14:textId="77777777" w:rsidR="00C43571" w:rsidRPr="0088502A" w:rsidRDefault="00C43571" w:rsidP="00E95349"/>
    <w:p w14:paraId="462B494F" w14:textId="5AB697B4" w:rsidR="00E95349" w:rsidRPr="0088502A" w:rsidRDefault="00E95349" w:rsidP="00E95349">
      <w:pPr>
        <w:keepLines/>
      </w:pPr>
      <w:r w:rsidRPr="0088502A">
        <w:fldChar w:fldCharType="begin"/>
      </w:r>
      <w:r w:rsidRPr="0088502A">
        <w:instrText xml:space="preserve"> AUTONUM  </w:instrText>
      </w:r>
      <w:r w:rsidRPr="0088502A">
        <w:fldChar w:fldCharType="end"/>
      </w:r>
      <w:r>
        <w:tab/>
        <w:t>Previo acuerdo del</w:t>
      </w:r>
      <w:r w:rsidR="00645997">
        <w:t> </w:t>
      </w:r>
      <w:r>
        <w:t>TC, en su quincuagésima novena sesión, y del</w:t>
      </w:r>
      <w:r w:rsidR="00645997">
        <w:t> </w:t>
      </w:r>
      <w:r>
        <w:t>CAJ, en su octogésima sesión, se someterá a la aprobación del</w:t>
      </w:r>
      <w:r w:rsidR="00645997">
        <w:t> </w:t>
      </w:r>
      <w:r>
        <w:t>Consejo, en su quincuagésima séptima sesión ordinaria, una revisión acordada del documento</w:t>
      </w:r>
      <w:r w:rsidR="00645997">
        <w:t> </w:t>
      </w:r>
      <w:r>
        <w:t>UPOV/INF/22/9 “Programas informáticos y equipos utilizados por los miembros de la Unión” sobre la base de las revisiones propuestas, que figuran en el documento</w:t>
      </w:r>
      <w:r w:rsidR="00645997">
        <w:t> </w:t>
      </w:r>
      <w:r>
        <w:t>UPOV/INF/22/10</w:t>
      </w:r>
      <w:r w:rsidR="00645997">
        <w:t> </w:t>
      </w:r>
      <w:r>
        <w:t>Draft</w:t>
      </w:r>
      <w:r w:rsidR="00645997">
        <w:t> </w:t>
      </w:r>
      <w:r>
        <w:t>1.</w:t>
      </w:r>
    </w:p>
    <w:p w14:paraId="05A8382A" w14:textId="77777777" w:rsidR="00E95349" w:rsidRPr="0088502A" w:rsidRDefault="00E95349" w:rsidP="00E95349">
      <w:pPr>
        <w:rPr>
          <w:spacing w:val="-4"/>
        </w:rPr>
      </w:pPr>
    </w:p>
    <w:p w14:paraId="217F5C48" w14:textId="14525D9E" w:rsidR="00E95349" w:rsidRPr="0088502A" w:rsidRDefault="00E95349" w:rsidP="00785345">
      <w:pPr>
        <w:pStyle w:val="DecisionParagraphs"/>
        <w:rPr>
          <w:spacing w:val="-4"/>
        </w:rPr>
      </w:pPr>
      <w:r w:rsidRPr="0088502A">
        <w:fldChar w:fldCharType="begin"/>
      </w:r>
      <w:r w:rsidRPr="0088502A">
        <w:instrText xml:space="preserve"> AUTONUM  </w:instrText>
      </w:r>
      <w:r w:rsidRPr="0088502A">
        <w:fldChar w:fldCharType="end"/>
      </w:r>
      <w:r>
        <w:tab/>
        <w:t>Se invita al</w:t>
      </w:r>
      <w:r w:rsidR="00645997">
        <w:t> </w:t>
      </w:r>
      <w:r>
        <w:t>Consejo a aprobar la revisión del documento</w:t>
      </w:r>
      <w:r w:rsidR="00645997">
        <w:t> </w:t>
      </w:r>
      <w:r>
        <w:t>UPOV/INF/22/9 “Programas informáticos y equipos utilizados por los miembros de la</w:t>
      </w:r>
      <w:r w:rsidR="00645997">
        <w:t> </w:t>
      </w:r>
      <w:r>
        <w:t>Unión” sobre la base del documento</w:t>
      </w:r>
      <w:r w:rsidR="00785345">
        <w:t xml:space="preserve"> </w:t>
      </w:r>
      <w:r>
        <w:t>UPOV/INF/22/10 Draft 1, a reserva de la aprobación del</w:t>
      </w:r>
      <w:r w:rsidR="00785345">
        <w:t xml:space="preserve"> </w:t>
      </w:r>
      <w:r>
        <w:t>TC y del</w:t>
      </w:r>
      <w:r w:rsidR="00785345">
        <w:t xml:space="preserve"> </w:t>
      </w:r>
      <w:r>
        <w:t>CAJ, en sus sesiones de</w:t>
      </w:r>
      <w:r w:rsidR="00645997">
        <w:t> </w:t>
      </w:r>
      <w:r>
        <w:t>2023.</w:t>
      </w:r>
    </w:p>
    <w:p w14:paraId="2E03F266" w14:textId="77777777" w:rsidR="000D64F4" w:rsidRPr="0088502A" w:rsidRDefault="000D64F4" w:rsidP="00E95349"/>
    <w:p w14:paraId="68770E64" w14:textId="7736014E" w:rsidR="00E95349" w:rsidRPr="0088502A" w:rsidRDefault="00E95349" w:rsidP="002E4010">
      <w:pPr>
        <w:pStyle w:val="Heading3"/>
      </w:pPr>
      <w:bookmarkStart w:id="22" w:name="_Toc145605439"/>
      <w:r>
        <w:t>UPOV/INF/23</w:t>
      </w:r>
      <w:r w:rsidR="002E4010">
        <w:t>:</w:t>
      </w:r>
      <w:r w:rsidR="005B66D3">
        <w:t xml:space="preserve"> </w:t>
      </w:r>
      <w:r>
        <w:t>Sistema de códigos de la</w:t>
      </w:r>
      <w:r w:rsidR="00645997">
        <w:t> </w:t>
      </w:r>
      <w:r>
        <w:t>UPOV (revisión) (documento UPOV/INF/23/2 Draft 1)</w:t>
      </w:r>
      <w:bookmarkEnd w:id="22"/>
    </w:p>
    <w:p w14:paraId="3A6FFC47" w14:textId="77777777" w:rsidR="00E95349" w:rsidRPr="0088502A" w:rsidRDefault="00E95349" w:rsidP="00BD6525">
      <w:pPr>
        <w:keepNext/>
      </w:pPr>
    </w:p>
    <w:p w14:paraId="752E037C" w14:textId="13FB55EA" w:rsidR="00E95349" w:rsidRPr="0088502A" w:rsidRDefault="00E95349" w:rsidP="00E95349">
      <w:r w:rsidRPr="0088502A">
        <w:fldChar w:fldCharType="begin"/>
      </w:r>
      <w:r w:rsidRPr="0088502A">
        <w:instrText xml:space="preserve"> AUTONUM  </w:instrText>
      </w:r>
      <w:r w:rsidRPr="0088502A">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fldChar w:fldCharType="begin"/>
      </w:r>
      <w:r>
        <w:instrText xml:space="preserve"> NOTEREF _Ref138847310 \f \h </w:instrText>
      </w:r>
      <w:r>
        <w:fldChar w:fldCharType="end"/>
      </w:r>
      <w:r>
        <w:t>, el</w:t>
      </w:r>
      <w:r w:rsidR="00645997">
        <w:t> </w:t>
      </w:r>
      <w:r>
        <w:t>TC convino en revisar el documento</w:t>
      </w:r>
      <w:r w:rsidR="00645997">
        <w:t> </w:t>
      </w:r>
      <w:r>
        <w:t>UPOV/INF/23 “Orientación acerca del sistema de códigos de la UPOV” a fin de establecer el número máximo de caracteres que puede contener el elemento añadido a los códigos</w:t>
      </w:r>
      <w:r w:rsidR="00645997">
        <w:t> </w:t>
      </w:r>
      <w:r>
        <w:t>UPOV (véase el párrafo 22 del documento TWP/58/31 “Informe”).</w:t>
      </w:r>
    </w:p>
    <w:p w14:paraId="0148A822" w14:textId="77777777" w:rsidR="00E95349" w:rsidRPr="0088502A" w:rsidRDefault="00E95349" w:rsidP="00E95349"/>
    <w:p w14:paraId="5B66CC09" w14:textId="76112C20" w:rsidR="00E95349" w:rsidRPr="0088502A" w:rsidRDefault="00E95349" w:rsidP="00D07931">
      <w:pPr>
        <w:keepLines/>
        <w:spacing w:after="200"/>
      </w:pPr>
      <w:r w:rsidRPr="0088502A">
        <w:fldChar w:fldCharType="begin"/>
      </w:r>
      <w:r w:rsidRPr="0088502A">
        <w:instrText xml:space="preserve"> AUTONUM  </w:instrText>
      </w:r>
      <w:r w:rsidRPr="0088502A">
        <w:fldChar w:fldCharType="end"/>
      </w:r>
      <w:r>
        <w:tab/>
        <w:t>Previo acuerdo del</w:t>
      </w:r>
      <w:r w:rsidR="00645997">
        <w:t> </w:t>
      </w:r>
      <w:r>
        <w:t>CAJ, en su octogésima sesión, se someterá a la aprobación del</w:t>
      </w:r>
      <w:r w:rsidR="00645997">
        <w:t> </w:t>
      </w:r>
      <w:r>
        <w:t>Consejo, en su quincuagésima séptima sesión ordinaria, una revisión acordada del documento</w:t>
      </w:r>
      <w:r w:rsidR="00645997">
        <w:t> </w:t>
      </w:r>
      <w:r>
        <w:t>UPOV/INF/23/1 “Orientación acerca del sistema de códigos de la UPOV” sobre la base de las revisiones propuestas, que figuran en el documento</w:t>
      </w:r>
      <w:r w:rsidR="00645997">
        <w:t> </w:t>
      </w:r>
      <w:r>
        <w:t>UPOV/INF/23/2</w:t>
      </w:r>
      <w:r w:rsidR="00645997">
        <w:t> </w:t>
      </w:r>
      <w:r>
        <w:t>Draft</w:t>
      </w:r>
      <w:r w:rsidR="00645997">
        <w:t> </w:t>
      </w:r>
      <w:r>
        <w:t>1.</w:t>
      </w:r>
    </w:p>
    <w:p w14:paraId="66856929" w14:textId="71D522DE" w:rsidR="00E95349" w:rsidRDefault="00E95349" w:rsidP="00785345">
      <w:pPr>
        <w:pStyle w:val="DecisionParagraphs"/>
        <w:rPr>
          <w:spacing w:val="4"/>
        </w:rPr>
      </w:pPr>
      <w:r w:rsidRPr="0088502A">
        <w:fldChar w:fldCharType="begin"/>
      </w:r>
      <w:r w:rsidRPr="0088502A">
        <w:instrText xml:space="preserve"> AUTONUM  </w:instrText>
      </w:r>
      <w:r w:rsidRPr="0088502A">
        <w:fldChar w:fldCharType="end"/>
      </w:r>
      <w:r>
        <w:tab/>
        <w:t>Se invita al</w:t>
      </w:r>
      <w:r w:rsidR="00645997">
        <w:t> </w:t>
      </w:r>
      <w:r>
        <w:t>Consejo a aprobar la revisión del documento</w:t>
      </w:r>
      <w:r w:rsidR="00645997">
        <w:t> </w:t>
      </w:r>
      <w:r>
        <w:t>UPOV/INF/23/1 “Orientación acerca del sistema de códigos de la UPOV” sobre la base del documento UPOV/INF/23/2 Draft 1, a reserva de la aprobación del</w:t>
      </w:r>
      <w:r w:rsidR="00645997">
        <w:t> </w:t>
      </w:r>
      <w:r>
        <w:t>CAJ, en su sesión de</w:t>
      </w:r>
      <w:r w:rsidR="00645997">
        <w:t> </w:t>
      </w:r>
      <w:r>
        <w:t>2023.</w:t>
      </w:r>
    </w:p>
    <w:p w14:paraId="4C93D161" w14:textId="4E8A9F5C" w:rsidR="00CF2959" w:rsidRDefault="00CF2959" w:rsidP="00D07931"/>
    <w:p w14:paraId="37107ED7" w14:textId="77777777" w:rsidR="00D07931" w:rsidRPr="00D07931" w:rsidRDefault="00D07931" w:rsidP="00D07931"/>
    <w:p w14:paraId="272035DE" w14:textId="77777777" w:rsidR="00E95349" w:rsidRPr="0088502A" w:rsidRDefault="00E95349" w:rsidP="00C83CED">
      <w:pPr>
        <w:pStyle w:val="Heading2"/>
      </w:pPr>
      <w:bookmarkStart w:id="23" w:name="_Toc145605440"/>
      <w:r>
        <w:t>b)</w:t>
      </w:r>
      <w:r>
        <w:tab/>
        <w:t>Notas explicativas:</w:t>
      </w:r>
      <w:bookmarkEnd w:id="23"/>
    </w:p>
    <w:p w14:paraId="19BF55AD" w14:textId="77777777" w:rsidR="00E95349" w:rsidRPr="0088502A" w:rsidRDefault="00E95349" w:rsidP="00D07931">
      <w:pPr>
        <w:keepLines/>
        <w:jc w:val="left"/>
      </w:pPr>
    </w:p>
    <w:p w14:paraId="5C468106" w14:textId="51637B3A" w:rsidR="00E95349" w:rsidRPr="0088502A" w:rsidRDefault="00E95349" w:rsidP="002E4010">
      <w:pPr>
        <w:pStyle w:val="Heading3"/>
      </w:pPr>
      <w:bookmarkStart w:id="24" w:name="_Toc145605441"/>
      <w:r>
        <w:t>UPOV/EXN/DEN</w:t>
      </w:r>
      <w:r w:rsidR="002E4010">
        <w:t>:</w:t>
      </w:r>
      <w:r w:rsidR="005B66D3">
        <w:t xml:space="preserve"> </w:t>
      </w:r>
      <w:r>
        <w:t>Notas explicativas sobre las denominaciones de variedades con arreglo al</w:t>
      </w:r>
      <w:r w:rsidR="00645997">
        <w:t> </w:t>
      </w:r>
      <w:r>
        <w:t>Convenio de la</w:t>
      </w:r>
      <w:r w:rsidR="00645997">
        <w:t> </w:t>
      </w:r>
      <w:r>
        <w:t>UPOV (revisión) (</w:t>
      </w:r>
      <w:r w:rsidR="006900F0">
        <w:rPr>
          <w:snapToGrid w:val="0"/>
        </w:rPr>
        <w:t>Anexo</w:t>
      </w:r>
      <w:r w:rsidR="00645997">
        <w:rPr>
          <w:snapToGrid w:val="0"/>
        </w:rPr>
        <w:t> </w:t>
      </w:r>
      <w:r w:rsidR="006900F0">
        <w:rPr>
          <w:snapToGrid w:val="0"/>
        </w:rPr>
        <w:t>I</w:t>
      </w:r>
      <w:r>
        <w:rPr>
          <w:snapToGrid w:val="0"/>
        </w:rPr>
        <w:t xml:space="preserve"> del presente documento)</w:t>
      </w:r>
      <w:bookmarkEnd w:id="24"/>
    </w:p>
    <w:p w14:paraId="17D09F58" w14:textId="77777777" w:rsidR="00E95349" w:rsidRPr="0088502A" w:rsidRDefault="00E95349" w:rsidP="00E95349"/>
    <w:p w14:paraId="397DB67B" w14:textId="77777777" w:rsidR="00CF541E" w:rsidRPr="0088502A" w:rsidRDefault="00CF541E" w:rsidP="00CF2959">
      <w:pPr>
        <w:pStyle w:val="Heading4"/>
      </w:pPr>
      <w:bookmarkStart w:id="25" w:name="_Toc129334471"/>
      <w:bookmarkStart w:id="26" w:name="_Toc137831129"/>
      <w:bookmarkStart w:id="27" w:name="_Toc145605442"/>
      <w:r>
        <w:t xml:space="preserve">Nuevas clases de denominación de variedades para </w:t>
      </w:r>
      <w:r>
        <w:rPr>
          <w:i/>
        </w:rPr>
        <w:t>Allium</w:t>
      </w:r>
      <w:bookmarkEnd w:id="25"/>
      <w:bookmarkEnd w:id="26"/>
      <w:bookmarkEnd w:id="27"/>
    </w:p>
    <w:p w14:paraId="26CE5969" w14:textId="77777777" w:rsidR="00CF541E" w:rsidRPr="0088502A" w:rsidRDefault="00CF541E" w:rsidP="00CF541E">
      <w:pPr>
        <w:keepNext/>
      </w:pPr>
    </w:p>
    <w:p w14:paraId="5548EAFC" w14:textId="2F6903AE" w:rsidR="00CF541E" w:rsidRPr="0088502A" w:rsidRDefault="00CF541E" w:rsidP="00CF541E">
      <w:r w:rsidRPr="0088502A">
        <w:fldChar w:fldCharType="begin"/>
      </w:r>
      <w:r w:rsidRPr="0088502A">
        <w:instrText xml:space="preserve"> AUTONUM  </w:instrText>
      </w:r>
      <w:r w:rsidRPr="0088502A">
        <w:fldChar w:fldCharType="end"/>
      </w:r>
      <w:r>
        <w:tab/>
        <w:t>En sus sesiones de</w:t>
      </w:r>
      <w:r w:rsidR="00645997">
        <w:t> </w:t>
      </w:r>
      <w:r>
        <w:t>2023, el</w:t>
      </w:r>
      <w:r w:rsidR="00645997">
        <w:t> </w:t>
      </w:r>
      <w:r>
        <w:t>TWV y el</w:t>
      </w:r>
      <w:r w:rsidR="00645997">
        <w:t> </w:t>
      </w:r>
      <w:r>
        <w:t xml:space="preserve">TWO convinieron en proponer la creación de nuevas clases de denominación de variedades dentro del género </w:t>
      </w:r>
      <w:r>
        <w:rPr>
          <w:i/>
        </w:rPr>
        <w:t>Allium</w:t>
      </w:r>
      <w:r>
        <w:t xml:space="preserve">, según se expone en la propuesta 1 del </w:t>
      </w:r>
      <w:r w:rsidR="006900F0">
        <w:t>Anexo I</w:t>
      </w:r>
      <w:r>
        <w:t xml:space="preserve"> del presente documento (véanse el párrafo</w:t>
      </w:r>
      <w:r w:rsidR="00645997">
        <w:t> </w:t>
      </w:r>
      <w:r>
        <w:t xml:space="preserve">38 del documento TWV/57/26 </w:t>
      </w:r>
      <w:r>
        <w:rPr>
          <w:i/>
        </w:rPr>
        <w:t>“Report”</w:t>
      </w:r>
      <w:r>
        <w:t xml:space="preserve"> (informe) y el párrafo</w:t>
      </w:r>
      <w:r w:rsidR="00645997">
        <w:t> </w:t>
      </w:r>
      <w:r>
        <w:t>27 del documento</w:t>
      </w:r>
      <w:r w:rsidR="00645997">
        <w:t> </w:t>
      </w:r>
      <w:r>
        <w:t xml:space="preserve">TWO/55/11 </w:t>
      </w:r>
      <w:r>
        <w:rPr>
          <w:i/>
        </w:rPr>
        <w:t>“Report”</w:t>
      </w:r>
      <w:r>
        <w:t xml:space="preserve"> (informe)). </w:t>
      </w:r>
    </w:p>
    <w:p w14:paraId="696B9737" w14:textId="77777777" w:rsidR="00BD6525" w:rsidRPr="0088502A" w:rsidRDefault="00BD6525" w:rsidP="00E95349">
      <w:bookmarkStart w:id="28" w:name="_Hlk142986039"/>
    </w:p>
    <w:p w14:paraId="5F9518BB" w14:textId="77777777" w:rsidR="00CF541E" w:rsidRPr="0088502A" w:rsidRDefault="00CF541E" w:rsidP="00CF2959">
      <w:pPr>
        <w:pStyle w:val="Heading4"/>
      </w:pPr>
      <w:bookmarkStart w:id="29" w:name="_Toc137831130"/>
      <w:bookmarkStart w:id="30" w:name="_Toc145605443"/>
      <w:r>
        <w:t xml:space="preserve">Nuevas clases de denominación de variedades para </w:t>
      </w:r>
      <w:r>
        <w:rPr>
          <w:i/>
        </w:rPr>
        <w:t>Prunus</w:t>
      </w:r>
      <w:bookmarkEnd w:id="29"/>
      <w:bookmarkEnd w:id="30"/>
    </w:p>
    <w:p w14:paraId="75E2B285" w14:textId="77777777" w:rsidR="009E4252" w:rsidRPr="0088502A" w:rsidRDefault="009E4252" w:rsidP="00CF541E"/>
    <w:p w14:paraId="14E78A6F" w14:textId="26557B7B" w:rsidR="003A1CE4" w:rsidRPr="0088502A" w:rsidRDefault="003A1CE4" w:rsidP="003A1CE4">
      <w:r w:rsidRPr="0088502A">
        <w:fldChar w:fldCharType="begin"/>
      </w:r>
      <w:r w:rsidRPr="0088502A">
        <w:instrText xml:space="preserve"> AUTONUM  </w:instrText>
      </w:r>
      <w:r w:rsidRPr="0088502A">
        <w:fldChar w:fldCharType="end"/>
      </w:r>
      <w:r>
        <w:tab/>
        <w:t>El</w:t>
      </w:r>
      <w:r w:rsidR="00645997">
        <w:t> </w:t>
      </w:r>
      <w:r>
        <w:t xml:space="preserve">TWF convino en proponer la creación de nuevas clases de denominación de variedades excepcionales para </w:t>
      </w:r>
      <w:r>
        <w:rPr>
          <w:i/>
        </w:rPr>
        <w:t>Prunus</w:t>
      </w:r>
      <w:r>
        <w:t>, según se expone en la propuesta</w:t>
      </w:r>
      <w:r w:rsidR="00645997">
        <w:t> </w:t>
      </w:r>
      <w:r>
        <w:t xml:space="preserve">2 del </w:t>
      </w:r>
      <w:r w:rsidR="006900F0">
        <w:t>Anexo</w:t>
      </w:r>
      <w:r w:rsidR="00645997">
        <w:t> </w:t>
      </w:r>
      <w:r w:rsidR="006900F0">
        <w:t>I</w:t>
      </w:r>
      <w:r>
        <w:t xml:space="preserve"> del presente documento. El</w:t>
      </w:r>
      <w:r w:rsidR="00645997">
        <w:t> </w:t>
      </w:r>
      <w:r>
        <w:t xml:space="preserve">TWF convino en que la obtención de nuevas variedades de </w:t>
      </w:r>
      <w:r>
        <w:rPr>
          <w:i/>
        </w:rPr>
        <w:t>Prunus</w:t>
      </w:r>
      <w:r>
        <w:t xml:space="preserve"> podría resultar en híbridos complejos que necesiten el uso de más de una clase de denominación y una interpretación cuidadosa de la nomenclatura (véanse el </w:t>
      </w:r>
      <w:r w:rsidR="006900F0">
        <w:t>Anexo</w:t>
      </w:r>
      <w:r w:rsidR="00645997">
        <w:t> </w:t>
      </w:r>
      <w:r w:rsidR="006900F0">
        <w:t>I</w:t>
      </w:r>
      <w:r>
        <w:t xml:space="preserve"> y los párrafos</w:t>
      </w:r>
      <w:r w:rsidR="00645997">
        <w:t> </w:t>
      </w:r>
      <w:r>
        <w:t>29 a</w:t>
      </w:r>
      <w:r w:rsidR="00645997">
        <w:t> </w:t>
      </w:r>
      <w:r>
        <w:t>31 del documento</w:t>
      </w:r>
      <w:r w:rsidR="00645997">
        <w:t> </w:t>
      </w:r>
      <w:r>
        <w:t xml:space="preserve">TWF/54/13 </w:t>
      </w:r>
      <w:r>
        <w:rPr>
          <w:i/>
        </w:rPr>
        <w:t>“Report”</w:t>
      </w:r>
      <w:r>
        <w:t xml:space="preserve"> (informe)).  </w:t>
      </w:r>
    </w:p>
    <w:p w14:paraId="11B69061" w14:textId="77777777" w:rsidR="00CF541E" w:rsidRPr="0088502A" w:rsidRDefault="00CF541E" w:rsidP="00CF541E"/>
    <w:p w14:paraId="4F7B33B8" w14:textId="6FC367DA" w:rsidR="00B63151" w:rsidRDefault="00E62F26" w:rsidP="008679DF">
      <w:r w:rsidRPr="0088502A">
        <w:fldChar w:fldCharType="begin"/>
      </w:r>
      <w:r w:rsidRPr="0088502A">
        <w:instrText xml:space="preserve"> AUTONUM  </w:instrText>
      </w:r>
      <w:r w:rsidRPr="0088502A">
        <w:fldChar w:fldCharType="end"/>
      </w:r>
      <w:r>
        <w:tab/>
        <w:t xml:space="preserve"> Como se explica en el párrafo</w:t>
      </w:r>
      <w:r w:rsidR="00645997">
        <w:t> </w:t>
      </w:r>
      <w:r>
        <w:t>6 de la propuesta</w:t>
      </w:r>
      <w:r w:rsidR="00645997">
        <w:t> </w:t>
      </w:r>
      <w:r>
        <w:t xml:space="preserve">2 del </w:t>
      </w:r>
      <w:r w:rsidR="006900F0">
        <w:t>Anexo</w:t>
      </w:r>
      <w:r w:rsidR="00645997">
        <w:t> </w:t>
      </w:r>
      <w:r w:rsidR="006900F0">
        <w:t>I</w:t>
      </w:r>
      <w:r>
        <w:t>, con este planteamiento sería necesario que las denominaciones de los híbridos interespecíficos fueran distintas de las denominaciones de las clases de todas las especies parentales. Ya existe un requisito similar para las variedades identificadas a nivel de género solamente, en los casos en los que la variedad pertenece a una de las clases de denominación recogidas en la Parte</w:t>
      </w:r>
      <w:r w:rsidR="00645997">
        <w:t> </w:t>
      </w:r>
      <w:r>
        <w:t>I: “Clases dentro de un género” de la Lista de clases del documento</w:t>
      </w:r>
      <w:r w:rsidR="00645997">
        <w:t> </w:t>
      </w:r>
      <w:r>
        <w:t>UPOV/EXN/DEN.</w:t>
      </w:r>
    </w:p>
    <w:bookmarkEnd w:id="28"/>
    <w:p w14:paraId="21B5A1F8" w14:textId="77777777" w:rsidR="008232AC" w:rsidRPr="0088502A" w:rsidRDefault="008232AC" w:rsidP="00CF541E"/>
    <w:p w14:paraId="50137D1C" w14:textId="4DCFE4F2" w:rsidR="00CF541E" w:rsidRPr="0088502A" w:rsidRDefault="007A39F1" w:rsidP="00CF2959">
      <w:pPr>
        <w:pStyle w:val="Heading4"/>
      </w:pPr>
      <w:bookmarkStart w:id="31" w:name="_Toc145605444"/>
      <w:bookmarkStart w:id="32" w:name="_Toc137831131"/>
      <w:r>
        <w:lastRenderedPageBreak/>
        <w:t xml:space="preserve">Grupos de variedades para </w:t>
      </w:r>
      <w:r>
        <w:rPr>
          <w:i/>
          <w:iCs/>
        </w:rPr>
        <w:t>Beta</w:t>
      </w:r>
      <w:bookmarkEnd w:id="31"/>
      <w:r>
        <w:t xml:space="preserve"> </w:t>
      </w:r>
      <w:bookmarkEnd w:id="32"/>
    </w:p>
    <w:p w14:paraId="16B38918" w14:textId="77777777" w:rsidR="00CF541E" w:rsidRPr="0088502A" w:rsidRDefault="00CF541E" w:rsidP="00CF541E">
      <w:pPr>
        <w:keepNext/>
        <w:keepLines/>
      </w:pPr>
    </w:p>
    <w:p w14:paraId="009F231B" w14:textId="56262F9D" w:rsidR="00CF541E" w:rsidRPr="0088502A" w:rsidRDefault="00CF541E" w:rsidP="00CF541E">
      <w:pPr>
        <w:keepNext/>
        <w:keepLines/>
      </w:pPr>
      <w:r w:rsidRPr="0088502A">
        <w:fldChar w:fldCharType="begin"/>
      </w:r>
      <w:r w:rsidRPr="0088502A">
        <w:instrText xml:space="preserve"> AUTONUM  </w:instrText>
      </w:r>
      <w:r w:rsidRPr="0088502A">
        <w:fldChar w:fldCharType="end"/>
      </w:r>
      <w:r>
        <w:tab/>
        <w:t>En sus sesiones de</w:t>
      </w:r>
      <w:r w:rsidR="00645997">
        <w:t> </w:t>
      </w:r>
      <w:r>
        <w:t>2023, el</w:t>
      </w:r>
      <w:r w:rsidR="00645997">
        <w:t> </w:t>
      </w:r>
      <w:r>
        <w:t>TWV y el</w:t>
      </w:r>
      <w:r w:rsidR="00645997">
        <w:t> </w:t>
      </w:r>
      <w:r>
        <w:t>TWA convinieron en crear grupos de variedades para los códigos</w:t>
      </w:r>
      <w:r w:rsidR="00645997">
        <w:t> </w:t>
      </w:r>
      <w:r>
        <w:t>UPOV de</w:t>
      </w:r>
      <w:r>
        <w:rPr>
          <w:i/>
        </w:rPr>
        <w:t xml:space="preserve"> Beta vulgaris </w:t>
      </w:r>
      <w:r>
        <w:t xml:space="preserve">L. ssp. </w:t>
      </w:r>
      <w:r>
        <w:rPr>
          <w:i/>
        </w:rPr>
        <w:t>vulgaris</w:t>
      </w:r>
      <w:r>
        <w:t>, según se expone en la propuesta</w:t>
      </w:r>
      <w:r w:rsidR="00645997">
        <w:t> </w:t>
      </w:r>
      <w:r>
        <w:t xml:space="preserve">3 del </w:t>
      </w:r>
      <w:r w:rsidR="006900F0">
        <w:t>Anexo</w:t>
      </w:r>
      <w:r w:rsidR="00645997">
        <w:t> </w:t>
      </w:r>
      <w:r w:rsidR="006900F0">
        <w:t>I</w:t>
      </w:r>
      <w:r>
        <w:t xml:space="preserve"> del presente documento, con los siguientes </w:t>
      </w:r>
      <w:r>
        <w:rPr>
          <w:snapToGrid w:val="0"/>
          <w:color w:val="000000"/>
          <w:szCs w:val="18"/>
        </w:rPr>
        <w:t xml:space="preserve">nombres de grupos de variedades: remolacha forrajera, remolacha de mesa, acelga y remolacha azucarera </w:t>
      </w:r>
      <w:r>
        <w:t>(véanse los párrafos</w:t>
      </w:r>
      <w:r w:rsidR="00645997">
        <w:t> </w:t>
      </w:r>
      <w:r>
        <w:t>40 y</w:t>
      </w:r>
      <w:r w:rsidR="00645997">
        <w:t> </w:t>
      </w:r>
      <w:r>
        <w:t>41 del documento</w:t>
      </w:r>
      <w:r w:rsidR="00645997">
        <w:t> </w:t>
      </w:r>
      <w:r>
        <w:t xml:space="preserve">TWV/57/26 </w:t>
      </w:r>
      <w:r>
        <w:rPr>
          <w:i/>
        </w:rPr>
        <w:t>“Report”</w:t>
      </w:r>
      <w:r>
        <w:t xml:space="preserve"> (informe) y los párrafos</w:t>
      </w:r>
      <w:r w:rsidR="00645997">
        <w:t> </w:t>
      </w:r>
      <w:r>
        <w:t>31 y</w:t>
      </w:r>
      <w:r w:rsidR="00645997">
        <w:t> </w:t>
      </w:r>
      <w:r>
        <w:t>32 del documento</w:t>
      </w:r>
      <w:r w:rsidR="00645997">
        <w:t> </w:t>
      </w:r>
      <w:r>
        <w:t xml:space="preserve">TWA/52/11 </w:t>
      </w:r>
      <w:r>
        <w:rPr>
          <w:i/>
        </w:rPr>
        <w:t>“Report”</w:t>
      </w:r>
      <w:r>
        <w:t xml:space="preserve"> (informe)). </w:t>
      </w:r>
    </w:p>
    <w:p w14:paraId="74127DED" w14:textId="77777777" w:rsidR="00CF541E" w:rsidRPr="0088502A" w:rsidRDefault="00CF541E" w:rsidP="00E95349"/>
    <w:p w14:paraId="0475D301" w14:textId="6E11C542" w:rsidR="00E95349" w:rsidRPr="0088502A" w:rsidRDefault="00E95349" w:rsidP="00E95349">
      <w:pPr>
        <w:keepLines/>
      </w:pPr>
      <w:r w:rsidRPr="0088502A">
        <w:fldChar w:fldCharType="begin"/>
      </w:r>
      <w:r w:rsidRPr="0088502A">
        <w:instrText xml:space="preserve"> AUTONUM  </w:instrText>
      </w:r>
      <w:r w:rsidRPr="0088502A">
        <w:fldChar w:fldCharType="end"/>
      </w:r>
      <w:r>
        <w:tab/>
        <w:t>Previo acuerdo del</w:t>
      </w:r>
      <w:r w:rsidR="00645997">
        <w:t> </w:t>
      </w:r>
      <w:r>
        <w:t>TC, en su quincuagésima novena sesión, y del</w:t>
      </w:r>
      <w:r w:rsidR="00645997">
        <w:t> </w:t>
      </w:r>
      <w:r>
        <w:t>CAJ, en su octogésima sesión, se someterá a la aprobación del</w:t>
      </w:r>
      <w:r w:rsidR="00645997">
        <w:t> </w:t>
      </w:r>
      <w:r>
        <w:t>Consejo, en su quincuagésima séptima sesión ordinaria, una versión acordada del documento</w:t>
      </w:r>
      <w:r w:rsidR="00645997">
        <w:t> </w:t>
      </w:r>
      <w:r>
        <w:t>UPOV/EXN/DEN “Notas explicativas sobre las denominaciones de variedades con arreglo al</w:t>
      </w:r>
      <w:r w:rsidR="00645997">
        <w:t> </w:t>
      </w:r>
      <w:r>
        <w:t>Convenio de la</w:t>
      </w:r>
      <w:r w:rsidR="00645997">
        <w:t> </w:t>
      </w:r>
      <w:r>
        <w:t xml:space="preserve">UPOV” sobre la base de las revisiones propuestas, que figuran en el </w:t>
      </w:r>
      <w:r w:rsidR="006900F0">
        <w:t>Anexo</w:t>
      </w:r>
      <w:r w:rsidR="00645997">
        <w:t> </w:t>
      </w:r>
      <w:r w:rsidR="006900F0">
        <w:t>I</w:t>
      </w:r>
      <w:r>
        <w:t xml:space="preserve"> del presente documento.</w:t>
      </w:r>
    </w:p>
    <w:p w14:paraId="372C8D94" w14:textId="77777777" w:rsidR="00E95349" w:rsidRPr="0088502A" w:rsidRDefault="00E95349" w:rsidP="00E95349"/>
    <w:p w14:paraId="434033CB" w14:textId="2384F45F" w:rsidR="00E95349" w:rsidRPr="0088502A" w:rsidRDefault="00E95349" w:rsidP="00785345">
      <w:pPr>
        <w:pStyle w:val="DecisionParagraphs"/>
      </w:pPr>
      <w:r w:rsidRPr="0088502A">
        <w:fldChar w:fldCharType="begin"/>
      </w:r>
      <w:r w:rsidRPr="0088502A">
        <w:instrText xml:space="preserve"> AUTONUM  </w:instrText>
      </w:r>
      <w:r w:rsidRPr="0088502A">
        <w:fldChar w:fldCharType="end"/>
      </w:r>
      <w:r>
        <w:tab/>
        <w:t>Se invita al</w:t>
      </w:r>
      <w:r w:rsidR="00645997">
        <w:t> </w:t>
      </w:r>
      <w:r>
        <w:t>Consejo a aprobar la revisión del documento</w:t>
      </w:r>
      <w:r w:rsidR="00645997">
        <w:t> </w:t>
      </w:r>
      <w:r>
        <w:t>UPOV/EXN/DEN/1 “Notas explicativas sobre las denominaciones de variedades con arreglo al</w:t>
      </w:r>
      <w:r w:rsidR="00645997">
        <w:t> </w:t>
      </w:r>
      <w:r>
        <w:t>Convenio de la</w:t>
      </w:r>
      <w:r w:rsidR="00645997">
        <w:t> </w:t>
      </w:r>
      <w:r>
        <w:t>UPOV” sobre la base de las propuestas de modificación que figuran en las propuestas</w:t>
      </w:r>
      <w:r w:rsidR="00645997">
        <w:t> </w:t>
      </w:r>
      <w:r>
        <w:t xml:space="preserve">1 (Allium), 2 (Prunus) y 3 (Beta) del </w:t>
      </w:r>
      <w:r w:rsidR="006900F0">
        <w:t>Anexo</w:t>
      </w:r>
      <w:r w:rsidR="00645997">
        <w:t> </w:t>
      </w:r>
      <w:r w:rsidR="006900F0">
        <w:t>I</w:t>
      </w:r>
      <w:r>
        <w:t xml:space="preserve"> del presente documento, a reserva de la aprobación del</w:t>
      </w:r>
      <w:r w:rsidR="00645997">
        <w:t> </w:t>
      </w:r>
      <w:r>
        <w:t>TC y del</w:t>
      </w:r>
      <w:r w:rsidR="00645997">
        <w:t> </w:t>
      </w:r>
      <w:r>
        <w:t>CAJ, en sus sesiones de</w:t>
      </w:r>
      <w:r w:rsidR="00645997">
        <w:t> </w:t>
      </w:r>
      <w:r>
        <w:t>2023.</w:t>
      </w:r>
    </w:p>
    <w:p w14:paraId="110FC219" w14:textId="77777777" w:rsidR="00E95349" w:rsidRPr="0088502A" w:rsidRDefault="00E95349" w:rsidP="00E95349"/>
    <w:p w14:paraId="2495FA46" w14:textId="77777777" w:rsidR="00E95349" w:rsidRPr="0088502A" w:rsidRDefault="00E95349" w:rsidP="00D07931">
      <w:pPr>
        <w:pStyle w:val="Heading2"/>
      </w:pPr>
      <w:bookmarkStart w:id="33" w:name="_Toc145605445"/>
      <w:r>
        <w:t>c)</w:t>
      </w:r>
      <w:r>
        <w:tab/>
        <w:t>Documentos TGP:</w:t>
      </w:r>
      <w:bookmarkEnd w:id="33"/>
    </w:p>
    <w:p w14:paraId="28AF03F5" w14:textId="77777777" w:rsidR="00AF20CC" w:rsidRPr="0088502A" w:rsidRDefault="00AF20CC" w:rsidP="00D07931">
      <w:pPr>
        <w:keepNext/>
      </w:pPr>
    </w:p>
    <w:p w14:paraId="5D378E24" w14:textId="54A0DEB3" w:rsidR="00AF20CC" w:rsidRPr="0088502A" w:rsidRDefault="00AF20CC" w:rsidP="002E4010">
      <w:pPr>
        <w:pStyle w:val="Heading3"/>
      </w:pPr>
      <w:bookmarkStart w:id="34" w:name="_Toc145605446"/>
      <w:r>
        <w:t>Documento TGP/7</w:t>
      </w:r>
      <w:r w:rsidR="002E4010">
        <w:t>:</w:t>
      </w:r>
      <w:r>
        <w:t xml:space="preserve"> “Elaboración de las directrices de examen”, párrafo</w:t>
      </w:r>
      <w:r w:rsidR="00645997">
        <w:t> </w:t>
      </w:r>
      <w:r>
        <w:t>3.6 de la nota orientativa GN</w:t>
      </w:r>
      <w:r w:rsidR="00645997">
        <w:t> </w:t>
      </w:r>
      <w:r>
        <w:t>13 (revisión): Caracteres de resistencia a enfermedades: adición de un nivel de expresión y colocación de los caracteres de resistencia a las enfermedades no señalados con asterisco en la sección</w:t>
      </w:r>
      <w:r w:rsidR="00645997">
        <w:t> </w:t>
      </w:r>
      <w:r>
        <w:t>5 del cuestionario técnico (</w:t>
      </w:r>
      <w:r w:rsidR="006900F0">
        <w:t>Anexo</w:t>
      </w:r>
      <w:r w:rsidR="00645997">
        <w:t> </w:t>
      </w:r>
      <w:r w:rsidR="006900F0">
        <w:t>II</w:t>
      </w:r>
      <w:r>
        <w:t xml:space="preserve"> del presente documento)</w:t>
      </w:r>
      <w:bookmarkEnd w:id="34"/>
    </w:p>
    <w:p w14:paraId="3754E780" w14:textId="77777777" w:rsidR="00AF20CC" w:rsidRPr="0088502A" w:rsidRDefault="00AF20CC" w:rsidP="00AF20CC">
      <w:pPr>
        <w:keepNext/>
      </w:pPr>
    </w:p>
    <w:p w14:paraId="4F41ECF8" w14:textId="1D0D2B51" w:rsidR="00AF20CC" w:rsidRPr="0088502A" w:rsidRDefault="00AF20CC" w:rsidP="00AF20CC">
      <w:r w:rsidRPr="0088502A">
        <w:fldChar w:fldCharType="begin"/>
      </w:r>
      <w:r w:rsidRPr="0088502A">
        <w:instrText xml:space="preserve"> AUTONUM  </w:instrText>
      </w:r>
      <w:r w:rsidRPr="0088502A">
        <w:fldChar w:fldCharType="end"/>
      </w:r>
      <w:r>
        <w:tab/>
        <w:t>En sus sesiones de</w:t>
      </w:r>
      <w:r w:rsidR="00645997">
        <w:t> </w:t>
      </w:r>
      <w:r>
        <w:t>2023, el</w:t>
      </w:r>
      <w:r w:rsidR="00645997">
        <w:t> </w:t>
      </w:r>
      <w:r>
        <w:t>TWV y el</w:t>
      </w:r>
      <w:r w:rsidR="00645997">
        <w:t> </w:t>
      </w:r>
      <w:r>
        <w:t>TWA convinieron en modificar la nota orientativa</w:t>
      </w:r>
      <w:r w:rsidR="00645997">
        <w:t> </w:t>
      </w:r>
      <w:r>
        <w:t>GN 13 “Caracteres con funciones específicas” del documento</w:t>
      </w:r>
      <w:r w:rsidR="00645997">
        <w:t> </w:t>
      </w:r>
      <w:r>
        <w:t>TGP/7 para aclarar que los caracteres de resistencia a las enfermedades pueden presentarse en la sección</w:t>
      </w:r>
      <w:r w:rsidR="00645997">
        <w:t> </w:t>
      </w:r>
      <w:r>
        <w:t>5 del cuestionario técnico añadiendo el nivel de expresión “no examinada” en caso de que el carácter no esté señalado con un asterisco en la tabla de caracteres (véanse el párrafo</w:t>
      </w:r>
      <w:r w:rsidR="00645997">
        <w:t> </w:t>
      </w:r>
      <w:r>
        <w:t>14 del documento</w:t>
      </w:r>
      <w:r w:rsidR="00645997">
        <w:t> </w:t>
      </w:r>
      <w:r>
        <w:t xml:space="preserve">TWV/57/26 </w:t>
      </w:r>
      <w:r>
        <w:rPr>
          <w:i/>
        </w:rPr>
        <w:t>“Report”</w:t>
      </w:r>
      <w:r>
        <w:t xml:space="preserve"> (informe) y el párrafo</w:t>
      </w:r>
      <w:r w:rsidR="00645997">
        <w:t> </w:t>
      </w:r>
      <w:r>
        <w:t>19 del documento</w:t>
      </w:r>
      <w:r w:rsidR="00645997">
        <w:t> </w:t>
      </w:r>
      <w:r>
        <w:t xml:space="preserve">TWA/52/11 </w:t>
      </w:r>
      <w:r>
        <w:rPr>
          <w:i/>
        </w:rPr>
        <w:t>“Report”</w:t>
      </w:r>
      <w:r>
        <w:t xml:space="preserve"> (informe)).</w:t>
      </w:r>
    </w:p>
    <w:p w14:paraId="2F2CCD45" w14:textId="77777777" w:rsidR="00AF20CC" w:rsidRPr="0088502A" w:rsidRDefault="00AF20CC" w:rsidP="00AF20CC"/>
    <w:p w14:paraId="64CBAE79" w14:textId="5ED073E5" w:rsidR="00AF20CC" w:rsidRPr="0088502A" w:rsidRDefault="00AF20CC" w:rsidP="00AF20CC">
      <w:r w:rsidRPr="0088502A">
        <w:fldChar w:fldCharType="begin"/>
      </w:r>
      <w:r w:rsidRPr="0088502A">
        <w:instrText xml:space="preserve"> AUTONUM  </w:instrText>
      </w:r>
      <w:r w:rsidRPr="0088502A">
        <w:fldChar w:fldCharType="end"/>
      </w:r>
      <w:r>
        <w:tab/>
        <w:t>Previo acuerdo del</w:t>
      </w:r>
      <w:r w:rsidR="00645997">
        <w:t> </w:t>
      </w:r>
      <w:r>
        <w:t>TC, en su quincuagésima novena sesión, y del</w:t>
      </w:r>
      <w:r w:rsidR="00645997">
        <w:t> </w:t>
      </w:r>
      <w:r>
        <w:t>CAJ, en su octogésima sesión, se someterá a la aprobación del</w:t>
      </w:r>
      <w:r w:rsidR="00645997">
        <w:t> </w:t>
      </w:r>
      <w:r>
        <w:t>Consejo, en su quincuagésima séptima sesión ordinaria, una versión acordada del documento</w:t>
      </w:r>
      <w:r w:rsidR="00645997">
        <w:t> </w:t>
      </w:r>
      <w:r>
        <w:t xml:space="preserve">TGP/7 “Elaboración de las directrices de examen” sobre la base de las propuestas de modificación que figuran en el </w:t>
      </w:r>
      <w:r w:rsidR="006900F0">
        <w:t>Anexo</w:t>
      </w:r>
      <w:r w:rsidR="00645997">
        <w:t> </w:t>
      </w:r>
      <w:r w:rsidR="006900F0">
        <w:t>II</w:t>
      </w:r>
      <w:r>
        <w:t xml:space="preserve"> del presente documento.</w:t>
      </w:r>
    </w:p>
    <w:p w14:paraId="74F15310" w14:textId="77777777" w:rsidR="00AF20CC" w:rsidRPr="0088502A" w:rsidRDefault="00AF20CC" w:rsidP="00AF20CC"/>
    <w:p w14:paraId="690C775C" w14:textId="7C954C2C" w:rsidR="00E95349" w:rsidRPr="0088502A" w:rsidRDefault="00E95349" w:rsidP="002E4010">
      <w:pPr>
        <w:pStyle w:val="Heading3"/>
      </w:pPr>
      <w:bookmarkStart w:id="35" w:name="_Toc145605447"/>
      <w:r>
        <w:t>TGP/12</w:t>
      </w:r>
      <w:r w:rsidR="002E4010">
        <w:t xml:space="preserve">: </w:t>
      </w:r>
      <w:r>
        <w:t>Orientación sobre ciertos caracteres fisiológicos (revisión)</w:t>
      </w:r>
      <w:r w:rsidR="002E4010">
        <w:t xml:space="preserve">: </w:t>
      </w:r>
      <w:r>
        <w:t xml:space="preserve">Ejemplo de carácter de resistencia a enfermedades (véase el </w:t>
      </w:r>
      <w:r w:rsidR="006900F0">
        <w:t>Anexo</w:t>
      </w:r>
      <w:r w:rsidR="00645997">
        <w:t> </w:t>
      </w:r>
      <w:r w:rsidR="006900F0">
        <w:t>IV</w:t>
      </w:r>
      <w:r>
        <w:t xml:space="preserve"> del presente documento)</w:t>
      </w:r>
      <w:bookmarkEnd w:id="35"/>
    </w:p>
    <w:p w14:paraId="1E4BE9A7" w14:textId="77777777" w:rsidR="00E95349" w:rsidRPr="0088502A" w:rsidRDefault="00E95349" w:rsidP="00E7615F"/>
    <w:p w14:paraId="614F6E5A" w14:textId="33C39D01" w:rsidR="00E7615F" w:rsidRPr="0088502A" w:rsidRDefault="00E7615F" w:rsidP="00E7615F">
      <w:r w:rsidRPr="0088502A">
        <w:fldChar w:fldCharType="begin"/>
      </w:r>
      <w:r w:rsidRPr="0088502A">
        <w:instrText xml:space="preserve"> AUTONUM  </w:instrText>
      </w:r>
      <w:r w:rsidRPr="0088502A">
        <w:fldChar w:fldCharType="end"/>
      </w:r>
      <w:r>
        <w:tab/>
        <w:t xml:space="preserve">Los antecedentes de esta cuestión se exponen en el </w:t>
      </w:r>
      <w:r w:rsidR="006900F0">
        <w:t>Anexo</w:t>
      </w:r>
      <w:r w:rsidR="00645997">
        <w:t> </w:t>
      </w:r>
      <w:r w:rsidR="006900F0">
        <w:t>IV</w:t>
      </w:r>
      <w:r>
        <w:t xml:space="preserve"> del presente documento.</w:t>
      </w:r>
    </w:p>
    <w:p w14:paraId="3F4965DC" w14:textId="77777777" w:rsidR="007D615F" w:rsidRPr="00CC1204" w:rsidRDefault="007D615F" w:rsidP="00E95349"/>
    <w:p w14:paraId="7DD589BA" w14:textId="3E20BB44" w:rsidR="00921B1A" w:rsidRPr="0088502A" w:rsidRDefault="00921B1A" w:rsidP="001F29EA">
      <w:pPr>
        <w:keepNext/>
        <w:keepLines/>
      </w:pPr>
      <w:r w:rsidRPr="0088502A">
        <w:fldChar w:fldCharType="begin"/>
      </w:r>
      <w:r w:rsidRPr="0088502A">
        <w:instrText xml:space="preserve"> AUTONUM  </w:instrText>
      </w:r>
      <w:r w:rsidRPr="0088502A">
        <w:fldChar w:fldCharType="end"/>
      </w:r>
      <w:r>
        <w:tab/>
        <w:t>En su quincuagésima séptima sesión</w:t>
      </w:r>
      <w:bookmarkStart w:id="36" w:name="_Ref145614610"/>
      <w:r w:rsidR="004E5F31">
        <w:rPr>
          <w:rStyle w:val="FootnoteReference"/>
        </w:rPr>
        <w:footnoteReference w:id="8"/>
      </w:r>
      <w:bookmarkEnd w:id="36"/>
      <w:r>
        <w:t>, el</w:t>
      </w:r>
      <w:r w:rsidR="002E33F6">
        <w:t> </w:t>
      </w:r>
      <w:r>
        <w:t>TWV tomó nota de que el carácter de las directrices de examen del melón usado como ejemplo en la sección</w:t>
      </w:r>
      <w:r w:rsidR="009F5788">
        <w:t> </w:t>
      </w:r>
      <w:r>
        <w:t>2.3.2 del documento TGP/12/2 se estaba revisando. El</w:t>
      </w:r>
      <w:r w:rsidR="009F5788">
        <w:t> </w:t>
      </w:r>
      <w:r>
        <w:t>TWV acordó que el carácter de ejemplo del documento</w:t>
      </w:r>
      <w:r w:rsidR="009F5788">
        <w:t> </w:t>
      </w:r>
      <w:r>
        <w:t xml:space="preserve">TGP/12 debe modificarse conforme a la propuesta de revisión de las directrices de examen del melón, que figura en el </w:t>
      </w:r>
      <w:r w:rsidR="006900F0">
        <w:t>Anexo</w:t>
      </w:r>
      <w:r w:rsidR="009F5788">
        <w:t> </w:t>
      </w:r>
      <w:r w:rsidR="006900F0">
        <w:t>IV</w:t>
      </w:r>
      <w:r>
        <w:t xml:space="preserve"> del presente documento (véase el párrafo</w:t>
      </w:r>
      <w:r w:rsidR="009F5788">
        <w:t> </w:t>
      </w:r>
      <w:r>
        <w:t>16 del documento</w:t>
      </w:r>
      <w:r w:rsidR="009F5788">
        <w:t> </w:t>
      </w:r>
      <w:r>
        <w:t xml:space="preserve">TWV/57/26 </w:t>
      </w:r>
      <w:r>
        <w:rPr>
          <w:i/>
        </w:rPr>
        <w:t>“Report”</w:t>
      </w:r>
      <w:r>
        <w:t xml:space="preserve"> (informe)):</w:t>
      </w:r>
    </w:p>
    <w:p w14:paraId="0411987D" w14:textId="77777777" w:rsidR="00561854" w:rsidRPr="0088502A" w:rsidRDefault="00561854" w:rsidP="00921B1A"/>
    <w:p w14:paraId="3213A6E3" w14:textId="3108C230" w:rsidR="00E95349" w:rsidRPr="0088502A" w:rsidRDefault="00E95349" w:rsidP="00E95349">
      <w:r w:rsidRPr="0088502A">
        <w:fldChar w:fldCharType="begin"/>
      </w:r>
      <w:r w:rsidRPr="0088502A">
        <w:instrText xml:space="preserve"> AUTONUM  </w:instrText>
      </w:r>
      <w:r w:rsidRPr="0088502A">
        <w:fldChar w:fldCharType="end"/>
      </w:r>
      <w:r>
        <w:tab/>
        <w:t>Previo acuerdo del</w:t>
      </w:r>
      <w:r w:rsidR="009F5788">
        <w:t> </w:t>
      </w:r>
      <w:r>
        <w:t>TC, en su quincuagésima novena sesión, y del</w:t>
      </w:r>
      <w:r w:rsidR="009F5788">
        <w:t> </w:t>
      </w:r>
      <w:r>
        <w:t>CAJ, en su octogésima sesión, se someterá a la aprobación del</w:t>
      </w:r>
      <w:r w:rsidR="009F5788">
        <w:t> </w:t>
      </w:r>
      <w:r>
        <w:t>Consejo, en su quincuagésima séptima sesión ordinaria, una versión acordada del documento</w:t>
      </w:r>
      <w:r w:rsidR="009F5788">
        <w:t> </w:t>
      </w:r>
      <w:r>
        <w:t>TGP/12 “Orientación sobre ciertos caracteres fisiológicos” con el objeto de revisar el carácter de ejemplo de la sección</w:t>
      </w:r>
      <w:r w:rsidR="009F5788">
        <w:t> </w:t>
      </w:r>
      <w:r>
        <w:t xml:space="preserve">2.3.2, que figura en el </w:t>
      </w:r>
      <w:r w:rsidR="006900F0">
        <w:t>Anexo</w:t>
      </w:r>
      <w:r w:rsidR="009F5788">
        <w:t> </w:t>
      </w:r>
      <w:r w:rsidR="006900F0">
        <w:t>IV</w:t>
      </w:r>
      <w:r>
        <w:t xml:space="preserve"> del presente documento.</w:t>
      </w:r>
    </w:p>
    <w:p w14:paraId="36F62423" w14:textId="77777777" w:rsidR="00E95349" w:rsidRPr="0088502A" w:rsidRDefault="00E95349" w:rsidP="00E95349"/>
    <w:p w14:paraId="1BD52C1B" w14:textId="7B25B9F2" w:rsidR="00E95349" w:rsidRPr="0088502A" w:rsidRDefault="00E95349" w:rsidP="00726569">
      <w:pPr>
        <w:pStyle w:val="DecisionParagraphs"/>
        <w:keepLines/>
      </w:pPr>
      <w:r w:rsidRPr="0088502A">
        <w:lastRenderedPageBreak/>
        <w:fldChar w:fldCharType="begin"/>
      </w:r>
      <w:r w:rsidRPr="0088502A">
        <w:instrText xml:space="preserve"> AUTONUM  </w:instrText>
      </w:r>
      <w:r w:rsidRPr="0088502A">
        <w:fldChar w:fldCharType="end"/>
      </w:r>
      <w:r>
        <w:tab/>
        <w:t>Se invita al</w:t>
      </w:r>
      <w:r w:rsidR="009F5788">
        <w:t> </w:t>
      </w:r>
      <w:r>
        <w:t>Consejo a aprobar la revisión de la sección</w:t>
      </w:r>
      <w:r w:rsidR="009F5788">
        <w:t> </w:t>
      </w:r>
      <w:r>
        <w:t>2.3.2 del documento</w:t>
      </w:r>
      <w:r w:rsidR="009F5788">
        <w:t> </w:t>
      </w:r>
      <w:r>
        <w:t>TGP/12 “Orientación sobre ciertos caracteres fisiológicos”, que figura en el párrafo</w:t>
      </w:r>
      <w:r w:rsidR="009F5788">
        <w:t> </w:t>
      </w:r>
      <w:r>
        <w:t xml:space="preserve">3 del </w:t>
      </w:r>
      <w:r w:rsidR="006900F0">
        <w:t>Anexo</w:t>
      </w:r>
      <w:r w:rsidR="009F5788">
        <w:t> </w:t>
      </w:r>
      <w:r w:rsidR="006900F0">
        <w:t>IV</w:t>
      </w:r>
      <w:r>
        <w:t xml:space="preserve"> del presente documento, a reserva de la aprobación del</w:t>
      </w:r>
      <w:r w:rsidR="009F5788">
        <w:t> </w:t>
      </w:r>
      <w:r>
        <w:t>TC y del</w:t>
      </w:r>
      <w:r w:rsidR="009F5788">
        <w:t> </w:t>
      </w:r>
      <w:r>
        <w:t>CAJ, en sus sesiones de</w:t>
      </w:r>
      <w:r w:rsidR="009F5788">
        <w:t> </w:t>
      </w:r>
      <w:r>
        <w:t>2023.</w:t>
      </w:r>
    </w:p>
    <w:p w14:paraId="0F47AFAD" w14:textId="7204FBCD" w:rsidR="0088502A" w:rsidRPr="0088502A" w:rsidRDefault="0088502A" w:rsidP="00785345">
      <w:pPr>
        <w:pStyle w:val="Heading1"/>
      </w:pPr>
      <w:bookmarkStart w:id="37" w:name="_Toc145605448"/>
      <w:r>
        <w:t>Cuestiones sujetas al examen del Comité Técnico</w:t>
      </w:r>
      <w:bookmarkEnd w:id="37"/>
    </w:p>
    <w:p w14:paraId="4C2B3293" w14:textId="77777777" w:rsidR="0088502A" w:rsidRPr="0088502A" w:rsidRDefault="0088502A" w:rsidP="00785345">
      <w:pPr>
        <w:keepNext/>
      </w:pPr>
    </w:p>
    <w:p w14:paraId="30400A1E" w14:textId="5BAFD7C0" w:rsidR="0088502A" w:rsidRPr="0088502A" w:rsidRDefault="0088502A" w:rsidP="00785345">
      <w:pPr>
        <w:keepNext/>
      </w:pPr>
      <w:r w:rsidRPr="0088502A">
        <w:fldChar w:fldCharType="begin"/>
      </w:r>
      <w:r w:rsidRPr="0088502A">
        <w:instrText xml:space="preserve"> AUTONUM  </w:instrText>
      </w:r>
      <w:r w:rsidRPr="0088502A">
        <w:fldChar w:fldCharType="end"/>
      </w:r>
      <w:r>
        <w:tab/>
        <w:t>En la siguiente sección se presentan cuestiones sujetas al examen del</w:t>
      </w:r>
      <w:r w:rsidR="009F5788">
        <w:t> </w:t>
      </w:r>
      <w:r>
        <w:t>Comité Técnico únicamente.</w:t>
      </w:r>
    </w:p>
    <w:p w14:paraId="238BF232" w14:textId="069833E4" w:rsidR="0088502A" w:rsidRDefault="0088502A" w:rsidP="00785345">
      <w:pPr>
        <w:keepNext/>
      </w:pPr>
    </w:p>
    <w:p w14:paraId="180B67B4" w14:textId="77777777" w:rsidR="002E4010" w:rsidRPr="0088502A" w:rsidRDefault="002E4010" w:rsidP="00785345">
      <w:pPr>
        <w:keepNext/>
      </w:pPr>
    </w:p>
    <w:p w14:paraId="4AD730C5" w14:textId="77777777" w:rsidR="0088502A" w:rsidRPr="0088502A" w:rsidRDefault="0088502A" w:rsidP="00C83CED">
      <w:pPr>
        <w:pStyle w:val="Heading2"/>
      </w:pPr>
      <w:bookmarkStart w:id="38" w:name="_Toc145605449"/>
      <w:r>
        <w:t>a)</w:t>
      </w:r>
      <w:r>
        <w:tab/>
        <w:t>Notas explicativas:</w:t>
      </w:r>
      <w:bookmarkEnd w:id="38"/>
    </w:p>
    <w:p w14:paraId="3C76CFC8" w14:textId="77777777" w:rsidR="0088502A" w:rsidRPr="0088502A" w:rsidRDefault="0088502A" w:rsidP="0088502A">
      <w:pPr>
        <w:ind w:left="567"/>
        <w:jc w:val="left"/>
      </w:pPr>
    </w:p>
    <w:p w14:paraId="350DF9CF" w14:textId="4160FD37" w:rsidR="0088502A" w:rsidRPr="0088502A" w:rsidRDefault="0088502A" w:rsidP="002E4010">
      <w:pPr>
        <w:pStyle w:val="Heading3"/>
        <w:rPr>
          <w:rFonts w:cs="Arial"/>
          <w:snapToGrid w:val="0"/>
        </w:rPr>
      </w:pPr>
      <w:bookmarkStart w:id="39" w:name="_Toc145605450"/>
      <w:r>
        <w:t>UPOV/EXN/DEN Notas explicativas sobre las denominaciones de variedades con arreglo al convenio de la</w:t>
      </w:r>
      <w:r w:rsidR="009F5788">
        <w:t> </w:t>
      </w:r>
      <w:r>
        <w:t>UPOV (revisión)</w:t>
      </w:r>
      <w:bookmarkEnd w:id="39"/>
    </w:p>
    <w:p w14:paraId="74353EFB" w14:textId="77777777" w:rsidR="0088502A" w:rsidRPr="0088502A" w:rsidRDefault="0088502A" w:rsidP="0088502A"/>
    <w:p w14:paraId="39BE19A5" w14:textId="77777777" w:rsidR="0088502A" w:rsidRPr="0088502A" w:rsidRDefault="0088502A" w:rsidP="00CF2959">
      <w:pPr>
        <w:pStyle w:val="Heading4"/>
      </w:pPr>
      <w:bookmarkStart w:id="40" w:name="_Toc129334470"/>
      <w:bookmarkStart w:id="41" w:name="_Toc137831128"/>
      <w:bookmarkStart w:id="42" w:name="_Toc145605451"/>
      <w:r>
        <w:t>Modificación de las clases de denominación de variedades de Brassica</w:t>
      </w:r>
      <w:bookmarkEnd w:id="40"/>
      <w:bookmarkEnd w:id="41"/>
      <w:bookmarkEnd w:id="42"/>
    </w:p>
    <w:p w14:paraId="4CEAAF86" w14:textId="77777777" w:rsidR="0088502A" w:rsidRPr="0088502A" w:rsidRDefault="0088502A" w:rsidP="0088502A"/>
    <w:p w14:paraId="625C86B0" w14:textId="2265D061" w:rsidR="0088502A" w:rsidRPr="0088502A" w:rsidRDefault="0088502A" w:rsidP="0088502A">
      <w:r w:rsidRPr="0088502A">
        <w:fldChar w:fldCharType="begin"/>
      </w:r>
      <w:r w:rsidRPr="0088502A">
        <w:instrText xml:space="preserve"> AUTONUM  </w:instrText>
      </w:r>
      <w:r w:rsidRPr="0088502A">
        <w:fldChar w:fldCharType="end"/>
      </w:r>
      <w:r>
        <w:tab/>
        <w:t xml:space="preserve">Los antecedentes de esta cuestión se exponen en el </w:t>
      </w:r>
      <w:r w:rsidR="006900F0">
        <w:t>Anexo III</w:t>
      </w:r>
      <w:r>
        <w:t xml:space="preserve"> del presente documento. El</w:t>
      </w:r>
      <w:r w:rsidR="009F5788">
        <w:t> </w:t>
      </w:r>
      <w:r>
        <w:t>TWV, en su quincuagésima séptima sesión</w:t>
      </w:r>
      <w:r w:rsidR="004E5F31" w:rsidRPr="004E5F31">
        <w:rPr>
          <w:vertAlign w:val="superscript"/>
        </w:rPr>
        <w:fldChar w:fldCharType="begin"/>
      </w:r>
      <w:r w:rsidR="004E5F31" w:rsidRPr="004E5F31">
        <w:rPr>
          <w:vertAlign w:val="superscript"/>
        </w:rPr>
        <w:instrText xml:space="preserve"> NOTEREF _Ref145614610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7</w:t>
      </w:r>
      <w:r w:rsidR="004E5F31" w:rsidRPr="004E5F31">
        <w:rPr>
          <w:vertAlign w:val="superscript"/>
        </w:rPr>
        <w:fldChar w:fldCharType="end"/>
      </w:r>
      <w:r>
        <w:t>, y el</w:t>
      </w:r>
      <w:r w:rsidR="009F5788">
        <w:t> </w:t>
      </w:r>
      <w:r>
        <w:t>TWA, en su quincuagésima segunda sesión</w:t>
      </w:r>
      <w:bookmarkStart w:id="43" w:name="_Ref138846618"/>
      <w:r w:rsidRPr="0088502A">
        <w:rPr>
          <w:rStyle w:val="FootnoteReference"/>
        </w:rPr>
        <w:footnoteReference w:id="9"/>
      </w:r>
      <w:bookmarkEnd w:id="43"/>
      <w:r>
        <w:t xml:space="preserve">, examinaron la propuesta de modificar la clase de denominación existente para </w:t>
      </w:r>
      <w:r>
        <w:rPr>
          <w:i/>
        </w:rPr>
        <w:t>Brassica</w:t>
      </w:r>
      <w:r>
        <w:t xml:space="preserve"> y crear una nueva en el documento</w:t>
      </w:r>
      <w:r w:rsidR="009F5788">
        <w:t> </w:t>
      </w:r>
      <w:r>
        <w:t xml:space="preserve">UPOV/EXN/DEN (véase el </w:t>
      </w:r>
      <w:r w:rsidR="006900F0">
        <w:t>Anexo III</w:t>
      </w:r>
      <w:r>
        <w:t xml:space="preserve"> del presente documento).  </w:t>
      </w:r>
    </w:p>
    <w:p w14:paraId="12A7F411" w14:textId="77777777" w:rsidR="0088502A" w:rsidRPr="0088502A" w:rsidRDefault="0088502A" w:rsidP="0088502A"/>
    <w:p w14:paraId="504AF9C1" w14:textId="289ACC85" w:rsidR="0088502A" w:rsidRPr="0088502A" w:rsidRDefault="0088502A" w:rsidP="0088502A">
      <w:r w:rsidRPr="0088502A">
        <w:fldChar w:fldCharType="begin"/>
      </w:r>
      <w:r w:rsidRPr="0088502A">
        <w:instrText xml:space="preserve"> AUTONUM  </w:instrText>
      </w:r>
      <w:r w:rsidRPr="0088502A">
        <w:fldChar w:fldCharType="end"/>
      </w:r>
      <w:r>
        <w:tab/>
        <w:t>El</w:t>
      </w:r>
      <w:r w:rsidR="009F5788">
        <w:t> </w:t>
      </w:r>
      <w:r>
        <w:t>TWV</w:t>
      </w:r>
      <w:bookmarkStart w:id="44" w:name="_Ref138407710"/>
      <w:r>
        <w:t xml:space="preserve"> </w:t>
      </w:r>
      <w:bookmarkEnd w:id="44"/>
      <w:r>
        <w:t xml:space="preserve">convino en proponer las modificaciones de las clases de denominación de variedades de </w:t>
      </w:r>
      <w:r>
        <w:rPr>
          <w:i/>
        </w:rPr>
        <w:t>Brassica</w:t>
      </w:r>
      <w:r>
        <w:t xml:space="preserve">, según se expone en el </w:t>
      </w:r>
      <w:r w:rsidR="006900F0">
        <w:t>Anexo</w:t>
      </w:r>
      <w:r w:rsidR="009F5788">
        <w:t> </w:t>
      </w:r>
      <w:r w:rsidR="006900F0">
        <w:t>III</w:t>
      </w:r>
      <w:r>
        <w:t xml:space="preserve"> del presente documento (véase el párrafo</w:t>
      </w:r>
      <w:r w:rsidR="009F5788">
        <w:t> </w:t>
      </w:r>
      <w:r>
        <w:t xml:space="preserve">37 del documento TWV/57/26 </w:t>
      </w:r>
      <w:r>
        <w:rPr>
          <w:i/>
        </w:rPr>
        <w:t>“Report”</w:t>
      </w:r>
      <w:r>
        <w:t xml:space="preserve"> (informe)).</w:t>
      </w:r>
    </w:p>
    <w:p w14:paraId="675C4930" w14:textId="77777777" w:rsidR="0088502A" w:rsidRPr="0088502A" w:rsidRDefault="0088502A" w:rsidP="0088502A"/>
    <w:p w14:paraId="5A709BBD" w14:textId="5AF93578" w:rsidR="0088502A" w:rsidRPr="0088502A" w:rsidRDefault="0088502A" w:rsidP="0088502A">
      <w:r w:rsidRPr="0088502A">
        <w:fldChar w:fldCharType="begin"/>
      </w:r>
      <w:r w:rsidRPr="0088502A">
        <w:instrText xml:space="preserve"> AUTONUM  </w:instrText>
      </w:r>
      <w:r w:rsidRPr="0088502A">
        <w:fldChar w:fldCharType="end"/>
      </w:r>
      <w:r>
        <w:tab/>
        <w:t>El</w:t>
      </w:r>
      <w:r w:rsidR="009F5788">
        <w:t> </w:t>
      </w:r>
      <w:r>
        <w:t>TWA convino en la imposibilidad de llegar a un acuerdo sobre la propuesta de crear una clase de denominación independiente para las variedades de colza oleaginosa (código</w:t>
      </w:r>
      <w:r w:rsidR="009F5788">
        <w:t> </w:t>
      </w:r>
      <w:r>
        <w:t>UPOV BRASS_NAP_NUS). El</w:t>
      </w:r>
      <w:r w:rsidR="009F5788">
        <w:t> </w:t>
      </w:r>
      <w:r>
        <w:t>TWA tomó nota de que ciertas variedades pueden agruparse según su uso final (por ejemplo, forraje, aceite u hortaliza), pero en algunos casos no se pueden agrupar a partir de los caracteres</w:t>
      </w:r>
      <w:r w:rsidR="009F5788">
        <w:t> </w:t>
      </w:r>
      <w:r>
        <w:t>DHE existentes. El</w:t>
      </w:r>
      <w:r w:rsidR="009F5788">
        <w:t> </w:t>
      </w:r>
      <w:r>
        <w:t xml:space="preserve">TWA convino en la imposibilidad de llegar a un acuerdo sobre el examen de las denominaciones de variedades de diferentes subespecies de </w:t>
      </w:r>
      <w:r>
        <w:rPr>
          <w:i/>
        </w:rPr>
        <w:t>Brassica napus, B. nigra</w:t>
      </w:r>
      <w:r>
        <w:t xml:space="preserve"> y </w:t>
      </w:r>
      <w:r>
        <w:rPr>
          <w:i/>
        </w:rPr>
        <w:t>B. rapa</w:t>
      </w:r>
      <w:r>
        <w:t xml:space="preserve"> de clases de denominación independientes (véanse los párrafos</w:t>
      </w:r>
      <w:r w:rsidR="009F5788">
        <w:t> </w:t>
      </w:r>
      <w:r>
        <w:t>28 y</w:t>
      </w:r>
      <w:r w:rsidR="009F5788">
        <w:t> </w:t>
      </w:r>
      <w:r>
        <w:t>29 del documento</w:t>
      </w:r>
      <w:r w:rsidR="009F5788">
        <w:t> </w:t>
      </w:r>
      <w:r>
        <w:t xml:space="preserve">TWA/52/11 </w:t>
      </w:r>
      <w:r>
        <w:rPr>
          <w:i/>
        </w:rPr>
        <w:t>“Report”</w:t>
      </w:r>
      <w:r>
        <w:t xml:space="preserve"> (informe)).</w:t>
      </w:r>
    </w:p>
    <w:p w14:paraId="2D1391AE" w14:textId="77777777" w:rsidR="0088502A" w:rsidRPr="0088502A" w:rsidRDefault="0088502A" w:rsidP="0088502A"/>
    <w:p w14:paraId="62C888E4" w14:textId="1CE478E6" w:rsidR="0088502A" w:rsidRPr="0088502A" w:rsidRDefault="0088502A" w:rsidP="00785345">
      <w:pPr>
        <w:pStyle w:val="DecisionParagraphs"/>
        <w:rPr>
          <w:spacing w:val="-4"/>
        </w:rPr>
      </w:pPr>
      <w:r w:rsidRPr="0088502A">
        <w:fldChar w:fldCharType="begin"/>
      </w:r>
      <w:r w:rsidRPr="0088502A">
        <w:instrText xml:space="preserve"> AUTONUM  </w:instrText>
      </w:r>
      <w:r w:rsidRPr="0088502A">
        <w:fldChar w:fldCharType="end"/>
      </w:r>
      <w:r>
        <w:tab/>
        <w:t>Se invita al</w:t>
      </w:r>
      <w:r w:rsidR="009F5788">
        <w:t> </w:t>
      </w:r>
      <w:r>
        <w:t xml:space="preserve">TC a considerar si procede proseguir los debates sobre la modificación y la creación de una nueva clase de denominación de variedades de Brassica, según se expone en el </w:t>
      </w:r>
      <w:r w:rsidR="006900F0">
        <w:t>Anexo</w:t>
      </w:r>
      <w:r w:rsidR="009F5788">
        <w:t> </w:t>
      </w:r>
      <w:r w:rsidR="006900F0">
        <w:t>III</w:t>
      </w:r>
      <w:r>
        <w:t xml:space="preserve"> del presente documento.</w:t>
      </w:r>
    </w:p>
    <w:p w14:paraId="42387403" w14:textId="77777777" w:rsidR="0088502A" w:rsidRPr="0088502A" w:rsidRDefault="0088502A" w:rsidP="0088502A"/>
    <w:p w14:paraId="0AC7611F" w14:textId="77777777" w:rsidR="0088502A" w:rsidRPr="0088502A" w:rsidRDefault="0088502A" w:rsidP="0088502A"/>
    <w:p w14:paraId="1DE5A76C" w14:textId="77777777" w:rsidR="0088502A" w:rsidRPr="0088502A" w:rsidRDefault="0088502A" w:rsidP="00C83CED">
      <w:pPr>
        <w:pStyle w:val="Heading2"/>
      </w:pPr>
      <w:bookmarkStart w:id="45" w:name="_Toc145605452"/>
      <w:r>
        <w:t>b)</w:t>
      </w:r>
      <w:r>
        <w:tab/>
        <w:t>Documentos TGP</w:t>
      </w:r>
      <w:bookmarkEnd w:id="45"/>
      <w:r>
        <w:t xml:space="preserve"> </w:t>
      </w:r>
    </w:p>
    <w:p w14:paraId="0E54A6D0" w14:textId="77777777" w:rsidR="0088502A" w:rsidRPr="0088502A" w:rsidRDefault="0088502A" w:rsidP="0088502A">
      <w:pPr>
        <w:keepNext/>
      </w:pPr>
    </w:p>
    <w:p w14:paraId="60904577" w14:textId="2BA833A4" w:rsidR="0088502A" w:rsidRPr="0088502A" w:rsidRDefault="0088502A" w:rsidP="002E4010">
      <w:pPr>
        <w:pStyle w:val="Heading3"/>
      </w:pPr>
      <w:bookmarkStart w:id="46" w:name="_Toc145605453"/>
      <w:r>
        <w:t>TGP/5: Sección</w:t>
      </w:r>
      <w:r w:rsidR="009F5788">
        <w:t> </w:t>
      </w:r>
      <w:r>
        <w:t>6 “Informe de la</w:t>
      </w:r>
      <w:r w:rsidR="009F5788">
        <w:t> </w:t>
      </w:r>
      <w:r>
        <w:t>UPOV sobre el examen técnico y Formulario</w:t>
      </w:r>
      <w:r w:rsidR="009F5788">
        <w:t> </w:t>
      </w:r>
      <w:r>
        <w:t>UPOV para la descripción de variedades” (revisión)</w:t>
      </w:r>
      <w:bookmarkEnd w:id="46"/>
    </w:p>
    <w:p w14:paraId="19C5C026" w14:textId="77777777" w:rsidR="0088502A" w:rsidRPr="0088502A" w:rsidRDefault="0088502A" w:rsidP="0088502A">
      <w:pPr>
        <w:keepNext/>
      </w:pPr>
    </w:p>
    <w:p w14:paraId="52692415" w14:textId="389B80C6" w:rsidR="0088502A" w:rsidRPr="0088502A" w:rsidRDefault="0088502A" w:rsidP="0088502A">
      <w:pPr>
        <w:keepNext/>
      </w:pPr>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tab/>
        <w:t xml:space="preserve">Los antecedentes de esta cuestión se exponen en el </w:t>
      </w:r>
      <w:r w:rsidR="006900F0">
        <w:t>Anexo</w:t>
      </w:r>
      <w:r w:rsidR="009F5788">
        <w:t> </w:t>
      </w:r>
      <w:r w:rsidR="006900F0">
        <w:t>III</w:t>
      </w:r>
      <w:r>
        <w:t xml:space="preserve"> del presente documento.</w:t>
      </w:r>
    </w:p>
    <w:p w14:paraId="269A0EE6" w14:textId="77777777" w:rsidR="0088502A" w:rsidRPr="0088502A" w:rsidRDefault="0088502A" w:rsidP="0088502A">
      <w:pPr>
        <w:keepNext/>
      </w:pPr>
    </w:p>
    <w:p w14:paraId="7F3A5C27" w14:textId="77777777" w:rsidR="0088502A" w:rsidRPr="0088502A" w:rsidRDefault="0088502A" w:rsidP="00CF2959">
      <w:pPr>
        <w:pStyle w:val="Heading4"/>
      </w:pPr>
      <w:bookmarkStart w:id="47" w:name="_Toc145605454"/>
      <w:r>
        <w:t>Nuevas propuestas:</w:t>
      </w:r>
      <w:bookmarkEnd w:id="47"/>
      <w:r>
        <w:t xml:space="preserve"> </w:t>
      </w:r>
    </w:p>
    <w:p w14:paraId="7CEE32C2" w14:textId="77777777" w:rsidR="0088502A" w:rsidRPr="0088502A" w:rsidRDefault="0088502A" w:rsidP="0088502A">
      <w:pPr>
        <w:keepNext/>
      </w:pPr>
    </w:p>
    <w:p w14:paraId="45CE0090" w14:textId="068DE3CA" w:rsidR="002647D9" w:rsidRDefault="002647D9" w:rsidP="002647D9">
      <w:pPr>
        <w:pStyle w:val="Heading5"/>
      </w:pPr>
      <w:bookmarkStart w:id="48" w:name="_Toc145605455"/>
      <w:r>
        <w:t>Formulario UPOV para la descripción de variedades: elemento</w:t>
      </w:r>
      <w:r w:rsidR="009F5788">
        <w:t> </w:t>
      </w:r>
      <w:r>
        <w:t>16 “Variedades similares y diferencias en relación con esas variedades”</w:t>
      </w:r>
      <w:bookmarkEnd w:id="48"/>
    </w:p>
    <w:p w14:paraId="5B4264F8" w14:textId="53053346" w:rsidR="002647D9" w:rsidRDefault="002647D9" w:rsidP="002647D9"/>
    <w:p w14:paraId="098CF696" w14:textId="614BB0D0" w:rsidR="002647D9" w:rsidRDefault="002647D9" w:rsidP="002647D9">
      <w:r w:rsidRPr="0088502A">
        <w:fldChar w:fldCharType="begin"/>
      </w:r>
      <w:r w:rsidRPr="0088502A">
        <w:instrText xml:space="preserve"> AUTONUM  </w:instrText>
      </w:r>
      <w:r w:rsidRPr="0088502A">
        <w:fldChar w:fldCharType="end"/>
      </w:r>
      <w:r>
        <w:tab/>
        <w:t>En su quincuagésima cuarta sesión</w:t>
      </w:r>
      <w:bookmarkStart w:id="49" w:name="_Ref145614644"/>
      <w:r w:rsidRPr="0088502A">
        <w:rPr>
          <w:rStyle w:val="FootnoteReference"/>
        </w:rPr>
        <w:footnoteReference w:id="10"/>
      </w:r>
      <w:bookmarkEnd w:id="49"/>
      <w:r w:rsidR="009F5788">
        <w:t>,</w:t>
      </w:r>
      <w:r>
        <w:t xml:space="preserve"> el</w:t>
      </w:r>
      <w:r w:rsidR="009F5788">
        <w:t> </w:t>
      </w:r>
      <w:r>
        <w:t>TWF convino en proponer explicaciones adicionales para la sección</w:t>
      </w:r>
      <w:r w:rsidR="009F5788">
        <w:t> </w:t>
      </w:r>
      <w:r>
        <w:t>16 “Variedades similares y diferencias en relación con esas variedades” con el objeto de aclarar qué variedades deben incluirse en el Formulario</w:t>
      </w:r>
      <w:r w:rsidR="009F5788">
        <w:t> </w:t>
      </w:r>
      <w:r>
        <w:t xml:space="preserve">UPOV para la descripción de variedades (véanse el </w:t>
      </w:r>
      <w:r w:rsidR="006900F0">
        <w:t>Anexo</w:t>
      </w:r>
      <w:r w:rsidR="009F5788">
        <w:t> </w:t>
      </w:r>
      <w:r w:rsidR="006900F0">
        <w:t>III</w:t>
      </w:r>
      <w:r>
        <w:t xml:space="preserve"> del presente documento y los párrafos</w:t>
      </w:r>
      <w:r w:rsidR="009F5788">
        <w:t> </w:t>
      </w:r>
      <w:r>
        <w:t>17 y</w:t>
      </w:r>
      <w:r w:rsidR="009F5788">
        <w:t> </w:t>
      </w:r>
      <w:r>
        <w:t>18 del documento</w:t>
      </w:r>
      <w:r w:rsidR="009F5788">
        <w:t> </w:t>
      </w:r>
      <w:r>
        <w:t xml:space="preserve">TWF//54/13 </w:t>
      </w:r>
      <w:r>
        <w:rPr>
          <w:i/>
        </w:rPr>
        <w:t>“Report”</w:t>
      </w:r>
      <w:r>
        <w:t xml:space="preserve"> (informe)).</w:t>
      </w:r>
    </w:p>
    <w:p w14:paraId="32BEDB19" w14:textId="77777777" w:rsidR="002647D9" w:rsidRPr="002647D9" w:rsidRDefault="002647D9" w:rsidP="002647D9"/>
    <w:p w14:paraId="591E4093" w14:textId="1C992F87" w:rsidR="0088502A" w:rsidRPr="0088502A" w:rsidRDefault="0088502A" w:rsidP="0088502A">
      <w:pPr>
        <w:pStyle w:val="Heading5"/>
      </w:pPr>
      <w:bookmarkStart w:id="50" w:name="_Toc145605456"/>
      <w:r>
        <w:lastRenderedPageBreak/>
        <w:t>Formulario UPOV para la descripción de variedades: elemento</w:t>
      </w:r>
      <w:r w:rsidR="009F5788">
        <w:t> </w:t>
      </w:r>
      <w:r>
        <w:t>17 “Información adicional”</w:t>
      </w:r>
      <w:bookmarkEnd w:id="50"/>
    </w:p>
    <w:p w14:paraId="78A02A3B" w14:textId="77777777" w:rsidR="0088502A" w:rsidRPr="0088502A" w:rsidRDefault="0088502A" w:rsidP="0088502A">
      <w:pPr>
        <w:keepNext/>
      </w:pPr>
    </w:p>
    <w:p w14:paraId="6653C312" w14:textId="41847034" w:rsidR="0088502A" w:rsidRPr="0088502A" w:rsidRDefault="0088502A" w:rsidP="002647D9">
      <w:pPr>
        <w:rPr>
          <w:rFonts w:eastAsia="MS Mincho"/>
        </w:rPr>
      </w:pPr>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tab/>
        <w:t>En su quincuagésima quinta sesión</w:t>
      </w:r>
      <w:bookmarkStart w:id="51" w:name="_Ref145614717"/>
      <w:r w:rsidRPr="0088502A">
        <w:rPr>
          <w:rStyle w:val="FootnoteReference"/>
          <w:rFonts w:eastAsia="MS Mincho"/>
        </w:rPr>
        <w:footnoteReference w:id="11"/>
      </w:r>
      <w:bookmarkEnd w:id="51"/>
      <w:r>
        <w:t>, el</w:t>
      </w:r>
      <w:r w:rsidR="009F5788">
        <w:t> </w:t>
      </w:r>
      <w:r>
        <w:t>TWO convino en proponer una lista no exhaustiva de ejemplos de datos adicionales para su inclusión en la sección</w:t>
      </w:r>
      <w:r w:rsidR="009F5788">
        <w:t> </w:t>
      </w:r>
      <w:r>
        <w:t>6 del documento</w:t>
      </w:r>
      <w:r w:rsidR="009F5788">
        <w:t> </w:t>
      </w:r>
      <w:r>
        <w:t xml:space="preserve">TGP/5 (véanse el </w:t>
      </w:r>
      <w:r w:rsidR="006900F0">
        <w:t>Anexo</w:t>
      </w:r>
      <w:r w:rsidR="009F5788">
        <w:t> </w:t>
      </w:r>
      <w:r w:rsidR="006900F0">
        <w:t>III</w:t>
      </w:r>
      <w:r>
        <w:t xml:space="preserve"> del presente documento y los párrafos</w:t>
      </w:r>
      <w:r w:rsidR="009F5788">
        <w:t> </w:t>
      </w:r>
      <w:r>
        <w:t>21 a</w:t>
      </w:r>
      <w:r w:rsidR="009F5788">
        <w:t> </w:t>
      </w:r>
      <w:r>
        <w:t>25 del documento</w:t>
      </w:r>
      <w:r w:rsidR="009F5788">
        <w:t> </w:t>
      </w:r>
      <w:r>
        <w:t xml:space="preserve">TWO/55/11 </w:t>
      </w:r>
      <w:r>
        <w:rPr>
          <w:i/>
        </w:rPr>
        <w:t>“Report”</w:t>
      </w:r>
      <w:r>
        <w:t xml:space="preserve"> (informe)). </w:t>
      </w:r>
    </w:p>
    <w:p w14:paraId="3A2A3888" w14:textId="77777777" w:rsidR="002647D9" w:rsidRDefault="002647D9" w:rsidP="0088502A">
      <w:pPr>
        <w:tabs>
          <w:tab w:val="left" w:pos="5387"/>
        </w:tabs>
        <w:ind w:left="4820"/>
        <w:rPr>
          <w:rFonts w:eastAsia="Calibri" w:cs="Arial"/>
          <w:snapToGrid w:val="0"/>
          <w:sz w:val="18"/>
        </w:rPr>
      </w:pPr>
    </w:p>
    <w:p w14:paraId="0CB258D7" w14:textId="74D3AAC9" w:rsidR="0088502A" w:rsidRPr="002E4010" w:rsidRDefault="0088502A" w:rsidP="00785345">
      <w:pPr>
        <w:pStyle w:val="DecisionParagraphs"/>
      </w:pPr>
      <w:r w:rsidRPr="002E4010">
        <w:fldChar w:fldCharType="begin"/>
      </w:r>
      <w:r w:rsidRPr="002E4010">
        <w:instrText xml:space="preserve"> AUTONUM  </w:instrText>
      </w:r>
      <w:r w:rsidRPr="002E4010">
        <w:fldChar w:fldCharType="end"/>
      </w:r>
      <w:r w:rsidRPr="002E4010">
        <w:tab/>
        <w:t>Se invita al</w:t>
      </w:r>
      <w:r w:rsidR="009F5788" w:rsidRPr="002E4010">
        <w:t> </w:t>
      </w:r>
      <w:r w:rsidRPr="002E4010">
        <w:t>TC a considerar si procede invitar a los</w:t>
      </w:r>
      <w:r w:rsidR="009F5788" w:rsidRPr="002E4010">
        <w:t> </w:t>
      </w:r>
      <w:r w:rsidRPr="002E4010">
        <w:t>TWP a que en sus sesiones de</w:t>
      </w:r>
      <w:r w:rsidR="009F5788" w:rsidRPr="002E4010">
        <w:t> </w:t>
      </w:r>
      <w:r w:rsidRPr="002E4010">
        <w:t>2024 examinen las propuestas de revisión de los elementos</w:t>
      </w:r>
      <w:r w:rsidR="009F5788" w:rsidRPr="002E4010">
        <w:t> </w:t>
      </w:r>
      <w:r w:rsidRPr="002E4010">
        <w:t>16 y</w:t>
      </w:r>
      <w:r w:rsidR="009F5788" w:rsidRPr="002E4010">
        <w:t> </w:t>
      </w:r>
      <w:r w:rsidRPr="002E4010">
        <w:t>17 de la sección 6 “Formulario</w:t>
      </w:r>
      <w:r w:rsidR="009F5788" w:rsidRPr="002E4010">
        <w:t> </w:t>
      </w:r>
      <w:r w:rsidRPr="002E4010">
        <w:t>UPOV para la descripción de variedades” del documento</w:t>
      </w:r>
      <w:r w:rsidR="009F5788" w:rsidRPr="002E4010">
        <w:t> </w:t>
      </w:r>
      <w:r w:rsidRPr="002E4010">
        <w:t>TGP/5 según se expone en los párrafos</w:t>
      </w:r>
      <w:r w:rsidR="00785345">
        <w:t xml:space="preserve"> </w:t>
      </w:r>
      <w:r w:rsidRPr="002E4010">
        <w:t>5 a</w:t>
      </w:r>
      <w:r w:rsidR="00785345">
        <w:t xml:space="preserve"> </w:t>
      </w:r>
      <w:r w:rsidRPr="002E4010">
        <w:t xml:space="preserve">13 del </w:t>
      </w:r>
      <w:r w:rsidR="006900F0" w:rsidRPr="002E4010">
        <w:t>Anexo</w:t>
      </w:r>
      <w:r w:rsidR="00785345">
        <w:t xml:space="preserve"> </w:t>
      </w:r>
      <w:r w:rsidR="006900F0" w:rsidRPr="002E4010">
        <w:t>III</w:t>
      </w:r>
      <w:r w:rsidRPr="002E4010">
        <w:t xml:space="preserve"> del presente documento.</w:t>
      </w:r>
    </w:p>
    <w:p w14:paraId="3106D9FE" w14:textId="77777777" w:rsidR="0088502A" w:rsidRPr="0088502A" w:rsidRDefault="0088502A" w:rsidP="0088502A">
      <w:pPr>
        <w:tabs>
          <w:tab w:val="left" w:pos="5387"/>
        </w:tabs>
        <w:ind w:left="4820"/>
        <w:rPr>
          <w:i/>
        </w:rPr>
      </w:pPr>
    </w:p>
    <w:p w14:paraId="16C2FBA2" w14:textId="438356E7" w:rsidR="0088502A" w:rsidRPr="0088502A" w:rsidRDefault="0088502A" w:rsidP="002E4010">
      <w:pPr>
        <w:pStyle w:val="Heading3"/>
      </w:pPr>
      <w:bookmarkStart w:id="52" w:name="_Toc145605457"/>
      <w:r>
        <w:t>TGP/5: Sección</w:t>
      </w:r>
      <w:r w:rsidR="009F5788">
        <w:t> </w:t>
      </w:r>
      <w:r>
        <w:t>1</w:t>
      </w:r>
      <w:r w:rsidR="002E4010">
        <w:t>1</w:t>
      </w:r>
      <w:r>
        <w:t xml:space="preserve"> “Ejemplos de políticas y contratos sobre el material presentado por el obtentor” (revisión)</w:t>
      </w:r>
      <w:bookmarkEnd w:id="52"/>
    </w:p>
    <w:p w14:paraId="513C3F0E" w14:textId="77777777" w:rsidR="0088502A" w:rsidRPr="0088502A" w:rsidRDefault="0088502A" w:rsidP="0088502A">
      <w:pPr>
        <w:keepNext/>
        <w:keepLines/>
      </w:pPr>
    </w:p>
    <w:p w14:paraId="0F4BE7B0" w14:textId="4C7D2A56" w:rsidR="0088502A" w:rsidRPr="0088502A" w:rsidRDefault="0088502A" w:rsidP="0088502A">
      <w:r w:rsidRPr="0088502A">
        <w:rPr>
          <w:rFonts w:eastAsia="MS Mincho"/>
        </w:rPr>
        <w:fldChar w:fldCharType="begin"/>
      </w:r>
      <w:r w:rsidRPr="0088502A">
        <w:rPr>
          <w:rFonts w:eastAsia="MS Mincho"/>
        </w:rPr>
        <w:instrText xml:space="preserve"> AUTONUM  </w:instrText>
      </w:r>
      <w:r w:rsidRPr="0088502A">
        <w:rPr>
          <w:rFonts w:eastAsia="MS Mincho"/>
        </w:rPr>
        <w:fldChar w:fldCharType="end"/>
      </w:r>
      <w:r>
        <w:tab/>
        <w:t xml:space="preserve">Los antecedentes de esta cuestión se exponen en el </w:t>
      </w:r>
      <w:r w:rsidR="006900F0">
        <w:t>Anexo</w:t>
      </w:r>
      <w:r w:rsidR="009F5788">
        <w:t> </w:t>
      </w:r>
      <w:r w:rsidR="006900F0">
        <w:t>III</w:t>
      </w:r>
      <w:r>
        <w:t xml:space="preserve"> del presente documento.</w:t>
      </w:r>
    </w:p>
    <w:p w14:paraId="6E03F81E" w14:textId="77777777" w:rsidR="0088502A" w:rsidRPr="0088502A" w:rsidRDefault="0088502A" w:rsidP="0088502A"/>
    <w:p w14:paraId="2952850B" w14:textId="1FD6BA4F" w:rsidR="0088502A" w:rsidRPr="0088502A" w:rsidRDefault="0088502A" w:rsidP="0088502A">
      <w:pPr>
        <w:keepNext/>
        <w:rPr>
          <w:rFonts w:eastAsia="Cambria"/>
          <w:spacing w:val="-6"/>
        </w:rPr>
      </w:pPr>
      <w:r w:rsidRPr="0088502A">
        <w:fldChar w:fldCharType="begin"/>
      </w:r>
      <w:r w:rsidRPr="0088502A">
        <w:instrText xml:space="preserve"> AUTONUM  </w:instrText>
      </w:r>
      <w:r w:rsidRPr="0088502A">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t>, el</w:t>
      </w:r>
      <w:r w:rsidR="009F5788">
        <w:t> </w:t>
      </w:r>
      <w:r>
        <w:t>TWF convino en proponer que se modifique la sección</w:t>
      </w:r>
      <w:r w:rsidR="009F5788">
        <w:t> </w:t>
      </w:r>
      <w:r>
        <w:t>11 “Ejemplos de políticas y contratos sobre el material presentado por el obtentor” del documento</w:t>
      </w:r>
      <w:r w:rsidR="009F5788">
        <w:t> </w:t>
      </w:r>
      <w:r>
        <w:t>TGP/5 para incorporar una lista de elementos a considerar para su inclusión en las solicitudes de presentación de material vegetal de las variedades candidatas y las variedades notoriamente conocidas para el examen DHE (véanse los párrafos</w:t>
      </w:r>
      <w:r w:rsidR="009F5788">
        <w:t> </w:t>
      </w:r>
      <w:r>
        <w:t>19 y</w:t>
      </w:r>
      <w:r w:rsidR="009F5788">
        <w:t> </w:t>
      </w:r>
      <w:r>
        <w:t>20 del documento</w:t>
      </w:r>
      <w:r w:rsidR="009F5788">
        <w:t> </w:t>
      </w:r>
      <w:r>
        <w:t xml:space="preserve">TWF/54/13 </w:t>
      </w:r>
      <w:r>
        <w:rPr>
          <w:i/>
        </w:rPr>
        <w:t>“Report”</w:t>
      </w:r>
      <w:r>
        <w:t xml:space="preserve"> (informe)).</w:t>
      </w:r>
    </w:p>
    <w:p w14:paraId="3CF74C45" w14:textId="77777777" w:rsidR="00465871" w:rsidRDefault="00465871" w:rsidP="0088502A">
      <w:pPr>
        <w:tabs>
          <w:tab w:val="left" w:pos="5387"/>
        </w:tabs>
        <w:ind w:left="4820"/>
        <w:rPr>
          <w:i/>
        </w:rPr>
      </w:pPr>
    </w:p>
    <w:p w14:paraId="2CE7F212" w14:textId="0F847254" w:rsidR="0088502A" w:rsidRPr="002E4010" w:rsidRDefault="0088502A" w:rsidP="00785345">
      <w:pPr>
        <w:pStyle w:val="DecisionParagraphs"/>
      </w:pPr>
      <w:r w:rsidRPr="002E4010">
        <w:fldChar w:fldCharType="begin"/>
      </w:r>
      <w:r w:rsidRPr="002E4010">
        <w:instrText xml:space="preserve"> AUTONUM  </w:instrText>
      </w:r>
      <w:r w:rsidRPr="002E4010">
        <w:fldChar w:fldCharType="end"/>
      </w:r>
      <w:r w:rsidRPr="002E4010">
        <w:tab/>
        <w:t>Se invita al</w:t>
      </w:r>
      <w:r w:rsidR="009F5788" w:rsidRPr="002E4010">
        <w:t> </w:t>
      </w:r>
      <w:r w:rsidRPr="002E4010">
        <w:t>TC a considerar si procede invitar a los</w:t>
      </w:r>
      <w:r w:rsidR="009F5788" w:rsidRPr="002E4010">
        <w:t> </w:t>
      </w:r>
      <w:r w:rsidRPr="002E4010">
        <w:t>TWP a que en sus sesiones de</w:t>
      </w:r>
      <w:r w:rsidR="009F5788" w:rsidRPr="002E4010">
        <w:t> </w:t>
      </w:r>
      <w:r w:rsidRPr="002E4010">
        <w:t>2024 examinen la propuesta de modificación de la sección</w:t>
      </w:r>
      <w:r w:rsidR="009F5788" w:rsidRPr="002E4010">
        <w:t> </w:t>
      </w:r>
      <w:r w:rsidRPr="002E4010">
        <w:t>11 “Ejemplos de políticas y contratos sobre el material presentado por el obtentor” del documento</w:t>
      </w:r>
      <w:r w:rsidR="009F5788" w:rsidRPr="002E4010">
        <w:t> </w:t>
      </w:r>
      <w:r w:rsidRPr="002E4010">
        <w:t xml:space="preserve">TGP/5 para incorporar una lista de elementos para su inclusión en las solicitudes de presentación de material vegetal de las variedades candidatas y las variedades notoriamente conocidas para el examen DHE, según se expone </w:t>
      </w:r>
      <w:r w:rsidR="00785345">
        <w:br/>
      </w:r>
      <w:r w:rsidRPr="002E4010">
        <w:t>en los párrafos</w:t>
      </w:r>
      <w:r w:rsidR="00785345">
        <w:t xml:space="preserve"> </w:t>
      </w:r>
      <w:r w:rsidRPr="002E4010">
        <w:t>14 y</w:t>
      </w:r>
      <w:r w:rsidR="00785345">
        <w:t xml:space="preserve"> </w:t>
      </w:r>
      <w:r w:rsidRPr="002E4010">
        <w:t xml:space="preserve">15 del </w:t>
      </w:r>
      <w:r w:rsidR="006900F0" w:rsidRPr="002E4010">
        <w:t>Anexo</w:t>
      </w:r>
      <w:r w:rsidR="00785345">
        <w:t xml:space="preserve"> </w:t>
      </w:r>
      <w:r w:rsidR="006900F0" w:rsidRPr="002E4010">
        <w:t>III</w:t>
      </w:r>
      <w:r w:rsidRPr="002E4010">
        <w:t xml:space="preserve"> del presente documento.</w:t>
      </w:r>
    </w:p>
    <w:p w14:paraId="6E7F8AA9" w14:textId="77777777" w:rsidR="0088502A" w:rsidRPr="0088502A" w:rsidRDefault="0088502A" w:rsidP="0088502A"/>
    <w:p w14:paraId="2DF75F92" w14:textId="40DEFC06" w:rsidR="0088502A" w:rsidRPr="0088502A" w:rsidRDefault="0088502A" w:rsidP="002E4010">
      <w:pPr>
        <w:pStyle w:val="Heading3"/>
      </w:pPr>
      <w:bookmarkStart w:id="53" w:name="_Toc145605458"/>
      <w:r>
        <w:t>TGP/7</w:t>
      </w:r>
      <w:r w:rsidR="002E4010">
        <w:t xml:space="preserve">: </w:t>
      </w:r>
      <w:r>
        <w:t>Elaboración de las directrices de examen (revisión)</w:t>
      </w:r>
      <w:bookmarkEnd w:id="53"/>
    </w:p>
    <w:p w14:paraId="061A265B" w14:textId="77777777" w:rsidR="0088502A" w:rsidRPr="0088502A" w:rsidRDefault="0088502A" w:rsidP="002E4010">
      <w:pPr>
        <w:pStyle w:val="Heading3"/>
      </w:pPr>
    </w:p>
    <w:p w14:paraId="343E1B05" w14:textId="4E7B9540" w:rsidR="0088502A" w:rsidRPr="0088502A" w:rsidRDefault="0088502A" w:rsidP="00CF2959">
      <w:pPr>
        <w:pStyle w:val="Heading4"/>
      </w:pPr>
      <w:bookmarkStart w:id="54" w:name="_Toc145605459"/>
      <w:r>
        <w:t xml:space="preserve">Variedades ejemplo para los caracteres cuantitativos señalados con asterisco cuando se facilitan ilustraciones (véase el </w:t>
      </w:r>
      <w:r w:rsidR="006900F0">
        <w:t>Anexo</w:t>
      </w:r>
      <w:r w:rsidR="009F5788">
        <w:t> </w:t>
      </w:r>
      <w:r w:rsidR="006900F0">
        <w:t>III</w:t>
      </w:r>
      <w:r>
        <w:t xml:space="preserve"> del presente documento)</w:t>
      </w:r>
      <w:bookmarkEnd w:id="54"/>
    </w:p>
    <w:p w14:paraId="4D9F5DDE" w14:textId="77777777" w:rsidR="0088502A" w:rsidRPr="0088502A" w:rsidRDefault="0088502A" w:rsidP="0088502A"/>
    <w:p w14:paraId="75E0D953" w14:textId="4268FA0F" w:rsidR="0088502A" w:rsidRPr="0088502A" w:rsidRDefault="0088502A" w:rsidP="0088502A">
      <w:r w:rsidRPr="0088502A">
        <w:fldChar w:fldCharType="begin"/>
      </w:r>
      <w:r w:rsidRPr="0088502A">
        <w:instrText xml:space="preserve"> AUTONUM  </w:instrText>
      </w:r>
      <w:r w:rsidRPr="0088502A">
        <w:fldChar w:fldCharType="end"/>
      </w:r>
      <w:r>
        <w:tab/>
        <w:t>En sus sesiones de</w:t>
      </w:r>
      <w:r w:rsidR="009F5788">
        <w:t> </w:t>
      </w:r>
      <w:r>
        <w:t>2023, los</w:t>
      </w:r>
      <w:r w:rsidR="009F5788">
        <w:t> </w:t>
      </w:r>
      <w:r>
        <w:t>TWP estudiaron posibles modificaciones de la nota orientativa GN</w:t>
      </w:r>
      <w:r w:rsidR="009F5788">
        <w:t> </w:t>
      </w:r>
      <w:r>
        <w:t>28 “Variedades ejemplo” del documento</w:t>
      </w:r>
      <w:r w:rsidR="009F5788">
        <w:t> </w:t>
      </w:r>
      <w:r>
        <w:t>TGP/7, según se expone en los párrafos</w:t>
      </w:r>
      <w:r w:rsidR="009F5788">
        <w:t> </w:t>
      </w:r>
      <w:r>
        <w:t>16 a</w:t>
      </w:r>
      <w:r w:rsidR="009F5788">
        <w:t> </w:t>
      </w:r>
      <w:r>
        <w:t xml:space="preserve">26 del </w:t>
      </w:r>
      <w:r w:rsidR="006900F0">
        <w:t>Anexo</w:t>
      </w:r>
      <w:r w:rsidR="009F5788">
        <w:t> </w:t>
      </w:r>
      <w:r w:rsidR="006900F0">
        <w:t>III</w:t>
      </w:r>
      <w:r>
        <w:t xml:space="preserve">. </w:t>
      </w:r>
    </w:p>
    <w:p w14:paraId="4DFE3086" w14:textId="73A5B734" w:rsidR="0088502A" w:rsidRDefault="0088502A" w:rsidP="0088502A">
      <w:pPr>
        <w:rPr>
          <w:spacing w:val="-2"/>
        </w:rPr>
      </w:pPr>
    </w:p>
    <w:p w14:paraId="1CB1CAEA" w14:textId="37A81CBC" w:rsidR="00C51AB2" w:rsidRDefault="00C51AB2" w:rsidP="00785345">
      <w:pPr>
        <w:pStyle w:val="DecisionParagraphs"/>
      </w:pPr>
      <w:r w:rsidRPr="0088502A">
        <w:fldChar w:fldCharType="begin"/>
      </w:r>
      <w:r w:rsidRPr="0088502A">
        <w:instrText xml:space="preserve"> AUTONUM  </w:instrText>
      </w:r>
      <w:r w:rsidRPr="0088502A">
        <w:fldChar w:fldCharType="end"/>
      </w:r>
      <w:r>
        <w:tab/>
        <w:t>Se invita al</w:t>
      </w:r>
      <w:r w:rsidR="0002259A">
        <w:t> </w:t>
      </w:r>
      <w:r>
        <w:t>TC a tomar nota de los debates mantenidos acerca de las posibles modificaciones de la nota orientativa GN</w:t>
      </w:r>
      <w:r w:rsidR="0002259A">
        <w:t> </w:t>
      </w:r>
      <w:r>
        <w:t>28 “Variedades ejemplo” del documento</w:t>
      </w:r>
      <w:r w:rsidR="00785345">
        <w:t xml:space="preserve"> </w:t>
      </w:r>
      <w:r>
        <w:t>TGP/7, según se expone en los párrafos</w:t>
      </w:r>
      <w:r w:rsidR="0002259A">
        <w:t> </w:t>
      </w:r>
      <w:r>
        <w:t>16 a</w:t>
      </w:r>
      <w:r w:rsidR="0002259A">
        <w:t> </w:t>
      </w:r>
      <w:r>
        <w:t xml:space="preserve">26 del </w:t>
      </w:r>
      <w:r w:rsidR="006900F0">
        <w:t>Anexo</w:t>
      </w:r>
      <w:r w:rsidR="0002259A">
        <w:t> </w:t>
      </w:r>
      <w:r w:rsidR="006900F0">
        <w:t>III</w:t>
      </w:r>
      <w:r>
        <w:t>.</w:t>
      </w:r>
    </w:p>
    <w:p w14:paraId="7B7DC8C1" w14:textId="77777777" w:rsidR="00C51AB2" w:rsidRPr="0088502A" w:rsidRDefault="00C51AB2" w:rsidP="0088502A">
      <w:pPr>
        <w:rPr>
          <w:spacing w:val="-2"/>
        </w:rPr>
      </w:pPr>
    </w:p>
    <w:p w14:paraId="2B9869C2" w14:textId="14D1A6B6" w:rsidR="0088502A" w:rsidRPr="0088502A" w:rsidRDefault="0088502A" w:rsidP="00CF2959">
      <w:pPr>
        <w:pStyle w:val="Heading4"/>
      </w:pPr>
      <w:bookmarkStart w:id="55" w:name="_Toc145605460"/>
      <w:r>
        <w:t>Nuevas propuestas de revisión del documento</w:t>
      </w:r>
      <w:r w:rsidR="0002259A">
        <w:t> </w:t>
      </w:r>
      <w:r>
        <w:t>TGP/7</w:t>
      </w:r>
      <w:bookmarkEnd w:id="55"/>
    </w:p>
    <w:p w14:paraId="111E1298" w14:textId="77777777" w:rsidR="0088502A" w:rsidRPr="00CC1204" w:rsidRDefault="0088502A" w:rsidP="0088502A"/>
    <w:p w14:paraId="49BBFFE6" w14:textId="77777777" w:rsidR="0088502A" w:rsidRPr="0088502A" w:rsidRDefault="0088502A" w:rsidP="0088502A">
      <w:pPr>
        <w:pStyle w:val="Heading5"/>
      </w:pPr>
      <w:bookmarkStart w:id="56" w:name="_Toc145605461"/>
      <w:r>
        <w:t>ASW 3 – Explicación del ciclo de cultivo</w:t>
      </w:r>
      <w:bookmarkEnd w:id="56"/>
      <w:r>
        <w:t xml:space="preserve"> </w:t>
      </w:r>
    </w:p>
    <w:p w14:paraId="4C54FA9D" w14:textId="77777777" w:rsidR="0088502A" w:rsidRPr="0088502A" w:rsidRDefault="0088502A" w:rsidP="0088502A"/>
    <w:p w14:paraId="731F2DA0" w14:textId="35485CFC" w:rsidR="0088502A" w:rsidRPr="002E4010" w:rsidRDefault="0088502A" w:rsidP="0088502A">
      <w:pPr>
        <w:rPr>
          <w:spacing w:val="-2"/>
        </w:rPr>
      </w:pPr>
      <w:r w:rsidRPr="002E4010">
        <w:rPr>
          <w:spacing w:val="-2"/>
        </w:rPr>
        <w:fldChar w:fldCharType="begin"/>
      </w:r>
      <w:r w:rsidRPr="002E4010">
        <w:rPr>
          <w:spacing w:val="-2"/>
        </w:rPr>
        <w:instrText xml:space="preserve"> AUTONUM  </w:instrText>
      </w:r>
      <w:r w:rsidRPr="002E4010">
        <w:rPr>
          <w:spacing w:val="-2"/>
        </w:rPr>
        <w:fldChar w:fldCharType="end"/>
      </w:r>
      <w:r w:rsidRPr="002E4010">
        <w:rPr>
          <w:spacing w:val="-2"/>
        </w:rP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rsidRPr="002E4010">
        <w:rPr>
          <w:spacing w:val="-2"/>
        </w:rPr>
        <w:t>, el</w:t>
      </w:r>
      <w:r w:rsidR="0002259A" w:rsidRPr="002E4010">
        <w:rPr>
          <w:spacing w:val="-2"/>
        </w:rPr>
        <w:t> </w:t>
      </w:r>
      <w:r w:rsidRPr="002E4010">
        <w:rPr>
          <w:spacing w:val="-2"/>
        </w:rPr>
        <w:t>TWF examinó el documento</w:t>
      </w:r>
      <w:r w:rsidR="0002259A" w:rsidRPr="002E4010">
        <w:rPr>
          <w:spacing w:val="-2"/>
        </w:rPr>
        <w:t> </w:t>
      </w:r>
      <w:r w:rsidRPr="002E4010">
        <w:rPr>
          <w:spacing w:val="-2"/>
        </w:rPr>
        <w:t>TWF/54/9 “</w:t>
      </w:r>
      <w:r w:rsidRPr="002E4010">
        <w:rPr>
          <w:i/>
          <w:spacing w:val="-2"/>
        </w:rPr>
        <w:t>Matters to be resolved concerning Test Guidelines put forward for adoption by the Technical Committee: Apple (fruit varieties)</w:t>
      </w:r>
      <w:r w:rsidRPr="002E4010">
        <w:rPr>
          <w:spacing w:val="-2"/>
        </w:rPr>
        <w:t>” (Cuestiones por resolver en lo que respecta a directrices de examen sometidas a la aprobación del Comité Técnico: Manzano (variedades frutales). El</w:t>
      </w:r>
      <w:r w:rsidR="0002259A" w:rsidRPr="002E4010">
        <w:rPr>
          <w:spacing w:val="-2"/>
        </w:rPr>
        <w:t> </w:t>
      </w:r>
      <w:r w:rsidRPr="002E4010">
        <w:rPr>
          <w:spacing w:val="-2"/>
        </w:rPr>
        <w:t>TWF tomó nota de que algunos caracteres de las directrices de examen del manzano se evaluaron antes de la apertura de las yemas y convino en que esto no guarda coherencia con el actual texto estándar del ciclo de cultivo de “especies frutales con un período de letargo claramente definido”. El</w:t>
      </w:r>
      <w:r w:rsidR="0002259A" w:rsidRPr="002E4010">
        <w:rPr>
          <w:spacing w:val="-2"/>
        </w:rPr>
        <w:t> </w:t>
      </w:r>
      <w:r w:rsidRPr="002E4010">
        <w:rPr>
          <w:spacing w:val="-2"/>
        </w:rPr>
        <w:t>TWF convino en proponer que se modifique el texto estándar adicional ASW 3.a) del documento</w:t>
      </w:r>
      <w:r w:rsidR="0002259A" w:rsidRPr="002E4010">
        <w:rPr>
          <w:spacing w:val="-2"/>
        </w:rPr>
        <w:t> </w:t>
      </w:r>
      <w:r w:rsidRPr="002E4010">
        <w:rPr>
          <w:spacing w:val="-2"/>
        </w:rPr>
        <w:t>TGP/7 para que rece lo siguiente (véase el párrafo</w:t>
      </w:r>
      <w:r w:rsidR="0002259A" w:rsidRPr="002E4010">
        <w:rPr>
          <w:spacing w:val="-2"/>
        </w:rPr>
        <w:t> </w:t>
      </w:r>
      <w:r w:rsidRPr="002E4010">
        <w:rPr>
          <w:spacing w:val="-2"/>
        </w:rPr>
        <w:t>15 del documento</w:t>
      </w:r>
      <w:r w:rsidR="0002259A" w:rsidRPr="002E4010">
        <w:rPr>
          <w:spacing w:val="-2"/>
        </w:rPr>
        <w:t> </w:t>
      </w:r>
      <w:r w:rsidRPr="002E4010">
        <w:rPr>
          <w:spacing w:val="-2"/>
        </w:rPr>
        <w:t xml:space="preserve">TWF/54/13 </w:t>
      </w:r>
      <w:r w:rsidRPr="002E4010">
        <w:rPr>
          <w:i/>
          <w:spacing w:val="-2"/>
        </w:rPr>
        <w:t>“Report”</w:t>
      </w:r>
      <w:r w:rsidRPr="002E4010">
        <w:rPr>
          <w:spacing w:val="-2"/>
        </w:rPr>
        <w:t xml:space="preserve"> (informe)): </w:t>
      </w:r>
    </w:p>
    <w:p w14:paraId="0E26561A" w14:textId="77777777" w:rsidR="0088502A" w:rsidRPr="0088502A" w:rsidRDefault="0088502A" w:rsidP="0088502A">
      <w:pPr>
        <w:rPr>
          <w:sz w:val="18"/>
          <w:szCs w:val="18"/>
        </w:rPr>
      </w:pPr>
    </w:p>
    <w:p w14:paraId="6FC1EA66" w14:textId="77777777" w:rsidR="0088502A" w:rsidRPr="0088502A" w:rsidRDefault="0088502A" w:rsidP="0088502A">
      <w:pPr>
        <w:pStyle w:val="ListParagraph"/>
        <w:tabs>
          <w:tab w:val="left" w:pos="1134"/>
        </w:tabs>
        <w:ind w:left="1134"/>
        <w:rPr>
          <w:sz w:val="18"/>
          <w:szCs w:val="18"/>
        </w:rPr>
      </w:pPr>
      <w:bookmarkStart w:id="57" w:name="_Toc47696963"/>
      <w:r>
        <w:rPr>
          <w:sz w:val="18"/>
          <w:szCs w:val="18"/>
        </w:rPr>
        <w:lastRenderedPageBreak/>
        <w:t>“a)</w:t>
      </w:r>
      <w:r>
        <w:rPr>
          <w:sz w:val="18"/>
          <w:szCs w:val="18"/>
        </w:rPr>
        <w:tab/>
        <w:t>Especies frutales con un período de letargo claramente definido</w:t>
      </w:r>
      <w:bookmarkEnd w:id="57"/>
    </w:p>
    <w:p w14:paraId="7D4A4BC7" w14:textId="77777777" w:rsidR="0088502A" w:rsidRPr="0088502A" w:rsidRDefault="0088502A" w:rsidP="0088502A">
      <w:pPr>
        <w:pStyle w:val="ListParagraph"/>
        <w:tabs>
          <w:tab w:val="left" w:pos="1134"/>
        </w:tabs>
        <w:ind w:left="567"/>
        <w:rPr>
          <w:sz w:val="18"/>
          <w:szCs w:val="18"/>
        </w:rPr>
      </w:pPr>
    </w:p>
    <w:p w14:paraId="264A13E5" w14:textId="78E85D02" w:rsidR="0088502A" w:rsidRPr="0088502A" w:rsidRDefault="0088502A" w:rsidP="0088502A">
      <w:pPr>
        <w:keepNext/>
        <w:tabs>
          <w:tab w:val="left" w:pos="851"/>
          <w:tab w:val="left" w:pos="1134"/>
        </w:tabs>
        <w:ind w:left="567" w:right="567"/>
        <w:rPr>
          <w:sz w:val="18"/>
          <w:szCs w:val="18"/>
        </w:rPr>
      </w:pPr>
      <w:r>
        <w:rPr>
          <w:sz w:val="18"/>
          <w:szCs w:val="18"/>
        </w:rPr>
        <w:t>“3.1.2</w:t>
      </w:r>
      <w:r>
        <w:rPr>
          <w:sz w:val="18"/>
          <w:szCs w:val="18"/>
        </w:rPr>
        <w:tab/>
        <w:t xml:space="preserve">Se considera que el ciclo de cultivo es equivalente a un único período de cultivo, que empieza con </w:t>
      </w:r>
      <w:r>
        <w:rPr>
          <w:sz w:val="18"/>
          <w:szCs w:val="18"/>
          <w:highlight w:val="lightGray"/>
          <w:u w:val="single"/>
        </w:rPr>
        <w:t>el período de latencia y la posterior</w:t>
      </w:r>
      <w:r>
        <w:rPr>
          <w:sz w:val="18"/>
          <w:szCs w:val="18"/>
        </w:rPr>
        <w:t xml:space="preserve"> apertura de las yemas (floral y/o vegetativa), la floración y la cosecha de los frutos y que concluye cuando </w:t>
      </w:r>
      <w:r>
        <w:rPr>
          <w:sz w:val="18"/>
          <w:szCs w:val="18"/>
          <w:highlight w:val="lightGray"/>
          <w:u w:val="single"/>
        </w:rPr>
        <w:t>empieza</w:t>
      </w:r>
      <w:r>
        <w:rPr>
          <w:sz w:val="18"/>
          <w:szCs w:val="18"/>
        </w:rPr>
        <w:t xml:space="preserve"> </w:t>
      </w:r>
      <w:r>
        <w:rPr>
          <w:strike/>
          <w:sz w:val="18"/>
          <w:szCs w:val="18"/>
          <w:highlight w:val="lightGray"/>
        </w:rPr>
        <w:t xml:space="preserve">finaliza </w:t>
      </w:r>
      <w:r>
        <w:rPr>
          <w:sz w:val="18"/>
          <w:szCs w:val="18"/>
        </w:rPr>
        <w:t xml:space="preserve">el período de letargo siguiente </w:t>
      </w:r>
      <w:r>
        <w:rPr>
          <w:strike/>
          <w:sz w:val="18"/>
          <w:szCs w:val="18"/>
          <w:highlight w:val="lightGray"/>
        </w:rPr>
        <w:t>con la hinchazón de las yemas en la nueva temporada</w:t>
      </w:r>
      <w:r>
        <w:rPr>
          <w:sz w:val="18"/>
          <w:szCs w:val="18"/>
        </w:rPr>
        <w:t>”</w:t>
      </w:r>
      <w:r w:rsidR="00A7574A">
        <w:rPr>
          <w:sz w:val="18"/>
          <w:szCs w:val="18"/>
        </w:rPr>
        <w:t>.</w:t>
      </w:r>
      <w:r>
        <w:rPr>
          <w:sz w:val="18"/>
          <w:szCs w:val="18"/>
        </w:rPr>
        <w:t xml:space="preserve">  </w:t>
      </w:r>
    </w:p>
    <w:p w14:paraId="02EA02C0" w14:textId="02FFD502" w:rsidR="0088502A" w:rsidRDefault="0088502A" w:rsidP="0088502A">
      <w:pPr>
        <w:rPr>
          <w:rFonts w:cs="Arial"/>
          <w:u w:val="single"/>
        </w:rPr>
      </w:pPr>
    </w:p>
    <w:p w14:paraId="2B9B5537" w14:textId="77777777" w:rsidR="007E0829" w:rsidRPr="0088502A" w:rsidRDefault="007E0829" w:rsidP="0088502A">
      <w:pPr>
        <w:rPr>
          <w:rFonts w:cs="Arial"/>
          <w:u w:val="single"/>
        </w:rPr>
      </w:pPr>
    </w:p>
    <w:p w14:paraId="667828F5" w14:textId="23CA9D8A" w:rsidR="0088502A" w:rsidRPr="0088502A" w:rsidRDefault="0088502A" w:rsidP="0088502A">
      <w:pPr>
        <w:pStyle w:val="Heading5"/>
      </w:pPr>
      <w:bookmarkStart w:id="58" w:name="_Toc47696980"/>
      <w:bookmarkStart w:id="59" w:name="_Toc145605462"/>
      <w:r>
        <w:t>ASW</w:t>
      </w:r>
      <w:r w:rsidR="0002259A">
        <w:t> </w:t>
      </w:r>
      <w:r>
        <w:t>7.b) – Número de plantas / partes de plantas que se ha de examinar</w:t>
      </w:r>
      <w:bookmarkEnd w:id="58"/>
      <w:bookmarkEnd w:id="59"/>
    </w:p>
    <w:p w14:paraId="2AC83B77" w14:textId="77777777" w:rsidR="0088502A" w:rsidRPr="0088502A" w:rsidRDefault="0088502A" w:rsidP="0088502A">
      <w:pPr>
        <w:rPr>
          <w:rFonts w:cs="Arial"/>
        </w:rPr>
      </w:pPr>
    </w:p>
    <w:p w14:paraId="5E9E0365" w14:textId="3423FFF2" w:rsidR="0088502A" w:rsidRPr="0088502A" w:rsidRDefault="0088502A" w:rsidP="0088502A">
      <w:pPr>
        <w:rPr>
          <w:rFonts w:cs="Arial"/>
        </w:rPr>
      </w:pPr>
      <w:r w:rsidRPr="0088502A">
        <w:fldChar w:fldCharType="begin"/>
      </w:r>
      <w:r w:rsidRPr="0088502A">
        <w:instrText xml:space="preserve"> AUTONUM  </w:instrText>
      </w:r>
      <w:r w:rsidRPr="0088502A">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t>, el</w:t>
      </w:r>
      <w:r w:rsidR="0002259A">
        <w:t> </w:t>
      </w:r>
      <w:r>
        <w:t>TWF examinó el texto estándar de las directrices de examen sobre el número de partes de cada planta que ha de observarse para evaluar la distinción. El</w:t>
      </w:r>
      <w:r w:rsidR="0002259A">
        <w:t> </w:t>
      </w:r>
      <w:r>
        <w:t>TWF convino en que debe aclararse que el número proporcionado en las directrices de examen indica la cantidad mínima. El</w:t>
      </w:r>
      <w:r w:rsidR="0002259A">
        <w:t> </w:t>
      </w:r>
      <w:r>
        <w:t>TWF convino en proponer que se modifique el texto estándar adicional ASW</w:t>
      </w:r>
      <w:r w:rsidR="0002259A">
        <w:t> </w:t>
      </w:r>
      <w:r>
        <w:t>7.b) del documento</w:t>
      </w:r>
      <w:r w:rsidR="0002259A">
        <w:t> </w:t>
      </w:r>
      <w:r>
        <w:t>TGP/7 para que rece lo siguiente (véase el párrafo</w:t>
      </w:r>
      <w:r w:rsidR="0002259A">
        <w:t> </w:t>
      </w:r>
      <w:r>
        <w:t>16 del documento</w:t>
      </w:r>
      <w:r w:rsidR="0002259A">
        <w:t> </w:t>
      </w:r>
      <w:r>
        <w:t xml:space="preserve">TWF/54/13 </w:t>
      </w:r>
      <w:r>
        <w:rPr>
          <w:i/>
        </w:rPr>
        <w:t>“Report”</w:t>
      </w:r>
      <w:r>
        <w:t xml:space="preserve"> (informe)):  </w:t>
      </w:r>
    </w:p>
    <w:p w14:paraId="6EF51840" w14:textId="77777777" w:rsidR="0088502A" w:rsidRPr="0088502A" w:rsidRDefault="0088502A" w:rsidP="0088502A"/>
    <w:p w14:paraId="4BB031EE" w14:textId="77777777" w:rsidR="0088502A" w:rsidRPr="0088502A" w:rsidRDefault="0088502A" w:rsidP="0088502A">
      <w:pPr>
        <w:ind w:left="567" w:right="567"/>
        <w:rPr>
          <w:sz w:val="18"/>
        </w:rPr>
      </w:pPr>
      <w:r>
        <w:rPr>
          <w:sz w:val="18"/>
        </w:rPr>
        <w:t xml:space="preserve">“En el caso de observaciones de partes tomadas de plantas individuales, el número de partes que deberán tomarse de cada una de las plantas, deberá ser </w:t>
      </w:r>
      <w:r>
        <w:rPr>
          <w:sz w:val="18"/>
          <w:highlight w:val="lightGray"/>
          <w:u w:val="single"/>
        </w:rPr>
        <w:t>como mínimo</w:t>
      </w:r>
      <w:r>
        <w:rPr>
          <w:sz w:val="18"/>
        </w:rPr>
        <w:t xml:space="preserve"> { y }”.</w:t>
      </w:r>
    </w:p>
    <w:p w14:paraId="417859D8" w14:textId="77777777" w:rsidR="0088502A" w:rsidRPr="0088502A" w:rsidRDefault="0088502A" w:rsidP="0088502A">
      <w:pPr>
        <w:rPr>
          <w:spacing w:val="-2"/>
        </w:rPr>
      </w:pPr>
    </w:p>
    <w:p w14:paraId="411B79E7" w14:textId="5BEEB29F" w:rsidR="0088502A" w:rsidRDefault="0088502A" w:rsidP="00785345">
      <w:pPr>
        <w:pStyle w:val="DecisionParagraphs"/>
      </w:pPr>
      <w:r w:rsidRPr="0088502A">
        <w:fldChar w:fldCharType="begin"/>
      </w:r>
      <w:r w:rsidRPr="0088502A">
        <w:instrText xml:space="preserve"> AUTONUM  </w:instrText>
      </w:r>
      <w:r w:rsidRPr="0088502A">
        <w:fldChar w:fldCharType="end"/>
      </w:r>
      <w:r>
        <w:tab/>
        <w:t>Se invita al</w:t>
      </w:r>
      <w:r w:rsidR="0002259A">
        <w:t> </w:t>
      </w:r>
      <w:r>
        <w:t>TC a considerar si procede invitar a los</w:t>
      </w:r>
      <w:r w:rsidR="0002259A">
        <w:t> </w:t>
      </w:r>
      <w:r>
        <w:t>TWP a que en sus sesiones de</w:t>
      </w:r>
      <w:r w:rsidR="0002259A">
        <w:t> </w:t>
      </w:r>
      <w:r>
        <w:t>2024 examinen las propuestas de modificación del ASW</w:t>
      </w:r>
      <w:r w:rsidR="0002259A">
        <w:t> </w:t>
      </w:r>
      <w:r>
        <w:t>3.a) y del ASW 7.b) del documento</w:t>
      </w:r>
      <w:r w:rsidR="0002259A">
        <w:t> </w:t>
      </w:r>
      <w:r>
        <w:t>TGP/7, según se expone en los párrafos</w:t>
      </w:r>
      <w:r w:rsidR="0002259A">
        <w:t> </w:t>
      </w:r>
      <w:r>
        <w:t>68 y</w:t>
      </w:r>
      <w:r w:rsidR="0002259A">
        <w:t> </w:t>
      </w:r>
      <w:r>
        <w:t>69 del presente documento.</w:t>
      </w:r>
    </w:p>
    <w:p w14:paraId="740EE1C4" w14:textId="387720A0" w:rsidR="0088502A" w:rsidRDefault="0088502A" w:rsidP="0088502A"/>
    <w:p w14:paraId="4D2B7D2E" w14:textId="77777777" w:rsidR="007C7653" w:rsidRPr="0088502A" w:rsidRDefault="007C7653" w:rsidP="0088502A"/>
    <w:p w14:paraId="79F80DCB" w14:textId="54B70BED" w:rsidR="0088502A" w:rsidRPr="0088502A" w:rsidRDefault="0088502A" w:rsidP="002E4010">
      <w:pPr>
        <w:pStyle w:val="Heading3"/>
      </w:pPr>
      <w:bookmarkStart w:id="60" w:name="_Toc145605463"/>
      <w:r>
        <w:t>Documento</w:t>
      </w:r>
      <w:r w:rsidR="0002259A">
        <w:t> </w:t>
      </w:r>
      <w:r>
        <w:t>TGP/12</w:t>
      </w:r>
      <w:r w:rsidR="002E4010">
        <w:t>:</w:t>
      </w:r>
      <w:r>
        <w:t xml:space="preserve"> “Orientación sobre ciertos caracteres fisiológicos”</w:t>
      </w:r>
      <w:bookmarkEnd w:id="60"/>
    </w:p>
    <w:p w14:paraId="3C360CAC" w14:textId="77777777" w:rsidR="0088502A" w:rsidRPr="0088502A" w:rsidRDefault="0088502A" w:rsidP="0088502A">
      <w:pPr>
        <w:jc w:val="left"/>
      </w:pPr>
    </w:p>
    <w:p w14:paraId="0090F9EE" w14:textId="4DE27801" w:rsidR="0088502A" w:rsidRPr="0088502A" w:rsidRDefault="0088502A" w:rsidP="0088502A">
      <w:pPr>
        <w:spacing w:after="240"/>
      </w:pPr>
      <w:r w:rsidRPr="0088502A">
        <w:fldChar w:fldCharType="begin"/>
      </w:r>
      <w:r w:rsidRPr="0088502A">
        <w:instrText xml:space="preserve"> AUTONUM  </w:instrText>
      </w:r>
      <w:r w:rsidRPr="0088502A">
        <w:fldChar w:fldCharType="end"/>
      </w:r>
      <w:r>
        <w:tab/>
        <w:t>En su quincuagésima séptima sesión</w:t>
      </w:r>
      <w:r w:rsidR="004E5F31" w:rsidRPr="004E5F31">
        <w:rPr>
          <w:vertAlign w:val="superscript"/>
        </w:rPr>
        <w:fldChar w:fldCharType="begin"/>
      </w:r>
      <w:r w:rsidR="004E5F31" w:rsidRPr="004E5F31">
        <w:rPr>
          <w:vertAlign w:val="superscript"/>
        </w:rPr>
        <w:instrText xml:space="preserve"> NOTEREF _Ref145614610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7</w:t>
      </w:r>
      <w:r w:rsidR="004E5F31" w:rsidRPr="004E5F31">
        <w:rPr>
          <w:vertAlign w:val="superscript"/>
        </w:rPr>
        <w:fldChar w:fldCharType="end"/>
      </w:r>
      <w:r>
        <w:t>, el</w:t>
      </w:r>
      <w:r w:rsidR="0002259A">
        <w:t> </w:t>
      </w:r>
      <w:r>
        <w:t xml:space="preserve">TWV asistió a una ponencia titulada “Caracteres de resistencia a enfermedades” a cargo de un experto de Euroseeds, en nombre de </w:t>
      </w:r>
      <w:r>
        <w:rPr>
          <w:i/>
        </w:rPr>
        <w:t>CropLife International</w:t>
      </w:r>
      <w:r>
        <w:t xml:space="preserve">, Euroseeds y la </w:t>
      </w:r>
      <w:r>
        <w:rPr>
          <w:i/>
        </w:rPr>
        <w:t>International Seed Federation</w:t>
      </w:r>
      <w:r>
        <w:t xml:space="preserve"> (ISF). Se facilita una copia de la ponencia en el documento TWC/57/10 Add (véanse los párrafos</w:t>
      </w:r>
      <w:r w:rsidR="0002259A">
        <w:t> </w:t>
      </w:r>
      <w:r>
        <w:t>25 y</w:t>
      </w:r>
      <w:r w:rsidR="0002259A">
        <w:t> </w:t>
      </w:r>
      <w:r>
        <w:t>28 del documento </w:t>
      </w:r>
      <w:r>
        <w:rPr>
          <w:i/>
        </w:rPr>
        <w:t>“Report”</w:t>
      </w:r>
      <w:r>
        <w:t xml:space="preserve"> (informe)).</w:t>
      </w:r>
    </w:p>
    <w:p w14:paraId="54D0D1F6" w14:textId="42D01FDD" w:rsidR="0088502A" w:rsidRPr="0088502A" w:rsidRDefault="0088502A" w:rsidP="0088502A">
      <w:r w:rsidRPr="0088502A">
        <w:fldChar w:fldCharType="begin"/>
      </w:r>
      <w:r w:rsidRPr="0088502A">
        <w:instrText xml:space="preserve"> AUTONUM  </w:instrText>
      </w:r>
      <w:r w:rsidRPr="0088502A">
        <w:fldChar w:fldCharType="end"/>
      </w:r>
      <w:r>
        <w:tab/>
        <w:t>El</w:t>
      </w:r>
      <w:r w:rsidR="0002259A">
        <w:t> </w:t>
      </w:r>
      <w:r>
        <w:t>TWV tomó nota de que la terminología utilizada en la escala de niveles condensada (niveles</w:t>
      </w:r>
      <w:r w:rsidR="0002259A">
        <w:t> </w:t>
      </w:r>
      <w:r>
        <w:t>1, 2 y</w:t>
      </w:r>
      <w:r w:rsidR="0002259A">
        <w:t> </w:t>
      </w:r>
      <w:r>
        <w:t>3) en las directrices de examen de la</w:t>
      </w:r>
      <w:r w:rsidR="0002259A">
        <w:t> </w:t>
      </w:r>
      <w:r>
        <w:t xml:space="preserve">UPOV para los caracteres cuantitativos de resistencia a enfermedades es distinta de la que se usa en el sector de semillas hortícolas. </w:t>
      </w:r>
    </w:p>
    <w:p w14:paraId="6A13B48A" w14:textId="6C19A107" w:rsidR="0088502A" w:rsidRDefault="0088502A" w:rsidP="0088502A"/>
    <w:p w14:paraId="11020633" w14:textId="1E59E66F" w:rsidR="0088502A" w:rsidRPr="0088502A" w:rsidRDefault="0088502A" w:rsidP="005615C0">
      <w:pPr>
        <w:keepLines/>
      </w:pPr>
      <w:r w:rsidRPr="0088502A">
        <w:fldChar w:fldCharType="begin"/>
      </w:r>
      <w:r w:rsidRPr="0088502A">
        <w:instrText xml:space="preserve"> AUTONUM  </w:instrText>
      </w:r>
      <w:r w:rsidRPr="0088502A">
        <w:fldChar w:fldCharType="end"/>
      </w:r>
      <w:r>
        <w:tab/>
        <w:t>El</w:t>
      </w:r>
      <w:r w:rsidR="0002259A">
        <w:t> </w:t>
      </w:r>
      <w:r>
        <w:t>TWV convino en que la siguiente tabla presenta la equivalencia entre los niveles de expresión de las directrices de examen de la</w:t>
      </w:r>
      <w:r w:rsidR="0002259A">
        <w:t> </w:t>
      </w:r>
      <w:r>
        <w:t>UPOV y la terminología utilizada en el sector de semillas hortícolas:</w:t>
      </w:r>
    </w:p>
    <w:p w14:paraId="15B493DE" w14:textId="77777777" w:rsidR="0088502A" w:rsidRPr="0088502A" w:rsidRDefault="0088502A" w:rsidP="005615C0"/>
    <w:tbl>
      <w:tblPr>
        <w:tblpPr w:leftFromText="180" w:rightFromText="180" w:vertAnchor="text" w:horzAnchor="margin" w:tblpXSpec="center" w:tblpY="22"/>
        <w:tblW w:w="9634" w:type="dxa"/>
        <w:tblLook w:val="04A0" w:firstRow="1" w:lastRow="0" w:firstColumn="1" w:lastColumn="0" w:noHBand="0" w:noVBand="1"/>
      </w:tblPr>
      <w:tblGrid>
        <w:gridCol w:w="807"/>
        <w:gridCol w:w="4253"/>
        <w:gridCol w:w="4677"/>
      </w:tblGrid>
      <w:tr w:rsidR="0088502A" w:rsidRPr="0088502A" w14:paraId="2C5D9722" w14:textId="77777777" w:rsidTr="005615C0">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96E1C" w14:textId="77777777" w:rsidR="0088502A" w:rsidRPr="0088502A" w:rsidRDefault="0088502A" w:rsidP="005615C0">
            <w:pPr>
              <w:jc w:val="left"/>
              <w:rPr>
                <w:rFonts w:cs="Arial"/>
                <w:color w:val="000000"/>
                <w:sz w:val="18"/>
              </w:rPr>
            </w:pPr>
            <w:r>
              <w:rPr>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5822066E" w14:textId="20AC14EB" w:rsidR="0088502A" w:rsidRPr="0088502A" w:rsidRDefault="0088502A" w:rsidP="005615C0">
            <w:pPr>
              <w:jc w:val="center"/>
              <w:rPr>
                <w:rFonts w:cs="Arial"/>
                <w:color w:val="000000"/>
                <w:sz w:val="18"/>
              </w:rPr>
            </w:pPr>
            <w:r>
              <w:rPr>
                <w:color w:val="000000"/>
                <w:sz w:val="18"/>
              </w:rPr>
              <w:t>Equivalencia entre los niveles de expresión de las directrices de examen de la</w:t>
            </w:r>
            <w:r w:rsidR="0002259A">
              <w:rPr>
                <w:color w:val="000000"/>
                <w:sz w:val="18"/>
              </w:rPr>
              <w:t> </w:t>
            </w:r>
            <w:r>
              <w:rPr>
                <w:color w:val="000000"/>
                <w:sz w:val="18"/>
              </w:rPr>
              <w:t>UPOV y la terminología utilizada en el sector de semillas hortícolas</w:t>
            </w:r>
          </w:p>
        </w:tc>
      </w:tr>
      <w:tr w:rsidR="0088502A" w:rsidRPr="0088502A" w14:paraId="3EED7143" w14:textId="77777777" w:rsidTr="005615C0">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D7BBFC8" w14:textId="77777777" w:rsidR="0088502A" w:rsidRPr="0088502A" w:rsidRDefault="0088502A" w:rsidP="005615C0">
            <w:pPr>
              <w:jc w:val="left"/>
              <w:rPr>
                <w:rFonts w:cs="Arial"/>
                <w:sz w:val="18"/>
              </w:rPr>
            </w:pPr>
            <w:r>
              <w:rPr>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2F7919A0" w14:textId="37A0FBF3" w:rsidR="0088502A" w:rsidRPr="0088502A" w:rsidRDefault="0088502A" w:rsidP="005615C0">
            <w:pPr>
              <w:jc w:val="center"/>
              <w:rPr>
                <w:rFonts w:cs="Arial"/>
                <w:bCs/>
                <w:sz w:val="18"/>
              </w:rPr>
            </w:pPr>
            <w:r>
              <w:rPr>
                <w:bCs/>
                <w:sz w:val="18"/>
              </w:rPr>
              <w:t>Nivel de expresión de las directrices de examen de la</w:t>
            </w:r>
            <w:r w:rsidR="0002259A">
              <w:rPr>
                <w:bCs/>
                <w:sz w:val="18"/>
              </w:rPr>
              <w:t> </w:t>
            </w:r>
            <w:r>
              <w:rPr>
                <w:bCs/>
                <w:sz w:val="18"/>
              </w:rPr>
              <w:t>UPOV</w:t>
            </w:r>
          </w:p>
        </w:tc>
        <w:tc>
          <w:tcPr>
            <w:tcW w:w="4677" w:type="dxa"/>
            <w:tcBorders>
              <w:top w:val="nil"/>
              <w:left w:val="nil"/>
              <w:bottom w:val="single" w:sz="4" w:space="0" w:color="auto"/>
              <w:right w:val="single" w:sz="4" w:space="0" w:color="auto"/>
            </w:tcBorders>
            <w:shd w:val="clear" w:color="auto" w:fill="auto"/>
            <w:vAlign w:val="center"/>
            <w:hideMark/>
          </w:tcPr>
          <w:p w14:paraId="53D8CAEB" w14:textId="77777777" w:rsidR="0088502A" w:rsidRPr="0088502A" w:rsidRDefault="0088502A" w:rsidP="005615C0">
            <w:pPr>
              <w:jc w:val="center"/>
              <w:rPr>
                <w:rFonts w:cs="Arial"/>
                <w:bCs/>
                <w:sz w:val="18"/>
              </w:rPr>
            </w:pPr>
            <w:r>
              <w:rPr>
                <w:bCs/>
                <w:sz w:val="18"/>
              </w:rPr>
              <w:t>Terminología utilizada en el sector de semillas hortícolas</w:t>
            </w:r>
            <w:r w:rsidRPr="0088502A">
              <w:rPr>
                <w:rStyle w:val="FootnoteReference"/>
                <w:rFonts w:cs="Arial"/>
                <w:bCs/>
                <w:sz w:val="18"/>
              </w:rPr>
              <w:footnoteReference w:id="12"/>
            </w:r>
          </w:p>
        </w:tc>
      </w:tr>
      <w:tr w:rsidR="0088502A" w:rsidRPr="0088502A" w14:paraId="6EF43830"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61EF3A7" w14:textId="77777777" w:rsidR="0088502A" w:rsidRPr="0088502A" w:rsidRDefault="0088502A" w:rsidP="005615C0">
            <w:pPr>
              <w:jc w:val="left"/>
              <w:rPr>
                <w:rFonts w:cs="Arial"/>
                <w:sz w:val="18"/>
              </w:rPr>
            </w:pPr>
            <w:r>
              <w:rPr>
                <w:sz w:val="18"/>
              </w:rPr>
              <w:t>Niveles de la UPOV</w:t>
            </w:r>
          </w:p>
        </w:tc>
        <w:tc>
          <w:tcPr>
            <w:tcW w:w="4253" w:type="dxa"/>
            <w:tcBorders>
              <w:top w:val="nil"/>
              <w:left w:val="nil"/>
              <w:bottom w:val="single" w:sz="4" w:space="0" w:color="auto"/>
              <w:right w:val="single" w:sz="4" w:space="0" w:color="auto"/>
            </w:tcBorders>
            <w:shd w:val="clear" w:color="auto" w:fill="auto"/>
            <w:vAlign w:val="center"/>
            <w:hideMark/>
          </w:tcPr>
          <w:p w14:paraId="5C761F1D" w14:textId="77777777" w:rsidR="0088502A" w:rsidRPr="0088502A" w:rsidRDefault="0088502A" w:rsidP="005615C0">
            <w:pPr>
              <w:jc w:val="left"/>
              <w:rPr>
                <w:rFonts w:cs="Arial"/>
                <w:sz w:val="18"/>
              </w:rPr>
            </w:pPr>
            <w:r>
              <w:rPr>
                <w:sz w:val="18"/>
              </w:rPr>
              <w:t>La resistencia a (nombre de la enfermedad) es:</w:t>
            </w:r>
          </w:p>
        </w:tc>
        <w:tc>
          <w:tcPr>
            <w:tcW w:w="4677" w:type="dxa"/>
            <w:tcBorders>
              <w:top w:val="nil"/>
              <w:left w:val="nil"/>
              <w:bottom w:val="single" w:sz="4" w:space="0" w:color="auto"/>
              <w:right w:val="single" w:sz="4" w:space="0" w:color="auto"/>
            </w:tcBorders>
            <w:shd w:val="clear" w:color="auto" w:fill="auto"/>
            <w:vAlign w:val="center"/>
            <w:hideMark/>
          </w:tcPr>
          <w:p w14:paraId="3A948662" w14:textId="77777777" w:rsidR="0088502A" w:rsidRPr="0088502A" w:rsidRDefault="0088502A" w:rsidP="005615C0">
            <w:pPr>
              <w:jc w:val="left"/>
              <w:rPr>
                <w:rFonts w:cs="Arial"/>
                <w:sz w:val="18"/>
              </w:rPr>
            </w:pPr>
            <w:r>
              <w:rPr>
                <w:sz w:val="18"/>
              </w:rPr>
              <w:t>La reacción de una variedad vegetal a una determinada plaga es:</w:t>
            </w:r>
          </w:p>
        </w:tc>
      </w:tr>
      <w:tr w:rsidR="0088502A" w:rsidRPr="0088502A" w14:paraId="78EC72A3"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A1C7A6E" w14:textId="77777777" w:rsidR="0088502A" w:rsidRPr="0088502A" w:rsidRDefault="0088502A" w:rsidP="005615C0">
            <w:pPr>
              <w:jc w:val="right"/>
              <w:rPr>
                <w:rFonts w:cs="Arial"/>
                <w:sz w:val="18"/>
              </w:rPr>
            </w:pPr>
            <w:r>
              <w:rPr>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2191A481" w14:textId="77777777" w:rsidR="0088502A" w:rsidRPr="0088502A" w:rsidRDefault="0088502A" w:rsidP="005615C0">
            <w:pPr>
              <w:jc w:val="left"/>
              <w:rPr>
                <w:rFonts w:cs="Arial"/>
                <w:sz w:val="18"/>
              </w:rPr>
            </w:pPr>
            <w:r>
              <w:rPr>
                <w:sz w:val="18"/>
              </w:rPr>
              <w:t>ausente o baja</w:t>
            </w:r>
          </w:p>
        </w:tc>
        <w:tc>
          <w:tcPr>
            <w:tcW w:w="4677" w:type="dxa"/>
            <w:tcBorders>
              <w:top w:val="nil"/>
              <w:left w:val="nil"/>
              <w:bottom w:val="single" w:sz="4" w:space="0" w:color="auto"/>
              <w:right w:val="single" w:sz="4" w:space="0" w:color="auto"/>
            </w:tcBorders>
            <w:shd w:val="clear" w:color="auto" w:fill="auto"/>
            <w:noWrap/>
            <w:vAlign w:val="center"/>
            <w:hideMark/>
          </w:tcPr>
          <w:p w14:paraId="6B60BAD5" w14:textId="77777777" w:rsidR="0088502A" w:rsidRPr="0088502A" w:rsidRDefault="0088502A" w:rsidP="005615C0">
            <w:pPr>
              <w:jc w:val="left"/>
              <w:rPr>
                <w:rFonts w:cs="Arial"/>
                <w:sz w:val="18"/>
              </w:rPr>
            </w:pPr>
            <w:r>
              <w:rPr>
                <w:sz w:val="18"/>
              </w:rPr>
              <w:t>Susceptibilidad (S)</w:t>
            </w:r>
          </w:p>
        </w:tc>
      </w:tr>
      <w:tr w:rsidR="0088502A" w:rsidRPr="0088502A" w14:paraId="1EE5AE91"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1F6E1C2" w14:textId="77777777" w:rsidR="0088502A" w:rsidRPr="0088502A" w:rsidRDefault="0088502A" w:rsidP="005615C0">
            <w:pPr>
              <w:jc w:val="right"/>
              <w:rPr>
                <w:rFonts w:cs="Arial"/>
                <w:sz w:val="18"/>
              </w:rPr>
            </w:pPr>
            <w:r>
              <w:rPr>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173FA3C6" w14:textId="77777777" w:rsidR="0088502A" w:rsidRPr="0088502A" w:rsidRDefault="0088502A" w:rsidP="005615C0">
            <w:pPr>
              <w:jc w:val="left"/>
              <w:rPr>
                <w:rFonts w:cs="Arial"/>
                <w:sz w:val="18"/>
              </w:rPr>
            </w:pPr>
            <w:r>
              <w:rPr>
                <w:sz w:val="18"/>
              </w:rPr>
              <w:t>media</w:t>
            </w:r>
          </w:p>
        </w:tc>
        <w:tc>
          <w:tcPr>
            <w:tcW w:w="4677" w:type="dxa"/>
            <w:tcBorders>
              <w:top w:val="nil"/>
              <w:left w:val="nil"/>
              <w:bottom w:val="single" w:sz="4" w:space="0" w:color="auto"/>
              <w:right w:val="single" w:sz="4" w:space="0" w:color="auto"/>
            </w:tcBorders>
            <w:shd w:val="clear" w:color="auto" w:fill="auto"/>
            <w:noWrap/>
            <w:vAlign w:val="center"/>
            <w:hideMark/>
          </w:tcPr>
          <w:p w14:paraId="7F7AA3AA" w14:textId="77777777" w:rsidR="0088502A" w:rsidRPr="0088502A" w:rsidRDefault="0088502A" w:rsidP="005615C0">
            <w:pPr>
              <w:jc w:val="left"/>
              <w:rPr>
                <w:rFonts w:cs="Arial"/>
                <w:sz w:val="18"/>
              </w:rPr>
            </w:pPr>
            <w:r>
              <w:rPr>
                <w:sz w:val="18"/>
              </w:rPr>
              <w:t>Resistencia intermedia (IR)</w:t>
            </w:r>
          </w:p>
        </w:tc>
      </w:tr>
      <w:tr w:rsidR="0088502A" w:rsidRPr="0088502A" w14:paraId="1D03E5AC" w14:textId="77777777" w:rsidTr="005615C0">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C66A340" w14:textId="77777777" w:rsidR="0088502A" w:rsidRPr="0088502A" w:rsidRDefault="0088502A" w:rsidP="005615C0">
            <w:pPr>
              <w:jc w:val="right"/>
              <w:rPr>
                <w:rFonts w:cs="Arial"/>
                <w:sz w:val="18"/>
              </w:rPr>
            </w:pPr>
            <w:r>
              <w:rPr>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3891BF64" w14:textId="77777777" w:rsidR="0088502A" w:rsidRPr="0088502A" w:rsidRDefault="0088502A" w:rsidP="005615C0">
            <w:pPr>
              <w:jc w:val="left"/>
              <w:rPr>
                <w:rFonts w:cs="Arial"/>
                <w:sz w:val="18"/>
              </w:rPr>
            </w:pPr>
            <w:r>
              <w:rPr>
                <w:sz w:val="18"/>
              </w:rPr>
              <w:t>alta</w:t>
            </w:r>
          </w:p>
        </w:tc>
        <w:tc>
          <w:tcPr>
            <w:tcW w:w="4677" w:type="dxa"/>
            <w:tcBorders>
              <w:top w:val="nil"/>
              <w:left w:val="nil"/>
              <w:bottom w:val="single" w:sz="4" w:space="0" w:color="auto"/>
              <w:right w:val="single" w:sz="4" w:space="0" w:color="auto"/>
            </w:tcBorders>
            <w:shd w:val="clear" w:color="auto" w:fill="auto"/>
            <w:noWrap/>
            <w:vAlign w:val="center"/>
            <w:hideMark/>
          </w:tcPr>
          <w:p w14:paraId="4A6843F5" w14:textId="77777777" w:rsidR="0088502A" w:rsidRPr="0088502A" w:rsidRDefault="0088502A" w:rsidP="005615C0">
            <w:pPr>
              <w:jc w:val="left"/>
              <w:rPr>
                <w:rFonts w:cs="Arial"/>
                <w:sz w:val="18"/>
              </w:rPr>
            </w:pPr>
            <w:r>
              <w:rPr>
                <w:sz w:val="18"/>
              </w:rPr>
              <w:t>Resistencia alta (HR)</w:t>
            </w:r>
          </w:p>
        </w:tc>
      </w:tr>
    </w:tbl>
    <w:p w14:paraId="398EBEE4" w14:textId="77777777" w:rsidR="0088502A" w:rsidRPr="0088502A" w:rsidRDefault="0088502A" w:rsidP="005615C0"/>
    <w:p w14:paraId="343E0EA4" w14:textId="44C6725D" w:rsidR="0088502A" w:rsidRPr="0088502A" w:rsidRDefault="0088502A" w:rsidP="0088502A">
      <w:pPr>
        <w:keepNext/>
        <w:keepLines/>
      </w:pPr>
      <w:r w:rsidRPr="0088502A">
        <w:fldChar w:fldCharType="begin"/>
      </w:r>
      <w:r w:rsidRPr="0088502A">
        <w:instrText xml:space="preserve"> AUTONUM  </w:instrText>
      </w:r>
      <w:r w:rsidRPr="0088502A">
        <w:fldChar w:fldCharType="end"/>
      </w:r>
      <w:r>
        <w:tab/>
        <w:t>El</w:t>
      </w:r>
      <w:r w:rsidR="0002259A">
        <w:t> </w:t>
      </w:r>
      <w:r>
        <w:t>TWV convino en proponer que se incorpore la tabla de equivalencia al documento</w:t>
      </w:r>
      <w:r w:rsidR="0002259A">
        <w:t> </w:t>
      </w:r>
      <w:r>
        <w:t>TGP/12 “Orientación sobre ciertos caracteres fisiológicos” como parte de las explicaciones del protocolo normalizado de resistencia de ese documento.</w:t>
      </w:r>
      <w:r w:rsidR="002466DD">
        <w:t xml:space="preserve"> </w:t>
      </w:r>
      <w:r>
        <w:t>El</w:t>
      </w:r>
      <w:r w:rsidR="0002259A">
        <w:t> </w:t>
      </w:r>
      <w:r>
        <w:t>TWV acordó que debe incluirse la misma tabla en las explicaciones de los caracteres cuantitativos de resistencia a enfermedades cuando se use la escala de niveles condensada.</w:t>
      </w:r>
    </w:p>
    <w:p w14:paraId="4BC46CF0" w14:textId="77777777" w:rsidR="0088502A" w:rsidRPr="0088502A" w:rsidRDefault="0088502A" w:rsidP="0088502A"/>
    <w:p w14:paraId="49941857" w14:textId="4C04246B" w:rsidR="0088502A" w:rsidRPr="002E4010" w:rsidRDefault="0088502A" w:rsidP="00785345">
      <w:pPr>
        <w:pStyle w:val="DecisionParagraphs"/>
      </w:pPr>
      <w:r w:rsidRPr="002E4010">
        <w:fldChar w:fldCharType="begin"/>
      </w:r>
      <w:r w:rsidRPr="002E4010">
        <w:instrText xml:space="preserve"> AUTONUM  </w:instrText>
      </w:r>
      <w:r w:rsidRPr="002E4010">
        <w:fldChar w:fldCharType="end"/>
      </w:r>
      <w:r w:rsidRPr="002E4010">
        <w:tab/>
        <w:t>Se invita al</w:t>
      </w:r>
      <w:r w:rsidR="0002259A" w:rsidRPr="002E4010">
        <w:t> </w:t>
      </w:r>
      <w:r w:rsidRPr="002E4010">
        <w:t>TC a considerar si procede modificar el documento</w:t>
      </w:r>
      <w:r w:rsidR="0002259A" w:rsidRPr="002E4010">
        <w:t> </w:t>
      </w:r>
      <w:r w:rsidRPr="002E4010">
        <w:t>TGP/12 para incluir una tabla con la equivalencia entre los niveles de expresión de las directrices de examen de la</w:t>
      </w:r>
      <w:r w:rsidR="0002259A" w:rsidRPr="002E4010">
        <w:t> </w:t>
      </w:r>
      <w:r w:rsidRPr="002E4010">
        <w:t xml:space="preserve">UPOV y la terminología utilizada en el sector de semillas hortícolas, según </w:t>
      </w:r>
      <w:r w:rsidR="00785345">
        <w:br/>
      </w:r>
      <w:r w:rsidRPr="002E4010">
        <w:t>se expone en los párrafos</w:t>
      </w:r>
      <w:r w:rsidR="00785345">
        <w:t xml:space="preserve"> </w:t>
      </w:r>
      <w:r w:rsidRPr="002E4010">
        <w:t>71 a</w:t>
      </w:r>
      <w:r w:rsidR="00785345">
        <w:t xml:space="preserve"> </w:t>
      </w:r>
      <w:r w:rsidRPr="002E4010">
        <w:t>74 del presente documento.</w:t>
      </w:r>
    </w:p>
    <w:p w14:paraId="507D80F2" w14:textId="4577523D" w:rsidR="00346711" w:rsidRDefault="007147BE" w:rsidP="00C83CED">
      <w:pPr>
        <w:pStyle w:val="Heading2"/>
      </w:pPr>
      <w:bookmarkStart w:id="61" w:name="_Toc145605464"/>
      <w:r>
        <w:lastRenderedPageBreak/>
        <w:t>Cuestiones para información</w:t>
      </w:r>
      <w:bookmarkEnd w:id="61"/>
    </w:p>
    <w:p w14:paraId="16B9DDB5" w14:textId="7F3DFB5B" w:rsidR="007147BE" w:rsidRDefault="007147BE" w:rsidP="0088502A"/>
    <w:p w14:paraId="5A699CE3" w14:textId="12EEC3CF" w:rsidR="007147BE" w:rsidRDefault="007147BE" w:rsidP="007147BE">
      <w:r>
        <w:fldChar w:fldCharType="begin"/>
      </w:r>
      <w:r>
        <w:instrText xml:space="preserve"> AUTONUM  </w:instrText>
      </w:r>
      <w:r>
        <w:fldChar w:fldCharType="end"/>
      </w:r>
      <w:r>
        <w:tab/>
        <w:t xml:space="preserve">Las cuestiones para información sobre la posible revisión futura de los siguientes documentos se exponen en el </w:t>
      </w:r>
      <w:r w:rsidR="006900F0">
        <w:t>Anexo</w:t>
      </w:r>
      <w:r w:rsidR="00CC17C0">
        <w:t> </w:t>
      </w:r>
      <w:r w:rsidR="006900F0">
        <w:t>III</w:t>
      </w:r>
      <w:r>
        <w:t xml:space="preserve"> del presente documento: </w:t>
      </w:r>
    </w:p>
    <w:p w14:paraId="18B56D3A" w14:textId="77777777" w:rsidR="007147BE" w:rsidRDefault="007147BE" w:rsidP="007147BE">
      <w:r>
        <w:tab/>
      </w:r>
    </w:p>
    <w:p w14:paraId="66DE9F6C" w14:textId="1881891E" w:rsidR="007147BE" w:rsidRDefault="007147BE" w:rsidP="00C83CED">
      <w:pPr>
        <w:pStyle w:val="ListParagraph"/>
        <w:numPr>
          <w:ilvl w:val="0"/>
          <w:numId w:val="16"/>
        </w:numPr>
        <w:ind w:left="1134" w:hanging="567"/>
      </w:pPr>
      <w:r>
        <w:t>TGP/8: Diseño de ensayos y técnicas utilizados en el examen de la distinción, la homogeneidad y la estabilidad, sección</w:t>
      </w:r>
      <w:r w:rsidR="00CC17C0">
        <w:t> </w:t>
      </w:r>
      <w:r>
        <w:t xml:space="preserve">9 “El criterio combinado interanual de homogeneidad (COYU)”; y </w:t>
      </w:r>
    </w:p>
    <w:p w14:paraId="2BA40C00" w14:textId="77777777" w:rsidR="007147BE" w:rsidRDefault="007147BE" w:rsidP="00C83CED">
      <w:pPr>
        <w:ind w:left="1134" w:hanging="567"/>
      </w:pPr>
    </w:p>
    <w:p w14:paraId="07E0C381" w14:textId="14AB6F08" w:rsidR="007147BE" w:rsidRDefault="007147BE" w:rsidP="00C83CED">
      <w:pPr>
        <w:pStyle w:val="ListParagraph"/>
        <w:numPr>
          <w:ilvl w:val="0"/>
          <w:numId w:val="16"/>
        </w:numPr>
        <w:ind w:left="1134" w:hanging="567"/>
      </w:pPr>
      <w:r>
        <w:t>Documento</w:t>
      </w:r>
      <w:r w:rsidR="00CC17C0">
        <w:t> </w:t>
      </w:r>
      <w:r>
        <w:t xml:space="preserve">TGP/9 “Examen de la distinción”, “Número de plantas de variedades de comparación en el ensayo” </w:t>
      </w:r>
    </w:p>
    <w:p w14:paraId="65C94529" w14:textId="77777777" w:rsidR="007147BE" w:rsidRDefault="007147BE" w:rsidP="0088502A"/>
    <w:p w14:paraId="522C6F5F" w14:textId="7332CBF8" w:rsidR="007147BE" w:rsidRPr="0088502A" w:rsidRDefault="007147BE" w:rsidP="00785345">
      <w:pPr>
        <w:pStyle w:val="DecisionParagraphs"/>
        <w:rPr>
          <w:spacing w:val="-2"/>
        </w:rPr>
      </w:pPr>
      <w:r w:rsidRPr="0088502A">
        <w:fldChar w:fldCharType="begin"/>
      </w:r>
      <w:r w:rsidRPr="0088502A">
        <w:instrText xml:space="preserve"> AUTONUM  </w:instrText>
      </w:r>
      <w:r w:rsidRPr="0088502A">
        <w:fldChar w:fldCharType="end"/>
      </w:r>
      <w:r>
        <w:tab/>
        <w:t>Se invita al</w:t>
      </w:r>
      <w:r w:rsidR="00CC17C0">
        <w:t> </w:t>
      </w:r>
      <w:r>
        <w:t>TC a tomar nota de las cuestiones para información sobre las posibles revisiones futuras de documentos</w:t>
      </w:r>
      <w:r w:rsidR="00CC17C0">
        <w:t> </w:t>
      </w:r>
      <w:r>
        <w:t xml:space="preserve">TGP, según se exponen en el </w:t>
      </w:r>
      <w:r w:rsidR="006900F0">
        <w:t>Anexo</w:t>
      </w:r>
      <w:r w:rsidR="00CC17C0">
        <w:t> </w:t>
      </w:r>
      <w:r w:rsidR="006900F0">
        <w:t>III</w:t>
      </w:r>
      <w:r>
        <w:t xml:space="preserve"> del presente documento.</w:t>
      </w:r>
    </w:p>
    <w:p w14:paraId="3B4D7BAE" w14:textId="77777777" w:rsidR="007147BE" w:rsidRDefault="007147BE" w:rsidP="0088502A"/>
    <w:p w14:paraId="22A8EC25" w14:textId="5FC8F435" w:rsidR="00346711" w:rsidRDefault="00346711" w:rsidP="0088502A">
      <w:r>
        <w:rPr>
          <w:i/>
          <w:noProof/>
          <w:sz w:val="10"/>
          <w:lang w:val="en-US"/>
        </w:rPr>
        <mc:AlternateContent>
          <mc:Choice Requires="wps">
            <w:drawing>
              <wp:anchor distT="0" distB="0" distL="114300" distR="114300" simplePos="0" relativeHeight="251666432" behindDoc="0" locked="0" layoutInCell="1" allowOverlap="1" wp14:anchorId="0F08EFAE" wp14:editId="1E5ED1FB">
                <wp:simplePos x="0" y="0"/>
                <wp:positionH relativeFrom="column">
                  <wp:posOffset>5050193</wp:posOffset>
                </wp:positionH>
                <wp:positionV relativeFrom="paragraph">
                  <wp:posOffset>71386</wp:posOffset>
                </wp:positionV>
                <wp:extent cx="1399735" cy="260252"/>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1399735" cy="260252"/>
                        </a:xfrm>
                        <a:prstGeom prst="rect">
                          <a:avLst/>
                        </a:prstGeom>
                        <a:noFill/>
                        <a:ln w="6350">
                          <a:noFill/>
                        </a:ln>
                      </wps:spPr>
                      <wps:txbx>
                        <w:txbxContent>
                          <w:p w14:paraId="0323D61A" w14:textId="77777777" w:rsidR="00982DEC" w:rsidRDefault="00982DEC">
                            <w:r>
                              <w:t>[Siguen los 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EFAE" id="_x0000_t202" coordsize="21600,21600" o:spt="202" path="m,l,21600r21600,l21600,xe">
                <v:stroke joinstyle="miter"/>
                <v:path gradientshapeok="t" o:connecttype="rect"/>
              </v:shapetype>
              <v:shape id="Text Box 1" o:spid="_x0000_s1026" type="#_x0000_t202" style="position:absolute;left:0;text-align:left;margin-left:397.65pt;margin-top:5.6pt;width:110.2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" filled="f" stroked="f" strokeweight=".5pt">
                <v:textbox>
                  <w:txbxContent>
                    <w:p w14:paraId="0323D61A" w14:textId="77777777" w:rsidR="00982DEC" w:rsidRDefault="00982DEC">
                      <w:r>
                        <w:t>[Siguen los Anexos]</w:t>
                      </w:r>
                    </w:p>
                  </w:txbxContent>
                </v:textbox>
              </v:shape>
            </w:pict>
          </mc:Fallback>
        </mc:AlternateContent>
      </w:r>
    </w:p>
    <w:p w14:paraId="4F7267DC" w14:textId="77777777" w:rsidR="0088502A" w:rsidRPr="0088502A" w:rsidRDefault="0088502A" w:rsidP="0088502A"/>
    <w:p w14:paraId="7307435A" w14:textId="72AC7F86" w:rsidR="009236D6" w:rsidRPr="0088502A" w:rsidRDefault="009236D6" w:rsidP="009236D6">
      <w:pPr>
        <w:keepLines/>
        <w:ind w:left="4860"/>
        <w:rPr>
          <w:i/>
          <w:spacing w:val="-4"/>
          <w:sz w:val="10"/>
        </w:rPr>
      </w:pPr>
    </w:p>
    <w:p w14:paraId="78AFCB21" w14:textId="77777777" w:rsidR="00A62445" w:rsidRPr="0088502A" w:rsidRDefault="00A62445">
      <w:pPr>
        <w:jc w:val="left"/>
        <w:sectPr w:rsidR="00A62445" w:rsidRPr="0088502A" w:rsidSect="00CD465A">
          <w:headerReference w:type="default" r:id="rId12"/>
          <w:pgSz w:w="11907" w:h="16840" w:code="9"/>
          <w:pgMar w:top="510" w:right="1134" w:bottom="709" w:left="1134" w:header="510" w:footer="680" w:gutter="0"/>
          <w:pgNumType w:start="1"/>
          <w:cols w:space="720"/>
          <w:titlePg/>
        </w:sectPr>
      </w:pPr>
    </w:p>
    <w:p w14:paraId="0B109F83" w14:textId="77777777" w:rsidR="00CC2877" w:rsidRPr="0088502A" w:rsidRDefault="00CC2877" w:rsidP="00CC2877">
      <w:pPr>
        <w:jc w:val="center"/>
      </w:pPr>
      <w:r>
        <w:lastRenderedPageBreak/>
        <w:t>DOCUMENTO UPOV/EXN/DEN:</w:t>
      </w:r>
    </w:p>
    <w:p w14:paraId="17C41512" w14:textId="77777777" w:rsidR="00CC2877" w:rsidRPr="0088502A" w:rsidRDefault="00CC2877" w:rsidP="00CC2877">
      <w:pPr>
        <w:jc w:val="center"/>
      </w:pPr>
      <w:r>
        <w:t>NOTAS EXPLICATIVAS SOBRE LAS DENOMINACIONES DE VARIEDADES CON ARREGLO AL CONVENIO DE LA UPOV (REVISIÓN)</w:t>
      </w:r>
    </w:p>
    <w:p w14:paraId="58691B05" w14:textId="77777777" w:rsidR="00B2758C" w:rsidRPr="0088502A" w:rsidRDefault="00B2758C" w:rsidP="009B440E">
      <w:pPr>
        <w:jc w:val="left"/>
      </w:pPr>
    </w:p>
    <w:p w14:paraId="533E7398" w14:textId="77777777" w:rsidR="00AD4716" w:rsidRPr="0088502A" w:rsidRDefault="00AD4716" w:rsidP="009B440E">
      <w:pPr>
        <w:jc w:val="left"/>
      </w:pPr>
    </w:p>
    <w:p w14:paraId="231E2BBB" w14:textId="77777777" w:rsidR="00261AE2" w:rsidRPr="006C5C61" w:rsidRDefault="00261AE2" w:rsidP="00C93BCB">
      <w:pPr>
        <w:rPr>
          <w:iCs/>
          <w:u w:val="single"/>
        </w:rPr>
      </w:pPr>
      <w:r>
        <w:rPr>
          <w:u w:val="single"/>
        </w:rPr>
        <w:t xml:space="preserve">Nuevas clases de denominación de variedades para </w:t>
      </w:r>
      <w:r>
        <w:rPr>
          <w:i/>
          <w:u w:val="single"/>
        </w:rPr>
        <w:t>Allium</w:t>
      </w:r>
    </w:p>
    <w:p w14:paraId="578060E0" w14:textId="77777777" w:rsidR="00261AE2" w:rsidRPr="0088502A" w:rsidRDefault="00261AE2" w:rsidP="00C93BCB"/>
    <w:p w14:paraId="73115733" w14:textId="3C33F156" w:rsidR="00E94F70" w:rsidRPr="0088502A" w:rsidRDefault="003415AF" w:rsidP="00FF16C5">
      <w:pPr>
        <w:pStyle w:val="BasistekstNaktuinbouw"/>
        <w:keepNext/>
        <w:jc w:val="both"/>
        <w:rPr>
          <w:sz w:val="18"/>
        </w:rPr>
      </w:pPr>
      <w:r>
        <w:fldChar w:fldCharType="begin"/>
      </w:r>
      <w:r>
        <w:instrText xml:space="preserve"> LISTNUM  LegalDefault \l 1 </w:instrText>
      </w:r>
      <w:r>
        <w:fldChar w:fldCharType="end"/>
      </w:r>
      <w:r>
        <w:tab/>
        <w:t xml:space="preserve">Actualmente el género </w:t>
      </w:r>
      <w:r>
        <w:rPr>
          <w:i/>
        </w:rPr>
        <w:t>Allium</w:t>
      </w:r>
      <w:r>
        <w:t xml:space="preserve"> sigue la norma general (un género/una clase)</w:t>
      </w:r>
      <w:r w:rsidR="00C819DA" w:rsidRPr="0088502A">
        <w:rPr>
          <w:rStyle w:val="FootnoteReference"/>
          <w:sz w:val="18"/>
          <w:lang w:val="en-US"/>
        </w:rPr>
        <w:footnoteReference w:id="13"/>
      </w:r>
      <w:r>
        <w:rPr>
          <w:sz w:val="18"/>
        </w:rPr>
        <w:t xml:space="preserve">.  </w:t>
      </w:r>
    </w:p>
    <w:p w14:paraId="3A538BEF" w14:textId="78602AD4" w:rsidR="00261AE2" w:rsidRDefault="00261AE2" w:rsidP="006C5C61"/>
    <w:p w14:paraId="1C57EFC5" w14:textId="57285087" w:rsidR="006C5C61" w:rsidRDefault="006C5C61" w:rsidP="006C5C61">
      <w:pPr>
        <w:rPr>
          <w:i/>
          <w:iCs/>
        </w:rPr>
      </w:pPr>
      <w:r>
        <w:rPr>
          <w:i/>
          <w:iCs/>
        </w:rPr>
        <w:t>Propuesta</w:t>
      </w:r>
      <w:r w:rsidR="00CC17C0">
        <w:rPr>
          <w:i/>
          <w:iCs/>
        </w:rPr>
        <w:t> </w:t>
      </w:r>
      <w:r>
        <w:rPr>
          <w:i/>
          <w:iCs/>
        </w:rPr>
        <w:t>1: Nuevas clases de denominación de variedades para Allium</w:t>
      </w:r>
    </w:p>
    <w:p w14:paraId="654E6BF0" w14:textId="77777777" w:rsidR="00247062" w:rsidRPr="00AD7BF7" w:rsidRDefault="00247062" w:rsidP="00247062">
      <w:pPr>
        <w:pStyle w:val="BasistekstNaktuinbouw"/>
        <w:keepNext/>
        <w:jc w:val="both"/>
        <w:rPr>
          <w:sz w:val="18"/>
        </w:rPr>
      </w:pPr>
    </w:p>
    <w:p w14:paraId="4D9FE703" w14:textId="699BD370" w:rsidR="00C805AC" w:rsidRPr="002E4010" w:rsidRDefault="003415AF" w:rsidP="00247062">
      <w:pPr>
        <w:pStyle w:val="BasistekstNaktuinbouw"/>
        <w:keepNext/>
        <w:jc w:val="both"/>
        <w:rPr>
          <w:spacing w:val="-4"/>
        </w:rPr>
      </w:pPr>
      <w:r w:rsidRPr="002E4010">
        <w:rPr>
          <w:spacing w:val="-4"/>
        </w:rPr>
        <w:fldChar w:fldCharType="begin"/>
      </w:r>
      <w:r w:rsidRPr="002E4010">
        <w:rPr>
          <w:spacing w:val="-4"/>
        </w:rPr>
        <w:instrText xml:space="preserve"> LISTNUM  LegalDefault \l 1 </w:instrText>
      </w:r>
      <w:r w:rsidRPr="002E4010">
        <w:rPr>
          <w:spacing w:val="-4"/>
        </w:rPr>
        <w:fldChar w:fldCharType="end"/>
      </w:r>
      <w:r w:rsidRPr="002E4010">
        <w:rPr>
          <w:spacing w:val="-4"/>
        </w:rPr>
        <w:tab/>
        <w:t>En sus sesiones de</w:t>
      </w:r>
      <w:r w:rsidR="00CC17C0" w:rsidRPr="002E4010">
        <w:rPr>
          <w:spacing w:val="-4"/>
        </w:rPr>
        <w:t> </w:t>
      </w:r>
      <w:r w:rsidRPr="002E4010">
        <w:rPr>
          <w:spacing w:val="-4"/>
        </w:rPr>
        <w:t>2023, el</w:t>
      </w:r>
      <w:r w:rsidR="00CC17C0" w:rsidRPr="002E4010">
        <w:rPr>
          <w:spacing w:val="-4"/>
        </w:rPr>
        <w:t> </w:t>
      </w:r>
      <w:r w:rsidRPr="002E4010">
        <w:rPr>
          <w:spacing w:val="-4"/>
        </w:rPr>
        <w:t>TWV y el</w:t>
      </w:r>
      <w:r w:rsidR="00CC17C0" w:rsidRPr="002E4010">
        <w:rPr>
          <w:spacing w:val="-4"/>
        </w:rPr>
        <w:t> </w:t>
      </w:r>
      <w:r w:rsidRPr="002E4010">
        <w:rPr>
          <w:spacing w:val="-4"/>
        </w:rPr>
        <w:t xml:space="preserve">TWO convinieron en proponer la creación de nuevas clases de denominación de variedades dentro del género </w:t>
      </w:r>
      <w:r w:rsidRPr="002E4010">
        <w:rPr>
          <w:i/>
          <w:spacing w:val="-4"/>
        </w:rPr>
        <w:t>Allium</w:t>
      </w:r>
      <w:r w:rsidRPr="002E4010">
        <w:rPr>
          <w:spacing w:val="-4"/>
        </w:rPr>
        <w:t>, del siguiente modo (véanse el párrafo</w:t>
      </w:r>
      <w:r w:rsidR="00CC17C0" w:rsidRPr="002E4010">
        <w:rPr>
          <w:spacing w:val="-4"/>
        </w:rPr>
        <w:t> </w:t>
      </w:r>
      <w:r w:rsidRPr="002E4010">
        <w:rPr>
          <w:spacing w:val="-4"/>
        </w:rPr>
        <w:t xml:space="preserve">38 del documento TWV/57/26 </w:t>
      </w:r>
      <w:r w:rsidRPr="002E4010">
        <w:rPr>
          <w:i/>
          <w:spacing w:val="-4"/>
        </w:rPr>
        <w:t>“Report”</w:t>
      </w:r>
      <w:r w:rsidRPr="002E4010">
        <w:rPr>
          <w:spacing w:val="-4"/>
        </w:rPr>
        <w:t xml:space="preserve"> (informe) y el párrafo</w:t>
      </w:r>
      <w:r w:rsidR="00CC17C0" w:rsidRPr="002E4010">
        <w:rPr>
          <w:spacing w:val="-4"/>
        </w:rPr>
        <w:t> </w:t>
      </w:r>
      <w:r w:rsidRPr="002E4010">
        <w:rPr>
          <w:spacing w:val="-4"/>
        </w:rPr>
        <w:t>27 del documento</w:t>
      </w:r>
      <w:r w:rsidR="00CC17C0" w:rsidRPr="002E4010">
        <w:rPr>
          <w:spacing w:val="-4"/>
        </w:rPr>
        <w:t> </w:t>
      </w:r>
      <w:r w:rsidRPr="002E4010">
        <w:rPr>
          <w:spacing w:val="-4"/>
        </w:rPr>
        <w:t xml:space="preserve">TWO/55/11 </w:t>
      </w:r>
      <w:r w:rsidRPr="002E4010">
        <w:rPr>
          <w:i/>
          <w:spacing w:val="-4"/>
        </w:rPr>
        <w:t>“Report”</w:t>
      </w:r>
      <w:r w:rsidRPr="002E4010">
        <w:rPr>
          <w:spacing w:val="-4"/>
        </w:rPr>
        <w:t xml:space="preserve"> (informe)) (las adiciones se indican con texto resaltado y </w:t>
      </w:r>
      <w:r w:rsidRPr="002E4010">
        <w:rPr>
          <w:spacing w:val="-4"/>
          <w:highlight w:val="lightGray"/>
          <w:u w:val="single"/>
        </w:rPr>
        <w:t>subrayado</w:t>
      </w:r>
      <w:r w:rsidRPr="002E4010">
        <w:rPr>
          <w:spacing w:val="-4"/>
        </w:rPr>
        <w:t xml:space="preserve"> y las eliminaciones se indican con texto resaltado y </w:t>
      </w:r>
      <w:r w:rsidRPr="002E4010">
        <w:rPr>
          <w:strike/>
          <w:spacing w:val="-4"/>
          <w:highlight w:val="lightGray"/>
        </w:rPr>
        <w:t>tachado</w:t>
      </w:r>
      <w:r w:rsidRPr="002E4010">
        <w:rPr>
          <w:spacing w:val="-4"/>
        </w:rPr>
        <w:t>):</w:t>
      </w:r>
    </w:p>
    <w:p w14:paraId="3903E069" w14:textId="77777777" w:rsidR="00C805AC" w:rsidRDefault="00C805AC" w:rsidP="00C805AC">
      <w:pPr>
        <w:rPr>
          <w:rFonts w:cs="Maiandra GD"/>
          <w:iCs/>
          <w:color w:val="000000"/>
          <w:szCs w:val="18"/>
          <w:lang w:eastAsia="nl-NL"/>
        </w:rPr>
      </w:pPr>
    </w:p>
    <w:p w14:paraId="322C264B" w14:textId="77777777" w:rsidR="00261AE2" w:rsidRPr="006C5C61" w:rsidRDefault="00261AE2" w:rsidP="00261AE2">
      <w:pPr>
        <w:keepNext/>
        <w:jc w:val="center"/>
        <w:rPr>
          <w:i/>
          <w:sz w:val="18"/>
          <w:highlight w:val="lightGray"/>
          <w:u w:val="single"/>
        </w:rPr>
      </w:pPr>
      <w:r>
        <w:rPr>
          <w:i/>
          <w:sz w:val="18"/>
          <w:highlight w:val="lightGray"/>
          <w:u w:val="single"/>
        </w:rPr>
        <w:t>Clases dentro de un género</w:t>
      </w:r>
    </w:p>
    <w:p w14:paraId="62C5D63F" w14:textId="77777777" w:rsidR="00261AE2" w:rsidRPr="006C5C61" w:rsidRDefault="00261AE2" w:rsidP="00261AE2">
      <w:pPr>
        <w:keepNext/>
        <w:jc w:val="center"/>
        <w:rPr>
          <w:i/>
          <w:sz w:val="18"/>
          <w:highlight w:val="lightGray"/>
          <w:u w:val="single"/>
        </w:rPr>
      </w:pPr>
    </w:p>
    <w:tbl>
      <w:tblPr>
        <w:tblW w:w="956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559"/>
        <w:gridCol w:w="3690"/>
        <w:gridCol w:w="2070"/>
        <w:gridCol w:w="2250"/>
      </w:tblGrid>
      <w:tr w:rsidR="00261AE2" w:rsidRPr="006C5C61" w14:paraId="7EC17267"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5AB92845"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Nueva: Clase 5.1</w:t>
            </w:r>
          </w:p>
        </w:tc>
        <w:tc>
          <w:tcPr>
            <w:tcW w:w="3690" w:type="dxa"/>
            <w:tcBorders>
              <w:top w:val="single" w:sz="4" w:space="0" w:color="auto"/>
              <w:left w:val="single" w:sz="4" w:space="0" w:color="auto"/>
              <w:bottom w:val="single" w:sz="4" w:space="0" w:color="auto"/>
              <w:right w:val="single" w:sz="4" w:space="0" w:color="auto"/>
            </w:tcBorders>
            <w:vAlign w:val="center"/>
          </w:tcPr>
          <w:p w14:paraId="0C4AC2CD" w14:textId="77777777" w:rsidR="00261AE2" w:rsidRPr="006C5C61" w:rsidRDefault="00261AE2" w:rsidP="004979C3">
            <w:pPr>
              <w:keepNext/>
              <w:spacing w:before="40" w:after="40"/>
              <w:jc w:val="left"/>
              <w:rPr>
                <w:rFonts w:eastAsia="MS Mincho" w:cs="Arial"/>
                <w:sz w:val="18"/>
                <w:highlight w:val="lightGray"/>
                <w:u w:val="single"/>
              </w:rPr>
            </w:pPr>
            <w:r>
              <w:rPr>
                <w:i/>
                <w:sz w:val="18"/>
                <w:highlight w:val="lightGray"/>
                <w:u w:val="single"/>
              </w:rPr>
              <w:t>Allium cepa</w:t>
            </w:r>
            <w:r>
              <w:rPr>
                <w:sz w:val="18"/>
                <w:highlight w:val="lightGray"/>
                <w:u w:val="single"/>
              </w:rPr>
              <w:t xml:space="preserve"> L.</w:t>
            </w:r>
          </w:p>
          <w:p w14:paraId="2B1FDCE2" w14:textId="77777777" w:rsidR="00261AE2" w:rsidRPr="006C5C61" w:rsidRDefault="00261AE2" w:rsidP="004979C3">
            <w:pPr>
              <w:pStyle w:val="BasistekstNaktuinbouw"/>
              <w:keepNext/>
              <w:rPr>
                <w:rFonts w:eastAsia="MS Mincho" w:cs="Arial"/>
                <w:sz w:val="18"/>
                <w:szCs w:val="20"/>
                <w:highlight w:val="lightGray"/>
                <w:u w:val="single"/>
              </w:rPr>
            </w:pPr>
            <w:r>
              <w:rPr>
                <w:i/>
                <w:sz w:val="18"/>
                <w:szCs w:val="20"/>
                <w:highlight w:val="lightGray"/>
                <w:u w:val="single"/>
              </w:rPr>
              <w:t>Allium fistulosum</w:t>
            </w:r>
            <w:r>
              <w:rPr>
                <w:sz w:val="18"/>
                <w:szCs w:val="20"/>
                <w:highlight w:val="lightGray"/>
                <w:u w:val="single"/>
              </w:rPr>
              <w:t xml:space="preserve"> L.</w:t>
            </w:r>
          </w:p>
        </w:tc>
        <w:tc>
          <w:tcPr>
            <w:tcW w:w="2070" w:type="dxa"/>
            <w:tcBorders>
              <w:top w:val="single" w:sz="4" w:space="0" w:color="auto"/>
              <w:left w:val="single" w:sz="4" w:space="0" w:color="auto"/>
              <w:bottom w:val="single" w:sz="4" w:space="0" w:color="auto"/>
              <w:right w:val="single" w:sz="4" w:space="0" w:color="auto"/>
            </w:tcBorders>
            <w:vAlign w:val="center"/>
          </w:tcPr>
          <w:p w14:paraId="00699C9A"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ALLIU_CEP</w:t>
            </w:r>
          </w:p>
          <w:p w14:paraId="6EA972E5" w14:textId="77777777" w:rsidR="00261AE2" w:rsidRPr="006C5C61" w:rsidRDefault="00261AE2" w:rsidP="004979C3">
            <w:pPr>
              <w:pStyle w:val="BasistekstNaktuinbouw"/>
              <w:keepNext/>
              <w:rPr>
                <w:rFonts w:eastAsia="MS Mincho"/>
                <w:sz w:val="18"/>
                <w:szCs w:val="20"/>
                <w:highlight w:val="lightGray"/>
                <w:u w:val="single"/>
              </w:rPr>
            </w:pPr>
            <w:r>
              <w:rPr>
                <w:sz w:val="18"/>
                <w:szCs w:val="20"/>
                <w:highlight w:val="lightGray"/>
                <w:u w:val="single"/>
              </w:rPr>
              <w:t>ALLIU_FIS</w:t>
            </w:r>
          </w:p>
        </w:tc>
        <w:tc>
          <w:tcPr>
            <w:tcW w:w="2250" w:type="dxa"/>
            <w:tcBorders>
              <w:top w:val="single" w:sz="4" w:space="0" w:color="auto"/>
              <w:left w:val="single" w:sz="4" w:space="0" w:color="auto"/>
              <w:bottom w:val="single" w:sz="4" w:space="0" w:color="auto"/>
              <w:right w:val="single" w:sz="4" w:space="0" w:color="auto"/>
            </w:tcBorders>
            <w:vAlign w:val="center"/>
          </w:tcPr>
          <w:p w14:paraId="75A9A8CF"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Cebolla, Echalion, Chalota</w:t>
            </w:r>
          </w:p>
          <w:p w14:paraId="08BE11E7" w14:textId="77777777" w:rsidR="00261AE2" w:rsidRPr="006C5C61" w:rsidRDefault="00261AE2" w:rsidP="004979C3">
            <w:pPr>
              <w:pStyle w:val="BasistekstNaktuinbouw"/>
              <w:keepNext/>
              <w:rPr>
                <w:rFonts w:eastAsia="MS Mincho"/>
                <w:sz w:val="18"/>
                <w:szCs w:val="20"/>
                <w:highlight w:val="lightGray"/>
                <w:u w:val="single"/>
              </w:rPr>
            </w:pPr>
            <w:r>
              <w:rPr>
                <w:sz w:val="18"/>
                <w:szCs w:val="20"/>
                <w:highlight w:val="lightGray"/>
                <w:u w:val="single"/>
              </w:rPr>
              <w:t>Cebolleta</w:t>
            </w:r>
          </w:p>
        </w:tc>
      </w:tr>
      <w:tr w:rsidR="00261AE2" w:rsidRPr="006C5C61" w14:paraId="23A4F3E3" w14:textId="77777777" w:rsidTr="004979C3">
        <w:trPr>
          <w:cantSplit/>
          <w:trHeight w:val="479"/>
        </w:trPr>
        <w:tc>
          <w:tcPr>
            <w:tcW w:w="1559" w:type="dxa"/>
            <w:tcBorders>
              <w:top w:val="single" w:sz="4" w:space="0" w:color="auto"/>
              <w:left w:val="single" w:sz="4" w:space="0" w:color="auto"/>
              <w:bottom w:val="single" w:sz="4" w:space="0" w:color="auto"/>
              <w:right w:val="single" w:sz="4" w:space="0" w:color="auto"/>
            </w:tcBorders>
            <w:vAlign w:val="center"/>
          </w:tcPr>
          <w:p w14:paraId="5E4ECF0E"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Nueva: Clase 5.2</w:t>
            </w:r>
          </w:p>
        </w:tc>
        <w:tc>
          <w:tcPr>
            <w:tcW w:w="3690" w:type="dxa"/>
            <w:tcBorders>
              <w:top w:val="single" w:sz="4" w:space="0" w:color="auto"/>
              <w:left w:val="single" w:sz="4" w:space="0" w:color="auto"/>
              <w:bottom w:val="single" w:sz="4" w:space="0" w:color="auto"/>
              <w:right w:val="single" w:sz="4" w:space="0" w:color="auto"/>
            </w:tcBorders>
            <w:vAlign w:val="center"/>
          </w:tcPr>
          <w:p w14:paraId="106A2CD2" w14:textId="77777777" w:rsidR="00261AE2" w:rsidRPr="006C5C61" w:rsidRDefault="00261AE2" w:rsidP="004979C3">
            <w:pPr>
              <w:keepNext/>
              <w:spacing w:before="40" w:after="40"/>
              <w:jc w:val="left"/>
              <w:rPr>
                <w:rFonts w:eastAsia="MS Mincho" w:cs="Arial"/>
                <w:sz w:val="18"/>
                <w:highlight w:val="lightGray"/>
                <w:u w:val="single"/>
              </w:rPr>
            </w:pPr>
            <w:bookmarkStart w:id="62" w:name="_Hlk126838106"/>
            <w:r>
              <w:rPr>
                <w:i/>
                <w:sz w:val="18"/>
                <w:highlight w:val="lightGray"/>
                <w:u w:val="single"/>
              </w:rPr>
              <w:t>Allium sativum</w:t>
            </w:r>
            <w:r>
              <w:rPr>
                <w:sz w:val="18"/>
                <w:highlight w:val="lightGray"/>
                <w:u w:val="single"/>
              </w:rPr>
              <w:t xml:space="preserve"> L.</w:t>
            </w:r>
            <w:bookmarkEnd w:id="62"/>
          </w:p>
        </w:tc>
        <w:tc>
          <w:tcPr>
            <w:tcW w:w="2070" w:type="dxa"/>
            <w:tcBorders>
              <w:top w:val="single" w:sz="4" w:space="0" w:color="auto"/>
              <w:left w:val="single" w:sz="4" w:space="0" w:color="auto"/>
              <w:bottom w:val="single" w:sz="4" w:space="0" w:color="auto"/>
              <w:right w:val="single" w:sz="4" w:space="0" w:color="auto"/>
            </w:tcBorders>
            <w:vAlign w:val="center"/>
          </w:tcPr>
          <w:p w14:paraId="54463ADF"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ALLIU_SAT</w:t>
            </w:r>
          </w:p>
        </w:tc>
        <w:tc>
          <w:tcPr>
            <w:tcW w:w="2250" w:type="dxa"/>
            <w:tcBorders>
              <w:top w:val="single" w:sz="4" w:space="0" w:color="auto"/>
              <w:left w:val="single" w:sz="4" w:space="0" w:color="auto"/>
              <w:bottom w:val="single" w:sz="4" w:space="0" w:color="auto"/>
              <w:right w:val="single" w:sz="4" w:space="0" w:color="auto"/>
            </w:tcBorders>
            <w:vAlign w:val="center"/>
          </w:tcPr>
          <w:p w14:paraId="254D5AE6"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Ajo</w:t>
            </w:r>
          </w:p>
        </w:tc>
      </w:tr>
      <w:tr w:rsidR="00261AE2" w:rsidRPr="006C5C61" w14:paraId="61AA7706" w14:textId="77777777" w:rsidTr="004979C3">
        <w:trPr>
          <w:cantSplit/>
        </w:trPr>
        <w:tc>
          <w:tcPr>
            <w:tcW w:w="1559" w:type="dxa"/>
            <w:tcBorders>
              <w:top w:val="single" w:sz="4" w:space="0" w:color="auto"/>
              <w:left w:val="single" w:sz="4" w:space="0" w:color="auto"/>
              <w:bottom w:val="single" w:sz="4" w:space="0" w:color="auto"/>
              <w:right w:val="single" w:sz="4" w:space="0" w:color="auto"/>
            </w:tcBorders>
            <w:vAlign w:val="center"/>
          </w:tcPr>
          <w:p w14:paraId="0A2D0623"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Nueva: Clase 5.3</w:t>
            </w:r>
          </w:p>
        </w:tc>
        <w:tc>
          <w:tcPr>
            <w:tcW w:w="3690" w:type="dxa"/>
            <w:tcBorders>
              <w:top w:val="single" w:sz="4" w:space="0" w:color="auto"/>
              <w:left w:val="single" w:sz="4" w:space="0" w:color="auto"/>
              <w:bottom w:val="single" w:sz="4" w:space="0" w:color="auto"/>
              <w:right w:val="single" w:sz="4" w:space="0" w:color="auto"/>
            </w:tcBorders>
            <w:vAlign w:val="center"/>
          </w:tcPr>
          <w:p w14:paraId="7C5128CE" w14:textId="77777777" w:rsidR="00261AE2" w:rsidRPr="006C5C61" w:rsidRDefault="00261AE2" w:rsidP="004979C3">
            <w:pPr>
              <w:keepNext/>
              <w:spacing w:before="40" w:after="40"/>
              <w:jc w:val="left"/>
              <w:rPr>
                <w:rFonts w:eastAsia="MS Mincho" w:cs="Arial"/>
                <w:sz w:val="18"/>
                <w:highlight w:val="lightGray"/>
                <w:u w:val="single"/>
              </w:rPr>
            </w:pPr>
            <w:r>
              <w:rPr>
                <w:i/>
                <w:sz w:val="18"/>
                <w:highlight w:val="lightGray"/>
                <w:u w:val="single"/>
              </w:rPr>
              <w:t>Allium</w:t>
            </w:r>
            <w:r>
              <w:rPr>
                <w:sz w:val="18"/>
                <w:highlight w:val="lightGray"/>
                <w:u w:val="single"/>
              </w:rPr>
              <w:t xml:space="preserve"> a excepción de las clases 5.1 y 5.2</w:t>
            </w:r>
          </w:p>
          <w:p w14:paraId="50975A99" w14:textId="77777777" w:rsidR="00261AE2" w:rsidRPr="006C5C61" w:rsidRDefault="00261AE2" w:rsidP="004979C3">
            <w:pPr>
              <w:keepNext/>
              <w:spacing w:before="40" w:after="40"/>
              <w:jc w:val="left"/>
              <w:rPr>
                <w:rFonts w:eastAsia="MS Mincho" w:cs="Arial"/>
                <w:sz w:val="18"/>
                <w:highlight w:val="lightGray"/>
                <w:u w:val="single"/>
              </w:rPr>
            </w:pPr>
          </w:p>
        </w:tc>
        <w:tc>
          <w:tcPr>
            <w:tcW w:w="2070" w:type="dxa"/>
            <w:tcBorders>
              <w:top w:val="single" w:sz="4" w:space="0" w:color="auto"/>
              <w:left w:val="single" w:sz="4" w:space="0" w:color="auto"/>
              <w:bottom w:val="single" w:sz="4" w:space="0" w:color="auto"/>
              <w:right w:val="single" w:sz="4" w:space="0" w:color="auto"/>
            </w:tcBorders>
            <w:vAlign w:val="center"/>
          </w:tcPr>
          <w:p w14:paraId="597B91D9" w14:textId="77777777" w:rsidR="00261AE2" w:rsidRPr="006C5C61" w:rsidRDefault="00261AE2" w:rsidP="004979C3">
            <w:pPr>
              <w:keepNext/>
              <w:spacing w:before="40" w:after="40"/>
              <w:jc w:val="left"/>
              <w:rPr>
                <w:color w:val="000000"/>
                <w:sz w:val="18"/>
                <w:highlight w:val="lightGray"/>
                <w:u w:val="single"/>
              </w:rPr>
            </w:pPr>
            <w:r>
              <w:rPr>
                <w:color w:val="000000"/>
                <w:sz w:val="18"/>
                <w:highlight w:val="lightGray"/>
                <w:u w:val="single"/>
              </w:rPr>
              <w:t>a excepción de las clases 5.1 y 5.2</w:t>
            </w:r>
          </w:p>
        </w:tc>
        <w:tc>
          <w:tcPr>
            <w:tcW w:w="2250" w:type="dxa"/>
            <w:tcBorders>
              <w:top w:val="single" w:sz="4" w:space="0" w:color="auto"/>
              <w:left w:val="single" w:sz="4" w:space="0" w:color="auto"/>
              <w:bottom w:val="single" w:sz="4" w:space="0" w:color="auto"/>
              <w:right w:val="single" w:sz="4" w:space="0" w:color="auto"/>
            </w:tcBorders>
            <w:vAlign w:val="center"/>
          </w:tcPr>
          <w:p w14:paraId="74970BBE" w14:textId="77777777" w:rsidR="00261AE2" w:rsidRPr="006C5C61" w:rsidRDefault="00261AE2" w:rsidP="004979C3">
            <w:pPr>
              <w:keepNext/>
              <w:spacing w:before="40" w:after="40"/>
              <w:jc w:val="left"/>
              <w:rPr>
                <w:rFonts w:eastAsia="MS Mincho" w:cs="Arial"/>
                <w:sz w:val="18"/>
                <w:highlight w:val="lightGray"/>
                <w:u w:val="single"/>
              </w:rPr>
            </w:pPr>
            <w:r>
              <w:rPr>
                <w:sz w:val="18"/>
                <w:highlight w:val="lightGray"/>
                <w:u w:val="single"/>
              </w:rPr>
              <w:t>-</w:t>
            </w:r>
          </w:p>
        </w:tc>
      </w:tr>
    </w:tbl>
    <w:p w14:paraId="4B9300F6" w14:textId="77777777" w:rsidR="00C805AC" w:rsidRPr="0088502A" w:rsidRDefault="00C805AC" w:rsidP="00C93BCB">
      <w:pPr>
        <w:rPr>
          <w:i/>
        </w:rPr>
      </w:pPr>
    </w:p>
    <w:p w14:paraId="50520608" w14:textId="77777777" w:rsidR="004979C3" w:rsidRPr="0088502A" w:rsidRDefault="004979C3" w:rsidP="00C93BCB">
      <w:pPr>
        <w:rPr>
          <w:i/>
        </w:rPr>
      </w:pPr>
    </w:p>
    <w:p w14:paraId="75BE4B60" w14:textId="77777777" w:rsidR="006232E9" w:rsidRPr="006C5C61" w:rsidRDefault="006232E9" w:rsidP="00C93BCB">
      <w:pPr>
        <w:rPr>
          <w:iCs/>
          <w:u w:val="single"/>
        </w:rPr>
      </w:pPr>
      <w:bookmarkStart w:id="63" w:name="_Toc129334472"/>
      <w:r>
        <w:rPr>
          <w:iCs/>
          <w:u w:val="single"/>
        </w:rPr>
        <w:t>Nuevas clases de denominación de variedades para Prunus</w:t>
      </w:r>
      <w:bookmarkEnd w:id="63"/>
    </w:p>
    <w:p w14:paraId="205EA65A" w14:textId="77777777" w:rsidR="006232E9" w:rsidRPr="0088502A" w:rsidRDefault="006232E9" w:rsidP="00C93BCB">
      <w:pPr>
        <w:rPr>
          <w:i/>
        </w:rPr>
      </w:pPr>
    </w:p>
    <w:p w14:paraId="6A208390" w14:textId="53E8DBC9" w:rsidR="00FF1E5B" w:rsidRPr="0088502A" w:rsidRDefault="003415AF" w:rsidP="00C93BCB">
      <w:r>
        <w:fldChar w:fldCharType="begin"/>
      </w:r>
      <w:r>
        <w:instrText xml:space="preserve"> LISTNUM  LegalDefault \l 1 </w:instrText>
      </w:r>
      <w:r>
        <w:fldChar w:fldCharType="end"/>
      </w:r>
      <w:r>
        <w:tab/>
        <w:t xml:space="preserve">Actualmente el género </w:t>
      </w:r>
      <w:r>
        <w:rPr>
          <w:i/>
        </w:rPr>
        <w:t>Prunus</w:t>
      </w:r>
      <w:r>
        <w:t xml:space="preserve"> sigue la norma general (un género/una clase)</w:t>
      </w:r>
      <w:r>
        <w:rPr>
          <w:vertAlign w:val="superscript"/>
        </w:rPr>
        <w:t>10</w:t>
      </w:r>
      <w:r>
        <w:t>.</w:t>
      </w:r>
      <w:r>
        <w:rPr>
          <w:vertAlign w:val="superscript"/>
        </w:rPr>
        <w:t>.</w:t>
      </w:r>
    </w:p>
    <w:p w14:paraId="7C642657" w14:textId="77777777" w:rsidR="00FF1E5B" w:rsidRPr="0088502A" w:rsidRDefault="00FF1E5B" w:rsidP="00C93BCB">
      <w:pPr>
        <w:rPr>
          <w:i/>
        </w:rPr>
      </w:pPr>
    </w:p>
    <w:p w14:paraId="291FE18D" w14:textId="05E61003" w:rsidR="00FF16C5" w:rsidRPr="0088502A" w:rsidRDefault="003415AF" w:rsidP="00FF16C5">
      <w:r>
        <w:fldChar w:fldCharType="begin"/>
      </w:r>
      <w:r>
        <w:instrText xml:space="preserve"> LISTNUM  LegalDefault \l 1 </w:instrText>
      </w:r>
      <w:r>
        <w:fldChar w:fldCharType="end"/>
      </w:r>
      <w:r>
        <w:tab/>
        <w:t>En su quincuagésima quinta sesión</w:t>
      </w:r>
      <w:r w:rsidR="004E5F31" w:rsidRPr="004E5F31">
        <w:rPr>
          <w:vertAlign w:val="superscript"/>
        </w:rPr>
        <w:fldChar w:fldCharType="begin"/>
      </w:r>
      <w:r w:rsidR="004E5F31" w:rsidRPr="004E5F31">
        <w:rPr>
          <w:vertAlign w:val="superscript"/>
        </w:rPr>
        <w:instrText xml:space="preserve"> NOTEREF _Ref145614717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10</w:t>
      </w:r>
      <w:r w:rsidR="004E5F31" w:rsidRPr="004E5F31">
        <w:rPr>
          <w:vertAlign w:val="superscript"/>
        </w:rPr>
        <w:fldChar w:fldCharType="end"/>
      </w:r>
      <w:r>
        <w:t>, el</w:t>
      </w:r>
      <w:r w:rsidR="00CC17C0">
        <w:t> </w:t>
      </w:r>
      <w:r>
        <w:t xml:space="preserve">TWO examinó la propuesta de creación de nuevas clases de denominación de variedades dentro del género </w:t>
      </w:r>
      <w:r>
        <w:rPr>
          <w:i/>
        </w:rPr>
        <w:t>Prunus</w:t>
      </w:r>
      <w:r>
        <w:t>. El</w:t>
      </w:r>
      <w:r w:rsidR="00CC17C0">
        <w:t> </w:t>
      </w:r>
      <w:r>
        <w:t xml:space="preserve">TWO tomó nota de la existencia de variedades ornamentales de </w:t>
      </w:r>
      <w:r>
        <w:rPr>
          <w:i/>
        </w:rPr>
        <w:t>Prunus</w:t>
      </w:r>
      <w:r>
        <w:t>, que incluyen híbridos interespecíficos, y convino en proponer que el</w:t>
      </w:r>
      <w:r w:rsidR="00CC17C0">
        <w:t> </w:t>
      </w:r>
      <w:r>
        <w:t>TWF tenga en cuenta esta información al estudiar la posible creación de nuevas clases de denominación de variedades (véanse el</w:t>
      </w:r>
      <w:r w:rsidR="00CC17C0">
        <w:t> </w:t>
      </w:r>
      <w:r>
        <w:t>párrafo 28 del documento</w:t>
      </w:r>
      <w:r w:rsidR="00CC17C0">
        <w:t> </w:t>
      </w:r>
      <w:r>
        <w:t xml:space="preserve">TWO/55/11 </w:t>
      </w:r>
      <w:r>
        <w:rPr>
          <w:i/>
        </w:rPr>
        <w:t>“Report”</w:t>
      </w:r>
      <w:r>
        <w:t xml:space="preserve"> (informe) y los párrafos</w:t>
      </w:r>
      <w:r w:rsidR="00CC17C0">
        <w:t> </w:t>
      </w:r>
      <w:r>
        <w:t>29 a</w:t>
      </w:r>
      <w:r w:rsidR="00CC17C0">
        <w:t> </w:t>
      </w:r>
      <w:r>
        <w:t>31 del documento</w:t>
      </w:r>
      <w:r w:rsidR="00CC17C0">
        <w:t> </w:t>
      </w:r>
      <w:r>
        <w:t xml:space="preserve">TWF/54/13 </w:t>
      </w:r>
      <w:r>
        <w:rPr>
          <w:i/>
        </w:rPr>
        <w:t>“Report”</w:t>
      </w:r>
      <w:r>
        <w:t xml:space="preserve"> (informe)). </w:t>
      </w:r>
    </w:p>
    <w:p w14:paraId="471CA122" w14:textId="77777777" w:rsidR="00FF16C5" w:rsidRPr="0088502A" w:rsidRDefault="00FF16C5" w:rsidP="00FF16C5"/>
    <w:p w14:paraId="305E770F" w14:textId="03250246" w:rsidR="009E4252" w:rsidRPr="0088502A" w:rsidRDefault="003415AF" w:rsidP="009E4252">
      <w:r>
        <w:fldChar w:fldCharType="begin"/>
      </w:r>
      <w:r>
        <w:instrText xml:space="preserve"> LISTNUM  LegalDefault \l 1 </w:instrText>
      </w:r>
      <w:r>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fldChar w:fldCharType="begin"/>
      </w:r>
      <w:r>
        <w:instrText xml:space="preserve"> NOTEREF _Ref138847656 \f \h  \* MERGEFORMAT </w:instrText>
      </w:r>
      <w:r>
        <w:fldChar w:fldCharType="end"/>
      </w:r>
      <w:r>
        <w:t>, el</w:t>
      </w:r>
      <w:r w:rsidR="00CC17C0">
        <w:t> </w:t>
      </w:r>
      <w:r>
        <w:t>TWF examinó el comentario formulado por el</w:t>
      </w:r>
      <w:r w:rsidR="00CC17C0">
        <w:t> </w:t>
      </w:r>
      <w:r>
        <w:t>TWO, en su quincuagésima quinta sesión</w:t>
      </w:r>
      <w:r w:rsidR="004E5F31" w:rsidRPr="004E5F31">
        <w:rPr>
          <w:vertAlign w:val="superscript"/>
        </w:rPr>
        <w:fldChar w:fldCharType="begin"/>
      </w:r>
      <w:r w:rsidR="004E5F31" w:rsidRPr="004E5F31">
        <w:rPr>
          <w:vertAlign w:val="superscript"/>
        </w:rPr>
        <w:instrText xml:space="preserve"> NOTEREF _Ref145614717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10</w:t>
      </w:r>
      <w:r w:rsidR="004E5F31" w:rsidRPr="004E5F31">
        <w:rPr>
          <w:vertAlign w:val="superscript"/>
        </w:rPr>
        <w:fldChar w:fldCharType="end"/>
      </w:r>
      <w:r>
        <w:t xml:space="preserve">, sobre la existencia de variedades ornamentales de ciruelos producidos a partir de cruzamientos interespecíficos y convino en que dichos casos pueden tratarse de conformidad con la propuesta de aplicar las clases de denominación de todos los parentales implicados sin generar confusión acerca de la identidad de la variedad.  </w:t>
      </w:r>
    </w:p>
    <w:p w14:paraId="330A4EE5" w14:textId="77777777" w:rsidR="009E4252" w:rsidRPr="0088502A" w:rsidRDefault="009E4252" w:rsidP="009E4252"/>
    <w:p w14:paraId="5A9394D9" w14:textId="10845963" w:rsidR="00FF16C5" w:rsidRDefault="00FF16C5" w:rsidP="006C5C61">
      <w:pPr>
        <w:keepNext/>
      </w:pPr>
    </w:p>
    <w:p w14:paraId="235E2855" w14:textId="77777777" w:rsidR="00992D6A" w:rsidRDefault="00992D6A">
      <w:pPr>
        <w:jc w:val="left"/>
        <w:rPr>
          <w:i/>
          <w:iCs/>
        </w:rPr>
      </w:pPr>
      <w:r>
        <w:br w:type="page"/>
      </w:r>
    </w:p>
    <w:p w14:paraId="4065DC45" w14:textId="43EEB03E" w:rsidR="006C5C61" w:rsidRDefault="006C5C61" w:rsidP="00C805AC">
      <w:pPr>
        <w:keepNext/>
        <w:rPr>
          <w:i/>
          <w:iCs/>
        </w:rPr>
      </w:pPr>
      <w:r>
        <w:rPr>
          <w:i/>
          <w:iCs/>
        </w:rPr>
        <w:lastRenderedPageBreak/>
        <w:t>Propuesta</w:t>
      </w:r>
      <w:r w:rsidR="00CC17C0">
        <w:rPr>
          <w:i/>
          <w:iCs/>
        </w:rPr>
        <w:t> </w:t>
      </w:r>
      <w:r>
        <w:rPr>
          <w:i/>
          <w:iCs/>
        </w:rPr>
        <w:t>2: Nuevas clases de denominación de variedades para Prunus</w:t>
      </w:r>
    </w:p>
    <w:p w14:paraId="4D51BA92" w14:textId="77777777" w:rsidR="00247062" w:rsidRPr="006C5C61" w:rsidRDefault="00247062" w:rsidP="00C805AC">
      <w:pPr>
        <w:keepNext/>
        <w:rPr>
          <w:i/>
          <w:iCs/>
        </w:rPr>
      </w:pPr>
    </w:p>
    <w:p w14:paraId="6B390FCE" w14:textId="19910890" w:rsidR="00C805AC" w:rsidRDefault="003415AF" w:rsidP="00C805AC">
      <w:pPr>
        <w:keepNext/>
        <w:rPr>
          <w:rFonts w:cs="Maiandra GD"/>
          <w:iCs/>
          <w:color w:val="000000"/>
          <w:szCs w:val="18"/>
        </w:rPr>
      </w:pPr>
      <w:r>
        <w:fldChar w:fldCharType="begin"/>
      </w:r>
      <w:r>
        <w:instrText xml:space="preserve"> LISTNUM  LegalDefault \l 1 </w:instrText>
      </w:r>
      <w:r>
        <w:fldChar w:fldCharType="end"/>
      </w:r>
      <w:r>
        <w:tab/>
        <w:t>El</w:t>
      </w:r>
      <w:r w:rsidR="00CC17C0">
        <w:t> </w:t>
      </w:r>
      <w:r>
        <w:t xml:space="preserve">TWF convino en proponer la creación de nuevas clases de denominación de variedades excepcionales para </w:t>
      </w:r>
      <w:r>
        <w:rPr>
          <w:i/>
        </w:rPr>
        <w:t>Prunus</w:t>
      </w:r>
      <w:r>
        <w:t xml:space="preserve">, del siguiente modo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6A7E1DDB" w14:textId="77777777" w:rsidR="00992D6A" w:rsidRPr="00992D6A" w:rsidRDefault="00992D6A" w:rsidP="00992D6A">
      <w:pPr>
        <w:rPr>
          <w:rFonts w:eastAsia="MS Mincho"/>
        </w:rPr>
      </w:pPr>
    </w:p>
    <w:p w14:paraId="034C41BD" w14:textId="77777777" w:rsidR="00992D6A" w:rsidRPr="00992D6A" w:rsidRDefault="00992D6A" w:rsidP="00992D6A">
      <w:pPr>
        <w:jc w:val="center"/>
        <w:rPr>
          <w:rFonts w:eastAsia="MS Mincho"/>
        </w:rPr>
      </w:pPr>
      <w:r>
        <w:t>LISTA DE CLASES</w:t>
      </w:r>
    </w:p>
    <w:p w14:paraId="1F82A7B5" w14:textId="77777777" w:rsidR="00992D6A" w:rsidRPr="00992D6A" w:rsidRDefault="00992D6A" w:rsidP="00992D6A">
      <w:pPr>
        <w:rPr>
          <w:rFonts w:eastAsia="MS Mincho"/>
        </w:rPr>
      </w:pPr>
    </w:p>
    <w:p w14:paraId="72689F7F" w14:textId="77777777" w:rsidR="00992D6A" w:rsidRPr="00992D6A" w:rsidRDefault="00992D6A" w:rsidP="00992D6A">
      <w:pPr>
        <w:keepNext/>
        <w:jc w:val="center"/>
        <w:outlineLvl w:val="7"/>
        <w:rPr>
          <w:rFonts w:eastAsia="MS Mincho"/>
          <w:u w:val="single"/>
        </w:rPr>
      </w:pPr>
      <w:r>
        <w:rPr>
          <w:u w:val="single"/>
        </w:rPr>
        <w:t>Parte I</w:t>
      </w:r>
    </w:p>
    <w:p w14:paraId="32BBCCB0" w14:textId="77777777" w:rsidR="00992D6A" w:rsidRPr="00992D6A" w:rsidRDefault="00992D6A" w:rsidP="00992D6A">
      <w:pPr>
        <w:spacing w:before="60"/>
        <w:ind w:left="284" w:hanging="284"/>
        <w:rPr>
          <w:rFonts w:eastAsia="MS Mincho"/>
          <w:sz w:val="16"/>
        </w:rPr>
      </w:pPr>
    </w:p>
    <w:p w14:paraId="69A85806" w14:textId="77777777" w:rsidR="00992D6A" w:rsidRPr="00992D6A" w:rsidRDefault="00992D6A" w:rsidP="00992D6A">
      <w:pPr>
        <w:jc w:val="center"/>
        <w:rPr>
          <w:rFonts w:eastAsia="MS Mincho"/>
          <w:i/>
        </w:rPr>
      </w:pPr>
      <w:r>
        <w:rPr>
          <w:i/>
        </w:rPr>
        <w:t>Clases dentro de un género</w:t>
      </w:r>
    </w:p>
    <w:p w14:paraId="0F630178" w14:textId="77777777" w:rsidR="00992D6A" w:rsidRDefault="00992D6A" w:rsidP="00992D6A"/>
    <w:p w14:paraId="643C1954" w14:textId="70A4A951" w:rsidR="00992D6A" w:rsidRPr="00B8036A" w:rsidRDefault="00992D6A" w:rsidP="00992D6A">
      <w:pPr>
        <w:pStyle w:val="BasistekstNaktuinbouw"/>
        <w:keepNext/>
        <w:jc w:val="both"/>
        <w:rPr>
          <w:highlight w:val="lightGray"/>
          <w:u w:val="single"/>
        </w:rPr>
      </w:pPr>
      <w:r>
        <w:rPr>
          <w:highlight w:val="lightGray"/>
          <w:u w:val="single"/>
        </w:rPr>
        <w:t>Las denominaciones de las variedades identificadas a nivel de género solamente, siempre que la variedad pertenezca a uno de los géneros de la siguiente lista de “Clases dentro de un género”, deben ser distintas de las denominaciones correspondientes a ese género.</w:t>
      </w:r>
    </w:p>
    <w:p w14:paraId="3324371C" w14:textId="77777777" w:rsidR="00992D6A" w:rsidRPr="00992D6A" w:rsidRDefault="00992D6A" w:rsidP="00992D6A">
      <w:pPr>
        <w:rPr>
          <w:rFonts w:eastAsia="MS Mincho"/>
          <w:lang w:eastAsia="ja-JP"/>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992D6A" w:rsidRPr="00992D6A" w14:paraId="0BB5C353" w14:textId="77777777" w:rsidTr="00254999">
        <w:trPr>
          <w:cantSplit/>
          <w:tblHeader/>
        </w:trPr>
        <w:tc>
          <w:tcPr>
            <w:tcW w:w="1418" w:type="dxa"/>
            <w:shd w:val="clear" w:color="auto" w:fill="D9D9D9" w:themeFill="background1" w:themeFillShade="D9"/>
            <w:vAlign w:val="center"/>
          </w:tcPr>
          <w:p w14:paraId="610D39D7" w14:textId="77777777" w:rsidR="00992D6A" w:rsidRPr="00992D6A" w:rsidRDefault="00992D6A" w:rsidP="00992D6A">
            <w:pPr>
              <w:spacing w:before="40" w:after="60"/>
              <w:jc w:val="left"/>
              <w:rPr>
                <w:rFonts w:eastAsia="MS Mincho"/>
                <w:sz w:val="18"/>
                <w:u w:val="single"/>
              </w:rPr>
            </w:pPr>
          </w:p>
        </w:tc>
        <w:tc>
          <w:tcPr>
            <w:tcW w:w="5670" w:type="dxa"/>
            <w:shd w:val="clear" w:color="auto" w:fill="D9D9D9" w:themeFill="background1" w:themeFillShade="D9"/>
            <w:vAlign w:val="center"/>
          </w:tcPr>
          <w:p w14:paraId="5370C6A5" w14:textId="77777777" w:rsidR="00992D6A" w:rsidRPr="00992D6A" w:rsidRDefault="00992D6A" w:rsidP="00992D6A">
            <w:pPr>
              <w:spacing w:before="40" w:after="60"/>
              <w:jc w:val="center"/>
              <w:rPr>
                <w:rFonts w:eastAsia="MS Mincho"/>
                <w:sz w:val="18"/>
                <w:u w:val="single"/>
              </w:rPr>
            </w:pPr>
            <w:r>
              <w:rPr>
                <w:sz w:val="18"/>
                <w:u w:val="single"/>
              </w:rPr>
              <w:t>Nombres botánicos</w:t>
            </w:r>
          </w:p>
        </w:tc>
        <w:tc>
          <w:tcPr>
            <w:tcW w:w="2551" w:type="dxa"/>
            <w:shd w:val="clear" w:color="auto" w:fill="D9D9D9" w:themeFill="background1" w:themeFillShade="D9"/>
            <w:vAlign w:val="center"/>
          </w:tcPr>
          <w:p w14:paraId="2881841B" w14:textId="77777777" w:rsidR="00992D6A" w:rsidRPr="00992D6A" w:rsidRDefault="00992D6A" w:rsidP="00992D6A">
            <w:pPr>
              <w:spacing w:before="40" w:after="60"/>
              <w:jc w:val="center"/>
              <w:rPr>
                <w:rFonts w:eastAsia="MS Mincho"/>
                <w:sz w:val="18"/>
                <w:u w:val="single"/>
              </w:rPr>
            </w:pPr>
            <w:r>
              <w:rPr>
                <w:sz w:val="18"/>
                <w:u w:val="single"/>
              </w:rPr>
              <w:t>Códigos UPOV</w:t>
            </w:r>
          </w:p>
        </w:tc>
      </w:tr>
    </w:tbl>
    <w:p w14:paraId="752DE260" w14:textId="78924679" w:rsidR="00B8036A" w:rsidRDefault="00B8036A" w:rsidP="00992D6A">
      <w:pPr>
        <w:rPr>
          <w:highlight w:val="lightGray"/>
        </w:rPr>
      </w:pPr>
    </w:p>
    <w:p w14:paraId="1EA6757D" w14:textId="10209E0A" w:rsidR="00992D6A" w:rsidRPr="00992D6A" w:rsidRDefault="00992D6A" w:rsidP="00992D6A">
      <w:pPr>
        <w:jc w:val="center"/>
      </w:pPr>
      <w:r>
        <w:t>[…]</w:t>
      </w:r>
    </w:p>
    <w:p w14:paraId="7C010706" w14:textId="77777777" w:rsidR="00992D6A" w:rsidRPr="00B8036A" w:rsidRDefault="00992D6A" w:rsidP="00992D6A">
      <w:pPr>
        <w:rPr>
          <w:highlight w:val="lightGray"/>
        </w:rPr>
      </w:pPr>
    </w:p>
    <w:p w14:paraId="34B0528C" w14:textId="3F7ED559" w:rsidR="006232E9" w:rsidRPr="00B8036A" w:rsidRDefault="00B8036A" w:rsidP="00B8036A">
      <w:pPr>
        <w:pStyle w:val="BasistekstNaktuinbouw"/>
        <w:keepNext/>
        <w:jc w:val="both"/>
        <w:rPr>
          <w:sz w:val="18"/>
          <w:highlight w:val="lightGray"/>
          <w:u w:val="single"/>
        </w:rPr>
      </w:pPr>
      <w:r>
        <w:rPr>
          <w:highlight w:val="lightGray"/>
          <w:u w:val="single"/>
        </w:rPr>
        <w:t>Clase</w:t>
      </w:r>
      <w:r w:rsidR="00CC17C0">
        <w:rPr>
          <w:highlight w:val="lightGray"/>
          <w:u w:val="single"/>
        </w:rPr>
        <w:t> </w:t>
      </w:r>
      <w:r>
        <w:rPr>
          <w:highlight w:val="lightGray"/>
          <w:u w:val="single"/>
        </w:rPr>
        <w:t xml:space="preserve">6: </w:t>
      </w:r>
      <w:r>
        <w:rPr>
          <w:i/>
          <w:iCs/>
          <w:highlight w:val="lightGray"/>
          <w:u w:val="single"/>
        </w:rPr>
        <w:t>Prunus</w:t>
      </w:r>
      <w:r>
        <w:rPr>
          <w:highlight w:val="lightGray"/>
          <w:u w:val="single"/>
        </w:rPr>
        <w:t>: Las denominaciones de los híbridos interespecíficos de la clase</w:t>
      </w:r>
      <w:r w:rsidR="00CC17C0">
        <w:rPr>
          <w:highlight w:val="lightGray"/>
          <w:u w:val="single"/>
        </w:rPr>
        <w:t> </w:t>
      </w:r>
      <w:r>
        <w:rPr>
          <w:highlight w:val="lightGray"/>
          <w:u w:val="single"/>
        </w:rPr>
        <w:t xml:space="preserve">6 deben ser distintas de las denominaciones de las clases de todas las especies parentales.  </w:t>
      </w:r>
    </w:p>
    <w:p w14:paraId="0E8E0BA8" w14:textId="77777777" w:rsidR="00B8036A" w:rsidRPr="00AD7BF7" w:rsidRDefault="00B8036A" w:rsidP="00B8036A">
      <w:pPr>
        <w:pStyle w:val="BasistekstNaktuinbouw"/>
        <w:keepNext/>
        <w:jc w:val="both"/>
        <w:rPr>
          <w:sz w:val="18"/>
          <w:highlight w:val="lightGray"/>
          <w:u w:val="single"/>
        </w:rPr>
      </w:pPr>
    </w:p>
    <w:tbl>
      <w:tblPr>
        <w:tblW w:w="9634" w:type="dxa"/>
        <w:tblCellMar>
          <w:left w:w="0" w:type="dxa"/>
          <w:right w:w="0" w:type="dxa"/>
        </w:tblCellMar>
        <w:tblLook w:val="04A0" w:firstRow="1" w:lastRow="0" w:firstColumn="1" w:lastColumn="0" w:noHBand="0" w:noVBand="1"/>
      </w:tblPr>
      <w:tblGrid>
        <w:gridCol w:w="1413"/>
        <w:gridCol w:w="5528"/>
        <w:gridCol w:w="2693"/>
      </w:tblGrid>
      <w:tr w:rsidR="00954ED3" w:rsidRPr="00F66E13" w14:paraId="0C00D32F"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B5B843F" w14:textId="77777777" w:rsidR="00954ED3" w:rsidRPr="00F66E13" w:rsidRDefault="00954ED3" w:rsidP="00C805AC">
            <w:pPr>
              <w:keepNext/>
              <w:spacing w:before="40" w:after="40"/>
              <w:ind w:left="-1529" w:firstLine="1529"/>
              <w:jc w:val="left"/>
              <w:rPr>
                <w:rFonts w:cs="Arial"/>
                <w:sz w:val="18"/>
                <w:szCs w:val="18"/>
                <w:highlight w:val="lightGray"/>
                <w:u w:val="single"/>
              </w:rPr>
            </w:pPr>
            <w:r>
              <w:rPr>
                <w:sz w:val="18"/>
                <w:szCs w:val="18"/>
                <w:highlight w:val="lightGray"/>
                <w:u w:val="single"/>
              </w:rPr>
              <w:t>Nueva clase 6.1</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0ED585A" w14:textId="77777777" w:rsidR="00954ED3" w:rsidRPr="002E16BA" w:rsidRDefault="00954ED3" w:rsidP="00C805AC">
            <w:pPr>
              <w:keepNext/>
              <w:spacing w:before="40" w:after="40"/>
              <w:jc w:val="left"/>
              <w:rPr>
                <w:rFonts w:cs="Arial"/>
                <w:sz w:val="18"/>
                <w:szCs w:val="18"/>
                <w:highlight w:val="lightGray"/>
                <w:u w:val="single"/>
                <w:lang w:val="fr-FR"/>
              </w:rPr>
            </w:pPr>
            <w:r w:rsidRPr="002E16BA">
              <w:rPr>
                <w:i/>
                <w:sz w:val="18"/>
                <w:szCs w:val="18"/>
                <w:highlight w:val="lightGray"/>
                <w:u w:val="single"/>
                <w:lang w:val="fr-FR"/>
              </w:rPr>
              <w:t>Prunus avium</w:t>
            </w:r>
            <w:r w:rsidRPr="002E16BA">
              <w:rPr>
                <w:sz w:val="18"/>
                <w:szCs w:val="18"/>
                <w:highlight w:val="lightGray"/>
                <w:u w:val="single"/>
                <w:lang w:val="fr-FR"/>
              </w:rPr>
              <w:t xml:space="preserve"> (L.) L.</w:t>
            </w:r>
          </w:p>
          <w:p w14:paraId="1C634B17" w14:textId="77777777" w:rsidR="00954ED3" w:rsidRPr="002E16BA" w:rsidRDefault="00954ED3" w:rsidP="00C805AC">
            <w:pPr>
              <w:keepNext/>
              <w:spacing w:before="40" w:after="40"/>
              <w:jc w:val="left"/>
              <w:rPr>
                <w:rFonts w:cs="Arial"/>
                <w:sz w:val="18"/>
                <w:szCs w:val="18"/>
                <w:highlight w:val="lightGray"/>
                <w:u w:val="single"/>
                <w:lang w:val="fr-FR"/>
              </w:rPr>
            </w:pPr>
            <w:r w:rsidRPr="002E16BA">
              <w:rPr>
                <w:i/>
                <w:sz w:val="18"/>
                <w:szCs w:val="18"/>
                <w:highlight w:val="lightGray"/>
                <w:u w:val="single"/>
                <w:lang w:val="fr-FR"/>
              </w:rPr>
              <w:t>Prunus cerasus</w:t>
            </w:r>
            <w:r w:rsidRPr="002E16BA">
              <w:rPr>
                <w:sz w:val="18"/>
                <w:szCs w:val="18"/>
                <w:highlight w:val="lightGray"/>
                <w:u w:val="single"/>
                <w:lang w:val="fr-FR"/>
              </w:rPr>
              <w:t xml:space="preserve"> L.</w:t>
            </w:r>
          </w:p>
          <w:p w14:paraId="28447564" w14:textId="77777777" w:rsidR="00954ED3" w:rsidRPr="00F66E13" w:rsidRDefault="00954ED3" w:rsidP="00C805AC">
            <w:pPr>
              <w:keepNext/>
              <w:spacing w:before="40" w:after="40"/>
              <w:jc w:val="left"/>
              <w:rPr>
                <w:rFonts w:cs="Arial"/>
                <w:sz w:val="18"/>
                <w:szCs w:val="18"/>
                <w:highlight w:val="lightGray"/>
                <w:u w:val="single"/>
                <w:lang w:val="fr-CH"/>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65585478" w14:textId="77777777" w:rsidR="00954ED3" w:rsidRPr="00F66E13" w:rsidRDefault="00954ED3" w:rsidP="00C805AC">
            <w:pPr>
              <w:keepNext/>
              <w:spacing w:before="40" w:after="40"/>
              <w:jc w:val="left"/>
              <w:rPr>
                <w:rFonts w:cs="Arial"/>
                <w:sz w:val="18"/>
                <w:szCs w:val="18"/>
                <w:highlight w:val="lightGray"/>
                <w:u w:val="single"/>
              </w:rPr>
            </w:pPr>
            <w:r>
              <w:rPr>
                <w:sz w:val="18"/>
                <w:szCs w:val="18"/>
                <w:highlight w:val="lightGray"/>
                <w:u w:val="single"/>
              </w:rPr>
              <w:t>PRUNU_AVI</w:t>
            </w:r>
          </w:p>
          <w:p w14:paraId="3BDEB5AE" w14:textId="77777777" w:rsidR="00954ED3" w:rsidRPr="00F66E13" w:rsidRDefault="00954ED3" w:rsidP="00C805AC">
            <w:pPr>
              <w:keepNext/>
              <w:spacing w:before="40" w:after="40"/>
              <w:jc w:val="left"/>
              <w:rPr>
                <w:rFonts w:cs="Arial"/>
                <w:sz w:val="18"/>
                <w:szCs w:val="18"/>
                <w:highlight w:val="lightGray"/>
                <w:u w:val="single"/>
              </w:rPr>
            </w:pPr>
            <w:r>
              <w:rPr>
                <w:sz w:val="18"/>
                <w:szCs w:val="18"/>
                <w:highlight w:val="lightGray"/>
                <w:u w:val="single"/>
              </w:rPr>
              <w:t>PRUNU_CSS</w:t>
            </w:r>
          </w:p>
          <w:p w14:paraId="08AD62F4" w14:textId="21ED1075" w:rsidR="00F66E13" w:rsidRPr="00F66E13" w:rsidRDefault="00F66E13" w:rsidP="00C805AC">
            <w:pPr>
              <w:keepNext/>
              <w:spacing w:before="40" w:after="40"/>
              <w:jc w:val="left"/>
              <w:rPr>
                <w:rFonts w:cs="Arial"/>
                <w:sz w:val="18"/>
                <w:szCs w:val="18"/>
                <w:highlight w:val="lightGray"/>
                <w:u w:val="single"/>
              </w:rPr>
            </w:pPr>
            <w:r>
              <w:rPr>
                <w:sz w:val="18"/>
                <w:szCs w:val="18"/>
                <w:highlight w:val="lightGray"/>
                <w:u w:val="single"/>
              </w:rPr>
              <w:t>En el caso de los cruzamientos interespecíficos, se aplican las clases de todas las especies parentales implicadas.</w:t>
            </w:r>
          </w:p>
        </w:tc>
      </w:tr>
      <w:tr w:rsidR="00954ED3" w:rsidRPr="00F66E13" w14:paraId="6E1814E0"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16B27609" w14:textId="77777777" w:rsidR="00954ED3" w:rsidRPr="00F66E13" w:rsidRDefault="00954ED3" w:rsidP="004979C3">
            <w:pPr>
              <w:keepNext/>
              <w:spacing w:before="40" w:after="40"/>
              <w:ind w:left="-1529" w:firstLine="1529"/>
              <w:jc w:val="left"/>
              <w:rPr>
                <w:rFonts w:cs="Arial"/>
                <w:sz w:val="18"/>
                <w:szCs w:val="18"/>
                <w:highlight w:val="lightGray"/>
                <w:u w:val="single"/>
              </w:rPr>
            </w:pPr>
            <w:r>
              <w:rPr>
                <w:sz w:val="18"/>
                <w:szCs w:val="18"/>
                <w:highlight w:val="lightGray"/>
                <w:u w:val="single"/>
              </w:rPr>
              <w:t>Nueva clase 6.2</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57670771" w14:textId="77777777" w:rsidR="00954ED3" w:rsidRPr="00C52F43" w:rsidRDefault="00954ED3" w:rsidP="004979C3">
            <w:pPr>
              <w:keepNext/>
              <w:spacing w:before="40" w:after="40"/>
              <w:jc w:val="left"/>
              <w:rPr>
                <w:rFonts w:cs="Arial"/>
                <w:sz w:val="18"/>
                <w:szCs w:val="18"/>
                <w:highlight w:val="lightGray"/>
                <w:u w:val="single"/>
              </w:rPr>
            </w:pPr>
            <w:r>
              <w:rPr>
                <w:i/>
                <w:sz w:val="18"/>
                <w:szCs w:val="18"/>
                <w:highlight w:val="lightGray"/>
                <w:u w:val="single"/>
              </w:rPr>
              <w:t>Prunus domestica</w:t>
            </w:r>
            <w:r>
              <w:rPr>
                <w:sz w:val="18"/>
                <w:szCs w:val="18"/>
                <w:highlight w:val="lightGray"/>
                <w:u w:val="single"/>
              </w:rPr>
              <w:t xml:space="preserve"> L.</w:t>
            </w:r>
          </w:p>
          <w:p w14:paraId="26956187" w14:textId="77777777" w:rsidR="00954ED3" w:rsidRPr="00C52F43" w:rsidRDefault="00954ED3" w:rsidP="004979C3">
            <w:pPr>
              <w:keepNext/>
              <w:spacing w:before="40" w:after="40"/>
              <w:jc w:val="left"/>
              <w:rPr>
                <w:rFonts w:cs="Arial"/>
                <w:sz w:val="18"/>
                <w:szCs w:val="18"/>
                <w:highlight w:val="lightGray"/>
                <w:u w:val="single"/>
              </w:rPr>
            </w:pPr>
            <w:r>
              <w:rPr>
                <w:i/>
                <w:sz w:val="18"/>
                <w:szCs w:val="18"/>
                <w:highlight w:val="lightGray"/>
                <w:u w:val="single"/>
              </w:rPr>
              <w:t>Prunus salicina</w:t>
            </w:r>
            <w:r>
              <w:rPr>
                <w:sz w:val="18"/>
                <w:szCs w:val="18"/>
                <w:highlight w:val="lightGray"/>
                <w:u w:val="single"/>
              </w:rPr>
              <w:t xml:space="preserve"> Lindley</w:t>
            </w:r>
          </w:p>
          <w:p w14:paraId="4BCB4BF6" w14:textId="77777777" w:rsidR="00954ED3" w:rsidRPr="00C52F43" w:rsidRDefault="00954ED3" w:rsidP="004979C3">
            <w:pPr>
              <w:keepNext/>
              <w:spacing w:before="40" w:after="40"/>
              <w:jc w:val="left"/>
              <w:rPr>
                <w:rFonts w:cs="Arial"/>
                <w:sz w:val="18"/>
                <w:szCs w:val="18"/>
                <w:highlight w:val="lightGray"/>
                <w:u w:val="single"/>
              </w:rPr>
            </w:pPr>
            <w:r>
              <w:rPr>
                <w:i/>
                <w:sz w:val="18"/>
                <w:szCs w:val="18"/>
                <w:highlight w:val="lightGray"/>
                <w:u w:val="single"/>
              </w:rPr>
              <w:t>Prunus armeniaca</w:t>
            </w:r>
            <w:r>
              <w:rPr>
                <w:sz w:val="18"/>
                <w:szCs w:val="18"/>
                <w:highlight w:val="lightGray"/>
                <w:u w:val="single"/>
              </w:rPr>
              <w:t xml:space="preserve"> L.</w:t>
            </w:r>
          </w:p>
          <w:p w14:paraId="512E06FD" w14:textId="77777777" w:rsidR="00954ED3" w:rsidRPr="00C52F43" w:rsidRDefault="00954ED3" w:rsidP="004979C3">
            <w:pPr>
              <w:keepNext/>
              <w:spacing w:before="40" w:after="40"/>
              <w:jc w:val="left"/>
              <w:rPr>
                <w:rFonts w:cs="Arial"/>
                <w:sz w:val="18"/>
                <w:szCs w:val="18"/>
                <w:highlight w:val="lightGray"/>
                <w:u w:val="single"/>
              </w:rPr>
            </w:pPr>
            <w:r>
              <w:rPr>
                <w:i/>
                <w:sz w:val="18"/>
                <w:szCs w:val="18"/>
                <w:highlight w:val="lightGray"/>
                <w:u w:val="single"/>
              </w:rPr>
              <w:t>Prunus mume</w:t>
            </w:r>
            <w:r>
              <w:rPr>
                <w:sz w:val="18"/>
                <w:szCs w:val="18"/>
                <w:highlight w:val="lightGray"/>
                <w:u w:val="single"/>
              </w:rPr>
              <w:t xml:space="preserve"> Siebold &amp; Zucc.</w:t>
            </w:r>
          </w:p>
          <w:p w14:paraId="6DCF03F4" w14:textId="77777777" w:rsidR="00954ED3" w:rsidRPr="00C52F43" w:rsidRDefault="00954ED3" w:rsidP="004979C3">
            <w:pPr>
              <w:keepNext/>
              <w:spacing w:before="40" w:after="40"/>
              <w:jc w:val="left"/>
              <w:rPr>
                <w:rFonts w:cs="Arial"/>
                <w:sz w:val="18"/>
                <w:szCs w:val="18"/>
                <w:highlight w:val="lightGray"/>
                <w:u w:val="single"/>
                <w:lang w:val="fr-FR"/>
              </w:rPr>
            </w:pP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39D7A4FF" w14:textId="77777777" w:rsidR="00954ED3" w:rsidRPr="002E16BA" w:rsidRDefault="00954ED3" w:rsidP="004979C3">
            <w:pPr>
              <w:keepNext/>
              <w:spacing w:before="40" w:after="40"/>
              <w:jc w:val="left"/>
              <w:rPr>
                <w:rFonts w:cs="Arial"/>
                <w:sz w:val="18"/>
                <w:szCs w:val="18"/>
                <w:highlight w:val="lightGray"/>
                <w:u w:val="single"/>
                <w:lang w:val="fr-FR"/>
              </w:rPr>
            </w:pPr>
            <w:r w:rsidRPr="002E16BA">
              <w:rPr>
                <w:sz w:val="18"/>
                <w:szCs w:val="18"/>
                <w:highlight w:val="lightGray"/>
                <w:u w:val="single"/>
                <w:lang w:val="fr-FR"/>
              </w:rPr>
              <w:t>PRUNU_DOM</w:t>
            </w:r>
          </w:p>
          <w:p w14:paraId="20E1A022" w14:textId="77777777" w:rsidR="00954ED3" w:rsidRPr="002E16BA" w:rsidRDefault="00954ED3" w:rsidP="004979C3">
            <w:pPr>
              <w:keepNext/>
              <w:spacing w:before="40" w:after="40"/>
              <w:jc w:val="left"/>
              <w:rPr>
                <w:rFonts w:cs="Arial"/>
                <w:sz w:val="18"/>
                <w:szCs w:val="18"/>
                <w:highlight w:val="lightGray"/>
                <w:u w:val="single"/>
                <w:lang w:val="fr-FR"/>
              </w:rPr>
            </w:pPr>
            <w:r w:rsidRPr="002E16BA">
              <w:rPr>
                <w:sz w:val="18"/>
                <w:szCs w:val="18"/>
                <w:highlight w:val="lightGray"/>
                <w:u w:val="single"/>
                <w:lang w:val="fr-FR"/>
              </w:rPr>
              <w:t>PRUNU_SAL</w:t>
            </w:r>
          </w:p>
          <w:p w14:paraId="0AC8F57F" w14:textId="77777777" w:rsidR="00954ED3" w:rsidRPr="002E16BA" w:rsidRDefault="00954ED3" w:rsidP="004979C3">
            <w:pPr>
              <w:keepNext/>
              <w:spacing w:before="40" w:after="40"/>
              <w:jc w:val="left"/>
              <w:rPr>
                <w:rFonts w:cs="Arial"/>
                <w:sz w:val="18"/>
                <w:szCs w:val="18"/>
                <w:highlight w:val="lightGray"/>
                <w:u w:val="single"/>
                <w:lang w:val="fr-FR"/>
              </w:rPr>
            </w:pPr>
            <w:r w:rsidRPr="002E16BA">
              <w:rPr>
                <w:sz w:val="18"/>
                <w:szCs w:val="18"/>
                <w:highlight w:val="lightGray"/>
                <w:u w:val="single"/>
                <w:lang w:val="fr-FR"/>
              </w:rPr>
              <w:t>PRUNU_ARM</w:t>
            </w:r>
          </w:p>
          <w:p w14:paraId="50160A5E" w14:textId="77777777" w:rsidR="00954ED3" w:rsidRPr="00F66E13" w:rsidRDefault="00954ED3" w:rsidP="004979C3">
            <w:pPr>
              <w:keepNext/>
              <w:spacing w:before="40" w:after="40"/>
              <w:jc w:val="left"/>
              <w:rPr>
                <w:rFonts w:cs="Arial"/>
                <w:sz w:val="18"/>
                <w:szCs w:val="18"/>
                <w:highlight w:val="lightGray"/>
                <w:u w:val="single"/>
              </w:rPr>
            </w:pPr>
            <w:r>
              <w:rPr>
                <w:sz w:val="18"/>
                <w:szCs w:val="18"/>
                <w:highlight w:val="lightGray"/>
                <w:u w:val="single"/>
              </w:rPr>
              <w:t>PRUNU_MUM</w:t>
            </w:r>
          </w:p>
          <w:p w14:paraId="5A7EC501" w14:textId="32538450" w:rsidR="00F66E13" w:rsidRPr="00F66E13" w:rsidRDefault="00F66E13" w:rsidP="004979C3">
            <w:pPr>
              <w:keepNext/>
              <w:spacing w:before="40" w:after="40"/>
              <w:jc w:val="left"/>
              <w:rPr>
                <w:rFonts w:cs="Arial"/>
                <w:sz w:val="18"/>
                <w:szCs w:val="18"/>
                <w:highlight w:val="lightGray"/>
                <w:u w:val="single"/>
              </w:rPr>
            </w:pPr>
            <w:r>
              <w:rPr>
                <w:sz w:val="18"/>
                <w:szCs w:val="18"/>
                <w:highlight w:val="lightGray"/>
                <w:u w:val="single"/>
              </w:rPr>
              <w:t>En el caso de los cruzamientos interespecíficos, se aplican las clases de todas las especies parentales implicadas.</w:t>
            </w:r>
          </w:p>
        </w:tc>
      </w:tr>
      <w:tr w:rsidR="00954ED3" w:rsidRPr="00F66E13" w14:paraId="65BA482E" w14:textId="77777777" w:rsidTr="00954ED3">
        <w:trPr>
          <w:cantSplit/>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2CE5CF23" w14:textId="77777777" w:rsidR="00954ED3" w:rsidRPr="00F66E13" w:rsidRDefault="00954ED3" w:rsidP="004979C3">
            <w:pPr>
              <w:keepNext/>
              <w:spacing w:before="40" w:after="40"/>
              <w:ind w:left="-1529" w:firstLine="1529"/>
              <w:jc w:val="left"/>
              <w:rPr>
                <w:rFonts w:cs="Arial"/>
                <w:sz w:val="18"/>
                <w:szCs w:val="18"/>
                <w:highlight w:val="lightGray"/>
                <w:u w:val="single"/>
              </w:rPr>
            </w:pPr>
            <w:r>
              <w:rPr>
                <w:sz w:val="18"/>
                <w:szCs w:val="18"/>
                <w:highlight w:val="lightGray"/>
                <w:u w:val="single"/>
              </w:rPr>
              <w:t>Nueva clase 6.3</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07482BA3" w14:textId="77777777" w:rsidR="00954ED3" w:rsidRPr="00F66E13" w:rsidRDefault="00954ED3" w:rsidP="004979C3">
            <w:pPr>
              <w:keepNext/>
              <w:spacing w:before="40" w:after="40"/>
              <w:jc w:val="left"/>
              <w:rPr>
                <w:rFonts w:cs="Arial"/>
                <w:sz w:val="18"/>
                <w:szCs w:val="18"/>
                <w:highlight w:val="lightGray"/>
                <w:u w:val="single"/>
              </w:rPr>
            </w:pPr>
            <w:r>
              <w:rPr>
                <w:i/>
                <w:sz w:val="18"/>
                <w:szCs w:val="18"/>
                <w:highlight w:val="lightGray"/>
                <w:u w:val="single"/>
              </w:rPr>
              <w:t>Prunus persica</w:t>
            </w:r>
            <w:r>
              <w:rPr>
                <w:sz w:val="18"/>
                <w:szCs w:val="18"/>
                <w:highlight w:val="lightGray"/>
                <w:u w:val="single"/>
              </w:rPr>
              <w:t xml:space="preserve"> (L.) Batsch.</w:t>
            </w:r>
          </w:p>
          <w:p w14:paraId="76BECF59" w14:textId="77777777" w:rsidR="00954ED3" w:rsidRPr="00AD7BF7" w:rsidRDefault="00954ED3" w:rsidP="004979C3">
            <w:pPr>
              <w:keepNext/>
              <w:spacing w:before="40" w:after="40"/>
              <w:jc w:val="left"/>
              <w:rPr>
                <w:rFonts w:cs="Arial"/>
                <w:sz w:val="18"/>
                <w:szCs w:val="18"/>
                <w:highlight w:val="lightGray"/>
                <w:u w:val="single"/>
                <w:lang w:val="en-US"/>
              </w:rPr>
            </w:pPr>
            <w:r w:rsidRPr="00AD7BF7">
              <w:rPr>
                <w:i/>
                <w:sz w:val="18"/>
                <w:szCs w:val="18"/>
                <w:highlight w:val="lightGray"/>
                <w:u w:val="single"/>
                <w:lang w:val="en-US"/>
              </w:rPr>
              <w:t>Prunus dulcis</w:t>
            </w:r>
            <w:r w:rsidRPr="00AD7BF7">
              <w:rPr>
                <w:sz w:val="18"/>
                <w:szCs w:val="18"/>
                <w:highlight w:val="lightGray"/>
                <w:u w:val="single"/>
                <w:lang w:val="en-US"/>
              </w:rPr>
              <w:t xml:space="preserve"> (Mill.) D. A. Webb</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hideMark/>
          </w:tcPr>
          <w:p w14:paraId="11257FF2" w14:textId="77777777" w:rsidR="00954ED3" w:rsidRPr="00F66E13" w:rsidRDefault="00954ED3" w:rsidP="004979C3">
            <w:pPr>
              <w:keepNext/>
              <w:spacing w:before="40" w:after="40"/>
              <w:jc w:val="left"/>
              <w:rPr>
                <w:rFonts w:cs="Arial"/>
                <w:sz w:val="18"/>
                <w:szCs w:val="18"/>
                <w:highlight w:val="lightGray"/>
                <w:u w:val="single"/>
              </w:rPr>
            </w:pPr>
            <w:r>
              <w:rPr>
                <w:sz w:val="18"/>
                <w:szCs w:val="18"/>
                <w:highlight w:val="lightGray"/>
                <w:u w:val="single"/>
              </w:rPr>
              <w:t>PRUNU_PER</w:t>
            </w:r>
          </w:p>
          <w:p w14:paraId="04D53800" w14:textId="77777777" w:rsidR="00954ED3" w:rsidRPr="00F66E13" w:rsidRDefault="00954ED3" w:rsidP="004979C3">
            <w:pPr>
              <w:keepNext/>
              <w:spacing w:before="40" w:after="40"/>
              <w:jc w:val="left"/>
              <w:rPr>
                <w:rFonts w:cs="Arial"/>
                <w:sz w:val="18"/>
                <w:szCs w:val="18"/>
                <w:highlight w:val="lightGray"/>
                <w:u w:val="single"/>
              </w:rPr>
            </w:pPr>
            <w:r>
              <w:rPr>
                <w:sz w:val="18"/>
                <w:szCs w:val="18"/>
                <w:highlight w:val="lightGray"/>
                <w:u w:val="single"/>
              </w:rPr>
              <w:t>PRUNU_DUL</w:t>
            </w:r>
          </w:p>
          <w:p w14:paraId="66AA2F11" w14:textId="13ABBFA3" w:rsidR="00F66E13" w:rsidRPr="00F66E13" w:rsidRDefault="00F66E13" w:rsidP="004979C3">
            <w:pPr>
              <w:keepNext/>
              <w:spacing w:before="40" w:after="40"/>
              <w:jc w:val="left"/>
              <w:rPr>
                <w:rFonts w:cs="Arial"/>
                <w:sz w:val="18"/>
                <w:szCs w:val="18"/>
                <w:highlight w:val="lightGray"/>
                <w:u w:val="single"/>
              </w:rPr>
            </w:pPr>
            <w:r>
              <w:rPr>
                <w:sz w:val="18"/>
                <w:szCs w:val="18"/>
                <w:highlight w:val="lightGray"/>
                <w:u w:val="single"/>
              </w:rPr>
              <w:t>En el caso de los cruzamientos interespecíficos, se aplican las clases de todas las especies parentales implicadas.</w:t>
            </w:r>
          </w:p>
        </w:tc>
      </w:tr>
      <w:tr w:rsidR="00954ED3" w:rsidRPr="00F66E13" w14:paraId="291D191B" w14:textId="77777777" w:rsidTr="00954ED3">
        <w:trPr>
          <w:cantSplit/>
          <w:trHeight w:val="1056"/>
        </w:trPr>
        <w:tc>
          <w:tcPr>
            <w:tcW w:w="141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366FF5C3" w14:textId="77777777" w:rsidR="00954ED3" w:rsidRPr="00F66E13" w:rsidRDefault="00954ED3" w:rsidP="00954ED3">
            <w:pPr>
              <w:keepNext/>
              <w:spacing w:before="40" w:after="40"/>
              <w:ind w:left="-1529" w:firstLine="1529"/>
              <w:jc w:val="left"/>
              <w:rPr>
                <w:rFonts w:cs="Arial"/>
                <w:sz w:val="18"/>
                <w:szCs w:val="18"/>
                <w:highlight w:val="lightGray"/>
                <w:u w:val="single"/>
              </w:rPr>
            </w:pPr>
            <w:r>
              <w:rPr>
                <w:sz w:val="18"/>
                <w:szCs w:val="18"/>
                <w:highlight w:val="lightGray"/>
                <w:u w:val="single"/>
              </w:rPr>
              <w:t>Nueva clase 6.4</w:t>
            </w:r>
          </w:p>
        </w:tc>
        <w:tc>
          <w:tcPr>
            <w:tcW w:w="5528"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003406A5" w14:textId="0BCDB78F" w:rsidR="00954ED3" w:rsidRPr="00F66E13" w:rsidRDefault="00954ED3" w:rsidP="00954ED3">
            <w:pPr>
              <w:keepNext/>
              <w:spacing w:before="40" w:after="40"/>
              <w:jc w:val="left"/>
              <w:rPr>
                <w:rFonts w:cs="Arial"/>
                <w:sz w:val="18"/>
                <w:szCs w:val="18"/>
                <w:highlight w:val="lightGray"/>
                <w:u w:val="single"/>
              </w:rPr>
            </w:pPr>
            <w:r>
              <w:rPr>
                <w:i/>
                <w:sz w:val="18"/>
                <w:szCs w:val="18"/>
                <w:highlight w:val="lightGray"/>
                <w:u w:val="single"/>
              </w:rPr>
              <w:t>Prunus</w:t>
            </w:r>
            <w:r>
              <w:rPr>
                <w:sz w:val="18"/>
                <w:szCs w:val="18"/>
                <w:highlight w:val="lightGray"/>
                <w:u w:val="single"/>
              </w:rPr>
              <w:t xml:space="preserve"> a excepción de las clases</w:t>
            </w:r>
            <w:r w:rsidR="00CC17C0">
              <w:rPr>
                <w:sz w:val="18"/>
                <w:szCs w:val="18"/>
                <w:highlight w:val="lightGray"/>
                <w:u w:val="single"/>
              </w:rPr>
              <w:t> </w:t>
            </w:r>
            <w:r>
              <w:rPr>
                <w:sz w:val="18"/>
                <w:szCs w:val="18"/>
                <w:highlight w:val="lightGray"/>
                <w:u w:val="single"/>
              </w:rPr>
              <w:t>6.1, 6.2 y</w:t>
            </w:r>
            <w:r w:rsidR="00CC17C0">
              <w:rPr>
                <w:sz w:val="18"/>
                <w:szCs w:val="18"/>
                <w:highlight w:val="lightGray"/>
                <w:u w:val="single"/>
              </w:rPr>
              <w:t> </w:t>
            </w:r>
            <w:r>
              <w:rPr>
                <w:sz w:val="18"/>
                <w:szCs w:val="18"/>
                <w:highlight w:val="lightGray"/>
                <w:u w:val="single"/>
              </w:rPr>
              <w:t>6.3, incluido PRUNU en más de una clase.</w:t>
            </w:r>
          </w:p>
        </w:tc>
        <w:tc>
          <w:tcPr>
            <w:tcW w:w="2693" w:type="dxa"/>
            <w:tcBorders>
              <w:top w:val="single" w:sz="4" w:space="0" w:color="auto"/>
              <w:left w:val="single" w:sz="4" w:space="0" w:color="auto"/>
              <w:bottom w:val="single" w:sz="4" w:space="0" w:color="auto"/>
              <w:right w:val="single" w:sz="4" w:space="0" w:color="auto"/>
            </w:tcBorders>
            <w:tcMar>
              <w:top w:w="0" w:type="dxa"/>
              <w:left w:w="56" w:type="dxa"/>
              <w:bottom w:w="0" w:type="dxa"/>
              <w:right w:w="56" w:type="dxa"/>
            </w:tcMar>
            <w:vAlign w:val="center"/>
            <w:hideMark/>
          </w:tcPr>
          <w:p w14:paraId="66EFA262" w14:textId="299F52AE" w:rsidR="00954ED3" w:rsidRPr="00F66E13" w:rsidRDefault="00954ED3" w:rsidP="00954ED3">
            <w:pPr>
              <w:jc w:val="left"/>
              <w:rPr>
                <w:rFonts w:cs="Arial"/>
                <w:sz w:val="18"/>
                <w:szCs w:val="18"/>
                <w:highlight w:val="lightGray"/>
                <w:u w:val="single"/>
              </w:rPr>
            </w:pPr>
            <w:r>
              <w:rPr>
                <w:sz w:val="18"/>
                <w:szCs w:val="18"/>
                <w:highlight w:val="lightGray"/>
                <w:u w:val="single"/>
              </w:rPr>
              <w:t>a excepción de las clases</w:t>
            </w:r>
            <w:r w:rsidR="00CC17C0">
              <w:rPr>
                <w:sz w:val="18"/>
                <w:szCs w:val="18"/>
                <w:highlight w:val="lightGray"/>
                <w:u w:val="single"/>
              </w:rPr>
              <w:t> </w:t>
            </w:r>
            <w:r>
              <w:rPr>
                <w:sz w:val="18"/>
                <w:szCs w:val="18"/>
                <w:highlight w:val="lightGray"/>
                <w:u w:val="single"/>
              </w:rPr>
              <w:t>6.1, 6.2 y</w:t>
            </w:r>
            <w:r w:rsidR="00CC17C0">
              <w:rPr>
                <w:sz w:val="18"/>
                <w:szCs w:val="18"/>
                <w:highlight w:val="lightGray"/>
                <w:u w:val="single"/>
              </w:rPr>
              <w:t> </w:t>
            </w:r>
            <w:r>
              <w:rPr>
                <w:sz w:val="18"/>
                <w:szCs w:val="18"/>
                <w:highlight w:val="lightGray"/>
                <w:u w:val="single"/>
              </w:rPr>
              <w:t xml:space="preserve">6.3, incluido PRUNU en más de una clase.  </w:t>
            </w:r>
          </w:p>
        </w:tc>
      </w:tr>
    </w:tbl>
    <w:p w14:paraId="5C58E6B7" w14:textId="77777777" w:rsidR="006232E9" w:rsidRPr="0088502A" w:rsidRDefault="006232E9" w:rsidP="00C93BCB">
      <w:pPr>
        <w:rPr>
          <w:i/>
        </w:rPr>
      </w:pPr>
    </w:p>
    <w:p w14:paraId="60B33B1D" w14:textId="07021AC4" w:rsidR="004C4A5A" w:rsidRPr="0088502A" w:rsidRDefault="003415AF" w:rsidP="00C93BCB">
      <w:r>
        <w:fldChar w:fldCharType="begin"/>
      </w:r>
      <w:r>
        <w:instrText xml:space="preserve"> LISTNUM  LegalDefault \l 1 </w:instrText>
      </w:r>
      <w:r>
        <w:fldChar w:fldCharType="end"/>
      </w:r>
      <w:r>
        <w:tab/>
        <w:t xml:space="preserve"> Cabe señalar que con este planteamiento sería necesario que las denominaciones de los híbridos interespecíficos fueran distintas de las denominaciones de las clases de todas las especies parentales. Ya existe un requisito similar para las variedades identificadas a nivel de género solamente, en los casos en los que la variedad pertenece a una de las clases de denominación recogidas en la Parte</w:t>
      </w:r>
      <w:r w:rsidR="00CC17C0">
        <w:t> </w:t>
      </w:r>
      <w:r>
        <w:t>I: “Clases dentro de un género” de la Lista de clases del documento</w:t>
      </w:r>
      <w:r w:rsidR="00CC17C0">
        <w:t> </w:t>
      </w:r>
      <w:r>
        <w:t>UPOV/EXN/DEN.</w:t>
      </w:r>
    </w:p>
    <w:p w14:paraId="336DE04B" w14:textId="77777777" w:rsidR="00FD453B" w:rsidRPr="00C83CED" w:rsidRDefault="00FD453B" w:rsidP="00C93BCB">
      <w:pPr>
        <w:rPr>
          <w:sz w:val="18"/>
        </w:rPr>
      </w:pPr>
    </w:p>
    <w:p w14:paraId="19427AE9" w14:textId="77777777" w:rsidR="004979C3" w:rsidRPr="0088502A" w:rsidRDefault="004979C3" w:rsidP="00C93BCB">
      <w:pPr>
        <w:rPr>
          <w:i/>
          <w:sz w:val="18"/>
        </w:rPr>
      </w:pPr>
    </w:p>
    <w:p w14:paraId="3AD4604A" w14:textId="77777777" w:rsidR="00224706" w:rsidRDefault="00224706">
      <w:pPr>
        <w:jc w:val="left"/>
        <w:rPr>
          <w:u w:val="single"/>
        </w:rPr>
      </w:pPr>
      <w:r>
        <w:br w:type="page"/>
      </w:r>
    </w:p>
    <w:p w14:paraId="0F6846EA" w14:textId="2A3EEC8B" w:rsidR="00247062" w:rsidRPr="00247062" w:rsidRDefault="00247062" w:rsidP="00C93BCB">
      <w:pPr>
        <w:rPr>
          <w:u w:val="single"/>
        </w:rPr>
      </w:pPr>
      <w:r>
        <w:rPr>
          <w:u w:val="single"/>
        </w:rPr>
        <w:lastRenderedPageBreak/>
        <w:t xml:space="preserve">Grupos de variedades de </w:t>
      </w:r>
      <w:r>
        <w:rPr>
          <w:i/>
          <w:iCs/>
          <w:u w:val="single"/>
        </w:rPr>
        <w:t>Beta vulgaris</w:t>
      </w:r>
      <w:r>
        <w:rPr>
          <w:u w:val="single"/>
        </w:rPr>
        <w:t xml:space="preserve"> L. ssp.</w:t>
      </w:r>
      <w:r w:rsidR="00CC17C0">
        <w:rPr>
          <w:u w:val="single"/>
        </w:rPr>
        <w:t> </w:t>
      </w:r>
      <w:r>
        <w:rPr>
          <w:i/>
          <w:iCs/>
          <w:u w:val="single"/>
        </w:rPr>
        <w:t>vulgaris</w:t>
      </w:r>
    </w:p>
    <w:p w14:paraId="476D75A7" w14:textId="77777777" w:rsidR="00247062" w:rsidRPr="0088502A" w:rsidRDefault="00247062" w:rsidP="00C93BCB">
      <w:pPr>
        <w:rPr>
          <w:i/>
          <w:sz w:val="18"/>
        </w:rPr>
      </w:pPr>
    </w:p>
    <w:p w14:paraId="18D8B960" w14:textId="261C0665" w:rsidR="004D2941" w:rsidRPr="0088502A" w:rsidRDefault="003415AF" w:rsidP="004D2941">
      <w:pPr>
        <w:rPr>
          <w:rFonts w:eastAsiaTheme="minorEastAsia"/>
        </w:rPr>
      </w:pPr>
      <w:r>
        <w:fldChar w:fldCharType="begin"/>
      </w:r>
      <w:r>
        <w:instrText xml:space="preserve"> LISTNUM  LegalDefault \l 1 </w:instrText>
      </w:r>
      <w:r>
        <w:fldChar w:fldCharType="end"/>
      </w:r>
      <w:r>
        <w:tab/>
      </w:r>
      <w:r>
        <w:rPr>
          <w:snapToGrid w:val="0"/>
        </w:rPr>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rsidR="008C28DF" w:rsidRPr="0088502A">
        <w:rPr>
          <w:rFonts w:eastAsia="MS Mincho"/>
        </w:rPr>
        <w:fldChar w:fldCharType="begin"/>
      </w:r>
      <w:r w:rsidR="008C28DF" w:rsidRPr="0088502A">
        <w:rPr>
          <w:rFonts w:eastAsia="MS Mincho" w:cs="Arial"/>
          <w:snapToGrid w:val="0"/>
        </w:rPr>
        <w:instrText xml:space="preserve"> NOTEREF _Ref138847310 \f \h </w:instrText>
      </w:r>
      <w:r w:rsidR="008C28DF" w:rsidRPr="0088502A">
        <w:rPr>
          <w:rFonts w:eastAsia="MS Mincho"/>
        </w:rPr>
      </w:r>
      <w:r w:rsidR="008C28DF" w:rsidRPr="0088502A">
        <w:rPr>
          <w:rFonts w:eastAsia="MS Mincho"/>
        </w:rPr>
        <w:fldChar w:fldCharType="end"/>
      </w:r>
      <w:r>
        <w:rPr>
          <w:snapToGrid w:val="0"/>
        </w:rPr>
        <w:t>, el</w:t>
      </w:r>
      <w:r w:rsidR="001A7BBA">
        <w:rPr>
          <w:snapToGrid w:val="0"/>
        </w:rPr>
        <w:t> </w:t>
      </w:r>
      <w:r>
        <w:rPr>
          <w:snapToGrid w:val="0"/>
        </w:rPr>
        <w:t>TC convino en invitar al</w:t>
      </w:r>
      <w:r w:rsidR="001A7BBA">
        <w:rPr>
          <w:snapToGrid w:val="0"/>
        </w:rPr>
        <w:t> </w:t>
      </w:r>
      <w:r>
        <w:rPr>
          <w:snapToGrid w:val="0"/>
        </w:rPr>
        <w:t>TWA y al</w:t>
      </w:r>
      <w:r w:rsidR="001A7BBA">
        <w:rPr>
          <w:snapToGrid w:val="0"/>
        </w:rPr>
        <w:t> </w:t>
      </w:r>
      <w:r>
        <w:rPr>
          <w:snapToGrid w:val="0"/>
        </w:rPr>
        <w:t>TWV a considerar, en sus sesiones de</w:t>
      </w:r>
      <w:r w:rsidR="001A7BBA">
        <w:rPr>
          <w:snapToGrid w:val="0"/>
        </w:rPr>
        <w:t> </w:t>
      </w:r>
      <w:r>
        <w:rPr>
          <w:snapToGrid w:val="0"/>
        </w:rPr>
        <w:t xml:space="preserve">2023, si procede crear grupos de variedades para </w:t>
      </w:r>
      <w:r>
        <w:t>los códigos</w:t>
      </w:r>
      <w:r w:rsidR="001A7BBA">
        <w:t> </w:t>
      </w:r>
      <w:r>
        <w:t xml:space="preserve">UPOV </w:t>
      </w:r>
      <w:r>
        <w:rPr>
          <w:snapToGrid w:val="0"/>
        </w:rPr>
        <w:t xml:space="preserve">de </w:t>
      </w:r>
      <w:r>
        <w:rPr>
          <w:i/>
          <w:snapToGrid w:val="0"/>
        </w:rPr>
        <w:t>Beta</w:t>
      </w:r>
      <w:r w:rsidR="001A7BBA">
        <w:rPr>
          <w:i/>
          <w:snapToGrid w:val="0"/>
        </w:rPr>
        <w:t> </w:t>
      </w:r>
      <w:r>
        <w:rPr>
          <w:i/>
        </w:rPr>
        <w:t xml:space="preserve">vulgaris </w:t>
      </w:r>
      <w:r>
        <w:t>L. ssp</w:t>
      </w:r>
      <w:r>
        <w:rPr>
          <w:i/>
        </w:rPr>
        <w:t>.</w:t>
      </w:r>
      <w:r w:rsidR="001A7BBA">
        <w:rPr>
          <w:i/>
        </w:rPr>
        <w:t> </w:t>
      </w:r>
      <w:r>
        <w:rPr>
          <w:i/>
        </w:rPr>
        <w:t>vulgaris</w:t>
      </w:r>
      <w:r>
        <w:t xml:space="preserve">; </w:t>
      </w:r>
      <w:r>
        <w:rPr>
          <w:snapToGrid w:val="0"/>
        </w:rPr>
        <w:t xml:space="preserve">y si procede suprimir el código UPOV BETAA_VUL_GV para evitar que una variedad </w:t>
      </w:r>
      <w:r>
        <w:t>no pueda asignarse con certeza a ningún grupo de variedades (véanse el párrafo</w:t>
      </w:r>
      <w:r w:rsidR="001A7BBA">
        <w:t> </w:t>
      </w:r>
      <w:r>
        <w:t>10 del documento</w:t>
      </w:r>
      <w:r w:rsidR="001A7BBA">
        <w:t> </w:t>
      </w:r>
      <w:r>
        <w:t>TC/58/10</w:t>
      </w:r>
      <w:r w:rsidR="00161C0C" w:rsidRPr="00161C0C">
        <w:t xml:space="preserve"> </w:t>
      </w:r>
      <w:r w:rsidR="00161C0C">
        <w:t>“</w:t>
      </w:r>
      <w:r w:rsidR="00161C0C" w:rsidRPr="00161C0C">
        <w:t>Bases de datos de información de la UPOV</w:t>
      </w:r>
      <w:r w:rsidR="00161C0C">
        <w:t>”</w:t>
      </w:r>
      <w:r>
        <w:t xml:space="preserve"> y el párrafo</w:t>
      </w:r>
      <w:r w:rsidR="001A7BBA">
        <w:t> </w:t>
      </w:r>
      <w:r>
        <w:t>72 del documento</w:t>
      </w:r>
      <w:r w:rsidR="001A7BBA">
        <w:t> </w:t>
      </w:r>
      <w:r>
        <w:t>TC/58/31 “Informe”).</w:t>
      </w:r>
    </w:p>
    <w:p w14:paraId="4D4C498D" w14:textId="77777777" w:rsidR="004D2941" w:rsidRPr="0088502A" w:rsidRDefault="004D2941" w:rsidP="004D2941">
      <w:pPr>
        <w:rPr>
          <w:rFonts w:eastAsia="MS Mincho" w:cs="Arial"/>
          <w:snapToGrid w:val="0"/>
        </w:rPr>
      </w:pPr>
    </w:p>
    <w:p w14:paraId="02AE907A" w14:textId="15EF35B0" w:rsidR="004D2941" w:rsidRPr="0088502A" w:rsidRDefault="003415AF" w:rsidP="00FD453B">
      <w:pPr>
        <w:keepNext/>
        <w:keepLines/>
        <w:rPr>
          <w:spacing w:val="-2"/>
        </w:rPr>
      </w:pPr>
      <w:r>
        <w:fldChar w:fldCharType="begin"/>
      </w:r>
      <w:r>
        <w:instrText xml:space="preserve"> LISTNUM  LegalDefault \l 1 </w:instrText>
      </w:r>
      <w:r>
        <w:fldChar w:fldCharType="end"/>
      </w:r>
      <w:r>
        <w:tab/>
        <w:t>En sus sesiones de</w:t>
      </w:r>
      <w:r w:rsidR="001A7BBA">
        <w:t> </w:t>
      </w:r>
      <w:r>
        <w:t>2023, el</w:t>
      </w:r>
      <w:r w:rsidR="001A7BBA">
        <w:t> </w:t>
      </w:r>
      <w:r>
        <w:t>TWV y el</w:t>
      </w:r>
      <w:r w:rsidR="001A7BBA">
        <w:t> </w:t>
      </w:r>
      <w:r>
        <w:t xml:space="preserve">TWA convinieron en crear grupos de variedades para los códigos UPOV de </w:t>
      </w:r>
      <w:r>
        <w:rPr>
          <w:i/>
        </w:rPr>
        <w:t xml:space="preserve">Beta vulgaris </w:t>
      </w:r>
      <w:r>
        <w:t xml:space="preserve">L. ssp. </w:t>
      </w:r>
      <w:r>
        <w:rPr>
          <w:i/>
        </w:rPr>
        <w:t>vulgaris</w:t>
      </w:r>
      <w:r>
        <w:t>, según se expone en el párrafo</w:t>
      </w:r>
      <w:r w:rsidR="001A7BBA">
        <w:t> </w:t>
      </w:r>
      <w:r>
        <w:t>8 del documento</w:t>
      </w:r>
      <w:r w:rsidR="001A7BBA">
        <w:t> </w:t>
      </w:r>
      <w:r>
        <w:t>TWP/7/7 “Bases de datos de información de la</w:t>
      </w:r>
      <w:r w:rsidR="001A7BBA">
        <w:t> </w:t>
      </w:r>
      <w:r>
        <w:t>UPOV” (véanse los párrafos</w:t>
      </w:r>
      <w:r w:rsidR="001A7BBA">
        <w:t> </w:t>
      </w:r>
      <w:r>
        <w:t>40 y</w:t>
      </w:r>
      <w:r w:rsidR="001A7BBA">
        <w:t> </w:t>
      </w:r>
      <w:r>
        <w:t>41 del documento</w:t>
      </w:r>
      <w:r w:rsidR="001A7BBA">
        <w:t> </w:t>
      </w:r>
      <w:r>
        <w:t xml:space="preserve">TWV/57/26 </w:t>
      </w:r>
      <w:r>
        <w:rPr>
          <w:i/>
        </w:rPr>
        <w:t>“Report”</w:t>
      </w:r>
      <w:r>
        <w:t xml:space="preserve"> (informe) y los párrafos</w:t>
      </w:r>
      <w:r w:rsidR="001A7BBA">
        <w:t> </w:t>
      </w:r>
      <w:r>
        <w:t>31 y</w:t>
      </w:r>
      <w:r w:rsidR="001A7BBA">
        <w:t> </w:t>
      </w:r>
      <w:r>
        <w:t>32 del documento</w:t>
      </w:r>
      <w:r w:rsidR="001A7BBA">
        <w:t> </w:t>
      </w:r>
      <w:r>
        <w:t xml:space="preserve">TWA/52/11 </w:t>
      </w:r>
      <w:r>
        <w:rPr>
          <w:i/>
        </w:rPr>
        <w:t>“Report”</w:t>
      </w:r>
      <w:r>
        <w:t xml:space="preserve"> (informe)).</w:t>
      </w:r>
    </w:p>
    <w:p w14:paraId="7DE93B29" w14:textId="77777777" w:rsidR="004D2941" w:rsidRPr="0088502A" w:rsidRDefault="004D2941" w:rsidP="004D2941">
      <w:pPr>
        <w:spacing w:line="240" w:lineRule="atLeast"/>
        <w:rPr>
          <w:rFonts w:cs="Maiandra GD"/>
          <w:snapToGrid w:val="0"/>
          <w:color w:val="000000"/>
          <w:szCs w:val="18"/>
          <w:lang w:eastAsia="nl-NL"/>
        </w:rPr>
      </w:pPr>
    </w:p>
    <w:p w14:paraId="778F7F7E" w14:textId="4D20FAB6" w:rsidR="004D2941" w:rsidRPr="0088502A" w:rsidRDefault="003415AF" w:rsidP="004D2941">
      <w:r>
        <w:fldChar w:fldCharType="begin"/>
      </w:r>
      <w:r>
        <w:instrText xml:space="preserve"> LISTNUM  LegalDefault \l 1 </w:instrText>
      </w:r>
      <w:r>
        <w:fldChar w:fldCharType="end"/>
      </w:r>
      <w:r>
        <w:tab/>
      </w:r>
      <w:r>
        <w:rPr>
          <w:snapToGrid w:val="0"/>
          <w:color w:val="000000"/>
          <w:szCs w:val="18"/>
        </w:rPr>
        <w:t>El</w:t>
      </w:r>
      <w:r w:rsidR="001A7BBA">
        <w:rPr>
          <w:snapToGrid w:val="0"/>
          <w:color w:val="000000"/>
          <w:szCs w:val="18"/>
        </w:rPr>
        <w:t> </w:t>
      </w:r>
      <w:r>
        <w:rPr>
          <w:snapToGrid w:val="0"/>
          <w:color w:val="000000"/>
          <w:szCs w:val="18"/>
        </w:rPr>
        <w:t>TWA acordó con el</w:t>
      </w:r>
      <w:r w:rsidR="001A7BBA">
        <w:rPr>
          <w:snapToGrid w:val="0"/>
          <w:color w:val="000000"/>
          <w:szCs w:val="18"/>
        </w:rPr>
        <w:t> </w:t>
      </w:r>
      <w:r>
        <w:rPr>
          <w:snapToGrid w:val="0"/>
          <w:color w:val="000000"/>
          <w:szCs w:val="18"/>
        </w:rPr>
        <w:t xml:space="preserve">TWV proponer que se nombre a los grupos de variedades de </w:t>
      </w:r>
      <w:r>
        <w:rPr>
          <w:i/>
          <w:snapToGrid w:val="0"/>
          <w:color w:val="000000"/>
          <w:szCs w:val="18"/>
        </w:rPr>
        <w:t>Beta</w:t>
      </w:r>
      <w:r w:rsidR="001A7BBA">
        <w:rPr>
          <w:i/>
          <w:snapToGrid w:val="0"/>
          <w:color w:val="000000"/>
          <w:szCs w:val="18"/>
        </w:rPr>
        <w:t> </w:t>
      </w:r>
      <w:r>
        <w:rPr>
          <w:i/>
          <w:snapToGrid w:val="0"/>
          <w:color w:val="000000"/>
          <w:szCs w:val="18"/>
        </w:rPr>
        <w:t>vulgaris</w:t>
      </w:r>
      <w:r>
        <w:rPr>
          <w:snapToGrid w:val="0"/>
          <w:color w:val="000000"/>
          <w:szCs w:val="18"/>
        </w:rPr>
        <w:t xml:space="preserve"> ssp.</w:t>
      </w:r>
      <w:r w:rsidR="001A7BBA">
        <w:rPr>
          <w:snapToGrid w:val="0"/>
          <w:color w:val="000000"/>
          <w:szCs w:val="18"/>
        </w:rPr>
        <w:t> </w:t>
      </w:r>
      <w:r>
        <w:rPr>
          <w:i/>
          <w:snapToGrid w:val="0"/>
          <w:color w:val="000000"/>
          <w:szCs w:val="18"/>
        </w:rPr>
        <w:t>vulgaris</w:t>
      </w:r>
      <w:r>
        <w:rPr>
          <w:snapToGrid w:val="0"/>
          <w:color w:val="000000"/>
          <w:szCs w:val="18"/>
        </w:rPr>
        <w:t>, remolacha forrajera, remolacha de mesa, acelga y remolacha azucarera, como sigue:</w:t>
      </w:r>
    </w:p>
    <w:p w14:paraId="571AEF65" w14:textId="77777777" w:rsidR="001F666F" w:rsidRPr="0088502A" w:rsidRDefault="001F666F" w:rsidP="009236D6">
      <w:pPr>
        <w:rPr>
          <w:rFonts w:cs="Maiandra GD"/>
          <w:color w:val="000000"/>
          <w:sz w:val="16"/>
          <w:szCs w:val="18"/>
          <w:lang w:eastAsia="nl-NL"/>
        </w:rPr>
      </w:pPr>
    </w:p>
    <w:p w14:paraId="3F5EE1D0" w14:textId="5C70232E" w:rsidR="006232E9" w:rsidRPr="0088502A" w:rsidRDefault="006232E9" w:rsidP="00ED0359">
      <w:pPr>
        <w:spacing w:line="240" w:lineRule="atLeast"/>
        <w:ind w:left="567"/>
        <w:jc w:val="left"/>
        <w:rPr>
          <w:rFonts w:cs="Maiandra GD"/>
          <w:color w:val="000000"/>
          <w:sz w:val="18"/>
          <w:szCs w:val="18"/>
        </w:rPr>
      </w:pPr>
      <w:r>
        <w:rPr>
          <w:color w:val="000000"/>
          <w:sz w:val="18"/>
          <w:szCs w:val="18"/>
          <w:u w:val="single"/>
        </w:rPr>
        <w:t xml:space="preserve">Propuesta de grupos de variedades de </w:t>
      </w:r>
      <w:r>
        <w:rPr>
          <w:i/>
          <w:color w:val="000000"/>
          <w:sz w:val="18"/>
          <w:szCs w:val="18"/>
          <w:u w:val="single"/>
        </w:rPr>
        <w:t>Beta</w:t>
      </w:r>
      <w:r w:rsidR="001A7BBA">
        <w:rPr>
          <w:i/>
          <w:color w:val="000000"/>
          <w:sz w:val="18"/>
          <w:szCs w:val="18"/>
          <w:u w:val="single"/>
        </w:rPr>
        <w:t> </w:t>
      </w:r>
      <w:r>
        <w:rPr>
          <w:i/>
          <w:color w:val="000000"/>
          <w:sz w:val="18"/>
          <w:szCs w:val="18"/>
          <w:u w:val="single"/>
        </w:rPr>
        <w:t xml:space="preserve">vulgaris </w:t>
      </w:r>
      <w:r>
        <w:rPr>
          <w:color w:val="000000"/>
          <w:sz w:val="18"/>
          <w:szCs w:val="18"/>
          <w:u w:val="single"/>
        </w:rPr>
        <w:t>ssp</w:t>
      </w:r>
      <w:r>
        <w:rPr>
          <w:i/>
          <w:color w:val="000000"/>
          <w:sz w:val="18"/>
          <w:szCs w:val="18"/>
          <w:u w:val="single"/>
        </w:rPr>
        <w:t>. vulgaris</w:t>
      </w:r>
    </w:p>
    <w:p w14:paraId="3609C686" w14:textId="77777777" w:rsidR="006232E9" w:rsidRPr="0088502A" w:rsidRDefault="006232E9" w:rsidP="00ED0359">
      <w:pPr>
        <w:ind w:left="567"/>
        <w:rPr>
          <w:sz w:val="18"/>
        </w:rPr>
      </w:pPr>
    </w:p>
    <w:tbl>
      <w:tblPr>
        <w:tblStyle w:val="TableGrid"/>
        <w:tblW w:w="8642" w:type="dxa"/>
        <w:tblInd w:w="567" w:type="dxa"/>
        <w:tblLook w:val="04A0" w:firstRow="1" w:lastRow="0" w:firstColumn="1" w:lastColumn="0" w:noHBand="0" w:noVBand="1"/>
      </w:tblPr>
      <w:tblGrid>
        <w:gridCol w:w="1615"/>
        <w:gridCol w:w="7027"/>
      </w:tblGrid>
      <w:tr w:rsidR="00291CFD" w:rsidRPr="0088502A" w14:paraId="4888BAC4" w14:textId="77777777" w:rsidTr="009236D6">
        <w:trPr>
          <w:tblHeader/>
        </w:trPr>
        <w:tc>
          <w:tcPr>
            <w:tcW w:w="1615" w:type="dxa"/>
          </w:tcPr>
          <w:p w14:paraId="3011D3FA" w14:textId="77777777" w:rsidR="00291CFD" w:rsidRPr="0088502A" w:rsidRDefault="00291CFD" w:rsidP="004D2941">
            <w:pPr>
              <w:jc w:val="left"/>
              <w:rPr>
                <w:rFonts w:cs="Maiandra GD"/>
                <w:snapToGrid w:val="0"/>
                <w:color w:val="000000"/>
                <w:sz w:val="16"/>
                <w:szCs w:val="18"/>
              </w:rPr>
            </w:pPr>
            <w:r>
              <w:rPr>
                <w:snapToGrid w:val="0"/>
                <w:color w:val="000000"/>
                <w:sz w:val="16"/>
                <w:szCs w:val="18"/>
              </w:rPr>
              <w:t xml:space="preserve">Código UPOV </w:t>
            </w:r>
          </w:p>
        </w:tc>
        <w:tc>
          <w:tcPr>
            <w:tcW w:w="7027" w:type="dxa"/>
          </w:tcPr>
          <w:p w14:paraId="36FDFABB" w14:textId="77777777" w:rsidR="00291CFD" w:rsidRPr="0088502A" w:rsidRDefault="001E648C" w:rsidP="004D2941">
            <w:pPr>
              <w:jc w:val="left"/>
              <w:rPr>
                <w:rFonts w:cs="Maiandra GD"/>
                <w:snapToGrid w:val="0"/>
                <w:color w:val="000000"/>
                <w:sz w:val="16"/>
                <w:szCs w:val="18"/>
              </w:rPr>
            </w:pPr>
            <w:r>
              <w:rPr>
                <w:snapToGrid w:val="0"/>
                <w:color w:val="000000"/>
                <w:sz w:val="16"/>
                <w:szCs w:val="18"/>
              </w:rPr>
              <w:t>NOMBRE BOTÁNICO CON GRUPO DE VARIEDAD Y OTROS NOMBRES BOTÁNICOS</w:t>
            </w:r>
          </w:p>
        </w:tc>
      </w:tr>
      <w:tr w:rsidR="00291CFD" w:rsidRPr="009C58B2" w14:paraId="58612FFC" w14:textId="77777777" w:rsidTr="00291CFD">
        <w:tc>
          <w:tcPr>
            <w:tcW w:w="1615" w:type="dxa"/>
          </w:tcPr>
          <w:p w14:paraId="4071BB15" w14:textId="77777777" w:rsidR="00291CFD" w:rsidRPr="0088502A" w:rsidRDefault="00291CFD" w:rsidP="004979C3">
            <w:pPr>
              <w:jc w:val="left"/>
              <w:rPr>
                <w:rFonts w:cs="Maiandra GD"/>
                <w:iCs/>
                <w:color w:val="000000"/>
                <w:sz w:val="16"/>
                <w:szCs w:val="16"/>
              </w:rPr>
            </w:pPr>
            <w:r>
              <w:rPr>
                <w:iCs/>
                <w:color w:val="000000"/>
                <w:sz w:val="16"/>
                <w:szCs w:val="16"/>
              </w:rPr>
              <w:t>BETAA_VUL_GVA</w:t>
            </w:r>
          </w:p>
        </w:tc>
        <w:tc>
          <w:tcPr>
            <w:tcW w:w="7027" w:type="dxa"/>
          </w:tcPr>
          <w:p w14:paraId="6622F236" w14:textId="77777777" w:rsidR="00291CFD" w:rsidRPr="0088502A" w:rsidRDefault="00291CFD" w:rsidP="004979C3">
            <w:pPr>
              <w:jc w:val="left"/>
              <w:rPr>
                <w:rFonts w:cs="Maiandra GD"/>
                <w:b/>
                <w:iCs/>
                <w:color w:val="000000"/>
                <w:sz w:val="16"/>
                <w:szCs w:val="16"/>
              </w:rPr>
            </w:pPr>
            <w:r>
              <w:rPr>
                <w:b/>
                <w:i/>
                <w:iCs/>
                <w:color w:val="000000"/>
                <w:sz w:val="16"/>
                <w:szCs w:val="16"/>
              </w:rPr>
              <w:t>Beta vulgaris</w:t>
            </w:r>
            <w:r>
              <w:rPr>
                <w:b/>
                <w:iCs/>
                <w:color w:val="000000"/>
                <w:sz w:val="16"/>
                <w:szCs w:val="16"/>
              </w:rPr>
              <w:t xml:space="preserve"> L. (grupo de la remolacha forrajera)</w:t>
            </w:r>
          </w:p>
          <w:p w14:paraId="65B2FCCC" w14:textId="77777777" w:rsidR="00291CFD" w:rsidRPr="00AD7BF7" w:rsidRDefault="00291CFD" w:rsidP="004979C3">
            <w:pPr>
              <w:jc w:val="left"/>
              <w:rPr>
                <w:rFonts w:cs="Maiandra GD"/>
                <w:iCs/>
                <w:color w:val="000000"/>
                <w:sz w:val="16"/>
                <w:szCs w:val="16"/>
              </w:rPr>
            </w:pPr>
          </w:p>
          <w:p w14:paraId="1E990FA1" w14:textId="77777777" w:rsidR="00FE666F" w:rsidRPr="00D94A07" w:rsidRDefault="00FE666F" w:rsidP="004979C3">
            <w:pPr>
              <w:jc w:val="left"/>
              <w:rPr>
                <w:rFonts w:cs="Maiandra GD"/>
                <w:iCs/>
                <w:color w:val="000000"/>
                <w:sz w:val="16"/>
                <w:szCs w:val="16"/>
              </w:rPr>
            </w:pPr>
            <w:r>
              <w:rPr>
                <w:iCs/>
                <w:color w:val="000000"/>
                <w:sz w:val="16"/>
                <w:szCs w:val="16"/>
              </w:rPr>
              <w:t>Otros nombres botánicos:</w:t>
            </w:r>
          </w:p>
          <w:p w14:paraId="70F94E14"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alba</w:t>
            </w:r>
            <w:r>
              <w:rPr>
                <w:iCs/>
                <w:color w:val="000000"/>
                <w:sz w:val="16"/>
                <w:szCs w:val="16"/>
              </w:rPr>
              <w:t xml:space="preserve"> DC.</w:t>
            </w:r>
          </w:p>
          <w:p w14:paraId="2735571E"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crassa</w:t>
            </w:r>
            <w:r>
              <w:rPr>
                <w:iCs/>
                <w:color w:val="000000"/>
                <w:sz w:val="16"/>
                <w:szCs w:val="16"/>
              </w:rPr>
              <w:t xml:space="preserve"> Alef.; </w:t>
            </w:r>
          </w:p>
          <w:p w14:paraId="445BEB7F"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crassa</w:t>
            </w:r>
            <w:r>
              <w:rPr>
                <w:iCs/>
                <w:color w:val="000000"/>
                <w:sz w:val="16"/>
                <w:szCs w:val="16"/>
              </w:rPr>
              <w:t xml:space="preserve"> Mansf.; </w:t>
            </w:r>
          </w:p>
          <w:p w14:paraId="15663990"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rapacea</w:t>
            </w:r>
            <w:r>
              <w:rPr>
                <w:iCs/>
                <w:color w:val="000000"/>
                <w:sz w:val="16"/>
                <w:szCs w:val="16"/>
              </w:rPr>
              <w:t xml:space="preserve"> K. Koch</w:t>
            </w:r>
          </w:p>
          <w:p w14:paraId="0DBAF54C" w14:textId="77777777" w:rsidR="00C90618" w:rsidRPr="00D94A07" w:rsidRDefault="00C90618" w:rsidP="004979C3">
            <w:pPr>
              <w:jc w:val="left"/>
              <w:rPr>
                <w:rFonts w:cs="Maiandra GD"/>
                <w:iCs/>
                <w:color w:val="000000"/>
                <w:sz w:val="16"/>
                <w:szCs w:val="16"/>
                <w:lang w:val="pt-BR"/>
              </w:rPr>
            </w:pPr>
          </w:p>
        </w:tc>
      </w:tr>
      <w:tr w:rsidR="00291CFD" w:rsidRPr="009C58B2" w14:paraId="54D5D3C4" w14:textId="77777777" w:rsidTr="00291CFD">
        <w:tc>
          <w:tcPr>
            <w:tcW w:w="1615" w:type="dxa"/>
          </w:tcPr>
          <w:p w14:paraId="237ACC69" w14:textId="77777777" w:rsidR="00291CFD" w:rsidRPr="0088502A" w:rsidRDefault="00291CFD" w:rsidP="004979C3">
            <w:pPr>
              <w:jc w:val="left"/>
              <w:rPr>
                <w:rFonts w:cs="Maiandra GD"/>
                <w:iCs/>
                <w:color w:val="000000"/>
                <w:sz w:val="16"/>
                <w:szCs w:val="16"/>
              </w:rPr>
            </w:pPr>
            <w:r>
              <w:rPr>
                <w:iCs/>
                <w:color w:val="000000"/>
                <w:sz w:val="16"/>
                <w:szCs w:val="16"/>
              </w:rPr>
              <w:t>BETAA_VUL_GVC</w:t>
            </w:r>
          </w:p>
        </w:tc>
        <w:tc>
          <w:tcPr>
            <w:tcW w:w="7027" w:type="dxa"/>
          </w:tcPr>
          <w:p w14:paraId="3900A745" w14:textId="278B290D" w:rsidR="00291CFD" w:rsidRPr="0088502A" w:rsidRDefault="00291CFD" w:rsidP="00291CFD">
            <w:pPr>
              <w:jc w:val="left"/>
              <w:rPr>
                <w:rFonts w:cs="Maiandra GD"/>
                <w:b/>
                <w:iCs/>
                <w:color w:val="000000"/>
                <w:sz w:val="16"/>
                <w:szCs w:val="16"/>
              </w:rPr>
            </w:pPr>
            <w:r>
              <w:rPr>
                <w:b/>
                <w:i/>
                <w:iCs/>
                <w:color w:val="000000"/>
                <w:sz w:val="16"/>
                <w:szCs w:val="16"/>
              </w:rPr>
              <w:t>Beta vulgaris</w:t>
            </w:r>
            <w:r>
              <w:rPr>
                <w:b/>
                <w:iCs/>
                <w:color w:val="000000"/>
                <w:sz w:val="16"/>
                <w:szCs w:val="16"/>
              </w:rPr>
              <w:t xml:space="preserve"> L. (grupo de la remolacha de mesa)</w:t>
            </w:r>
          </w:p>
          <w:p w14:paraId="691DD4B6" w14:textId="77777777" w:rsidR="00291CFD" w:rsidRPr="00AD7BF7" w:rsidRDefault="00291CFD" w:rsidP="004979C3">
            <w:pPr>
              <w:jc w:val="left"/>
              <w:rPr>
                <w:rFonts w:cs="Maiandra GD"/>
                <w:iCs/>
                <w:color w:val="000000"/>
                <w:sz w:val="16"/>
                <w:szCs w:val="16"/>
              </w:rPr>
            </w:pPr>
          </w:p>
          <w:p w14:paraId="3876315F" w14:textId="77777777" w:rsidR="00FE666F" w:rsidRPr="00D94A07" w:rsidRDefault="00FE666F" w:rsidP="00FE666F">
            <w:pPr>
              <w:jc w:val="left"/>
              <w:rPr>
                <w:rFonts w:cs="Maiandra GD"/>
                <w:iCs/>
                <w:color w:val="000000"/>
                <w:sz w:val="16"/>
                <w:szCs w:val="16"/>
              </w:rPr>
            </w:pPr>
            <w:r>
              <w:rPr>
                <w:iCs/>
                <w:color w:val="000000"/>
                <w:sz w:val="16"/>
                <w:szCs w:val="16"/>
              </w:rPr>
              <w:t>Otros nombres botánicos:</w:t>
            </w:r>
          </w:p>
          <w:p w14:paraId="2950C887"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color w:val="000000"/>
                <w:sz w:val="16"/>
                <w:szCs w:val="16"/>
              </w:rPr>
              <w:t>vulgaris</w:t>
            </w:r>
            <w:r>
              <w:rPr>
                <w:iCs/>
                <w:color w:val="000000"/>
                <w:sz w:val="16"/>
                <w:szCs w:val="16"/>
              </w:rPr>
              <w:t xml:space="preserve"> var. </w:t>
            </w:r>
            <w:r>
              <w:rPr>
                <w:i/>
                <w:color w:val="000000"/>
                <w:sz w:val="16"/>
                <w:szCs w:val="16"/>
              </w:rPr>
              <w:t>conditiva</w:t>
            </w:r>
            <w:r>
              <w:rPr>
                <w:iCs/>
                <w:color w:val="000000"/>
                <w:sz w:val="16"/>
                <w:szCs w:val="16"/>
              </w:rPr>
              <w:t xml:space="preserve"> Alef.</w:t>
            </w:r>
          </w:p>
          <w:p w14:paraId="1B29B3AB"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color w:val="000000"/>
                <w:sz w:val="16"/>
                <w:szCs w:val="16"/>
              </w:rPr>
              <w:t>vulgaris</w:t>
            </w:r>
            <w:r>
              <w:rPr>
                <w:iCs/>
                <w:color w:val="000000"/>
                <w:sz w:val="16"/>
                <w:szCs w:val="16"/>
              </w:rPr>
              <w:t xml:space="preserve"> var. </w:t>
            </w:r>
            <w:r>
              <w:rPr>
                <w:i/>
                <w:color w:val="000000"/>
                <w:sz w:val="16"/>
                <w:szCs w:val="16"/>
              </w:rPr>
              <w:t>esculenta</w:t>
            </w:r>
            <w:r>
              <w:rPr>
                <w:iCs/>
                <w:color w:val="000000"/>
                <w:sz w:val="16"/>
                <w:szCs w:val="16"/>
              </w:rPr>
              <w:t xml:space="preserve"> L.; </w:t>
            </w:r>
          </w:p>
          <w:p w14:paraId="29DE6BAF" w14:textId="77777777" w:rsidR="00C90618"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color w:val="000000"/>
                <w:sz w:val="16"/>
                <w:szCs w:val="16"/>
              </w:rPr>
              <w:t>vulgaris</w:t>
            </w:r>
            <w:r>
              <w:rPr>
                <w:iCs/>
                <w:color w:val="000000"/>
                <w:sz w:val="16"/>
                <w:szCs w:val="16"/>
              </w:rPr>
              <w:t xml:space="preserve"> var. </w:t>
            </w:r>
            <w:r>
              <w:rPr>
                <w:i/>
                <w:color w:val="000000"/>
                <w:sz w:val="16"/>
                <w:szCs w:val="16"/>
              </w:rPr>
              <w:t>hortensis</w:t>
            </w:r>
          </w:p>
        </w:tc>
      </w:tr>
      <w:tr w:rsidR="00291CFD" w:rsidRPr="009C58B2" w14:paraId="2C68F3FE" w14:textId="77777777" w:rsidTr="00291CFD">
        <w:tc>
          <w:tcPr>
            <w:tcW w:w="1615" w:type="dxa"/>
          </w:tcPr>
          <w:p w14:paraId="2A29F313" w14:textId="77777777" w:rsidR="00291CFD" w:rsidRPr="0088502A" w:rsidRDefault="00291CFD" w:rsidP="004979C3">
            <w:pPr>
              <w:jc w:val="left"/>
              <w:rPr>
                <w:rFonts w:cs="Maiandra GD"/>
                <w:iCs/>
                <w:color w:val="000000"/>
                <w:sz w:val="16"/>
                <w:szCs w:val="16"/>
              </w:rPr>
            </w:pPr>
            <w:r>
              <w:rPr>
                <w:iCs/>
                <w:color w:val="000000"/>
                <w:sz w:val="16"/>
                <w:szCs w:val="16"/>
              </w:rPr>
              <w:t>BETAA_VUL_GVF</w:t>
            </w:r>
          </w:p>
        </w:tc>
        <w:tc>
          <w:tcPr>
            <w:tcW w:w="7027" w:type="dxa"/>
          </w:tcPr>
          <w:p w14:paraId="265EF6D2" w14:textId="6EB19301" w:rsidR="00291CFD" w:rsidRPr="0088502A" w:rsidRDefault="00291CFD" w:rsidP="004979C3">
            <w:pPr>
              <w:jc w:val="left"/>
              <w:rPr>
                <w:rFonts w:cs="Maiandra GD"/>
                <w:b/>
                <w:iCs/>
                <w:color w:val="000000"/>
                <w:sz w:val="16"/>
                <w:szCs w:val="16"/>
              </w:rPr>
            </w:pPr>
            <w:r>
              <w:rPr>
                <w:b/>
                <w:i/>
                <w:iCs/>
                <w:color w:val="000000"/>
                <w:sz w:val="16"/>
                <w:szCs w:val="16"/>
              </w:rPr>
              <w:t>Beta vulgaris</w:t>
            </w:r>
            <w:r>
              <w:rPr>
                <w:b/>
                <w:iCs/>
                <w:color w:val="000000"/>
                <w:sz w:val="16"/>
                <w:szCs w:val="16"/>
              </w:rPr>
              <w:t xml:space="preserve"> L. (grupo de la acelga)</w:t>
            </w:r>
          </w:p>
          <w:p w14:paraId="242FA4BE" w14:textId="77777777" w:rsidR="00291CFD" w:rsidRPr="00AD7BF7" w:rsidRDefault="00291CFD" w:rsidP="004979C3">
            <w:pPr>
              <w:jc w:val="left"/>
              <w:rPr>
                <w:rFonts w:cs="Maiandra GD"/>
                <w:iCs/>
                <w:color w:val="000000"/>
                <w:sz w:val="16"/>
                <w:szCs w:val="16"/>
              </w:rPr>
            </w:pPr>
          </w:p>
          <w:p w14:paraId="52CFC751" w14:textId="77777777" w:rsidR="00FE666F" w:rsidRPr="00D94A07" w:rsidRDefault="00FE666F" w:rsidP="00FE666F">
            <w:pPr>
              <w:jc w:val="left"/>
              <w:rPr>
                <w:rFonts w:cs="Maiandra GD"/>
                <w:iCs/>
                <w:color w:val="000000"/>
                <w:sz w:val="16"/>
                <w:szCs w:val="16"/>
              </w:rPr>
            </w:pPr>
            <w:r>
              <w:rPr>
                <w:iCs/>
                <w:color w:val="000000"/>
                <w:sz w:val="16"/>
                <w:szCs w:val="16"/>
              </w:rPr>
              <w:t>Otros nombres botánicos:</w:t>
            </w:r>
          </w:p>
          <w:p w14:paraId="081E5468"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flavescens</w:t>
            </w:r>
            <w:r>
              <w:rPr>
                <w:iCs/>
                <w:color w:val="000000"/>
                <w:sz w:val="16"/>
                <w:szCs w:val="16"/>
              </w:rPr>
              <w:t xml:space="preserve"> DC. f. crispa</w:t>
            </w:r>
          </w:p>
          <w:p w14:paraId="0E98D56D"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cicla</w:t>
            </w:r>
            <w:r>
              <w:rPr>
                <w:iCs/>
                <w:color w:val="000000"/>
                <w:sz w:val="16"/>
                <w:szCs w:val="16"/>
              </w:rPr>
              <w:t xml:space="preserve"> (L.) Ulrich; </w:t>
            </w:r>
          </w:p>
          <w:p w14:paraId="1840808E" w14:textId="776AD62B" w:rsidR="00291CFD" w:rsidRPr="009E4C89" w:rsidRDefault="00291CFD" w:rsidP="004979C3">
            <w:pPr>
              <w:jc w:val="left"/>
              <w:rPr>
                <w:rFonts w:cs="Maiandra GD"/>
                <w:i/>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vulgaris</w:t>
            </w:r>
          </w:p>
          <w:p w14:paraId="7D9085C6" w14:textId="77777777" w:rsidR="00C90618" w:rsidRPr="009E4C89" w:rsidRDefault="00C90618" w:rsidP="004979C3">
            <w:pPr>
              <w:jc w:val="left"/>
              <w:rPr>
                <w:rFonts w:cs="Maiandra GD"/>
                <w:iCs/>
                <w:color w:val="000000"/>
                <w:sz w:val="16"/>
                <w:szCs w:val="16"/>
                <w:lang w:val="pt-BR"/>
              </w:rPr>
            </w:pPr>
          </w:p>
        </w:tc>
      </w:tr>
      <w:tr w:rsidR="00291CFD" w:rsidRPr="009C58B2" w14:paraId="3F42D065" w14:textId="77777777" w:rsidTr="00291CFD">
        <w:tc>
          <w:tcPr>
            <w:tcW w:w="1615" w:type="dxa"/>
          </w:tcPr>
          <w:p w14:paraId="516522E0" w14:textId="77777777" w:rsidR="00291CFD" w:rsidRPr="0088502A" w:rsidRDefault="00291CFD" w:rsidP="004979C3">
            <w:pPr>
              <w:jc w:val="left"/>
              <w:rPr>
                <w:rFonts w:cs="Maiandra GD"/>
                <w:iCs/>
                <w:color w:val="000000"/>
                <w:sz w:val="16"/>
                <w:szCs w:val="16"/>
              </w:rPr>
            </w:pPr>
            <w:r>
              <w:rPr>
                <w:iCs/>
                <w:color w:val="000000"/>
                <w:sz w:val="16"/>
                <w:szCs w:val="16"/>
              </w:rPr>
              <w:t>BETAA_VUL_GVS</w:t>
            </w:r>
          </w:p>
        </w:tc>
        <w:tc>
          <w:tcPr>
            <w:tcW w:w="7027" w:type="dxa"/>
          </w:tcPr>
          <w:p w14:paraId="2FF7CFC8" w14:textId="42EF43E0" w:rsidR="00291CFD" w:rsidRPr="0088502A" w:rsidRDefault="00291CFD" w:rsidP="004979C3">
            <w:pPr>
              <w:jc w:val="left"/>
              <w:rPr>
                <w:rFonts w:cs="Maiandra GD"/>
                <w:b/>
                <w:iCs/>
                <w:color w:val="000000"/>
                <w:sz w:val="16"/>
                <w:szCs w:val="16"/>
              </w:rPr>
            </w:pPr>
            <w:r>
              <w:rPr>
                <w:b/>
                <w:i/>
                <w:color w:val="000000"/>
                <w:sz w:val="16"/>
                <w:szCs w:val="16"/>
              </w:rPr>
              <w:t>Beta vulgaris</w:t>
            </w:r>
            <w:r>
              <w:rPr>
                <w:b/>
                <w:color w:val="000000"/>
                <w:sz w:val="16"/>
                <w:szCs w:val="16"/>
              </w:rPr>
              <w:t xml:space="preserve"> L. (grupo de la remolacha azucarera)</w:t>
            </w:r>
          </w:p>
          <w:p w14:paraId="50EAEE6B" w14:textId="77777777" w:rsidR="00291CFD" w:rsidRPr="00AD7BF7" w:rsidRDefault="00291CFD" w:rsidP="004979C3">
            <w:pPr>
              <w:jc w:val="left"/>
              <w:rPr>
                <w:rFonts w:cs="Maiandra GD"/>
                <w:iCs/>
                <w:color w:val="000000"/>
                <w:sz w:val="16"/>
                <w:szCs w:val="16"/>
              </w:rPr>
            </w:pPr>
          </w:p>
          <w:p w14:paraId="5FC952A4" w14:textId="77777777" w:rsidR="00FE666F" w:rsidRPr="0088502A" w:rsidRDefault="00FE666F" w:rsidP="00FE666F">
            <w:pPr>
              <w:jc w:val="left"/>
              <w:rPr>
                <w:rFonts w:cs="Maiandra GD"/>
                <w:iCs/>
                <w:color w:val="000000"/>
                <w:sz w:val="16"/>
                <w:szCs w:val="16"/>
              </w:rPr>
            </w:pPr>
            <w:r>
              <w:rPr>
                <w:iCs/>
                <w:color w:val="000000"/>
                <w:sz w:val="16"/>
                <w:szCs w:val="16"/>
              </w:rPr>
              <w:t>Otros nombres botánicos:</w:t>
            </w:r>
          </w:p>
          <w:p w14:paraId="49743A44"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saccharifera</w:t>
            </w:r>
            <w:r>
              <w:rPr>
                <w:iCs/>
                <w:color w:val="000000"/>
                <w:sz w:val="16"/>
                <w:szCs w:val="16"/>
              </w:rPr>
              <w:t xml:space="preserve"> Alef.</w:t>
            </w:r>
          </w:p>
          <w:p w14:paraId="0AEC10A2" w14:textId="77777777" w:rsidR="00291CFD" w:rsidRPr="00D94A07" w:rsidRDefault="00291CFD" w:rsidP="004979C3">
            <w:pPr>
              <w:jc w:val="left"/>
              <w:rPr>
                <w:rFonts w:cs="Maiandra GD"/>
                <w:iCs/>
                <w:color w:val="000000"/>
                <w:sz w:val="16"/>
                <w:szCs w:val="16"/>
              </w:rPr>
            </w:pPr>
            <w:r>
              <w:rPr>
                <w:i/>
                <w:iCs/>
                <w:color w:val="000000"/>
                <w:sz w:val="16"/>
                <w:szCs w:val="16"/>
              </w:rPr>
              <w:t>Beta vulgaris</w:t>
            </w:r>
            <w:r>
              <w:rPr>
                <w:iCs/>
                <w:color w:val="000000"/>
                <w:sz w:val="16"/>
                <w:szCs w:val="16"/>
              </w:rPr>
              <w:t xml:space="preserve"> L. ssp. </w:t>
            </w:r>
            <w:r>
              <w:rPr>
                <w:i/>
                <w:iCs/>
                <w:color w:val="000000"/>
                <w:sz w:val="16"/>
                <w:szCs w:val="16"/>
              </w:rPr>
              <w:t>vulgaris</w:t>
            </w:r>
            <w:r>
              <w:rPr>
                <w:iCs/>
                <w:color w:val="000000"/>
                <w:sz w:val="16"/>
                <w:szCs w:val="16"/>
              </w:rPr>
              <w:t xml:space="preserve"> var. </w:t>
            </w:r>
            <w:r>
              <w:rPr>
                <w:i/>
                <w:iCs/>
                <w:color w:val="000000"/>
                <w:sz w:val="16"/>
                <w:szCs w:val="16"/>
              </w:rPr>
              <w:t>altissima</w:t>
            </w:r>
            <w:r>
              <w:rPr>
                <w:iCs/>
                <w:color w:val="000000"/>
                <w:sz w:val="16"/>
                <w:szCs w:val="16"/>
              </w:rPr>
              <w:t xml:space="preserve"> Doell</w:t>
            </w:r>
          </w:p>
          <w:p w14:paraId="1D46C6BC" w14:textId="77777777" w:rsidR="00FE666F" w:rsidRPr="00D94A07" w:rsidRDefault="00FE666F" w:rsidP="004979C3">
            <w:pPr>
              <w:jc w:val="left"/>
              <w:rPr>
                <w:rFonts w:cs="Maiandra GD"/>
                <w:iCs/>
                <w:color w:val="000000"/>
                <w:sz w:val="16"/>
                <w:szCs w:val="16"/>
                <w:lang w:val="pt-BR"/>
              </w:rPr>
            </w:pPr>
          </w:p>
        </w:tc>
      </w:tr>
    </w:tbl>
    <w:p w14:paraId="01419214" w14:textId="77777777" w:rsidR="006232E9" w:rsidRPr="00D94A07" w:rsidRDefault="006232E9" w:rsidP="006232E9">
      <w:pPr>
        <w:spacing w:line="240" w:lineRule="atLeast"/>
        <w:rPr>
          <w:rFonts w:cs="Maiandra GD"/>
          <w:iCs/>
          <w:color w:val="000000"/>
          <w:szCs w:val="18"/>
          <w:lang w:val="pt-BR" w:eastAsia="nl-NL"/>
        </w:rPr>
      </w:pPr>
    </w:p>
    <w:p w14:paraId="4B8DC582" w14:textId="007EBCB8" w:rsidR="00224706" w:rsidRDefault="00224706">
      <w:pPr>
        <w:jc w:val="left"/>
        <w:rPr>
          <w:rFonts w:cs="Maiandra GD"/>
          <w:iCs/>
          <w:color w:val="000000"/>
          <w:szCs w:val="18"/>
        </w:rPr>
      </w:pPr>
      <w:r>
        <w:br w:type="page"/>
      </w:r>
    </w:p>
    <w:p w14:paraId="6552602F" w14:textId="28E65DC6" w:rsidR="00C805AC" w:rsidRPr="00BB63BF" w:rsidRDefault="00C805AC" w:rsidP="00C805AC">
      <w:pPr>
        <w:rPr>
          <w:i/>
          <w:iCs/>
        </w:rPr>
      </w:pPr>
      <w:r>
        <w:rPr>
          <w:i/>
          <w:iCs/>
        </w:rPr>
        <w:lastRenderedPageBreak/>
        <w:t>Propuesta</w:t>
      </w:r>
      <w:r w:rsidR="001A7BBA">
        <w:rPr>
          <w:i/>
          <w:iCs/>
        </w:rPr>
        <w:t> </w:t>
      </w:r>
      <w:r>
        <w:rPr>
          <w:i/>
          <w:iCs/>
        </w:rPr>
        <w:t xml:space="preserve">3: </w:t>
      </w:r>
      <w:r>
        <w:rPr>
          <w:i/>
          <w:iCs/>
          <w:color w:val="000000"/>
          <w:szCs w:val="18"/>
        </w:rPr>
        <w:t>Grupos de variedades de Beta</w:t>
      </w:r>
      <w:r w:rsidR="00D235EA">
        <w:rPr>
          <w:i/>
          <w:iCs/>
          <w:color w:val="000000"/>
          <w:szCs w:val="18"/>
        </w:rPr>
        <w:t> </w:t>
      </w:r>
      <w:r>
        <w:rPr>
          <w:i/>
          <w:iCs/>
          <w:color w:val="000000"/>
          <w:szCs w:val="18"/>
        </w:rPr>
        <w:t>vulgaris L. ssp. vulgaris</w:t>
      </w:r>
    </w:p>
    <w:p w14:paraId="09037955" w14:textId="77777777" w:rsidR="00C805AC" w:rsidRPr="00C805AC" w:rsidRDefault="00C805AC" w:rsidP="006232E9">
      <w:pPr>
        <w:spacing w:line="240" w:lineRule="atLeast"/>
        <w:rPr>
          <w:rFonts w:cs="Maiandra GD"/>
          <w:iCs/>
          <w:color w:val="000000"/>
          <w:szCs w:val="18"/>
          <w:lang w:eastAsia="nl-NL"/>
        </w:rPr>
      </w:pPr>
    </w:p>
    <w:p w14:paraId="18DEE791" w14:textId="2068A124" w:rsidR="00F8078E" w:rsidRPr="0088502A" w:rsidRDefault="003415AF" w:rsidP="006232E9">
      <w:pPr>
        <w:spacing w:line="240" w:lineRule="atLeast"/>
        <w:rPr>
          <w:rFonts w:cs="Maiandra GD"/>
          <w:iCs/>
          <w:color w:val="000000"/>
          <w:szCs w:val="18"/>
        </w:rPr>
      </w:pPr>
      <w:r>
        <w:fldChar w:fldCharType="begin"/>
      </w:r>
      <w:r>
        <w:instrText xml:space="preserve"> LISTNUM  LegalDefault \l 1 </w:instrText>
      </w:r>
      <w:r>
        <w:fldChar w:fldCharType="end"/>
      </w:r>
      <w:r>
        <w:tab/>
        <w:t xml:space="preserve">Con arreglo a las anteriores propuestas de modificación </w:t>
      </w:r>
      <w:r>
        <w:rPr>
          <w:iCs/>
          <w:color w:val="000000"/>
          <w:szCs w:val="18"/>
        </w:rPr>
        <w:t>de los códigos</w:t>
      </w:r>
      <w:r w:rsidR="00D235EA">
        <w:rPr>
          <w:iCs/>
          <w:color w:val="000000"/>
          <w:szCs w:val="18"/>
        </w:rPr>
        <w:t> </w:t>
      </w:r>
      <w:r>
        <w:rPr>
          <w:iCs/>
          <w:color w:val="000000"/>
          <w:szCs w:val="18"/>
        </w:rPr>
        <w:t xml:space="preserve">UPOV de </w:t>
      </w:r>
      <w:r>
        <w:rPr>
          <w:i/>
          <w:iCs/>
          <w:color w:val="000000"/>
          <w:szCs w:val="18"/>
        </w:rPr>
        <w:t>B.</w:t>
      </w:r>
      <w:r w:rsidR="00D235EA">
        <w:rPr>
          <w:i/>
          <w:iCs/>
          <w:color w:val="000000"/>
          <w:szCs w:val="18"/>
        </w:rPr>
        <w:t> </w:t>
      </w:r>
      <w:r>
        <w:rPr>
          <w:i/>
          <w:iCs/>
          <w:color w:val="000000"/>
          <w:szCs w:val="18"/>
        </w:rPr>
        <w:t>vulgaris</w:t>
      </w:r>
      <w:r>
        <w:rPr>
          <w:iCs/>
          <w:color w:val="000000"/>
          <w:szCs w:val="18"/>
        </w:rPr>
        <w:t xml:space="preserve"> L. se propone modificar el documento</w:t>
      </w:r>
      <w:r w:rsidR="007218BF">
        <w:rPr>
          <w:iCs/>
          <w:color w:val="000000"/>
          <w:szCs w:val="18"/>
        </w:rPr>
        <w:t> </w:t>
      </w:r>
      <w:r>
        <w:rPr>
          <w:iCs/>
          <w:color w:val="000000"/>
          <w:szCs w:val="18"/>
        </w:rPr>
        <w:t xml:space="preserve">UPOV/EXN/DEN como sigue (las adiciones se indican con texto resaltado y </w:t>
      </w:r>
      <w:r>
        <w:rPr>
          <w:iCs/>
          <w:color w:val="000000"/>
          <w:szCs w:val="18"/>
          <w:highlight w:val="lightGray"/>
          <w:u w:val="single"/>
        </w:rPr>
        <w:t>subrayado</w:t>
      </w:r>
      <w:r>
        <w:rPr>
          <w:iCs/>
          <w:color w:val="000000"/>
          <w:szCs w:val="18"/>
        </w:rPr>
        <w:t xml:space="preserve"> y las eliminaciones se indican con texto resaltado y </w:t>
      </w:r>
      <w:r>
        <w:rPr>
          <w:iCs/>
          <w:strike/>
          <w:color w:val="000000"/>
          <w:szCs w:val="18"/>
          <w:highlight w:val="lightGray"/>
        </w:rPr>
        <w:t>tachado</w:t>
      </w:r>
      <w:r>
        <w:rPr>
          <w:iCs/>
          <w:color w:val="000000"/>
          <w:szCs w:val="18"/>
        </w:rPr>
        <w:t>):</w:t>
      </w:r>
    </w:p>
    <w:p w14:paraId="742C03E8" w14:textId="77777777" w:rsidR="00395B96" w:rsidRPr="0088502A" w:rsidRDefault="00395B96" w:rsidP="00157035">
      <w:pPr>
        <w:pStyle w:val="EndnoteText"/>
      </w:pPr>
    </w:p>
    <w:p w14:paraId="0798CF40" w14:textId="77777777" w:rsidR="00157035" w:rsidRPr="0088502A" w:rsidRDefault="00157035" w:rsidP="00157035">
      <w:pPr>
        <w:jc w:val="center"/>
        <w:rPr>
          <w:i/>
        </w:rPr>
      </w:pPr>
      <w:r>
        <w:rPr>
          <w:i/>
        </w:rPr>
        <w:t>Clases dentro de un género</w:t>
      </w:r>
    </w:p>
    <w:p w14:paraId="632797B5" w14:textId="4ED66730" w:rsidR="00395B96" w:rsidRDefault="00395B96" w:rsidP="00157035">
      <w:pPr>
        <w:pStyle w:val="Style1"/>
        <w:tabs>
          <w:tab w:val="clear" w:pos="907"/>
          <w:tab w:val="clear" w:pos="1077"/>
        </w:tabs>
        <w:rPr>
          <w:szCs w:val="20"/>
        </w:rPr>
      </w:pPr>
    </w:p>
    <w:tbl>
      <w:tblPr>
        <w:tblW w:w="964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9"/>
        <w:gridCol w:w="5673"/>
        <w:gridCol w:w="2552"/>
      </w:tblGrid>
      <w:tr w:rsidR="00395B96" w:rsidRPr="0088502A" w14:paraId="409D5DDF" w14:textId="77777777" w:rsidTr="00395B96">
        <w:trPr>
          <w:cantSplit/>
          <w:tblHeader/>
        </w:trPr>
        <w:tc>
          <w:tcPr>
            <w:tcW w:w="1418" w:type="dxa"/>
            <w:shd w:val="clear" w:color="auto" w:fill="D9D9D9" w:themeFill="background1" w:themeFillShade="D9"/>
            <w:vAlign w:val="center"/>
          </w:tcPr>
          <w:p w14:paraId="536B09A8" w14:textId="77777777" w:rsidR="00395B96" w:rsidRPr="0088502A" w:rsidRDefault="00395B96" w:rsidP="00254999">
            <w:pPr>
              <w:spacing w:before="40" w:after="60"/>
              <w:jc w:val="left"/>
              <w:rPr>
                <w:sz w:val="18"/>
                <w:u w:val="single"/>
              </w:rPr>
            </w:pPr>
          </w:p>
        </w:tc>
        <w:tc>
          <w:tcPr>
            <w:tcW w:w="5670" w:type="dxa"/>
            <w:shd w:val="clear" w:color="auto" w:fill="D9D9D9" w:themeFill="background1" w:themeFillShade="D9"/>
            <w:vAlign w:val="center"/>
          </w:tcPr>
          <w:p w14:paraId="4C5E516A" w14:textId="77777777" w:rsidR="00395B96" w:rsidRPr="0088502A" w:rsidRDefault="00395B96" w:rsidP="00254999">
            <w:pPr>
              <w:spacing w:before="40" w:after="60"/>
              <w:jc w:val="center"/>
              <w:rPr>
                <w:sz w:val="18"/>
                <w:u w:val="single"/>
              </w:rPr>
            </w:pPr>
            <w:r>
              <w:rPr>
                <w:sz w:val="18"/>
                <w:u w:val="single"/>
              </w:rPr>
              <w:t>Nombres botánicos</w:t>
            </w:r>
          </w:p>
        </w:tc>
        <w:tc>
          <w:tcPr>
            <w:tcW w:w="2551" w:type="dxa"/>
            <w:shd w:val="clear" w:color="auto" w:fill="D9D9D9" w:themeFill="background1" w:themeFillShade="D9"/>
            <w:vAlign w:val="center"/>
          </w:tcPr>
          <w:p w14:paraId="5966321D" w14:textId="77777777" w:rsidR="00395B96" w:rsidRPr="0088502A" w:rsidRDefault="00395B96" w:rsidP="00254999">
            <w:pPr>
              <w:spacing w:before="40" w:after="60"/>
              <w:jc w:val="center"/>
              <w:rPr>
                <w:sz w:val="18"/>
                <w:u w:val="single"/>
              </w:rPr>
            </w:pPr>
            <w:r>
              <w:rPr>
                <w:sz w:val="18"/>
                <w:u w:val="single"/>
              </w:rPr>
              <w:t>Códigos UPOV</w:t>
            </w:r>
          </w:p>
        </w:tc>
      </w:tr>
      <w:tr w:rsidR="00395B96" w:rsidRPr="00395B96" w14:paraId="4CF584B5" w14:textId="77777777" w:rsidTr="00395B96">
        <w:trPr>
          <w:cantSplit/>
        </w:trPr>
        <w:tc>
          <w:tcPr>
            <w:tcW w:w="1418" w:type="dxa"/>
            <w:tcBorders>
              <w:left w:val="nil"/>
              <w:right w:val="nil"/>
            </w:tcBorders>
          </w:tcPr>
          <w:p w14:paraId="09F318A1" w14:textId="77777777" w:rsidR="00395B96" w:rsidRPr="00395B96" w:rsidRDefault="00395B96" w:rsidP="00395B96">
            <w:pPr>
              <w:jc w:val="left"/>
              <w:rPr>
                <w:rFonts w:eastAsia="MS Mincho"/>
                <w:sz w:val="18"/>
              </w:rPr>
            </w:pPr>
          </w:p>
        </w:tc>
        <w:tc>
          <w:tcPr>
            <w:tcW w:w="5670" w:type="dxa"/>
            <w:tcBorders>
              <w:left w:val="nil"/>
              <w:right w:val="nil"/>
            </w:tcBorders>
          </w:tcPr>
          <w:p w14:paraId="4E047E54" w14:textId="77777777" w:rsidR="00395B96" w:rsidRPr="00395B96" w:rsidRDefault="00395B96" w:rsidP="00395B96">
            <w:pPr>
              <w:jc w:val="left"/>
              <w:rPr>
                <w:rFonts w:eastAsia="MS Mincho"/>
                <w:sz w:val="18"/>
              </w:rPr>
            </w:pPr>
          </w:p>
        </w:tc>
        <w:tc>
          <w:tcPr>
            <w:tcW w:w="2551" w:type="dxa"/>
            <w:tcBorders>
              <w:left w:val="nil"/>
              <w:right w:val="nil"/>
            </w:tcBorders>
          </w:tcPr>
          <w:p w14:paraId="1D6F2BF1" w14:textId="77777777" w:rsidR="00395B96" w:rsidRPr="00395B96" w:rsidRDefault="00395B96" w:rsidP="00395B96">
            <w:pPr>
              <w:jc w:val="left"/>
              <w:rPr>
                <w:rFonts w:eastAsia="MS Mincho"/>
                <w:sz w:val="18"/>
              </w:rPr>
            </w:pPr>
          </w:p>
        </w:tc>
      </w:tr>
      <w:tr w:rsidR="00395B96" w:rsidRPr="009C58B2" w14:paraId="068FDE43" w14:textId="77777777" w:rsidTr="00395B96">
        <w:trPr>
          <w:cantSplit/>
        </w:trPr>
        <w:tc>
          <w:tcPr>
            <w:tcW w:w="1418" w:type="dxa"/>
          </w:tcPr>
          <w:p w14:paraId="01F0EA86" w14:textId="77777777" w:rsidR="00395B96" w:rsidRPr="00395B96" w:rsidRDefault="00395B96" w:rsidP="00395B96">
            <w:pPr>
              <w:spacing w:before="40" w:after="40"/>
              <w:jc w:val="left"/>
              <w:rPr>
                <w:rFonts w:eastAsia="MS Mincho"/>
                <w:sz w:val="18"/>
                <w:szCs w:val="18"/>
              </w:rPr>
            </w:pPr>
            <w:r>
              <w:rPr>
                <w:sz w:val="18"/>
                <w:szCs w:val="18"/>
              </w:rPr>
              <w:t>Clase 2.1</w:t>
            </w:r>
          </w:p>
        </w:tc>
        <w:tc>
          <w:tcPr>
            <w:tcW w:w="5670" w:type="dxa"/>
          </w:tcPr>
          <w:p w14:paraId="520DC518" w14:textId="3E1D446B" w:rsidR="00D630F9" w:rsidRPr="005A2060" w:rsidRDefault="00395B96" w:rsidP="00D630F9">
            <w:pPr>
              <w:jc w:val="left"/>
              <w:rPr>
                <w:rFonts w:cs="Maiandra GD"/>
                <w:iCs/>
                <w:color w:val="000000"/>
                <w:sz w:val="18"/>
                <w:szCs w:val="18"/>
                <w:highlight w:val="lightGray"/>
                <w:u w:val="single"/>
              </w:rPr>
            </w:pPr>
            <w:r>
              <w:rPr>
                <w:sz w:val="18"/>
                <w:szCs w:val="18"/>
                <w:highlight w:val="lightGray"/>
                <w:u w:val="single"/>
              </w:rPr>
              <w:t>Grupo de la remolacha forrajera de</w:t>
            </w:r>
            <w:r>
              <w:rPr>
                <w:sz w:val="18"/>
                <w:szCs w:val="18"/>
                <w:highlight w:val="lightGray"/>
              </w:rPr>
              <w:t xml:space="preserve"> </w:t>
            </w:r>
            <w:r>
              <w:rPr>
                <w:i/>
                <w:iCs/>
                <w:sz w:val="18"/>
                <w:szCs w:val="18"/>
                <w:highlight w:val="lightGray"/>
                <w:u w:val="single"/>
              </w:rPr>
              <w:t>Beta vulgaris</w:t>
            </w:r>
            <w:r>
              <w:rPr>
                <w:sz w:val="18"/>
                <w:szCs w:val="18"/>
              </w:rPr>
              <w:t xml:space="preserve"> </w:t>
            </w:r>
            <w:r>
              <w:rPr>
                <w:iCs/>
                <w:color w:val="000000"/>
                <w:sz w:val="18"/>
                <w:szCs w:val="18"/>
                <w:highlight w:val="lightGray"/>
                <w:u w:val="single"/>
              </w:rPr>
              <w:t xml:space="preserve">(Otros nombres botánicos: </w:t>
            </w:r>
          </w:p>
          <w:p w14:paraId="72A015D6" w14:textId="7A868593" w:rsidR="008F16B6" w:rsidRPr="005A2060" w:rsidRDefault="008F16B6" w:rsidP="008F16B6">
            <w:pPr>
              <w:jc w:val="left"/>
              <w:rPr>
                <w:rFonts w:eastAsia="MS Mincho"/>
                <w:sz w:val="18"/>
                <w:szCs w:val="18"/>
              </w:rPr>
            </w:pPr>
            <w:r>
              <w:rPr>
                <w:i/>
                <w:sz w:val="18"/>
                <w:szCs w:val="18"/>
              </w:rPr>
              <w:t>Beta vulgaris</w:t>
            </w:r>
            <w:r>
              <w:rPr>
                <w:sz w:val="18"/>
                <w:szCs w:val="18"/>
              </w:rPr>
              <w:t xml:space="preserve"> L. </w:t>
            </w:r>
            <w:r>
              <w:rPr>
                <w:iCs/>
                <w:color w:val="000000"/>
                <w:sz w:val="18"/>
                <w:szCs w:val="18"/>
                <w:highlight w:val="lightGray"/>
                <w:u w:val="single"/>
              </w:rPr>
              <w:t xml:space="preserve">ssp. </w:t>
            </w:r>
            <w:r>
              <w:rPr>
                <w:i/>
                <w:iCs/>
                <w:color w:val="000000"/>
                <w:sz w:val="18"/>
                <w:szCs w:val="18"/>
                <w:highlight w:val="lightGray"/>
                <w:u w:val="single"/>
              </w:rPr>
              <w:t>vulgaris</w:t>
            </w:r>
            <w:r>
              <w:rPr>
                <w:iCs/>
                <w:color w:val="000000"/>
                <w:sz w:val="18"/>
                <w:szCs w:val="18"/>
                <w:highlight w:val="lightGray"/>
                <w:u w:val="single"/>
              </w:rPr>
              <w:t xml:space="preserve"> </w:t>
            </w:r>
            <w:r>
              <w:rPr>
                <w:sz w:val="18"/>
                <w:szCs w:val="18"/>
              </w:rPr>
              <w:t xml:space="preserve">var. </w:t>
            </w:r>
            <w:r>
              <w:rPr>
                <w:i/>
                <w:sz w:val="18"/>
                <w:szCs w:val="18"/>
              </w:rPr>
              <w:t>alba</w:t>
            </w:r>
            <w:r>
              <w:rPr>
                <w:sz w:val="18"/>
                <w:szCs w:val="18"/>
              </w:rPr>
              <w:t xml:space="preserve"> DC., </w:t>
            </w:r>
          </w:p>
          <w:p w14:paraId="33DF5497" w14:textId="5E8F1CAC" w:rsidR="00D630F9" w:rsidRPr="005A2060" w:rsidRDefault="00D630F9" w:rsidP="00D630F9">
            <w:pPr>
              <w:jc w:val="left"/>
              <w:rPr>
                <w:rFonts w:cs="Maiandra GD"/>
                <w:iCs/>
                <w:color w:val="000000"/>
                <w:sz w:val="18"/>
                <w:szCs w:val="18"/>
                <w:highlight w:val="lightGray"/>
                <w:u w:val="single"/>
              </w:rPr>
            </w:pPr>
            <w:r>
              <w:rPr>
                <w:i/>
                <w:iCs/>
                <w:color w:val="000000"/>
                <w:sz w:val="18"/>
                <w:szCs w:val="18"/>
                <w:highlight w:val="lightGray"/>
                <w:u w:val="single"/>
              </w:rPr>
              <w:t>B. vulgaris</w:t>
            </w:r>
            <w:r>
              <w:rPr>
                <w:iCs/>
                <w:color w:val="000000"/>
                <w:sz w:val="18"/>
                <w:szCs w:val="18"/>
                <w:highlight w:val="lightGray"/>
                <w:u w:val="single"/>
              </w:rPr>
              <w:t xml:space="preserve"> L. ssp. </w:t>
            </w:r>
            <w:r>
              <w:rPr>
                <w:i/>
                <w:iCs/>
                <w:color w:val="000000"/>
                <w:sz w:val="18"/>
                <w:szCs w:val="18"/>
                <w:highlight w:val="lightGray"/>
                <w:u w:val="single"/>
              </w:rPr>
              <w:t>vulgaris</w:t>
            </w:r>
            <w:r>
              <w:rPr>
                <w:iCs/>
                <w:color w:val="000000"/>
                <w:sz w:val="18"/>
                <w:szCs w:val="18"/>
                <w:highlight w:val="lightGray"/>
                <w:u w:val="single"/>
              </w:rPr>
              <w:t xml:space="preserve"> var. </w:t>
            </w:r>
            <w:r>
              <w:rPr>
                <w:i/>
                <w:iCs/>
                <w:color w:val="000000"/>
                <w:sz w:val="18"/>
                <w:szCs w:val="18"/>
                <w:highlight w:val="lightGray"/>
                <w:u w:val="single"/>
              </w:rPr>
              <w:t>crassa</w:t>
            </w:r>
            <w:r>
              <w:rPr>
                <w:iCs/>
                <w:color w:val="000000"/>
                <w:sz w:val="18"/>
                <w:szCs w:val="18"/>
                <w:highlight w:val="lightGray"/>
                <w:u w:val="single"/>
              </w:rPr>
              <w:t xml:space="preserve"> Alef.; </w:t>
            </w:r>
          </w:p>
          <w:p w14:paraId="1C8FA356" w14:textId="613A8E51" w:rsidR="00D630F9" w:rsidRPr="005A2060" w:rsidRDefault="00DB1A6A" w:rsidP="00D630F9">
            <w:pPr>
              <w:jc w:val="left"/>
              <w:rPr>
                <w:rFonts w:cs="Maiandra GD"/>
                <w:iCs/>
                <w:color w:val="000000"/>
                <w:sz w:val="18"/>
                <w:szCs w:val="18"/>
                <w:highlight w:val="lightGray"/>
                <w:u w:val="single"/>
              </w:rPr>
            </w:pPr>
            <w:r>
              <w:rPr>
                <w:i/>
                <w:iCs/>
                <w:color w:val="000000"/>
                <w:sz w:val="18"/>
                <w:szCs w:val="18"/>
                <w:highlight w:val="lightGray"/>
                <w:u w:val="single"/>
              </w:rPr>
              <w:t>B. vulgaris</w:t>
            </w:r>
            <w:r>
              <w:rPr>
                <w:iCs/>
                <w:color w:val="000000"/>
                <w:sz w:val="18"/>
                <w:szCs w:val="18"/>
                <w:highlight w:val="lightGray"/>
                <w:u w:val="single"/>
              </w:rPr>
              <w:t xml:space="preserve"> L. ssp. </w:t>
            </w:r>
            <w:r>
              <w:rPr>
                <w:i/>
                <w:iCs/>
                <w:color w:val="000000"/>
                <w:sz w:val="18"/>
                <w:szCs w:val="18"/>
                <w:highlight w:val="lightGray"/>
                <w:u w:val="single"/>
              </w:rPr>
              <w:t>vulgaris</w:t>
            </w:r>
            <w:r>
              <w:rPr>
                <w:iCs/>
                <w:color w:val="000000"/>
                <w:sz w:val="18"/>
                <w:szCs w:val="18"/>
                <w:highlight w:val="lightGray"/>
                <w:u w:val="single"/>
              </w:rPr>
              <w:t xml:space="preserve"> var. </w:t>
            </w:r>
            <w:r>
              <w:rPr>
                <w:i/>
                <w:iCs/>
                <w:color w:val="000000"/>
                <w:sz w:val="18"/>
                <w:szCs w:val="18"/>
                <w:highlight w:val="lightGray"/>
                <w:u w:val="single"/>
              </w:rPr>
              <w:t>crassa</w:t>
            </w:r>
            <w:r>
              <w:rPr>
                <w:iCs/>
                <w:color w:val="000000"/>
                <w:sz w:val="18"/>
                <w:szCs w:val="18"/>
                <w:highlight w:val="lightGray"/>
                <w:u w:val="single"/>
              </w:rPr>
              <w:t xml:space="preserve"> Mansf.;  </w:t>
            </w:r>
          </w:p>
          <w:p w14:paraId="1CE87A7D" w14:textId="3569B6EE" w:rsidR="00D630F9" w:rsidRPr="005A2060" w:rsidRDefault="00DB1A6A" w:rsidP="00D630F9">
            <w:pPr>
              <w:jc w:val="left"/>
              <w:rPr>
                <w:rFonts w:cs="Maiandra GD"/>
                <w:iCs/>
                <w:color w:val="000000"/>
                <w:sz w:val="18"/>
                <w:szCs w:val="18"/>
                <w:u w:val="single"/>
              </w:rPr>
            </w:pPr>
            <w:r>
              <w:rPr>
                <w:i/>
                <w:iCs/>
                <w:color w:val="000000"/>
                <w:sz w:val="18"/>
                <w:szCs w:val="18"/>
                <w:highlight w:val="lightGray"/>
                <w:u w:val="single"/>
              </w:rPr>
              <w:t>B. vulgaris</w:t>
            </w:r>
            <w:r>
              <w:rPr>
                <w:iCs/>
                <w:color w:val="000000"/>
                <w:sz w:val="18"/>
                <w:szCs w:val="18"/>
                <w:highlight w:val="lightGray"/>
                <w:u w:val="single"/>
              </w:rPr>
              <w:t xml:space="preserve"> L. ssp. </w:t>
            </w:r>
            <w:r>
              <w:rPr>
                <w:i/>
                <w:iCs/>
                <w:color w:val="000000"/>
                <w:sz w:val="18"/>
                <w:szCs w:val="18"/>
                <w:highlight w:val="lightGray"/>
                <w:u w:val="single"/>
              </w:rPr>
              <w:t>vulgaris</w:t>
            </w:r>
            <w:r>
              <w:rPr>
                <w:iCs/>
                <w:color w:val="000000"/>
                <w:sz w:val="18"/>
                <w:szCs w:val="18"/>
                <w:highlight w:val="lightGray"/>
                <w:u w:val="single"/>
              </w:rPr>
              <w:t xml:space="preserve"> var. </w:t>
            </w:r>
            <w:r>
              <w:rPr>
                <w:i/>
                <w:iCs/>
                <w:color w:val="000000"/>
                <w:sz w:val="18"/>
                <w:szCs w:val="18"/>
                <w:highlight w:val="lightGray"/>
                <w:u w:val="single"/>
              </w:rPr>
              <w:t>rapacea</w:t>
            </w:r>
            <w:r>
              <w:rPr>
                <w:iCs/>
                <w:color w:val="000000"/>
                <w:sz w:val="18"/>
                <w:szCs w:val="18"/>
                <w:highlight w:val="lightGray"/>
                <w:u w:val="single"/>
              </w:rPr>
              <w:t xml:space="preserve"> K. Koch</w:t>
            </w:r>
            <w:r>
              <w:rPr>
                <w:iCs/>
                <w:color w:val="000000"/>
                <w:sz w:val="18"/>
                <w:szCs w:val="18"/>
                <w:u w:val="single"/>
              </w:rPr>
              <w:t>)</w:t>
            </w:r>
          </w:p>
          <w:p w14:paraId="1E21023A" w14:textId="77777777" w:rsidR="00D630F9" w:rsidRPr="005A2060" w:rsidRDefault="00D630F9" w:rsidP="00395B96">
            <w:pPr>
              <w:spacing w:before="40" w:after="40"/>
              <w:jc w:val="left"/>
              <w:rPr>
                <w:rFonts w:eastAsia="MS Mincho"/>
                <w:i/>
                <w:sz w:val="18"/>
                <w:szCs w:val="18"/>
                <w:lang w:val="pt-BR"/>
              </w:rPr>
            </w:pPr>
          </w:p>
          <w:p w14:paraId="24962A98" w14:textId="77777777" w:rsidR="00D630F9" w:rsidRPr="005A2060" w:rsidRDefault="00D630F9" w:rsidP="00D630F9">
            <w:pPr>
              <w:jc w:val="left"/>
              <w:rPr>
                <w:rFonts w:cs="Maiandra GD"/>
                <w:iCs/>
                <w:color w:val="000000"/>
                <w:sz w:val="18"/>
                <w:szCs w:val="18"/>
                <w:highlight w:val="lightGray"/>
                <w:u w:val="single"/>
              </w:rPr>
            </w:pPr>
            <w:r>
              <w:rPr>
                <w:sz w:val="18"/>
                <w:szCs w:val="18"/>
                <w:highlight w:val="lightGray"/>
                <w:u w:val="single"/>
              </w:rPr>
              <w:t>Grupo de la remolacha azucarera de</w:t>
            </w:r>
            <w:r>
              <w:rPr>
                <w:sz w:val="18"/>
                <w:szCs w:val="18"/>
                <w:highlight w:val="lightGray"/>
              </w:rPr>
              <w:t xml:space="preserve"> </w:t>
            </w:r>
            <w:r>
              <w:rPr>
                <w:i/>
                <w:iCs/>
                <w:sz w:val="18"/>
                <w:szCs w:val="18"/>
                <w:highlight w:val="lightGray"/>
                <w:u w:val="single"/>
              </w:rPr>
              <w:t>Beta vulgaris</w:t>
            </w:r>
            <w:r>
              <w:rPr>
                <w:sz w:val="18"/>
                <w:szCs w:val="18"/>
              </w:rPr>
              <w:t xml:space="preserve"> </w:t>
            </w:r>
            <w:r>
              <w:rPr>
                <w:sz w:val="18"/>
                <w:szCs w:val="18"/>
                <w:highlight w:val="lightGray"/>
                <w:u w:val="single"/>
              </w:rPr>
              <w:t>(</w:t>
            </w:r>
            <w:r>
              <w:rPr>
                <w:iCs/>
                <w:color w:val="000000"/>
                <w:sz w:val="18"/>
                <w:szCs w:val="18"/>
                <w:highlight w:val="lightGray"/>
                <w:u w:val="single"/>
              </w:rPr>
              <w:t>Otros nombres botánicos:</w:t>
            </w:r>
          </w:p>
          <w:p w14:paraId="58631D4E" w14:textId="698A2A2F" w:rsidR="00D630F9" w:rsidRPr="005A2060" w:rsidRDefault="00DB1A6A" w:rsidP="00D630F9">
            <w:pPr>
              <w:jc w:val="left"/>
              <w:rPr>
                <w:rFonts w:cs="Maiandra GD"/>
                <w:iCs/>
                <w:color w:val="000000"/>
                <w:sz w:val="18"/>
                <w:szCs w:val="18"/>
                <w:u w:val="single"/>
              </w:rPr>
            </w:pPr>
            <w:r>
              <w:rPr>
                <w:i/>
                <w:iCs/>
                <w:color w:val="000000"/>
                <w:sz w:val="18"/>
                <w:szCs w:val="18"/>
                <w:highlight w:val="lightGray"/>
                <w:u w:val="single"/>
              </w:rPr>
              <w:t>Beta vulgaris</w:t>
            </w:r>
            <w:r>
              <w:rPr>
                <w:iCs/>
                <w:color w:val="000000"/>
                <w:sz w:val="18"/>
                <w:szCs w:val="18"/>
                <w:highlight w:val="lightGray"/>
                <w:u w:val="single"/>
              </w:rPr>
              <w:t xml:space="preserve"> L. ssp. </w:t>
            </w:r>
            <w:r>
              <w:rPr>
                <w:i/>
                <w:iCs/>
                <w:color w:val="000000"/>
                <w:sz w:val="18"/>
                <w:szCs w:val="18"/>
                <w:highlight w:val="lightGray"/>
                <w:u w:val="single"/>
              </w:rPr>
              <w:t>vulgaris</w:t>
            </w:r>
            <w:r>
              <w:rPr>
                <w:iCs/>
                <w:color w:val="000000"/>
                <w:sz w:val="18"/>
                <w:szCs w:val="18"/>
                <w:highlight w:val="lightGray"/>
                <w:u w:val="single"/>
              </w:rPr>
              <w:t xml:space="preserve"> var. </w:t>
            </w:r>
            <w:r>
              <w:rPr>
                <w:i/>
                <w:iCs/>
                <w:color w:val="000000"/>
                <w:sz w:val="18"/>
                <w:szCs w:val="18"/>
                <w:highlight w:val="lightGray"/>
                <w:u w:val="single"/>
              </w:rPr>
              <w:t>saccharifera</w:t>
            </w:r>
            <w:r>
              <w:rPr>
                <w:iCs/>
                <w:color w:val="000000"/>
                <w:sz w:val="18"/>
                <w:szCs w:val="18"/>
                <w:highlight w:val="lightGray"/>
                <w:u w:val="single"/>
              </w:rPr>
              <w:t xml:space="preserve"> Alef.</w:t>
            </w:r>
          </w:p>
          <w:p w14:paraId="077A30F8" w14:textId="77777777" w:rsidR="00395B96" w:rsidRDefault="00395B96" w:rsidP="00395B96">
            <w:pPr>
              <w:spacing w:before="40" w:after="40"/>
              <w:jc w:val="left"/>
              <w:rPr>
                <w:sz w:val="18"/>
                <w:szCs w:val="18"/>
                <w:u w:val="single"/>
              </w:rPr>
            </w:pPr>
            <w:r>
              <w:rPr>
                <w:i/>
                <w:sz w:val="18"/>
                <w:szCs w:val="18"/>
              </w:rPr>
              <w:t>Beta vulgaris</w:t>
            </w:r>
            <w:r>
              <w:rPr>
                <w:sz w:val="18"/>
                <w:szCs w:val="18"/>
              </w:rPr>
              <w:t xml:space="preserve"> L. </w:t>
            </w:r>
            <w:r>
              <w:rPr>
                <w:sz w:val="18"/>
                <w:szCs w:val="18"/>
                <w:highlight w:val="lightGray"/>
                <w:u w:val="single"/>
              </w:rPr>
              <w:t xml:space="preserve">ssp. </w:t>
            </w:r>
            <w:r>
              <w:rPr>
                <w:i/>
                <w:iCs/>
                <w:sz w:val="18"/>
                <w:szCs w:val="18"/>
                <w:highlight w:val="lightGray"/>
                <w:u w:val="single"/>
              </w:rPr>
              <w:t>vulgaris</w:t>
            </w:r>
            <w:r>
              <w:rPr>
                <w:sz w:val="18"/>
                <w:szCs w:val="18"/>
              </w:rPr>
              <w:t xml:space="preserve"> var. </w:t>
            </w:r>
            <w:r>
              <w:rPr>
                <w:i/>
                <w:sz w:val="18"/>
                <w:szCs w:val="18"/>
              </w:rPr>
              <w:t xml:space="preserve">altissima </w:t>
            </w:r>
            <w:r>
              <w:rPr>
                <w:iCs/>
                <w:sz w:val="18"/>
                <w:szCs w:val="18"/>
                <w:highlight w:val="lightGray"/>
                <w:u w:val="single"/>
              </w:rPr>
              <w:t>Doell</w:t>
            </w:r>
            <w:r>
              <w:rPr>
                <w:sz w:val="18"/>
                <w:szCs w:val="18"/>
                <w:highlight w:val="lightGray"/>
                <w:u w:val="single"/>
              </w:rPr>
              <w:t>)</w:t>
            </w:r>
          </w:p>
          <w:p w14:paraId="1261D732" w14:textId="70805CEF" w:rsidR="005A2060" w:rsidRPr="00395B96" w:rsidRDefault="005A2060" w:rsidP="00395B96">
            <w:pPr>
              <w:spacing w:before="40" w:after="40"/>
              <w:jc w:val="left"/>
              <w:rPr>
                <w:rFonts w:eastAsia="MS Mincho"/>
                <w:sz w:val="18"/>
                <w:szCs w:val="18"/>
                <w:lang w:val="pt-BR"/>
              </w:rPr>
            </w:pPr>
          </w:p>
        </w:tc>
        <w:tc>
          <w:tcPr>
            <w:tcW w:w="2551" w:type="dxa"/>
          </w:tcPr>
          <w:p w14:paraId="1692D2AE" w14:textId="77777777" w:rsidR="00D630F9" w:rsidRPr="005A2060" w:rsidRDefault="00395B96" w:rsidP="00395B96">
            <w:pPr>
              <w:spacing w:before="40" w:after="40"/>
              <w:jc w:val="left"/>
              <w:rPr>
                <w:rFonts w:eastAsia="MS Mincho"/>
                <w:sz w:val="18"/>
                <w:szCs w:val="18"/>
              </w:rPr>
            </w:pPr>
            <w:r>
              <w:rPr>
                <w:sz w:val="18"/>
                <w:szCs w:val="18"/>
              </w:rPr>
              <w:t xml:space="preserve">BETAA_VUL_GVA;  </w:t>
            </w:r>
          </w:p>
          <w:p w14:paraId="5636B268" w14:textId="77777777" w:rsidR="00D630F9" w:rsidRPr="005A2060" w:rsidRDefault="00D630F9" w:rsidP="00395B96">
            <w:pPr>
              <w:spacing w:before="40" w:after="40"/>
              <w:jc w:val="left"/>
              <w:rPr>
                <w:rFonts w:eastAsia="MS Mincho"/>
                <w:sz w:val="18"/>
                <w:szCs w:val="18"/>
                <w:lang w:val="nl-NL"/>
              </w:rPr>
            </w:pPr>
          </w:p>
          <w:p w14:paraId="585BC90E" w14:textId="77777777" w:rsidR="00D630F9" w:rsidRPr="005A2060" w:rsidRDefault="00D630F9" w:rsidP="00395B96">
            <w:pPr>
              <w:spacing w:before="40" w:after="40"/>
              <w:jc w:val="left"/>
              <w:rPr>
                <w:rFonts w:eastAsia="MS Mincho"/>
                <w:sz w:val="18"/>
                <w:szCs w:val="18"/>
                <w:lang w:val="nl-NL"/>
              </w:rPr>
            </w:pPr>
          </w:p>
          <w:p w14:paraId="43089056" w14:textId="3122D2EE" w:rsidR="00D630F9" w:rsidRPr="005A2060" w:rsidRDefault="00D630F9" w:rsidP="00395B96">
            <w:pPr>
              <w:spacing w:before="40" w:after="40"/>
              <w:jc w:val="left"/>
              <w:rPr>
                <w:rFonts w:eastAsia="MS Mincho"/>
                <w:sz w:val="18"/>
                <w:szCs w:val="18"/>
                <w:lang w:val="nl-NL"/>
              </w:rPr>
            </w:pPr>
          </w:p>
          <w:p w14:paraId="23BB7200" w14:textId="77777777" w:rsidR="00D630F9" w:rsidRDefault="00D630F9" w:rsidP="00395B96">
            <w:pPr>
              <w:spacing w:before="40" w:after="40"/>
              <w:jc w:val="left"/>
              <w:rPr>
                <w:rFonts w:eastAsia="MS Mincho"/>
                <w:sz w:val="18"/>
                <w:szCs w:val="18"/>
                <w:lang w:val="nl-NL"/>
              </w:rPr>
            </w:pPr>
          </w:p>
          <w:p w14:paraId="70AFB599" w14:textId="77777777" w:rsidR="007218BF" w:rsidRPr="005A2060" w:rsidRDefault="007218BF" w:rsidP="00395B96">
            <w:pPr>
              <w:spacing w:before="40" w:after="40"/>
              <w:jc w:val="left"/>
              <w:rPr>
                <w:rFonts w:eastAsia="MS Mincho"/>
                <w:sz w:val="18"/>
                <w:szCs w:val="18"/>
                <w:lang w:val="nl-NL"/>
              </w:rPr>
            </w:pPr>
          </w:p>
          <w:p w14:paraId="4E895BB4" w14:textId="543CFED2" w:rsidR="00395B96" w:rsidRPr="00395B96" w:rsidRDefault="00395B96" w:rsidP="00395B96">
            <w:pPr>
              <w:spacing w:before="40" w:after="40"/>
              <w:jc w:val="left"/>
              <w:rPr>
                <w:rFonts w:eastAsia="MS Mincho"/>
                <w:sz w:val="18"/>
                <w:szCs w:val="18"/>
              </w:rPr>
            </w:pPr>
            <w:r>
              <w:rPr>
                <w:sz w:val="18"/>
                <w:szCs w:val="18"/>
              </w:rPr>
              <w:t>BETAA_VUL_GVS</w:t>
            </w:r>
          </w:p>
        </w:tc>
      </w:tr>
      <w:tr w:rsidR="00395B96" w:rsidRPr="00D453FB" w14:paraId="6D65274E" w14:textId="77777777" w:rsidTr="00395B96">
        <w:trPr>
          <w:cantSplit/>
        </w:trPr>
        <w:tc>
          <w:tcPr>
            <w:tcW w:w="1418" w:type="dxa"/>
          </w:tcPr>
          <w:p w14:paraId="584E69F5" w14:textId="77777777" w:rsidR="00395B96" w:rsidRPr="00395B96" w:rsidRDefault="00395B96" w:rsidP="00395B96">
            <w:pPr>
              <w:spacing w:before="40" w:after="40"/>
              <w:jc w:val="left"/>
              <w:rPr>
                <w:rFonts w:eastAsia="MS Mincho"/>
                <w:sz w:val="18"/>
                <w:szCs w:val="18"/>
              </w:rPr>
            </w:pPr>
            <w:r>
              <w:rPr>
                <w:sz w:val="18"/>
                <w:szCs w:val="18"/>
              </w:rPr>
              <w:t>Clase 2.2</w:t>
            </w:r>
          </w:p>
        </w:tc>
        <w:tc>
          <w:tcPr>
            <w:tcW w:w="5670" w:type="dxa"/>
          </w:tcPr>
          <w:p w14:paraId="59C222A7" w14:textId="14A7AE17" w:rsidR="005A2060" w:rsidRPr="00DB1A6A" w:rsidRDefault="005A2060" w:rsidP="005A2060">
            <w:pPr>
              <w:jc w:val="left"/>
              <w:rPr>
                <w:rFonts w:cs="Maiandra GD"/>
                <w:iCs/>
                <w:color w:val="000000"/>
                <w:sz w:val="18"/>
                <w:szCs w:val="18"/>
                <w:highlight w:val="lightGray"/>
                <w:u w:val="single"/>
              </w:rPr>
            </w:pPr>
            <w:r>
              <w:rPr>
                <w:sz w:val="18"/>
                <w:szCs w:val="18"/>
                <w:highlight w:val="lightGray"/>
                <w:u w:val="single"/>
              </w:rPr>
              <w:t>Grupo de la remolacha de mesa de</w:t>
            </w:r>
            <w:r>
              <w:rPr>
                <w:sz w:val="18"/>
                <w:szCs w:val="18"/>
                <w:highlight w:val="lightGray"/>
              </w:rPr>
              <w:t xml:space="preserve"> </w:t>
            </w:r>
            <w:r>
              <w:rPr>
                <w:i/>
                <w:iCs/>
                <w:sz w:val="18"/>
                <w:szCs w:val="18"/>
                <w:highlight w:val="lightGray"/>
                <w:u w:val="single"/>
              </w:rPr>
              <w:t>Beta vulgaris</w:t>
            </w:r>
            <w:r>
              <w:rPr>
                <w:sz w:val="18"/>
                <w:szCs w:val="18"/>
              </w:rPr>
              <w:t xml:space="preserve"> </w:t>
            </w:r>
            <w:r>
              <w:rPr>
                <w:sz w:val="18"/>
                <w:szCs w:val="18"/>
                <w:highlight w:val="lightGray"/>
                <w:u w:val="single"/>
              </w:rPr>
              <w:t>(</w:t>
            </w:r>
            <w:r>
              <w:rPr>
                <w:iCs/>
                <w:color w:val="000000"/>
                <w:sz w:val="18"/>
                <w:szCs w:val="18"/>
                <w:highlight w:val="lightGray"/>
                <w:u w:val="single"/>
              </w:rPr>
              <w:t xml:space="preserve">Otros nombres botánicos: </w:t>
            </w:r>
          </w:p>
          <w:p w14:paraId="29BF584F" w14:textId="511BA995" w:rsidR="00395B96" w:rsidRPr="00DB1A6A" w:rsidRDefault="00395B96" w:rsidP="00395B96">
            <w:pPr>
              <w:spacing w:before="40" w:after="40"/>
              <w:jc w:val="left"/>
              <w:rPr>
                <w:rFonts w:eastAsia="MS Mincho"/>
                <w:sz w:val="18"/>
                <w:szCs w:val="18"/>
              </w:rPr>
            </w:pPr>
            <w:r>
              <w:rPr>
                <w:i/>
                <w:sz w:val="18"/>
                <w:szCs w:val="18"/>
              </w:rPr>
              <w:t>Beta vulgaris</w:t>
            </w:r>
            <w:r>
              <w:rPr>
                <w:sz w:val="18"/>
                <w:szCs w:val="18"/>
              </w:rPr>
              <w:t xml:space="preserve"> ssp. </w:t>
            </w:r>
            <w:r>
              <w:rPr>
                <w:i/>
                <w:sz w:val="18"/>
                <w:szCs w:val="18"/>
              </w:rPr>
              <w:t>vulgaris</w:t>
            </w:r>
            <w:r>
              <w:rPr>
                <w:sz w:val="18"/>
                <w:szCs w:val="18"/>
              </w:rPr>
              <w:t xml:space="preserve"> var. </w:t>
            </w:r>
            <w:r>
              <w:rPr>
                <w:i/>
                <w:sz w:val="18"/>
                <w:szCs w:val="18"/>
              </w:rPr>
              <w:t>conditiva</w:t>
            </w:r>
            <w:r>
              <w:rPr>
                <w:sz w:val="18"/>
                <w:szCs w:val="18"/>
              </w:rPr>
              <w:t xml:space="preserve"> Alef. </w:t>
            </w:r>
            <w:r>
              <w:rPr>
                <w:strike/>
                <w:sz w:val="18"/>
                <w:szCs w:val="18"/>
                <w:highlight w:val="lightGray"/>
              </w:rPr>
              <w:t xml:space="preserve">(syn.: </w:t>
            </w:r>
            <w:r>
              <w:rPr>
                <w:i/>
                <w:strike/>
                <w:sz w:val="18"/>
                <w:szCs w:val="18"/>
                <w:highlight w:val="lightGray"/>
              </w:rPr>
              <w:t>B. vulgaris</w:t>
            </w:r>
            <w:r>
              <w:rPr>
                <w:strike/>
                <w:sz w:val="18"/>
                <w:szCs w:val="18"/>
                <w:highlight w:val="lightGray"/>
              </w:rPr>
              <w:t xml:space="preserve"> L. var. </w:t>
            </w:r>
            <w:r>
              <w:rPr>
                <w:i/>
                <w:strike/>
                <w:sz w:val="18"/>
                <w:szCs w:val="18"/>
                <w:highlight w:val="lightGray"/>
              </w:rPr>
              <w:t>rubra</w:t>
            </w:r>
            <w:r>
              <w:rPr>
                <w:strike/>
                <w:sz w:val="18"/>
                <w:szCs w:val="18"/>
                <w:highlight w:val="lightGray"/>
              </w:rPr>
              <w:t xml:space="preserve"> L.),</w:t>
            </w:r>
            <w:r>
              <w:rPr>
                <w:sz w:val="18"/>
                <w:szCs w:val="18"/>
              </w:rPr>
              <w:t xml:space="preserve"> </w:t>
            </w:r>
          </w:p>
          <w:p w14:paraId="5BC5E7D3" w14:textId="0AAE5EC0" w:rsidR="005A2060" w:rsidRPr="00DB1A6A" w:rsidRDefault="005A2060" w:rsidP="005A2060">
            <w:pPr>
              <w:jc w:val="left"/>
              <w:rPr>
                <w:rFonts w:cs="Maiandra GD"/>
                <w:iCs/>
                <w:color w:val="000000"/>
                <w:sz w:val="18"/>
                <w:szCs w:val="18"/>
                <w:highlight w:val="lightGray"/>
                <w:u w:val="single"/>
              </w:rPr>
            </w:pPr>
            <w:r>
              <w:rPr>
                <w:i/>
                <w:iCs/>
                <w:color w:val="000000"/>
                <w:sz w:val="18"/>
                <w:szCs w:val="18"/>
                <w:highlight w:val="lightGray"/>
                <w:u w:val="single"/>
              </w:rPr>
              <w:t>B.</w:t>
            </w:r>
            <w:r w:rsidR="007218BF">
              <w:rPr>
                <w:i/>
                <w:iCs/>
                <w:color w:val="000000"/>
                <w:sz w:val="18"/>
                <w:szCs w:val="18"/>
                <w:highlight w:val="lightGray"/>
                <w:u w:val="single"/>
              </w:rPr>
              <w:t> </w:t>
            </w:r>
            <w:r>
              <w:rPr>
                <w:i/>
                <w:iCs/>
                <w:color w:val="000000"/>
                <w:sz w:val="18"/>
                <w:szCs w:val="18"/>
                <w:highlight w:val="lightGray"/>
                <w:u w:val="single"/>
              </w:rPr>
              <w:t>vulgaris</w:t>
            </w:r>
            <w:r>
              <w:rPr>
                <w:iCs/>
                <w:color w:val="000000"/>
                <w:sz w:val="18"/>
                <w:szCs w:val="18"/>
                <w:highlight w:val="lightGray"/>
                <w:u w:val="single"/>
              </w:rPr>
              <w:t xml:space="preserve"> L. ssp. </w:t>
            </w:r>
            <w:r>
              <w:rPr>
                <w:i/>
                <w:color w:val="000000"/>
                <w:sz w:val="18"/>
                <w:szCs w:val="18"/>
                <w:highlight w:val="lightGray"/>
                <w:u w:val="single"/>
              </w:rPr>
              <w:t>vulgaris</w:t>
            </w:r>
            <w:r>
              <w:rPr>
                <w:iCs/>
                <w:color w:val="000000"/>
                <w:sz w:val="18"/>
                <w:szCs w:val="18"/>
                <w:highlight w:val="lightGray"/>
                <w:u w:val="single"/>
              </w:rPr>
              <w:t xml:space="preserve"> var. </w:t>
            </w:r>
            <w:r>
              <w:rPr>
                <w:i/>
                <w:color w:val="000000"/>
                <w:sz w:val="18"/>
                <w:szCs w:val="18"/>
                <w:highlight w:val="lightGray"/>
                <w:u w:val="single"/>
              </w:rPr>
              <w:t>esculenta</w:t>
            </w:r>
            <w:r>
              <w:rPr>
                <w:iCs/>
                <w:color w:val="000000"/>
                <w:sz w:val="18"/>
                <w:szCs w:val="18"/>
                <w:highlight w:val="lightGray"/>
                <w:u w:val="single"/>
              </w:rPr>
              <w:t xml:space="preserve"> L.; </w:t>
            </w:r>
          </w:p>
          <w:p w14:paraId="6C86AE5D" w14:textId="645883FC" w:rsidR="005A2060" w:rsidRPr="00DB1A6A" w:rsidRDefault="005A2060" w:rsidP="005A2060">
            <w:pPr>
              <w:spacing w:before="40" w:after="40"/>
              <w:jc w:val="left"/>
              <w:rPr>
                <w:rFonts w:eastAsia="MS Mincho"/>
                <w:sz w:val="18"/>
                <w:szCs w:val="18"/>
                <w:u w:val="single"/>
              </w:rPr>
            </w:pPr>
            <w:r>
              <w:rPr>
                <w:i/>
                <w:iCs/>
                <w:color w:val="000000"/>
                <w:sz w:val="18"/>
                <w:szCs w:val="18"/>
                <w:highlight w:val="lightGray"/>
                <w:u w:val="single"/>
              </w:rPr>
              <w:t>B.</w:t>
            </w:r>
            <w:r w:rsidR="007218BF">
              <w:rPr>
                <w:i/>
                <w:iCs/>
                <w:color w:val="000000"/>
                <w:sz w:val="18"/>
                <w:szCs w:val="18"/>
                <w:highlight w:val="lightGray"/>
                <w:u w:val="single"/>
              </w:rPr>
              <w:t> </w:t>
            </w:r>
            <w:r>
              <w:rPr>
                <w:i/>
                <w:iCs/>
                <w:color w:val="000000"/>
                <w:sz w:val="18"/>
                <w:szCs w:val="18"/>
                <w:highlight w:val="lightGray"/>
                <w:u w:val="single"/>
              </w:rPr>
              <w:t>vulgaris</w:t>
            </w:r>
            <w:r>
              <w:rPr>
                <w:iCs/>
                <w:color w:val="000000"/>
                <w:sz w:val="18"/>
                <w:szCs w:val="18"/>
                <w:highlight w:val="lightGray"/>
                <w:u w:val="single"/>
              </w:rPr>
              <w:t xml:space="preserve"> L. ssp. </w:t>
            </w:r>
            <w:r>
              <w:rPr>
                <w:i/>
                <w:color w:val="000000"/>
                <w:sz w:val="18"/>
                <w:szCs w:val="18"/>
                <w:highlight w:val="lightGray"/>
                <w:u w:val="single"/>
              </w:rPr>
              <w:t>vulgaris</w:t>
            </w:r>
            <w:r>
              <w:rPr>
                <w:iCs/>
                <w:color w:val="000000"/>
                <w:sz w:val="18"/>
                <w:szCs w:val="18"/>
                <w:highlight w:val="lightGray"/>
                <w:u w:val="single"/>
              </w:rPr>
              <w:t xml:space="preserve"> var. </w:t>
            </w:r>
            <w:r>
              <w:rPr>
                <w:i/>
                <w:color w:val="000000"/>
                <w:sz w:val="18"/>
                <w:szCs w:val="18"/>
                <w:highlight w:val="lightGray"/>
                <w:u w:val="single"/>
              </w:rPr>
              <w:t>hortensis</w:t>
            </w:r>
          </w:p>
          <w:p w14:paraId="0F5F4AB3" w14:textId="77777777" w:rsidR="005A2060" w:rsidRPr="00DB1A6A" w:rsidRDefault="005A2060" w:rsidP="00395B96">
            <w:pPr>
              <w:spacing w:before="40" w:after="40"/>
              <w:jc w:val="left"/>
              <w:rPr>
                <w:rFonts w:eastAsia="MS Mincho"/>
                <w:sz w:val="18"/>
                <w:szCs w:val="18"/>
                <w:lang w:val="pt-BR"/>
              </w:rPr>
            </w:pPr>
          </w:p>
          <w:p w14:paraId="3E193405" w14:textId="77777777" w:rsidR="001751FC" w:rsidRPr="00DB1A6A" w:rsidRDefault="001751FC" w:rsidP="001751FC">
            <w:pPr>
              <w:jc w:val="left"/>
              <w:rPr>
                <w:rFonts w:cs="Maiandra GD"/>
                <w:iCs/>
                <w:color w:val="000000"/>
                <w:sz w:val="18"/>
                <w:szCs w:val="18"/>
                <w:highlight w:val="lightGray"/>
                <w:u w:val="single"/>
              </w:rPr>
            </w:pPr>
            <w:r>
              <w:rPr>
                <w:sz w:val="18"/>
                <w:szCs w:val="18"/>
                <w:highlight w:val="lightGray"/>
                <w:u w:val="single"/>
              </w:rPr>
              <w:t>Grupo de la acelga de</w:t>
            </w:r>
            <w:r>
              <w:rPr>
                <w:sz w:val="18"/>
                <w:szCs w:val="18"/>
                <w:highlight w:val="lightGray"/>
              </w:rPr>
              <w:t xml:space="preserve"> </w:t>
            </w:r>
            <w:r>
              <w:rPr>
                <w:i/>
                <w:iCs/>
                <w:sz w:val="18"/>
                <w:szCs w:val="18"/>
                <w:highlight w:val="lightGray"/>
                <w:u w:val="single"/>
              </w:rPr>
              <w:t>Beta vulgaris</w:t>
            </w:r>
            <w:r>
              <w:rPr>
                <w:sz w:val="18"/>
                <w:szCs w:val="18"/>
              </w:rPr>
              <w:t xml:space="preserve"> </w:t>
            </w:r>
            <w:r>
              <w:rPr>
                <w:sz w:val="18"/>
                <w:szCs w:val="18"/>
                <w:highlight w:val="lightGray"/>
                <w:u w:val="single"/>
              </w:rPr>
              <w:t>(</w:t>
            </w:r>
            <w:r>
              <w:rPr>
                <w:iCs/>
                <w:color w:val="000000"/>
                <w:sz w:val="18"/>
                <w:szCs w:val="18"/>
                <w:highlight w:val="lightGray"/>
                <w:u w:val="single"/>
              </w:rPr>
              <w:t xml:space="preserve">Otros nombres botánicos: </w:t>
            </w:r>
          </w:p>
          <w:p w14:paraId="01DBBA52" w14:textId="08828A43" w:rsidR="001751FC" w:rsidRPr="00DB1A6A" w:rsidRDefault="001751FC" w:rsidP="001751FC">
            <w:pPr>
              <w:jc w:val="left"/>
              <w:rPr>
                <w:rFonts w:cs="Maiandra GD"/>
                <w:iCs/>
                <w:color w:val="000000"/>
                <w:sz w:val="18"/>
                <w:szCs w:val="18"/>
                <w:u w:val="single"/>
              </w:rPr>
            </w:pPr>
            <w:r>
              <w:rPr>
                <w:i/>
                <w:iCs/>
                <w:color w:val="000000"/>
                <w:sz w:val="18"/>
                <w:szCs w:val="18"/>
                <w:highlight w:val="lightGray"/>
                <w:u w:val="single"/>
              </w:rPr>
              <w:t>Beta vulgaris</w:t>
            </w:r>
            <w:r>
              <w:rPr>
                <w:iCs/>
                <w:color w:val="000000"/>
                <w:sz w:val="18"/>
                <w:szCs w:val="18"/>
                <w:highlight w:val="lightGray"/>
                <w:u w:val="single"/>
              </w:rPr>
              <w:t xml:space="preserve"> L. ssp. </w:t>
            </w:r>
            <w:r>
              <w:rPr>
                <w:i/>
                <w:iCs/>
                <w:color w:val="000000"/>
                <w:sz w:val="18"/>
                <w:szCs w:val="18"/>
                <w:highlight w:val="lightGray"/>
                <w:u w:val="single"/>
              </w:rPr>
              <w:t>vulgaris</w:t>
            </w:r>
            <w:r>
              <w:rPr>
                <w:iCs/>
                <w:color w:val="000000"/>
                <w:sz w:val="18"/>
                <w:szCs w:val="18"/>
                <w:highlight w:val="lightGray"/>
                <w:u w:val="single"/>
              </w:rPr>
              <w:t xml:space="preserve"> var. </w:t>
            </w:r>
            <w:r>
              <w:rPr>
                <w:i/>
                <w:iCs/>
                <w:color w:val="000000"/>
                <w:sz w:val="18"/>
                <w:szCs w:val="18"/>
                <w:highlight w:val="lightGray"/>
                <w:u w:val="single"/>
              </w:rPr>
              <w:t>flavescens</w:t>
            </w:r>
            <w:r>
              <w:rPr>
                <w:iCs/>
                <w:color w:val="000000"/>
                <w:sz w:val="18"/>
                <w:szCs w:val="18"/>
                <w:highlight w:val="lightGray"/>
                <w:u w:val="single"/>
              </w:rPr>
              <w:t xml:space="preserve"> DC. f. Crispa</w:t>
            </w:r>
            <w:r>
              <w:rPr>
                <w:iCs/>
                <w:color w:val="000000"/>
                <w:sz w:val="18"/>
                <w:szCs w:val="18"/>
                <w:u w:val="single"/>
              </w:rPr>
              <w:t>,</w:t>
            </w:r>
          </w:p>
          <w:p w14:paraId="3165F517" w14:textId="17F8A17B" w:rsidR="00395B96" w:rsidRDefault="00395B96" w:rsidP="009E4C89">
            <w:pPr>
              <w:spacing w:before="40" w:after="40"/>
              <w:jc w:val="left"/>
              <w:rPr>
                <w:sz w:val="18"/>
                <w:szCs w:val="18"/>
                <w:u w:val="single"/>
              </w:rPr>
            </w:pPr>
            <w:r>
              <w:rPr>
                <w:i/>
                <w:sz w:val="18"/>
                <w:szCs w:val="18"/>
              </w:rPr>
              <w:t>B.</w:t>
            </w:r>
            <w:r w:rsidR="007218BF">
              <w:rPr>
                <w:i/>
                <w:sz w:val="18"/>
                <w:szCs w:val="18"/>
              </w:rPr>
              <w:t> </w:t>
            </w:r>
            <w:r>
              <w:rPr>
                <w:i/>
                <w:sz w:val="18"/>
                <w:szCs w:val="18"/>
              </w:rPr>
              <w:t>vulgaris</w:t>
            </w:r>
            <w:r>
              <w:rPr>
                <w:sz w:val="18"/>
                <w:szCs w:val="18"/>
              </w:rPr>
              <w:t xml:space="preserve"> L. var. </w:t>
            </w:r>
            <w:r>
              <w:rPr>
                <w:i/>
                <w:sz w:val="18"/>
                <w:szCs w:val="18"/>
              </w:rPr>
              <w:t>cicla</w:t>
            </w:r>
            <w:r>
              <w:rPr>
                <w:sz w:val="18"/>
                <w:szCs w:val="18"/>
              </w:rPr>
              <w:t xml:space="preserve"> </w:t>
            </w:r>
            <w:r>
              <w:rPr>
                <w:strike/>
                <w:sz w:val="18"/>
                <w:szCs w:val="18"/>
                <w:highlight w:val="lightGray"/>
              </w:rPr>
              <w:t>L.</w:t>
            </w:r>
            <w:r>
              <w:rPr>
                <w:sz w:val="18"/>
                <w:szCs w:val="18"/>
              </w:rPr>
              <w:t xml:space="preserve"> </w:t>
            </w:r>
            <w:r>
              <w:rPr>
                <w:iCs/>
                <w:color w:val="000000"/>
                <w:sz w:val="18"/>
                <w:szCs w:val="18"/>
                <w:highlight w:val="lightGray"/>
                <w:u w:val="single"/>
              </w:rPr>
              <w:t>(L.) Ulrich</w:t>
            </w:r>
            <w:r>
              <w:rPr>
                <w:sz w:val="18"/>
                <w:szCs w:val="18"/>
              </w:rPr>
              <w:t xml:space="preserve">, </w:t>
            </w:r>
            <w:r>
              <w:rPr>
                <w:i/>
                <w:sz w:val="18"/>
                <w:szCs w:val="18"/>
              </w:rPr>
              <w:t>B.</w:t>
            </w:r>
            <w:r w:rsidR="007218BF">
              <w:rPr>
                <w:i/>
                <w:sz w:val="18"/>
                <w:szCs w:val="18"/>
              </w:rPr>
              <w:t> </w:t>
            </w:r>
            <w:r>
              <w:rPr>
                <w:i/>
                <w:sz w:val="18"/>
                <w:szCs w:val="18"/>
              </w:rPr>
              <w:t>vulgaris</w:t>
            </w:r>
            <w:r>
              <w:rPr>
                <w:sz w:val="18"/>
                <w:szCs w:val="18"/>
              </w:rPr>
              <w:t xml:space="preserve"> L. ssp. </w:t>
            </w:r>
            <w:r>
              <w:rPr>
                <w:i/>
                <w:sz w:val="18"/>
                <w:szCs w:val="18"/>
              </w:rPr>
              <w:t>vulgaris</w:t>
            </w:r>
            <w:r>
              <w:rPr>
                <w:sz w:val="18"/>
                <w:szCs w:val="18"/>
              </w:rPr>
              <w:t xml:space="preserve"> var. </w:t>
            </w:r>
            <w:r>
              <w:rPr>
                <w:i/>
                <w:sz w:val="18"/>
                <w:szCs w:val="18"/>
              </w:rPr>
              <w:t xml:space="preserve">vulgaris </w:t>
            </w:r>
            <w:r>
              <w:rPr>
                <w:sz w:val="18"/>
                <w:szCs w:val="18"/>
                <w:highlight w:val="lightGray"/>
                <w:u w:val="single"/>
              </w:rPr>
              <w:t>)</w:t>
            </w:r>
          </w:p>
          <w:p w14:paraId="5343CFFE" w14:textId="7806A146" w:rsidR="006F0463" w:rsidRPr="00395B96" w:rsidRDefault="006F0463" w:rsidP="009E4C89">
            <w:pPr>
              <w:spacing w:before="40" w:after="40"/>
              <w:jc w:val="left"/>
              <w:rPr>
                <w:rFonts w:eastAsia="MS Mincho"/>
                <w:sz w:val="18"/>
                <w:szCs w:val="18"/>
                <w:lang w:val="pt-PT"/>
              </w:rPr>
            </w:pPr>
          </w:p>
        </w:tc>
        <w:tc>
          <w:tcPr>
            <w:tcW w:w="2551" w:type="dxa"/>
          </w:tcPr>
          <w:p w14:paraId="594D4DFD" w14:textId="77777777" w:rsidR="009E4C89" w:rsidRPr="00AD7BF7" w:rsidRDefault="00395B96" w:rsidP="00395B96">
            <w:pPr>
              <w:spacing w:before="40" w:after="40"/>
              <w:jc w:val="left"/>
              <w:rPr>
                <w:rFonts w:eastAsia="MS Mincho"/>
                <w:sz w:val="18"/>
                <w:szCs w:val="18"/>
                <w:lang w:val="pt-PT"/>
              </w:rPr>
            </w:pPr>
            <w:r w:rsidRPr="00AD7BF7">
              <w:rPr>
                <w:sz w:val="18"/>
                <w:szCs w:val="18"/>
                <w:lang w:val="pt-PT"/>
              </w:rPr>
              <w:t xml:space="preserve">BETAA_VUL_GVC; </w:t>
            </w:r>
          </w:p>
          <w:p w14:paraId="002DA317" w14:textId="24325D7B" w:rsidR="009E4C89" w:rsidRDefault="009E4C89" w:rsidP="00395B96">
            <w:pPr>
              <w:spacing w:before="40" w:after="40"/>
              <w:jc w:val="left"/>
              <w:rPr>
                <w:rFonts w:eastAsia="MS Mincho"/>
                <w:sz w:val="18"/>
                <w:szCs w:val="18"/>
                <w:lang w:val="nl-NL"/>
              </w:rPr>
            </w:pPr>
          </w:p>
          <w:p w14:paraId="3F04744D" w14:textId="12500F93" w:rsidR="001751FC" w:rsidRDefault="001751FC" w:rsidP="00395B96">
            <w:pPr>
              <w:spacing w:before="40" w:after="40"/>
              <w:jc w:val="left"/>
              <w:rPr>
                <w:rFonts w:eastAsia="MS Mincho"/>
                <w:sz w:val="18"/>
                <w:szCs w:val="18"/>
                <w:lang w:val="nl-NL"/>
              </w:rPr>
            </w:pPr>
          </w:p>
          <w:p w14:paraId="24723A78" w14:textId="0A25536A" w:rsidR="001751FC" w:rsidRDefault="001751FC" w:rsidP="00395B96">
            <w:pPr>
              <w:spacing w:before="40" w:after="40"/>
              <w:jc w:val="left"/>
              <w:rPr>
                <w:rFonts w:eastAsia="MS Mincho"/>
                <w:sz w:val="18"/>
                <w:szCs w:val="18"/>
                <w:lang w:val="nl-NL"/>
              </w:rPr>
            </w:pPr>
          </w:p>
          <w:p w14:paraId="3C97E518" w14:textId="77777777" w:rsidR="001751FC" w:rsidRPr="001751FC" w:rsidRDefault="001751FC" w:rsidP="00395B96">
            <w:pPr>
              <w:spacing w:before="40" w:after="40"/>
              <w:jc w:val="left"/>
              <w:rPr>
                <w:rFonts w:eastAsia="MS Mincho"/>
                <w:sz w:val="18"/>
                <w:szCs w:val="18"/>
                <w:lang w:val="nl-NL"/>
              </w:rPr>
            </w:pPr>
          </w:p>
          <w:p w14:paraId="3A1A807B" w14:textId="77777777" w:rsidR="007218BF" w:rsidRDefault="007218BF" w:rsidP="00395B96">
            <w:pPr>
              <w:spacing w:before="40" w:after="40"/>
              <w:jc w:val="left"/>
              <w:rPr>
                <w:sz w:val="18"/>
                <w:szCs w:val="18"/>
                <w:lang w:val="pt-PT"/>
              </w:rPr>
            </w:pPr>
          </w:p>
          <w:p w14:paraId="6B8F2401" w14:textId="0B619840" w:rsidR="00395B96" w:rsidRPr="00AD7BF7" w:rsidRDefault="00395B96" w:rsidP="00395B96">
            <w:pPr>
              <w:spacing w:before="40" w:after="40"/>
              <w:jc w:val="left"/>
              <w:rPr>
                <w:rFonts w:eastAsia="MS Mincho"/>
                <w:sz w:val="18"/>
                <w:szCs w:val="18"/>
                <w:lang w:val="pt-PT"/>
              </w:rPr>
            </w:pPr>
            <w:r w:rsidRPr="00AD7BF7">
              <w:rPr>
                <w:sz w:val="18"/>
                <w:szCs w:val="18"/>
                <w:lang w:val="pt-PT"/>
              </w:rPr>
              <w:t>BETAA_VUL_GVF</w:t>
            </w:r>
          </w:p>
        </w:tc>
      </w:tr>
      <w:tr w:rsidR="00395B96" w:rsidRPr="00395B96" w14:paraId="2A904A8B" w14:textId="77777777" w:rsidTr="00395B96">
        <w:trPr>
          <w:cantSplit/>
        </w:trPr>
        <w:tc>
          <w:tcPr>
            <w:tcW w:w="1418" w:type="dxa"/>
            <w:tcBorders>
              <w:bottom w:val="nil"/>
            </w:tcBorders>
          </w:tcPr>
          <w:p w14:paraId="5CA1DFBC" w14:textId="77777777" w:rsidR="00395B96" w:rsidRPr="00395B96" w:rsidRDefault="00395B96" w:rsidP="00395B96">
            <w:pPr>
              <w:spacing w:before="40" w:after="40"/>
              <w:jc w:val="left"/>
              <w:rPr>
                <w:rFonts w:eastAsia="MS Mincho"/>
                <w:sz w:val="18"/>
                <w:szCs w:val="18"/>
              </w:rPr>
            </w:pPr>
            <w:r>
              <w:rPr>
                <w:sz w:val="18"/>
                <w:szCs w:val="18"/>
              </w:rPr>
              <w:t>Clase 2.3</w:t>
            </w:r>
          </w:p>
        </w:tc>
        <w:tc>
          <w:tcPr>
            <w:tcW w:w="5670" w:type="dxa"/>
            <w:tcBorders>
              <w:bottom w:val="nil"/>
            </w:tcBorders>
          </w:tcPr>
          <w:p w14:paraId="491107A3" w14:textId="77777777" w:rsidR="00395B96" w:rsidRPr="00395B96" w:rsidRDefault="00395B96" w:rsidP="00395B96">
            <w:pPr>
              <w:spacing w:before="40" w:after="40"/>
              <w:jc w:val="left"/>
              <w:rPr>
                <w:rFonts w:eastAsia="MS Mincho"/>
                <w:sz w:val="18"/>
                <w:szCs w:val="18"/>
              </w:rPr>
            </w:pPr>
            <w:r>
              <w:rPr>
                <w:i/>
                <w:sz w:val="18"/>
                <w:szCs w:val="18"/>
              </w:rPr>
              <w:t>Beta</w:t>
            </w:r>
            <w:r>
              <w:rPr>
                <w:sz w:val="18"/>
                <w:szCs w:val="18"/>
              </w:rPr>
              <w:t>, a excepción de las clases 2.1 y 2.2.</w:t>
            </w:r>
          </w:p>
        </w:tc>
        <w:tc>
          <w:tcPr>
            <w:tcW w:w="2551" w:type="dxa"/>
            <w:tcBorders>
              <w:bottom w:val="nil"/>
            </w:tcBorders>
          </w:tcPr>
          <w:p w14:paraId="2D5ED7FA" w14:textId="77777777" w:rsidR="00395B96" w:rsidRPr="00395B96" w:rsidRDefault="00395B96" w:rsidP="00395B96">
            <w:pPr>
              <w:spacing w:before="40" w:after="40"/>
              <w:jc w:val="left"/>
              <w:rPr>
                <w:rFonts w:eastAsia="MS Mincho"/>
                <w:sz w:val="18"/>
                <w:szCs w:val="18"/>
              </w:rPr>
            </w:pPr>
            <w:r>
              <w:rPr>
                <w:sz w:val="18"/>
                <w:szCs w:val="18"/>
              </w:rPr>
              <w:t>a excepción de las clases 2.1</w:t>
            </w:r>
            <w:r>
              <w:rPr>
                <w:sz w:val="18"/>
                <w:szCs w:val="18"/>
              </w:rPr>
              <w:br/>
              <w:t>y 2.2.</w:t>
            </w:r>
          </w:p>
        </w:tc>
      </w:tr>
      <w:tr w:rsidR="00395B96" w:rsidRPr="00395B96" w14:paraId="2B7C3972" w14:textId="77777777" w:rsidTr="00395B96">
        <w:trPr>
          <w:cantSplit/>
        </w:trPr>
        <w:tc>
          <w:tcPr>
            <w:tcW w:w="1418" w:type="dxa"/>
            <w:tcBorders>
              <w:left w:val="nil"/>
              <w:bottom w:val="nil"/>
              <w:right w:val="nil"/>
            </w:tcBorders>
          </w:tcPr>
          <w:p w14:paraId="7C887D3A" w14:textId="77777777" w:rsidR="00395B96" w:rsidRPr="00395B96" w:rsidRDefault="00395B96" w:rsidP="00395B96">
            <w:pPr>
              <w:jc w:val="left"/>
              <w:rPr>
                <w:rFonts w:eastAsia="MS Mincho"/>
                <w:sz w:val="18"/>
              </w:rPr>
            </w:pPr>
          </w:p>
        </w:tc>
        <w:tc>
          <w:tcPr>
            <w:tcW w:w="5670" w:type="dxa"/>
            <w:tcBorders>
              <w:left w:val="nil"/>
              <w:bottom w:val="nil"/>
              <w:right w:val="nil"/>
            </w:tcBorders>
          </w:tcPr>
          <w:p w14:paraId="1B3905E5" w14:textId="77777777" w:rsidR="00395B96" w:rsidRPr="00395B96" w:rsidRDefault="00395B96" w:rsidP="00395B96">
            <w:pPr>
              <w:jc w:val="left"/>
              <w:rPr>
                <w:rFonts w:eastAsia="MS Mincho"/>
                <w:sz w:val="18"/>
              </w:rPr>
            </w:pPr>
          </w:p>
        </w:tc>
        <w:tc>
          <w:tcPr>
            <w:tcW w:w="2551" w:type="dxa"/>
            <w:tcBorders>
              <w:left w:val="nil"/>
              <w:bottom w:val="nil"/>
              <w:right w:val="nil"/>
            </w:tcBorders>
          </w:tcPr>
          <w:p w14:paraId="75A3E45A" w14:textId="77777777" w:rsidR="00395B96" w:rsidRPr="00395B96" w:rsidRDefault="00395B96" w:rsidP="00395B96">
            <w:pPr>
              <w:jc w:val="left"/>
              <w:rPr>
                <w:rFonts w:eastAsia="MS Mincho"/>
                <w:sz w:val="18"/>
              </w:rPr>
            </w:pPr>
          </w:p>
        </w:tc>
      </w:tr>
    </w:tbl>
    <w:p w14:paraId="40B15854" w14:textId="034D50D3" w:rsidR="00A62445" w:rsidRDefault="00A62445" w:rsidP="009B440E">
      <w:pPr>
        <w:jc w:val="left"/>
      </w:pPr>
    </w:p>
    <w:p w14:paraId="482272C3" w14:textId="77777777" w:rsidR="009F53BD" w:rsidRPr="0088502A" w:rsidRDefault="009F53BD" w:rsidP="009B440E">
      <w:pPr>
        <w:jc w:val="left"/>
      </w:pPr>
    </w:p>
    <w:p w14:paraId="6E965B51" w14:textId="77777777" w:rsidR="00A91A3A" w:rsidRPr="0088502A" w:rsidRDefault="00A91A3A" w:rsidP="009B440E">
      <w:pPr>
        <w:jc w:val="left"/>
      </w:pPr>
    </w:p>
    <w:p w14:paraId="193A133C" w14:textId="11295FEF" w:rsidR="00A62445" w:rsidRPr="0088502A" w:rsidRDefault="00A62445" w:rsidP="00A62445">
      <w:pPr>
        <w:jc w:val="right"/>
      </w:pPr>
      <w:r>
        <w:t xml:space="preserve">[Sigue el </w:t>
      </w:r>
      <w:r w:rsidR="006900F0">
        <w:t>Anexo II</w:t>
      </w:r>
      <w:r>
        <w:t>]</w:t>
      </w:r>
    </w:p>
    <w:p w14:paraId="6400B259" w14:textId="77777777" w:rsidR="00A62445" w:rsidRPr="0088502A" w:rsidRDefault="00A62445" w:rsidP="00A62445">
      <w:pPr>
        <w:jc w:val="left"/>
      </w:pPr>
    </w:p>
    <w:p w14:paraId="09C6DA1A" w14:textId="77777777" w:rsidR="00A62445" w:rsidRPr="0088502A" w:rsidRDefault="00A62445" w:rsidP="009B440E">
      <w:pPr>
        <w:jc w:val="left"/>
        <w:sectPr w:rsidR="00A62445" w:rsidRPr="0088502A" w:rsidSect="0004198B">
          <w:headerReference w:type="default" r:id="rId13"/>
          <w:headerReference w:type="first" r:id="rId14"/>
          <w:pgSz w:w="11907" w:h="16840" w:code="9"/>
          <w:pgMar w:top="510" w:right="1134" w:bottom="1134" w:left="1134" w:header="510" w:footer="680" w:gutter="0"/>
          <w:pgNumType w:start="1"/>
          <w:cols w:space="720"/>
          <w:titlePg/>
        </w:sectPr>
      </w:pPr>
    </w:p>
    <w:p w14:paraId="2CA9BBC9" w14:textId="77777777" w:rsidR="00394D60" w:rsidRPr="0088502A" w:rsidRDefault="00394D60" w:rsidP="00394D60">
      <w:pPr>
        <w:jc w:val="center"/>
      </w:pPr>
      <w:r>
        <w:lastRenderedPageBreak/>
        <w:t>DOCUMENTO TGP/7</w:t>
      </w:r>
    </w:p>
    <w:p w14:paraId="0695EB89" w14:textId="77777777" w:rsidR="008F3131" w:rsidRPr="0088502A" w:rsidRDefault="00394D60" w:rsidP="00394D60">
      <w:pPr>
        <w:jc w:val="center"/>
      </w:pPr>
      <w:r>
        <w:t>ELABORACIÓN DE LAS DIRECTRICES DE EXAMEN (REVISIÓN)</w:t>
      </w:r>
    </w:p>
    <w:p w14:paraId="40798E42" w14:textId="77777777" w:rsidR="00394D60" w:rsidRPr="0088502A" w:rsidRDefault="00394D60" w:rsidP="00394D60"/>
    <w:p w14:paraId="12534941" w14:textId="77777777" w:rsidR="00B2758C" w:rsidRPr="0088502A" w:rsidRDefault="00B2758C" w:rsidP="00394D60"/>
    <w:p w14:paraId="202DFCD6" w14:textId="580508F1" w:rsidR="00394D60" w:rsidRPr="009F07FA" w:rsidRDefault="008F3131" w:rsidP="004979C3">
      <w:pPr>
        <w:rPr>
          <w:u w:val="single"/>
        </w:rPr>
      </w:pPr>
      <w:r>
        <w:rPr>
          <w:u w:val="single"/>
        </w:rPr>
        <w:t>Conversión del Anexo</w:t>
      </w:r>
      <w:r w:rsidR="007218BF">
        <w:rPr>
          <w:u w:val="single"/>
        </w:rPr>
        <w:t> </w:t>
      </w:r>
      <w:r>
        <w:rPr>
          <w:u w:val="single"/>
        </w:rPr>
        <w:t>1 del documento</w:t>
      </w:r>
      <w:r w:rsidR="007218BF">
        <w:rPr>
          <w:u w:val="single"/>
        </w:rPr>
        <w:t> </w:t>
      </w:r>
      <w:r>
        <w:rPr>
          <w:u w:val="single"/>
        </w:rPr>
        <w:t>TGP/7: Estructura y texto estándar universal de los documentos TG (plantilla de las directrices de examen), conversión del párrafo</w:t>
      </w:r>
      <w:r w:rsidR="007218BF">
        <w:rPr>
          <w:u w:val="single"/>
        </w:rPr>
        <w:t> </w:t>
      </w:r>
      <w:r>
        <w:rPr>
          <w:u w:val="single"/>
        </w:rPr>
        <w:t>4.2.2 en texto opcional</w:t>
      </w:r>
    </w:p>
    <w:p w14:paraId="1F495664" w14:textId="77777777" w:rsidR="00394D60" w:rsidRPr="0088502A" w:rsidRDefault="00394D60" w:rsidP="00394D60">
      <w:pPr>
        <w:rPr>
          <w:u w:val="single"/>
        </w:rPr>
      </w:pPr>
    </w:p>
    <w:p w14:paraId="5B83FA17" w14:textId="02361C16" w:rsidR="003960E4" w:rsidRPr="0088502A" w:rsidRDefault="003415AF" w:rsidP="00394D60">
      <w:r>
        <w:fldChar w:fldCharType="begin"/>
      </w:r>
      <w:r>
        <w:instrText xml:space="preserve"> LISTNUM  LegalDefault \l 1 \s 1 </w:instrText>
      </w:r>
      <w:r>
        <w:fldChar w:fldCharType="end"/>
      </w:r>
      <w:r>
        <w:tab/>
        <w:t>Los antecedentes de esta cuestión figuran en los párrafos</w:t>
      </w:r>
      <w:r w:rsidR="007218BF">
        <w:t> </w:t>
      </w:r>
      <w:r>
        <w:t>38 a</w:t>
      </w:r>
      <w:r w:rsidR="007218BF">
        <w:t> </w:t>
      </w:r>
      <w:r>
        <w:t>40 del documento</w:t>
      </w:r>
      <w:r w:rsidR="007218BF">
        <w:t> </w:t>
      </w:r>
      <w:r>
        <w:t>TC/58/5 “Elaboración de orientaciones y material de información – Posibles futuras revisiones”.</w:t>
      </w:r>
    </w:p>
    <w:p w14:paraId="711E344C" w14:textId="77777777" w:rsidR="003960E4" w:rsidRPr="0088502A" w:rsidRDefault="003960E4" w:rsidP="00394D60">
      <w:pPr>
        <w:rPr>
          <w:u w:val="single"/>
        </w:rPr>
      </w:pPr>
    </w:p>
    <w:p w14:paraId="2EC92FB0" w14:textId="2DC16784" w:rsidR="00A50B03" w:rsidRPr="0088502A" w:rsidRDefault="003415AF" w:rsidP="00A50B03">
      <w:pPr>
        <w:rPr>
          <w:spacing w:val="-2"/>
        </w:rPr>
      </w:pPr>
      <w:r>
        <w:fldChar w:fldCharType="begin"/>
      </w:r>
      <w:r>
        <w:instrText xml:space="preserve"> LISTNUM  LegalDefault \l 1 </w:instrText>
      </w:r>
      <w:r>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fldChar w:fldCharType="begin"/>
      </w:r>
      <w:r>
        <w:instrText xml:space="preserve"> NOTEREF _Ref138847310 \f \h </w:instrText>
      </w:r>
      <w:r>
        <w:fldChar w:fldCharType="end"/>
      </w:r>
      <w:r>
        <w:t>, el</w:t>
      </w:r>
      <w:r w:rsidR="00345EFE">
        <w:t> </w:t>
      </w:r>
      <w:r>
        <w:t>TC convino en modificar el documento</w:t>
      </w:r>
      <w:r w:rsidR="00345EFE">
        <w:t> </w:t>
      </w:r>
      <w:r>
        <w:t>TGP/7 “Elaboración de las directrices de examen” con objeto de convertir el texto estándar del párrafo</w:t>
      </w:r>
      <w:r w:rsidR="00345EFE">
        <w:t> </w:t>
      </w:r>
      <w:r>
        <w:t>4.2.2 del Anexo</w:t>
      </w:r>
      <w:r w:rsidR="00345EFE">
        <w:t> </w:t>
      </w:r>
      <w:r>
        <w:t>1 del documento</w:t>
      </w:r>
      <w:r w:rsidR="00345EFE">
        <w:t> </w:t>
      </w:r>
      <w:r>
        <w:t>TGP/7: Estructura y texto estándar universal de los documentos</w:t>
      </w:r>
      <w:r w:rsidR="00345EFE">
        <w:t> </w:t>
      </w:r>
      <w:r>
        <w:t>TG (plantilla de las directrices de examen) en texto estándar adicional (opcional), según se expone en el párrafo</w:t>
      </w:r>
      <w:r w:rsidR="00345EFE">
        <w:t> </w:t>
      </w:r>
      <w:r>
        <w:t>39 del documento</w:t>
      </w:r>
      <w:r w:rsidR="00345EFE">
        <w:t> </w:t>
      </w:r>
      <w:r>
        <w:t>TC/58/5 “Elaboración de orientaciones y material de información – Posibles futuras revisiones” (véase el párrafo</w:t>
      </w:r>
      <w:r w:rsidR="00345EFE">
        <w:t> </w:t>
      </w:r>
      <w:r>
        <w:t>26 del documento</w:t>
      </w:r>
      <w:r w:rsidR="00345EFE">
        <w:t> </w:t>
      </w:r>
      <w:r>
        <w:t xml:space="preserve">TC/58/31 “Informe”) que se reproduce a continuación:  </w:t>
      </w:r>
    </w:p>
    <w:p w14:paraId="773731F3" w14:textId="77777777" w:rsidR="00DD7803" w:rsidRPr="0088502A" w:rsidRDefault="00DD7803" w:rsidP="00DD7803">
      <w:pPr>
        <w:rPr>
          <w:u w:val="single"/>
        </w:rPr>
      </w:pPr>
    </w:p>
    <w:p w14:paraId="1B842E44" w14:textId="39EE5B4D" w:rsidR="00DD7803" w:rsidRPr="0088502A" w:rsidRDefault="00DD7803" w:rsidP="00DD7803">
      <w:pPr>
        <w:ind w:left="567" w:right="459"/>
        <w:rPr>
          <w:spacing w:val="-2"/>
          <w:sz w:val="18"/>
        </w:rPr>
      </w:pPr>
      <w:r>
        <w:rPr>
          <w:sz w:val="18"/>
        </w:rPr>
        <w:t>“4.2.2</w:t>
      </w:r>
      <w:r>
        <w:rPr>
          <w:sz w:val="18"/>
        </w:rPr>
        <w:tab/>
        <w:t>Las presentes directrices de examen han sido desarrolladas para el examen de variedades [tipo o tipos de reproducción o multiplicación]. En el caso de variedades con otros tipos de reproducción o de multiplicación, deberán seguirse las recomendaciones que figuran en la Introducción General y en la sección</w:t>
      </w:r>
      <w:r w:rsidR="00345EFE">
        <w:rPr>
          <w:sz w:val="18"/>
        </w:rPr>
        <w:t> </w:t>
      </w:r>
      <w:r>
        <w:rPr>
          <w:sz w:val="18"/>
        </w:rPr>
        <w:t>4.5 “Examen de la homogeneidad” del documento</w:t>
      </w:r>
      <w:r w:rsidR="00345EFE">
        <w:rPr>
          <w:sz w:val="18"/>
        </w:rPr>
        <w:t> </w:t>
      </w:r>
      <w:r>
        <w:rPr>
          <w:sz w:val="18"/>
        </w:rPr>
        <w:t>TGP/13 “Orientaciones para nuevos tipos y especies”.</w:t>
      </w:r>
    </w:p>
    <w:p w14:paraId="38EFAB43" w14:textId="77777777" w:rsidR="00DD7803" w:rsidRPr="0088502A" w:rsidRDefault="00DD7803" w:rsidP="00394D60">
      <w:pPr>
        <w:rPr>
          <w:u w:val="single"/>
        </w:rPr>
      </w:pPr>
    </w:p>
    <w:p w14:paraId="5D8A0AE5" w14:textId="77777777" w:rsidR="00DD7803" w:rsidRPr="0088502A" w:rsidRDefault="00DD7803" w:rsidP="00394D60">
      <w:pPr>
        <w:rPr>
          <w:u w:val="single"/>
        </w:rPr>
      </w:pPr>
    </w:p>
    <w:p w14:paraId="13D0E011" w14:textId="6A147DFE" w:rsidR="008F3131" w:rsidRPr="0088502A" w:rsidRDefault="008F3131" w:rsidP="004979C3">
      <w:pPr>
        <w:rPr>
          <w:u w:val="single"/>
        </w:rPr>
      </w:pPr>
      <w:r>
        <w:rPr>
          <w:u w:val="single"/>
        </w:rPr>
        <w:t>Caracteres de resistencia a enfermedades: adición de un nivel de expresión y colocación de los caracteres de resistencia a enfermedades no señalados con asterisco en la sección</w:t>
      </w:r>
      <w:r w:rsidR="00345EFE">
        <w:rPr>
          <w:u w:val="single"/>
        </w:rPr>
        <w:t> </w:t>
      </w:r>
      <w:r>
        <w:rPr>
          <w:u w:val="single"/>
        </w:rPr>
        <w:t xml:space="preserve">5 del cuestionario técnico </w:t>
      </w:r>
    </w:p>
    <w:p w14:paraId="4F309CBB" w14:textId="77777777" w:rsidR="00585833" w:rsidRPr="0088502A" w:rsidRDefault="00585833" w:rsidP="00585833"/>
    <w:p w14:paraId="16F98063" w14:textId="77777777" w:rsidR="003960E4" w:rsidRPr="0088502A" w:rsidRDefault="003960E4" w:rsidP="00585833">
      <w:pPr>
        <w:rPr>
          <w:i/>
        </w:rPr>
      </w:pPr>
      <w:r>
        <w:rPr>
          <w:i/>
        </w:rPr>
        <w:t>Antecedentes</w:t>
      </w:r>
    </w:p>
    <w:p w14:paraId="7CBF1041" w14:textId="77777777" w:rsidR="003960E4" w:rsidRPr="0088502A" w:rsidRDefault="003960E4" w:rsidP="00585833"/>
    <w:p w14:paraId="48DF99F4" w14:textId="1F44F394" w:rsidR="00585833" w:rsidRPr="0088502A" w:rsidRDefault="003415AF" w:rsidP="00585833">
      <w:pPr>
        <w:keepNext/>
        <w:contextualSpacing/>
      </w:pPr>
      <w:r>
        <w:fldChar w:fldCharType="begin"/>
      </w:r>
      <w:r>
        <w:instrText xml:space="preserve"> LISTNUM  LegalDefault \l 1 </w:instrText>
      </w:r>
      <w:r>
        <w:fldChar w:fldCharType="end"/>
      </w:r>
      <w:r>
        <w:tab/>
        <w:t>En su quincuagésima quinta sesión</w:t>
      </w:r>
      <w:r w:rsidR="00585833" w:rsidRPr="0088502A">
        <w:rPr>
          <w:vertAlign w:val="superscript"/>
        </w:rPr>
        <w:footnoteReference w:id="14"/>
      </w:r>
      <w:r>
        <w:t>, el</w:t>
      </w:r>
      <w:r w:rsidR="00345EFE">
        <w:t> </w:t>
      </w:r>
      <w:r>
        <w:t>TWV acordó proponer que los caracteres de resistencia a las enfermedades se presenten en la sección</w:t>
      </w:r>
      <w:r w:rsidR="00345EFE">
        <w:t> </w:t>
      </w:r>
      <w:r>
        <w:t>5 del cuestionario técnico, añadiendo el nivel de expresión “no examinada” en caso de que el carácter no esté señalado con un asterisco en la tabla de caracteres (véanse los párrafos</w:t>
      </w:r>
      <w:r w:rsidR="00345EFE">
        <w:t> </w:t>
      </w:r>
      <w:r>
        <w:t>37 a</w:t>
      </w:r>
      <w:r w:rsidR="00345EFE">
        <w:t> </w:t>
      </w:r>
      <w:r>
        <w:t>39 del documento</w:t>
      </w:r>
      <w:r w:rsidR="00345EFE">
        <w:t> </w:t>
      </w:r>
      <w:r>
        <w:t xml:space="preserve">TWV55/16 </w:t>
      </w:r>
      <w:r>
        <w:rPr>
          <w:i/>
        </w:rPr>
        <w:t>“Report”</w:t>
      </w:r>
      <w:r>
        <w:t xml:space="preserve"> (informe)).</w:t>
      </w:r>
    </w:p>
    <w:p w14:paraId="452207B9" w14:textId="77777777" w:rsidR="00A50B03" w:rsidRPr="0088502A" w:rsidRDefault="00A50B03" w:rsidP="00A50B03">
      <w:pPr>
        <w:ind w:right="567"/>
      </w:pPr>
    </w:p>
    <w:p w14:paraId="458F1521" w14:textId="5C24212D" w:rsidR="00A50B03" w:rsidRPr="0088502A" w:rsidRDefault="003415AF" w:rsidP="00A50B03">
      <w:r>
        <w:fldChar w:fldCharType="begin"/>
      </w:r>
      <w:r>
        <w:instrText xml:space="preserve"> LISTNUM  LegalDefault \l 1 </w:instrText>
      </w:r>
      <w:r>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w:t>
      </w:r>
      <w:r w:rsidR="002D1227">
        <w:t> </w:t>
      </w:r>
      <w:r>
        <w:t>TC convino en invitar a la</w:t>
      </w:r>
      <w:r w:rsidR="002D1227">
        <w:t> </w:t>
      </w:r>
      <w:r>
        <w:t>Oficina de la</w:t>
      </w:r>
      <w:r w:rsidR="002D1227">
        <w:t> </w:t>
      </w:r>
      <w:r>
        <w:t>Unión a presentar una propuesta a los</w:t>
      </w:r>
      <w:r w:rsidR="002D1227">
        <w:t> </w:t>
      </w:r>
      <w:r>
        <w:t>TWP, en sus sesiones de</w:t>
      </w:r>
      <w:r w:rsidR="002D1227">
        <w:t> </w:t>
      </w:r>
      <w:r>
        <w:t>2023, de modificar la nota orientativa</w:t>
      </w:r>
      <w:r w:rsidR="002D1227">
        <w:t> </w:t>
      </w:r>
      <w:r>
        <w:t>GN 13 “Caracteres con funciones específicas” del documento</w:t>
      </w:r>
      <w:r w:rsidR="002D1227">
        <w:t> </w:t>
      </w:r>
      <w:r>
        <w:t>TGP/7, a fin de aclarar que los caracteres de resistencia a enfermedades no obligatorios han de presentarse en la sección</w:t>
      </w:r>
      <w:r w:rsidR="002D1227">
        <w:t> </w:t>
      </w:r>
      <w:r>
        <w:t>5 del cuestionario técnico con el añadido del nivel de expresión “no examinada” (véase el párrafo</w:t>
      </w:r>
      <w:r w:rsidR="002D1227">
        <w:t> </w:t>
      </w:r>
      <w:r>
        <w:t>27 del documento</w:t>
      </w:r>
      <w:r w:rsidR="002D1227">
        <w:t> </w:t>
      </w:r>
      <w:r>
        <w:t>TC/58/31 “Informe”).</w:t>
      </w:r>
    </w:p>
    <w:p w14:paraId="1D2A736C" w14:textId="77777777" w:rsidR="00A50B03" w:rsidRPr="0088502A" w:rsidRDefault="00A50B03" w:rsidP="00A50B03"/>
    <w:p w14:paraId="009AC750" w14:textId="53CE2C00" w:rsidR="003960E4" w:rsidRPr="0088502A" w:rsidRDefault="003960E4" w:rsidP="00A50B03">
      <w:pPr>
        <w:rPr>
          <w:i/>
        </w:rPr>
      </w:pPr>
      <w:r>
        <w:rPr>
          <w:i/>
        </w:rPr>
        <w:t>Examen de los Grupos de Trabajo Técnico en sus sesiones de</w:t>
      </w:r>
      <w:r w:rsidR="002D1227">
        <w:rPr>
          <w:i/>
        </w:rPr>
        <w:t> </w:t>
      </w:r>
      <w:r>
        <w:rPr>
          <w:i/>
        </w:rPr>
        <w:t>2023</w:t>
      </w:r>
    </w:p>
    <w:p w14:paraId="4CDCE9B4" w14:textId="77777777" w:rsidR="003960E4" w:rsidRPr="0088502A" w:rsidRDefault="003960E4" w:rsidP="00A50B03"/>
    <w:p w14:paraId="51FE8D96" w14:textId="0975A6E1" w:rsidR="002A54FC" w:rsidRPr="0088502A" w:rsidRDefault="003415AF" w:rsidP="002A54FC">
      <w:r>
        <w:fldChar w:fldCharType="begin"/>
      </w:r>
      <w:r>
        <w:instrText xml:space="preserve"> LISTNUM  LegalDefault \l 1 </w:instrText>
      </w:r>
      <w:r>
        <w:fldChar w:fldCharType="end"/>
      </w:r>
      <w:r>
        <w:tab/>
        <w:t>En sus sesiones de</w:t>
      </w:r>
      <w:r w:rsidR="002D1227">
        <w:t> </w:t>
      </w:r>
      <w:r>
        <w:t>2023, el</w:t>
      </w:r>
      <w:r w:rsidR="002D1227">
        <w:t> </w:t>
      </w:r>
      <w:r>
        <w:t>TWV y el</w:t>
      </w:r>
      <w:r w:rsidR="002D1227">
        <w:t> </w:t>
      </w:r>
      <w:r>
        <w:t>TWA convinieron en modificar la nota orientativa</w:t>
      </w:r>
      <w:r w:rsidR="002D1227">
        <w:t> </w:t>
      </w:r>
      <w:r>
        <w:t>GN 13 “Caracteres con funciones específicas” del documento</w:t>
      </w:r>
      <w:r w:rsidR="002D1227">
        <w:t> </w:t>
      </w:r>
      <w:r>
        <w:t>TGP/7 para aclarar que los caracteres de resistencia a las enfermedades pueden presentarse en la sección</w:t>
      </w:r>
      <w:r w:rsidR="002D1227">
        <w:t> </w:t>
      </w:r>
      <w:r>
        <w:t>5 del cuestionario técnico añadiendo el nivel de expresión “no examinada” en caso de que el carácter no esté señalado con un asterisco en la tabla de caracteres (véanse el párrafo</w:t>
      </w:r>
      <w:r w:rsidR="002D1227">
        <w:t> </w:t>
      </w:r>
      <w:r>
        <w:t>14 del documento</w:t>
      </w:r>
      <w:r w:rsidR="002D1227">
        <w:t> </w:t>
      </w:r>
      <w:r>
        <w:t xml:space="preserve">TWV/57/26 </w:t>
      </w:r>
      <w:r>
        <w:rPr>
          <w:i/>
        </w:rPr>
        <w:t>“Report”</w:t>
      </w:r>
      <w:r>
        <w:t xml:space="preserve"> (informe) y el párrafo</w:t>
      </w:r>
      <w:r w:rsidR="002D1227">
        <w:t> </w:t>
      </w:r>
      <w:r>
        <w:t>19 del documento</w:t>
      </w:r>
      <w:r w:rsidR="002D1227">
        <w:t> </w:t>
      </w:r>
      <w:r>
        <w:t xml:space="preserve">TWA/52/11 </w:t>
      </w:r>
      <w:r>
        <w:rPr>
          <w:i/>
        </w:rPr>
        <w:t>“Report”</w:t>
      </w:r>
      <w:r>
        <w:t xml:space="preserve"> (informe)).</w:t>
      </w:r>
    </w:p>
    <w:p w14:paraId="2D8A87B7" w14:textId="77777777" w:rsidR="0055644C" w:rsidRPr="0088502A" w:rsidRDefault="0055644C" w:rsidP="002A54FC"/>
    <w:p w14:paraId="36853140" w14:textId="77777777" w:rsidR="0055644C" w:rsidRPr="0088502A" w:rsidRDefault="0055644C" w:rsidP="00312E7F">
      <w:pPr>
        <w:rPr>
          <w:i/>
        </w:rPr>
      </w:pPr>
      <w:r>
        <w:rPr>
          <w:i/>
        </w:rPr>
        <w:t>Propuesta</w:t>
      </w:r>
    </w:p>
    <w:p w14:paraId="2EBF3FD0" w14:textId="77777777" w:rsidR="0055644C" w:rsidRPr="0088502A" w:rsidRDefault="0055644C" w:rsidP="002A54FC"/>
    <w:p w14:paraId="79FFE70D" w14:textId="4CF7020F" w:rsidR="0055644C" w:rsidRPr="0088502A" w:rsidRDefault="003415AF" w:rsidP="002A54FC">
      <w:r>
        <w:fldChar w:fldCharType="begin"/>
      </w:r>
      <w:r>
        <w:instrText xml:space="preserve"> LISTNUM  LegalDefault \l 1 </w:instrText>
      </w:r>
      <w:r>
        <w:fldChar w:fldCharType="end"/>
      </w:r>
      <w:r>
        <w:tab/>
        <w:t>A partir de los comentarios formulados por los</w:t>
      </w:r>
      <w:r w:rsidR="002D1227">
        <w:t> </w:t>
      </w:r>
      <w:r>
        <w:t>TWP en sus sesiones de</w:t>
      </w:r>
      <w:r w:rsidR="002D1227">
        <w:t> </w:t>
      </w:r>
      <w:r>
        <w:t>2023, se propone modificar el párrafo</w:t>
      </w:r>
      <w:r w:rsidR="002D1227">
        <w:t> </w:t>
      </w:r>
      <w:r>
        <w:t>3.6 de la nota orientativa GN</w:t>
      </w:r>
      <w:r w:rsidR="002D1227">
        <w:t> </w:t>
      </w:r>
      <w:r>
        <w:t>13 del documento</w:t>
      </w:r>
      <w:r w:rsidR="002D1227">
        <w:t> </w:t>
      </w:r>
      <w:r>
        <w:t xml:space="preserve">TGP/7 para que rece lo siguiente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694FCB6A" w14:textId="77777777" w:rsidR="00840417" w:rsidRPr="0088502A" w:rsidRDefault="00840417" w:rsidP="002A54FC"/>
    <w:p w14:paraId="353B9EB7" w14:textId="669BB96B" w:rsidR="00840417" w:rsidRPr="0088502A" w:rsidRDefault="00840417" w:rsidP="00E85A20">
      <w:pPr>
        <w:keepLines/>
        <w:ind w:left="567" w:right="567"/>
        <w:rPr>
          <w:rFonts w:cs="Arial"/>
          <w:color w:val="000000"/>
        </w:rPr>
      </w:pPr>
      <w:r>
        <w:rPr>
          <w:snapToGrid w:val="0"/>
        </w:rPr>
        <w:lastRenderedPageBreak/>
        <w:t>“3.6</w:t>
      </w:r>
      <w:r>
        <w:rPr>
          <w:snapToGrid w:val="0"/>
        </w:rPr>
        <w:tab/>
        <w:t>En la nota orientativa GN</w:t>
      </w:r>
      <w:r w:rsidR="002D1227">
        <w:rPr>
          <w:snapToGrid w:val="0"/>
        </w:rPr>
        <w:t> </w:t>
      </w:r>
      <w:r>
        <w:rPr>
          <w:snapToGrid w:val="0"/>
        </w:rPr>
        <w:t>13.4.b) se explica que “Por lo general,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w:t>
      </w:r>
      <w:r>
        <w:rPr>
          <w:color w:val="000000"/>
        </w:rPr>
        <w:t xml:space="preserve">Debido a esos mismos obstáculos, los solicitantes podrían tener dificultades en suministrar la información sobre esos caracteres </w:t>
      </w:r>
      <w:r>
        <w:rPr>
          <w:strike/>
          <w:color w:val="000000"/>
          <w:highlight w:val="lightGray"/>
        </w:rPr>
        <w:t>si figuran en la sección</w:t>
      </w:r>
      <w:r w:rsidR="002D1227">
        <w:rPr>
          <w:strike/>
          <w:color w:val="000000"/>
          <w:highlight w:val="lightGray"/>
        </w:rPr>
        <w:t> </w:t>
      </w:r>
      <w:r>
        <w:rPr>
          <w:strike/>
          <w:color w:val="000000"/>
          <w:highlight w:val="lightGray"/>
        </w:rPr>
        <w:t xml:space="preserve">5 del </w:t>
      </w:r>
      <w:r>
        <w:rPr>
          <w:strike/>
          <w:snapToGrid w:val="0"/>
          <w:color w:val="000000"/>
          <w:highlight w:val="lightGray"/>
        </w:rPr>
        <w:t>Cuestionario Técnico</w:t>
      </w:r>
      <w:r>
        <w:rPr>
          <w:strike/>
          <w:color w:val="000000"/>
          <w:highlight w:val="lightGray"/>
        </w:rPr>
        <w:t xml:space="preserve"> “Caracteres de la variedad que se deben indicar”</w:t>
      </w:r>
      <w:r>
        <w:rPr>
          <w:color w:val="000000"/>
        </w:rPr>
        <w:t xml:space="preserve">. </w:t>
      </w:r>
      <w:r>
        <w:t>Así pues</w:t>
      </w:r>
      <w:r>
        <w:rPr>
          <w:color w:val="000000"/>
        </w:rPr>
        <w:t xml:space="preserve">, </w:t>
      </w:r>
      <w:r>
        <w:rPr>
          <w:highlight w:val="lightGray"/>
          <w:u w:val="single"/>
        </w:rPr>
        <w:t>los caracteres de resistencia a las enfermedades pueden presentarse en la sección</w:t>
      </w:r>
      <w:r w:rsidR="002D1227">
        <w:rPr>
          <w:highlight w:val="lightGray"/>
          <w:u w:val="single"/>
        </w:rPr>
        <w:t> </w:t>
      </w:r>
      <w:r>
        <w:rPr>
          <w:highlight w:val="lightGray"/>
          <w:u w:val="single"/>
        </w:rPr>
        <w:t>5 del cuestionario técnico añadiendo el nivel de expresión “no examinada” en caso de que el carácter no esté señalado con un asterisco en la tabla de caracteres y no se utilice como carácter de agrupamiento.</w:t>
      </w:r>
      <w:r>
        <w:rPr>
          <w:u w:val="single"/>
        </w:rPr>
        <w:t xml:space="preserve"> </w:t>
      </w:r>
      <w:r>
        <w:rPr>
          <w:strike/>
          <w:color w:val="000000"/>
          <w:highlight w:val="lightGray"/>
        </w:rPr>
        <w:t>la información sobre esos caracteres debería figurar en la sección</w:t>
      </w:r>
      <w:r w:rsidR="002D1227">
        <w:rPr>
          <w:strike/>
          <w:color w:val="000000"/>
          <w:highlight w:val="lightGray"/>
        </w:rPr>
        <w:t> </w:t>
      </w:r>
      <w:r>
        <w:rPr>
          <w:strike/>
          <w:color w:val="000000"/>
          <w:highlight w:val="lightGray"/>
        </w:rPr>
        <w:t xml:space="preserve">7 del </w:t>
      </w:r>
      <w:r>
        <w:rPr>
          <w:strike/>
          <w:snapToGrid w:val="0"/>
          <w:color w:val="000000"/>
          <w:highlight w:val="lightGray"/>
        </w:rPr>
        <w:t>Cuestionario Técnico</w:t>
      </w:r>
      <w:r>
        <w:rPr>
          <w:strike/>
          <w:color w:val="000000"/>
          <w:highlight w:val="lightGray"/>
        </w:rPr>
        <w:t xml:space="preserve"> “Información complementaria que pueda facilitar el examen de la variedad”.</w:t>
      </w:r>
      <w:r>
        <w:rPr>
          <w:color w:val="000000"/>
        </w:rPr>
        <w:t xml:space="preserve"> </w:t>
      </w:r>
      <w:r>
        <w:rPr>
          <w:strike/>
          <w:color w:val="000000"/>
          <w:highlight w:val="lightGray"/>
        </w:rPr>
        <w:t>Las orientaciones sobre la presentación de caracteres que figuren en la sección</w:t>
      </w:r>
      <w:r w:rsidR="002D1227">
        <w:rPr>
          <w:strike/>
          <w:color w:val="000000"/>
          <w:highlight w:val="lightGray"/>
        </w:rPr>
        <w:t> </w:t>
      </w:r>
      <w:r>
        <w:rPr>
          <w:strike/>
          <w:color w:val="000000"/>
          <w:highlight w:val="lightGray"/>
        </w:rPr>
        <w:t>5 (véanse las notas</w:t>
      </w:r>
      <w:r w:rsidR="002D1227">
        <w:rPr>
          <w:strike/>
          <w:color w:val="000000"/>
          <w:highlight w:val="lightGray"/>
        </w:rPr>
        <w:t> </w:t>
      </w:r>
      <w:r>
        <w:rPr>
          <w:strike/>
          <w:color w:val="000000"/>
          <w:highlight w:val="lightGray"/>
        </w:rPr>
        <w:t>GN 13.3 y</w:t>
      </w:r>
      <w:r w:rsidR="002D1227">
        <w:rPr>
          <w:strike/>
          <w:color w:val="000000"/>
          <w:highlight w:val="lightGray"/>
        </w:rPr>
        <w:t> </w:t>
      </w:r>
      <w:r>
        <w:rPr>
          <w:strike/>
          <w:color w:val="000000"/>
          <w:highlight w:val="lightGray"/>
        </w:rPr>
        <w:t>13.4 supra) también serían aplicables para la presentación de caracteres en la sección</w:t>
      </w:r>
      <w:r w:rsidR="002D1227">
        <w:rPr>
          <w:strike/>
          <w:color w:val="000000"/>
          <w:highlight w:val="lightGray"/>
        </w:rPr>
        <w:t> </w:t>
      </w:r>
      <w:r>
        <w:rPr>
          <w:strike/>
          <w:color w:val="000000"/>
          <w:highlight w:val="lightGray"/>
        </w:rPr>
        <w:t>7.”</w:t>
      </w:r>
    </w:p>
    <w:p w14:paraId="4B4499F6" w14:textId="77777777" w:rsidR="00840417" w:rsidRPr="0088502A" w:rsidRDefault="00840417" w:rsidP="002A54FC"/>
    <w:p w14:paraId="21D35726" w14:textId="77777777" w:rsidR="0055644C" w:rsidRPr="0088502A" w:rsidRDefault="0055644C" w:rsidP="00456825">
      <w:pPr>
        <w:jc w:val="right"/>
        <w:rPr>
          <w:rFonts w:cs="Arial"/>
          <w:sz w:val="18"/>
        </w:rPr>
      </w:pPr>
    </w:p>
    <w:p w14:paraId="43C30C0B" w14:textId="77777777" w:rsidR="0055644C" w:rsidRPr="0088502A" w:rsidRDefault="0055644C" w:rsidP="00456825">
      <w:pPr>
        <w:jc w:val="right"/>
        <w:rPr>
          <w:rFonts w:cs="Arial"/>
          <w:sz w:val="18"/>
        </w:rPr>
      </w:pPr>
    </w:p>
    <w:p w14:paraId="2CB1E787" w14:textId="4E7E421B" w:rsidR="00A62445" w:rsidRPr="0088502A" w:rsidRDefault="00A62445" w:rsidP="00456825">
      <w:pPr>
        <w:jc w:val="right"/>
        <w:rPr>
          <w:rFonts w:cs="Arial"/>
          <w:sz w:val="18"/>
        </w:rPr>
      </w:pPr>
      <w:r>
        <w:t xml:space="preserve">[Sigue el </w:t>
      </w:r>
      <w:r w:rsidR="006900F0">
        <w:t>Anexo</w:t>
      </w:r>
      <w:r w:rsidR="002D1227">
        <w:t> </w:t>
      </w:r>
      <w:r w:rsidR="006900F0">
        <w:t>III</w:t>
      </w:r>
      <w:r>
        <w:t>]</w:t>
      </w:r>
    </w:p>
    <w:p w14:paraId="400BDE3D" w14:textId="77777777" w:rsidR="00A62445" w:rsidRPr="0088502A" w:rsidRDefault="00A62445" w:rsidP="009B440E">
      <w:pPr>
        <w:jc w:val="left"/>
        <w:sectPr w:rsidR="00A62445" w:rsidRPr="0088502A" w:rsidSect="0004198B">
          <w:headerReference w:type="default" r:id="rId15"/>
          <w:headerReference w:type="first" r:id="rId16"/>
          <w:pgSz w:w="11907" w:h="16840" w:code="9"/>
          <w:pgMar w:top="510" w:right="1134" w:bottom="1134" w:left="1134" w:header="510" w:footer="680" w:gutter="0"/>
          <w:pgNumType w:start="1"/>
          <w:cols w:space="720"/>
          <w:titlePg/>
        </w:sectPr>
      </w:pPr>
    </w:p>
    <w:p w14:paraId="65489669" w14:textId="08E62C30" w:rsidR="001F009B" w:rsidRPr="0088502A" w:rsidRDefault="001F009B" w:rsidP="00394D60">
      <w:pPr>
        <w:jc w:val="center"/>
      </w:pPr>
      <w:r>
        <w:lastRenderedPageBreak/>
        <w:t>PROPUESTA DE FUTURAS REVISIONES DE LAS ORIENTACIONES Y EL MATERIAL DE INFORMACIÓN</w:t>
      </w:r>
      <w:r w:rsidR="002D1227">
        <w:t xml:space="preserve"> </w:t>
      </w:r>
      <w:r>
        <w:t>QUE SE ESTÁN ESTUDIANDO EN EL COMITÉ TÉCNICO</w:t>
      </w:r>
    </w:p>
    <w:p w14:paraId="2CBF1FF9" w14:textId="77777777" w:rsidR="00394D60" w:rsidRPr="0088502A" w:rsidRDefault="00394D60" w:rsidP="00394D60"/>
    <w:p w14:paraId="3B3A6787" w14:textId="5698BAD3" w:rsidR="00B2758C" w:rsidRPr="0088502A" w:rsidRDefault="003415AF" w:rsidP="00394D60">
      <w:r>
        <w:fldChar w:fldCharType="begin"/>
      </w:r>
      <w:r>
        <w:instrText xml:space="preserve"> LISTNUM  LegalDefault \l 1 \s 1 </w:instrText>
      </w:r>
      <w:r>
        <w:fldChar w:fldCharType="end"/>
      </w:r>
      <w:r>
        <w:tab/>
        <w:t>En la sección siguiente se informa de los debates del</w:t>
      </w:r>
      <w:r w:rsidR="002D1227">
        <w:t> </w:t>
      </w:r>
      <w:r>
        <w:t>Comité Técnico que no se someten a la aprobación del</w:t>
      </w:r>
      <w:r w:rsidR="002D1227">
        <w:t> </w:t>
      </w:r>
      <w:r>
        <w:t xml:space="preserve">Consejo en esta fase. </w:t>
      </w:r>
    </w:p>
    <w:p w14:paraId="4AA2783D" w14:textId="77777777" w:rsidR="004769F7" w:rsidRPr="004D0062" w:rsidRDefault="004769F7" w:rsidP="00394D60">
      <w:pPr>
        <w:rPr>
          <w:sz w:val="16"/>
          <w:szCs w:val="16"/>
        </w:rPr>
      </w:pPr>
    </w:p>
    <w:p w14:paraId="55EB9FF7" w14:textId="77777777" w:rsidR="004769F7" w:rsidRPr="004D0062" w:rsidRDefault="004769F7" w:rsidP="004769F7">
      <w:pPr>
        <w:rPr>
          <w:sz w:val="16"/>
          <w:szCs w:val="16"/>
        </w:rPr>
      </w:pPr>
    </w:p>
    <w:p w14:paraId="4B649E79" w14:textId="77777777" w:rsidR="004769F7" w:rsidRPr="0088502A" w:rsidRDefault="004769F7" w:rsidP="00D86905">
      <w:pPr>
        <w:rPr>
          <w:u w:val="single"/>
        </w:rPr>
      </w:pPr>
      <w:r>
        <w:rPr>
          <w:u w:val="single"/>
        </w:rPr>
        <w:t>a)</w:t>
      </w:r>
      <w:r>
        <w:rPr>
          <w:u w:val="single"/>
        </w:rPr>
        <w:tab/>
        <w:t>Notas explicativas:</w:t>
      </w:r>
    </w:p>
    <w:p w14:paraId="6E205654" w14:textId="77777777" w:rsidR="004769F7" w:rsidRPr="0088502A" w:rsidRDefault="004769F7" w:rsidP="004769F7">
      <w:pPr>
        <w:ind w:left="567"/>
        <w:jc w:val="left"/>
      </w:pPr>
    </w:p>
    <w:p w14:paraId="699CD491" w14:textId="18AB2D0D" w:rsidR="004769F7" w:rsidRPr="0088502A" w:rsidRDefault="004769F7" w:rsidP="00D86905">
      <w:pPr>
        <w:rPr>
          <w:rFonts w:cs="Arial"/>
          <w:i/>
          <w:snapToGrid w:val="0"/>
        </w:rPr>
      </w:pPr>
      <w:r>
        <w:rPr>
          <w:i/>
        </w:rPr>
        <w:t xml:space="preserve">UPOV/EXN/DEN </w:t>
      </w:r>
      <w:r>
        <w:rPr>
          <w:b/>
          <w:i/>
        </w:rPr>
        <w:tab/>
      </w:r>
      <w:r>
        <w:rPr>
          <w:i/>
        </w:rPr>
        <w:t>Notas explicativas sobre las denominaciones de variedades con arreglo al convenio de la</w:t>
      </w:r>
      <w:r w:rsidR="002D1227">
        <w:rPr>
          <w:i/>
        </w:rPr>
        <w:t> </w:t>
      </w:r>
      <w:r>
        <w:rPr>
          <w:i/>
        </w:rPr>
        <w:t>UPOV (revisión)</w:t>
      </w:r>
    </w:p>
    <w:p w14:paraId="4093A8D9" w14:textId="77777777" w:rsidR="004769F7" w:rsidRPr="0088502A" w:rsidRDefault="004769F7" w:rsidP="004769F7"/>
    <w:p w14:paraId="7BC1756E" w14:textId="77777777" w:rsidR="004769F7" w:rsidRPr="0088502A" w:rsidRDefault="004769F7" w:rsidP="009F0366">
      <w:pPr>
        <w:ind w:left="709"/>
        <w:rPr>
          <w:u w:val="single"/>
        </w:rPr>
      </w:pPr>
      <w:bookmarkStart w:id="64" w:name="_Toc140511420"/>
      <w:r>
        <w:rPr>
          <w:u w:val="single"/>
        </w:rPr>
        <w:t xml:space="preserve">Modificación de las clases de denominación de variedades de </w:t>
      </w:r>
      <w:r>
        <w:rPr>
          <w:i/>
          <w:u w:val="single"/>
        </w:rPr>
        <w:t>Brassica</w:t>
      </w:r>
      <w:bookmarkEnd w:id="64"/>
    </w:p>
    <w:p w14:paraId="47C2ECAE" w14:textId="77777777" w:rsidR="004769F7" w:rsidRPr="0088502A" w:rsidRDefault="004769F7" w:rsidP="004769F7"/>
    <w:p w14:paraId="1BFEA275" w14:textId="04C28814" w:rsidR="004769F7" w:rsidRPr="0088502A" w:rsidRDefault="003415AF" w:rsidP="004769F7">
      <w:pPr>
        <w:rPr>
          <w:spacing w:val="-2"/>
        </w:rPr>
      </w:pPr>
      <w:r>
        <w:fldChar w:fldCharType="begin"/>
      </w:r>
      <w:r>
        <w:instrText xml:space="preserve"> LISTNUM  LegalDefault \l 1 </w:instrText>
      </w:r>
      <w:r>
        <w:fldChar w:fldCharType="end"/>
      </w:r>
      <w:r>
        <w:tab/>
        <w:t>Los antecedentes de esta cuestión se exponen en el documento TC/58/15 “Denominaciones de variedades”. El</w:t>
      </w:r>
      <w:r w:rsidR="002D1227">
        <w:t> </w:t>
      </w:r>
      <w:r>
        <w:t>TWV, en su quincuagésima séptima sesión</w:t>
      </w:r>
      <w:r w:rsidR="004E5F31" w:rsidRPr="004E5F31">
        <w:rPr>
          <w:vertAlign w:val="superscript"/>
        </w:rPr>
        <w:fldChar w:fldCharType="begin"/>
      </w:r>
      <w:r w:rsidR="004E5F31" w:rsidRPr="004E5F31">
        <w:rPr>
          <w:vertAlign w:val="superscript"/>
        </w:rPr>
        <w:instrText xml:space="preserve"> NOTEREF _Ref145614610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7</w:t>
      </w:r>
      <w:r w:rsidR="004E5F31" w:rsidRPr="004E5F31">
        <w:rPr>
          <w:vertAlign w:val="superscript"/>
        </w:rPr>
        <w:fldChar w:fldCharType="end"/>
      </w:r>
      <w:r>
        <w:t>, y el</w:t>
      </w:r>
      <w:r w:rsidR="006C26EB">
        <w:t> </w:t>
      </w:r>
      <w:r>
        <w:t>TWA, en su quincuagésima segunda sesión</w:t>
      </w:r>
      <w:r w:rsidR="004E5F31" w:rsidRPr="004E5F31">
        <w:rPr>
          <w:vertAlign w:val="superscript"/>
        </w:rPr>
        <w:fldChar w:fldCharType="begin"/>
      </w:r>
      <w:r w:rsidR="004E5F31" w:rsidRPr="004E5F31">
        <w:rPr>
          <w:vertAlign w:val="superscript"/>
        </w:rPr>
        <w:instrText xml:space="preserve"> NOTEREF _Ref138846618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8</w:t>
      </w:r>
      <w:r w:rsidR="004E5F31" w:rsidRPr="004E5F31">
        <w:rPr>
          <w:vertAlign w:val="superscript"/>
        </w:rPr>
        <w:fldChar w:fldCharType="end"/>
      </w:r>
      <w:r>
        <w:t xml:space="preserve">, examinaron la siguiente propuesta de modificar la clase de denominación existente para </w:t>
      </w:r>
      <w:r>
        <w:rPr>
          <w:i/>
        </w:rPr>
        <w:t>Brassica</w:t>
      </w:r>
      <w:r>
        <w:t xml:space="preserve"> y crear una nueva en el documento</w:t>
      </w:r>
      <w:r w:rsidR="006C26EB">
        <w:t> </w:t>
      </w:r>
      <w:r>
        <w:t xml:space="preserve">UPOV/EXN/DEN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12AB34C7" w14:textId="77777777" w:rsidR="004769F7" w:rsidRPr="0088502A" w:rsidRDefault="004769F7" w:rsidP="004769F7">
      <w:pPr>
        <w:rPr>
          <w:sz w:val="16"/>
        </w:rPr>
      </w:pPr>
    </w:p>
    <w:p w14:paraId="4D147AB4" w14:textId="77777777" w:rsidR="004769F7" w:rsidRPr="0088502A" w:rsidRDefault="004769F7" w:rsidP="004769F7">
      <w:pPr>
        <w:keepNext/>
        <w:jc w:val="center"/>
        <w:rPr>
          <w:i/>
        </w:rPr>
      </w:pPr>
      <w:r>
        <w:rPr>
          <w:i/>
        </w:rPr>
        <w:t>Clases dentro de un género</w:t>
      </w:r>
    </w:p>
    <w:p w14:paraId="25B41F03" w14:textId="77777777" w:rsidR="004769F7" w:rsidRPr="0088502A" w:rsidRDefault="004769F7" w:rsidP="004769F7">
      <w:pPr>
        <w:keepNext/>
        <w:rPr>
          <w:sz w:val="16"/>
        </w:rPr>
      </w:pPr>
    </w:p>
    <w:tbl>
      <w:tblPr>
        <w:tblW w:w="972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32"/>
        <w:gridCol w:w="3827"/>
        <w:gridCol w:w="2126"/>
        <w:gridCol w:w="2835"/>
      </w:tblGrid>
      <w:tr w:rsidR="004769F7" w:rsidRPr="0088502A" w14:paraId="606C0F64" w14:textId="77777777" w:rsidTr="00900DD6">
        <w:trPr>
          <w:cantSplit/>
          <w:tblHeader/>
        </w:trPr>
        <w:tc>
          <w:tcPr>
            <w:tcW w:w="932" w:type="dxa"/>
            <w:shd w:val="clear" w:color="auto" w:fill="D9D9D9" w:themeFill="background1" w:themeFillShade="D9"/>
            <w:vAlign w:val="center"/>
          </w:tcPr>
          <w:p w14:paraId="0A1684D8" w14:textId="77777777" w:rsidR="004769F7" w:rsidRPr="0088502A" w:rsidRDefault="004769F7" w:rsidP="00900DD6">
            <w:pPr>
              <w:pStyle w:val="BasistekstNaktuinbouw"/>
              <w:keepNext/>
              <w:rPr>
                <w:rFonts w:eastAsia="MS Mincho"/>
                <w:sz w:val="18"/>
                <w:szCs w:val="20"/>
                <w:lang w:val="en-US"/>
              </w:rPr>
            </w:pPr>
          </w:p>
        </w:tc>
        <w:tc>
          <w:tcPr>
            <w:tcW w:w="3827" w:type="dxa"/>
            <w:shd w:val="clear" w:color="auto" w:fill="D9D9D9" w:themeFill="background1" w:themeFillShade="D9"/>
            <w:vAlign w:val="center"/>
          </w:tcPr>
          <w:p w14:paraId="1CF30247" w14:textId="77777777" w:rsidR="004769F7" w:rsidRPr="0088502A" w:rsidRDefault="004769F7" w:rsidP="00900DD6">
            <w:pPr>
              <w:keepNext/>
              <w:spacing w:before="40" w:after="60"/>
              <w:jc w:val="center"/>
              <w:rPr>
                <w:rFonts w:eastAsia="MS Mincho"/>
                <w:sz w:val="18"/>
                <w:u w:val="single"/>
              </w:rPr>
            </w:pPr>
            <w:r>
              <w:rPr>
                <w:sz w:val="18"/>
                <w:u w:val="single"/>
              </w:rPr>
              <w:t>Nombres botánicos</w:t>
            </w:r>
          </w:p>
        </w:tc>
        <w:tc>
          <w:tcPr>
            <w:tcW w:w="2126" w:type="dxa"/>
            <w:shd w:val="clear" w:color="auto" w:fill="D9D9D9" w:themeFill="background1" w:themeFillShade="D9"/>
            <w:vAlign w:val="center"/>
          </w:tcPr>
          <w:p w14:paraId="31AB0CED" w14:textId="77777777" w:rsidR="004769F7" w:rsidRPr="0088502A" w:rsidRDefault="004769F7" w:rsidP="00900DD6">
            <w:pPr>
              <w:keepNext/>
              <w:spacing w:before="40" w:after="60"/>
              <w:jc w:val="center"/>
              <w:rPr>
                <w:rFonts w:eastAsia="MS Mincho"/>
                <w:sz w:val="18"/>
                <w:u w:val="single"/>
              </w:rPr>
            </w:pPr>
            <w:r>
              <w:rPr>
                <w:sz w:val="18"/>
                <w:u w:val="single"/>
              </w:rPr>
              <w:t>Códigos UPOV</w:t>
            </w:r>
          </w:p>
        </w:tc>
        <w:tc>
          <w:tcPr>
            <w:tcW w:w="2835" w:type="dxa"/>
            <w:shd w:val="clear" w:color="auto" w:fill="D9D9D9" w:themeFill="background1" w:themeFillShade="D9"/>
          </w:tcPr>
          <w:p w14:paraId="0A1B9D3E" w14:textId="77777777" w:rsidR="004769F7" w:rsidRPr="0088502A" w:rsidRDefault="004769F7" w:rsidP="00900DD6">
            <w:pPr>
              <w:keepNext/>
              <w:spacing w:before="40" w:after="60"/>
              <w:jc w:val="center"/>
              <w:rPr>
                <w:rFonts w:eastAsia="MS Mincho"/>
                <w:sz w:val="18"/>
                <w:highlight w:val="darkGray"/>
                <w:u w:val="single"/>
              </w:rPr>
            </w:pPr>
            <w:r>
              <w:rPr>
                <w:sz w:val="18"/>
                <w:highlight w:val="lightGray"/>
                <w:u w:val="single"/>
              </w:rPr>
              <w:t>Nombre común</w:t>
            </w:r>
          </w:p>
        </w:tc>
      </w:tr>
      <w:tr w:rsidR="004769F7" w:rsidRPr="0088502A" w14:paraId="242F3500" w14:textId="77777777" w:rsidTr="00900DD6">
        <w:trPr>
          <w:cantSplit/>
        </w:trPr>
        <w:tc>
          <w:tcPr>
            <w:tcW w:w="932" w:type="dxa"/>
          </w:tcPr>
          <w:p w14:paraId="2C974E30" w14:textId="77777777" w:rsidR="004769F7" w:rsidRPr="0088502A" w:rsidRDefault="004769F7" w:rsidP="00900DD6">
            <w:pPr>
              <w:keepNext/>
              <w:spacing w:before="40" w:after="40"/>
              <w:rPr>
                <w:rFonts w:eastAsia="MS Mincho" w:cs="Arial"/>
                <w:sz w:val="18"/>
              </w:rPr>
            </w:pPr>
            <w:r>
              <w:rPr>
                <w:sz w:val="18"/>
              </w:rPr>
              <w:t>Clase 1.1</w:t>
            </w:r>
          </w:p>
        </w:tc>
        <w:tc>
          <w:tcPr>
            <w:tcW w:w="3827" w:type="dxa"/>
          </w:tcPr>
          <w:p w14:paraId="439F5FA1" w14:textId="77777777" w:rsidR="004769F7" w:rsidRPr="00D94A07" w:rsidRDefault="004769F7" w:rsidP="00900DD6">
            <w:pPr>
              <w:keepNext/>
              <w:spacing w:before="40" w:after="40"/>
              <w:jc w:val="left"/>
              <w:rPr>
                <w:rFonts w:eastAsia="MS Mincho" w:cs="Arial"/>
                <w:i/>
                <w:sz w:val="18"/>
              </w:rPr>
            </w:pPr>
            <w:r>
              <w:rPr>
                <w:i/>
                <w:sz w:val="18"/>
              </w:rPr>
              <w:t>Brassica oleracea</w:t>
            </w:r>
          </w:p>
          <w:p w14:paraId="5424754F" w14:textId="77777777" w:rsidR="004769F7" w:rsidRPr="0088502A" w:rsidRDefault="004769F7" w:rsidP="00900DD6">
            <w:pPr>
              <w:pStyle w:val="BasistekstNaktuinbouw"/>
              <w:keepNext/>
              <w:rPr>
                <w:rFonts w:eastAsia="MS Mincho"/>
                <w:sz w:val="18"/>
                <w:szCs w:val="20"/>
                <w:highlight w:val="lightGray"/>
                <w:u w:val="single"/>
              </w:rPr>
            </w:pPr>
            <w:r>
              <w:rPr>
                <w:i/>
                <w:sz w:val="18"/>
                <w:szCs w:val="20"/>
                <w:highlight w:val="lightGray"/>
                <w:u w:val="single"/>
              </w:rPr>
              <w:t>Brassica napus</w:t>
            </w:r>
            <w:r>
              <w:rPr>
                <w:sz w:val="18"/>
                <w:szCs w:val="20"/>
                <w:highlight w:val="lightGray"/>
                <w:u w:val="single"/>
              </w:rPr>
              <w:t xml:space="preserve"> subsp. </w:t>
            </w:r>
            <w:r>
              <w:rPr>
                <w:i/>
                <w:sz w:val="18"/>
                <w:szCs w:val="20"/>
                <w:highlight w:val="lightGray"/>
                <w:u w:val="single"/>
              </w:rPr>
              <w:t>napus</w:t>
            </w:r>
            <w:r>
              <w:rPr>
                <w:sz w:val="18"/>
                <w:szCs w:val="20"/>
                <w:highlight w:val="lightGray"/>
                <w:u w:val="single"/>
              </w:rPr>
              <w:t xml:space="preserve"> var. </w:t>
            </w:r>
            <w:r>
              <w:rPr>
                <w:i/>
                <w:sz w:val="18"/>
                <w:szCs w:val="20"/>
                <w:highlight w:val="lightGray"/>
                <w:u w:val="single"/>
              </w:rPr>
              <w:t>pabularia</w:t>
            </w:r>
            <w:r>
              <w:rPr>
                <w:sz w:val="18"/>
                <w:szCs w:val="20"/>
                <w:highlight w:val="lightGray"/>
                <w:u w:val="single"/>
              </w:rPr>
              <w:t xml:space="preserve"> (DC.) Alef. </w:t>
            </w:r>
          </w:p>
          <w:p w14:paraId="15B53F07" w14:textId="77777777" w:rsidR="004769F7" w:rsidRPr="0088502A" w:rsidRDefault="004769F7" w:rsidP="00900DD6">
            <w:pPr>
              <w:pStyle w:val="BasistekstNaktuinbouw"/>
              <w:keepNext/>
              <w:rPr>
                <w:rFonts w:eastAsia="MS Mincho"/>
                <w:sz w:val="18"/>
                <w:szCs w:val="20"/>
              </w:rPr>
            </w:pPr>
            <w:r>
              <w:rPr>
                <w:sz w:val="18"/>
                <w:szCs w:val="20"/>
                <w:highlight w:val="lightGray"/>
                <w:u w:val="single"/>
              </w:rPr>
              <w:t xml:space="preserve">(o grupo pabularia de </w:t>
            </w:r>
            <w:r>
              <w:rPr>
                <w:i/>
                <w:sz w:val="18"/>
                <w:szCs w:val="20"/>
                <w:highlight w:val="lightGray"/>
                <w:u w:val="single"/>
              </w:rPr>
              <w:t>Brassica napus</w:t>
            </w:r>
            <w:r>
              <w:rPr>
                <w:sz w:val="18"/>
                <w:szCs w:val="20"/>
                <w:highlight w:val="lightGray"/>
                <w:u w:val="single"/>
              </w:rPr>
              <w:t xml:space="preserve"> )</w:t>
            </w:r>
          </w:p>
        </w:tc>
        <w:tc>
          <w:tcPr>
            <w:tcW w:w="2126" w:type="dxa"/>
          </w:tcPr>
          <w:p w14:paraId="653FB586" w14:textId="77777777" w:rsidR="004769F7" w:rsidRPr="00AD7BF7" w:rsidRDefault="004769F7" w:rsidP="00900DD6">
            <w:pPr>
              <w:keepNext/>
              <w:spacing w:before="40" w:after="40"/>
              <w:jc w:val="left"/>
              <w:rPr>
                <w:rFonts w:eastAsia="MS Mincho" w:cs="Arial"/>
                <w:sz w:val="18"/>
                <w:lang w:val="en-US"/>
              </w:rPr>
            </w:pPr>
            <w:r w:rsidRPr="00AD7BF7">
              <w:rPr>
                <w:sz w:val="18"/>
                <w:lang w:val="en-US"/>
              </w:rPr>
              <w:t>BRASS_OLE</w:t>
            </w:r>
          </w:p>
          <w:p w14:paraId="5823C88B" w14:textId="77777777" w:rsidR="004769F7" w:rsidRPr="00AD7BF7" w:rsidRDefault="004769F7" w:rsidP="00900DD6">
            <w:pPr>
              <w:pStyle w:val="BasistekstNaktuinbouw"/>
              <w:keepNext/>
              <w:rPr>
                <w:rFonts w:eastAsia="MS Mincho"/>
                <w:sz w:val="18"/>
                <w:szCs w:val="20"/>
                <w:u w:val="single"/>
                <w:lang w:val="en-US"/>
              </w:rPr>
            </w:pPr>
            <w:r w:rsidRPr="00AD7BF7">
              <w:rPr>
                <w:sz w:val="18"/>
                <w:szCs w:val="20"/>
                <w:highlight w:val="lightGray"/>
                <w:u w:val="single"/>
                <w:lang w:val="en-US"/>
              </w:rPr>
              <w:t>BRASS_NAP_PAB</w:t>
            </w:r>
          </w:p>
        </w:tc>
        <w:tc>
          <w:tcPr>
            <w:tcW w:w="2835" w:type="dxa"/>
          </w:tcPr>
          <w:p w14:paraId="6FD167CA" w14:textId="77777777" w:rsidR="004769F7" w:rsidRPr="0088502A" w:rsidRDefault="004769F7" w:rsidP="00900DD6">
            <w:pPr>
              <w:keepNext/>
              <w:spacing w:before="40" w:after="40"/>
              <w:rPr>
                <w:rFonts w:eastAsia="MS Mincho" w:cs="Arial"/>
                <w:sz w:val="18"/>
              </w:rPr>
            </w:pPr>
            <w:r>
              <w:rPr>
                <w:sz w:val="18"/>
              </w:rPr>
              <w:t>-</w:t>
            </w:r>
          </w:p>
          <w:p w14:paraId="4F87B4C8" w14:textId="77777777" w:rsidR="004769F7" w:rsidRPr="0088502A" w:rsidRDefault="004769F7" w:rsidP="00900DD6">
            <w:pPr>
              <w:pStyle w:val="BasistekstNaktuinbouw"/>
              <w:keepNext/>
              <w:rPr>
                <w:rFonts w:eastAsia="MS Mincho"/>
                <w:sz w:val="18"/>
                <w:szCs w:val="20"/>
              </w:rPr>
            </w:pPr>
            <w:r>
              <w:rPr>
                <w:sz w:val="18"/>
                <w:szCs w:val="20"/>
              </w:rPr>
              <w:t>Nabicol</w:t>
            </w:r>
          </w:p>
        </w:tc>
      </w:tr>
      <w:tr w:rsidR="004769F7" w:rsidRPr="0088502A" w14:paraId="7712878E" w14:textId="77777777" w:rsidTr="00900DD6">
        <w:trPr>
          <w:cantSplit/>
        </w:trPr>
        <w:tc>
          <w:tcPr>
            <w:tcW w:w="932" w:type="dxa"/>
          </w:tcPr>
          <w:p w14:paraId="4210FA65" w14:textId="77777777" w:rsidR="004769F7" w:rsidRPr="0088502A" w:rsidRDefault="004769F7" w:rsidP="00900DD6">
            <w:pPr>
              <w:spacing w:before="40" w:after="40"/>
              <w:rPr>
                <w:rFonts w:eastAsia="MS Mincho" w:cs="Arial"/>
                <w:sz w:val="18"/>
              </w:rPr>
            </w:pPr>
            <w:r>
              <w:rPr>
                <w:sz w:val="18"/>
              </w:rPr>
              <w:t>Clase 1.2</w:t>
            </w:r>
          </w:p>
        </w:tc>
        <w:tc>
          <w:tcPr>
            <w:tcW w:w="3827" w:type="dxa"/>
          </w:tcPr>
          <w:p w14:paraId="2062D3C7" w14:textId="77777777" w:rsidR="004769F7" w:rsidRPr="0088502A" w:rsidRDefault="004769F7" w:rsidP="00900DD6">
            <w:pPr>
              <w:spacing w:before="40" w:after="40"/>
              <w:jc w:val="left"/>
              <w:rPr>
                <w:rFonts w:eastAsia="MS Mincho" w:cs="Arial"/>
                <w:sz w:val="18"/>
                <w:highlight w:val="lightGray"/>
                <w:u w:val="single"/>
              </w:rPr>
            </w:pPr>
            <w:r>
              <w:rPr>
                <w:i/>
                <w:sz w:val="18"/>
                <w:highlight w:val="lightGray"/>
                <w:u w:val="single"/>
              </w:rPr>
              <w:t>Brassica napus</w:t>
            </w:r>
            <w:r>
              <w:rPr>
                <w:sz w:val="18"/>
                <w:highlight w:val="lightGray"/>
                <w:u w:val="single"/>
              </w:rPr>
              <w:t xml:space="preserve"> L. subsp. </w:t>
            </w:r>
            <w:r>
              <w:rPr>
                <w:i/>
                <w:sz w:val="18"/>
                <w:highlight w:val="lightGray"/>
                <w:u w:val="single"/>
              </w:rPr>
              <w:t>napus</w:t>
            </w:r>
            <w:r>
              <w:rPr>
                <w:sz w:val="18"/>
                <w:highlight w:val="lightGray"/>
                <w:u w:val="single"/>
              </w:rPr>
              <w:t xml:space="preserve"> </w:t>
            </w:r>
          </w:p>
          <w:p w14:paraId="0A634007" w14:textId="77777777" w:rsidR="004769F7" w:rsidRPr="0088502A" w:rsidRDefault="004769F7" w:rsidP="00900DD6">
            <w:pPr>
              <w:spacing w:before="40" w:after="40"/>
              <w:jc w:val="left"/>
              <w:rPr>
                <w:rFonts w:eastAsia="MS Mincho" w:cs="Arial"/>
                <w:sz w:val="18"/>
                <w:highlight w:val="lightGray"/>
                <w:u w:val="single"/>
              </w:rPr>
            </w:pPr>
            <w:r>
              <w:rPr>
                <w:sz w:val="18"/>
                <w:highlight w:val="lightGray"/>
                <w:u w:val="single"/>
              </w:rPr>
              <w:t xml:space="preserve">(o grupo de la colza oleaginosa de </w:t>
            </w:r>
            <w:r>
              <w:rPr>
                <w:i/>
                <w:sz w:val="18"/>
                <w:highlight w:val="lightGray"/>
                <w:u w:val="single"/>
              </w:rPr>
              <w:t>Brassica napus</w:t>
            </w:r>
            <w:r>
              <w:rPr>
                <w:sz w:val="18"/>
                <w:highlight w:val="lightGray"/>
                <w:u w:val="single"/>
              </w:rPr>
              <w:t>)</w:t>
            </w:r>
          </w:p>
        </w:tc>
        <w:tc>
          <w:tcPr>
            <w:tcW w:w="2126" w:type="dxa"/>
          </w:tcPr>
          <w:p w14:paraId="1C9C1201" w14:textId="77777777" w:rsidR="004769F7" w:rsidRPr="0088502A" w:rsidRDefault="004769F7" w:rsidP="00900DD6">
            <w:pPr>
              <w:spacing w:before="40" w:after="40"/>
              <w:jc w:val="left"/>
              <w:rPr>
                <w:rFonts w:eastAsia="MS Mincho" w:cs="Arial"/>
                <w:sz w:val="18"/>
                <w:highlight w:val="lightGray"/>
                <w:u w:val="single"/>
              </w:rPr>
            </w:pPr>
            <w:r>
              <w:rPr>
                <w:sz w:val="18"/>
                <w:highlight w:val="lightGray"/>
                <w:u w:val="single"/>
              </w:rPr>
              <w:t>BRASS_NAP_NUS</w:t>
            </w:r>
          </w:p>
        </w:tc>
        <w:tc>
          <w:tcPr>
            <w:tcW w:w="2835" w:type="dxa"/>
          </w:tcPr>
          <w:p w14:paraId="2A6B7274" w14:textId="77777777" w:rsidR="004769F7" w:rsidRPr="0088502A" w:rsidRDefault="004769F7" w:rsidP="00900DD6">
            <w:pPr>
              <w:rPr>
                <w:rFonts w:eastAsia="MS Mincho" w:cs="Arial"/>
                <w:sz w:val="18"/>
              </w:rPr>
            </w:pPr>
            <w:r>
              <w:rPr>
                <w:sz w:val="18"/>
              </w:rPr>
              <w:t>Colza</w:t>
            </w:r>
          </w:p>
        </w:tc>
      </w:tr>
      <w:tr w:rsidR="004769F7" w:rsidRPr="0088502A" w14:paraId="04F5961B" w14:textId="77777777" w:rsidTr="00900DD6">
        <w:trPr>
          <w:cantSplit/>
        </w:trPr>
        <w:tc>
          <w:tcPr>
            <w:tcW w:w="932" w:type="dxa"/>
          </w:tcPr>
          <w:p w14:paraId="1CE7545D" w14:textId="77777777" w:rsidR="004769F7" w:rsidRPr="0088502A" w:rsidRDefault="004769F7" w:rsidP="00900DD6">
            <w:pPr>
              <w:spacing w:before="40" w:after="40"/>
              <w:rPr>
                <w:rFonts w:eastAsia="MS Mincho" w:cs="Arial"/>
                <w:sz w:val="18"/>
                <w:u w:val="single"/>
              </w:rPr>
            </w:pPr>
            <w:r>
              <w:rPr>
                <w:sz w:val="18"/>
                <w:highlight w:val="lightGray"/>
                <w:u w:val="single"/>
              </w:rPr>
              <w:t>Clase 1.3</w:t>
            </w:r>
          </w:p>
        </w:tc>
        <w:tc>
          <w:tcPr>
            <w:tcW w:w="3827" w:type="dxa"/>
          </w:tcPr>
          <w:p w14:paraId="719C3E56" w14:textId="221EC7AA" w:rsidR="004769F7" w:rsidRPr="0088502A" w:rsidRDefault="004769F7" w:rsidP="00900DD6">
            <w:pPr>
              <w:spacing w:before="40" w:after="40"/>
              <w:jc w:val="left"/>
              <w:rPr>
                <w:rFonts w:eastAsia="MS Mincho" w:cs="Arial"/>
                <w:sz w:val="18"/>
                <w:u w:val="single"/>
              </w:rPr>
            </w:pPr>
            <w:r>
              <w:rPr>
                <w:i/>
                <w:sz w:val="18"/>
              </w:rPr>
              <w:t>Brassica</w:t>
            </w:r>
            <w:r>
              <w:rPr>
                <w:sz w:val="18"/>
              </w:rPr>
              <w:t xml:space="preserve"> a excepción de </w:t>
            </w:r>
            <w:r>
              <w:rPr>
                <w:i/>
                <w:strike/>
                <w:sz w:val="18"/>
                <w:highlight w:val="lightGray"/>
              </w:rPr>
              <w:t>B.</w:t>
            </w:r>
            <w:r w:rsidR="006C26EB">
              <w:rPr>
                <w:i/>
                <w:strike/>
                <w:sz w:val="18"/>
                <w:highlight w:val="lightGray"/>
              </w:rPr>
              <w:t> </w:t>
            </w:r>
            <w:r>
              <w:rPr>
                <w:i/>
                <w:strike/>
                <w:sz w:val="18"/>
                <w:highlight w:val="lightGray"/>
              </w:rPr>
              <w:t>oleracea</w:t>
            </w:r>
            <w:r>
              <w:rPr>
                <w:strike/>
                <w:sz w:val="18"/>
                <w:highlight w:val="lightGray"/>
              </w:rPr>
              <w:t xml:space="preserve"> </w:t>
            </w:r>
            <w:r>
              <w:rPr>
                <w:sz w:val="18"/>
                <w:highlight w:val="lightGray"/>
                <w:u w:val="single"/>
              </w:rPr>
              <w:t>las clases 1.1 y 1.2</w:t>
            </w:r>
            <w:r>
              <w:rPr>
                <w:i/>
                <w:sz w:val="18"/>
              </w:rPr>
              <w:t xml:space="preserve"> </w:t>
            </w:r>
          </w:p>
        </w:tc>
        <w:tc>
          <w:tcPr>
            <w:tcW w:w="2126" w:type="dxa"/>
          </w:tcPr>
          <w:p w14:paraId="12105F2F" w14:textId="77777777" w:rsidR="004769F7" w:rsidRPr="0088502A" w:rsidRDefault="004769F7" w:rsidP="00900DD6">
            <w:pPr>
              <w:spacing w:before="40" w:after="40"/>
              <w:jc w:val="left"/>
              <w:rPr>
                <w:rFonts w:eastAsia="MS Mincho" w:cs="Arial"/>
                <w:sz w:val="18"/>
              </w:rPr>
            </w:pPr>
            <w:r>
              <w:rPr>
                <w:sz w:val="18"/>
              </w:rPr>
              <w:t xml:space="preserve">a excepción de </w:t>
            </w:r>
            <w:r>
              <w:rPr>
                <w:strike/>
                <w:sz w:val="18"/>
                <w:highlight w:val="lightGray"/>
              </w:rPr>
              <w:t xml:space="preserve">BRASS_OLE </w:t>
            </w:r>
            <w:r>
              <w:rPr>
                <w:sz w:val="18"/>
                <w:highlight w:val="lightGray"/>
                <w:u w:val="single"/>
              </w:rPr>
              <w:t>las clases 1.1 y 1.2</w:t>
            </w:r>
          </w:p>
        </w:tc>
        <w:tc>
          <w:tcPr>
            <w:tcW w:w="2835" w:type="dxa"/>
          </w:tcPr>
          <w:p w14:paraId="19203DF5" w14:textId="77777777" w:rsidR="004769F7" w:rsidRPr="0088502A" w:rsidRDefault="004769F7" w:rsidP="00900DD6">
            <w:pPr>
              <w:rPr>
                <w:rFonts w:eastAsia="MS Mincho" w:cs="Arial"/>
                <w:sz w:val="18"/>
              </w:rPr>
            </w:pPr>
            <w:r>
              <w:rPr>
                <w:sz w:val="18"/>
              </w:rPr>
              <w:t>-</w:t>
            </w:r>
          </w:p>
        </w:tc>
      </w:tr>
    </w:tbl>
    <w:p w14:paraId="5C8C42D4" w14:textId="77777777" w:rsidR="004769F7" w:rsidRPr="004D0062" w:rsidRDefault="004769F7" w:rsidP="004769F7">
      <w:pPr>
        <w:rPr>
          <w:sz w:val="16"/>
          <w:szCs w:val="16"/>
        </w:rPr>
      </w:pPr>
    </w:p>
    <w:p w14:paraId="0BECA1A0" w14:textId="5016F357" w:rsidR="004769F7" w:rsidRPr="0088502A" w:rsidRDefault="003415AF" w:rsidP="004769F7">
      <w:pPr>
        <w:keepNext/>
      </w:pPr>
      <w:r>
        <w:fldChar w:fldCharType="begin"/>
      </w:r>
      <w:r>
        <w:instrText xml:space="preserve"> LISTNUM  LegalDefault \l 1 </w:instrText>
      </w:r>
      <w:r>
        <w:fldChar w:fldCharType="end"/>
      </w:r>
      <w:r>
        <w:tab/>
        <w:t>El</w:t>
      </w:r>
      <w:r w:rsidR="006C26EB">
        <w:t> </w:t>
      </w:r>
      <w:r>
        <w:t xml:space="preserve">TWV convino en proponer las modificaciones de las clases de denominación de variedades de </w:t>
      </w:r>
      <w:r>
        <w:rPr>
          <w:i/>
        </w:rPr>
        <w:t>Brassica</w:t>
      </w:r>
      <w:r>
        <w:t>, según se expone en el párrafo</w:t>
      </w:r>
      <w:r w:rsidR="006C26EB">
        <w:t> </w:t>
      </w:r>
      <w:r>
        <w:t>13 del documento</w:t>
      </w:r>
      <w:r w:rsidR="006C26EB">
        <w:t> </w:t>
      </w:r>
      <w:r>
        <w:t>TWP/7/4 “Elaboración de orientaciones y material de información” (véase el párrafo</w:t>
      </w:r>
      <w:r w:rsidR="006C26EB">
        <w:t> </w:t>
      </w:r>
      <w:r>
        <w:t>37 del documento</w:t>
      </w:r>
      <w:r w:rsidR="006C26EB">
        <w:t> </w:t>
      </w:r>
      <w:r>
        <w:t xml:space="preserve">TWV/57/26 </w:t>
      </w:r>
      <w:r>
        <w:rPr>
          <w:i/>
        </w:rPr>
        <w:t>“Report”</w:t>
      </w:r>
      <w:r>
        <w:t xml:space="preserve"> (informe)).</w:t>
      </w:r>
    </w:p>
    <w:p w14:paraId="10012C1A" w14:textId="77777777" w:rsidR="004769F7" w:rsidRPr="0088502A" w:rsidRDefault="004769F7" w:rsidP="004769F7"/>
    <w:p w14:paraId="1805A509" w14:textId="288F7A43" w:rsidR="004769F7" w:rsidRPr="0088502A" w:rsidRDefault="003415AF" w:rsidP="004769F7">
      <w:r>
        <w:fldChar w:fldCharType="begin"/>
      </w:r>
      <w:r>
        <w:instrText xml:space="preserve"> LISTNUM  LegalDefault \l 1 </w:instrText>
      </w:r>
      <w:r>
        <w:fldChar w:fldCharType="end"/>
      </w:r>
      <w:r>
        <w:tab/>
        <w:t>El</w:t>
      </w:r>
      <w:r w:rsidR="006C26EB">
        <w:t> </w:t>
      </w:r>
      <w:r>
        <w:t>TWA convino en la imposibilidad de llegar a un acuerdo sobre la propuesta de crear una clase de denominación independiente para las variedades de colza oleaginosa (código</w:t>
      </w:r>
      <w:r w:rsidR="006C26EB">
        <w:t> </w:t>
      </w:r>
      <w:r>
        <w:t>UPOV BRASS_NAP_NUS). El</w:t>
      </w:r>
      <w:r w:rsidR="006C26EB">
        <w:t> </w:t>
      </w:r>
      <w:r>
        <w:t>TWA tomó nota de que ciertas variedades pueden agruparse según su uso final (por ejemplo, forraje, aceite u hortaliza), pero en algunos casos no se pueden agrupar a partir de los caracteres</w:t>
      </w:r>
      <w:r w:rsidR="006C26EB">
        <w:t> </w:t>
      </w:r>
      <w:r>
        <w:t>DHE existentes. El</w:t>
      </w:r>
      <w:r w:rsidR="006C26EB">
        <w:t> </w:t>
      </w:r>
      <w:r>
        <w:t xml:space="preserve">TWA convino en la imposibilidad de llegar a un acuerdo sobre el examen de las denominaciones de variedades de diferentes subespecies de </w:t>
      </w:r>
      <w:r>
        <w:rPr>
          <w:i/>
        </w:rPr>
        <w:t>Brassica napus, B. nigra</w:t>
      </w:r>
      <w:r>
        <w:t xml:space="preserve"> y </w:t>
      </w:r>
      <w:r>
        <w:rPr>
          <w:i/>
        </w:rPr>
        <w:t>B. rapa</w:t>
      </w:r>
      <w:r>
        <w:t xml:space="preserve"> de clases de denominación independientes (véanse los párrafos</w:t>
      </w:r>
      <w:r w:rsidR="006C26EB">
        <w:t> </w:t>
      </w:r>
      <w:r>
        <w:t>28 y</w:t>
      </w:r>
      <w:r w:rsidR="006C26EB">
        <w:t> </w:t>
      </w:r>
      <w:r>
        <w:t>29 del documento</w:t>
      </w:r>
      <w:r w:rsidR="006C26EB">
        <w:t> </w:t>
      </w:r>
      <w:r>
        <w:t xml:space="preserve">TWA/52/11 </w:t>
      </w:r>
      <w:r>
        <w:rPr>
          <w:i/>
        </w:rPr>
        <w:t>“Report”</w:t>
      </w:r>
      <w:r>
        <w:t xml:space="preserve"> (informe)).</w:t>
      </w:r>
    </w:p>
    <w:p w14:paraId="2B98F79A" w14:textId="77777777" w:rsidR="004769F7" w:rsidRPr="004D0062" w:rsidRDefault="004769F7" w:rsidP="004769F7">
      <w:pPr>
        <w:rPr>
          <w:sz w:val="16"/>
          <w:szCs w:val="16"/>
        </w:rPr>
      </w:pPr>
    </w:p>
    <w:p w14:paraId="265FA4AA" w14:textId="77777777" w:rsidR="004769F7" w:rsidRPr="004D0062" w:rsidRDefault="004769F7" w:rsidP="004769F7">
      <w:pPr>
        <w:rPr>
          <w:sz w:val="16"/>
          <w:szCs w:val="16"/>
        </w:rPr>
      </w:pPr>
    </w:p>
    <w:p w14:paraId="3E3CDFCE" w14:textId="77777777" w:rsidR="004769F7" w:rsidRPr="0088502A" w:rsidRDefault="004769F7" w:rsidP="00D86905">
      <w:pPr>
        <w:rPr>
          <w:u w:val="single"/>
        </w:rPr>
      </w:pPr>
      <w:r>
        <w:rPr>
          <w:u w:val="single"/>
        </w:rPr>
        <w:t>b)</w:t>
      </w:r>
      <w:r>
        <w:rPr>
          <w:u w:val="single"/>
        </w:rPr>
        <w:tab/>
        <w:t xml:space="preserve">Documentos TGP </w:t>
      </w:r>
    </w:p>
    <w:p w14:paraId="4062B7B4" w14:textId="77777777" w:rsidR="004769F7" w:rsidRPr="0088502A" w:rsidRDefault="004769F7" w:rsidP="004769F7"/>
    <w:p w14:paraId="262E5460" w14:textId="1D413B01" w:rsidR="004769F7" w:rsidRPr="0088502A" w:rsidRDefault="00B03220" w:rsidP="00D86905">
      <w:pPr>
        <w:rPr>
          <w:i/>
        </w:rPr>
      </w:pPr>
      <w:r>
        <w:rPr>
          <w:i/>
        </w:rPr>
        <w:t>Documento</w:t>
      </w:r>
      <w:r w:rsidR="006C26EB">
        <w:rPr>
          <w:i/>
        </w:rPr>
        <w:t> </w:t>
      </w:r>
      <w:r>
        <w:rPr>
          <w:i/>
        </w:rPr>
        <w:t>TGP/5: Sección</w:t>
      </w:r>
      <w:r w:rsidR="006C26EB">
        <w:rPr>
          <w:i/>
        </w:rPr>
        <w:t> </w:t>
      </w:r>
      <w:r>
        <w:rPr>
          <w:i/>
        </w:rPr>
        <w:t>6 “Informe de la</w:t>
      </w:r>
      <w:r w:rsidR="006C26EB">
        <w:rPr>
          <w:i/>
        </w:rPr>
        <w:t> </w:t>
      </w:r>
      <w:r>
        <w:rPr>
          <w:i/>
        </w:rPr>
        <w:t>UPOV sobre el examen técnico y Formulario UPOV para la descripción de variedades” (revisión)</w:t>
      </w:r>
    </w:p>
    <w:p w14:paraId="77623C08" w14:textId="77777777" w:rsidR="00B03220" w:rsidRPr="0088502A" w:rsidRDefault="00B03220" w:rsidP="00B03220"/>
    <w:p w14:paraId="0EA606C1" w14:textId="71900F53" w:rsidR="00B03220" w:rsidRPr="0088502A" w:rsidRDefault="00B03220" w:rsidP="00B03220">
      <w:pPr>
        <w:ind w:left="567"/>
        <w:rPr>
          <w:u w:val="single"/>
        </w:rPr>
      </w:pPr>
      <w:bookmarkStart w:id="65" w:name="_Toc140511422"/>
      <w:r>
        <w:rPr>
          <w:u w:val="single"/>
        </w:rPr>
        <w:t>Nueva propuesta de modificación del elemento</w:t>
      </w:r>
      <w:r w:rsidR="006C26EB">
        <w:rPr>
          <w:u w:val="single"/>
        </w:rPr>
        <w:t> </w:t>
      </w:r>
      <w:r>
        <w:rPr>
          <w:u w:val="single"/>
        </w:rPr>
        <w:t>16 “Variedades similares y diferencias en relación con esas variedades” del “Formulario UPOV para la descripción de variedades”</w:t>
      </w:r>
      <w:bookmarkEnd w:id="65"/>
    </w:p>
    <w:p w14:paraId="125DD9BB" w14:textId="77777777" w:rsidR="00B03220" w:rsidRPr="0088502A" w:rsidRDefault="00B03220" w:rsidP="00B03220"/>
    <w:p w14:paraId="35769694" w14:textId="0C8F09AA" w:rsidR="00B03220" w:rsidRPr="0088502A" w:rsidRDefault="003415AF" w:rsidP="00B03220">
      <w:r>
        <w:fldChar w:fldCharType="begin"/>
      </w:r>
      <w:r>
        <w:instrText xml:space="preserve"> LISTNUM  LegalDefault \l 1 </w:instrText>
      </w:r>
      <w:r>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t>, el</w:t>
      </w:r>
      <w:r w:rsidR="006C26EB">
        <w:t> </w:t>
      </w:r>
      <w:r>
        <w:t>TWF examinó el documento TWF/54/7</w:t>
      </w:r>
      <w:r w:rsidR="004D0062">
        <w:t xml:space="preserve"> </w:t>
      </w:r>
      <w:r w:rsidR="004D0062" w:rsidRPr="004D0062">
        <w:rPr>
          <w:i/>
          <w:iCs/>
        </w:rPr>
        <w:t>“Cooperation in examination”</w:t>
      </w:r>
      <w:r w:rsidR="004D0062">
        <w:t xml:space="preserve"> (C</w:t>
      </w:r>
      <w:r w:rsidR="004D0062" w:rsidRPr="004D0062">
        <w:t>ooperación en el examen</w:t>
      </w:r>
      <w:r w:rsidR="004D0062">
        <w:t>),</w:t>
      </w:r>
      <w:r>
        <w:t xml:space="preserve"> presentado por un experto de Nueva</w:t>
      </w:r>
      <w:r w:rsidR="006C26EB">
        <w:t> </w:t>
      </w:r>
      <w:r>
        <w:t>Zelandia (véanse los párrafos</w:t>
      </w:r>
      <w:r w:rsidR="006C26EB">
        <w:t> </w:t>
      </w:r>
      <w:r>
        <w:t>17 y</w:t>
      </w:r>
      <w:r w:rsidR="006C26EB">
        <w:t> </w:t>
      </w:r>
      <w:r>
        <w:t xml:space="preserve">18 del documento TWF/54/13 </w:t>
      </w:r>
      <w:r>
        <w:rPr>
          <w:i/>
        </w:rPr>
        <w:t>“Report”</w:t>
      </w:r>
      <w:r>
        <w:t xml:space="preserve"> (informe))</w:t>
      </w:r>
      <w:r w:rsidR="006C26EB">
        <w:t>.</w:t>
      </w:r>
    </w:p>
    <w:p w14:paraId="185FF866" w14:textId="58BEEB8E" w:rsidR="00B03220" w:rsidRDefault="003415AF" w:rsidP="004D0062">
      <w:pPr>
        <w:spacing w:before="120"/>
      </w:pPr>
      <w:r>
        <w:fldChar w:fldCharType="begin"/>
      </w:r>
      <w:r>
        <w:instrText xml:space="preserve"> LISTNUM  LegalDefault \l 1 </w:instrText>
      </w:r>
      <w:r>
        <w:fldChar w:fldCharType="end"/>
      </w:r>
      <w:r>
        <w:tab/>
        <w:t>El</w:t>
      </w:r>
      <w:r w:rsidR="006C26EB">
        <w:t> </w:t>
      </w:r>
      <w:r>
        <w:t>TWF convino en proponer que se modifique la sección</w:t>
      </w:r>
      <w:r w:rsidR="006C26EB">
        <w:t> </w:t>
      </w:r>
      <w:r>
        <w:t>6 “Informe de la</w:t>
      </w:r>
      <w:r w:rsidR="006C26EB">
        <w:t> </w:t>
      </w:r>
      <w:r>
        <w:t>UPOV sobre el examen técnico y Formulario UPOV para la descripción de variedades” del documento</w:t>
      </w:r>
      <w:r w:rsidR="006C26EB">
        <w:t> </w:t>
      </w:r>
      <w:r>
        <w:t xml:space="preserve">TGP/5 a fin de proporcionar más orientación sobre la información relativa a las variedades similares consideradas en el examen.  </w:t>
      </w:r>
    </w:p>
    <w:p w14:paraId="34C931C1" w14:textId="77777777" w:rsidR="00B03220" w:rsidRDefault="00B03220" w:rsidP="00B03220"/>
    <w:p w14:paraId="258684A5" w14:textId="03BE4FFC" w:rsidR="00B03220" w:rsidRPr="0088502A" w:rsidRDefault="003415AF" w:rsidP="00B03220">
      <w:r>
        <w:lastRenderedPageBreak/>
        <w:fldChar w:fldCharType="begin"/>
      </w:r>
      <w:r>
        <w:instrText xml:space="preserve"> LISTNUM  LegalDefault \l 1 </w:instrText>
      </w:r>
      <w:r>
        <w:fldChar w:fldCharType="end"/>
      </w:r>
      <w:r>
        <w:tab/>
        <w:t>El</w:t>
      </w:r>
      <w:r w:rsidR="006C26EB">
        <w:t> </w:t>
      </w:r>
      <w:r>
        <w:t>TWF convino en proponer que se incluyan las siguientes explicaciones adicionales en la sección</w:t>
      </w:r>
      <w:r w:rsidR="006C26EB">
        <w:t> </w:t>
      </w:r>
      <w:r>
        <w:t>16 “Variedades similares y diferencias en relación con esas variedades” para aclarar qué variedades deben incluirse en el Formulario</w:t>
      </w:r>
      <w:r w:rsidR="006C26EB">
        <w:t> </w:t>
      </w:r>
      <w:r>
        <w:t xml:space="preserve">UPOV para la descripción de variedades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349B6504" w14:textId="77777777" w:rsidR="00B03220" w:rsidRPr="0088502A" w:rsidRDefault="00B03220" w:rsidP="00B03220"/>
    <w:p w14:paraId="487F1156" w14:textId="370F1C3D" w:rsidR="00B03220" w:rsidRPr="00E15078" w:rsidRDefault="00B03220" w:rsidP="00B03220">
      <w:pPr>
        <w:keepNext/>
        <w:numPr>
          <w:ilvl w:val="0"/>
          <w:numId w:val="6"/>
        </w:numPr>
        <w:spacing w:after="160" w:line="259" w:lineRule="auto"/>
        <w:ind w:left="1134" w:right="567" w:hanging="567"/>
        <w:rPr>
          <w:rFonts w:eastAsia="Calibri" w:cs="Arial"/>
          <w:snapToGrid w:val="0"/>
          <w:highlight w:val="lightGray"/>
          <w:u w:val="single"/>
        </w:rPr>
      </w:pPr>
      <w:r>
        <w:rPr>
          <w:snapToGrid w:val="0"/>
          <w:highlight w:val="lightGray"/>
          <w:u w:val="single"/>
        </w:rPr>
        <w:t>Todas las variedades similares, más cercanas o de referencia</w:t>
      </w:r>
      <w:r w:rsidR="006C26EB">
        <w:rPr>
          <w:snapToGrid w:val="0"/>
          <w:highlight w:val="lightGray"/>
          <w:u w:val="single"/>
        </w:rPr>
        <w:t>,</w:t>
      </w:r>
      <w:r>
        <w:rPr>
          <w:snapToGrid w:val="0"/>
          <w:highlight w:val="lightGray"/>
          <w:u w:val="single"/>
        </w:rPr>
        <w:t xml:space="preserve"> según determine el examinador. Si no hay ninguna variedad de esos tipos, debe incluirse una frase como “No se ha identificado ninguna variedad similar o más cercana en el ensayo en cultivo”.</w:t>
      </w:r>
    </w:p>
    <w:p w14:paraId="4DC8E3A3" w14:textId="77777777" w:rsidR="00B03220" w:rsidRPr="00E15078" w:rsidRDefault="00B03220" w:rsidP="00B03220">
      <w:pPr>
        <w:numPr>
          <w:ilvl w:val="0"/>
          <w:numId w:val="6"/>
        </w:numPr>
        <w:spacing w:after="160" w:line="259" w:lineRule="auto"/>
        <w:ind w:left="1134" w:right="567" w:hanging="567"/>
        <w:rPr>
          <w:rFonts w:eastAsia="Calibri" w:cs="Arial"/>
          <w:snapToGrid w:val="0"/>
          <w:highlight w:val="lightGray"/>
          <w:u w:val="single"/>
        </w:rPr>
      </w:pPr>
      <w:r>
        <w:rPr>
          <w:snapToGrid w:val="0"/>
          <w:highlight w:val="lightGray"/>
          <w:u w:val="single"/>
        </w:rPr>
        <w:t xml:space="preserve">Solo las variedades examinadas en las mismas condiciones de cultivo que la variedad candidata. </w:t>
      </w:r>
    </w:p>
    <w:p w14:paraId="2ED1C46D" w14:textId="77777777" w:rsidR="00B03220" w:rsidRPr="00E15078" w:rsidRDefault="00B03220" w:rsidP="00B03220">
      <w:pPr>
        <w:numPr>
          <w:ilvl w:val="0"/>
          <w:numId w:val="6"/>
        </w:numPr>
        <w:spacing w:after="160" w:line="259" w:lineRule="auto"/>
        <w:ind w:left="1134" w:right="567" w:hanging="567"/>
        <w:rPr>
          <w:rFonts w:eastAsia="Calibri" w:cs="Arial"/>
          <w:snapToGrid w:val="0"/>
          <w:highlight w:val="lightGray"/>
          <w:u w:val="single"/>
        </w:rPr>
      </w:pPr>
      <w:r>
        <w:rPr>
          <w:snapToGrid w:val="0"/>
          <w:highlight w:val="lightGray"/>
          <w:u w:val="single"/>
        </w:rPr>
        <w:t xml:space="preserve">Las variedades que expresen el menor número de diferencias de caracteres con respecto a la variedad candidata. </w:t>
      </w:r>
    </w:p>
    <w:p w14:paraId="406945C4" w14:textId="77777777" w:rsidR="00B03220" w:rsidRPr="00E15078" w:rsidRDefault="00B03220" w:rsidP="00B03220">
      <w:pPr>
        <w:numPr>
          <w:ilvl w:val="0"/>
          <w:numId w:val="6"/>
        </w:numPr>
        <w:spacing w:after="160" w:line="259" w:lineRule="auto"/>
        <w:ind w:left="1134" w:right="567" w:hanging="567"/>
        <w:rPr>
          <w:highlight w:val="lightGray"/>
          <w:u w:val="single"/>
        </w:rPr>
      </w:pPr>
      <w:r>
        <w:rPr>
          <w:snapToGrid w:val="0"/>
          <w:highlight w:val="lightGray"/>
          <w:u w:val="single"/>
        </w:rPr>
        <w:t xml:space="preserve">Todos los caracteres se consideran igual, y deben incluirse todos los caracteres que confieren distinción para cada variedad similar. </w:t>
      </w:r>
    </w:p>
    <w:p w14:paraId="22DD0375" w14:textId="77777777" w:rsidR="00B03220" w:rsidRPr="0088502A" w:rsidRDefault="00B03220" w:rsidP="004769F7"/>
    <w:p w14:paraId="5784733B" w14:textId="57C50434" w:rsidR="004769F7" w:rsidRPr="0088502A" w:rsidRDefault="008D6B75" w:rsidP="009F0366">
      <w:pPr>
        <w:ind w:left="567"/>
        <w:rPr>
          <w:u w:val="single"/>
        </w:rPr>
      </w:pPr>
      <w:bookmarkStart w:id="66" w:name="_Toc140511421"/>
      <w:r>
        <w:rPr>
          <w:u w:val="single"/>
        </w:rPr>
        <w:t>Nueva propuesta de modificación del elemento 17 “Información adicional” del “Formulario UPOV para la descripción de variedades”</w:t>
      </w:r>
      <w:bookmarkEnd w:id="66"/>
    </w:p>
    <w:p w14:paraId="0F458B62" w14:textId="77777777" w:rsidR="004769F7" w:rsidRPr="0088502A" w:rsidRDefault="004769F7" w:rsidP="004769F7"/>
    <w:p w14:paraId="7A00E61F" w14:textId="4D80A25F" w:rsidR="004769F7" w:rsidRPr="0088502A" w:rsidRDefault="003415AF" w:rsidP="004769F7">
      <w:pPr>
        <w:rPr>
          <w:rFonts w:eastAsia="MS Mincho"/>
        </w:rPr>
      </w:pPr>
      <w:r>
        <w:fldChar w:fldCharType="begin"/>
      </w:r>
      <w:r>
        <w:instrText xml:space="preserve"> LISTNUM  LegalDefault \l 1 </w:instrText>
      </w:r>
      <w:r>
        <w:fldChar w:fldCharType="end"/>
      </w:r>
      <w:r>
        <w:tab/>
        <w:t>En su quincuagésima quinta sesión</w:t>
      </w:r>
      <w:r w:rsidR="004E5F31" w:rsidRPr="004E5F31">
        <w:rPr>
          <w:vertAlign w:val="superscript"/>
        </w:rPr>
        <w:fldChar w:fldCharType="begin"/>
      </w:r>
      <w:r w:rsidR="004E5F31" w:rsidRPr="004E5F31">
        <w:rPr>
          <w:vertAlign w:val="superscript"/>
        </w:rPr>
        <w:instrText xml:space="preserve"> NOTEREF _Ref145614717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10</w:t>
      </w:r>
      <w:r w:rsidR="004E5F31" w:rsidRPr="004E5F31">
        <w:rPr>
          <w:vertAlign w:val="superscript"/>
        </w:rPr>
        <w:fldChar w:fldCharType="end"/>
      </w:r>
      <w:r>
        <w:t>, el</w:t>
      </w:r>
      <w:r w:rsidR="006C26EB">
        <w:t> </w:t>
      </w:r>
      <w:r>
        <w:t>TWO examinó el documento TWO/55/6, presentado por un experto de Nueva</w:t>
      </w:r>
      <w:r w:rsidR="006C26EB">
        <w:t> </w:t>
      </w:r>
      <w:r>
        <w:t>Zelandia (véanse los párrafos</w:t>
      </w:r>
      <w:r w:rsidR="006C26EB">
        <w:t> </w:t>
      </w:r>
      <w:r>
        <w:t>21 a</w:t>
      </w:r>
      <w:r w:rsidR="006C26EB">
        <w:t> </w:t>
      </w:r>
      <w:r>
        <w:t xml:space="preserve">25 del documento TWO/55/11 </w:t>
      </w:r>
      <w:r>
        <w:rPr>
          <w:i/>
        </w:rPr>
        <w:t>“Report”</w:t>
      </w:r>
      <w:r>
        <w:t xml:space="preserve"> (informe)). </w:t>
      </w:r>
    </w:p>
    <w:p w14:paraId="0F8923F5" w14:textId="77777777" w:rsidR="004769F7" w:rsidRPr="0088502A" w:rsidRDefault="004769F7" w:rsidP="004769F7">
      <w:pPr>
        <w:rPr>
          <w:rFonts w:eastAsia="MS Mincho"/>
        </w:rPr>
      </w:pPr>
    </w:p>
    <w:p w14:paraId="4A456094" w14:textId="7BE1C2FB" w:rsidR="00271855" w:rsidRDefault="003415AF" w:rsidP="009236D6">
      <w:pPr>
        <w:keepNext/>
        <w:keepLines/>
        <w:rPr>
          <w:rFonts w:eastAsia="MS Mincho"/>
          <w:spacing w:val="-2"/>
        </w:rPr>
      </w:pPr>
      <w:r>
        <w:fldChar w:fldCharType="begin"/>
      </w:r>
      <w:r>
        <w:instrText xml:space="preserve"> LISTNUM  LegalDefault \l 1 </w:instrText>
      </w:r>
      <w:r>
        <w:fldChar w:fldCharType="end"/>
      </w:r>
      <w:r>
        <w:tab/>
        <w:t>El</w:t>
      </w:r>
      <w:r w:rsidR="006C26EB">
        <w:t> </w:t>
      </w:r>
      <w:r>
        <w:t>TWO examinó la propuesta que figura en el documento</w:t>
      </w:r>
      <w:r w:rsidR="006C26EB">
        <w:t> </w:t>
      </w:r>
      <w:r>
        <w:t xml:space="preserve">TWO/55/6 </w:t>
      </w:r>
      <w:r w:rsidR="004D0062" w:rsidRPr="004D0062">
        <w:t>“</w:t>
      </w:r>
      <w:r w:rsidR="004D0062" w:rsidRPr="004D0062">
        <w:rPr>
          <w:i/>
          <w:iCs/>
        </w:rPr>
        <w:t>Information required to enhance the use of existing DUS test reports</w:t>
      </w:r>
      <w:r w:rsidR="004D0062" w:rsidRPr="004D0062">
        <w:t>”</w:t>
      </w:r>
      <w:r w:rsidR="004D0062">
        <w:t xml:space="preserve"> </w:t>
      </w:r>
      <w:r w:rsidR="00AF16FA">
        <w:t>(</w:t>
      </w:r>
      <w:r w:rsidR="00AF16FA" w:rsidRPr="00AF16FA">
        <w:t>Información necesaria para potenciar el uso de los informes de examen DHE existentes</w:t>
      </w:r>
      <w:r w:rsidR="00AF16FA">
        <w:t>)</w:t>
      </w:r>
      <w:r w:rsidR="00AF16FA" w:rsidRPr="00AF16FA">
        <w:t xml:space="preserve"> </w:t>
      </w:r>
      <w:r>
        <w:t>de modificación del elemento</w:t>
      </w:r>
      <w:r w:rsidR="006C26EB">
        <w:t> </w:t>
      </w:r>
      <w:r>
        <w:t>17 “Información adicional” de la sección</w:t>
      </w:r>
      <w:r w:rsidR="006C26EB">
        <w:t> </w:t>
      </w:r>
      <w:r>
        <w:t>6 del documento</w:t>
      </w:r>
      <w:r w:rsidR="006C26EB">
        <w:t> </w:t>
      </w:r>
      <w:r>
        <w:t xml:space="preserve">TGP/5 “Formulario UPOV para la descripción de variedades” para incluir ejemplos de “a) datos adicionales” que podrían facilitarse con las descripciones de variedades.  </w:t>
      </w:r>
    </w:p>
    <w:p w14:paraId="514E81D8" w14:textId="77777777" w:rsidR="00271855" w:rsidRDefault="00271855" w:rsidP="009236D6">
      <w:pPr>
        <w:keepNext/>
        <w:keepLines/>
        <w:rPr>
          <w:rFonts w:eastAsia="MS Mincho"/>
          <w:spacing w:val="-2"/>
        </w:rPr>
      </w:pPr>
    </w:p>
    <w:p w14:paraId="1B3528AD" w14:textId="2954AD33" w:rsidR="004769F7" w:rsidRPr="0088502A" w:rsidRDefault="003415AF" w:rsidP="009236D6">
      <w:pPr>
        <w:keepNext/>
        <w:keepLines/>
        <w:rPr>
          <w:rFonts w:eastAsia="MS Mincho"/>
          <w:spacing w:val="-2"/>
        </w:rPr>
      </w:pPr>
      <w:r>
        <w:fldChar w:fldCharType="begin"/>
      </w:r>
      <w:r>
        <w:instrText xml:space="preserve"> LISTNUM  LegalDefault \l 1 </w:instrText>
      </w:r>
      <w:r>
        <w:fldChar w:fldCharType="end"/>
      </w:r>
      <w:r>
        <w:tab/>
        <w:t>El</w:t>
      </w:r>
      <w:r w:rsidR="006C26EB">
        <w:t> </w:t>
      </w:r>
      <w:r>
        <w:t>TWO convino en proponer que se considere la siguiente lista no exhaustiva de ejemplos de datos adicionales para su inclusión en la sección</w:t>
      </w:r>
      <w:r w:rsidR="006C26EB">
        <w:t> </w:t>
      </w:r>
      <w:r>
        <w:t>6 del documento</w:t>
      </w:r>
      <w:r w:rsidR="006C26EB">
        <w:t> </w:t>
      </w:r>
      <w:r>
        <w:t xml:space="preserve">TGP/5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616630F0" w14:textId="77777777" w:rsidR="004769F7" w:rsidRPr="0088502A" w:rsidRDefault="004769F7" w:rsidP="004769F7">
      <w:pPr>
        <w:rPr>
          <w:rFonts w:eastAsia="MS Mincho"/>
        </w:rPr>
      </w:pPr>
    </w:p>
    <w:p w14:paraId="28705AF4" w14:textId="77777777" w:rsidR="004769F7" w:rsidRPr="0088502A" w:rsidRDefault="004769F7" w:rsidP="004769F7">
      <w:pPr>
        <w:ind w:left="567" w:right="567"/>
        <w:rPr>
          <w:rFonts w:eastAsia="MS Mincho"/>
        </w:rPr>
      </w:pPr>
      <w:r>
        <w:t xml:space="preserve">“a) Datos adicionales </w:t>
      </w:r>
      <w:r>
        <w:rPr>
          <w:highlight w:val="lightGray"/>
          <w:u w:val="single"/>
        </w:rPr>
        <w:t>(por ejemplo, resultados del COYU o COYD, datos medidos que respaldan ciertos caracteres, escalas de los caracteres medidos de las variedades ejemplo)</w:t>
      </w:r>
      <w:r>
        <w:t>”</w:t>
      </w:r>
    </w:p>
    <w:p w14:paraId="795E0E77" w14:textId="77777777" w:rsidR="004769F7" w:rsidRPr="0088502A" w:rsidRDefault="004769F7" w:rsidP="004769F7">
      <w:pPr>
        <w:rPr>
          <w:rFonts w:eastAsia="MS Mincho"/>
        </w:rPr>
      </w:pPr>
    </w:p>
    <w:p w14:paraId="285DE48B" w14:textId="28296DCE" w:rsidR="004769F7" w:rsidRPr="0088502A" w:rsidRDefault="003415AF" w:rsidP="004769F7">
      <w:r>
        <w:fldChar w:fldCharType="begin"/>
      </w:r>
      <w:r>
        <w:instrText xml:space="preserve"> LISTNUM  LegalDefault \l 1 </w:instrText>
      </w:r>
      <w:r>
        <w:fldChar w:fldCharType="end"/>
      </w:r>
      <w:r>
        <w:tab/>
        <w:t>El</w:t>
      </w:r>
      <w:r w:rsidR="006C26EB">
        <w:t> </w:t>
      </w:r>
      <w:r>
        <w:t>TWO convino en proponer la inclusión del siguiente elemento adicional en la lista de “Información adicional” de la sección</w:t>
      </w:r>
      <w:r w:rsidR="006C26EB">
        <w:t> </w:t>
      </w:r>
      <w:r>
        <w:t>17 de la sección</w:t>
      </w:r>
      <w:r w:rsidR="006C26EB">
        <w:t> </w:t>
      </w:r>
      <w:r>
        <w:t>6 del documento</w:t>
      </w:r>
      <w:r w:rsidR="006C26EB">
        <w:t> </w:t>
      </w:r>
      <w:r>
        <w:t>TGP/5:</w:t>
      </w:r>
    </w:p>
    <w:p w14:paraId="35155EF8" w14:textId="77777777" w:rsidR="004769F7" w:rsidRPr="0088502A" w:rsidRDefault="004769F7" w:rsidP="004769F7"/>
    <w:p w14:paraId="0FE92BF6" w14:textId="77777777" w:rsidR="004769F7" w:rsidRPr="0088502A" w:rsidRDefault="004769F7" w:rsidP="004769F7">
      <w:pPr>
        <w:ind w:left="567"/>
        <w:rPr>
          <w:rFonts w:eastAsia="MS Mincho"/>
        </w:rPr>
      </w:pPr>
      <w:r>
        <w:t xml:space="preserve">“d) </w:t>
      </w:r>
      <w:r>
        <w:rPr>
          <w:highlight w:val="lightGray"/>
          <w:u w:val="single"/>
        </w:rPr>
        <w:t>Variedades ejemplo usadas en las pruebas del ensayo en cultivo</w:t>
      </w:r>
      <w:r>
        <w:t>”</w:t>
      </w:r>
    </w:p>
    <w:p w14:paraId="7F482400" w14:textId="77777777" w:rsidR="004769F7" w:rsidRPr="0088502A" w:rsidRDefault="004769F7" w:rsidP="004769F7">
      <w:pPr>
        <w:rPr>
          <w:rFonts w:eastAsia="MS Mincho"/>
        </w:rPr>
      </w:pPr>
    </w:p>
    <w:p w14:paraId="0D9A1794" w14:textId="2DE0B9D2" w:rsidR="004769F7" w:rsidRPr="0088502A" w:rsidRDefault="003415AF" w:rsidP="004769F7">
      <w:pPr>
        <w:rPr>
          <w:rFonts w:eastAsia="MS Mincho"/>
        </w:rPr>
      </w:pPr>
      <w:r>
        <w:fldChar w:fldCharType="begin"/>
      </w:r>
      <w:r>
        <w:instrText xml:space="preserve"> LISTNUM  LegalDefault \l 1 </w:instrText>
      </w:r>
      <w:r>
        <w:fldChar w:fldCharType="end"/>
      </w:r>
      <w:r>
        <w:tab/>
        <w:t>El</w:t>
      </w:r>
      <w:r w:rsidR="006C26EB">
        <w:t> </w:t>
      </w:r>
      <w:r>
        <w:t>TWO examinó la sección</w:t>
      </w:r>
      <w:r w:rsidR="006C26EB">
        <w:t> </w:t>
      </w:r>
      <w:r>
        <w:t>6 “Informe de la</w:t>
      </w:r>
      <w:r w:rsidR="006C26EB">
        <w:t> </w:t>
      </w:r>
      <w:r>
        <w:t>UPOV sobre el examen técnico y Formulario UPOV para la descripción de variedades” del documento</w:t>
      </w:r>
      <w:r w:rsidR="006C26EB">
        <w:t> </w:t>
      </w:r>
      <w:r>
        <w:t>TGP/5 y convino en que la falta de información en la sección</w:t>
      </w:r>
      <w:r w:rsidR="006C26EB">
        <w:t> </w:t>
      </w:r>
      <w:r>
        <w:t xml:space="preserve">16 </w:t>
      </w:r>
      <w:r>
        <w:rPr>
          <w:i/>
        </w:rPr>
        <w:t>“Variedades similares y diferencias en relación con esas variedades”</w:t>
      </w:r>
      <w:r>
        <w:t xml:space="preserve"> reducirá la utilidad de los informes de examen DHE para el intercambio. </w:t>
      </w:r>
    </w:p>
    <w:p w14:paraId="6B873ABE" w14:textId="77777777" w:rsidR="004769F7" w:rsidRPr="0088502A" w:rsidRDefault="004769F7" w:rsidP="004769F7">
      <w:pPr>
        <w:rPr>
          <w:rFonts w:eastAsia="MS Mincho"/>
        </w:rPr>
      </w:pPr>
    </w:p>
    <w:p w14:paraId="3DE56AC8" w14:textId="5375787A" w:rsidR="004769F7" w:rsidRPr="0088502A" w:rsidRDefault="003415AF" w:rsidP="004769F7">
      <w:r>
        <w:fldChar w:fldCharType="begin"/>
      </w:r>
      <w:r>
        <w:instrText xml:space="preserve"> LISTNUM  LegalDefault \l 1 </w:instrText>
      </w:r>
      <w:r>
        <w:fldChar w:fldCharType="end"/>
      </w:r>
      <w:r>
        <w:tab/>
        <w:t>El</w:t>
      </w:r>
      <w:r w:rsidR="006C26EB">
        <w:t> </w:t>
      </w:r>
      <w:r>
        <w:t>TWO convino en recomendar que las autoridades que faciliten informes de examen</w:t>
      </w:r>
      <w:r w:rsidR="006C26EB">
        <w:t> </w:t>
      </w:r>
      <w:r>
        <w:t>DHE suministren información en la sección</w:t>
      </w:r>
      <w:r w:rsidR="006C26EB">
        <w:t> </w:t>
      </w:r>
      <w:r>
        <w:t>16 del formulario para la descripción de variedades, incluso para indicar que no se ha identificado ninguna variedad similar. El</w:t>
      </w:r>
      <w:r w:rsidR="006C26EB">
        <w:t> </w:t>
      </w:r>
      <w:r>
        <w:t>TWO convino en que, en caso de que haya una variedad similar (o varias), debe mencionarse en la sección</w:t>
      </w:r>
      <w:r w:rsidR="006C26EB">
        <w:t> </w:t>
      </w:r>
      <w:r>
        <w:t xml:space="preserve">16 del informe del examen. </w:t>
      </w:r>
    </w:p>
    <w:p w14:paraId="0A599F2D" w14:textId="1F020C00" w:rsidR="00A7574A" w:rsidRDefault="00A7574A">
      <w:pPr>
        <w:jc w:val="left"/>
      </w:pPr>
    </w:p>
    <w:p w14:paraId="2B3C49BB" w14:textId="37A42736" w:rsidR="004769F7" w:rsidRPr="0088502A" w:rsidRDefault="00B03220" w:rsidP="00AF16FA">
      <w:pPr>
        <w:keepNext/>
        <w:rPr>
          <w:i/>
        </w:rPr>
      </w:pPr>
      <w:r>
        <w:rPr>
          <w:i/>
        </w:rPr>
        <w:t>Documento</w:t>
      </w:r>
      <w:r w:rsidR="006C26EB">
        <w:rPr>
          <w:i/>
        </w:rPr>
        <w:t> </w:t>
      </w:r>
      <w:r>
        <w:rPr>
          <w:i/>
        </w:rPr>
        <w:t>TGP/5: Sección</w:t>
      </w:r>
      <w:r w:rsidR="006C26EB">
        <w:rPr>
          <w:i/>
        </w:rPr>
        <w:t> </w:t>
      </w:r>
      <w:r>
        <w:rPr>
          <w:i/>
        </w:rPr>
        <w:t>11 “Ejemplos de políticas y contratos sobre el material presentado por el obtentor” (revisión)</w:t>
      </w:r>
    </w:p>
    <w:p w14:paraId="42E5503E" w14:textId="77777777" w:rsidR="004769F7" w:rsidRPr="0088502A" w:rsidRDefault="004769F7" w:rsidP="00AF16FA">
      <w:pPr>
        <w:keepNext/>
      </w:pPr>
    </w:p>
    <w:p w14:paraId="72443509" w14:textId="52E7CD76" w:rsidR="008D6B75" w:rsidRPr="00051E1E" w:rsidRDefault="00FD2D3D" w:rsidP="00AF16FA">
      <w:pPr>
        <w:keepNext/>
        <w:ind w:left="567"/>
        <w:rPr>
          <w:u w:val="single"/>
        </w:rPr>
      </w:pPr>
      <w:r>
        <w:rPr>
          <w:u w:val="single"/>
        </w:rPr>
        <w:t>Nueva propuesta: Acceso al material vegetal a efectos de la gestión de colecciones de variedades y el examen</w:t>
      </w:r>
      <w:r w:rsidR="006C26EB">
        <w:rPr>
          <w:u w:val="single"/>
        </w:rPr>
        <w:t> </w:t>
      </w:r>
      <w:r>
        <w:rPr>
          <w:u w:val="single"/>
        </w:rPr>
        <w:t xml:space="preserve">DHE </w:t>
      </w:r>
    </w:p>
    <w:p w14:paraId="3DB3844B" w14:textId="77777777" w:rsidR="008D6B75" w:rsidRPr="0088502A" w:rsidRDefault="008D6B75" w:rsidP="00AF16FA">
      <w:pPr>
        <w:keepNext/>
      </w:pPr>
    </w:p>
    <w:p w14:paraId="2AE70BFC" w14:textId="31852D3B" w:rsidR="004769F7" w:rsidRPr="0088502A" w:rsidRDefault="003415AF" w:rsidP="004769F7">
      <w:r>
        <w:fldChar w:fldCharType="begin"/>
      </w:r>
      <w:r>
        <w:instrText xml:space="preserve"> LISTNUM  LegalDefault \l 1 </w:instrText>
      </w:r>
      <w:r>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t>, el</w:t>
      </w:r>
      <w:r w:rsidR="006C26EB">
        <w:t> </w:t>
      </w:r>
      <w:r>
        <w:t>TWF examinó el documento TWF/54/7</w:t>
      </w:r>
      <w:r w:rsidR="00992468">
        <w:t xml:space="preserve"> </w:t>
      </w:r>
      <w:r w:rsidR="00992468" w:rsidRPr="004D0062">
        <w:rPr>
          <w:i/>
          <w:iCs/>
        </w:rPr>
        <w:t>“Cooperation in examination”</w:t>
      </w:r>
      <w:r w:rsidR="00992468">
        <w:t xml:space="preserve"> (C</w:t>
      </w:r>
      <w:r w:rsidR="00992468" w:rsidRPr="004D0062">
        <w:t>ooperación en el examen</w:t>
      </w:r>
      <w:r w:rsidR="00992468">
        <w:t>)</w:t>
      </w:r>
      <w:r>
        <w:t>, presentado por un experto de la Unión</w:t>
      </w:r>
      <w:r w:rsidR="006C26EB">
        <w:t> </w:t>
      </w:r>
      <w:r>
        <w:t>Europea (véanse los párrafos</w:t>
      </w:r>
      <w:r w:rsidR="006C26EB">
        <w:t> </w:t>
      </w:r>
      <w:r>
        <w:t>19 y</w:t>
      </w:r>
      <w:r w:rsidR="006C26EB">
        <w:t> </w:t>
      </w:r>
      <w:r>
        <w:t xml:space="preserve">20 del documento TWF/54/13 </w:t>
      </w:r>
      <w:r>
        <w:rPr>
          <w:i/>
        </w:rPr>
        <w:t>“Report”</w:t>
      </w:r>
      <w:r>
        <w:t xml:space="preserve"> (informe)).</w:t>
      </w:r>
    </w:p>
    <w:p w14:paraId="7CC39B1C" w14:textId="77777777" w:rsidR="004769F7" w:rsidRPr="0088502A" w:rsidRDefault="004769F7" w:rsidP="004769F7"/>
    <w:p w14:paraId="772275D5" w14:textId="456D3D34" w:rsidR="004769F7" w:rsidRPr="0088502A" w:rsidRDefault="003415AF" w:rsidP="009236D6">
      <w:pPr>
        <w:keepNext/>
        <w:keepLines/>
        <w:rPr>
          <w:rFonts w:eastAsia="Cambria"/>
        </w:rPr>
      </w:pPr>
      <w:r>
        <w:lastRenderedPageBreak/>
        <w:fldChar w:fldCharType="begin"/>
      </w:r>
      <w:r>
        <w:instrText xml:space="preserve"> LISTNUM  LegalDefault \l 1 </w:instrText>
      </w:r>
      <w:r>
        <w:fldChar w:fldCharType="end"/>
      </w:r>
      <w:r>
        <w:tab/>
        <w:t>El</w:t>
      </w:r>
      <w:r w:rsidR="006C26EB">
        <w:t> </w:t>
      </w:r>
      <w:r>
        <w:t>TWF convino en proponer que se modifique la sección</w:t>
      </w:r>
      <w:r w:rsidR="006C26EB">
        <w:t> </w:t>
      </w:r>
      <w:r>
        <w:t>11 “Ejemplos de políticas y contratos sobre el material presentado por el obtentor” del documento</w:t>
      </w:r>
      <w:r w:rsidR="006C26EB">
        <w:t> </w:t>
      </w:r>
      <w:r>
        <w:t xml:space="preserve">TGP/5 para incorporar la siguiente lista de elementos a considerar para su inclusión en las solicitudes de presentación de material vegetal de las variedades candidatas y las variedades notoriamente conocidas para el examen DHE (las adiciones se indican con texto resaltado y </w:t>
      </w:r>
      <w:r>
        <w:rPr>
          <w:highlight w:val="lightGray"/>
          <w:u w:val="single"/>
        </w:rPr>
        <w:t>subrayado</w:t>
      </w:r>
      <w:r>
        <w:t xml:space="preserve"> y las eliminaciones se indican con texto resaltado y </w:t>
      </w:r>
      <w:r>
        <w:rPr>
          <w:strike/>
          <w:highlight w:val="lightGray"/>
        </w:rPr>
        <w:t>tachado</w:t>
      </w:r>
      <w:r>
        <w:t xml:space="preserve">): </w:t>
      </w:r>
    </w:p>
    <w:p w14:paraId="000F658B" w14:textId="77777777" w:rsidR="004769F7" w:rsidRPr="00051E1E" w:rsidRDefault="004769F7" w:rsidP="004769F7">
      <w:pPr>
        <w:rPr>
          <w:rFonts w:eastAsia="Cambria" w:cs="Arial"/>
          <w:sz w:val="18"/>
        </w:rPr>
      </w:pPr>
    </w:p>
    <w:p w14:paraId="69B72E08" w14:textId="77777777" w:rsidR="004769F7" w:rsidRPr="00992468" w:rsidRDefault="004769F7" w:rsidP="004769F7">
      <w:pPr>
        <w:pStyle w:val="ListParagraph"/>
        <w:numPr>
          <w:ilvl w:val="0"/>
          <w:numId w:val="8"/>
        </w:numPr>
        <w:ind w:left="1134" w:hanging="567"/>
        <w:rPr>
          <w:spacing w:val="-4"/>
          <w:highlight w:val="lightGray"/>
          <w:u w:val="single"/>
        </w:rPr>
      </w:pPr>
      <w:r w:rsidRPr="00992468">
        <w:rPr>
          <w:spacing w:val="-4"/>
          <w:highlight w:val="lightGray"/>
          <w:u w:val="single"/>
        </w:rPr>
        <w:t>Carta dirigida al titular de la protección de las obtenciones vegetales de la variedad o a su representante formal en el territorio</w:t>
      </w:r>
    </w:p>
    <w:p w14:paraId="336DCD03" w14:textId="77777777" w:rsidR="004769F7" w:rsidRPr="00992468" w:rsidRDefault="004769F7" w:rsidP="004769F7">
      <w:pPr>
        <w:ind w:left="1134" w:hanging="567"/>
        <w:rPr>
          <w:spacing w:val="-4"/>
          <w:sz w:val="18"/>
          <w:highlight w:val="lightGray"/>
          <w:u w:val="single"/>
        </w:rPr>
      </w:pPr>
    </w:p>
    <w:p w14:paraId="165EC6FB" w14:textId="7343C883" w:rsidR="004769F7" w:rsidRPr="00992468" w:rsidRDefault="004769F7" w:rsidP="004769F7">
      <w:pPr>
        <w:pStyle w:val="ListParagraph"/>
        <w:numPr>
          <w:ilvl w:val="0"/>
          <w:numId w:val="8"/>
        </w:numPr>
        <w:ind w:left="1134" w:hanging="567"/>
        <w:rPr>
          <w:spacing w:val="-4"/>
          <w:highlight w:val="lightGray"/>
          <w:u w:val="single"/>
        </w:rPr>
      </w:pPr>
      <w:r w:rsidRPr="00992468">
        <w:rPr>
          <w:spacing w:val="-4"/>
          <w:highlight w:val="lightGray"/>
          <w:u w:val="single"/>
        </w:rPr>
        <w:t>Detalles técnicos, en particular, calidad, cantidad, fecha y lugar de presentación. En el sector frutícola, puede ser necesario organizar el material de la calidad deseada con más de un año de antelación. La autoridad debería aceptar cierta flexibilidad en su disponibilidad.</w:t>
      </w:r>
    </w:p>
    <w:p w14:paraId="4D044B52" w14:textId="77777777" w:rsidR="004769F7" w:rsidRPr="00992468" w:rsidRDefault="004769F7" w:rsidP="004769F7">
      <w:pPr>
        <w:ind w:left="1134" w:hanging="567"/>
        <w:rPr>
          <w:spacing w:val="-4"/>
          <w:sz w:val="18"/>
          <w:highlight w:val="lightGray"/>
          <w:u w:val="single"/>
        </w:rPr>
      </w:pPr>
    </w:p>
    <w:p w14:paraId="38CA7536" w14:textId="77777777" w:rsidR="004769F7" w:rsidRPr="00992468" w:rsidRDefault="004769F7" w:rsidP="004769F7">
      <w:pPr>
        <w:pStyle w:val="ListParagraph"/>
        <w:numPr>
          <w:ilvl w:val="0"/>
          <w:numId w:val="8"/>
        </w:numPr>
        <w:ind w:left="1134" w:hanging="567"/>
        <w:rPr>
          <w:spacing w:val="-4"/>
          <w:highlight w:val="lightGray"/>
          <w:u w:val="single"/>
        </w:rPr>
      </w:pPr>
      <w:r w:rsidRPr="00992468">
        <w:rPr>
          <w:spacing w:val="-4"/>
          <w:highlight w:val="lightGray"/>
          <w:u w:val="single"/>
        </w:rPr>
        <w:t>Explicación detallada de la finalidad</w:t>
      </w:r>
    </w:p>
    <w:p w14:paraId="49FF6C16" w14:textId="77777777" w:rsidR="004769F7" w:rsidRPr="00992468" w:rsidRDefault="004769F7" w:rsidP="004769F7">
      <w:pPr>
        <w:rPr>
          <w:spacing w:val="-4"/>
          <w:sz w:val="16"/>
          <w:highlight w:val="lightGray"/>
          <w:u w:val="single"/>
        </w:rPr>
      </w:pPr>
    </w:p>
    <w:p w14:paraId="66E26F2B" w14:textId="77777777" w:rsidR="004769F7" w:rsidRPr="00992468" w:rsidRDefault="004769F7" w:rsidP="004769F7">
      <w:pPr>
        <w:pStyle w:val="ListParagraph"/>
        <w:numPr>
          <w:ilvl w:val="0"/>
          <w:numId w:val="10"/>
        </w:numPr>
        <w:ind w:left="1701" w:hanging="567"/>
        <w:rPr>
          <w:spacing w:val="-4"/>
          <w:highlight w:val="lightGray"/>
          <w:u w:val="single"/>
        </w:rPr>
      </w:pPr>
      <w:r w:rsidRPr="00992468">
        <w:rPr>
          <w:spacing w:val="-4"/>
          <w:highlight w:val="lightGray"/>
          <w:u w:val="single"/>
        </w:rPr>
        <w:t>Colección de la variedad</w:t>
      </w:r>
    </w:p>
    <w:p w14:paraId="17CFA309" w14:textId="77777777" w:rsidR="004769F7" w:rsidRPr="00992468" w:rsidRDefault="004769F7" w:rsidP="004769F7">
      <w:pPr>
        <w:pStyle w:val="ListParagraph"/>
        <w:numPr>
          <w:ilvl w:val="0"/>
          <w:numId w:val="10"/>
        </w:numPr>
        <w:ind w:left="1701" w:hanging="567"/>
        <w:rPr>
          <w:spacing w:val="-4"/>
          <w:highlight w:val="lightGray"/>
          <w:u w:val="single"/>
        </w:rPr>
      </w:pPr>
      <w:r w:rsidRPr="00992468">
        <w:rPr>
          <w:spacing w:val="-4"/>
          <w:highlight w:val="lightGray"/>
          <w:u w:val="single"/>
        </w:rPr>
        <w:t xml:space="preserve">Comparación por pares con una posible variedad candidata similar </w:t>
      </w:r>
    </w:p>
    <w:p w14:paraId="13AE3EA7" w14:textId="77777777" w:rsidR="004769F7" w:rsidRPr="00992468" w:rsidRDefault="004769F7" w:rsidP="004769F7">
      <w:pPr>
        <w:rPr>
          <w:spacing w:val="-4"/>
          <w:sz w:val="18"/>
          <w:highlight w:val="lightGray"/>
          <w:u w:val="single"/>
        </w:rPr>
      </w:pPr>
    </w:p>
    <w:p w14:paraId="1EA650DB" w14:textId="77777777" w:rsidR="004769F7" w:rsidRPr="00992468" w:rsidRDefault="004769F7" w:rsidP="004769F7">
      <w:pPr>
        <w:pStyle w:val="ListParagraph"/>
        <w:numPr>
          <w:ilvl w:val="0"/>
          <w:numId w:val="11"/>
        </w:numPr>
        <w:ind w:left="1134" w:hanging="567"/>
        <w:rPr>
          <w:spacing w:val="-4"/>
          <w:highlight w:val="lightGray"/>
          <w:u w:val="single"/>
        </w:rPr>
      </w:pPr>
      <w:r w:rsidRPr="00992468">
        <w:rPr>
          <w:spacing w:val="-4"/>
          <w:highlight w:val="lightGray"/>
          <w:u w:val="single"/>
        </w:rPr>
        <w:t>Lo que se hará y lo que no se hará con el material durante y después del ensayo, como muestreos y perfiles de ADN</w:t>
      </w:r>
    </w:p>
    <w:p w14:paraId="6D78A045" w14:textId="77777777" w:rsidR="004769F7" w:rsidRPr="00992468" w:rsidRDefault="004769F7" w:rsidP="004769F7">
      <w:pPr>
        <w:rPr>
          <w:spacing w:val="-4"/>
          <w:sz w:val="16"/>
          <w:highlight w:val="lightGray"/>
          <w:u w:val="single"/>
        </w:rPr>
      </w:pPr>
    </w:p>
    <w:p w14:paraId="47A9788B"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El organismo responsable del cumplimiento de la política es la autoridad de protección de las obtenciones vegetales</w:t>
      </w:r>
    </w:p>
    <w:p w14:paraId="4B82418A" w14:textId="306AA280"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Causa justificativa del examen</w:t>
      </w:r>
      <w:r w:rsidR="006C26EB" w:rsidRPr="00992468">
        <w:rPr>
          <w:spacing w:val="-4"/>
          <w:highlight w:val="lightGray"/>
          <w:u w:val="single"/>
        </w:rPr>
        <w:t> </w:t>
      </w:r>
      <w:r w:rsidRPr="00992468">
        <w:rPr>
          <w:spacing w:val="-4"/>
          <w:highlight w:val="lightGray"/>
          <w:u w:val="single"/>
        </w:rPr>
        <w:t>DHE</w:t>
      </w:r>
    </w:p>
    <w:p w14:paraId="5F192B30"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Ubicación física del material, posibilidad de que el propietario tenga acceso y descripción de los cuidados necesarios y de las condiciones de cultivo</w:t>
      </w:r>
    </w:p>
    <w:p w14:paraId="639ACB65"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Titularidad del material</w:t>
      </w:r>
    </w:p>
    <w:p w14:paraId="4479BE4E"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Aclaración de otros usos posibles, por ejemplo, otros fines oficiales, cuáles</w:t>
      </w:r>
    </w:p>
    <w:p w14:paraId="0D867D4C"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Circunstancias en las que el material puede ponerse a disposición de un tercero o de otra autoridad</w:t>
      </w:r>
    </w:p>
    <w:p w14:paraId="7B81809B"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 xml:space="preserve">Aclaración de las situaciones en las que se requiere el consentimiento del obtentor </w:t>
      </w:r>
    </w:p>
    <w:p w14:paraId="322FBCC3"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Quién tiene acceso al material</w:t>
      </w:r>
    </w:p>
    <w:p w14:paraId="6C694174" w14:textId="77777777" w:rsidR="004769F7" w:rsidRPr="00992468" w:rsidRDefault="004769F7" w:rsidP="004769F7">
      <w:pPr>
        <w:pStyle w:val="ListParagraph"/>
        <w:numPr>
          <w:ilvl w:val="0"/>
          <w:numId w:val="12"/>
        </w:numPr>
        <w:ind w:left="1701" w:hanging="567"/>
        <w:rPr>
          <w:spacing w:val="-4"/>
          <w:highlight w:val="lightGray"/>
          <w:u w:val="single"/>
        </w:rPr>
      </w:pPr>
      <w:r w:rsidRPr="00992468">
        <w:rPr>
          <w:spacing w:val="-4"/>
          <w:highlight w:val="lightGray"/>
          <w:u w:val="single"/>
        </w:rPr>
        <w:t>Información que tendrá que ponerse a disposición del público como requisito (fotografías, descripciones)</w:t>
      </w:r>
    </w:p>
    <w:p w14:paraId="4A030822" w14:textId="77777777" w:rsidR="004769F7" w:rsidRPr="0088502A" w:rsidRDefault="004769F7" w:rsidP="004769F7"/>
    <w:p w14:paraId="715BD5EB" w14:textId="51CCFA73" w:rsidR="004769F7" w:rsidRPr="0088502A" w:rsidRDefault="00051E1E" w:rsidP="00D86905">
      <w:pPr>
        <w:rPr>
          <w:i/>
        </w:rPr>
      </w:pPr>
      <w:r>
        <w:rPr>
          <w:i/>
        </w:rPr>
        <w:t>Documento</w:t>
      </w:r>
      <w:r w:rsidR="006C26EB">
        <w:rPr>
          <w:i/>
        </w:rPr>
        <w:t> </w:t>
      </w:r>
      <w:r>
        <w:rPr>
          <w:i/>
        </w:rPr>
        <w:t>TGP/7</w:t>
      </w:r>
      <w:r>
        <w:rPr>
          <w:i/>
        </w:rPr>
        <w:tab/>
        <w:t>Elaboración de las directrices de examen (revisión)</w:t>
      </w:r>
    </w:p>
    <w:p w14:paraId="6B2A82D8" w14:textId="77777777" w:rsidR="00D86905" w:rsidRPr="0088502A" w:rsidRDefault="00D86905" w:rsidP="00D86905"/>
    <w:p w14:paraId="58EA76A7" w14:textId="77777777" w:rsidR="00D86905" w:rsidRPr="0088502A" w:rsidRDefault="00D86905" w:rsidP="009F0366">
      <w:pPr>
        <w:ind w:left="567"/>
        <w:rPr>
          <w:u w:val="single"/>
        </w:rPr>
      </w:pPr>
      <w:bookmarkStart w:id="67" w:name="_Toc137223099"/>
      <w:bookmarkStart w:id="68" w:name="_Toc140511423"/>
      <w:r>
        <w:rPr>
          <w:u w:val="single"/>
        </w:rPr>
        <w:t>Variedades ejemplo para los caracteres cuantitativos señalados con asterisco cuando se facilitan ilustraciones</w:t>
      </w:r>
      <w:bookmarkEnd w:id="67"/>
      <w:bookmarkEnd w:id="68"/>
    </w:p>
    <w:p w14:paraId="35D6CAF2" w14:textId="77777777" w:rsidR="00D86905" w:rsidRPr="0088502A" w:rsidRDefault="00D86905" w:rsidP="00D86905"/>
    <w:p w14:paraId="0C347D6F" w14:textId="32E2AD92" w:rsidR="00D86905" w:rsidRPr="0088502A" w:rsidRDefault="003415AF" w:rsidP="00D86905">
      <w:r>
        <w:fldChar w:fldCharType="begin"/>
      </w:r>
      <w:r>
        <w:instrText xml:space="preserve"> LISTNUM  LegalDefault \l 1 </w:instrText>
      </w:r>
      <w:r>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w:t>
      </w:r>
      <w:r w:rsidR="006C26EB">
        <w:t> </w:t>
      </w:r>
      <w:r>
        <w:t>TC convino en invitar a los</w:t>
      </w:r>
      <w:r w:rsidR="008F3423">
        <w:t> </w:t>
      </w:r>
      <w:r>
        <w:t>TWP a examinar, en sus sesiones de</w:t>
      </w:r>
      <w:r w:rsidR="008F3423">
        <w:t> </w:t>
      </w:r>
      <w:r>
        <w:t>2023, las situaciones descritas por el</w:t>
      </w:r>
      <w:r w:rsidR="008F3423">
        <w:t> </w:t>
      </w:r>
      <w:r>
        <w:t>TWO como base para elaborar orientaciones sobre posibles excepciones al requisito de proporcionar variedades ejemplo para los caracteres cuantitativos señalados con asterisco cuando se facilitan ilustraciones. El</w:t>
      </w:r>
      <w:r w:rsidR="008F3423">
        <w:t> </w:t>
      </w:r>
      <w:r>
        <w:t>TC convino en invitar a los</w:t>
      </w:r>
      <w:r w:rsidR="008F3423">
        <w:t> </w:t>
      </w:r>
      <w:r>
        <w:t>TWP a especificar situaciones en las que se podría aplicar este enfoque (véanse los párrafos</w:t>
      </w:r>
      <w:r w:rsidR="008F3423">
        <w:t> </w:t>
      </w:r>
      <w:r>
        <w:t>23 y</w:t>
      </w:r>
      <w:r w:rsidR="008F3423">
        <w:t> </w:t>
      </w:r>
      <w:r>
        <w:t>24 del documento</w:t>
      </w:r>
      <w:r w:rsidR="008F3423">
        <w:t> </w:t>
      </w:r>
      <w:r>
        <w:t xml:space="preserve">TC/58/31 “Informe”). </w:t>
      </w:r>
    </w:p>
    <w:p w14:paraId="54BCC4CB" w14:textId="77777777" w:rsidR="00D86905" w:rsidRPr="0088502A" w:rsidRDefault="00D86905" w:rsidP="00D86905">
      <w:pPr>
        <w:ind w:left="567"/>
        <w:rPr>
          <w:u w:val="single"/>
        </w:rPr>
      </w:pPr>
    </w:p>
    <w:p w14:paraId="68D685CC" w14:textId="77777777" w:rsidR="00D86905" w:rsidRPr="0088502A" w:rsidRDefault="00D86905" w:rsidP="00992468">
      <w:pPr>
        <w:ind w:left="567"/>
        <w:rPr>
          <w:rFonts w:eastAsia="Calibri"/>
          <w:i/>
        </w:rPr>
      </w:pPr>
      <w:bookmarkStart w:id="69" w:name="_Toc141872251"/>
      <w:r>
        <w:rPr>
          <w:i/>
        </w:rPr>
        <w:t>Situaciones en las que las variedades ejemplo para los caracteres cuantitativos señalados con asterisco podrían sustituirse por ilustraciones</w:t>
      </w:r>
      <w:bookmarkEnd w:id="69"/>
      <w:r>
        <w:rPr>
          <w:i/>
        </w:rPr>
        <w:t xml:space="preserve"> </w:t>
      </w:r>
    </w:p>
    <w:p w14:paraId="08D7CC16" w14:textId="77777777" w:rsidR="00D86905" w:rsidRPr="0088502A" w:rsidRDefault="00D86905" w:rsidP="00D86905"/>
    <w:p w14:paraId="59BD2DD3" w14:textId="63F784C8" w:rsidR="00D86905" w:rsidRPr="0088502A" w:rsidRDefault="003415AF" w:rsidP="00D86905">
      <w:pPr>
        <w:keepNext/>
        <w:rPr>
          <w:spacing w:val="-2"/>
        </w:rPr>
      </w:pPr>
      <w:r>
        <w:fldChar w:fldCharType="begin"/>
      </w:r>
      <w:r>
        <w:instrText xml:space="preserve"> LISTNUM  LegalDefault \l 1 </w:instrText>
      </w:r>
      <w:r>
        <w:fldChar w:fldCharType="end"/>
      </w:r>
      <w:r>
        <w:tab/>
        <w:t>En sus sesiones de</w:t>
      </w:r>
      <w:r w:rsidR="008F3423">
        <w:t> </w:t>
      </w:r>
      <w:r>
        <w:t>2023, el</w:t>
      </w:r>
      <w:r w:rsidR="008F3423">
        <w:t> </w:t>
      </w:r>
      <w:r>
        <w:t>TWV, el</w:t>
      </w:r>
      <w:r w:rsidR="008F3423">
        <w:t> </w:t>
      </w:r>
      <w:r>
        <w:t>TWA, el</w:t>
      </w:r>
      <w:r w:rsidR="008F3423">
        <w:t> </w:t>
      </w:r>
      <w:r>
        <w:t>TWO y el</w:t>
      </w:r>
      <w:r w:rsidR="008F3423">
        <w:t> </w:t>
      </w:r>
      <w:r>
        <w:t>TWF examinaron las situaciones descritas por el</w:t>
      </w:r>
      <w:r w:rsidR="008F3423">
        <w:t> </w:t>
      </w:r>
      <w:r>
        <w:t xml:space="preserve">TWO como base para elaborar orientaciones sobre posibles excepciones al requisito de proporcionar variedades ejemplo para los caracteres cuantitativos señalados con asterisco cuando se facilitan ilustraciones </w:t>
      </w:r>
      <w:r w:rsidRPr="006A35F0">
        <w:rPr>
          <w:spacing w:val="-2"/>
        </w:rPr>
        <w:t>(véanse los párrafos</w:t>
      </w:r>
      <w:r w:rsidR="008F3423" w:rsidRPr="006A35F0">
        <w:rPr>
          <w:spacing w:val="-2"/>
        </w:rPr>
        <w:t> </w:t>
      </w:r>
      <w:r w:rsidRPr="006A35F0">
        <w:rPr>
          <w:spacing w:val="-2"/>
        </w:rPr>
        <w:t>11 a</w:t>
      </w:r>
      <w:r w:rsidR="008F3423" w:rsidRPr="006A35F0">
        <w:rPr>
          <w:spacing w:val="-2"/>
        </w:rPr>
        <w:t> </w:t>
      </w:r>
      <w:r w:rsidRPr="006A35F0">
        <w:rPr>
          <w:spacing w:val="-2"/>
        </w:rPr>
        <w:t>13 del documento</w:t>
      </w:r>
      <w:r w:rsidR="008F3423" w:rsidRPr="006A35F0">
        <w:rPr>
          <w:spacing w:val="-2"/>
        </w:rPr>
        <w:t> </w:t>
      </w:r>
      <w:r w:rsidRPr="006A35F0">
        <w:rPr>
          <w:spacing w:val="-2"/>
        </w:rPr>
        <w:t xml:space="preserve">TWV/57/26 </w:t>
      </w:r>
      <w:r w:rsidRPr="006A35F0">
        <w:rPr>
          <w:i/>
          <w:spacing w:val="-2"/>
        </w:rPr>
        <w:t>“Report”</w:t>
      </w:r>
      <w:r w:rsidRPr="006A35F0">
        <w:rPr>
          <w:spacing w:val="-2"/>
        </w:rPr>
        <w:t xml:space="preserve"> (informe), los párrafos</w:t>
      </w:r>
      <w:r w:rsidR="008F3423" w:rsidRPr="006A35F0">
        <w:rPr>
          <w:spacing w:val="-2"/>
        </w:rPr>
        <w:t> </w:t>
      </w:r>
      <w:r w:rsidRPr="006A35F0">
        <w:rPr>
          <w:spacing w:val="-2"/>
        </w:rPr>
        <w:t>15 a</w:t>
      </w:r>
      <w:r w:rsidR="008F3423" w:rsidRPr="006A35F0">
        <w:rPr>
          <w:spacing w:val="-2"/>
        </w:rPr>
        <w:t> </w:t>
      </w:r>
      <w:r w:rsidRPr="006A35F0">
        <w:rPr>
          <w:spacing w:val="-2"/>
        </w:rPr>
        <w:t>17 del documento</w:t>
      </w:r>
      <w:r w:rsidR="006A35F0">
        <w:t xml:space="preserve"> </w:t>
      </w:r>
      <w:r>
        <w:t xml:space="preserve">TWA/52/11 </w:t>
      </w:r>
      <w:r>
        <w:rPr>
          <w:i/>
        </w:rPr>
        <w:t>“Report”</w:t>
      </w:r>
      <w:r>
        <w:t xml:space="preserve"> (informe), los párrafos</w:t>
      </w:r>
      <w:r w:rsidR="008F3423">
        <w:t> </w:t>
      </w:r>
      <w:r>
        <w:t>10 a</w:t>
      </w:r>
      <w:r w:rsidR="008F3423">
        <w:t> </w:t>
      </w:r>
      <w:r>
        <w:t>13 del documento</w:t>
      </w:r>
      <w:r w:rsidR="008F3423">
        <w:t> </w:t>
      </w:r>
      <w:r>
        <w:t xml:space="preserve">TWO/55/11 </w:t>
      </w:r>
      <w:r>
        <w:rPr>
          <w:i/>
        </w:rPr>
        <w:t>“Report”</w:t>
      </w:r>
      <w:r>
        <w:t xml:space="preserve"> (informe) y el párrafo</w:t>
      </w:r>
      <w:r w:rsidR="008F3423">
        <w:t> </w:t>
      </w:r>
      <w:r>
        <w:t>13 del documento</w:t>
      </w:r>
      <w:r w:rsidR="008F3423">
        <w:t> </w:t>
      </w:r>
      <w:r>
        <w:t xml:space="preserve">TWF/54/13 </w:t>
      </w:r>
      <w:r>
        <w:rPr>
          <w:i/>
        </w:rPr>
        <w:t>“Report”</w:t>
      </w:r>
      <w:r>
        <w:t xml:space="preserve"> (informe)).</w:t>
      </w:r>
    </w:p>
    <w:p w14:paraId="4993DC95" w14:textId="77777777" w:rsidR="00D86905" w:rsidRPr="0088502A" w:rsidRDefault="00D86905" w:rsidP="00D86905"/>
    <w:p w14:paraId="48820D4E" w14:textId="190950B0" w:rsidR="00D86905" w:rsidRPr="0088502A" w:rsidRDefault="003415AF" w:rsidP="00D86905">
      <w:pPr>
        <w:keepNext/>
      </w:pPr>
      <w:r>
        <w:lastRenderedPageBreak/>
        <w:fldChar w:fldCharType="begin"/>
      </w:r>
      <w:r>
        <w:instrText xml:space="preserve"> LISTNUM  LegalDefault \l 1 </w:instrText>
      </w:r>
      <w:r>
        <w:fldChar w:fldCharType="end"/>
      </w:r>
      <w:r>
        <w:tab/>
        <w:t>El</w:t>
      </w:r>
      <w:r w:rsidR="008F3423">
        <w:t> </w:t>
      </w:r>
      <w:r>
        <w:t>TWV recordó que, en su quincuagésima sexta sesión</w:t>
      </w:r>
      <w:bookmarkStart w:id="70" w:name="_Ref138407855"/>
      <w:r w:rsidR="00D86905" w:rsidRPr="0088502A">
        <w:rPr>
          <w:rStyle w:val="FootnoteReference"/>
        </w:rPr>
        <w:footnoteReference w:id="15"/>
      </w:r>
      <w:bookmarkEnd w:id="70"/>
      <w:r>
        <w:t>, acordó lo siguiente (véase el párrafo</w:t>
      </w:r>
      <w:r w:rsidR="008F3423">
        <w:t> </w:t>
      </w:r>
      <w:r>
        <w:t>9 del documento</w:t>
      </w:r>
      <w:r w:rsidR="008F3423">
        <w:t> </w:t>
      </w:r>
      <w:r>
        <w:t xml:space="preserve">TWV/56/22 </w:t>
      </w:r>
      <w:r>
        <w:rPr>
          <w:i/>
        </w:rPr>
        <w:t>“Report”</w:t>
      </w:r>
      <w:r>
        <w:t xml:space="preserve"> (informe)): </w:t>
      </w:r>
    </w:p>
    <w:p w14:paraId="4045469F" w14:textId="77777777" w:rsidR="00D86905" w:rsidRPr="0088502A" w:rsidRDefault="00D86905" w:rsidP="00D86905">
      <w:pPr>
        <w:keepNext/>
      </w:pPr>
    </w:p>
    <w:p w14:paraId="3CB32112" w14:textId="3BF13425" w:rsidR="00D86905" w:rsidRPr="0088502A" w:rsidRDefault="00D86905" w:rsidP="00D86905">
      <w:pPr>
        <w:keepLines/>
        <w:ind w:left="567" w:right="567"/>
        <w:rPr>
          <w:sz w:val="18"/>
        </w:rPr>
      </w:pPr>
      <w:r>
        <w:rPr>
          <w:sz w:val="18"/>
        </w:rPr>
        <w:t>“El</w:t>
      </w:r>
      <w:r w:rsidR="008F3423">
        <w:rPr>
          <w:sz w:val="18"/>
        </w:rPr>
        <w:t> </w:t>
      </w:r>
      <w:r>
        <w:rPr>
          <w:sz w:val="18"/>
        </w:rPr>
        <w:t>TWV convino en que debe mantenerse el requisito de indicar variedades ejemplo para los caracteres cuantitativos señalados con asterisco en el caso de las plantas hortícolas. El</w:t>
      </w:r>
      <w:r w:rsidR="008F3423">
        <w:rPr>
          <w:sz w:val="18"/>
        </w:rPr>
        <w:t> </w:t>
      </w:r>
      <w:r>
        <w:rPr>
          <w:sz w:val="18"/>
        </w:rPr>
        <w:t>TWV convino en que es fácil proporcionar ejemplos de variedades de plantas hortícolas y que estos son muy útiles para armonizar el examen</w:t>
      </w:r>
      <w:r w:rsidR="008F3423">
        <w:rPr>
          <w:sz w:val="18"/>
        </w:rPr>
        <w:t> </w:t>
      </w:r>
      <w:r>
        <w:rPr>
          <w:sz w:val="18"/>
        </w:rPr>
        <w:t>DHE y elaborar descripciones de variedades. El TWV recordó que, según la orientación ofrecida en el documento TGP/7, es necesario proporcionar variedades ejemplo para dos o tres niveles de expresión, según la escala de niveles utilizada.</w:t>
      </w:r>
    </w:p>
    <w:p w14:paraId="3F088B2D" w14:textId="77777777" w:rsidR="00D86905" w:rsidRPr="0088502A" w:rsidRDefault="00D86905" w:rsidP="00D86905"/>
    <w:p w14:paraId="45D01CCE" w14:textId="2724BB5F" w:rsidR="00D86905" w:rsidRPr="0088502A" w:rsidRDefault="003415AF" w:rsidP="00D86905">
      <w:r>
        <w:fldChar w:fldCharType="begin"/>
      </w:r>
      <w:r>
        <w:instrText xml:space="preserve"> LISTNUM  LegalDefault \l 1 </w:instrText>
      </w:r>
      <w:r>
        <w:fldChar w:fldCharType="end"/>
      </w:r>
      <w:r>
        <w:tab/>
        <w:t>El</w:t>
      </w:r>
      <w:r w:rsidR="008F3423">
        <w:t> </w:t>
      </w:r>
      <w:r>
        <w:t>TWV convino en que las variedades ejemplo son importantes para la formación de expertos en el examen</w:t>
      </w:r>
      <w:r w:rsidR="008F3423">
        <w:t> </w:t>
      </w:r>
      <w:r>
        <w:t>DHE y obtentores que usan las directrices de examen. El</w:t>
      </w:r>
      <w:r w:rsidR="008F3423">
        <w:t> </w:t>
      </w:r>
      <w:r>
        <w:t xml:space="preserve">TWV acordó que las ilustraciones deben usarse como complemento de las variedades ejemplo en las explicaciones y cuando no se disponga de material de una determinada variedad.  </w:t>
      </w:r>
    </w:p>
    <w:p w14:paraId="5BEDF469" w14:textId="53893400" w:rsidR="00D86905" w:rsidRPr="0088502A" w:rsidRDefault="003415AF" w:rsidP="009236D6">
      <w:pPr>
        <w:spacing w:before="120"/>
      </w:pPr>
      <w:r>
        <w:fldChar w:fldCharType="begin"/>
      </w:r>
      <w:r>
        <w:instrText xml:space="preserve"> LISTNUM  LegalDefault \l 1 </w:instrText>
      </w:r>
      <w:r>
        <w:fldChar w:fldCharType="end"/>
      </w:r>
      <w:r>
        <w:tab/>
        <w:t>El</w:t>
      </w:r>
      <w:r w:rsidR="008F3423">
        <w:t> </w:t>
      </w:r>
      <w:r>
        <w:t>TWA convino en que las directrices de examen deben proporcionar toda la información posible para aclarar los niveles de expresión de un carácter, como por ejemplo, ilustraciones que complementen el uso de variedades ejemplo.</w:t>
      </w:r>
    </w:p>
    <w:p w14:paraId="52C6375C" w14:textId="77777777" w:rsidR="00D86905" w:rsidRPr="0088502A" w:rsidRDefault="00D86905" w:rsidP="00D86905"/>
    <w:p w14:paraId="1946AEBF" w14:textId="59897F1A" w:rsidR="00D86905" w:rsidRPr="0088502A" w:rsidRDefault="003415AF" w:rsidP="00D86905">
      <w:r>
        <w:fldChar w:fldCharType="begin"/>
      </w:r>
      <w:r>
        <w:instrText xml:space="preserve"> LISTNUM  LegalDefault \l 1 </w:instrText>
      </w:r>
      <w:r>
        <w:fldChar w:fldCharType="end"/>
      </w:r>
      <w:r>
        <w:tab/>
        <w:t>El</w:t>
      </w:r>
      <w:r w:rsidR="008F3423">
        <w:t> </w:t>
      </w:r>
      <w:r>
        <w:t>TWA convino en invitar a los expertos de Alemania a redactar una propuesta en colaboración con el Canadá, los Países</w:t>
      </w:r>
      <w:r w:rsidR="008F3423">
        <w:t> </w:t>
      </w:r>
      <w:r>
        <w:t>Bajos y el Reino</w:t>
      </w:r>
      <w:r w:rsidR="008F3423">
        <w:t> </w:t>
      </w:r>
      <w:r>
        <w:t>Unido para modificar la nota orientativa GN</w:t>
      </w:r>
      <w:r w:rsidR="008F3423">
        <w:t> </w:t>
      </w:r>
      <w:r>
        <w:t>28 “Variedades ejemplo” del documento</w:t>
      </w:r>
      <w:r w:rsidR="008F3423">
        <w:t> </w:t>
      </w:r>
      <w:r>
        <w:t>TGP/7, en relación a las situaciones en las que las ilustraciones podrían sustituir a las variedades ejemplo y su función complementaria como aclaración de los niveles de expresión de un carácter.</w:t>
      </w:r>
    </w:p>
    <w:p w14:paraId="47AAA58F" w14:textId="77777777" w:rsidR="00D86905" w:rsidRPr="0088502A" w:rsidRDefault="00D86905" w:rsidP="00D86905"/>
    <w:p w14:paraId="789E466C" w14:textId="25ED1BB2" w:rsidR="00D86905" w:rsidRPr="0088502A" w:rsidRDefault="003415AF" w:rsidP="00D86905">
      <w:r>
        <w:fldChar w:fldCharType="begin"/>
      </w:r>
      <w:r>
        <w:instrText xml:space="preserve"> LISTNUM  LegalDefault \l 1 </w:instrText>
      </w:r>
      <w:r>
        <w:fldChar w:fldCharType="end"/>
      </w:r>
      <w:r>
        <w:tab/>
        <w:t>El</w:t>
      </w:r>
      <w:r w:rsidR="008F3423">
        <w:t> </w:t>
      </w:r>
      <w:r>
        <w:t>TWO recordó que se había proporcionado información sobre las situaciones en las que este enfoque sería aplicable en los párrafos</w:t>
      </w:r>
      <w:r w:rsidR="008F3423">
        <w:t> </w:t>
      </w:r>
      <w:r>
        <w:t>16 y</w:t>
      </w:r>
      <w:r w:rsidR="008F3423">
        <w:t> </w:t>
      </w:r>
      <w:r>
        <w:t>17 del documento</w:t>
      </w:r>
      <w:r w:rsidR="008F3423">
        <w:t> </w:t>
      </w:r>
      <w:r>
        <w:t>TWP/7/2</w:t>
      </w:r>
      <w:bookmarkStart w:id="71" w:name="_Hlk145523750"/>
      <w:r w:rsidR="00992468">
        <w:t xml:space="preserve"> </w:t>
      </w:r>
      <w:r w:rsidR="00992468" w:rsidRPr="00992468">
        <w:rPr>
          <w:i/>
          <w:iCs/>
        </w:rPr>
        <w:t>“Development of guidance and information materials”</w:t>
      </w:r>
      <w:bookmarkEnd w:id="71"/>
      <w:r w:rsidR="00992468">
        <w:rPr>
          <w:i/>
          <w:iCs/>
        </w:rPr>
        <w:t xml:space="preserve"> </w:t>
      </w:r>
      <w:r w:rsidR="00992468" w:rsidRPr="00992468">
        <w:t>(Elaboración de orientaciones y material de información)</w:t>
      </w:r>
      <w:r w:rsidRPr="00992468">
        <w:t>,</w:t>
      </w:r>
      <w:r>
        <w:t xml:space="preserve"> (véase el párrafo</w:t>
      </w:r>
      <w:r w:rsidR="008F3423">
        <w:t> </w:t>
      </w:r>
      <w:r>
        <w:t>24 del documento</w:t>
      </w:r>
      <w:r w:rsidR="008F3423">
        <w:t> </w:t>
      </w:r>
      <w:r>
        <w:t xml:space="preserve">TWO/54/6 </w:t>
      </w:r>
      <w:r>
        <w:rPr>
          <w:i/>
        </w:rPr>
        <w:t>“Report”</w:t>
      </w:r>
      <w:r>
        <w:t xml:space="preserve"> (informe)) que se reproduce a continuación:</w:t>
      </w:r>
    </w:p>
    <w:p w14:paraId="6B009784" w14:textId="77777777" w:rsidR="00D86905" w:rsidRPr="0088502A" w:rsidRDefault="00D86905" w:rsidP="00D86905"/>
    <w:p w14:paraId="10C18D94" w14:textId="0D6AC7DE" w:rsidR="00D86905" w:rsidRPr="0088502A" w:rsidRDefault="00D86905" w:rsidP="00D86905">
      <w:pPr>
        <w:keepLines/>
        <w:ind w:left="567" w:right="459"/>
        <w:rPr>
          <w:sz w:val="18"/>
        </w:rPr>
      </w:pPr>
      <w:r>
        <w:rPr>
          <w:sz w:val="18"/>
        </w:rPr>
        <w:t>“16.</w:t>
      </w:r>
      <w:r>
        <w:rPr>
          <w:sz w:val="18"/>
        </w:rPr>
        <w:tab/>
        <w:t>En su quincuagésima cuarta sesión, el</w:t>
      </w:r>
      <w:r w:rsidR="008F3423">
        <w:rPr>
          <w:sz w:val="18"/>
        </w:rPr>
        <w:t> </w:t>
      </w:r>
      <w:r>
        <w:rPr>
          <w:sz w:val="18"/>
        </w:rPr>
        <w:t xml:space="preserve">TWO tomó nota de que las directrices de examen de las plantas ornamentales incluyen muchos caracteres florales cuantitativos y </w:t>
      </w:r>
      <w:r w:rsidR="006A35F0">
        <w:rPr>
          <w:sz w:val="18"/>
        </w:rPr>
        <w:t>p</w:t>
      </w:r>
      <w:r>
        <w:rPr>
          <w:sz w:val="18"/>
        </w:rPr>
        <w:t>seudo</w:t>
      </w:r>
      <w:r w:rsidR="006A35F0">
        <w:rPr>
          <w:sz w:val="18"/>
        </w:rPr>
        <w:t>-</w:t>
      </w:r>
      <w:r>
        <w:rPr>
          <w:sz w:val="18"/>
        </w:rPr>
        <w:t>cualitativos que no se miden y solo se observan visualmente (VG). El</w:t>
      </w:r>
      <w:r w:rsidR="008F3423">
        <w:rPr>
          <w:sz w:val="18"/>
        </w:rPr>
        <w:t> </w:t>
      </w:r>
      <w:r>
        <w:rPr>
          <w:sz w:val="18"/>
        </w:rPr>
        <w:t>TWO convino en que el uso de ilustraciones será adecuado para sustituir a las variedades ejemplo de estos caracteres y facilitará la armonización internacional. El</w:t>
      </w:r>
      <w:r w:rsidR="008F3423">
        <w:rPr>
          <w:sz w:val="18"/>
        </w:rPr>
        <w:t> </w:t>
      </w:r>
      <w:r>
        <w:rPr>
          <w:sz w:val="18"/>
        </w:rPr>
        <w:t>TWO convino en que los siguientes caracteres pueden utilizarse como ejemplos del enfoque de sustituir las variedades ejemplo por ilustraciones cuando se faciliten.</w:t>
      </w:r>
    </w:p>
    <w:p w14:paraId="6C612C85" w14:textId="77777777" w:rsidR="00D86905" w:rsidRPr="0088502A" w:rsidRDefault="00D86905" w:rsidP="00D86905">
      <w:pPr>
        <w:ind w:left="567" w:right="459"/>
        <w:rPr>
          <w:sz w:val="18"/>
        </w:rPr>
      </w:pPr>
    </w:p>
    <w:p w14:paraId="66F5EEA3" w14:textId="317FE96A" w:rsidR="00D86905" w:rsidRPr="0088502A" w:rsidRDefault="00D86905" w:rsidP="00D86905">
      <w:pPr>
        <w:pStyle w:val="ListParagraph"/>
        <w:keepNext/>
        <w:numPr>
          <w:ilvl w:val="0"/>
          <w:numId w:val="3"/>
        </w:numPr>
        <w:ind w:left="900" w:right="459"/>
        <w:rPr>
          <w:sz w:val="18"/>
        </w:rPr>
      </w:pPr>
      <w:r>
        <w:rPr>
          <w:sz w:val="18"/>
        </w:rPr>
        <w:t>Documento</w:t>
      </w:r>
      <w:r w:rsidR="008F3423">
        <w:rPr>
          <w:sz w:val="18"/>
        </w:rPr>
        <w:t> </w:t>
      </w:r>
      <w:r>
        <w:rPr>
          <w:sz w:val="18"/>
        </w:rPr>
        <w:t>TG/336/1 “Coreopsis”:</w:t>
      </w:r>
    </w:p>
    <w:tbl>
      <w:tblPr>
        <w:tblOverlap w:val="never"/>
        <w:tblW w:w="9299" w:type="dxa"/>
        <w:tblInd w:w="1134" w:type="dxa"/>
        <w:tblLayout w:type="fixed"/>
        <w:tblLook w:val="01E0" w:firstRow="1" w:lastRow="1" w:firstColumn="1" w:lastColumn="1" w:noHBand="0" w:noVBand="0"/>
      </w:tblPr>
      <w:tblGrid>
        <w:gridCol w:w="9299"/>
      </w:tblGrid>
      <w:tr w:rsidR="00D86905" w:rsidRPr="0088502A" w14:paraId="2705F8F7" w14:textId="77777777" w:rsidTr="00900DD6">
        <w:trPr>
          <w:trHeight w:val="230"/>
          <w:hidden/>
        </w:trPr>
        <w:tc>
          <w:tcPr>
            <w:tcW w:w="9299" w:type="dxa"/>
            <w:tcMar>
              <w:top w:w="0" w:type="dxa"/>
              <w:left w:w="0" w:type="dxa"/>
              <w:bottom w:w="0" w:type="dxa"/>
              <w:right w:w="0" w:type="dxa"/>
            </w:tcMar>
          </w:tcPr>
          <w:p w14:paraId="03D0DB07" w14:textId="77777777" w:rsidR="00D86905" w:rsidRPr="0088502A" w:rsidRDefault="00D86905" w:rsidP="00900DD6">
            <w:pPr>
              <w:keepNext/>
              <w:ind w:right="459"/>
              <w:rPr>
                <w:vanish/>
                <w:sz w:val="18"/>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86905" w:rsidRPr="0088502A" w14:paraId="691EAA39" w14:textId="77777777" w:rsidTr="00900DD6">
              <w:tc>
                <w:tcPr>
                  <w:tcW w:w="9299" w:type="dxa"/>
                  <w:tcMar>
                    <w:top w:w="0" w:type="dxa"/>
                    <w:left w:w="0" w:type="dxa"/>
                    <w:bottom w:w="0" w:type="dxa"/>
                    <w:right w:w="0" w:type="dxa"/>
                  </w:tcMar>
                </w:tcPr>
                <w:p w14:paraId="7E6F6006" w14:textId="48B57500" w:rsidR="00D86905" w:rsidRPr="0088502A" w:rsidRDefault="00D86905" w:rsidP="00900DD6">
                  <w:pPr>
                    <w:keepNext/>
                    <w:ind w:right="459"/>
                    <w:rPr>
                      <w:sz w:val="18"/>
                    </w:rPr>
                  </w:pPr>
                  <w:r>
                    <w:rPr>
                      <w:color w:val="000000"/>
                      <w:sz w:val="18"/>
                    </w:rPr>
                    <w:t>Ad.</w:t>
                  </w:r>
                  <w:r w:rsidR="008F3423">
                    <w:rPr>
                      <w:color w:val="000000"/>
                      <w:sz w:val="18"/>
                    </w:rPr>
                    <w:t> </w:t>
                  </w:r>
                  <w:r>
                    <w:rPr>
                      <w:color w:val="000000"/>
                      <w:sz w:val="18"/>
                    </w:rPr>
                    <w:t>24: Flor ligulada: porte de la parte basal (QN)</w:t>
                  </w:r>
                </w:p>
                <w:p w14:paraId="11C3C722" w14:textId="77777777" w:rsidR="00D86905" w:rsidRPr="0088502A" w:rsidRDefault="00D86905" w:rsidP="00900DD6">
                  <w:pPr>
                    <w:keepNext/>
                    <w:ind w:right="459"/>
                    <w:rPr>
                      <w:sz w:val="18"/>
                    </w:rPr>
                  </w:pPr>
                  <w:r>
                    <w:rPr>
                      <w:color w:val="000000"/>
                      <w:sz w:val="18"/>
                    </w:rPr>
                    <w:t xml:space="preserve">  </w:t>
                  </w:r>
                </w:p>
                <w:tbl>
                  <w:tblPr>
                    <w:tblOverlap w:val="never"/>
                    <w:tblW w:w="7088" w:type="dxa"/>
                    <w:tblLayout w:type="fixed"/>
                    <w:tblLook w:val="01E0" w:firstRow="1" w:lastRow="1" w:firstColumn="1" w:lastColumn="1" w:noHBand="0" w:noVBand="0"/>
                  </w:tblPr>
                  <w:tblGrid>
                    <w:gridCol w:w="1701"/>
                    <w:gridCol w:w="1701"/>
                    <w:gridCol w:w="1843"/>
                    <w:gridCol w:w="1843"/>
                  </w:tblGrid>
                  <w:tr w:rsidR="00D86905" w:rsidRPr="0088502A" w14:paraId="28860A2B" w14:textId="77777777" w:rsidTr="00900DD6">
                    <w:tc>
                      <w:tcPr>
                        <w:tcW w:w="1701" w:type="dxa"/>
                        <w:tcMar>
                          <w:top w:w="0" w:type="dxa"/>
                          <w:left w:w="0" w:type="dxa"/>
                          <w:bottom w:w="0" w:type="dxa"/>
                          <w:right w:w="0" w:type="dxa"/>
                        </w:tcMar>
                      </w:tcPr>
                      <w:p w14:paraId="1EBB2E0F"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59264" behindDoc="0" locked="0" layoutInCell="1" allowOverlap="1" wp14:anchorId="70B04B43" wp14:editId="36444400">
                                  <wp:simplePos x="0" y="0"/>
                                  <wp:positionH relativeFrom="column">
                                    <wp:posOffset>0</wp:posOffset>
                                  </wp:positionH>
                                  <wp:positionV relativeFrom="paragraph">
                                    <wp:posOffset>0</wp:posOffset>
                                  </wp:positionV>
                                  <wp:extent cx="635000" cy="635000"/>
                                  <wp:effectExtent l="0" t="0" r="3175" b="3175"/>
                                  <wp:wrapNone/>
                                  <wp:docPr id="61"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6BE51" id="AutoShape 208"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4f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sYYCdKDRndbK31qlEQgX8eahjpxXbEGZXK486getKNr1L2svxkk5CPlUGx3CoxlR8SG3hn1aktr&#10;OXSUNEDBxwsvAjrDQGi0Hj7KBqAQg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v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Ed4f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73F174CF" wp14:editId="111B2DFA">
                              <wp:extent cx="753110" cy="532765"/>
                              <wp:effectExtent l="0" t="0" r="0" b="0"/>
                              <wp:docPr id="132" name="Picture 1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0DE2AC9A"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0288" behindDoc="0" locked="0" layoutInCell="1" allowOverlap="1" wp14:anchorId="5ABF7E33" wp14:editId="7F595512">
                                  <wp:simplePos x="0" y="0"/>
                                  <wp:positionH relativeFrom="column">
                                    <wp:posOffset>0</wp:posOffset>
                                  </wp:positionH>
                                  <wp:positionV relativeFrom="paragraph">
                                    <wp:posOffset>0</wp:posOffset>
                                  </wp:positionV>
                                  <wp:extent cx="635000" cy="635000"/>
                                  <wp:effectExtent l="0" t="0" r="3175" b="3175"/>
                                  <wp:wrapNone/>
                                  <wp:docPr id="62"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0518C" id="AutoShape 20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l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JMow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Lwl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21219EFC" wp14:editId="21DCDE60">
                              <wp:extent cx="875030" cy="494030"/>
                              <wp:effectExtent l="0" t="0" r="0" b="0"/>
                              <wp:docPr id="133" name="Picture 1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C04376F"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1312" behindDoc="0" locked="0" layoutInCell="1" allowOverlap="1" wp14:anchorId="314BBE86" wp14:editId="41D8F69E">
                                  <wp:simplePos x="0" y="0"/>
                                  <wp:positionH relativeFrom="column">
                                    <wp:posOffset>0</wp:posOffset>
                                  </wp:positionH>
                                  <wp:positionV relativeFrom="paragraph">
                                    <wp:posOffset>0</wp:posOffset>
                                  </wp:positionV>
                                  <wp:extent cx="635000" cy="635000"/>
                                  <wp:effectExtent l="0" t="0" r="3175" b="3175"/>
                                  <wp:wrapNone/>
                                  <wp:docPr id="6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03062" id="AutoShape 21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hw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v6nhwuwIAANI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3B79E05E" wp14:editId="4DA14F3D">
                              <wp:extent cx="904875" cy="459740"/>
                              <wp:effectExtent l="0" t="0" r="0" b="0"/>
                              <wp:docPr id="134" name="Picture 1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58CF6C99"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2336" behindDoc="0" locked="0" layoutInCell="1" allowOverlap="1" wp14:anchorId="4069AFE0" wp14:editId="318D009D">
                                  <wp:simplePos x="0" y="0"/>
                                  <wp:positionH relativeFrom="column">
                                    <wp:posOffset>0</wp:posOffset>
                                  </wp:positionH>
                                  <wp:positionV relativeFrom="paragraph">
                                    <wp:posOffset>0</wp:posOffset>
                                  </wp:positionV>
                                  <wp:extent cx="635000" cy="635000"/>
                                  <wp:effectExtent l="0" t="0" r="3175" b="3175"/>
                                  <wp:wrapNone/>
                                  <wp:docPr id="128"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5F5E" id="AutoShape 2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ZAc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OOZA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095D5184" wp14:editId="5C0CFD8F">
                              <wp:extent cx="953770" cy="464820"/>
                              <wp:effectExtent l="0" t="0" r="0" b="0"/>
                              <wp:docPr id="135" name="Picture 1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86905" w:rsidRPr="0088502A" w14:paraId="7F4BF591" w14:textId="77777777" w:rsidTr="00900DD6">
                    <w:tc>
                      <w:tcPr>
                        <w:tcW w:w="1701" w:type="dxa"/>
                        <w:tcMar>
                          <w:top w:w="0" w:type="dxa"/>
                          <w:left w:w="0" w:type="dxa"/>
                          <w:bottom w:w="0" w:type="dxa"/>
                          <w:right w:w="0" w:type="dxa"/>
                        </w:tcMar>
                      </w:tcPr>
                      <w:p w14:paraId="3940CC45" w14:textId="77777777" w:rsidR="00D86905" w:rsidRPr="0088502A" w:rsidRDefault="00D86905" w:rsidP="00900DD6">
                        <w:pPr>
                          <w:keepNext/>
                          <w:ind w:right="459"/>
                          <w:jc w:val="center"/>
                          <w:rPr>
                            <w:sz w:val="18"/>
                          </w:rPr>
                        </w:pPr>
                        <w:r>
                          <w:rPr>
                            <w:color w:val="000000"/>
                            <w:sz w:val="18"/>
                          </w:rPr>
                          <w:t>1</w:t>
                        </w:r>
                      </w:p>
                    </w:tc>
                    <w:tc>
                      <w:tcPr>
                        <w:tcW w:w="1701" w:type="dxa"/>
                        <w:tcMar>
                          <w:top w:w="0" w:type="dxa"/>
                          <w:left w:w="0" w:type="dxa"/>
                          <w:bottom w:w="0" w:type="dxa"/>
                          <w:right w:w="0" w:type="dxa"/>
                        </w:tcMar>
                      </w:tcPr>
                      <w:p w14:paraId="05E932D6" w14:textId="77777777" w:rsidR="00D86905" w:rsidRPr="0088502A" w:rsidRDefault="00D86905" w:rsidP="00900DD6">
                        <w:pPr>
                          <w:keepNext/>
                          <w:ind w:right="459"/>
                          <w:jc w:val="center"/>
                          <w:rPr>
                            <w:sz w:val="18"/>
                          </w:rPr>
                        </w:pPr>
                        <w:r>
                          <w:rPr>
                            <w:color w:val="000000"/>
                            <w:sz w:val="18"/>
                          </w:rPr>
                          <w:t>2</w:t>
                        </w:r>
                      </w:p>
                    </w:tc>
                    <w:tc>
                      <w:tcPr>
                        <w:tcW w:w="1843" w:type="dxa"/>
                        <w:tcMar>
                          <w:top w:w="0" w:type="dxa"/>
                          <w:left w:w="0" w:type="dxa"/>
                          <w:bottom w:w="0" w:type="dxa"/>
                          <w:right w:w="0" w:type="dxa"/>
                        </w:tcMar>
                      </w:tcPr>
                      <w:p w14:paraId="5E4FDEF5" w14:textId="77777777" w:rsidR="00D86905" w:rsidRPr="0088502A" w:rsidRDefault="00D86905" w:rsidP="00900DD6">
                        <w:pPr>
                          <w:keepNext/>
                          <w:ind w:right="459"/>
                          <w:jc w:val="center"/>
                          <w:rPr>
                            <w:sz w:val="18"/>
                          </w:rPr>
                        </w:pPr>
                        <w:r>
                          <w:rPr>
                            <w:color w:val="000000"/>
                            <w:sz w:val="18"/>
                          </w:rPr>
                          <w:t>3</w:t>
                        </w:r>
                      </w:p>
                    </w:tc>
                    <w:tc>
                      <w:tcPr>
                        <w:tcW w:w="1843" w:type="dxa"/>
                        <w:tcMar>
                          <w:top w:w="0" w:type="dxa"/>
                          <w:left w:w="0" w:type="dxa"/>
                          <w:bottom w:w="0" w:type="dxa"/>
                          <w:right w:w="0" w:type="dxa"/>
                        </w:tcMar>
                      </w:tcPr>
                      <w:p w14:paraId="39294514" w14:textId="77777777" w:rsidR="00D86905" w:rsidRPr="0088502A" w:rsidRDefault="00D86905" w:rsidP="00900DD6">
                        <w:pPr>
                          <w:keepNext/>
                          <w:ind w:right="459"/>
                          <w:jc w:val="center"/>
                          <w:rPr>
                            <w:sz w:val="18"/>
                          </w:rPr>
                        </w:pPr>
                        <w:r>
                          <w:rPr>
                            <w:color w:val="000000"/>
                            <w:sz w:val="18"/>
                          </w:rPr>
                          <w:t>4</w:t>
                        </w:r>
                      </w:p>
                    </w:tc>
                  </w:tr>
                  <w:tr w:rsidR="00D86905" w:rsidRPr="0088502A" w14:paraId="385990A2" w14:textId="77777777" w:rsidTr="00900DD6">
                    <w:tc>
                      <w:tcPr>
                        <w:tcW w:w="1701" w:type="dxa"/>
                        <w:tcMar>
                          <w:top w:w="0" w:type="dxa"/>
                          <w:left w:w="0" w:type="dxa"/>
                          <w:bottom w:w="0" w:type="dxa"/>
                          <w:right w:w="0" w:type="dxa"/>
                        </w:tcMar>
                      </w:tcPr>
                      <w:p w14:paraId="2018ABB2" w14:textId="77777777" w:rsidR="00D86905" w:rsidRPr="0088502A" w:rsidRDefault="00D86905" w:rsidP="00900DD6">
                        <w:pPr>
                          <w:keepNext/>
                          <w:ind w:right="459"/>
                          <w:jc w:val="center"/>
                          <w:rPr>
                            <w:sz w:val="18"/>
                          </w:rPr>
                        </w:pPr>
                        <w:r>
                          <w:rPr>
                            <w:color w:val="000000"/>
                            <w:sz w:val="18"/>
                          </w:rPr>
                          <w:t>muy ascendente</w:t>
                        </w:r>
                      </w:p>
                    </w:tc>
                    <w:tc>
                      <w:tcPr>
                        <w:tcW w:w="1701" w:type="dxa"/>
                        <w:tcMar>
                          <w:top w:w="0" w:type="dxa"/>
                          <w:left w:w="0" w:type="dxa"/>
                          <w:bottom w:w="0" w:type="dxa"/>
                          <w:right w:w="0" w:type="dxa"/>
                        </w:tcMar>
                      </w:tcPr>
                      <w:p w14:paraId="6D7F946B" w14:textId="77777777" w:rsidR="00D86905" w:rsidRPr="0088502A" w:rsidRDefault="00D86905" w:rsidP="00900DD6">
                        <w:pPr>
                          <w:keepNext/>
                          <w:ind w:right="459"/>
                          <w:jc w:val="center"/>
                          <w:rPr>
                            <w:sz w:val="18"/>
                          </w:rPr>
                        </w:pPr>
                        <w:r>
                          <w:rPr>
                            <w:color w:val="000000"/>
                            <w:sz w:val="18"/>
                          </w:rPr>
                          <w:t>moderadamente ascendente</w:t>
                        </w:r>
                      </w:p>
                    </w:tc>
                    <w:tc>
                      <w:tcPr>
                        <w:tcW w:w="1843" w:type="dxa"/>
                        <w:tcMar>
                          <w:top w:w="0" w:type="dxa"/>
                          <w:left w:w="0" w:type="dxa"/>
                          <w:bottom w:w="0" w:type="dxa"/>
                          <w:right w:w="0" w:type="dxa"/>
                        </w:tcMar>
                      </w:tcPr>
                      <w:p w14:paraId="526DB505" w14:textId="77777777" w:rsidR="00D86905" w:rsidRPr="0088502A" w:rsidRDefault="00D86905" w:rsidP="00900DD6">
                        <w:pPr>
                          <w:keepNext/>
                          <w:ind w:right="459"/>
                          <w:jc w:val="center"/>
                          <w:rPr>
                            <w:sz w:val="18"/>
                          </w:rPr>
                        </w:pPr>
                        <w:r>
                          <w:rPr>
                            <w:color w:val="000000"/>
                            <w:sz w:val="18"/>
                          </w:rPr>
                          <w:t xml:space="preserve">ligeramente </w:t>
                        </w:r>
                        <w:r>
                          <w:rPr>
                            <w:color w:val="000000"/>
                            <w:sz w:val="18"/>
                          </w:rPr>
                          <w:cr/>
                        </w:r>
                        <w:r>
                          <w:rPr>
                            <w:color w:val="000000"/>
                            <w:sz w:val="18"/>
                          </w:rPr>
                          <w:br/>
                          <w:t>ascendente</w:t>
                        </w:r>
                      </w:p>
                    </w:tc>
                    <w:tc>
                      <w:tcPr>
                        <w:tcW w:w="1843" w:type="dxa"/>
                        <w:tcMar>
                          <w:top w:w="0" w:type="dxa"/>
                          <w:left w:w="0" w:type="dxa"/>
                          <w:bottom w:w="0" w:type="dxa"/>
                          <w:right w:w="0" w:type="dxa"/>
                        </w:tcMar>
                      </w:tcPr>
                      <w:p w14:paraId="55C66D3D" w14:textId="77777777" w:rsidR="00D86905" w:rsidRPr="0088502A" w:rsidRDefault="00D86905" w:rsidP="00900DD6">
                        <w:pPr>
                          <w:keepNext/>
                          <w:ind w:right="459"/>
                          <w:jc w:val="center"/>
                          <w:rPr>
                            <w:sz w:val="18"/>
                          </w:rPr>
                        </w:pPr>
                        <w:r>
                          <w:rPr>
                            <w:color w:val="000000"/>
                            <w:sz w:val="18"/>
                          </w:rPr>
                          <w:t>horizontal</w:t>
                        </w:r>
                      </w:p>
                    </w:tc>
                  </w:tr>
                </w:tbl>
                <w:p w14:paraId="5F0E57AA" w14:textId="77777777" w:rsidR="00D86905" w:rsidRPr="0088502A" w:rsidRDefault="00D86905" w:rsidP="00900DD6">
                  <w:pPr>
                    <w:keepNext/>
                    <w:ind w:right="459"/>
                    <w:rPr>
                      <w:sz w:val="18"/>
                    </w:rPr>
                  </w:pPr>
                </w:p>
                <w:tbl>
                  <w:tblPr>
                    <w:tblOverlap w:val="never"/>
                    <w:tblW w:w="5529" w:type="dxa"/>
                    <w:tblLayout w:type="fixed"/>
                    <w:tblLook w:val="01E0" w:firstRow="1" w:lastRow="1" w:firstColumn="1" w:lastColumn="1" w:noHBand="0" w:noVBand="0"/>
                  </w:tblPr>
                  <w:tblGrid>
                    <w:gridCol w:w="1985"/>
                    <w:gridCol w:w="1843"/>
                    <w:gridCol w:w="1701"/>
                  </w:tblGrid>
                  <w:tr w:rsidR="00D86905" w:rsidRPr="0088502A" w14:paraId="6B3C88F4" w14:textId="77777777" w:rsidTr="00900DD6">
                    <w:tc>
                      <w:tcPr>
                        <w:tcW w:w="1985" w:type="dxa"/>
                        <w:tcMar>
                          <w:top w:w="0" w:type="dxa"/>
                          <w:left w:w="0" w:type="dxa"/>
                          <w:bottom w:w="0" w:type="dxa"/>
                          <w:right w:w="0" w:type="dxa"/>
                        </w:tcMar>
                      </w:tcPr>
                      <w:p w14:paraId="4445F32B"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3360" behindDoc="0" locked="0" layoutInCell="1" allowOverlap="1" wp14:anchorId="79683129" wp14:editId="2D32E669">
                                  <wp:simplePos x="0" y="0"/>
                                  <wp:positionH relativeFrom="column">
                                    <wp:posOffset>0</wp:posOffset>
                                  </wp:positionH>
                                  <wp:positionV relativeFrom="paragraph">
                                    <wp:posOffset>0</wp:posOffset>
                                  </wp:positionV>
                                  <wp:extent cx="635000" cy="635000"/>
                                  <wp:effectExtent l="0" t="0" r="3175" b="3175"/>
                                  <wp:wrapNone/>
                                  <wp:docPr id="129"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F4D5" id="AutoShape 212"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UKZ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hJEgPIt1trfS5URI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WUKZ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14BE0F02" wp14:editId="5A52706E">
                              <wp:extent cx="1104900" cy="494030"/>
                              <wp:effectExtent l="0" t="0" r="0" b="0"/>
                              <wp:docPr id="136" name="Picture 1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A8E8D5D"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4384" behindDoc="0" locked="0" layoutInCell="1" allowOverlap="1" wp14:anchorId="27B00859" wp14:editId="273D16C0">
                                  <wp:simplePos x="0" y="0"/>
                                  <wp:positionH relativeFrom="column">
                                    <wp:posOffset>0</wp:posOffset>
                                  </wp:positionH>
                                  <wp:positionV relativeFrom="paragraph">
                                    <wp:posOffset>0</wp:posOffset>
                                  </wp:positionV>
                                  <wp:extent cx="635000" cy="635000"/>
                                  <wp:effectExtent l="0" t="0" r="3175" b="3175"/>
                                  <wp:wrapNone/>
                                  <wp:docPr id="13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51C1" id="AutoShape 21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HvAIAANM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if+Eh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Pr>
                            <w:noProof/>
                            <w:sz w:val="18"/>
                            <w:lang w:val="en-US"/>
                          </w:rPr>
                          <w:drawing>
                            <wp:inline distT="0" distB="0" distL="0" distR="0" wp14:anchorId="6D9E841C" wp14:editId="753F277F">
                              <wp:extent cx="953770" cy="400685"/>
                              <wp:effectExtent l="0" t="0" r="0" b="0"/>
                              <wp:docPr id="137" name="Picture 1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59D21355" w14:textId="77777777" w:rsidR="00D86905" w:rsidRPr="0088502A" w:rsidRDefault="00D86905" w:rsidP="00900DD6">
                        <w:pPr>
                          <w:keepNext/>
                          <w:ind w:right="459"/>
                          <w:jc w:val="center"/>
                          <w:rPr>
                            <w:sz w:val="18"/>
                          </w:rPr>
                        </w:pPr>
                        <w:r>
                          <w:rPr>
                            <w:noProof/>
                            <w:sz w:val="18"/>
                            <w:lang w:val="en-US"/>
                          </w:rPr>
                          <mc:AlternateContent>
                            <mc:Choice Requires="wps">
                              <w:drawing>
                                <wp:anchor distT="0" distB="0" distL="114300" distR="114300" simplePos="0" relativeHeight="251665408" behindDoc="0" locked="0" layoutInCell="1" allowOverlap="1" wp14:anchorId="12DB20C3" wp14:editId="7B84826C">
                                  <wp:simplePos x="0" y="0"/>
                                  <wp:positionH relativeFrom="column">
                                    <wp:posOffset>0</wp:posOffset>
                                  </wp:positionH>
                                  <wp:positionV relativeFrom="paragraph">
                                    <wp:posOffset>0</wp:posOffset>
                                  </wp:positionV>
                                  <wp:extent cx="635000" cy="635000"/>
                                  <wp:effectExtent l="0" t="0" r="3175" b="3175"/>
                                  <wp:wrapNone/>
                                  <wp:docPr id="131"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01411" id="AutoShape 214"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Nt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11jJGkHYh0t7XK50ZJTD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qmDN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sz w:val="18"/>
                            <w:lang w:val="en-US"/>
                          </w:rPr>
                          <w:drawing>
                            <wp:inline distT="0" distB="0" distL="0" distR="0" wp14:anchorId="258C622C" wp14:editId="159EEC0F">
                              <wp:extent cx="914400" cy="400685"/>
                              <wp:effectExtent l="0" t="0" r="0" b="0"/>
                              <wp:docPr id="138" name="Picture 1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86905" w:rsidRPr="0088502A" w14:paraId="388A2B44" w14:textId="77777777" w:rsidTr="00900DD6">
                    <w:tc>
                      <w:tcPr>
                        <w:tcW w:w="1985" w:type="dxa"/>
                        <w:tcMar>
                          <w:top w:w="0" w:type="dxa"/>
                          <w:left w:w="0" w:type="dxa"/>
                          <w:bottom w:w="0" w:type="dxa"/>
                          <w:right w:w="0" w:type="dxa"/>
                        </w:tcMar>
                      </w:tcPr>
                      <w:p w14:paraId="0C5EFA1F" w14:textId="77777777" w:rsidR="00D86905" w:rsidRPr="0088502A" w:rsidRDefault="00D86905" w:rsidP="00900DD6">
                        <w:pPr>
                          <w:keepNext/>
                          <w:ind w:right="459"/>
                          <w:jc w:val="center"/>
                          <w:rPr>
                            <w:sz w:val="18"/>
                          </w:rPr>
                        </w:pPr>
                        <w:r>
                          <w:rPr>
                            <w:color w:val="000000"/>
                            <w:sz w:val="18"/>
                          </w:rPr>
                          <w:t>5</w:t>
                        </w:r>
                      </w:p>
                    </w:tc>
                    <w:tc>
                      <w:tcPr>
                        <w:tcW w:w="1843" w:type="dxa"/>
                        <w:tcMar>
                          <w:top w:w="0" w:type="dxa"/>
                          <w:left w:w="0" w:type="dxa"/>
                          <w:bottom w:w="0" w:type="dxa"/>
                          <w:right w:w="0" w:type="dxa"/>
                        </w:tcMar>
                      </w:tcPr>
                      <w:p w14:paraId="32AE25F1" w14:textId="77777777" w:rsidR="00D86905" w:rsidRPr="0088502A" w:rsidRDefault="00D86905" w:rsidP="00900DD6">
                        <w:pPr>
                          <w:keepNext/>
                          <w:ind w:right="459"/>
                          <w:jc w:val="center"/>
                          <w:rPr>
                            <w:sz w:val="18"/>
                          </w:rPr>
                        </w:pPr>
                        <w:r>
                          <w:rPr>
                            <w:color w:val="000000"/>
                            <w:sz w:val="18"/>
                          </w:rPr>
                          <w:t>6</w:t>
                        </w:r>
                      </w:p>
                    </w:tc>
                    <w:tc>
                      <w:tcPr>
                        <w:tcW w:w="1701" w:type="dxa"/>
                        <w:tcMar>
                          <w:top w:w="0" w:type="dxa"/>
                          <w:left w:w="0" w:type="dxa"/>
                          <w:bottom w:w="0" w:type="dxa"/>
                          <w:right w:w="0" w:type="dxa"/>
                        </w:tcMar>
                      </w:tcPr>
                      <w:p w14:paraId="5DF26E9B" w14:textId="77777777" w:rsidR="00D86905" w:rsidRPr="0088502A" w:rsidRDefault="00D86905" w:rsidP="00900DD6">
                        <w:pPr>
                          <w:keepNext/>
                          <w:ind w:right="459"/>
                          <w:jc w:val="center"/>
                          <w:rPr>
                            <w:sz w:val="18"/>
                          </w:rPr>
                        </w:pPr>
                        <w:r>
                          <w:rPr>
                            <w:color w:val="000000"/>
                            <w:sz w:val="18"/>
                          </w:rPr>
                          <w:t>7</w:t>
                        </w:r>
                      </w:p>
                    </w:tc>
                  </w:tr>
                  <w:tr w:rsidR="00D86905" w:rsidRPr="0088502A" w14:paraId="2C8FBAD2" w14:textId="77777777" w:rsidTr="00900DD6">
                    <w:tc>
                      <w:tcPr>
                        <w:tcW w:w="1985" w:type="dxa"/>
                        <w:tcMar>
                          <w:top w:w="0" w:type="dxa"/>
                          <w:left w:w="0" w:type="dxa"/>
                          <w:bottom w:w="0" w:type="dxa"/>
                          <w:right w:w="0" w:type="dxa"/>
                        </w:tcMar>
                      </w:tcPr>
                      <w:p w14:paraId="27AAAC51" w14:textId="77777777" w:rsidR="00D86905" w:rsidRPr="0088502A" w:rsidRDefault="00D86905" w:rsidP="00900DD6">
                        <w:pPr>
                          <w:keepNext/>
                          <w:ind w:right="459"/>
                          <w:jc w:val="center"/>
                          <w:rPr>
                            <w:sz w:val="18"/>
                          </w:rPr>
                        </w:pPr>
                        <w:r>
                          <w:rPr>
                            <w:color w:val="000000"/>
                            <w:sz w:val="18"/>
                          </w:rPr>
                          <w:t xml:space="preserve">ligeramente </w:t>
                        </w:r>
                        <w:r>
                          <w:rPr>
                            <w:color w:val="000000"/>
                            <w:sz w:val="18"/>
                          </w:rPr>
                          <w:cr/>
                        </w:r>
                        <w:r>
                          <w:rPr>
                            <w:color w:val="000000"/>
                            <w:sz w:val="18"/>
                          </w:rPr>
                          <w:br/>
                          <w:t>descendente</w:t>
                        </w:r>
                      </w:p>
                    </w:tc>
                    <w:tc>
                      <w:tcPr>
                        <w:tcW w:w="1843" w:type="dxa"/>
                        <w:tcMar>
                          <w:top w:w="0" w:type="dxa"/>
                          <w:left w:w="0" w:type="dxa"/>
                          <w:bottom w:w="0" w:type="dxa"/>
                          <w:right w:w="0" w:type="dxa"/>
                        </w:tcMar>
                      </w:tcPr>
                      <w:p w14:paraId="59A16662" w14:textId="77777777" w:rsidR="00D86905" w:rsidRPr="0088502A" w:rsidRDefault="00D86905" w:rsidP="00900DD6">
                        <w:pPr>
                          <w:keepNext/>
                          <w:ind w:right="459"/>
                          <w:jc w:val="center"/>
                          <w:rPr>
                            <w:sz w:val="18"/>
                          </w:rPr>
                        </w:pPr>
                        <w:r>
                          <w:rPr>
                            <w:color w:val="000000"/>
                            <w:sz w:val="18"/>
                          </w:rPr>
                          <w:t>moderadamente descendente</w:t>
                        </w:r>
                      </w:p>
                    </w:tc>
                    <w:tc>
                      <w:tcPr>
                        <w:tcW w:w="1701" w:type="dxa"/>
                        <w:tcMar>
                          <w:top w:w="0" w:type="dxa"/>
                          <w:left w:w="0" w:type="dxa"/>
                          <w:bottom w:w="0" w:type="dxa"/>
                          <w:right w:w="0" w:type="dxa"/>
                        </w:tcMar>
                      </w:tcPr>
                      <w:p w14:paraId="1FE197F8" w14:textId="77777777" w:rsidR="00D86905" w:rsidRPr="0088502A" w:rsidRDefault="00D86905" w:rsidP="00900DD6">
                        <w:pPr>
                          <w:keepNext/>
                          <w:ind w:right="459"/>
                          <w:jc w:val="center"/>
                          <w:rPr>
                            <w:sz w:val="18"/>
                          </w:rPr>
                        </w:pPr>
                        <w:r>
                          <w:rPr>
                            <w:color w:val="000000"/>
                            <w:sz w:val="18"/>
                          </w:rPr>
                          <w:t>muy descendente</w:t>
                        </w:r>
                      </w:p>
                    </w:tc>
                  </w:tr>
                </w:tbl>
                <w:p w14:paraId="20FEC6D5" w14:textId="77777777" w:rsidR="00D86905" w:rsidRPr="0088502A" w:rsidRDefault="00D86905" w:rsidP="00900DD6">
                  <w:pPr>
                    <w:keepNext/>
                    <w:ind w:right="459"/>
                    <w:rPr>
                      <w:sz w:val="18"/>
                    </w:rPr>
                  </w:pPr>
                </w:p>
              </w:tc>
            </w:tr>
          </w:tbl>
          <w:p w14:paraId="58754C89" w14:textId="77777777" w:rsidR="00D86905" w:rsidRPr="0088502A" w:rsidRDefault="00D86905" w:rsidP="00900DD6">
            <w:pPr>
              <w:keepNext/>
              <w:spacing w:line="1" w:lineRule="auto"/>
              <w:ind w:right="459"/>
              <w:rPr>
                <w:sz w:val="18"/>
              </w:rPr>
            </w:pPr>
          </w:p>
        </w:tc>
      </w:tr>
    </w:tbl>
    <w:p w14:paraId="2B2CE35D" w14:textId="77777777" w:rsidR="00D86905" w:rsidRPr="0088502A" w:rsidRDefault="00D86905" w:rsidP="00D86905">
      <w:pPr>
        <w:ind w:left="567" w:right="459"/>
      </w:pPr>
    </w:p>
    <w:p w14:paraId="741B3322" w14:textId="083FE534" w:rsidR="00D86905" w:rsidRPr="0088502A" w:rsidRDefault="00D86905" w:rsidP="00D86905">
      <w:pPr>
        <w:pStyle w:val="ListParagraph"/>
        <w:keepNext/>
        <w:numPr>
          <w:ilvl w:val="0"/>
          <w:numId w:val="3"/>
        </w:numPr>
        <w:ind w:left="900" w:right="459"/>
        <w:rPr>
          <w:sz w:val="18"/>
        </w:rPr>
      </w:pPr>
      <w:r>
        <w:rPr>
          <w:sz w:val="18"/>
        </w:rPr>
        <w:lastRenderedPageBreak/>
        <w:t>Documento</w:t>
      </w:r>
      <w:r w:rsidR="008F3423">
        <w:rPr>
          <w:sz w:val="18"/>
        </w:rPr>
        <w:t> </w:t>
      </w:r>
      <w:r>
        <w:rPr>
          <w:sz w:val="18"/>
        </w:rPr>
        <w:t>TG/336/1 “Coreopsis”:</w:t>
      </w:r>
    </w:p>
    <w:p w14:paraId="5285A313" w14:textId="77777777" w:rsidR="00D86905" w:rsidRPr="0088502A" w:rsidRDefault="00D86905" w:rsidP="00D86905">
      <w:pPr>
        <w:keepNext/>
        <w:ind w:left="1134" w:right="459"/>
        <w:rPr>
          <w:rFonts w:eastAsia="Arial" w:cs="Arial"/>
          <w:color w:val="000000"/>
          <w:sz w:val="18"/>
        </w:rPr>
      </w:pPr>
    </w:p>
    <w:p w14:paraId="6BCDF654" w14:textId="7BEA0CEC" w:rsidR="00D86905" w:rsidRPr="0088502A" w:rsidRDefault="00D86905" w:rsidP="00D86905">
      <w:pPr>
        <w:keepNext/>
        <w:ind w:left="1134" w:right="459"/>
        <w:rPr>
          <w:rFonts w:eastAsia="Arial" w:cs="Arial"/>
          <w:color w:val="000000"/>
          <w:sz w:val="18"/>
        </w:rPr>
      </w:pPr>
      <w:r>
        <w:rPr>
          <w:color w:val="000000"/>
          <w:sz w:val="18"/>
        </w:rPr>
        <w:t>“Ad.</w:t>
      </w:r>
      <w:r w:rsidR="008F3423">
        <w:rPr>
          <w:color w:val="000000"/>
          <w:sz w:val="18"/>
        </w:rPr>
        <w:t> </w:t>
      </w:r>
      <w:r>
        <w:rPr>
          <w:color w:val="000000"/>
          <w:sz w:val="18"/>
        </w:rPr>
        <w:t>29: Flor ligulada: distribución del color principal (PQ)</w:t>
      </w:r>
    </w:p>
    <w:p w14:paraId="576FD9F8" w14:textId="77777777" w:rsidR="00D86905" w:rsidRPr="0088502A" w:rsidRDefault="00D86905" w:rsidP="00D86905">
      <w:pPr>
        <w:keepNext/>
        <w:ind w:left="1134" w:right="459"/>
        <w:rPr>
          <w:sz w:val="18"/>
        </w:rPr>
      </w:pPr>
    </w:p>
    <w:p w14:paraId="7909D6D5" w14:textId="77777777" w:rsidR="00D86905" w:rsidRPr="0088502A" w:rsidRDefault="00D86905" w:rsidP="00D86905">
      <w:pPr>
        <w:keepNext/>
        <w:ind w:left="567" w:right="459"/>
        <w:jc w:val="center"/>
        <w:rPr>
          <w:sz w:val="18"/>
        </w:rPr>
      </w:pPr>
      <w:r>
        <w:rPr>
          <w:noProof/>
          <w:sz w:val="18"/>
          <w:lang w:val="en-US"/>
        </w:rPr>
        <w:drawing>
          <wp:inline distT="0" distB="0" distL="0" distR="0" wp14:anchorId="0CD2A629" wp14:editId="083D3AE8">
            <wp:extent cx="3472981" cy="2447553"/>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478941" cy="2451753"/>
                    </a:xfrm>
                    <a:prstGeom prst="rect">
                      <a:avLst/>
                    </a:prstGeom>
                  </pic:spPr>
                </pic:pic>
              </a:graphicData>
            </a:graphic>
          </wp:inline>
        </w:drawing>
      </w:r>
    </w:p>
    <w:p w14:paraId="09839E1F" w14:textId="77777777" w:rsidR="00D86905" w:rsidRPr="0088502A" w:rsidRDefault="00D86905" w:rsidP="00D86905">
      <w:pPr>
        <w:ind w:left="567" w:right="459"/>
        <w:rPr>
          <w:sz w:val="18"/>
        </w:rPr>
      </w:pPr>
    </w:p>
    <w:p w14:paraId="1955BEBD" w14:textId="45AD2A04" w:rsidR="00D86905" w:rsidRPr="0088502A" w:rsidRDefault="00D86905" w:rsidP="00D86905">
      <w:pPr>
        <w:pStyle w:val="ListParagraph"/>
        <w:keepNext/>
        <w:keepLines/>
        <w:numPr>
          <w:ilvl w:val="0"/>
          <w:numId w:val="3"/>
        </w:numPr>
        <w:ind w:left="900" w:right="459"/>
        <w:rPr>
          <w:sz w:val="18"/>
        </w:rPr>
      </w:pPr>
      <w:r>
        <w:rPr>
          <w:sz w:val="18"/>
        </w:rPr>
        <w:t>Documento</w:t>
      </w:r>
      <w:r w:rsidR="008F3423">
        <w:rPr>
          <w:sz w:val="18"/>
        </w:rPr>
        <w:t> </w:t>
      </w:r>
      <w:r>
        <w:rPr>
          <w:sz w:val="18"/>
        </w:rPr>
        <w:t>TG/168/3 “Statice”: Ad.</w:t>
      </w:r>
      <w:r w:rsidR="008F3423">
        <w:rPr>
          <w:sz w:val="18"/>
        </w:rPr>
        <w:t> </w:t>
      </w:r>
      <w:r>
        <w:rPr>
          <w:sz w:val="18"/>
        </w:rPr>
        <w:t>24: Inflorescencia: tipo (PQ)</w:t>
      </w:r>
    </w:p>
    <w:p w14:paraId="09832A56" w14:textId="77777777" w:rsidR="00D86905" w:rsidRPr="0088502A" w:rsidRDefault="00D86905" w:rsidP="00D86905">
      <w:pPr>
        <w:keepNext/>
        <w:keepLines/>
        <w:ind w:left="567" w:right="459"/>
        <w:jc w:val="center"/>
        <w:rPr>
          <w:sz w:val="18"/>
        </w:rPr>
      </w:pPr>
      <w:r>
        <w:rPr>
          <w:noProof/>
          <w:sz w:val="18"/>
          <w:lang w:val="en-US"/>
        </w:rPr>
        <w:drawing>
          <wp:inline distT="0" distB="0" distL="0" distR="0" wp14:anchorId="300978C0" wp14:editId="766A2681">
            <wp:extent cx="2236737" cy="299158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47182" cy="3005556"/>
                    </a:xfrm>
                    <a:prstGeom prst="rect">
                      <a:avLst/>
                    </a:prstGeom>
                  </pic:spPr>
                </pic:pic>
              </a:graphicData>
            </a:graphic>
          </wp:inline>
        </w:drawing>
      </w:r>
    </w:p>
    <w:p w14:paraId="63A49D4A" w14:textId="77777777" w:rsidR="00D86905" w:rsidRPr="0088502A" w:rsidRDefault="00D86905" w:rsidP="00D86905"/>
    <w:p w14:paraId="3D331200" w14:textId="5312D840" w:rsidR="00D86905" w:rsidRPr="0088502A" w:rsidRDefault="003415AF" w:rsidP="00D86905">
      <w:r>
        <w:fldChar w:fldCharType="begin"/>
      </w:r>
      <w:r>
        <w:instrText xml:space="preserve"> LISTNUM  LegalDefault \l 1 </w:instrText>
      </w:r>
      <w:r>
        <w:fldChar w:fldCharType="end"/>
      </w:r>
      <w:r>
        <w:tab/>
        <w:t>El</w:t>
      </w:r>
      <w:r w:rsidR="008F3423">
        <w:t> </w:t>
      </w:r>
      <w:r>
        <w:t xml:space="preserve">TWO convino en que este enfoque se podría aplicar también a especies con pocas variedades ejemplo y cuando sea difícil obtener material vegetal de esas variedades.  </w:t>
      </w:r>
    </w:p>
    <w:p w14:paraId="6B4655FA" w14:textId="77777777" w:rsidR="00D86905" w:rsidRPr="0088502A" w:rsidRDefault="00D86905" w:rsidP="00D86905"/>
    <w:p w14:paraId="045D38B5" w14:textId="0F50B74C" w:rsidR="00D86905" w:rsidRPr="0088502A" w:rsidRDefault="003415AF" w:rsidP="00D86905">
      <w:r>
        <w:fldChar w:fldCharType="begin"/>
      </w:r>
      <w:r>
        <w:instrText xml:space="preserve"> LISTNUM  LegalDefault \l 1 </w:instrText>
      </w:r>
      <w:r>
        <w:fldChar w:fldCharType="end"/>
      </w:r>
      <w:r>
        <w:tab/>
        <w:t>El</w:t>
      </w:r>
      <w:r w:rsidR="008F3423">
        <w:t> </w:t>
      </w:r>
      <w:r>
        <w:t>TWO tomó nota de que el</w:t>
      </w:r>
      <w:r w:rsidR="008F3423">
        <w:t> </w:t>
      </w:r>
      <w:r>
        <w:t>TWA, en su quincuagésima segunda sesión, convino en invitar a los expertos de Alemania a redactar una propuesta en colaboración con el Canadá, los Países</w:t>
      </w:r>
      <w:r w:rsidR="008F3423">
        <w:t> </w:t>
      </w:r>
      <w:r>
        <w:t>Bajos y el Reino</w:t>
      </w:r>
      <w:r w:rsidR="008F3423">
        <w:t> </w:t>
      </w:r>
      <w:r>
        <w:t>Unido para modificar la nota orientativa GN</w:t>
      </w:r>
      <w:r w:rsidR="008F3423">
        <w:t> </w:t>
      </w:r>
      <w:r>
        <w:t>28 “Variedades ejemplo” del documento</w:t>
      </w:r>
      <w:r w:rsidR="008F3423">
        <w:t> </w:t>
      </w:r>
      <w:r>
        <w:t>TGP/7, en relación a las situaciones en las que las ilustraciones podrían sustituir a las variedades ejemplo y su función complementaria como aclaración de los niveles de expresión de un carácter.</w:t>
      </w:r>
    </w:p>
    <w:p w14:paraId="075525FD" w14:textId="77777777" w:rsidR="00D86905" w:rsidRPr="0088502A" w:rsidRDefault="00D86905" w:rsidP="00D86905"/>
    <w:p w14:paraId="689F1128" w14:textId="65E7F9CF" w:rsidR="00D86905" w:rsidRPr="0088502A" w:rsidRDefault="003415AF" w:rsidP="00D86905">
      <w:r>
        <w:fldChar w:fldCharType="begin"/>
      </w:r>
      <w:r>
        <w:instrText xml:space="preserve"> LISTNUM  LegalDefault \l 1 </w:instrText>
      </w:r>
      <w:r>
        <w:fldChar w:fldCharType="end"/>
      </w:r>
      <w:r>
        <w:tab/>
        <w:t>El</w:t>
      </w:r>
      <w:r w:rsidR="008F3423">
        <w:t> </w:t>
      </w:r>
      <w:r>
        <w:t>TWO convino en invitar a los expertos del</w:t>
      </w:r>
      <w:r w:rsidR="008F3423">
        <w:t> </w:t>
      </w:r>
      <w:r>
        <w:t>Canadá, Francia, el Reino</w:t>
      </w:r>
      <w:r w:rsidR="008F3423">
        <w:t> </w:t>
      </w:r>
      <w:r>
        <w:t>Unido y la Unión</w:t>
      </w:r>
      <w:r w:rsidR="008F3423">
        <w:t> </w:t>
      </w:r>
      <w:r>
        <w:t>Europea a colaborar con los expertos del TWA para redactar una propuesta de modificación de la nota orie</w:t>
      </w:r>
      <w:r w:rsidR="00DE7FE6">
        <w:t>n</w:t>
      </w:r>
      <w:r>
        <w:t>tativa GN 28</w:t>
      </w:r>
      <w:r w:rsidR="008F3423">
        <w:t> </w:t>
      </w:r>
      <w:r>
        <w:t>del documento</w:t>
      </w:r>
      <w:r w:rsidR="008F3423">
        <w:t> </w:t>
      </w:r>
      <w:r>
        <w:t xml:space="preserve">TGP/7. </w:t>
      </w:r>
    </w:p>
    <w:p w14:paraId="396218DA" w14:textId="77777777" w:rsidR="00D86905" w:rsidRPr="0088502A" w:rsidRDefault="00D86905" w:rsidP="00D86905"/>
    <w:p w14:paraId="03603D90" w14:textId="1ACABE43" w:rsidR="00D86905" w:rsidRPr="0088502A" w:rsidRDefault="003415AF" w:rsidP="00783AAC">
      <w:pPr>
        <w:spacing w:after="360"/>
      </w:pPr>
      <w:r>
        <w:fldChar w:fldCharType="begin"/>
      </w:r>
      <w:r>
        <w:instrText xml:space="preserve"> LISTNUM  LegalDefault \l 1 </w:instrText>
      </w:r>
      <w:r>
        <w:fldChar w:fldCharType="end"/>
      </w:r>
      <w:r>
        <w:tab/>
        <w:t>En su quincuagésima cuarta sesión</w:t>
      </w:r>
      <w:r w:rsidR="004E5F31" w:rsidRPr="004E5F31">
        <w:rPr>
          <w:vertAlign w:val="superscript"/>
        </w:rPr>
        <w:fldChar w:fldCharType="begin"/>
      </w:r>
      <w:r w:rsidR="004E5F31" w:rsidRPr="004E5F31">
        <w:rPr>
          <w:vertAlign w:val="superscript"/>
        </w:rPr>
        <w:instrText xml:space="preserve"> NOTEREF _Ref145614644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9</w:t>
      </w:r>
      <w:r w:rsidR="004E5F31" w:rsidRPr="004E5F31">
        <w:rPr>
          <w:vertAlign w:val="superscript"/>
        </w:rPr>
        <w:fldChar w:fldCharType="end"/>
      </w:r>
      <w:r>
        <w:fldChar w:fldCharType="begin"/>
      </w:r>
      <w:r>
        <w:instrText xml:space="preserve"> NOTEREF _Ref138847656 \f \h </w:instrText>
      </w:r>
      <w:r>
        <w:fldChar w:fldCharType="end"/>
      </w:r>
      <w:r>
        <w:t>, el</w:t>
      </w:r>
      <w:r w:rsidR="008F3423">
        <w:t> </w:t>
      </w:r>
      <w:r>
        <w:t>TWF convino en que las directrices de examen deben proporcionar variedades ejemplo e ilustraciones en la medida de lo posible. El</w:t>
      </w:r>
      <w:r w:rsidR="006D0617">
        <w:t> </w:t>
      </w:r>
      <w:r>
        <w:t>TWF tomó nota de que puede ser complicado obtener material vegetal de ciertas variedades ejemplo difíciles de encontrar o que ya no se cultivan. El</w:t>
      </w:r>
      <w:r w:rsidR="006D0617">
        <w:t> </w:t>
      </w:r>
      <w:r>
        <w:t>TW</w:t>
      </w:r>
      <w:r w:rsidR="006D0617">
        <w:t>F</w:t>
      </w:r>
      <w:r>
        <w:t xml:space="preserve"> tomó nota de que los expertos de Australia y Hungría manifestaron interés en colaborar con los expertos del</w:t>
      </w:r>
      <w:r w:rsidR="006D0617">
        <w:t> </w:t>
      </w:r>
      <w:r>
        <w:t>TWA y el</w:t>
      </w:r>
      <w:r w:rsidR="006D0617">
        <w:t> </w:t>
      </w:r>
      <w:r>
        <w:t>TWO en la redacción de una propuesta de modificación de la nota orientativa GN</w:t>
      </w:r>
      <w:r w:rsidR="006D0617">
        <w:t> </w:t>
      </w:r>
      <w:r>
        <w:t>28 del documento</w:t>
      </w:r>
      <w:r w:rsidR="006D0617">
        <w:t> </w:t>
      </w:r>
      <w:r>
        <w:t>TGP/7 (véase el párrafo</w:t>
      </w:r>
      <w:r w:rsidR="006D0617">
        <w:t> </w:t>
      </w:r>
      <w:r>
        <w:t>14 del documento</w:t>
      </w:r>
      <w:r w:rsidR="006D0617">
        <w:t> </w:t>
      </w:r>
      <w:r>
        <w:t xml:space="preserve">TWF/54/13 </w:t>
      </w:r>
      <w:r>
        <w:rPr>
          <w:i/>
        </w:rPr>
        <w:t>“Report”</w:t>
      </w:r>
      <w:r>
        <w:t xml:space="preserve"> (informe)).  </w:t>
      </w:r>
    </w:p>
    <w:p w14:paraId="2AE9D23E" w14:textId="0893118B" w:rsidR="005615C0" w:rsidRDefault="005615C0" w:rsidP="004769F7">
      <w:r>
        <w:lastRenderedPageBreak/>
        <w:t>CUESTIONES PARA INFORMACIÓN</w:t>
      </w:r>
    </w:p>
    <w:p w14:paraId="0D14A564" w14:textId="77777777" w:rsidR="005615C0" w:rsidRPr="0088502A" w:rsidRDefault="005615C0" w:rsidP="004769F7"/>
    <w:p w14:paraId="0153D7C0" w14:textId="124C98AE" w:rsidR="004769F7" w:rsidRPr="0088502A" w:rsidRDefault="004769F7" w:rsidP="00D86905">
      <w:pPr>
        <w:rPr>
          <w:i/>
        </w:rPr>
      </w:pPr>
      <w:r>
        <w:rPr>
          <w:i/>
        </w:rPr>
        <w:t>Documento</w:t>
      </w:r>
      <w:r w:rsidR="006D0617">
        <w:rPr>
          <w:i/>
        </w:rPr>
        <w:t> </w:t>
      </w:r>
      <w:r>
        <w:rPr>
          <w:i/>
        </w:rPr>
        <w:t>TGP/8: Diseño de ensayos y técnicas utilizados en el examen de la distinción, la homogeneidad y la estabilidad</w:t>
      </w:r>
    </w:p>
    <w:p w14:paraId="08889ECB" w14:textId="77777777" w:rsidR="004769F7" w:rsidRPr="0088502A" w:rsidRDefault="004769F7" w:rsidP="004769F7">
      <w:pPr>
        <w:keepNext/>
        <w:outlineLvl w:val="2"/>
        <w:rPr>
          <w:i/>
        </w:rPr>
      </w:pPr>
    </w:p>
    <w:p w14:paraId="7C409481" w14:textId="0C94D0C2" w:rsidR="004769F7" w:rsidRPr="0088502A" w:rsidRDefault="004769F7" w:rsidP="009F0366">
      <w:pPr>
        <w:ind w:left="567"/>
        <w:rPr>
          <w:u w:val="single"/>
        </w:rPr>
      </w:pPr>
      <w:bookmarkStart w:id="72" w:name="_Toc140511425"/>
      <w:r>
        <w:rPr>
          <w:u w:val="single"/>
        </w:rPr>
        <w:t>Sección</w:t>
      </w:r>
      <w:r w:rsidR="006D0617">
        <w:rPr>
          <w:u w:val="single"/>
        </w:rPr>
        <w:t> </w:t>
      </w:r>
      <w:r>
        <w:rPr>
          <w:u w:val="single"/>
        </w:rPr>
        <w:t>9 “Criterio combinado interanual de homogeneidad (COYU)”</w:t>
      </w:r>
      <w:bookmarkEnd w:id="72"/>
    </w:p>
    <w:p w14:paraId="548E1E7F" w14:textId="77777777" w:rsidR="004769F7" w:rsidRPr="0088502A" w:rsidRDefault="004769F7" w:rsidP="004769F7">
      <w:pPr>
        <w:keepNext/>
      </w:pPr>
    </w:p>
    <w:p w14:paraId="6B34D982" w14:textId="42A0C670" w:rsidR="004769F7" w:rsidRPr="0088502A" w:rsidRDefault="003415AF" w:rsidP="004769F7">
      <w:pPr>
        <w:keepNext/>
      </w:pPr>
      <w:r>
        <w:fldChar w:fldCharType="begin"/>
      </w:r>
      <w:r>
        <w:instrText xml:space="preserve"> LISTNUM  LegalDefault \l 1 </w:instrText>
      </w:r>
      <w:r>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w:t>
      </w:r>
      <w:r w:rsidR="006D0617">
        <w:t> </w:t>
      </w:r>
      <w:r>
        <w:t>TC tomó nota de que está previsto que se ponga en funcionamiento a más tardar en septiembre de</w:t>
      </w:r>
      <w:r w:rsidR="006D0617">
        <w:t> </w:t>
      </w:r>
      <w:r>
        <w:t xml:space="preserve">2023 una nueva versión de DUSTNT que incorpora COYU con </w:t>
      </w:r>
      <w:r>
        <w:rPr>
          <w:i/>
        </w:rPr>
        <w:t>splines</w:t>
      </w:r>
      <w:r>
        <w:t xml:space="preserve"> (DUST9NT), una vez que se hayan incorporado las mejoras detectadas a partir de la campaña de pruebas, incluida la extrapolación (véanse los párrafos</w:t>
      </w:r>
      <w:r w:rsidR="006D0617">
        <w:t> </w:t>
      </w:r>
      <w:r>
        <w:t>28 a</w:t>
      </w:r>
      <w:r w:rsidR="006D0617">
        <w:t> </w:t>
      </w:r>
      <w:r>
        <w:t>33 del documento</w:t>
      </w:r>
      <w:r w:rsidR="006D0617">
        <w:t> </w:t>
      </w:r>
      <w:r>
        <w:t xml:space="preserve">TC/58/31 “Informe”). </w:t>
      </w:r>
    </w:p>
    <w:p w14:paraId="6589353A" w14:textId="77777777" w:rsidR="004769F7" w:rsidRPr="0088502A" w:rsidRDefault="004769F7" w:rsidP="004769F7"/>
    <w:p w14:paraId="5BCBEC94" w14:textId="01DF217B" w:rsidR="004769F7" w:rsidRPr="0088502A" w:rsidRDefault="003415AF" w:rsidP="004769F7">
      <w:r>
        <w:fldChar w:fldCharType="begin"/>
      </w:r>
      <w:r>
        <w:instrText xml:space="preserve"> LISTNUM  LegalDefault \l 1 </w:instrText>
      </w:r>
      <w:r>
        <w:fldChar w:fldCharType="end"/>
      </w:r>
      <w:r>
        <w:tab/>
        <w:t>El</w:t>
      </w:r>
      <w:r w:rsidR="006D0617">
        <w:t> </w:t>
      </w:r>
      <w:r>
        <w:t>TC tomó nota de que se necesitarán nuevas revisiones del documento</w:t>
      </w:r>
      <w:r w:rsidR="006D0617">
        <w:t> </w:t>
      </w:r>
      <w:r>
        <w:t>TGP/8 para incorporar orientaciones sobre la extrapolación y los requisitos mínimos relativos a los datos.</w:t>
      </w:r>
    </w:p>
    <w:p w14:paraId="393FC2EE" w14:textId="77777777" w:rsidR="004769F7" w:rsidRPr="0088502A" w:rsidRDefault="004769F7" w:rsidP="004769F7"/>
    <w:p w14:paraId="5E260425" w14:textId="65868A61" w:rsidR="004769F7" w:rsidRPr="0088502A" w:rsidRDefault="003415AF" w:rsidP="004769F7">
      <w:r>
        <w:fldChar w:fldCharType="begin"/>
      </w:r>
      <w:r>
        <w:instrText xml:space="preserve"> LISTNUM  LegalDefault \l 1 </w:instrText>
      </w:r>
      <w:r>
        <w:fldChar w:fldCharType="end"/>
      </w:r>
      <w:r>
        <w:tab/>
        <w:t>El</w:t>
      </w:r>
      <w:r w:rsidR="006D0617">
        <w:t> </w:t>
      </w:r>
      <w:r>
        <w:t>TC tomó nota de que se recomienda que los expertos en los cultivos consideren de forma especial la homogeneidad cuando haya extrapolación.</w:t>
      </w:r>
    </w:p>
    <w:p w14:paraId="7379D78E" w14:textId="77777777" w:rsidR="004769F7" w:rsidRPr="0088502A" w:rsidRDefault="004769F7" w:rsidP="004769F7"/>
    <w:p w14:paraId="244F53CE" w14:textId="76AD1F3E" w:rsidR="004769F7" w:rsidRPr="0088502A" w:rsidRDefault="003415AF" w:rsidP="004769F7">
      <w:r>
        <w:fldChar w:fldCharType="begin"/>
      </w:r>
      <w:r>
        <w:instrText xml:space="preserve"> LISTNUM  LegalDefault \l 1 </w:instrText>
      </w:r>
      <w:r>
        <w:fldChar w:fldCharType="end"/>
      </w:r>
      <w:r>
        <w:tab/>
        <w:t>El</w:t>
      </w:r>
      <w:r w:rsidR="006D0617">
        <w:t> </w:t>
      </w:r>
      <w:r>
        <w:t>TC tomó nota de que el</w:t>
      </w:r>
      <w:r w:rsidR="006D0617">
        <w:t> </w:t>
      </w:r>
      <w:r>
        <w:t>TWM convino en que será necesario seguir manteniendo debates sobre los posibles enfoques cuando la extrapolación esté indicada e invitó al Reino Unido y a otros miembros a presentar un informe en la segunda sesión del</w:t>
      </w:r>
      <w:r w:rsidR="006D0617">
        <w:t> </w:t>
      </w:r>
      <w:r>
        <w:t>TWM.</w:t>
      </w:r>
    </w:p>
    <w:p w14:paraId="124ECAFF" w14:textId="77777777" w:rsidR="004769F7" w:rsidRPr="0088502A" w:rsidRDefault="004769F7" w:rsidP="004769F7"/>
    <w:p w14:paraId="73CE6536" w14:textId="2B3F3B34" w:rsidR="004769F7" w:rsidRPr="0088502A" w:rsidRDefault="003415AF" w:rsidP="004769F7">
      <w:pPr>
        <w:rPr>
          <w:i/>
          <w:sz w:val="18"/>
        </w:rPr>
      </w:pPr>
      <w:r>
        <w:fldChar w:fldCharType="begin"/>
      </w:r>
      <w:r>
        <w:instrText xml:space="preserve"> LISTNUM  LegalDefault \l 1 </w:instrText>
      </w:r>
      <w:r>
        <w:fldChar w:fldCharType="end"/>
      </w:r>
      <w:r>
        <w:tab/>
        <w:t>El</w:t>
      </w:r>
      <w:r w:rsidR="006D0617">
        <w:t> </w:t>
      </w:r>
      <w:r>
        <w:t>TC convino en solicitar al</w:t>
      </w:r>
      <w:r w:rsidR="006D0617">
        <w:t> </w:t>
      </w:r>
      <w:r>
        <w:t xml:space="preserve">TWM que elabore un informe de los resultados de la campaña de pruebas del programa informático para el COYU con </w:t>
      </w:r>
      <w:r>
        <w:rPr>
          <w:i/>
        </w:rPr>
        <w:t>splines</w:t>
      </w:r>
      <w:r>
        <w:t>, a fin de que este</w:t>
      </w:r>
      <w:r w:rsidR="006D0617">
        <w:t> </w:t>
      </w:r>
      <w:r>
        <w:t>Comité lo examine en coincidencia con la revisión del documento</w:t>
      </w:r>
      <w:r w:rsidR="006D0617">
        <w:t> </w:t>
      </w:r>
      <w:r>
        <w:t>TGP/8.</w:t>
      </w:r>
    </w:p>
    <w:p w14:paraId="500DBAE2" w14:textId="77777777" w:rsidR="004769F7" w:rsidRPr="0088502A" w:rsidRDefault="004769F7" w:rsidP="004769F7">
      <w:pPr>
        <w:rPr>
          <w:u w:val="single"/>
        </w:rPr>
      </w:pPr>
    </w:p>
    <w:p w14:paraId="39C74A17" w14:textId="77777777" w:rsidR="004769F7" w:rsidRPr="0088502A" w:rsidRDefault="004769F7" w:rsidP="004769F7">
      <w:pPr>
        <w:rPr>
          <w:u w:val="single"/>
        </w:rPr>
      </w:pPr>
    </w:p>
    <w:p w14:paraId="2D7233F7" w14:textId="27E1B961" w:rsidR="004769F7" w:rsidRPr="0088502A" w:rsidRDefault="004769F7" w:rsidP="00D86905">
      <w:pPr>
        <w:rPr>
          <w:i/>
        </w:rPr>
      </w:pPr>
      <w:r>
        <w:rPr>
          <w:i/>
        </w:rPr>
        <w:t>Documento</w:t>
      </w:r>
      <w:r w:rsidR="006D0617">
        <w:rPr>
          <w:i/>
        </w:rPr>
        <w:t> </w:t>
      </w:r>
      <w:r>
        <w:rPr>
          <w:i/>
        </w:rPr>
        <w:t>TGP/9 “Examen de la distinción”</w:t>
      </w:r>
    </w:p>
    <w:p w14:paraId="11405BE2" w14:textId="77777777" w:rsidR="004769F7" w:rsidRPr="0088502A" w:rsidRDefault="004769F7" w:rsidP="004769F7"/>
    <w:p w14:paraId="6D1195B6" w14:textId="77777777" w:rsidR="004769F7" w:rsidRPr="0088502A" w:rsidRDefault="004769F7" w:rsidP="009F0366">
      <w:pPr>
        <w:ind w:left="709"/>
        <w:rPr>
          <w:u w:val="single"/>
        </w:rPr>
      </w:pPr>
      <w:bookmarkStart w:id="73" w:name="_Toc140511426"/>
      <w:r>
        <w:rPr>
          <w:u w:val="single"/>
        </w:rPr>
        <w:t>Número de plantas de variedades de comparación en el ensayo</w:t>
      </w:r>
      <w:bookmarkEnd w:id="73"/>
    </w:p>
    <w:p w14:paraId="56A95230" w14:textId="77777777" w:rsidR="004769F7" w:rsidRPr="00CC1204" w:rsidRDefault="004769F7" w:rsidP="004769F7"/>
    <w:p w14:paraId="38C2EB02" w14:textId="3940AB3E" w:rsidR="004769F7" w:rsidRPr="0088502A" w:rsidRDefault="003415AF" w:rsidP="004769F7">
      <w:r>
        <w:fldChar w:fldCharType="begin"/>
      </w:r>
      <w:r>
        <w:instrText xml:space="preserve"> LISTNUM  LegalDefault \l 1 </w:instrText>
      </w:r>
      <w:r>
        <w:fldChar w:fldCharType="end"/>
      </w:r>
      <w:r>
        <w:tab/>
        <w:t>En su quincuagésima tercera sesión</w:t>
      </w:r>
      <w:r w:rsidR="004769F7" w:rsidRPr="0088502A">
        <w:rPr>
          <w:rStyle w:val="FootnoteReference"/>
        </w:rPr>
        <w:footnoteReference w:id="16"/>
      </w:r>
      <w:r>
        <w:t>, el</w:t>
      </w:r>
      <w:r w:rsidR="006D0617">
        <w:t> </w:t>
      </w:r>
      <w:r>
        <w:t xml:space="preserve">TWF examinó el documento TWF/53/7 </w:t>
      </w:r>
      <w:r w:rsidR="00783AAC" w:rsidRPr="00783AAC">
        <w:rPr>
          <w:i/>
          <w:iCs/>
        </w:rPr>
        <w:t>“Matters relevant in DUS examination for the fruit sector”</w:t>
      </w:r>
      <w:r w:rsidR="00783AAC">
        <w:t xml:space="preserve"> (</w:t>
      </w:r>
      <w:r w:rsidR="00783AAC" w:rsidRPr="00783AAC">
        <w:t>Cuestiones de interés en relación con el examen DHE en el sector frutícola</w:t>
      </w:r>
      <w:r w:rsidR="00783AAC">
        <w:t xml:space="preserve">) </w:t>
      </w:r>
      <w:r>
        <w:t>y una propuesta preparada por expertos del</w:t>
      </w:r>
      <w:r w:rsidR="006D0617">
        <w:t> </w:t>
      </w:r>
      <w:r>
        <w:t>Brasil y de la Unión</w:t>
      </w:r>
      <w:r w:rsidR="006D0617">
        <w:t> </w:t>
      </w:r>
      <w:r>
        <w:t>Europea de modificación de la orientación que se ofrece en el documento</w:t>
      </w:r>
      <w:r w:rsidR="006D0617">
        <w:t> </w:t>
      </w:r>
      <w:r>
        <w:t>TGP/9 “Examen de la distinción” con el objeto de aclarar si es posible incluir en los ensayos un menor número de plantas de variedades notoriamente conocidas en determinadas circunstancias (véanse los párrafos</w:t>
      </w:r>
      <w:r w:rsidR="006D0617">
        <w:t> </w:t>
      </w:r>
      <w:r>
        <w:t>24 a</w:t>
      </w:r>
      <w:r w:rsidR="006D0617">
        <w:t> </w:t>
      </w:r>
      <w:r>
        <w:t>26 del documento</w:t>
      </w:r>
      <w:r w:rsidR="006D0617">
        <w:t> </w:t>
      </w:r>
      <w:r>
        <w:t xml:space="preserve">TWF/53/14 </w:t>
      </w:r>
      <w:r>
        <w:rPr>
          <w:i/>
        </w:rPr>
        <w:t>“Report”</w:t>
      </w:r>
      <w:r>
        <w:t xml:space="preserve"> (informe)).  </w:t>
      </w:r>
    </w:p>
    <w:p w14:paraId="28BE70F6" w14:textId="77777777" w:rsidR="004769F7" w:rsidRPr="0088502A" w:rsidRDefault="004769F7" w:rsidP="004769F7"/>
    <w:p w14:paraId="2D0060EA" w14:textId="2ABD96E1" w:rsidR="004769F7" w:rsidRPr="0088502A" w:rsidRDefault="003415AF" w:rsidP="004769F7">
      <w:pPr>
        <w:rPr>
          <w:rFonts w:eastAsia="Cambria"/>
        </w:rPr>
      </w:pPr>
      <w:r>
        <w:fldChar w:fldCharType="begin"/>
      </w:r>
      <w:r>
        <w:instrText xml:space="preserve"> LISTNUM  LegalDefault \l 1 </w:instrText>
      </w:r>
      <w:r>
        <w:fldChar w:fldCharType="end"/>
      </w:r>
      <w:r>
        <w:tab/>
        <w:t>El</w:t>
      </w:r>
      <w:r w:rsidR="006D0617">
        <w:t> </w:t>
      </w:r>
      <w:r>
        <w:t>TWF convino en que existen dificultades prácticas para realizar los ensayos</w:t>
      </w:r>
      <w:r w:rsidR="006D0617">
        <w:t> </w:t>
      </w:r>
      <w:r>
        <w:t>DHE en plantas frutales con un número de plantas igual al que se indica en las directrices de examen para la variedad candidata y una variedad muy similar notoriamente conocida. El</w:t>
      </w:r>
      <w:r w:rsidR="006D0617">
        <w:t> </w:t>
      </w:r>
      <w:r>
        <w:t xml:space="preserve">TWF convino en que debería ser posible usar un menor número de plantas de la variedad similar notoriamente conocida, siempre que no deba evaluarse la homogeneidad.  </w:t>
      </w:r>
    </w:p>
    <w:p w14:paraId="0292B8CB" w14:textId="77777777" w:rsidR="004769F7" w:rsidRPr="0088502A" w:rsidRDefault="004769F7" w:rsidP="004769F7">
      <w:pPr>
        <w:rPr>
          <w:rFonts w:eastAsia="Cambria"/>
        </w:rPr>
      </w:pPr>
    </w:p>
    <w:p w14:paraId="51C7F7AC" w14:textId="55183DB6" w:rsidR="004769F7" w:rsidRPr="0088502A" w:rsidRDefault="003415AF" w:rsidP="004769F7">
      <w:r>
        <w:fldChar w:fldCharType="begin"/>
      </w:r>
      <w:r>
        <w:instrText xml:space="preserve"> LISTNUM  LegalDefault \l 1 </w:instrText>
      </w:r>
      <w:r>
        <w:fldChar w:fldCharType="end"/>
      </w:r>
      <w:r>
        <w:tab/>
        <w:t>El</w:t>
      </w:r>
      <w:r w:rsidR="006D0617">
        <w:t> </w:t>
      </w:r>
      <w:r>
        <w:t>TWF convino en proponer que se modifique el documento</w:t>
      </w:r>
      <w:r w:rsidR="006D0617">
        <w:t> </w:t>
      </w:r>
      <w:r>
        <w:t>TGP/9 para que rece lo siguiente:</w:t>
      </w:r>
    </w:p>
    <w:p w14:paraId="7F75569A" w14:textId="77777777" w:rsidR="004769F7" w:rsidRPr="0088502A" w:rsidRDefault="004769F7" w:rsidP="004769F7"/>
    <w:p w14:paraId="53884FF9" w14:textId="30EA44BB" w:rsidR="004769F7" w:rsidRPr="0088502A" w:rsidRDefault="004769F7" w:rsidP="004769F7">
      <w:pPr>
        <w:ind w:left="567" w:right="567"/>
      </w:pPr>
      <w:r>
        <w:rPr>
          <w:sz w:val="18"/>
        </w:rPr>
        <w:t xml:space="preserve">“5.5.5 </w:t>
      </w:r>
      <w:r>
        <w:t xml:space="preserve">La precisión de los registros requerida depende de la diferencia entre la variedad candidata y las variedades notoriamente conocidas. Si dos variedades son muy similares, es importante asegurar la misma precisión de los registros de ambas variedades. El número de plantas que se indica en las directrices de examen </w:t>
      </w:r>
      <w:r>
        <w:rPr>
          <w:highlight w:val="lightGray"/>
          <w:u w:val="single"/>
        </w:rPr>
        <w:t>generalmente</w:t>
      </w:r>
      <w:r>
        <w:t xml:space="preserve"> se aplica tanto a la variedad candidata como a la variedad similar notoriamente conocida. </w:t>
      </w:r>
      <w:r>
        <w:rPr>
          <w:strike/>
          <w:highlight w:val="lightGray"/>
        </w:rPr>
        <w:t>En otros casos,</w:t>
      </w:r>
      <w:r>
        <w:t xml:space="preserve"> </w:t>
      </w:r>
      <w:r>
        <w:rPr>
          <w:highlight w:val="lightGray"/>
          <w:u w:val="single"/>
        </w:rPr>
        <w:t>No obstante</w:t>
      </w:r>
      <w:r>
        <w:t>, sería posible incluir en el ensayo un menor número de plantas para la variedad notoriamente conocida, siempre que no deba evaluarse la homogeneidad para esa variedad</w:t>
      </w:r>
      <w:r>
        <w:rPr>
          <w:strike/>
          <w:highlight w:val="lightGray"/>
        </w:rPr>
        <w:t>, esto es para variedades de la colección de variedades</w:t>
      </w:r>
      <w:r>
        <w:t>”.</w:t>
      </w:r>
    </w:p>
    <w:p w14:paraId="2F70F161" w14:textId="77777777" w:rsidR="004769F7" w:rsidRPr="0088502A" w:rsidRDefault="004769F7" w:rsidP="004769F7">
      <w:pPr>
        <w:jc w:val="left"/>
      </w:pPr>
    </w:p>
    <w:p w14:paraId="1AE8DBA0" w14:textId="14EA98C8" w:rsidR="004769F7" w:rsidRPr="0088502A" w:rsidRDefault="003415AF" w:rsidP="00783AAC">
      <w:pPr>
        <w:keepLines/>
      </w:pPr>
      <w:r>
        <w:fldChar w:fldCharType="begin"/>
      </w:r>
      <w:r>
        <w:instrText xml:space="preserve"> LISTNUM  LegalDefault \l 1 </w:instrText>
      </w:r>
      <w:r>
        <w:fldChar w:fldCharType="end"/>
      </w:r>
      <w:r>
        <w:tab/>
        <w:t>En su quincuagésima octava sesión</w:t>
      </w:r>
      <w:r w:rsidR="004E5F31" w:rsidRPr="004E5F31">
        <w:rPr>
          <w:vertAlign w:val="superscript"/>
        </w:rPr>
        <w:fldChar w:fldCharType="begin"/>
      </w:r>
      <w:r w:rsidR="004E5F31" w:rsidRPr="004E5F31">
        <w:rPr>
          <w:vertAlign w:val="superscript"/>
        </w:rPr>
        <w:instrText xml:space="preserve"> NOTEREF _Ref145614465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6</w:t>
      </w:r>
      <w:r w:rsidR="004E5F31" w:rsidRPr="004E5F31">
        <w:rPr>
          <w:vertAlign w:val="superscript"/>
        </w:rPr>
        <w:fldChar w:fldCharType="end"/>
      </w:r>
      <w:r>
        <w:t>, el</w:t>
      </w:r>
      <w:r w:rsidR="006D0617">
        <w:t> </w:t>
      </w:r>
      <w:r>
        <w:t>TC examinó la propuesta del</w:t>
      </w:r>
      <w:r w:rsidR="006D0617">
        <w:t> </w:t>
      </w:r>
      <w:r>
        <w:t>TWF de modificar el documento</w:t>
      </w:r>
      <w:r w:rsidR="006D0617">
        <w:t> </w:t>
      </w:r>
      <w:r>
        <w:t>TGP/9 “Examen de la distinción” con el objeto de aclarar si es posible incluir en los ensayos un menor número de plantas de las variedades notoriamente conocidas que de la variedad candidata, en determinadas circunstancias, según se expone en el párrafo</w:t>
      </w:r>
      <w:r w:rsidR="006D0617">
        <w:t> </w:t>
      </w:r>
      <w:r>
        <w:t>60 del documento</w:t>
      </w:r>
      <w:r w:rsidR="006D0617">
        <w:t> </w:t>
      </w:r>
      <w:r>
        <w:t xml:space="preserve">TC/58/5 </w:t>
      </w:r>
      <w:r w:rsidR="00DE7FE6">
        <w:t>“</w:t>
      </w:r>
      <w:r w:rsidR="0052587B">
        <w:t>E</w:t>
      </w:r>
      <w:r w:rsidR="0052587B" w:rsidRPr="0052587B">
        <w:t>laboración de las orientaciones y el material de información</w:t>
      </w:r>
      <w:r w:rsidR="0052587B">
        <w:t>:</w:t>
      </w:r>
      <w:r w:rsidR="0052587B" w:rsidRPr="0052587B">
        <w:t xml:space="preserve"> posibles futuras revisiones</w:t>
      </w:r>
      <w:r w:rsidR="00DE7FE6">
        <w:t>”</w:t>
      </w:r>
      <w:r w:rsidR="0052587B" w:rsidRPr="0052587B">
        <w:t xml:space="preserve"> </w:t>
      </w:r>
      <w:r>
        <w:t>(véanse los párrafos</w:t>
      </w:r>
      <w:r w:rsidR="006D0617">
        <w:t> </w:t>
      </w:r>
      <w:r>
        <w:t>35 a</w:t>
      </w:r>
      <w:r w:rsidR="006D0617">
        <w:t> </w:t>
      </w:r>
      <w:r>
        <w:t>37 del documento</w:t>
      </w:r>
      <w:r w:rsidR="006D0617">
        <w:t> </w:t>
      </w:r>
      <w:r>
        <w:t xml:space="preserve">TC/58/31 “Informe”).   </w:t>
      </w:r>
    </w:p>
    <w:p w14:paraId="723E443E" w14:textId="77777777" w:rsidR="004769F7" w:rsidRPr="0088502A" w:rsidRDefault="004769F7" w:rsidP="004769F7"/>
    <w:p w14:paraId="59CCE46D" w14:textId="3A833493" w:rsidR="004769F7" w:rsidRPr="0088502A" w:rsidRDefault="003415AF" w:rsidP="004769F7">
      <w:r>
        <w:fldChar w:fldCharType="begin"/>
      </w:r>
      <w:r>
        <w:instrText xml:space="preserve"> LISTNUM  LegalDefault \l 1 </w:instrText>
      </w:r>
      <w:r>
        <w:fldChar w:fldCharType="end"/>
      </w:r>
      <w:r>
        <w:tab/>
        <w:t>El</w:t>
      </w:r>
      <w:r w:rsidR="006D0617">
        <w:t> </w:t>
      </w:r>
      <w:r>
        <w:t>TC tomó nota de las dificultades de orden práctico, de las que informó el</w:t>
      </w:r>
      <w:r w:rsidR="006D0617">
        <w:t> </w:t>
      </w:r>
      <w:r>
        <w:t xml:space="preserve">TWF, que conlleva organizar ensayos de cultivo con el mismo número de plantas de variedades ejemplo y de la variedad candidata.  </w:t>
      </w:r>
    </w:p>
    <w:p w14:paraId="246404A3" w14:textId="77777777" w:rsidR="004769F7" w:rsidRPr="0088502A" w:rsidRDefault="004769F7" w:rsidP="004769F7"/>
    <w:p w14:paraId="2C12AF4B" w14:textId="3CACA904" w:rsidR="004769F7" w:rsidRPr="0088502A" w:rsidRDefault="003415AF" w:rsidP="004769F7">
      <w:r>
        <w:fldChar w:fldCharType="begin"/>
      </w:r>
      <w:r>
        <w:instrText xml:space="preserve"> LISTNUM  LegalDefault \l 1 </w:instrText>
      </w:r>
      <w:r>
        <w:fldChar w:fldCharType="end"/>
      </w:r>
      <w:r>
        <w:tab/>
        <w:t>El</w:t>
      </w:r>
      <w:r w:rsidR="006D0617">
        <w:t> </w:t>
      </w:r>
      <w:r>
        <w:t>TC convino en invitar a los redactores del Brasil y de la Unión</w:t>
      </w:r>
      <w:r w:rsidR="006D0617">
        <w:t> </w:t>
      </w:r>
      <w:r>
        <w:t>Europea a que desarrollen la propuesta teniendo en cuenta que ha de mantener la coherencia con los otros párrafos de la sección del documento</w:t>
      </w:r>
      <w:r w:rsidR="006D0617">
        <w:t> </w:t>
      </w:r>
      <w:r>
        <w:t>TGP/9, correspondientes a la precisión de los registros requerida. El</w:t>
      </w:r>
      <w:r w:rsidR="006D0617">
        <w:t> </w:t>
      </w:r>
      <w:r>
        <w:t>TC convino en que la propuesta revisada deberá presentarse a los</w:t>
      </w:r>
      <w:r w:rsidR="006D0617">
        <w:t> </w:t>
      </w:r>
      <w:r>
        <w:t>TWP en sus sesiones de</w:t>
      </w:r>
      <w:r w:rsidR="006D0617">
        <w:t> </w:t>
      </w:r>
      <w:r>
        <w:t>2023.</w:t>
      </w:r>
    </w:p>
    <w:p w14:paraId="63DB8E0F" w14:textId="77777777" w:rsidR="004769F7" w:rsidRPr="00CC1204" w:rsidRDefault="004769F7" w:rsidP="004769F7"/>
    <w:p w14:paraId="78E5D007" w14:textId="21840A8B" w:rsidR="004769F7" w:rsidRPr="0088502A" w:rsidRDefault="003415AF" w:rsidP="004769F7">
      <w:r>
        <w:fldChar w:fldCharType="begin"/>
      </w:r>
      <w:r>
        <w:instrText xml:space="preserve"> LISTNUM  LegalDefault \l 1 </w:instrText>
      </w:r>
      <w:r>
        <w:fldChar w:fldCharType="end"/>
      </w:r>
      <w:r>
        <w:tab/>
        <w:t>Los expertos del Brasil y de la Unión</w:t>
      </w:r>
      <w:r w:rsidR="006D0617">
        <w:t> </w:t>
      </w:r>
      <w:r>
        <w:t>Europea informaron a la</w:t>
      </w:r>
      <w:r w:rsidR="006D0617">
        <w:t> </w:t>
      </w:r>
      <w:r>
        <w:t>Oficina de la</w:t>
      </w:r>
      <w:r w:rsidR="006D0617">
        <w:t> </w:t>
      </w:r>
      <w:r>
        <w:t>Unión de que se presentará a los</w:t>
      </w:r>
      <w:r w:rsidR="006D0617">
        <w:t> </w:t>
      </w:r>
      <w:r>
        <w:t>TWP un documento sobre esta cuestión en sus sesiones de</w:t>
      </w:r>
      <w:r w:rsidR="006D0617">
        <w:t> </w:t>
      </w:r>
      <w:r>
        <w:t xml:space="preserve">2024. </w:t>
      </w:r>
    </w:p>
    <w:p w14:paraId="236AA30B" w14:textId="77777777" w:rsidR="004769F7" w:rsidRPr="0088502A" w:rsidRDefault="004769F7" w:rsidP="004769F7">
      <w:pPr>
        <w:rPr>
          <w:u w:val="single"/>
        </w:rPr>
      </w:pPr>
    </w:p>
    <w:p w14:paraId="4CFD9245" w14:textId="77777777" w:rsidR="004769F7" w:rsidRPr="0088502A" w:rsidRDefault="004769F7" w:rsidP="00394D60"/>
    <w:p w14:paraId="36E14087" w14:textId="77777777" w:rsidR="00A62445" w:rsidRPr="0088502A" w:rsidRDefault="00A62445" w:rsidP="00A62445">
      <w:pPr>
        <w:ind w:left="567" w:right="567"/>
        <w:rPr>
          <w:rFonts w:cs="Arial"/>
          <w:sz w:val="18"/>
        </w:rPr>
      </w:pPr>
    </w:p>
    <w:p w14:paraId="7A753E40" w14:textId="5A7D43F2" w:rsidR="00A62445" w:rsidRPr="0088502A" w:rsidRDefault="00A62445" w:rsidP="00A62445">
      <w:pPr>
        <w:jc w:val="right"/>
      </w:pPr>
      <w:r>
        <w:t xml:space="preserve">[Sigue el </w:t>
      </w:r>
      <w:r w:rsidR="006900F0">
        <w:t>Anexo IV</w:t>
      </w:r>
      <w:r>
        <w:t>]</w:t>
      </w:r>
    </w:p>
    <w:p w14:paraId="7EE21AD4" w14:textId="77777777" w:rsidR="00A62445" w:rsidRPr="0088502A" w:rsidRDefault="00A62445" w:rsidP="00A62445">
      <w:pPr>
        <w:ind w:left="567" w:right="567"/>
        <w:rPr>
          <w:rFonts w:cs="Arial"/>
          <w:sz w:val="18"/>
        </w:rPr>
      </w:pPr>
    </w:p>
    <w:p w14:paraId="432C2157" w14:textId="77777777" w:rsidR="00A62445" w:rsidRPr="0088502A" w:rsidRDefault="00A62445" w:rsidP="009B440E">
      <w:pPr>
        <w:jc w:val="left"/>
        <w:sectPr w:rsidR="00A62445" w:rsidRPr="0088502A" w:rsidSect="006A35F0">
          <w:headerReference w:type="default" r:id="rId26"/>
          <w:headerReference w:type="first" r:id="rId27"/>
          <w:pgSz w:w="11907" w:h="16840" w:code="9"/>
          <w:pgMar w:top="510" w:right="1134" w:bottom="993" w:left="1134" w:header="510" w:footer="680" w:gutter="0"/>
          <w:pgNumType w:start="1"/>
          <w:cols w:space="720"/>
          <w:titlePg/>
        </w:sectPr>
      </w:pPr>
    </w:p>
    <w:p w14:paraId="3ACA57A4" w14:textId="5CC22B0D" w:rsidR="008F3131" w:rsidRPr="0088502A" w:rsidRDefault="00B2758C" w:rsidP="00B2758C">
      <w:pPr>
        <w:jc w:val="center"/>
      </w:pPr>
      <w:r>
        <w:lastRenderedPageBreak/>
        <w:t>DOCUMENTO TGP/12: ORIENTACIÓN SOBRE CIERTOS CARACTERES FISIOLÓGICOS (REVISIÓN)</w:t>
      </w:r>
    </w:p>
    <w:p w14:paraId="787B93DF" w14:textId="77777777" w:rsidR="009236D6" w:rsidRPr="0088502A" w:rsidRDefault="009236D6" w:rsidP="00B2758C">
      <w:pPr>
        <w:ind w:right="-284"/>
        <w:jc w:val="left"/>
      </w:pPr>
    </w:p>
    <w:p w14:paraId="37E4BA8A" w14:textId="77777777" w:rsidR="008F3131" w:rsidRPr="0088502A" w:rsidRDefault="008F3131" w:rsidP="0037709B">
      <w:pPr>
        <w:rPr>
          <w:u w:val="single"/>
        </w:rPr>
      </w:pPr>
      <w:r>
        <w:rPr>
          <w:u w:val="single"/>
        </w:rPr>
        <w:t>Ejemplo de carácter de resistencia a enfermedades: la palabra “altamente” solo para un nivel de expresión</w:t>
      </w:r>
    </w:p>
    <w:p w14:paraId="5CD50298" w14:textId="77777777" w:rsidR="00A62445" w:rsidRPr="0088502A" w:rsidRDefault="00A62445" w:rsidP="009B440E">
      <w:pPr>
        <w:jc w:val="left"/>
      </w:pPr>
    </w:p>
    <w:p w14:paraId="72D15F7A" w14:textId="77777777" w:rsidR="0037709B" w:rsidRPr="0088502A" w:rsidRDefault="0037709B" w:rsidP="00566666">
      <w:pPr>
        <w:jc w:val="left"/>
        <w:rPr>
          <w:i/>
        </w:rPr>
      </w:pPr>
      <w:r>
        <w:rPr>
          <w:i/>
        </w:rPr>
        <w:t xml:space="preserve">Antecedentes </w:t>
      </w:r>
    </w:p>
    <w:p w14:paraId="6548B87D" w14:textId="77777777" w:rsidR="0037709B" w:rsidRPr="0088502A" w:rsidRDefault="0037709B" w:rsidP="009B440E">
      <w:pPr>
        <w:jc w:val="left"/>
      </w:pPr>
    </w:p>
    <w:p w14:paraId="31DA8647" w14:textId="573B8A3C" w:rsidR="0037709B" w:rsidRPr="0088502A" w:rsidRDefault="00282450" w:rsidP="0037709B">
      <w:pPr>
        <w:keepNext/>
        <w:keepLines/>
        <w:rPr>
          <w:snapToGrid w:val="0"/>
        </w:rPr>
      </w:pPr>
      <w:r>
        <w:fldChar w:fldCharType="begin"/>
      </w:r>
      <w:r>
        <w:instrText xml:space="preserve"> LISTNUM  LegalDefault \l 1 \s 1 </w:instrText>
      </w:r>
      <w:r>
        <w:fldChar w:fldCharType="end"/>
      </w:r>
      <w:r>
        <w:tab/>
        <w:t>En su quincuagésima séptima sesión</w:t>
      </w:r>
      <w:r w:rsidR="004E5F31">
        <w:rPr>
          <w:rStyle w:val="FootnoteReference"/>
        </w:rPr>
        <w:footnoteReference w:id="17"/>
      </w:r>
      <w:r>
        <w:t>, el</w:t>
      </w:r>
      <w:r w:rsidR="006D0617">
        <w:t> </w:t>
      </w:r>
      <w:r>
        <w:t>TC examinó el ejemplo de carácter de resistencia a una enfermedad de la sección</w:t>
      </w:r>
      <w:r w:rsidR="006D0617">
        <w:t> </w:t>
      </w:r>
      <w:r>
        <w:t>2.3.2 del documento</w:t>
      </w:r>
      <w:r w:rsidR="006D0617">
        <w:t> </w:t>
      </w:r>
      <w:r>
        <w:t xml:space="preserve">TGP/12 y </w:t>
      </w:r>
      <w:r>
        <w:rPr>
          <w:snapToGrid w:val="0"/>
        </w:rPr>
        <w:t>tomó nota de que la palabra "altamente” solo se utiliza para el nivel de expresión resistente. El</w:t>
      </w:r>
      <w:r w:rsidR="006D0617">
        <w:rPr>
          <w:snapToGrid w:val="0"/>
        </w:rPr>
        <w:t> </w:t>
      </w:r>
      <w:r>
        <w:rPr>
          <w:snapToGrid w:val="0"/>
        </w:rPr>
        <w:t>TC convino en invitar al</w:t>
      </w:r>
      <w:r w:rsidR="006D0617">
        <w:rPr>
          <w:snapToGrid w:val="0"/>
        </w:rPr>
        <w:t> </w:t>
      </w:r>
      <w:r>
        <w:rPr>
          <w:snapToGrid w:val="0"/>
        </w:rPr>
        <w:t>TWV a examinar más detenidamente el ejemplo (véanse los párrafos</w:t>
      </w:r>
      <w:r w:rsidR="006D0617">
        <w:rPr>
          <w:snapToGrid w:val="0"/>
        </w:rPr>
        <w:t> </w:t>
      </w:r>
      <w:r>
        <w:rPr>
          <w:snapToGrid w:val="0"/>
        </w:rPr>
        <w:t>44 y</w:t>
      </w:r>
      <w:r w:rsidR="006D0617">
        <w:rPr>
          <w:snapToGrid w:val="0"/>
        </w:rPr>
        <w:t> </w:t>
      </w:r>
      <w:r>
        <w:rPr>
          <w:snapToGrid w:val="0"/>
        </w:rPr>
        <w:t>45 del documento</w:t>
      </w:r>
      <w:r w:rsidR="006D0617">
        <w:rPr>
          <w:snapToGrid w:val="0"/>
        </w:rPr>
        <w:t> </w:t>
      </w:r>
      <w:r>
        <w:rPr>
          <w:snapToGrid w:val="0"/>
        </w:rPr>
        <w:t>TC/57/25 “Informe”):</w:t>
      </w:r>
    </w:p>
    <w:p w14:paraId="275E16BB" w14:textId="77777777" w:rsidR="0037709B" w:rsidRPr="0088502A" w:rsidRDefault="0037709B" w:rsidP="00A50B03">
      <w:pPr>
        <w:keepNext/>
        <w:keepLines/>
        <w:rPr>
          <w:snapToGrid w:val="0"/>
        </w:rPr>
      </w:pPr>
    </w:p>
    <w:p w14:paraId="5F9ABB9B" w14:textId="56F70854" w:rsidR="0037709B" w:rsidRPr="0088502A" w:rsidRDefault="0037709B" w:rsidP="0037709B">
      <w:pPr>
        <w:keepNext/>
        <w:keepLines/>
        <w:ind w:left="567"/>
        <w:jc w:val="left"/>
      </w:pPr>
      <w:r>
        <w:rPr>
          <w:u w:val="single"/>
        </w:rPr>
        <w:t>“Ejemplo con escala de ‘1 a 3’</w:t>
      </w:r>
      <w:r>
        <w:t>:</w:t>
      </w:r>
      <w:r>
        <w:tab/>
        <w:t xml:space="preserve">Resistencia a </w:t>
      </w:r>
      <w:r>
        <w:rPr>
          <w:i/>
          <w:iCs/>
        </w:rPr>
        <w:t>Sphaerotheca fuliginea</w:t>
      </w:r>
      <w:r>
        <w:t xml:space="preserve"> (</w:t>
      </w:r>
      <w:r>
        <w:rPr>
          <w:i/>
          <w:iCs/>
        </w:rPr>
        <w:t>Podosphaera xanthii</w:t>
      </w:r>
      <w:r>
        <w:t>) ‘(oidio) en el melón (directrices de examen de la</w:t>
      </w:r>
      <w:r w:rsidR="006D0617">
        <w:t> </w:t>
      </w:r>
      <w:r>
        <w:t>UPOV: TG/104/5)</w:t>
      </w:r>
    </w:p>
    <w:p w14:paraId="4E1C0193" w14:textId="77777777" w:rsidR="0037709B" w:rsidRPr="0088502A" w:rsidRDefault="0037709B" w:rsidP="0037709B">
      <w:pPr>
        <w:keepNext/>
        <w:keepLines/>
        <w:rPr>
          <w:sz w:val="18"/>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84"/>
        <w:gridCol w:w="992"/>
      </w:tblGrid>
      <w:tr w:rsidR="0037709B" w:rsidRPr="0088502A" w14:paraId="62E7F591" w14:textId="77777777" w:rsidTr="006D0617">
        <w:trPr>
          <w:cantSplit/>
          <w:tblHeader/>
          <w:jc w:val="center"/>
        </w:trPr>
        <w:tc>
          <w:tcPr>
            <w:tcW w:w="578" w:type="dxa"/>
            <w:tcBorders>
              <w:top w:val="single" w:sz="6" w:space="0" w:color="auto"/>
              <w:left w:val="nil"/>
              <w:bottom w:val="single" w:sz="4" w:space="0" w:color="auto"/>
              <w:right w:val="nil"/>
            </w:tcBorders>
            <w:vAlign w:val="center"/>
          </w:tcPr>
          <w:p w14:paraId="23753D32" w14:textId="77777777" w:rsidR="0037709B" w:rsidRPr="0088502A" w:rsidRDefault="0037709B" w:rsidP="00F561EF">
            <w:pPr>
              <w:keepNext/>
              <w:keepLines/>
              <w:spacing w:before="40" w:after="40"/>
              <w:jc w:val="left"/>
              <w:rPr>
                <w:sz w:val="16"/>
              </w:rPr>
            </w:pPr>
          </w:p>
        </w:tc>
        <w:tc>
          <w:tcPr>
            <w:tcW w:w="425" w:type="dxa"/>
            <w:tcBorders>
              <w:top w:val="single" w:sz="6" w:space="0" w:color="auto"/>
              <w:left w:val="nil"/>
              <w:bottom w:val="single" w:sz="4" w:space="0" w:color="auto"/>
              <w:right w:val="nil"/>
            </w:tcBorders>
            <w:vAlign w:val="center"/>
          </w:tcPr>
          <w:p w14:paraId="63B96401" w14:textId="77777777" w:rsidR="0037709B" w:rsidRPr="0088502A" w:rsidRDefault="0037709B" w:rsidP="00F561EF">
            <w:pPr>
              <w:keepNext/>
              <w:keepLines/>
              <w:spacing w:before="40" w:after="40"/>
              <w:jc w:val="left"/>
              <w:rPr>
                <w:sz w:val="16"/>
              </w:rPr>
            </w:pPr>
          </w:p>
        </w:tc>
        <w:tc>
          <w:tcPr>
            <w:tcW w:w="1733" w:type="dxa"/>
            <w:tcBorders>
              <w:top w:val="single" w:sz="6" w:space="0" w:color="auto"/>
              <w:left w:val="nil"/>
              <w:bottom w:val="single" w:sz="4" w:space="0" w:color="auto"/>
              <w:right w:val="nil"/>
            </w:tcBorders>
            <w:vAlign w:val="center"/>
          </w:tcPr>
          <w:p w14:paraId="5A3E6715" w14:textId="77777777" w:rsidR="0037709B" w:rsidRPr="0088502A" w:rsidRDefault="0037709B" w:rsidP="00F561EF">
            <w:pPr>
              <w:keepNext/>
              <w:keepLines/>
              <w:spacing w:before="40" w:after="40"/>
              <w:jc w:val="left"/>
              <w:rPr>
                <w:sz w:val="16"/>
              </w:rPr>
            </w:pPr>
            <w:r>
              <w:rPr>
                <w:sz w:val="16"/>
              </w:rPr>
              <w:t>Español</w:t>
            </w:r>
          </w:p>
        </w:tc>
        <w:tc>
          <w:tcPr>
            <w:tcW w:w="1734" w:type="dxa"/>
            <w:tcBorders>
              <w:top w:val="single" w:sz="6" w:space="0" w:color="auto"/>
              <w:left w:val="nil"/>
              <w:bottom w:val="single" w:sz="4" w:space="0" w:color="auto"/>
              <w:right w:val="nil"/>
            </w:tcBorders>
            <w:vAlign w:val="center"/>
          </w:tcPr>
          <w:p w14:paraId="27057FF9" w14:textId="77777777" w:rsidR="0037709B" w:rsidRPr="0088502A" w:rsidRDefault="0037709B" w:rsidP="00F561EF">
            <w:pPr>
              <w:keepNext/>
              <w:keepLines/>
              <w:spacing w:before="40" w:after="40"/>
              <w:jc w:val="left"/>
              <w:rPr>
                <w:sz w:val="16"/>
              </w:rPr>
            </w:pPr>
          </w:p>
        </w:tc>
        <w:tc>
          <w:tcPr>
            <w:tcW w:w="1734" w:type="dxa"/>
            <w:tcBorders>
              <w:top w:val="single" w:sz="6" w:space="0" w:color="auto"/>
              <w:left w:val="nil"/>
              <w:bottom w:val="single" w:sz="4" w:space="0" w:color="auto"/>
              <w:right w:val="nil"/>
            </w:tcBorders>
            <w:vAlign w:val="center"/>
          </w:tcPr>
          <w:p w14:paraId="190B4A27" w14:textId="77777777" w:rsidR="0037709B" w:rsidRPr="0088502A" w:rsidRDefault="0037709B" w:rsidP="00F561EF">
            <w:pPr>
              <w:keepNext/>
              <w:keepLines/>
              <w:spacing w:before="40" w:after="40"/>
              <w:jc w:val="left"/>
              <w:rPr>
                <w:sz w:val="16"/>
              </w:rPr>
            </w:pPr>
          </w:p>
        </w:tc>
        <w:tc>
          <w:tcPr>
            <w:tcW w:w="884" w:type="dxa"/>
            <w:tcBorders>
              <w:top w:val="single" w:sz="6" w:space="0" w:color="auto"/>
              <w:left w:val="nil"/>
              <w:bottom w:val="single" w:sz="4" w:space="0" w:color="auto"/>
              <w:right w:val="nil"/>
            </w:tcBorders>
            <w:vAlign w:val="center"/>
          </w:tcPr>
          <w:p w14:paraId="612873B6" w14:textId="77777777" w:rsidR="0037709B" w:rsidRPr="0088502A" w:rsidRDefault="0037709B" w:rsidP="00F561EF">
            <w:pPr>
              <w:keepNext/>
              <w:keepLines/>
              <w:spacing w:before="40" w:after="40"/>
              <w:jc w:val="left"/>
              <w:rPr>
                <w:sz w:val="16"/>
              </w:rPr>
            </w:pPr>
            <w:r>
              <w:rPr>
                <w:sz w:val="16"/>
              </w:rPr>
              <w:t>Variedades de ejemplo</w:t>
            </w:r>
          </w:p>
        </w:tc>
        <w:tc>
          <w:tcPr>
            <w:tcW w:w="992" w:type="dxa"/>
            <w:tcBorders>
              <w:top w:val="single" w:sz="6" w:space="0" w:color="auto"/>
              <w:left w:val="nil"/>
              <w:bottom w:val="single" w:sz="4" w:space="0" w:color="auto"/>
              <w:right w:val="nil"/>
            </w:tcBorders>
            <w:vAlign w:val="center"/>
          </w:tcPr>
          <w:p w14:paraId="67EBFA23" w14:textId="77777777" w:rsidR="0037709B" w:rsidRPr="0088502A" w:rsidRDefault="0037709B" w:rsidP="00F561EF">
            <w:pPr>
              <w:keepNext/>
              <w:keepLines/>
              <w:spacing w:before="40" w:after="40"/>
              <w:jc w:val="center"/>
              <w:rPr>
                <w:sz w:val="16"/>
              </w:rPr>
            </w:pPr>
            <w:r>
              <w:rPr>
                <w:sz w:val="16"/>
              </w:rPr>
              <w:t>Nota</w:t>
            </w:r>
          </w:p>
        </w:tc>
      </w:tr>
      <w:tr w:rsidR="0037709B" w:rsidRPr="0088502A" w14:paraId="0A830C17" w14:textId="77777777" w:rsidTr="006D06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77C4A83E" w14:textId="77777777" w:rsidR="0037709B" w:rsidRPr="0088502A" w:rsidRDefault="0037709B" w:rsidP="00F561EF">
            <w:pPr>
              <w:keepNext/>
              <w:keepLines/>
              <w:spacing w:before="40" w:after="40"/>
              <w:jc w:val="left"/>
              <w:rPr>
                <w:b/>
                <w:bCs/>
                <w:sz w:val="16"/>
              </w:rPr>
            </w:pPr>
            <w:r>
              <w:rPr>
                <w:b/>
                <w:bCs/>
                <w:sz w:val="16"/>
              </w:rPr>
              <w:t>70.</w:t>
            </w:r>
            <w:r>
              <w:rPr>
                <w:b/>
                <w:bCs/>
                <w:sz w:val="16"/>
              </w:rPr>
              <w:br/>
            </w:r>
            <w:r>
              <w:rPr>
                <w:b/>
                <w:bCs/>
                <w:sz w:val="16"/>
              </w:rPr>
              <w:br/>
              <w:t>(+)</w:t>
            </w:r>
          </w:p>
        </w:tc>
        <w:tc>
          <w:tcPr>
            <w:tcW w:w="425" w:type="dxa"/>
            <w:tcBorders>
              <w:top w:val="single" w:sz="4" w:space="0" w:color="auto"/>
              <w:bottom w:val="nil"/>
            </w:tcBorders>
          </w:tcPr>
          <w:p w14:paraId="4E775A4B" w14:textId="77777777" w:rsidR="0037709B" w:rsidRPr="0088502A" w:rsidRDefault="0037709B" w:rsidP="00F561EF">
            <w:pPr>
              <w:keepNext/>
              <w:keepLines/>
              <w:spacing w:before="40" w:after="4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bottom w:val="nil"/>
            </w:tcBorders>
          </w:tcPr>
          <w:p w14:paraId="53CFCE2E" w14:textId="77777777" w:rsidR="0037709B" w:rsidRPr="0088502A" w:rsidRDefault="0037709B" w:rsidP="00F561EF">
            <w:pPr>
              <w:keepNext/>
              <w:keepLines/>
              <w:spacing w:before="40" w:after="40"/>
              <w:jc w:val="left"/>
              <w:rPr>
                <w:b/>
                <w:bCs/>
                <w:sz w:val="16"/>
              </w:rPr>
            </w:pPr>
            <w:r>
              <w:rPr>
                <w:b/>
                <w:bCs/>
                <w:sz w:val="16"/>
              </w:rPr>
              <w:t>Resistencia a Sphaerotheca fuliginea (</w:t>
            </w:r>
            <w:r>
              <w:rPr>
                <w:b/>
                <w:bCs/>
                <w:snapToGrid w:val="0"/>
                <w:sz w:val="16"/>
              </w:rPr>
              <w:t>Podosphaera xanthii)</w:t>
            </w:r>
            <w:r>
              <w:rPr>
                <w:b/>
                <w:bCs/>
                <w:sz w:val="16"/>
              </w:rPr>
              <w:t xml:space="preserve"> </w:t>
            </w:r>
            <w:r>
              <w:rPr>
                <w:b/>
                <w:bCs/>
                <w:sz w:val="16"/>
              </w:rPr>
              <w:br/>
              <w:t>(oidio)</w:t>
            </w:r>
          </w:p>
        </w:tc>
        <w:tc>
          <w:tcPr>
            <w:tcW w:w="1734" w:type="dxa"/>
            <w:tcBorders>
              <w:top w:val="single" w:sz="4" w:space="0" w:color="auto"/>
              <w:bottom w:val="nil"/>
            </w:tcBorders>
          </w:tcPr>
          <w:p w14:paraId="662599DE" w14:textId="77777777" w:rsidR="0037709B" w:rsidRPr="0088502A" w:rsidRDefault="0037709B" w:rsidP="00F561EF">
            <w:pPr>
              <w:keepNext/>
              <w:keepLines/>
              <w:spacing w:before="40" w:after="40"/>
              <w:jc w:val="left"/>
              <w:rPr>
                <w:b/>
                <w:bCs/>
                <w:sz w:val="16"/>
              </w:rPr>
            </w:pPr>
          </w:p>
        </w:tc>
        <w:tc>
          <w:tcPr>
            <w:tcW w:w="1734" w:type="dxa"/>
            <w:tcBorders>
              <w:top w:val="single" w:sz="4" w:space="0" w:color="auto"/>
              <w:bottom w:val="nil"/>
            </w:tcBorders>
          </w:tcPr>
          <w:p w14:paraId="4B8CCDB6" w14:textId="77777777" w:rsidR="0037709B" w:rsidRPr="0088502A" w:rsidRDefault="0037709B" w:rsidP="00F561EF">
            <w:pPr>
              <w:keepNext/>
              <w:keepLines/>
              <w:spacing w:before="40" w:after="40"/>
              <w:jc w:val="left"/>
              <w:rPr>
                <w:b/>
                <w:bCs/>
                <w:sz w:val="16"/>
              </w:rPr>
            </w:pPr>
          </w:p>
        </w:tc>
        <w:tc>
          <w:tcPr>
            <w:tcW w:w="884" w:type="dxa"/>
            <w:tcBorders>
              <w:top w:val="single" w:sz="4" w:space="0" w:color="auto"/>
              <w:bottom w:val="nil"/>
            </w:tcBorders>
          </w:tcPr>
          <w:p w14:paraId="73BCA6D1" w14:textId="77777777" w:rsidR="0037709B" w:rsidRPr="0088502A" w:rsidRDefault="0037709B" w:rsidP="00F561EF">
            <w:pPr>
              <w:keepNext/>
              <w:keepLines/>
              <w:spacing w:before="40" w:after="40"/>
              <w:jc w:val="left"/>
              <w:rPr>
                <w:b/>
                <w:bCs/>
                <w:sz w:val="16"/>
              </w:rPr>
            </w:pPr>
          </w:p>
        </w:tc>
        <w:tc>
          <w:tcPr>
            <w:tcW w:w="992" w:type="dxa"/>
            <w:tcBorders>
              <w:top w:val="single" w:sz="4" w:space="0" w:color="auto"/>
              <w:bottom w:val="nil"/>
              <w:right w:val="nil"/>
            </w:tcBorders>
          </w:tcPr>
          <w:p w14:paraId="275888C1" w14:textId="77777777" w:rsidR="0037709B" w:rsidRPr="0088502A" w:rsidRDefault="0037709B" w:rsidP="00F561EF">
            <w:pPr>
              <w:keepNext/>
              <w:keepLines/>
              <w:spacing w:before="40" w:after="40"/>
              <w:jc w:val="left"/>
              <w:rPr>
                <w:b/>
                <w:bCs/>
                <w:sz w:val="16"/>
              </w:rPr>
            </w:pPr>
          </w:p>
        </w:tc>
      </w:tr>
      <w:tr w:rsidR="0037709B" w:rsidRPr="0088502A" w14:paraId="3B1ECE42" w14:textId="77777777" w:rsidTr="006D06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07375C4" w14:textId="77777777" w:rsidR="0037709B" w:rsidRPr="0088502A" w:rsidRDefault="0037709B" w:rsidP="00F561EF">
            <w:pPr>
              <w:keepNext/>
              <w:keepLines/>
              <w:spacing w:before="40" w:after="40"/>
              <w:jc w:val="left"/>
              <w:rPr>
                <w:b/>
                <w:sz w:val="16"/>
              </w:rPr>
            </w:pPr>
            <w:r>
              <w:rPr>
                <w:b/>
                <w:sz w:val="16"/>
              </w:rPr>
              <w:t>70.1</w:t>
            </w:r>
          </w:p>
        </w:tc>
        <w:tc>
          <w:tcPr>
            <w:tcW w:w="425" w:type="dxa"/>
            <w:tcBorders>
              <w:top w:val="nil"/>
              <w:bottom w:val="nil"/>
            </w:tcBorders>
          </w:tcPr>
          <w:p w14:paraId="4879CEDF" w14:textId="77777777" w:rsidR="0037709B" w:rsidRPr="0088502A" w:rsidRDefault="0037709B" w:rsidP="00F561EF">
            <w:pPr>
              <w:keepNext/>
              <w:keepLines/>
              <w:spacing w:before="40" w:after="40"/>
              <w:jc w:val="left"/>
              <w:rPr>
                <w:b/>
                <w:sz w:val="16"/>
              </w:rPr>
            </w:pPr>
          </w:p>
        </w:tc>
        <w:tc>
          <w:tcPr>
            <w:tcW w:w="1733" w:type="dxa"/>
            <w:tcBorders>
              <w:top w:val="nil"/>
              <w:bottom w:val="nil"/>
            </w:tcBorders>
          </w:tcPr>
          <w:p w14:paraId="040225B8" w14:textId="77777777" w:rsidR="0037709B" w:rsidRPr="0088502A" w:rsidRDefault="0037709B" w:rsidP="00F561EF">
            <w:pPr>
              <w:keepNext/>
              <w:keepLines/>
              <w:spacing w:before="40" w:after="40"/>
              <w:jc w:val="left"/>
              <w:rPr>
                <w:b/>
                <w:sz w:val="16"/>
              </w:rPr>
            </w:pPr>
            <w:r>
              <w:rPr>
                <w:b/>
                <w:sz w:val="16"/>
              </w:rPr>
              <w:t>Raza 1</w:t>
            </w:r>
          </w:p>
        </w:tc>
        <w:tc>
          <w:tcPr>
            <w:tcW w:w="1734" w:type="dxa"/>
            <w:tcBorders>
              <w:top w:val="nil"/>
              <w:bottom w:val="nil"/>
            </w:tcBorders>
          </w:tcPr>
          <w:p w14:paraId="616DBC1D" w14:textId="77777777" w:rsidR="0037709B" w:rsidRPr="0088502A" w:rsidRDefault="0037709B" w:rsidP="00F561EF">
            <w:pPr>
              <w:keepNext/>
              <w:keepLines/>
              <w:spacing w:before="40" w:after="40"/>
              <w:jc w:val="left"/>
              <w:rPr>
                <w:b/>
                <w:sz w:val="16"/>
              </w:rPr>
            </w:pPr>
          </w:p>
        </w:tc>
        <w:tc>
          <w:tcPr>
            <w:tcW w:w="1734" w:type="dxa"/>
            <w:tcBorders>
              <w:top w:val="nil"/>
              <w:bottom w:val="nil"/>
            </w:tcBorders>
          </w:tcPr>
          <w:p w14:paraId="49D68E2F" w14:textId="77777777" w:rsidR="0037709B" w:rsidRPr="0088502A" w:rsidRDefault="0037709B" w:rsidP="00F561EF">
            <w:pPr>
              <w:keepNext/>
              <w:keepLines/>
              <w:spacing w:before="40" w:after="40"/>
              <w:jc w:val="left"/>
              <w:rPr>
                <w:b/>
                <w:sz w:val="16"/>
              </w:rPr>
            </w:pPr>
          </w:p>
        </w:tc>
        <w:tc>
          <w:tcPr>
            <w:tcW w:w="884" w:type="dxa"/>
            <w:tcBorders>
              <w:top w:val="nil"/>
              <w:bottom w:val="nil"/>
            </w:tcBorders>
          </w:tcPr>
          <w:p w14:paraId="47197F42" w14:textId="77777777" w:rsidR="0037709B" w:rsidRPr="0088502A" w:rsidRDefault="0037709B" w:rsidP="00F561EF">
            <w:pPr>
              <w:keepNext/>
              <w:keepLines/>
              <w:spacing w:before="40" w:after="40"/>
              <w:jc w:val="left"/>
              <w:rPr>
                <w:sz w:val="16"/>
              </w:rPr>
            </w:pPr>
          </w:p>
        </w:tc>
        <w:tc>
          <w:tcPr>
            <w:tcW w:w="992" w:type="dxa"/>
            <w:tcBorders>
              <w:top w:val="nil"/>
              <w:bottom w:val="nil"/>
              <w:right w:val="nil"/>
            </w:tcBorders>
          </w:tcPr>
          <w:p w14:paraId="3833ED2E" w14:textId="77777777" w:rsidR="0037709B" w:rsidRPr="0088502A" w:rsidRDefault="0037709B" w:rsidP="00F561EF">
            <w:pPr>
              <w:keepNext/>
              <w:keepLines/>
              <w:spacing w:before="40" w:after="40"/>
              <w:jc w:val="left"/>
              <w:rPr>
                <w:sz w:val="16"/>
              </w:rPr>
            </w:pPr>
          </w:p>
        </w:tc>
      </w:tr>
      <w:tr w:rsidR="0037709B" w:rsidRPr="0088502A" w14:paraId="5857DD0A" w14:textId="77777777" w:rsidTr="006D06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27DB9DEF" w14:textId="77777777" w:rsidR="0037709B" w:rsidRPr="0088502A" w:rsidRDefault="0037709B" w:rsidP="00F561EF">
            <w:pPr>
              <w:keepNext/>
              <w:keepLines/>
              <w:spacing w:before="40" w:after="40"/>
              <w:jc w:val="left"/>
              <w:rPr>
                <w:sz w:val="16"/>
              </w:rPr>
            </w:pPr>
            <w:r>
              <w:rPr>
                <w:sz w:val="16"/>
              </w:rPr>
              <w:t>QN</w:t>
            </w:r>
          </w:p>
        </w:tc>
        <w:tc>
          <w:tcPr>
            <w:tcW w:w="425" w:type="dxa"/>
            <w:tcBorders>
              <w:top w:val="nil"/>
              <w:bottom w:val="nil"/>
            </w:tcBorders>
          </w:tcPr>
          <w:p w14:paraId="2F469924" w14:textId="77777777" w:rsidR="0037709B" w:rsidRPr="0088502A" w:rsidRDefault="0037709B" w:rsidP="00F561EF">
            <w:pPr>
              <w:keepNext/>
              <w:keepLines/>
              <w:spacing w:before="40" w:after="40"/>
              <w:jc w:val="left"/>
              <w:rPr>
                <w:sz w:val="16"/>
              </w:rPr>
            </w:pPr>
          </w:p>
        </w:tc>
        <w:tc>
          <w:tcPr>
            <w:tcW w:w="1733" w:type="dxa"/>
            <w:tcBorders>
              <w:top w:val="nil"/>
              <w:bottom w:val="nil"/>
            </w:tcBorders>
          </w:tcPr>
          <w:p w14:paraId="426DC036" w14:textId="77777777" w:rsidR="0037709B" w:rsidRPr="0088502A" w:rsidRDefault="0037709B" w:rsidP="00F561EF">
            <w:pPr>
              <w:keepNext/>
              <w:keepLines/>
              <w:spacing w:before="40" w:after="40"/>
              <w:jc w:val="left"/>
              <w:rPr>
                <w:sz w:val="16"/>
              </w:rPr>
            </w:pPr>
            <w:r>
              <w:rPr>
                <w:sz w:val="16"/>
              </w:rPr>
              <w:t>susceptible</w:t>
            </w:r>
          </w:p>
        </w:tc>
        <w:tc>
          <w:tcPr>
            <w:tcW w:w="1734" w:type="dxa"/>
            <w:tcBorders>
              <w:top w:val="nil"/>
              <w:bottom w:val="nil"/>
            </w:tcBorders>
          </w:tcPr>
          <w:p w14:paraId="0773B20F" w14:textId="77777777" w:rsidR="0037709B" w:rsidRPr="0088502A" w:rsidRDefault="0037709B" w:rsidP="00F561EF">
            <w:pPr>
              <w:keepNext/>
              <w:keepLines/>
              <w:spacing w:before="40" w:after="40"/>
              <w:jc w:val="left"/>
              <w:rPr>
                <w:sz w:val="16"/>
              </w:rPr>
            </w:pPr>
          </w:p>
        </w:tc>
        <w:tc>
          <w:tcPr>
            <w:tcW w:w="1734" w:type="dxa"/>
            <w:tcBorders>
              <w:top w:val="nil"/>
              <w:bottom w:val="nil"/>
            </w:tcBorders>
          </w:tcPr>
          <w:p w14:paraId="7C82A623" w14:textId="77777777" w:rsidR="0037709B" w:rsidRPr="0088502A" w:rsidRDefault="0037709B" w:rsidP="00F561EF">
            <w:pPr>
              <w:keepNext/>
              <w:keepLines/>
              <w:spacing w:before="40" w:after="40"/>
              <w:jc w:val="left"/>
              <w:rPr>
                <w:sz w:val="16"/>
              </w:rPr>
            </w:pPr>
          </w:p>
        </w:tc>
        <w:tc>
          <w:tcPr>
            <w:tcW w:w="884" w:type="dxa"/>
            <w:tcBorders>
              <w:top w:val="nil"/>
              <w:bottom w:val="nil"/>
            </w:tcBorders>
          </w:tcPr>
          <w:p w14:paraId="3B2C91DD" w14:textId="77777777" w:rsidR="0037709B" w:rsidRPr="0088502A" w:rsidRDefault="0037709B" w:rsidP="00F561EF">
            <w:pPr>
              <w:keepNext/>
              <w:keepLines/>
              <w:spacing w:before="40" w:after="40"/>
              <w:jc w:val="left"/>
              <w:rPr>
                <w:sz w:val="16"/>
              </w:rPr>
            </w:pPr>
            <w:r>
              <w:rPr>
                <w:sz w:val="16"/>
              </w:rPr>
              <w:t>[…]</w:t>
            </w:r>
          </w:p>
        </w:tc>
        <w:tc>
          <w:tcPr>
            <w:tcW w:w="992" w:type="dxa"/>
            <w:tcBorders>
              <w:top w:val="nil"/>
              <w:bottom w:val="nil"/>
              <w:right w:val="nil"/>
            </w:tcBorders>
          </w:tcPr>
          <w:p w14:paraId="37E49C95" w14:textId="77777777" w:rsidR="0037709B" w:rsidRPr="0088502A" w:rsidRDefault="0037709B" w:rsidP="00F561EF">
            <w:pPr>
              <w:keepNext/>
              <w:keepLines/>
              <w:spacing w:before="40" w:after="40"/>
              <w:jc w:val="left"/>
              <w:rPr>
                <w:sz w:val="16"/>
              </w:rPr>
            </w:pPr>
            <w:r>
              <w:rPr>
                <w:sz w:val="16"/>
              </w:rPr>
              <w:t>1</w:t>
            </w:r>
          </w:p>
        </w:tc>
      </w:tr>
      <w:tr w:rsidR="0037709B" w:rsidRPr="0088502A" w14:paraId="70A484B5" w14:textId="77777777" w:rsidTr="006D06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3DC7AB77" w14:textId="77777777" w:rsidR="0037709B" w:rsidRPr="0088502A" w:rsidRDefault="0037709B" w:rsidP="00F561EF">
            <w:pPr>
              <w:keepNext/>
              <w:keepLines/>
              <w:spacing w:before="40" w:after="40"/>
              <w:jc w:val="left"/>
              <w:rPr>
                <w:sz w:val="16"/>
              </w:rPr>
            </w:pPr>
          </w:p>
        </w:tc>
        <w:tc>
          <w:tcPr>
            <w:tcW w:w="425" w:type="dxa"/>
            <w:tcBorders>
              <w:top w:val="nil"/>
              <w:bottom w:val="nil"/>
            </w:tcBorders>
          </w:tcPr>
          <w:p w14:paraId="3009BE1C" w14:textId="77777777" w:rsidR="0037709B" w:rsidRPr="0088502A" w:rsidRDefault="0037709B" w:rsidP="00F561EF">
            <w:pPr>
              <w:keepNext/>
              <w:keepLines/>
              <w:spacing w:before="40" w:after="40"/>
              <w:jc w:val="left"/>
              <w:rPr>
                <w:sz w:val="16"/>
              </w:rPr>
            </w:pPr>
          </w:p>
        </w:tc>
        <w:tc>
          <w:tcPr>
            <w:tcW w:w="3467" w:type="dxa"/>
            <w:gridSpan w:val="2"/>
            <w:tcBorders>
              <w:top w:val="nil"/>
              <w:bottom w:val="nil"/>
            </w:tcBorders>
          </w:tcPr>
          <w:p w14:paraId="00CF15C3" w14:textId="5E8AF0DC" w:rsidR="0037709B" w:rsidRPr="0088502A" w:rsidRDefault="0054593E" w:rsidP="00F561EF">
            <w:pPr>
              <w:keepNext/>
              <w:keepLines/>
              <w:spacing w:before="40" w:after="40"/>
              <w:jc w:val="left"/>
              <w:rPr>
                <w:sz w:val="16"/>
              </w:rPr>
            </w:pPr>
            <w:r>
              <w:rPr>
                <w:sz w:val="16"/>
              </w:rPr>
              <w:t xml:space="preserve">resistencia </w:t>
            </w:r>
            <w:r w:rsidR="0037709B">
              <w:rPr>
                <w:sz w:val="16"/>
              </w:rPr>
              <w:t xml:space="preserve">intermedia </w:t>
            </w:r>
          </w:p>
        </w:tc>
        <w:tc>
          <w:tcPr>
            <w:tcW w:w="1734" w:type="dxa"/>
            <w:tcBorders>
              <w:top w:val="nil"/>
              <w:bottom w:val="nil"/>
            </w:tcBorders>
          </w:tcPr>
          <w:p w14:paraId="2382884C" w14:textId="77777777" w:rsidR="0037709B" w:rsidRPr="0088502A" w:rsidRDefault="0037709B" w:rsidP="00F561EF">
            <w:pPr>
              <w:keepNext/>
              <w:keepLines/>
              <w:spacing w:before="40" w:after="40"/>
              <w:jc w:val="left"/>
              <w:rPr>
                <w:sz w:val="16"/>
              </w:rPr>
            </w:pPr>
          </w:p>
        </w:tc>
        <w:tc>
          <w:tcPr>
            <w:tcW w:w="884" w:type="dxa"/>
            <w:tcBorders>
              <w:top w:val="nil"/>
              <w:bottom w:val="nil"/>
            </w:tcBorders>
          </w:tcPr>
          <w:p w14:paraId="61B396C3" w14:textId="77777777" w:rsidR="0037709B" w:rsidRPr="0088502A" w:rsidRDefault="0037709B" w:rsidP="00F561EF">
            <w:pPr>
              <w:keepNext/>
              <w:keepLines/>
              <w:spacing w:before="40" w:after="40"/>
              <w:jc w:val="left"/>
              <w:rPr>
                <w:sz w:val="16"/>
              </w:rPr>
            </w:pPr>
            <w:r>
              <w:rPr>
                <w:sz w:val="16"/>
              </w:rPr>
              <w:t>[…]</w:t>
            </w:r>
          </w:p>
        </w:tc>
        <w:tc>
          <w:tcPr>
            <w:tcW w:w="992" w:type="dxa"/>
            <w:tcBorders>
              <w:top w:val="nil"/>
              <w:bottom w:val="nil"/>
              <w:right w:val="nil"/>
            </w:tcBorders>
          </w:tcPr>
          <w:p w14:paraId="41ABA34C" w14:textId="77777777" w:rsidR="0037709B" w:rsidRPr="0088502A" w:rsidRDefault="0037709B" w:rsidP="00F561EF">
            <w:pPr>
              <w:keepNext/>
              <w:keepLines/>
              <w:spacing w:before="40" w:after="40"/>
              <w:jc w:val="left"/>
              <w:rPr>
                <w:sz w:val="16"/>
              </w:rPr>
            </w:pPr>
            <w:r>
              <w:rPr>
                <w:sz w:val="16"/>
              </w:rPr>
              <w:t>2</w:t>
            </w:r>
          </w:p>
        </w:tc>
      </w:tr>
      <w:tr w:rsidR="0037709B" w:rsidRPr="0088502A" w14:paraId="5AEDD5F0" w14:textId="77777777" w:rsidTr="006D0617">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7283F562" w14:textId="77777777" w:rsidR="0037709B" w:rsidRPr="0088502A" w:rsidRDefault="0037709B" w:rsidP="00F561EF">
            <w:pPr>
              <w:keepNext/>
              <w:keepLines/>
              <w:spacing w:before="40" w:after="40"/>
              <w:jc w:val="left"/>
              <w:rPr>
                <w:sz w:val="16"/>
              </w:rPr>
            </w:pPr>
          </w:p>
        </w:tc>
        <w:tc>
          <w:tcPr>
            <w:tcW w:w="425" w:type="dxa"/>
            <w:tcBorders>
              <w:top w:val="nil"/>
              <w:bottom w:val="single" w:sz="4" w:space="0" w:color="auto"/>
            </w:tcBorders>
          </w:tcPr>
          <w:p w14:paraId="4B69A484" w14:textId="77777777" w:rsidR="0037709B" w:rsidRPr="0088502A" w:rsidRDefault="0037709B" w:rsidP="00F561EF">
            <w:pPr>
              <w:keepNext/>
              <w:keepLines/>
              <w:spacing w:before="40" w:after="40"/>
              <w:jc w:val="left"/>
              <w:rPr>
                <w:sz w:val="16"/>
              </w:rPr>
            </w:pPr>
          </w:p>
        </w:tc>
        <w:tc>
          <w:tcPr>
            <w:tcW w:w="1733" w:type="dxa"/>
            <w:tcBorders>
              <w:top w:val="nil"/>
              <w:bottom w:val="single" w:sz="4" w:space="0" w:color="auto"/>
            </w:tcBorders>
          </w:tcPr>
          <w:p w14:paraId="2ED935CB" w14:textId="77777777" w:rsidR="0037709B" w:rsidRPr="0088502A" w:rsidRDefault="0037709B" w:rsidP="00F561EF">
            <w:pPr>
              <w:keepNext/>
              <w:keepLines/>
              <w:spacing w:before="40" w:after="40"/>
              <w:jc w:val="left"/>
              <w:rPr>
                <w:sz w:val="16"/>
              </w:rPr>
            </w:pPr>
            <w:r>
              <w:rPr>
                <w:sz w:val="16"/>
              </w:rPr>
              <w:t>altamente resistente</w:t>
            </w:r>
          </w:p>
        </w:tc>
        <w:tc>
          <w:tcPr>
            <w:tcW w:w="1734" w:type="dxa"/>
            <w:tcBorders>
              <w:top w:val="nil"/>
              <w:bottom w:val="single" w:sz="4" w:space="0" w:color="auto"/>
            </w:tcBorders>
          </w:tcPr>
          <w:p w14:paraId="5DF17E6B" w14:textId="77777777" w:rsidR="0037709B" w:rsidRPr="0088502A" w:rsidRDefault="0037709B" w:rsidP="00F561EF">
            <w:pPr>
              <w:keepNext/>
              <w:keepLines/>
              <w:spacing w:before="40" w:after="40"/>
              <w:jc w:val="left"/>
              <w:rPr>
                <w:sz w:val="16"/>
              </w:rPr>
            </w:pPr>
          </w:p>
        </w:tc>
        <w:tc>
          <w:tcPr>
            <w:tcW w:w="1734" w:type="dxa"/>
            <w:tcBorders>
              <w:top w:val="nil"/>
              <w:bottom w:val="single" w:sz="4" w:space="0" w:color="auto"/>
            </w:tcBorders>
          </w:tcPr>
          <w:p w14:paraId="148BA843" w14:textId="77777777" w:rsidR="0037709B" w:rsidRPr="0088502A" w:rsidRDefault="0037709B" w:rsidP="00F561EF">
            <w:pPr>
              <w:keepNext/>
              <w:keepLines/>
              <w:spacing w:before="40" w:after="40"/>
              <w:jc w:val="left"/>
              <w:rPr>
                <w:sz w:val="16"/>
              </w:rPr>
            </w:pPr>
          </w:p>
        </w:tc>
        <w:tc>
          <w:tcPr>
            <w:tcW w:w="884" w:type="dxa"/>
            <w:tcBorders>
              <w:top w:val="nil"/>
              <w:bottom w:val="single" w:sz="4" w:space="0" w:color="auto"/>
            </w:tcBorders>
          </w:tcPr>
          <w:p w14:paraId="4CC2E091" w14:textId="77777777" w:rsidR="0037709B" w:rsidRPr="0088502A" w:rsidRDefault="0037709B" w:rsidP="00F561EF">
            <w:pPr>
              <w:keepNext/>
              <w:keepLines/>
              <w:spacing w:before="40" w:after="40"/>
              <w:jc w:val="left"/>
              <w:rPr>
                <w:sz w:val="16"/>
              </w:rPr>
            </w:pPr>
            <w:r>
              <w:rPr>
                <w:sz w:val="16"/>
              </w:rPr>
              <w:t>[…]</w:t>
            </w:r>
          </w:p>
        </w:tc>
        <w:tc>
          <w:tcPr>
            <w:tcW w:w="992" w:type="dxa"/>
            <w:tcBorders>
              <w:top w:val="nil"/>
              <w:bottom w:val="single" w:sz="4" w:space="0" w:color="auto"/>
              <w:right w:val="nil"/>
            </w:tcBorders>
          </w:tcPr>
          <w:p w14:paraId="6B2DE66D" w14:textId="77777777" w:rsidR="0037709B" w:rsidRPr="0088502A" w:rsidRDefault="0037709B" w:rsidP="00F561EF">
            <w:pPr>
              <w:keepNext/>
              <w:keepLines/>
              <w:spacing w:before="40" w:after="40"/>
              <w:jc w:val="left"/>
              <w:rPr>
                <w:sz w:val="16"/>
              </w:rPr>
            </w:pPr>
            <w:r>
              <w:rPr>
                <w:sz w:val="16"/>
              </w:rPr>
              <w:t>3</w:t>
            </w:r>
          </w:p>
        </w:tc>
      </w:tr>
    </w:tbl>
    <w:p w14:paraId="71353938" w14:textId="77777777" w:rsidR="0037709B" w:rsidRPr="0088502A" w:rsidRDefault="0037709B" w:rsidP="0037709B">
      <w:pPr>
        <w:jc w:val="left"/>
      </w:pPr>
    </w:p>
    <w:p w14:paraId="21E0FBCD" w14:textId="77777777" w:rsidR="003A1CE4" w:rsidRPr="0088502A" w:rsidRDefault="003A1CE4" w:rsidP="003A1CE4"/>
    <w:p w14:paraId="4F28B506" w14:textId="1261E431" w:rsidR="0037709B" w:rsidRPr="0088502A" w:rsidRDefault="0037709B" w:rsidP="00566666">
      <w:pPr>
        <w:keepNext/>
        <w:rPr>
          <w:i/>
        </w:rPr>
      </w:pPr>
      <w:r>
        <w:rPr>
          <w:i/>
        </w:rPr>
        <w:t>Examen del Grupo de Trabajo Técnico sobre Hortalizas (TWV) en</w:t>
      </w:r>
      <w:r w:rsidR="00521EC0">
        <w:rPr>
          <w:i/>
        </w:rPr>
        <w:t> </w:t>
      </w:r>
      <w:r>
        <w:rPr>
          <w:i/>
        </w:rPr>
        <w:t>2023</w:t>
      </w:r>
    </w:p>
    <w:p w14:paraId="67B580F1" w14:textId="77777777" w:rsidR="0037709B" w:rsidRPr="0088502A" w:rsidRDefault="0037709B" w:rsidP="0037709B">
      <w:pPr>
        <w:keepNext/>
      </w:pPr>
    </w:p>
    <w:p w14:paraId="39208E9E" w14:textId="145C9BC0" w:rsidR="0037709B" w:rsidRPr="0088502A" w:rsidRDefault="00282450" w:rsidP="0037709B">
      <w:pPr>
        <w:keepNext/>
        <w:keepLines/>
        <w:rPr>
          <w:snapToGrid w:val="0"/>
          <w:spacing w:val="-4"/>
        </w:rPr>
      </w:pPr>
      <w:r>
        <w:fldChar w:fldCharType="begin"/>
      </w:r>
      <w:r>
        <w:instrText xml:space="preserve"> LISTNUM  LegalDefault \l 1 </w:instrText>
      </w:r>
      <w:r>
        <w:fldChar w:fldCharType="end"/>
      </w:r>
      <w:r>
        <w:tab/>
        <w:t>En su quincuagésima séptima sesión</w:t>
      </w:r>
      <w:r w:rsidR="004E5F31" w:rsidRPr="004E5F31">
        <w:rPr>
          <w:vertAlign w:val="superscript"/>
        </w:rPr>
        <w:fldChar w:fldCharType="begin"/>
      </w:r>
      <w:r w:rsidR="004E5F31" w:rsidRPr="004E5F31">
        <w:rPr>
          <w:vertAlign w:val="superscript"/>
        </w:rPr>
        <w:instrText xml:space="preserve"> NOTEREF _Ref145614610 \h </w:instrText>
      </w:r>
      <w:r w:rsidR="004E5F31">
        <w:rPr>
          <w:vertAlign w:val="superscript"/>
        </w:rPr>
        <w:instrText xml:space="preserve"> \* MERGEFORMAT </w:instrText>
      </w:r>
      <w:r w:rsidR="004E5F31" w:rsidRPr="004E5F31">
        <w:rPr>
          <w:vertAlign w:val="superscript"/>
        </w:rPr>
      </w:r>
      <w:r w:rsidR="004E5F31" w:rsidRPr="004E5F31">
        <w:rPr>
          <w:vertAlign w:val="superscript"/>
        </w:rPr>
        <w:fldChar w:fldCharType="separate"/>
      </w:r>
      <w:r w:rsidR="004E5F31" w:rsidRPr="004E5F31">
        <w:rPr>
          <w:vertAlign w:val="superscript"/>
        </w:rPr>
        <w:t>7</w:t>
      </w:r>
      <w:r w:rsidR="004E5F31" w:rsidRPr="004E5F31">
        <w:rPr>
          <w:vertAlign w:val="superscript"/>
        </w:rPr>
        <w:fldChar w:fldCharType="end"/>
      </w:r>
      <w:r>
        <w:t xml:space="preserve">, </w:t>
      </w:r>
      <w:r>
        <w:rPr>
          <w:snapToGrid w:val="0"/>
        </w:rPr>
        <w:t>el TWV</w:t>
      </w:r>
      <w:r>
        <w:t xml:space="preserve"> </w:t>
      </w:r>
      <w:r>
        <w:rPr>
          <w:snapToGrid w:val="0"/>
        </w:rPr>
        <w:t>consideró si procede revisar los niveles de expresión del carácter ejemplo proporcionado en la sección</w:t>
      </w:r>
      <w:r w:rsidR="00521EC0">
        <w:rPr>
          <w:snapToGrid w:val="0"/>
        </w:rPr>
        <w:t> </w:t>
      </w:r>
      <w:r>
        <w:rPr>
          <w:snapToGrid w:val="0"/>
        </w:rPr>
        <w:t>2.3.2 del documento</w:t>
      </w:r>
      <w:r w:rsidR="00521EC0">
        <w:rPr>
          <w:snapToGrid w:val="0"/>
        </w:rPr>
        <w:t> </w:t>
      </w:r>
      <w:r>
        <w:rPr>
          <w:snapToGrid w:val="0"/>
        </w:rPr>
        <w:t>TGP/12/2, con el objeto de abordar la utilización de la palabra “altamente” en un solo nivel de expresión (véanse los párrafos</w:t>
      </w:r>
      <w:r w:rsidR="00521EC0">
        <w:rPr>
          <w:snapToGrid w:val="0"/>
        </w:rPr>
        <w:t> </w:t>
      </w:r>
      <w:r>
        <w:rPr>
          <w:snapToGrid w:val="0"/>
        </w:rPr>
        <w:t>15 y</w:t>
      </w:r>
      <w:r w:rsidR="00521EC0">
        <w:rPr>
          <w:snapToGrid w:val="0"/>
        </w:rPr>
        <w:t> </w:t>
      </w:r>
      <w:r>
        <w:rPr>
          <w:snapToGrid w:val="0"/>
        </w:rPr>
        <w:t>16 del documento</w:t>
      </w:r>
      <w:r w:rsidR="00521EC0">
        <w:rPr>
          <w:snapToGrid w:val="0"/>
        </w:rPr>
        <w:t> </w:t>
      </w:r>
      <w:r>
        <w:rPr>
          <w:snapToGrid w:val="0"/>
        </w:rPr>
        <w:t>TWV</w:t>
      </w:r>
      <w:r w:rsidR="0052587B">
        <w:rPr>
          <w:snapToGrid w:val="0"/>
        </w:rPr>
        <w:t>/57/26</w:t>
      </w:r>
      <w:r>
        <w:rPr>
          <w:snapToGrid w:val="0"/>
        </w:rPr>
        <w:t xml:space="preserve"> “</w:t>
      </w:r>
      <w:r w:rsidRPr="002466DD">
        <w:rPr>
          <w:i/>
          <w:iCs/>
          <w:snapToGrid w:val="0"/>
        </w:rPr>
        <w:t>Report</w:t>
      </w:r>
      <w:r>
        <w:rPr>
          <w:snapToGrid w:val="0"/>
        </w:rPr>
        <w:t>”</w:t>
      </w:r>
      <w:r w:rsidR="0052587B">
        <w:rPr>
          <w:snapToGrid w:val="0"/>
        </w:rPr>
        <w:t xml:space="preserve"> (Informe)</w:t>
      </w:r>
      <w:r>
        <w:rPr>
          <w:snapToGrid w:val="0"/>
        </w:rPr>
        <w:t>).</w:t>
      </w:r>
    </w:p>
    <w:p w14:paraId="310C20E9" w14:textId="1DDC4DC9" w:rsidR="0037709B" w:rsidRDefault="0037709B" w:rsidP="0037709B">
      <w:pPr>
        <w:jc w:val="left"/>
      </w:pPr>
    </w:p>
    <w:p w14:paraId="27A0E6C5" w14:textId="29900AF0" w:rsidR="008A735E" w:rsidRDefault="008A735E" w:rsidP="008A735E">
      <w:pPr>
        <w:ind w:firstLine="567"/>
        <w:jc w:val="left"/>
        <w:rPr>
          <w:u w:val="single"/>
        </w:rPr>
      </w:pPr>
      <w:r>
        <w:rPr>
          <w:u w:val="single"/>
        </w:rPr>
        <w:t>Propuesta: sustitución del carácter de ejemplo de la sección</w:t>
      </w:r>
      <w:r w:rsidR="00521EC0">
        <w:rPr>
          <w:u w:val="single"/>
        </w:rPr>
        <w:t> </w:t>
      </w:r>
      <w:r>
        <w:rPr>
          <w:u w:val="single"/>
        </w:rPr>
        <w:t>2.3.2 del documento</w:t>
      </w:r>
      <w:r w:rsidR="00521EC0">
        <w:rPr>
          <w:u w:val="single"/>
        </w:rPr>
        <w:t> </w:t>
      </w:r>
      <w:r>
        <w:rPr>
          <w:u w:val="single"/>
        </w:rPr>
        <w:t>TGP/12/2</w:t>
      </w:r>
    </w:p>
    <w:p w14:paraId="3ACD3398" w14:textId="77777777" w:rsidR="008A735E" w:rsidRPr="008A735E" w:rsidRDefault="008A735E" w:rsidP="008A735E">
      <w:pPr>
        <w:ind w:firstLine="567"/>
        <w:jc w:val="left"/>
        <w:rPr>
          <w:u w:val="single"/>
        </w:rPr>
      </w:pPr>
    </w:p>
    <w:p w14:paraId="3957587F" w14:textId="50340F6F" w:rsidR="0037709B" w:rsidRDefault="00282450" w:rsidP="0037709B">
      <w:pPr>
        <w:keepNext/>
      </w:pPr>
      <w:r>
        <w:fldChar w:fldCharType="begin"/>
      </w:r>
      <w:r>
        <w:instrText xml:space="preserve"> LISTNUM  LegalDefault \l 1 </w:instrText>
      </w:r>
      <w:r>
        <w:fldChar w:fldCharType="end"/>
      </w:r>
      <w:r>
        <w:tab/>
        <w:t>El</w:t>
      </w:r>
      <w:r w:rsidR="00521EC0">
        <w:t> </w:t>
      </w:r>
      <w:r>
        <w:t>TWV tomó nota de que el carácter de las directrices de examen del melón usado como ejemplo en la sección</w:t>
      </w:r>
      <w:r w:rsidR="00521EC0">
        <w:t> </w:t>
      </w:r>
      <w:r>
        <w:t>2.3.2 del documento TGP/12/2 se estaba revisando. El</w:t>
      </w:r>
      <w:r w:rsidR="00521EC0">
        <w:t> </w:t>
      </w:r>
      <w:r>
        <w:t>TWV convino en que el carácter ejemplo del documento</w:t>
      </w:r>
      <w:r w:rsidR="00521EC0">
        <w:t> </w:t>
      </w:r>
      <w:r>
        <w:t xml:space="preserve">TGP/12 debe modificarse conforme a la propuesta de revisión de las directrices de examen del melón, para que rece lo siguiente (las adiciones se indican con texto resaltado y </w:t>
      </w:r>
      <w:r>
        <w:rPr>
          <w:highlight w:val="lightGray"/>
          <w:u w:val="single"/>
        </w:rPr>
        <w:t>subrayado</w:t>
      </w:r>
      <w:r>
        <w:t xml:space="preserve"> y las eliminaciones se indican con texto resaltado y </w:t>
      </w:r>
      <w:r>
        <w:rPr>
          <w:strike/>
          <w:highlight w:val="lightGray"/>
        </w:rPr>
        <w:t>tachado</w:t>
      </w:r>
      <w:r>
        <w:t>):</w:t>
      </w:r>
    </w:p>
    <w:p w14:paraId="7167EEA4" w14:textId="77777777" w:rsidR="000177A2" w:rsidRPr="0088502A" w:rsidRDefault="000177A2" w:rsidP="0037709B">
      <w:pPr>
        <w:keepNext/>
      </w:pPr>
    </w:p>
    <w:p w14:paraId="66EACF69" w14:textId="77777777" w:rsidR="0037709B" w:rsidRPr="008A735E" w:rsidRDefault="0037709B" w:rsidP="0037709B">
      <w:pPr>
        <w:keepNext/>
        <w:rPr>
          <w:u w:val="single"/>
        </w:rPr>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37709B" w:rsidRPr="008A735E" w14:paraId="36519BE2" w14:textId="77777777" w:rsidTr="00093162">
        <w:trPr>
          <w:trHeight w:val="500"/>
        </w:trPr>
        <w:tc>
          <w:tcPr>
            <w:tcW w:w="567" w:type="dxa"/>
            <w:tcBorders>
              <w:top w:val="single" w:sz="4" w:space="0" w:color="auto"/>
              <w:left w:val="nil"/>
              <w:bottom w:val="nil"/>
              <w:right w:val="nil"/>
            </w:tcBorders>
            <w:hideMark/>
          </w:tcPr>
          <w:p w14:paraId="5923CFBA" w14:textId="77777777" w:rsidR="0037709B" w:rsidRPr="008A735E" w:rsidRDefault="0037709B" w:rsidP="00093162">
            <w:pPr>
              <w:pStyle w:val="Normaltb"/>
              <w:spacing w:before="60" w:after="60"/>
              <w:jc w:val="center"/>
              <w:rPr>
                <w:rFonts w:ascii="Arial" w:hAnsi="Arial" w:cs="Arial"/>
                <w:sz w:val="16"/>
                <w:szCs w:val="16"/>
                <w:highlight w:val="lightGray"/>
                <w:u w:val="single"/>
              </w:rPr>
            </w:pPr>
            <w:r>
              <w:rPr>
                <w:rFonts w:ascii="Arial" w:hAnsi="Arial"/>
                <w:sz w:val="16"/>
                <w:szCs w:val="16"/>
                <w:highlight w:val="lightGray"/>
                <w:u w:val="single"/>
              </w:rPr>
              <w:t>70.</w:t>
            </w:r>
          </w:p>
        </w:tc>
        <w:tc>
          <w:tcPr>
            <w:tcW w:w="567" w:type="dxa"/>
            <w:tcBorders>
              <w:top w:val="single" w:sz="4" w:space="0" w:color="auto"/>
              <w:left w:val="nil"/>
              <w:bottom w:val="nil"/>
              <w:right w:val="nil"/>
            </w:tcBorders>
            <w:hideMark/>
          </w:tcPr>
          <w:p w14:paraId="4DE4F194" w14:textId="77777777" w:rsidR="0037709B" w:rsidRPr="008A735E" w:rsidRDefault="0037709B" w:rsidP="00093162">
            <w:pPr>
              <w:pStyle w:val="Normaltb"/>
              <w:spacing w:before="60" w:after="60"/>
              <w:rPr>
                <w:rFonts w:ascii="Arial" w:hAnsi="Arial" w:cs="Arial"/>
                <w:sz w:val="16"/>
                <w:szCs w:val="16"/>
                <w:highlight w:val="lightGray"/>
                <w:u w:val="single"/>
              </w:rPr>
            </w:pPr>
            <w:r>
              <w:rPr>
                <w:rFonts w:ascii="Arial" w:hAnsi="Arial"/>
                <w:sz w:val="16"/>
                <w:szCs w:val="16"/>
                <w:highlight w:val="lightGray"/>
                <w:u w:val="single"/>
              </w:rPr>
              <w:t>VG</w:t>
            </w:r>
            <w:r>
              <w:rPr>
                <w:rFonts w:ascii="Arial" w:hAnsi="Arial"/>
                <w:sz w:val="16"/>
                <w:szCs w:val="16"/>
                <w:highlight w:val="lightGray"/>
                <w:u w:val="single"/>
              </w:rPr>
              <w:br/>
            </w:r>
          </w:p>
        </w:tc>
        <w:tc>
          <w:tcPr>
            <w:tcW w:w="1843" w:type="dxa"/>
            <w:tcBorders>
              <w:top w:val="single" w:sz="4" w:space="0" w:color="auto"/>
              <w:left w:val="nil"/>
              <w:bottom w:val="nil"/>
              <w:right w:val="nil"/>
            </w:tcBorders>
            <w:hideMark/>
          </w:tcPr>
          <w:p w14:paraId="6314A0E4" w14:textId="77777777" w:rsidR="0037709B" w:rsidRPr="008A735E" w:rsidRDefault="0037709B" w:rsidP="00093162">
            <w:pPr>
              <w:pStyle w:val="Normaltb"/>
              <w:spacing w:before="60" w:after="60"/>
              <w:rPr>
                <w:rFonts w:ascii="Arial" w:hAnsi="Arial" w:cs="Arial"/>
                <w:sz w:val="16"/>
                <w:szCs w:val="16"/>
                <w:highlight w:val="lightGray"/>
                <w:u w:val="single"/>
              </w:rPr>
            </w:pPr>
            <w:r>
              <w:rPr>
                <w:rFonts w:ascii="Arial" w:hAnsi="Arial"/>
                <w:sz w:val="16"/>
                <w:szCs w:val="16"/>
                <w:highlight w:val="lightGray"/>
                <w:u w:val="single"/>
              </w:rPr>
              <w:t xml:space="preserve">Resistencia a </w:t>
            </w:r>
            <w:r>
              <w:rPr>
                <w:rFonts w:ascii="Arial" w:hAnsi="Arial"/>
                <w:i/>
                <w:snapToGrid w:val="0"/>
                <w:sz w:val="16"/>
                <w:szCs w:val="16"/>
                <w:highlight w:val="lightGray"/>
                <w:u w:val="single"/>
              </w:rPr>
              <w:t xml:space="preserve">Podosphaera xanthii </w:t>
            </w:r>
            <w:r>
              <w:rPr>
                <w:rFonts w:ascii="Arial" w:hAnsi="Arial"/>
                <w:iCs/>
                <w:snapToGrid w:val="0"/>
                <w:sz w:val="16"/>
                <w:szCs w:val="16"/>
                <w:highlight w:val="lightGray"/>
                <w:u w:val="single"/>
              </w:rPr>
              <w:t>(Px)</w:t>
            </w:r>
            <w:r>
              <w:rPr>
                <w:rFonts w:ascii="Arial" w:hAnsi="Arial"/>
                <w:snapToGrid w:val="0"/>
                <w:sz w:val="16"/>
                <w:szCs w:val="16"/>
                <w:highlight w:val="lightGray"/>
                <w:u w:val="single"/>
              </w:rPr>
              <w:t xml:space="preserve"> (ex</w:t>
            </w:r>
            <w:r>
              <w:rPr>
                <w:rFonts w:ascii="Arial" w:hAnsi="Arial"/>
                <w:i/>
                <w:sz w:val="16"/>
                <w:szCs w:val="16"/>
                <w:highlight w:val="lightGray"/>
                <w:u w:val="single"/>
              </w:rPr>
              <w:t xml:space="preserve"> Sphaerotheca fuliginea</w:t>
            </w:r>
            <w:r>
              <w:rPr>
                <w:rFonts w:ascii="Arial" w:hAnsi="Arial"/>
                <w:i/>
                <w:snapToGrid w:val="0"/>
                <w:sz w:val="16"/>
                <w:szCs w:val="16"/>
                <w:highlight w:val="lightGray"/>
                <w:u w:val="single"/>
              </w:rPr>
              <w:t>)</w:t>
            </w:r>
            <w:r>
              <w:rPr>
                <w:rFonts w:ascii="Arial" w:hAnsi="Arial"/>
                <w:sz w:val="16"/>
                <w:szCs w:val="16"/>
                <w:highlight w:val="lightGray"/>
                <w:u w:val="single"/>
              </w:rPr>
              <w:t xml:space="preserve"> (oidio)</w:t>
            </w:r>
          </w:p>
        </w:tc>
        <w:tc>
          <w:tcPr>
            <w:tcW w:w="1559" w:type="dxa"/>
            <w:tcBorders>
              <w:top w:val="single" w:sz="4" w:space="0" w:color="auto"/>
              <w:left w:val="nil"/>
              <w:bottom w:val="nil"/>
              <w:right w:val="nil"/>
            </w:tcBorders>
          </w:tcPr>
          <w:p w14:paraId="296D3AC6"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c>
          <w:tcPr>
            <w:tcW w:w="668" w:type="dxa"/>
            <w:tcBorders>
              <w:top w:val="single" w:sz="4" w:space="0" w:color="auto"/>
              <w:left w:val="nil"/>
              <w:bottom w:val="nil"/>
              <w:right w:val="nil"/>
            </w:tcBorders>
          </w:tcPr>
          <w:p w14:paraId="5E747FA4" w14:textId="77777777" w:rsidR="0037709B" w:rsidRPr="008A735E" w:rsidRDefault="0037709B" w:rsidP="00093162">
            <w:pPr>
              <w:pStyle w:val="Normaltb"/>
              <w:spacing w:before="60" w:after="60"/>
              <w:rPr>
                <w:rFonts w:ascii="Arial" w:hAnsi="Arial" w:cs="Arial"/>
                <w:noProof w:val="0"/>
                <w:sz w:val="16"/>
                <w:szCs w:val="16"/>
                <w:highlight w:val="lightGray"/>
                <w:u w:val="single"/>
              </w:rPr>
            </w:pPr>
          </w:p>
        </w:tc>
      </w:tr>
      <w:tr w:rsidR="0037709B" w:rsidRPr="008A735E" w14:paraId="0EFDF4A0" w14:textId="77777777" w:rsidTr="00093162">
        <w:trPr>
          <w:trHeight w:val="157"/>
        </w:trPr>
        <w:tc>
          <w:tcPr>
            <w:tcW w:w="567" w:type="dxa"/>
            <w:tcBorders>
              <w:top w:val="nil"/>
              <w:left w:val="nil"/>
              <w:bottom w:val="nil"/>
              <w:right w:val="nil"/>
            </w:tcBorders>
          </w:tcPr>
          <w:p w14:paraId="73D5F6C1"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567" w:type="dxa"/>
            <w:tcBorders>
              <w:top w:val="nil"/>
              <w:left w:val="nil"/>
              <w:bottom w:val="nil"/>
              <w:right w:val="nil"/>
            </w:tcBorders>
          </w:tcPr>
          <w:p w14:paraId="72683927" w14:textId="77777777" w:rsidR="0037709B" w:rsidRPr="008A735E" w:rsidRDefault="0037709B" w:rsidP="00093162">
            <w:pPr>
              <w:pStyle w:val="Normalt"/>
              <w:keepNext/>
              <w:spacing w:before="60" w:after="60"/>
              <w:rPr>
                <w:rFonts w:ascii="Arial" w:hAnsi="Arial" w:cs="Arial"/>
                <w:b/>
                <w:noProof w:val="0"/>
                <w:sz w:val="16"/>
                <w:szCs w:val="16"/>
                <w:highlight w:val="lightGray"/>
                <w:u w:val="single"/>
              </w:rPr>
            </w:pPr>
          </w:p>
        </w:tc>
        <w:tc>
          <w:tcPr>
            <w:tcW w:w="1843" w:type="dxa"/>
            <w:tcBorders>
              <w:top w:val="nil"/>
              <w:left w:val="nil"/>
              <w:bottom w:val="nil"/>
              <w:right w:val="nil"/>
            </w:tcBorders>
            <w:hideMark/>
          </w:tcPr>
          <w:p w14:paraId="236594DD"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sz w:val="16"/>
                <w:szCs w:val="16"/>
                <w:highlight w:val="lightGray"/>
                <w:u w:val="single"/>
              </w:rPr>
              <w:t>---------------------------------</w:t>
            </w:r>
          </w:p>
        </w:tc>
        <w:tc>
          <w:tcPr>
            <w:tcW w:w="1559" w:type="dxa"/>
            <w:tcBorders>
              <w:top w:val="nil"/>
              <w:left w:val="nil"/>
              <w:bottom w:val="nil"/>
              <w:right w:val="nil"/>
            </w:tcBorders>
            <w:hideMark/>
          </w:tcPr>
          <w:p w14:paraId="0B0CBA54"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sz w:val="16"/>
                <w:szCs w:val="16"/>
                <w:highlight w:val="lightGray"/>
                <w:u w:val="single"/>
              </w:rPr>
              <w:t>---------------------------</w:t>
            </w:r>
          </w:p>
        </w:tc>
        <w:tc>
          <w:tcPr>
            <w:tcW w:w="668" w:type="dxa"/>
            <w:tcBorders>
              <w:top w:val="nil"/>
              <w:left w:val="nil"/>
              <w:bottom w:val="nil"/>
              <w:right w:val="nil"/>
            </w:tcBorders>
            <w:hideMark/>
          </w:tcPr>
          <w:p w14:paraId="0254EC68" w14:textId="77777777" w:rsidR="0037709B" w:rsidRPr="008A735E" w:rsidRDefault="0037709B" w:rsidP="00093162">
            <w:pPr>
              <w:pStyle w:val="Normalt"/>
              <w:keepNext/>
              <w:spacing w:before="60" w:after="60"/>
              <w:rPr>
                <w:rFonts w:ascii="Arial" w:hAnsi="Arial" w:cs="Arial"/>
                <w:sz w:val="16"/>
                <w:szCs w:val="16"/>
                <w:highlight w:val="lightGray"/>
                <w:u w:val="single"/>
              </w:rPr>
            </w:pPr>
            <w:r>
              <w:rPr>
                <w:rFonts w:ascii="Arial" w:hAnsi="Arial"/>
                <w:sz w:val="16"/>
                <w:szCs w:val="16"/>
                <w:highlight w:val="lightGray"/>
                <w:u w:val="single"/>
              </w:rPr>
              <w:t>-------</w:t>
            </w:r>
          </w:p>
        </w:tc>
      </w:tr>
      <w:tr w:rsidR="0037709B" w:rsidRPr="008A735E" w14:paraId="1114CFB0" w14:textId="77777777" w:rsidTr="00093162">
        <w:trPr>
          <w:trHeight w:val="500"/>
        </w:trPr>
        <w:tc>
          <w:tcPr>
            <w:tcW w:w="567" w:type="dxa"/>
            <w:tcBorders>
              <w:top w:val="nil"/>
              <w:left w:val="nil"/>
              <w:bottom w:val="nil"/>
              <w:right w:val="nil"/>
            </w:tcBorders>
            <w:hideMark/>
          </w:tcPr>
          <w:p w14:paraId="3F9E635D"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r>
              <w:rPr>
                <w:rFonts w:ascii="Arial" w:hAnsi="Arial"/>
                <w:b/>
                <w:sz w:val="16"/>
                <w:szCs w:val="16"/>
                <w:highlight w:val="lightGray"/>
                <w:u w:val="single"/>
              </w:rPr>
              <w:t>70.1</w:t>
            </w:r>
            <w:r>
              <w:rPr>
                <w:rFonts w:ascii="Arial" w:hAnsi="Arial"/>
                <w:b/>
                <w:sz w:val="16"/>
                <w:szCs w:val="16"/>
                <w:highlight w:val="lightGray"/>
                <w:u w:val="single"/>
              </w:rPr>
              <w:br/>
            </w:r>
            <w:r>
              <w:rPr>
                <w:rFonts w:ascii="Arial" w:hAnsi="Arial"/>
                <w:b/>
                <w:sz w:val="16"/>
                <w:szCs w:val="16"/>
                <w:highlight w:val="lightGray"/>
                <w:u w:val="single"/>
              </w:rPr>
              <w:br/>
              <w:t>(+)</w:t>
            </w:r>
          </w:p>
        </w:tc>
        <w:tc>
          <w:tcPr>
            <w:tcW w:w="567" w:type="dxa"/>
            <w:tcBorders>
              <w:top w:val="nil"/>
              <w:left w:val="nil"/>
              <w:bottom w:val="nil"/>
              <w:right w:val="nil"/>
            </w:tcBorders>
          </w:tcPr>
          <w:p w14:paraId="3A56AAF8" w14:textId="77777777" w:rsidR="0037709B" w:rsidRPr="008A735E" w:rsidRDefault="0037709B" w:rsidP="00093162">
            <w:pPr>
              <w:pStyle w:val="Normalt"/>
              <w:keepNex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29E9D12C" w14:textId="77777777" w:rsidR="0037709B" w:rsidRPr="008A735E" w:rsidRDefault="0037709B" w:rsidP="00093162">
            <w:pPr>
              <w:pStyle w:val="Normalt"/>
              <w:keepNext/>
              <w:spacing w:before="60" w:after="60"/>
              <w:rPr>
                <w:rFonts w:ascii="Arial" w:hAnsi="Arial" w:cs="Arial"/>
                <w:b/>
                <w:sz w:val="16"/>
                <w:szCs w:val="16"/>
                <w:highlight w:val="lightGray"/>
                <w:u w:val="single"/>
              </w:rPr>
            </w:pPr>
            <w:r>
              <w:rPr>
                <w:rFonts w:ascii="Arial" w:hAnsi="Arial"/>
                <w:b/>
                <w:sz w:val="16"/>
                <w:szCs w:val="16"/>
                <w:highlight w:val="lightGray"/>
                <w:u w:val="single"/>
              </w:rPr>
              <w:t xml:space="preserve">Raza 1 </w:t>
            </w:r>
            <w:r>
              <w:rPr>
                <w:rFonts w:ascii="Arial" w:hAnsi="Arial"/>
                <w:b/>
                <w:bCs/>
                <w:iCs/>
                <w:snapToGrid w:val="0"/>
                <w:sz w:val="16"/>
                <w:szCs w:val="16"/>
                <w:highlight w:val="lightGray"/>
                <w:u w:val="single"/>
              </w:rPr>
              <w:t>(Px: 1)</w:t>
            </w:r>
          </w:p>
        </w:tc>
        <w:tc>
          <w:tcPr>
            <w:tcW w:w="1559" w:type="dxa"/>
            <w:tcBorders>
              <w:top w:val="nil"/>
              <w:left w:val="nil"/>
              <w:bottom w:val="nil"/>
              <w:right w:val="nil"/>
            </w:tcBorders>
          </w:tcPr>
          <w:p w14:paraId="0A0A601A" w14:textId="77777777" w:rsidR="0037709B" w:rsidRPr="008A735E" w:rsidRDefault="0037709B" w:rsidP="00093162">
            <w:pPr>
              <w:pStyle w:val="Normalt"/>
              <w:keepNext/>
              <w:spacing w:before="60" w:after="60"/>
              <w:rPr>
                <w:rFonts w:ascii="Arial" w:hAnsi="Arial" w:cs="Arial"/>
                <w:sz w:val="16"/>
                <w:szCs w:val="16"/>
                <w:highlight w:val="lightGray"/>
                <w:u w:val="single"/>
              </w:rPr>
            </w:pPr>
          </w:p>
        </w:tc>
        <w:tc>
          <w:tcPr>
            <w:tcW w:w="668" w:type="dxa"/>
            <w:tcBorders>
              <w:top w:val="nil"/>
              <w:left w:val="nil"/>
              <w:bottom w:val="nil"/>
              <w:right w:val="nil"/>
            </w:tcBorders>
          </w:tcPr>
          <w:p w14:paraId="4B157420" w14:textId="77777777" w:rsidR="0037709B" w:rsidRPr="008A735E" w:rsidRDefault="0037709B" w:rsidP="00093162">
            <w:pPr>
              <w:pStyle w:val="Normalt"/>
              <w:keepNext/>
              <w:spacing w:before="60" w:after="60"/>
              <w:jc w:val="center"/>
              <w:rPr>
                <w:rFonts w:ascii="Arial" w:hAnsi="Arial" w:cs="Arial"/>
                <w:sz w:val="16"/>
                <w:szCs w:val="16"/>
                <w:highlight w:val="lightGray"/>
                <w:u w:val="single"/>
              </w:rPr>
            </w:pPr>
          </w:p>
        </w:tc>
      </w:tr>
      <w:tr w:rsidR="0037709B" w:rsidRPr="008A735E" w14:paraId="0F5F1B95" w14:textId="77777777" w:rsidTr="00093162">
        <w:trPr>
          <w:trHeight w:hRule="exact" w:val="309"/>
        </w:trPr>
        <w:tc>
          <w:tcPr>
            <w:tcW w:w="567" w:type="dxa"/>
            <w:tcBorders>
              <w:top w:val="nil"/>
              <w:left w:val="nil"/>
              <w:bottom w:val="nil"/>
              <w:right w:val="nil"/>
            </w:tcBorders>
            <w:hideMark/>
          </w:tcPr>
          <w:p w14:paraId="6670412B" w14:textId="77777777" w:rsidR="0037709B" w:rsidRPr="008A735E" w:rsidRDefault="0037709B" w:rsidP="00093162">
            <w:pPr>
              <w:pStyle w:val="Normalt"/>
              <w:spacing w:before="60" w:after="60"/>
              <w:jc w:val="center"/>
              <w:rPr>
                <w:rFonts w:ascii="Arial" w:hAnsi="Arial" w:cs="Arial"/>
                <w:b/>
                <w:sz w:val="16"/>
                <w:szCs w:val="16"/>
                <w:highlight w:val="lightGray"/>
                <w:u w:val="single"/>
              </w:rPr>
            </w:pPr>
            <w:r>
              <w:rPr>
                <w:rFonts w:ascii="Arial" w:hAnsi="Arial"/>
                <w:b/>
                <w:sz w:val="16"/>
                <w:szCs w:val="16"/>
                <w:highlight w:val="lightGray"/>
                <w:u w:val="single"/>
              </w:rPr>
              <w:t>QN</w:t>
            </w:r>
          </w:p>
        </w:tc>
        <w:tc>
          <w:tcPr>
            <w:tcW w:w="567" w:type="dxa"/>
            <w:tcBorders>
              <w:top w:val="nil"/>
              <w:left w:val="nil"/>
              <w:bottom w:val="nil"/>
              <w:right w:val="nil"/>
            </w:tcBorders>
          </w:tcPr>
          <w:p w14:paraId="7B80EB3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1BCD23C2" w14:textId="77777777" w:rsidR="0037709B" w:rsidRPr="008A735E" w:rsidRDefault="0037709B" w:rsidP="00093162">
            <w:pPr>
              <w:pStyle w:val="Normalt"/>
              <w:spacing w:before="60" w:after="60"/>
              <w:rPr>
                <w:rFonts w:ascii="Arial" w:hAnsi="Arial" w:cs="Arial"/>
                <w:strike/>
                <w:sz w:val="16"/>
                <w:szCs w:val="16"/>
                <w:highlight w:val="lightGray"/>
                <w:u w:val="single"/>
              </w:rPr>
            </w:pPr>
            <w:r>
              <w:rPr>
                <w:rFonts w:ascii="Arial" w:hAnsi="Arial"/>
                <w:sz w:val="16"/>
                <w:szCs w:val="16"/>
                <w:highlight w:val="lightGray"/>
                <w:u w:val="single"/>
              </w:rPr>
              <w:t>ausente o baja</w:t>
            </w:r>
          </w:p>
        </w:tc>
        <w:tc>
          <w:tcPr>
            <w:tcW w:w="1559" w:type="dxa"/>
            <w:tcBorders>
              <w:top w:val="nil"/>
              <w:left w:val="nil"/>
              <w:bottom w:val="nil"/>
              <w:right w:val="nil"/>
            </w:tcBorders>
            <w:vAlign w:val="center"/>
            <w:hideMark/>
          </w:tcPr>
          <w:p w14:paraId="27E17D8E" w14:textId="77777777" w:rsidR="0037709B" w:rsidRPr="008A735E" w:rsidRDefault="0037709B" w:rsidP="00093162">
            <w:pPr>
              <w:jc w:val="left"/>
              <w:rPr>
                <w:rFonts w:cs="Arial"/>
                <w:color w:val="000000"/>
                <w:sz w:val="16"/>
                <w:szCs w:val="16"/>
                <w:highlight w:val="lightGray"/>
                <w:u w:val="single"/>
              </w:rPr>
            </w:pPr>
            <w:r>
              <w:rPr>
                <w:color w:val="000000"/>
                <w:sz w:val="16"/>
                <w:szCs w:val="16"/>
                <w:highlight w:val="lightGray"/>
                <w:u w:val="single"/>
              </w:rPr>
              <w:t>Védrantais</w:t>
            </w:r>
          </w:p>
        </w:tc>
        <w:tc>
          <w:tcPr>
            <w:tcW w:w="668" w:type="dxa"/>
            <w:tcBorders>
              <w:top w:val="nil"/>
              <w:left w:val="nil"/>
              <w:bottom w:val="nil"/>
              <w:right w:val="nil"/>
            </w:tcBorders>
            <w:vAlign w:val="center"/>
            <w:hideMark/>
          </w:tcPr>
          <w:p w14:paraId="109A6D48"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sz w:val="16"/>
                <w:szCs w:val="16"/>
                <w:highlight w:val="lightGray"/>
                <w:u w:val="single"/>
              </w:rPr>
              <w:t>1</w:t>
            </w:r>
          </w:p>
        </w:tc>
      </w:tr>
      <w:tr w:rsidR="0037709B" w:rsidRPr="008A735E" w14:paraId="04036844" w14:textId="77777777" w:rsidTr="00093162">
        <w:trPr>
          <w:trHeight w:hRule="exact" w:val="363"/>
        </w:trPr>
        <w:tc>
          <w:tcPr>
            <w:tcW w:w="567" w:type="dxa"/>
            <w:tcBorders>
              <w:top w:val="nil"/>
              <w:left w:val="nil"/>
              <w:bottom w:val="nil"/>
              <w:right w:val="nil"/>
            </w:tcBorders>
          </w:tcPr>
          <w:p w14:paraId="4EB1CDFD"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63838DB"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05E9EA27" w14:textId="77777777" w:rsidR="0037709B" w:rsidRPr="008A735E" w:rsidRDefault="0037709B" w:rsidP="00093162">
            <w:pPr>
              <w:pStyle w:val="Normalt"/>
              <w:spacing w:before="60" w:after="60"/>
              <w:rPr>
                <w:rFonts w:ascii="Arial" w:hAnsi="Arial" w:cs="Arial"/>
                <w:strike/>
                <w:sz w:val="16"/>
                <w:szCs w:val="16"/>
                <w:highlight w:val="lightGray"/>
                <w:u w:val="single"/>
              </w:rPr>
            </w:pPr>
            <w:r>
              <w:rPr>
                <w:rFonts w:ascii="Arial" w:hAnsi="Arial"/>
                <w:sz w:val="16"/>
                <w:szCs w:val="16"/>
                <w:highlight w:val="lightGray"/>
                <w:u w:val="single"/>
              </w:rPr>
              <w:t>media</w:t>
            </w:r>
          </w:p>
        </w:tc>
        <w:tc>
          <w:tcPr>
            <w:tcW w:w="1559" w:type="dxa"/>
            <w:tcBorders>
              <w:top w:val="nil"/>
              <w:left w:val="nil"/>
              <w:bottom w:val="nil"/>
              <w:right w:val="nil"/>
            </w:tcBorders>
            <w:vAlign w:val="center"/>
            <w:hideMark/>
          </w:tcPr>
          <w:p w14:paraId="79C87D4E" w14:textId="77777777" w:rsidR="0037709B" w:rsidRPr="008A735E" w:rsidRDefault="0037709B" w:rsidP="00093162">
            <w:pPr>
              <w:jc w:val="left"/>
              <w:rPr>
                <w:rFonts w:cs="Arial"/>
                <w:color w:val="000000"/>
                <w:sz w:val="16"/>
                <w:szCs w:val="16"/>
                <w:highlight w:val="lightGray"/>
                <w:u w:val="single"/>
              </w:rPr>
            </w:pPr>
            <w:r>
              <w:rPr>
                <w:color w:val="000000"/>
                <w:sz w:val="16"/>
                <w:szCs w:val="16"/>
                <w:highlight w:val="lightGray"/>
                <w:u w:val="single"/>
              </w:rPr>
              <w:t>Escrito</w:t>
            </w:r>
          </w:p>
        </w:tc>
        <w:tc>
          <w:tcPr>
            <w:tcW w:w="668" w:type="dxa"/>
            <w:tcBorders>
              <w:top w:val="nil"/>
              <w:left w:val="nil"/>
              <w:bottom w:val="nil"/>
              <w:right w:val="nil"/>
            </w:tcBorders>
            <w:vAlign w:val="center"/>
            <w:hideMark/>
          </w:tcPr>
          <w:p w14:paraId="1B7C20CF"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sz w:val="16"/>
                <w:szCs w:val="16"/>
                <w:highlight w:val="lightGray"/>
                <w:u w:val="single"/>
              </w:rPr>
              <w:t>2</w:t>
            </w:r>
          </w:p>
        </w:tc>
      </w:tr>
      <w:tr w:rsidR="0037709B" w:rsidRPr="008A735E" w14:paraId="36F06145" w14:textId="77777777" w:rsidTr="00093162">
        <w:trPr>
          <w:trHeight w:val="354"/>
        </w:trPr>
        <w:tc>
          <w:tcPr>
            <w:tcW w:w="567" w:type="dxa"/>
            <w:tcBorders>
              <w:top w:val="nil"/>
              <w:left w:val="nil"/>
              <w:bottom w:val="nil"/>
              <w:right w:val="nil"/>
            </w:tcBorders>
          </w:tcPr>
          <w:p w14:paraId="11C39B9F"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1835EEF7" w14:textId="77777777" w:rsidR="0037709B" w:rsidRPr="008A735E" w:rsidRDefault="0037709B" w:rsidP="00093162">
            <w:pPr>
              <w:pStyle w:val="Normalt"/>
              <w:spacing w:before="60" w:after="60"/>
              <w:jc w:val="center"/>
              <w:rPr>
                <w:rFonts w:ascii="Arial" w:hAnsi="Arial" w:cs="Arial"/>
                <w:sz w:val="16"/>
                <w:szCs w:val="16"/>
                <w:highlight w:val="lightGray"/>
                <w:u w:val="single"/>
              </w:rPr>
            </w:pPr>
          </w:p>
        </w:tc>
        <w:tc>
          <w:tcPr>
            <w:tcW w:w="1843" w:type="dxa"/>
            <w:tcBorders>
              <w:top w:val="nil"/>
              <w:left w:val="nil"/>
              <w:bottom w:val="nil"/>
              <w:right w:val="nil"/>
            </w:tcBorders>
            <w:vAlign w:val="center"/>
            <w:hideMark/>
          </w:tcPr>
          <w:p w14:paraId="681D4927" w14:textId="77777777" w:rsidR="0037709B" w:rsidRPr="008A735E" w:rsidRDefault="0037709B" w:rsidP="00093162">
            <w:pPr>
              <w:pStyle w:val="Normalt"/>
              <w:spacing w:before="60" w:after="60"/>
              <w:rPr>
                <w:rFonts w:ascii="Arial" w:hAnsi="Arial" w:cs="Arial"/>
                <w:strike/>
                <w:sz w:val="16"/>
                <w:szCs w:val="16"/>
                <w:highlight w:val="lightGray"/>
                <w:u w:val="single"/>
              </w:rPr>
            </w:pPr>
            <w:r>
              <w:rPr>
                <w:rFonts w:ascii="Arial" w:hAnsi="Arial"/>
                <w:sz w:val="16"/>
                <w:szCs w:val="16"/>
                <w:highlight w:val="lightGray"/>
                <w:u w:val="single"/>
              </w:rPr>
              <w:t>alta</w:t>
            </w:r>
          </w:p>
        </w:tc>
        <w:tc>
          <w:tcPr>
            <w:tcW w:w="1559" w:type="dxa"/>
            <w:tcBorders>
              <w:top w:val="nil"/>
              <w:left w:val="nil"/>
              <w:bottom w:val="nil"/>
              <w:right w:val="nil"/>
            </w:tcBorders>
            <w:vAlign w:val="center"/>
            <w:hideMark/>
          </w:tcPr>
          <w:p w14:paraId="468C4BB0" w14:textId="77777777" w:rsidR="0037709B" w:rsidRPr="008A735E" w:rsidRDefault="0037709B" w:rsidP="00093162">
            <w:pPr>
              <w:jc w:val="left"/>
              <w:rPr>
                <w:rFonts w:cs="Arial"/>
                <w:color w:val="000000"/>
                <w:sz w:val="16"/>
                <w:szCs w:val="16"/>
                <w:highlight w:val="lightGray"/>
                <w:u w:val="single"/>
              </w:rPr>
            </w:pPr>
            <w:r>
              <w:rPr>
                <w:color w:val="000000"/>
                <w:sz w:val="16"/>
                <w:szCs w:val="16"/>
                <w:highlight w:val="lightGray"/>
                <w:u w:val="single"/>
              </w:rPr>
              <w:t>Arum</w:t>
            </w:r>
          </w:p>
        </w:tc>
        <w:tc>
          <w:tcPr>
            <w:tcW w:w="668" w:type="dxa"/>
            <w:tcBorders>
              <w:top w:val="nil"/>
              <w:left w:val="nil"/>
              <w:bottom w:val="nil"/>
              <w:right w:val="nil"/>
            </w:tcBorders>
            <w:vAlign w:val="center"/>
            <w:hideMark/>
          </w:tcPr>
          <w:p w14:paraId="0F4075B5" w14:textId="77777777" w:rsidR="0037709B" w:rsidRPr="008A735E" w:rsidRDefault="0037709B" w:rsidP="00093162">
            <w:pPr>
              <w:pStyle w:val="Normalt"/>
              <w:spacing w:before="60" w:after="60"/>
              <w:jc w:val="center"/>
              <w:rPr>
                <w:rFonts w:ascii="Arial" w:hAnsi="Arial" w:cs="Arial"/>
                <w:sz w:val="16"/>
                <w:szCs w:val="16"/>
                <w:highlight w:val="lightGray"/>
                <w:u w:val="single"/>
              </w:rPr>
            </w:pPr>
            <w:r>
              <w:rPr>
                <w:rFonts w:ascii="Arial" w:hAnsi="Arial"/>
                <w:sz w:val="16"/>
                <w:szCs w:val="16"/>
                <w:highlight w:val="lightGray"/>
                <w:u w:val="single"/>
              </w:rPr>
              <w:t>3</w:t>
            </w:r>
          </w:p>
        </w:tc>
      </w:tr>
      <w:tr w:rsidR="0037709B" w:rsidRPr="008A735E" w14:paraId="3C7CCCE2" w14:textId="77777777" w:rsidTr="00093162">
        <w:trPr>
          <w:trHeight w:val="93"/>
        </w:trPr>
        <w:tc>
          <w:tcPr>
            <w:tcW w:w="567" w:type="dxa"/>
            <w:tcBorders>
              <w:top w:val="nil"/>
              <w:left w:val="nil"/>
              <w:bottom w:val="nil"/>
              <w:right w:val="nil"/>
            </w:tcBorders>
          </w:tcPr>
          <w:p w14:paraId="3ED0569A"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567" w:type="dxa"/>
            <w:tcBorders>
              <w:top w:val="nil"/>
              <w:left w:val="nil"/>
              <w:bottom w:val="nil"/>
              <w:right w:val="nil"/>
            </w:tcBorders>
          </w:tcPr>
          <w:p w14:paraId="5997372C" w14:textId="77777777" w:rsidR="0037709B" w:rsidRPr="008A735E" w:rsidRDefault="0037709B" w:rsidP="00093162">
            <w:pPr>
              <w:pStyle w:val="Normalt"/>
              <w:spacing w:before="60" w:after="60"/>
              <w:jc w:val="center"/>
              <w:rPr>
                <w:rFonts w:ascii="Arial" w:hAnsi="Arial" w:cs="Arial"/>
                <w:b/>
                <w:sz w:val="16"/>
                <w:szCs w:val="16"/>
                <w:highlight w:val="lightGray"/>
                <w:u w:val="single"/>
              </w:rPr>
            </w:pPr>
          </w:p>
        </w:tc>
        <w:tc>
          <w:tcPr>
            <w:tcW w:w="1843" w:type="dxa"/>
            <w:tcBorders>
              <w:top w:val="nil"/>
              <w:left w:val="nil"/>
              <w:bottom w:val="nil"/>
              <w:right w:val="nil"/>
            </w:tcBorders>
            <w:hideMark/>
          </w:tcPr>
          <w:p w14:paraId="192C7C09" w14:textId="77777777" w:rsidR="0037709B" w:rsidRPr="008A735E" w:rsidRDefault="0037709B" w:rsidP="00093162">
            <w:pPr>
              <w:pStyle w:val="Normalt"/>
              <w:spacing w:before="60" w:after="60"/>
              <w:rPr>
                <w:rFonts w:ascii="Arial" w:hAnsi="Arial" w:cs="Arial"/>
                <w:sz w:val="16"/>
                <w:szCs w:val="16"/>
                <w:highlight w:val="lightGray"/>
                <w:u w:val="single"/>
              </w:rPr>
            </w:pPr>
            <w:r>
              <w:rPr>
                <w:rFonts w:ascii="Arial" w:hAnsi="Arial"/>
                <w:sz w:val="16"/>
                <w:szCs w:val="16"/>
                <w:highlight w:val="lightGray"/>
                <w:u w:val="single"/>
              </w:rPr>
              <w:t>---------------------------------</w:t>
            </w:r>
          </w:p>
        </w:tc>
        <w:tc>
          <w:tcPr>
            <w:tcW w:w="1559" w:type="dxa"/>
            <w:tcBorders>
              <w:top w:val="nil"/>
              <w:left w:val="nil"/>
              <w:bottom w:val="nil"/>
              <w:right w:val="nil"/>
            </w:tcBorders>
            <w:hideMark/>
          </w:tcPr>
          <w:p w14:paraId="5A9F3212" w14:textId="77777777" w:rsidR="0037709B" w:rsidRPr="008A735E" w:rsidRDefault="0037709B" w:rsidP="00093162">
            <w:pPr>
              <w:pStyle w:val="Normalt"/>
              <w:spacing w:before="60" w:after="60"/>
              <w:rPr>
                <w:rFonts w:ascii="Arial" w:hAnsi="Arial" w:cs="Arial"/>
                <w:sz w:val="16"/>
                <w:szCs w:val="16"/>
                <w:highlight w:val="lightGray"/>
                <w:u w:val="single"/>
              </w:rPr>
            </w:pPr>
            <w:r>
              <w:rPr>
                <w:rFonts w:ascii="Arial" w:hAnsi="Arial"/>
                <w:sz w:val="16"/>
                <w:szCs w:val="16"/>
                <w:highlight w:val="lightGray"/>
                <w:u w:val="single"/>
              </w:rPr>
              <w:t>----------------------------</w:t>
            </w:r>
          </w:p>
        </w:tc>
        <w:tc>
          <w:tcPr>
            <w:tcW w:w="668" w:type="dxa"/>
            <w:tcBorders>
              <w:top w:val="nil"/>
              <w:left w:val="nil"/>
              <w:bottom w:val="nil"/>
              <w:right w:val="nil"/>
            </w:tcBorders>
            <w:hideMark/>
          </w:tcPr>
          <w:p w14:paraId="2850BD59" w14:textId="77777777" w:rsidR="0037709B" w:rsidRPr="008A735E" w:rsidRDefault="0037709B" w:rsidP="00093162">
            <w:pPr>
              <w:pStyle w:val="Normalt"/>
              <w:spacing w:before="60" w:after="60"/>
              <w:jc w:val="center"/>
              <w:rPr>
                <w:rFonts w:ascii="Arial" w:hAnsi="Arial" w:cs="Arial"/>
                <w:sz w:val="16"/>
                <w:szCs w:val="16"/>
                <w:u w:val="single"/>
              </w:rPr>
            </w:pPr>
            <w:r>
              <w:rPr>
                <w:rFonts w:ascii="Arial" w:hAnsi="Arial"/>
                <w:sz w:val="16"/>
                <w:szCs w:val="16"/>
                <w:highlight w:val="lightGray"/>
                <w:u w:val="single"/>
              </w:rPr>
              <w:t>-------</w:t>
            </w:r>
          </w:p>
        </w:tc>
      </w:tr>
    </w:tbl>
    <w:p w14:paraId="24A601C7" w14:textId="3D8E81A3" w:rsidR="00282450" w:rsidRDefault="00282450" w:rsidP="0037709B"/>
    <w:p w14:paraId="1F10324B" w14:textId="4B66262F" w:rsidR="00F561EF" w:rsidRDefault="00F561EF" w:rsidP="0037709B"/>
    <w:p w14:paraId="28D3C918" w14:textId="77777777" w:rsidR="00F561EF" w:rsidRPr="0088502A" w:rsidRDefault="00F561EF" w:rsidP="0037709B"/>
    <w:p w14:paraId="00A87836" w14:textId="6CC25FD6" w:rsidR="00A62445" w:rsidRPr="0088502A" w:rsidRDefault="00A62445" w:rsidP="00324FE4">
      <w:pPr>
        <w:jc w:val="right"/>
      </w:pPr>
      <w:r>
        <w:t xml:space="preserve">[Fin del </w:t>
      </w:r>
      <w:r w:rsidR="006900F0">
        <w:t>Anexo</w:t>
      </w:r>
      <w:r w:rsidR="00521EC0">
        <w:t> </w:t>
      </w:r>
      <w:r w:rsidR="006900F0">
        <w:t>IV</w:t>
      </w:r>
      <w:r>
        <w:t xml:space="preserve"> y del documento]</w:t>
      </w:r>
    </w:p>
    <w:sectPr w:rsidR="00A62445" w:rsidRPr="0088502A" w:rsidSect="00282450">
      <w:headerReference w:type="default" r:id="rId28"/>
      <w:headerReference w:type="first" r:id="rId29"/>
      <w:pgSz w:w="11907" w:h="16840" w:code="9"/>
      <w:pgMar w:top="510" w:right="1134" w:bottom="567"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9C9C4" w14:textId="77777777" w:rsidR="001A1D03" w:rsidRDefault="001A1D03" w:rsidP="006655D3">
      <w:r>
        <w:separator/>
      </w:r>
    </w:p>
    <w:p w14:paraId="466E119C" w14:textId="77777777" w:rsidR="001A1D03" w:rsidRDefault="001A1D03" w:rsidP="006655D3"/>
    <w:p w14:paraId="07A66A5D" w14:textId="77777777" w:rsidR="001A1D03" w:rsidRDefault="001A1D03" w:rsidP="006655D3"/>
  </w:endnote>
  <w:endnote w:type="continuationSeparator" w:id="0">
    <w:p w14:paraId="5A184193" w14:textId="77777777" w:rsidR="001A1D03" w:rsidRDefault="001A1D03" w:rsidP="006655D3">
      <w:r>
        <w:separator/>
      </w:r>
    </w:p>
    <w:p w14:paraId="6F9880DC" w14:textId="77777777" w:rsidR="001A1D03" w:rsidRPr="00294751" w:rsidRDefault="001A1D03">
      <w:pPr>
        <w:pStyle w:val="Footer"/>
        <w:spacing w:after="60"/>
        <w:rPr>
          <w:sz w:val="18"/>
          <w:lang w:val="fr-FR"/>
        </w:rPr>
      </w:pPr>
      <w:r w:rsidRPr="00294751">
        <w:rPr>
          <w:sz w:val="18"/>
          <w:lang w:val="fr-FR"/>
        </w:rPr>
        <w:t>[Suite de la note de la page précédente]</w:t>
      </w:r>
    </w:p>
    <w:p w14:paraId="48947DAB" w14:textId="77777777" w:rsidR="001A1D03" w:rsidRPr="00294751" w:rsidRDefault="001A1D03" w:rsidP="006655D3">
      <w:pPr>
        <w:rPr>
          <w:lang w:val="fr-FR"/>
        </w:rPr>
      </w:pPr>
    </w:p>
    <w:p w14:paraId="03A5EBCE" w14:textId="77777777" w:rsidR="001A1D03" w:rsidRPr="00294751" w:rsidRDefault="001A1D03" w:rsidP="006655D3">
      <w:pPr>
        <w:rPr>
          <w:lang w:val="fr-FR"/>
        </w:rPr>
      </w:pPr>
    </w:p>
  </w:endnote>
  <w:endnote w:type="continuationNotice" w:id="1">
    <w:p w14:paraId="23A22D1F" w14:textId="77777777" w:rsidR="001A1D03" w:rsidRPr="00294751" w:rsidRDefault="001A1D03" w:rsidP="006655D3">
      <w:pPr>
        <w:rPr>
          <w:lang w:val="fr-FR"/>
        </w:rPr>
      </w:pPr>
      <w:r w:rsidRPr="00294751">
        <w:rPr>
          <w:lang w:val="fr-FR"/>
        </w:rPr>
        <w:t>[Suite de la note page suivante]</w:t>
      </w:r>
    </w:p>
    <w:p w14:paraId="1FA9D255" w14:textId="77777777" w:rsidR="001A1D03" w:rsidRPr="00294751" w:rsidRDefault="001A1D03" w:rsidP="006655D3">
      <w:pPr>
        <w:rPr>
          <w:lang w:val="fr-FR"/>
        </w:rPr>
      </w:pPr>
    </w:p>
    <w:p w14:paraId="50F6D913" w14:textId="77777777" w:rsidR="001A1D03" w:rsidRPr="00294751" w:rsidRDefault="001A1D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96D5D" w14:textId="77777777" w:rsidR="001A1D03" w:rsidRDefault="001A1D03" w:rsidP="006655D3">
      <w:r>
        <w:separator/>
      </w:r>
    </w:p>
  </w:footnote>
  <w:footnote w:type="continuationSeparator" w:id="0">
    <w:p w14:paraId="1C55CD60" w14:textId="77777777" w:rsidR="001A1D03" w:rsidRDefault="001A1D03" w:rsidP="006655D3">
      <w:r>
        <w:separator/>
      </w:r>
    </w:p>
  </w:footnote>
  <w:footnote w:type="continuationNotice" w:id="1">
    <w:p w14:paraId="031D4AAF" w14:textId="77777777" w:rsidR="001A1D03" w:rsidRPr="00AB530F" w:rsidRDefault="001A1D03" w:rsidP="00AB530F">
      <w:pPr>
        <w:pStyle w:val="Footer"/>
      </w:pPr>
    </w:p>
  </w:footnote>
  <w:footnote w:id="2">
    <w:p w14:paraId="4B2C180A" w14:textId="77777777" w:rsidR="00982DEC" w:rsidRPr="00AA6C9E" w:rsidRDefault="00982DEC" w:rsidP="0088502A">
      <w:pPr>
        <w:pStyle w:val="FootnoteText"/>
      </w:pPr>
      <w:r>
        <w:rPr>
          <w:rStyle w:val="FootnoteReference"/>
        </w:rPr>
        <w:footnoteRef/>
      </w:r>
      <w:r>
        <w:t xml:space="preserve"> Celebrada el 28 de octubre de 2022.</w:t>
      </w:r>
    </w:p>
  </w:footnote>
  <w:footnote w:id="3">
    <w:p w14:paraId="75A326C0" w14:textId="77777777" w:rsidR="00982DEC" w:rsidRPr="00AA6C9E" w:rsidRDefault="00982DEC" w:rsidP="0088502A">
      <w:pPr>
        <w:pStyle w:val="FootnoteText"/>
      </w:pPr>
      <w:r>
        <w:rPr>
          <w:rStyle w:val="FootnoteReference"/>
        </w:rPr>
        <w:footnoteRef/>
      </w:r>
      <w:r>
        <w:t xml:space="preserve"> Celebrada el 27 de octubre de 2022.</w:t>
      </w:r>
    </w:p>
  </w:footnote>
  <w:footnote w:id="4">
    <w:p w14:paraId="0F127BE7" w14:textId="77777777" w:rsidR="00982DEC" w:rsidRPr="00AA6C9E" w:rsidRDefault="00982DEC" w:rsidP="0088502A">
      <w:pPr>
        <w:pStyle w:val="FootnoteText"/>
      </w:pPr>
      <w:r>
        <w:rPr>
          <w:rStyle w:val="FootnoteReference"/>
        </w:rPr>
        <w:footnoteRef/>
      </w:r>
      <w:r>
        <w:t xml:space="preserve"> Celebrada por medios electrónicos el 14 de diciembre de 2022.</w:t>
      </w:r>
    </w:p>
  </w:footnote>
  <w:footnote w:id="5">
    <w:p w14:paraId="1F82239A" w14:textId="77777777" w:rsidR="00D453FB" w:rsidRPr="00AA6C9E" w:rsidRDefault="00D453FB" w:rsidP="00D453FB">
      <w:pPr>
        <w:pStyle w:val="FootnoteText"/>
      </w:pPr>
      <w:r>
        <w:rPr>
          <w:rStyle w:val="FootnoteReference"/>
        </w:rPr>
        <w:footnoteRef/>
      </w:r>
      <w:r>
        <w:t xml:space="preserve"> Celebrada por medios electrónicos el 27 de febrero de 2023.</w:t>
      </w:r>
    </w:p>
  </w:footnote>
  <w:footnote w:id="6">
    <w:p w14:paraId="436CD44A" w14:textId="77777777" w:rsidR="00982DEC" w:rsidRPr="00AA6C9E" w:rsidRDefault="00982DEC" w:rsidP="0088502A">
      <w:pPr>
        <w:pStyle w:val="FootnoteText"/>
      </w:pPr>
      <w:r>
        <w:rPr>
          <w:rStyle w:val="FootnoteReference"/>
        </w:rPr>
        <w:footnoteRef/>
      </w:r>
      <w:r>
        <w:t xml:space="preserve"> Celebrada el 24 de marzo de 2023.</w:t>
      </w:r>
    </w:p>
  </w:footnote>
  <w:footnote w:id="7">
    <w:p w14:paraId="45482CE5" w14:textId="31D06732" w:rsidR="009262DF" w:rsidRPr="009262DF" w:rsidRDefault="009262DF">
      <w:pPr>
        <w:pStyle w:val="FootnoteText"/>
        <w:rPr>
          <w:lang w:val="en-US"/>
        </w:rPr>
      </w:pPr>
      <w:r>
        <w:rPr>
          <w:rStyle w:val="FootnoteReference"/>
        </w:rPr>
        <w:footnoteRef/>
      </w:r>
      <w:r>
        <w:t xml:space="preserve"> Celebrada los días 24 y 25 de octubre de 2022.</w:t>
      </w:r>
    </w:p>
  </w:footnote>
  <w:footnote w:id="8">
    <w:p w14:paraId="08BD072F" w14:textId="1BBEB6AA" w:rsidR="004E5F31" w:rsidRPr="004E5F31" w:rsidRDefault="004E5F31">
      <w:pPr>
        <w:pStyle w:val="FootnoteText"/>
        <w:rPr>
          <w:lang w:val="en-US"/>
        </w:rPr>
      </w:pPr>
      <w:r>
        <w:rPr>
          <w:rStyle w:val="FootnoteReference"/>
        </w:rPr>
        <w:footnoteRef/>
      </w:r>
      <w:r>
        <w:t xml:space="preserve"> Celebrada en Antalya (Turquía) del 1 al 5 de mayo de 2023.</w:t>
      </w:r>
    </w:p>
  </w:footnote>
  <w:footnote w:id="9">
    <w:p w14:paraId="7770D7DB" w14:textId="77777777" w:rsidR="00982DEC" w:rsidRPr="00AA6C9E" w:rsidRDefault="00982DEC" w:rsidP="0088502A">
      <w:pPr>
        <w:pStyle w:val="FootnoteText"/>
      </w:pPr>
      <w:r>
        <w:rPr>
          <w:rStyle w:val="FootnoteReference"/>
        </w:rPr>
        <w:footnoteRef/>
      </w:r>
      <w:r>
        <w:t xml:space="preserve"> Celebrada por medios electrónicos del 22 al 26 de mayo de 2023.</w:t>
      </w:r>
    </w:p>
  </w:footnote>
  <w:footnote w:id="10">
    <w:p w14:paraId="4C42CBA2" w14:textId="77777777" w:rsidR="00982DEC" w:rsidRPr="002E13AE" w:rsidRDefault="00982DEC" w:rsidP="002647D9">
      <w:pPr>
        <w:pStyle w:val="FootnoteText"/>
      </w:pPr>
      <w:r>
        <w:rPr>
          <w:rStyle w:val="FootnoteReference"/>
        </w:rPr>
        <w:footnoteRef/>
      </w:r>
      <w:r>
        <w:t xml:space="preserve"> Celebrada en Nîmes (Francia) del 3 al 7 de julio de 2023.</w:t>
      </w:r>
    </w:p>
  </w:footnote>
  <w:footnote w:id="11">
    <w:p w14:paraId="3F15E7AB" w14:textId="77777777" w:rsidR="00982DEC" w:rsidRPr="00087017" w:rsidRDefault="00982DEC" w:rsidP="0088502A">
      <w:pPr>
        <w:pStyle w:val="FootnoteText"/>
      </w:pPr>
      <w:r>
        <w:rPr>
          <w:rStyle w:val="FootnoteReference"/>
        </w:rPr>
        <w:footnoteRef/>
      </w:r>
      <w:r>
        <w:t xml:space="preserve"> Celebrada por medios electrónicos del 12 al 16 de junio de 2023</w:t>
      </w:r>
    </w:p>
  </w:footnote>
  <w:footnote w:id="12">
    <w:p w14:paraId="37A32849" w14:textId="77777777" w:rsidR="00982DEC" w:rsidRDefault="00982DEC" w:rsidP="0088502A">
      <w:pPr>
        <w:pStyle w:val="FootnoteText"/>
      </w:pPr>
      <w:r>
        <w:rPr>
          <w:rStyle w:val="FootnoteReference"/>
        </w:rPr>
        <w:footnoteRef/>
      </w:r>
      <w:r>
        <w:t xml:space="preserve"> Fuente: </w:t>
      </w:r>
      <w:hyperlink r:id="rId1" w:history="1">
        <w:r>
          <w:rPr>
            <w:rStyle w:val="Hyperlink"/>
          </w:rPr>
          <w:t>https://worldseed.org/</w:t>
        </w:r>
      </w:hyperlink>
    </w:p>
  </w:footnote>
  <w:footnote w:id="13">
    <w:p w14:paraId="094D4F84" w14:textId="33FB1F5F" w:rsidR="00982DEC" w:rsidRPr="00FF16C5" w:rsidRDefault="00982DEC" w:rsidP="00C819DA">
      <w:pPr>
        <w:pStyle w:val="Default"/>
        <w:rPr>
          <w:spacing w:val="-4"/>
          <w:sz w:val="16"/>
          <w:szCs w:val="16"/>
        </w:rPr>
      </w:pPr>
      <w:r>
        <w:rPr>
          <w:rStyle w:val="FootnoteReference"/>
          <w:spacing w:val="-4"/>
          <w:sz w:val="16"/>
          <w:szCs w:val="16"/>
        </w:rPr>
        <w:footnoteRef/>
      </w:r>
      <w:r>
        <w:rPr>
          <w:sz w:val="16"/>
          <w:szCs w:val="16"/>
        </w:rPr>
        <w:t xml:space="preserve"> En las “Notas explicativas sobre las denominaciones de variedades con arreglo al Convenio de la</w:t>
      </w:r>
      <w:r w:rsidR="00CC17C0">
        <w:rPr>
          <w:sz w:val="16"/>
          <w:szCs w:val="16"/>
        </w:rPr>
        <w:t> </w:t>
      </w:r>
      <w:r>
        <w:rPr>
          <w:sz w:val="16"/>
          <w:szCs w:val="16"/>
        </w:rPr>
        <w:t xml:space="preserve">UPOV” (documento UPOV/EXN/DEN/1) se indica “2.5.2 A continuación figuran las clases de denominaciones de variedades: </w:t>
      </w:r>
    </w:p>
    <w:p w14:paraId="75F02A01" w14:textId="50941FBF" w:rsidR="00982DEC" w:rsidRPr="00FF16C5" w:rsidRDefault="00982DEC" w:rsidP="00C819DA">
      <w:pPr>
        <w:pStyle w:val="Default"/>
        <w:ind w:left="851" w:hanging="284"/>
        <w:rPr>
          <w:spacing w:val="-4"/>
          <w:sz w:val="16"/>
          <w:szCs w:val="16"/>
        </w:rPr>
      </w:pPr>
      <w:r>
        <w:rPr>
          <w:sz w:val="16"/>
          <w:szCs w:val="16"/>
        </w:rPr>
        <w:t>“a) norma general (un género/una clase): para los géneros y especies no comprendidos en la Lista de clases del presente Anexo</w:t>
      </w:r>
      <w:r w:rsidR="00CC17C0">
        <w:rPr>
          <w:sz w:val="16"/>
          <w:szCs w:val="16"/>
        </w:rPr>
        <w:t> </w:t>
      </w:r>
      <w:r>
        <w:rPr>
          <w:sz w:val="16"/>
          <w:szCs w:val="16"/>
        </w:rPr>
        <w:t xml:space="preserve">I, se considera que un género es una clase; </w:t>
      </w:r>
    </w:p>
    <w:p w14:paraId="19886B44" w14:textId="77777777" w:rsidR="00982DEC" w:rsidRPr="00FF16C5" w:rsidRDefault="00982DEC" w:rsidP="00C819DA">
      <w:pPr>
        <w:pStyle w:val="Default"/>
        <w:ind w:firstLine="567"/>
        <w:rPr>
          <w:spacing w:val="-4"/>
          <w:sz w:val="16"/>
          <w:szCs w:val="16"/>
        </w:rPr>
      </w:pPr>
      <w:r>
        <w:rPr>
          <w:sz w:val="16"/>
          <w:szCs w:val="16"/>
        </w:rPr>
        <w:t xml:space="preserve">“b) excepciones a la norma general (lista de clases): </w:t>
      </w:r>
    </w:p>
    <w:p w14:paraId="2187CFC5" w14:textId="15DC31A3" w:rsidR="00982DEC" w:rsidRPr="00FF16C5" w:rsidRDefault="00982DEC" w:rsidP="00C819DA">
      <w:pPr>
        <w:pStyle w:val="Default"/>
        <w:ind w:left="567" w:firstLine="567"/>
        <w:rPr>
          <w:spacing w:val="-4"/>
          <w:sz w:val="16"/>
          <w:szCs w:val="16"/>
        </w:rPr>
      </w:pPr>
      <w:r>
        <w:rPr>
          <w:sz w:val="16"/>
          <w:szCs w:val="16"/>
        </w:rPr>
        <w:t>“i) clases dentro de un género: Lista de clases del Anexo</w:t>
      </w:r>
      <w:r w:rsidR="00CC17C0">
        <w:rPr>
          <w:sz w:val="16"/>
          <w:szCs w:val="16"/>
        </w:rPr>
        <w:t> </w:t>
      </w:r>
      <w:r>
        <w:rPr>
          <w:sz w:val="16"/>
          <w:szCs w:val="16"/>
        </w:rPr>
        <w:t>I: Parte</w:t>
      </w:r>
      <w:r w:rsidR="00CC17C0">
        <w:rPr>
          <w:sz w:val="16"/>
          <w:szCs w:val="16"/>
        </w:rPr>
        <w:t> </w:t>
      </w:r>
      <w:r>
        <w:rPr>
          <w:sz w:val="16"/>
          <w:szCs w:val="16"/>
        </w:rPr>
        <w:t xml:space="preserve">I; </w:t>
      </w:r>
    </w:p>
    <w:p w14:paraId="723A77A7" w14:textId="6871E2C1" w:rsidR="00982DEC" w:rsidRPr="002641D5" w:rsidRDefault="00982DEC" w:rsidP="00161C0C">
      <w:pPr>
        <w:pStyle w:val="FootnoteText"/>
        <w:ind w:firstLine="567"/>
      </w:pPr>
      <w:r>
        <w:t>“ii) clases que comprenden más de un género: Lista de clases del Anexo</w:t>
      </w:r>
      <w:r w:rsidR="00CC17C0">
        <w:t> </w:t>
      </w:r>
      <w:r>
        <w:t>I: Parte</w:t>
      </w:r>
      <w:r w:rsidR="00CC17C0">
        <w:t> </w:t>
      </w:r>
      <w:r>
        <w:t>II.</w:t>
      </w:r>
      <w:r w:rsidR="00161C0C">
        <w:t>”</w:t>
      </w:r>
    </w:p>
  </w:footnote>
  <w:footnote w:id="14">
    <w:p w14:paraId="480D3F9F" w14:textId="77777777" w:rsidR="00982DEC" w:rsidRDefault="00982DEC" w:rsidP="00585833">
      <w:pPr>
        <w:pStyle w:val="FootnoteText"/>
      </w:pPr>
      <w:r>
        <w:rPr>
          <w:rStyle w:val="FootnoteReference"/>
        </w:rPr>
        <w:footnoteRef/>
      </w:r>
      <w:r>
        <w:t xml:space="preserve"> Organizada por Turquía por medios electrónicos del 3 al 7 de mayo de 2021.</w:t>
      </w:r>
    </w:p>
  </w:footnote>
  <w:footnote w:id="15">
    <w:p w14:paraId="3D38B4A1" w14:textId="79DF0EC2" w:rsidR="00982DEC" w:rsidRPr="00AA6C9E" w:rsidRDefault="00982DEC" w:rsidP="00D86905">
      <w:pPr>
        <w:pStyle w:val="FootnoteText"/>
      </w:pPr>
      <w:r>
        <w:rPr>
          <w:rStyle w:val="FootnoteReference"/>
        </w:rPr>
        <w:footnoteRef/>
      </w:r>
      <w:r>
        <w:t xml:space="preserve"> Celebrada por medios electrónicos del</w:t>
      </w:r>
      <w:r w:rsidR="008F3423">
        <w:t> </w:t>
      </w:r>
      <w:r>
        <w:t>18 al</w:t>
      </w:r>
      <w:r w:rsidR="008F3423">
        <w:t> </w:t>
      </w:r>
      <w:r>
        <w:t>22 de abril de 2022.</w:t>
      </w:r>
    </w:p>
  </w:footnote>
  <w:footnote w:id="16">
    <w:p w14:paraId="4376654C" w14:textId="77777777" w:rsidR="00982DEC" w:rsidRDefault="00982DEC" w:rsidP="004769F7">
      <w:pPr>
        <w:pStyle w:val="FootnoteText"/>
      </w:pPr>
      <w:r>
        <w:rPr>
          <w:rStyle w:val="FootnoteReference"/>
        </w:rPr>
        <w:footnoteRef/>
      </w:r>
      <w:r>
        <w:t xml:space="preserve"> Celebrada por medios electrónicos del 11 al 15 de julio de 2022.</w:t>
      </w:r>
    </w:p>
  </w:footnote>
  <w:footnote w:id="17">
    <w:p w14:paraId="22330ED8" w14:textId="63BEF2A9" w:rsidR="004E5F31" w:rsidRPr="004E5F31" w:rsidRDefault="004E5F31">
      <w:pPr>
        <w:pStyle w:val="FootnoteText"/>
        <w:rPr>
          <w:lang w:val="es-ES_tradnl"/>
        </w:rPr>
      </w:pPr>
      <w:r w:rsidRPr="004E5F31">
        <w:rPr>
          <w:rStyle w:val="FootnoteReference"/>
          <w:lang w:val="es-ES_tradnl"/>
        </w:rPr>
        <w:footnoteRef/>
      </w:r>
      <w:r w:rsidRPr="004E5F31">
        <w:rPr>
          <w:lang w:val="es-ES_tradnl"/>
        </w:rPr>
        <w:t xml:space="preserve"> Celebrada los días 25 y 26 de octubre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942" w14:textId="77777777" w:rsidR="00982DEC" w:rsidRDefault="00982DEC" w:rsidP="00EB048E">
    <w:pPr>
      <w:pStyle w:val="Header"/>
      <w:rPr>
        <w:rStyle w:val="PageNumber"/>
      </w:rPr>
    </w:pPr>
    <w:r>
      <w:rPr>
        <w:rStyle w:val="PageNumber"/>
      </w:rPr>
      <w:t>SESIONES/2023/2</w:t>
    </w:r>
  </w:p>
  <w:p w14:paraId="3D5297A7" w14:textId="50C8E32C" w:rsidR="00982DEC" w:rsidRPr="00C5280D" w:rsidRDefault="00982DEC"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E16BA">
      <w:rPr>
        <w:rStyle w:val="PageNumber"/>
        <w:noProof/>
      </w:rPr>
      <w:t>8</w:t>
    </w:r>
    <w:r w:rsidRPr="00C5280D">
      <w:rPr>
        <w:rStyle w:val="PageNumber"/>
      </w:rPr>
      <w:fldChar w:fldCharType="end"/>
    </w:r>
  </w:p>
  <w:p w14:paraId="2490B0DF" w14:textId="77777777" w:rsidR="00982DEC" w:rsidRPr="00C5280D" w:rsidRDefault="00982DEC"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3B6E" w14:textId="77777777" w:rsidR="00982DEC" w:rsidRDefault="00982DEC" w:rsidP="00EB048E">
    <w:pPr>
      <w:pStyle w:val="Header"/>
      <w:rPr>
        <w:rStyle w:val="PageNumber"/>
      </w:rPr>
    </w:pPr>
    <w:r>
      <w:rPr>
        <w:rStyle w:val="PageNumber"/>
      </w:rPr>
      <w:t>SESIONES/2023/2</w:t>
    </w:r>
  </w:p>
  <w:p w14:paraId="4CAFE7B7" w14:textId="3A6E9CE2" w:rsidR="00982DEC" w:rsidRPr="00C5280D" w:rsidRDefault="00982DEC"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75FD1">
      <w:rPr>
        <w:rStyle w:val="PageNumber"/>
      </w:rPr>
      <w:t>4</w:t>
    </w:r>
    <w:r w:rsidRPr="00C5280D">
      <w:rPr>
        <w:rStyle w:val="PageNumber"/>
      </w:rPr>
      <w:fldChar w:fldCharType="end"/>
    </w:r>
  </w:p>
  <w:p w14:paraId="135941E2" w14:textId="77777777" w:rsidR="00982DEC" w:rsidRPr="00C5280D" w:rsidRDefault="00982DEC"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D3A17" w14:textId="77777777" w:rsidR="00982DEC" w:rsidRDefault="00982DEC" w:rsidP="00A62445">
    <w:pPr>
      <w:pStyle w:val="Header"/>
      <w:rPr>
        <w:rStyle w:val="PageNumber"/>
      </w:rPr>
    </w:pPr>
    <w:r>
      <w:rPr>
        <w:rStyle w:val="PageNumber"/>
      </w:rPr>
      <w:t>SESIONES/2023/2</w:t>
    </w:r>
  </w:p>
  <w:p w14:paraId="3CEA7F03" w14:textId="77777777" w:rsidR="00982DEC" w:rsidRDefault="00982DEC" w:rsidP="00A62445">
    <w:pPr>
      <w:pStyle w:val="Header"/>
      <w:rPr>
        <w:lang w:val="fr-CH"/>
      </w:rPr>
    </w:pPr>
  </w:p>
  <w:p w14:paraId="0B177D45" w14:textId="77777777" w:rsidR="00982DEC" w:rsidRDefault="00982DEC" w:rsidP="00A62445">
    <w:pPr>
      <w:pStyle w:val="Header"/>
    </w:pPr>
    <w:r>
      <w:t>ANEXO I</w:t>
    </w:r>
  </w:p>
  <w:p w14:paraId="1F2D781D" w14:textId="77777777" w:rsidR="00982DEC" w:rsidRPr="0004198B" w:rsidRDefault="00982DEC"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1F58" w14:textId="77777777" w:rsidR="00982DEC" w:rsidRDefault="00982DEC" w:rsidP="00EB048E">
    <w:pPr>
      <w:pStyle w:val="Header"/>
      <w:rPr>
        <w:rStyle w:val="PageNumber"/>
      </w:rPr>
    </w:pPr>
    <w:r>
      <w:rPr>
        <w:rStyle w:val="PageNumber"/>
      </w:rPr>
      <w:t>SESIONES/2023/2</w:t>
    </w:r>
  </w:p>
  <w:p w14:paraId="7D1531AE" w14:textId="7939840C" w:rsidR="00982DEC" w:rsidRPr="00C5280D" w:rsidRDefault="00982DEC"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C7E5B">
      <w:rPr>
        <w:rStyle w:val="PageNumber"/>
      </w:rPr>
      <w:t>2</w:t>
    </w:r>
    <w:r w:rsidRPr="00C5280D">
      <w:rPr>
        <w:rStyle w:val="PageNumber"/>
      </w:rPr>
      <w:fldChar w:fldCharType="end"/>
    </w:r>
  </w:p>
  <w:p w14:paraId="311FE1B0" w14:textId="77777777" w:rsidR="00982DEC" w:rsidRPr="00C5280D" w:rsidRDefault="00982DE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A3E" w14:textId="77777777" w:rsidR="00982DEC" w:rsidRDefault="00982DEC" w:rsidP="00A62445">
    <w:pPr>
      <w:pStyle w:val="Header"/>
      <w:rPr>
        <w:rStyle w:val="PageNumber"/>
      </w:rPr>
    </w:pPr>
    <w:r>
      <w:rPr>
        <w:rStyle w:val="PageNumber"/>
      </w:rPr>
      <w:t>SESIONES/2023/2</w:t>
    </w:r>
  </w:p>
  <w:p w14:paraId="5A8EC11E" w14:textId="77777777" w:rsidR="00982DEC" w:rsidRDefault="00982DEC" w:rsidP="00A62445">
    <w:pPr>
      <w:pStyle w:val="Header"/>
      <w:rPr>
        <w:lang w:val="fr-CH"/>
      </w:rPr>
    </w:pPr>
  </w:p>
  <w:p w14:paraId="31937883" w14:textId="77777777" w:rsidR="00982DEC" w:rsidRDefault="00982DEC" w:rsidP="00A62445">
    <w:pPr>
      <w:pStyle w:val="Header"/>
    </w:pPr>
    <w:r>
      <w:t>ANEXO II</w:t>
    </w:r>
  </w:p>
  <w:p w14:paraId="0183008D" w14:textId="77777777" w:rsidR="00982DEC" w:rsidRPr="0004198B" w:rsidRDefault="00982DEC"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C7CB" w14:textId="77777777" w:rsidR="00982DEC" w:rsidRDefault="00982DEC" w:rsidP="00EB048E">
    <w:pPr>
      <w:pStyle w:val="Header"/>
      <w:rPr>
        <w:rStyle w:val="PageNumber"/>
      </w:rPr>
    </w:pPr>
    <w:r>
      <w:rPr>
        <w:rStyle w:val="PageNumber"/>
      </w:rPr>
      <w:t>SESIONES/2023/2</w:t>
    </w:r>
  </w:p>
  <w:p w14:paraId="3175A527" w14:textId="49D234D6" w:rsidR="00982DEC" w:rsidRPr="00C5280D" w:rsidRDefault="00982DEC" w:rsidP="00EB048E">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75FD1">
      <w:rPr>
        <w:rStyle w:val="PageNumber"/>
      </w:rPr>
      <w:t>3</w:t>
    </w:r>
    <w:r w:rsidRPr="00C5280D">
      <w:rPr>
        <w:rStyle w:val="PageNumber"/>
      </w:rPr>
      <w:fldChar w:fldCharType="end"/>
    </w:r>
  </w:p>
  <w:p w14:paraId="094DA8A1" w14:textId="77777777" w:rsidR="00982DEC" w:rsidRPr="00C5280D" w:rsidRDefault="00982DEC"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093E" w14:textId="77777777" w:rsidR="00982DEC" w:rsidRDefault="00982DEC" w:rsidP="00A62445">
    <w:pPr>
      <w:pStyle w:val="Header"/>
      <w:rPr>
        <w:rStyle w:val="PageNumber"/>
      </w:rPr>
    </w:pPr>
    <w:r>
      <w:rPr>
        <w:rStyle w:val="PageNumber"/>
      </w:rPr>
      <w:t>SESIONES/2023/2</w:t>
    </w:r>
  </w:p>
  <w:p w14:paraId="160C79DA" w14:textId="77777777" w:rsidR="00982DEC" w:rsidRDefault="00982DEC" w:rsidP="00A62445">
    <w:pPr>
      <w:pStyle w:val="Header"/>
      <w:rPr>
        <w:lang w:val="fr-CH"/>
      </w:rPr>
    </w:pPr>
  </w:p>
  <w:p w14:paraId="77AB6101" w14:textId="77777777" w:rsidR="00982DEC" w:rsidRDefault="00982DEC" w:rsidP="00A62445">
    <w:pPr>
      <w:pStyle w:val="Header"/>
    </w:pPr>
    <w:r>
      <w:t>ANEXO III</w:t>
    </w:r>
  </w:p>
  <w:p w14:paraId="04B56824" w14:textId="77777777" w:rsidR="00982DEC" w:rsidRPr="0004198B" w:rsidRDefault="00982DEC"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020D" w14:textId="77777777" w:rsidR="00982DEC" w:rsidRDefault="00982DEC" w:rsidP="00EB048E">
    <w:pPr>
      <w:pStyle w:val="Header"/>
      <w:rPr>
        <w:rStyle w:val="PageNumber"/>
      </w:rPr>
    </w:pPr>
    <w:r>
      <w:rPr>
        <w:rStyle w:val="PageNumber"/>
      </w:rPr>
      <w:t>SESIONES/2023/2</w:t>
    </w:r>
  </w:p>
  <w:p w14:paraId="493391CD" w14:textId="2F1661E3" w:rsidR="00982DEC" w:rsidRPr="00C5280D" w:rsidRDefault="00982DEC" w:rsidP="00EB048E">
    <w:pPr>
      <w:pStyle w:val="Header"/>
    </w:pPr>
    <w:r>
      <w:t xml:space="preserve">Anexo IV,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25FC1">
      <w:rPr>
        <w:rStyle w:val="PageNumber"/>
      </w:rPr>
      <w:t>2</w:t>
    </w:r>
    <w:r w:rsidRPr="00C5280D">
      <w:rPr>
        <w:rStyle w:val="PageNumber"/>
      </w:rPr>
      <w:fldChar w:fldCharType="end"/>
    </w:r>
  </w:p>
  <w:p w14:paraId="5A6D4096" w14:textId="77777777" w:rsidR="00982DEC" w:rsidRPr="00C5280D" w:rsidRDefault="00982DEC"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65AD5" w14:textId="77777777" w:rsidR="00982DEC" w:rsidRDefault="00982DEC" w:rsidP="00A62445">
    <w:pPr>
      <w:pStyle w:val="Header"/>
      <w:rPr>
        <w:rStyle w:val="PageNumber"/>
      </w:rPr>
    </w:pPr>
    <w:r>
      <w:rPr>
        <w:rStyle w:val="PageNumber"/>
      </w:rPr>
      <w:t>SESIONES/2023/2</w:t>
    </w:r>
  </w:p>
  <w:p w14:paraId="1AC74B9D" w14:textId="77777777" w:rsidR="00982DEC" w:rsidRDefault="00982DEC" w:rsidP="00A62445">
    <w:pPr>
      <w:pStyle w:val="Header"/>
      <w:rPr>
        <w:lang w:val="fr-CH"/>
      </w:rPr>
    </w:pPr>
  </w:p>
  <w:p w14:paraId="6AAC7C48" w14:textId="77777777" w:rsidR="00982DEC" w:rsidRDefault="00982DEC" w:rsidP="00A62445">
    <w:pPr>
      <w:pStyle w:val="Header"/>
    </w:pPr>
    <w:r>
      <w:t>ANEXO IV</w:t>
    </w:r>
  </w:p>
  <w:p w14:paraId="7628C379" w14:textId="77777777" w:rsidR="00982DEC" w:rsidRPr="0004198B" w:rsidRDefault="00982DEC"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50502"/>
    <w:multiLevelType w:val="hybridMultilevel"/>
    <w:tmpl w:val="BB0C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F4261"/>
    <w:multiLevelType w:val="hybridMultilevel"/>
    <w:tmpl w:val="80C22BA0"/>
    <w:lvl w:ilvl="0" w:tplc="C0086712">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31B02"/>
    <w:multiLevelType w:val="hybridMultilevel"/>
    <w:tmpl w:val="D256B04E"/>
    <w:lvl w:ilvl="0" w:tplc="8EAE4D46">
      <w:start w:val="4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C10F3"/>
    <w:multiLevelType w:val="hybridMultilevel"/>
    <w:tmpl w:val="6CE4DDD6"/>
    <w:lvl w:ilvl="0" w:tplc="F5264B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DEA1DD3"/>
    <w:multiLevelType w:val="hybridMultilevel"/>
    <w:tmpl w:val="E42C23EA"/>
    <w:lvl w:ilvl="0" w:tplc="9C3A077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70757"/>
    <w:multiLevelType w:val="hybridMultilevel"/>
    <w:tmpl w:val="BA3E7CB4"/>
    <w:lvl w:ilvl="0" w:tplc="C68EE5AC">
      <w:numFmt w:val="bullet"/>
      <w:lvlText w:val="-"/>
      <w:lvlJc w:val="left"/>
      <w:pPr>
        <w:ind w:left="1137" w:hanging="57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30BD6EF4"/>
    <w:multiLevelType w:val="hybridMultilevel"/>
    <w:tmpl w:val="9676A2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BA94A08"/>
    <w:multiLevelType w:val="hybridMultilevel"/>
    <w:tmpl w:val="11AA23F8"/>
    <w:lvl w:ilvl="0" w:tplc="B8C4B3E6">
      <w:numFmt w:val="bullet"/>
      <w:lvlText w:val="-"/>
      <w:lvlJc w:val="left"/>
      <w:pPr>
        <w:ind w:left="2061" w:hanging="360"/>
      </w:pPr>
      <w:rPr>
        <w:rFonts w:ascii="Arial" w:eastAsia="Times New Roman" w:hAnsi="Aria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10" w15:restartNumberingAfterBreak="0">
    <w:nsid w:val="4DD7091A"/>
    <w:multiLevelType w:val="hybridMultilevel"/>
    <w:tmpl w:val="A27A9A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A279B0"/>
    <w:multiLevelType w:val="hybridMultilevel"/>
    <w:tmpl w:val="5688FCF6"/>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0A62AE"/>
    <w:multiLevelType w:val="hybridMultilevel"/>
    <w:tmpl w:val="3CF88894"/>
    <w:lvl w:ilvl="0" w:tplc="763EABFC">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6A54BC"/>
    <w:multiLevelType w:val="hybridMultilevel"/>
    <w:tmpl w:val="404E5A68"/>
    <w:lvl w:ilvl="0" w:tplc="04090001">
      <w:start w:val="1"/>
      <w:numFmt w:val="bullet"/>
      <w:lvlText w:val=""/>
      <w:lvlJc w:val="left"/>
      <w:pPr>
        <w:ind w:left="2007" w:hanging="360"/>
      </w:pPr>
      <w:rPr>
        <w:rFonts w:ascii="Symbol" w:hAnsi="Symbol" w:hint="default"/>
      </w:rPr>
    </w:lvl>
    <w:lvl w:ilvl="1" w:tplc="04090003">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4"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5215251"/>
    <w:multiLevelType w:val="hybridMultilevel"/>
    <w:tmpl w:val="5DE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438690">
    <w:abstractNumId w:val="4"/>
  </w:num>
  <w:num w:numId="2" w16cid:durableId="459306849">
    <w:abstractNumId w:val="6"/>
  </w:num>
  <w:num w:numId="3" w16cid:durableId="1108280214">
    <w:abstractNumId w:val="13"/>
  </w:num>
  <w:num w:numId="4" w16cid:durableId="843398425">
    <w:abstractNumId w:val="3"/>
  </w:num>
  <w:num w:numId="5" w16cid:durableId="1358311765">
    <w:abstractNumId w:val="9"/>
  </w:num>
  <w:num w:numId="6" w16cid:durableId="2008510493">
    <w:abstractNumId w:val="14"/>
  </w:num>
  <w:num w:numId="7" w16cid:durableId="356663135">
    <w:abstractNumId w:val="1"/>
  </w:num>
  <w:num w:numId="8" w16cid:durableId="7678048">
    <w:abstractNumId w:val="15"/>
  </w:num>
  <w:num w:numId="9" w16cid:durableId="618269151">
    <w:abstractNumId w:val="7"/>
  </w:num>
  <w:num w:numId="10" w16cid:durableId="225336768">
    <w:abstractNumId w:val="12"/>
  </w:num>
  <w:num w:numId="11" w16cid:durableId="205530291">
    <w:abstractNumId w:val="2"/>
  </w:num>
  <w:num w:numId="12" w16cid:durableId="566500365">
    <w:abstractNumId w:val="11"/>
  </w:num>
  <w:num w:numId="13" w16cid:durableId="1789079201">
    <w:abstractNumId w:val="5"/>
  </w:num>
  <w:num w:numId="14" w16cid:durableId="1979990867">
    <w:abstractNumId w:val="5"/>
    <w:lvlOverride w:ilvl="0">
      <w:startOverride w:val="1"/>
    </w:lvlOverride>
  </w:num>
  <w:num w:numId="15" w16cid:durableId="120924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1985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s-ES" w:vendorID="64" w:dllVersion="6" w:nlCheck="1" w:checkStyle="0"/>
  <w:activeWritingStyle w:appName="MSWord" w:lang="pt-BR" w:vendorID="64" w:dllVersion="6" w:nlCheck="1" w:checkStyle="0"/>
  <w:activeWritingStyle w:appName="MSWord" w:lang="en-NZ" w:vendorID="64" w:dllVersion="6" w:nlCheck="1" w:checkStyle="1"/>
  <w:activeWritingStyle w:appName="MSWord" w:lang="es-419" w:vendorID="64" w:dllVersion="6" w:nlCheck="1" w:checkStyle="0"/>
  <w:activeWritingStyle w:appName="MSWord" w:lang="es-ES_tradnl" w:vendorID="64" w:dllVersion="6" w:nlCheck="1" w:checkStyle="0"/>
  <w:activeWritingStyle w:appName="MSWord" w:lang="en-US" w:vendorID="64" w:dllVersion="0" w:nlCheck="1" w:checkStyle="1"/>
  <w:activeWritingStyle w:appName="MSWord" w:lang="fr-CH" w:vendorID="64" w:dllVersion="0" w:nlCheck="1" w:checkStyle="0"/>
  <w:activeWritingStyle w:appName="MSWord" w:lang="es-419" w:vendorID="64" w:dllVersion="0" w:nlCheck="1" w:checkStyle="0"/>
  <w:activeWritingStyle w:appName="MSWord" w:lang="fr-FR"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1D7"/>
    <w:rsid w:val="00001106"/>
    <w:rsid w:val="00010CF3"/>
    <w:rsid w:val="00011E27"/>
    <w:rsid w:val="0001352F"/>
    <w:rsid w:val="000137BE"/>
    <w:rsid w:val="000148BC"/>
    <w:rsid w:val="000173C1"/>
    <w:rsid w:val="000177A2"/>
    <w:rsid w:val="000206AD"/>
    <w:rsid w:val="0002259A"/>
    <w:rsid w:val="00024AB8"/>
    <w:rsid w:val="00024ACA"/>
    <w:rsid w:val="00024E6F"/>
    <w:rsid w:val="00026A7F"/>
    <w:rsid w:val="00030854"/>
    <w:rsid w:val="00031DB3"/>
    <w:rsid w:val="00036028"/>
    <w:rsid w:val="00037D29"/>
    <w:rsid w:val="0004198B"/>
    <w:rsid w:val="00044642"/>
    <w:rsid w:val="000446B9"/>
    <w:rsid w:val="00047E21"/>
    <w:rsid w:val="00050E16"/>
    <w:rsid w:val="00051E1E"/>
    <w:rsid w:val="00060FDD"/>
    <w:rsid w:val="00061862"/>
    <w:rsid w:val="0006364F"/>
    <w:rsid w:val="00064E9E"/>
    <w:rsid w:val="00072B54"/>
    <w:rsid w:val="00085000"/>
    <w:rsid w:val="00085505"/>
    <w:rsid w:val="0008574D"/>
    <w:rsid w:val="00087017"/>
    <w:rsid w:val="00093162"/>
    <w:rsid w:val="00093FA1"/>
    <w:rsid w:val="000A0A23"/>
    <w:rsid w:val="000A225A"/>
    <w:rsid w:val="000A4AA9"/>
    <w:rsid w:val="000A6147"/>
    <w:rsid w:val="000C4286"/>
    <w:rsid w:val="000C4E25"/>
    <w:rsid w:val="000C7021"/>
    <w:rsid w:val="000D0D30"/>
    <w:rsid w:val="000D1D8B"/>
    <w:rsid w:val="000D1EF3"/>
    <w:rsid w:val="000D64F4"/>
    <w:rsid w:val="000D6BBC"/>
    <w:rsid w:val="000D7780"/>
    <w:rsid w:val="000E27BF"/>
    <w:rsid w:val="000E636A"/>
    <w:rsid w:val="000F1756"/>
    <w:rsid w:val="000F1B4E"/>
    <w:rsid w:val="000F2F11"/>
    <w:rsid w:val="00100A5F"/>
    <w:rsid w:val="001053E9"/>
    <w:rsid w:val="00105929"/>
    <w:rsid w:val="00105AE1"/>
    <w:rsid w:val="00110BED"/>
    <w:rsid w:val="00110C36"/>
    <w:rsid w:val="001131D5"/>
    <w:rsid w:val="00114547"/>
    <w:rsid w:val="00114C63"/>
    <w:rsid w:val="00121D61"/>
    <w:rsid w:val="00122C95"/>
    <w:rsid w:val="0012337C"/>
    <w:rsid w:val="00126F20"/>
    <w:rsid w:val="00130878"/>
    <w:rsid w:val="00141DB8"/>
    <w:rsid w:val="00145139"/>
    <w:rsid w:val="00151379"/>
    <w:rsid w:val="001541A1"/>
    <w:rsid w:val="001542A8"/>
    <w:rsid w:val="001558D4"/>
    <w:rsid w:val="00155BA4"/>
    <w:rsid w:val="00156133"/>
    <w:rsid w:val="00157035"/>
    <w:rsid w:val="00157EC5"/>
    <w:rsid w:val="001619FF"/>
    <w:rsid w:val="00161C0C"/>
    <w:rsid w:val="001651F3"/>
    <w:rsid w:val="001661F0"/>
    <w:rsid w:val="001672FB"/>
    <w:rsid w:val="00172084"/>
    <w:rsid w:val="00172F36"/>
    <w:rsid w:val="0017474A"/>
    <w:rsid w:val="001751FC"/>
    <w:rsid w:val="001758C6"/>
    <w:rsid w:val="00176028"/>
    <w:rsid w:val="00177689"/>
    <w:rsid w:val="00182B99"/>
    <w:rsid w:val="00186BC6"/>
    <w:rsid w:val="00191D87"/>
    <w:rsid w:val="00195508"/>
    <w:rsid w:val="001A1D03"/>
    <w:rsid w:val="001A41BC"/>
    <w:rsid w:val="001A7BBA"/>
    <w:rsid w:val="001B13FD"/>
    <w:rsid w:val="001B1BFE"/>
    <w:rsid w:val="001B209A"/>
    <w:rsid w:val="001B2568"/>
    <w:rsid w:val="001B260A"/>
    <w:rsid w:val="001B3055"/>
    <w:rsid w:val="001B4717"/>
    <w:rsid w:val="001C1525"/>
    <w:rsid w:val="001C3C61"/>
    <w:rsid w:val="001C73EB"/>
    <w:rsid w:val="001D08F6"/>
    <w:rsid w:val="001D1080"/>
    <w:rsid w:val="001D1EC7"/>
    <w:rsid w:val="001D24B0"/>
    <w:rsid w:val="001D595A"/>
    <w:rsid w:val="001D736D"/>
    <w:rsid w:val="001E3A9B"/>
    <w:rsid w:val="001E648C"/>
    <w:rsid w:val="001E7BEB"/>
    <w:rsid w:val="001F009B"/>
    <w:rsid w:val="001F1B36"/>
    <w:rsid w:val="001F29EA"/>
    <w:rsid w:val="001F666F"/>
    <w:rsid w:val="001F73A1"/>
    <w:rsid w:val="002009DD"/>
    <w:rsid w:val="00200CEF"/>
    <w:rsid w:val="00207FCA"/>
    <w:rsid w:val="0021332C"/>
    <w:rsid w:val="00213982"/>
    <w:rsid w:val="00214C66"/>
    <w:rsid w:val="00216DB4"/>
    <w:rsid w:val="0022302C"/>
    <w:rsid w:val="00223DD7"/>
    <w:rsid w:val="00224706"/>
    <w:rsid w:val="002269D8"/>
    <w:rsid w:val="00234532"/>
    <w:rsid w:val="00241C6B"/>
    <w:rsid w:val="0024416D"/>
    <w:rsid w:val="002466DD"/>
    <w:rsid w:val="00247062"/>
    <w:rsid w:val="002476D9"/>
    <w:rsid w:val="00261AE2"/>
    <w:rsid w:val="00262916"/>
    <w:rsid w:val="002647D9"/>
    <w:rsid w:val="00271855"/>
    <w:rsid w:val="00271911"/>
    <w:rsid w:val="00272BCA"/>
    <w:rsid w:val="00273187"/>
    <w:rsid w:val="002754D3"/>
    <w:rsid w:val="00277113"/>
    <w:rsid w:val="002800A0"/>
    <w:rsid w:val="002801B3"/>
    <w:rsid w:val="00281060"/>
    <w:rsid w:val="00282450"/>
    <w:rsid w:val="00285BD0"/>
    <w:rsid w:val="00286482"/>
    <w:rsid w:val="00290FB0"/>
    <w:rsid w:val="00291CFD"/>
    <w:rsid w:val="002940E8"/>
    <w:rsid w:val="00294751"/>
    <w:rsid w:val="002950F7"/>
    <w:rsid w:val="002956E8"/>
    <w:rsid w:val="0029709E"/>
    <w:rsid w:val="0029754D"/>
    <w:rsid w:val="002A1E3A"/>
    <w:rsid w:val="002A21A9"/>
    <w:rsid w:val="002A54FC"/>
    <w:rsid w:val="002A6E50"/>
    <w:rsid w:val="002B0E8F"/>
    <w:rsid w:val="002B1F52"/>
    <w:rsid w:val="002B30CF"/>
    <w:rsid w:val="002B4298"/>
    <w:rsid w:val="002B466A"/>
    <w:rsid w:val="002B7A36"/>
    <w:rsid w:val="002C256A"/>
    <w:rsid w:val="002C45E1"/>
    <w:rsid w:val="002C7548"/>
    <w:rsid w:val="002C7E5B"/>
    <w:rsid w:val="002D1227"/>
    <w:rsid w:val="002D516B"/>
    <w:rsid w:val="002D5226"/>
    <w:rsid w:val="002E13AE"/>
    <w:rsid w:val="002E15BA"/>
    <w:rsid w:val="002E16BA"/>
    <w:rsid w:val="002E33F6"/>
    <w:rsid w:val="002E4010"/>
    <w:rsid w:val="002F0E97"/>
    <w:rsid w:val="00305A7F"/>
    <w:rsid w:val="00312E7F"/>
    <w:rsid w:val="003152FE"/>
    <w:rsid w:val="00316FCC"/>
    <w:rsid w:val="003175FF"/>
    <w:rsid w:val="00321710"/>
    <w:rsid w:val="003243B5"/>
    <w:rsid w:val="00324FE4"/>
    <w:rsid w:val="00327436"/>
    <w:rsid w:val="00337163"/>
    <w:rsid w:val="00337C45"/>
    <w:rsid w:val="003415AF"/>
    <w:rsid w:val="00344BD6"/>
    <w:rsid w:val="003453CD"/>
    <w:rsid w:val="00345EFE"/>
    <w:rsid w:val="00346711"/>
    <w:rsid w:val="00347EBE"/>
    <w:rsid w:val="0035053D"/>
    <w:rsid w:val="0035528D"/>
    <w:rsid w:val="00360AA2"/>
    <w:rsid w:val="0036115D"/>
    <w:rsid w:val="00361821"/>
    <w:rsid w:val="0036198D"/>
    <w:rsid w:val="00361C74"/>
    <w:rsid w:val="00361E9E"/>
    <w:rsid w:val="0036293C"/>
    <w:rsid w:val="00366961"/>
    <w:rsid w:val="0036797C"/>
    <w:rsid w:val="00374EE9"/>
    <w:rsid w:val="00374FCA"/>
    <w:rsid w:val="003753EE"/>
    <w:rsid w:val="00376F85"/>
    <w:rsid w:val="0037709B"/>
    <w:rsid w:val="00381164"/>
    <w:rsid w:val="00381C94"/>
    <w:rsid w:val="00392B32"/>
    <w:rsid w:val="003939BE"/>
    <w:rsid w:val="00394D60"/>
    <w:rsid w:val="00395B96"/>
    <w:rsid w:val="003960E4"/>
    <w:rsid w:val="00396B65"/>
    <w:rsid w:val="00396FFA"/>
    <w:rsid w:val="003A0835"/>
    <w:rsid w:val="003A1675"/>
    <w:rsid w:val="003A1CE4"/>
    <w:rsid w:val="003A2703"/>
    <w:rsid w:val="003A2EA0"/>
    <w:rsid w:val="003A5AAF"/>
    <w:rsid w:val="003B494F"/>
    <w:rsid w:val="003B700A"/>
    <w:rsid w:val="003B7D46"/>
    <w:rsid w:val="003C7FBE"/>
    <w:rsid w:val="003D227C"/>
    <w:rsid w:val="003D2B4D"/>
    <w:rsid w:val="003D6FE2"/>
    <w:rsid w:val="003E2461"/>
    <w:rsid w:val="003E24A7"/>
    <w:rsid w:val="003E4ADB"/>
    <w:rsid w:val="003F37F5"/>
    <w:rsid w:val="003F46B5"/>
    <w:rsid w:val="003F75D2"/>
    <w:rsid w:val="00401D63"/>
    <w:rsid w:val="00404251"/>
    <w:rsid w:val="0041081F"/>
    <w:rsid w:val="0042538F"/>
    <w:rsid w:val="00436F48"/>
    <w:rsid w:val="00444A88"/>
    <w:rsid w:val="004463F9"/>
    <w:rsid w:val="00447323"/>
    <w:rsid w:val="0045103C"/>
    <w:rsid w:val="004517E4"/>
    <w:rsid w:val="00452698"/>
    <w:rsid w:val="00456825"/>
    <w:rsid w:val="00456CC5"/>
    <w:rsid w:val="00457B73"/>
    <w:rsid w:val="00465871"/>
    <w:rsid w:val="00465B8E"/>
    <w:rsid w:val="00473758"/>
    <w:rsid w:val="00474DA4"/>
    <w:rsid w:val="00474EBA"/>
    <w:rsid w:val="004769F7"/>
    <w:rsid w:val="00476B4D"/>
    <w:rsid w:val="004805FA"/>
    <w:rsid w:val="00481578"/>
    <w:rsid w:val="00491B77"/>
    <w:rsid w:val="004935D2"/>
    <w:rsid w:val="004979C3"/>
    <w:rsid w:val="004A5B87"/>
    <w:rsid w:val="004B1215"/>
    <w:rsid w:val="004B1BB0"/>
    <w:rsid w:val="004B46E8"/>
    <w:rsid w:val="004C0ABB"/>
    <w:rsid w:val="004C4A5A"/>
    <w:rsid w:val="004C53BD"/>
    <w:rsid w:val="004D0062"/>
    <w:rsid w:val="004D047D"/>
    <w:rsid w:val="004D1EFD"/>
    <w:rsid w:val="004D2941"/>
    <w:rsid w:val="004E5636"/>
    <w:rsid w:val="004E5F31"/>
    <w:rsid w:val="004E7455"/>
    <w:rsid w:val="004F1E9E"/>
    <w:rsid w:val="004F1F65"/>
    <w:rsid w:val="004F1FD5"/>
    <w:rsid w:val="004F305A"/>
    <w:rsid w:val="004F465A"/>
    <w:rsid w:val="005055FF"/>
    <w:rsid w:val="005075F4"/>
    <w:rsid w:val="0051082F"/>
    <w:rsid w:val="0051210F"/>
    <w:rsid w:val="00512164"/>
    <w:rsid w:val="0051460E"/>
    <w:rsid w:val="00520297"/>
    <w:rsid w:val="00521EC0"/>
    <w:rsid w:val="0052587B"/>
    <w:rsid w:val="00531875"/>
    <w:rsid w:val="00531CB9"/>
    <w:rsid w:val="005338F9"/>
    <w:rsid w:val="00535B20"/>
    <w:rsid w:val="0054281C"/>
    <w:rsid w:val="0054359E"/>
    <w:rsid w:val="00544581"/>
    <w:rsid w:val="0054593E"/>
    <w:rsid w:val="00547CFD"/>
    <w:rsid w:val="005505C3"/>
    <w:rsid w:val="0055268D"/>
    <w:rsid w:val="005540C7"/>
    <w:rsid w:val="00555F7B"/>
    <w:rsid w:val="0055644C"/>
    <w:rsid w:val="00556B5E"/>
    <w:rsid w:val="00560EA9"/>
    <w:rsid w:val="005615C0"/>
    <w:rsid w:val="00561854"/>
    <w:rsid w:val="005629E2"/>
    <w:rsid w:val="005640AF"/>
    <w:rsid w:val="00566666"/>
    <w:rsid w:val="00575DE2"/>
    <w:rsid w:val="00576BE4"/>
    <w:rsid w:val="00577707"/>
    <w:rsid w:val="005779DB"/>
    <w:rsid w:val="005810CC"/>
    <w:rsid w:val="00581323"/>
    <w:rsid w:val="00583096"/>
    <w:rsid w:val="005843D7"/>
    <w:rsid w:val="00585833"/>
    <w:rsid w:val="005A2060"/>
    <w:rsid w:val="005A400A"/>
    <w:rsid w:val="005B269D"/>
    <w:rsid w:val="005B623F"/>
    <w:rsid w:val="005B66D3"/>
    <w:rsid w:val="005B6A9E"/>
    <w:rsid w:val="005D0084"/>
    <w:rsid w:val="005D1C40"/>
    <w:rsid w:val="005D4E36"/>
    <w:rsid w:val="005D7CAA"/>
    <w:rsid w:val="005E7B24"/>
    <w:rsid w:val="005F0AB7"/>
    <w:rsid w:val="005F44A8"/>
    <w:rsid w:val="005F5C27"/>
    <w:rsid w:val="005F7B92"/>
    <w:rsid w:val="00602C4D"/>
    <w:rsid w:val="00612379"/>
    <w:rsid w:val="0061243B"/>
    <w:rsid w:val="006153B6"/>
    <w:rsid w:val="0061555F"/>
    <w:rsid w:val="006232E9"/>
    <w:rsid w:val="006245ED"/>
    <w:rsid w:val="00630C44"/>
    <w:rsid w:val="00631967"/>
    <w:rsid w:val="00636352"/>
    <w:rsid w:val="00636CA6"/>
    <w:rsid w:val="00641200"/>
    <w:rsid w:val="00645328"/>
    <w:rsid w:val="00645997"/>
    <w:rsid w:val="00645CA8"/>
    <w:rsid w:val="00657EF2"/>
    <w:rsid w:val="00660088"/>
    <w:rsid w:val="00661BE7"/>
    <w:rsid w:val="00663993"/>
    <w:rsid w:val="006655D3"/>
    <w:rsid w:val="00667404"/>
    <w:rsid w:val="00667F84"/>
    <w:rsid w:val="00671AC9"/>
    <w:rsid w:val="00675041"/>
    <w:rsid w:val="00675DDC"/>
    <w:rsid w:val="00676EFE"/>
    <w:rsid w:val="006850BE"/>
    <w:rsid w:val="006868F8"/>
    <w:rsid w:val="00686B81"/>
    <w:rsid w:val="00687EB4"/>
    <w:rsid w:val="006900F0"/>
    <w:rsid w:val="006939B9"/>
    <w:rsid w:val="00695C56"/>
    <w:rsid w:val="00696299"/>
    <w:rsid w:val="006A25C8"/>
    <w:rsid w:val="006A35F0"/>
    <w:rsid w:val="006A5CDE"/>
    <w:rsid w:val="006A644A"/>
    <w:rsid w:val="006B0C5C"/>
    <w:rsid w:val="006B17D2"/>
    <w:rsid w:val="006B23F6"/>
    <w:rsid w:val="006B2457"/>
    <w:rsid w:val="006B3A5B"/>
    <w:rsid w:val="006C224E"/>
    <w:rsid w:val="006C26EB"/>
    <w:rsid w:val="006C41CE"/>
    <w:rsid w:val="006C5C61"/>
    <w:rsid w:val="006C5CEE"/>
    <w:rsid w:val="006D0617"/>
    <w:rsid w:val="006D1FD8"/>
    <w:rsid w:val="006D3CED"/>
    <w:rsid w:val="006D7387"/>
    <w:rsid w:val="006D780A"/>
    <w:rsid w:val="006E0BDE"/>
    <w:rsid w:val="006E2DF5"/>
    <w:rsid w:val="006E6304"/>
    <w:rsid w:val="006E6A71"/>
    <w:rsid w:val="006E75F5"/>
    <w:rsid w:val="006F0463"/>
    <w:rsid w:val="006F1D1C"/>
    <w:rsid w:val="006F250D"/>
    <w:rsid w:val="006F28F6"/>
    <w:rsid w:val="006F67F6"/>
    <w:rsid w:val="00704579"/>
    <w:rsid w:val="0071086E"/>
    <w:rsid w:val="0071271E"/>
    <w:rsid w:val="007147BE"/>
    <w:rsid w:val="007218BF"/>
    <w:rsid w:val="00722DE2"/>
    <w:rsid w:val="007238FD"/>
    <w:rsid w:val="00726569"/>
    <w:rsid w:val="007303B2"/>
    <w:rsid w:val="0073103D"/>
    <w:rsid w:val="00732DEC"/>
    <w:rsid w:val="0073340A"/>
    <w:rsid w:val="00734B36"/>
    <w:rsid w:val="00735BD5"/>
    <w:rsid w:val="00736763"/>
    <w:rsid w:val="00740D2D"/>
    <w:rsid w:val="00741C20"/>
    <w:rsid w:val="007451EC"/>
    <w:rsid w:val="00751613"/>
    <w:rsid w:val="00753EE9"/>
    <w:rsid w:val="007546B2"/>
    <w:rsid w:val="007556F6"/>
    <w:rsid w:val="00760EEF"/>
    <w:rsid w:val="00761E7D"/>
    <w:rsid w:val="007628EA"/>
    <w:rsid w:val="00762BCB"/>
    <w:rsid w:val="00767F63"/>
    <w:rsid w:val="00770AD0"/>
    <w:rsid w:val="00775FD1"/>
    <w:rsid w:val="00777EE5"/>
    <w:rsid w:val="00782CFC"/>
    <w:rsid w:val="00783AAC"/>
    <w:rsid w:val="00784836"/>
    <w:rsid w:val="00785345"/>
    <w:rsid w:val="00786A0D"/>
    <w:rsid w:val="0079023E"/>
    <w:rsid w:val="00797E62"/>
    <w:rsid w:val="007A2854"/>
    <w:rsid w:val="007A39F1"/>
    <w:rsid w:val="007A77D7"/>
    <w:rsid w:val="007B05D7"/>
    <w:rsid w:val="007B73A9"/>
    <w:rsid w:val="007C01EB"/>
    <w:rsid w:val="007C1D92"/>
    <w:rsid w:val="007C413D"/>
    <w:rsid w:val="007C4CB9"/>
    <w:rsid w:val="007C7653"/>
    <w:rsid w:val="007D0B9D"/>
    <w:rsid w:val="007D19B0"/>
    <w:rsid w:val="007D2869"/>
    <w:rsid w:val="007D615F"/>
    <w:rsid w:val="007E0829"/>
    <w:rsid w:val="007E56F1"/>
    <w:rsid w:val="007F2002"/>
    <w:rsid w:val="007F3525"/>
    <w:rsid w:val="007F383C"/>
    <w:rsid w:val="007F498F"/>
    <w:rsid w:val="007F56D3"/>
    <w:rsid w:val="0080431F"/>
    <w:rsid w:val="0080434B"/>
    <w:rsid w:val="00805568"/>
    <w:rsid w:val="0080679D"/>
    <w:rsid w:val="00810751"/>
    <w:rsid w:val="008108B0"/>
    <w:rsid w:val="00811B20"/>
    <w:rsid w:val="00812609"/>
    <w:rsid w:val="00817212"/>
    <w:rsid w:val="008211B5"/>
    <w:rsid w:val="00822451"/>
    <w:rsid w:val="0082296E"/>
    <w:rsid w:val="008232AC"/>
    <w:rsid w:val="008237D0"/>
    <w:rsid w:val="00824099"/>
    <w:rsid w:val="0082559B"/>
    <w:rsid w:val="00826A26"/>
    <w:rsid w:val="008310F6"/>
    <w:rsid w:val="00835EAA"/>
    <w:rsid w:val="008365A8"/>
    <w:rsid w:val="008378AB"/>
    <w:rsid w:val="00840417"/>
    <w:rsid w:val="00846788"/>
    <w:rsid w:val="00846D7C"/>
    <w:rsid w:val="0085216C"/>
    <w:rsid w:val="00852D2D"/>
    <w:rsid w:val="00853149"/>
    <w:rsid w:val="0085371A"/>
    <w:rsid w:val="00853FE9"/>
    <w:rsid w:val="00863B0F"/>
    <w:rsid w:val="00864283"/>
    <w:rsid w:val="00866A5C"/>
    <w:rsid w:val="008679DF"/>
    <w:rsid w:val="00867AC1"/>
    <w:rsid w:val="008751DE"/>
    <w:rsid w:val="008752B5"/>
    <w:rsid w:val="0087589A"/>
    <w:rsid w:val="0088502A"/>
    <w:rsid w:val="008872C6"/>
    <w:rsid w:val="00890DF8"/>
    <w:rsid w:val="00892F93"/>
    <w:rsid w:val="008A0ADE"/>
    <w:rsid w:val="008A0DEA"/>
    <w:rsid w:val="008A1DB1"/>
    <w:rsid w:val="008A3DF0"/>
    <w:rsid w:val="008A735E"/>
    <w:rsid w:val="008A743F"/>
    <w:rsid w:val="008B0C45"/>
    <w:rsid w:val="008B370A"/>
    <w:rsid w:val="008C0970"/>
    <w:rsid w:val="008C0F45"/>
    <w:rsid w:val="008C28DF"/>
    <w:rsid w:val="008C3964"/>
    <w:rsid w:val="008C5486"/>
    <w:rsid w:val="008C6E3C"/>
    <w:rsid w:val="008C7B76"/>
    <w:rsid w:val="008D0BC5"/>
    <w:rsid w:val="008D175E"/>
    <w:rsid w:val="008D2CF7"/>
    <w:rsid w:val="008D6B75"/>
    <w:rsid w:val="008E1D5E"/>
    <w:rsid w:val="008F1498"/>
    <w:rsid w:val="008F16B6"/>
    <w:rsid w:val="008F3131"/>
    <w:rsid w:val="008F3423"/>
    <w:rsid w:val="00900C26"/>
    <w:rsid w:val="00900DD6"/>
    <w:rsid w:val="00901830"/>
    <w:rsid w:val="0090197F"/>
    <w:rsid w:val="00902492"/>
    <w:rsid w:val="00903264"/>
    <w:rsid w:val="00906DDC"/>
    <w:rsid w:val="00921B1A"/>
    <w:rsid w:val="009236D6"/>
    <w:rsid w:val="00925D26"/>
    <w:rsid w:val="00925FC1"/>
    <w:rsid w:val="009262DF"/>
    <w:rsid w:val="00926C7E"/>
    <w:rsid w:val="00926DFE"/>
    <w:rsid w:val="00931DCC"/>
    <w:rsid w:val="00934E09"/>
    <w:rsid w:val="00936253"/>
    <w:rsid w:val="00940D46"/>
    <w:rsid w:val="009413F1"/>
    <w:rsid w:val="00942A56"/>
    <w:rsid w:val="009444D1"/>
    <w:rsid w:val="009448B8"/>
    <w:rsid w:val="0094490B"/>
    <w:rsid w:val="00945BFE"/>
    <w:rsid w:val="009462D9"/>
    <w:rsid w:val="009522A4"/>
    <w:rsid w:val="00952DD4"/>
    <w:rsid w:val="00954ED3"/>
    <w:rsid w:val="009561F4"/>
    <w:rsid w:val="009606C1"/>
    <w:rsid w:val="0096088A"/>
    <w:rsid w:val="009622DD"/>
    <w:rsid w:val="00964C35"/>
    <w:rsid w:val="00965AE7"/>
    <w:rsid w:val="009661D7"/>
    <w:rsid w:val="00966D73"/>
    <w:rsid w:val="00967FB5"/>
    <w:rsid w:val="00970D54"/>
    <w:rsid w:val="00970FED"/>
    <w:rsid w:val="0097607C"/>
    <w:rsid w:val="00982DEC"/>
    <w:rsid w:val="00983E23"/>
    <w:rsid w:val="0098763E"/>
    <w:rsid w:val="0099006B"/>
    <w:rsid w:val="00992468"/>
    <w:rsid w:val="00992D6A"/>
    <w:rsid w:val="00992D82"/>
    <w:rsid w:val="00994DD8"/>
    <w:rsid w:val="0099538D"/>
    <w:rsid w:val="00997029"/>
    <w:rsid w:val="00997AEF"/>
    <w:rsid w:val="009A53F0"/>
    <w:rsid w:val="009A7339"/>
    <w:rsid w:val="009B2D47"/>
    <w:rsid w:val="009B440E"/>
    <w:rsid w:val="009B79A0"/>
    <w:rsid w:val="009C196E"/>
    <w:rsid w:val="009C58B2"/>
    <w:rsid w:val="009D2395"/>
    <w:rsid w:val="009D3B25"/>
    <w:rsid w:val="009D690D"/>
    <w:rsid w:val="009D7903"/>
    <w:rsid w:val="009E3BED"/>
    <w:rsid w:val="009E4252"/>
    <w:rsid w:val="009E4C89"/>
    <w:rsid w:val="009E57C5"/>
    <w:rsid w:val="009E5E48"/>
    <w:rsid w:val="009E65B6"/>
    <w:rsid w:val="009F0366"/>
    <w:rsid w:val="009F07FA"/>
    <w:rsid w:val="009F0A51"/>
    <w:rsid w:val="009F2CF9"/>
    <w:rsid w:val="009F34A0"/>
    <w:rsid w:val="009F4AF3"/>
    <w:rsid w:val="009F5226"/>
    <w:rsid w:val="009F53BD"/>
    <w:rsid w:val="009F5788"/>
    <w:rsid w:val="009F6FE2"/>
    <w:rsid w:val="009F742B"/>
    <w:rsid w:val="009F77CF"/>
    <w:rsid w:val="00A0037E"/>
    <w:rsid w:val="00A00EE7"/>
    <w:rsid w:val="00A11247"/>
    <w:rsid w:val="00A112E1"/>
    <w:rsid w:val="00A11FD6"/>
    <w:rsid w:val="00A12611"/>
    <w:rsid w:val="00A148E0"/>
    <w:rsid w:val="00A15A96"/>
    <w:rsid w:val="00A223F4"/>
    <w:rsid w:val="00A24C10"/>
    <w:rsid w:val="00A254DB"/>
    <w:rsid w:val="00A25B98"/>
    <w:rsid w:val="00A25FD4"/>
    <w:rsid w:val="00A2729A"/>
    <w:rsid w:val="00A318B8"/>
    <w:rsid w:val="00A34AFE"/>
    <w:rsid w:val="00A36EE6"/>
    <w:rsid w:val="00A423E6"/>
    <w:rsid w:val="00A42AC3"/>
    <w:rsid w:val="00A430CF"/>
    <w:rsid w:val="00A46A82"/>
    <w:rsid w:val="00A50B03"/>
    <w:rsid w:val="00A54309"/>
    <w:rsid w:val="00A556D5"/>
    <w:rsid w:val="00A56603"/>
    <w:rsid w:val="00A610A9"/>
    <w:rsid w:val="00A618B3"/>
    <w:rsid w:val="00A62445"/>
    <w:rsid w:val="00A64F9A"/>
    <w:rsid w:val="00A7574A"/>
    <w:rsid w:val="00A7591E"/>
    <w:rsid w:val="00A80F2A"/>
    <w:rsid w:val="00A83A48"/>
    <w:rsid w:val="00A91A3A"/>
    <w:rsid w:val="00A94462"/>
    <w:rsid w:val="00A96C33"/>
    <w:rsid w:val="00AA13A2"/>
    <w:rsid w:val="00AA188D"/>
    <w:rsid w:val="00AA40DF"/>
    <w:rsid w:val="00AA4546"/>
    <w:rsid w:val="00AA6C9E"/>
    <w:rsid w:val="00AB2B93"/>
    <w:rsid w:val="00AB370C"/>
    <w:rsid w:val="00AB530F"/>
    <w:rsid w:val="00AB7E5B"/>
    <w:rsid w:val="00AC05EB"/>
    <w:rsid w:val="00AC27EE"/>
    <w:rsid w:val="00AC2883"/>
    <w:rsid w:val="00AC5786"/>
    <w:rsid w:val="00AD4716"/>
    <w:rsid w:val="00AD66CA"/>
    <w:rsid w:val="00AD7BF7"/>
    <w:rsid w:val="00AE0EF1"/>
    <w:rsid w:val="00AE2937"/>
    <w:rsid w:val="00AE2C92"/>
    <w:rsid w:val="00AF16FA"/>
    <w:rsid w:val="00AF20CC"/>
    <w:rsid w:val="00AF69AF"/>
    <w:rsid w:val="00B009C0"/>
    <w:rsid w:val="00B02AE9"/>
    <w:rsid w:val="00B03220"/>
    <w:rsid w:val="00B0326F"/>
    <w:rsid w:val="00B03959"/>
    <w:rsid w:val="00B07301"/>
    <w:rsid w:val="00B07A19"/>
    <w:rsid w:val="00B11F3E"/>
    <w:rsid w:val="00B124D0"/>
    <w:rsid w:val="00B13AC8"/>
    <w:rsid w:val="00B17D78"/>
    <w:rsid w:val="00B224DE"/>
    <w:rsid w:val="00B271B3"/>
    <w:rsid w:val="00B2758C"/>
    <w:rsid w:val="00B3183E"/>
    <w:rsid w:val="00B324D4"/>
    <w:rsid w:val="00B3761A"/>
    <w:rsid w:val="00B40A4A"/>
    <w:rsid w:val="00B42C8D"/>
    <w:rsid w:val="00B45A89"/>
    <w:rsid w:val="00B46575"/>
    <w:rsid w:val="00B50717"/>
    <w:rsid w:val="00B50FEC"/>
    <w:rsid w:val="00B535E7"/>
    <w:rsid w:val="00B53E93"/>
    <w:rsid w:val="00B55D0B"/>
    <w:rsid w:val="00B60ECD"/>
    <w:rsid w:val="00B61777"/>
    <w:rsid w:val="00B6225C"/>
    <w:rsid w:val="00B622E6"/>
    <w:rsid w:val="00B63151"/>
    <w:rsid w:val="00B649C2"/>
    <w:rsid w:val="00B702CE"/>
    <w:rsid w:val="00B72F33"/>
    <w:rsid w:val="00B7518A"/>
    <w:rsid w:val="00B8036A"/>
    <w:rsid w:val="00B813C2"/>
    <w:rsid w:val="00B83E82"/>
    <w:rsid w:val="00B84BBD"/>
    <w:rsid w:val="00B91BD8"/>
    <w:rsid w:val="00BA1FA0"/>
    <w:rsid w:val="00BA43FB"/>
    <w:rsid w:val="00BB36A8"/>
    <w:rsid w:val="00BB63BF"/>
    <w:rsid w:val="00BC127D"/>
    <w:rsid w:val="00BC1FE6"/>
    <w:rsid w:val="00BC36BA"/>
    <w:rsid w:val="00BC46A6"/>
    <w:rsid w:val="00BC591B"/>
    <w:rsid w:val="00BC608C"/>
    <w:rsid w:val="00BD6525"/>
    <w:rsid w:val="00BD6628"/>
    <w:rsid w:val="00BD763F"/>
    <w:rsid w:val="00BF052C"/>
    <w:rsid w:val="00BF1902"/>
    <w:rsid w:val="00BF1F9F"/>
    <w:rsid w:val="00C0047C"/>
    <w:rsid w:val="00C020D0"/>
    <w:rsid w:val="00C061B6"/>
    <w:rsid w:val="00C061D6"/>
    <w:rsid w:val="00C222AA"/>
    <w:rsid w:val="00C24143"/>
    <w:rsid w:val="00C2446C"/>
    <w:rsid w:val="00C30957"/>
    <w:rsid w:val="00C32FB2"/>
    <w:rsid w:val="00C36AE5"/>
    <w:rsid w:val="00C41181"/>
    <w:rsid w:val="00C41F17"/>
    <w:rsid w:val="00C43571"/>
    <w:rsid w:val="00C4786B"/>
    <w:rsid w:val="00C51AB2"/>
    <w:rsid w:val="00C527FA"/>
    <w:rsid w:val="00C5280D"/>
    <w:rsid w:val="00C52F05"/>
    <w:rsid w:val="00C52F43"/>
    <w:rsid w:val="00C53EB3"/>
    <w:rsid w:val="00C55C4C"/>
    <w:rsid w:val="00C5791C"/>
    <w:rsid w:val="00C61D8E"/>
    <w:rsid w:val="00C63EC9"/>
    <w:rsid w:val="00C66290"/>
    <w:rsid w:val="00C66835"/>
    <w:rsid w:val="00C67CAD"/>
    <w:rsid w:val="00C715E1"/>
    <w:rsid w:val="00C72A80"/>
    <w:rsid w:val="00C72B7A"/>
    <w:rsid w:val="00C73EBC"/>
    <w:rsid w:val="00C805AC"/>
    <w:rsid w:val="00C816E4"/>
    <w:rsid w:val="00C819DA"/>
    <w:rsid w:val="00C82AC4"/>
    <w:rsid w:val="00C83CED"/>
    <w:rsid w:val="00C90618"/>
    <w:rsid w:val="00C9248E"/>
    <w:rsid w:val="00C93BCB"/>
    <w:rsid w:val="00C973F2"/>
    <w:rsid w:val="00CA2205"/>
    <w:rsid w:val="00CA304C"/>
    <w:rsid w:val="00CA774A"/>
    <w:rsid w:val="00CB4921"/>
    <w:rsid w:val="00CB6211"/>
    <w:rsid w:val="00CB6DB2"/>
    <w:rsid w:val="00CC11B0"/>
    <w:rsid w:val="00CC1204"/>
    <w:rsid w:val="00CC17C0"/>
    <w:rsid w:val="00CC2841"/>
    <w:rsid w:val="00CC2877"/>
    <w:rsid w:val="00CC38DD"/>
    <w:rsid w:val="00CC5151"/>
    <w:rsid w:val="00CD465A"/>
    <w:rsid w:val="00CE59FB"/>
    <w:rsid w:val="00CF006A"/>
    <w:rsid w:val="00CF1330"/>
    <w:rsid w:val="00CF1B4E"/>
    <w:rsid w:val="00CF2959"/>
    <w:rsid w:val="00CF3A6F"/>
    <w:rsid w:val="00CF541E"/>
    <w:rsid w:val="00CF7E36"/>
    <w:rsid w:val="00D07931"/>
    <w:rsid w:val="00D235EA"/>
    <w:rsid w:val="00D27356"/>
    <w:rsid w:val="00D34666"/>
    <w:rsid w:val="00D36BF8"/>
    <w:rsid w:val="00D3708D"/>
    <w:rsid w:val="00D37DF2"/>
    <w:rsid w:val="00D40426"/>
    <w:rsid w:val="00D40564"/>
    <w:rsid w:val="00D40599"/>
    <w:rsid w:val="00D453FB"/>
    <w:rsid w:val="00D45880"/>
    <w:rsid w:val="00D45B7C"/>
    <w:rsid w:val="00D4746E"/>
    <w:rsid w:val="00D52F5C"/>
    <w:rsid w:val="00D57C96"/>
    <w:rsid w:val="00D57D18"/>
    <w:rsid w:val="00D60E71"/>
    <w:rsid w:val="00D630F9"/>
    <w:rsid w:val="00D65B8E"/>
    <w:rsid w:val="00D70E65"/>
    <w:rsid w:val="00D7297F"/>
    <w:rsid w:val="00D83649"/>
    <w:rsid w:val="00D85A66"/>
    <w:rsid w:val="00D86905"/>
    <w:rsid w:val="00D91203"/>
    <w:rsid w:val="00D94A07"/>
    <w:rsid w:val="00D95174"/>
    <w:rsid w:val="00DA10B8"/>
    <w:rsid w:val="00DA4973"/>
    <w:rsid w:val="00DA6B86"/>
    <w:rsid w:val="00DA6F36"/>
    <w:rsid w:val="00DB1A6A"/>
    <w:rsid w:val="00DB289A"/>
    <w:rsid w:val="00DB596E"/>
    <w:rsid w:val="00DB7773"/>
    <w:rsid w:val="00DC00EA"/>
    <w:rsid w:val="00DC27E4"/>
    <w:rsid w:val="00DC3802"/>
    <w:rsid w:val="00DD003D"/>
    <w:rsid w:val="00DD4A3E"/>
    <w:rsid w:val="00DD6208"/>
    <w:rsid w:val="00DD7803"/>
    <w:rsid w:val="00DE2457"/>
    <w:rsid w:val="00DE42D5"/>
    <w:rsid w:val="00DE61DB"/>
    <w:rsid w:val="00DE7FE6"/>
    <w:rsid w:val="00DF0145"/>
    <w:rsid w:val="00DF47A1"/>
    <w:rsid w:val="00DF47BC"/>
    <w:rsid w:val="00DF7E99"/>
    <w:rsid w:val="00E02166"/>
    <w:rsid w:val="00E07D87"/>
    <w:rsid w:val="00E10101"/>
    <w:rsid w:val="00E10A3A"/>
    <w:rsid w:val="00E10F31"/>
    <w:rsid w:val="00E146EE"/>
    <w:rsid w:val="00E15078"/>
    <w:rsid w:val="00E2342B"/>
    <w:rsid w:val="00E249C8"/>
    <w:rsid w:val="00E32F7E"/>
    <w:rsid w:val="00E36D00"/>
    <w:rsid w:val="00E5267B"/>
    <w:rsid w:val="00E54B0F"/>
    <w:rsid w:val="00E54EAA"/>
    <w:rsid w:val="00E559F0"/>
    <w:rsid w:val="00E62F26"/>
    <w:rsid w:val="00E62FB9"/>
    <w:rsid w:val="00E63C0E"/>
    <w:rsid w:val="00E640CC"/>
    <w:rsid w:val="00E72D49"/>
    <w:rsid w:val="00E7593C"/>
    <w:rsid w:val="00E7615F"/>
    <w:rsid w:val="00E7678A"/>
    <w:rsid w:val="00E773C1"/>
    <w:rsid w:val="00E84782"/>
    <w:rsid w:val="00E85A20"/>
    <w:rsid w:val="00E91926"/>
    <w:rsid w:val="00E935F1"/>
    <w:rsid w:val="00E94A81"/>
    <w:rsid w:val="00E94F70"/>
    <w:rsid w:val="00E95349"/>
    <w:rsid w:val="00E9714C"/>
    <w:rsid w:val="00E97429"/>
    <w:rsid w:val="00EA1FFB"/>
    <w:rsid w:val="00EA30A5"/>
    <w:rsid w:val="00EA5AA9"/>
    <w:rsid w:val="00EA6BA4"/>
    <w:rsid w:val="00EB048E"/>
    <w:rsid w:val="00EB1236"/>
    <w:rsid w:val="00EB4E9C"/>
    <w:rsid w:val="00EB77CE"/>
    <w:rsid w:val="00EC142B"/>
    <w:rsid w:val="00EC1AA6"/>
    <w:rsid w:val="00EC284F"/>
    <w:rsid w:val="00ED0359"/>
    <w:rsid w:val="00EE1F64"/>
    <w:rsid w:val="00EE2925"/>
    <w:rsid w:val="00EE34DF"/>
    <w:rsid w:val="00EE6372"/>
    <w:rsid w:val="00EF2F89"/>
    <w:rsid w:val="00EF34BA"/>
    <w:rsid w:val="00EF6D30"/>
    <w:rsid w:val="00F0223E"/>
    <w:rsid w:val="00F03E98"/>
    <w:rsid w:val="00F111B8"/>
    <w:rsid w:val="00F1237A"/>
    <w:rsid w:val="00F20CA7"/>
    <w:rsid w:val="00F22CBD"/>
    <w:rsid w:val="00F272F1"/>
    <w:rsid w:val="00F31412"/>
    <w:rsid w:val="00F377E8"/>
    <w:rsid w:val="00F40A7D"/>
    <w:rsid w:val="00F42F4A"/>
    <w:rsid w:val="00F45372"/>
    <w:rsid w:val="00F464CA"/>
    <w:rsid w:val="00F47229"/>
    <w:rsid w:val="00F50B9D"/>
    <w:rsid w:val="00F541C2"/>
    <w:rsid w:val="00F54E35"/>
    <w:rsid w:val="00F560F7"/>
    <w:rsid w:val="00F561EF"/>
    <w:rsid w:val="00F56E24"/>
    <w:rsid w:val="00F625A7"/>
    <w:rsid w:val="00F6334D"/>
    <w:rsid w:val="00F63599"/>
    <w:rsid w:val="00F66E13"/>
    <w:rsid w:val="00F67F2F"/>
    <w:rsid w:val="00F71781"/>
    <w:rsid w:val="00F74A52"/>
    <w:rsid w:val="00F76125"/>
    <w:rsid w:val="00F8078E"/>
    <w:rsid w:val="00F83631"/>
    <w:rsid w:val="00F86629"/>
    <w:rsid w:val="00FA0E0E"/>
    <w:rsid w:val="00FA49AB"/>
    <w:rsid w:val="00FA5108"/>
    <w:rsid w:val="00FA68A8"/>
    <w:rsid w:val="00FB0652"/>
    <w:rsid w:val="00FB1768"/>
    <w:rsid w:val="00FC32D1"/>
    <w:rsid w:val="00FC5FD0"/>
    <w:rsid w:val="00FD26F6"/>
    <w:rsid w:val="00FD2D3D"/>
    <w:rsid w:val="00FD453B"/>
    <w:rsid w:val="00FE12F1"/>
    <w:rsid w:val="00FE39C7"/>
    <w:rsid w:val="00FE6188"/>
    <w:rsid w:val="00FE666F"/>
    <w:rsid w:val="00FE75D7"/>
    <w:rsid w:val="00FF0C01"/>
    <w:rsid w:val="00FF16C5"/>
    <w:rsid w:val="00FF1E5B"/>
    <w:rsid w:val="00FF4D07"/>
    <w:rsid w:val="00FF5429"/>
    <w:rsid w:val="00FF5807"/>
    <w:rsid w:val="00FF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62084"/>
  <w15:docId w15:val="{2126ED85-447B-4A1E-BB57-CF67BF20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28F6"/>
    <w:pPr>
      <w:keepNext/>
      <w:spacing w:before="520"/>
      <w:jc w:val="both"/>
      <w:outlineLvl w:val="0"/>
    </w:pPr>
    <w:rPr>
      <w:rFonts w:ascii="Arial" w:hAnsi="Arial"/>
      <w:caps/>
    </w:rPr>
  </w:style>
  <w:style w:type="paragraph" w:styleId="Heading2">
    <w:name w:val="heading 2"/>
    <w:next w:val="Normal"/>
    <w:autoRedefine/>
    <w:qFormat/>
    <w:rsid w:val="00C83CED"/>
    <w:pPr>
      <w:keepNext/>
      <w:tabs>
        <w:tab w:val="left" w:pos="567"/>
      </w:tabs>
      <w:outlineLvl w:val="1"/>
    </w:pPr>
    <w:rPr>
      <w:rFonts w:ascii="Arial" w:eastAsiaTheme="minorEastAsia" w:hAnsi="Arial"/>
      <w:snapToGrid w:val="0"/>
      <w:spacing w:val="-4"/>
      <w:u w:val="single"/>
    </w:rPr>
  </w:style>
  <w:style w:type="paragraph" w:styleId="Heading3">
    <w:name w:val="heading 3"/>
    <w:next w:val="Normal"/>
    <w:autoRedefine/>
    <w:qFormat/>
    <w:rsid w:val="002E4010"/>
    <w:pPr>
      <w:keepNext/>
      <w:keepLines/>
      <w:tabs>
        <w:tab w:val="left" w:pos="1710"/>
      </w:tabs>
      <w:jc w:val="both"/>
      <w:outlineLvl w:val="2"/>
    </w:pPr>
    <w:rPr>
      <w:rFonts w:ascii="Arial" w:hAnsi="Arial"/>
      <w:i/>
      <w:spacing w:val="-4"/>
    </w:rPr>
  </w:style>
  <w:style w:type="paragraph" w:styleId="Heading4">
    <w:name w:val="heading 4"/>
    <w:next w:val="Normal"/>
    <w:link w:val="Heading4Char"/>
    <w:autoRedefine/>
    <w:qFormat/>
    <w:rsid w:val="00CF2959"/>
    <w:pPr>
      <w:keepNext/>
      <w:ind w:left="567"/>
      <w:jc w:val="both"/>
      <w:outlineLvl w:val="3"/>
    </w:pPr>
    <w:rPr>
      <w:rFonts w:ascii="Arial" w:hAnsi="Arial"/>
      <w:u w:val="single"/>
    </w:rPr>
  </w:style>
  <w:style w:type="paragraph" w:styleId="Heading5">
    <w:name w:val="heading 5"/>
    <w:next w:val="Normal"/>
    <w:autoRedefine/>
    <w:qFormat/>
    <w:rsid w:val="00581323"/>
    <w:pPr>
      <w:keepNext/>
      <w:ind w:left="567"/>
      <w:jc w:val="both"/>
      <w:outlineLvl w:val="4"/>
    </w:pPr>
    <w:rPr>
      <w:rFonts w:ascii="Arial" w:hAnsi="Arial"/>
      <w:i/>
    </w:rPr>
  </w:style>
  <w:style w:type="paragraph" w:styleId="Heading6">
    <w:name w:val="heading 6"/>
    <w:basedOn w:val="Normal"/>
    <w:next w:val="Normal"/>
    <w:link w:val="Heading6Char"/>
    <w:semiHidden/>
    <w:unhideWhenUsed/>
    <w:qFormat/>
    <w:rsid w:val="00964C35"/>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36797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560EA9"/>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C52F05"/>
    <w:pPr>
      <w:keepNext/>
      <w:tabs>
        <w:tab w:val="left" w:pos="738"/>
        <w:tab w:val="left" w:pos="1260"/>
        <w:tab w:val="right" w:leader="dot" w:pos="9639"/>
      </w:tabs>
      <w:spacing w:before="60" w:after="60"/>
      <w:ind w:left="720" w:right="2160"/>
      <w:jc w:val="both"/>
    </w:pPr>
    <w:rPr>
      <w:rFonts w:ascii="Arial" w:hAnsi="Arial"/>
      <w:sz w:val="18"/>
    </w:rPr>
  </w:style>
  <w:style w:type="paragraph" w:styleId="TOC3">
    <w:name w:val="toc 3"/>
    <w:next w:val="Normal"/>
    <w:autoRedefine/>
    <w:uiPriority w:val="39"/>
    <w:rsid w:val="00CD465A"/>
    <w:pPr>
      <w:tabs>
        <w:tab w:val="left" w:pos="1800"/>
        <w:tab w:val="left" w:pos="2160"/>
        <w:tab w:val="left" w:pos="2790"/>
        <w:tab w:val="right" w:leader="dot" w:pos="9639"/>
      </w:tabs>
      <w:spacing w:before="60" w:after="60"/>
      <w:ind w:left="1440" w:right="432"/>
      <w:jc w:val="both"/>
    </w:pPr>
    <w:rPr>
      <w:rFonts w:ascii="Arial" w:hAnsi="Arial"/>
      <w:i/>
      <w:noProof/>
      <w:sz w:val="16"/>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8502A"/>
    <w:pPr>
      <w:tabs>
        <w:tab w:val="left" w:pos="3274"/>
        <w:tab w:val="right" w:leader="dot" w:pos="9639"/>
      </w:tabs>
      <w:spacing w:before="60" w:after="60"/>
      <w:ind w:left="1800" w:right="720"/>
    </w:pPr>
    <w:rPr>
      <w:rFonts w:ascii="Arial" w:hAnsi="Arial"/>
      <w:sz w:val="16"/>
    </w:rPr>
  </w:style>
  <w:style w:type="paragraph" w:styleId="TOC1">
    <w:name w:val="toc 1"/>
    <w:next w:val="Normal"/>
    <w:autoRedefine/>
    <w:uiPriority w:val="39"/>
    <w:rsid w:val="00E85A20"/>
    <w:pPr>
      <w:keepNext/>
      <w:tabs>
        <w:tab w:val="right" w:leader="dot" w:pos="9639"/>
      </w:tabs>
      <w:spacing w:before="120"/>
      <w:ind w:right="720"/>
      <w:jc w:val="both"/>
    </w:pPr>
    <w:rPr>
      <w:rFonts w:ascii="Arial" w:hAnsi="Arial"/>
      <w:caps/>
      <w:sz w:val="18"/>
    </w:rPr>
  </w:style>
  <w:style w:type="paragraph" w:styleId="TOC5">
    <w:name w:val="toc 5"/>
    <w:next w:val="Normal"/>
    <w:autoRedefine/>
    <w:uiPriority w:val="39"/>
    <w:rsid w:val="00E85A20"/>
    <w:pPr>
      <w:tabs>
        <w:tab w:val="right" w:leader="dot" w:pos="9639"/>
      </w:tabs>
      <w:spacing w:after="60"/>
      <w:ind w:left="1886" w:right="850" w:firstLine="288"/>
      <w:jc w:val="both"/>
    </w:pPr>
    <w:rPr>
      <w:rFonts w:ascii="Arial" w:hAnsi="Arial"/>
      <w:i/>
      <w:noProof/>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12337C"/>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12337C"/>
    <w:rPr>
      <w:rFonts w:ascii="Arial" w:hAnsi="Arial"/>
    </w:rPr>
  </w:style>
  <w:style w:type="character" w:customStyle="1" w:styleId="FootnoteTextChar">
    <w:name w:val="Footnote Text Char"/>
    <w:basedOn w:val="DefaultParagraphFont"/>
    <w:link w:val="FootnoteText"/>
    <w:rsid w:val="00560EA9"/>
    <w:rPr>
      <w:rFonts w:ascii="Arial" w:hAnsi="Arial"/>
      <w:sz w:val="16"/>
    </w:rPr>
  </w:style>
  <w:style w:type="character" w:styleId="FollowedHyperlink">
    <w:name w:val="FollowedHyperlink"/>
    <w:basedOn w:val="DefaultParagraphFont"/>
    <w:semiHidden/>
    <w:unhideWhenUsed/>
    <w:rsid w:val="00B53E93"/>
    <w:rPr>
      <w:color w:val="800080" w:themeColor="followedHyperlink"/>
      <w:u w:val="single"/>
    </w:rPr>
  </w:style>
  <w:style w:type="character" w:customStyle="1" w:styleId="HeaderChar">
    <w:name w:val="Header Char"/>
    <w:basedOn w:val="DefaultParagraphFont"/>
    <w:link w:val="Header"/>
    <w:uiPriority w:val="99"/>
    <w:rsid w:val="00A62445"/>
    <w:rPr>
      <w:rFonts w:ascii="Arial" w:hAnsi="Arial"/>
      <w:lang w:val="es-ES"/>
    </w:rPr>
  </w:style>
  <w:style w:type="character" w:customStyle="1" w:styleId="NormaltChar">
    <w:name w:val="Normalt Char"/>
    <w:link w:val="Normalt"/>
    <w:locked/>
    <w:rsid w:val="007D615F"/>
    <w:rPr>
      <w:noProof/>
      <w:lang w:eastAsia="es-ES"/>
    </w:rPr>
  </w:style>
  <w:style w:type="paragraph" w:customStyle="1" w:styleId="Normalt">
    <w:name w:val="Normalt"/>
    <w:basedOn w:val="Normal"/>
    <w:link w:val="NormaltChar"/>
    <w:rsid w:val="007D615F"/>
    <w:pPr>
      <w:spacing w:before="120" w:after="120"/>
      <w:jc w:val="left"/>
    </w:pPr>
    <w:rPr>
      <w:rFonts w:ascii="Times New Roman" w:hAnsi="Times New Roman"/>
      <w:noProof/>
      <w:lang w:eastAsia="es-ES"/>
    </w:rPr>
  </w:style>
  <w:style w:type="paragraph" w:customStyle="1" w:styleId="Normaltb">
    <w:name w:val="Normaltb"/>
    <w:basedOn w:val="Normalt"/>
    <w:rsid w:val="007D615F"/>
    <w:pPr>
      <w:keepNext/>
    </w:pPr>
    <w:rPr>
      <w:b/>
    </w:rPr>
  </w:style>
  <w:style w:type="paragraph" w:customStyle="1" w:styleId="BasistekstNaktuinbouw">
    <w:name w:val="Basistekst Naktuinbouw"/>
    <w:basedOn w:val="Normal"/>
    <w:qFormat/>
    <w:rsid w:val="00261AE2"/>
    <w:pPr>
      <w:spacing w:line="240" w:lineRule="atLeast"/>
      <w:jc w:val="left"/>
    </w:pPr>
    <w:rPr>
      <w:rFonts w:cs="Maiandra GD"/>
      <w:color w:val="000000" w:themeColor="text1"/>
      <w:szCs w:val="18"/>
      <w:lang w:eastAsia="nl-NL"/>
    </w:rPr>
  </w:style>
  <w:style w:type="paragraph" w:customStyle="1" w:styleId="Default">
    <w:name w:val="Default"/>
    <w:rsid w:val="00261AE2"/>
    <w:pPr>
      <w:autoSpaceDE w:val="0"/>
      <w:autoSpaceDN w:val="0"/>
      <w:adjustRightInd w:val="0"/>
    </w:pPr>
    <w:rPr>
      <w:rFonts w:ascii="Arial" w:hAnsi="Arial" w:cs="Arial"/>
      <w:color w:val="000000"/>
      <w:sz w:val="24"/>
      <w:szCs w:val="24"/>
    </w:rPr>
  </w:style>
  <w:style w:type="table" w:styleId="TableGrid">
    <w:name w:val="Table Grid"/>
    <w:basedOn w:val="TableNormal"/>
    <w:rsid w:val="006232E9"/>
    <w:pPr>
      <w:spacing w:line="240" w:lineRule="atLeast"/>
    </w:pPr>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964C35"/>
    <w:rPr>
      <w:rFonts w:asciiTheme="majorHAnsi" w:eastAsiaTheme="majorEastAsia" w:hAnsiTheme="majorHAnsi" w:cstheme="majorBidi"/>
      <w:color w:val="243F60" w:themeColor="accent1" w:themeShade="7F"/>
    </w:rPr>
  </w:style>
  <w:style w:type="character" w:customStyle="1" w:styleId="ui-provider">
    <w:name w:val="ui-provider"/>
    <w:basedOn w:val="DefaultParagraphFont"/>
    <w:rsid w:val="00C43571"/>
  </w:style>
  <w:style w:type="character" w:styleId="Strong">
    <w:name w:val="Strong"/>
    <w:basedOn w:val="DefaultParagraphFont"/>
    <w:uiPriority w:val="22"/>
    <w:qFormat/>
    <w:rsid w:val="00C43571"/>
    <w:rPr>
      <w:b/>
      <w:bCs/>
    </w:rPr>
  </w:style>
  <w:style w:type="character" w:customStyle="1" w:styleId="EndnoteTextChar">
    <w:name w:val="Endnote Text Char"/>
    <w:basedOn w:val="DefaultParagraphFont"/>
    <w:link w:val="EndnoteText"/>
    <w:rsid w:val="00157035"/>
    <w:rPr>
      <w:rFonts w:ascii="Arial" w:hAnsi="Arial"/>
    </w:rPr>
  </w:style>
  <w:style w:type="paragraph" w:customStyle="1" w:styleId="Style1">
    <w:name w:val="Style1"/>
    <w:basedOn w:val="Normal"/>
    <w:rsid w:val="00157035"/>
    <w:pPr>
      <w:tabs>
        <w:tab w:val="decimal" w:pos="907"/>
        <w:tab w:val="left" w:pos="1077"/>
      </w:tabs>
    </w:pPr>
    <w:rPr>
      <w:rFonts w:eastAsia="MS Mincho"/>
      <w:szCs w:val="24"/>
      <w:lang w:eastAsia="ja-JP"/>
    </w:rPr>
  </w:style>
  <w:style w:type="character" w:customStyle="1" w:styleId="Heading4Char">
    <w:name w:val="Heading 4 Char"/>
    <w:link w:val="Heading4"/>
    <w:rsid w:val="00CF2959"/>
    <w:rPr>
      <w:rFonts w:ascii="Arial" w:hAnsi="Arial"/>
      <w:u w:val="single"/>
    </w:rPr>
  </w:style>
  <w:style w:type="paragraph" w:styleId="Revision">
    <w:name w:val="Revision"/>
    <w:hidden/>
    <w:uiPriority w:val="99"/>
    <w:semiHidden/>
    <w:rsid w:val="0088502A"/>
    <w:rPr>
      <w:rFonts w:ascii="Arial" w:hAnsi="Arial"/>
    </w:rPr>
  </w:style>
  <w:style w:type="character" w:customStyle="1" w:styleId="Heading8Char">
    <w:name w:val="Heading 8 Char"/>
    <w:basedOn w:val="DefaultParagraphFont"/>
    <w:link w:val="Heading8"/>
    <w:semiHidden/>
    <w:rsid w:val="0036797C"/>
    <w:rPr>
      <w:rFonts w:asciiTheme="majorHAnsi" w:eastAsiaTheme="majorEastAsia" w:hAnsiTheme="majorHAnsi" w:cstheme="majorBidi"/>
      <w:color w:val="272727" w:themeColor="text1" w:themeTint="D8"/>
      <w:sz w:val="21"/>
      <w:szCs w:val="21"/>
    </w:rPr>
  </w:style>
  <w:style w:type="paragraph" w:styleId="BodyTextIndent">
    <w:name w:val="Body Text Indent"/>
    <w:basedOn w:val="Normal"/>
    <w:link w:val="BodyTextIndentChar"/>
    <w:semiHidden/>
    <w:unhideWhenUsed/>
    <w:rsid w:val="0036797C"/>
    <w:pPr>
      <w:spacing w:after="120"/>
      <w:ind w:left="283"/>
    </w:pPr>
  </w:style>
  <w:style w:type="character" w:customStyle="1" w:styleId="BodyTextIndentChar">
    <w:name w:val="Body Text Indent Char"/>
    <w:basedOn w:val="DefaultParagraphFont"/>
    <w:link w:val="BodyTextIndent"/>
    <w:semiHidden/>
    <w:rsid w:val="0036797C"/>
    <w:rPr>
      <w:rFonts w:ascii="Arial" w:hAnsi="Arial"/>
    </w:rPr>
  </w:style>
  <w:style w:type="character" w:styleId="UnresolvedMention">
    <w:name w:val="Unresolved Mention"/>
    <w:basedOn w:val="DefaultParagraphFont"/>
    <w:uiPriority w:val="99"/>
    <w:semiHidden/>
    <w:unhideWhenUsed/>
    <w:rsid w:val="003E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81">
      <w:bodyDiv w:val="1"/>
      <w:marLeft w:val="0"/>
      <w:marRight w:val="0"/>
      <w:marTop w:val="0"/>
      <w:marBottom w:val="0"/>
      <w:divBdr>
        <w:top w:val="none" w:sz="0" w:space="0" w:color="auto"/>
        <w:left w:val="none" w:sz="0" w:space="0" w:color="auto"/>
        <w:bottom w:val="none" w:sz="0" w:space="0" w:color="auto"/>
        <w:right w:val="none" w:sz="0" w:space="0" w:color="auto"/>
      </w:divBdr>
    </w:div>
    <w:div w:id="82532416">
      <w:bodyDiv w:val="1"/>
      <w:marLeft w:val="0"/>
      <w:marRight w:val="0"/>
      <w:marTop w:val="0"/>
      <w:marBottom w:val="0"/>
      <w:divBdr>
        <w:top w:val="none" w:sz="0" w:space="0" w:color="auto"/>
        <w:left w:val="none" w:sz="0" w:space="0" w:color="auto"/>
        <w:bottom w:val="none" w:sz="0" w:space="0" w:color="auto"/>
        <w:right w:val="none" w:sz="0" w:space="0" w:color="auto"/>
      </w:divBdr>
    </w:div>
    <w:div w:id="443236504">
      <w:bodyDiv w:val="1"/>
      <w:marLeft w:val="0"/>
      <w:marRight w:val="0"/>
      <w:marTop w:val="0"/>
      <w:marBottom w:val="0"/>
      <w:divBdr>
        <w:top w:val="none" w:sz="0" w:space="0" w:color="auto"/>
        <w:left w:val="none" w:sz="0" w:space="0" w:color="auto"/>
        <w:bottom w:val="none" w:sz="0" w:space="0" w:color="auto"/>
        <w:right w:val="none" w:sz="0" w:space="0" w:color="auto"/>
      </w:divBdr>
    </w:div>
    <w:div w:id="762801890">
      <w:bodyDiv w:val="1"/>
      <w:marLeft w:val="0"/>
      <w:marRight w:val="0"/>
      <w:marTop w:val="0"/>
      <w:marBottom w:val="0"/>
      <w:divBdr>
        <w:top w:val="none" w:sz="0" w:space="0" w:color="auto"/>
        <w:left w:val="none" w:sz="0" w:space="0" w:color="auto"/>
        <w:bottom w:val="none" w:sz="0" w:space="0" w:color="auto"/>
        <w:right w:val="none" w:sz="0" w:space="0" w:color="auto"/>
      </w:divBdr>
    </w:div>
    <w:div w:id="1050962174">
      <w:bodyDiv w:val="1"/>
      <w:marLeft w:val="0"/>
      <w:marRight w:val="0"/>
      <w:marTop w:val="0"/>
      <w:marBottom w:val="0"/>
      <w:divBdr>
        <w:top w:val="none" w:sz="0" w:space="0" w:color="auto"/>
        <w:left w:val="none" w:sz="0" w:space="0" w:color="auto"/>
        <w:bottom w:val="none" w:sz="0" w:space="0" w:color="auto"/>
        <w:right w:val="none" w:sz="0" w:space="0" w:color="auto"/>
      </w:divBdr>
    </w:div>
    <w:div w:id="1351300610">
      <w:bodyDiv w:val="1"/>
      <w:marLeft w:val="0"/>
      <w:marRight w:val="0"/>
      <w:marTop w:val="0"/>
      <w:marBottom w:val="0"/>
      <w:divBdr>
        <w:top w:val="none" w:sz="0" w:space="0" w:color="auto"/>
        <w:left w:val="none" w:sz="0" w:space="0" w:color="auto"/>
        <w:bottom w:val="none" w:sz="0" w:space="0" w:color="auto"/>
        <w:right w:val="none" w:sz="0" w:space="0" w:color="auto"/>
      </w:divBdr>
    </w:div>
    <w:div w:id="2109302192">
      <w:bodyDiv w:val="1"/>
      <w:marLeft w:val="0"/>
      <w:marRight w:val="0"/>
      <w:marTop w:val="0"/>
      <w:marBottom w:val="0"/>
      <w:divBdr>
        <w:top w:val="none" w:sz="0" w:space="0" w:color="auto"/>
        <w:left w:val="none" w:sz="0" w:space="0" w:color="auto"/>
        <w:bottom w:val="none" w:sz="0" w:space="0" w:color="auto"/>
        <w:right w:val="none" w:sz="0" w:space="0" w:color="auto"/>
      </w:divBdr>
    </w:div>
    <w:div w:id="211327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5.jpeg"/><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onnectedviews.com/05/SitePlayer/WIPOtest/?session=118855"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8.jpeg"/><Relationship Id="rId28" Type="http://schemas.openxmlformats.org/officeDocument/2006/relationships/header" Target="header8.xml"/><Relationship Id="rId10" Type="http://schemas.openxmlformats.org/officeDocument/2006/relationships/hyperlink" Target="https://c.connectedviews.com/05/SitePlayer/WIPOtest/?session=118855"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header" Target="header3.xml"/><Relationship Id="rId22" Type="http://schemas.openxmlformats.org/officeDocument/2006/relationships/image" Target="media/image7.jpeg"/><Relationship Id="rId27" Type="http://schemas.openxmlformats.org/officeDocument/2006/relationships/header" Target="header7.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B8F8B-FCBC-4841-AA88-99A10AB2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27</Pages>
  <Words>11902</Words>
  <Characters>69581</Characters>
  <Application>Microsoft Office Word</Application>
  <DocSecurity>0</DocSecurity>
  <Lines>1739</Lines>
  <Paragraphs>721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SESSIONS/2023/2</vt:lpstr>
      <vt:lpstr>SESSIONS/2023/2</vt:lpstr>
    </vt:vector>
  </TitlesOfParts>
  <Company>UPOV</Company>
  <LinksUpToDate>false</LinksUpToDate>
  <CharactersWithSpaces>80762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SESSIONS/2023/2</dc:title>
  <dc:creator>Author</dc:creator>
  <cp:lastModifiedBy>SANCHEZ VIZCAINO GOMEZ Rosa Maria</cp:lastModifiedBy>
  <cp:revision>25</cp:revision>
  <cp:lastPrinted>2016-11-22T15:41:00Z</cp:lastPrinted>
  <dcterms:created xsi:type="dcterms:W3CDTF">2023-09-06T08:52:00Z</dcterms:created>
  <dcterms:modified xsi:type="dcterms:W3CDTF">2023-09-14T18:25:00Z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2023-09-06T07:09:03Z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95524f73-50b2-4d11-b5ff-77f5ad3ac547</vt:lpwstr>
  </property>
  <property fmtid="{D5CDD505-2E9C-101B-9397-08002B2CF9AE}" pid="8" name="MSIP_Label_bfc084f7-b690-4c43-8ee6-d475b6d3461d_ContentBits">
    <vt:lpwstr>2</vt:lpwstr>
  </property>
</Properties>
</file>